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18AEF24" w:rsidR="007122AD" w:rsidRDefault="00DD466D" w:rsidP="00936AD0">
      <w:pPr>
        <w:pStyle w:val="Heading1"/>
      </w:pPr>
      <w:r>
        <w:t>1.ИМЕ НА ЛЕКАРСТВЕНИЯ ПРОДУКТ</w:t>
      </w:r>
    </w:p>
    <w:p w14:paraId="5A0523E6" w14:textId="123F1702" w:rsidR="00D00256" w:rsidRDefault="00D00256" w:rsidP="00D00256"/>
    <w:p w14:paraId="73B25736" w14:textId="77777777"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eastAsia="bg-BG"/>
        </w:rPr>
        <w:t xml:space="preserve">ХОЛЕСТА 10 </w:t>
      </w:r>
      <w:r w:rsidRPr="00D00256">
        <w:rPr>
          <w:rFonts w:eastAsia="Times New Roman" w:cs="Arial"/>
          <w:color w:val="000000"/>
          <w:szCs w:val="20"/>
          <w:lang w:val="en-US"/>
        </w:rPr>
        <w:t xml:space="preserve">mg </w:t>
      </w:r>
      <w:r w:rsidRPr="00D00256">
        <w:rPr>
          <w:rFonts w:eastAsia="Times New Roman" w:cs="Arial"/>
          <w:color w:val="000000"/>
          <w:szCs w:val="20"/>
          <w:lang w:eastAsia="bg-BG"/>
        </w:rPr>
        <w:t>филмирани таблетки</w:t>
      </w:r>
    </w:p>
    <w:p w14:paraId="1BC8ACFA" w14:textId="77777777"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val="en-US"/>
        </w:rPr>
        <w:t xml:space="preserve">HOLLESTA </w:t>
      </w:r>
      <w:r w:rsidRPr="00D00256">
        <w:rPr>
          <w:rFonts w:eastAsia="Times New Roman" w:cs="Arial"/>
          <w:color w:val="000000"/>
          <w:szCs w:val="20"/>
          <w:lang w:eastAsia="bg-BG"/>
        </w:rPr>
        <w:t xml:space="preserve">10 </w:t>
      </w:r>
      <w:r w:rsidRPr="00D00256">
        <w:rPr>
          <w:rFonts w:eastAsia="Times New Roman" w:cs="Arial"/>
          <w:color w:val="000000"/>
          <w:szCs w:val="20"/>
          <w:lang w:val="en-US"/>
        </w:rPr>
        <w:t>mg film-coated tablets</w:t>
      </w:r>
    </w:p>
    <w:p w14:paraId="379FDF67" w14:textId="77777777" w:rsidR="00D00256" w:rsidRPr="00D00256" w:rsidRDefault="00D00256" w:rsidP="00D00256">
      <w:pPr>
        <w:spacing w:line="240" w:lineRule="auto"/>
        <w:rPr>
          <w:rFonts w:eastAsia="Times New Roman" w:cs="Arial"/>
          <w:color w:val="000000"/>
          <w:szCs w:val="20"/>
          <w:lang w:eastAsia="bg-BG"/>
        </w:rPr>
      </w:pPr>
    </w:p>
    <w:p w14:paraId="7CA0BE1F" w14:textId="37E3C240"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eastAsia="bg-BG"/>
        </w:rPr>
        <w:t xml:space="preserve">ХОЛЕСТА 20 </w:t>
      </w:r>
      <w:r w:rsidRPr="00D00256">
        <w:rPr>
          <w:rFonts w:eastAsia="Times New Roman" w:cs="Arial"/>
          <w:color w:val="000000"/>
          <w:szCs w:val="20"/>
          <w:lang w:val="en-US"/>
        </w:rPr>
        <w:t xml:space="preserve">mg </w:t>
      </w:r>
      <w:r w:rsidRPr="00D00256">
        <w:rPr>
          <w:rFonts w:eastAsia="Times New Roman" w:cs="Arial"/>
          <w:color w:val="000000"/>
          <w:szCs w:val="20"/>
          <w:lang w:eastAsia="bg-BG"/>
        </w:rPr>
        <w:t>филмирани таблетки</w:t>
      </w:r>
    </w:p>
    <w:p w14:paraId="3DAA9A28" w14:textId="77777777"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val="en-US"/>
        </w:rPr>
        <w:t xml:space="preserve">HOLLESTA </w:t>
      </w:r>
      <w:r w:rsidRPr="00D00256">
        <w:rPr>
          <w:rFonts w:eastAsia="Times New Roman" w:cs="Arial"/>
          <w:color w:val="000000"/>
          <w:szCs w:val="20"/>
          <w:lang w:eastAsia="bg-BG"/>
        </w:rPr>
        <w:t xml:space="preserve">20 </w:t>
      </w:r>
      <w:r w:rsidRPr="00D00256">
        <w:rPr>
          <w:rFonts w:eastAsia="Times New Roman" w:cs="Arial"/>
          <w:color w:val="000000"/>
          <w:szCs w:val="20"/>
          <w:lang w:val="en-US"/>
        </w:rPr>
        <w:t>mg film-coated tablets</w:t>
      </w:r>
    </w:p>
    <w:p w14:paraId="7AE4D59C" w14:textId="77777777" w:rsidR="00D00256" w:rsidRPr="00D00256" w:rsidRDefault="00D00256" w:rsidP="00D00256">
      <w:pPr>
        <w:spacing w:line="240" w:lineRule="auto"/>
        <w:rPr>
          <w:rFonts w:eastAsia="Times New Roman" w:cs="Arial"/>
          <w:color w:val="000000"/>
          <w:szCs w:val="20"/>
          <w:lang w:eastAsia="bg-BG"/>
        </w:rPr>
      </w:pPr>
    </w:p>
    <w:p w14:paraId="54E8C3C7" w14:textId="4DB02E16"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eastAsia="bg-BG"/>
        </w:rPr>
        <w:t xml:space="preserve">ХОЛЕСТА </w:t>
      </w:r>
      <w:r w:rsidRPr="00D00256">
        <w:rPr>
          <w:rFonts w:eastAsia="Times New Roman" w:cs="Arial"/>
          <w:color w:val="000000"/>
          <w:szCs w:val="20"/>
          <w:lang w:val="en-US"/>
        </w:rPr>
        <w:t xml:space="preserve">40 mg </w:t>
      </w:r>
      <w:r w:rsidRPr="00D00256">
        <w:rPr>
          <w:rFonts w:eastAsia="Times New Roman" w:cs="Arial"/>
          <w:color w:val="000000"/>
          <w:szCs w:val="20"/>
          <w:lang w:eastAsia="bg-BG"/>
        </w:rPr>
        <w:t>филмирани таблетки</w:t>
      </w:r>
    </w:p>
    <w:p w14:paraId="00AB7B92" w14:textId="77777777"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val="en-US"/>
        </w:rPr>
        <w:t>HOLLESTA 40 mg film-coated tablets</w:t>
      </w:r>
    </w:p>
    <w:p w14:paraId="19626326" w14:textId="77777777" w:rsidR="00D00256" w:rsidRPr="00D00256" w:rsidRDefault="00D00256" w:rsidP="00D00256"/>
    <w:p w14:paraId="6920A680" w14:textId="316AEB6B" w:rsidR="00C40420" w:rsidRDefault="00DD466D" w:rsidP="004A448E">
      <w:pPr>
        <w:pStyle w:val="Heading1"/>
      </w:pPr>
      <w:r>
        <w:t>2. КАЧЕСТВЕН И КОЛИЧЕСТВЕН СЪСТАВ</w:t>
      </w:r>
    </w:p>
    <w:p w14:paraId="6DD63FE9" w14:textId="4F5EB7E4" w:rsidR="00D00256" w:rsidRDefault="00D00256" w:rsidP="00D00256"/>
    <w:p w14:paraId="3D28EFAB" w14:textId="77777777" w:rsidR="00D00256" w:rsidRPr="00D00256" w:rsidRDefault="00D00256" w:rsidP="00D00256">
      <w:pPr>
        <w:rPr>
          <w:sz w:val="24"/>
          <w:szCs w:val="24"/>
        </w:rPr>
      </w:pPr>
      <w:r w:rsidRPr="00D00256">
        <w:rPr>
          <w:lang w:eastAsia="bg-BG"/>
        </w:rPr>
        <w:t xml:space="preserve">Всяка филмирана таблетка съдържа 10 </w:t>
      </w:r>
      <w:r w:rsidRPr="00D00256">
        <w:rPr>
          <w:lang w:val="en-US"/>
        </w:rPr>
        <w:t>mg</w:t>
      </w:r>
      <w:r w:rsidRPr="00D00256">
        <w:t xml:space="preserve"> </w:t>
      </w:r>
      <w:r w:rsidRPr="00D00256">
        <w:rPr>
          <w:lang w:eastAsia="bg-BG"/>
        </w:rPr>
        <w:t xml:space="preserve">симвастатин </w:t>
      </w:r>
      <w:r w:rsidRPr="00D00256">
        <w:rPr>
          <w:i/>
          <w:iCs/>
        </w:rPr>
        <w:t>(</w:t>
      </w:r>
      <w:r w:rsidRPr="00D00256">
        <w:rPr>
          <w:i/>
          <w:iCs/>
          <w:lang w:val="en-US"/>
        </w:rPr>
        <w:t>simvastatin</w:t>
      </w:r>
      <w:r w:rsidRPr="00D00256">
        <w:rPr>
          <w:i/>
          <w:iCs/>
        </w:rPr>
        <w:t>).</w:t>
      </w:r>
    </w:p>
    <w:p w14:paraId="667F4517" w14:textId="77777777" w:rsidR="00D00256" w:rsidRPr="00D00256" w:rsidRDefault="00D00256" w:rsidP="00D00256">
      <w:pPr>
        <w:rPr>
          <w:sz w:val="24"/>
          <w:szCs w:val="24"/>
        </w:rPr>
      </w:pPr>
      <w:r w:rsidRPr="00D00256">
        <w:rPr>
          <w:lang w:eastAsia="bg-BG"/>
        </w:rPr>
        <w:t xml:space="preserve">Всяка филмирана таблетка съдържа 20 </w:t>
      </w:r>
      <w:r w:rsidRPr="00D00256">
        <w:rPr>
          <w:lang w:val="en-US"/>
        </w:rPr>
        <w:t>mg</w:t>
      </w:r>
      <w:r w:rsidRPr="00D00256">
        <w:t xml:space="preserve"> </w:t>
      </w:r>
      <w:r w:rsidRPr="00D00256">
        <w:rPr>
          <w:lang w:eastAsia="bg-BG"/>
        </w:rPr>
        <w:t xml:space="preserve">симвастатин </w:t>
      </w:r>
      <w:r w:rsidRPr="00D00256">
        <w:rPr>
          <w:i/>
          <w:iCs/>
        </w:rPr>
        <w:t>(</w:t>
      </w:r>
      <w:r w:rsidRPr="00D00256">
        <w:rPr>
          <w:i/>
          <w:iCs/>
          <w:lang w:val="en-US"/>
        </w:rPr>
        <w:t>simvastatin</w:t>
      </w:r>
      <w:r w:rsidRPr="00D00256">
        <w:rPr>
          <w:i/>
          <w:iCs/>
        </w:rPr>
        <w:t>).</w:t>
      </w:r>
    </w:p>
    <w:p w14:paraId="7FC1958B" w14:textId="3B8A789E" w:rsidR="00D00256" w:rsidRPr="00D00256" w:rsidRDefault="00D00256" w:rsidP="00D00256">
      <w:r w:rsidRPr="00D00256">
        <w:rPr>
          <w:lang w:eastAsia="bg-BG"/>
        </w:rPr>
        <w:t xml:space="preserve">Всяка филмирана таблетка съдържа 40 </w:t>
      </w:r>
      <w:r w:rsidRPr="00D00256">
        <w:rPr>
          <w:lang w:val="en-US"/>
        </w:rPr>
        <w:t>mg</w:t>
      </w:r>
      <w:r w:rsidRPr="00D00256">
        <w:t xml:space="preserve"> </w:t>
      </w:r>
      <w:r w:rsidRPr="00D00256">
        <w:rPr>
          <w:lang w:eastAsia="bg-BG"/>
        </w:rPr>
        <w:t xml:space="preserve">симвастатин </w:t>
      </w:r>
      <w:r w:rsidRPr="00D00256">
        <w:rPr>
          <w:i/>
          <w:iCs/>
        </w:rPr>
        <w:t>(</w:t>
      </w:r>
      <w:r w:rsidRPr="00D00256">
        <w:rPr>
          <w:i/>
          <w:iCs/>
          <w:lang w:val="en-US"/>
        </w:rPr>
        <w:t>simvastatin</w:t>
      </w:r>
      <w:r w:rsidRPr="00D00256">
        <w:rPr>
          <w:i/>
          <w:iCs/>
        </w:rPr>
        <w:t>).</w:t>
      </w:r>
    </w:p>
    <w:p w14:paraId="614984C4" w14:textId="4A422981" w:rsidR="008A6AF2" w:rsidRDefault="00DD466D" w:rsidP="002C50EE">
      <w:pPr>
        <w:pStyle w:val="Heading1"/>
      </w:pPr>
      <w:r>
        <w:t>3. ЛЕКАРСТВЕНА ФОРМА</w:t>
      </w:r>
    </w:p>
    <w:p w14:paraId="673F071D" w14:textId="7800C7C9" w:rsidR="00D00256" w:rsidRDefault="00D00256" w:rsidP="00D00256"/>
    <w:p w14:paraId="70B4A2EB" w14:textId="77777777" w:rsidR="00D00256" w:rsidRPr="00D00256" w:rsidRDefault="00D00256" w:rsidP="00D00256">
      <w:pPr>
        <w:rPr>
          <w:sz w:val="24"/>
          <w:szCs w:val="24"/>
        </w:rPr>
      </w:pPr>
      <w:r w:rsidRPr="00D00256">
        <w:rPr>
          <w:lang w:eastAsia="bg-BG"/>
        </w:rPr>
        <w:t>* Филмирана таблетка</w:t>
      </w:r>
    </w:p>
    <w:p w14:paraId="4F5F6DE3" w14:textId="77777777" w:rsidR="00D00256" w:rsidRDefault="00D00256" w:rsidP="00D00256">
      <w:pPr>
        <w:rPr>
          <w:lang w:eastAsia="bg-BG"/>
        </w:rPr>
      </w:pPr>
    </w:p>
    <w:p w14:paraId="5CDB0C8D" w14:textId="190E299F" w:rsidR="00D00256" w:rsidRPr="00D00256" w:rsidRDefault="00D00256" w:rsidP="00D00256">
      <w:pPr>
        <w:rPr>
          <w:sz w:val="24"/>
          <w:szCs w:val="24"/>
        </w:rPr>
      </w:pPr>
      <w:r w:rsidRPr="00D00256">
        <w:rPr>
          <w:lang w:eastAsia="bg-BG"/>
        </w:rPr>
        <w:t xml:space="preserve">Холеста 10 </w:t>
      </w:r>
      <w:r w:rsidRPr="00D00256">
        <w:rPr>
          <w:lang w:val="en-US"/>
        </w:rPr>
        <w:t>mg</w:t>
      </w:r>
      <w:r w:rsidRPr="00D00256">
        <w:rPr>
          <w:lang w:val="ru-RU"/>
        </w:rPr>
        <w:t xml:space="preserve"> </w:t>
      </w:r>
      <w:r w:rsidRPr="00D00256">
        <w:rPr>
          <w:lang w:eastAsia="bg-BG"/>
        </w:rPr>
        <w:t>: кръгли, двойно-изпъкнали розово-червени филмирани таблетки с делител на черта от едната страна. Таблетката може да бъде разделена на две равни дози.</w:t>
      </w:r>
    </w:p>
    <w:p w14:paraId="5A7D6EBD" w14:textId="77777777" w:rsidR="00D00256" w:rsidRPr="00D00256" w:rsidRDefault="00D00256" w:rsidP="00D00256">
      <w:pPr>
        <w:rPr>
          <w:sz w:val="24"/>
          <w:szCs w:val="24"/>
        </w:rPr>
      </w:pPr>
      <w:r w:rsidRPr="00D00256">
        <w:rPr>
          <w:lang w:eastAsia="bg-BG"/>
        </w:rPr>
        <w:t xml:space="preserve">Холеста 20 </w:t>
      </w:r>
      <w:r w:rsidRPr="00D00256">
        <w:rPr>
          <w:lang w:val="en-US"/>
        </w:rPr>
        <w:t>mg</w:t>
      </w:r>
      <w:r w:rsidRPr="00D00256">
        <w:rPr>
          <w:lang w:val="ru-RU"/>
        </w:rPr>
        <w:t xml:space="preserve"> </w:t>
      </w:r>
      <w:r w:rsidRPr="00D00256">
        <w:rPr>
          <w:lang w:eastAsia="bg-BG"/>
        </w:rPr>
        <w:t xml:space="preserve">и 40 </w:t>
      </w:r>
      <w:r w:rsidRPr="00D00256">
        <w:rPr>
          <w:lang w:val="en-US"/>
        </w:rPr>
        <w:t>mg</w:t>
      </w:r>
      <w:r w:rsidRPr="00D00256">
        <w:rPr>
          <w:lang w:val="ru-RU"/>
        </w:rPr>
        <w:t xml:space="preserve">: </w:t>
      </w:r>
      <w:r w:rsidRPr="00D00256">
        <w:rPr>
          <w:lang w:eastAsia="bg-BG"/>
        </w:rPr>
        <w:t>кръгли, двойно-изпъкнали розово-червени филмирани таблетки с делителна черта от едната страна. Делителната черта е само за улесняване на счупването с цел по- лесно гълтане, а не за разделяне на равни дози.</w:t>
      </w:r>
    </w:p>
    <w:p w14:paraId="50FD6B92" w14:textId="77777777" w:rsidR="00D00256" w:rsidRPr="00D00256" w:rsidRDefault="00D00256" w:rsidP="00D00256"/>
    <w:p w14:paraId="490FC2C4" w14:textId="0F4A4A75" w:rsidR="002C50EE" w:rsidRDefault="002C50EE" w:rsidP="002C50EE">
      <w:pPr>
        <w:pStyle w:val="Heading1"/>
      </w:pPr>
      <w:r>
        <w:t>4. КЛИНИЧНИ ДАННИ</w:t>
      </w:r>
    </w:p>
    <w:p w14:paraId="74330405" w14:textId="1B076EFD" w:rsidR="007122AD" w:rsidRDefault="002C50EE" w:rsidP="00936AD0">
      <w:pPr>
        <w:pStyle w:val="Heading2"/>
      </w:pPr>
      <w:r>
        <w:t>4.1. Терапевтични показания</w:t>
      </w:r>
    </w:p>
    <w:p w14:paraId="0739AB5E" w14:textId="4A6FE541" w:rsidR="00D00256" w:rsidRDefault="00D00256" w:rsidP="00D00256"/>
    <w:p w14:paraId="4126C2AC" w14:textId="77777777" w:rsidR="00D00256" w:rsidRPr="00D00256" w:rsidRDefault="00D00256" w:rsidP="00D00256">
      <w:pPr>
        <w:pStyle w:val="ListParagraph"/>
        <w:numPr>
          <w:ilvl w:val="0"/>
          <w:numId w:val="38"/>
        </w:numPr>
        <w:spacing w:line="240" w:lineRule="auto"/>
        <w:rPr>
          <w:rFonts w:eastAsia="Times New Roman" w:cs="Arial"/>
          <w:i/>
          <w:iCs/>
          <w:color w:val="000000"/>
          <w:szCs w:val="20"/>
          <w:lang w:eastAsia="bg-BG"/>
        </w:rPr>
      </w:pPr>
      <w:r w:rsidRPr="00D00256">
        <w:rPr>
          <w:rFonts w:eastAsia="Times New Roman" w:cs="Arial"/>
          <w:i/>
          <w:iCs/>
          <w:color w:val="000000"/>
          <w:szCs w:val="20"/>
          <w:lang w:eastAsia="bg-BG"/>
        </w:rPr>
        <w:t>Хиперхолестеролемия</w:t>
      </w:r>
    </w:p>
    <w:p w14:paraId="07070F8A"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Лечение на първична хиперхолестеролемия или смесена дислипидемия като допълнение към диетичния режим в случаите, когато диетата и друго нелекарствено лечение (напр. физически упражнения, намаляване на теглото) не дават очакваните резултати.</w:t>
      </w:r>
    </w:p>
    <w:p w14:paraId="34EBC673"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Лечение на хомозиготна фамилна хиперхолестеролемия (ХоФХ) като допълнение към диетичния режим и друго лечение, понижаващо липидемията (напр. </w:t>
      </w:r>
      <w:r w:rsidRPr="00D00256">
        <w:rPr>
          <w:rFonts w:eastAsia="Times New Roman" w:cs="Arial"/>
          <w:color w:val="000000"/>
          <w:szCs w:val="20"/>
          <w:lang w:val="en-US"/>
        </w:rPr>
        <w:t>LDL</w:t>
      </w:r>
      <w:r w:rsidRPr="00D00256">
        <w:rPr>
          <w:rFonts w:eastAsia="Times New Roman" w:cs="Arial"/>
          <w:color w:val="000000"/>
          <w:szCs w:val="20"/>
          <w:lang w:eastAsia="bg-BG"/>
        </w:rPr>
        <w:t>-афереза), както и в случаите, когато такова лечение не е подходящо.</w:t>
      </w:r>
    </w:p>
    <w:p w14:paraId="3A1F0C53" w14:textId="77777777" w:rsidR="00D00256" w:rsidRPr="00D00256" w:rsidRDefault="00D00256" w:rsidP="00D00256">
      <w:pPr>
        <w:spacing w:line="240" w:lineRule="auto"/>
        <w:rPr>
          <w:rFonts w:eastAsia="Times New Roman" w:cs="Arial"/>
          <w:i/>
          <w:iCs/>
          <w:color w:val="000000"/>
          <w:szCs w:val="20"/>
          <w:lang w:eastAsia="bg-BG"/>
        </w:rPr>
      </w:pPr>
    </w:p>
    <w:p w14:paraId="5428EEC9" w14:textId="0AF08C56" w:rsidR="00D00256" w:rsidRPr="00D00256" w:rsidRDefault="00D00256" w:rsidP="00D00256">
      <w:pPr>
        <w:pStyle w:val="ListParagraph"/>
        <w:numPr>
          <w:ilvl w:val="0"/>
          <w:numId w:val="37"/>
        </w:numPr>
        <w:spacing w:line="240" w:lineRule="auto"/>
        <w:rPr>
          <w:rFonts w:eastAsia="Times New Roman" w:cs="Arial"/>
          <w:i/>
          <w:iCs/>
          <w:color w:val="000000"/>
          <w:szCs w:val="20"/>
          <w:lang w:eastAsia="bg-BG"/>
        </w:rPr>
      </w:pPr>
      <w:r w:rsidRPr="00D00256">
        <w:rPr>
          <w:rFonts w:eastAsia="Times New Roman" w:cs="Arial"/>
          <w:i/>
          <w:iCs/>
          <w:color w:val="000000"/>
          <w:szCs w:val="20"/>
          <w:lang w:eastAsia="bg-BG"/>
        </w:rPr>
        <w:t>Превенция на сърдечно-съдови усложнения</w:t>
      </w:r>
    </w:p>
    <w:p w14:paraId="128AC170" w14:textId="702B9231" w:rsidR="00D00256" w:rsidRPr="00D00256" w:rsidRDefault="00D00256" w:rsidP="00D00256">
      <w:pPr>
        <w:spacing w:line="240" w:lineRule="auto"/>
        <w:rPr>
          <w:rFonts w:ascii="Times New Roman" w:eastAsia="Times New Roman" w:hAnsi="Times New Roman" w:cs="Times New Roman"/>
          <w:sz w:val="24"/>
          <w:szCs w:val="24"/>
        </w:rPr>
      </w:pPr>
      <w:r w:rsidRPr="00D00256">
        <w:rPr>
          <w:rFonts w:eastAsia="Times New Roman" w:cs="Arial"/>
          <w:color w:val="000000"/>
          <w:szCs w:val="20"/>
          <w:lang w:eastAsia="bg-BG"/>
        </w:rPr>
        <w:lastRenderedPageBreak/>
        <w:t>За понижаване на заболеваемостта и смъртността от сърдечно-съдови усложнения при пациенти с манифестна атеросклеротична сърдечно-съдова болест или захарен диабет с нормални, както и с повишени нива на холестерол като допълнение към другата кардиопротективна терапия и към начините за намаляване на рисковите фактори (вижте точка 5.1).</w:t>
      </w:r>
    </w:p>
    <w:p w14:paraId="41BAB99E" w14:textId="52945DF5" w:rsidR="00D00256" w:rsidRPr="00D00256" w:rsidRDefault="00D00256" w:rsidP="00D00256"/>
    <w:p w14:paraId="53F5B866" w14:textId="67702680" w:rsidR="007122AD" w:rsidRDefault="002C50EE" w:rsidP="00936AD0">
      <w:pPr>
        <w:pStyle w:val="Heading2"/>
      </w:pPr>
      <w:r>
        <w:t>4.2. Дозировка и начин на приложение</w:t>
      </w:r>
    </w:p>
    <w:p w14:paraId="5481E4A6" w14:textId="162DA094" w:rsidR="00D00256" w:rsidRDefault="00D00256" w:rsidP="00D00256"/>
    <w:p w14:paraId="5A87838F" w14:textId="77777777" w:rsidR="00D00256" w:rsidRPr="00D00256" w:rsidRDefault="00D00256" w:rsidP="00D00256">
      <w:pPr>
        <w:pStyle w:val="Heading3"/>
        <w:rPr>
          <w:rFonts w:eastAsia="Times New Roman"/>
          <w:sz w:val="28"/>
          <w:u w:val="single"/>
        </w:rPr>
      </w:pPr>
      <w:r w:rsidRPr="00D00256">
        <w:rPr>
          <w:rFonts w:eastAsia="Times New Roman"/>
          <w:u w:val="single"/>
          <w:lang w:eastAsia="bg-BG"/>
        </w:rPr>
        <w:t>Дозировка</w:t>
      </w:r>
    </w:p>
    <w:p w14:paraId="1BCEF199"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Дозата може да варира от 5 до 80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симвастатин дневно, като еднократен перорален прием вечер. Коригирането на дозата, ако е необходимо, трябва да се осъществява през интервали, не по-къси от 4 седмици, до достигане на максимална доза от 80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приети като еднократна доза вечер. Доза от 80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се препоръчва само при пациенти с тежка хиперхолестеролемия и висок риск от сърдечно-съдови усложнения, при които не е постигнат успех от лечението с по-ниски дози и когато очакваната полза превишава потенциалния риск (вижте точки 4.4 и 5.1).</w:t>
      </w:r>
    </w:p>
    <w:p w14:paraId="6AC69A11" w14:textId="77777777" w:rsidR="00D00256" w:rsidRPr="00D00256" w:rsidRDefault="00D00256" w:rsidP="00D00256">
      <w:pPr>
        <w:spacing w:line="240" w:lineRule="auto"/>
        <w:rPr>
          <w:rFonts w:eastAsia="Times New Roman" w:cs="Arial"/>
          <w:i/>
          <w:iCs/>
          <w:color w:val="000000"/>
          <w:szCs w:val="20"/>
          <w:lang w:eastAsia="bg-BG"/>
        </w:rPr>
      </w:pPr>
    </w:p>
    <w:p w14:paraId="6D173C97" w14:textId="576C24A4"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Хиперхолестеролемия</w:t>
      </w:r>
    </w:p>
    <w:p w14:paraId="2F7C6E08"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Пациентите трябва да спазват стандартен, понижаващ холестерола диетичен режим и да продължават да се придържат към него по време на лечението с Холеста. Обичайната стартова доза е 10-20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дневно, приети вечер като единична доза. Пациенти, които се нуждаят от значително редуциране на </w:t>
      </w:r>
      <w:r w:rsidRPr="00D00256">
        <w:rPr>
          <w:rFonts w:eastAsia="Times New Roman" w:cs="Arial"/>
          <w:color w:val="000000"/>
          <w:szCs w:val="20"/>
          <w:lang w:val="en-US"/>
        </w:rPr>
        <w:t>LDL</w:t>
      </w:r>
      <w:r w:rsidRPr="00D00256">
        <w:rPr>
          <w:rFonts w:eastAsia="Times New Roman" w:cs="Arial"/>
          <w:color w:val="000000"/>
          <w:szCs w:val="20"/>
          <w:lang w:eastAsia="bg-BG"/>
        </w:rPr>
        <w:t xml:space="preserve">-холестерола (повече от 45%) могат да започнат е 20-40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приети еднократно вечер. Корекциите на дозата трябва да се правят по начина, описан по-горе.</w:t>
      </w:r>
    </w:p>
    <w:p w14:paraId="178F3EFE" w14:textId="77777777" w:rsidR="00D00256" w:rsidRPr="00D00256" w:rsidRDefault="00D00256" w:rsidP="00D00256">
      <w:pPr>
        <w:spacing w:line="240" w:lineRule="auto"/>
        <w:rPr>
          <w:rFonts w:eastAsia="Times New Roman" w:cs="Arial"/>
          <w:i/>
          <w:iCs/>
          <w:color w:val="000000"/>
          <w:szCs w:val="20"/>
          <w:lang w:eastAsia="bg-BG"/>
        </w:rPr>
      </w:pPr>
    </w:p>
    <w:p w14:paraId="53960870" w14:textId="60116CFE"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Хомозиготна фамилна хиперхолестеролемия</w:t>
      </w:r>
    </w:p>
    <w:p w14:paraId="3DCEA13B"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Съгласно резултатите от контролирани клинични изпитания препоръчителната начална доза Холеста е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дневно вечер. При такива пациенти Холеста трябва да се прилага като допълнение към друга липидопонижаваща терапия (напр. </w:t>
      </w:r>
      <w:r w:rsidRPr="00D00256">
        <w:rPr>
          <w:rFonts w:eastAsia="Times New Roman" w:cs="Arial"/>
          <w:color w:val="000000"/>
          <w:szCs w:val="20"/>
          <w:lang w:val="en-US"/>
        </w:rPr>
        <w:t>LDL</w:t>
      </w:r>
      <w:r w:rsidRPr="00D00256">
        <w:rPr>
          <w:rFonts w:eastAsia="Times New Roman" w:cs="Arial"/>
          <w:color w:val="000000"/>
          <w:szCs w:val="20"/>
          <w:lang w:eastAsia="bg-BG"/>
        </w:rPr>
        <w:t>-афереза) или в случаите, когато такива процедури липсват.</w:t>
      </w:r>
    </w:p>
    <w:p w14:paraId="3B0C2788"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При пациенти, приемащи ломитапид едновременно с Холеста, дозата на Холеста не трябва да превишава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(вижте точки 4.3, 4.4 и 4.5).</w:t>
      </w:r>
    </w:p>
    <w:p w14:paraId="08513659" w14:textId="77777777" w:rsidR="00D00256" w:rsidRPr="00D00256" w:rsidRDefault="00D00256" w:rsidP="00D00256">
      <w:pPr>
        <w:spacing w:line="240" w:lineRule="auto"/>
        <w:rPr>
          <w:rFonts w:eastAsia="Times New Roman" w:cs="Arial"/>
          <w:i/>
          <w:iCs/>
          <w:color w:val="000000"/>
          <w:szCs w:val="20"/>
          <w:lang w:eastAsia="bg-BG"/>
        </w:rPr>
      </w:pPr>
    </w:p>
    <w:p w14:paraId="5C5550BD" w14:textId="6D704D45"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Профилактика на сърдечно-съдови усложнения</w:t>
      </w:r>
    </w:p>
    <w:p w14:paraId="500755AD"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При пациенти с висок риск на коронарна сърдечна болест (КСБ, със или без хиперлипидемия) обичайната доза Холеста е 20 до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веднъж дневно вечер. Лекарствената терапия може да започне едновременно с подходящ диетчен режим и съответни физически упражнения. При необходимост дозата трябва да се коригира.</w:t>
      </w:r>
    </w:p>
    <w:p w14:paraId="174245C1" w14:textId="77777777" w:rsidR="00D00256" w:rsidRPr="00D00256" w:rsidRDefault="00D00256" w:rsidP="00D00256">
      <w:pPr>
        <w:spacing w:line="240" w:lineRule="auto"/>
        <w:rPr>
          <w:rFonts w:eastAsia="Times New Roman" w:cs="Arial"/>
          <w:i/>
          <w:iCs/>
          <w:color w:val="000000"/>
          <w:szCs w:val="20"/>
          <w:lang w:eastAsia="bg-BG"/>
        </w:rPr>
      </w:pPr>
    </w:p>
    <w:p w14:paraId="446EA0B8" w14:textId="2E9EA590"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Съпътстваща терапия</w:t>
      </w:r>
    </w:p>
    <w:p w14:paraId="631888A3"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Холеста е ефективен самостоятелно или в комбинация със секвестранти на жлъчните киселини. Приемът на Холеста трябва да става &gt;2 часа преди или &gt;4 часа след прием на секвестранта.</w:t>
      </w:r>
    </w:p>
    <w:p w14:paraId="530BD48F" w14:textId="77777777" w:rsidR="00D00256" w:rsidRPr="00D00256" w:rsidRDefault="00D00256" w:rsidP="00D00256">
      <w:pPr>
        <w:spacing w:line="240" w:lineRule="auto"/>
        <w:rPr>
          <w:rFonts w:eastAsia="Times New Roman" w:cs="Arial"/>
          <w:color w:val="000000"/>
          <w:szCs w:val="20"/>
          <w:lang w:eastAsia="bg-BG"/>
        </w:rPr>
      </w:pPr>
    </w:p>
    <w:p w14:paraId="3F3EAE3B" w14:textId="647AB8AE"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При пациенти, приемащи Холеста едновременно с фибрати, други освен гемфиброзил (вижте точка 4.3) или, фенофибрат, дозата на Холеста не бива да превишава 10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w:t>
      </w:r>
    </w:p>
    <w:p w14:paraId="2B2F7C73" w14:textId="77777777" w:rsidR="00D00256" w:rsidRPr="00D00256" w:rsidRDefault="00D00256" w:rsidP="00D00256">
      <w:pPr>
        <w:spacing w:line="240" w:lineRule="auto"/>
        <w:rPr>
          <w:rFonts w:eastAsia="Times New Roman" w:cs="Arial"/>
          <w:color w:val="000000"/>
          <w:szCs w:val="20"/>
          <w:lang w:eastAsia="bg-BG"/>
        </w:rPr>
      </w:pPr>
    </w:p>
    <w:p w14:paraId="62AEDF2E" w14:textId="07E65AA1"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lastRenderedPageBreak/>
        <w:t xml:space="preserve">При пациенти, приемащи амиодарон, амлодипин, верапамил, дилтиазем или продукти, съдържащи елбасвир или гразопревир, едновременно с Холеста, дозата на Холеста не бива да превишава 20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(вижте точки 4.4 и 4.5).</w:t>
      </w:r>
    </w:p>
    <w:p w14:paraId="65668EB1" w14:textId="77777777" w:rsidR="00D00256" w:rsidRPr="00D00256" w:rsidRDefault="00D00256" w:rsidP="00D00256">
      <w:pPr>
        <w:spacing w:line="240" w:lineRule="auto"/>
        <w:rPr>
          <w:rFonts w:eastAsia="Times New Roman" w:cs="Arial"/>
          <w:i/>
          <w:iCs/>
          <w:color w:val="000000"/>
          <w:szCs w:val="20"/>
          <w:lang w:eastAsia="bg-BG"/>
        </w:rPr>
      </w:pPr>
    </w:p>
    <w:p w14:paraId="69B4C811" w14:textId="57C616D3"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Дозиране при пациенти с бъбречна недостатъчност</w:t>
      </w:r>
    </w:p>
    <w:p w14:paraId="4171369F"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Не са необходими корекции на дозата при пациенти с лека до умерена бъбречна недостатъчност. При пациенти с тежка бъбречна недостатъчност (креатининов клирънс &lt;30 </w:t>
      </w:r>
      <w:r w:rsidRPr="00D00256">
        <w:rPr>
          <w:rFonts w:eastAsia="Times New Roman" w:cs="Arial"/>
          <w:color w:val="000000"/>
          <w:szCs w:val="20"/>
          <w:lang w:val="en-US"/>
        </w:rPr>
        <w:t>ml</w:t>
      </w:r>
      <w:r w:rsidRPr="00D00256">
        <w:rPr>
          <w:rFonts w:eastAsia="Times New Roman" w:cs="Arial"/>
          <w:color w:val="000000"/>
          <w:szCs w:val="20"/>
          <w:lang w:val="ru-RU"/>
        </w:rPr>
        <w:t>/</w:t>
      </w:r>
      <w:r w:rsidRPr="00D00256">
        <w:rPr>
          <w:rFonts w:eastAsia="Times New Roman" w:cs="Arial"/>
          <w:color w:val="000000"/>
          <w:szCs w:val="20"/>
          <w:lang w:val="en-US"/>
        </w:rPr>
        <w:t>min</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дози, превишаващи 10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трябва внимателно да се преценяват и ако се счете, че е нужно, да се прилагат с внимание.</w:t>
      </w:r>
    </w:p>
    <w:p w14:paraId="22A6898C" w14:textId="77777777" w:rsidR="00D00256" w:rsidRPr="00D00256" w:rsidRDefault="00D00256" w:rsidP="00D00256">
      <w:pPr>
        <w:spacing w:line="240" w:lineRule="auto"/>
        <w:rPr>
          <w:rFonts w:eastAsia="Times New Roman" w:cs="Arial"/>
          <w:i/>
          <w:iCs/>
          <w:color w:val="000000"/>
          <w:szCs w:val="20"/>
          <w:lang w:eastAsia="bg-BG"/>
        </w:rPr>
      </w:pPr>
    </w:p>
    <w:p w14:paraId="2F495438" w14:textId="63327B06"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Приложение при пациенти в старческа възраст</w:t>
      </w:r>
    </w:p>
    <w:p w14:paraId="2B30B5BF"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Не е необходима корекция на дозата.</w:t>
      </w:r>
    </w:p>
    <w:p w14:paraId="5591D618" w14:textId="77777777" w:rsidR="00D00256" w:rsidRPr="00D00256" w:rsidRDefault="00D00256" w:rsidP="00D00256">
      <w:pPr>
        <w:spacing w:line="240" w:lineRule="auto"/>
        <w:rPr>
          <w:rFonts w:eastAsia="Times New Roman" w:cs="Arial"/>
          <w:i/>
          <w:iCs/>
          <w:color w:val="000000"/>
          <w:szCs w:val="20"/>
          <w:lang w:eastAsia="bg-BG"/>
        </w:rPr>
      </w:pPr>
    </w:p>
    <w:p w14:paraId="06B92C38" w14:textId="69F776B4"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Педиатрична популация</w:t>
      </w:r>
    </w:p>
    <w:p w14:paraId="08E20CEE" w14:textId="77777777"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Приложение при деца и юноши (10-17 годишна възраст)</w:t>
      </w:r>
    </w:p>
    <w:p w14:paraId="6316BCDB"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При деца и юноши (момчета във фаза </w:t>
      </w:r>
      <w:r w:rsidRPr="00D00256">
        <w:rPr>
          <w:rFonts w:eastAsia="Times New Roman" w:cs="Arial"/>
          <w:color w:val="000000"/>
          <w:szCs w:val="20"/>
          <w:lang w:val="en-US"/>
        </w:rPr>
        <w:t>II</w:t>
      </w:r>
      <w:r w:rsidRPr="00D00256">
        <w:rPr>
          <w:rFonts w:eastAsia="Times New Roman" w:cs="Arial"/>
          <w:color w:val="000000"/>
          <w:szCs w:val="20"/>
          <w:lang w:eastAsia="bg-BG"/>
        </w:rPr>
        <w:t xml:space="preserve"> или по-висока по скалата на </w:t>
      </w:r>
      <w:r w:rsidRPr="00D00256">
        <w:rPr>
          <w:rFonts w:eastAsia="Times New Roman" w:cs="Arial"/>
          <w:color w:val="000000"/>
          <w:szCs w:val="20"/>
          <w:lang w:val="en-US"/>
        </w:rPr>
        <w:t>Tanner</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и момичета поне една година след установяване на менархе на възраст 10-17 години) с хетерозиготна фамилна хиперхолестеролемия обичайната препоръчителна начална доза е 10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веднъж дневно вечер. Децата и юношите трябва да спазват стандартен понижаващ холестерола хранителен режим преди започване на лечението със симвастатин; придържането към диетата трябва да продължи и след започване на лечение със симвастатин. Препоръчителната доза варира от 10 до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дневно; максималната препоръчителна доза е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Дозата трябва да е индивидуализирана съобразно целта на терапията и препоръките за педиатричната популация (вижте точки 4.4 и 5.1). Промяната в дозата трябва да става след интервал от 4 седмици или по-дълъг.</w:t>
      </w:r>
    </w:p>
    <w:p w14:paraId="6669C567" w14:textId="77777777" w:rsidR="00D00256" w:rsidRPr="00D00256" w:rsidRDefault="00D00256" w:rsidP="00D00256">
      <w:pPr>
        <w:spacing w:line="240" w:lineRule="auto"/>
        <w:rPr>
          <w:rFonts w:eastAsia="Times New Roman" w:cs="Arial"/>
          <w:color w:val="000000"/>
          <w:szCs w:val="20"/>
          <w:lang w:eastAsia="bg-BG"/>
        </w:rPr>
      </w:pPr>
    </w:p>
    <w:p w14:paraId="7A5818D0" w14:textId="56CF367A"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Безопасността и ефикасността на Холеста при деца преди пубертетна възраст все още не са установени.</w:t>
      </w:r>
    </w:p>
    <w:p w14:paraId="2492A66A" w14:textId="77777777" w:rsidR="00D00256" w:rsidRPr="00D00256" w:rsidRDefault="00D00256" w:rsidP="00D00256">
      <w:pPr>
        <w:spacing w:line="240" w:lineRule="auto"/>
        <w:rPr>
          <w:rFonts w:eastAsia="Times New Roman" w:cs="Arial"/>
          <w:color w:val="000000"/>
          <w:szCs w:val="20"/>
          <w:u w:val="single"/>
          <w:lang w:eastAsia="bg-BG"/>
        </w:rPr>
      </w:pPr>
    </w:p>
    <w:p w14:paraId="20BCDC0D" w14:textId="02C6ED85" w:rsidR="00D00256" w:rsidRPr="00D00256" w:rsidRDefault="00D00256" w:rsidP="00D00256">
      <w:pPr>
        <w:pStyle w:val="Heading3"/>
        <w:rPr>
          <w:rFonts w:eastAsia="Times New Roman"/>
          <w:sz w:val="28"/>
          <w:u w:val="single"/>
        </w:rPr>
      </w:pPr>
      <w:r w:rsidRPr="00D00256">
        <w:rPr>
          <w:rFonts w:eastAsia="Times New Roman"/>
          <w:u w:val="single"/>
          <w:lang w:eastAsia="bg-BG"/>
        </w:rPr>
        <w:t>Начин на приложение</w:t>
      </w:r>
    </w:p>
    <w:p w14:paraId="08529533"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Перорално. Холеста може да бъде прилаган като еднократна доза вечер.</w:t>
      </w:r>
    </w:p>
    <w:p w14:paraId="6F76134C" w14:textId="77777777" w:rsidR="00D00256" w:rsidRPr="00D00256" w:rsidRDefault="00D00256" w:rsidP="00D00256"/>
    <w:p w14:paraId="0F253247" w14:textId="2AA7BAB6" w:rsidR="007122AD" w:rsidRDefault="002C50EE" w:rsidP="00936AD0">
      <w:pPr>
        <w:pStyle w:val="Heading2"/>
      </w:pPr>
      <w:r>
        <w:t>4.3. Противопоказания</w:t>
      </w:r>
    </w:p>
    <w:p w14:paraId="7FB2A37E" w14:textId="03370EA4" w:rsidR="00D00256" w:rsidRDefault="00D00256" w:rsidP="00D00256"/>
    <w:p w14:paraId="2FABFEC5" w14:textId="77777777"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797B7218" w14:textId="77777777"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Активни чернодробни заболявания или неясни състояния с персистентно повишени нива на серумните трансаминази;</w:t>
      </w:r>
    </w:p>
    <w:p w14:paraId="091B4FF7" w14:textId="77777777"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Бременност и кърмене (вижте точка 4.6);</w:t>
      </w:r>
    </w:p>
    <w:p w14:paraId="019726A0" w14:textId="77777777"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 xml:space="preserve">Едновременен прием на мощни инхибитори на </w:t>
      </w:r>
      <w:r w:rsidRPr="00D00256">
        <w:rPr>
          <w:rFonts w:eastAsia="Times New Roman" w:cs="Arial"/>
          <w:color w:val="000000"/>
          <w:szCs w:val="20"/>
          <w:lang w:val="en-US"/>
        </w:rPr>
        <w:t>CYP</w:t>
      </w:r>
      <w:r w:rsidRPr="00D00256">
        <w:rPr>
          <w:rFonts w:eastAsia="Times New Roman" w:cs="Arial"/>
          <w:color w:val="000000"/>
          <w:szCs w:val="20"/>
          <w:lang w:val="ru-RU"/>
        </w:rPr>
        <w:t>3</w:t>
      </w:r>
      <w:r w:rsidRPr="00D00256">
        <w:rPr>
          <w:rFonts w:eastAsia="Times New Roman" w:cs="Arial"/>
          <w:color w:val="000000"/>
          <w:szCs w:val="20"/>
          <w:lang w:val="en-US"/>
        </w:rPr>
        <w:t>A</w:t>
      </w:r>
      <w:r w:rsidRPr="00D00256">
        <w:rPr>
          <w:rFonts w:eastAsia="Times New Roman" w:cs="Arial"/>
          <w:color w:val="000000"/>
          <w:szCs w:val="20"/>
          <w:lang w:val="ru-RU"/>
        </w:rPr>
        <w:t xml:space="preserve">4 </w:t>
      </w:r>
      <w:r w:rsidRPr="00D00256">
        <w:rPr>
          <w:rFonts w:eastAsia="Times New Roman" w:cs="Arial"/>
          <w:color w:val="000000"/>
          <w:szCs w:val="20"/>
          <w:lang w:eastAsia="bg-BG"/>
        </w:rPr>
        <w:t xml:space="preserve">(средства, които повишават </w:t>
      </w:r>
      <w:r w:rsidRPr="00D00256">
        <w:rPr>
          <w:rFonts w:eastAsia="Times New Roman" w:cs="Arial"/>
          <w:color w:val="000000"/>
          <w:szCs w:val="20"/>
          <w:lang w:val="en-US"/>
        </w:rPr>
        <w:t>AUC</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приблизително 5 пъти или повече) (напр. итраконазол, кетоконазол, позаконазол, вориконазол, </w:t>
      </w:r>
      <w:r w:rsidRPr="00D00256">
        <w:rPr>
          <w:rFonts w:eastAsia="Times New Roman" w:cs="Arial"/>
          <w:color w:val="000000"/>
          <w:szCs w:val="20"/>
          <w:lang w:val="en-US"/>
        </w:rPr>
        <w:t>HIV</w:t>
      </w:r>
      <w:r w:rsidRPr="00D00256">
        <w:rPr>
          <w:rFonts w:eastAsia="Times New Roman" w:cs="Arial"/>
          <w:color w:val="000000"/>
          <w:szCs w:val="20"/>
          <w:lang w:val="ru-RU"/>
        </w:rPr>
        <w:t xml:space="preserve"> </w:t>
      </w:r>
      <w:r w:rsidRPr="00D00256">
        <w:rPr>
          <w:rFonts w:eastAsia="Times New Roman" w:cs="Arial"/>
          <w:color w:val="000000"/>
          <w:szCs w:val="20"/>
          <w:lang w:eastAsia="bg-BG"/>
        </w:rPr>
        <w:t>протеазни инхибитори като нелфинавир, боцепревир, телапревир, еритромицин, кларитромицин, телитромицин и нефазодон и лекарствени продукти съдържащи кобицистат) (вижте точки 4.4 и 4.5).</w:t>
      </w:r>
    </w:p>
    <w:p w14:paraId="311566CD" w14:textId="77777777"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Едновременно приложение на гемфиброзил, циклоспорин или даназол (вижте точки 4.4 и 4.5).</w:t>
      </w:r>
    </w:p>
    <w:p w14:paraId="60AE776F" w14:textId="19ECEB8E"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 xml:space="preserve">Едновременно приложение на ломитапид с Холеста в дози &gt;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при пациенти с ХоФХ (вижте точки 4.2, 4.4 и 4.5)</w:t>
      </w:r>
    </w:p>
    <w:p w14:paraId="72395269" w14:textId="77777777" w:rsidR="00D00256" w:rsidRPr="00D00256" w:rsidRDefault="00D00256" w:rsidP="00D00256"/>
    <w:p w14:paraId="0E0BDCC7" w14:textId="25D1C063" w:rsidR="007122AD" w:rsidRDefault="002C50EE" w:rsidP="00936AD0">
      <w:pPr>
        <w:pStyle w:val="Heading2"/>
      </w:pPr>
      <w:r>
        <w:t>4.4. Специални предупреждения и предпазни мерки при употреба</w:t>
      </w:r>
    </w:p>
    <w:p w14:paraId="7ACE4A7C" w14:textId="570C83E9" w:rsidR="00D00256" w:rsidRDefault="00D00256" w:rsidP="00D00256"/>
    <w:p w14:paraId="1753FCD2" w14:textId="77777777"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Миопат ия/рабдомиолиза</w:t>
      </w:r>
    </w:p>
    <w:p w14:paraId="2379A615" w14:textId="77777777" w:rsidR="00D00256" w:rsidRPr="00D00256" w:rsidRDefault="00D00256" w:rsidP="00D00256">
      <w:pPr>
        <w:rPr>
          <w:rFonts w:eastAsia="Times New Roman" w:cs="Arial"/>
        </w:rPr>
      </w:pPr>
      <w:r w:rsidRPr="00D00256">
        <w:rPr>
          <w:rFonts w:eastAsia="Times New Roman" w:cs="Arial"/>
          <w:color w:val="000000"/>
          <w:lang w:eastAsia="bg-BG"/>
        </w:rPr>
        <w:t xml:space="preserve">Симвастатин, подобно на други инхибитори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(З-хидрокси-3-метилглутарил-коензим А) редуктазата, понякога предизвиква миопатия, която се изразява с мускулни болки, болезненост или слабост като нивото на креагинин киназата може да достигне десеткратно повишение над горната граница на нормата. Миопатията понякога може да приеме формата на рабдомиолиза с или без остра бъбречна недостатъчност в резултат на миоглобинурия и много рядко може да се стигне до фатален изход. Високи стойности на инхибиция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редуктазата в плазмата увеличават риска от миопатия (например: повишени плазмени нива на симвастатин и симвастатинова киселина), което може да се дължи, частично, на взаимодействащи лекарства, които се намесват в метаболизма на симвастатин и/или транспортните пътища (вж. точка 4.5). Както при другите инхибитори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редуктазата рискът от миопатия/рабдомиолиза е дозозависим. В базата данни на клинично изпитание обхванало 41 413 пациента, приемащи симвастатин, 24 747 от които (приблизително 60%) са лекувани и проследени средно най-малко 4 години, случаите на миопатия са приблизително 0,03%, 0,08% и 0,61% при дози съответно 20, 40 и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В хода на тези изпитания пациентите са наблюдавани внимателно и някои взаимодействащи лекарства са били изключени.</w:t>
      </w:r>
    </w:p>
    <w:p w14:paraId="5DDB7D52" w14:textId="77777777" w:rsidR="00D00256" w:rsidRPr="00D00256" w:rsidRDefault="00D00256" w:rsidP="00D00256">
      <w:pPr>
        <w:spacing w:line="240" w:lineRule="auto"/>
        <w:rPr>
          <w:rFonts w:eastAsia="Times New Roman" w:cs="Arial"/>
          <w:color w:val="000000"/>
          <w:lang w:eastAsia="bg-BG"/>
        </w:rPr>
      </w:pPr>
    </w:p>
    <w:p w14:paraId="0CE52935" w14:textId="6E0556B0"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В клинични изпитания, при които пациенти с анамнеза за инфакт на миокарда са третирани с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симвастатин дневно (проследяване средно 6,7 години), случаите на миопатия са приблизително 1,0% в сравнение с 0,02% при пациентите, получавали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Приблизително половината от случаите на миопатия са възникнали през първата година на лечението. Случаите на миопатия през всяка последваща година на лечението са приблизително 0,1% (вижте точки 4.8 и 5.1).</w:t>
      </w:r>
    </w:p>
    <w:p w14:paraId="4E6A84DC"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При пациенти на лечение със симвастатин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рискът от миопатия е по-висок, отколкото при пациенти на лечение с други статини със сходна ефикасност по отношение на понижаването на </w:t>
      </w:r>
      <w:r w:rsidRPr="00D00256">
        <w:rPr>
          <w:rFonts w:eastAsia="Times New Roman" w:cs="Arial"/>
          <w:color w:val="000000"/>
          <w:lang w:val="en-US"/>
        </w:rPr>
        <w:t>LDL</w:t>
      </w:r>
      <w:r w:rsidRPr="00D00256">
        <w:rPr>
          <w:rFonts w:eastAsia="Times New Roman" w:cs="Arial"/>
          <w:color w:val="000000"/>
          <w:lang w:val="ru-RU"/>
        </w:rPr>
        <w:t>-</w:t>
      </w:r>
      <w:r w:rsidRPr="00D00256">
        <w:rPr>
          <w:rFonts w:eastAsia="Times New Roman" w:cs="Arial"/>
          <w:color w:val="000000"/>
          <w:lang w:val="en-US"/>
        </w:rPr>
        <w:t>C</w:t>
      </w:r>
      <w:r w:rsidRPr="00D00256">
        <w:rPr>
          <w:rFonts w:eastAsia="Times New Roman" w:cs="Arial"/>
          <w:color w:val="000000"/>
          <w:lang w:val="ru-RU"/>
        </w:rPr>
        <w:t xml:space="preserve">. </w:t>
      </w:r>
      <w:r w:rsidRPr="00D00256">
        <w:rPr>
          <w:rFonts w:eastAsia="Times New Roman" w:cs="Arial"/>
          <w:color w:val="000000"/>
          <w:lang w:eastAsia="bg-BG"/>
        </w:rPr>
        <w:t xml:space="preserve">Следователно дозата Холеста от </w:t>
      </w:r>
      <w:r w:rsidRPr="00D00256">
        <w:rPr>
          <w:rFonts w:eastAsia="Times New Roman" w:cs="Arial"/>
          <w:color w:val="000000"/>
          <w:lang w:val="ru-RU"/>
        </w:rPr>
        <w:t>80-</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трябва да се използва само при пациенти с тежка хиперхолестеролемия и с висок риск от сърдечно- съдови усложнения, при които с по-ниски дози не са постигнати терапевтичните цели и в случай, че очакваната полза надвишава потенциалните рискове. При пациенти, приемащи симвастатин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при които се налага прием на лекарствен продукт, участващ в лекарствени взаимодействия, трябва да се използва по-ниска доза на симвастатин или алтернативно лечение с друг статии, който е с по-нисък потенциал за лекарствени взаимодействия (вижте по-долу </w:t>
      </w:r>
      <w:r w:rsidRPr="00D00256">
        <w:rPr>
          <w:rFonts w:eastAsia="Times New Roman" w:cs="Arial"/>
          <w:i/>
          <w:iCs/>
          <w:color w:val="000000"/>
          <w:lang w:eastAsia="bg-BG"/>
        </w:rPr>
        <w:t>Мерки за намаляване на риска от миопатия, причинена от лекарствени взаимодействия на продукта</w:t>
      </w:r>
      <w:r w:rsidRPr="00D00256">
        <w:rPr>
          <w:rFonts w:eastAsia="Times New Roman" w:cs="Arial"/>
          <w:color w:val="000000"/>
          <w:lang w:eastAsia="bg-BG"/>
        </w:rPr>
        <w:t xml:space="preserve"> и точки 4.2,</w:t>
      </w:r>
      <w:r w:rsidRPr="00D00256">
        <w:rPr>
          <w:rFonts w:eastAsia="Times New Roman" w:cs="Arial"/>
          <w:color w:val="000000"/>
          <w:lang w:val="ru-RU"/>
        </w:rPr>
        <w:t xml:space="preserve"> </w:t>
      </w:r>
      <w:r w:rsidRPr="00D00256">
        <w:rPr>
          <w:rFonts w:eastAsia="Times New Roman" w:cs="Arial"/>
          <w:color w:val="000000"/>
          <w:lang w:eastAsia="bg-BG"/>
        </w:rPr>
        <w:t>4.3 и 4.5).</w:t>
      </w:r>
    </w:p>
    <w:p w14:paraId="6777C502"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В клинично изпитване, при което пациенти с висок риск от сърдечно-съдово заболяване са лекувани със симвастатин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(медиана на проследяването 3,9 години), честотата на миопатия е приблизително 0.05% при не- китайци (</w:t>
      </w:r>
      <w:r w:rsidRPr="00D00256">
        <w:rPr>
          <w:rFonts w:eastAsia="Times New Roman" w:cs="Arial"/>
          <w:color w:val="000000"/>
          <w:lang w:val="en-US"/>
        </w:rPr>
        <w:t>n</w:t>
      </w:r>
      <w:r w:rsidRPr="00D00256">
        <w:rPr>
          <w:rFonts w:eastAsia="Times New Roman" w:cs="Arial"/>
          <w:color w:val="000000"/>
          <w:lang w:eastAsia="bg-BG"/>
        </w:rPr>
        <w:t>=7367), сравнено с 0.24% при китайци (</w:t>
      </w:r>
      <w:r w:rsidRPr="00D00256">
        <w:rPr>
          <w:rFonts w:eastAsia="Times New Roman" w:cs="Arial"/>
          <w:color w:val="000000"/>
          <w:lang w:val="en-US"/>
        </w:rPr>
        <w:t>n</w:t>
      </w:r>
      <w:r w:rsidRPr="00D00256">
        <w:rPr>
          <w:rFonts w:eastAsia="Times New Roman" w:cs="Arial"/>
          <w:color w:val="000000"/>
          <w:lang w:eastAsia="bg-BG"/>
        </w:rPr>
        <w:t>=5468).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доза, ако е необходимо.</w:t>
      </w:r>
    </w:p>
    <w:p w14:paraId="2F69FEE7" w14:textId="77777777" w:rsidR="00D00256" w:rsidRPr="00D00256" w:rsidRDefault="00D00256" w:rsidP="00D00256">
      <w:pPr>
        <w:spacing w:line="240" w:lineRule="auto"/>
        <w:rPr>
          <w:rFonts w:eastAsia="Times New Roman" w:cs="Arial"/>
          <w:i/>
          <w:iCs/>
          <w:color w:val="000000"/>
          <w:lang w:eastAsia="bg-BG"/>
        </w:rPr>
      </w:pPr>
    </w:p>
    <w:p w14:paraId="78CDDCCD" w14:textId="48639578"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Намалена функция на транспортните протеини</w:t>
      </w:r>
    </w:p>
    <w:p w14:paraId="0C9CA713"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lastRenderedPageBreak/>
        <w:t xml:space="preserve">Намалената функция на чернодробните ОАТР транспортни протеини може да повиши системната експозиция на симвастатин и да увеличи риска от миопатия и рабдомиолиза. Намалената функция може да възникне в резултат на инхибиция от взаимодействащо лекарство (напр. циклоспорин) или при пациент с </w:t>
      </w:r>
      <w:r w:rsidRPr="00D00256">
        <w:rPr>
          <w:rFonts w:eastAsia="Times New Roman" w:cs="Arial"/>
          <w:color w:val="000000"/>
          <w:lang w:val="en-US"/>
        </w:rPr>
        <w:t>SLCO</w:t>
      </w:r>
      <w:r w:rsidRPr="00D00256">
        <w:rPr>
          <w:rFonts w:eastAsia="Times New Roman" w:cs="Arial"/>
          <w:color w:val="000000"/>
          <w:lang w:val="ru-RU"/>
        </w:rPr>
        <w:t>1</w:t>
      </w:r>
      <w:r w:rsidRPr="00D00256">
        <w:rPr>
          <w:rFonts w:eastAsia="Times New Roman" w:cs="Arial"/>
          <w:color w:val="000000"/>
          <w:lang w:val="en-US"/>
        </w:rPr>
        <w:t>B</w:t>
      </w:r>
      <w:r w:rsidRPr="00D00256">
        <w:rPr>
          <w:rFonts w:eastAsia="Times New Roman" w:cs="Arial"/>
          <w:color w:val="000000"/>
          <w:lang w:val="ru-RU"/>
        </w:rPr>
        <w:t xml:space="preserve">1 </w:t>
      </w:r>
      <w:r w:rsidRPr="00D00256">
        <w:rPr>
          <w:rFonts w:eastAsia="Times New Roman" w:cs="Arial"/>
          <w:color w:val="000000"/>
          <w:lang w:eastAsia="bg-BG"/>
        </w:rPr>
        <w:t xml:space="preserve">с.521Т&gt;С </w:t>
      </w:r>
      <w:r w:rsidRPr="00D00256">
        <w:rPr>
          <w:rFonts w:eastAsia="Times New Roman" w:cs="Arial"/>
          <w:color w:val="000000"/>
          <w:lang w:val="en-US"/>
        </w:rPr>
        <w:t>genotype</w:t>
      </w:r>
      <w:r w:rsidRPr="00D00256">
        <w:rPr>
          <w:rFonts w:eastAsia="Times New Roman" w:cs="Arial"/>
          <w:color w:val="000000"/>
          <w:lang w:val="ru-RU"/>
        </w:rPr>
        <w:t>.</w:t>
      </w:r>
    </w:p>
    <w:p w14:paraId="70C24E74"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Пациент с </w:t>
      </w:r>
      <w:r w:rsidRPr="00D00256">
        <w:rPr>
          <w:rFonts w:eastAsia="Times New Roman" w:cs="Arial"/>
          <w:color w:val="000000"/>
          <w:lang w:val="en-US"/>
        </w:rPr>
        <w:t>SLCO</w:t>
      </w:r>
      <w:r w:rsidRPr="00D00256">
        <w:rPr>
          <w:rFonts w:eastAsia="Times New Roman" w:cs="Arial"/>
          <w:color w:val="000000"/>
          <w:lang w:val="ru-RU"/>
        </w:rPr>
        <w:t>1</w:t>
      </w:r>
      <w:r w:rsidRPr="00D00256">
        <w:rPr>
          <w:rFonts w:eastAsia="Times New Roman" w:cs="Arial"/>
          <w:color w:val="000000"/>
          <w:lang w:val="en-US"/>
        </w:rPr>
        <w:t>B</w:t>
      </w:r>
      <w:r w:rsidRPr="00D00256">
        <w:rPr>
          <w:rFonts w:eastAsia="Times New Roman" w:cs="Arial"/>
          <w:color w:val="000000"/>
          <w:lang w:val="ru-RU"/>
        </w:rPr>
        <w:t xml:space="preserve">1 </w:t>
      </w:r>
      <w:r w:rsidRPr="00D00256">
        <w:rPr>
          <w:rFonts w:eastAsia="Times New Roman" w:cs="Arial"/>
          <w:color w:val="000000"/>
          <w:lang w:eastAsia="bg-BG"/>
        </w:rPr>
        <w:t xml:space="preserve">алел (с.521Т&gt;С), кодиращ по-слабо активния ОАТР1В1 белтък е с повишена системна експозиция на симвастатин и с повишен риск от миопатия. Рискът от симвастатин асоциирана миопатия при високи дози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като цяло е около 1% без провеждане на генетичното изследване. Въз основа на резултатите от пручването </w:t>
      </w:r>
      <w:r w:rsidRPr="00D00256">
        <w:rPr>
          <w:rFonts w:eastAsia="Times New Roman" w:cs="Arial"/>
          <w:color w:val="000000"/>
          <w:lang w:val="en-US"/>
        </w:rPr>
        <w:t>SEARCH</w:t>
      </w:r>
      <w:r w:rsidRPr="00D00256">
        <w:rPr>
          <w:rFonts w:eastAsia="Times New Roman" w:cs="Arial"/>
          <w:color w:val="000000"/>
          <w:lang w:val="ru-RU"/>
        </w:rPr>
        <w:t xml:space="preserve"> </w:t>
      </w:r>
      <w:r w:rsidRPr="00D00256">
        <w:rPr>
          <w:rFonts w:eastAsia="Times New Roman" w:cs="Arial"/>
          <w:color w:val="000000"/>
          <w:lang w:eastAsia="bg-BG"/>
        </w:rPr>
        <w:t xml:space="preserve">хомозиготните носители на С алела (обозначавани също СС), лекувани с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са с 15% риск от миопатия в рамките на една година, докато рискът при хетерозиготни носители на този алел (обозначавани СТ) е 1,5%. Съответният риск при пациентите с най-често срещания генотип (ТТ) е 0,3% (вижте точка 5.2).</w:t>
      </w:r>
    </w:p>
    <w:p w14:paraId="6948AE13"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Където е възможно, трябва да се има предвид генотипиране за наличие на С алел преди назначение на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симвастатин като част от преценката на съотношението полза/риск за отделния пациент и високите дози да се избягват при пациенти, оказали сс с СС</w:t>
      </w:r>
      <w:r w:rsidRPr="00D00256">
        <w:rPr>
          <w:rFonts w:eastAsia="Times New Roman" w:cs="Arial"/>
          <w:color w:val="000000"/>
          <w:lang w:val="ru-RU"/>
        </w:rPr>
        <w:t xml:space="preserve"> </w:t>
      </w:r>
      <w:r w:rsidRPr="00D00256">
        <w:rPr>
          <w:rFonts w:eastAsia="Times New Roman" w:cs="Arial"/>
          <w:color w:val="000000"/>
          <w:lang w:eastAsia="bg-BG"/>
        </w:rPr>
        <w:t>генотип. Въпреки</w:t>
      </w:r>
    </w:p>
    <w:p w14:paraId="244B0B83" w14:textId="1064A363" w:rsidR="00D00256" w:rsidRPr="00D00256" w:rsidRDefault="00D00256" w:rsidP="00D00256">
      <w:pPr>
        <w:spacing w:line="240" w:lineRule="auto"/>
        <w:rPr>
          <w:rFonts w:eastAsia="Times New Roman" w:cs="Arial"/>
          <w:color w:val="000000"/>
          <w:lang w:eastAsia="bg-BG"/>
        </w:rPr>
      </w:pPr>
      <w:r w:rsidRPr="00D00256">
        <w:rPr>
          <w:rFonts w:eastAsia="Times New Roman" w:cs="Arial"/>
          <w:color w:val="000000"/>
          <w:lang w:eastAsia="bg-BG"/>
        </w:rPr>
        <w:t>това отсъствието на този ген не изключва появата на миопатия.</w:t>
      </w:r>
    </w:p>
    <w:p w14:paraId="7FDCBAAB" w14:textId="51F22AAE" w:rsidR="00D00256" w:rsidRPr="00D00256" w:rsidRDefault="00D00256" w:rsidP="00D00256">
      <w:pPr>
        <w:spacing w:line="240" w:lineRule="auto"/>
        <w:rPr>
          <w:rFonts w:eastAsia="Times New Roman" w:cs="Arial"/>
          <w:color w:val="000000"/>
          <w:lang w:eastAsia="bg-BG"/>
        </w:rPr>
      </w:pPr>
    </w:p>
    <w:p w14:paraId="0D0F9D76" w14:textId="77777777"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Определяне на креатин киназа</w:t>
      </w:r>
    </w:p>
    <w:p w14:paraId="2B186606"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Креатин киназата </w:t>
      </w:r>
      <w:r w:rsidRPr="00D00256">
        <w:rPr>
          <w:rFonts w:eastAsia="Times New Roman" w:cs="Arial"/>
          <w:i/>
          <w:iCs/>
          <w:color w:val="000000"/>
          <w:lang w:eastAsia="bg-BG"/>
        </w:rPr>
        <w:t>(СК)</w:t>
      </w:r>
      <w:r w:rsidRPr="00D00256">
        <w:rPr>
          <w:rFonts w:eastAsia="Times New Roman" w:cs="Arial"/>
          <w:color w:val="000000"/>
          <w:lang w:eastAsia="bg-BG"/>
        </w:rPr>
        <w:t xml:space="preserve"> не бива да се определя след тежки физически натоварвания или при наличие на други възможни причини за нейното повишение, тъй като това би затруднило интерпретирането на резултата. Ако базовите стойности на </w:t>
      </w:r>
      <w:r w:rsidRPr="00D00256">
        <w:rPr>
          <w:rFonts w:eastAsia="Times New Roman" w:cs="Arial"/>
          <w:i/>
          <w:iCs/>
          <w:color w:val="000000"/>
          <w:lang w:eastAsia="bg-BG"/>
        </w:rPr>
        <w:t>СК</w:t>
      </w:r>
      <w:r w:rsidRPr="00D00256">
        <w:rPr>
          <w:rFonts w:eastAsia="Times New Roman" w:cs="Arial"/>
          <w:color w:val="000000"/>
          <w:lang w:eastAsia="bg-BG"/>
        </w:rPr>
        <w:t xml:space="preserve"> са значително повишени (&gt;5 пъти над горната допустима граница), се налага повторно определяне в рамките на 5 до 7 дни за потвърждение на резултата.</w:t>
      </w:r>
    </w:p>
    <w:p w14:paraId="5F2B2756" w14:textId="77777777" w:rsidR="00D00256" w:rsidRPr="00D00256" w:rsidRDefault="00D00256" w:rsidP="00D00256">
      <w:pPr>
        <w:spacing w:line="240" w:lineRule="auto"/>
        <w:rPr>
          <w:rFonts w:eastAsia="Times New Roman" w:cs="Arial"/>
          <w:i/>
          <w:iCs/>
          <w:color w:val="000000"/>
          <w:lang w:eastAsia="bg-BG"/>
        </w:rPr>
      </w:pPr>
    </w:p>
    <w:p w14:paraId="620EC9D2" w14:textId="491FAC8B"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Преди започване на лечение</w:t>
      </w:r>
    </w:p>
    <w:p w14:paraId="6C616EBA"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Всички пациенти, започващи лечение със симвастатин, включително и тези, на които се увеличава дозата симвастатин, трябва да бъдат предупреждавани за риска от миопатия и да се инструктират да съобщават навреме за всякакви неочаквани болки, чувствителност или слабост на мускулите.</w:t>
      </w:r>
    </w:p>
    <w:p w14:paraId="70E1D5EB"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Пациентите с предиспозиращи фактори за рабдомиолиза трябва да се наблюдават внимателно. С цел да се определи референтното базово ниво преди да се започне лечение трябва да се определят стойностите на </w:t>
      </w:r>
      <w:r w:rsidRPr="00D00256">
        <w:rPr>
          <w:rFonts w:eastAsia="Times New Roman" w:cs="Arial"/>
          <w:i/>
          <w:iCs/>
          <w:color w:val="000000"/>
          <w:lang w:eastAsia="bg-BG"/>
        </w:rPr>
        <w:t>СК</w:t>
      </w:r>
      <w:r w:rsidRPr="00D00256">
        <w:rPr>
          <w:rFonts w:eastAsia="Times New Roman" w:cs="Arial"/>
          <w:color w:val="000000"/>
          <w:lang w:eastAsia="bg-BG"/>
        </w:rPr>
        <w:t xml:space="preserve"> в следните случаи:</w:t>
      </w:r>
    </w:p>
    <w:p w14:paraId="6AEE39B3"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напреднала възраст (≥65 години);</w:t>
      </w:r>
    </w:p>
    <w:p w14:paraId="3CAA144F"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женски пол;</w:t>
      </w:r>
    </w:p>
    <w:p w14:paraId="5F5AF068"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бъбречна недостатъчност;</w:t>
      </w:r>
    </w:p>
    <w:p w14:paraId="3D02D5CC"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неконтролиран хипотиреоидизъм;</w:t>
      </w:r>
    </w:p>
    <w:p w14:paraId="2613B3AF"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лична или фамилна анамнеза за наследствени мускулни нарушения;</w:t>
      </w:r>
    </w:p>
    <w:p w14:paraId="3F218FD3"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 xml:space="preserve">съобщение за мускулна токсичност в миналото, предизвикана от статини или фибрати; </w:t>
      </w:r>
    </w:p>
    <w:p w14:paraId="4CA0632A" w14:textId="5CE10249"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алкохолна зависимост.</w:t>
      </w:r>
    </w:p>
    <w:p w14:paraId="40092D8E"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В такива случаи рискът от лечението трябва да се прецени по отношение на очакваната полза като се препоръчва клинично наблюдение. Ако пациентът съобщава за предхождащо мускулно разстройство при прием на статини или фибрати, лечението с друг представител на тази група лекарства трябва да се започва при изключително внимание. Ако базовите нива на креатин киназата са значително повишени (&gt;5 пъти над горната допустима граница), не бива да се започва лечение.</w:t>
      </w:r>
    </w:p>
    <w:p w14:paraId="1A96AE62" w14:textId="77777777" w:rsidR="00D00256" w:rsidRPr="00D00256" w:rsidRDefault="00D00256" w:rsidP="00D00256">
      <w:pPr>
        <w:spacing w:line="240" w:lineRule="auto"/>
        <w:rPr>
          <w:rFonts w:eastAsia="Times New Roman" w:cs="Arial"/>
          <w:i/>
          <w:iCs/>
          <w:color w:val="000000"/>
          <w:lang w:eastAsia="bg-BG"/>
        </w:rPr>
      </w:pPr>
    </w:p>
    <w:p w14:paraId="3B257E9F" w14:textId="05975B50"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По време на лечение</w:t>
      </w:r>
    </w:p>
    <w:p w14:paraId="28777207"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Ако в хода на лечение със статии се появят мускулни болки, слабост или крампи, необходимо е да се провери нивото на креатин киназа. Ако при липса на тежки физически </w:t>
      </w:r>
      <w:r w:rsidRPr="00D00256">
        <w:rPr>
          <w:rFonts w:eastAsia="Times New Roman" w:cs="Arial"/>
          <w:color w:val="000000"/>
          <w:lang w:eastAsia="bg-BG"/>
        </w:rPr>
        <w:lastRenderedPageBreak/>
        <w:t>усилия стойностите са значително повишени (5-кратно превишаващи горната граница на нормата), лечението трябва да се преустанови. Ако по други причини се предполага развитие на миопатия, лечението също трябва да се преустанови.</w:t>
      </w:r>
    </w:p>
    <w:p w14:paraId="095E4F56"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Ако симптомите отзвучат и стойностите на </w:t>
      </w:r>
      <w:r w:rsidRPr="00D00256">
        <w:rPr>
          <w:rFonts w:eastAsia="Times New Roman" w:cs="Arial"/>
          <w:i/>
          <w:iCs/>
          <w:color w:val="000000"/>
          <w:lang w:eastAsia="bg-BG"/>
        </w:rPr>
        <w:t>СК се</w:t>
      </w:r>
      <w:r w:rsidRPr="00D00256">
        <w:rPr>
          <w:rFonts w:eastAsia="Times New Roman" w:cs="Arial"/>
          <w:color w:val="000000"/>
          <w:lang w:eastAsia="bg-BG"/>
        </w:rPr>
        <w:t xml:space="preserve"> нормализират, подновяването на лечението със същия или с алтернативен статии може да се обмисли, но под внимателно наблюдение и с най- ниската доза.</w:t>
      </w:r>
    </w:p>
    <w:p w14:paraId="02165317"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По-висока честота на миопатия е наблюдавана при пациенти, достигнали дози от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(вижте точка 5.1). Препоръчва се периодично измерване на </w:t>
      </w:r>
      <w:r w:rsidRPr="00D00256">
        <w:rPr>
          <w:rFonts w:eastAsia="Times New Roman" w:cs="Arial"/>
          <w:i/>
          <w:iCs/>
          <w:color w:val="000000"/>
          <w:lang w:eastAsia="bg-BG"/>
        </w:rPr>
        <w:t>СК,</w:t>
      </w:r>
      <w:r w:rsidRPr="00D00256">
        <w:rPr>
          <w:rFonts w:eastAsia="Times New Roman" w:cs="Arial"/>
          <w:color w:val="000000"/>
          <w:lang w:eastAsia="bg-BG"/>
        </w:rPr>
        <w:t xml:space="preserve"> тъй като това може да се окаже полезно за откриване на субклинични случаи на миопатия. Независимо от това няма сигурност, че такова мониториране ще предотврати миопатия.</w:t>
      </w:r>
    </w:p>
    <w:p w14:paraId="2D7E395A"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76931943" w14:textId="77777777" w:rsidR="00D00256" w:rsidRPr="00D00256" w:rsidRDefault="00D00256" w:rsidP="00D00256">
      <w:pPr>
        <w:spacing w:line="240" w:lineRule="auto"/>
        <w:rPr>
          <w:rFonts w:eastAsia="Times New Roman" w:cs="Arial"/>
          <w:color w:val="000000"/>
          <w:lang w:eastAsia="bg-BG"/>
        </w:rPr>
      </w:pPr>
    </w:p>
    <w:p w14:paraId="525C3917" w14:textId="21ACA06C" w:rsidR="00D00256" w:rsidRPr="00D00256" w:rsidRDefault="00D00256" w:rsidP="00D00256">
      <w:pPr>
        <w:spacing w:line="240" w:lineRule="auto"/>
        <w:rPr>
          <w:rFonts w:eastAsia="Times New Roman" w:cs="Arial"/>
        </w:rPr>
      </w:pPr>
      <w:r w:rsidRPr="00D00256">
        <w:rPr>
          <w:rFonts w:eastAsia="Times New Roman" w:cs="Arial"/>
          <w:color w:val="000000"/>
          <w:lang w:eastAsia="bg-BG"/>
        </w:rPr>
        <w:t>Лечението със симвастатин трябва временно да се прекъсне няколко дни преди планови хирургични интервенции, както и в останалите случаи, когато се налагат хирургични интер</w:t>
      </w:r>
      <w:r w:rsidRPr="00D00256">
        <w:rPr>
          <w:rFonts w:eastAsia="Times New Roman" w:cs="Arial"/>
          <w:color w:val="000000"/>
          <w:u w:val="single"/>
          <w:lang w:eastAsia="bg-BG"/>
        </w:rPr>
        <w:t>венции</w:t>
      </w:r>
      <w:r w:rsidRPr="00D00256">
        <w:rPr>
          <w:rFonts w:eastAsia="Times New Roman" w:cs="Arial"/>
          <w:color w:val="000000"/>
          <w:lang w:eastAsia="bg-BG"/>
        </w:rPr>
        <w:t>.</w:t>
      </w:r>
    </w:p>
    <w:p w14:paraId="162D6E12" w14:textId="043D0ADE" w:rsidR="00D00256" w:rsidRPr="00D00256" w:rsidRDefault="00D00256" w:rsidP="00D00256">
      <w:pPr>
        <w:rPr>
          <w:rFonts w:cs="Arial"/>
        </w:rPr>
      </w:pPr>
    </w:p>
    <w:p w14:paraId="33181F9E" w14:textId="77777777"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Мерки за редуциране на риска от миопатия, предизвикан от лекарствени взаимодействия (вижте също точка 4.5)</w:t>
      </w:r>
    </w:p>
    <w:p w14:paraId="3F81C092"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Рискът от миопатия и рабдомиолиза е значително повишен при едновременната употреба на симвастатин с мощни инхибитори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(като итраконазол, кетоконазол, позаконазол, вориконазол, еритромицин, кларитромицин, телитромицин, </w:t>
      </w:r>
      <w:r w:rsidRPr="00D00256">
        <w:rPr>
          <w:rFonts w:eastAsia="Times New Roman" w:cs="Arial"/>
          <w:color w:val="000000"/>
          <w:lang w:val="en-US"/>
        </w:rPr>
        <w:t>HIV</w:t>
      </w:r>
      <w:r w:rsidRPr="00D00256">
        <w:rPr>
          <w:rFonts w:eastAsia="Times New Roman" w:cs="Arial"/>
          <w:color w:val="000000"/>
          <w:lang w:val="ru-RU"/>
        </w:rPr>
        <w:t xml:space="preserve"> </w:t>
      </w:r>
      <w:r w:rsidRPr="00D00256">
        <w:rPr>
          <w:rFonts w:eastAsia="Times New Roman" w:cs="Arial"/>
          <w:color w:val="000000"/>
          <w:lang w:eastAsia="bg-BG"/>
        </w:rPr>
        <w:t>протеазни инхибитори като нелфинавир, боципревир, телапрвир, нефазодон, лекарствени продукти съдържащи кобицистат), както и с гемфиброзил, циклоспорин и даназол. Употребата на тези лекарствени продукти е противопоказана (вижте точка 4.3).</w:t>
      </w:r>
    </w:p>
    <w:p w14:paraId="13C4DD1A" w14:textId="77777777" w:rsidR="00D00256" w:rsidRPr="00D00256" w:rsidRDefault="00D00256" w:rsidP="00D00256">
      <w:pPr>
        <w:spacing w:line="240" w:lineRule="auto"/>
        <w:rPr>
          <w:rFonts w:eastAsia="Times New Roman" w:cs="Arial"/>
          <w:color w:val="000000"/>
          <w:lang w:eastAsia="bg-BG"/>
        </w:rPr>
      </w:pPr>
    </w:p>
    <w:p w14:paraId="6FC58883" w14:textId="3AFCEAB4" w:rsidR="00D00256" w:rsidRPr="00D00256" w:rsidRDefault="00D00256" w:rsidP="00D00256">
      <w:pPr>
        <w:spacing w:line="240" w:lineRule="auto"/>
        <w:rPr>
          <w:rFonts w:eastAsia="Times New Roman" w:cs="Arial"/>
        </w:rPr>
      </w:pPr>
      <w:r w:rsidRPr="00D00256">
        <w:rPr>
          <w:rFonts w:eastAsia="Times New Roman" w:cs="Arial"/>
          <w:color w:val="000000"/>
          <w:lang w:eastAsia="bg-BG"/>
        </w:rPr>
        <w:t>Рискът от миопатия и рабдомиолиза е повишен също и при едновременна употреба с амиодарон, амлодипин, верапамил или дилтиазем с високи дози симвастатин (вижте точка 4.2 и 4.5). Рискът от миопатия, включително рабдомиолиза, може да бъде повишен при едновременния прием на фузидова киселина със статини (вижте точка 4.5). При пациенти с ХоФХ, рисът може да се повиши при едновременната употреба на ломитапид със симвастатин.</w:t>
      </w:r>
    </w:p>
    <w:p w14:paraId="081303E0"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Следователно, що се отнася до инхибиторите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едновременната употреба на симвастатин с итраконазол, кетоконазол, позаконазол, вориконазол, </w:t>
      </w:r>
      <w:r w:rsidRPr="00D00256">
        <w:rPr>
          <w:rFonts w:eastAsia="Times New Roman" w:cs="Arial"/>
          <w:color w:val="000000"/>
          <w:lang w:val="en-US"/>
        </w:rPr>
        <w:t>HIV</w:t>
      </w:r>
      <w:r w:rsidRPr="00D00256">
        <w:rPr>
          <w:rFonts w:eastAsia="Times New Roman" w:cs="Arial"/>
          <w:color w:val="000000"/>
          <w:lang w:val="ru-RU"/>
        </w:rPr>
        <w:t xml:space="preserve"> </w:t>
      </w:r>
      <w:r w:rsidRPr="00D00256">
        <w:rPr>
          <w:rFonts w:eastAsia="Times New Roman" w:cs="Arial"/>
          <w:color w:val="000000"/>
          <w:lang w:eastAsia="bg-BG"/>
        </w:rPr>
        <w:t xml:space="preserve">протеазни инхибитори (нелфинавир), боцепревир, телапревир, еритромицин, кларитромицин, телитромицин и нефазодон лекарствени продукти съдържащи кобицистат е пртивопоказана (вижте точки 4.3 и 4.5). Ако лечението с мощни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инхибитори (средства, които повишават площа под кривата </w:t>
      </w:r>
      <w:r w:rsidRPr="00D00256">
        <w:rPr>
          <w:rFonts w:eastAsia="Times New Roman" w:cs="Arial"/>
          <w:color w:val="000000"/>
          <w:lang w:val="ru-RU"/>
        </w:rPr>
        <w:t>(</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 xml:space="preserve">приблизително 5 пъти или повече) е наложително, тогава приемът на симвастатин трябва временно да се преустанови, докато трае приемът на другото лекарство. Нещо повече, внимание е необходимо и когато симвастатин се прилага едновременно с други, по-слаби инхибитори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флуконазол, верапамил, дилтиазем (вижте точки 4.2 и 4.5). Сокът от грейпфрут трябва да се избягва по време на лечение със симвастатин.</w:t>
      </w:r>
    </w:p>
    <w:p w14:paraId="5C886CA2"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Употребата на симвастатин с гемфиброзил е противопоказана (вижте точк 4.3). Поради повишения ридк от миопатия и рабдомиолоза, дозата на симвастатин не трябва да надвишава 10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при пациенти, приемащи симвастатин заедно с други фибрати, с изключение на фенофибрат (вижте точки 4.2 и 4.5). Предписването на симвастатин с фенофибрат трябва да се извършва с повишено внимание, тъй като всеки един от тези агенти може да причини миопатия, когато се приема самостоятелно.</w:t>
      </w:r>
    </w:p>
    <w:p w14:paraId="78BC6EE5"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lastRenderedPageBreak/>
        <w:t>Симвастатин не трябва да се приема едновременно със системно приложение на фузидова киселина или в рамките на 7 дни след преустановяване на лечението с фузидова киселина. При пациенти, при които системната употреба на фузидова киселина е считана за крайно необходима, приемът на симвастатин трябва да бъде прекратен по време на лечението с фузидова киселина. Налице са съобщения за рабдомиолиза (включително и смъртни случаи) при пациенти, приемащи тази комбинация (вижте точка 4.5). Пациентите трябва незабаво да потърсят медицинска помощ, ако почувстват някакви симптоми като мускулна слабост, болка и болезненост.</w:t>
      </w:r>
    </w:p>
    <w:p w14:paraId="6FF7448B"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Лечението със статии може да се поднови 7 дни след последната доза фузидова киселина. При изключителни обстоятелства, където се налага продължителна системна употреба на физидинова киселина, напр. при лечение на тежки инфекции, необходимостта от едновременната употреба на симвастатин и фузидова киселина трябва да бъде обмислена на индивидуална основа и само под стриктно лекарско наблюдение.</w:t>
      </w:r>
    </w:p>
    <w:p w14:paraId="25B2F5B8" w14:textId="77777777" w:rsidR="00D00256" w:rsidRPr="00D00256" w:rsidRDefault="00D00256" w:rsidP="00D00256">
      <w:pPr>
        <w:spacing w:line="240" w:lineRule="auto"/>
        <w:rPr>
          <w:rFonts w:eastAsia="Times New Roman" w:cs="Arial"/>
          <w:color w:val="000000"/>
          <w:lang w:eastAsia="bg-BG"/>
        </w:rPr>
      </w:pPr>
    </w:p>
    <w:p w14:paraId="7C0D8459" w14:textId="0262DC88"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Едновременната употреба на симвастатин в дози, по-вискои от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девно с амиодарон, амлодипин, верапамил или дилтиазем трябва да се избягва. При пациенти с ХоФХ, едновременната употреба на симвастатин в дози по-високи от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с ломитапид трябва да се избягва (вижте точки 4.2, 4.3 и 4.5).</w:t>
      </w:r>
    </w:p>
    <w:p w14:paraId="48503CC4" w14:textId="77777777" w:rsidR="00D00256" w:rsidRPr="00D00256" w:rsidRDefault="00D00256" w:rsidP="00D00256">
      <w:pPr>
        <w:rPr>
          <w:rFonts w:eastAsia="Times New Roman" w:cs="Arial"/>
        </w:rPr>
      </w:pPr>
      <w:r w:rsidRPr="00D00256">
        <w:rPr>
          <w:rFonts w:eastAsia="Times New Roman" w:cs="Arial"/>
          <w:color w:val="000000"/>
          <w:lang w:eastAsia="bg-BG"/>
        </w:rPr>
        <w:t xml:space="preserve">Пациентите, приемащи едновременно със симвастатин други лекарствени продукти, определени като умерено мощни инхибитори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особено във високи дози симвастатин, може да са с повишен риск от миопатия. Може да се наложи коригиране на дозата на симвастатин при едновременно приложение на симвастатин с умерено мощни инхибитори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4 (</w:t>
      </w:r>
      <w:r w:rsidRPr="00D00256">
        <w:rPr>
          <w:rFonts w:eastAsia="Times New Roman" w:cs="Arial"/>
          <w:color w:val="000000"/>
          <w:lang w:eastAsia="bg-BG"/>
        </w:rPr>
        <w:t xml:space="preserve">агенти увеличаващи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 xml:space="preserve">приблизително 2-5 пъти). За някои определени умерени инибитори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като дилтизем, максималната препоръчителна доза на симвастатин е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(вижте точка 4.2). Симвастатин е субстрат на ефлуксния транспортер на протеина на резистентност на рака на гърдата </w:t>
      </w:r>
      <w:r w:rsidRPr="00D00256">
        <w:rPr>
          <w:rFonts w:eastAsia="Times New Roman" w:cs="Arial"/>
          <w:color w:val="000000"/>
          <w:lang w:val="ru-RU"/>
        </w:rPr>
        <w:t>(</w:t>
      </w:r>
      <w:r w:rsidRPr="00D00256">
        <w:rPr>
          <w:rFonts w:eastAsia="Times New Roman" w:cs="Arial"/>
          <w:color w:val="000000"/>
          <w:lang w:val="en-US"/>
        </w:rPr>
        <w:t>Breast</w:t>
      </w:r>
      <w:r w:rsidRPr="00D00256">
        <w:rPr>
          <w:rFonts w:eastAsia="Times New Roman" w:cs="Arial"/>
          <w:color w:val="000000"/>
          <w:lang w:val="ru-RU"/>
        </w:rPr>
        <w:t xml:space="preserve"> </w:t>
      </w:r>
      <w:r w:rsidRPr="00D00256">
        <w:rPr>
          <w:rFonts w:eastAsia="Times New Roman" w:cs="Arial"/>
          <w:color w:val="000000"/>
          <w:lang w:val="en-US"/>
        </w:rPr>
        <w:t>Cancer</w:t>
      </w:r>
      <w:r w:rsidRPr="00D00256">
        <w:rPr>
          <w:rFonts w:eastAsia="Times New Roman" w:cs="Arial"/>
          <w:color w:val="000000"/>
          <w:lang w:val="ru-RU"/>
        </w:rPr>
        <w:t xml:space="preserve"> </w:t>
      </w:r>
      <w:r w:rsidRPr="00D00256">
        <w:rPr>
          <w:rFonts w:eastAsia="Times New Roman" w:cs="Arial"/>
          <w:color w:val="000000"/>
          <w:lang w:val="en-US"/>
        </w:rPr>
        <w:t>Resistant</w:t>
      </w:r>
      <w:r w:rsidRPr="00D00256">
        <w:rPr>
          <w:rFonts w:eastAsia="Times New Roman" w:cs="Arial"/>
          <w:color w:val="000000"/>
          <w:lang w:val="ru-RU"/>
        </w:rPr>
        <w:t xml:space="preserve"> </w:t>
      </w:r>
      <w:r w:rsidRPr="00D00256">
        <w:rPr>
          <w:rFonts w:eastAsia="Times New Roman" w:cs="Arial"/>
          <w:color w:val="000000"/>
          <w:lang w:val="en-US"/>
        </w:rPr>
        <w:t>Protein</w:t>
      </w:r>
      <w:r w:rsidRPr="00D00256">
        <w:rPr>
          <w:rFonts w:eastAsia="Times New Roman" w:cs="Arial"/>
          <w:color w:val="000000"/>
          <w:lang w:val="ru-RU"/>
        </w:rPr>
        <w:t xml:space="preserve">, </w:t>
      </w:r>
      <w:r w:rsidRPr="00D00256">
        <w:rPr>
          <w:rFonts w:eastAsia="Times New Roman" w:cs="Arial"/>
          <w:color w:val="000000"/>
          <w:lang w:val="en-US"/>
        </w:rPr>
        <w:t>BCRP</w:t>
      </w:r>
      <w:r w:rsidRPr="00D00256">
        <w:rPr>
          <w:rFonts w:eastAsia="Times New Roman" w:cs="Arial"/>
          <w:color w:val="000000"/>
          <w:lang w:val="ru-RU"/>
        </w:rPr>
        <w:t xml:space="preserve">). </w:t>
      </w:r>
      <w:r w:rsidRPr="00D00256">
        <w:rPr>
          <w:rFonts w:eastAsia="Times New Roman" w:cs="Arial"/>
          <w:color w:val="000000"/>
          <w:lang w:eastAsia="bg-BG"/>
        </w:rPr>
        <w:t xml:space="preserve">Едновремено приложение на продукти, които са инхибитори на </w:t>
      </w:r>
      <w:r w:rsidRPr="00D00256">
        <w:rPr>
          <w:rFonts w:eastAsia="Times New Roman" w:cs="Arial"/>
          <w:color w:val="000000"/>
          <w:lang w:val="en-US"/>
        </w:rPr>
        <w:t>BCRP</w:t>
      </w:r>
      <w:r w:rsidRPr="00D00256">
        <w:rPr>
          <w:rFonts w:eastAsia="Times New Roman" w:cs="Arial"/>
          <w:color w:val="000000"/>
          <w:lang w:val="ru-RU"/>
        </w:rPr>
        <w:t xml:space="preserve"> </w:t>
      </w:r>
      <w:r w:rsidRPr="00D00256">
        <w:rPr>
          <w:rFonts w:eastAsia="Times New Roman" w:cs="Arial"/>
          <w:color w:val="000000"/>
          <w:lang w:eastAsia="bg-BG"/>
        </w:rPr>
        <w:t xml:space="preserve">(напр. елбасвир и гразопревир), може да доведе до повишени плаземни концентрации на симвастатин и повишен риск от миопатия: следователно тряба да се обмисли коригиране на дозата симвастатин в зависимост от предписаната доза. Едновременното проложение на елбасвир и гразопревир със симвастатин не е проучено; все пак </w:t>
      </w:r>
      <w:r w:rsidRPr="00D00256">
        <w:rPr>
          <w:rFonts w:eastAsia="Times New Roman" w:cs="Arial"/>
          <w:b/>
          <w:bCs/>
          <w:color w:val="000000"/>
          <w:lang w:eastAsia="bg-BG"/>
        </w:rPr>
        <w:t xml:space="preserve">дозата на симвастатин не трябва да надвишава </w:t>
      </w:r>
      <w:r w:rsidRPr="00D00256">
        <w:rPr>
          <w:rFonts w:eastAsia="Times New Roman" w:cs="Arial"/>
          <w:b/>
          <w:bCs/>
          <w:color w:val="000000"/>
          <w:lang w:val="ru-RU"/>
        </w:rPr>
        <w:t>20</w:t>
      </w:r>
      <w:r w:rsidRPr="00D00256">
        <w:rPr>
          <w:rFonts w:eastAsia="Times New Roman" w:cs="Arial"/>
          <w:b/>
          <w:bCs/>
          <w:color w:val="000000"/>
          <w:lang w:val="en-US"/>
        </w:rPr>
        <w:t>mg</w:t>
      </w:r>
      <w:r w:rsidRPr="00D00256">
        <w:rPr>
          <w:rFonts w:eastAsia="Times New Roman" w:cs="Arial"/>
          <w:b/>
          <w:bCs/>
          <w:color w:val="000000"/>
          <w:lang w:val="ru-RU"/>
        </w:rPr>
        <w:t xml:space="preserve"> </w:t>
      </w:r>
      <w:r w:rsidRPr="00D00256">
        <w:rPr>
          <w:rFonts w:eastAsia="Times New Roman" w:cs="Arial"/>
          <w:b/>
          <w:bCs/>
          <w:color w:val="000000"/>
          <w:lang w:eastAsia="bg-BG"/>
        </w:rPr>
        <w:t xml:space="preserve">дневно при пациенти, получаващи съпътсващо лечение с продукти, съдържащи елбасвир или гразопревир </w:t>
      </w:r>
      <w:r w:rsidRPr="00D00256">
        <w:rPr>
          <w:rFonts w:eastAsia="Times New Roman" w:cs="Arial"/>
          <w:color w:val="000000"/>
          <w:lang w:eastAsia="bg-BG"/>
        </w:rPr>
        <w:t>(вж. точка 4.5).</w:t>
      </w:r>
    </w:p>
    <w:p w14:paraId="49381693"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Съобщавани са редки случаи на миопатия/рабдомиолиза, свързани с едновременната употреба на инхибитори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редуктазата и ниацин (никотинова киселина) в липид-модифициращи дози </w:t>
      </w:r>
      <w:r w:rsidRPr="00D00256">
        <w:rPr>
          <w:rFonts w:eastAsia="Times New Roman" w:cs="Arial"/>
          <w:color w:val="000000"/>
          <w:lang w:val="ru-RU"/>
        </w:rPr>
        <w:t>(</w:t>
      </w:r>
      <w:r w:rsidRPr="00D00256">
        <w:rPr>
          <w:rFonts w:eastAsia="Times New Roman" w:cs="Arial"/>
          <w:color w:val="000000"/>
          <w:lang w:eastAsia="bg-BG"/>
        </w:rPr>
        <w:t>≥</w:t>
      </w:r>
      <w:proofErr w:type="spellStart"/>
      <w:r w:rsidRPr="00D00256">
        <w:rPr>
          <w:rFonts w:eastAsia="Times New Roman" w:cs="Arial"/>
          <w:color w:val="000000"/>
          <w:lang w:val="en-US"/>
        </w:rPr>
        <w:t>lg</w:t>
      </w:r>
      <w:proofErr w:type="spellEnd"/>
      <w:r w:rsidRPr="00D00256">
        <w:rPr>
          <w:rFonts w:eastAsia="Times New Roman" w:cs="Arial"/>
          <w:color w:val="000000"/>
          <w:lang w:val="ru-RU"/>
        </w:rPr>
        <w:t xml:space="preserve"> </w:t>
      </w:r>
      <w:r w:rsidRPr="00D00256">
        <w:rPr>
          <w:rFonts w:eastAsia="Times New Roman" w:cs="Arial"/>
          <w:color w:val="000000"/>
          <w:lang w:eastAsia="bg-BG"/>
        </w:rPr>
        <w:t>дневно), всеки от които по отделно може да предизвика миопатия, прилаган самостоятелно.</w:t>
      </w:r>
    </w:p>
    <w:p w14:paraId="07C6EA69"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В клинично изпитване (медиана на проследяването 3,9 години), включващо пациенти с висок риск за сърдечно- съдово заболяване и с добре контролирани нива на </w:t>
      </w:r>
      <w:r w:rsidRPr="00D00256">
        <w:rPr>
          <w:rFonts w:eastAsia="Times New Roman" w:cs="Arial"/>
          <w:color w:val="000000"/>
          <w:lang w:val="en-US"/>
        </w:rPr>
        <w:t>LDL</w:t>
      </w:r>
      <w:r w:rsidRPr="00D00256">
        <w:rPr>
          <w:rFonts w:eastAsia="Times New Roman" w:cs="Arial"/>
          <w:color w:val="000000"/>
          <w:lang w:val="ru-RU"/>
        </w:rPr>
        <w:t>-</w:t>
      </w:r>
      <w:r w:rsidRPr="00D00256">
        <w:rPr>
          <w:rFonts w:eastAsia="Times New Roman" w:cs="Arial"/>
          <w:color w:val="000000"/>
          <w:lang w:val="en-US"/>
        </w:rPr>
        <w:t>C</w:t>
      </w:r>
      <w:r w:rsidRPr="00D00256">
        <w:rPr>
          <w:rFonts w:eastAsia="Times New Roman" w:cs="Arial"/>
          <w:color w:val="000000"/>
          <w:lang w:val="ru-RU"/>
        </w:rPr>
        <w:t xml:space="preserve">, </w:t>
      </w:r>
      <w:r w:rsidRPr="00D00256">
        <w:rPr>
          <w:rFonts w:eastAsia="Times New Roman" w:cs="Arial"/>
          <w:color w:val="000000"/>
          <w:lang w:eastAsia="bg-BG"/>
        </w:rPr>
        <w:t xml:space="preserve">лекувани със симвастатин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дневно със или без езетимиб 10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не е имало допълнителна полза върху сърдечно</w:t>
      </w:r>
      <w:r w:rsidRPr="00D00256">
        <w:rPr>
          <w:rFonts w:eastAsia="Times New Roman" w:cs="Arial"/>
          <w:color w:val="000000"/>
          <w:lang w:eastAsia="bg-BG"/>
        </w:rPr>
        <w:softHyphen/>
        <w:t xml:space="preserve">съдовите резултати при добавянето на ниацин (никотинова киселина) в липидомодифициращи дози (≥ 1 </w:t>
      </w:r>
      <w:r w:rsidRPr="00D00256">
        <w:rPr>
          <w:rFonts w:eastAsia="Times New Roman" w:cs="Arial"/>
          <w:color w:val="000000"/>
          <w:lang w:val="en-US"/>
        </w:rPr>
        <w:t>g</w:t>
      </w:r>
      <w:r w:rsidRPr="00D00256">
        <w:rPr>
          <w:rFonts w:eastAsia="Times New Roman" w:cs="Arial"/>
          <w:color w:val="000000"/>
          <w:lang w:val="ru-RU"/>
        </w:rPr>
        <w:t xml:space="preserve"> </w:t>
      </w:r>
      <w:r w:rsidRPr="00D00256">
        <w:rPr>
          <w:rFonts w:eastAsia="Times New Roman" w:cs="Arial"/>
          <w:color w:val="000000"/>
          <w:lang w:eastAsia="bg-BG"/>
        </w:rPr>
        <w:t xml:space="preserve">дневно). Следователно, лекарите обмисящи коминирано лечение със симвастатин и ниацин (никотинова киселина) в липидомодифициращи дози (≥ 1 </w:t>
      </w:r>
      <w:r w:rsidRPr="00D00256">
        <w:rPr>
          <w:rFonts w:eastAsia="Times New Roman" w:cs="Arial"/>
          <w:color w:val="000000"/>
          <w:lang w:val="en-US"/>
        </w:rPr>
        <w:t>g</w:t>
      </w:r>
      <w:r w:rsidRPr="00D00256">
        <w:rPr>
          <w:rFonts w:eastAsia="Times New Roman" w:cs="Arial"/>
          <w:color w:val="000000"/>
          <w:lang w:val="ru-RU"/>
        </w:rPr>
        <w:t xml:space="preserve"> </w:t>
      </w:r>
      <w:r w:rsidRPr="00D00256">
        <w:rPr>
          <w:rFonts w:eastAsia="Times New Roman" w:cs="Arial"/>
          <w:color w:val="000000"/>
          <w:lang w:eastAsia="bg-BG"/>
        </w:rPr>
        <w:t>дневно), или продукти, съдържащи ниацин, трябва внимателно да оценят потенциалните ползи и рискове и трябва внимателно да проследяват пациентите за признаци и симптоми на мускулна болка, болезненост или слабост, особено по време на първите месеци от лечението и когато дозата на някои от тези продукти се увеличава.</w:t>
      </w:r>
    </w:p>
    <w:p w14:paraId="751B6BEC"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lastRenderedPageBreak/>
        <w:t xml:space="preserve">Освен това, честотата на миопатия в това изпитване е приблизително 0,24% при китайци лекувани или със симвастатин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или с езетимиб/симвастатин 10 </w:t>
      </w:r>
      <w:r w:rsidRPr="00D00256">
        <w:rPr>
          <w:rFonts w:eastAsia="Times New Roman" w:cs="Arial"/>
          <w:color w:val="000000"/>
          <w:lang w:val="en-US"/>
        </w:rPr>
        <w:t>mg</w:t>
      </w:r>
      <w:r w:rsidRPr="00D00256">
        <w:rPr>
          <w:rFonts w:eastAsia="Times New Roman" w:cs="Arial"/>
          <w:color w:val="000000"/>
          <w:lang w:val="ru-RU"/>
        </w:rPr>
        <w:t xml:space="preserve">/40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сравнено с 1,24% при китайци, лекувани със симвастатин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или с езетимиб/симвастатин 10 </w:t>
      </w:r>
      <w:r w:rsidRPr="00D00256">
        <w:rPr>
          <w:rFonts w:eastAsia="Times New Roman" w:cs="Arial"/>
          <w:color w:val="000000"/>
          <w:lang w:val="en-US"/>
        </w:rPr>
        <w:t>mg</w:t>
      </w:r>
      <w:r w:rsidRPr="00D00256">
        <w:rPr>
          <w:rFonts w:eastAsia="Times New Roman" w:cs="Arial"/>
          <w:color w:val="000000"/>
          <w:lang w:val="ru-RU"/>
        </w:rPr>
        <w:t xml:space="preserve">/40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на които е приложено едновременно никотинова кисел ина/ларопопрант 2000 </w:t>
      </w:r>
      <w:r w:rsidRPr="00D00256">
        <w:rPr>
          <w:rFonts w:eastAsia="Times New Roman" w:cs="Arial"/>
          <w:color w:val="000000"/>
          <w:lang w:val="en-US"/>
        </w:rPr>
        <w:t>mg</w:t>
      </w:r>
      <w:r w:rsidRPr="00D00256">
        <w:rPr>
          <w:rFonts w:eastAsia="Times New Roman" w:cs="Arial"/>
          <w:color w:val="000000"/>
          <w:lang w:val="ru-RU"/>
        </w:rPr>
        <w:t xml:space="preserve">/40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с удължено освобождаване. Въпреки че в това клинино изпитване са оценени само китайци от азиатското население, тъй като честотата на миопатия е по-висока при китайци, отколкото при некитайци, едновременното приложение на симвастатин с ниацин (никотинова киселина) в липидомодифициращи дози (≥1 </w:t>
      </w:r>
      <w:r w:rsidRPr="00D00256">
        <w:rPr>
          <w:rFonts w:eastAsia="Times New Roman" w:cs="Arial"/>
          <w:color w:val="000000"/>
          <w:lang w:val="en-US"/>
        </w:rPr>
        <w:t>g</w:t>
      </w:r>
      <w:r w:rsidRPr="00D00256">
        <w:rPr>
          <w:rFonts w:eastAsia="Times New Roman" w:cs="Arial"/>
          <w:color w:val="000000"/>
          <w:lang w:val="ru-RU"/>
        </w:rPr>
        <w:t xml:space="preserve"> </w:t>
      </w:r>
      <w:r w:rsidRPr="00D00256">
        <w:rPr>
          <w:rFonts w:eastAsia="Times New Roman" w:cs="Arial"/>
          <w:color w:val="000000"/>
          <w:lang w:eastAsia="bg-BG"/>
        </w:rPr>
        <w:t>дневно) не се препоръчва при азиатци.</w:t>
      </w:r>
    </w:p>
    <w:p w14:paraId="38083C43"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Аципимокс е структурно свързан с ниацин. Въпреки, че аципимокс не е проучван, рискът от мускулна токсичност може да бъде сходен с този при ниацин.</w:t>
      </w:r>
    </w:p>
    <w:p w14:paraId="7BE5C01A" w14:textId="77777777" w:rsidR="00D00256" w:rsidRPr="00D00256" w:rsidRDefault="00D00256" w:rsidP="00D00256">
      <w:pPr>
        <w:spacing w:line="240" w:lineRule="auto"/>
        <w:rPr>
          <w:rFonts w:eastAsia="Times New Roman" w:cs="Arial"/>
          <w:color w:val="000000"/>
          <w:u w:val="single"/>
          <w:lang w:eastAsia="bg-BG"/>
        </w:rPr>
      </w:pPr>
    </w:p>
    <w:p w14:paraId="2EFCB62D" w14:textId="2685F3C6" w:rsidR="00D00256" w:rsidRPr="00D00256" w:rsidRDefault="00D00256" w:rsidP="00D00256">
      <w:pPr>
        <w:spacing w:line="240" w:lineRule="auto"/>
        <w:rPr>
          <w:rFonts w:eastAsia="Times New Roman" w:cs="Arial"/>
        </w:rPr>
      </w:pPr>
      <w:r w:rsidRPr="00D00256">
        <w:rPr>
          <w:rFonts w:eastAsia="Times New Roman" w:cs="Arial"/>
          <w:color w:val="000000"/>
          <w:u w:val="single"/>
          <w:lang w:eastAsia="bg-BG"/>
        </w:rPr>
        <w:t>Даптомицин</w:t>
      </w:r>
    </w:p>
    <w:p w14:paraId="18EEDD1B" w14:textId="77777777" w:rsidR="00D00256" w:rsidRPr="00D00256" w:rsidRDefault="00D00256" w:rsidP="00D00256">
      <w:pPr>
        <w:spacing w:line="240" w:lineRule="auto"/>
        <w:rPr>
          <w:rFonts w:eastAsia="Times New Roman" w:cs="Arial"/>
          <w:color w:val="000000"/>
          <w:lang w:eastAsia="bg-BG"/>
        </w:rPr>
      </w:pPr>
      <w:r w:rsidRPr="00D00256">
        <w:rPr>
          <w:rFonts w:eastAsia="Times New Roman" w:cs="Arial"/>
          <w:color w:val="000000"/>
          <w:lang w:eastAsia="bg-BG"/>
        </w:rPr>
        <w:t xml:space="preserve">Съобщавани са случаи на миопатия и/или рабдомиолиза при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Холеста при пациенти, приемащи даптомицин, освен ако ползите от едновременното приложение не надхвърлят риска. Консултирайте се с информацията на предписване на даптомицин, за да получите допълнителна информация за това потенциално взаимодействие с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редуктазни </w:t>
      </w:r>
    </w:p>
    <w:p w14:paraId="2FE59C0A" w14:textId="3807A918" w:rsidR="00D00256" w:rsidRPr="00D00256" w:rsidRDefault="00D00256" w:rsidP="00D00256">
      <w:pPr>
        <w:spacing w:line="240" w:lineRule="auto"/>
        <w:rPr>
          <w:rFonts w:eastAsia="Times New Roman" w:cs="Arial"/>
        </w:rPr>
      </w:pPr>
      <w:r w:rsidRPr="00D00256">
        <w:rPr>
          <w:rFonts w:eastAsia="Times New Roman" w:cs="Arial"/>
          <w:color w:val="000000"/>
          <w:lang w:eastAsia="bg-BG"/>
        </w:rPr>
        <w:t>инхибитори (напр. симвастатин) и за допълнителни указания, свързани с мониторирането. (Вижте точка 4.5).</w:t>
      </w:r>
    </w:p>
    <w:p w14:paraId="3D8BFB10" w14:textId="77777777" w:rsidR="00D00256" w:rsidRPr="00D00256" w:rsidRDefault="00D00256" w:rsidP="00D00256">
      <w:pPr>
        <w:spacing w:line="240" w:lineRule="auto"/>
        <w:rPr>
          <w:rFonts w:eastAsia="Times New Roman" w:cs="Arial"/>
          <w:color w:val="000000"/>
          <w:u w:val="single"/>
          <w:lang w:eastAsia="bg-BG"/>
        </w:rPr>
      </w:pPr>
    </w:p>
    <w:p w14:paraId="169FEE3F" w14:textId="1EA5110E" w:rsidR="00D00256" w:rsidRPr="00D00256" w:rsidRDefault="00D00256" w:rsidP="00D00256">
      <w:pPr>
        <w:spacing w:line="240" w:lineRule="auto"/>
        <w:rPr>
          <w:rFonts w:eastAsia="Times New Roman" w:cs="Arial"/>
        </w:rPr>
      </w:pPr>
      <w:r w:rsidRPr="00D00256">
        <w:rPr>
          <w:rFonts w:eastAsia="Times New Roman" w:cs="Arial"/>
          <w:color w:val="000000"/>
          <w:u w:val="single"/>
          <w:lang w:eastAsia="bg-BG"/>
        </w:rPr>
        <w:t>Чернодробни ефекти</w:t>
      </w:r>
    </w:p>
    <w:p w14:paraId="75B2F063" w14:textId="77777777" w:rsidR="00D00256" w:rsidRPr="00D00256" w:rsidRDefault="00D00256" w:rsidP="00D00256">
      <w:pPr>
        <w:rPr>
          <w:rFonts w:eastAsia="Times New Roman" w:cs="Arial"/>
        </w:rPr>
      </w:pPr>
      <w:r w:rsidRPr="00D00256">
        <w:rPr>
          <w:rFonts w:eastAsia="Times New Roman" w:cs="Arial"/>
          <w:color w:val="000000"/>
          <w:lang w:eastAsia="bg-BG"/>
        </w:rPr>
        <w:t>В клинични изпитания при няколко възрастни пациента, получавали симвастатин, е на</w:t>
      </w:r>
      <w:r w:rsidRPr="00D00256">
        <w:rPr>
          <w:rFonts w:eastAsia="Times New Roman" w:cs="Arial"/>
          <w:color w:val="000000"/>
          <w:u w:val="single"/>
          <w:lang w:eastAsia="bg-BG"/>
        </w:rPr>
        <w:t>блюдава</w:t>
      </w:r>
      <w:r w:rsidRPr="00D00256">
        <w:rPr>
          <w:rFonts w:eastAsia="Times New Roman" w:cs="Arial"/>
          <w:color w:val="000000"/>
          <w:lang w:eastAsia="bg-BG"/>
        </w:rPr>
        <w:t>но персистентно повишение (до &gt;3 пъти над максималната допустима стойност) на серумните трансаминази. Когато приемът на симвастатин от тези пациенти е бил прекъснат или преустановен, нивата на трансаминазите обикновено бавно са се възстановили до изходните си нива от преди започване на лечението.</w:t>
      </w:r>
    </w:p>
    <w:p w14:paraId="6CBCEC77"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Препоръчително е проведането на функционални чернодрбни изследвания преди започване на лечението и след това, когато е клинично показано. Пациенти, при които се налага доза от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трябва допълнително да се изследват преди повишаването на дозата и 3 месеца след започване на прилагането й, както и периодично след това (напр. на всеки 6 месеца) през първата година от терапията. Необходимо е специално внимание към пациентите, при които нивата на серумните трансаминази се повишават, като при тях изследванията трябва да се повтарят точно навреме и по- често. Ако стойностите на трансаминазите показват тенденция към повишаване и особено, ако достигнат трикратно по-високи стойности от горната граница на нормата като персистират на това ниво, приемът на симвастатин трябва да се преустанови. Трябва да се има предвид, че АЛАТ може да произхожда от мускулите, ето защо повишаването на АЛАТ и СК може да означава наличие на миопатия (вижте по-горе </w:t>
      </w:r>
      <w:r w:rsidRPr="00D00256">
        <w:rPr>
          <w:rFonts w:eastAsia="Times New Roman" w:cs="Arial"/>
          <w:i/>
          <w:iCs/>
          <w:color w:val="000000"/>
          <w:lang w:eastAsia="bg-BG"/>
        </w:rPr>
        <w:t>Миопатия/Рабдомиолиза).</w:t>
      </w:r>
    </w:p>
    <w:p w14:paraId="292FB125" w14:textId="77777777" w:rsidR="00D00256" w:rsidRPr="00D00256" w:rsidRDefault="00D00256" w:rsidP="00D00256">
      <w:pPr>
        <w:spacing w:line="240" w:lineRule="auto"/>
        <w:rPr>
          <w:rFonts w:eastAsia="Times New Roman" w:cs="Arial"/>
          <w:color w:val="000000"/>
          <w:lang w:eastAsia="bg-BG"/>
        </w:rPr>
      </w:pPr>
    </w:p>
    <w:p w14:paraId="26C87DA7" w14:textId="2D83826F" w:rsidR="00D00256" w:rsidRPr="00D00256" w:rsidRDefault="00D00256" w:rsidP="00D00256">
      <w:pPr>
        <w:spacing w:line="240" w:lineRule="auto"/>
        <w:rPr>
          <w:rFonts w:eastAsia="Times New Roman" w:cs="Arial"/>
        </w:rPr>
      </w:pPr>
      <w:r w:rsidRPr="00D00256">
        <w:rPr>
          <w:rFonts w:eastAsia="Times New Roman" w:cs="Arial"/>
          <w:color w:val="000000"/>
          <w:lang w:eastAsia="bg-BG"/>
        </w:rPr>
        <w:t>По време на постмаркетинговия опит рядко са съобщавани случаи на фатална и нефатална чернодробна недостатъчност при пациенти, приемащи статини, включително симвастатин. Ако се появи тежко чернодробно увреждане с клинични симптоми и/или хипербилирубинемия или жълтеница по време на лечение с Холеста, незаавно прекратете лечението. Ако не бъде открита друга етиология, не започвайте отново лечението с Холеста.</w:t>
      </w:r>
    </w:p>
    <w:p w14:paraId="44AFDF2D" w14:textId="77777777" w:rsidR="00D00256" w:rsidRPr="00D00256" w:rsidRDefault="00D00256" w:rsidP="00D00256">
      <w:pPr>
        <w:spacing w:line="240" w:lineRule="auto"/>
        <w:rPr>
          <w:rFonts w:eastAsia="Times New Roman" w:cs="Arial"/>
          <w:color w:val="000000"/>
          <w:lang w:eastAsia="bg-BG"/>
        </w:rPr>
      </w:pPr>
    </w:p>
    <w:p w14:paraId="74894336" w14:textId="25ABA399" w:rsidR="00D00256" w:rsidRPr="00D00256" w:rsidRDefault="00D00256" w:rsidP="00D00256">
      <w:pPr>
        <w:spacing w:line="240" w:lineRule="auto"/>
        <w:rPr>
          <w:rFonts w:eastAsia="Times New Roman" w:cs="Arial"/>
        </w:rPr>
      </w:pPr>
      <w:r w:rsidRPr="00D00256">
        <w:rPr>
          <w:rFonts w:eastAsia="Times New Roman" w:cs="Arial"/>
          <w:color w:val="000000"/>
          <w:lang w:eastAsia="bg-BG"/>
        </w:rPr>
        <w:t>Този медицински продукт трябва да се предписва с внимание при пациенти, консумиращи значителни количества алкохол.</w:t>
      </w:r>
    </w:p>
    <w:p w14:paraId="00BA8F45" w14:textId="77777777" w:rsidR="00D00256" w:rsidRPr="00D00256" w:rsidRDefault="00D00256" w:rsidP="00D00256">
      <w:pPr>
        <w:spacing w:line="240" w:lineRule="auto"/>
        <w:rPr>
          <w:rFonts w:eastAsia="Times New Roman" w:cs="Arial"/>
          <w:color w:val="000000"/>
          <w:lang w:eastAsia="bg-BG"/>
        </w:rPr>
      </w:pPr>
    </w:p>
    <w:p w14:paraId="50E45CC3" w14:textId="2A119CD6" w:rsidR="00D00256" w:rsidRPr="00D00256" w:rsidRDefault="00D00256" w:rsidP="00D00256">
      <w:pPr>
        <w:spacing w:line="240" w:lineRule="auto"/>
        <w:rPr>
          <w:rFonts w:eastAsia="Times New Roman" w:cs="Arial"/>
        </w:rPr>
      </w:pPr>
      <w:r w:rsidRPr="00D00256">
        <w:rPr>
          <w:rFonts w:eastAsia="Times New Roman" w:cs="Arial"/>
          <w:color w:val="000000"/>
          <w:lang w:eastAsia="bg-BG"/>
        </w:rPr>
        <w:t>Както и при други липидопонижаващи средства се съобщава за умерено (&lt;3-кратно горната граница на нормата) повишение на серумните трансаминази при терапия със симвастатин. Тези промени се наблюдават скоро след започване на приема на симвастатин, често са транзиторни, не са придружени от някакви оплаквания и не налагат преустановяване на лечението.</w:t>
      </w:r>
    </w:p>
    <w:p w14:paraId="5AE1A800" w14:textId="77777777" w:rsidR="00D00256" w:rsidRPr="00D00256" w:rsidRDefault="00D00256" w:rsidP="00D00256">
      <w:pPr>
        <w:spacing w:line="240" w:lineRule="auto"/>
        <w:rPr>
          <w:rFonts w:eastAsia="Times New Roman" w:cs="Arial"/>
          <w:color w:val="000000"/>
          <w:u w:val="single"/>
          <w:lang w:eastAsia="bg-BG"/>
        </w:rPr>
      </w:pPr>
    </w:p>
    <w:p w14:paraId="63C77F47" w14:textId="1016EF29" w:rsidR="00D00256" w:rsidRPr="00D00256" w:rsidRDefault="00D00256" w:rsidP="00D00256">
      <w:pPr>
        <w:spacing w:line="240" w:lineRule="auto"/>
        <w:rPr>
          <w:rFonts w:eastAsia="Times New Roman" w:cs="Arial"/>
        </w:rPr>
      </w:pPr>
      <w:r w:rsidRPr="00D00256">
        <w:rPr>
          <w:rFonts w:eastAsia="Times New Roman" w:cs="Arial"/>
          <w:color w:val="000000"/>
          <w:u w:val="single"/>
          <w:lang w:eastAsia="bg-BG"/>
        </w:rPr>
        <w:t>Захарен диабет</w:t>
      </w:r>
    </w:p>
    <w:p w14:paraId="776AA9D8"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Някои данни предполагат, че статините, като клас, повишават кървната захар и при някои пациенти, с висок риск от развитие на диабет, могат да създадат ниво на хипергликемия, при което е показана стандартна грижа за диабета. Този риск обаче се компенсира чрез понижаване на съдовия риск със статини и следователно не трябва да бъде причина за преустановяване на лечението със статии. Пациентите с риск (глюкоза на гладно 5,6 до 6,9 </w:t>
      </w:r>
      <w:proofErr w:type="spellStart"/>
      <w:r w:rsidRPr="00D00256">
        <w:rPr>
          <w:rFonts w:eastAsia="Times New Roman" w:cs="Arial"/>
          <w:color w:val="000000"/>
          <w:lang w:val="en-US"/>
        </w:rPr>
        <w:t>mmol</w:t>
      </w:r>
      <w:proofErr w:type="spellEnd"/>
      <w:r w:rsidRPr="00D00256">
        <w:rPr>
          <w:rFonts w:eastAsia="Times New Roman" w:cs="Arial"/>
          <w:color w:val="000000"/>
          <w:lang w:val="ru-RU"/>
        </w:rPr>
        <w:t>/</w:t>
      </w:r>
      <w:r w:rsidRPr="00D00256">
        <w:rPr>
          <w:rFonts w:eastAsia="Times New Roman" w:cs="Arial"/>
          <w:color w:val="000000"/>
          <w:lang w:val="en-US"/>
        </w:rPr>
        <w:t>l</w:t>
      </w:r>
      <w:r w:rsidRPr="00D00256">
        <w:rPr>
          <w:rFonts w:eastAsia="Times New Roman" w:cs="Arial"/>
          <w:color w:val="000000"/>
          <w:lang w:val="ru-RU"/>
        </w:rPr>
        <w:t xml:space="preserve">, </w:t>
      </w:r>
      <w:r w:rsidRPr="00D00256">
        <w:rPr>
          <w:rFonts w:eastAsia="Times New Roman" w:cs="Arial"/>
          <w:color w:val="000000"/>
          <w:lang w:eastAsia="bg-BG"/>
        </w:rPr>
        <w:t xml:space="preserve">индекс на телесна маса </w:t>
      </w:r>
      <w:r w:rsidRPr="00D00256">
        <w:rPr>
          <w:rFonts w:eastAsia="Times New Roman" w:cs="Arial"/>
          <w:color w:val="000000"/>
          <w:lang w:val="ru-RU"/>
        </w:rPr>
        <w:t>(</w:t>
      </w:r>
      <w:r w:rsidRPr="00D00256">
        <w:rPr>
          <w:rFonts w:eastAsia="Times New Roman" w:cs="Arial"/>
          <w:color w:val="000000"/>
          <w:lang w:val="en-US"/>
        </w:rPr>
        <w:t>BMI</w:t>
      </w:r>
      <w:r w:rsidRPr="00D00256">
        <w:rPr>
          <w:rFonts w:eastAsia="Times New Roman" w:cs="Arial"/>
          <w:color w:val="000000"/>
          <w:lang w:val="ru-RU"/>
        </w:rPr>
        <w:t xml:space="preserve">) </w:t>
      </w:r>
      <w:r w:rsidRPr="00D00256">
        <w:rPr>
          <w:rFonts w:eastAsia="Times New Roman" w:cs="Arial"/>
          <w:color w:val="000000"/>
          <w:lang w:eastAsia="bg-BG"/>
        </w:rPr>
        <w:t xml:space="preserve">&gt; 30 </w:t>
      </w:r>
      <w:r w:rsidRPr="00D00256">
        <w:rPr>
          <w:rFonts w:eastAsia="Times New Roman" w:cs="Arial"/>
          <w:color w:val="000000"/>
          <w:lang w:val="en-US"/>
        </w:rPr>
        <w:t>kg</w:t>
      </w:r>
      <w:r w:rsidRPr="00D00256">
        <w:rPr>
          <w:rFonts w:eastAsia="Times New Roman" w:cs="Arial"/>
          <w:color w:val="000000"/>
          <w:lang w:val="ru-RU"/>
        </w:rPr>
        <w:t>/</w:t>
      </w:r>
      <w:r w:rsidRPr="00D00256">
        <w:rPr>
          <w:rFonts w:eastAsia="Times New Roman" w:cs="Arial"/>
          <w:color w:val="000000"/>
          <w:lang w:val="en-US"/>
        </w:rPr>
        <w:t>m</w:t>
      </w:r>
      <w:r w:rsidRPr="00D00256">
        <w:rPr>
          <w:rFonts w:eastAsia="Times New Roman" w:cs="Arial"/>
          <w:color w:val="000000"/>
          <w:vertAlign w:val="superscript"/>
          <w:lang w:val="ru-RU"/>
        </w:rPr>
        <w:t>2</w:t>
      </w:r>
      <w:r w:rsidRPr="00D00256">
        <w:rPr>
          <w:rFonts w:eastAsia="Times New Roman" w:cs="Arial"/>
          <w:color w:val="000000"/>
          <w:lang w:val="ru-RU"/>
        </w:rPr>
        <w:t xml:space="preserve">, </w:t>
      </w:r>
      <w:r w:rsidRPr="00D00256">
        <w:rPr>
          <w:rFonts w:eastAsia="Times New Roman" w:cs="Arial"/>
          <w:color w:val="000000"/>
          <w:lang w:eastAsia="bg-BG"/>
        </w:rPr>
        <w:t>повишени триглицериди, хипертония) трябва да бъдат мониторирани клинично и биохимично съгласно националните препоръки.</w:t>
      </w:r>
    </w:p>
    <w:p w14:paraId="22C2DC92" w14:textId="77777777" w:rsidR="00D00256" w:rsidRPr="00D00256" w:rsidRDefault="00D00256" w:rsidP="00D00256">
      <w:pPr>
        <w:spacing w:line="240" w:lineRule="auto"/>
        <w:rPr>
          <w:rFonts w:eastAsia="Times New Roman" w:cs="Arial"/>
          <w:color w:val="000000"/>
          <w:u w:val="single"/>
          <w:lang w:eastAsia="bg-BG"/>
        </w:rPr>
      </w:pPr>
    </w:p>
    <w:p w14:paraId="5202C89E" w14:textId="1DF6DE82" w:rsidR="00D00256" w:rsidRPr="00D00256" w:rsidRDefault="00D00256" w:rsidP="00D00256">
      <w:pPr>
        <w:spacing w:line="240" w:lineRule="auto"/>
        <w:rPr>
          <w:rFonts w:eastAsia="Times New Roman" w:cs="Arial"/>
        </w:rPr>
      </w:pPr>
      <w:r w:rsidRPr="00D00256">
        <w:rPr>
          <w:rFonts w:eastAsia="Times New Roman" w:cs="Arial"/>
          <w:color w:val="000000"/>
          <w:u w:val="single"/>
          <w:lang w:eastAsia="bg-BG"/>
        </w:rPr>
        <w:t>Интерстициално белодробно заболяване</w:t>
      </w:r>
    </w:p>
    <w:p w14:paraId="4FD726B2"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Съобщавано е за интерстициално белодробно заболяване при някои статини, включително симвастатин, особено при продължително лечение (вижте точка 4.8). Симптомите могат да включват диспнея, непродуктивна кашлица и влошаване на общото състояние (умора, загуба на тегло, треска). Ако има съмнение, че пациегът е развил интерстициално белодробно заболяване, терапията със статин трябва да се преустанови.</w:t>
      </w:r>
    </w:p>
    <w:p w14:paraId="6903E0B8" w14:textId="77777777" w:rsidR="00D00256" w:rsidRPr="00D00256" w:rsidRDefault="00D00256" w:rsidP="00D00256">
      <w:pPr>
        <w:spacing w:line="240" w:lineRule="auto"/>
        <w:rPr>
          <w:rFonts w:eastAsia="Times New Roman" w:cs="Arial"/>
          <w:color w:val="000000"/>
          <w:u w:val="single"/>
          <w:lang w:eastAsia="bg-BG"/>
        </w:rPr>
      </w:pPr>
    </w:p>
    <w:p w14:paraId="0BF45794" w14:textId="2894A17C" w:rsidR="00D00256" w:rsidRPr="00D00256" w:rsidRDefault="00D00256" w:rsidP="00D00256">
      <w:pPr>
        <w:spacing w:line="240" w:lineRule="auto"/>
        <w:rPr>
          <w:rFonts w:eastAsia="Times New Roman" w:cs="Arial"/>
        </w:rPr>
      </w:pPr>
      <w:r w:rsidRPr="00D00256">
        <w:rPr>
          <w:rFonts w:eastAsia="Times New Roman" w:cs="Arial"/>
          <w:color w:val="000000"/>
          <w:u w:val="single"/>
          <w:lang w:eastAsia="bg-BG"/>
        </w:rPr>
        <w:t>Педиатрична популация</w:t>
      </w:r>
    </w:p>
    <w:p w14:paraId="37D0853C" w14:textId="77777777"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Употреба при деца и юноши (10-1</w:t>
      </w:r>
      <w:r w:rsidRPr="00D00256">
        <w:rPr>
          <w:rFonts w:eastAsia="Times New Roman" w:cs="Arial"/>
          <w:color w:val="000000"/>
          <w:lang w:eastAsia="bg-BG"/>
        </w:rPr>
        <w:t xml:space="preserve">7 </w:t>
      </w:r>
      <w:r w:rsidRPr="00D00256">
        <w:rPr>
          <w:rFonts w:eastAsia="Times New Roman" w:cs="Arial"/>
          <w:i/>
          <w:iCs/>
          <w:color w:val="000000"/>
          <w:lang w:eastAsia="bg-BG"/>
        </w:rPr>
        <w:t>годишна възраст)</w:t>
      </w:r>
    </w:p>
    <w:p w14:paraId="118F1652" w14:textId="77777777" w:rsidR="00D00256" w:rsidRPr="00D00256" w:rsidRDefault="00D00256" w:rsidP="00D00256">
      <w:pPr>
        <w:rPr>
          <w:rFonts w:eastAsia="Times New Roman" w:cs="Arial"/>
        </w:rPr>
      </w:pPr>
      <w:r w:rsidRPr="00D00256">
        <w:rPr>
          <w:rFonts w:eastAsia="Times New Roman" w:cs="Arial"/>
          <w:color w:val="000000"/>
          <w:lang w:eastAsia="bg-BG"/>
        </w:rPr>
        <w:t>Безопасността и ефективността на симвастатин при пациенти с хетерозиготна фамилна хиперхолестеролемия на възраст 10-17 години е определена в контролирано клинично изпитване при момчета във фаза II или по-висока по Танер и при момичета, които са поне една година след менархе. Пациентите, третирани със симвастатин, са показали профил на нежеланите лекарствени</w:t>
      </w:r>
      <w:r w:rsidRPr="00D00256">
        <w:rPr>
          <w:rFonts w:eastAsia="Times New Roman" w:cs="Arial"/>
        </w:rPr>
        <w:t xml:space="preserve"> </w:t>
      </w:r>
      <w:r w:rsidRPr="00D00256">
        <w:rPr>
          <w:rFonts w:eastAsia="Times New Roman" w:cs="Arial"/>
          <w:color w:val="000000"/>
          <w:lang w:eastAsia="bg-BG"/>
        </w:rPr>
        <w:t xml:space="preserve">реакции подобен на този при пациентите, третирани с плацебо. </w:t>
      </w:r>
      <w:r w:rsidRPr="00D00256">
        <w:rPr>
          <w:rFonts w:eastAsia="Times New Roman" w:cs="Arial"/>
          <w:b/>
          <w:bCs/>
          <w:color w:val="000000"/>
          <w:lang w:eastAsia="bg-BG"/>
        </w:rPr>
        <w:t xml:space="preserve">В тази възрастова група не са изпитвани дози над 40 </w:t>
      </w:r>
      <w:r w:rsidRPr="00D00256">
        <w:rPr>
          <w:rFonts w:eastAsia="Times New Roman" w:cs="Arial"/>
          <w:b/>
          <w:bCs/>
          <w:color w:val="000000"/>
          <w:lang w:val="en-US"/>
        </w:rPr>
        <w:t>mg</w:t>
      </w:r>
      <w:r w:rsidRPr="00D00256">
        <w:rPr>
          <w:rFonts w:eastAsia="Times New Roman" w:cs="Arial"/>
          <w:b/>
          <w:bCs/>
          <w:color w:val="000000"/>
          <w:lang w:val="ru-RU"/>
        </w:rPr>
        <w:t xml:space="preserve">. </w:t>
      </w:r>
      <w:r w:rsidRPr="00D00256">
        <w:rPr>
          <w:rFonts w:eastAsia="Times New Roman" w:cs="Arial"/>
          <w:b/>
          <w:bCs/>
          <w:color w:val="000000"/>
          <w:lang w:eastAsia="bg-BG"/>
        </w:rPr>
        <w:t xml:space="preserve">В </w:t>
      </w:r>
      <w:r w:rsidRPr="00D00256">
        <w:rPr>
          <w:rFonts w:eastAsia="Times New Roman" w:cs="Arial"/>
          <w:color w:val="000000"/>
          <w:lang w:eastAsia="bg-BG"/>
        </w:rPr>
        <w:t>ограниченото контролирано изпитание не е установен забележим ефект върху развитието или половото съзряване при подрастващите момчета и момичета и никакъв ефект върху продължителността на менструалния цикъл при момичетата (вижте теочки 4.2, 4.8 и 5.1). Подрастващите момичета трябва да бъдат посъветвани за подходящи контрацептивни методи, докато се лекуват със симвастатин (вижте точка 4.3 и 4.6). При пациентите под 18-годишна възраст ефективността и безопасността не са изследвани за периоди на лечение, по-дълги от 48 седмици и дългосрочните ефекти върху физическото, интелектуалното и половото съзряване не са известни.</w:t>
      </w:r>
    </w:p>
    <w:p w14:paraId="3957FA11"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Ефектът на симвастатин не е изследван при пациенти под 10-годишна възраст, пито при деца преди пубертета и момичета преди настъпване на менструация</w:t>
      </w:r>
    </w:p>
    <w:p w14:paraId="7F213371" w14:textId="77777777" w:rsidR="00D00256" w:rsidRPr="00D00256" w:rsidRDefault="00D00256" w:rsidP="00D00256">
      <w:pPr>
        <w:spacing w:line="240" w:lineRule="auto"/>
        <w:rPr>
          <w:rFonts w:eastAsia="Times New Roman" w:cs="Arial"/>
        </w:rPr>
      </w:pPr>
      <w:r w:rsidRPr="00D00256">
        <w:rPr>
          <w:rFonts w:eastAsia="Times New Roman" w:cs="Arial"/>
          <w:b/>
          <w:bCs/>
          <w:color w:val="000000"/>
          <w:lang w:eastAsia="bg-BG"/>
        </w:rPr>
        <w:t xml:space="preserve">Холеста съдържа лактоза. </w:t>
      </w:r>
      <w:r w:rsidRPr="00D00256">
        <w:rPr>
          <w:rFonts w:eastAsia="Times New Roman" w:cs="Arial"/>
          <w:color w:val="000000"/>
          <w:lang w:eastAsia="bg-BG"/>
        </w:rPr>
        <w:t>Пациенти с редки наследствени проблеми на непоносимост към галактоза, пъленлактазен дефицит или глюкозо-галактозна малабсорбция не трябва да приемат това лекарство.</w:t>
      </w:r>
    </w:p>
    <w:p w14:paraId="2D9B5447" w14:textId="4CBA3EB0" w:rsidR="00D00256" w:rsidRPr="00D00256" w:rsidRDefault="00D00256" w:rsidP="00D00256">
      <w:pPr>
        <w:spacing w:line="240" w:lineRule="auto"/>
        <w:rPr>
          <w:rFonts w:ascii="Times New Roman" w:eastAsia="Times New Roman" w:hAnsi="Times New Roman" w:cs="Times New Roman"/>
          <w:sz w:val="24"/>
          <w:szCs w:val="24"/>
        </w:rPr>
      </w:pPr>
    </w:p>
    <w:p w14:paraId="34D68CF0" w14:textId="77777777" w:rsidR="00D00256" w:rsidRPr="00D00256" w:rsidRDefault="00D00256" w:rsidP="00D00256"/>
    <w:p w14:paraId="0734264C" w14:textId="4DE61F9E" w:rsidR="007122AD" w:rsidRDefault="002C50EE" w:rsidP="00936AD0">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057CE96" w14:textId="139D1056" w:rsidR="00D00256" w:rsidRDefault="00D00256" w:rsidP="00D00256"/>
    <w:p w14:paraId="34A288A2"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Множество механисми могат да допринесат за потенциалните взаимодействия с инхибиторите на </w:t>
      </w:r>
      <w:r w:rsidRPr="00D00256">
        <w:rPr>
          <w:rFonts w:eastAsia="Times New Roman" w:cs="Arial"/>
          <w:color w:val="000000"/>
          <w:szCs w:val="20"/>
          <w:lang w:val="en-US"/>
        </w:rPr>
        <w:t>HMG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Со-А редуктазата. Лекарствени или билкови продукти които потискат някои ензими (напр. </w:t>
      </w:r>
      <w:r w:rsidRPr="00D00256">
        <w:rPr>
          <w:rFonts w:eastAsia="Times New Roman" w:cs="Arial"/>
          <w:color w:val="000000"/>
          <w:szCs w:val="20"/>
          <w:lang w:val="en-US"/>
        </w:rPr>
        <w:t>CYP</w:t>
      </w:r>
      <w:r w:rsidRPr="00D00256">
        <w:rPr>
          <w:rFonts w:eastAsia="Times New Roman" w:cs="Arial"/>
          <w:color w:val="000000"/>
          <w:szCs w:val="20"/>
          <w:lang w:val="ru-RU"/>
        </w:rPr>
        <w:t>3</w:t>
      </w:r>
      <w:r w:rsidRPr="00D00256">
        <w:rPr>
          <w:rFonts w:eastAsia="Times New Roman" w:cs="Arial"/>
          <w:color w:val="000000"/>
          <w:szCs w:val="20"/>
          <w:lang w:val="en-US"/>
        </w:rPr>
        <w:t>A</w:t>
      </w:r>
      <w:r w:rsidRPr="00D00256">
        <w:rPr>
          <w:rFonts w:eastAsia="Times New Roman" w:cs="Arial"/>
          <w:color w:val="000000"/>
          <w:szCs w:val="20"/>
          <w:lang w:val="ru-RU"/>
        </w:rPr>
        <w:t xml:space="preserve">4) </w:t>
      </w:r>
      <w:r w:rsidRPr="00D00256">
        <w:rPr>
          <w:rFonts w:eastAsia="Times New Roman" w:cs="Arial"/>
          <w:color w:val="000000"/>
          <w:szCs w:val="20"/>
          <w:lang w:eastAsia="bg-BG"/>
        </w:rPr>
        <w:t>и/или транспортни пътища (напр. ОАТР1В), могат да повишат нивата на плазмените концентрации на симвастатин и симвастатинска киселина и да доведат до повишен риск от миопатия/рабдомиолиза.</w:t>
      </w:r>
    </w:p>
    <w:p w14:paraId="5A608A30"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Консултирайте продуктовата информация относно всички съпътстващи лекарства, за да получите допълнителна информация относно техните потенциални взаимодействия със симвастатин и/или възможността за изменения в действието на ензимите или транспортните пътища и възможни корекции на дозата и схемите на прием.</w:t>
      </w:r>
    </w:p>
    <w:p w14:paraId="0700DE02" w14:textId="77777777" w:rsidR="00D00256" w:rsidRPr="00D00256" w:rsidRDefault="00D00256" w:rsidP="00D00256">
      <w:pPr>
        <w:spacing w:line="240" w:lineRule="auto"/>
        <w:rPr>
          <w:rFonts w:eastAsia="Times New Roman" w:cs="Arial"/>
          <w:color w:val="000000"/>
          <w:szCs w:val="20"/>
          <w:lang w:eastAsia="bg-BG"/>
        </w:rPr>
      </w:pPr>
    </w:p>
    <w:p w14:paraId="44A23D63" w14:textId="661677DA"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Проучванията за взаимодействия са провеждани само с възрастни.</w:t>
      </w:r>
    </w:p>
    <w:p w14:paraId="24EE6D35" w14:textId="77777777" w:rsidR="00D00256" w:rsidRPr="00D00256" w:rsidRDefault="00D00256" w:rsidP="00D00256">
      <w:pPr>
        <w:spacing w:line="240" w:lineRule="auto"/>
        <w:rPr>
          <w:rFonts w:eastAsia="Times New Roman" w:cs="Arial"/>
          <w:b/>
          <w:bCs/>
          <w:color w:val="000000"/>
          <w:szCs w:val="20"/>
          <w:lang w:eastAsia="bg-BG"/>
        </w:rPr>
      </w:pPr>
      <w:bookmarkStart w:id="1" w:name="bookmark0"/>
    </w:p>
    <w:p w14:paraId="1F19D2A9" w14:textId="4751B736" w:rsidR="00D00256" w:rsidRPr="00D00256" w:rsidRDefault="00D00256" w:rsidP="00D00256">
      <w:pPr>
        <w:spacing w:line="240" w:lineRule="auto"/>
        <w:rPr>
          <w:rFonts w:eastAsia="Times New Roman" w:cs="Arial"/>
          <w:sz w:val="28"/>
          <w:szCs w:val="24"/>
        </w:rPr>
      </w:pPr>
      <w:r w:rsidRPr="00D00256">
        <w:rPr>
          <w:rFonts w:eastAsia="Times New Roman" w:cs="Arial"/>
          <w:b/>
          <w:bCs/>
          <w:color w:val="000000"/>
          <w:szCs w:val="20"/>
          <w:lang w:eastAsia="bg-BG"/>
        </w:rPr>
        <w:t>Фармакодннамични взаимодействия</w:t>
      </w:r>
      <w:bookmarkEnd w:id="1"/>
    </w:p>
    <w:p w14:paraId="3CB3731D" w14:textId="77777777"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Взаимодействия с понижаващи липидите медицински продукти, които могат да предизвикат миопатия, прилагани самостоятелно</w:t>
      </w:r>
    </w:p>
    <w:p w14:paraId="4B53F195"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Рискът ог миопатия, включитено рабдомиолиза, се увеличава при едновремнно приложение с фибрати.</w:t>
      </w:r>
    </w:p>
    <w:p w14:paraId="6E67B6FF"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В допълнение съществува фармакокинетично взаимодействие с гемфиброзил, което води до повишени плазмени нива на симвастатин (вижте по-долу </w:t>
      </w:r>
      <w:r w:rsidRPr="00D00256">
        <w:rPr>
          <w:rFonts w:eastAsia="Times New Roman" w:cs="Arial"/>
          <w:i/>
          <w:iCs/>
          <w:color w:val="000000"/>
          <w:szCs w:val="20"/>
          <w:lang w:eastAsia="bg-BG"/>
        </w:rPr>
        <w:t>Фармакокинетични взаимодействия</w:t>
      </w:r>
      <w:r w:rsidRPr="00D00256">
        <w:rPr>
          <w:rFonts w:eastAsia="Times New Roman" w:cs="Arial"/>
          <w:color w:val="000000"/>
          <w:szCs w:val="20"/>
          <w:lang w:eastAsia="bg-BG"/>
        </w:rPr>
        <w:t xml:space="preserve"> и точки 4.2 и 4.4). Не се намират данни, че когато симвастатин и фенофибрат се назначават едновременно рискът от миопатия може да превиши сумата от индивидуалните рискове за всеки от продуктите. Няма адекватни фармакокинетични данни относно лекарствената безопасност при комбинация с други фибрати. Редки случаи на миопатия/рабдомиолиза са свързани с едновременното приложение на симвастатин с липид-понижаващи дози (≥1 </w:t>
      </w:r>
      <w:r w:rsidRPr="00D00256">
        <w:rPr>
          <w:rFonts w:eastAsia="Times New Roman" w:cs="Arial"/>
          <w:color w:val="000000"/>
          <w:szCs w:val="20"/>
          <w:lang w:val="en-US"/>
        </w:rPr>
        <w:t>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на ниацин (вижте точка 4.4).</w:t>
      </w:r>
    </w:p>
    <w:p w14:paraId="5E2538A4" w14:textId="77777777" w:rsidR="00D00256" w:rsidRPr="00D00256" w:rsidRDefault="00D00256" w:rsidP="00D00256">
      <w:pPr>
        <w:spacing w:line="240" w:lineRule="auto"/>
        <w:rPr>
          <w:rFonts w:eastAsia="Times New Roman" w:cs="Arial"/>
          <w:b/>
          <w:bCs/>
          <w:color w:val="000000"/>
          <w:szCs w:val="20"/>
          <w:lang w:eastAsia="bg-BG"/>
        </w:rPr>
      </w:pPr>
      <w:bookmarkStart w:id="2" w:name="bookmark2"/>
    </w:p>
    <w:p w14:paraId="1BE4349F" w14:textId="69E054E1" w:rsidR="00D00256" w:rsidRPr="00D00256" w:rsidRDefault="00D00256" w:rsidP="00D00256">
      <w:pPr>
        <w:spacing w:line="240" w:lineRule="auto"/>
        <w:rPr>
          <w:rFonts w:eastAsia="Times New Roman" w:cs="Arial"/>
          <w:sz w:val="28"/>
          <w:szCs w:val="24"/>
        </w:rPr>
      </w:pPr>
      <w:r w:rsidRPr="00D00256">
        <w:rPr>
          <w:rFonts w:eastAsia="Times New Roman" w:cs="Arial"/>
          <w:b/>
          <w:bCs/>
          <w:color w:val="000000"/>
          <w:szCs w:val="20"/>
          <w:lang w:eastAsia="bg-BG"/>
        </w:rPr>
        <w:t>Фармакокинетични взаимодействия</w:t>
      </w:r>
      <w:bookmarkEnd w:id="2"/>
    </w:p>
    <w:p w14:paraId="1CC38577" w14:textId="3411A265" w:rsidR="00D00256" w:rsidRDefault="00D00256" w:rsidP="00D00256">
      <w:pPr>
        <w:spacing w:line="240" w:lineRule="auto"/>
        <w:rPr>
          <w:rFonts w:eastAsia="Times New Roman" w:cs="Arial"/>
          <w:color w:val="000000"/>
          <w:szCs w:val="20"/>
          <w:lang w:eastAsia="bg-BG"/>
        </w:rPr>
      </w:pPr>
      <w:r w:rsidRPr="00D00256">
        <w:rPr>
          <w:rFonts w:eastAsia="Times New Roman" w:cs="Arial"/>
          <w:color w:val="000000"/>
          <w:szCs w:val="20"/>
          <w:lang w:eastAsia="bg-BG"/>
        </w:rPr>
        <w:t>Препоръките при предписване в случаи на взаимодействия с други лекарства са обобщени в таблицата по-долу (допълнителни подробности могат да се намерят в текста; вижте също точки 4.2, 4.3 и 4.4).</w:t>
      </w:r>
    </w:p>
    <w:p w14:paraId="238FC54D" w14:textId="5D90CED2" w:rsidR="00D00256" w:rsidRDefault="00D00256" w:rsidP="00D00256">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4684"/>
        <w:gridCol w:w="4666"/>
      </w:tblGrid>
      <w:tr w:rsidR="00D00256" w14:paraId="387C0BEA" w14:textId="77777777" w:rsidTr="00D00256">
        <w:tc>
          <w:tcPr>
            <w:tcW w:w="9576" w:type="dxa"/>
            <w:gridSpan w:val="2"/>
          </w:tcPr>
          <w:p w14:paraId="2B09F801" w14:textId="7CDA6E6A" w:rsidR="00D00256" w:rsidRDefault="00D00256" w:rsidP="00D00256">
            <w:pPr>
              <w:spacing w:line="240" w:lineRule="auto"/>
              <w:rPr>
                <w:rFonts w:eastAsia="Times New Roman" w:cs="Arial"/>
                <w:sz w:val="28"/>
                <w:szCs w:val="24"/>
              </w:rPr>
            </w:pPr>
            <w:r>
              <w:rPr>
                <w:b/>
                <w:bCs/>
                <w:sz w:val="20"/>
                <w:szCs w:val="20"/>
              </w:rPr>
              <w:t>Лекарствени взаимодействия, свързани с повишен риск от миопатия/рабдомиолиза</w:t>
            </w:r>
          </w:p>
        </w:tc>
      </w:tr>
      <w:tr w:rsidR="00D00256" w14:paraId="297AF35D" w14:textId="77777777" w:rsidTr="00D00256">
        <w:tc>
          <w:tcPr>
            <w:tcW w:w="4788" w:type="dxa"/>
            <w:vAlign w:val="bottom"/>
          </w:tcPr>
          <w:p w14:paraId="09E1E9C7" w14:textId="1D226E5C" w:rsidR="00D00256" w:rsidRDefault="00D00256" w:rsidP="00D00256">
            <w:pPr>
              <w:spacing w:line="240" w:lineRule="auto"/>
              <w:rPr>
                <w:rFonts w:eastAsia="Times New Roman" w:cs="Arial"/>
                <w:sz w:val="28"/>
                <w:szCs w:val="24"/>
              </w:rPr>
            </w:pPr>
            <w:r>
              <w:rPr>
                <w:b/>
                <w:bCs/>
                <w:sz w:val="20"/>
                <w:szCs w:val="20"/>
              </w:rPr>
              <w:t>Взаимодействащи лекарствени продукти</w:t>
            </w:r>
          </w:p>
        </w:tc>
        <w:tc>
          <w:tcPr>
            <w:tcW w:w="4788" w:type="dxa"/>
            <w:vAlign w:val="bottom"/>
          </w:tcPr>
          <w:p w14:paraId="3AD21BA2" w14:textId="4CF0876D" w:rsidR="00D00256" w:rsidRDefault="00D00256" w:rsidP="00D00256">
            <w:pPr>
              <w:spacing w:line="240" w:lineRule="auto"/>
              <w:rPr>
                <w:rFonts w:eastAsia="Times New Roman" w:cs="Arial"/>
                <w:sz w:val="28"/>
                <w:szCs w:val="24"/>
              </w:rPr>
            </w:pPr>
            <w:r>
              <w:rPr>
                <w:b/>
                <w:bCs/>
                <w:sz w:val="20"/>
                <w:szCs w:val="20"/>
              </w:rPr>
              <w:t>Препоръки при предписание</w:t>
            </w:r>
          </w:p>
        </w:tc>
      </w:tr>
      <w:tr w:rsidR="00D00256" w14:paraId="2D548C25" w14:textId="77777777" w:rsidTr="00D00256">
        <w:tc>
          <w:tcPr>
            <w:tcW w:w="4788" w:type="dxa"/>
            <w:vAlign w:val="bottom"/>
          </w:tcPr>
          <w:p w14:paraId="6CD704A2" w14:textId="42884FCB" w:rsidR="00D00256" w:rsidRDefault="00D00256" w:rsidP="00D00256">
            <w:pPr>
              <w:spacing w:line="240" w:lineRule="auto"/>
              <w:rPr>
                <w:rFonts w:eastAsia="Times New Roman" w:cs="Arial"/>
                <w:sz w:val="28"/>
                <w:szCs w:val="24"/>
              </w:rPr>
            </w:pPr>
            <w:r>
              <w:rPr>
                <w:sz w:val="20"/>
                <w:szCs w:val="20"/>
              </w:rPr>
              <w:t xml:space="preserve">Мощни </w:t>
            </w:r>
            <w:r>
              <w:rPr>
                <w:sz w:val="20"/>
                <w:szCs w:val="20"/>
                <w:lang w:val="en-US"/>
              </w:rPr>
              <w:t xml:space="preserve">CYP3A4 </w:t>
            </w:r>
            <w:r>
              <w:rPr>
                <w:sz w:val="20"/>
                <w:szCs w:val="20"/>
              </w:rPr>
              <w:t>инхибитори:</w:t>
            </w:r>
          </w:p>
        </w:tc>
        <w:tc>
          <w:tcPr>
            <w:tcW w:w="4788" w:type="dxa"/>
          </w:tcPr>
          <w:p w14:paraId="0FD9B07E" w14:textId="77777777" w:rsidR="00D00256" w:rsidRDefault="00D00256" w:rsidP="00D00256">
            <w:pPr>
              <w:spacing w:line="240" w:lineRule="auto"/>
              <w:rPr>
                <w:rFonts w:eastAsia="Times New Roman" w:cs="Arial"/>
                <w:sz w:val="28"/>
                <w:szCs w:val="24"/>
              </w:rPr>
            </w:pPr>
          </w:p>
        </w:tc>
      </w:tr>
      <w:tr w:rsidR="00D00256" w14:paraId="441AA881" w14:textId="77777777" w:rsidTr="00D00256">
        <w:tc>
          <w:tcPr>
            <w:tcW w:w="4788" w:type="dxa"/>
          </w:tcPr>
          <w:p w14:paraId="0B1A2CA2" w14:textId="77777777" w:rsidR="00D00256" w:rsidRDefault="00D00256" w:rsidP="00D00256">
            <w:pPr>
              <w:pStyle w:val="ListParagraph"/>
              <w:numPr>
                <w:ilvl w:val="0"/>
                <w:numId w:val="39"/>
              </w:numPr>
              <w:rPr>
                <w:szCs w:val="20"/>
              </w:rPr>
            </w:pPr>
            <w:r w:rsidRPr="00D00256">
              <w:rPr>
                <w:szCs w:val="20"/>
              </w:rPr>
              <w:t xml:space="preserve">Итраконазаол </w:t>
            </w:r>
          </w:p>
          <w:p w14:paraId="5B2A1242" w14:textId="77777777" w:rsidR="00D00256" w:rsidRDefault="00D00256" w:rsidP="00D00256">
            <w:pPr>
              <w:pStyle w:val="ListParagraph"/>
              <w:numPr>
                <w:ilvl w:val="0"/>
                <w:numId w:val="39"/>
              </w:numPr>
              <w:rPr>
                <w:szCs w:val="20"/>
              </w:rPr>
            </w:pPr>
            <w:r w:rsidRPr="00D00256">
              <w:rPr>
                <w:szCs w:val="20"/>
              </w:rPr>
              <w:t xml:space="preserve">Кетоконазол </w:t>
            </w:r>
          </w:p>
          <w:p w14:paraId="094F707B" w14:textId="77777777" w:rsidR="00D00256" w:rsidRDefault="00D00256" w:rsidP="00D00256">
            <w:pPr>
              <w:pStyle w:val="ListParagraph"/>
              <w:numPr>
                <w:ilvl w:val="0"/>
                <w:numId w:val="39"/>
              </w:numPr>
              <w:rPr>
                <w:szCs w:val="20"/>
              </w:rPr>
            </w:pPr>
            <w:r w:rsidRPr="00D00256">
              <w:rPr>
                <w:szCs w:val="20"/>
              </w:rPr>
              <w:t xml:space="preserve">Позаконазол </w:t>
            </w:r>
          </w:p>
          <w:p w14:paraId="5A3FC8B6" w14:textId="77777777" w:rsidR="00D00256" w:rsidRDefault="00D00256" w:rsidP="00D00256">
            <w:pPr>
              <w:pStyle w:val="ListParagraph"/>
              <w:numPr>
                <w:ilvl w:val="0"/>
                <w:numId w:val="39"/>
              </w:numPr>
              <w:rPr>
                <w:szCs w:val="20"/>
              </w:rPr>
            </w:pPr>
            <w:r w:rsidRPr="00D00256">
              <w:rPr>
                <w:szCs w:val="20"/>
              </w:rPr>
              <w:t xml:space="preserve">Вориконазол </w:t>
            </w:r>
          </w:p>
          <w:p w14:paraId="68449C62" w14:textId="77777777" w:rsidR="00D00256" w:rsidRDefault="00D00256" w:rsidP="00D00256">
            <w:pPr>
              <w:pStyle w:val="ListParagraph"/>
              <w:numPr>
                <w:ilvl w:val="0"/>
                <w:numId w:val="39"/>
              </w:numPr>
              <w:rPr>
                <w:szCs w:val="20"/>
              </w:rPr>
            </w:pPr>
            <w:r w:rsidRPr="00D00256">
              <w:rPr>
                <w:szCs w:val="20"/>
              </w:rPr>
              <w:t xml:space="preserve">Еритромицин </w:t>
            </w:r>
          </w:p>
          <w:p w14:paraId="288B2ACF" w14:textId="77777777" w:rsidR="00D00256" w:rsidRDefault="00D00256" w:rsidP="00D00256">
            <w:pPr>
              <w:pStyle w:val="ListParagraph"/>
              <w:numPr>
                <w:ilvl w:val="0"/>
                <w:numId w:val="39"/>
              </w:numPr>
              <w:rPr>
                <w:szCs w:val="20"/>
              </w:rPr>
            </w:pPr>
            <w:r w:rsidRPr="00D00256">
              <w:rPr>
                <w:szCs w:val="20"/>
              </w:rPr>
              <w:t xml:space="preserve">Кларитромицин </w:t>
            </w:r>
          </w:p>
          <w:p w14:paraId="0D4E5A08" w14:textId="77777777" w:rsidR="00D00256" w:rsidRDefault="00D00256" w:rsidP="00D00256">
            <w:pPr>
              <w:pStyle w:val="ListParagraph"/>
              <w:numPr>
                <w:ilvl w:val="0"/>
                <w:numId w:val="39"/>
              </w:numPr>
              <w:rPr>
                <w:szCs w:val="20"/>
              </w:rPr>
            </w:pPr>
            <w:r w:rsidRPr="00D00256">
              <w:rPr>
                <w:szCs w:val="20"/>
              </w:rPr>
              <w:t xml:space="preserve">Телитромицин </w:t>
            </w:r>
          </w:p>
          <w:p w14:paraId="72C5EB74" w14:textId="77777777" w:rsidR="00D00256" w:rsidRDefault="00D00256" w:rsidP="00D00256">
            <w:pPr>
              <w:pStyle w:val="ListParagraph"/>
              <w:numPr>
                <w:ilvl w:val="0"/>
                <w:numId w:val="39"/>
              </w:numPr>
              <w:rPr>
                <w:szCs w:val="20"/>
              </w:rPr>
            </w:pPr>
            <w:r w:rsidRPr="00D00256">
              <w:rPr>
                <w:szCs w:val="20"/>
                <w:lang w:val="en-US"/>
              </w:rPr>
              <w:t>HIV</w:t>
            </w:r>
            <w:r w:rsidRPr="00D00256">
              <w:rPr>
                <w:szCs w:val="20"/>
                <w:lang w:val="ru-RU"/>
              </w:rPr>
              <w:t xml:space="preserve"> </w:t>
            </w:r>
            <w:r w:rsidRPr="00D00256">
              <w:rPr>
                <w:szCs w:val="20"/>
              </w:rPr>
              <w:t>протеазни инхибитори (напр. нелфинавир)</w:t>
            </w:r>
          </w:p>
          <w:p w14:paraId="32C1F5A5" w14:textId="77777777" w:rsidR="00D00256" w:rsidRDefault="00D00256" w:rsidP="00D00256">
            <w:pPr>
              <w:pStyle w:val="ListParagraph"/>
              <w:numPr>
                <w:ilvl w:val="0"/>
                <w:numId w:val="39"/>
              </w:numPr>
              <w:rPr>
                <w:szCs w:val="20"/>
              </w:rPr>
            </w:pPr>
            <w:r w:rsidRPr="00D00256">
              <w:rPr>
                <w:szCs w:val="20"/>
              </w:rPr>
              <w:t xml:space="preserve">Боцепревир </w:t>
            </w:r>
          </w:p>
          <w:p w14:paraId="575E9E44" w14:textId="77777777" w:rsidR="00D00256" w:rsidRDefault="00D00256" w:rsidP="00D00256">
            <w:pPr>
              <w:pStyle w:val="ListParagraph"/>
              <w:numPr>
                <w:ilvl w:val="0"/>
                <w:numId w:val="39"/>
              </w:numPr>
              <w:rPr>
                <w:szCs w:val="20"/>
              </w:rPr>
            </w:pPr>
            <w:r w:rsidRPr="00D00256">
              <w:rPr>
                <w:szCs w:val="20"/>
              </w:rPr>
              <w:t xml:space="preserve">Телапревир </w:t>
            </w:r>
          </w:p>
          <w:p w14:paraId="64CA3483" w14:textId="77777777" w:rsidR="00D00256" w:rsidRDefault="00D00256" w:rsidP="00D00256">
            <w:pPr>
              <w:pStyle w:val="ListParagraph"/>
              <w:numPr>
                <w:ilvl w:val="0"/>
                <w:numId w:val="39"/>
              </w:numPr>
              <w:rPr>
                <w:szCs w:val="20"/>
              </w:rPr>
            </w:pPr>
            <w:r w:rsidRPr="00D00256">
              <w:rPr>
                <w:szCs w:val="20"/>
              </w:rPr>
              <w:t xml:space="preserve">Нефазодон </w:t>
            </w:r>
          </w:p>
          <w:p w14:paraId="4D219910" w14:textId="77777777" w:rsidR="00D00256" w:rsidRDefault="00D00256" w:rsidP="00D00256">
            <w:pPr>
              <w:pStyle w:val="ListParagraph"/>
              <w:numPr>
                <w:ilvl w:val="0"/>
                <w:numId w:val="39"/>
              </w:numPr>
              <w:rPr>
                <w:szCs w:val="20"/>
              </w:rPr>
            </w:pPr>
            <w:r w:rsidRPr="00D00256">
              <w:rPr>
                <w:szCs w:val="20"/>
              </w:rPr>
              <w:lastRenderedPageBreak/>
              <w:t xml:space="preserve">Кобицистат </w:t>
            </w:r>
          </w:p>
          <w:p w14:paraId="3F40C0D8" w14:textId="77777777" w:rsidR="00D00256" w:rsidRDefault="00D00256" w:rsidP="00D00256">
            <w:pPr>
              <w:pStyle w:val="ListParagraph"/>
              <w:numPr>
                <w:ilvl w:val="0"/>
                <w:numId w:val="39"/>
              </w:numPr>
              <w:rPr>
                <w:szCs w:val="20"/>
              </w:rPr>
            </w:pPr>
            <w:r w:rsidRPr="00D00256">
              <w:rPr>
                <w:szCs w:val="20"/>
              </w:rPr>
              <w:t xml:space="preserve">Циклоспорин </w:t>
            </w:r>
          </w:p>
          <w:p w14:paraId="41B7D089" w14:textId="77777777" w:rsidR="00D00256" w:rsidRDefault="00D00256" w:rsidP="00D00256">
            <w:pPr>
              <w:pStyle w:val="ListParagraph"/>
              <w:numPr>
                <w:ilvl w:val="0"/>
                <w:numId w:val="39"/>
              </w:numPr>
              <w:rPr>
                <w:szCs w:val="20"/>
              </w:rPr>
            </w:pPr>
            <w:r w:rsidRPr="00D00256">
              <w:rPr>
                <w:szCs w:val="20"/>
              </w:rPr>
              <w:t xml:space="preserve">Даназол </w:t>
            </w:r>
          </w:p>
          <w:p w14:paraId="1F912E07" w14:textId="7C82D1CE" w:rsidR="00D00256" w:rsidRPr="00D00256" w:rsidRDefault="00D00256" w:rsidP="00D00256">
            <w:pPr>
              <w:pStyle w:val="ListParagraph"/>
              <w:numPr>
                <w:ilvl w:val="0"/>
                <w:numId w:val="39"/>
              </w:numPr>
              <w:rPr>
                <w:szCs w:val="20"/>
              </w:rPr>
            </w:pPr>
            <w:r w:rsidRPr="00D00256">
              <w:rPr>
                <w:szCs w:val="20"/>
              </w:rPr>
              <w:t>Гемфиброзил</w:t>
            </w:r>
          </w:p>
        </w:tc>
        <w:tc>
          <w:tcPr>
            <w:tcW w:w="4788" w:type="dxa"/>
          </w:tcPr>
          <w:p w14:paraId="1F9F7A11" w14:textId="7F6D2B18" w:rsidR="00D00256" w:rsidRPr="00D00256" w:rsidRDefault="00D00256" w:rsidP="00D00256">
            <w:pPr>
              <w:spacing w:line="240" w:lineRule="auto"/>
              <w:rPr>
                <w:rFonts w:eastAsia="Times New Roman" w:cs="Arial"/>
                <w:szCs w:val="24"/>
              </w:rPr>
            </w:pPr>
            <w:r w:rsidRPr="00D00256">
              <w:rPr>
                <w:b/>
                <w:bCs/>
                <w:szCs w:val="20"/>
              </w:rPr>
              <w:lastRenderedPageBreak/>
              <w:t>Противопоказани за едновременно приложение със симвастатин</w:t>
            </w:r>
          </w:p>
        </w:tc>
      </w:tr>
      <w:tr w:rsidR="00D00256" w14:paraId="3B0D19B5" w14:textId="77777777" w:rsidTr="00D00256">
        <w:tc>
          <w:tcPr>
            <w:tcW w:w="4788" w:type="dxa"/>
          </w:tcPr>
          <w:p w14:paraId="4DBF3DE5" w14:textId="1A1B2FE8" w:rsidR="00D00256" w:rsidRPr="00D00256" w:rsidRDefault="00D00256" w:rsidP="00D00256">
            <w:pPr>
              <w:spacing w:line="240" w:lineRule="auto"/>
              <w:rPr>
                <w:rFonts w:eastAsia="Times New Roman" w:cs="Arial"/>
                <w:szCs w:val="24"/>
              </w:rPr>
            </w:pPr>
            <w:r w:rsidRPr="00D00256">
              <w:rPr>
                <w:szCs w:val="20"/>
              </w:rPr>
              <w:t>Други фибрати (с изключение на фенофибрат)</w:t>
            </w:r>
          </w:p>
        </w:tc>
        <w:tc>
          <w:tcPr>
            <w:tcW w:w="4788" w:type="dxa"/>
          </w:tcPr>
          <w:p w14:paraId="3CB65CA6" w14:textId="2009983F" w:rsidR="00D00256" w:rsidRPr="00D00256" w:rsidRDefault="00D00256" w:rsidP="00D00256">
            <w:pPr>
              <w:spacing w:line="240" w:lineRule="auto"/>
              <w:rPr>
                <w:rFonts w:eastAsia="Times New Roman" w:cs="Arial"/>
                <w:szCs w:val="24"/>
              </w:rPr>
            </w:pPr>
            <w:r w:rsidRPr="00D00256">
              <w:rPr>
                <w:szCs w:val="20"/>
              </w:rPr>
              <w:t xml:space="preserve">Дневната доза симвастатин не трябва да надвишава 10 </w:t>
            </w:r>
            <w:r w:rsidRPr="00D00256">
              <w:rPr>
                <w:szCs w:val="20"/>
                <w:lang w:val="en-US"/>
              </w:rPr>
              <w:t>mg</w:t>
            </w:r>
          </w:p>
        </w:tc>
      </w:tr>
      <w:tr w:rsidR="00D00256" w14:paraId="4C3EE0AA" w14:textId="77777777" w:rsidTr="00D00256">
        <w:tc>
          <w:tcPr>
            <w:tcW w:w="4788" w:type="dxa"/>
          </w:tcPr>
          <w:p w14:paraId="00A00096" w14:textId="2B226EDF" w:rsidR="00D00256" w:rsidRPr="00D00256" w:rsidRDefault="00D00256" w:rsidP="00D00256">
            <w:pPr>
              <w:spacing w:line="240" w:lineRule="auto"/>
              <w:rPr>
                <w:rFonts w:eastAsia="Times New Roman" w:cs="Arial"/>
                <w:szCs w:val="24"/>
              </w:rPr>
            </w:pPr>
            <w:r w:rsidRPr="00D00256">
              <w:rPr>
                <w:szCs w:val="20"/>
              </w:rPr>
              <w:t>Фузидова кислеина</w:t>
            </w:r>
          </w:p>
        </w:tc>
        <w:tc>
          <w:tcPr>
            <w:tcW w:w="4788" w:type="dxa"/>
          </w:tcPr>
          <w:p w14:paraId="15432714" w14:textId="63042D83" w:rsidR="00D00256" w:rsidRPr="00D00256" w:rsidRDefault="00D00256" w:rsidP="00D00256">
            <w:pPr>
              <w:spacing w:line="240" w:lineRule="auto"/>
              <w:rPr>
                <w:rFonts w:eastAsia="Times New Roman" w:cs="Arial"/>
                <w:szCs w:val="24"/>
              </w:rPr>
            </w:pPr>
            <w:r w:rsidRPr="00D00256">
              <w:rPr>
                <w:szCs w:val="20"/>
              </w:rPr>
              <w:t>Не се препоръчва със симвастатин.</w:t>
            </w:r>
          </w:p>
        </w:tc>
      </w:tr>
      <w:tr w:rsidR="00D00256" w14:paraId="3C18265F" w14:textId="77777777" w:rsidTr="00D00256">
        <w:tc>
          <w:tcPr>
            <w:tcW w:w="4788" w:type="dxa"/>
          </w:tcPr>
          <w:p w14:paraId="233DBA28" w14:textId="3252E5E3" w:rsidR="00D00256" w:rsidRPr="00D00256" w:rsidRDefault="00D00256" w:rsidP="00D00256">
            <w:pPr>
              <w:spacing w:line="240" w:lineRule="auto"/>
              <w:rPr>
                <w:rFonts w:eastAsia="Times New Roman" w:cs="Arial"/>
                <w:szCs w:val="24"/>
              </w:rPr>
            </w:pPr>
            <w:r w:rsidRPr="00D00256">
              <w:rPr>
                <w:szCs w:val="20"/>
              </w:rPr>
              <w:t xml:space="preserve">Ниацин (никотинова киселина) (≥ 1 </w:t>
            </w:r>
            <w:r w:rsidRPr="00D00256">
              <w:rPr>
                <w:szCs w:val="20"/>
                <w:lang w:val="en-US"/>
              </w:rPr>
              <w:t>g</w:t>
            </w:r>
            <w:r w:rsidRPr="00D00256">
              <w:rPr>
                <w:szCs w:val="20"/>
                <w:lang w:val="ru-RU"/>
              </w:rPr>
              <w:t xml:space="preserve"> </w:t>
            </w:r>
            <w:r w:rsidRPr="00D00256">
              <w:rPr>
                <w:szCs w:val="20"/>
              </w:rPr>
              <w:t>дневно)</w:t>
            </w:r>
          </w:p>
        </w:tc>
        <w:tc>
          <w:tcPr>
            <w:tcW w:w="4788" w:type="dxa"/>
          </w:tcPr>
          <w:p w14:paraId="121B4AFA" w14:textId="314A1380" w:rsidR="00D00256" w:rsidRPr="00D00256" w:rsidRDefault="00D00256" w:rsidP="00D00256">
            <w:pPr>
              <w:spacing w:line="240" w:lineRule="auto"/>
              <w:rPr>
                <w:rFonts w:eastAsia="Times New Roman" w:cs="Arial"/>
                <w:szCs w:val="24"/>
              </w:rPr>
            </w:pPr>
            <w:r w:rsidRPr="00D00256">
              <w:rPr>
                <w:szCs w:val="20"/>
              </w:rPr>
              <w:t>Не се препоръчва със симвстатин при Азиатци</w:t>
            </w:r>
          </w:p>
        </w:tc>
      </w:tr>
      <w:tr w:rsidR="00D00256" w14:paraId="7AA1DFA5" w14:textId="77777777" w:rsidTr="00D00256">
        <w:tc>
          <w:tcPr>
            <w:tcW w:w="4788" w:type="dxa"/>
          </w:tcPr>
          <w:p w14:paraId="66C0D409" w14:textId="77777777" w:rsidR="00D00256" w:rsidRDefault="00D00256" w:rsidP="00D00256">
            <w:pPr>
              <w:spacing w:line="240" w:lineRule="auto"/>
              <w:rPr>
                <w:szCs w:val="20"/>
              </w:rPr>
            </w:pPr>
            <w:r w:rsidRPr="00D00256">
              <w:rPr>
                <w:szCs w:val="20"/>
              </w:rPr>
              <w:t xml:space="preserve">Амиодарон </w:t>
            </w:r>
          </w:p>
          <w:p w14:paraId="41B8B334" w14:textId="77777777" w:rsidR="00D00256" w:rsidRDefault="00D00256" w:rsidP="00D00256">
            <w:pPr>
              <w:spacing w:line="240" w:lineRule="auto"/>
              <w:rPr>
                <w:szCs w:val="20"/>
              </w:rPr>
            </w:pPr>
            <w:r w:rsidRPr="00D00256">
              <w:rPr>
                <w:szCs w:val="20"/>
              </w:rPr>
              <w:t xml:space="preserve">Верапамил </w:t>
            </w:r>
          </w:p>
          <w:p w14:paraId="07036166" w14:textId="77777777" w:rsidR="00D00256" w:rsidRDefault="00D00256" w:rsidP="00D00256">
            <w:pPr>
              <w:spacing w:line="240" w:lineRule="auto"/>
              <w:rPr>
                <w:szCs w:val="20"/>
              </w:rPr>
            </w:pPr>
            <w:r w:rsidRPr="00D00256">
              <w:rPr>
                <w:szCs w:val="20"/>
              </w:rPr>
              <w:t xml:space="preserve">Дилтиазем </w:t>
            </w:r>
          </w:p>
          <w:p w14:paraId="7D1A0F81" w14:textId="77777777" w:rsidR="00D00256" w:rsidRDefault="00D00256" w:rsidP="00D00256">
            <w:pPr>
              <w:spacing w:line="240" w:lineRule="auto"/>
              <w:rPr>
                <w:szCs w:val="20"/>
              </w:rPr>
            </w:pPr>
            <w:r w:rsidRPr="00D00256">
              <w:rPr>
                <w:szCs w:val="20"/>
              </w:rPr>
              <w:t xml:space="preserve">Амлодипин </w:t>
            </w:r>
          </w:p>
          <w:p w14:paraId="678821DB" w14:textId="77777777" w:rsidR="00D00256" w:rsidRDefault="00D00256" w:rsidP="00D00256">
            <w:pPr>
              <w:spacing w:line="240" w:lineRule="auto"/>
              <w:rPr>
                <w:szCs w:val="20"/>
              </w:rPr>
            </w:pPr>
            <w:r w:rsidRPr="00D00256">
              <w:rPr>
                <w:szCs w:val="20"/>
              </w:rPr>
              <w:t xml:space="preserve">Елбасвир </w:t>
            </w:r>
          </w:p>
          <w:p w14:paraId="0584E448" w14:textId="6BD1B7E1" w:rsidR="00D00256" w:rsidRPr="00D00256" w:rsidRDefault="00D00256" w:rsidP="00D00256">
            <w:pPr>
              <w:spacing w:line="240" w:lineRule="auto"/>
              <w:rPr>
                <w:rFonts w:eastAsia="Times New Roman" w:cs="Arial"/>
                <w:szCs w:val="24"/>
              </w:rPr>
            </w:pPr>
            <w:r w:rsidRPr="00D00256">
              <w:rPr>
                <w:szCs w:val="20"/>
              </w:rPr>
              <w:t>Гразопревир</w:t>
            </w:r>
          </w:p>
        </w:tc>
        <w:tc>
          <w:tcPr>
            <w:tcW w:w="4788" w:type="dxa"/>
          </w:tcPr>
          <w:p w14:paraId="5636427F" w14:textId="46E050FE" w:rsidR="00D00256" w:rsidRPr="00D00256" w:rsidRDefault="00D00256" w:rsidP="00D00256">
            <w:pPr>
              <w:spacing w:line="240" w:lineRule="auto"/>
              <w:rPr>
                <w:rFonts w:eastAsia="Times New Roman" w:cs="Arial"/>
                <w:szCs w:val="24"/>
              </w:rPr>
            </w:pPr>
            <w:r w:rsidRPr="00D00256">
              <w:rPr>
                <w:szCs w:val="20"/>
              </w:rPr>
              <w:t xml:space="preserve">Дневната доза симвастатин не трябва да надвишава 20 </w:t>
            </w:r>
            <w:r w:rsidRPr="00D00256">
              <w:rPr>
                <w:szCs w:val="20"/>
                <w:lang w:val="en-US"/>
              </w:rPr>
              <w:t>mg</w:t>
            </w:r>
          </w:p>
        </w:tc>
      </w:tr>
      <w:tr w:rsidR="00D00256" w14:paraId="57DE114A" w14:textId="77777777" w:rsidTr="00D00256">
        <w:tc>
          <w:tcPr>
            <w:tcW w:w="4788" w:type="dxa"/>
          </w:tcPr>
          <w:p w14:paraId="2F0DB128" w14:textId="2690037C" w:rsidR="00D00256" w:rsidRPr="00D00256" w:rsidRDefault="00D00256" w:rsidP="00D00256">
            <w:pPr>
              <w:spacing w:line="240" w:lineRule="auto"/>
              <w:rPr>
                <w:rFonts w:eastAsia="Times New Roman" w:cs="Arial"/>
                <w:szCs w:val="24"/>
              </w:rPr>
            </w:pPr>
            <w:r w:rsidRPr="00D00256">
              <w:rPr>
                <w:szCs w:val="20"/>
              </w:rPr>
              <w:t>Ломитапид</w:t>
            </w:r>
          </w:p>
        </w:tc>
        <w:tc>
          <w:tcPr>
            <w:tcW w:w="4788" w:type="dxa"/>
          </w:tcPr>
          <w:p w14:paraId="3B521AE2" w14:textId="7DE2630A" w:rsidR="00D00256" w:rsidRPr="00D00256" w:rsidRDefault="00D00256" w:rsidP="00D00256">
            <w:pPr>
              <w:spacing w:line="240" w:lineRule="auto"/>
              <w:rPr>
                <w:rFonts w:eastAsia="Times New Roman" w:cs="Arial"/>
                <w:szCs w:val="24"/>
              </w:rPr>
            </w:pPr>
            <w:r w:rsidRPr="00D00256">
              <w:rPr>
                <w:szCs w:val="20"/>
              </w:rPr>
              <w:t xml:space="preserve">Да не се превишава дозата от 40 </w:t>
            </w:r>
            <w:r w:rsidRPr="00D00256">
              <w:rPr>
                <w:szCs w:val="20"/>
                <w:lang w:val="en-US"/>
              </w:rPr>
              <w:t>mg</w:t>
            </w:r>
            <w:r w:rsidRPr="00D00256">
              <w:rPr>
                <w:szCs w:val="20"/>
                <w:lang w:val="ru-RU"/>
              </w:rPr>
              <w:t xml:space="preserve"> </w:t>
            </w:r>
            <w:r w:rsidRPr="00D00256">
              <w:rPr>
                <w:szCs w:val="20"/>
              </w:rPr>
              <w:t>симвастатин при пациенти с ХоФХ</w:t>
            </w:r>
          </w:p>
        </w:tc>
      </w:tr>
      <w:tr w:rsidR="00D00256" w14:paraId="3ED84299" w14:textId="77777777" w:rsidTr="00D00256">
        <w:tc>
          <w:tcPr>
            <w:tcW w:w="4788" w:type="dxa"/>
          </w:tcPr>
          <w:p w14:paraId="7D4A1EC4" w14:textId="70FE8345" w:rsidR="00D00256" w:rsidRPr="00D00256" w:rsidRDefault="00D00256" w:rsidP="00D00256">
            <w:pPr>
              <w:spacing w:line="240" w:lineRule="auto"/>
              <w:rPr>
                <w:rFonts w:eastAsia="Times New Roman" w:cs="Arial"/>
                <w:szCs w:val="24"/>
              </w:rPr>
            </w:pPr>
            <w:r w:rsidRPr="00D00256">
              <w:rPr>
                <w:szCs w:val="20"/>
              </w:rPr>
              <w:t>Даптомицин</w:t>
            </w:r>
          </w:p>
        </w:tc>
        <w:tc>
          <w:tcPr>
            <w:tcW w:w="4788" w:type="dxa"/>
          </w:tcPr>
          <w:p w14:paraId="1F8B5212" w14:textId="6EFEEC05" w:rsidR="00D00256" w:rsidRPr="00D00256" w:rsidRDefault="00D00256" w:rsidP="00D00256">
            <w:pPr>
              <w:spacing w:line="240" w:lineRule="auto"/>
              <w:rPr>
                <w:rFonts w:eastAsia="Times New Roman" w:cs="Arial"/>
                <w:szCs w:val="24"/>
              </w:rPr>
            </w:pPr>
            <w:r w:rsidRPr="00D00256">
              <w:rPr>
                <w:szCs w:val="20"/>
              </w:rPr>
              <w:t>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(вж. точка 4.4)</w:t>
            </w:r>
          </w:p>
        </w:tc>
      </w:tr>
    </w:tbl>
    <w:p w14:paraId="175B42CE" w14:textId="6C87B6C8" w:rsidR="00D00256" w:rsidRDefault="00D00256" w:rsidP="00D00256">
      <w:pPr>
        <w:spacing w:line="240" w:lineRule="auto"/>
        <w:rPr>
          <w:rFonts w:eastAsia="Times New Roman" w:cs="Arial"/>
          <w:sz w:val="28"/>
          <w:szCs w:val="24"/>
        </w:rPr>
      </w:pPr>
    </w:p>
    <w:p w14:paraId="0958E5A3" w14:textId="77777777" w:rsidR="00D00256" w:rsidRPr="00D00256" w:rsidRDefault="00D00256" w:rsidP="00D00256">
      <w:pPr>
        <w:spacing w:line="240" w:lineRule="auto"/>
        <w:rPr>
          <w:rFonts w:eastAsia="Times New Roman" w:cs="Arial"/>
        </w:rPr>
      </w:pPr>
      <w:r w:rsidRPr="00D00256">
        <w:rPr>
          <w:rFonts w:eastAsia="Times New Roman" w:cs="Arial"/>
          <w:b/>
          <w:bCs/>
          <w:color w:val="000000"/>
          <w:lang w:eastAsia="bg-BG"/>
        </w:rPr>
        <w:t>Ефекти на други медицински продукти върху симвастатин:</w:t>
      </w:r>
    </w:p>
    <w:p w14:paraId="5E473C2D" w14:textId="77777777" w:rsidR="00D00256" w:rsidRPr="00D00256" w:rsidRDefault="00D00256" w:rsidP="00D00256">
      <w:pPr>
        <w:spacing w:line="240" w:lineRule="auto"/>
        <w:rPr>
          <w:rFonts w:eastAsia="Times New Roman" w:cs="Arial"/>
          <w:b/>
          <w:bCs/>
          <w:color w:val="000000"/>
          <w:lang w:eastAsia="bg-BG"/>
        </w:rPr>
      </w:pPr>
    </w:p>
    <w:p w14:paraId="326E6326" w14:textId="237F1B4E" w:rsidR="00D00256" w:rsidRPr="00D00256" w:rsidRDefault="00D00256" w:rsidP="00D00256">
      <w:pPr>
        <w:spacing w:line="240" w:lineRule="auto"/>
        <w:rPr>
          <w:rFonts w:eastAsia="Times New Roman" w:cs="Arial"/>
        </w:rPr>
      </w:pPr>
      <w:r w:rsidRPr="00D00256">
        <w:rPr>
          <w:rFonts w:eastAsia="Times New Roman" w:cs="Arial"/>
          <w:b/>
          <w:bCs/>
          <w:color w:val="000000"/>
          <w:lang w:eastAsia="bg-BG"/>
        </w:rPr>
        <w:t xml:space="preserve">Взаимодействия, включващи инхибитори на </w:t>
      </w:r>
      <w:r w:rsidRPr="00D00256">
        <w:rPr>
          <w:rFonts w:eastAsia="Times New Roman" w:cs="Arial"/>
          <w:b/>
          <w:bCs/>
          <w:color w:val="000000"/>
          <w:lang w:val="en-US"/>
        </w:rPr>
        <w:t>CYP</w:t>
      </w:r>
      <w:r w:rsidRPr="00D00256">
        <w:rPr>
          <w:rFonts w:eastAsia="Times New Roman" w:cs="Arial"/>
          <w:b/>
          <w:bCs/>
          <w:color w:val="000000"/>
          <w:lang w:val="ru-RU"/>
        </w:rPr>
        <w:t>3</w:t>
      </w:r>
      <w:r w:rsidRPr="00D00256">
        <w:rPr>
          <w:rFonts w:eastAsia="Times New Roman" w:cs="Arial"/>
          <w:b/>
          <w:bCs/>
          <w:color w:val="000000"/>
          <w:lang w:val="en-US"/>
        </w:rPr>
        <w:t>A</w:t>
      </w:r>
      <w:r w:rsidRPr="00D00256">
        <w:rPr>
          <w:rFonts w:eastAsia="Times New Roman" w:cs="Arial"/>
          <w:b/>
          <w:bCs/>
          <w:color w:val="000000"/>
          <w:lang w:val="ru-RU"/>
        </w:rPr>
        <w:t>4</w:t>
      </w:r>
    </w:p>
    <w:p w14:paraId="2D7C09E6" w14:textId="33AB062A"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Симвастатин е субстрат на цитохром Р450 ЗА4. Мощните инхибитори на цитохром Р450 ЗА4 увеличават риска от миопатия и рабдомиолиза чрез повишаване на концентрацията и инхибиторната активност в плазмата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редуктазните инхибитори по време на лечение със симвастатин. Такива инхибитори са итраконазол, кетоконазол, позаконазол,</w:t>
      </w:r>
      <w:r w:rsidRPr="00D00256">
        <w:rPr>
          <w:rFonts w:eastAsia="Times New Roman" w:cs="Arial"/>
          <w:color w:val="000000"/>
        </w:rPr>
        <w:t xml:space="preserve"> </w:t>
      </w:r>
      <w:r w:rsidRPr="00D00256">
        <w:rPr>
          <w:rFonts w:eastAsia="Times New Roman" w:cs="Arial"/>
          <w:color w:val="000000"/>
          <w:lang w:eastAsia="bg-BG"/>
        </w:rPr>
        <w:t>вориконазол, еритромицин, кларитромицин, телитромицин, Н</w:t>
      </w:r>
      <w:r w:rsidRPr="00D00256">
        <w:rPr>
          <w:rFonts w:eastAsia="Times New Roman" w:cs="Arial"/>
          <w:color w:val="000000"/>
          <w:lang w:val="en-US"/>
        </w:rPr>
        <w:t>IV</w:t>
      </w:r>
      <w:r w:rsidRPr="00D00256">
        <w:rPr>
          <w:rFonts w:eastAsia="Times New Roman" w:cs="Arial"/>
          <w:color w:val="000000"/>
        </w:rPr>
        <w:t xml:space="preserve"> </w:t>
      </w:r>
      <w:r w:rsidRPr="00D00256">
        <w:rPr>
          <w:rFonts w:eastAsia="Times New Roman" w:cs="Arial"/>
          <w:color w:val="000000"/>
          <w:lang w:eastAsia="bg-BG"/>
        </w:rPr>
        <w:t>протеазни инхибитори (напр. нелфинавир),</w:t>
      </w:r>
      <w:r w:rsidRPr="00D00256">
        <w:rPr>
          <w:rFonts w:eastAsia="Times New Roman" w:cs="Arial"/>
        </w:rPr>
        <w:t xml:space="preserve"> </w:t>
      </w:r>
      <w:r w:rsidRPr="00D00256">
        <w:rPr>
          <w:rFonts w:eastAsia="Times New Roman" w:cs="Arial"/>
          <w:color w:val="000000"/>
          <w:lang w:eastAsia="bg-BG"/>
        </w:rPr>
        <w:t>боцепревир, телапревир и нефазодон и лекарствени продукти съдържащи кобицистат.</w:t>
      </w:r>
    </w:p>
    <w:p w14:paraId="0B885D6E" w14:textId="6DDC7711" w:rsidR="00D00256" w:rsidRPr="00D00256" w:rsidRDefault="00D00256" w:rsidP="00D00256">
      <w:pPr>
        <w:rPr>
          <w:rFonts w:cs="Arial"/>
        </w:rPr>
      </w:pPr>
    </w:p>
    <w:p w14:paraId="0F3B5B31"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Едновременното приложение с итраконазол е довело до 10-кратно повишение на експозицията на симвастатинова киселина (активният метаболит е бета-хидроксикиселина). Телитромицин е предизвикал 11 -кратно повишение на експозицията на симвастатинова киселина.</w:t>
      </w:r>
    </w:p>
    <w:p w14:paraId="73261F98"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Затова комбинирането с итраконазол, кетоконазол, позаконазол, вориконазол, НГУпротеазни инхибитори (напр. нелфинавир), боцепревир, телапревир, еритромицин, кларитромицин, телитромицин и нефазодон и лекарствени продукти съдържащи кобицистат е противопоказано, както и с гемфиброзил, циклоспорин и даназол (вижте точка 4.3). Ако лечението с мощни инхибитори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(средства които повишават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 xml:space="preserve">приблизително 5 пъти или повече е наложително, приемът на симвастатин трябва да се преустанови по време на терапевтичния курс (и да се обмисли употребата на алтернативен статии). Трябва да се внимава и когато симвастатин се прилага комбинирано с някои други по-слаби инхибитори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флуконазол, верапамил или дилтиазем (вижте точки 4.2 и 4.4).</w:t>
      </w:r>
    </w:p>
    <w:p w14:paraId="17F94F18" w14:textId="77777777" w:rsidR="00D00256" w:rsidRPr="00D00256" w:rsidRDefault="00D00256" w:rsidP="00D00256">
      <w:pPr>
        <w:spacing w:line="240" w:lineRule="auto"/>
        <w:rPr>
          <w:rFonts w:eastAsia="Times New Roman" w:cs="Arial"/>
          <w:i/>
          <w:iCs/>
          <w:color w:val="000000"/>
          <w:lang w:eastAsia="bg-BG"/>
        </w:rPr>
      </w:pPr>
    </w:p>
    <w:p w14:paraId="1896FE49" w14:textId="4318581E"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Флуконазол</w:t>
      </w:r>
    </w:p>
    <w:p w14:paraId="73A5F7EE"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lastRenderedPageBreak/>
        <w:t>Съобщени са редки случаи на рабдомиолиза, свързани с едновременната употреба на симвастатин и флуконазол (вижте точка 4.4).</w:t>
      </w:r>
    </w:p>
    <w:p w14:paraId="2D2660AD" w14:textId="77777777" w:rsidR="00D00256" w:rsidRPr="00D00256" w:rsidRDefault="00D00256" w:rsidP="00D00256">
      <w:pPr>
        <w:spacing w:line="240" w:lineRule="auto"/>
        <w:rPr>
          <w:rFonts w:eastAsia="Times New Roman" w:cs="Arial"/>
          <w:i/>
          <w:iCs/>
          <w:color w:val="000000"/>
          <w:lang w:eastAsia="bg-BG"/>
        </w:rPr>
      </w:pPr>
    </w:p>
    <w:p w14:paraId="41255541" w14:textId="525BF72D"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Циклоспорин</w:t>
      </w:r>
    </w:p>
    <w:p w14:paraId="504478C0"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Рискът от миопатия/рабдомиолиза се увеличава при едновременно приложение на циклоспорин и симвастатин. По тази причина употребата на на лечение с циклоспорин е противопоказана (вижте точки 4.3 и 4.4). Въпреки че механизмът не е напълно разгадан, установено е, че циклоспорин повишава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 xml:space="preserve">на инхибиторите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редуктазата. Повишаването на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 xml:space="preserve">на симвастатиновата киселина се дължи предимно на частичната инхибиция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и/или ОАТР1В1.</w:t>
      </w:r>
    </w:p>
    <w:p w14:paraId="71754399" w14:textId="77777777" w:rsidR="00D00256" w:rsidRPr="00D00256" w:rsidRDefault="00D00256" w:rsidP="00D00256">
      <w:pPr>
        <w:spacing w:line="240" w:lineRule="auto"/>
        <w:rPr>
          <w:rFonts w:eastAsia="Times New Roman" w:cs="Arial"/>
          <w:i/>
          <w:iCs/>
          <w:color w:val="000000"/>
          <w:lang w:eastAsia="bg-BG"/>
        </w:rPr>
      </w:pPr>
    </w:p>
    <w:p w14:paraId="6DD94B4B" w14:textId="0F2DF74F"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Даназол</w:t>
      </w:r>
    </w:p>
    <w:p w14:paraId="442A6B84" w14:textId="4B22C009" w:rsidR="00D00256" w:rsidRPr="00D00256" w:rsidRDefault="00D00256" w:rsidP="00D00256">
      <w:pPr>
        <w:spacing w:line="240" w:lineRule="auto"/>
        <w:rPr>
          <w:rFonts w:eastAsia="Times New Roman" w:cs="Arial"/>
        </w:rPr>
      </w:pPr>
      <w:r w:rsidRPr="00D00256">
        <w:rPr>
          <w:rFonts w:eastAsia="Times New Roman" w:cs="Arial"/>
          <w:color w:val="000000"/>
          <w:lang w:eastAsia="bg-BG"/>
        </w:rPr>
        <w:t>Рискът от миопатия и рабдомиолиза се повишава при едновременна употреба на даназол със симвастатин; поради тази причина употребата с даназол е противопоказана (вижте точки 4.3 и 4.4).</w:t>
      </w:r>
    </w:p>
    <w:p w14:paraId="70C66693" w14:textId="77777777" w:rsidR="00D00256" w:rsidRPr="00D00256" w:rsidRDefault="00D00256" w:rsidP="00D00256">
      <w:pPr>
        <w:spacing w:line="240" w:lineRule="auto"/>
        <w:rPr>
          <w:rFonts w:eastAsia="Times New Roman" w:cs="Arial"/>
          <w:i/>
          <w:iCs/>
          <w:color w:val="000000"/>
          <w:lang w:eastAsia="bg-BG"/>
        </w:rPr>
      </w:pPr>
    </w:p>
    <w:p w14:paraId="2A6B76C1" w14:textId="3AAF43BC"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Гемфиброзил</w:t>
      </w:r>
    </w:p>
    <w:p w14:paraId="77B78EBF"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Гемфиброзил увеличава 1,9-кратно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на симвастатиновата киселина вероятно поради инхибиция на глюкоуронидиращия път и/или ОАТР1В1 (вижте тички 4.3 и 4.4). Едновременното приложение с гемфиброзил е противопоказано.</w:t>
      </w:r>
    </w:p>
    <w:p w14:paraId="471BA294" w14:textId="77777777" w:rsidR="00D00256" w:rsidRPr="00D00256" w:rsidRDefault="00D00256" w:rsidP="00D00256">
      <w:pPr>
        <w:spacing w:line="240" w:lineRule="auto"/>
        <w:rPr>
          <w:rFonts w:eastAsia="Times New Roman" w:cs="Arial"/>
          <w:i/>
          <w:iCs/>
          <w:color w:val="000000"/>
          <w:lang w:eastAsia="bg-BG"/>
        </w:rPr>
      </w:pPr>
    </w:p>
    <w:p w14:paraId="57EC1DE9" w14:textId="065A0918"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Фузидова киселина</w:t>
      </w:r>
    </w:p>
    <w:p w14:paraId="18445C79"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Рискът от миопатия, включително рабдомиолиза може да се повиши при едновременното системно приложение на фузидова киселина и статини. Механизмът на това взаимодействие (независимо дали е фармакодинамичен или фармакокинетичн, или и двете) все още не е известен. При пациенти, приемащи тази комбинация са съобщавани случаи на рабдомиолиза (включителни някои с фатален изход). Едновременното приложение на тази комбинация може да причини повишаване на плазмените концентрации на двете лекарства. Ако лечението с фузидова киселина е необходимо, лечението със симвастатин трябва да бъде прекратено по време на лечението с фузидова киселина (вижте точка 4.4).</w:t>
      </w:r>
    </w:p>
    <w:p w14:paraId="42C96DC4" w14:textId="77777777" w:rsidR="00D00256" w:rsidRPr="00D00256" w:rsidRDefault="00D00256" w:rsidP="00D00256">
      <w:pPr>
        <w:spacing w:line="240" w:lineRule="auto"/>
        <w:rPr>
          <w:rFonts w:eastAsia="Times New Roman" w:cs="Arial"/>
          <w:i/>
          <w:iCs/>
          <w:color w:val="000000"/>
          <w:lang w:eastAsia="bg-BG"/>
        </w:rPr>
      </w:pPr>
    </w:p>
    <w:p w14:paraId="119C45DB" w14:textId="0A38DED6"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Амиодарон</w:t>
      </w:r>
    </w:p>
    <w:p w14:paraId="3DD0B685" w14:textId="4484D09E" w:rsidR="00D00256" w:rsidRPr="00D00256" w:rsidRDefault="00D00256" w:rsidP="00D00256">
      <w:pPr>
        <w:rPr>
          <w:rFonts w:eastAsia="Times New Roman" w:cs="Arial"/>
          <w:color w:val="000000"/>
          <w:lang w:eastAsia="bg-BG"/>
        </w:rPr>
      </w:pPr>
      <w:r w:rsidRPr="00D00256">
        <w:rPr>
          <w:rFonts w:eastAsia="Times New Roman" w:cs="Arial"/>
          <w:color w:val="000000"/>
          <w:lang w:eastAsia="bg-BG"/>
        </w:rPr>
        <w:t xml:space="preserve">Рискът от миопатия и рабдомиолиза се повишава при едновременно приложение на амиодарон с по-високи дози симвастатин (вижте точка 4.4). В клинични изследвания е съобщено за миопатия в 6% от пациентите, получавали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симвастатин с амиодарон. Следователно, дозата на симвастатин не трябва да надвишава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при пациенти, приемащи съпътствано лечение с амиодарон.</w:t>
      </w:r>
    </w:p>
    <w:p w14:paraId="36442420" w14:textId="6F2ABA96" w:rsidR="00D00256" w:rsidRPr="00D00256" w:rsidRDefault="00D00256" w:rsidP="00D00256">
      <w:pPr>
        <w:rPr>
          <w:rFonts w:eastAsia="Times New Roman" w:cs="Arial"/>
          <w:color w:val="000000"/>
          <w:lang w:eastAsia="bg-BG"/>
        </w:rPr>
      </w:pPr>
    </w:p>
    <w:p w14:paraId="25C37425" w14:textId="77777777"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Калциеви антагонисти</w:t>
      </w:r>
    </w:p>
    <w:p w14:paraId="564B77E5" w14:textId="061C6310"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i/>
          <w:iCs/>
          <w:color w:val="000000"/>
          <w:lang w:eastAsia="bg-BG"/>
        </w:rPr>
        <w:t>Верапамил</w:t>
      </w:r>
    </w:p>
    <w:p w14:paraId="28437ED5"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Рискът от миопатия и рабдомиолиза е повишен при едновременно приложение на верапамил и симвастатин с доза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или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(вижте точка 4.4). Във фармакокинетични проучвания е установено, че едновременото приложение с верапамил води до 2,3-кратно повишение на експозицията на симвастатинова киселина предимно поради частична инхибиция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Затова дозата симвастатин не бива да надвишава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при пациенти, лекувани едновременно с верапамил.</w:t>
      </w:r>
    </w:p>
    <w:p w14:paraId="406587C6" w14:textId="40EFB852"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i/>
          <w:iCs/>
          <w:color w:val="000000"/>
          <w:lang w:eastAsia="bg-BG"/>
        </w:rPr>
        <w:t>Дилтиазем</w:t>
      </w:r>
    </w:p>
    <w:p w14:paraId="12167AF8"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Рискът от миопатия и рабдомиолиза се повишава при едновременна употреба на дилтиазем със симвастатин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(вижте точка 4.4). Във фармакокинетично проучване е </w:t>
      </w:r>
      <w:r w:rsidRPr="00D00256">
        <w:rPr>
          <w:rFonts w:eastAsia="Times New Roman" w:cs="Arial"/>
          <w:color w:val="000000"/>
          <w:lang w:eastAsia="bg-BG"/>
        </w:rPr>
        <w:lastRenderedPageBreak/>
        <w:t xml:space="preserve">установено, че едновременото приложение с дилтиазем води до 2,7-кратно повишение на експозицията на симвастатинова киселина предимно поради частична инхибиция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Затова дневната доза симвастатин не бива да надвишава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при пациентите, лекувани едновременно с дилтиазем.</w:t>
      </w:r>
    </w:p>
    <w:p w14:paraId="03782CE0" w14:textId="6E43189D"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i/>
          <w:iCs/>
          <w:color w:val="000000"/>
          <w:lang w:eastAsia="bg-BG"/>
        </w:rPr>
        <w:t>Амлодипин</w:t>
      </w:r>
    </w:p>
    <w:p w14:paraId="345E4A5E"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Пациентите на амлодипин, приемащи едновременно симвастатин, са с повишен риск от миопатия. Във фармакокинетично проучване е установено, че едновременото приложение с амлодипин води до 1,6-кратно повишение на експозицията на симвастатинова киселина. Затова дневната доза симвастатин не бива да надвишава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при пациентите, лекувани едновременно с амлодипин.</w:t>
      </w:r>
    </w:p>
    <w:p w14:paraId="16C17FBE" w14:textId="77777777" w:rsidR="00D00256" w:rsidRPr="00D00256" w:rsidRDefault="00D00256" w:rsidP="00D00256">
      <w:pPr>
        <w:spacing w:line="240" w:lineRule="auto"/>
        <w:rPr>
          <w:rFonts w:eastAsia="Times New Roman" w:cs="Arial"/>
          <w:i/>
          <w:iCs/>
          <w:color w:val="000000"/>
          <w:lang w:eastAsia="bg-BG"/>
        </w:rPr>
      </w:pPr>
    </w:p>
    <w:p w14:paraId="2057CC72" w14:textId="6219E70B"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Ломитапид</w:t>
      </w:r>
    </w:p>
    <w:p w14:paraId="634AF226"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При едновременно прложение на ломитапид със симвастатин, рискът от миопатия и рабдомиолиза може да се повиши (вижте точки 4.3 и 4.4). Следователно, при пациенти с ХоФХ, дозата на симвастатин не трябва да надвишава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при съпътстваща терапия с ломитапид.</w:t>
      </w:r>
    </w:p>
    <w:p w14:paraId="11F8D465" w14:textId="77777777" w:rsidR="00D00256" w:rsidRPr="00D00256" w:rsidRDefault="00D00256" w:rsidP="00D00256">
      <w:pPr>
        <w:spacing w:line="240" w:lineRule="auto"/>
        <w:rPr>
          <w:rFonts w:eastAsia="Times New Roman" w:cs="Arial"/>
          <w:i/>
          <w:iCs/>
          <w:color w:val="000000"/>
          <w:lang w:eastAsia="bg-BG"/>
        </w:rPr>
      </w:pPr>
    </w:p>
    <w:p w14:paraId="4D38999C" w14:textId="184E6156"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 xml:space="preserve">Умерено мощни инхибитори на </w:t>
      </w:r>
      <w:r w:rsidRPr="00D00256">
        <w:rPr>
          <w:rFonts w:eastAsia="Times New Roman" w:cs="Arial"/>
          <w:i/>
          <w:iCs/>
          <w:color w:val="000000"/>
          <w:lang w:val="en-US"/>
        </w:rPr>
        <w:t>CYP</w:t>
      </w:r>
      <w:r w:rsidRPr="00D00256">
        <w:rPr>
          <w:rFonts w:eastAsia="Times New Roman" w:cs="Arial"/>
          <w:i/>
          <w:iCs/>
          <w:color w:val="000000"/>
          <w:lang w:val="ru-RU"/>
        </w:rPr>
        <w:t>3</w:t>
      </w:r>
      <w:r w:rsidRPr="00D00256">
        <w:rPr>
          <w:rFonts w:eastAsia="Times New Roman" w:cs="Arial"/>
          <w:i/>
          <w:iCs/>
          <w:color w:val="000000"/>
          <w:lang w:val="en-US"/>
        </w:rPr>
        <w:t>A</w:t>
      </w:r>
      <w:r w:rsidRPr="00D00256">
        <w:rPr>
          <w:rFonts w:eastAsia="Times New Roman" w:cs="Arial"/>
          <w:i/>
          <w:iCs/>
          <w:color w:val="000000"/>
          <w:lang w:val="ru-RU"/>
        </w:rPr>
        <w:t>4</w:t>
      </w:r>
    </w:p>
    <w:p w14:paraId="0F69CE8A"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Пациентите, приемащи едновременно със симвастатин други лекарствени продукти, определени като умерено мощни инибитори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особено ако са на висока доза симвастатин, може да са е повишен риск от миопатия (вижте точка 4.4).</w:t>
      </w:r>
    </w:p>
    <w:p w14:paraId="1543595D" w14:textId="77777777" w:rsidR="00D00256" w:rsidRPr="00D00256" w:rsidRDefault="00D00256" w:rsidP="00D00256">
      <w:pPr>
        <w:spacing w:line="240" w:lineRule="auto"/>
        <w:rPr>
          <w:rFonts w:eastAsia="Times New Roman" w:cs="Arial"/>
          <w:i/>
          <w:iCs/>
          <w:color w:val="000000"/>
          <w:lang w:eastAsia="bg-BG"/>
        </w:rPr>
      </w:pPr>
    </w:p>
    <w:p w14:paraId="692547F1" w14:textId="11F8EA5B"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Инхибитори на транспортния протеин ОАТР1В1</w:t>
      </w:r>
    </w:p>
    <w:p w14:paraId="5645D126"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концентрации на симвастатинова киселина и повишен риск от миопатия (вижте точки 4.3 и 4.4).</w:t>
      </w:r>
    </w:p>
    <w:p w14:paraId="384FC23D" w14:textId="77777777" w:rsidR="00D00256" w:rsidRPr="00D00256" w:rsidRDefault="00D00256" w:rsidP="00D00256">
      <w:pPr>
        <w:spacing w:line="240" w:lineRule="auto"/>
        <w:rPr>
          <w:rFonts w:eastAsia="Times New Roman" w:cs="Arial"/>
          <w:i/>
          <w:iCs/>
          <w:color w:val="000000"/>
          <w:lang w:eastAsia="bg-BG"/>
        </w:rPr>
      </w:pPr>
    </w:p>
    <w:p w14:paraId="4F758E86" w14:textId="53C7F005"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 xml:space="preserve">Инхибитори на протеина на резистентност на рака на гърдата </w:t>
      </w:r>
      <w:r w:rsidRPr="00D00256">
        <w:rPr>
          <w:rFonts w:eastAsia="Times New Roman" w:cs="Arial"/>
          <w:i/>
          <w:iCs/>
          <w:color w:val="000000"/>
          <w:lang w:val="ru-RU"/>
        </w:rPr>
        <w:t>(</w:t>
      </w:r>
      <w:r w:rsidRPr="00D00256">
        <w:rPr>
          <w:rFonts w:eastAsia="Times New Roman" w:cs="Arial"/>
          <w:i/>
          <w:iCs/>
          <w:color w:val="000000"/>
          <w:lang w:val="en-US"/>
        </w:rPr>
        <w:t>BCRP</w:t>
      </w:r>
      <w:r w:rsidRPr="00D00256">
        <w:rPr>
          <w:rFonts w:eastAsia="Times New Roman" w:cs="Arial"/>
          <w:i/>
          <w:iCs/>
          <w:color w:val="000000"/>
          <w:lang w:val="ru-RU"/>
        </w:rPr>
        <w:t>)</w:t>
      </w:r>
    </w:p>
    <w:p w14:paraId="6BE97DD9"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Едновременно приложение на лекарствени продукти, които са инхибитори на </w:t>
      </w:r>
      <w:r w:rsidRPr="00D00256">
        <w:rPr>
          <w:rFonts w:eastAsia="Times New Roman" w:cs="Arial"/>
          <w:color w:val="000000"/>
          <w:lang w:val="en-US"/>
        </w:rPr>
        <w:t>BCRP</w:t>
      </w:r>
      <w:r w:rsidRPr="00D00256">
        <w:rPr>
          <w:rFonts w:eastAsia="Times New Roman" w:cs="Arial"/>
          <w:color w:val="000000"/>
          <w:lang w:val="ru-RU"/>
        </w:rPr>
        <w:t xml:space="preserve">, </w:t>
      </w:r>
      <w:r w:rsidRPr="00D00256">
        <w:rPr>
          <w:rFonts w:eastAsia="Times New Roman" w:cs="Arial"/>
          <w:color w:val="000000"/>
          <w:lang w:eastAsia="bg-BG"/>
        </w:rPr>
        <w:t>включително продукти съдържащи елбасвир или гразопревир, може да доведе до повишени плазмени концентрации на симвастатин и повишен риск от миопатия (вж. точки 4.2 и 4.4).</w:t>
      </w:r>
    </w:p>
    <w:p w14:paraId="0B77F69C" w14:textId="77777777" w:rsidR="00D00256" w:rsidRPr="00D00256" w:rsidRDefault="00D00256" w:rsidP="00D00256">
      <w:pPr>
        <w:spacing w:line="240" w:lineRule="auto"/>
        <w:rPr>
          <w:rFonts w:eastAsia="Times New Roman" w:cs="Arial"/>
          <w:i/>
          <w:iCs/>
          <w:color w:val="000000"/>
          <w:lang w:eastAsia="bg-BG"/>
        </w:rPr>
      </w:pPr>
    </w:p>
    <w:p w14:paraId="778DDF7F" w14:textId="66DB7081"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Ниацин (никотинова киселина)</w:t>
      </w:r>
    </w:p>
    <w:p w14:paraId="18C3FA1C"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Съобщени са редки случаи на миопатия/рабдомиолиза при едновременно приложение на симвастатин с липид понижаващи дози (≥1 </w:t>
      </w:r>
      <w:r w:rsidRPr="00D00256">
        <w:rPr>
          <w:rFonts w:eastAsia="Times New Roman" w:cs="Arial"/>
          <w:color w:val="000000"/>
          <w:lang w:val="en-US"/>
        </w:rPr>
        <w:t>g</w:t>
      </w:r>
      <w:r w:rsidRPr="00D00256">
        <w:rPr>
          <w:rFonts w:eastAsia="Times New Roman" w:cs="Arial"/>
          <w:color w:val="000000"/>
          <w:lang w:val="ru-RU"/>
        </w:rPr>
        <w:t xml:space="preserve"> </w:t>
      </w:r>
      <w:r w:rsidRPr="00D00256">
        <w:rPr>
          <w:rFonts w:eastAsia="Times New Roman" w:cs="Arial"/>
          <w:color w:val="000000"/>
          <w:lang w:eastAsia="bg-BG"/>
        </w:rPr>
        <w:t xml:space="preserve">дневно) ниацин (никотинова киселина). Във фармакокинетично проучване е установено, че приемът на 2 </w:t>
      </w:r>
      <w:r w:rsidRPr="00D00256">
        <w:rPr>
          <w:rFonts w:eastAsia="Times New Roman" w:cs="Arial"/>
          <w:color w:val="000000"/>
          <w:lang w:val="en-US"/>
        </w:rPr>
        <w:t>g</w:t>
      </w:r>
      <w:r w:rsidRPr="00D00256">
        <w:rPr>
          <w:rFonts w:eastAsia="Times New Roman" w:cs="Arial"/>
          <w:color w:val="000000"/>
          <w:lang w:val="ru-RU"/>
        </w:rPr>
        <w:t xml:space="preserve"> </w:t>
      </w:r>
      <w:r w:rsidRPr="00D00256">
        <w:rPr>
          <w:rFonts w:eastAsia="Times New Roman" w:cs="Arial"/>
          <w:color w:val="000000"/>
          <w:lang w:eastAsia="bg-BG"/>
        </w:rPr>
        <w:t xml:space="preserve">еднократна доза никотинова киселина с удължено освобождаване едновременно с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симвастатин води до умерено повишение на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на симвастатин и симвастатинова киселина и на С</w:t>
      </w:r>
      <w:r w:rsidRPr="00D00256">
        <w:rPr>
          <w:rFonts w:eastAsia="Times New Roman" w:cs="Arial"/>
          <w:color w:val="000000"/>
          <w:vertAlign w:val="subscript"/>
          <w:lang w:val="en-US"/>
        </w:rPr>
        <w:t>max</w:t>
      </w:r>
      <w:r w:rsidRPr="00D00256">
        <w:rPr>
          <w:rFonts w:eastAsia="Times New Roman" w:cs="Arial"/>
          <w:color w:val="000000"/>
          <w:lang w:eastAsia="bg-BG"/>
        </w:rPr>
        <w:t xml:space="preserve"> на плазмените концентрации на симвастатинова киселина.</w:t>
      </w:r>
    </w:p>
    <w:p w14:paraId="6C673F52" w14:textId="77777777" w:rsidR="00D00256" w:rsidRPr="00D00256" w:rsidRDefault="00D00256" w:rsidP="00D00256">
      <w:pPr>
        <w:spacing w:line="240" w:lineRule="auto"/>
        <w:rPr>
          <w:rFonts w:eastAsia="Times New Roman" w:cs="Arial"/>
          <w:i/>
          <w:iCs/>
          <w:color w:val="000000"/>
          <w:lang w:eastAsia="bg-BG"/>
        </w:rPr>
      </w:pPr>
    </w:p>
    <w:p w14:paraId="315EB819" w14:textId="143C67CF"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Сок от грейпфрут</w:t>
      </w:r>
    </w:p>
    <w:p w14:paraId="6A5EF645"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Сокът от грейпфрут инхибира цитохром Р450 ЗА4. Едновременното приемане на големи количества (над 1 </w:t>
      </w:r>
      <w:r w:rsidRPr="00D00256">
        <w:rPr>
          <w:rFonts w:eastAsia="Times New Roman" w:cs="Arial"/>
          <w:color w:val="000000"/>
          <w:lang w:val="en-US"/>
        </w:rPr>
        <w:t>L</w:t>
      </w:r>
      <w:r w:rsidRPr="00D00256">
        <w:rPr>
          <w:rFonts w:eastAsia="Times New Roman" w:cs="Arial"/>
          <w:color w:val="000000"/>
          <w:lang w:val="ru-RU"/>
        </w:rPr>
        <w:t xml:space="preserve"> </w:t>
      </w:r>
      <w:r w:rsidRPr="00D00256">
        <w:rPr>
          <w:rFonts w:eastAsia="Times New Roman" w:cs="Arial"/>
          <w:color w:val="000000"/>
          <w:lang w:eastAsia="bg-BG"/>
        </w:rPr>
        <w:t xml:space="preserve">дневно) на сок от грейпфрут заедно със симвастатин води до 7-кратно увеличение на концентрацията на симвастатинова киселина. Прием на 240 </w:t>
      </w:r>
      <w:r w:rsidRPr="00D00256">
        <w:rPr>
          <w:rFonts w:eastAsia="Times New Roman" w:cs="Arial"/>
          <w:color w:val="000000"/>
          <w:lang w:val="en-US"/>
        </w:rPr>
        <w:t>ml</w:t>
      </w:r>
      <w:r w:rsidRPr="00D00256">
        <w:rPr>
          <w:rFonts w:eastAsia="Times New Roman" w:cs="Arial"/>
          <w:color w:val="000000"/>
          <w:lang w:val="ru-RU"/>
        </w:rPr>
        <w:t xml:space="preserve"> </w:t>
      </w:r>
      <w:r w:rsidRPr="00D00256">
        <w:rPr>
          <w:rFonts w:eastAsia="Times New Roman" w:cs="Arial"/>
          <w:color w:val="000000"/>
          <w:lang w:eastAsia="bg-BG"/>
        </w:rPr>
        <w:t>сок от грейпфрут сутрин и на симвастатин вечер води до 1,9-кратно повишение. Затова се налага пиенето на сок от грейпфрут по време на лечение със симвастатин да се избягва.</w:t>
      </w:r>
    </w:p>
    <w:p w14:paraId="0A90C468" w14:textId="77777777" w:rsidR="00D00256" w:rsidRPr="00D00256" w:rsidRDefault="00D00256" w:rsidP="00D00256">
      <w:pPr>
        <w:spacing w:line="240" w:lineRule="auto"/>
        <w:rPr>
          <w:rFonts w:eastAsia="Times New Roman" w:cs="Arial"/>
          <w:i/>
          <w:iCs/>
          <w:color w:val="000000"/>
          <w:lang w:eastAsia="bg-BG"/>
        </w:rPr>
      </w:pPr>
    </w:p>
    <w:p w14:paraId="581AB245" w14:textId="1D5615D8"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Колхицин</w:t>
      </w:r>
    </w:p>
    <w:p w14:paraId="1335EEEA" w14:textId="1EEA4B43" w:rsidR="00D00256" w:rsidRPr="00D00256" w:rsidRDefault="00D00256" w:rsidP="00D00256">
      <w:pPr>
        <w:spacing w:line="240" w:lineRule="auto"/>
        <w:rPr>
          <w:rFonts w:eastAsia="Times New Roman" w:cs="Arial"/>
        </w:rPr>
      </w:pPr>
      <w:r w:rsidRPr="00D00256">
        <w:rPr>
          <w:rFonts w:eastAsia="Times New Roman" w:cs="Arial"/>
          <w:color w:val="000000"/>
          <w:lang w:eastAsia="bg-BG"/>
        </w:rPr>
        <w:lastRenderedPageBreak/>
        <w:t>Съществуват съобщения за миопатия и рабдомиолиза при едновременен прием на колхицин и симвастатин от пациенти с бъбречна недостатъчност. Препоръчва се клинично наблюдение при такива пациенти, лекувани с тази комбинация.</w:t>
      </w:r>
    </w:p>
    <w:p w14:paraId="10321769" w14:textId="77777777" w:rsidR="00D00256" w:rsidRPr="00D00256" w:rsidRDefault="00D00256" w:rsidP="00D00256">
      <w:pPr>
        <w:spacing w:line="240" w:lineRule="auto"/>
        <w:rPr>
          <w:rFonts w:eastAsia="Times New Roman" w:cs="Arial"/>
          <w:i/>
          <w:iCs/>
          <w:color w:val="000000"/>
          <w:lang w:eastAsia="bg-BG"/>
        </w:rPr>
      </w:pPr>
    </w:p>
    <w:p w14:paraId="171B456D" w14:textId="6ECB8173"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Доптамицин</w:t>
      </w:r>
    </w:p>
    <w:p w14:paraId="0C4325D7"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Рискът от миопатия и/или рабдомиолиза може да бъде повишен при едновременно прилагане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редуктазни инхибитори (напр. симвастатин) и даптомицин (вж. точка 4.4).</w:t>
      </w:r>
    </w:p>
    <w:p w14:paraId="081F88FD" w14:textId="77777777" w:rsidR="00D00256" w:rsidRPr="00D00256" w:rsidRDefault="00D00256" w:rsidP="00D00256">
      <w:pPr>
        <w:spacing w:line="240" w:lineRule="auto"/>
        <w:rPr>
          <w:rFonts w:eastAsia="Times New Roman" w:cs="Arial"/>
          <w:i/>
          <w:iCs/>
          <w:color w:val="000000"/>
          <w:lang w:eastAsia="bg-BG"/>
        </w:rPr>
      </w:pPr>
    </w:p>
    <w:p w14:paraId="070F6846" w14:textId="6CB8C9B8"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Рифампицин</w:t>
      </w:r>
    </w:p>
    <w:p w14:paraId="751FFD9F"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Тъй като рифампицин е мощен индуктор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пациентите на продължителна терапия с рифампицин (напр. при лечение на туберкулоза) могат да съобщят за липса на ефект от симвастатин. При фармакокинетично проучване на здрави доброволци е установено, че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на симвастатиновата киселина е понижена с 93% при едновременно приложение с рифампицин.</w:t>
      </w:r>
    </w:p>
    <w:p w14:paraId="21946604" w14:textId="77777777" w:rsidR="00D00256" w:rsidRPr="00D00256" w:rsidRDefault="00D00256" w:rsidP="00D00256">
      <w:pPr>
        <w:spacing w:line="240" w:lineRule="auto"/>
        <w:rPr>
          <w:rFonts w:eastAsia="Times New Roman" w:cs="Arial"/>
          <w:i/>
          <w:iCs/>
          <w:color w:val="000000"/>
          <w:lang w:eastAsia="bg-BG"/>
        </w:rPr>
      </w:pPr>
    </w:p>
    <w:p w14:paraId="6751C5CE" w14:textId="3CD7102D"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Ефект на симвастатин върху фармакокинетиката на други лекарствени продукти</w:t>
      </w:r>
    </w:p>
    <w:p w14:paraId="471E5237"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Симвастатин не оказва инхибиращ ефект върху цитохром Р4503А4. Затова не се очаква симвастатин да повлиява плазмените концентрации на веществата, метаболизирани чрез цитохром Р4503А4.</w:t>
      </w:r>
    </w:p>
    <w:p w14:paraId="721BCBBB" w14:textId="77777777" w:rsidR="00D00256" w:rsidRPr="00D00256" w:rsidRDefault="00D00256" w:rsidP="00D00256">
      <w:pPr>
        <w:spacing w:line="240" w:lineRule="auto"/>
        <w:rPr>
          <w:rFonts w:eastAsia="Times New Roman" w:cs="Arial"/>
          <w:i/>
          <w:iCs/>
          <w:color w:val="000000"/>
          <w:lang w:eastAsia="bg-BG"/>
        </w:rPr>
      </w:pPr>
    </w:p>
    <w:p w14:paraId="7144F4C6" w14:textId="551A6EDC"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Перорални антикоагуланти</w:t>
      </w:r>
    </w:p>
    <w:p w14:paraId="7D6F463D"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В две клинични проучвания, едното на здрави доброволци, а другото на хиперхолестеролемични пациенти е установено, че симвастатин в дневна доза 20-40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умерено потенцира ефекта на кумариновите антикоагуланти: протромбиновото време, представено като </w:t>
      </w:r>
      <w:r w:rsidRPr="00D00256">
        <w:rPr>
          <w:rFonts w:eastAsia="Times New Roman" w:cs="Arial"/>
          <w:color w:val="000000"/>
          <w:lang w:val="en-US"/>
        </w:rPr>
        <w:t>INR</w:t>
      </w:r>
      <w:r w:rsidRPr="00D00256">
        <w:rPr>
          <w:rFonts w:eastAsia="Times New Roman" w:cs="Arial"/>
          <w:color w:val="000000"/>
          <w:lang w:val="ru-RU"/>
        </w:rPr>
        <w:t xml:space="preserve">, </w:t>
      </w:r>
      <w:r w:rsidRPr="00D00256">
        <w:rPr>
          <w:rFonts w:eastAsia="Times New Roman" w:cs="Arial"/>
          <w:color w:val="000000"/>
          <w:lang w:eastAsia="bg-BG"/>
        </w:rPr>
        <w:t xml:space="preserve">се повишава от базово ниво 1,7 до 1,8 и от 2,6 до 3,4 съответно в групите на здравите доброволци и на хиперхолестеролемичните пациенти. Съобщени са много редки случаи на повишено </w:t>
      </w:r>
      <w:r w:rsidRPr="00D00256">
        <w:rPr>
          <w:rFonts w:eastAsia="Times New Roman" w:cs="Arial"/>
          <w:color w:val="000000"/>
          <w:lang w:val="en-US"/>
        </w:rPr>
        <w:t>INR</w:t>
      </w:r>
      <w:r w:rsidRPr="00D00256">
        <w:rPr>
          <w:rFonts w:eastAsia="Times New Roman" w:cs="Arial"/>
          <w:color w:val="000000"/>
          <w:lang w:val="ru-RU"/>
        </w:rPr>
        <w:t xml:space="preserve">. </w:t>
      </w:r>
      <w:r w:rsidRPr="00D00256">
        <w:rPr>
          <w:rFonts w:eastAsia="Times New Roman" w:cs="Arial"/>
          <w:color w:val="000000"/>
          <w:lang w:eastAsia="bg-BG"/>
        </w:rPr>
        <w:t>При пациенти, приемащи кумаринови антикоагуланти, протромбиновото време трябва да се определя преди започване на лечението със симвастатин, както и достатъчно често в началото на терапията, за да не се допусне значителна промяна. След като веднъж се установи стабилно протромбиново време, то може да се наблюдава на обичайните интервали, препоръчвани на пациентите, приемащи кумаринови антикоагуланти. Ако дозата симвастатин се променя или приемът му се преустанови, същата процедура трябва да се повтори. Лечението със симвастатин не се свързва с прокървяване или с промени в протромбиновото време при пациенти, които не вземат антикоагуланти.</w:t>
      </w:r>
    </w:p>
    <w:p w14:paraId="111399D9" w14:textId="3801CD3C" w:rsidR="00D00256" w:rsidRPr="00D00256" w:rsidRDefault="00D00256" w:rsidP="00D00256"/>
    <w:p w14:paraId="5D9F40EA" w14:textId="3D50F507" w:rsidR="007122AD" w:rsidRDefault="002C50EE" w:rsidP="00936AD0">
      <w:pPr>
        <w:pStyle w:val="Heading2"/>
      </w:pPr>
      <w:r>
        <w:t>4.6. Фертилитет, бременност и кърмене</w:t>
      </w:r>
    </w:p>
    <w:p w14:paraId="65D4DA58" w14:textId="382B4180" w:rsidR="00D00256" w:rsidRDefault="00D00256" w:rsidP="00D00256"/>
    <w:p w14:paraId="080DB6D6" w14:textId="77777777" w:rsidR="00D00256" w:rsidRPr="00D00256" w:rsidRDefault="00D00256" w:rsidP="00D00256">
      <w:pPr>
        <w:pStyle w:val="Heading3"/>
        <w:rPr>
          <w:rFonts w:eastAsia="Times New Roman"/>
          <w:sz w:val="28"/>
          <w:u w:val="single"/>
        </w:rPr>
      </w:pPr>
      <w:r w:rsidRPr="00D00256">
        <w:rPr>
          <w:rFonts w:eastAsia="Times New Roman"/>
          <w:u w:val="single"/>
          <w:lang w:eastAsia="bg-BG"/>
        </w:rPr>
        <w:t>Бременност</w:t>
      </w:r>
    </w:p>
    <w:p w14:paraId="112BF7D4"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Симвастатин е противопоказан в периода на бременността (вижте точка 4.3).</w:t>
      </w:r>
    </w:p>
    <w:p w14:paraId="67AE9374" w14:textId="77777777" w:rsidR="00D00256" w:rsidRPr="00D00256" w:rsidRDefault="00D00256" w:rsidP="00D00256">
      <w:pPr>
        <w:rPr>
          <w:rFonts w:eastAsia="Times New Roman" w:cs="Arial"/>
          <w:color w:val="000000"/>
          <w:szCs w:val="20"/>
          <w:lang w:eastAsia="bg-BG"/>
        </w:rPr>
      </w:pPr>
    </w:p>
    <w:p w14:paraId="20480A84" w14:textId="77777777" w:rsidR="00D00256" w:rsidRPr="00D00256" w:rsidRDefault="00D00256" w:rsidP="00D00256">
      <w:pPr>
        <w:rPr>
          <w:rFonts w:eastAsia="Times New Roman" w:cs="Arial"/>
          <w:sz w:val="28"/>
          <w:szCs w:val="24"/>
        </w:rPr>
      </w:pPr>
      <w:r w:rsidRPr="00D00256">
        <w:rPr>
          <w:rFonts w:eastAsia="Times New Roman" w:cs="Arial"/>
          <w:color w:val="000000"/>
          <w:szCs w:val="20"/>
          <w:lang w:eastAsia="bg-BG"/>
        </w:rPr>
        <w:t xml:space="preserve">Безопасността при бременни жени не е установена. Не са провеждани контролирани клинични изпитания със симвастатин при бременни жени. Получавани са редки съобщения за вродени аномалии след интраутеринна експозиция на </w:t>
      </w:r>
      <w:r w:rsidRPr="00D00256">
        <w:rPr>
          <w:rFonts w:eastAsia="Times New Roman" w:cs="Arial"/>
          <w:color w:val="000000"/>
          <w:szCs w:val="20"/>
          <w:lang w:val="en-US"/>
        </w:rPr>
        <w:t>HMG</w:t>
      </w:r>
      <w:r w:rsidRPr="00D00256">
        <w:rPr>
          <w:rFonts w:eastAsia="Times New Roman" w:cs="Arial"/>
          <w:color w:val="000000"/>
          <w:szCs w:val="20"/>
          <w:lang w:val="ru-RU"/>
        </w:rPr>
        <w:t>-</w:t>
      </w:r>
      <w:r w:rsidRPr="00D00256">
        <w:rPr>
          <w:rFonts w:eastAsia="Times New Roman" w:cs="Arial"/>
          <w:color w:val="000000"/>
          <w:szCs w:val="20"/>
          <w:lang w:val="en-US"/>
        </w:rPr>
        <w:t>CoA</w:t>
      </w:r>
      <w:r w:rsidRPr="00D00256">
        <w:rPr>
          <w:rFonts w:eastAsia="Times New Roman" w:cs="Arial"/>
          <w:color w:val="000000"/>
          <w:szCs w:val="20"/>
          <w:lang w:val="ru-RU"/>
        </w:rPr>
        <w:t xml:space="preserve"> </w:t>
      </w:r>
      <w:r w:rsidRPr="00D00256">
        <w:rPr>
          <w:rFonts w:eastAsia="Times New Roman" w:cs="Arial"/>
          <w:color w:val="000000"/>
          <w:szCs w:val="20"/>
          <w:lang w:eastAsia="bg-BG"/>
        </w:rPr>
        <w:t>редуктазни инхибитори. Неза</w:t>
      </w:r>
      <w:r w:rsidRPr="00D00256">
        <w:rPr>
          <w:rFonts w:eastAsia="Times New Roman" w:cs="Arial"/>
          <w:color w:val="000000"/>
          <w:szCs w:val="20"/>
          <w:u w:val="single"/>
          <w:lang w:eastAsia="bg-BG"/>
        </w:rPr>
        <w:t>висим</w:t>
      </w:r>
      <w:r w:rsidRPr="00D00256">
        <w:rPr>
          <w:rFonts w:eastAsia="Times New Roman" w:cs="Arial"/>
          <w:color w:val="000000"/>
          <w:szCs w:val="20"/>
          <w:lang w:eastAsia="bg-BG"/>
        </w:rPr>
        <w:t xml:space="preserve">о от това в анализа на приблизително 200 проследени бременности, изложени на симвастатин или друг сходен </w:t>
      </w:r>
      <w:r w:rsidRPr="00D00256">
        <w:rPr>
          <w:rFonts w:eastAsia="Times New Roman" w:cs="Arial"/>
          <w:color w:val="000000"/>
          <w:szCs w:val="20"/>
          <w:lang w:val="en-US"/>
        </w:rPr>
        <w:t>HMG</w:t>
      </w:r>
      <w:r w:rsidRPr="00D00256">
        <w:rPr>
          <w:rFonts w:eastAsia="Times New Roman" w:cs="Arial"/>
          <w:color w:val="000000"/>
          <w:szCs w:val="20"/>
          <w:lang w:val="ru-RU"/>
        </w:rPr>
        <w:t>-</w:t>
      </w:r>
      <w:r w:rsidRPr="00D00256">
        <w:rPr>
          <w:rFonts w:eastAsia="Times New Roman" w:cs="Arial"/>
          <w:color w:val="000000"/>
          <w:szCs w:val="20"/>
          <w:lang w:val="en-US"/>
        </w:rPr>
        <w:t>CoA</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редуктазен инхибитор през първия триместър, честотата на случаите с вродени аномалии е съвместима с тази в генералната популация. Този брой наблюдавани бременности е статистически </w:t>
      </w:r>
      <w:r w:rsidRPr="00D00256">
        <w:rPr>
          <w:rFonts w:eastAsia="Times New Roman" w:cs="Arial"/>
          <w:color w:val="000000"/>
          <w:szCs w:val="20"/>
          <w:lang w:eastAsia="bg-BG"/>
        </w:rPr>
        <w:lastRenderedPageBreak/>
        <w:t>достатъчен да изключи 2,5-кратно или по-голямо повишение на случаите на вродени аномалии спрямо обичайната честота.</w:t>
      </w:r>
    </w:p>
    <w:p w14:paraId="06C81CC2"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Макар да липсват доказателства, че честотата на вродени аномалии в потомството при пациенти, приемали симвастатин или друг сходен </w:t>
      </w:r>
      <w:r w:rsidRPr="00D00256">
        <w:rPr>
          <w:rFonts w:eastAsia="Times New Roman" w:cs="Arial"/>
          <w:color w:val="000000"/>
          <w:szCs w:val="20"/>
          <w:lang w:val="en-US"/>
        </w:rPr>
        <w:t>HMG</w:t>
      </w:r>
      <w:r w:rsidRPr="00D00256">
        <w:rPr>
          <w:rFonts w:eastAsia="Times New Roman" w:cs="Arial"/>
          <w:color w:val="000000"/>
          <w:szCs w:val="20"/>
          <w:lang w:val="ru-RU"/>
        </w:rPr>
        <w:t>-</w:t>
      </w:r>
      <w:r w:rsidRPr="00D00256">
        <w:rPr>
          <w:rFonts w:eastAsia="Times New Roman" w:cs="Arial"/>
          <w:color w:val="000000"/>
          <w:szCs w:val="20"/>
          <w:lang w:val="en-US"/>
        </w:rPr>
        <w:t>CoA</w:t>
      </w:r>
      <w:r w:rsidRPr="00D00256">
        <w:rPr>
          <w:rFonts w:eastAsia="Times New Roman" w:cs="Arial"/>
          <w:color w:val="000000"/>
          <w:szCs w:val="20"/>
          <w:lang w:val="ru-RU"/>
        </w:rPr>
        <w:t xml:space="preserve"> </w:t>
      </w:r>
      <w:r w:rsidRPr="00D00256">
        <w:rPr>
          <w:rFonts w:eastAsia="Times New Roman" w:cs="Arial"/>
          <w:color w:val="000000"/>
          <w:szCs w:val="20"/>
          <w:lang w:eastAsia="bg-BG"/>
        </w:rPr>
        <w:t>редуктазен инхибитор, се различава от тази за генералната популация, лечението на майката със симвастатин може да понижи феталните нива на мевалонат, който е прекурсор в холестеролния биосинтез. Атеросклерозата е хроничен процес и обикновено преустановяването на липидопонижаващите лечебни продукти по време на бременност би трябвало да има незначително влияние върху дълготрайния риск, свързан с първичната хиперхолестролемия. Поради тези причини симвастатин не трябва да се предписва на бременни жени, на жени, които правят опити за забременяване и които подозират, че са бременни. Лечението със симвастатин трябва да се преустанови по време на бременността или докато не се установи липса на бременност (вижте точки 4.3 и 5.3).</w:t>
      </w:r>
    </w:p>
    <w:p w14:paraId="0BB2869A" w14:textId="77777777" w:rsidR="00D00256" w:rsidRPr="00D00256" w:rsidRDefault="00D00256" w:rsidP="00D00256">
      <w:pPr>
        <w:spacing w:line="240" w:lineRule="auto"/>
        <w:rPr>
          <w:rFonts w:eastAsia="Times New Roman" w:cs="Arial"/>
          <w:color w:val="000000"/>
          <w:szCs w:val="20"/>
          <w:u w:val="single"/>
          <w:lang w:eastAsia="bg-BG"/>
        </w:rPr>
      </w:pPr>
    </w:p>
    <w:p w14:paraId="4603F7CC" w14:textId="7D67A1AE" w:rsidR="00D00256" w:rsidRPr="00D00256" w:rsidRDefault="00D00256" w:rsidP="00D00256">
      <w:pPr>
        <w:pStyle w:val="Heading3"/>
        <w:rPr>
          <w:rFonts w:eastAsia="Times New Roman"/>
          <w:sz w:val="28"/>
          <w:u w:val="single"/>
        </w:rPr>
      </w:pPr>
      <w:r w:rsidRPr="00D00256">
        <w:rPr>
          <w:rFonts w:eastAsia="Times New Roman"/>
          <w:u w:val="single"/>
          <w:lang w:eastAsia="bg-BG"/>
        </w:rPr>
        <w:t>Кърмене</w:t>
      </w:r>
    </w:p>
    <w:p w14:paraId="2146253A"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Не е известно дали симвастатин или неговите метаболити се излъчват в майчиното мляко. Тъй като с майчиното мляко се излъчват множество медикаменти и поради потенциалния риск от сериозни нежелани лекарствени реакции, жените, приемащи симвастатин, не трябва кърмят (вижте точка 4.3).</w:t>
      </w:r>
    </w:p>
    <w:p w14:paraId="3CB4026D" w14:textId="77777777" w:rsidR="00D00256" w:rsidRPr="00D00256" w:rsidRDefault="00D00256" w:rsidP="00D00256">
      <w:pPr>
        <w:spacing w:line="240" w:lineRule="auto"/>
        <w:rPr>
          <w:rFonts w:eastAsia="Times New Roman" w:cs="Arial"/>
          <w:color w:val="000000"/>
          <w:szCs w:val="20"/>
          <w:u w:val="single"/>
          <w:lang w:eastAsia="bg-BG"/>
        </w:rPr>
      </w:pPr>
    </w:p>
    <w:p w14:paraId="1B0EECED" w14:textId="5AE2751F" w:rsidR="00D00256" w:rsidRPr="00D00256" w:rsidRDefault="00D00256" w:rsidP="00D00256">
      <w:pPr>
        <w:pStyle w:val="Heading3"/>
        <w:rPr>
          <w:rFonts w:eastAsia="Times New Roman"/>
          <w:sz w:val="28"/>
          <w:u w:val="single"/>
        </w:rPr>
      </w:pPr>
      <w:r w:rsidRPr="00D00256">
        <w:rPr>
          <w:rFonts w:eastAsia="Times New Roman"/>
          <w:u w:val="single"/>
          <w:lang w:eastAsia="bg-BG"/>
        </w:rPr>
        <w:t>Фертилитет</w:t>
      </w:r>
    </w:p>
    <w:p w14:paraId="26A4052F"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Липсват клинични данни относно ефектите на симвастатин върху фертилитета при хора. Симвастатин не е имал ефект върху фертлитета при мъжки и женски плъхове (вижте точка 5.3).</w:t>
      </w:r>
    </w:p>
    <w:p w14:paraId="6E7CA902" w14:textId="2F5BB1E4" w:rsidR="00D00256" w:rsidRPr="00D00256" w:rsidRDefault="00D00256" w:rsidP="00D00256"/>
    <w:p w14:paraId="5DD7A76D" w14:textId="59714264" w:rsidR="007122AD" w:rsidRDefault="002C50EE" w:rsidP="00936AD0">
      <w:pPr>
        <w:pStyle w:val="Heading2"/>
      </w:pPr>
      <w:r>
        <w:t>4.7. Ефекти върху способността за шофиране и работа с машини</w:t>
      </w:r>
    </w:p>
    <w:p w14:paraId="690CEE5C" w14:textId="30213F2D" w:rsidR="00D00256" w:rsidRDefault="00D00256" w:rsidP="00D00256"/>
    <w:p w14:paraId="746A7F0A" w14:textId="77777777" w:rsidR="00D00256" w:rsidRPr="00D00256" w:rsidRDefault="00D00256" w:rsidP="00D00256">
      <w:pPr>
        <w:rPr>
          <w:sz w:val="24"/>
          <w:szCs w:val="24"/>
        </w:rPr>
      </w:pPr>
      <w:r w:rsidRPr="00D00256">
        <w:rPr>
          <w:lang w:eastAsia="bg-BG"/>
        </w:rPr>
        <w:t>Симвастатин не повлиява или повлиява пренебрежимо способността за шофиране и работа с машини. Независимо от това при шофиране или работа с машини трябва да се има предвид, че в постмаркетинговите проучвания е съобщавано рядко за замаяност.</w:t>
      </w:r>
    </w:p>
    <w:p w14:paraId="06816F94" w14:textId="77777777" w:rsidR="00D00256" w:rsidRPr="00D00256" w:rsidRDefault="00D00256" w:rsidP="00D00256"/>
    <w:p w14:paraId="44CE30A3" w14:textId="34988BC2" w:rsidR="007122AD" w:rsidRDefault="002C50EE" w:rsidP="00936AD0">
      <w:pPr>
        <w:pStyle w:val="Heading2"/>
      </w:pPr>
      <w:r>
        <w:t>4.8. Нежелани лекарствени реакции</w:t>
      </w:r>
    </w:p>
    <w:p w14:paraId="5B366552" w14:textId="50D9DE71" w:rsidR="00D00256" w:rsidRDefault="00D00256" w:rsidP="00D00256"/>
    <w:p w14:paraId="57E0C0FF" w14:textId="77777777" w:rsidR="00D00256" w:rsidRPr="00397B79" w:rsidRDefault="00D00256" w:rsidP="00D00256">
      <w:pPr>
        <w:spacing w:line="240" w:lineRule="auto"/>
        <w:rPr>
          <w:rFonts w:eastAsia="Times New Roman" w:cs="Arial"/>
        </w:rPr>
      </w:pPr>
      <w:r w:rsidRPr="00397B79">
        <w:rPr>
          <w:rFonts w:eastAsia="Times New Roman" w:cs="Arial"/>
          <w:color w:val="000000"/>
          <w:lang w:eastAsia="bg-BG"/>
        </w:rPr>
        <w:t xml:space="preserve">Честотата на посочените нежелани лекарствени реакции, за които е съобщено при клиничните проучвания и/или постмаркетинговите наблюдения, са категоризирани въз основа на оценката на тяхната честота в обширни, дългосрочни, плацебо контролирани клинични изпитания, включително </w:t>
      </w:r>
      <w:r w:rsidRPr="00397B79">
        <w:rPr>
          <w:rFonts w:eastAsia="Times New Roman" w:cs="Arial"/>
          <w:i/>
          <w:iCs/>
          <w:color w:val="000000"/>
          <w:lang w:val="en-US"/>
        </w:rPr>
        <w:t>HPS</w:t>
      </w:r>
      <w:r w:rsidRPr="00397B79">
        <w:rPr>
          <w:rFonts w:eastAsia="Times New Roman" w:cs="Arial"/>
          <w:i/>
          <w:iCs/>
          <w:color w:val="000000"/>
          <w:lang w:val="ru-RU"/>
        </w:rPr>
        <w:t xml:space="preserve"> (</w:t>
      </w:r>
      <w:r w:rsidRPr="00397B79">
        <w:rPr>
          <w:rFonts w:eastAsia="Times New Roman" w:cs="Arial"/>
          <w:i/>
          <w:iCs/>
          <w:color w:val="000000"/>
          <w:lang w:val="en-US"/>
        </w:rPr>
        <w:t>Heart</w:t>
      </w:r>
      <w:r w:rsidRPr="00397B79">
        <w:rPr>
          <w:rFonts w:eastAsia="Times New Roman" w:cs="Arial"/>
          <w:i/>
          <w:iCs/>
          <w:color w:val="000000"/>
          <w:lang w:val="ru-RU"/>
        </w:rPr>
        <w:t xml:space="preserve"> </w:t>
      </w:r>
      <w:r w:rsidRPr="00397B79">
        <w:rPr>
          <w:rFonts w:eastAsia="Times New Roman" w:cs="Arial"/>
          <w:i/>
          <w:iCs/>
          <w:color w:val="000000"/>
          <w:lang w:val="en-US"/>
        </w:rPr>
        <w:t>Protection</w:t>
      </w:r>
      <w:r w:rsidRPr="00397B79">
        <w:rPr>
          <w:rFonts w:eastAsia="Times New Roman" w:cs="Arial"/>
          <w:i/>
          <w:iCs/>
          <w:color w:val="000000"/>
          <w:lang w:val="ru-RU"/>
        </w:rPr>
        <w:t xml:space="preserve"> </w:t>
      </w:r>
      <w:r w:rsidRPr="00397B79">
        <w:rPr>
          <w:rFonts w:eastAsia="Times New Roman" w:cs="Arial"/>
          <w:i/>
          <w:iCs/>
          <w:color w:val="000000"/>
          <w:lang w:val="en-US"/>
        </w:rPr>
        <w:t>Study</w:t>
      </w:r>
      <w:r w:rsidRPr="00397B79">
        <w:rPr>
          <w:rFonts w:eastAsia="Times New Roman" w:cs="Arial"/>
          <w:i/>
          <w:iCs/>
          <w:color w:val="000000"/>
          <w:lang w:val="ru-RU"/>
        </w:rPr>
        <w:t>)</w:t>
      </w:r>
      <w:r w:rsidRPr="00397B79">
        <w:rPr>
          <w:rFonts w:eastAsia="Times New Roman" w:cs="Arial"/>
          <w:color w:val="000000"/>
          <w:lang w:val="ru-RU"/>
        </w:rPr>
        <w:t xml:space="preserve"> </w:t>
      </w:r>
      <w:r w:rsidRPr="00397B79">
        <w:rPr>
          <w:rFonts w:eastAsia="Times New Roman" w:cs="Arial"/>
          <w:color w:val="000000"/>
          <w:lang w:eastAsia="bg-BG"/>
        </w:rPr>
        <w:t xml:space="preserve">и </w:t>
      </w:r>
      <w:r w:rsidRPr="00397B79">
        <w:rPr>
          <w:rFonts w:eastAsia="Times New Roman" w:cs="Arial"/>
          <w:i/>
          <w:iCs/>
          <w:color w:val="000000"/>
          <w:lang w:val="ru-RU"/>
        </w:rPr>
        <w:t>4</w:t>
      </w:r>
      <w:r w:rsidRPr="00397B79">
        <w:rPr>
          <w:rFonts w:eastAsia="Times New Roman" w:cs="Arial"/>
          <w:i/>
          <w:iCs/>
          <w:color w:val="000000"/>
          <w:lang w:val="en-US"/>
        </w:rPr>
        <w:t>S</w:t>
      </w:r>
      <w:r w:rsidRPr="00397B79">
        <w:rPr>
          <w:rFonts w:eastAsia="Times New Roman" w:cs="Arial"/>
          <w:i/>
          <w:iCs/>
          <w:color w:val="000000"/>
          <w:lang w:val="ru-RU"/>
        </w:rPr>
        <w:t xml:space="preserve"> (</w:t>
      </w:r>
      <w:r w:rsidRPr="00397B79">
        <w:rPr>
          <w:rFonts w:eastAsia="Times New Roman" w:cs="Arial"/>
          <w:i/>
          <w:iCs/>
          <w:color w:val="000000"/>
          <w:lang w:val="en-US"/>
        </w:rPr>
        <w:t>Scandinavian</w:t>
      </w:r>
      <w:r w:rsidRPr="00397B79">
        <w:rPr>
          <w:rFonts w:eastAsia="Times New Roman" w:cs="Arial"/>
          <w:i/>
          <w:iCs/>
          <w:color w:val="000000"/>
          <w:lang w:val="ru-RU"/>
        </w:rPr>
        <w:t xml:space="preserve"> </w:t>
      </w:r>
      <w:r w:rsidRPr="00397B79">
        <w:rPr>
          <w:rFonts w:eastAsia="Times New Roman" w:cs="Arial"/>
          <w:i/>
          <w:iCs/>
          <w:color w:val="000000"/>
          <w:lang w:val="en-US"/>
        </w:rPr>
        <w:t>Simvastatin</w:t>
      </w:r>
      <w:r w:rsidRPr="00397B79">
        <w:rPr>
          <w:rFonts w:eastAsia="Times New Roman" w:cs="Arial"/>
          <w:i/>
          <w:iCs/>
          <w:color w:val="000000"/>
          <w:lang w:val="ru-RU"/>
        </w:rPr>
        <w:t xml:space="preserve"> </w:t>
      </w:r>
      <w:r w:rsidRPr="00397B79">
        <w:rPr>
          <w:rFonts w:eastAsia="Times New Roman" w:cs="Arial"/>
          <w:i/>
          <w:iCs/>
          <w:color w:val="000000"/>
          <w:lang w:val="en-US"/>
        </w:rPr>
        <w:t>Survival</w:t>
      </w:r>
      <w:r w:rsidRPr="00397B79">
        <w:rPr>
          <w:rFonts w:eastAsia="Times New Roman" w:cs="Arial"/>
          <w:i/>
          <w:iCs/>
          <w:color w:val="000000"/>
          <w:lang w:val="ru-RU"/>
        </w:rPr>
        <w:t xml:space="preserve"> </w:t>
      </w:r>
      <w:r w:rsidRPr="00397B79">
        <w:rPr>
          <w:rFonts w:eastAsia="Times New Roman" w:cs="Arial"/>
          <w:i/>
          <w:iCs/>
          <w:color w:val="000000"/>
          <w:lang w:val="en-US"/>
        </w:rPr>
        <w:t>Study</w:t>
      </w:r>
      <w:r w:rsidRPr="00397B79">
        <w:rPr>
          <w:rFonts w:eastAsia="Times New Roman" w:cs="Arial"/>
          <w:i/>
          <w:iCs/>
          <w:color w:val="000000"/>
          <w:lang w:val="ru-RU"/>
        </w:rPr>
        <w:t>)</w:t>
      </w:r>
      <w:r w:rsidRPr="00397B79">
        <w:rPr>
          <w:rFonts w:eastAsia="Times New Roman" w:cs="Arial"/>
          <w:color w:val="000000"/>
          <w:lang w:val="ru-RU"/>
        </w:rPr>
        <w:t xml:space="preserve"> </w:t>
      </w:r>
      <w:r w:rsidRPr="00397B79">
        <w:rPr>
          <w:rFonts w:eastAsia="Times New Roman" w:cs="Arial"/>
          <w:color w:val="000000"/>
          <w:lang w:eastAsia="bg-BG"/>
        </w:rPr>
        <w:t xml:space="preserve">със съответно </w:t>
      </w:r>
      <w:r w:rsidRPr="00397B79">
        <w:rPr>
          <w:rFonts w:eastAsia="Times New Roman" w:cs="Arial"/>
          <w:color w:val="000000"/>
          <w:lang w:val="ru-RU"/>
        </w:rPr>
        <w:t xml:space="preserve">20 536 </w:t>
      </w:r>
      <w:r w:rsidRPr="00397B79">
        <w:rPr>
          <w:rFonts w:eastAsia="Times New Roman" w:cs="Arial"/>
          <w:color w:val="000000"/>
          <w:lang w:eastAsia="bg-BG"/>
        </w:rPr>
        <w:t xml:space="preserve">и </w:t>
      </w:r>
      <w:r w:rsidRPr="00397B79">
        <w:rPr>
          <w:rFonts w:eastAsia="Times New Roman" w:cs="Arial"/>
          <w:color w:val="000000"/>
          <w:lang w:val="ru-RU"/>
        </w:rPr>
        <w:t xml:space="preserve">4 444 </w:t>
      </w:r>
      <w:r w:rsidRPr="00397B79">
        <w:rPr>
          <w:rFonts w:eastAsia="Times New Roman" w:cs="Arial"/>
          <w:color w:val="000000"/>
          <w:lang w:eastAsia="bg-BG"/>
        </w:rPr>
        <w:t xml:space="preserve">пациента (вижте точка 5.1). В </w:t>
      </w:r>
      <w:r w:rsidRPr="00397B79">
        <w:rPr>
          <w:rFonts w:eastAsia="Times New Roman" w:cs="Arial"/>
          <w:i/>
          <w:iCs/>
          <w:color w:val="000000"/>
          <w:lang w:val="en-US"/>
        </w:rPr>
        <w:t>HPS</w:t>
      </w:r>
      <w:r w:rsidRPr="00397B79">
        <w:rPr>
          <w:rFonts w:eastAsia="Times New Roman" w:cs="Arial"/>
          <w:color w:val="000000"/>
          <w:lang w:val="ru-RU"/>
        </w:rPr>
        <w:t xml:space="preserve"> </w:t>
      </w:r>
      <w:r w:rsidRPr="00397B79">
        <w:rPr>
          <w:rFonts w:eastAsia="Times New Roman" w:cs="Arial"/>
          <w:color w:val="000000"/>
          <w:lang w:eastAsia="bg-BG"/>
        </w:rPr>
        <w:t xml:space="preserve">са регистрирани само тежките нежелани реакции, както и миалгия и повишение на серумните трансаминази и </w:t>
      </w:r>
      <w:r w:rsidRPr="00397B79">
        <w:rPr>
          <w:rFonts w:eastAsia="Times New Roman" w:cs="Arial"/>
          <w:i/>
          <w:iCs/>
          <w:color w:val="000000"/>
          <w:lang w:eastAsia="bg-BG"/>
        </w:rPr>
        <w:t>СК.</w:t>
      </w:r>
      <w:r w:rsidRPr="00397B79">
        <w:rPr>
          <w:rFonts w:eastAsia="Times New Roman" w:cs="Arial"/>
          <w:color w:val="000000"/>
          <w:lang w:eastAsia="bg-BG"/>
        </w:rPr>
        <w:t xml:space="preserve"> В </w:t>
      </w:r>
      <w:r w:rsidRPr="00397B79">
        <w:rPr>
          <w:rFonts w:eastAsia="Times New Roman" w:cs="Arial"/>
          <w:i/>
          <w:iCs/>
          <w:color w:val="000000"/>
          <w:lang w:val="ru-RU"/>
        </w:rPr>
        <w:t>4</w:t>
      </w:r>
      <w:r w:rsidRPr="00397B79">
        <w:rPr>
          <w:rFonts w:eastAsia="Times New Roman" w:cs="Arial"/>
          <w:i/>
          <w:iCs/>
          <w:color w:val="000000"/>
          <w:lang w:val="en-US"/>
        </w:rPr>
        <w:t>S</w:t>
      </w:r>
      <w:r w:rsidRPr="00397B79">
        <w:rPr>
          <w:rFonts w:eastAsia="Times New Roman" w:cs="Arial"/>
          <w:color w:val="000000"/>
          <w:lang w:val="ru-RU"/>
        </w:rPr>
        <w:t xml:space="preserve"> </w:t>
      </w:r>
      <w:r w:rsidRPr="00397B79">
        <w:rPr>
          <w:rFonts w:eastAsia="Times New Roman" w:cs="Arial"/>
          <w:color w:val="000000"/>
          <w:lang w:eastAsia="bg-BG"/>
        </w:rPr>
        <w:t>са регистрирани всички нежелани реакции, изброени по-долу. Ако в тези проучвания честотата при симвастатин е по-малка или подобна на четотата при плацебо и е налице подобна причинно- следствена връзка при спонтанните съобщения, тези нежелани лекарствени реакции са класифицирани като „редки”.</w:t>
      </w:r>
    </w:p>
    <w:p w14:paraId="06BAC5E9" w14:textId="77777777" w:rsidR="00D00256" w:rsidRPr="00397B79" w:rsidRDefault="00D00256" w:rsidP="00D00256">
      <w:pPr>
        <w:spacing w:line="240" w:lineRule="auto"/>
        <w:rPr>
          <w:rFonts w:eastAsia="Times New Roman" w:cs="Arial"/>
          <w:color w:val="000000"/>
          <w:lang w:eastAsia="bg-BG"/>
        </w:rPr>
      </w:pPr>
    </w:p>
    <w:p w14:paraId="40DD8BFD" w14:textId="4AC3A393" w:rsidR="00D00256" w:rsidRPr="00397B79" w:rsidRDefault="00D00256" w:rsidP="00D00256">
      <w:pPr>
        <w:spacing w:line="240" w:lineRule="auto"/>
        <w:rPr>
          <w:rFonts w:eastAsia="Times New Roman" w:cs="Arial"/>
        </w:rPr>
      </w:pPr>
      <w:r w:rsidRPr="00397B79">
        <w:rPr>
          <w:rFonts w:eastAsia="Times New Roman" w:cs="Arial"/>
          <w:color w:val="000000"/>
          <w:lang w:eastAsia="bg-BG"/>
        </w:rPr>
        <w:t xml:space="preserve">В </w:t>
      </w:r>
      <w:r w:rsidRPr="00397B79">
        <w:rPr>
          <w:rFonts w:eastAsia="Times New Roman" w:cs="Arial"/>
          <w:i/>
          <w:iCs/>
          <w:color w:val="000000"/>
          <w:lang w:val="en-US"/>
        </w:rPr>
        <w:t>HPS</w:t>
      </w:r>
      <w:r w:rsidRPr="00397B79">
        <w:rPr>
          <w:rFonts w:eastAsia="Times New Roman" w:cs="Arial"/>
          <w:color w:val="000000"/>
          <w:lang w:val="ru-RU"/>
        </w:rPr>
        <w:t xml:space="preserve"> </w:t>
      </w:r>
      <w:r w:rsidRPr="00397B79">
        <w:rPr>
          <w:rFonts w:eastAsia="Times New Roman" w:cs="Arial"/>
          <w:color w:val="000000"/>
          <w:lang w:eastAsia="bg-BG"/>
        </w:rPr>
        <w:t xml:space="preserve">проучането (вижте точка 5.1), обхващащо 20 536 пациента, третирани е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дневно симвастатин (</w:t>
      </w:r>
      <w:r w:rsidRPr="00397B79">
        <w:rPr>
          <w:rFonts w:eastAsia="Times New Roman" w:cs="Arial"/>
          <w:color w:val="000000"/>
          <w:lang w:val="en-US"/>
        </w:rPr>
        <w:t>n</w:t>
      </w:r>
      <w:r w:rsidRPr="00397B79">
        <w:rPr>
          <w:rFonts w:eastAsia="Times New Roman" w:cs="Arial"/>
          <w:color w:val="000000"/>
          <w:lang w:eastAsia="bg-BG"/>
        </w:rPr>
        <w:t xml:space="preserve"> =10 269 ) или с плацебо (</w:t>
      </w:r>
      <w:r w:rsidRPr="00397B79">
        <w:rPr>
          <w:rFonts w:eastAsia="Times New Roman" w:cs="Arial"/>
          <w:color w:val="000000"/>
          <w:lang w:val="en-US"/>
        </w:rPr>
        <w:t>n</w:t>
      </w:r>
      <w:r w:rsidRPr="00397B79">
        <w:rPr>
          <w:rFonts w:eastAsia="Times New Roman" w:cs="Arial"/>
          <w:color w:val="000000"/>
          <w:lang w:eastAsia="bg-BG"/>
        </w:rPr>
        <w:t xml:space="preserve"> = 10 267) профилът на безопасност при пациентите, третирани със симвастатин е съвместим с този на плацебо-третираните в продължение на повече от средните 5 години за това проучване. Честотата на прекъсване на приема поради нежелани лекарствени реакции е съвместима (4,8% при </w:t>
      </w:r>
      <w:r w:rsidRPr="00397B79">
        <w:rPr>
          <w:rFonts w:eastAsia="Times New Roman" w:cs="Arial"/>
          <w:color w:val="000000"/>
          <w:lang w:eastAsia="bg-BG"/>
        </w:rPr>
        <w:lastRenderedPageBreak/>
        <w:t xml:space="preserve">пациентите, третирани с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дневно симвастатин, в сравнение с 5,1% при тези, третирани с плацебо). Честотата на миопатия</w:t>
      </w:r>
      <w:r w:rsidRPr="00397B79">
        <w:rPr>
          <w:rFonts w:eastAsia="Times New Roman" w:cs="Arial"/>
          <w:color w:val="000000"/>
          <w:lang w:val="ru-RU"/>
        </w:rPr>
        <w:t xml:space="preserve"> </w:t>
      </w:r>
      <w:r w:rsidRPr="00397B79">
        <w:rPr>
          <w:rFonts w:eastAsia="Times New Roman" w:cs="Arial"/>
          <w:color w:val="000000"/>
          <w:lang w:eastAsia="bg-BG"/>
        </w:rPr>
        <w:t>е &lt;0,1% при</w:t>
      </w:r>
      <w:r w:rsidRPr="00397B79">
        <w:rPr>
          <w:rFonts w:eastAsia="Times New Roman" w:cs="Arial"/>
        </w:rPr>
        <w:t xml:space="preserve"> </w:t>
      </w:r>
      <w:r w:rsidRPr="00397B79">
        <w:rPr>
          <w:rFonts w:eastAsia="Times New Roman" w:cs="Arial"/>
          <w:color w:val="000000"/>
          <w:lang w:eastAsia="bg-BG"/>
        </w:rPr>
        <w:t xml:space="preserve">пациентите, приемали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симвастатин. Повишени стойности на трансаминазите (&gt;3 кратно</w:t>
      </w:r>
    </w:p>
    <w:p w14:paraId="33F713D5" w14:textId="027B0200" w:rsidR="00397B79" w:rsidRPr="00397B79" w:rsidRDefault="00D00256" w:rsidP="00397B79">
      <w:pPr>
        <w:rPr>
          <w:rFonts w:eastAsia="Times New Roman" w:cs="Arial"/>
          <w:color w:val="000000"/>
          <w:lang w:val="ru-RU"/>
        </w:rPr>
      </w:pPr>
      <w:r w:rsidRPr="00397B79">
        <w:rPr>
          <w:rFonts w:eastAsia="Times New Roman" w:cs="Arial"/>
          <w:color w:val="000000"/>
          <w:lang w:eastAsia="bg-BG"/>
        </w:rPr>
        <w:t>горната граница на нормата, потвърдено при повторно изследване) се наблюдават при 0,21% (</w:t>
      </w:r>
      <w:r w:rsidRPr="00397B79">
        <w:rPr>
          <w:rFonts w:eastAsia="Times New Roman" w:cs="Arial"/>
          <w:color w:val="000000"/>
          <w:lang w:val="en-US"/>
        </w:rPr>
        <w:t>n</w:t>
      </w:r>
      <w:r w:rsidRPr="00397B79">
        <w:rPr>
          <w:rFonts w:eastAsia="Times New Roman" w:cs="Arial"/>
          <w:color w:val="000000"/>
          <w:lang w:val="ru-RU"/>
        </w:rPr>
        <w:t>=</w:t>
      </w:r>
      <w:r w:rsidR="00397B79" w:rsidRPr="00397B79">
        <w:rPr>
          <w:rFonts w:eastAsia="Times New Roman" w:cs="Arial"/>
          <w:color w:val="000000"/>
          <w:lang w:val="ru-RU"/>
        </w:rPr>
        <w:t xml:space="preserve">21) </w:t>
      </w:r>
      <w:r w:rsidR="00397B79" w:rsidRPr="00397B79">
        <w:rPr>
          <w:rFonts w:eastAsia="Times New Roman" w:cs="Arial"/>
          <w:color w:val="000000"/>
          <w:lang w:eastAsia="bg-BG"/>
        </w:rPr>
        <w:t xml:space="preserve">от пациентите, лекувани с 40 </w:t>
      </w:r>
      <w:r w:rsidR="00397B79" w:rsidRPr="00397B79">
        <w:rPr>
          <w:rFonts w:eastAsia="Times New Roman" w:cs="Arial"/>
          <w:color w:val="000000"/>
          <w:lang w:val="en-US"/>
        </w:rPr>
        <w:t>mg</w:t>
      </w:r>
      <w:r w:rsidR="00397B79" w:rsidRPr="00397B79">
        <w:rPr>
          <w:rFonts w:eastAsia="Times New Roman" w:cs="Arial"/>
          <w:color w:val="000000"/>
          <w:lang w:val="ru-RU"/>
        </w:rPr>
        <w:t xml:space="preserve"> </w:t>
      </w:r>
      <w:r w:rsidR="00397B79" w:rsidRPr="00397B79">
        <w:rPr>
          <w:rFonts w:eastAsia="Times New Roman" w:cs="Arial"/>
          <w:color w:val="000000"/>
          <w:lang w:eastAsia="bg-BG"/>
        </w:rPr>
        <w:t>симвастатин, в сравнение с 0,09% (</w:t>
      </w:r>
      <w:r w:rsidR="00397B79" w:rsidRPr="00397B79">
        <w:rPr>
          <w:rFonts w:eastAsia="Times New Roman" w:cs="Arial"/>
          <w:color w:val="000000"/>
          <w:lang w:val="en-US"/>
        </w:rPr>
        <w:t>n</w:t>
      </w:r>
      <w:r w:rsidR="00397B79" w:rsidRPr="00397B79">
        <w:rPr>
          <w:rFonts w:eastAsia="Times New Roman" w:cs="Arial"/>
          <w:color w:val="000000"/>
          <w:lang w:eastAsia="bg-BG"/>
        </w:rPr>
        <w:t xml:space="preserve"> = 9) при плацебо третираните.</w:t>
      </w:r>
    </w:p>
    <w:p w14:paraId="28C09D50"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Честотата на нежеланите лекарствени реакции е класифицирана, както следва: много чести (&gt;1/10); чести (≥1/100, &lt;1/10); нечести (≥1/1,000, &lt;1/100); редки (≥1/10,000, &lt;1/1,000); много редки (&lt;1/10,000); с неизвестна честота (от наличните данни не може да бъде направена оценка).</w:t>
      </w:r>
    </w:p>
    <w:p w14:paraId="14849A2B" w14:textId="77777777" w:rsidR="00397B79" w:rsidRPr="00397B79" w:rsidRDefault="00397B79" w:rsidP="00397B79">
      <w:pPr>
        <w:spacing w:line="240" w:lineRule="auto"/>
        <w:rPr>
          <w:rFonts w:eastAsia="Times New Roman" w:cs="Arial"/>
          <w:color w:val="000000"/>
          <w:u w:val="single"/>
          <w:lang w:eastAsia="bg-BG"/>
        </w:rPr>
      </w:pPr>
    </w:p>
    <w:p w14:paraId="005FC2C2" w14:textId="44087BDD"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кръвта и лимфната система</w:t>
      </w:r>
    </w:p>
    <w:p w14:paraId="74BF44E5"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анемия.</w:t>
      </w:r>
    </w:p>
    <w:p w14:paraId="301B4E36" w14:textId="77777777" w:rsidR="00397B79" w:rsidRPr="00397B79" w:rsidRDefault="00397B79" w:rsidP="00397B79">
      <w:pPr>
        <w:spacing w:line="240" w:lineRule="auto"/>
        <w:rPr>
          <w:rFonts w:eastAsia="Times New Roman" w:cs="Arial"/>
          <w:color w:val="000000"/>
          <w:u w:val="single"/>
          <w:lang w:eastAsia="bg-BG"/>
        </w:rPr>
      </w:pPr>
    </w:p>
    <w:p w14:paraId="68C2FCC7" w14:textId="3E1B15AC"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Психични нарушения</w:t>
      </w:r>
    </w:p>
    <w:p w14:paraId="1B6842A0"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безсъние.</w:t>
      </w:r>
    </w:p>
    <w:p w14:paraId="09D0AFEC"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С неизвестна честота:</w:t>
      </w:r>
      <w:r w:rsidRPr="00397B79">
        <w:rPr>
          <w:rFonts w:eastAsia="Times New Roman" w:cs="Arial"/>
          <w:color w:val="000000"/>
          <w:lang w:eastAsia="bg-BG"/>
        </w:rPr>
        <w:t xml:space="preserve"> депресия.</w:t>
      </w:r>
    </w:p>
    <w:p w14:paraId="2DB1433D" w14:textId="77777777" w:rsidR="00397B79" w:rsidRPr="00397B79" w:rsidRDefault="00397B79" w:rsidP="00397B79">
      <w:pPr>
        <w:spacing w:line="240" w:lineRule="auto"/>
        <w:rPr>
          <w:rFonts w:eastAsia="Times New Roman" w:cs="Arial"/>
          <w:color w:val="000000"/>
          <w:u w:val="single"/>
          <w:lang w:eastAsia="bg-BG"/>
        </w:rPr>
      </w:pPr>
    </w:p>
    <w:p w14:paraId="25F9A244" w14:textId="22944895"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нервната система</w:t>
      </w:r>
    </w:p>
    <w:p w14:paraId="74D2C0A6"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главоболие, парестезия, замаяност, периферна невропатия.</w:t>
      </w:r>
    </w:p>
    <w:p w14:paraId="5435981D"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нарушения в паметта.</w:t>
      </w:r>
    </w:p>
    <w:p w14:paraId="6DCDBBED" w14:textId="77777777" w:rsidR="00397B79" w:rsidRPr="00397B79" w:rsidRDefault="00397B79" w:rsidP="00397B79">
      <w:pPr>
        <w:spacing w:line="240" w:lineRule="auto"/>
        <w:rPr>
          <w:rFonts w:eastAsia="Times New Roman" w:cs="Arial"/>
          <w:color w:val="000000"/>
          <w:u w:val="single"/>
          <w:lang w:eastAsia="bg-BG"/>
        </w:rPr>
      </w:pPr>
    </w:p>
    <w:p w14:paraId="27197B76" w14:textId="046D3D1A"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Респираторни, гръдни и медиастинални нарушения</w:t>
      </w:r>
    </w:p>
    <w:p w14:paraId="17A21910"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С неизвестна честота:</w:t>
      </w:r>
      <w:r w:rsidRPr="00397B79">
        <w:rPr>
          <w:rFonts w:eastAsia="Times New Roman" w:cs="Arial"/>
          <w:color w:val="000000"/>
          <w:lang w:eastAsia="bg-BG"/>
        </w:rPr>
        <w:t xml:space="preserve"> интерстициална белодробна болест (вижте точка 4.4).</w:t>
      </w:r>
    </w:p>
    <w:p w14:paraId="499FF411" w14:textId="77777777" w:rsidR="00397B79" w:rsidRPr="00397B79" w:rsidRDefault="00397B79" w:rsidP="00397B79">
      <w:pPr>
        <w:spacing w:line="240" w:lineRule="auto"/>
        <w:rPr>
          <w:rFonts w:eastAsia="Times New Roman" w:cs="Arial"/>
          <w:color w:val="000000"/>
          <w:u w:val="single"/>
          <w:lang w:eastAsia="bg-BG"/>
        </w:rPr>
      </w:pPr>
    </w:p>
    <w:p w14:paraId="40A84152" w14:textId="08AF56C2"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Стомашно-чревни нарушения</w:t>
      </w:r>
    </w:p>
    <w:p w14:paraId="11DEBDB6"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запек, коремни болки, метеоризъм, диспепсия, диария, гадене, повръщане, панкреатит.</w:t>
      </w:r>
    </w:p>
    <w:p w14:paraId="2C1F1AA2" w14:textId="77777777" w:rsidR="00397B79" w:rsidRPr="00397B79" w:rsidRDefault="00397B79" w:rsidP="00397B79">
      <w:pPr>
        <w:spacing w:line="240" w:lineRule="auto"/>
        <w:rPr>
          <w:rFonts w:eastAsia="Times New Roman" w:cs="Arial"/>
          <w:color w:val="000000"/>
          <w:u w:val="single"/>
          <w:lang w:eastAsia="bg-BG"/>
        </w:rPr>
      </w:pPr>
    </w:p>
    <w:p w14:paraId="29209735" w14:textId="186314BB"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Хепатобилиарни нарушения</w:t>
      </w:r>
    </w:p>
    <w:p w14:paraId="6255868C"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хепатит/иктер.</w:t>
      </w:r>
    </w:p>
    <w:p w14:paraId="06178ED7"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фатална и нефатална чернодробна недостатъчност.</w:t>
      </w:r>
    </w:p>
    <w:p w14:paraId="78DC5AAC" w14:textId="77777777" w:rsidR="00397B79" w:rsidRPr="00397B79" w:rsidRDefault="00397B79" w:rsidP="00397B79">
      <w:pPr>
        <w:spacing w:line="240" w:lineRule="auto"/>
        <w:rPr>
          <w:rFonts w:eastAsia="Times New Roman" w:cs="Arial"/>
          <w:color w:val="000000"/>
          <w:u w:val="single"/>
          <w:lang w:eastAsia="bg-BG"/>
        </w:rPr>
      </w:pPr>
    </w:p>
    <w:p w14:paraId="50CF89BF" w14:textId="404D8461"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очите:</w:t>
      </w:r>
    </w:p>
    <w:p w14:paraId="44E454B4"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замъглено зрение, нарушено зрение.</w:t>
      </w:r>
    </w:p>
    <w:p w14:paraId="703E8A7A" w14:textId="77777777" w:rsidR="00397B79" w:rsidRPr="00397B79" w:rsidRDefault="00397B79" w:rsidP="00397B79">
      <w:pPr>
        <w:spacing w:line="240" w:lineRule="auto"/>
        <w:rPr>
          <w:rFonts w:eastAsia="Times New Roman" w:cs="Arial"/>
          <w:color w:val="000000"/>
          <w:u w:val="single"/>
          <w:lang w:eastAsia="bg-BG"/>
        </w:rPr>
      </w:pPr>
    </w:p>
    <w:p w14:paraId="069261F3" w14:textId="388F65BB"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кожата и подкожната тъкан</w:t>
      </w:r>
    </w:p>
    <w:p w14:paraId="38C4519D"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обрив, пруритус, алопеция.</w:t>
      </w:r>
    </w:p>
    <w:p w14:paraId="5E7BBF90"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лихеноидни лекарствени ерупции.</w:t>
      </w:r>
    </w:p>
    <w:p w14:paraId="5A75A7AB" w14:textId="77777777" w:rsidR="00397B79" w:rsidRPr="00397B79" w:rsidRDefault="00397B79" w:rsidP="00397B79">
      <w:pPr>
        <w:spacing w:line="240" w:lineRule="auto"/>
        <w:rPr>
          <w:rFonts w:eastAsia="Times New Roman" w:cs="Arial"/>
          <w:color w:val="000000"/>
          <w:u w:val="single"/>
          <w:lang w:eastAsia="bg-BG"/>
        </w:rPr>
      </w:pPr>
    </w:p>
    <w:p w14:paraId="4C70D4BF" w14:textId="2A535877"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имунната система</w:t>
      </w:r>
    </w:p>
    <w:p w14:paraId="1F9E90A2"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анафилаксия.</w:t>
      </w:r>
    </w:p>
    <w:p w14:paraId="2B2E5322" w14:textId="77777777" w:rsidR="00397B79" w:rsidRPr="00397B79" w:rsidRDefault="00397B79" w:rsidP="00397B79">
      <w:pPr>
        <w:spacing w:line="240" w:lineRule="auto"/>
        <w:rPr>
          <w:rFonts w:eastAsia="Times New Roman" w:cs="Arial"/>
          <w:color w:val="000000"/>
          <w:u w:val="single"/>
          <w:lang w:eastAsia="bg-BG"/>
        </w:rPr>
      </w:pPr>
    </w:p>
    <w:p w14:paraId="211F6A40" w14:textId="6EAE2E2C"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мускулно-скелетната система и съединителната тъкан</w:t>
      </w:r>
    </w:p>
    <w:p w14:paraId="4D3BD318"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миопатия* (включително миозит), рабдомиолиза със или без остра сърдечна недостатъчност (вижте точка 4.4), миалгия, мускулни крампи.</w:t>
      </w:r>
    </w:p>
    <w:p w14:paraId="0B1E2241"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мускулна руптура.</w:t>
      </w:r>
    </w:p>
    <w:p w14:paraId="1E14C59F"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С неизвестна честота:</w:t>
      </w:r>
      <w:r w:rsidRPr="00397B79">
        <w:rPr>
          <w:rFonts w:eastAsia="Times New Roman" w:cs="Arial"/>
          <w:color w:val="000000"/>
          <w:lang w:eastAsia="bg-BG"/>
        </w:rPr>
        <w:t xml:space="preserve"> тендинопатия, понякога усложнена с руптура; имуномедиирана некротизираща миопатия (ИМНМ)** (вж. точка 4.4)</w:t>
      </w:r>
    </w:p>
    <w:p w14:paraId="1DEE2C78"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lastRenderedPageBreak/>
        <w:t xml:space="preserve">*В клиничното проучване миопатията е наблюдавана обикновено при пациенти, третирани с 80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дневно симвастатин, в сравнение с пациенти, третирани с 20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дневно (съответно 1,0% в сравнение с 0,02%).</w:t>
      </w:r>
    </w:p>
    <w:p w14:paraId="2193D5CD" w14:textId="77777777" w:rsidR="00397B79" w:rsidRPr="00397B79" w:rsidRDefault="00397B79" w:rsidP="00397B79">
      <w:pPr>
        <w:rPr>
          <w:rFonts w:eastAsia="Times New Roman" w:cs="Arial"/>
        </w:rPr>
      </w:pPr>
      <w:r w:rsidRPr="00397B79">
        <w:rPr>
          <w:rFonts w:eastAsia="Times New Roman" w:cs="Arial"/>
          <w:color w:val="000000"/>
          <w:lang w:eastAsia="bg-BG"/>
        </w:rPr>
        <w:t>** 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перзистираща проксимална мускулна слабост и повишени серумни нива на креатин киназата, които перзистират, въпреки прекратяването на лечението със статин: мускулна биопския, показваща некротизираща миопатия без значимо възпаление; подобрение с имуносупресивни средства (вижте точка 4.4).</w:t>
      </w:r>
    </w:p>
    <w:p w14:paraId="5463F17A" w14:textId="77777777" w:rsidR="00397B79" w:rsidRPr="00397B79" w:rsidRDefault="00397B79" w:rsidP="00397B79">
      <w:pPr>
        <w:spacing w:line="240" w:lineRule="auto"/>
        <w:rPr>
          <w:rFonts w:eastAsia="Times New Roman" w:cs="Arial"/>
          <w:color w:val="000000"/>
          <w:u w:val="single"/>
          <w:lang w:eastAsia="bg-BG"/>
        </w:rPr>
      </w:pPr>
    </w:p>
    <w:p w14:paraId="3F7DE358" w14:textId="58DDE9EC"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възпроизводителната система и гърдата</w:t>
      </w:r>
    </w:p>
    <w:p w14:paraId="5B87754E"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С неизвестна честота:</w:t>
      </w:r>
      <w:r w:rsidRPr="00397B79">
        <w:rPr>
          <w:rFonts w:eastAsia="Times New Roman" w:cs="Arial"/>
          <w:color w:val="000000"/>
          <w:lang w:eastAsia="bg-BG"/>
        </w:rPr>
        <w:t xml:space="preserve"> еректилна дисфункция.</w:t>
      </w:r>
    </w:p>
    <w:p w14:paraId="76AC1AAF"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гинекомастия.</w:t>
      </w:r>
    </w:p>
    <w:p w14:paraId="717FAAC9" w14:textId="77777777" w:rsidR="00397B79" w:rsidRPr="00397B79" w:rsidRDefault="00397B79" w:rsidP="00397B79">
      <w:pPr>
        <w:spacing w:line="240" w:lineRule="auto"/>
        <w:rPr>
          <w:rFonts w:eastAsia="Times New Roman" w:cs="Arial"/>
          <w:color w:val="000000"/>
          <w:u w:val="single"/>
          <w:lang w:eastAsia="bg-BG"/>
        </w:rPr>
      </w:pPr>
    </w:p>
    <w:p w14:paraId="43889440" w14:textId="1933C0FF"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Общи нарушения и ефекти на мястото на приложение</w:t>
      </w:r>
    </w:p>
    <w:p w14:paraId="69AC2BA5"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астения.</w:t>
      </w:r>
    </w:p>
    <w:p w14:paraId="10C53FBD" w14:textId="77777777" w:rsidR="00397B79" w:rsidRPr="00397B79" w:rsidRDefault="00397B79" w:rsidP="00397B79">
      <w:pPr>
        <w:spacing w:line="240" w:lineRule="auto"/>
        <w:rPr>
          <w:rFonts w:eastAsia="Times New Roman" w:cs="Arial"/>
          <w:color w:val="000000"/>
          <w:lang w:eastAsia="bg-BG"/>
        </w:rPr>
      </w:pPr>
    </w:p>
    <w:p w14:paraId="0D135553" w14:textId="49C7CB0B" w:rsidR="00397B79" w:rsidRPr="00397B79" w:rsidRDefault="00397B79" w:rsidP="00397B79">
      <w:pPr>
        <w:spacing w:line="240" w:lineRule="auto"/>
        <w:rPr>
          <w:rFonts w:eastAsia="Times New Roman" w:cs="Arial"/>
        </w:rPr>
      </w:pPr>
      <w:r w:rsidRPr="00397B79">
        <w:rPr>
          <w:rFonts w:eastAsia="Times New Roman" w:cs="Arial"/>
          <w:color w:val="000000"/>
          <w:lang w:eastAsia="bg-BG"/>
        </w:rPr>
        <w:t>За явен синдром на свръхчувствителност се съобщава рядко. Описани са следните реакции: ангиоедем, лупус-подобен синдром, ревматична полимиалгия, дерматомиозит, васкулит, тромбоцитопения, еоозинофилия, ускорена СУЕ, артрит и артралгия, уртикария, фоточувствителност, треска, зачервяване, диспнея и общо неразположение.</w:t>
      </w:r>
    </w:p>
    <w:p w14:paraId="5B0DD795" w14:textId="77777777" w:rsidR="00397B79" w:rsidRPr="00397B79" w:rsidRDefault="00397B79" w:rsidP="00397B79">
      <w:pPr>
        <w:spacing w:line="240" w:lineRule="auto"/>
        <w:rPr>
          <w:rFonts w:eastAsia="Times New Roman" w:cs="Arial"/>
          <w:color w:val="000000"/>
          <w:u w:val="single"/>
          <w:lang w:eastAsia="bg-BG"/>
        </w:rPr>
      </w:pPr>
    </w:p>
    <w:p w14:paraId="39BD18B6" w14:textId="7A2AE7DC"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Изследвания</w:t>
      </w:r>
    </w:p>
    <w:p w14:paraId="2669C381"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повишени нива на серумните трансаминази </w:t>
      </w:r>
      <w:r w:rsidRPr="00397B79">
        <w:rPr>
          <w:rFonts w:eastAsia="Times New Roman" w:cs="Arial"/>
          <w:color w:val="000000"/>
          <w:lang w:val="ru-RU"/>
        </w:rPr>
        <w:t>(</w:t>
      </w:r>
      <w:r w:rsidRPr="00397B79">
        <w:rPr>
          <w:rFonts w:eastAsia="Times New Roman" w:cs="Arial"/>
          <w:color w:val="000000"/>
          <w:lang w:val="en-US"/>
        </w:rPr>
        <w:t>ALT</w:t>
      </w:r>
      <w:r w:rsidRPr="00397B79">
        <w:rPr>
          <w:rFonts w:eastAsia="Times New Roman" w:cs="Arial"/>
          <w:color w:val="000000"/>
          <w:lang w:val="ru-RU"/>
        </w:rPr>
        <w:t xml:space="preserve">, </w:t>
      </w:r>
      <w:r w:rsidRPr="00397B79">
        <w:rPr>
          <w:rFonts w:eastAsia="Times New Roman" w:cs="Arial"/>
          <w:color w:val="000000"/>
          <w:lang w:val="en-US"/>
        </w:rPr>
        <w:t>AST</w:t>
      </w:r>
      <w:r w:rsidRPr="00397B79">
        <w:rPr>
          <w:rFonts w:eastAsia="Times New Roman" w:cs="Arial"/>
          <w:color w:val="000000"/>
          <w:lang w:val="ru-RU"/>
        </w:rPr>
        <w:t xml:space="preserve">, </w:t>
      </w:r>
      <w:r w:rsidRPr="00397B79">
        <w:rPr>
          <w:rFonts w:eastAsia="Times New Roman" w:cs="Arial"/>
          <w:color w:val="000000"/>
          <w:lang w:eastAsia="bg-BG"/>
        </w:rPr>
        <w:t>γ</w:t>
      </w:r>
      <w:r w:rsidRPr="00397B79">
        <w:rPr>
          <w:rFonts w:eastAsia="Times New Roman" w:cs="Arial"/>
          <w:color w:val="000000"/>
          <w:lang w:val="ru-RU"/>
        </w:rPr>
        <w:t>-</w:t>
      </w:r>
      <w:r w:rsidRPr="00397B79">
        <w:rPr>
          <w:rFonts w:eastAsia="Times New Roman" w:cs="Arial"/>
          <w:color w:val="000000"/>
          <w:lang w:val="en-US"/>
        </w:rPr>
        <w:t>GTP</w:t>
      </w:r>
      <w:r w:rsidRPr="00397B79">
        <w:rPr>
          <w:rFonts w:eastAsia="Times New Roman" w:cs="Arial"/>
          <w:color w:val="000000"/>
          <w:lang w:val="ru-RU"/>
        </w:rPr>
        <w:t xml:space="preserve">) </w:t>
      </w:r>
      <w:r w:rsidRPr="00397B79">
        <w:rPr>
          <w:rFonts w:eastAsia="Times New Roman" w:cs="Arial"/>
          <w:color w:val="000000"/>
          <w:lang w:eastAsia="bg-BG"/>
        </w:rPr>
        <w:t>(вижте точка 4.4), на алкалната фосфатаза, на серумната креатин киназа (вижте точка 4.4).</w:t>
      </w:r>
    </w:p>
    <w:p w14:paraId="52F1ADB5" w14:textId="77777777" w:rsidR="00397B79" w:rsidRPr="00397B79" w:rsidRDefault="00397B79" w:rsidP="00397B79">
      <w:pPr>
        <w:spacing w:line="240" w:lineRule="auto"/>
        <w:rPr>
          <w:rFonts w:eastAsia="Times New Roman" w:cs="Arial"/>
          <w:color w:val="000000"/>
          <w:lang w:eastAsia="bg-BG"/>
        </w:rPr>
      </w:pPr>
    </w:p>
    <w:p w14:paraId="427DE6FB" w14:textId="3D14684A"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Повишаване на </w:t>
      </w:r>
      <w:proofErr w:type="spellStart"/>
      <w:r w:rsidRPr="00397B79">
        <w:rPr>
          <w:rFonts w:eastAsia="Times New Roman" w:cs="Arial"/>
          <w:color w:val="000000"/>
          <w:lang w:val="en-US"/>
        </w:rPr>
        <w:t>HbA</w:t>
      </w:r>
      <w:proofErr w:type="spellEnd"/>
      <w:r w:rsidRPr="00397B79">
        <w:rPr>
          <w:rFonts w:eastAsia="Times New Roman" w:cs="Arial"/>
          <w:color w:val="000000"/>
          <w:lang w:val="ru-RU"/>
        </w:rPr>
        <w:t>1</w:t>
      </w:r>
      <w:r w:rsidRPr="00397B79">
        <w:rPr>
          <w:rFonts w:eastAsia="Times New Roman" w:cs="Arial"/>
          <w:color w:val="000000"/>
          <w:lang w:val="en-US"/>
        </w:rPr>
        <w:t>c</w:t>
      </w:r>
      <w:r w:rsidRPr="00397B79">
        <w:rPr>
          <w:rFonts w:eastAsia="Times New Roman" w:cs="Arial"/>
          <w:color w:val="000000"/>
          <w:lang w:val="ru-RU"/>
        </w:rPr>
        <w:t xml:space="preserve"> </w:t>
      </w:r>
      <w:r w:rsidRPr="00397B79">
        <w:rPr>
          <w:rFonts w:eastAsia="Times New Roman" w:cs="Arial"/>
          <w:color w:val="000000"/>
          <w:lang w:eastAsia="bg-BG"/>
        </w:rPr>
        <w:t>и серумните нива на глюкоза на гладно са съобщавани при статини, включително Холеста.</w:t>
      </w:r>
    </w:p>
    <w:p w14:paraId="73131115"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При постмаркетинговия опит рядко са съобщавани случаи на когнитивно увреждане (напр. Загуба на паметта, разсеяност, амнезия, увреждане на паметта, объркване), свързани с употребата на статини, включително симвастатин. Съобщенията обикновено не са сериозни и са обратми при прекъсване на лечението със статии, с различно време на поява на симптомите (1 ден до години) и отзвучаване на симптомите (медиана 3 седмици).</w:t>
      </w:r>
    </w:p>
    <w:p w14:paraId="07975D34" w14:textId="77777777" w:rsidR="00397B79" w:rsidRPr="00397B79" w:rsidRDefault="00397B79" w:rsidP="00397B79">
      <w:pPr>
        <w:spacing w:line="240" w:lineRule="auto"/>
        <w:rPr>
          <w:rFonts w:eastAsia="Times New Roman" w:cs="Arial"/>
          <w:color w:val="000000"/>
          <w:lang w:eastAsia="bg-BG"/>
        </w:rPr>
      </w:pPr>
    </w:p>
    <w:p w14:paraId="3D835408" w14:textId="1CA1D5E4" w:rsidR="00397B79" w:rsidRPr="00397B79" w:rsidRDefault="00397B79" w:rsidP="00397B79">
      <w:pPr>
        <w:spacing w:line="240" w:lineRule="auto"/>
        <w:rPr>
          <w:rFonts w:eastAsia="Times New Roman" w:cs="Arial"/>
        </w:rPr>
      </w:pPr>
      <w:r w:rsidRPr="00397B79">
        <w:rPr>
          <w:rFonts w:eastAsia="Times New Roman" w:cs="Arial"/>
          <w:color w:val="000000"/>
          <w:lang w:eastAsia="bg-BG"/>
        </w:rPr>
        <w:t>Следните нежелани лекарствени реакции са съобщени допълнително при някои статини:</w:t>
      </w:r>
    </w:p>
    <w:p w14:paraId="39825E6C" w14:textId="77777777" w:rsidR="00397B79" w:rsidRPr="00397B79" w:rsidRDefault="00397B79" w:rsidP="00397B79">
      <w:pPr>
        <w:pStyle w:val="ListParagraph"/>
        <w:numPr>
          <w:ilvl w:val="0"/>
          <w:numId w:val="37"/>
        </w:numPr>
        <w:spacing w:line="240" w:lineRule="auto"/>
        <w:rPr>
          <w:rFonts w:eastAsia="Times New Roman" w:cs="Arial"/>
          <w:color w:val="000000"/>
          <w:lang w:eastAsia="bg-BG"/>
        </w:rPr>
      </w:pPr>
      <w:r w:rsidRPr="00397B79">
        <w:rPr>
          <w:rFonts w:eastAsia="Times New Roman" w:cs="Arial"/>
          <w:color w:val="000000"/>
          <w:lang w:eastAsia="bg-BG"/>
        </w:rPr>
        <w:t>нарушения в съня, включително сънуване на кошмари;</w:t>
      </w:r>
    </w:p>
    <w:p w14:paraId="7AF758A3" w14:textId="77777777" w:rsidR="00397B79" w:rsidRPr="00397B79" w:rsidRDefault="00397B79" w:rsidP="00397B79">
      <w:pPr>
        <w:pStyle w:val="ListParagraph"/>
        <w:numPr>
          <w:ilvl w:val="0"/>
          <w:numId w:val="37"/>
        </w:numPr>
        <w:spacing w:line="240" w:lineRule="auto"/>
        <w:rPr>
          <w:rFonts w:eastAsia="Times New Roman" w:cs="Arial"/>
          <w:color w:val="000000"/>
          <w:lang w:eastAsia="bg-BG"/>
        </w:rPr>
      </w:pPr>
      <w:r w:rsidRPr="00397B79">
        <w:rPr>
          <w:rFonts w:eastAsia="Times New Roman" w:cs="Arial"/>
          <w:color w:val="000000"/>
          <w:lang w:eastAsia="bg-BG"/>
        </w:rPr>
        <w:t>сексуална дисфункция.</w:t>
      </w:r>
    </w:p>
    <w:p w14:paraId="070EAF0D" w14:textId="6A347EF4" w:rsidR="00397B79" w:rsidRPr="00397B79" w:rsidRDefault="00397B79" w:rsidP="00397B79">
      <w:pPr>
        <w:pStyle w:val="ListParagraph"/>
        <w:numPr>
          <w:ilvl w:val="0"/>
          <w:numId w:val="37"/>
        </w:numPr>
        <w:spacing w:line="240" w:lineRule="auto"/>
        <w:rPr>
          <w:rFonts w:eastAsia="Times New Roman" w:cs="Arial"/>
          <w:color w:val="000000"/>
          <w:lang w:eastAsia="bg-BG"/>
        </w:rPr>
      </w:pPr>
      <w:r w:rsidRPr="00397B79">
        <w:rPr>
          <w:rFonts w:eastAsia="Times New Roman" w:cs="Arial"/>
          <w:color w:val="000000"/>
          <w:lang w:eastAsia="bg-BG"/>
        </w:rPr>
        <w:t xml:space="preserve">Захарен диабет: Честотата зависи от наличието или отсъствието на рискови фактори (глюкоза в кръвта на гладно ≥ 5,6 </w:t>
      </w:r>
      <w:proofErr w:type="spellStart"/>
      <w:r w:rsidRPr="00397B79">
        <w:rPr>
          <w:rFonts w:eastAsia="Times New Roman" w:cs="Arial"/>
          <w:color w:val="000000"/>
          <w:lang w:val="en-US"/>
        </w:rPr>
        <w:t>mmol</w:t>
      </w:r>
      <w:proofErr w:type="spellEnd"/>
      <w:r w:rsidRPr="00397B79">
        <w:rPr>
          <w:rFonts w:eastAsia="Times New Roman" w:cs="Arial"/>
          <w:color w:val="000000"/>
          <w:lang w:val="ru-RU"/>
        </w:rPr>
        <w:t>/</w:t>
      </w:r>
      <w:r w:rsidRPr="00397B79">
        <w:rPr>
          <w:rFonts w:eastAsia="Times New Roman" w:cs="Arial"/>
          <w:color w:val="000000"/>
          <w:lang w:val="en-US"/>
        </w:rPr>
        <w:t>l</w:t>
      </w:r>
      <w:r w:rsidRPr="00397B79">
        <w:rPr>
          <w:rFonts w:eastAsia="Times New Roman" w:cs="Arial"/>
          <w:color w:val="000000"/>
          <w:lang w:val="ru-RU"/>
        </w:rPr>
        <w:t xml:space="preserve">, </w:t>
      </w:r>
      <w:r w:rsidRPr="00397B79">
        <w:rPr>
          <w:rFonts w:eastAsia="Times New Roman" w:cs="Arial"/>
          <w:color w:val="000000"/>
          <w:lang w:val="en-US"/>
        </w:rPr>
        <w:t>BMI</w:t>
      </w:r>
      <w:r w:rsidRPr="00397B79">
        <w:rPr>
          <w:rFonts w:eastAsia="Times New Roman" w:cs="Arial"/>
          <w:color w:val="000000"/>
          <w:lang w:val="ru-RU"/>
        </w:rPr>
        <w:t xml:space="preserve"> </w:t>
      </w:r>
      <w:r w:rsidRPr="00397B79">
        <w:rPr>
          <w:rFonts w:eastAsia="Times New Roman" w:cs="Arial"/>
          <w:color w:val="000000"/>
          <w:lang w:eastAsia="bg-BG"/>
        </w:rPr>
        <w:t xml:space="preserve">&gt; 30 </w:t>
      </w:r>
      <w:r w:rsidRPr="00397B79">
        <w:rPr>
          <w:rFonts w:eastAsia="Times New Roman" w:cs="Arial"/>
          <w:color w:val="000000"/>
          <w:lang w:val="en-US"/>
        </w:rPr>
        <w:t>kg</w:t>
      </w:r>
      <w:r w:rsidRPr="00397B79">
        <w:rPr>
          <w:rFonts w:eastAsia="Times New Roman" w:cs="Arial"/>
          <w:color w:val="000000"/>
          <w:lang w:val="ru-RU"/>
        </w:rPr>
        <w:t>/</w:t>
      </w:r>
      <w:r w:rsidRPr="00397B79">
        <w:rPr>
          <w:rFonts w:eastAsia="Times New Roman" w:cs="Arial"/>
          <w:color w:val="000000"/>
          <w:lang w:val="en-US"/>
        </w:rPr>
        <w:t>m</w:t>
      </w:r>
      <w:r w:rsidRPr="00397B79">
        <w:rPr>
          <w:rFonts w:eastAsia="Times New Roman" w:cs="Arial"/>
          <w:color w:val="000000"/>
          <w:vertAlign w:val="superscript"/>
          <w:lang w:val="ru-RU"/>
        </w:rPr>
        <w:t>2</w:t>
      </w:r>
      <w:r w:rsidRPr="00397B79">
        <w:rPr>
          <w:rFonts w:eastAsia="Times New Roman" w:cs="Arial"/>
          <w:color w:val="000000"/>
          <w:lang w:val="ru-RU"/>
        </w:rPr>
        <w:t xml:space="preserve">, </w:t>
      </w:r>
      <w:r w:rsidRPr="00397B79">
        <w:rPr>
          <w:rFonts w:eastAsia="Times New Roman" w:cs="Arial"/>
          <w:color w:val="000000"/>
          <w:lang w:eastAsia="bg-BG"/>
        </w:rPr>
        <w:t>повишени триглицериди, анамнеза за хипертония).</w:t>
      </w:r>
    </w:p>
    <w:p w14:paraId="56E721FE" w14:textId="77777777" w:rsidR="00397B79" w:rsidRPr="00397B79" w:rsidRDefault="00397B79" w:rsidP="00397B79">
      <w:pPr>
        <w:spacing w:line="240" w:lineRule="auto"/>
        <w:rPr>
          <w:rFonts w:eastAsia="Times New Roman" w:cs="Arial"/>
          <w:color w:val="000000"/>
          <w:u w:val="single"/>
          <w:lang w:eastAsia="bg-BG"/>
        </w:rPr>
      </w:pPr>
    </w:p>
    <w:p w14:paraId="595E2784" w14:textId="7E106B09"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Педиатрична популация</w:t>
      </w:r>
    </w:p>
    <w:p w14:paraId="0C1EC9B9"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В 48-седмично проучване, обхващащо деца и подрастващи (момчета във фаза II и по-висока по Танер и момичета най-малко една година след менархе) на възраст 10-17 години с хетерозиготна фамилна хиперхолестеролемия (</w:t>
      </w:r>
      <w:r w:rsidRPr="00397B79">
        <w:rPr>
          <w:rFonts w:eastAsia="Times New Roman" w:cs="Arial"/>
          <w:color w:val="000000"/>
          <w:lang w:val="en-US"/>
        </w:rPr>
        <w:t>n</w:t>
      </w:r>
      <w:r w:rsidRPr="00397B79">
        <w:rPr>
          <w:rFonts w:eastAsia="Times New Roman" w:cs="Arial"/>
          <w:color w:val="000000"/>
          <w:lang w:eastAsia="bg-BG"/>
        </w:rPr>
        <w:t xml:space="preserve"> = 175) профилът на безопасност и поносимост в групата, третирана със симвастатин, в общи линии е подобен на този в групата, третирана с плацебо. Дългосрочните ефекти върху физическото, интелектуалното и сексуалното съзряване са неизвестни. В момента няма достатъчно данни за едногодишен период на лечение (вижте точки 4.2, 4.4 и 5.1).</w:t>
      </w:r>
    </w:p>
    <w:p w14:paraId="0AD7018E" w14:textId="77777777" w:rsidR="00397B79" w:rsidRPr="00397B79" w:rsidRDefault="00397B79" w:rsidP="00397B79">
      <w:pPr>
        <w:spacing w:line="240" w:lineRule="auto"/>
        <w:rPr>
          <w:rFonts w:eastAsia="Times New Roman" w:cs="Arial"/>
          <w:color w:val="000000"/>
          <w:u w:val="single"/>
          <w:lang w:eastAsia="bg-BG"/>
        </w:rPr>
      </w:pPr>
    </w:p>
    <w:p w14:paraId="142D7EB9" w14:textId="7C0FF280"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Съобщаване на подозирани нежелани реакции</w:t>
      </w:r>
    </w:p>
    <w:p w14:paraId="306341BF"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615CA3F1" w14:textId="77777777" w:rsidR="00397B79" w:rsidRPr="00397B79" w:rsidRDefault="00397B79" w:rsidP="00397B79">
      <w:pPr>
        <w:spacing w:line="240" w:lineRule="auto"/>
        <w:rPr>
          <w:rFonts w:eastAsia="Times New Roman" w:cs="Arial"/>
          <w:color w:val="000000"/>
          <w:lang w:eastAsia="bg-BG"/>
        </w:rPr>
      </w:pPr>
    </w:p>
    <w:p w14:paraId="6ADDFB40" w14:textId="5BDA50DA" w:rsidR="00397B79" w:rsidRPr="00397B79" w:rsidRDefault="00397B79" w:rsidP="00397B79">
      <w:pPr>
        <w:spacing w:line="240" w:lineRule="auto"/>
        <w:rPr>
          <w:rFonts w:eastAsia="Times New Roman" w:cs="Arial"/>
        </w:rPr>
      </w:pPr>
      <w:r w:rsidRPr="00397B79">
        <w:rPr>
          <w:rFonts w:eastAsia="Times New Roman" w:cs="Arial"/>
          <w:color w:val="000000"/>
          <w:lang w:eastAsia="bg-BG"/>
        </w:rPr>
        <w:t>Изпълнителна агенция по лекарствата</w:t>
      </w:r>
    </w:p>
    <w:p w14:paraId="60FCAF4C" w14:textId="45795C64" w:rsidR="00397B79" w:rsidRPr="00397B79" w:rsidRDefault="00397B79" w:rsidP="00397B79">
      <w:pPr>
        <w:spacing w:line="240" w:lineRule="auto"/>
        <w:rPr>
          <w:rFonts w:eastAsia="Times New Roman" w:cs="Arial"/>
        </w:rPr>
      </w:pPr>
      <w:r w:rsidRPr="00397B79">
        <w:rPr>
          <w:rFonts w:eastAsia="Times New Roman" w:cs="Arial"/>
          <w:color w:val="000000"/>
          <w:lang w:eastAsia="bg-BG"/>
        </w:rPr>
        <w:t>ул. „Дамян Груев” № 8</w:t>
      </w:r>
    </w:p>
    <w:p w14:paraId="19BD9EA5"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1303 София</w:t>
      </w:r>
    </w:p>
    <w:p w14:paraId="1A7BD97D"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Тел.: +359 2 8903417</w:t>
      </w:r>
    </w:p>
    <w:p w14:paraId="552CCAEA" w14:textId="1C535712"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уебсайт: </w:t>
      </w:r>
      <w:hyperlink r:id="rId5" w:history="1">
        <w:r w:rsidRPr="00397B79">
          <w:rPr>
            <w:rFonts w:eastAsia="Times New Roman" w:cs="Arial"/>
            <w:color w:val="000000"/>
            <w:lang w:val="en-US"/>
          </w:rPr>
          <w:t>www.bda.bg</w:t>
        </w:r>
      </w:hyperlink>
    </w:p>
    <w:p w14:paraId="4F399A44" w14:textId="77777777" w:rsidR="00397B79" w:rsidRPr="00D00256" w:rsidRDefault="00397B79" w:rsidP="00D00256"/>
    <w:p w14:paraId="5A87DBA3" w14:textId="3AE4B858" w:rsidR="007122AD" w:rsidRDefault="002C50EE" w:rsidP="00936AD0">
      <w:pPr>
        <w:pStyle w:val="Heading2"/>
      </w:pPr>
      <w:r>
        <w:t>4.9. Предозиране</w:t>
      </w:r>
    </w:p>
    <w:p w14:paraId="7380CA6D" w14:textId="2EE2BC39" w:rsidR="00397B79" w:rsidRDefault="00397B79" w:rsidP="00397B79"/>
    <w:p w14:paraId="005079A6" w14:textId="77777777" w:rsidR="00397B79" w:rsidRPr="00397B79" w:rsidRDefault="00397B79" w:rsidP="00397B79">
      <w:pPr>
        <w:rPr>
          <w:sz w:val="24"/>
          <w:szCs w:val="24"/>
        </w:rPr>
      </w:pPr>
      <w:r w:rsidRPr="00397B79">
        <w:rPr>
          <w:lang w:eastAsia="bg-BG"/>
        </w:rPr>
        <w:t xml:space="preserve">До сега е съобщено само за няколко случая на предозиране като максимално поетата доза е 3.6 </w:t>
      </w:r>
      <w:r w:rsidRPr="00397B79">
        <w:rPr>
          <w:lang w:val="en-US"/>
        </w:rPr>
        <w:t>g</w:t>
      </w:r>
      <w:r w:rsidRPr="00397B79">
        <w:rPr>
          <w:lang w:val="ru-RU"/>
        </w:rPr>
        <w:t xml:space="preserve">. </w:t>
      </w:r>
      <w:r w:rsidRPr="00397B79">
        <w:rPr>
          <w:lang w:eastAsia="bg-BG"/>
        </w:rPr>
        <w:t>Всички пациенти са се възстановили без последствия.</w:t>
      </w:r>
    </w:p>
    <w:p w14:paraId="2A57729A" w14:textId="77777777" w:rsidR="00397B79" w:rsidRPr="00397B79" w:rsidRDefault="00397B79" w:rsidP="00397B79">
      <w:pPr>
        <w:rPr>
          <w:sz w:val="24"/>
          <w:szCs w:val="24"/>
        </w:rPr>
      </w:pPr>
      <w:r w:rsidRPr="00397B79">
        <w:rPr>
          <w:lang w:eastAsia="bg-BG"/>
        </w:rPr>
        <w:t>В случай на предозиране няма специфично лечение.</w:t>
      </w:r>
    </w:p>
    <w:p w14:paraId="4B5B9DAA" w14:textId="77D4589B" w:rsidR="00397B79" w:rsidRPr="00397B79" w:rsidRDefault="00397B79" w:rsidP="00397B79">
      <w:r w:rsidRPr="00397B79">
        <w:rPr>
          <w:lang w:eastAsia="bg-BG"/>
        </w:rPr>
        <w:t>Предприема се симптоматично и поддържащо лечение.</w:t>
      </w:r>
    </w:p>
    <w:p w14:paraId="4A0DAAAD" w14:textId="0F59F9D8" w:rsidR="00397B79" w:rsidRPr="00397B79" w:rsidRDefault="002C50EE" w:rsidP="00397B79">
      <w:pPr>
        <w:pStyle w:val="Heading1"/>
      </w:pPr>
      <w:r>
        <w:t>5. ФАРМАКОЛОГИЧНИ СВОЙСТВА</w:t>
      </w:r>
    </w:p>
    <w:p w14:paraId="7DE36AC8" w14:textId="09D29928" w:rsidR="00B6672E" w:rsidRDefault="002C50EE" w:rsidP="00936AD0">
      <w:pPr>
        <w:pStyle w:val="Heading2"/>
      </w:pPr>
      <w:r>
        <w:t>5.1. Фармакодинамични свойства</w:t>
      </w:r>
    </w:p>
    <w:p w14:paraId="6F4A4428" w14:textId="0F25AE51" w:rsidR="00397B79" w:rsidRDefault="00397B79" w:rsidP="00397B79"/>
    <w:p w14:paraId="2B6C46F0"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Фармакотерапевтична група: инхибитор на </w:t>
      </w:r>
      <w:r w:rsidRPr="00397B79">
        <w:rPr>
          <w:rFonts w:eastAsia="Times New Roman" w:cs="Arial"/>
          <w:i/>
          <w:iCs/>
          <w:color w:val="000000"/>
          <w:lang w:val="en-US"/>
        </w:rPr>
        <w:t>HMG</w:t>
      </w:r>
      <w:r w:rsidRPr="00397B79">
        <w:rPr>
          <w:rFonts w:eastAsia="Times New Roman" w:cs="Arial"/>
          <w:i/>
          <w:iCs/>
          <w:color w:val="000000"/>
          <w:lang w:val="ru-RU"/>
        </w:rPr>
        <w:t>-</w:t>
      </w:r>
      <w:r w:rsidRPr="00397B79">
        <w:rPr>
          <w:rFonts w:eastAsia="Times New Roman" w:cs="Arial"/>
          <w:i/>
          <w:iCs/>
          <w:color w:val="000000"/>
          <w:lang w:val="en-US"/>
        </w:rPr>
        <w:t>CoA</w:t>
      </w:r>
      <w:r w:rsidRPr="00397B79">
        <w:rPr>
          <w:rFonts w:eastAsia="Times New Roman" w:cs="Arial"/>
          <w:color w:val="000000"/>
          <w:lang w:val="ru-RU"/>
        </w:rPr>
        <w:t xml:space="preserve"> </w:t>
      </w:r>
      <w:r w:rsidRPr="00397B79">
        <w:rPr>
          <w:rFonts w:eastAsia="Times New Roman" w:cs="Arial"/>
          <w:color w:val="000000"/>
          <w:lang w:eastAsia="bg-BG"/>
        </w:rPr>
        <w:t>редуктазата, АТС КОД: С10АА01</w:t>
      </w:r>
    </w:p>
    <w:p w14:paraId="73EA1D4E" w14:textId="77777777" w:rsidR="00397B79" w:rsidRPr="00397B79" w:rsidRDefault="00397B79" w:rsidP="00397B79">
      <w:pPr>
        <w:spacing w:line="240" w:lineRule="auto"/>
        <w:rPr>
          <w:rFonts w:eastAsia="Times New Roman" w:cs="Arial"/>
          <w:color w:val="000000"/>
          <w:u w:val="single"/>
          <w:lang w:eastAsia="bg-BG"/>
        </w:rPr>
      </w:pPr>
    </w:p>
    <w:p w14:paraId="77733B69" w14:textId="77777777"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Механизъм на действие</w:t>
      </w:r>
    </w:p>
    <w:p w14:paraId="1ABB1193"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Симвастатин представлява неактивен лактон и след прием през устата се хидролизира в черния дроб до съответната активна бета-хидроксикиселинна форма, която притежава мощна инхибираща активност спрямо </w:t>
      </w:r>
      <w:r w:rsidRPr="00397B79">
        <w:rPr>
          <w:rFonts w:eastAsia="Times New Roman" w:cs="Arial"/>
          <w:i/>
          <w:iCs/>
          <w:color w:val="000000"/>
          <w:lang w:val="en-US"/>
        </w:rPr>
        <w:t>HMG</w:t>
      </w:r>
      <w:r w:rsidRPr="00397B79">
        <w:rPr>
          <w:rFonts w:eastAsia="Times New Roman" w:cs="Arial"/>
          <w:i/>
          <w:iCs/>
          <w:color w:val="000000"/>
          <w:lang w:val="ru-RU"/>
        </w:rPr>
        <w:t>-</w:t>
      </w:r>
      <w:r w:rsidRPr="00397B79">
        <w:rPr>
          <w:rFonts w:eastAsia="Times New Roman" w:cs="Arial"/>
          <w:i/>
          <w:iCs/>
          <w:color w:val="000000"/>
          <w:lang w:val="en-US"/>
        </w:rPr>
        <w:t>CoA</w:t>
      </w:r>
      <w:r w:rsidRPr="00397B79">
        <w:rPr>
          <w:rFonts w:eastAsia="Times New Roman" w:cs="Arial"/>
          <w:color w:val="000000"/>
          <w:lang w:val="ru-RU"/>
        </w:rPr>
        <w:t xml:space="preserve"> </w:t>
      </w:r>
      <w:r w:rsidRPr="00397B79">
        <w:rPr>
          <w:rFonts w:eastAsia="Times New Roman" w:cs="Arial"/>
          <w:color w:val="000000"/>
          <w:lang w:eastAsia="bg-BG"/>
        </w:rPr>
        <w:t xml:space="preserve">редуктазата (З-хидрокси-З-метилглутарил </w:t>
      </w:r>
      <w:r w:rsidRPr="00397B79">
        <w:rPr>
          <w:rFonts w:eastAsia="Times New Roman" w:cs="Arial"/>
          <w:color w:val="000000"/>
          <w:lang w:val="en-US"/>
        </w:rPr>
        <w:t>Co</w:t>
      </w:r>
      <w:r w:rsidRPr="00397B79">
        <w:rPr>
          <w:rFonts w:eastAsia="Times New Roman" w:cs="Arial"/>
          <w:color w:val="000000"/>
          <w:lang w:val="ru-RU"/>
        </w:rPr>
        <w:t xml:space="preserve"> </w:t>
      </w:r>
      <w:r w:rsidRPr="00397B79">
        <w:rPr>
          <w:rFonts w:eastAsia="Times New Roman" w:cs="Arial"/>
          <w:color w:val="000000"/>
          <w:lang w:eastAsia="bg-BG"/>
        </w:rPr>
        <w:t xml:space="preserve">А редуктаза). Този ензим катализира превръщането на </w:t>
      </w:r>
      <w:r w:rsidRPr="00397B79">
        <w:rPr>
          <w:rFonts w:eastAsia="Times New Roman" w:cs="Arial"/>
          <w:i/>
          <w:iCs/>
          <w:color w:val="000000"/>
          <w:lang w:val="en-US"/>
        </w:rPr>
        <w:t>HMG</w:t>
      </w:r>
      <w:r w:rsidRPr="00397B79">
        <w:rPr>
          <w:rFonts w:eastAsia="Times New Roman" w:cs="Arial"/>
          <w:i/>
          <w:iCs/>
          <w:color w:val="000000"/>
          <w:lang w:val="ru-RU"/>
        </w:rPr>
        <w:t>-</w:t>
      </w:r>
      <w:r w:rsidRPr="00397B79">
        <w:rPr>
          <w:rFonts w:eastAsia="Times New Roman" w:cs="Arial"/>
          <w:i/>
          <w:iCs/>
          <w:color w:val="000000"/>
          <w:lang w:val="en-US"/>
        </w:rPr>
        <w:t>CoA</w:t>
      </w:r>
      <w:r w:rsidRPr="00397B79">
        <w:rPr>
          <w:rFonts w:eastAsia="Times New Roman" w:cs="Arial"/>
          <w:color w:val="000000"/>
          <w:lang w:val="ru-RU"/>
        </w:rPr>
        <w:t xml:space="preserve"> </w:t>
      </w:r>
      <w:r w:rsidRPr="00397B79">
        <w:rPr>
          <w:rFonts w:eastAsia="Times New Roman" w:cs="Arial"/>
          <w:color w:val="000000"/>
          <w:lang w:eastAsia="bg-BG"/>
        </w:rPr>
        <w:t>в мевалонат, което е ранна и степен-определяща стъпка в биосинтеза на холестерол.</w:t>
      </w:r>
    </w:p>
    <w:p w14:paraId="159DF392"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Симвастатин понижава както нормалните, така и повишените нива на </w:t>
      </w:r>
      <w:r w:rsidRPr="00397B79">
        <w:rPr>
          <w:rFonts w:eastAsia="Times New Roman" w:cs="Arial"/>
          <w:color w:val="000000"/>
          <w:lang w:val="en-US"/>
        </w:rPr>
        <w:t>LDL</w:t>
      </w:r>
      <w:r w:rsidRPr="00397B79">
        <w:rPr>
          <w:rFonts w:eastAsia="Times New Roman" w:cs="Arial"/>
          <w:color w:val="000000"/>
          <w:lang w:eastAsia="bg-BG"/>
        </w:rPr>
        <w:t xml:space="preserve">-холестерол. </w:t>
      </w:r>
      <w:r w:rsidRPr="00397B79">
        <w:rPr>
          <w:rFonts w:eastAsia="Times New Roman" w:cs="Arial"/>
          <w:i/>
          <w:iCs/>
          <w:color w:val="000000"/>
          <w:lang w:val="en-US"/>
        </w:rPr>
        <w:t>LDL</w:t>
      </w:r>
      <w:r w:rsidRPr="00397B79">
        <w:rPr>
          <w:rFonts w:eastAsia="Times New Roman" w:cs="Arial"/>
          <w:color w:val="000000"/>
          <w:lang w:val="ru-RU"/>
        </w:rPr>
        <w:t xml:space="preserve"> </w:t>
      </w:r>
      <w:r w:rsidRPr="00397B79">
        <w:rPr>
          <w:rFonts w:eastAsia="Times New Roman" w:cs="Arial"/>
          <w:color w:val="000000"/>
          <w:lang w:eastAsia="bg-BG"/>
        </w:rPr>
        <w:t xml:space="preserve">се формира от липопротеини с много ниска плътност </w:t>
      </w:r>
      <w:r w:rsidRPr="00397B79">
        <w:rPr>
          <w:rFonts w:eastAsia="Times New Roman" w:cs="Arial"/>
          <w:i/>
          <w:iCs/>
          <w:color w:val="000000"/>
          <w:lang w:val="ru-RU"/>
        </w:rPr>
        <w:t>(</w:t>
      </w:r>
      <w:r w:rsidRPr="00397B79">
        <w:rPr>
          <w:rFonts w:eastAsia="Times New Roman" w:cs="Arial"/>
          <w:i/>
          <w:iCs/>
          <w:color w:val="000000"/>
          <w:lang w:val="en-US"/>
        </w:rPr>
        <w:t>VLDL</w:t>
      </w:r>
      <w:r w:rsidRPr="00397B79">
        <w:rPr>
          <w:rFonts w:eastAsia="Times New Roman" w:cs="Arial"/>
          <w:i/>
          <w:iCs/>
          <w:color w:val="000000"/>
          <w:lang w:val="ru-RU"/>
        </w:rPr>
        <w:t>)</w:t>
      </w:r>
      <w:r w:rsidRPr="00397B79">
        <w:rPr>
          <w:rFonts w:eastAsia="Times New Roman" w:cs="Arial"/>
          <w:color w:val="000000"/>
          <w:lang w:val="ru-RU"/>
        </w:rPr>
        <w:t xml:space="preserve"> </w:t>
      </w:r>
      <w:r w:rsidRPr="00397B79">
        <w:rPr>
          <w:rFonts w:eastAsia="Times New Roman" w:cs="Arial"/>
          <w:color w:val="000000"/>
          <w:lang w:eastAsia="bg-BG"/>
        </w:rPr>
        <w:t xml:space="preserve">и се катаболизира предимно чрез високо-афинитетния </w:t>
      </w:r>
      <w:r w:rsidRPr="00397B79">
        <w:rPr>
          <w:rFonts w:eastAsia="Times New Roman" w:cs="Arial"/>
          <w:i/>
          <w:iCs/>
          <w:color w:val="000000"/>
          <w:lang w:val="en-US"/>
        </w:rPr>
        <w:t>LDL</w:t>
      </w:r>
      <w:r w:rsidRPr="00397B79">
        <w:rPr>
          <w:rFonts w:eastAsia="Times New Roman" w:cs="Arial"/>
          <w:color w:val="000000"/>
          <w:lang w:val="ru-RU"/>
        </w:rPr>
        <w:t xml:space="preserve"> </w:t>
      </w:r>
      <w:r w:rsidRPr="00397B79">
        <w:rPr>
          <w:rFonts w:eastAsia="Times New Roman" w:cs="Arial"/>
          <w:color w:val="000000"/>
          <w:lang w:eastAsia="bg-BG"/>
        </w:rPr>
        <w:t>рецептор.</w:t>
      </w:r>
    </w:p>
    <w:p w14:paraId="6795E03C" w14:textId="77777777" w:rsidR="00397B79" w:rsidRPr="00397B79" w:rsidRDefault="00397B79" w:rsidP="00397B79">
      <w:pPr>
        <w:spacing w:line="240" w:lineRule="auto"/>
        <w:rPr>
          <w:rFonts w:eastAsia="Times New Roman" w:cs="Arial"/>
          <w:color w:val="000000"/>
          <w:lang w:eastAsia="bg-BG"/>
        </w:rPr>
      </w:pPr>
    </w:p>
    <w:p w14:paraId="7BC84079" w14:textId="77777777" w:rsidR="00397B79" w:rsidRPr="00397B79" w:rsidRDefault="00397B79" w:rsidP="00397B79">
      <w:pPr>
        <w:spacing w:line="240" w:lineRule="auto"/>
        <w:rPr>
          <w:rFonts w:eastAsia="Times New Roman" w:cs="Arial"/>
          <w:color w:val="000000"/>
          <w:lang w:eastAsia="bg-BG"/>
        </w:rPr>
      </w:pPr>
      <w:r w:rsidRPr="00397B79">
        <w:rPr>
          <w:rFonts w:eastAsia="Times New Roman" w:cs="Arial"/>
          <w:color w:val="000000"/>
          <w:lang w:eastAsia="bg-BG"/>
        </w:rPr>
        <w:t xml:space="preserve">Механизмът на </w:t>
      </w:r>
      <w:r w:rsidRPr="00397B79">
        <w:rPr>
          <w:rFonts w:eastAsia="Times New Roman" w:cs="Arial"/>
          <w:color w:val="000000"/>
          <w:lang w:val="en-US"/>
        </w:rPr>
        <w:t>LDL</w:t>
      </w:r>
      <w:r w:rsidRPr="00397B79">
        <w:rPr>
          <w:rFonts w:eastAsia="Times New Roman" w:cs="Arial"/>
          <w:color w:val="000000"/>
          <w:lang w:val="ru-RU"/>
        </w:rPr>
        <w:t xml:space="preserve"> </w:t>
      </w:r>
      <w:r w:rsidRPr="00397B79">
        <w:rPr>
          <w:rFonts w:eastAsia="Times New Roman" w:cs="Arial"/>
          <w:color w:val="000000"/>
          <w:lang w:eastAsia="bg-BG"/>
        </w:rPr>
        <w:t xml:space="preserve">понижаващия ефект на симвастатин вероятно включва както понижение на концентрацията на </w:t>
      </w:r>
      <w:r w:rsidRPr="00397B79">
        <w:rPr>
          <w:rFonts w:eastAsia="Times New Roman" w:cs="Arial"/>
          <w:color w:val="000000"/>
          <w:lang w:val="en-US"/>
        </w:rPr>
        <w:t>VLDL</w:t>
      </w:r>
      <w:r w:rsidRPr="00397B79">
        <w:rPr>
          <w:rFonts w:eastAsia="Times New Roman" w:cs="Arial"/>
          <w:color w:val="000000"/>
          <w:lang w:eastAsia="bg-BG"/>
        </w:rPr>
        <w:t xml:space="preserve">-холестерол, така и индукция на </w:t>
      </w:r>
      <w:r w:rsidRPr="00397B79">
        <w:rPr>
          <w:rFonts w:eastAsia="Times New Roman" w:cs="Arial"/>
          <w:i/>
          <w:iCs/>
          <w:color w:val="000000"/>
          <w:lang w:val="en-US"/>
        </w:rPr>
        <w:t>LDL</w:t>
      </w:r>
      <w:r w:rsidRPr="00397B79">
        <w:rPr>
          <w:rFonts w:eastAsia="Times New Roman" w:cs="Arial"/>
          <w:color w:val="000000"/>
          <w:lang w:val="ru-RU"/>
        </w:rPr>
        <w:t xml:space="preserve"> </w:t>
      </w:r>
      <w:r w:rsidRPr="00397B79">
        <w:rPr>
          <w:rFonts w:eastAsia="Times New Roman" w:cs="Arial"/>
          <w:color w:val="000000"/>
          <w:lang w:eastAsia="bg-BG"/>
        </w:rPr>
        <w:t xml:space="preserve">рецептора, водещо до намалено продукция и повишен катаболизъм на </w:t>
      </w:r>
      <w:r w:rsidRPr="00397B79">
        <w:rPr>
          <w:rFonts w:eastAsia="Times New Roman" w:cs="Arial"/>
          <w:color w:val="000000"/>
          <w:lang w:val="en-US"/>
        </w:rPr>
        <w:t>LDL</w:t>
      </w:r>
      <w:r w:rsidRPr="00397B79">
        <w:rPr>
          <w:rFonts w:eastAsia="Times New Roman" w:cs="Arial"/>
          <w:color w:val="000000"/>
          <w:lang w:eastAsia="bg-BG"/>
        </w:rPr>
        <w:t xml:space="preserve">-холестерол. Нивото на аполипротеин В също спада значително по време на лечение със симвастатин. В допълнение симвастатин умерено повишава </w:t>
      </w:r>
      <w:r w:rsidRPr="00397B79">
        <w:rPr>
          <w:rFonts w:eastAsia="Times New Roman" w:cs="Arial"/>
          <w:color w:val="000000"/>
          <w:lang w:val="en-US"/>
        </w:rPr>
        <w:t>HDL</w:t>
      </w:r>
      <w:r w:rsidRPr="00397B79">
        <w:rPr>
          <w:rFonts w:eastAsia="Times New Roman" w:cs="Arial"/>
          <w:color w:val="000000"/>
          <w:lang w:eastAsia="bg-BG"/>
        </w:rPr>
        <w:t>-холестерол и понижава плазмените триглицериди. В резултат на тези промени съотношенията общ/</w:t>
      </w:r>
      <w:r w:rsidRPr="00397B79">
        <w:rPr>
          <w:rFonts w:eastAsia="Times New Roman" w:cs="Arial"/>
          <w:color w:val="000000"/>
          <w:lang w:val="en-US"/>
        </w:rPr>
        <w:t>HDL</w:t>
      </w:r>
      <w:r w:rsidRPr="00397B79">
        <w:rPr>
          <w:rFonts w:eastAsia="Times New Roman" w:cs="Arial"/>
          <w:color w:val="000000"/>
          <w:lang w:eastAsia="bg-BG"/>
        </w:rPr>
        <w:t xml:space="preserve">-холестерол и </w:t>
      </w:r>
      <w:r w:rsidRPr="00397B79">
        <w:rPr>
          <w:rFonts w:eastAsia="Times New Roman" w:cs="Arial"/>
          <w:color w:val="000000"/>
          <w:lang w:val="en-US"/>
        </w:rPr>
        <w:t>LDL</w:t>
      </w:r>
      <w:r w:rsidRPr="00397B79">
        <w:rPr>
          <w:rFonts w:eastAsia="Times New Roman" w:cs="Arial"/>
          <w:color w:val="000000"/>
          <w:lang w:eastAsia="bg-BG"/>
        </w:rPr>
        <w:t>-</w:t>
      </w:r>
    </w:p>
    <w:p w14:paraId="4C5E6AA0"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холестерол/</w:t>
      </w:r>
      <w:r w:rsidRPr="00397B79">
        <w:rPr>
          <w:rFonts w:eastAsia="Times New Roman" w:cs="Arial"/>
          <w:color w:val="000000"/>
          <w:lang w:val="en-US"/>
        </w:rPr>
        <w:t>HDL</w:t>
      </w:r>
      <w:r w:rsidRPr="00397B79">
        <w:rPr>
          <w:rFonts w:eastAsia="Times New Roman" w:cs="Arial"/>
          <w:color w:val="000000"/>
          <w:lang w:eastAsia="bg-BG"/>
        </w:rPr>
        <w:t>-холестсрол се понижават.</w:t>
      </w:r>
    </w:p>
    <w:p w14:paraId="5D2D61F3" w14:textId="77777777" w:rsidR="00397B79" w:rsidRPr="00397B79" w:rsidRDefault="00397B79" w:rsidP="00397B79">
      <w:pPr>
        <w:spacing w:line="240" w:lineRule="auto"/>
        <w:rPr>
          <w:rFonts w:eastAsia="Times New Roman" w:cs="Arial"/>
          <w:color w:val="000000"/>
          <w:u w:val="single"/>
          <w:lang w:eastAsia="bg-BG"/>
        </w:rPr>
      </w:pPr>
    </w:p>
    <w:p w14:paraId="3113A1B6" w14:textId="77777777"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Клинична ефикасност и безопасност</w:t>
      </w:r>
    </w:p>
    <w:p w14:paraId="592F9550"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Висок риск от сърдечно коронарно заболяване или вече съществуващо коронарно сърдечно заболяване</w:t>
      </w:r>
    </w:p>
    <w:p w14:paraId="118001DF"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В проучването </w:t>
      </w:r>
      <w:r w:rsidRPr="00397B79">
        <w:rPr>
          <w:rFonts w:eastAsia="Times New Roman" w:cs="Arial"/>
          <w:i/>
          <w:iCs/>
          <w:color w:val="000000"/>
          <w:lang w:val="en-US"/>
        </w:rPr>
        <w:t>HPS</w:t>
      </w:r>
      <w:r w:rsidRPr="00397B79">
        <w:rPr>
          <w:rFonts w:eastAsia="Times New Roman" w:cs="Arial"/>
          <w:i/>
          <w:iCs/>
          <w:color w:val="000000"/>
        </w:rPr>
        <w:t xml:space="preserve"> (</w:t>
      </w:r>
      <w:r w:rsidRPr="00397B79">
        <w:rPr>
          <w:rFonts w:eastAsia="Times New Roman" w:cs="Arial"/>
          <w:i/>
          <w:iCs/>
          <w:color w:val="000000"/>
          <w:lang w:val="en-US"/>
        </w:rPr>
        <w:t>Heart</w:t>
      </w:r>
      <w:r w:rsidRPr="00397B79">
        <w:rPr>
          <w:rFonts w:eastAsia="Times New Roman" w:cs="Arial"/>
          <w:i/>
          <w:iCs/>
          <w:color w:val="000000"/>
        </w:rPr>
        <w:t xml:space="preserve"> </w:t>
      </w:r>
      <w:r w:rsidRPr="00397B79">
        <w:rPr>
          <w:rFonts w:eastAsia="Times New Roman" w:cs="Arial"/>
          <w:i/>
          <w:iCs/>
          <w:color w:val="000000"/>
          <w:lang w:val="en-US"/>
        </w:rPr>
        <w:t>Protection</w:t>
      </w:r>
      <w:r w:rsidRPr="00397B79">
        <w:rPr>
          <w:rFonts w:eastAsia="Times New Roman" w:cs="Arial"/>
          <w:i/>
          <w:iCs/>
          <w:color w:val="000000"/>
        </w:rPr>
        <w:t xml:space="preserve"> </w:t>
      </w:r>
      <w:r w:rsidRPr="00397B79">
        <w:rPr>
          <w:rFonts w:eastAsia="Times New Roman" w:cs="Arial"/>
          <w:i/>
          <w:iCs/>
          <w:color w:val="000000"/>
          <w:lang w:val="en-US"/>
        </w:rPr>
        <w:t>Study</w:t>
      </w:r>
      <w:r w:rsidRPr="00397B79">
        <w:rPr>
          <w:rFonts w:eastAsia="Times New Roman" w:cs="Arial"/>
          <w:i/>
          <w:iCs/>
          <w:color w:val="000000"/>
        </w:rPr>
        <w:t>)</w:t>
      </w:r>
      <w:r w:rsidRPr="00397B79">
        <w:rPr>
          <w:rFonts w:eastAsia="Times New Roman" w:cs="Arial"/>
          <w:color w:val="000000"/>
        </w:rPr>
        <w:t xml:space="preserve"> </w:t>
      </w:r>
      <w:r w:rsidRPr="00397B79">
        <w:rPr>
          <w:rFonts w:eastAsia="Times New Roman" w:cs="Arial"/>
          <w:color w:val="000000"/>
          <w:lang w:eastAsia="bg-BG"/>
        </w:rPr>
        <w:t xml:space="preserve">ефектът от лечението със симвастатин е оценен при 20 536 пациента (възраст 40-80 години) със или без хиперлипидемия и с коронарно сърдечно заболяване, с друго артериално оклузивно състояние или със </w:t>
      </w:r>
      <w:r w:rsidRPr="00397B79">
        <w:rPr>
          <w:rFonts w:eastAsia="Times New Roman" w:cs="Arial"/>
          <w:color w:val="000000"/>
          <w:lang w:eastAsia="bg-BG"/>
        </w:rPr>
        <w:lastRenderedPageBreak/>
        <w:t xml:space="preserve">захарен диабет. В това изследване 10 269 пациента са третирани с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дневно симвастатин, а 10 267 пациента - с плацебо и средната продължителност на лечението е била 5 години. При започване на приема 6 793 пациента (33%) са имали стойности на </w:t>
      </w:r>
      <w:r w:rsidRPr="00397B79">
        <w:rPr>
          <w:rFonts w:eastAsia="Times New Roman" w:cs="Arial"/>
          <w:color w:val="000000"/>
          <w:lang w:val="en-US"/>
        </w:rPr>
        <w:t>LDL</w:t>
      </w:r>
      <w:r w:rsidRPr="00397B79">
        <w:rPr>
          <w:rFonts w:eastAsia="Times New Roman" w:cs="Arial"/>
          <w:color w:val="000000"/>
          <w:lang w:eastAsia="bg-BG"/>
        </w:rPr>
        <w:t xml:space="preserve">-холестерол под 116 </w:t>
      </w:r>
      <w:r w:rsidRPr="00397B79">
        <w:rPr>
          <w:rFonts w:eastAsia="Times New Roman" w:cs="Arial"/>
          <w:color w:val="000000"/>
          <w:lang w:val="en-US"/>
        </w:rPr>
        <w:t>mg</w:t>
      </w:r>
      <w:r w:rsidRPr="00397B79">
        <w:rPr>
          <w:rFonts w:eastAsia="Times New Roman" w:cs="Arial"/>
          <w:color w:val="000000"/>
          <w:lang w:val="ru-RU"/>
        </w:rPr>
        <w:t>/</w:t>
      </w:r>
      <w:proofErr w:type="spellStart"/>
      <w:r w:rsidRPr="00397B79">
        <w:rPr>
          <w:rFonts w:eastAsia="Times New Roman" w:cs="Arial"/>
          <w:color w:val="000000"/>
          <w:lang w:val="en-US"/>
        </w:rPr>
        <w:t>dL</w:t>
      </w:r>
      <w:proofErr w:type="spellEnd"/>
      <w:r w:rsidRPr="00397B79">
        <w:rPr>
          <w:rFonts w:eastAsia="Times New Roman" w:cs="Arial"/>
          <w:color w:val="000000"/>
          <w:lang w:val="ru-RU"/>
        </w:rPr>
        <w:t xml:space="preserve">; </w:t>
      </w:r>
      <w:r w:rsidRPr="00397B79">
        <w:rPr>
          <w:rFonts w:eastAsia="Times New Roman" w:cs="Arial"/>
          <w:color w:val="000000"/>
          <w:lang w:eastAsia="bg-BG"/>
        </w:rPr>
        <w:t xml:space="preserve">5 063 пациента (25%) - между 116 </w:t>
      </w:r>
      <w:r w:rsidRPr="00397B79">
        <w:rPr>
          <w:rFonts w:eastAsia="Times New Roman" w:cs="Arial"/>
          <w:color w:val="000000"/>
          <w:lang w:val="en-US"/>
        </w:rPr>
        <w:t>mg</w:t>
      </w:r>
      <w:r w:rsidRPr="00397B79">
        <w:rPr>
          <w:rFonts w:eastAsia="Times New Roman" w:cs="Arial"/>
          <w:color w:val="000000"/>
          <w:lang w:val="ru-RU"/>
        </w:rPr>
        <w:t>/</w:t>
      </w:r>
      <w:proofErr w:type="spellStart"/>
      <w:r w:rsidRPr="00397B79">
        <w:rPr>
          <w:rFonts w:eastAsia="Times New Roman" w:cs="Arial"/>
          <w:color w:val="000000"/>
          <w:lang w:val="en-US"/>
        </w:rPr>
        <w:t>dL</w:t>
      </w:r>
      <w:proofErr w:type="spellEnd"/>
      <w:r w:rsidRPr="00397B79">
        <w:rPr>
          <w:rFonts w:eastAsia="Times New Roman" w:cs="Arial"/>
          <w:color w:val="000000"/>
          <w:lang w:val="ru-RU"/>
        </w:rPr>
        <w:t xml:space="preserve"> </w:t>
      </w:r>
      <w:r w:rsidRPr="00397B79">
        <w:rPr>
          <w:rFonts w:eastAsia="Times New Roman" w:cs="Arial"/>
          <w:color w:val="000000"/>
          <w:lang w:eastAsia="bg-BG"/>
        </w:rPr>
        <w:t xml:space="preserve">и 135 </w:t>
      </w:r>
      <w:r w:rsidRPr="00397B79">
        <w:rPr>
          <w:rFonts w:eastAsia="Times New Roman" w:cs="Arial"/>
          <w:color w:val="000000"/>
          <w:lang w:val="en-US"/>
        </w:rPr>
        <w:t>mg</w:t>
      </w:r>
      <w:r w:rsidRPr="00397B79">
        <w:rPr>
          <w:rFonts w:eastAsia="Times New Roman" w:cs="Arial"/>
          <w:color w:val="000000"/>
          <w:lang w:val="ru-RU"/>
        </w:rPr>
        <w:t>/</w:t>
      </w:r>
      <w:proofErr w:type="spellStart"/>
      <w:r w:rsidRPr="00397B79">
        <w:rPr>
          <w:rFonts w:eastAsia="Times New Roman" w:cs="Arial"/>
          <w:color w:val="000000"/>
          <w:lang w:val="en-US"/>
        </w:rPr>
        <w:t>dL</w:t>
      </w:r>
      <w:proofErr w:type="spellEnd"/>
      <w:r w:rsidRPr="00397B79">
        <w:rPr>
          <w:rFonts w:eastAsia="Times New Roman" w:cs="Arial"/>
          <w:color w:val="000000"/>
          <w:lang w:val="ru-RU"/>
        </w:rPr>
        <w:t xml:space="preserve">; </w:t>
      </w:r>
      <w:r w:rsidRPr="00397B79">
        <w:rPr>
          <w:rFonts w:eastAsia="Times New Roman" w:cs="Arial"/>
          <w:color w:val="000000"/>
          <w:lang w:eastAsia="bg-BG"/>
        </w:rPr>
        <w:t xml:space="preserve">а 8 680 пациента (42 %) са имали нива над 135 </w:t>
      </w:r>
      <w:r w:rsidRPr="00397B79">
        <w:rPr>
          <w:rFonts w:eastAsia="Times New Roman" w:cs="Arial"/>
          <w:color w:val="000000"/>
          <w:lang w:val="en-US"/>
        </w:rPr>
        <w:t>mg</w:t>
      </w:r>
      <w:r w:rsidRPr="00397B79">
        <w:rPr>
          <w:rFonts w:eastAsia="Times New Roman" w:cs="Arial"/>
          <w:color w:val="000000"/>
          <w:lang w:val="ru-RU"/>
        </w:rPr>
        <w:t>/</w:t>
      </w:r>
      <w:proofErr w:type="spellStart"/>
      <w:r w:rsidRPr="00397B79">
        <w:rPr>
          <w:rFonts w:eastAsia="Times New Roman" w:cs="Arial"/>
          <w:color w:val="000000"/>
          <w:lang w:val="en-US"/>
        </w:rPr>
        <w:t>dL</w:t>
      </w:r>
      <w:proofErr w:type="spellEnd"/>
      <w:r w:rsidRPr="00397B79">
        <w:rPr>
          <w:rFonts w:eastAsia="Times New Roman" w:cs="Arial"/>
          <w:color w:val="000000"/>
          <w:lang w:val="ru-RU"/>
        </w:rPr>
        <w:t>.</w:t>
      </w:r>
    </w:p>
    <w:p w14:paraId="76D47963"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При сравнение с плацебо е установено, че лечението с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дневно симвастатин значително е намалило общия риск от смърт (1328 [12,9%] при пациентите, лекувани със симвастат</w:t>
      </w:r>
      <w:r w:rsidRPr="00397B79">
        <w:rPr>
          <w:rFonts w:eastAsia="Times New Roman" w:cs="Arial"/>
          <w:color w:val="000000"/>
          <w:u w:val="single"/>
          <w:lang w:eastAsia="bg-BG"/>
        </w:rPr>
        <w:t>ин, ср</w:t>
      </w:r>
      <w:r w:rsidRPr="00397B79">
        <w:rPr>
          <w:rFonts w:eastAsia="Times New Roman" w:cs="Arial"/>
          <w:color w:val="000000"/>
          <w:lang w:eastAsia="bg-BG"/>
        </w:rPr>
        <w:t>ещу 1507 [14,7%] при приемалите плацебо; р = 0, 0003) благодарение на снижението на смъртността от коронарна болест с 18% (587 [5,7%] срещу 707 [6,9%]; р = 0,0005; понижение на абсолютния риск</w:t>
      </w:r>
    </w:p>
    <w:p w14:paraId="5041BFB4" w14:textId="77777777" w:rsidR="00397B79" w:rsidRPr="00397B79" w:rsidRDefault="00397B79" w:rsidP="00397B79">
      <w:pPr>
        <w:rPr>
          <w:rFonts w:eastAsia="Times New Roman" w:cs="Arial"/>
        </w:rPr>
      </w:pPr>
      <w:r w:rsidRPr="00397B79">
        <w:rPr>
          <w:rFonts w:eastAsia="Times New Roman" w:cs="Arial"/>
          <w:color w:val="000000"/>
          <w:lang w:eastAsia="bg-BG"/>
        </w:rPr>
        <w:t xml:space="preserve">с 1,2%). Намаляването на смъртността от извънсъдови причини не е достигнало статистическа значимост. Симвастатин е понижил също риска от тежки коронарни инциденти (съставният краен показател представлява нелегален миокарден инфаркт или смърт от коронарно сърдечно заболяване) с 27% (р &lt; 0,0001). Симвастатин е понижил необходимостта от процедури за коронарна реваскуларизация (в това число коронарен байпас или перкутаннна транслуменална коронарна ангиопластика), както и от периферна и друга некоронарна реваскуларизация съответно с 30% (р &lt; 0, 0001) и с 16% (р = 0, 006). Симвастатин е намалил риска от мозъчен удар с 25% (р &lt; 0, 0001), което може да се обясни с намалението с 30% на исхемичния инсулт (р &lt; 0,0001). В допълнение в подгрупата на пациентите с диабет симвастатин е намалил риска от развитие на макроваскуларни усложнения, в това число и на периферни реваскуларизационни процедури (хирургични интервенции или ангиопластика), от ампутации на долен крайник или от диабетни язви на подбедрицата с 21% (р = 0,0293). Пропорционалното намаление в честотата на тези усложнения е подобно при всички проучени подгрупи пациенти, включително и такива без коронарна болест, но с мозъчносъдова или периферна артериална болест, както мъже, така и жени, както под, така и над 70-годишна възраст към момента на включване в проучването, както с без, така и с хипертония, и особено такива пациенти с ниво на </w:t>
      </w:r>
      <w:r w:rsidRPr="00397B79">
        <w:rPr>
          <w:rFonts w:eastAsia="Times New Roman" w:cs="Arial"/>
          <w:color w:val="000000"/>
          <w:lang w:val="en-US"/>
        </w:rPr>
        <w:t>LDL</w:t>
      </w:r>
      <w:r w:rsidRPr="00397B79">
        <w:rPr>
          <w:rFonts w:eastAsia="Times New Roman" w:cs="Arial"/>
          <w:color w:val="000000"/>
          <w:lang w:eastAsia="bg-BG"/>
        </w:rPr>
        <w:t xml:space="preserve">-холестерол под 3,0 </w:t>
      </w:r>
      <w:proofErr w:type="spellStart"/>
      <w:r w:rsidRPr="00397B79">
        <w:rPr>
          <w:rFonts w:eastAsia="Times New Roman" w:cs="Arial"/>
          <w:color w:val="000000"/>
          <w:lang w:val="en-US"/>
        </w:rPr>
        <w:t>mmol</w:t>
      </w:r>
      <w:proofErr w:type="spellEnd"/>
      <w:r w:rsidRPr="00397B79">
        <w:rPr>
          <w:rFonts w:eastAsia="Times New Roman" w:cs="Arial"/>
          <w:color w:val="000000"/>
          <w:lang w:val="ru-RU"/>
        </w:rPr>
        <w:t>/</w:t>
      </w:r>
      <w:r w:rsidRPr="00397B79">
        <w:rPr>
          <w:rFonts w:eastAsia="Times New Roman" w:cs="Arial"/>
          <w:color w:val="000000"/>
          <w:lang w:val="en-US"/>
        </w:rPr>
        <w:t>l</w:t>
      </w:r>
      <w:r w:rsidRPr="00397B79">
        <w:rPr>
          <w:rFonts w:eastAsia="Times New Roman" w:cs="Arial"/>
          <w:color w:val="000000"/>
          <w:lang w:val="ru-RU"/>
        </w:rPr>
        <w:t xml:space="preserve"> </w:t>
      </w:r>
      <w:r w:rsidRPr="00397B79">
        <w:rPr>
          <w:rFonts w:eastAsia="Times New Roman" w:cs="Arial"/>
          <w:color w:val="000000"/>
          <w:lang w:eastAsia="bg-BG"/>
        </w:rPr>
        <w:t>преди включването.</w:t>
      </w:r>
    </w:p>
    <w:p w14:paraId="0564363C"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В проучването </w:t>
      </w:r>
      <w:r w:rsidRPr="00397B79">
        <w:rPr>
          <w:rFonts w:eastAsia="Times New Roman" w:cs="Arial"/>
          <w:i/>
          <w:iCs/>
          <w:color w:val="000000"/>
        </w:rPr>
        <w:t>4</w:t>
      </w:r>
      <w:r w:rsidRPr="00397B79">
        <w:rPr>
          <w:rFonts w:eastAsia="Times New Roman" w:cs="Arial"/>
          <w:i/>
          <w:iCs/>
          <w:color w:val="000000"/>
          <w:lang w:val="en-US"/>
        </w:rPr>
        <w:t>S</w:t>
      </w:r>
      <w:r w:rsidRPr="00397B79">
        <w:rPr>
          <w:rFonts w:eastAsia="Times New Roman" w:cs="Arial"/>
          <w:i/>
          <w:iCs/>
          <w:color w:val="000000"/>
        </w:rPr>
        <w:t xml:space="preserve"> (</w:t>
      </w:r>
      <w:r w:rsidRPr="00397B79">
        <w:rPr>
          <w:rFonts w:eastAsia="Times New Roman" w:cs="Arial"/>
          <w:i/>
          <w:iCs/>
          <w:color w:val="000000"/>
          <w:lang w:val="en-US"/>
        </w:rPr>
        <w:t>Scandinavian</w:t>
      </w:r>
      <w:r w:rsidRPr="00397B79">
        <w:rPr>
          <w:rFonts w:eastAsia="Times New Roman" w:cs="Arial"/>
          <w:i/>
          <w:iCs/>
          <w:color w:val="000000"/>
        </w:rPr>
        <w:t xml:space="preserve"> </w:t>
      </w:r>
      <w:r w:rsidRPr="00397B79">
        <w:rPr>
          <w:rFonts w:eastAsia="Times New Roman" w:cs="Arial"/>
          <w:i/>
          <w:iCs/>
          <w:color w:val="000000"/>
          <w:lang w:val="en-US"/>
        </w:rPr>
        <w:t>Simvastatin</w:t>
      </w:r>
      <w:r w:rsidRPr="00397B79">
        <w:rPr>
          <w:rFonts w:eastAsia="Times New Roman" w:cs="Arial"/>
          <w:i/>
          <w:iCs/>
          <w:color w:val="000000"/>
        </w:rPr>
        <w:t xml:space="preserve"> </w:t>
      </w:r>
      <w:r w:rsidRPr="00397B79">
        <w:rPr>
          <w:rFonts w:eastAsia="Times New Roman" w:cs="Arial"/>
          <w:i/>
          <w:iCs/>
          <w:color w:val="000000"/>
          <w:lang w:val="en-US"/>
        </w:rPr>
        <w:t>Survival</w:t>
      </w:r>
      <w:r w:rsidRPr="00397B79">
        <w:rPr>
          <w:rFonts w:eastAsia="Times New Roman" w:cs="Arial"/>
          <w:i/>
          <w:iCs/>
          <w:color w:val="000000"/>
        </w:rPr>
        <w:t xml:space="preserve"> </w:t>
      </w:r>
      <w:r w:rsidRPr="00397B79">
        <w:rPr>
          <w:rFonts w:eastAsia="Times New Roman" w:cs="Arial"/>
          <w:i/>
          <w:iCs/>
          <w:color w:val="000000"/>
          <w:lang w:val="en-US"/>
        </w:rPr>
        <w:t>Study</w:t>
      </w:r>
      <w:r w:rsidRPr="00397B79">
        <w:rPr>
          <w:rFonts w:eastAsia="Times New Roman" w:cs="Arial"/>
          <w:i/>
          <w:iCs/>
          <w:color w:val="000000"/>
        </w:rPr>
        <w:t>)</w:t>
      </w:r>
      <w:r w:rsidRPr="00397B79">
        <w:rPr>
          <w:rFonts w:eastAsia="Times New Roman" w:cs="Arial"/>
          <w:color w:val="000000"/>
        </w:rPr>
        <w:t xml:space="preserve"> </w:t>
      </w:r>
      <w:r w:rsidRPr="00397B79">
        <w:rPr>
          <w:rFonts w:eastAsia="Times New Roman" w:cs="Arial"/>
          <w:color w:val="000000"/>
          <w:lang w:eastAsia="bg-BG"/>
        </w:rPr>
        <w:t xml:space="preserve">ефектът от терапията със симвастатин върху общата смъртност е оценен върху 4 444 пациета с коронарно сърдечно заболяване и с изходни стойности на тотален холестерол между 212 и 309 </w:t>
      </w:r>
      <w:r w:rsidRPr="00397B79">
        <w:rPr>
          <w:rFonts w:eastAsia="Times New Roman" w:cs="Arial"/>
          <w:color w:val="000000"/>
          <w:lang w:val="en-US"/>
        </w:rPr>
        <w:t>mg</w:t>
      </w:r>
      <w:r w:rsidRPr="00397B79">
        <w:rPr>
          <w:rFonts w:eastAsia="Times New Roman" w:cs="Arial"/>
          <w:color w:val="000000"/>
        </w:rPr>
        <w:t>/</w:t>
      </w:r>
      <w:r w:rsidRPr="00397B79">
        <w:rPr>
          <w:rFonts w:eastAsia="Times New Roman" w:cs="Arial"/>
          <w:color w:val="000000"/>
          <w:lang w:val="en-US"/>
        </w:rPr>
        <w:t>dl</w:t>
      </w:r>
      <w:r w:rsidRPr="00397B79">
        <w:rPr>
          <w:rFonts w:eastAsia="Times New Roman" w:cs="Arial"/>
          <w:color w:val="000000"/>
        </w:rPr>
        <w:t xml:space="preserve"> </w:t>
      </w:r>
      <w:r w:rsidRPr="00397B79">
        <w:rPr>
          <w:rFonts w:eastAsia="Times New Roman" w:cs="Arial"/>
          <w:color w:val="000000"/>
          <w:lang w:eastAsia="bg-BG"/>
        </w:rPr>
        <w:t xml:space="preserve">(5,5-8,0 </w:t>
      </w:r>
      <w:proofErr w:type="spellStart"/>
      <w:r w:rsidRPr="00397B79">
        <w:rPr>
          <w:rFonts w:eastAsia="Times New Roman" w:cs="Arial"/>
          <w:color w:val="000000"/>
          <w:lang w:val="en-US"/>
        </w:rPr>
        <w:t>mmol</w:t>
      </w:r>
      <w:proofErr w:type="spellEnd"/>
      <w:r w:rsidRPr="00397B79">
        <w:rPr>
          <w:rFonts w:eastAsia="Times New Roman" w:cs="Arial"/>
          <w:color w:val="000000"/>
        </w:rPr>
        <w:t xml:space="preserve">/1). </w:t>
      </w:r>
      <w:r w:rsidRPr="00397B79">
        <w:rPr>
          <w:rFonts w:eastAsia="Times New Roman" w:cs="Arial"/>
          <w:color w:val="000000"/>
          <w:lang w:eastAsia="bg-BG"/>
        </w:rPr>
        <w:t xml:space="preserve">В това многоцентрово, рандомизирано, двойно сляпо, плацебо контролирано проучване пациентите с ангина пекторис или с анамнеза за инфаркт на миокарда са лекувани чрез подходяща диета, стандартно приетата терапия и или симвастатин 20-40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дневно </w:t>
      </w:r>
      <w:r w:rsidRPr="00397B79">
        <w:rPr>
          <w:rFonts w:eastAsia="Times New Roman" w:cs="Arial"/>
          <w:i/>
          <w:iCs/>
          <w:color w:val="000000"/>
          <w:lang w:eastAsia="bg-BG"/>
        </w:rPr>
        <w:t>(п =</w:t>
      </w:r>
      <w:r w:rsidRPr="00397B79">
        <w:rPr>
          <w:rFonts w:eastAsia="Times New Roman" w:cs="Arial"/>
          <w:color w:val="000000"/>
          <w:lang w:eastAsia="bg-BG"/>
        </w:rPr>
        <w:t xml:space="preserve"> 2 221), или плацебо (</w:t>
      </w:r>
      <w:r w:rsidRPr="00397B79">
        <w:rPr>
          <w:rFonts w:eastAsia="Times New Roman" w:cs="Arial"/>
          <w:color w:val="000000"/>
          <w:lang w:val="en-US"/>
        </w:rPr>
        <w:t>n</w:t>
      </w:r>
      <w:r w:rsidRPr="00397B79">
        <w:rPr>
          <w:rFonts w:eastAsia="Times New Roman" w:cs="Arial"/>
          <w:color w:val="000000"/>
          <w:lang w:eastAsia="bg-BG"/>
        </w:rPr>
        <w:t xml:space="preserve"> = 2 223) със средна продължителност 5,4 години. Симвастатин е намалил риска от смърт с 30% (понижение на абсолютния риск с 3,3%). Рискът за смъртен изход от коронарно сърдечно заболяване е намалял с 42 процента (намаление на абсолютния риск с 3,5%). Симвастатин е понижил също риска от сериозни коронарни инциденти (смърт в резултат на коронарно сърдечно заболяване, придружено от доказан в болницата „тих” нелегален миокарден инфаркт) с 34%. Освен това симвастатин значително е понижил риска както от летални, така и на нефатални мозъчно-съдови инциденти (удар и преходни исхемични атаки) с 28%. Не е установена статистически значима разлика между групите по отношение на смъртността от не-сърдечно- съдов характер.</w:t>
      </w:r>
    </w:p>
    <w:p w14:paraId="7081471A"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Проучването </w:t>
      </w:r>
      <w:r w:rsidRPr="00397B79">
        <w:rPr>
          <w:rFonts w:eastAsia="Times New Roman" w:cs="Arial"/>
          <w:i/>
          <w:iCs/>
          <w:color w:val="000000"/>
          <w:lang w:val="en-US"/>
        </w:rPr>
        <w:t>SEARCH</w:t>
      </w:r>
      <w:r w:rsidRPr="00397B79">
        <w:rPr>
          <w:rFonts w:eastAsia="Times New Roman" w:cs="Arial"/>
          <w:color w:val="000000"/>
        </w:rPr>
        <w:t xml:space="preserve"> (</w:t>
      </w:r>
      <w:r w:rsidRPr="00397B79">
        <w:rPr>
          <w:rFonts w:eastAsia="Times New Roman" w:cs="Arial"/>
          <w:color w:val="000000"/>
          <w:lang w:val="en-US"/>
        </w:rPr>
        <w:t>Study</w:t>
      </w:r>
      <w:r w:rsidRPr="00397B79">
        <w:rPr>
          <w:rFonts w:eastAsia="Times New Roman" w:cs="Arial"/>
          <w:color w:val="000000"/>
        </w:rPr>
        <w:t xml:space="preserve"> </w:t>
      </w:r>
      <w:r w:rsidRPr="00397B79">
        <w:rPr>
          <w:rFonts w:eastAsia="Times New Roman" w:cs="Arial"/>
          <w:color w:val="000000"/>
          <w:lang w:val="en-US"/>
        </w:rPr>
        <w:t>of</w:t>
      </w:r>
      <w:r w:rsidRPr="00397B79">
        <w:rPr>
          <w:rFonts w:eastAsia="Times New Roman" w:cs="Arial"/>
          <w:color w:val="000000"/>
        </w:rPr>
        <w:t xml:space="preserve"> </w:t>
      </w:r>
      <w:r w:rsidRPr="00397B79">
        <w:rPr>
          <w:rFonts w:eastAsia="Times New Roman" w:cs="Arial"/>
          <w:color w:val="000000"/>
          <w:lang w:val="en-US"/>
        </w:rPr>
        <w:t>the</w:t>
      </w:r>
      <w:r w:rsidRPr="00397B79">
        <w:rPr>
          <w:rFonts w:eastAsia="Times New Roman" w:cs="Arial"/>
          <w:color w:val="000000"/>
        </w:rPr>
        <w:t xml:space="preserve"> </w:t>
      </w:r>
      <w:r w:rsidRPr="00397B79">
        <w:rPr>
          <w:rFonts w:eastAsia="Times New Roman" w:cs="Arial"/>
          <w:color w:val="000000"/>
          <w:lang w:val="en-US"/>
        </w:rPr>
        <w:t>Effectiveness</w:t>
      </w:r>
      <w:r w:rsidRPr="00397B79">
        <w:rPr>
          <w:rFonts w:eastAsia="Times New Roman" w:cs="Arial"/>
          <w:color w:val="000000"/>
        </w:rPr>
        <w:t xml:space="preserve"> </w:t>
      </w:r>
      <w:r w:rsidRPr="00397B79">
        <w:rPr>
          <w:rFonts w:eastAsia="Times New Roman" w:cs="Arial"/>
          <w:color w:val="000000"/>
          <w:lang w:val="en-US"/>
        </w:rPr>
        <w:t>of</w:t>
      </w:r>
      <w:r w:rsidRPr="00397B79">
        <w:rPr>
          <w:rFonts w:eastAsia="Times New Roman" w:cs="Arial"/>
          <w:color w:val="000000"/>
        </w:rPr>
        <w:t xml:space="preserve"> </w:t>
      </w:r>
      <w:r w:rsidRPr="00397B79">
        <w:rPr>
          <w:rFonts w:eastAsia="Times New Roman" w:cs="Arial"/>
          <w:color w:val="000000"/>
          <w:lang w:val="en-US"/>
        </w:rPr>
        <w:t>Additional</w:t>
      </w:r>
      <w:r w:rsidRPr="00397B79">
        <w:rPr>
          <w:rFonts w:eastAsia="Times New Roman" w:cs="Arial"/>
          <w:color w:val="000000"/>
        </w:rPr>
        <w:t xml:space="preserve"> </w:t>
      </w:r>
      <w:r w:rsidRPr="00397B79">
        <w:rPr>
          <w:rFonts w:eastAsia="Times New Roman" w:cs="Arial"/>
          <w:color w:val="000000"/>
          <w:lang w:val="en-US"/>
        </w:rPr>
        <w:t>Reductions</w:t>
      </w:r>
      <w:r w:rsidRPr="00397B79">
        <w:rPr>
          <w:rFonts w:eastAsia="Times New Roman" w:cs="Arial"/>
          <w:color w:val="000000"/>
        </w:rPr>
        <w:t xml:space="preserve"> </w:t>
      </w:r>
      <w:r w:rsidRPr="00397B79">
        <w:rPr>
          <w:rFonts w:eastAsia="Times New Roman" w:cs="Arial"/>
          <w:color w:val="000000"/>
          <w:lang w:val="en-US"/>
        </w:rPr>
        <w:t>in</w:t>
      </w:r>
      <w:r w:rsidRPr="00397B79">
        <w:rPr>
          <w:rFonts w:eastAsia="Times New Roman" w:cs="Arial"/>
          <w:color w:val="000000"/>
        </w:rPr>
        <w:t xml:space="preserve"> </w:t>
      </w:r>
      <w:r w:rsidRPr="00397B79">
        <w:rPr>
          <w:rFonts w:eastAsia="Times New Roman" w:cs="Arial"/>
          <w:color w:val="000000"/>
          <w:lang w:val="en-US"/>
        </w:rPr>
        <w:t>Cholesterol</w:t>
      </w:r>
      <w:r w:rsidRPr="00397B79">
        <w:rPr>
          <w:rFonts w:eastAsia="Times New Roman" w:cs="Arial"/>
          <w:color w:val="000000"/>
        </w:rPr>
        <w:t xml:space="preserve"> </w:t>
      </w:r>
      <w:r w:rsidRPr="00397B79">
        <w:rPr>
          <w:rFonts w:eastAsia="Times New Roman" w:cs="Arial"/>
          <w:color w:val="000000"/>
          <w:lang w:val="en-US"/>
        </w:rPr>
        <w:t>and</w:t>
      </w:r>
      <w:r w:rsidRPr="00397B79">
        <w:rPr>
          <w:rFonts w:eastAsia="Times New Roman" w:cs="Arial"/>
          <w:color w:val="000000"/>
        </w:rPr>
        <w:t xml:space="preserve"> </w:t>
      </w:r>
      <w:r w:rsidRPr="00397B79">
        <w:rPr>
          <w:rFonts w:eastAsia="Times New Roman" w:cs="Arial"/>
          <w:color w:val="000000"/>
          <w:lang w:val="en-US"/>
        </w:rPr>
        <w:t>Homocysteine</w:t>
      </w:r>
      <w:r w:rsidRPr="00397B79">
        <w:rPr>
          <w:rFonts w:eastAsia="Times New Roman" w:cs="Arial"/>
          <w:color w:val="000000"/>
        </w:rPr>
        <w:t xml:space="preserve">) </w:t>
      </w:r>
      <w:r w:rsidRPr="00397B79">
        <w:rPr>
          <w:rFonts w:eastAsia="Times New Roman" w:cs="Arial"/>
          <w:color w:val="000000"/>
          <w:lang w:eastAsia="bg-BG"/>
        </w:rPr>
        <w:t xml:space="preserve">сравнява ефекта от лечение с 80 </w:t>
      </w:r>
      <w:r w:rsidRPr="00397B79">
        <w:rPr>
          <w:rFonts w:eastAsia="Times New Roman" w:cs="Arial"/>
          <w:color w:val="000000"/>
          <w:lang w:val="en-US"/>
        </w:rPr>
        <w:t>mg</w:t>
      </w:r>
      <w:r w:rsidRPr="00397B79">
        <w:rPr>
          <w:rFonts w:eastAsia="Times New Roman" w:cs="Arial"/>
          <w:color w:val="000000"/>
        </w:rPr>
        <w:t xml:space="preserve"> </w:t>
      </w:r>
      <w:r w:rsidRPr="00397B79">
        <w:rPr>
          <w:rFonts w:eastAsia="Times New Roman" w:cs="Arial"/>
          <w:color w:val="000000"/>
          <w:lang w:eastAsia="bg-BG"/>
        </w:rPr>
        <w:t xml:space="preserve">и с 20 </w:t>
      </w:r>
      <w:r w:rsidRPr="00397B79">
        <w:rPr>
          <w:rFonts w:eastAsia="Times New Roman" w:cs="Arial"/>
          <w:color w:val="000000"/>
          <w:lang w:val="en-US"/>
        </w:rPr>
        <w:t>mg</w:t>
      </w:r>
      <w:r w:rsidRPr="00397B79">
        <w:rPr>
          <w:rFonts w:eastAsia="Times New Roman" w:cs="Arial"/>
          <w:color w:val="000000"/>
        </w:rPr>
        <w:t xml:space="preserve"> </w:t>
      </w:r>
      <w:r w:rsidRPr="00397B79">
        <w:rPr>
          <w:rFonts w:eastAsia="Times New Roman" w:cs="Arial"/>
          <w:color w:val="000000"/>
          <w:lang w:eastAsia="bg-BG"/>
        </w:rPr>
        <w:t xml:space="preserve">симвастатин (средна продължителност на проследяването 6,7 години) върху сериозните съдови инциденти (фатално коронарно сърдечно заболяване, нелегален инфаркт на миокарда, процедура </w:t>
      </w:r>
      <w:r w:rsidRPr="00397B79">
        <w:rPr>
          <w:rFonts w:eastAsia="Times New Roman" w:cs="Arial"/>
          <w:color w:val="000000"/>
          <w:lang w:eastAsia="bg-BG"/>
        </w:rPr>
        <w:lastRenderedPageBreak/>
        <w:t xml:space="preserve">за коронарна реваскуларизация, летален или нефатален удар или процедура за периферна реваскуларизация), като обхваща 12 064 пациента с анамнеза на инфаркт на миокарда. Не е установена значителна разлика в честотата на сериозните съдови инциденти между двете групи, а именно симвастатин 20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w:t>
      </w:r>
      <w:r w:rsidRPr="00397B79">
        <w:rPr>
          <w:rFonts w:eastAsia="Times New Roman" w:cs="Arial"/>
          <w:color w:val="000000"/>
          <w:lang w:val="en-US"/>
        </w:rPr>
        <w:t>n</w:t>
      </w:r>
      <w:r w:rsidRPr="00397B79">
        <w:rPr>
          <w:rFonts w:eastAsia="Times New Roman" w:cs="Arial"/>
          <w:color w:val="000000"/>
          <w:lang w:eastAsia="bg-BG"/>
        </w:rPr>
        <w:t xml:space="preserve"> = 1 553; 25,7%) срещу симвастатин 80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w:t>
      </w:r>
      <w:r w:rsidRPr="00397B79">
        <w:rPr>
          <w:rFonts w:eastAsia="Times New Roman" w:cs="Arial"/>
          <w:color w:val="000000"/>
          <w:lang w:val="en-US"/>
        </w:rPr>
        <w:t>n</w:t>
      </w:r>
      <w:r w:rsidRPr="00397B79">
        <w:rPr>
          <w:rFonts w:eastAsia="Times New Roman" w:cs="Arial"/>
          <w:color w:val="000000"/>
          <w:lang w:eastAsia="bg-BG"/>
        </w:rPr>
        <w:t xml:space="preserve"> = 1 477; 24,5%); относителен риск 0,94; 95% интервал на доверителност 0,88 - 1,01. Абсолютната разлика в </w:t>
      </w:r>
      <w:r w:rsidRPr="00397B79">
        <w:rPr>
          <w:rFonts w:eastAsia="Times New Roman" w:cs="Arial"/>
          <w:color w:val="000000"/>
          <w:lang w:val="en-US"/>
        </w:rPr>
        <w:t>LDL</w:t>
      </w:r>
      <w:r w:rsidRPr="00397B79">
        <w:rPr>
          <w:rFonts w:eastAsia="Times New Roman" w:cs="Arial"/>
          <w:color w:val="000000"/>
          <w:lang w:eastAsia="bg-BG"/>
        </w:rPr>
        <w:t xml:space="preserve">-холестерола между двете групи по време на проучването е 0,35 ± </w:t>
      </w:r>
      <w:r w:rsidRPr="00397B79">
        <w:rPr>
          <w:rFonts w:eastAsia="Times New Roman" w:cs="Arial"/>
          <w:color w:val="000000"/>
          <w:lang w:val="ru-RU"/>
        </w:rPr>
        <w:t>0,01</w:t>
      </w:r>
      <w:proofErr w:type="spellStart"/>
      <w:r w:rsidRPr="00397B79">
        <w:rPr>
          <w:rFonts w:eastAsia="Times New Roman" w:cs="Arial"/>
          <w:color w:val="000000"/>
          <w:lang w:val="en-US"/>
        </w:rPr>
        <w:t>mmol</w:t>
      </w:r>
      <w:proofErr w:type="spellEnd"/>
      <w:r w:rsidRPr="00397B79">
        <w:rPr>
          <w:rFonts w:eastAsia="Times New Roman" w:cs="Arial"/>
          <w:color w:val="000000"/>
          <w:lang w:val="ru-RU"/>
        </w:rPr>
        <w:t>/</w:t>
      </w:r>
      <w:r w:rsidRPr="00397B79">
        <w:rPr>
          <w:rFonts w:eastAsia="Times New Roman" w:cs="Arial"/>
          <w:color w:val="000000"/>
          <w:lang w:val="en-US"/>
        </w:rPr>
        <w:t>l</w:t>
      </w:r>
      <w:r w:rsidRPr="00397B79">
        <w:rPr>
          <w:rFonts w:eastAsia="Times New Roman" w:cs="Arial"/>
          <w:color w:val="000000"/>
          <w:lang w:val="ru-RU"/>
        </w:rPr>
        <w:t xml:space="preserve">. </w:t>
      </w:r>
      <w:r w:rsidRPr="00397B79">
        <w:rPr>
          <w:rFonts w:eastAsia="Times New Roman" w:cs="Arial"/>
          <w:color w:val="000000"/>
          <w:lang w:eastAsia="bg-BG"/>
        </w:rPr>
        <w:t xml:space="preserve">Профилите на безопасност при двете групи са сходни освен по отношение на честотата на миопатия, която е приблизително 1 % при пациентите, приемащи 80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в сравнение с 0,02% при приемащите 20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Приблизително половината от случаите на миопатия са съобщени през първата година на лечението. Честотата на миопатия през всяка следваща година на лечение е приблизително 0,1 %.</w:t>
      </w:r>
    </w:p>
    <w:p w14:paraId="2A91B033" w14:textId="77777777" w:rsidR="00397B79" w:rsidRPr="00397B79" w:rsidRDefault="00397B79" w:rsidP="00397B79">
      <w:pPr>
        <w:spacing w:line="240" w:lineRule="auto"/>
        <w:rPr>
          <w:rFonts w:eastAsia="Times New Roman" w:cs="Arial"/>
          <w:i/>
          <w:iCs/>
          <w:color w:val="000000"/>
          <w:lang w:eastAsia="bg-BG"/>
        </w:rPr>
      </w:pPr>
    </w:p>
    <w:p w14:paraId="322162D4"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Първична хиперхолестеролемия и комбинирана хиперлипидемия</w:t>
      </w:r>
    </w:p>
    <w:p w14:paraId="45D931BD" w14:textId="77777777" w:rsidR="00397B79" w:rsidRPr="00397B79" w:rsidRDefault="00397B79" w:rsidP="00397B79">
      <w:pPr>
        <w:rPr>
          <w:rFonts w:eastAsia="Times New Roman" w:cs="Arial"/>
        </w:rPr>
      </w:pPr>
      <w:r w:rsidRPr="00397B79">
        <w:rPr>
          <w:rFonts w:eastAsia="Times New Roman" w:cs="Arial"/>
          <w:color w:val="000000"/>
          <w:lang w:eastAsia="bg-BG"/>
        </w:rPr>
        <w:t xml:space="preserve">В проучванията, сравняващи ефективността и безопасността на симвастатин 10, 20, 40 и 80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дневно при пациенти с хиперхолестролемия, средното понижение на </w:t>
      </w:r>
      <w:r w:rsidRPr="00397B79">
        <w:rPr>
          <w:rFonts w:eastAsia="Times New Roman" w:cs="Arial"/>
          <w:color w:val="000000"/>
          <w:lang w:val="en-US"/>
        </w:rPr>
        <w:t>LDL</w:t>
      </w:r>
      <w:r w:rsidRPr="00397B79">
        <w:rPr>
          <w:rFonts w:eastAsia="Times New Roman" w:cs="Arial"/>
          <w:color w:val="000000"/>
          <w:lang w:eastAsia="bg-BG"/>
        </w:rPr>
        <w:t xml:space="preserve">-холестерола е съответно 30, 38, 41 и 47%. В проучванията върху пациенти с комбинирана (смесена) хиперлипидемия, лекувани с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и с 80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средното понижение на триглицеридите е съответно 28 и 33% (при плацебо: 2%), а средното повишение на </w:t>
      </w:r>
      <w:r w:rsidRPr="00397B79">
        <w:rPr>
          <w:rFonts w:eastAsia="Times New Roman" w:cs="Arial"/>
          <w:color w:val="000000"/>
          <w:lang w:val="en-US"/>
        </w:rPr>
        <w:t>HDL</w:t>
      </w:r>
      <w:r w:rsidRPr="00397B79">
        <w:rPr>
          <w:rFonts w:eastAsia="Times New Roman" w:cs="Arial"/>
          <w:color w:val="000000"/>
          <w:lang w:eastAsia="bg-BG"/>
        </w:rPr>
        <w:t>-холестерола е съответно 13% и 16% (при плацебо: 3%).</w:t>
      </w:r>
    </w:p>
    <w:p w14:paraId="3855E784" w14:textId="77777777" w:rsidR="00397B79" w:rsidRPr="00397B79" w:rsidRDefault="00397B79" w:rsidP="00397B79">
      <w:pPr>
        <w:spacing w:line="240" w:lineRule="auto"/>
        <w:rPr>
          <w:rFonts w:eastAsia="Times New Roman" w:cs="Arial"/>
          <w:color w:val="000000"/>
          <w:u w:val="single"/>
          <w:lang w:eastAsia="bg-BG"/>
        </w:rPr>
      </w:pPr>
    </w:p>
    <w:p w14:paraId="529F9436" w14:textId="77777777"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Педиатрична популация</w:t>
      </w:r>
    </w:p>
    <w:p w14:paraId="4F05AC9D"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Клинични проучвания при деца и подрастващи (10-17 годишна възраст)</w:t>
      </w:r>
    </w:p>
    <w:p w14:paraId="27BBEA70"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В двойно сляпо, плацебо контролирано проучване 175 пациента </w:t>
      </w:r>
      <w:r w:rsidRPr="00397B79">
        <w:rPr>
          <w:rFonts w:eastAsia="Times New Roman" w:cs="Arial"/>
          <w:i/>
          <w:iCs/>
          <w:color w:val="000000"/>
          <w:lang w:eastAsia="bg-BG"/>
        </w:rPr>
        <w:t>(99</w:t>
      </w:r>
      <w:r w:rsidRPr="00397B79">
        <w:rPr>
          <w:rFonts w:eastAsia="Times New Roman" w:cs="Arial"/>
          <w:color w:val="000000"/>
          <w:lang w:eastAsia="bg-BG"/>
        </w:rPr>
        <w:t xml:space="preserve"> мочета във фаза II и по-висока по Танер и 76 момичета поне една година след менархе) на възраст 10-17 години (средна възраст 14,1 години) с хетерозиготна фамилна хиперхолестеролемия са рандомизирани по отношение на приема на симвастатин или плацебо за 24 седмици (базово проучване). Включването в изпитанията изисква начално ниво на </w:t>
      </w:r>
      <w:r w:rsidRPr="00397B79">
        <w:rPr>
          <w:rFonts w:eastAsia="Times New Roman" w:cs="Arial"/>
          <w:color w:val="000000"/>
          <w:lang w:val="en-US"/>
        </w:rPr>
        <w:t>LDL</w:t>
      </w:r>
      <w:r w:rsidRPr="00397B79">
        <w:rPr>
          <w:rFonts w:eastAsia="Times New Roman" w:cs="Arial"/>
          <w:color w:val="000000"/>
          <w:lang w:eastAsia="bg-BG"/>
        </w:rPr>
        <w:t xml:space="preserve">-холестерол в границите 160-400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 </w:t>
      </w:r>
      <w:r w:rsidRPr="00397B79">
        <w:rPr>
          <w:rFonts w:eastAsia="Times New Roman" w:cs="Arial"/>
          <w:color w:val="000000"/>
          <w:lang w:eastAsia="bg-BG"/>
        </w:rPr>
        <w:t xml:space="preserve">и поне един родител с ниво на </w:t>
      </w:r>
      <w:r w:rsidRPr="00397B79">
        <w:rPr>
          <w:rFonts w:eastAsia="Times New Roman" w:cs="Arial"/>
          <w:color w:val="000000"/>
          <w:lang w:val="en-US"/>
        </w:rPr>
        <w:t>LDL</w:t>
      </w:r>
      <w:r w:rsidRPr="00397B79">
        <w:rPr>
          <w:rFonts w:eastAsia="Times New Roman" w:cs="Arial"/>
          <w:color w:val="000000"/>
          <w:lang w:eastAsia="bg-BG"/>
        </w:rPr>
        <w:t xml:space="preserve">-холестерол &gt;189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 </w:t>
      </w:r>
      <w:r w:rsidRPr="00397B79">
        <w:rPr>
          <w:rFonts w:eastAsia="Times New Roman" w:cs="Arial"/>
          <w:color w:val="000000"/>
          <w:lang w:eastAsia="bg-BG"/>
        </w:rPr>
        <w:t xml:space="preserve">Дозата симвастатин (веднъж дневно вечер) е 10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през първите 8 седмици, 20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през следващите 8 седмици, а след това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След 24 седмици 144 пациента са подбрани да продължат терапията със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симвастатин или с плацебо.</w:t>
      </w:r>
    </w:p>
    <w:p w14:paraId="6F1D97A3"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Установено е, че симвастатин значително понижава плазмените нива на </w:t>
      </w:r>
      <w:r w:rsidRPr="00397B79">
        <w:rPr>
          <w:rFonts w:eastAsia="Times New Roman" w:cs="Arial"/>
          <w:color w:val="000000"/>
          <w:lang w:val="en-US"/>
        </w:rPr>
        <w:t>LDL</w:t>
      </w:r>
      <w:r w:rsidRPr="00397B79">
        <w:rPr>
          <w:rFonts w:eastAsia="Times New Roman" w:cs="Arial"/>
          <w:color w:val="000000"/>
          <w:lang w:eastAsia="bg-BG"/>
        </w:rPr>
        <w:t>-холестерол, триглицеридите и на аполипротеин В (Аро В). Резултатите от 48-седмичното продължение са сравними с тези, получени в базовото проучване.</w:t>
      </w:r>
    </w:p>
    <w:p w14:paraId="5D4F36F5"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След 24-седмично лечение постигнатите средни стойности на </w:t>
      </w:r>
      <w:r w:rsidRPr="00397B79">
        <w:rPr>
          <w:rFonts w:eastAsia="Times New Roman" w:cs="Arial"/>
          <w:color w:val="000000"/>
          <w:lang w:val="en-US"/>
        </w:rPr>
        <w:t>LDL</w:t>
      </w:r>
      <w:r w:rsidRPr="00397B79">
        <w:rPr>
          <w:rFonts w:eastAsia="Times New Roman" w:cs="Arial"/>
          <w:color w:val="000000"/>
          <w:lang w:eastAsia="bg-BG"/>
        </w:rPr>
        <w:t xml:space="preserve">-холестерол са 124,9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 </w:t>
      </w:r>
      <w:r w:rsidRPr="00397B79">
        <w:rPr>
          <w:rFonts w:eastAsia="Times New Roman" w:cs="Arial"/>
          <w:color w:val="000000"/>
          <w:lang w:eastAsia="bg-BG"/>
        </w:rPr>
        <w:t xml:space="preserve">(в интервал 64,0 - 289,0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 </w:t>
      </w:r>
      <w:r w:rsidRPr="00397B79">
        <w:rPr>
          <w:rFonts w:eastAsia="Times New Roman" w:cs="Arial"/>
          <w:color w:val="000000"/>
          <w:lang w:eastAsia="bg-BG"/>
        </w:rPr>
        <w:t xml:space="preserve">в групата,приемала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в сравнение с 207,8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 </w:t>
      </w:r>
      <w:r w:rsidRPr="00397B79">
        <w:rPr>
          <w:rFonts w:eastAsia="Times New Roman" w:cs="Arial"/>
          <w:color w:val="000000"/>
          <w:lang w:eastAsia="bg-BG"/>
        </w:rPr>
        <w:t xml:space="preserve">(в интервал 128,0-334,0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0 </w:t>
      </w:r>
      <w:r w:rsidRPr="00397B79">
        <w:rPr>
          <w:rFonts w:eastAsia="Times New Roman" w:cs="Arial"/>
          <w:color w:val="000000"/>
          <w:lang w:eastAsia="bg-BG"/>
        </w:rPr>
        <w:t>в плацебо групата.</w:t>
      </w:r>
    </w:p>
    <w:p w14:paraId="42FC40D3"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След 24-седмично лечение със симвастатин (с повишаващи се дози от 10, 20 и до 40 мг дневно през 8-седмични интервали) средните стойности на </w:t>
      </w:r>
      <w:r w:rsidRPr="00397B79">
        <w:rPr>
          <w:rFonts w:eastAsia="Times New Roman" w:cs="Arial"/>
          <w:color w:val="000000"/>
          <w:lang w:val="en-US"/>
        </w:rPr>
        <w:t>LDL</w:t>
      </w:r>
      <w:r w:rsidRPr="00397B79">
        <w:rPr>
          <w:rFonts w:eastAsia="Times New Roman" w:cs="Arial"/>
          <w:color w:val="000000"/>
          <w:lang w:eastAsia="bg-BG"/>
        </w:rPr>
        <w:t xml:space="preserve">-холестерол се понижават с 36,8% (в плацебо групата се наблюдава 1,1 % повишение спрямо базовото ниво), Аро В се понижава е 32,4% (при плацебо 0,5%), средните стойности на триглицеридите - със 7,9% (при плацебо 3,2%), а повишените нива на </w:t>
      </w:r>
      <w:r w:rsidRPr="00397B79">
        <w:rPr>
          <w:rFonts w:eastAsia="Times New Roman" w:cs="Arial"/>
          <w:color w:val="000000"/>
          <w:lang w:val="en-US"/>
        </w:rPr>
        <w:t>HDL</w:t>
      </w:r>
      <w:r w:rsidRPr="00397B79">
        <w:rPr>
          <w:rFonts w:eastAsia="Times New Roman" w:cs="Arial"/>
          <w:color w:val="000000"/>
          <w:lang w:eastAsia="bg-BG"/>
        </w:rPr>
        <w:t xml:space="preserve">-холестерол са снижени с 8,3% (в плацебо групата с 3,6%). Дългосрочните ефекти на симвастатин по отношение на сърдечносъдовите инциденти при деца със хетерозиготна фамилна хиперлипидемия не са известни. Безопасността и ефективността на дози, превишаващи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дневно, не са определяни при деца с хетерозиготна фамилна хиперлипидемия. Дългосрочната ефективност на лечението със симвастатин в детството за намаляване на заболеваемостта и смъртността по-късно не е установена.</w:t>
      </w:r>
    </w:p>
    <w:p w14:paraId="339D0F9A" w14:textId="77777777" w:rsidR="00397B79" w:rsidRPr="00397B79" w:rsidRDefault="00397B79" w:rsidP="00397B79"/>
    <w:p w14:paraId="78DD93AA" w14:textId="624FC71A" w:rsidR="00B6672E" w:rsidRDefault="002C50EE" w:rsidP="00936AD0">
      <w:pPr>
        <w:pStyle w:val="Heading2"/>
      </w:pPr>
      <w:r>
        <w:lastRenderedPageBreak/>
        <w:t>5.2. Фармакокинетични свойства</w:t>
      </w:r>
    </w:p>
    <w:p w14:paraId="2996123A" w14:textId="7D46167B" w:rsidR="00397B79" w:rsidRDefault="00397B79" w:rsidP="00397B79"/>
    <w:p w14:paraId="0E31856C"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 xml:space="preserve">Симвастатин е неактивен лактон, който бързо се хидролизира ин виво до съответната бета- хидроксикиселина, която е мощен инхибитор на </w:t>
      </w:r>
      <w:r w:rsidRPr="00397B79">
        <w:rPr>
          <w:rFonts w:eastAsia="Times New Roman" w:cs="Arial"/>
          <w:color w:val="000000"/>
          <w:szCs w:val="20"/>
          <w:lang w:val="en-US"/>
        </w:rPr>
        <w:t>HMG</w:t>
      </w:r>
      <w:r w:rsidRPr="00397B79">
        <w:rPr>
          <w:rFonts w:eastAsia="Times New Roman" w:cs="Arial"/>
          <w:color w:val="000000"/>
          <w:szCs w:val="20"/>
          <w:lang w:val="ru-RU"/>
        </w:rPr>
        <w:t>-</w:t>
      </w:r>
      <w:r w:rsidRPr="00397B79">
        <w:rPr>
          <w:rFonts w:eastAsia="Times New Roman" w:cs="Arial"/>
          <w:color w:val="000000"/>
          <w:szCs w:val="20"/>
          <w:lang w:val="en-US"/>
        </w:rPr>
        <w:t>CoA</w:t>
      </w:r>
      <w:r w:rsidRPr="00397B79">
        <w:rPr>
          <w:rFonts w:eastAsia="Times New Roman" w:cs="Arial"/>
          <w:color w:val="000000"/>
          <w:szCs w:val="20"/>
          <w:lang w:val="ru-RU"/>
        </w:rPr>
        <w:t xml:space="preserve"> </w:t>
      </w:r>
      <w:r w:rsidRPr="00397B79">
        <w:rPr>
          <w:rFonts w:eastAsia="Times New Roman" w:cs="Arial"/>
          <w:color w:val="000000"/>
          <w:szCs w:val="20"/>
          <w:lang w:eastAsia="bg-BG"/>
        </w:rPr>
        <w:t>редуктазата. Хидролизата се осъществява предимно в черния дроб; степента на хидролиза в плазмата е много ниска.</w:t>
      </w:r>
    </w:p>
    <w:p w14:paraId="1CD83596"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Фармакокинетичните свойства са определени при възрастни. Няма данни за фармакокинетичните свойства при деца и подрастващи.</w:t>
      </w:r>
    </w:p>
    <w:p w14:paraId="5B9939DA" w14:textId="77777777" w:rsidR="00397B79" w:rsidRPr="00397B79" w:rsidRDefault="00397B79" w:rsidP="00397B79">
      <w:pPr>
        <w:spacing w:line="240" w:lineRule="auto"/>
        <w:rPr>
          <w:rFonts w:eastAsia="Times New Roman" w:cs="Arial"/>
          <w:color w:val="000000"/>
          <w:szCs w:val="20"/>
          <w:u w:val="single"/>
          <w:lang w:eastAsia="bg-BG"/>
        </w:rPr>
      </w:pPr>
    </w:p>
    <w:p w14:paraId="2D8C7B8F" w14:textId="2D3EC1B0" w:rsidR="00397B79" w:rsidRPr="00397B79" w:rsidRDefault="00397B79" w:rsidP="00397B79">
      <w:pPr>
        <w:pStyle w:val="Heading3"/>
        <w:rPr>
          <w:rFonts w:eastAsia="Times New Roman"/>
          <w:sz w:val="28"/>
          <w:u w:val="single"/>
        </w:rPr>
      </w:pPr>
      <w:r w:rsidRPr="00397B79">
        <w:rPr>
          <w:rFonts w:eastAsia="Times New Roman"/>
          <w:u w:val="single"/>
          <w:lang w:eastAsia="bg-BG"/>
        </w:rPr>
        <w:t>Абсорбция</w:t>
      </w:r>
    </w:p>
    <w:p w14:paraId="016CDC0B"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Симвастатин се абсорбира добре и през първата фаза се подлага на екстензивна чернодробна екстракция. Екстракцията в черния дроб зависи от чернодробния кръвен ток. Черният дроб е първичното място на действие на активната форма. Установено е, че присъствието на бета- хидроксикиселината в системното кръвообръщение след прием на симвастатин през устата е по- малко от 5% от дозата. Максимална плазмена концентрация на активните инхибитори се постига приблизително 1-2 часа след прием на симвастатин.</w:t>
      </w:r>
    </w:p>
    <w:p w14:paraId="48424339"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Едновременният прием на храна не повлиява абсорбцията.</w:t>
      </w:r>
    </w:p>
    <w:p w14:paraId="3119C883"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Фармакокинетиката на еднократна или на многократни дози симвастатин разкрива липса на акумулация на лекарствения продукт след многократно дозиране.</w:t>
      </w:r>
    </w:p>
    <w:p w14:paraId="5197F053" w14:textId="77777777" w:rsidR="00397B79" w:rsidRPr="00397B79" w:rsidRDefault="00397B79" w:rsidP="00397B79">
      <w:pPr>
        <w:spacing w:line="240" w:lineRule="auto"/>
        <w:rPr>
          <w:rFonts w:eastAsia="Times New Roman" w:cs="Arial"/>
          <w:color w:val="000000"/>
          <w:szCs w:val="20"/>
          <w:u w:val="single"/>
          <w:lang w:eastAsia="bg-BG"/>
        </w:rPr>
      </w:pPr>
    </w:p>
    <w:p w14:paraId="452E109F" w14:textId="204D53E3" w:rsidR="00397B79" w:rsidRPr="00397B79" w:rsidRDefault="00397B79" w:rsidP="00397B79">
      <w:pPr>
        <w:pStyle w:val="Heading3"/>
        <w:rPr>
          <w:rFonts w:eastAsia="Times New Roman"/>
          <w:sz w:val="28"/>
          <w:u w:val="single"/>
        </w:rPr>
      </w:pPr>
      <w:r w:rsidRPr="00397B79">
        <w:rPr>
          <w:rFonts w:eastAsia="Times New Roman"/>
          <w:u w:val="single"/>
          <w:lang w:eastAsia="bg-BG"/>
        </w:rPr>
        <w:t>Разпределение</w:t>
      </w:r>
    </w:p>
    <w:p w14:paraId="13408519"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Свързването на симвастатин и неговия активен метаболит с белтъците е &gt;95%.</w:t>
      </w:r>
    </w:p>
    <w:p w14:paraId="04D95D9B" w14:textId="4CEB7738" w:rsidR="00397B79" w:rsidRPr="00397B79" w:rsidRDefault="00397B79" w:rsidP="00397B79">
      <w:pPr>
        <w:rPr>
          <w:rFonts w:cs="Arial"/>
          <w:sz w:val="24"/>
        </w:rPr>
      </w:pPr>
    </w:p>
    <w:p w14:paraId="02973CD3" w14:textId="77777777" w:rsidR="00397B79" w:rsidRPr="00397B79" w:rsidRDefault="00397B79" w:rsidP="00397B79">
      <w:pPr>
        <w:pStyle w:val="Heading3"/>
        <w:rPr>
          <w:rFonts w:eastAsia="Times New Roman"/>
          <w:sz w:val="28"/>
          <w:u w:val="single"/>
        </w:rPr>
      </w:pPr>
      <w:r w:rsidRPr="00397B79">
        <w:rPr>
          <w:rFonts w:eastAsia="Times New Roman"/>
          <w:u w:val="single"/>
          <w:lang w:eastAsia="bg-BG"/>
        </w:rPr>
        <w:t>Елиминиране</w:t>
      </w:r>
    </w:p>
    <w:p w14:paraId="7F0529F7"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 xml:space="preserve">Симвастатин навлиза активно в хепатоцитите с помощта на тарнспортния белтък ОАТР1В1. Симвастатин е субстрат на </w:t>
      </w:r>
      <w:r w:rsidRPr="00397B79">
        <w:rPr>
          <w:rFonts w:eastAsia="Times New Roman" w:cs="Arial"/>
          <w:color w:val="000000"/>
          <w:szCs w:val="20"/>
          <w:lang w:val="en-US"/>
        </w:rPr>
        <w:t>CYP</w:t>
      </w:r>
      <w:r w:rsidRPr="00397B79">
        <w:rPr>
          <w:rFonts w:eastAsia="Times New Roman" w:cs="Arial"/>
          <w:color w:val="000000"/>
          <w:szCs w:val="20"/>
          <w:lang w:val="ru-RU"/>
        </w:rPr>
        <w:t>3</w:t>
      </w:r>
      <w:r w:rsidRPr="00397B79">
        <w:rPr>
          <w:rFonts w:eastAsia="Times New Roman" w:cs="Arial"/>
          <w:color w:val="000000"/>
          <w:szCs w:val="20"/>
          <w:lang w:val="en-US"/>
        </w:rPr>
        <w:t>A</w:t>
      </w:r>
      <w:r w:rsidRPr="00397B79">
        <w:rPr>
          <w:rFonts w:eastAsia="Times New Roman" w:cs="Arial"/>
          <w:color w:val="000000"/>
          <w:szCs w:val="20"/>
          <w:lang w:val="ru-RU"/>
        </w:rPr>
        <w:t xml:space="preserve">4 </w:t>
      </w:r>
      <w:r w:rsidRPr="00397B79">
        <w:rPr>
          <w:rFonts w:eastAsia="Times New Roman" w:cs="Arial"/>
          <w:color w:val="000000"/>
          <w:szCs w:val="20"/>
          <w:lang w:eastAsia="bg-BG"/>
        </w:rPr>
        <w:t>(вижте точки 4.3 и 4.5). Основните метаболити на симвастатин, присъстващи в човешката плазма, са бета-хидроксикиселината и още 4 допълнителни активни метаболита. След прием през устата на радиоактивно белязан симвастатин е установено, че за срок от 96 часа през урината се екскретират 13% от радиоактивността, а през фекалиите - 60%. Количеството, открито във фецеса, представлява еквивалент на абсорбирания лекарствен продукт, излъчен през жлъчката, както и неабсорбирания такъв. След интравенозно инжектиране на бетахидроксикиселинния метаболит е установено, че неговият полуживот средно е 1,9 часа. Средно само 0,3% от интравенозната доза се екскретира с урината като инхибитор.</w:t>
      </w:r>
    </w:p>
    <w:p w14:paraId="1F447F87" w14:textId="77777777" w:rsidR="00397B79" w:rsidRPr="00397B79" w:rsidRDefault="00397B79" w:rsidP="00397B79">
      <w:pPr>
        <w:spacing w:line="240" w:lineRule="auto"/>
        <w:rPr>
          <w:rFonts w:eastAsia="Times New Roman" w:cs="Arial"/>
          <w:color w:val="000000"/>
          <w:szCs w:val="20"/>
          <w:lang w:eastAsia="bg-BG"/>
        </w:rPr>
      </w:pPr>
    </w:p>
    <w:p w14:paraId="0427D53C" w14:textId="3994DF3A"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 xml:space="preserve">Симвастатиновата киселина се поема активно в хепатоцитите чрез ОАТР1В1 транспортера. Симвастатин е субстрат на ефлуксния транспортер </w:t>
      </w:r>
      <w:r w:rsidRPr="00397B79">
        <w:rPr>
          <w:rFonts w:eastAsia="Times New Roman" w:cs="Arial"/>
          <w:color w:val="000000"/>
          <w:szCs w:val="20"/>
          <w:lang w:val="en-US"/>
        </w:rPr>
        <w:t>BCRP</w:t>
      </w:r>
      <w:r w:rsidRPr="00397B79">
        <w:rPr>
          <w:rFonts w:eastAsia="Times New Roman" w:cs="Arial"/>
          <w:color w:val="000000"/>
          <w:szCs w:val="20"/>
          <w:lang w:val="ru-RU"/>
        </w:rPr>
        <w:t>.</w:t>
      </w:r>
    </w:p>
    <w:p w14:paraId="387492CF" w14:textId="77777777" w:rsidR="00397B79" w:rsidRPr="00397B79" w:rsidRDefault="00397B79" w:rsidP="00397B79">
      <w:pPr>
        <w:spacing w:line="240" w:lineRule="auto"/>
        <w:rPr>
          <w:rFonts w:eastAsia="Times New Roman" w:cs="Arial"/>
          <w:color w:val="000000"/>
          <w:szCs w:val="20"/>
          <w:u w:val="single"/>
          <w:lang w:eastAsia="bg-BG"/>
        </w:rPr>
      </w:pPr>
    </w:p>
    <w:p w14:paraId="072C0397" w14:textId="21DD0E26" w:rsidR="00397B79" w:rsidRPr="00397B79" w:rsidRDefault="00397B79" w:rsidP="00397B79">
      <w:pPr>
        <w:pStyle w:val="Heading3"/>
        <w:rPr>
          <w:rFonts w:eastAsia="Times New Roman"/>
          <w:sz w:val="28"/>
          <w:u w:val="single"/>
        </w:rPr>
      </w:pPr>
      <w:r w:rsidRPr="00397B79">
        <w:rPr>
          <w:rFonts w:eastAsia="Times New Roman"/>
          <w:u w:val="single"/>
          <w:lang w:eastAsia="bg-BG"/>
        </w:rPr>
        <w:t>Специални популации</w:t>
      </w:r>
    </w:p>
    <w:p w14:paraId="4D636213" w14:textId="77777777" w:rsidR="00397B79" w:rsidRPr="00397B79" w:rsidRDefault="00397B79" w:rsidP="00397B79">
      <w:pPr>
        <w:spacing w:line="240" w:lineRule="auto"/>
        <w:rPr>
          <w:rFonts w:eastAsia="Times New Roman" w:cs="Arial"/>
          <w:color w:val="000000"/>
          <w:szCs w:val="20"/>
          <w:lang w:val="en-US"/>
        </w:rPr>
      </w:pPr>
    </w:p>
    <w:p w14:paraId="3E927273" w14:textId="6B30E238"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val="en-US"/>
        </w:rPr>
        <w:t>SLCO</w:t>
      </w:r>
      <w:r w:rsidRPr="00397B79">
        <w:rPr>
          <w:rFonts w:eastAsia="Times New Roman" w:cs="Arial"/>
          <w:color w:val="000000"/>
          <w:szCs w:val="20"/>
          <w:lang w:val="ru-RU"/>
        </w:rPr>
        <w:t>1</w:t>
      </w:r>
      <w:r w:rsidRPr="00397B79">
        <w:rPr>
          <w:rFonts w:eastAsia="Times New Roman" w:cs="Arial"/>
          <w:color w:val="000000"/>
          <w:szCs w:val="20"/>
          <w:lang w:val="en-US"/>
        </w:rPr>
        <w:t>B</w:t>
      </w:r>
      <w:r w:rsidRPr="00397B79">
        <w:rPr>
          <w:rFonts w:eastAsia="Times New Roman" w:cs="Arial"/>
          <w:color w:val="000000"/>
          <w:szCs w:val="20"/>
          <w:lang w:val="ru-RU"/>
        </w:rPr>
        <w:t xml:space="preserve">1 </w:t>
      </w:r>
      <w:r w:rsidRPr="00397B79">
        <w:rPr>
          <w:rFonts w:eastAsia="Times New Roman" w:cs="Arial"/>
          <w:color w:val="000000"/>
          <w:szCs w:val="20"/>
          <w:lang w:eastAsia="bg-BG"/>
        </w:rPr>
        <w:t>полиморфизъм</w:t>
      </w:r>
    </w:p>
    <w:p w14:paraId="133D8145"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 xml:space="preserve">Носителите на ген </w:t>
      </w:r>
      <w:r w:rsidRPr="00397B79">
        <w:rPr>
          <w:rFonts w:eastAsia="Times New Roman" w:cs="Arial"/>
          <w:color w:val="000000"/>
          <w:szCs w:val="20"/>
          <w:lang w:val="en-US"/>
        </w:rPr>
        <w:t>SLCO</w:t>
      </w:r>
      <w:r w:rsidRPr="00397B79">
        <w:rPr>
          <w:rFonts w:eastAsia="Times New Roman" w:cs="Arial"/>
          <w:color w:val="000000"/>
          <w:szCs w:val="20"/>
          <w:lang w:val="ru-RU"/>
        </w:rPr>
        <w:t>1</w:t>
      </w:r>
      <w:r w:rsidRPr="00397B79">
        <w:rPr>
          <w:rFonts w:eastAsia="Times New Roman" w:cs="Arial"/>
          <w:color w:val="000000"/>
          <w:szCs w:val="20"/>
          <w:lang w:val="en-US"/>
        </w:rPr>
        <w:t>B</w:t>
      </w:r>
      <w:r w:rsidRPr="00397B79">
        <w:rPr>
          <w:rFonts w:eastAsia="Times New Roman" w:cs="Arial"/>
          <w:color w:val="000000"/>
          <w:szCs w:val="20"/>
          <w:lang w:val="ru-RU"/>
        </w:rPr>
        <w:t xml:space="preserve">1, </w:t>
      </w:r>
      <w:r w:rsidRPr="00397B79">
        <w:rPr>
          <w:rFonts w:eastAsia="Times New Roman" w:cs="Arial"/>
          <w:color w:val="000000"/>
          <w:szCs w:val="20"/>
          <w:lang w:eastAsia="bg-BG"/>
        </w:rPr>
        <w:t xml:space="preserve">апел с.521Т&gt;С имат по-ниска активност на ОАТР1В1. Средната експозиция </w:t>
      </w:r>
      <w:r w:rsidRPr="00397B79">
        <w:rPr>
          <w:rFonts w:eastAsia="Times New Roman" w:cs="Arial"/>
          <w:color w:val="000000"/>
          <w:szCs w:val="20"/>
          <w:lang w:val="ru-RU"/>
        </w:rPr>
        <w:t>(</w:t>
      </w:r>
      <w:r w:rsidRPr="00397B79">
        <w:rPr>
          <w:rFonts w:eastAsia="Times New Roman" w:cs="Arial"/>
          <w:color w:val="000000"/>
          <w:szCs w:val="20"/>
          <w:lang w:val="en-US"/>
        </w:rPr>
        <w:t>AUC</w:t>
      </w:r>
      <w:r w:rsidRPr="00397B79">
        <w:rPr>
          <w:rFonts w:eastAsia="Times New Roman" w:cs="Arial"/>
          <w:color w:val="000000"/>
          <w:szCs w:val="20"/>
          <w:lang w:val="ru-RU"/>
        </w:rPr>
        <w:t xml:space="preserve">) </w:t>
      </w:r>
      <w:r w:rsidRPr="00397B79">
        <w:rPr>
          <w:rFonts w:eastAsia="Times New Roman" w:cs="Arial"/>
          <w:color w:val="000000"/>
          <w:szCs w:val="20"/>
          <w:lang w:eastAsia="bg-BG"/>
        </w:rPr>
        <w:t xml:space="preserve">на основния активен метаболит, симвастатинова киселина, е 120% при хетерозиготните носители (СТ) на С алела и 221% при хомозиготните (СС) в сравнение с пациентите с най-популярния генотип (ТТ). Алелът С е с честота 18% сред европейското население. При пациенти със </w:t>
      </w:r>
      <w:r w:rsidRPr="00397B79">
        <w:rPr>
          <w:rFonts w:eastAsia="Times New Roman" w:cs="Arial"/>
          <w:color w:val="000000"/>
          <w:szCs w:val="20"/>
          <w:lang w:val="en-US"/>
        </w:rPr>
        <w:t>SLCO</w:t>
      </w:r>
      <w:r w:rsidRPr="00397B79">
        <w:rPr>
          <w:rFonts w:eastAsia="Times New Roman" w:cs="Arial"/>
          <w:color w:val="000000"/>
          <w:szCs w:val="20"/>
          <w:lang w:val="ru-RU"/>
        </w:rPr>
        <w:t>1</w:t>
      </w:r>
      <w:r w:rsidRPr="00397B79">
        <w:rPr>
          <w:rFonts w:eastAsia="Times New Roman" w:cs="Arial"/>
          <w:color w:val="000000"/>
          <w:szCs w:val="20"/>
          <w:lang w:val="en-US"/>
        </w:rPr>
        <w:t>B</w:t>
      </w:r>
      <w:r w:rsidRPr="00397B79">
        <w:rPr>
          <w:rFonts w:eastAsia="Times New Roman" w:cs="Arial"/>
          <w:color w:val="000000"/>
          <w:szCs w:val="20"/>
          <w:lang w:val="ru-RU"/>
        </w:rPr>
        <w:t xml:space="preserve">1 </w:t>
      </w:r>
      <w:r w:rsidRPr="00397B79">
        <w:rPr>
          <w:rFonts w:eastAsia="Times New Roman" w:cs="Arial"/>
          <w:color w:val="000000"/>
          <w:szCs w:val="20"/>
          <w:lang w:eastAsia="bg-BG"/>
        </w:rPr>
        <w:t>полиморфизъм съществува риск от повишена експозиция на симвастатин, което може да доведе до повишен риск от рабдомиолиза (вижте точка 4.4).</w:t>
      </w:r>
    </w:p>
    <w:p w14:paraId="00497BBC" w14:textId="77777777" w:rsidR="00397B79" w:rsidRPr="00397B79" w:rsidRDefault="00397B79" w:rsidP="00397B79"/>
    <w:p w14:paraId="4FB791BE" w14:textId="0DF15E66" w:rsidR="00B6672E" w:rsidRDefault="002C50EE" w:rsidP="00936AD0">
      <w:pPr>
        <w:pStyle w:val="Heading2"/>
      </w:pPr>
      <w:r>
        <w:t>5.3. Предклинични данни за безопасност</w:t>
      </w:r>
    </w:p>
    <w:p w14:paraId="7FBF24B3" w14:textId="62EFE953" w:rsidR="00397B79" w:rsidRDefault="00397B79" w:rsidP="00397B79"/>
    <w:p w14:paraId="28D71090" w14:textId="5E977412" w:rsidR="00397B79" w:rsidRPr="00397B79" w:rsidRDefault="00397B79" w:rsidP="00397B79">
      <w:r>
        <w:t>Неклиничните данни не показват особен риск за хора на база на конвенционалните фармакологични проучвания за безопасност, токсичност при многократно прилагане, генотоксичност, канцерогенен потенциал, репродуктивна токсичност и токсичност за развитието.</w:t>
      </w:r>
    </w:p>
    <w:p w14:paraId="1BA6531D" w14:textId="734CB7CB" w:rsidR="00B6672E" w:rsidRDefault="002C50EE" w:rsidP="00936AD0">
      <w:pPr>
        <w:pStyle w:val="Heading1"/>
      </w:pPr>
      <w:r>
        <w:t>7. ПРИТЕЖАТЕЛ НА РАЗРЕШЕНИЕТО ЗА УПОТРЕБА</w:t>
      </w:r>
    </w:p>
    <w:p w14:paraId="6133DE1B" w14:textId="1DDC9949" w:rsidR="00397B79" w:rsidRDefault="00397B79" w:rsidP="00397B79"/>
    <w:p w14:paraId="4935DD92" w14:textId="77777777" w:rsidR="00397B79" w:rsidRPr="00397B79" w:rsidRDefault="00397B79" w:rsidP="00397B79">
      <w:pPr>
        <w:rPr>
          <w:sz w:val="24"/>
          <w:szCs w:val="24"/>
        </w:rPr>
      </w:pPr>
      <w:r w:rsidRPr="00397B79">
        <w:rPr>
          <w:lang w:eastAsia="bg-BG"/>
        </w:rPr>
        <w:t>"Алкалоид" ЕООД</w:t>
      </w:r>
    </w:p>
    <w:p w14:paraId="3281F5F1" w14:textId="77777777" w:rsidR="00397B79" w:rsidRPr="00397B79" w:rsidRDefault="00397B79" w:rsidP="00397B79">
      <w:pPr>
        <w:rPr>
          <w:sz w:val="24"/>
          <w:szCs w:val="24"/>
        </w:rPr>
      </w:pPr>
      <w:r w:rsidRPr="00397B79">
        <w:rPr>
          <w:lang w:eastAsia="bg-BG"/>
        </w:rPr>
        <w:t>бул. “Никола Й.Вапцаров” № 51-А, ет. 4,</w:t>
      </w:r>
    </w:p>
    <w:p w14:paraId="3EC4F877" w14:textId="77777777" w:rsidR="00397B79" w:rsidRPr="00397B79" w:rsidRDefault="00397B79" w:rsidP="00397B79">
      <w:pPr>
        <w:rPr>
          <w:sz w:val="24"/>
          <w:szCs w:val="24"/>
        </w:rPr>
      </w:pPr>
      <w:r w:rsidRPr="00397B79">
        <w:rPr>
          <w:lang w:eastAsia="bg-BG"/>
        </w:rPr>
        <w:t>гр.София 1407, България</w:t>
      </w:r>
    </w:p>
    <w:p w14:paraId="257CC5DF" w14:textId="77777777" w:rsidR="00397B79" w:rsidRPr="00397B79" w:rsidRDefault="00397B79" w:rsidP="00397B79">
      <w:pPr>
        <w:rPr>
          <w:sz w:val="24"/>
          <w:szCs w:val="24"/>
        </w:rPr>
      </w:pPr>
      <w:r w:rsidRPr="00397B79">
        <w:rPr>
          <w:lang w:eastAsia="bg-BG"/>
        </w:rPr>
        <w:t>тел.+3592 80 81 081</w:t>
      </w:r>
    </w:p>
    <w:p w14:paraId="3EBFD148" w14:textId="77777777" w:rsidR="00397B79" w:rsidRPr="00397B79" w:rsidRDefault="00397B79" w:rsidP="00397B79">
      <w:pPr>
        <w:rPr>
          <w:sz w:val="24"/>
          <w:szCs w:val="24"/>
        </w:rPr>
      </w:pPr>
      <w:proofErr w:type="gramStart"/>
      <w:r w:rsidRPr="00397B79">
        <w:rPr>
          <w:lang w:val="en-US"/>
        </w:rPr>
        <w:t>e</w:t>
      </w:r>
      <w:r w:rsidRPr="00397B79">
        <w:rPr>
          <w:lang w:val="ru-RU"/>
        </w:rPr>
        <w:t>-</w:t>
      </w:r>
      <w:r w:rsidRPr="00397B79">
        <w:rPr>
          <w:lang w:val="en-US"/>
        </w:rPr>
        <w:t>mail</w:t>
      </w:r>
      <w:proofErr w:type="gramEnd"/>
      <w:r w:rsidRPr="00397B79">
        <w:rPr>
          <w:lang w:val="ru-RU"/>
        </w:rPr>
        <w:t xml:space="preserve">: </w:t>
      </w:r>
      <w:hyperlink r:id="rId6" w:history="1">
        <w:r w:rsidRPr="00397B79">
          <w:rPr>
            <w:lang w:val="en-US"/>
          </w:rPr>
          <w:t>office</w:t>
        </w:r>
        <w:r w:rsidRPr="00397B79">
          <w:rPr>
            <w:lang w:val="ru-RU"/>
          </w:rPr>
          <w:t>@</w:t>
        </w:r>
        <w:r w:rsidRPr="00397B79">
          <w:rPr>
            <w:lang w:val="en-US"/>
          </w:rPr>
          <w:t>alkaloid</w:t>
        </w:r>
        <w:r w:rsidRPr="00397B79">
          <w:rPr>
            <w:lang w:val="ru-RU"/>
          </w:rPr>
          <w:t>.</w:t>
        </w:r>
        <w:proofErr w:type="spellStart"/>
        <w:r w:rsidRPr="00397B79">
          <w:rPr>
            <w:lang w:val="en-US"/>
          </w:rPr>
          <w:t>bg</w:t>
        </w:r>
        <w:proofErr w:type="spellEnd"/>
      </w:hyperlink>
    </w:p>
    <w:p w14:paraId="32F15971" w14:textId="77777777" w:rsidR="00397B79" w:rsidRPr="00397B79" w:rsidRDefault="00397B79" w:rsidP="00397B79"/>
    <w:p w14:paraId="508F3A54" w14:textId="5FCC85C1" w:rsidR="00B6672E" w:rsidRDefault="00936AD0" w:rsidP="00936AD0">
      <w:pPr>
        <w:pStyle w:val="Heading1"/>
      </w:pPr>
      <w:r>
        <w:t>8.</w:t>
      </w:r>
      <w:r w:rsidR="002C50EE">
        <w:t>НОМЕР НА РАЗРЕШЕНИЕТО ЗА УПОТРЕБА</w:t>
      </w:r>
    </w:p>
    <w:p w14:paraId="44342BB5" w14:textId="207D9C7E" w:rsidR="00397B79" w:rsidRDefault="00397B79" w:rsidP="00397B79"/>
    <w:p w14:paraId="42D9EE40" w14:textId="77777777" w:rsidR="00397B79" w:rsidRPr="00397B79" w:rsidRDefault="00397B79" w:rsidP="00397B79">
      <w:pPr>
        <w:rPr>
          <w:sz w:val="24"/>
          <w:szCs w:val="24"/>
        </w:rPr>
      </w:pPr>
      <w:r w:rsidRPr="00397B79">
        <w:rPr>
          <w:lang w:eastAsia="bg-BG"/>
        </w:rPr>
        <w:t xml:space="preserve">ХОЛЕСТА 10 </w:t>
      </w:r>
      <w:r w:rsidRPr="00397B79">
        <w:rPr>
          <w:lang w:val="en-US"/>
        </w:rPr>
        <w:t>mg</w:t>
      </w:r>
      <w:r w:rsidRPr="00397B79">
        <w:rPr>
          <w:lang w:val="ru-RU"/>
        </w:rPr>
        <w:t xml:space="preserve"> </w:t>
      </w:r>
      <w:r w:rsidRPr="00397B79">
        <w:rPr>
          <w:lang w:eastAsia="bg-BG"/>
        </w:rPr>
        <w:t xml:space="preserve">филмирани таблетки </w:t>
      </w:r>
      <w:r w:rsidRPr="00397B79">
        <w:rPr>
          <w:lang w:val="en-US"/>
        </w:rPr>
        <w:t>Per</w:t>
      </w:r>
      <w:r w:rsidRPr="00397B79">
        <w:rPr>
          <w:lang w:val="ru-RU"/>
        </w:rPr>
        <w:t xml:space="preserve">. </w:t>
      </w:r>
      <w:r w:rsidRPr="00397B79">
        <w:rPr>
          <w:lang w:eastAsia="bg-BG"/>
        </w:rPr>
        <w:t>№ 20070049</w:t>
      </w:r>
    </w:p>
    <w:p w14:paraId="3D95DFE5" w14:textId="77777777" w:rsidR="00397B79" w:rsidRPr="00397B79" w:rsidRDefault="00397B79" w:rsidP="00397B79">
      <w:pPr>
        <w:rPr>
          <w:sz w:val="24"/>
          <w:szCs w:val="24"/>
        </w:rPr>
      </w:pPr>
      <w:r w:rsidRPr="00397B79">
        <w:rPr>
          <w:lang w:eastAsia="bg-BG"/>
        </w:rPr>
        <w:t xml:space="preserve">ХОЛЕСТА 20 </w:t>
      </w:r>
      <w:r w:rsidRPr="00397B79">
        <w:rPr>
          <w:lang w:val="en-US"/>
        </w:rPr>
        <w:t>mg</w:t>
      </w:r>
      <w:r w:rsidRPr="00397B79">
        <w:rPr>
          <w:lang w:val="ru-RU"/>
        </w:rPr>
        <w:t xml:space="preserve"> </w:t>
      </w:r>
      <w:r w:rsidRPr="00397B79">
        <w:rPr>
          <w:lang w:eastAsia="bg-BG"/>
        </w:rPr>
        <w:t xml:space="preserve">филмирани таблетки </w:t>
      </w:r>
      <w:r w:rsidRPr="00397B79">
        <w:rPr>
          <w:lang w:val="en-US"/>
        </w:rPr>
        <w:t>Per</w:t>
      </w:r>
      <w:r w:rsidRPr="00397B79">
        <w:rPr>
          <w:lang w:val="ru-RU"/>
        </w:rPr>
        <w:t xml:space="preserve">. </w:t>
      </w:r>
      <w:r w:rsidRPr="00397B79">
        <w:rPr>
          <w:lang w:eastAsia="bg-BG"/>
        </w:rPr>
        <w:t>№ 20070050</w:t>
      </w:r>
    </w:p>
    <w:p w14:paraId="39BB3B71" w14:textId="77777777" w:rsidR="00397B79" w:rsidRPr="00397B79" w:rsidRDefault="00397B79" w:rsidP="00397B79">
      <w:pPr>
        <w:rPr>
          <w:sz w:val="24"/>
          <w:szCs w:val="24"/>
        </w:rPr>
      </w:pPr>
      <w:r w:rsidRPr="00397B79">
        <w:rPr>
          <w:lang w:eastAsia="bg-BG"/>
        </w:rPr>
        <w:t xml:space="preserve">ХОЛЕСТА 40 </w:t>
      </w:r>
      <w:r w:rsidRPr="00397B79">
        <w:rPr>
          <w:lang w:val="en-US"/>
        </w:rPr>
        <w:t>mg</w:t>
      </w:r>
      <w:r w:rsidRPr="00397B79">
        <w:rPr>
          <w:lang w:val="ru-RU"/>
        </w:rPr>
        <w:t xml:space="preserve"> </w:t>
      </w:r>
      <w:r w:rsidRPr="00397B79">
        <w:rPr>
          <w:lang w:eastAsia="bg-BG"/>
        </w:rPr>
        <w:t xml:space="preserve">филмирани таблетки </w:t>
      </w:r>
      <w:r w:rsidRPr="00397B79">
        <w:rPr>
          <w:lang w:val="en-US"/>
        </w:rPr>
        <w:t>Per</w:t>
      </w:r>
      <w:r w:rsidRPr="00397B79">
        <w:rPr>
          <w:lang w:val="ru-RU"/>
        </w:rPr>
        <w:t xml:space="preserve">. </w:t>
      </w:r>
      <w:r w:rsidRPr="00397B79">
        <w:rPr>
          <w:lang w:eastAsia="bg-BG"/>
        </w:rPr>
        <w:t>№ 20070051</w:t>
      </w:r>
    </w:p>
    <w:p w14:paraId="0DE94A2B" w14:textId="77777777" w:rsidR="00397B79" w:rsidRPr="00397B79" w:rsidRDefault="00397B79" w:rsidP="00397B79"/>
    <w:p w14:paraId="2CCB5832" w14:textId="5EE4436D" w:rsidR="007C605B" w:rsidRDefault="002C50EE" w:rsidP="007C605B">
      <w:pPr>
        <w:pStyle w:val="Heading1"/>
      </w:pPr>
      <w:r>
        <w:t>9. ДАТА НА ПЪРВО РАЗРЕШАВАНЕ/ПОДНОВЯВАНЕ НА РАЗРЕШЕНИЕТО ЗА УПОТРЕБА</w:t>
      </w:r>
    </w:p>
    <w:p w14:paraId="75FBA395" w14:textId="51BF760D" w:rsidR="00397B79" w:rsidRDefault="00397B79" w:rsidP="00397B79"/>
    <w:p w14:paraId="25883EBF" w14:textId="77777777" w:rsidR="00397B79" w:rsidRPr="00397B79" w:rsidRDefault="00397B79" w:rsidP="00397B79">
      <w:pPr>
        <w:rPr>
          <w:sz w:val="24"/>
          <w:szCs w:val="24"/>
        </w:rPr>
      </w:pPr>
      <w:r w:rsidRPr="00397B79">
        <w:rPr>
          <w:lang w:eastAsia="bg-BG"/>
        </w:rPr>
        <w:t>Дата на първо разрешаване: 12 Април 2007</w:t>
      </w:r>
    </w:p>
    <w:p w14:paraId="76DBD989" w14:textId="77777777" w:rsidR="00397B79" w:rsidRPr="00397B79" w:rsidRDefault="00397B79" w:rsidP="00397B79">
      <w:pPr>
        <w:rPr>
          <w:sz w:val="24"/>
          <w:szCs w:val="24"/>
        </w:rPr>
      </w:pPr>
      <w:r w:rsidRPr="00397B79">
        <w:rPr>
          <w:lang w:eastAsia="bg-BG"/>
        </w:rPr>
        <w:t>Дата на последно подновяване: 4 Юли 2012</w:t>
      </w:r>
    </w:p>
    <w:p w14:paraId="3920B25B" w14:textId="77777777" w:rsidR="00397B79" w:rsidRPr="00397B79" w:rsidRDefault="00397B79" w:rsidP="00397B79"/>
    <w:p w14:paraId="0E9D0119" w14:textId="0245C6D7" w:rsidR="002C50EE" w:rsidRDefault="002C50EE" w:rsidP="002C50EE">
      <w:pPr>
        <w:pStyle w:val="Heading1"/>
      </w:pPr>
      <w:r>
        <w:t>10. ДАТА НА АКТУАЛИЗИРАНЕ НА ТЕКСТА</w:t>
      </w:r>
    </w:p>
    <w:bookmarkEnd w:id="0"/>
    <w:p w14:paraId="43FB38A2" w14:textId="79787C98" w:rsidR="007C605B" w:rsidRPr="003E3126" w:rsidRDefault="00397B79" w:rsidP="00397B79">
      <w:r>
        <w:t>02/2020</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D62BA"/>
    <w:multiLevelType w:val="hybridMultilevel"/>
    <w:tmpl w:val="9F66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7365A"/>
    <w:multiLevelType w:val="hybridMultilevel"/>
    <w:tmpl w:val="379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2740F"/>
    <w:multiLevelType w:val="hybridMultilevel"/>
    <w:tmpl w:val="A9BC2C84"/>
    <w:lvl w:ilvl="0" w:tplc="8208E412">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4"/>
  </w:num>
  <w:num w:numId="12">
    <w:abstractNumId w:val="16"/>
  </w:num>
  <w:num w:numId="13">
    <w:abstractNumId w:val="21"/>
  </w:num>
  <w:num w:numId="14">
    <w:abstractNumId w:val="13"/>
  </w:num>
  <w:num w:numId="15">
    <w:abstractNumId w:val="33"/>
  </w:num>
  <w:num w:numId="16">
    <w:abstractNumId w:val="11"/>
  </w:num>
  <w:num w:numId="17">
    <w:abstractNumId w:val="26"/>
  </w:num>
  <w:num w:numId="18">
    <w:abstractNumId w:val="8"/>
  </w:num>
  <w:num w:numId="19">
    <w:abstractNumId w:val="30"/>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5"/>
  </w:num>
  <w:num w:numId="28">
    <w:abstractNumId w:val="6"/>
  </w:num>
  <w:num w:numId="29">
    <w:abstractNumId w:val="22"/>
  </w:num>
  <w:num w:numId="30">
    <w:abstractNumId w:val="38"/>
  </w:num>
  <w:num w:numId="31">
    <w:abstractNumId w:val="5"/>
  </w:num>
  <w:num w:numId="32">
    <w:abstractNumId w:val="37"/>
  </w:num>
  <w:num w:numId="33">
    <w:abstractNumId w:val="32"/>
  </w:num>
  <w:num w:numId="34">
    <w:abstractNumId w:val="36"/>
  </w:num>
  <w:num w:numId="35">
    <w:abstractNumId w:val="7"/>
  </w:num>
  <w:num w:numId="36">
    <w:abstractNumId w:val="10"/>
  </w:num>
  <w:num w:numId="37">
    <w:abstractNumId w:val="28"/>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A0518"/>
    <w:rsid w:val="00185A46"/>
    <w:rsid w:val="001915B6"/>
    <w:rsid w:val="001D1B23"/>
    <w:rsid w:val="002B3C38"/>
    <w:rsid w:val="002B4DBB"/>
    <w:rsid w:val="002C50EE"/>
    <w:rsid w:val="00340A0A"/>
    <w:rsid w:val="003765DC"/>
    <w:rsid w:val="00395555"/>
    <w:rsid w:val="00397B79"/>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00256"/>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lkaloid.bg"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9041</Words>
  <Characters>51535</Characters>
  <Application>Microsoft Office Word</Application>
  <DocSecurity>0</DocSecurity>
  <Lines>429</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2022-08-20T07:25:00Z</dcterms:created>
  <dcterms:modified xsi:type="dcterms:W3CDTF">2022-08-20T07:25:00Z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