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37368D46" w14:textId="77777777" w:rsidR="009D7B87" w:rsidRDefault="009D7B87" w:rsidP="0091385D">
      <w:r>
        <w:t xml:space="preserve">ХОМЕОВОКС, обвити таблетки </w:t>
      </w:r>
    </w:p>
    <w:p w14:paraId="69AC8148" w14:textId="20F02134" w:rsidR="00EC41ED" w:rsidRDefault="009D7B87" w:rsidP="0091385D">
      <w:r>
        <w:rPr>
          <w:lang w:val="en-US"/>
        </w:rPr>
        <w:t>HOMEOVOX, coated tablets.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23A0FBF6" w14:textId="77777777" w:rsidR="009D7B87" w:rsidRPr="009D7B87" w:rsidRDefault="009D7B87" w:rsidP="009D7B87">
      <w:pPr>
        <w:spacing w:line="240" w:lineRule="auto"/>
        <w:jc w:val="both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color w:val="000000"/>
          <w:lang w:eastAsia="bg-BG"/>
        </w:rPr>
        <w:t xml:space="preserve">За 1 обвита таблетка от 300 </w:t>
      </w:r>
      <w:r w:rsidRPr="009D7B87">
        <w:rPr>
          <w:rFonts w:eastAsia="Times New Roman" w:cs="Arial"/>
          <w:color w:val="000000"/>
          <w:lang w:val="en-US"/>
        </w:rPr>
        <w:t>mg:</w:t>
      </w:r>
    </w:p>
    <w:p w14:paraId="1D1F6EC0" w14:textId="77777777" w:rsidR="009D7B87" w:rsidRPr="009D7B87" w:rsidRDefault="009D7B87" w:rsidP="009D7B87">
      <w:pPr>
        <w:spacing w:line="240" w:lineRule="auto"/>
        <w:rPr>
          <w:rFonts w:eastAsia="Times New Roman" w:cs="Arial"/>
          <w:b/>
          <w:bCs/>
          <w:color w:val="000000"/>
          <w:lang w:val="en-US"/>
        </w:rPr>
      </w:pPr>
    </w:p>
    <w:p w14:paraId="71EEC995" w14:textId="04A1AA5A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 xml:space="preserve">ACONITUM NAPELLUS </w:t>
      </w:r>
      <w:r w:rsidRPr="009D7B87">
        <w:rPr>
          <w:rFonts w:eastAsia="Times New Roman" w:cs="Arial"/>
          <w:b/>
          <w:bCs/>
          <w:color w:val="000000"/>
          <w:lang w:eastAsia="bg-BG"/>
        </w:rPr>
        <w:t>З</w:t>
      </w:r>
      <w:r>
        <w:rPr>
          <w:rFonts w:eastAsia="Times New Roman" w:cs="Arial"/>
          <w:b/>
          <w:bCs/>
          <w:color w:val="000000"/>
          <w:lang w:eastAsia="bg-BG"/>
        </w:rPr>
        <w:t xml:space="preserve">СН............................. </w:t>
      </w:r>
      <w:r w:rsidRPr="009D7B87">
        <w:rPr>
          <w:rFonts w:eastAsia="Times New Roman" w:cs="Arial"/>
          <w:b/>
          <w:bCs/>
          <w:color w:val="000000"/>
          <w:lang w:eastAsia="bg-BG"/>
        </w:rPr>
        <w:t xml:space="preserve">0.091 </w:t>
      </w:r>
      <w:r w:rsidRPr="009D7B87">
        <w:rPr>
          <w:rFonts w:eastAsia="Times New Roman" w:cs="Arial"/>
          <w:b/>
          <w:bCs/>
          <w:color w:val="000000"/>
          <w:lang w:val="en-US"/>
        </w:rPr>
        <w:t>mg</w:t>
      </w:r>
    </w:p>
    <w:p w14:paraId="70B84253" w14:textId="0CF1C26B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 xml:space="preserve">ARUM TRIPHYLLUM </w:t>
      </w:r>
      <w:r w:rsidRPr="009D7B87">
        <w:rPr>
          <w:rFonts w:eastAsia="Times New Roman" w:cs="Arial"/>
          <w:b/>
          <w:bCs/>
          <w:color w:val="000000"/>
          <w:lang w:eastAsia="bg-BG"/>
        </w:rPr>
        <w:t>ЗСН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eastAsia="bg-BG"/>
        </w:rPr>
        <w:t xml:space="preserve">0.091 </w:t>
      </w:r>
      <w:r w:rsidRPr="009D7B87">
        <w:rPr>
          <w:rFonts w:eastAsia="Times New Roman" w:cs="Arial"/>
          <w:b/>
          <w:bCs/>
          <w:color w:val="000000"/>
          <w:lang w:val="en-US"/>
        </w:rPr>
        <w:t>mg</w:t>
      </w:r>
    </w:p>
    <w:p w14:paraId="67D56B40" w14:textId="6D1A49B3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FERRUM PHOSPHORICUM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01807542" w14:textId="6DAAB8C8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CALENDULA OFFICINALIS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381F13E2" w14:textId="0CD3120A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SPONGIA TOSTA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1B4A93B4" w14:textId="4CE02D55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BELLADONNA 6CH</w:t>
      </w:r>
      <w:r w:rsidRPr="009D7B87">
        <w:rPr>
          <w:rFonts w:eastAsia="Times New Roman" w:cs="Arial"/>
          <w:b/>
          <w:bCs/>
          <w:color w:val="000000"/>
          <w:lang w:eastAsia="bg-BG"/>
        </w:rPr>
        <w:t>.............................</w:t>
      </w:r>
      <w:r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9D7B87">
        <w:rPr>
          <w:rFonts w:eastAsia="Times New Roman" w:cs="Arial"/>
          <w:b/>
          <w:bCs/>
          <w:color w:val="000000"/>
          <w:lang w:val="en-US"/>
        </w:rPr>
        <w:t>0.091mg</w:t>
      </w:r>
    </w:p>
    <w:p w14:paraId="17113417" w14:textId="112A4DBD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MERCURIUS SOLUBILIS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0A0805B7" w14:textId="180E0D92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HEPAR SULFUR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70CFE929" w14:textId="0831E47D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KALIUM BICHROMICUM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7330C61F" w14:textId="5E77ADFA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POPULUS CANDICANS 6CH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312D99C2" w14:textId="15474B8F" w:rsidR="009D7B87" w:rsidRPr="009D7B87" w:rsidRDefault="009D7B87" w:rsidP="009D7B87">
      <w:pPr>
        <w:pStyle w:val="ListParagraph"/>
        <w:spacing w:line="240" w:lineRule="auto"/>
        <w:jc w:val="right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b/>
          <w:bCs/>
          <w:color w:val="000000"/>
          <w:lang w:val="en-US"/>
        </w:rPr>
        <w:t>BRYONIA 3CH</w:t>
      </w:r>
      <w:r>
        <w:rPr>
          <w:rFonts w:eastAsia="Times New Roman" w:cs="Arial"/>
          <w:b/>
          <w:bCs/>
          <w:color w:val="000000"/>
          <w:lang w:eastAsia="bg-BG"/>
        </w:rPr>
        <w:t xml:space="preserve">............................. </w:t>
      </w:r>
      <w:r w:rsidRPr="009D7B87">
        <w:rPr>
          <w:rFonts w:eastAsia="Times New Roman" w:cs="Arial"/>
          <w:b/>
          <w:bCs/>
          <w:color w:val="000000"/>
          <w:lang w:val="en-US"/>
        </w:rPr>
        <w:t>0.091 mg</w:t>
      </w:r>
    </w:p>
    <w:p w14:paraId="1F518F0D" w14:textId="77777777" w:rsidR="009D7B87" w:rsidRPr="009D7B87" w:rsidRDefault="009D7B87" w:rsidP="009D7B8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70831D" w14:textId="09ABCFDA" w:rsidR="009D7B87" w:rsidRPr="009D7B87" w:rsidRDefault="009D7B87" w:rsidP="009D7B87">
      <w:pPr>
        <w:spacing w:line="240" w:lineRule="auto"/>
        <w:jc w:val="both"/>
        <w:rPr>
          <w:rFonts w:eastAsia="Times New Roman" w:cs="Arial"/>
          <w:sz w:val="24"/>
          <w:szCs w:val="24"/>
          <w:lang w:val="en-US" w:eastAsia="bg-BG"/>
        </w:rPr>
      </w:pPr>
      <w:r w:rsidRPr="009D7B87">
        <w:rPr>
          <w:rFonts w:eastAsia="Times New Roman" w:cs="Arial"/>
          <w:color w:val="000000"/>
          <w:lang w:eastAsia="bg-BG"/>
        </w:rPr>
        <w:t>Помощни вещества: лактоза, захароза.</w:t>
      </w:r>
    </w:p>
    <w:p w14:paraId="54632B43" w14:textId="2062CEFF" w:rsidR="00EC41ED" w:rsidRPr="009D7B87" w:rsidRDefault="009D7B87" w:rsidP="009D7B87">
      <w:pPr>
        <w:jc w:val="both"/>
        <w:rPr>
          <w:rFonts w:cs="Arial"/>
        </w:rPr>
      </w:pPr>
      <w:r w:rsidRPr="009D7B87">
        <w:rPr>
          <w:rFonts w:eastAsia="Times New Roman" w:cs="Arial"/>
          <w:color w:val="000000"/>
          <w:lang w:eastAsia="bg-BG"/>
        </w:rPr>
        <w:t>За пълния списък на помощните вещества, виж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743244F0" w14:textId="602D8FEE" w:rsidR="00EC41ED" w:rsidRDefault="009D7B87" w:rsidP="0091385D">
      <w:r>
        <w:t>Обвити таблетки.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6DFA4B9D" w14:textId="06B706FC" w:rsidR="0091385D" w:rsidRDefault="009D7B87" w:rsidP="0091385D">
      <w:r>
        <w:t>За профилактика и лечение при умора на гласните струни, загуба на глас, пресипналост, ларингити.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5777EAFC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19D1DFE2" w14:textId="77777777" w:rsidR="009D7B87" w:rsidRPr="009D7B87" w:rsidRDefault="009D7B87" w:rsidP="009D7B8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7EADA0" w14:textId="59151BA1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lastRenderedPageBreak/>
        <w:t>Възрастни и деца:</w:t>
      </w:r>
    </w:p>
    <w:p w14:paraId="259FA273" w14:textId="77777777" w:rsidR="009D7B87" w:rsidRPr="009D7B87" w:rsidRDefault="009D7B87" w:rsidP="009D7B87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u w:val="single"/>
          <w:lang w:eastAsia="bg-BG"/>
        </w:rPr>
        <w:t>Профилактично</w:t>
      </w:r>
      <w:r w:rsidRPr="009D7B87">
        <w:rPr>
          <w:rFonts w:eastAsia="Times New Roman" w:cs="Arial"/>
          <w:color w:val="000000"/>
          <w:lang w:eastAsia="bg-BG"/>
        </w:rPr>
        <w:t>: 2 таблетки 5 пъти дневно</w:t>
      </w:r>
    </w:p>
    <w:p w14:paraId="1A3DD9C7" w14:textId="77777777" w:rsidR="009D7B87" w:rsidRPr="009D7B87" w:rsidRDefault="009D7B87" w:rsidP="009D7B87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u w:val="single"/>
          <w:lang w:eastAsia="bg-BG"/>
        </w:rPr>
        <w:t>За лечение</w:t>
      </w:r>
      <w:r w:rsidRPr="009D7B87">
        <w:rPr>
          <w:rFonts w:eastAsia="Times New Roman" w:cs="Arial"/>
          <w:color w:val="000000"/>
          <w:lang w:eastAsia="bg-BG"/>
        </w:rPr>
        <w:t xml:space="preserve">: 2 таблетки приблизително на всеки час. Приемите се разреждат при </w:t>
      </w:r>
    </w:p>
    <w:p w14:paraId="050B5FD6" w14:textId="125D2414" w:rsidR="009D7B87" w:rsidRPr="009D7B87" w:rsidRDefault="009D7B87" w:rsidP="009D7B87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подобрение.</w:t>
      </w:r>
    </w:p>
    <w:p w14:paraId="73AEEE47" w14:textId="77777777" w:rsidR="009D7B87" w:rsidRPr="009D7B87" w:rsidRDefault="009D7B87" w:rsidP="009D7B8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837B89" w14:textId="51D857D9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Таблетките се държат в устата до пълното им разтваряне.</w:t>
      </w:r>
    </w:p>
    <w:p w14:paraId="3C2721B1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Да се приемат на разстояние от храненията.</w:t>
      </w:r>
    </w:p>
    <w:p w14:paraId="20683710" w14:textId="444464DC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Деца под 1 година: таблетките се стриваг и разтварят във вода преди прием.</w:t>
      </w:r>
    </w:p>
    <w:p w14:paraId="7FBF1BCE" w14:textId="77777777" w:rsidR="00EC41ED" w:rsidRDefault="00EC41ED" w:rsidP="0091385D"/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030B6A4D" w14:textId="11F0B73C" w:rsidR="00EC41ED" w:rsidRPr="009D7B87" w:rsidRDefault="009D7B87" w:rsidP="0091385D">
      <w:r>
        <w:t>Свръхчувствителност към активните вещества или към някое от помощните вещества.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6F79F1A3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 xml:space="preserve">Пациентите с редки наследствени състояния на галактозна непоносимост, </w:t>
      </w:r>
      <w:r w:rsidRPr="009D7B87">
        <w:rPr>
          <w:rFonts w:eastAsia="Times New Roman" w:cs="Arial"/>
          <w:color w:val="000000"/>
          <w:lang w:val="en-US"/>
        </w:rPr>
        <w:t xml:space="preserve">Lapp </w:t>
      </w:r>
      <w:r w:rsidRPr="009D7B87">
        <w:rPr>
          <w:rFonts w:eastAsia="Times New Roman" w:cs="Arial"/>
          <w:color w:val="000000"/>
          <w:lang w:eastAsia="bg-BG"/>
        </w:rPr>
        <w:t>лактазна недостатъчност или глюкозо-галактозна малабсорбция не трябва да приемат това лекарство.</w:t>
      </w:r>
    </w:p>
    <w:p w14:paraId="78424722" w14:textId="77777777" w:rsidR="009D7B87" w:rsidRPr="009D7B87" w:rsidRDefault="009D7B87" w:rsidP="009D7B87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37F792" w14:textId="5A15253C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Пациентите с редки наследствени състояния на непоносимост към фруктоза, глюкозо- галактозна малабсорбция или захаразно-изомалтазна недостатъчност не трябва да приемат това лекарство.</w:t>
      </w:r>
    </w:p>
    <w:p w14:paraId="720C39DF" w14:textId="77777777" w:rsidR="009D7B87" w:rsidRPr="009D7B87" w:rsidRDefault="009D7B87" w:rsidP="009D7B87">
      <w:pPr>
        <w:rPr>
          <w:rFonts w:eastAsia="Times New Roman" w:cs="Arial"/>
          <w:color w:val="000000"/>
          <w:lang w:eastAsia="bg-BG"/>
        </w:rPr>
      </w:pPr>
    </w:p>
    <w:p w14:paraId="0E28BBDE" w14:textId="380D51E9" w:rsidR="007A2185" w:rsidRPr="009D7B87" w:rsidRDefault="009D7B87" w:rsidP="009D7B87">
      <w:pPr>
        <w:rPr>
          <w:rFonts w:cs="Arial"/>
        </w:rPr>
      </w:pPr>
      <w:r w:rsidRPr="009D7B87">
        <w:rPr>
          <w:rFonts w:eastAsia="Times New Roman" w:cs="Arial"/>
          <w:color w:val="000000"/>
          <w:lang w:eastAsia="bg-BG"/>
        </w:rPr>
        <w:t>Ако след употреба на продукта симптомите продължават или състоянието се влоши, да се преоцени лечението.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5B2761C5" w14:textId="2C53A66C" w:rsidR="0091385D" w:rsidRDefault="009D7B87" w:rsidP="0091385D">
      <w:pPr>
        <w:rPr>
          <w:rFonts w:cs="Arial"/>
        </w:rPr>
      </w:pPr>
      <w:r>
        <w:t>Не са провеждани проучвания за взаимодействията.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102F0D07" w14:textId="40C482E0" w:rsidR="007A2185" w:rsidRDefault="009D7B87" w:rsidP="0091385D">
      <w:r>
        <w:t>Не се очаква неблагоприятен ефект по време на бременност и кърмене, тъй като системната експозиция е пренебрежимо малка.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0E6235F5" w:rsidR="007A2185" w:rsidRDefault="009D7B87" w:rsidP="0091385D">
      <w:r>
        <w:t>Няма наблюдавано въздействие върху способността за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5004E399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Няма съобщения за нежелани лекарствени реакции.</w:t>
      </w:r>
    </w:p>
    <w:p w14:paraId="669C3C2C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12BD4ACA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lastRenderedPageBreak/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на</w:t>
      </w:r>
    </w:p>
    <w:p w14:paraId="02EAE2F4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Изпълнит</w:t>
      </w:r>
      <w:bookmarkStart w:id="1" w:name="_GoBack"/>
      <w:bookmarkEnd w:id="1"/>
      <w:r w:rsidRPr="009D7B87">
        <w:rPr>
          <w:rFonts w:eastAsia="Times New Roman" w:cs="Arial"/>
          <w:color w:val="000000"/>
          <w:lang w:eastAsia="bg-BG"/>
        </w:rPr>
        <w:t>елна агенция по лекарствата</w:t>
      </w:r>
    </w:p>
    <w:p w14:paraId="08116DA1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ул., Дамян Груев” № 8</w:t>
      </w:r>
    </w:p>
    <w:p w14:paraId="1FA77BCE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1303 София</w:t>
      </w:r>
    </w:p>
    <w:p w14:paraId="77454EC9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Тел.: +35928903417</w:t>
      </w:r>
    </w:p>
    <w:p w14:paraId="0254AACC" w14:textId="38EC787B" w:rsidR="007A2185" w:rsidRPr="009D7B87" w:rsidRDefault="009D7B87" w:rsidP="009D7B87">
      <w:pPr>
        <w:rPr>
          <w:rFonts w:cs="Arial"/>
        </w:rPr>
      </w:pPr>
      <w:r w:rsidRPr="009D7B87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9D7B87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6A43B8F3" w14:textId="4B54FA18" w:rsidR="007A2185" w:rsidRPr="009D7B87" w:rsidRDefault="009D7B87" w:rsidP="0091385D">
      <w:pPr>
        <w:rPr>
          <w:rFonts w:cs="Arial"/>
        </w:rPr>
      </w:pPr>
      <w:r w:rsidRPr="009D7B87">
        <w:rPr>
          <w:rFonts w:cs="Arial"/>
        </w:rPr>
        <w:t>Неприложимо.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6F40242A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Фармакотерапевтична група: хомеопатичен лекарствен продукт.</w:t>
      </w:r>
    </w:p>
    <w:p w14:paraId="17BE92AE" w14:textId="77777777" w:rsidR="009D7B87" w:rsidRPr="009D7B87" w:rsidRDefault="009D7B87" w:rsidP="009D7B87">
      <w:pPr>
        <w:rPr>
          <w:rFonts w:eastAsia="Times New Roman" w:cs="Arial"/>
          <w:color w:val="000000"/>
          <w:lang w:eastAsia="bg-BG"/>
        </w:rPr>
      </w:pPr>
    </w:p>
    <w:p w14:paraId="038F692B" w14:textId="5BE5BE33" w:rsidR="007A2185" w:rsidRPr="009D7B87" w:rsidRDefault="009D7B87" w:rsidP="009D7B87">
      <w:pPr>
        <w:rPr>
          <w:rFonts w:cs="Arial"/>
        </w:rPr>
      </w:pPr>
      <w:r w:rsidRPr="009D7B87">
        <w:rPr>
          <w:rFonts w:eastAsia="Times New Roman" w:cs="Arial"/>
          <w:color w:val="000000"/>
          <w:lang w:eastAsia="bg-BG"/>
        </w:rPr>
        <w:t>Терапевтичните показания на този лекарствен продукт се основават на традиционната хомеопатична употреба на неговите съставки.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45551830" w14:textId="0227374F" w:rsidR="007A2185" w:rsidRPr="009D7B87" w:rsidRDefault="009D7B87" w:rsidP="007A2185">
      <w:pPr>
        <w:rPr>
          <w:rFonts w:cs="Arial"/>
        </w:rPr>
      </w:pPr>
      <w:r w:rsidRPr="009D7B87">
        <w:rPr>
          <w:rFonts w:cs="Arial"/>
        </w:rPr>
        <w:t>Неприложимо.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208C5124" w:rsidR="007A2185" w:rsidRPr="009D7B87" w:rsidRDefault="009D7B87" w:rsidP="0091385D">
      <w:pPr>
        <w:rPr>
          <w:rFonts w:cs="Arial"/>
        </w:rPr>
      </w:pPr>
      <w:r w:rsidRPr="009D7B87">
        <w:rPr>
          <w:rFonts w:cs="Arial"/>
        </w:rPr>
        <w:t>Неприложимо.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47400E06" w14:textId="77777777" w:rsidR="009D7B87" w:rsidRPr="009D7B87" w:rsidRDefault="009D7B87" w:rsidP="009D7B87">
      <w:pPr>
        <w:spacing w:line="240" w:lineRule="auto"/>
        <w:rPr>
          <w:rFonts w:eastAsia="Times New Roman" w:cs="Arial"/>
          <w:lang w:val="en-US" w:eastAsia="bg-BG"/>
        </w:rPr>
      </w:pPr>
      <w:r w:rsidRPr="009D7B87">
        <w:rPr>
          <w:rFonts w:eastAsia="Times New Roman" w:cs="Arial"/>
          <w:color w:val="000000"/>
          <w:lang w:val="en-US"/>
        </w:rPr>
        <w:t>BOIRON</w:t>
      </w:r>
    </w:p>
    <w:p w14:paraId="7F66E500" w14:textId="77777777" w:rsidR="009D7B87" w:rsidRPr="009D7B87" w:rsidRDefault="009D7B87" w:rsidP="009D7B87">
      <w:pPr>
        <w:spacing w:line="240" w:lineRule="auto"/>
        <w:rPr>
          <w:rFonts w:eastAsia="Times New Roman" w:cs="Arial"/>
          <w:lang w:val="en-US" w:eastAsia="bg-BG"/>
        </w:rPr>
      </w:pPr>
      <w:r w:rsidRPr="009D7B87">
        <w:rPr>
          <w:rFonts w:eastAsia="Times New Roman" w:cs="Arial"/>
          <w:color w:val="000000"/>
          <w:lang w:eastAsia="bg-BG"/>
        </w:rPr>
        <w:t xml:space="preserve">2 </w:t>
      </w:r>
      <w:r w:rsidRPr="009D7B87">
        <w:rPr>
          <w:rFonts w:eastAsia="Times New Roman" w:cs="Arial"/>
          <w:color w:val="000000"/>
          <w:lang w:val="en-US"/>
        </w:rPr>
        <w:t>avenue de 1’Ouest Lyonnais</w:t>
      </w:r>
    </w:p>
    <w:p w14:paraId="296C35A0" w14:textId="77777777" w:rsidR="009D7B87" w:rsidRPr="009D7B87" w:rsidRDefault="009D7B87" w:rsidP="009D7B87">
      <w:pPr>
        <w:spacing w:line="240" w:lineRule="auto"/>
        <w:rPr>
          <w:rFonts w:eastAsia="Times New Roman" w:cs="Arial"/>
          <w:lang w:val="en-US" w:eastAsia="bg-BG"/>
        </w:rPr>
      </w:pPr>
      <w:r w:rsidRPr="009D7B87">
        <w:rPr>
          <w:rFonts w:eastAsia="Times New Roman" w:cs="Arial"/>
          <w:color w:val="000000"/>
          <w:lang w:val="en-US"/>
        </w:rPr>
        <w:t xml:space="preserve">69510 </w:t>
      </w:r>
      <w:proofErr w:type="spellStart"/>
      <w:r w:rsidRPr="009D7B87">
        <w:rPr>
          <w:rFonts w:eastAsia="Times New Roman" w:cs="Arial"/>
          <w:color w:val="000000"/>
          <w:lang w:val="en-US"/>
        </w:rPr>
        <w:t>Messimy</w:t>
      </w:r>
      <w:proofErr w:type="spellEnd"/>
    </w:p>
    <w:p w14:paraId="4F02909F" w14:textId="37520215" w:rsidR="007A2185" w:rsidRPr="009D7B87" w:rsidRDefault="009D7B87" w:rsidP="009D7B87">
      <w:pPr>
        <w:rPr>
          <w:rFonts w:cs="Arial"/>
        </w:rPr>
      </w:pPr>
      <w:r w:rsidRPr="009D7B87">
        <w:rPr>
          <w:rFonts w:eastAsia="Times New Roman" w:cs="Arial"/>
          <w:color w:val="000000"/>
          <w:lang w:val="en-US"/>
        </w:rPr>
        <w:t>France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5153F4C8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val="en-US"/>
        </w:rPr>
        <w:t>№° II</w:t>
      </w:r>
      <w:r w:rsidRPr="009D7B87">
        <w:rPr>
          <w:rFonts w:eastAsia="Times New Roman" w:cs="Arial"/>
          <w:color w:val="000000"/>
          <w:lang w:eastAsia="bg-BG"/>
        </w:rPr>
        <w:t>-17490/06.04.20</w:t>
      </w:r>
      <w:r w:rsidRPr="009D7B87">
        <w:rPr>
          <w:rFonts w:eastAsia="Times New Roman" w:cs="Arial"/>
          <w:color w:val="000000"/>
          <w:lang w:val="en-US"/>
        </w:rPr>
        <w:t>12</w:t>
      </w:r>
    </w:p>
    <w:p w14:paraId="5DDFCDF6" w14:textId="77777777" w:rsidR="009D7B87" w:rsidRPr="009D7B87" w:rsidRDefault="009D7B87" w:rsidP="009D7B87">
      <w:pPr>
        <w:rPr>
          <w:rFonts w:eastAsia="Times New Roman" w:cs="Arial"/>
          <w:color w:val="000000"/>
          <w:lang w:eastAsia="bg-BG"/>
        </w:rPr>
      </w:pPr>
    </w:p>
    <w:p w14:paraId="46161304" w14:textId="3675BCFC" w:rsidR="007A2185" w:rsidRPr="009D7B87" w:rsidRDefault="009D7B87" w:rsidP="009D7B87">
      <w:pPr>
        <w:rPr>
          <w:rFonts w:cs="Arial"/>
        </w:rPr>
      </w:pPr>
      <w:r w:rsidRPr="009D7B87">
        <w:rPr>
          <w:rFonts w:eastAsia="Times New Roman" w:cs="Arial"/>
          <w:color w:val="000000"/>
          <w:lang w:eastAsia="bg-BG"/>
        </w:rPr>
        <w:t>Регистрационен № 9600048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79F74ACD" w14:textId="77777777" w:rsidR="009D7B87" w:rsidRPr="009D7B87" w:rsidRDefault="009D7B87" w:rsidP="009D7B87">
      <w:pPr>
        <w:spacing w:line="240" w:lineRule="auto"/>
        <w:rPr>
          <w:rFonts w:eastAsia="Times New Roman" w:cs="Arial"/>
          <w:lang w:eastAsia="bg-BG"/>
        </w:rPr>
      </w:pPr>
      <w:r w:rsidRPr="009D7B87">
        <w:rPr>
          <w:rFonts w:eastAsia="Times New Roman" w:cs="Arial"/>
          <w:color w:val="000000"/>
          <w:lang w:eastAsia="bg-BG"/>
        </w:rPr>
        <w:t>Дата на първо разрешение за употреба: 08/04/1996</w:t>
      </w:r>
    </w:p>
    <w:p w14:paraId="6C57D8B6" w14:textId="1EFDA385" w:rsidR="007A2185" w:rsidRPr="009D7B87" w:rsidRDefault="009D7B87" w:rsidP="009D7B87">
      <w:pPr>
        <w:rPr>
          <w:rFonts w:cs="Arial"/>
        </w:rPr>
      </w:pPr>
      <w:r w:rsidRPr="009D7B87">
        <w:rPr>
          <w:rFonts w:eastAsia="Times New Roman" w:cs="Arial"/>
          <w:color w:val="000000"/>
          <w:lang w:eastAsia="bg-BG"/>
        </w:rPr>
        <w:t>Дата на подновяване на разрешението за употреба: 06/04/2012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32E87BF7" w:rsidR="007A2185" w:rsidRPr="009D7B87" w:rsidRDefault="009D7B87" w:rsidP="0091385D">
      <w:pPr>
        <w:rPr>
          <w:rFonts w:cs="Arial"/>
        </w:rPr>
      </w:pPr>
      <w:r w:rsidRPr="009D7B87">
        <w:rPr>
          <w:rFonts w:cs="Arial"/>
        </w:rPr>
        <w:t>09/2013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F6AB1"/>
    <w:multiLevelType w:val="hybridMultilevel"/>
    <w:tmpl w:val="B882CCDA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A9E44FA"/>
    <w:multiLevelType w:val="hybridMultilevel"/>
    <w:tmpl w:val="F0D47FD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00F5"/>
    <w:multiLevelType w:val="hybridMultilevel"/>
    <w:tmpl w:val="CFB2681E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3"/>
  </w:num>
  <w:num w:numId="12">
    <w:abstractNumId w:val="14"/>
  </w:num>
  <w:num w:numId="13">
    <w:abstractNumId w:val="20"/>
  </w:num>
  <w:num w:numId="14">
    <w:abstractNumId w:val="11"/>
  </w:num>
  <w:num w:numId="15">
    <w:abstractNumId w:val="32"/>
  </w:num>
  <w:num w:numId="16">
    <w:abstractNumId w:val="9"/>
  </w:num>
  <w:num w:numId="17">
    <w:abstractNumId w:val="26"/>
  </w:num>
  <w:num w:numId="18">
    <w:abstractNumId w:val="7"/>
  </w:num>
  <w:num w:numId="19">
    <w:abstractNumId w:val="29"/>
  </w:num>
  <w:num w:numId="20">
    <w:abstractNumId w:val="25"/>
  </w:num>
  <w:num w:numId="21">
    <w:abstractNumId w:val="17"/>
  </w:num>
  <w:num w:numId="22">
    <w:abstractNumId w:val="27"/>
  </w:num>
  <w:num w:numId="23">
    <w:abstractNumId w:val="18"/>
  </w:num>
  <w:num w:numId="24">
    <w:abstractNumId w:val="8"/>
  </w:num>
  <w:num w:numId="25">
    <w:abstractNumId w:val="24"/>
  </w:num>
  <w:num w:numId="26">
    <w:abstractNumId w:val="23"/>
  </w:num>
  <w:num w:numId="27">
    <w:abstractNumId w:val="34"/>
  </w:num>
  <w:num w:numId="28">
    <w:abstractNumId w:val="6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31"/>
  </w:num>
  <w:num w:numId="34">
    <w:abstractNumId w:val="35"/>
  </w:num>
  <w:num w:numId="35">
    <w:abstractNumId w:val="13"/>
  </w:num>
  <w:num w:numId="36">
    <w:abstractNumId w:val="19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D7B87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2023-03-03T12:59:00Z</dcterms:created>
  <dcterms:modified xsi:type="dcterms:W3CDTF">2023-03-03T12:59:00Z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