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0F373AE5" w:rsidR="00DF4C8E" w:rsidRDefault="00DD466D" w:rsidP="00F44498">
      <w:pPr>
        <w:pStyle w:val="Heading1"/>
      </w:pPr>
      <w:r>
        <w:t>1.ИМЕ НА ЛЕКАРСТВЕНИЯ ПРОДУКТ</w:t>
      </w:r>
    </w:p>
    <w:p w14:paraId="54DB0CC7" w14:textId="728600DC" w:rsidR="00D84C68" w:rsidRDefault="00D84C68" w:rsidP="00D84C68"/>
    <w:p w14:paraId="70D7A426" w14:textId="77777777" w:rsidR="00D84C68" w:rsidRPr="00D84C68" w:rsidRDefault="00D84C68" w:rsidP="00D84C68">
      <w:pPr>
        <w:rPr>
          <w:sz w:val="24"/>
          <w:szCs w:val="24"/>
          <w:lang w:val="ru-RU"/>
        </w:rPr>
      </w:pPr>
      <w:r w:rsidRPr="00D84C68">
        <w:rPr>
          <w:lang w:eastAsia="bg-BG"/>
        </w:rPr>
        <w:t xml:space="preserve">Хумулин M3 100 </w:t>
      </w:r>
      <w:r w:rsidRPr="00D84C68">
        <w:rPr>
          <w:lang w:val="en-US"/>
        </w:rPr>
        <w:t>IU</w:t>
      </w:r>
      <w:r w:rsidRPr="00D84C68">
        <w:rPr>
          <w:lang w:val="ru-RU"/>
        </w:rPr>
        <w:t>/</w:t>
      </w:r>
      <w:r w:rsidRPr="00D84C68">
        <w:rPr>
          <w:lang w:val="en-US"/>
        </w:rPr>
        <w:t>ml</w:t>
      </w:r>
      <w:r w:rsidRPr="00D84C68">
        <w:rPr>
          <w:lang w:val="ru-RU"/>
        </w:rPr>
        <w:t xml:space="preserve"> </w:t>
      </w:r>
      <w:r w:rsidRPr="00D84C68">
        <w:rPr>
          <w:lang w:eastAsia="bg-BG"/>
        </w:rPr>
        <w:t>инжекционна суспензия в патрон</w:t>
      </w:r>
    </w:p>
    <w:p w14:paraId="1BC129FD" w14:textId="77777777" w:rsidR="00D84C68" w:rsidRPr="00D84C68" w:rsidRDefault="00D84C68" w:rsidP="00D84C68">
      <w:pPr>
        <w:rPr>
          <w:sz w:val="24"/>
          <w:szCs w:val="24"/>
          <w:lang w:val="en-US"/>
        </w:rPr>
      </w:pPr>
      <w:proofErr w:type="spellStart"/>
      <w:r w:rsidRPr="00D84C68">
        <w:rPr>
          <w:lang w:val="en-US"/>
        </w:rPr>
        <w:t>Humulin</w:t>
      </w:r>
      <w:proofErr w:type="spellEnd"/>
      <w:r w:rsidRPr="00D84C68">
        <w:rPr>
          <w:lang w:val="en-US"/>
        </w:rPr>
        <w:t xml:space="preserve"> </w:t>
      </w:r>
      <w:r w:rsidRPr="00D84C68">
        <w:rPr>
          <w:lang w:eastAsia="bg-BG"/>
        </w:rPr>
        <w:t xml:space="preserve">M3 100 </w:t>
      </w:r>
      <w:r w:rsidRPr="00D84C68">
        <w:rPr>
          <w:lang w:val="en-US"/>
        </w:rPr>
        <w:t>IU/ml suspension for injection in cartridge</w:t>
      </w:r>
    </w:p>
    <w:p w14:paraId="19DBFE92" w14:textId="77777777" w:rsidR="00D84C68" w:rsidRPr="00D84C68" w:rsidRDefault="00D84C68" w:rsidP="00D84C68"/>
    <w:p w14:paraId="2BF7ACB1" w14:textId="5C747CD7" w:rsidR="00DF4C8E" w:rsidRDefault="00DD466D" w:rsidP="00F44498">
      <w:pPr>
        <w:pStyle w:val="Heading1"/>
      </w:pPr>
      <w:r>
        <w:t>2. КАЧЕСТВЕН И КОЛИЧЕСТВЕН СЪСТАВ</w:t>
      </w:r>
    </w:p>
    <w:p w14:paraId="7BE62B34" w14:textId="481467B2" w:rsidR="00D84C68" w:rsidRDefault="00D84C68" w:rsidP="00D84C68"/>
    <w:p w14:paraId="7651579B" w14:textId="77777777"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 xml:space="preserve">1 </w:t>
      </w:r>
      <w:r w:rsidRPr="00D84C68">
        <w:rPr>
          <w:rFonts w:eastAsia="Times New Roman" w:cs="Arial"/>
          <w:color w:val="000000"/>
          <w:szCs w:val="44"/>
          <w:lang w:val="en-US"/>
        </w:rPr>
        <w:t>ml</w:t>
      </w:r>
      <w:r w:rsidRPr="00D84C68">
        <w:rPr>
          <w:rFonts w:eastAsia="Times New Roman" w:cs="Arial"/>
          <w:color w:val="000000"/>
          <w:szCs w:val="44"/>
          <w:lang w:val="ru-RU"/>
        </w:rPr>
        <w:t xml:space="preserve"> </w:t>
      </w:r>
      <w:r w:rsidRPr="00D84C68">
        <w:rPr>
          <w:rFonts w:eastAsia="Times New Roman" w:cs="Arial"/>
          <w:color w:val="000000"/>
          <w:szCs w:val="44"/>
          <w:lang w:eastAsia="bg-BG"/>
        </w:rPr>
        <w:t xml:space="preserve">съдържа </w:t>
      </w:r>
      <w:r w:rsidRPr="00D84C68">
        <w:rPr>
          <w:rFonts w:eastAsia="Times New Roman" w:cs="Arial"/>
          <w:color w:val="000000"/>
          <w:szCs w:val="44"/>
          <w:lang w:val="ru-RU"/>
        </w:rPr>
        <w:t xml:space="preserve">100 </w:t>
      </w:r>
      <w:r w:rsidRPr="00D84C68">
        <w:rPr>
          <w:rFonts w:eastAsia="Times New Roman" w:cs="Arial"/>
          <w:color w:val="000000"/>
          <w:szCs w:val="44"/>
          <w:lang w:val="en-US"/>
        </w:rPr>
        <w:t>IU</w:t>
      </w:r>
      <w:r w:rsidRPr="00D84C68">
        <w:rPr>
          <w:rFonts w:eastAsia="Times New Roman" w:cs="Arial"/>
          <w:color w:val="000000"/>
          <w:szCs w:val="44"/>
          <w:lang w:val="ru-RU"/>
        </w:rPr>
        <w:t xml:space="preserve"> </w:t>
      </w:r>
      <w:r w:rsidRPr="00D84C68">
        <w:rPr>
          <w:rFonts w:eastAsia="Times New Roman" w:cs="Arial"/>
          <w:color w:val="000000"/>
          <w:szCs w:val="44"/>
          <w:lang w:eastAsia="bg-BG"/>
        </w:rPr>
        <w:t xml:space="preserve">инсулин човешки </w:t>
      </w:r>
      <w:r w:rsidRPr="00D84C68">
        <w:rPr>
          <w:rFonts w:eastAsia="Times New Roman" w:cs="Arial"/>
          <w:color w:val="000000"/>
          <w:szCs w:val="44"/>
          <w:lang w:val="ru-RU"/>
        </w:rPr>
        <w:t>(</w:t>
      </w:r>
      <w:r w:rsidRPr="00D84C68">
        <w:rPr>
          <w:rFonts w:eastAsia="Times New Roman" w:cs="Arial"/>
          <w:color w:val="000000"/>
          <w:szCs w:val="44"/>
          <w:lang w:val="en-US"/>
        </w:rPr>
        <w:t>insulin</w:t>
      </w:r>
      <w:r w:rsidRPr="00D84C68">
        <w:rPr>
          <w:rFonts w:eastAsia="Times New Roman" w:cs="Arial"/>
          <w:color w:val="000000"/>
          <w:szCs w:val="44"/>
          <w:lang w:val="ru-RU"/>
        </w:rPr>
        <w:t xml:space="preserve"> </w:t>
      </w:r>
      <w:r w:rsidRPr="00D84C68">
        <w:rPr>
          <w:rFonts w:eastAsia="Times New Roman" w:cs="Arial"/>
          <w:color w:val="000000"/>
          <w:szCs w:val="44"/>
          <w:lang w:val="en-US"/>
        </w:rPr>
        <w:t>human</w:t>
      </w:r>
      <w:r w:rsidRPr="00D84C68">
        <w:rPr>
          <w:rFonts w:eastAsia="Times New Roman" w:cs="Arial"/>
          <w:color w:val="000000"/>
          <w:szCs w:val="44"/>
          <w:lang w:val="ru-RU"/>
        </w:rPr>
        <w:t xml:space="preserve">) </w:t>
      </w:r>
      <w:r w:rsidRPr="00D84C68">
        <w:rPr>
          <w:rFonts w:eastAsia="Times New Roman" w:cs="Arial"/>
          <w:color w:val="000000"/>
          <w:szCs w:val="44"/>
          <w:lang w:eastAsia="bg-BG"/>
        </w:rPr>
        <w:t xml:space="preserve">(произведен в </w:t>
      </w:r>
      <w:r w:rsidRPr="00D84C68">
        <w:rPr>
          <w:rFonts w:eastAsia="Times New Roman" w:cs="Arial"/>
          <w:i/>
          <w:iCs/>
          <w:color w:val="000000"/>
          <w:szCs w:val="44"/>
          <w:lang w:eastAsia="bg-BG"/>
        </w:rPr>
        <w:t xml:space="preserve">Е. </w:t>
      </w:r>
      <w:proofErr w:type="gramStart"/>
      <w:r w:rsidRPr="00D84C68">
        <w:rPr>
          <w:rFonts w:eastAsia="Times New Roman" w:cs="Arial"/>
          <w:i/>
          <w:iCs/>
          <w:color w:val="000000"/>
          <w:szCs w:val="44"/>
          <w:lang w:val="en-US"/>
        </w:rPr>
        <w:t>coli</w:t>
      </w:r>
      <w:proofErr w:type="gramEnd"/>
      <w:r w:rsidRPr="00D84C68">
        <w:rPr>
          <w:rFonts w:eastAsia="Times New Roman" w:cs="Arial"/>
          <w:color w:val="000000"/>
          <w:szCs w:val="44"/>
          <w:lang w:val="ru-RU"/>
        </w:rPr>
        <w:t xml:space="preserve"> </w:t>
      </w:r>
      <w:r w:rsidRPr="00D84C68">
        <w:rPr>
          <w:rFonts w:eastAsia="Times New Roman" w:cs="Arial"/>
          <w:color w:val="000000"/>
          <w:szCs w:val="44"/>
          <w:lang w:eastAsia="bg-BG"/>
        </w:rPr>
        <w:t>по рекомбинантна ДНК технология).</w:t>
      </w:r>
    </w:p>
    <w:p w14:paraId="7BC3277D" w14:textId="77777777" w:rsidR="00D84C68" w:rsidRDefault="00D84C68" w:rsidP="00D84C68">
      <w:pPr>
        <w:spacing w:line="240" w:lineRule="auto"/>
        <w:rPr>
          <w:rFonts w:eastAsia="Times New Roman" w:cs="Arial"/>
          <w:color w:val="000000"/>
          <w:szCs w:val="44"/>
          <w:lang w:eastAsia="bg-BG"/>
        </w:rPr>
      </w:pPr>
    </w:p>
    <w:p w14:paraId="299AB990" w14:textId="4A56B74F"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 xml:space="preserve">Един патрон съдържа 3 </w:t>
      </w:r>
      <w:r w:rsidRPr="00D84C68">
        <w:rPr>
          <w:rFonts w:eastAsia="Times New Roman" w:cs="Arial"/>
          <w:color w:val="000000"/>
          <w:szCs w:val="44"/>
          <w:lang w:val="en-US"/>
        </w:rPr>
        <w:t>ml</w:t>
      </w:r>
      <w:r w:rsidRPr="00D84C68">
        <w:rPr>
          <w:rFonts w:eastAsia="Times New Roman" w:cs="Arial"/>
          <w:color w:val="000000"/>
          <w:szCs w:val="44"/>
          <w:lang w:val="ru-RU"/>
        </w:rPr>
        <w:t xml:space="preserve">, </w:t>
      </w:r>
      <w:r w:rsidRPr="00D84C68">
        <w:rPr>
          <w:rFonts w:eastAsia="Times New Roman" w:cs="Arial"/>
          <w:color w:val="000000"/>
          <w:szCs w:val="44"/>
          <w:lang w:eastAsia="bg-BG"/>
        </w:rPr>
        <w:t xml:space="preserve">еквивалентни на 300 </w:t>
      </w:r>
      <w:r w:rsidRPr="00D84C68">
        <w:rPr>
          <w:rFonts w:eastAsia="Times New Roman" w:cs="Arial"/>
          <w:color w:val="000000"/>
          <w:szCs w:val="44"/>
          <w:lang w:val="en-US"/>
        </w:rPr>
        <w:t>IU</w:t>
      </w:r>
      <w:r w:rsidRPr="00D84C68">
        <w:rPr>
          <w:rFonts w:eastAsia="Times New Roman" w:cs="Arial"/>
          <w:color w:val="000000"/>
          <w:szCs w:val="44"/>
          <w:lang w:val="ru-RU"/>
        </w:rPr>
        <w:t xml:space="preserve"> </w:t>
      </w:r>
      <w:r w:rsidRPr="00D84C68">
        <w:rPr>
          <w:rFonts w:eastAsia="Times New Roman" w:cs="Arial"/>
          <w:color w:val="000000"/>
          <w:szCs w:val="44"/>
          <w:lang w:eastAsia="bg-BG"/>
        </w:rPr>
        <w:t>бифазен изофан инсулин - 30 % регулар инсулин / 70 % изофан инсулин.</w:t>
      </w:r>
    </w:p>
    <w:p w14:paraId="51DAF09A" w14:textId="77777777" w:rsidR="00D84C68" w:rsidRPr="00D84C68" w:rsidRDefault="00D84C68" w:rsidP="00D84C68"/>
    <w:p w14:paraId="614984C4" w14:textId="08CEE5CB" w:rsidR="008A6AF2" w:rsidRDefault="00DD466D" w:rsidP="002C50EE">
      <w:pPr>
        <w:pStyle w:val="Heading1"/>
      </w:pPr>
      <w:r>
        <w:t>3. ЛЕКАРСТВЕНА ФОРМА</w:t>
      </w:r>
    </w:p>
    <w:p w14:paraId="04524822" w14:textId="63A5FA58" w:rsidR="00D84C68" w:rsidRDefault="00D84C68" w:rsidP="00D84C68"/>
    <w:p w14:paraId="7B98E3A6" w14:textId="77777777" w:rsidR="00D84C68" w:rsidRPr="00D84C68" w:rsidRDefault="00D84C68" w:rsidP="00D84C68">
      <w:pPr>
        <w:rPr>
          <w:sz w:val="24"/>
          <w:szCs w:val="24"/>
        </w:rPr>
      </w:pPr>
      <w:r w:rsidRPr="00D84C68">
        <w:rPr>
          <w:lang w:eastAsia="bg-BG"/>
        </w:rPr>
        <w:t>Инжекционна суспензия в патрон.</w:t>
      </w:r>
    </w:p>
    <w:p w14:paraId="6DAE59F9" w14:textId="77777777" w:rsidR="00D84C68" w:rsidRDefault="00D84C68" w:rsidP="00D84C68">
      <w:pPr>
        <w:rPr>
          <w:lang w:eastAsia="bg-BG"/>
        </w:rPr>
      </w:pPr>
    </w:p>
    <w:p w14:paraId="33624C58" w14:textId="5D179B51" w:rsidR="00D84C68" w:rsidRPr="00D84C68" w:rsidRDefault="00D84C68" w:rsidP="00D84C68">
      <w:pPr>
        <w:rPr>
          <w:sz w:val="24"/>
          <w:szCs w:val="24"/>
        </w:rPr>
      </w:pPr>
      <w:r w:rsidRPr="00D84C68">
        <w:rPr>
          <w:lang w:eastAsia="bg-BG"/>
        </w:rPr>
        <w:t>Хумулин M3 е стерилна суспензия на човешки инсулин в съотношение 30 % регулар инсулин към 70 % изофан инсулин.</w:t>
      </w:r>
    </w:p>
    <w:p w14:paraId="7181F26F" w14:textId="77777777" w:rsidR="00D84C68" w:rsidRPr="00D84C68" w:rsidRDefault="00D84C68" w:rsidP="00D84C68"/>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54BEA6B5" w:rsidR="00DF4C8E" w:rsidRDefault="00DF4C8E" w:rsidP="00DF4C8E">
      <w:pPr>
        <w:rPr>
          <w:rFonts w:cs="Arial"/>
          <w:sz w:val="24"/>
        </w:rPr>
      </w:pPr>
    </w:p>
    <w:p w14:paraId="2F5E7E25" w14:textId="77777777" w:rsidR="00D84C68" w:rsidRPr="00D84C68" w:rsidRDefault="00D84C68" w:rsidP="00D84C68">
      <w:pPr>
        <w:rPr>
          <w:sz w:val="24"/>
          <w:szCs w:val="24"/>
        </w:rPr>
      </w:pPr>
      <w:r w:rsidRPr="00D84C68">
        <w:rPr>
          <w:lang w:eastAsia="bg-BG"/>
        </w:rPr>
        <w:t>За лечение на пациенти със захарен диабет, които се нуждаят от инсулин за поддържане на глюкозната хомеостаза.</w:t>
      </w:r>
    </w:p>
    <w:p w14:paraId="310E5455" w14:textId="77777777" w:rsidR="00D84C68" w:rsidRPr="00DF4C8E" w:rsidRDefault="00D84C68" w:rsidP="00DF4C8E">
      <w:pPr>
        <w:rPr>
          <w:rFonts w:cs="Arial"/>
          <w:sz w:val="24"/>
        </w:rPr>
      </w:pPr>
    </w:p>
    <w:p w14:paraId="778B4979" w14:textId="571A2848" w:rsidR="00DF4C8E" w:rsidRDefault="002C50EE" w:rsidP="00F44498">
      <w:pPr>
        <w:pStyle w:val="Heading2"/>
      </w:pPr>
      <w:r>
        <w:t>4.2. Дозировка и начин на приложение</w:t>
      </w:r>
    </w:p>
    <w:p w14:paraId="21884001" w14:textId="030C24C8" w:rsidR="00D84C68" w:rsidRDefault="00D84C68" w:rsidP="00D84C68"/>
    <w:p w14:paraId="240D742A" w14:textId="77777777" w:rsidR="00D84C68" w:rsidRPr="00D84C68" w:rsidRDefault="00D84C68" w:rsidP="00D84C68">
      <w:pPr>
        <w:spacing w:line="240" w:lineRule="auto"/>
        <w:rPr>
          <w:rFonts w:eastAsia="Times New Roman" w:cs="Arial"/>
        </w:rPr>
      </w:pPr>
      <w:r w:rsidRPr="00D84C68">
        <w:rPr>
          <w:rFonts w:eastAsia="Times New Roman" w:cs="Arial"/>
          <w:color w:val="000000"/>
          <w:u w:val="single"/>
          <w:lang w:eastAsia="bg-BG"/>
        </w:rPr>
        <w:t>Дозировка</w:t>
      </w:r>
    </w:p>
    <w:p w14:paraId="0132FFCE" w14:textId="77777777" w:rsidR="00D84C68" w:rsidRDefault="00D84C68" w:rsidP="00D84C68">
      <w:pPr>
        <w:spacing w:line="240" w:lineRule="auto"/>
        <w:rPr>
          <w:rFonts w:eastAsia="Times New Roman" w:cs="Arial"/>
          <w:color w:val="000000"/>
          <w:lang w:eastAsia="bg-BG"/>
        </w:rPr>
      </w:pPr>
    </w:p>
    <w:p w14:paraId="332E30D2" w14:textId="1EF391F4" w:rsidR="00D84C68" w:rsidRPr="00D84C68" w:rsidRDefault="00D84C68" w:rsidP="00D84C68">
      <w:pPr>
        <w:spacing w:line="240" w:lineRule="auto"/>
        <w:rPr>
          <w:rFonts w:eastAsia="Times New Roman" w:cs="Arial"/>
        </w:rPr>
      </w:pPr>
      <w:r w:rsidRPr="00D84C68">
        <w:rPr>
          <w:rFonts w:eastAsia="Times New Roman" w:cs="Arial"/>
          <w:color w:val="000000"/>
          <w:lang w:eastAsia="bg-BG"/>
        </w:rPr>
        <w:t>Дозата трябва да бъде определена от лекар в зависимост от нуждите на пациента.</w:t>
      </w:r>
    </w:p>
    <w:p w14:paraId="4C221600" w14:textId="77777777" w:rsidR="00D84C68" w:rsidRDefault="00D84C68" w:rsidP="00D84C68">
      <w:pPr>
        <w:spacing w:line="240" w:lineRule="auto"/>
        <w:rPr>
          <w:rFonts w:eastAsia="Times New Roman" w:cs="Arial"/>
          <w:i/>
          <w:iCs/>
          <w:color w:val="000000"/>
          <w:lang w:eastAsia="bg-BG"/>
        </w:rPr>
      </w:pPr>
    </w:p>
    <w:p w14:paraId="0E13BFA9" w14:textId="1C8C443A" w:rsidR="00D84C68" w:rsidRPr="00D84C68" w:rsidRDefault="00D84C68" w:rsidP="00D84C68">
      <w:pPr>
        <w:spacing w:line="240" w:lineRule="auto"/>
        <w:rPr>
          <w:rFonts w:eastAsia="Times New Roman" w:cs="Arial"/>
        </w:rPr>
      </w:pPr>
      <w:r w:rsidRPr="00D84C68">
        <w:rPr>
          <w:rFonts w:eastAsia="Times New Roman" w:cs="Arial"/>
          <w:i/>
          <w:iCs/>
          <w:color w:val="000000"/>
          <w:lang w:eastAsia="bg-BG"/>
        </w:rPr>
        <w:t>Педиатрична популация</w:t>
      </w:r>
    </w:p>
    <w:p w14:paraId="318C5AA0" w14:textId="77777777" w:rsidR="00D84C68" w:rsidRDefault="00D84C68" w:rsidP="00D84C68">
      <w:pPr>
        <w:spacing w:line="240" w:lineRule="auto"/>
        <w:rPr>
          <w:rFonts w:eastAsia="Times New Roman" w:cs="Arial"/>
          <w:color w:val="000000"/>
          <w:lang w:eastAsia="bg-BG"/>
        </w:rPr>
      </w:pPr>
    </w:p>
    <w:p w14:paraId="26AC61EE" w14:textId="52B2D46E" w:rsidR="00D84C68" w:rsidRPr="00D84C68" w:rsidRDefault="00D84C68" w:rsidP="00D84C68">
      <w:pPr>
        <w:spacing w:line="240" w:lineRule="auto"/>
        <w:rPr>
          <w:rFonts w:eastAsia="Times New Roman" w:cs="Arial"/>
        </w:rPr>
      </w:pPr>
      <w:r w:rsidRPr="00D84C68">
        <w:rPr>
          <w:rFonts w:eastAsia="Times New Roman" w:cs="Arial"/>
          <w:color w:val="000000"/>
          <w:lang w:eastAsia="bg-BG"/>
        </w:rPr>
        <w:t>Липсват данни.</w:t>
      </w:r>
    </w:p>
    <w:p w14:paraId="194CF4A1" w14:textId="77777777" w:rsidR="00D84C68" w:rsidRDefault="00D84C68" w:rsidP="00D84C68">
      <w:pPr>
        <w:spacing w:line="240" w:lineRule="auto"/>
        <w:rPr>
          <w:rFonts w:eastAsia="Times New Roman" w:cs="Arial"/>
          <w:color w:val="000000"/>
          <w:u w:val="single"/>
          <w:lang w:eastAsia="bg-BG"/>
        </w:rPr>
      </w:pPr>
    </w:p>
    <w:p w14:paraId="3E35AF64" w14:textId="707D7DB8" w:rsidR="00D84C68" w:rsidRPr="00D84C68" w:rsidRDefault="00D84C68" w:rsidP="00D84C68">
      <w:pPr>
        <w:spacing w:line="240" w:lineRule="auto"/>
        <w:rPr>
          <w:rFonts w:eastAsia="Times New Roman" w:cs="Arial"/>
        </w:rPr>
      </w:pPr>
      <w:r w:rsidRPr="00D84C68">
        <w:rPr>
          <w:rFonts w:eastAsia="Times New Roman" w:cs="Arial"/>
          <w:color w:val="000000"/>
          <w:u w:val="single"/>
          <w:lang w:eastAsia="bg-BG"/>
        </w:rPr>
        <w:t>Начин на приложение</w:t>
      </w:r>
    </w:p>
    <w:p w14:paraId="2D145B1F" w14:textId="77777777" w:rsidR="00D84C68" w:rsidRDefault="00D84C68" w:rsidP="00D84C68">
      <w:pPr>
        <w:spacing w:line="240" w:lineRule="auto"/>
        <w:rPr>
          <w:rFonts w:eastAsia="Times New Roman" w:cs="Arial"/>
          <w:color w:val="000000"/>
          <w:lang w:eastAsia="bg-BG"/>
        </w:rPr>
      </w:pPr>
    </w:p>
    <w:p w14:paraId="2C96778E" w14:textId="385196D6" w:rsidR="00D84C68" w:rsidRPr="00D84C68" w:rsidRDefault="00D84C68" w:rsidP="00D84C68">
      <w:pPr>
        <w:spacing w:line="240" w:lineRule="auto"/>
        <w:rPr>
          <w:rFonts w:eastAsia="Times New Roman" w:cs="Arial"/>
        </w:rPr>
      </w:pPr>
      <w:r w:rsidRPr="00D84C68">
        <w:rPr>
          <w:rFonts w:eastAsia="Times New Roman" w:cs="Arial"/>
          <w:color w:val="000000"/>
          <w:lang w:eastAsia="bg-BG"/>
        </w:rPr>
        <w:t>Хумулин M3 в патрони трябва да се прилага само като подкожна инжекция с писалка за многократна употреба. Тази лекарствена форма не трябва да се прилага интравенозно.</w:t>
      </w:r>
    </w:p>
    <w:p w14:paraId="58E39EF7" w14:textId="77777777" w:rsidR="00D84C68" w:rsidRDefault="00D84C68" w:rsidP="00D84C68">
      <w:pPr>
        <w:spacing w:line="240" w:lineRule="auto"/>
        <w:rPr>
          <w:rFonts w:eastAsia="Times New Roman" w:cs="Arial"/>
          <w:color w:val="000000"/>
          <w:lang w:eastAsia="bg-BG"/>
        </w:rPr>
      </w:pPr>
    </w:p>
    <w:p w14:paraId="23754F77" w14:textId="00F883C4" w:rsidR="00D84C68" w:rsidRPr="00D84C68" w:rsidRDefault="00D84C68" w:rsidP="00D84C68">
      <w:pPr>
        <w:spacing w:line="240" w:lineRule="auto"/>
        <w:rPr>
          <w:rFonts w:eastAsia="Times New Roman" w:cs="Arial"/>
        </w:rPr>
      </w:pPr>
      <w:r w:rsidRPr="00D84C68">
        <w:rPr>
          <w:rFonts w:eastAsia="Times New Roman" w:cs="Arial"/>
          <w:color w:val="000000"/>
          <w:lang w:eastAsia="bg-BG"/>
        </w:rPr>
        <w:t>Подкожното приложение трябва да се извършва в горната част на ръката (мишницата), бедрото, седалището или корема. Местата на прилагане трябва да се сменят така, че едно и също място да не се използва по-често от един път месечно, за да се намали рискът от липодистрофия и кожна амилоидоза (вж. точки 4.4 и 4.8).</w:t>
      </w:r>
    </w:p>
    <w:p w14:paraId="6F63C565" w14:textId="77777777" w:rsidR="00D84C68" w:rsidRDefault="00D84C68" w:rsidP="00D84C68">
      <w:pPr>
        <w:spacing w:line="240" w:lineRule="auto"/>
        <w:rPr>
          <w:rFonts w:eastAsia="Times New Roman" w:cs="Arial"/>
          <w:color w:val="000000"/>
          <w:lang w:eastAsia="bg-BG"/>
        </w:rPr>
      </w:pPr>
    </w:p>
    <w:p w14:paraId="03EBCBE6" w14:textId="61989FF6" w:rsidR="00D84C68" w:rsidRDefault="00D84C68" w:rsidP="00D84C68">
      <w:pPr>
        <w:spacing w:line="240" w:lineRule="auto"/>
        <w:rPr>
          <w:rFonts w:eastAsia="Times New Roman" w:cs="Arial"/>
          <w:color w:val="000000"/>
          <w:lang w:eastAsia="bg-BG"/>
        </w:rPr>
      </w:pPr>
      <w:r w:rsidRPr="00D84C68">
        <w:rPr>
          <w:rFonts w:eastAsia="Times New Roman" w:cs="Arial"/>
          <w:color w:val="000000"/>
          <w:lang w:eastAsia="bg-BG"/>
        </w:rPr>
        <w:t>При инжектиране на който и да е от инсулиновите продукти от групата на Хумулин трябва да се внимава да не се попадне в кръвоносен съд. След инжектирането на който и да е инсулин</w:t>
      </w:r>
      <w:r>
        <w:rPr>
          <w:rFonts w:eastAsia="Times New Roman" w:cs="Arial"/>
        </w:rPr>
        <w:t xml:space="preserve"> </w:t>
      </w:r>
      <w:r w:rsidRPr="00D84C68">
        <w:rPr>
          <w:rFonts w:eastAsia="Times New Roman" w:cs="Arial"/>
          <w:color w:val="000000"/>
          <w:lang w:eastAsia="bg-BG"/>
        </w:rPr>
        <w:t>мястото на прилагане не трябва да се масажира. Пациентите трябва да бъдат обучени да</w:t>
      </w:r>
      <w:r>
        <w:rPr>
          <w:rFonts w:eastAsia="Times New Roman" w:cs="Arial"/>
        </w:rPr>
        <w:t xml:space="preserve"> </w:t>
      </w:r>
      <w:r w:rsidRPr="00D84C68">
        <w:rPr>
          <w:rFonts w:eastAsia="Times New Roman" w:cs="Arial"/>
          <w:color w:val="000000"/>
          <w:lang w:eastAsia="bg-BG"/>
        </w:rPr>
        <w:t>използват правилни техники на инжектиране.</w:t>
      </w:r>
    </w:p>
    <w:p w14:paraId="373D8C57" w14:textId="4F3DB5A1" w:rsidR="00D84C68" w:rsidRDefault="00D84C68" w:rsidP="00D84C68">
      <w:pPr>
        <w:spacing w:line="240" w:lineRule="auto"/>
        <w:rPr>
          <w:rFonts w:eastAsia="Times New Roman" w:cs="Arial"/>
          <w:color w:val="000000"/>
          <w:lang w:eastAsia="bg-BG"/>
        </w:rPr>
      </w:pPr>
    </w:p>
    <w:p w14:paraId="568E5C0F" w14:textId="77777777" w:rsidR="00D84C68" w:rsidRPr="00D84C68" w:rsidRDefault="00D84C68" w:rsidP="00D84C68">
      <w:pPr>
        <w:rPr>
          <w:sz w:val="24"/>
          <w:szCs w:val="24"/>
        </w:rPr>
      </w:pPr>
      <w:r w:rsidRPr="00D84C68">
        <w:rPr>
          <w:lang w:eastAsia="bg-BG"/>
        </w:rPr>
        <w:t>Микстурата Хумулин е готова смес на регулар инсулин и изофан инсулин, предназначена за избягване на необходимостта пациентът сам да смесва инсулинови препарати. Терапевтичната схема на пациента трябва да се базира на неговите индивидуални метаболитни нужди.</w:t>
      </w:r>
    </w:p>
    <w:p w14:paraId="77DD2188" w14:textId="77777777" w:rsidR="00D84C68" w:rsidRDefault="00D84C68" w:rsidP="00D84C68">
      <w:pPr>
        <w:rPr>
          <w:lang w:eastAsia="bg-BG"/>
        </w:rPr>
      </w:pPr>
    </w:p>
    <w:p w14:paraId="2E6E9CE4" w14:textId="7BB2E5FC" w:rsidR="00D84C68" w:rsidRPr="00D84C68" w:rsidRDefault="00D84C68" w:rsidP="00D84C68">
      <w:pPr>
        <w:rPr>
          <w:sz w:val="24"/>
          <w:szCs w:val="24"/>
        </w:rPr>
      </w:pPr>
      <w:r w:rsidRPr="00D84C68">
        <w:rPr>
          <w:lang w:eastAsia="bg-BG"/>
        </w:rPr>
        <w:t>Всяка опаковка съдържа листовка с информация за пациента с указа</w:t>
      </w:r>
      <w:r>
        <w:rPr>
          <w:lang w:eastAsia="bg-BG"/>
        </w:rPr>
        <w:t>ния как да се инжектира инсулин.</w:t>
      </w:r>
    </w:p>
    <w:p w14:paraId="0D6DBB08" w14:textId="77777777" w:rsidR="00D84C68" w:rsidRPr="00D84C68" w:rsidRDefault="00D84C68" w:rsidP="00D84C68">
      <w:pPr>
        <w:spacing w:line="240" w:lineRule="auto"/>
        <w:rPr>
          <w:rFonts w:eastAsia="Times New Roman" w:cs="Arial"/>
        </w:rPr>
      </w:pPr>
    </w:p>
    <w:p w14:paraId="6A85390E" w14:textId="192DE6E4" w:rsidR="00DF4C8E" w:rsidRDefault="002C50EE" w:rsidP="00F44498">
      <w:pPr>
        <w:pStyle w:val="Heading2"/>
      </w:pPr>
      <w:r>
        <w:t>4.3. Противопоказания</w:t>
      </w:r>
    </w:p>
    <w:p w14:paraId="10FF7380" w14:textId="32FEB198" w:rsidR="00D84C68" w:rsidRDefault="00D84C68" w:rsidP="00D84C68"/>
    <w:p w14:paraId="32FD1791" w14:textId="77777777" w:rsidR="00D84C68" w:rsidRPr="00D84C68" w:rsidRDefault="00D84C68" w:rsidP="00D84C68">
      <w:pPr>
        <w:rPr>
          <w:sz w:val="24"/>
          <w:szCs w:val="24"/>
        </w:rPr>
      </w:pPr>
      <w:r w:rsidRPr="00D84C68">
        <w:rPr>
          <w:lang w:eastAsia="bg-BG"/>
        </w:rPr>
        <w:t>Хипогликемия.</w:t>
      </w:r>
    </w:p>
    <w:p w14:paraId="6CC3CDDC" w14:textId="77777777" w:rsidR="00D84C68" w:rsidRDefault="00D84C68" w:rsidP="00D84C68">
      <w:pPr>
        <w:rPr>
          <w:lang w:eastAsia="bg-BG"/>
        </w:rPr>
      </w:pPr>
    </w:p>
    <w:p w14:paraId="327DEEFE" w14:textId="689D11E1" w:rsidR="00D84C68" w:rsidRPr="00D84C68" w:rsidRDefault="00D84C68" w:rsidP="00D84C68">
      <w:pPr>
        <w:rPr>
          <w:sz w:val="24"/>
          <w:szCs w:val="24"/>
        </w:rPr>
      </w:pPr>
      <w:r w:rsidRPr="00D84C68">
        <w:rPr>
          <w:lang w:eastAsia="bg-BG"/>
        </w:rPr>
        <w:t>Свръхчувствителност към активното вещество или към някое от помощните вещества, изброени в точка 6.1, освен, ако не се използва като част от програма за десенсибилизация.</w:t>
      </w:r>
    </w:p>
    <w:p w14:paraId="3877D7C2" w14:textId="77777777" w:rsidR="00D84C68" w:rsidRDefault="00D84C68" w:rsidP="00D84C68">
      <w:pPr>
        <w:rPr>
          <w:lang w:eastAsia="bg-BG"/>
        </w:rPr>
      </w:pPr>
    </w:p>
    <w:p w14:paraId="24464D88" w14:textId="38192A48" w:rsidR="00D84C68" w:rsidRPr="00D84C68" w:rsidRDefault="00D84C68" w:rsidP="00D84C68">
      <w:pPr>
        <w:rPr>
          <w:sz w:val="24"/>
          <w:szCs w:val="24"/>
        </w:rPr>
      </w:pPr>
      <w:r w:rsidRPr="00D84C68">
        <w:rPr>
          <w:lang w:eastAsia="bg-BG"/>
        </w:rPr>
        <w:t xml:space="preserve">При никакви обстоятелства която и да е лекарствена форма на Хумулин не трябва да се използва интравенозно, освен Хумулин </w:t>
      </w:r>
      <w:r w:rsidRPr="00D84C68">
        <w:rPr>
          <w:lang w:val="en-US"/>
        </w:rPr>
        <w:t>R</w:t>
      </w:r>
      <w:r w:rsidRPr="00D84C68">
        <w:rPr>
          <w:lang w:val="ru-RU"/>
        </w:rPr>
        <w:t xml:space="preserve"> </w:t>
      </w:r>
      <w:r w:rsidRPr="00D84C68">
        <w:rPr>
          <w:lang w:eastAsia="bg-BG"/>
        </w:rPr>
        <w:t>(регулар).</w:t>
      </w:r>
    </w:p>
    <w:p w14:paraId="4F08E495" w14:textId="23360557" w:rsidR="00D84C68" w:rsidRPr="00D84C68" w:rsidRDefault="00D84C68" w:rsidP="00D84C68"/>
    <w:p w14:paraId="115C9528" w14:textId="2EBD6B0E" w:rsidR="00DF4C8E" w:rsidRDefault="002C50EE" w:rsidP="00F44498">
      <w:pPr>
        <w:pStyle w:val="Heading2"/>
      </w:pPr>
      <w:r>
        <w:t>4.4. Специални предупреждения и предпазни мерки при употреба</w:t>
      </w:r>
    </w:p>
    <w:p w14:paraId="33C0D4EC" w14:textId="6A77B2F2" w:rsidR="00D84C68" w:rsidRDefault="00D84C68" w:rsidP="00D84C68"/>
    <w:p w14:paraId="08100DE7" w14:textId="77777777"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Преминаването на пациент на лечение с друг тип или търговска марка инсулин трябва да се извършва под строго лекарско наблюдение. Промени в активността, вида (производителя), типа (регулар, изофан, микстура) произхода (животински, човешки, аналог на човешкия инсулин) и/или метода на производство (рекомбинантна ДНК или инсулин от животински произход) може да изисква промяна на дозата.</w:t>
      </w:r>
    </w:p>
    <w:p w14:paraId="2864FF4E" w14:textId="77777777" w:rsidR="00D84C68" w:rsidRDefault="00D84C68" w:rsidP="00D84C68">
      <w:pPr>
        <w:spacing w:line="240" w:lineRule="auto"/>
        <w:rPr>
          <w:rFonts w:eastAsia="Times New Roman" w:cs="Arial"/>
          <w:color w:val="000000"/>
          <w:szCs w:val="44"/>
          <w:lang w:eastAsia="bg-BG"/>
        </w:rPr>
      </w:pPr>
    </w:p>
    <w:p w14:paraId="6AF1FB08" w14:textId="093DF176"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Някои пациенти, приемащи човешки инсулин, може да се нуждаят от промяна на дозата в сравнение с дозата, използвана при инсулини от животински произход. Ако е необходимо коригиране на дозата, това може да стане при първата доза или в течение на първите няколко седмици или месеци.</w:t>
      </w:r>
    </w:p>
    <w:p w14:paraId="1D068BAE" w14:textId="77777777" w:rsidR="00D84C68" w:rsidRDefault="00D84C68" w:rsidP="00D84C68">
      <w:pPr>
        <w:spacing w:line="240" w:lineRule="auto"/>
        <w:rPr>
          <w:rFonts w:eastAsia="Times New Roman" w:cs="Arial"/>
          <w:color w:val="000000"/>
          <w:szCs w:val="44"/>
          <w:lang w:eastAsia="bg-BG"/>
        </w:rPr>
      </w:pPr>
    </w:p>
    <w:p w14:paraId="603850E0" w14:textId="45A31918"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 xml:space="preserve">Малкото пациенти, които са имали хипогликемични реакции след преминаване на човешки инсулин, съобщават, че ранните предупреждаващи симптоми на хипогликемия са били по-слабо изразени или различни от симптомите, които са имали по време на прилагането на техния предишен животински инсулин. Пациенти, чиято кръвна захар е значително подобрена, например, при интензифицирана инсулинова терапия, може да загубят някои или всичките предупреждаващи симптоми на хипогликемия и трябва да </w:t>
      </w:r>
      <w:r w:rsidRPr="00D84C68">
        <w:rPr>
          <w:rFonts w:eastAsia="Times New Roman" w:cs="Arial"/>
          <w:color w:val="000000"/>
          <w:szCs w:val="44"/>
          <w:lang w:eastAsia="bg-BG"/>
        </w:rPr>
        <w:lastRenderedPageBreak/>
        <w:t>бъдат съответно уведомени. Други състояния, които могат да направят ранните предупреждаващи симптоми на хипогликемия различни или по-малко изразени, са голяма продължителност на диабета, диабетна невропатия или лекарствени продукти, като например, бета-блокери. Некоригираните хипогликемични и хипергликемични реакции могат да предизвикат загуба на съзнание, кома или смърт.</w:t>
      </w:r>
    </w:p>
    <w:p w14:paraId="11DB4F24" w14:textId="77777777" w:rsidR="00D84C68" w:rsidRDefault="00D84C68" w:rsidP="00D84C68">
      <w:pPr>
        <w:spacing w:line="240" w:lineRule="auto"/>
        <w:rPr>
          <w:rFonts w:eastAsia="Times New Roman" w:cs="Arial"/>
          <w:color w:val="000000"/>
          <w:szCs w:val="44"/>
          <w:lang w:eastAsia="bg-BG"/>
        </w:rPr>
      </w:pPr>
    </w:p>
    <w:p w14:paraId="6B837BA9" w14:textId="1F296383"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Използването на неподходящи дози или прекъсването на лечението, особено при инсулино-зависими диабетици, може да доведе до хипергликемия и диабетна кетоацидоза; състояния, които са потенциално летални.</w:t>
      </w:r>
    </w:p>
    <w:p w14:paraId="0121C8BE" w14:textId="77777777" w:rsidR="00D84C68" w:rsidRDefault="00D84C68" w:rsidP="00D84C68">
      <w:pPr>
        <w:spacing w:line="240" w:lineRule="auto"/>
        <w:rPr>
          <w:rFonts w:eastAsia="Times New Roman" w:cs="Arial"/>
          <w:color w:val="000000"/>
          <w:szCs w:val="44"/>
          <w:lang w:eastAsia="bg-BG"/>
        </w:rPr>
      </w:pPr>
    </w:p>
    <w:p w14:paraId="2E2BFDE1" w14:textId="2577D48C"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Лечението с човешки инсулин може да предизвика образуването на антитела, но титрите на антителата са по-ниски, отколкото титрите при пречистения животински инсулин.</w:t>
      </w:r>
    </w:p>
    <w:p w14:paraId="6D7DE38B" w14:textId="77777777" w:rsidR="00D84C68" w:rsidRDefault="00D84C68" w:rsidP="00D84C68">
      <w:pPr>
        <w:spacing w:line="240" w:lineRule="auto"/>
        <w:rPr>
          <w:rFonts w:eastAsia="Times New Roman" w:cs="Arial"/>
          <w:color w:val="000000"/>
          <w:szCs w:val="44"/>
          <w:lang w:eastAsia="bg-BG"/>
        </w:rPr>
      </w:pPr>
    </w:p>
    <w:p w14:paraId="5E207CE4" w14:textId="532FD7FD"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Инсулиновите нужди може да се променят значително при заболявания на над бъбречните, хипофизната или щитовидната жлези, както и при наличие на бъбречно или черно</w:t>
      </w:r>
      <w:r w:rsidRPr="00D84C68">
        <w:rPr>
          <w:rFonts w:eastAsia="Times New Roman" w:cs="Arial"/>
          <w:color w:val="000000"/>
          <w:szCs w:val="44"/>
          <w:u w:val="single"/>
          <w:lang w:eastAsia="bg-BG"/>
        </w:rPr>
        <w:t>дроб</w:t>
      </w:r>
      <w:r w:rsidRPr="00D84C68">
        <w:rPr>
          <w:rFonts w:eastAsia="Times New Roman" w:cs="Arial"/>
          <w:color w:val="000000"/>
          <w:szCs w:val="44"/>
          <w:lang w:eastAsia="bg-BG"/>
        </w:rPr>
        <w:t>но</w:t>
      </w:r>
      <w:r>
        <w:rPr>
          <w:rFonts w:eastAsia="Times New Roman" w:cs="Arial"/>
          <w:sz w:val="12"/>
          <w:szCs w:val="24"/>
        </w:rPr>
        <w:t xml:space="preserve"> </w:t>
      </w:r>
      <w:r w:rsidRPr="00D84C68">
        <w:rPr>
          <w:rFonts w:eastAsia="Times New Roman" w:cs="Arial"/>
          <w:color w:val="000000"/>
          <w:szCs w:val="44"/>
          <w:lang w:eastAsia="bg-BG"/>
        </w:rPr>
        <w:t>увреждане</w:t>
      </w:r>
    </w:p>
    <w:p w14:paraId="225ABDB5" w14:textId="77777777" w:rsidR="00D84C68" w:rsidRDefault="00D84C68" w:rsidP="00D84C68">
      <w:pPr>
        <w:rPr>
          <w:rFonts w:eastAsia="Times New Roman" w:cs="Arial"/>
          <w:color w:val="000000"/>
          <w:szCs w:val="44"/>
          <w:lang w:eastAsia="bg-BG"/>
        </w:rPr>
      </w:pPr>
    </w:p>
    <w:p w14:paraId="0D18CDAD" w14:textId="118F3526" w:rsidR="00D84C68" w:rsidRDefault="00D84C68" w:rsidP="00D84C68">
      <w:pPr>
        <w:rPr>
          <w:rFonts w:eastAsia="Times New Roman" w:cs="Arial"/>
          <w:color w:val="000000"/>
          <w:szCs w:val="44"/>
          <w:lang w:eastAsia="bg-BG"/>
        </w:rPr>
      </w:pPr>
      <w:r w:rsidRPr="00D84C68">
        <w:rPr>
          <w:rFonts w:eastAsia="Times New Roman" w:cs="Arial"/>
          <w:color w:val="000000"/>
          <w:szCs w:val="44"/>
          <w:lang w:eastAsia="bg-BG"/>
        </w:rPr>
        <w:t>Инсулиновите нужди може да бъдат повишени по време на заболяване или еноционални разстройства.</w:t>
      </w:r>
    </w:p>
    <w:p w14:paraId="657914D8" w14:textId="2E4B819F" w:rsidR="00D84C68" w:rsidRDefault="00D84C68" w:rsidP="00D84C68"/>
    <w:p w14:paraId="69A4B002" w14:textId="77777777" w:rsidR="00D84C68" w:rsidRPr="00D84C68" w:rsidRDefault="00D84C68" w:rsidP="00D84C68">
      <w:pPr>
        <w:spacing w:line="240" w:lineRule="auto"/>
        <w:rPr>
          <w:rFonts w:eastAsia="Times New Roman" w:cs="Arial"/>
        </w:rPr>
      </w:pPr>
      <w:r w:rsidRPr="00D84C68">
        <w:rPr>
          <w:rFonts w:eastAsia="Times New Roman" w:cs="Arial"/>
          <w:color w:val="000000"/>
          <w:lang w:eastAsia="bg-BG"/>
        </w:rPr>
        <w:t>Коригиране на инсулиновата доза може да е необходимо и, ако пациентите променят нивото на физическата си активност или променят обичайната си диета.</w:t>
      </w:r>
    </w:p>
    <w:p w14:paraId="48AEBCB7" w14:textId="77777777" w:rsidR="00D84C68" w:rsidRDefault="00D84C68" w:rsidP="00D84C68">
      <w:pPr>
        <w:spacing w:line="240" w:lineRule="auto"/>
        <w:rPr>
          <w:rFonts w:eastAsia="Times New Roman" w:cs="Arial"/>
          <w:color w:val="000000"/>
          <w:lang w:eastAsia="bg-BG"/>
        </w:rPr>
      </w:pPr>
    </w:p>
    <w:p w14:paraId="6E011A03" w14:textId="5FDD5264" w:rsidR="00D84C68" w:rsidRPr="00D84C68" w:rsidRDefault="00D84C68" w:rsidP="00D84C68">
      <w:pPr>
        <w:spacing w:line="240" w:lineRule="auto"/>
        <w:rPr>
          <w:rFonts w:eastAsia="Times New Roman" w:cs="Arial"/>
        </w:rPr>
      </w:pPr>
      <w:r w:rsidRPr="00D84C68">
        <w:rPr>
          <w:rFonts w:eastAsia="Times New Roman" w:cs="Arial"/>
          <w:color w:val="000000"/>
          <w:lang w:eastAsia="bg-BG"/>
        </w:rPr>
        <w:t>Пациентите трябва да бъдат инструктирани непрекъснато да редуват мястото на инжектиране, за да се намали рискът от развитие на липодистрофия и кожна амилоидоза. Има потенциален риск от забавена абсорбция на инсулин и влошен гликемичен контрол след инжектиране на инсулин на места с тези реакции. Има съобщения, че внезапната промяна на мястото на инжектиране в незасегната зона води до хипогликемия. Препоръчва се проследяване на кръвната захар след промяна на мястото на инжектиране и може да се обмисли коригиране на дозата на антидиабетните лекарства.</w:t>
      </w:r>
    </w:p>
    <w:p w14:paraId="4910A5FA" w14:textId="77777777" w:rsidR="00D84C68" w:rsidRDefault="00D84C68" w:rsidP="00D84C68">
      <w:pPr>
        <w:spacing w:line="240" w:lineRule="auto"/>
        <w:rPr>
          <w:rFonts w:eastAsia="Times New Roman" w:cs="Arial"/>
          <w:color w:val="000000"/>
          <w:u w:val="single"/>
          <w:lang w:eastAsia="bg-BG"/>
        </w:rPr>
      </w:pPr>
    </w:p>
    <w:p w14:paraId="3B4FC466" w14:textId="728A9204" w:rsidR="00D84C68" w:rsidRPr="00D84C68" w:rsidRDefault="00D84C68" w:rsidP="00D84C68">
      <w:pPr>
        <w:spacing w:line="240" w:lineRule="auto"/>
        <w:rPr>
          <w:rFonts w:eastAsia="Times New Roman" w:cs="Arial"/>
        </w:rPr>
      </w:pPr>
      <w:r w:rsidRPr="00D84C68">
        <w:rPr>
          <w:rFonts w:eastAsia="Times New Roman" w:cs="Arial"/>
          <w:color w:val="000000"/>
          <w:u w:val="single"/>
          <w:lang w:eastAsia="bg-BG"/>
        </w:rPr>
        <w:t>Комбинация на човешки инсулин с пиоглитазон:</w:t>
      </w:r>
    </w:p>
    <w:p w14:paraId="399CA622" w14:textId="77777777" w:rsidR="00D84C68" w:rsidRDefault="00D84C68" w:rsidP="00D84C68">
      <w:pPr>
        <w:spacing w:line="240" w:lineRule="auto"/>
        <w:rPr>
          <w:rFonts w:eastAsia="Times New Roman" w:cs="Arial"/>
          <w:color w:val="000000"/>
          <w:lang w:eastAsia="bg-BG"/>
        </w:rPr>
      </w:pPr>
    </w:p>
    <w:p w14:paraId="7E2E58B0" w14:textId="1EBC51D9" w:rsidR="00D84C68" w:rsidRPr="00D84C68" w:rsidRDefault="00D84C68" w:rsidP="00D84C68">
      <w:pPr>
        <w:spacing w:line="240" w:lineRule="auto"/>
        <w:rPr>
          <w:rFonts w:eastAsia="Times New Roman" w:cs="Arial"/>
        </w:rPr>
      </w:pPr>
      <w:r w:rsidRPr="00D84C68">
        <w:rPr>
          <w:rFonts w:eastAsia="Times New Roman" w:cs="Arial"/>
          <w:color w:val="000000"/>
          <w:lang w:eastAsia="bg-BG"/>
        </w:rPr>
        <w:t>Съобщени са случаи на сърдечна недостатъчност при употреба на пиоглитазон в комбинация с инсулин, особено при пациенти с рискови фактори за развитие на сърдечна недостатъчност. Това трябва да се вземе под внимание, ако се обсъжда лечение с комбинация от пиоглитазон и човешки инсулин. Ако се използва комбинацията, пациентите трябва да се наблюдават за признаци и симптоми на сърдечна недостатъчност, наддаване на тегло и оток. Пиоглитазон трябва да бъде спрян, ако се появи някакво влошаване на сърдечните симптоми.</w:t>
      </w:r>
    </w:p>
    <w:p w14:paraId="55D537B3" w14:textId="77777777" w:rsidR="00D84C68" w:rsidRDefault="00D84C68" w:rsidP="00D84C68">
      <w:pPr>
        <w:spacing w:line="240" w:lineRule="auto"/>
        <w:rPr>
          <w:rFonts w:eastAsia="Times New Roman" w:cs="Arial"/>
          <w:color w:val="000000"/>
          <w:u w:val="single"/>
          <w:lang w:eastAsia="bg-BG"/>
        </w:rPr>
      </w:pPr>
    </w:p>
    <w:p w14:paraId="530D5DC2" w14:textId="499E37F3" w:rsidR="00D84C68" w:rsidRPr="00D84C68" w:rsidRDefault="00D84C68" w:rsidP="00D84C68">
      <w:pPr>
        <w:spacing w:line="240" w:lineRule="auto"/>
        <w:rPr>
          <w:rFonts w:eastAsia="Times New Roman" w:cs="Arial"/>
        </w:rPr>
      </w:pPr>
      <w:r w:rsidRPr="00D84C68">
        <w:rPr>
          <w:rFonts w:eastAsia="Times New Roman" w:cs="Arial"/>
          <w:color w:val="000000"/>
          <w:u w:val="single"/>
          <w:lang w:eastAsia="bg-BG"/>
        </w:rPr>
        <w:t>Инструкции за употреба и работа</w:t>
      </w:r>
    </w:p>
    <w:p w14:paraId="32034E41" w14:textId="77777777" w:rsidR="00D84C68" w:rsidRDefault="00D84C68" w:rsidP="00D84C68">
      <w:pPr>
        <w:spacing w:line="240" w:lineRule="auto"/>
        <w:rPr>
          <w:rFonts w:eastAsia="Times New Roman" w:cs="Arial"/>
          <w:color w:val="000000"/>
          <w:lang w:eastAsia="bg-BG"/>
        </w:rPr>
      </w:pPr>
    </w:p>
    <w:p w14:paraId="42D2C533" w14:textId="6FC6A05F" w:rsidR="00D84C68" w:rsidRPr="00D84C68" w:rsidRDefault="00D84C68" w:rsidP="00D84C68">
      <w:pPr>
        <w:spacing w:line="240" w:lineRule="auto"/>
        <w:rPr>
          <w:rFonts w:eastAsia="Times New Roman" w:cs="Arial"/>
        </w:rPr>
      </w:pPr>
      <w:r w:rsidRPr="00D84C68">
        <w:rPr>
          <w:rFonts w:eastAsia="Times New Roman" w:cs="Arial"/>
          <w:color w:val="000000"/>
          <w:lang w:eastAsia="bg-BG"/>
        </w:rPr>
        <w:t>За да се предотврати възможно пренасяне на болести, всеки патрон трябва да се използва само от един пациент, дори и ако иглата на инсулиновата писалка е сменена.</w:t>
      </w:r>
    </w:p>
    <w:p w14:paraId="32645E67" w14:textId="77777777" w:rsidR="00D84C68" w:rsidRDefault="00D84C68" w:rsidP="00D84C68">
      <w:pPr>
        <w:spacing w:line="240" w:lineRule="auto"/>
        <w:rPr>
          <w:rFonts w:eastAsia="Times New Roman" w:cs="Arial"/>
          <w:color w:val="000000"/>
          <w:u w:val="single"/>
          <w:lang w:eastAsia="bg-BG"/>
        </w:rPr>
      </w:pPr>
    </w:p>
    <w:p w14:paraId="2AE41AAF" w14:textId="43DDE343" w:rsidR="00D84C68" w:rsidRPr="00D84C68" w:rsidRDefault="00D84C68" w:rsidP="00D84C68">
      <w:pPr>
        <w:spacing w:line="240" w:lineRule="auto"/>
        <w:rPr>
          <w:rFonts w:eastAsia="Times New Roman" w:cs="Arial"/>
        </w:rPr>
      </w:pPr>
      <w:r w:rsidRPr="00D84C68">
        <w:rPr>
          <w:rFonts w:eastAsia="Times New Roman" w:cs="Arial"/>
          <w:color w:val="000000"/>
          <w:u w:val="single"/>
          <w:lang w:eastAsia="bg-BG"/>
        </w:rPr>
        <w:t>Писалки, с които да се използват патроните Хумулин M3</w:t>
      </w:r>
    </w:p>
    <w:p w14:paraId="7116E349" w14:textId="77777777" w:rsidR="00D84C68" w:rsidRDefault="00D84C68" w:rsidP="00D84C68">
      <w:pPr>
        <w:spacing w:line="240" w:lineRule="auto"/>
        <w:rPr>
          <w:rFonts w:eastAsia="Times New Roman" w:cs="Arial"/>
          <w:color w:val="000000"/>
          <w:lang w:eastAsia="bg-BG"/>
        </w:rPr>
      </w:pPr>
    </w:p>
    <w:p w14:paraId="0BE0674C" w14:textId="4F865FD2" w:rsidR="00D84C68" w:rsidRPr="00D84C68" w:rsidRDefault="00D84C68" w:rsidP="00D84C68">
      <w:pPr>
        <w:spacing w:line="240" w:lineRule="auto"/>
        <w:rPr>
          <w:rFonts w:eastAsia="Times New Roman" w:cs="Arial"/>
        </w:rPr>
      </w:pPr>
      <w:r w:rsidRPr="00D84C68">
        <w:rPr>
          <w:rFonts w:eastAsia="Times New Roman" w:cs="Arial"/>
          <w:color w:val="000000"/>
          <w:lang w:eastAsia="bg-BG"/>
        </w:rPr>
        <w:lastRenderedPageBreak/>
        <w:t xml:space="preserve">Патроните трябва да се използват с инсулинова писалка на </w:t>
      </w:r>
      <w:r w:rsidRPr="00D84C68">
        <w:rPr>
          <w:rFonts w:eastAsia="Times New Roman" w:cs="Arial"/>
          <w:color w:val="000000"/>
          <w:lang w:val="en-US"/>
        </w:rPr>
        <w:t>Lilly</w:t>
      </w:r>
      <w:r w:rsidRPr="00D84C68">
        <w:rPr>
          <w:rFonts w:eastAsia="Times New Roman" w:cs="Arial"/>
          <w:color w:val="000000"/>
          <w:lang w:eastAsia="bg-BG"/>
        </w:rPr>
        <w:t xml:space="preserve"> за многократна упоереба и не трябва да се използват с никаква друга писалка за многократна употреба, тьй като точността на дозиране не е установена с други писалки.</w:t>
      </w:r>
    </w:p>
    <w:p w14:paraId="435E0045" w14:textId="77777777" w:rsidR="00D84C68" w:rsidRDefault="00D84C68" w:rsidP="00D84C68">
      <w:pPr>
        <w:spacing w:line="240" w:lineRule="auto"/>
        <w:rPr>
          <w:rFonts w:eastAsia="Times New Roman" w:cs="Arial"/>
          <w:color w:val="000000"/>
          <w:u w:val="single"/>
          <w:lang w:eastAsia="bg-BG"/>
        </w:rPr>
      </w:pPr>
    </w:p>
    <w:p w14:paraId="3AE7792B" w14:textId="07AE4371" w:rsidR="00D84C68" w:rsidRPr="00D84C68" w:rsidRDefault="00D84C68" w:rsidP="00D84C68">
      <w:pPr>
        <w:spacing w:line="240" w:lineRule="auto"/>
        <w:rPr>
          <w:rFonts w:eastAsia="Times New Roman" w:cs="Arial"/>
        </w:rPr>
      </w:pPr>
      <w:r w:rsidRPr="00D84C68">
        <w:rPr>
          <w:rFonts w:eastAsia="Times New Roman" w:cs="Arial"/>
          <w:color w:val="000000"/>
          <w:u w:val="single"/>
          <w:lang w:eastAsia="bg-BG"/>
        </w:rPr>
        <w:t>Проследимост</w:t>
      </w:r>
    </w:p>
    <w:p w14:paraId="0EB66E33" w14:textId="77777777" w:rsidR="00D84C68" w:rsidRDefault="00D84C68" w:rsidP="00D84C68">
      <w:pPr>
        <w:spacing w:line="240" w:lineRule="auto"/>
        <w:rPr>
          <w:rFonts w:eastAsia="Times New Roman" w:cs="Arial"/>
          <w:color w:val="000000"/>
          <w:lang w:eastAsia="bg-BG"/>
        </w:rPr>
      </w:pPr>
    </w:p>
    <w:p w14:paraId="5D20470D" w14:textId="161A6C38" w:rsidR="00D84C68" w:rsidRPr="00D84C68" w:rsidRDefault="00D84C68" w:rsidP="00D84C68">
      <w:pPr>
        <w:spacing w:line="240" w:lineRule="auto"/>
        <w:rPr>
          <w:rFonts w:eastAsia="Times New Roman" w:cs="Arial"/>
        </w:rPr>
      </w:pPr>
      <w:r w:rsidRPr="00D84C68">
        <w:rPr>
          <w:rFonts w:eastAsia="Times New Roman" w:cs="Arial"/>
          <w:color w:val="000000"/>
          <w:lang w:eastAsia="bg-BG"/>
        </w:rPr>
        <w:t>За да се подобри проследимостта на биологичните лекарствени продукти, името и партидният номер на приложения продукт трябва ясно да се записват.</w:t>
      </w:r>
    </w:p>
    <w:p w14:paraId="2F505D08" w14:textId="77777777" w:rsidR="00D84C68" w:rsidRDefault="00D84C68" w:rsidP="00D84C68">
      <w:pPr>
        <w:spacing w:line="240" w:lineRule="auto"/>
        <w:rPr>
          <w:rFonts w:eastAsia="Times New Roman" w:cs="Arial"/>
          <w:color w:val="000000"/>
          <w:u w:val="single"/>
          <w:lang w:eastAsia="bg-BG"/>
        </w:rPr>
      </w:pPr>
    </w:p>
    <w:p w14:paraId="3A52B529" w14:textId="083D3614" w:rsidR="00D84C68" w:rsidRPr="00D84C68" w:rsidRDefault="00D84C68" w:rsidP="00D84C68">
      <w:pPr>
        <w:spacing w:line="240" w:lineRule="auto"/>
        <w:rPr>
          <w:rFonts w:eastAsia="Times New Roman" w:cs="Arial"/>
        </w:rPr>
      </w:pPr>
      <w:r w:rsidRPr="00D84C68">
        <w:rPr>
          <w:rFonts w:eastAsia="Times New Roman" w:cs="Arial"/>
          <w:color w:val="000000"/>
          <w:u w:val="single"/>
          <w:lang w:eastAsia="bg-BG"/>
        </w:rPr>
        <w:t>Помощни вещества</w:t>
      </w:r>
    </w:p>
    <w:p w14:paraId="605E0E1F" w14:textId="77777777" w:rsidR="00D84C68" w:rsidRDefault="00D84C68" w:rsidP="00D84C68">
      <w:pPr>
        <w:spacing w:line="240" w:lineRule="auto"/>
        <w:rPr>
          <w:rFonts w:eastAsia="Times New Roman" w:cs="Arial"/>
          <w:color w:val="000000"/>
          <w:lang w:eastAsia="bg-BG"/>
        </w:rPr>
      </w:pPr>
    </w:p>
    <w:p w14:paraId="11FCADE7" w14:textId="390DC57D" w:rsidR="00D84C68" w:rsidRPr="00D84C68" w:rsidRDefault="00D84C68" w:rsidP="00D84C68">
      <w:pPr>
        <w:spacing w:line="240" w:lineRule="auto"/>
        <w:rPr>
          <w:rFonts w:eastAsia="Times New Roman" w:cs="Arial"/>
        </w:rPr>
      </w:pPr>
      <w:r w:rsidRPr="00D84C68">
        <w:rPr>
          <w:rFonts w:eastAsia="Times New Roman" w:cs="Arial"/>
          <w:color w:val="000000"/>
          <w:lang w:eastAsia="bg-BG"/>
        </w:rPr>
        <w:t xml:space="preserve">Този лекарствен продукт съдържа по-малко от 1 </w:t>
      </w:r>
      <w:proofErr w:type="spellStart"/>
      <w:r w:rsidRPr="00D84C68">
        <w:rPr>
          <w:rFonts w:eastAsia="Times New Roman" w:cs="Arial"/>
          <w:color w:val="000000"/>
          <w:lang w:val="en-US"/>
        </w:rPr>
        <w:t>mmol</w:t>
      </w:r>
      <w:proofErr w:type="spellEnd"/>
      <w:r w:rsidRPr="00D84C68">
        <w:rPr>
          <w:rFonts w:eastAsia="Times New Roman" w:cs="Arial"/>
          <w:color w:val="000000"/>
          <w:lang w:val="ru-RU"/>
        </w:rPr>
        <w:t xml:space="preserve"> </w:t>
      </w:r>
      <w:r w:rsidRPr="00D84C68">
        <w:rPr>
          <w:rFonts w:eastAsia="Times New Roman" w:cs="Arial"/>
          <w:color w:val="000000"/>
          <w:lang w:eastAsia="bg-BG"/>
        </w:rPr>
        <w:t xml:space="preserve">натрий (23 </w:t>
      </w:r>
      <w:r w:rsidRPr="00D84C68">
        <w:rPr>
          <w:rFonts w:eastAsia="Times New Roman" w:cs="Arial"/>
          <w:color w:val="000000"/>
          <w:lang w:val="en-US"/>
        </w:rPr>
        <w:t>mg</w:t>
      </w:r>
      <w:r w:rsidRPr="00D84C68">
        <w:rPr>
          <w:rFonts w:eastAsia="Times New Roman" w:cs="Arial"/>
          <w:color w:val="000000"/>
          <w:lang w:val="ru-RU"/>
        </w:rPr>
        <w:t xml:space="preserve">) </w:t>
      </w:r>
      <w:r w:rsidRPr="00D84C68">
        <w:rPr>
          <w:rFonts w:eastAsia="Times New Roman" w:cs="Arial"/>
          <w:color w:val="000000"/>
          <w:lang w:eastAsia="bg-BG"/>
        </w:rPr>
        <w:t>на доза, т.е. практически „не съдържа натрий”.</w:t>
      </w:r>
    </w:p>
    <w:p w14:paraId="21B87420" w14:textId="77777777" w:rsidR="00D84C68" w:rsidRPr="00D84C68" w:rsidRDefault="00D84C68" w:rsidP="00D84C68"/>
    <w:p w14:paraId="070777EC" w14:textId="1350A091" w:rsidR="00DF4C8E" w:rsidRDefault="002C50EE" w:rsidP="00F44498">
      <w:pPr>
        <w:pStyle w:val="Heading2"/>
      </w:pPr>
      <w:r>
        <w:t>4.5. Взаимодействие с други лекарствени продукти и други форми на взаимодействие</w:t>
      </w:r>
    </w:p>
    <w:p w14:paraId="172CA455" w14:textId="26A91990" w:rsidR="00D84C68" w:rsidRDefault="00D84C68" w:rsidP="00D84C68"/>
    <w:p w14:paraId="5688D3F4" w14:textId="77777777" w:rsidR="00D84C68" w:rsidRPr="00D84C68" w:rsidRDefault="00D84C68" w:rsidP="00D84C68">
      <w:pPr>
        <w:spacing w:line="240" w:lineRule="auto"/>
        <w:rPr>
          <w:rFonts w:eastAsia="Times New Roman" w:cs="Arial"/>
        </w:rPr>
      </w:pPr>
      <w:r w:rsidRPr="00D84C68">
        <w:rPr>
          <w:rFonts w:eastAsia="Times New Roman" w:cs="Arial"/>
          <w:color w:val="000000"/>
          <w:lang w:eastAsia="bg-BG"/>
        </w:rPr>
        <w:t>Известно е, че редица лекарствени продукти въздействат на глюкозния метаболизъм и затова лекарят трябва да го съобрази когато изписва други лекарства заедно с човешки инсулин (вж. точка 4.4). Лекарят трябва да има предвид възможните взаимодействия и трябва винаги да пита своите пациенти за всякакви лекарствени продукти, които приемат.</w:t>
      </w:r>
    </w:p>
    <w:p w14:paraId="332B9D4F" w14:textId="77777777" w:rsidR="00D84C68" w:rsidRDefault="00D84C68" w:rsidP="00D84C68">
      <w:pPr>
        <w:spacing w:line="240" w:lineRule="auto"/>
        <w:rPr>
          <w:rFonts w:eastAsia="Times New Roman" w:cs="Arial"/>
          <w:color w:val="000000"/>
          <w:lang w:eastAsia="bg-BG"/>
        </w:rPr>
      </w:pPr>
    </w:p>
    <w:p w14:paraId="5A3812D4" w14:textId="3CB97E35" w:rsidR="00D84C68" w:rsidRPr="00D84C68" w:rsidRDefault="00D84C68" w:rsidP="00D84C68">
      <w:pPr>
        <w:spacing w:line="240" w:lineRule="auto"/>
        <w:rPr>
          <w:rFonts w:eastAsia="Times New Roman" w:cs="Arial"/>
        </w:rPr>
      </w:pPr>
      <w:r w:rsidRPr="00D84C68">
        <w:rPr>
          <w:rFonts w:eastAsia="Times New Roman" w:cs="Arial"/>
          <w:color w:val="000000"/>
          <w:lang w:eastAsia="bg-BG"/>
        </w:rPr>
        <w:t>Инсулиновите нужди може да бъдат повишени от вещества с хипергликемична активност, например, глюкокортикоиди, хормони на щитовидната жлеза, растежен хормон, даназол, бета</w:t>
      </w:r>
      <w:r w:rsidRPr="00D84C68">
        <w:rPr>
          <w:rFonts w:eastAsia="Times New Roman" w:cs="Arial"/>
          <w:color w:val="000000"/>
          <w:vertAlign w:val="subscript"/>
          <w:lang w:eastAsia="bg-BG"/>
        </w:rPr>
        <w:t>2</w:t>
      </w:r>
      <w:r w:rsidRPr="00D84C68">
        <w:rPr>
          <w:rFonts w:eastAsia="Times New Roman" w:cs="Arial"/>
          <w:color w:val="000000"/>
          <w:lang w:eastAsia="bg-BG"/>
        </w:rPr>
        <w:t>-симпатикомиметици (като ритодрин, салбутамол, тербуталин), тиазиди.</w:t>
      </w:r>
    </w:p>
    <w:p w14:paraId="34372B07" w14:textId="77777777" w:rsidR="00D84C68" w:rsidRPr="00D84C68" w:rsidRDefault="00D84C68" w:rsidP="00D84C68">
      <w:pPr>
        <w:spacing w:line="240" w:lineRule="auto"/>
        <w:rPr>
          <w:rFonts w:eastAsia="Times New Roman" w:cs="Arial"/>
        </w:rPr>
      </w:pPr>
    </w:p>
    <w:p w14:paraId="565F99DB" w14:textId="77777777" w:rsidR="00D84C68" w:rsidRPr="00D84C68" w:rsidRDefault="00D84C68" w:rsidP="00D84C68">
      <w:pPr>
        <w:rPr>
          <w:rFonts w:eastAsia="Times New Roman" w:cs="Arial"/>
        </w:rPr>
      </w:pPr>
      <w:r w:rsidRPr="00D84C68">
        <w:rPr>
          <w:rFonts w:eastAsia="Times New Roman" w:cs="Arial"/>
          <w:color w:val="000000"/>
          <w:lang w:eastAsia="bg-BG"/>
        </w:rPr>
        <w:t>Инсулиновите нужди могат да бъдат намалени в присъствието на вещества хипогликемична активност, например, перорални хипогликемични средства, салицилати (например ацетилсалицилова киселина), някои антидепресанти (инхибитори на моноаминооксидазата), някои инхибитори на ангиотензин конвертиращия ензим (АСЕ) (каптоприл, еналаприл), блокери на ангиотензин II рецепторите, неселективни бета-блокери и алкохол.</w:t>
      </w:r>
    </w:p>
    <w:p w14:paraId="7A82BD8A" w14:textId="77777777" w:rsidR="00D84C68" w:rsidRPr="00D84C68" w:rsidRDefault="00D84C68" w:rsidP="00D84C68">
      <w:pPr>
        <w:spacing w:line="240" w:lineRule="auto"/>
        <w:rPr>
          <w:rFonts w:eastAsia="Times New Roman" w:cs="Arial"/>
          <w:color w:val="000000"/>
          <w:lang w:eastAsia="bg-BG"/>
        </w:rPr>
      </w:pPr>
    </w:p>
    <w:p w14:paraId="15AF8C71" w14:textId="43887EC2" w:rsidR="00D84C68" w:rsidRDefault="00D84C68" w:rsidP="00D84C68">
      <w:pPr>
        <w:spacing w:line="240" w:lineRule="auto"/>
        <w:rPr>
          <w:rFonts w:eastAsia="Times New Roman" w:cs="Arial"/>
        </w:rPr>
      </w:pPr>
      <w:r w:rsidRPr="00D84C68">
        <w:rPr>
          <w:rFonts w:eastAsia="Times New Roman" w:cs="Arial"/>
          <w:color w:val="000000"/>
          <w:lang w:eastAsia="bg-BG"/>
        </w:rPr>
        <w:t>Аналозите на соматостатин (октреотид, ланреотид) могат да намалят или да повишат инсулиновите нужди.</w:t>
      </w:r>
    </w:p>
    <w:p w14:paraId="6673AB92" w14:textId="77777777" w:rsidR="00D84C68" w:rsidRPr="00D84C68" w:rsidRDefault="00D84C68" w:rsidP="00D84C68">
      <w:pPr>
        <w:spacing w:line="240" w:lineRule="auto"/>
        <w:rPr>
          <w:rFonts w:eastAsia="Times New Roman" w:cs="Arial"/>
        </w:rPr>
      </w:pPr>
    </w:p>
    <w:p w14:paraId="29D2BD58" w14:textId="2B3EA250" w:rsidR="00DF4C8E" w:rsidRDefault="002C50EE" w:rsidP="00F44498">
      <w:pPr>
        <w:pStyle w:val="Heading2"/>
      </w:pPr>
      <w:r>
        <w:t>4.6. Фертилитет, бременност и кърмене</w:t>
      </w:r>
    </w:p>
    <w:p w14:paraId="1CE59CE6" w14:textId="7E89EABC" w:rsidR="00D84C68" w:rsidRDefault="00D84C68" w:rsidP="00D84C68"/>
    <w:p w14:paraId="5F054E6A" w14:textId="77777777"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По време на бременността от особена важност е да се поддържа добър контрол при пациентките на инсулиново лечение (с инсулино-зависим или гестационен диабет). Инсулиновите нужди обикновено намаляват през първия триместър и се увеличават през втория и третия триместър на бременността. Препоръчва се пациентките с диабет да уведомят своите лекари, ако са бременни или планират бременност.</w:t>
      </w:r>
    </w:p>
    <w:p w14:paraId="23BB4294" w14:textId="77777777" w:rsidR="00D84C68" w:rsidRDefault="00D84C68" w:rsidP="00D84C68">
      <w:pPr>
        <w:spacing w:line="240" w:lineRule="auto"/>
        <w:rPr>
          <w:rFonts w:eastAsia="Times New Roman" w:cs="Arial"/>
          <w:color w:val="000000"/>
          <w:szCs w:val="44"/>
          <w:lang w:eastAsia="bg-BG"/>
        </w:rPr>
      </w:pPr>
    </w:p>
    <w:p w14:paraId="699E145E" w14:textId="5A98672E"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При бременни пациентки с диабет е крайно необходимо внимателно мониториране на контрола на глюкозата, както и на общото здравословно състояние.</w:t>
      </w:r>
    </w:p>
    <w:p w14:paraId="32866D10" w14:textId="77777777" w:rsidR="00D84C68" w:rsidRDefault="00D84C68" w:rsidP="00D84C68">
      <w:pPr>
        <w:spacing w:line="240" w:lineRule="auto"/>
        <w:rPr>
          <w:rFonts w:eastAsia="Times New Roman" w:cs="Arial"/>
          <w:color w:val="000000"/>
          <w:szCs w:val="44"/>
          <w:lang w:eastAsia="bg-BG"/>
        </w:rPr>
      </w:pPr>
    </w:p>
    <w:p w14:paraId="70804E82" w14:textId="61F5ECB3"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Пациентките с диабет, които кърмят, може да се нуждаят от корекция на дозата на инсулин и/или промяна в диетата.</w:t>
      </w:r>
    </w:p>
    <w:p w14:paraId="0BFF2151" w14:textId="77777777" w:rsidR="00D84C68" w:rsidRPr="00D84C68" w:rsidRDefault="00D84C68" w:rsidP="00D84C68"/>
    <w:p w14:paraId="4DF5A2E7" w14:textId="6A12D713" w:rsidR="00DF4C8E" w:rsidRDefault="002C50EE" w:rsidP="00F44498">
      <w:pPr>
        <w:pStyle w:val="Heading2"/>
      </w:pPr>
      <w:r>
        <w:t>4.7. Ефекти върху способността за шофиране и работа с машини</w:t>
      </w:r>
    </w:p>
    <w:p w14:paraId="6FD1F30E" w14:textId="6466434A" w:rsidR="00D84C68" w:rsidRDefault="00D84C68" w:rsidP="00D84C68"/>
    <w:p w14:paraId="40E82BA4" w14:textId="77777777"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Способността на пациента да се концентрира и реагира може да бъде нарушена при хипогликемия. Това може да представлява риск в ситуации, когато тези способности са от особено значение (например, при шофиране или работа с машини).</w:t>
      </w:r>
    </w:p>
    <w:p w14:paraId="2EBAE456" w14:textId="77777777" w:rsidR="00D84C68" w:rsidRPr="00D84C68" w:rsidRDefault="00D84C68" w:rsidP="00D84C68">
      <w:pPr>
        <w:spacing w:line="240" w:lineRule="auto"/>
        <w:rPr>
          <w:rFonts w:eastAsia="Times New Roman" w:cs="Arial"/>
          <w:color w:val="000000"/>
          <w:szCs w:val="44"/>
          <w:lang w:eastAsia="bg-BG"/>
        </w:rPr>
      </w:pPr>
    </w:p>
    <w:p w14:paraId="25DF0800" w14:textId="78429E2C" w:rsidR="00D84C68" w:rsidRPr="00D84C68" w:rsidRDefault="00D84C68" w:rsidP="00D84C68">
      <w:pPr>
        <w:spacing w:line="240" w:lineRule="auto"/>
        <w:rPr>
          <w:rFonts w:eastAsia="Times New Roman" w:cs="Arial"/>
          <w:sz w:val="12"/>
          <w:szCs w:val="24"/>
        </w:rPr>
      </w:pPr>
      <w:r w:rsidRPr="00D84C68">
        <w:rPr>
          <w:rFonts w:eastAsia="Times New Roman" w:cs="Arial"/>
          <w:color w:val="000000"/>
          <w:szCs w:val="44"/>
          <w:lang w:eastAsia="bg-BG"/>
        </w:rPr>
        <w:t>Пациентите трябва да бъдат съветвани да взимат предпазни мерки за избягване на хипогликемия, докато шофират, като това е особено важно при тези пациенти, които имат намален или липсващ усет за предупреждаващите симптоми на хипогликемия или имат чести епизоди на хипогликемия. Целесъобразността за шофиране трябва да бъде обсъдена при тези обстоятелства.</w:t>
      </w:r>
    </w:p>
    <w:p w14:paraId="42305A9B" w14:textId="77777777" w:rsidR="00D84C68" w:rsidRPr="00D84C68" w:rsidRDefault="00D84C68" w:rsidP="00D84C68"/>
    <w:p w14:paraId="28229498" w14:textId="63360B75" w:rsidR="00DF4C8E" w:rsidRDefault="002C50EE" w:rsidP="00F44498">
      <w:pPr>
        <w:pStyle w:val="Heading2"/>
      </w:pPr>
      <w:r>
        <w:t>4.8. Нежелани лекарствени реакции</w:t>
      </w:r>
    </w:p>
    <w:p w14:paraId="2B628276" w14:textId="7D33C57A" w:rsidR="00D84C68" w:rsidRDefault="00D84C68" w:rsidP="00D84C68"/>
    <w:p w14:paraId="71B43ECB" w14:textId="77777777" w:rsidR="00D84C68" w:rsidRPr="00D84C68" w:rsidRDefault="00D84C68" w:rsidP="00D84C68">
      <w:pPr>
        <w:spacing w:line="240" w:lineRule="auto"/>
        <w:rPr>
          <w:rFonts w:eastAsia="Times New Roman" w:cs="Arial"/>
        </w:rPr>
      </w:pPr>
      <w:r w:rsidRPr="00D84C68">
        <w:rPr>
          <w:rFonts w:eastAsia="Times New Roman" w:cs="Arial"/>
          <w:color w:val="000000"/>
          <w:lang w:eastAsia="bg-BG"/>
        </w:rPr>
        <w:t>Хипогликемията е най-честата нежелана реакция на инсулиновото лечение, която пациент с диабет може да изпита. Тежката хипогликемия може да доведе до загуба на съзнание, а в изключителни случаи и до смърт. Няма специфична честота на развитието на хипогликемия, тъй като тя се появява както в резултат на дозата на инсулин, така и на други фактори, например, диетата и физическата натовареност на пациента.</w:t>
      </w:r>
    </w:p>
    <w:p w14:paraId="6AB93804" w14:textId="77777777" w:rsidR="00D84C68" w:rsidRDefault="00D84C68" w:rsidP="00D84C68">
      <w:pPr>
        <w:spacing w:line="240" w:lineRule="auto"/>
        <w:rPr>
          <w:rFonts w:eastAsia="Times New Roman" w:cs="Arial"/>
          <w:color w:val="000000"/>
          <w:lang w:eastAsia="bg-BG"/>
        </w:rPr>
      </w:pPr>
    </w:p>
    <w:p w14:paraId="2AD9E224" w14:textId="3B2A8EE8" w:rsidR="00D84C68" w:rsidRPr="00D84C68" w:rsidRDefault="00D84C68" w:rsidP="00D84C68">
      <w:pPr>
        <w:spacing w:line="240" w:lineRule="auto"/>
        <w:rPr>
          <w:rFonts w:eastAsia="Times New Roman" w:cs="Arial"/>
        </w:rPr>
      </w:pPr>
      <w:r w:rsidRPr="00D84C68">
        <w:rPr>
          <w:rFonts w:eastAsia="Times New Roman" w:cs="Arial"/>
          <w:color w:val="000000"/>
          <w:lang w:eastAsia="bg-BG"/>
        </w:rPr>
        <w:t>Локалната алергична реакция при пациентите е честа (≥1/100 до &lt; 1/10). Зачервяване, оток и сърбеж могат да се появяват на мястото на инжектиране на инсулин. Това състояние обикновено отзвучава в рамките на няколко дни до няколко седмици. В някои случаи локалните реакции могат да бъдат свързани с фактори, различни от инсулин, като дразнители в средството за почистване на кожата или лоша техника на инжектиране.</w:t>
      </w:r>
    </w:p>
    <w:p w14:paraId="4127DE87" w14:textId="77777777" w:rsidR="00D84C68" w:rsidRDefault="00D84C68" w:rsidP="00D84C68">
      <w:pPr>
        <w:spacing w:line="240" w:lineRule="auto"/>
        <w:rPr>
          <w:rFonts w:eastAsia="Times New Roman" w:cs="Arial"/>
          <w:color w:val="000000"/>
          <w:lang w:eastAsia="bg-BG"/>
        </w:rPr>
      </w:pPr>
    </w:p>
    <w:p w14:paraId="03C5443E" w14:textId="5EA6D435" w:rsidR="00D84C68" w:rsidRPr="00D84C68" w:rsidRDefault="00D84C68" w:rsidP="00D84C68">
      <w:pPr>
        <w:spacing w:line="240" w:lineRule="auto"/>
        <w:rPr>
          <w:rFonts w:eastAsia="Times New Roman" w:cs="Arial"/>
        </w:rPr>
      </w:pPr>
      <w:r w:rsidRPr="00D84C68">
        <w:rPr>
          <w:rFonts w:eastAsia="Times New Roman" w:cs="Arial"/>
          <w:color w:val="000000"/>
          <w:lang w:eastAsia="bg-BG"/>
        </w:rPr>
        <w:t>Системна алергия, която е много рядка (&lt; 1/10 000), но потенциално по-сериозна, е генерализираната алергия към инсулин. Тя може да предизвика обрив по цялото тяло, задух, хриптене, понижение на кръвното налягане, ускоряване на пулса или изпотяване. Тежките случаи на генерализирана алергия могат да бъдат животозастрашаващи. В редките случаи на тежка алергия към Хумулин се изисква незабавно лечение. Може да се наложи инсулина или десенсибилизация.</w:t>
      </w:r>
    </w:p>
    <w:p w14:paraId="198C1432" w14:textId="77777777" w:rsidR="00D84C68" w:rsidRDefault="00D84C68" w:rsidP="00D84C68">
      <w:pPr>
        <w:spacing w:line="240" w:lineRule="auto"/>
        <w:rPr>
          <w:rFonts w:eastAsia="Times New Roman" w:cs="Arial"/>
          <w:color w:val="000000"/>
          <w:lang w:eastAsia="bg-BG"/>
        </w:rPr>
      </w:pPr>
    </w:p>
    <w:p w14:paraId="41D7A4BD" w14:textId="3190C2C0" w:rsidR="00D84C68" w:rsidRPr="00D84C68" w:rsidRDefault="00D84C68" w:rsidP="00D84C68">
      <w:pPr>
        <w:spacing w:line="240" w:lineRule="auto"/>
        <w:rPr>
          <w:rFonts w:eastAsia="Times New Roman" w:cs="Arial"/>
        </w:rPr>
      </w:pPr>
      <w:r w:rsidRPr="00D84C68">
        <w:rPr>
          <w:rFonts w:eastAsia="Times New Roman" w:cs="Arial"/>
          <w:color w:val="000000"/>
          <w:lang w:eastAsia="bg-BG"/>
        </w:rPr>
        <w:t>Липодистрофията на мястото на инжектиране е нечеста (≥1/1 000 до &lt; 1/100)</w:t>
      </w:r>
    </w:p>
    <w:p w14:paraId="5A94574E" w14:textId="77777777" w:rsidR="00D84C68" w:rsidRDefault="00D84C68" w:rsidP="00D84C68">
      <w:pPr>
        <w:rPr>
          <w:rFonts w:eastAsia="Times New Roman" w:cs="Arial"/>
          <w:color w:val="000000"/>
          <w:lang w:eastAsia="bg-BG"/>
        </w:rPr>
      </w:pPr>
    </w:p>
    <w:p w14:paraId="462BC6A4" w14:textId="0C6B3D55" w:rsidR="00D84C68" w:rsidRDefault="00D84C68" w:rsidP="00D84C68">
      <w:pPr>
        <w:rPr>
          <w:rFonts w:eastAsia="Times New Roman" w:cs="Arial"/>
          <w:color w:val="000000"/>
          <w:lang w:eastAsia="bg-BG"/>
        </w:rPr>
      </w:pPr>
      <w:r w:rsidRPr="00D84C68">
        <w:rPr>
          <w:rFonts w:eastAsia="Times New Roman" w:cs="Arial"/>
          <w:color w:val="000000"/>
          <w:lang w:eastAsia="bg-BG"/>
        </w:rPr>
        <w:t>Нарушения на кожата и подкожната тъкан: Честота „неизвестна Кожна амилоидоза</w:t>
      </w:r>
    </w:p>
    <w:p w14:paraId="091CA2F3" w14:textId="2AA404AE" w:rsidR="00B900E9" w:rsidRDefault="00B900E9" w:rsidP="00D84C68">
      <w:pPr>
        <w:rPr>
          <w:rFonts w:eastAsia="Times New Roman" w:cs="Arial"/>
          <w:color w:val="000000"/>
          <w:lang w:eastAsia="bg-BG"/>
        </w:rPr>
      </w:pPr>
    </w:p>
    <w:p w14:paraId="389E285D" w14:textId="77777777" w:rsidR="00B900E9" w:rsidRPr="00B900E9" w:rsidRDefault="00B900E9" w:rsidP="00B900E9">
      <w:pPr>
        <w:spacing w:line="240" w:lineRule="auto"/>
        <w:rPr>
          <w:rFonts w:eastAsia="Times New Roman" w:cs="Arial"/>
        </w:rPr>
      </w:pPr>
      <w:r w:rsidRPr="00B900E9">
        <w:rPr>
          <w:rFonts w:eastAsia="Times New Roman" w:cs="Arial"/>
          <w:color w:val="000000"/>
          <w:u w:val="single"/>
          <w:lang w:eastAsia="bg-BG"/>
        </w:rPr>
        <w:t>Нарушения на кожата и подкожната тъкан</w:t>
      </w:r>
    </w:p>
    <w:p w14:paraId="267F37C7"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t>Липодистрофия и кожна амилоидоза могат да се появят на мястото на инжектиране и да забавят локалната абсорбция на инсулин. Непрекъснатото редуване на мястото на инжектиране в дадената област на инжектиране може да помогне за намаляване или предотвратяване на тези реакции (вж. точка 4.4).</w:t>
      </w:r>
    </w:p>
    <w:p w14:paraId="7DDB2A08" w14:textId="77777777" w:rsidR="00B900E9" w:rsidRDefault="00B900E9" w:rsidP="00B900E9">
      <w:pPr>
        <w:spacing w:line="240" w:lineRule="auto"/>
        <w:rPr>
          <w:rFonts w:eastAsia="Times New Roman" w:cs="Arial"/>
          <w:color w:val="000000"/>
          <w:lang w:eastAsia="bg-BG"/>
        </w:rPr>
      </w:pPr>
    </w:p>
    <w:p w14:paraId="798B8569" w14:textId="3F280882" w:rsidR="00B900E9" w:rsidRPr="00B900E9" w:rsidRDefault="00B900E9" w:rsidP="00B900E9">
      <w:pPr>
        <w:spacing w:line="240" w:lineRule="auto"/>
        <w:rPr>
          <w:rFonts w:eastAsia="Times New Roman" w:cs="Arial"/>
          <w:color w:val="000000"/>
          <w:lang w:eastAsia="bg-BG"/>
        </w:rPr>
      </w:pPr>
      <w:r w:rsidRPr="00B900E9">
        <w:rPr>
          <w:rFonts w:eastAsia="Times New Roman" w:cs="Arial"/>
          <w:color w:val="000000"/>
          <w:lang w:eastAsia="bg-BG"/>
        </w:rPr>
        <w:t>По време на лечение с инсулин са съобщени случаи на оток, особено ако предходен лош метаболитен контрол е бил подобрен с интензифицирано инсулино-лечение.</w:t>
      </w:r>
    </w:p>
    <w:p w14:paraId="7DDEFBFD" w14:textId="77777777" w:rsidR="00B900E9" w:rsidRDefault="00B900E9" w:rsidP="00B900E9">
      <w:pPr>
        <w:spacing w:line="240" w:lineRule="auto"/>
        <w:rPr>
          <w:rFonts w:eastAsia="Times New Roman" w:cs="Arial"/>
          <w:color w:val="000000"/>
          <w:u w:val="single"/>
          <w:lang w:eastAsia="bg-BG"/>
        </w:rPr>
      </w:pPr>
    </w:p>
    <w:p w14:paraId="788A0F38" w14:textId="5BE867B2" w:rsidR="00B900E9" w:rsidRPr="00B900E9" w:rsidRDefault="00B900E9" w:rsidP="00B900E9">
      <w:pPr>
        <w:spacing w:line="240" w:lineRule="auto"/>
        <w:rPr>
          <w:rFonts w:eastAsia="Times New Roman" w:cs="Arial"/>
        </w:rPr>
      </w:pPr>
      <w:r w:rsidRPr="00B900E9">
        <w:rPr>
          <w:rFonts w:eastAsia="Times New Roman" w:cs="Arial"/>
          <w:color w:val="000000"/>
          <w:u w:val="single"/>
          <w:lang w:eastAsia="bg-BG"/>
        </w:rPr>
        <w:t>Съобщаване на подозирани нежелани реакции</w:t>
      </w:r>
    </w:p>
    <w:p w14:paraId="6376BDC5"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w:t>
      </w:r>
    </w:p>
    <w:p w14:paraId="5D5B1418"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t>Изпълнителна агенция по лекарствата ул. „Дамян Груев” № 8</w:t>
      </w:r>
    </w:p>
    <w:p w14:paraId="0A1EBB48"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t>1303 София</w:t>
      </w:r>
    </w:p>
    <w:p w14:paraId="58037579"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t>Тел.:+35 928903417</w:t>
      </w:r>
    </w:p>
    <w:p w14:paraId="17BE8544"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t xml:space="preserve">уебсайт: </w:t>
      </w:r>
      <w:r w:rsidRPr="00B900E9">
        <w:rPr>
          <w:rFonts w:eastAsia="Times New Roman" w:cs="Arial"/>
        </w:rPr>
        <w:fldChar w:fldCharType="begin"/>
      </w:r>
      <w:r w:rsidRPr="00B900E9">
        <w:rPr>
          <w:rFonts w:eastAsia="Times New Roman" w:cs="Arial"/>
        </w:rPr>
        <w:instrText xml:space="preserve"> HYPERLINK "http://www.bda.bg" </w:instrText>
      </w:r>
      <w:r w:rsidRPr="00B900E9">
        <w:rPr>
          <w:rFonts w:eastAsia="Times New Roman" w:cs="Arial"/>
        </w:rPr>
      </w:r>
      <w:r w:rsidRPr="00B900E9">
        <w:rPr>
          <w:rFonts w:eastAsia="Times New Roman" w:cs="Arial"/>
        </w:rPr>
        <w:fldChar w:fldCharType="separate"/>
      </w:r>
      <w:r w:rsidRPr="00B900E9">
        <w:rPr>
          <w:rFonts w:eastAsia="Times New Roman" w:cs="Arial"/>
          <w:color w:val="000000"/>
          <w:lang w:val="en-US"/>
        </w:rPr>
        <w:t>www</w:t>
      </w:r>
      <w:r w:rsidRPr="00B900E9">
        <w:rPr>
          <w:rFonts w:eastAsia="Times New Roman" w:cs="Arial"/>
          <w:color w:val="000000"/>
          <w:lang w:val="ru-RU"/>
        </w:rPr>
        <w:t>.</w:t>
      </w:r>
      <w:proofErr w:type="spellStart"/>
      <w:r w:rsidRPr="00B900E9">
        <w:rPr>
          <w:rFonts w:eastAsia="Times New Roman" w:cs="Arial"/>
          <w:color w:val="000000"/>
          <w:lang w:val="en-US"/>
        </w:rPr>
        <w:t>bda</w:t>
      </w:r>
      <w:proofErr w:type="spellEnd"/>
      <w:r w:rsidRPr="00B900E9">
        <w:rPr>
          <w:rFonts w:eastAsia="Times New Roman" w:cs="Arial"/>
          <w:color w:val="000000"/>
          <w:lang w:val="ru-RU"/>
        </w:rPr>
        <w:t>.</w:t>
      </w:r>
      <w:proofErr w:type="spellStart"/>
      <w:r w:rsidRPr="00B900E9">
        <w:rPr>
          <w:rFonts w:eastAsia="Times New Roman" w:cs="Arial"/>
          <w:color w:val="000000"/>
          <w:lang w:val="en-US"/>
        </w:rPr>
        <w:t>bg</w:t>
      </w:r>
      <w:proofErr w:type="spellEnd"/>
      <w:r w:rsidRPr="00B900E9">
        <w:rPr>
          <w:rFonts w:eastAsia="Times New Roman" w:cs="Arial"/>
        </w:rPr>
        <w:fldChar w:fldCharType="end"/>
      </w:r>
      <w:r w:rsidRPr="00B900E9">
        <w:rPr>
          <w:rFonts w:eastAsia="Times New Roman" w:cs="Arial"/>
          <w:color w:val="000000"/>
          <w:lang w:val="ru-RU"/>
        </w:rPr>
        <w:t>.</w:t>
      </w:r>
    </w:p>
    <w:p w14:paraId="71545279" w14:textId="77777777" w:rsidR="00B900E9" w:rsidRPr="00D84C68" w:rsidRDefault="00B900E9" w:rsidP="00D84C68">
      <w:pPr>
        <w:rPr>
          <w:rFonts w:cs="Arial"/>
        </w:rPr>
      </w:pPr>
    </w:p>
    <w:p w14:paraId="07687653" w14:textId="6E76216D" w:rsidR="00DF4C8E" w:rsidRDefault="002C50EE" w:rsidP="00F44498">
      <w:pPr>
        <w:pStyle w:val="Heading2"/>
      </w:pPr>
      <w:r>
        <w:t>4.9. Предозиране</w:t>
      </w:r>
    </w:p>
    <w:p w14:paraId="44ED5100" w14:textId="5F495752" w:rsidR="00B900E9" w:rsidRDefault="00B900E9" w:rsidP="00B900E9"/>
    <w:p w14:paraId="6526C754"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t>Няма специфични критерии за предозиране на инсулин, тъй като серумните концентрации на глюкозата са резултат на сложни взаимодействия между нивата на инсулин, наличието на глюкоза и други метаболитни процеси. Хипогликемия може да настъпи като резултат на излишък на инсулин, спрямо приема на храна и разхода на енергия.</w:t>
      </w:r>
    </w:p>
    <w:p w14:paraId="48574033" w14:textId="77777777" w:rsidR="00B900E9" w:rsidRDefault="00B900E9" w:rsidP="00B900E9">
      <w:pPr>
        <w:spacing w:line="240" w:lineRule="auto"/>
        <w:rPr>
          <w:rFonts w:eastAsia="Times New Roman" w:cs="Arial"/>
          <w:color w:val="000000"/>
          <w:lang w:eastAsia="bg-BG"/>
        </w:rPr>
      </w:pPr>
    </w:p>
    <w:p w14:paraId="1BB9CED7" w14:textId="751BD8C0" w:rsidR="00B900E9" w:rsidRPr="00B900E9" w:rsidRDefault="00B900E9" w:rsidP="00B900E9">
      <w:pPr>
        <w:spacing w:line="240" w:lineRule="auto"/>
        <w:rPr>
          <w:rFonts w:eastAsia="Times New Roman" w:cs="Arial"/>
        </w:rPr>
      </w:pPr>
      <w:r w:rsidRPr="00B900E9">
        <w:rPr>
          <w:rFonts w:eastAsia="Times New Roman" w:cs="Arial"/>
          <w:color w:val="000000"/>
          <w:lang w:eastAsia="bg-BG"/>
        </w:rPr>
        <w:t>Хипогликемията може да е свързана с отпадналост, объркване, сърцебиене, главоболие, изпотяване и повръщане.</w:t>
      </w:r>
    </w:p>
    <w:p w14:paraId="74609E0A" w14:textId="77777777" w:rsidR="00B900E9" w:rsidRDefault="00B900E9" w:rsidP="00B900E9">
      <w:pPr>
        <w:spacing w:line="240" w:lineRule="auto"/>
        <w:rPr>
          <w:rFonts w:eastAsia="Times New Roman" w:cs="Arial"/>
          <w:color w:val="000000"/>
          <w:lang w:eastAsia="bg-BG"/>
        </w:rPr>
      </w:pPr>
    </w:p>
    <w:p w14:paraId="4240C21B" w14:textId="5646C782" w:rsidR="00B900E9" w:rsidRPr="00B900E9" w:rsidRDefault="00B900E9" w:rsidP="00B900E9">
      <w:pPr>
        <w:spacing w:line="240" w:lineRule="auto"/>
        <w:rPr>
          <w:rFonts w:eastAsia="Times New Roman" w:cs="Arial"/>
        </w:rPr>
      </w:pPr>
      <w:r w:rsidRPr="00B900E9">
        <w:rPr>
          <w:rFonts w:eastAsia="Times New Roman" w:cs="Arial"/>
          <w:color w:val="000000"/>
          <w:lang w:eastAsia="bg-BG"/>
        </w:rPr>
        <w:t>Леките хипогликемични епизоди се повлияват от перорално приемане на глюкоза или захарни изделия.</w:t>
      </w:r>
    </w:p>
    <w:p w14:paraId="2C209C40" w14:textId="77777777" w:rsidR="00B900E9" w:rsidRDefault="00B900E9" w:rsidP="00B900E9">
      <w:pPr>
        <w:spacing w:line="240" w:lineRule="auto"/>
        <w:rPr>
          <w:rFonts w:eastAsia="Times New Roman" w:cs="Arial"/>
          <w:color w:val="000000"/>
          <w:lang w:eastAsia="bg-BG"/>
        </w:rPr>
      </w:pPr>
    </w:p>
    <w:p w14:paraId="496361E5" w14:textId="399BE157" w:rsidR="00B900E9" w:rsidRPr="00B900E9" w:rsidRDefault="00B900E9" w:rsidP="00B900E9">
      <w:pPr>
        <w:spacing w:line="240" w:lineRule="auto"/>
        <w:rPr>
          <w:rFonts w:eastAsia="Times New Roman" w:cs="Arial"/>
        </w:rPr>
      </w:pPr>
      <w:r w:rsidRPr="00B900E9">
        <w:rPr>
          <w:rFonts w:eastAsia="Times New Roman" w:cs="Arial"/>
          <w:color w:val="000000"/>
          <w:lang w:eastAsia="bg-BG"/>
        </w:rPr>
        <w:t>Коригирането на умерено тежка хипогликемия може да се извърши чрез интрамускулно или подкожно приложение на глюкагон, последвано от перорален прием на въглехидрати, когато пациентът се възстанови достатъчно. На пациенти, които не се повлияват от глюкагон, трябва да бъде приложен глюкозен разтвор интравенозно.</w:t>
      </w:r>
    </w:p>
    <w:p w14:paraId="475B9AEE" w14:textId="77777777" w:rsidR="00B900E9" w:rsidRDefault="00B900E9" w:rsidP="00B900E9">
      <w:pPr>
        <w:spacing w:line="240" w:lineRule="auto"/>
        <w:rPr>
          <w:rFonts w:eastAsia="Times New Roman" w:cs="Arial"/>
          <w:color w:val="000000"/>
          <w:lang w:eastAsia="bg-BG"/>
        </w:rPr>
      </w:pPr>
    </w:p>
    <w:p w14:paraId="04AF711A" w14:textId="44C7FDAC" w:rsidR="00B900E9" w:rsidRPr="00B900E9" w:rsidRDefault="00B900E9" w:rsidP="00B900E9">
      <w:pPr>
        <w:spacing w:line="240" w:lineRule="auto"/>
        <w:rPr>
          <w:rFonts w:eastAsia="Times New Roman" w:cs="Arial"/>
          <w:color w:val="000000"/>
          <w:lang w:eastAsia="bg-BG"/>
        </w:rPr>
      </w:pPr>
      <w:r w:rsidRPr="00B900E9">
        <w:rPr>
          <w:rFonts w:eastAsia="Times New Roman" w:cs="Arial"/>
          <w:color w:val="000000"/>
          <w:lang w:eastAsia="bg-BG"/>
        </w:rPr>
        <w:t>Ако пациентът е в кома, трябва да му бъде приложен глюкагон интрамускулно или подкожно. Глюкозен разтвор, обаче, трябва да бъде приложен интравенозно, ако няма наличен глюкагон, или, ако пациентът не се повлиява от глюкагон. Пациентът трябва да получи храна веднага след възстановяване на съзнанието.</w:t>
      </w:r>
    </w:p>
    <w:p w14:paraId="3FA5DA59" w14:textId="77777777" w:rsidR="00B900E9" w:rsidRDefault="00B900E9" w:rsidP="00B900E9">
      <w:pPr>
        <w:rPr>
          <w:rFonts w:eastAsia="Times New Roman" w:cs="Arial"/>
          <w:color w:val="000000"/>
          <w:lang w:eastAsia="bg-BG"/>
        </w:rPr>
      </w:pPr>
    </w:p>
    <w:p w14:paraId="1BA7DB54" w14:textId="329C1C30" w:rsidR="00B900E9" w:rsidRPr="00B900E9" w:rsidRDefault="00B900E9" w:rsidP="00B900E9">
      <w:pPr>
        <w:rPr>
          <w:rFonts w:eastAsia="Times New Roman" w:cs="Arial"/>
          <w:color w:val="000000"/>
          <w:lang w:eastAsia="bg-BG"/>
        </w:rPr>
      </w:pPr>
      <w:r w:rsidRPr="00B900E9">
        <w:rPr>
          <w:rFonts w:eastAsia="Times New Roman" w:cs="Arial"/>
          <w:color w:val="000000"/>
          <w:lang w:eastAsia="bg-BG"/>
        </w:rPr>
        <w:t>Непрекъснат прием на въглехидрати и наблюдение могат да бъдат необходими, тъй като хипогликемията може да се повтори след явно клинично възстановяване.</w:t>
      </w:r>
    </w:p>
    <w:p w14:paraId="02081B24" w14:textId="1F46E296" w:rsidR="00395555" w:rsidRPr="00395555" w:rsidRDefault="002C50EE" w:rsidP="008A6AF2">
      <w:pPr>
        <w:pStyle w:val="Heading1"/>
      </w:pPr>
      <w:r>
        <w:t>5. ФАРМАКОЛОГИЧНИ СВОЙСТВА</w:t>
      </w:r>
    </w:p>
    <w:p w14:paraId="4D47A490" w14:textId="58B661DF" w:rsidR="00DF4C8E" w:rsidRDefault="002C50EE" w:rsidP="00F44498">
      <w:pPr>
        <w:pStyle w:val="Heading2"/>
      </w:pPr>
      <w:r>
        <w:t>5.1. Фармакодинамични свойства</w:t>
      </w:r>
    </w:p>
    <w:p w14:paraId="67D5842C" w14:textId="29F23DCC" w:rsidR="00B900E9" w:rsidRDefault="00B900E9" w:rsidP="00B900E9"/>
    <w:p w14:paraId="70DD462F" w14:textId="77777777" w:rsidR="00B900E9" w:rsidRPr="00B900E9" w:rsidRDefault="00B900E9" w:rsidP="00B900E9">
      <w:pPr>
        <w:rPr>
          <w:sz w:val="24"/>
          <w:szCs w:val="24"/>
        </w:rPr>
      </w:pPr>
      <w:r w:rsidRPr="00B900E9">
        <w:rPr>
          <w:lang w:eastAsia="bg-BG"/>
        </w:rPr>
        <w:t>Фармакотерапевтична група: Инсулини и аналози за инжектиране, средна продължителност на действие в комбинация с бързодействащ.</w:t>
      </w:r>
    </w:p>
    <w:p w14:paraId="4D398537" w14:textId="204020F9" w:rsidR="00B900E9" w:rsidRDefault="00B900E9" w:rsidP="00B900E9">
      <w:pPr>
        <w:rPr>
          <w:lang w:val="ru-RU"/>
        </w:rPr>
      </w:pPr>
      <w:r w:rsidRPr="00B900E9">
        <w:rPr>
          <w:lang w:eastAsia="bg-BG"/>
        </w:rPr>
        <w:t xml:space="preserve">АТС код: А10А </w:t>
      </w:r>
      <w:r w:rsidRPr="00B900E9">
        <w:rPr>
          <w:lang w:val="en-US"/>
        </w:rPr>
        <w:t>DO</w:t>
      </w:r>
      <w:r w:rsidRPr="00B900E9">
        <w:rPr>
          <w:lang w:val="ru-RU"/>
        </w:rPr>
        <w:t>1.</w:t>
      </w:r>
    </w:p>
    <w:p w14:paraId="573DAC79" w14:textId="740E8AC0" w:rsidR="00B900E9" w:rsidRDefault="00B900E9" w:rsidP="00B900E9">
      <w:pPr>
        <w:rPr>
          <w:lang w:val="ru-RU"/>
        </w:rPr>
      </w:pPr>
    </w:p>
    <w:p w14:paraId="4B9B2221" w14:textId="77777777" w:rsidR="00B900E9" w:rsidRPr="00B900E9" w:rsidRDefault="00B900E9" w:rsidP="00B900E9">
      <w:pPr>
        <w:spacing w:line="240" w:lineRule="auto"/>
        <w:rPr>
          <w:rFonts w:eastAsia="Times New Roman" w:cs="Arial"/>
        </w:rPr>
      </w:pPr>
      <w:r w:rsidRPr="00B900E9">
        <w:rPr>
          <w:rFonts w:eastAsia="Times New Roman" w:cs="Arial"/>
          <w:color w:val="000000"/>
          <w:lang w:eastAsia="bg-BG"/>
        </w:rPr>
        <w:t>Хумулин M3 е предварително смесена суспензия от бързодействащ и инсулин със средна продължителност на действие.</w:t>
      </w:r>
    </w:p>
    <w:p w14:paraId="657D88F4" w14:textId="77777777" w:rsidR="00B900E9" w:rsidRDefault="00B900E9" w:rsidP="00B900E9">
      <w:pPr>
        <w:spacing w:line="240" w:lineRule="auto"/>
        <w:rPr>
          <w:rFonts w:eastAsia="Times New Roman" w:cs="Arial"/>
          <w:color w:val="000000"/>
          <w:lang w:eastAsia="bg-BG"/>
        </w:rPr>
      </w:pPr>
    </w:p>
    <w:p w14:paraId="197925C1" w14:textId="667D06DF" w:rsidR="00B900E9" w:rsidRPr="00B900E9" w:rsidRDefault="00B900E9" w:rsidP="00B900E9">
      <w:pPr>
        <w:spacing w:line="240" w:lineRule="auto"/>
        <w:rPr>
          <w:rFonts w:eastAsia="Times New Roman" w:cs="Arial"/>
        </w:rPr>
      </w:pPr>
      <w:r w:rsidRPr="00B900E9">
        <w:rPr>
          <w:rFonts w:eastAsia="Times New Roman" w:cs="Arial"/>
          <w:color w:val="000000"/>
          <w:lang w:eastAsia="bg-BG"/>
        </w:rPr>
        <w:t>Основната активност на инсулина е регулацията на метаболизма на гликозата.</w:t>
      </w:r>
    </w:p>
    <w:p w14:paraId="28E8B1C9" w14:textId="77777777" w:rsidR="00B900E9" w:rsidRDefault="00B900E9" w:rsidP="00B900E9">
      <w:pPr>
        <w:spacing w:line="240" w:lineRule="auto"/>
        <w:rPr>
          <w:rFonts w:eastAsia="Times New Roman" w:cs="Arial"/>
          <w:color w:val="000000"/>
          <w:lang w:eastAsia="bg-BG"/>
        </w:rPr>
      </w:pPr>
    </w:p>
    <w:p w14:paraId="57AA27D1" w14:textId="1BFBE0B8" w:rsidR="00B900E9" w:rsidRPr="00B900E9" w:rsidRDefault="00B900E9" w:rsidP="00B900E9">
      <w:pPr>
        <w:spacing w:line="240" w:lineRule="auto"/>
        <w:rPr>
          <w:rFonts w:eastAsia="Times New Roman" w:cs="Arial"/>
        </w:rPr>
      </w:pPr>
      <w:r w:rsidRPr="00B900E9">
        <w:rPr>
          <w:rFonts w:eastAsia="Times New Roman" w:cs="Arial"/>
          <w:color w:val="000000"/>
          <w:lang w:eastAsia="bg-BG"/>
        </w:rPr>
        <w:lastRenderedPageBreak/>
        <w:t>Освен това инсулинът притежава няколко анаболни и анти-катаболни ефекта върху редица различни тъкани. В мускулната тъкан това включва повишаване на синтезата на гликоген, мастни киселини, глицерол и белтъци, както и повишаване на усвояването на аминокиселините, докато глюкогенолизата, глюконеогенезата, кетогенезата, липолизата, белтъчният разпад и продукцията на аминокиселини намаляват.</w:t>
      </w:r>
    </w:p>
    <w:p w14:paraId="508CF687" w14:textId="77777777" w:rsidR="00B900E9" w:rsidRDefault="00B900E9" w:rsidP="00B900E9">
      <w:pPr>
        <w:spacing w:line="240" w:lineRule="auto"/>
        <w:rPr>
          <w:rFonts w:eastAsia="Times New Roman" w:cs="Arial"/>
          <w:color w:val="000000"/>
          <w:lang w:eastAsia="bg-BG"/>
        </w:rPr>
      </w:pPr>
    </w:p>
    <w:p w14:paraId="35C65A70" w14:textId="01F935AE" w:rsidR="00B900E9" w:rsidRPr="00B900E9" w:rsidRDefault="00B900E9" w:rsidP="00B900E9">
      <w:pPr>
        <w:spacing w:line="240" w:lineRule="auto"/>
        <w:rPr>
          <w:rFonts w:eastAsia="Times New Roman" w:cs="Arial"/>
        </w:rPr>
      </w:pPr>
      <w:r w:rsidRPr="00B900E9">
        <w:rPr>
          <w:rFonts w:eastAsia="Times New Roman" w:cs="Arial"/>
          <w:color w:val="000000"/>
          <w:lang w:eastAsia="bg-BG"/>
        </w:rPr>
        <w:t>Типичният профил на действие (крива на усвояване на глюкозата) след подкожно приложение е илюстриран по-долу е плътна линия. Измененията, които пациент може да почувства във времето, и/или интензитетът на инсулиновата активност са илюстрирани със защрихованата зона. Индивидуалната променливост ще зависи от фактори, като размер на дозата, температура на мястото на инжектиране и физическа активност на пациента.</w:t>
      </w:r>
    </w:p>
    <w:p w14:paraId="6CEDDE0F" w14:textId="4ADA7A3A" w:rsidR="00B900E9" w:rsidRDefault="00B900E9" w:rsidP="00B900E9"/>
    <w:p w14:paraId="3A8FE41A" w14:textId="784A0C22" w:rsidR="00B900E9" w:rsidRPr="00B900E9" w:rsidRDefault="00B900E9" w:rsidP="00B900E9">
      <w:r>
        <w:rPr>
          <w:noProof/>
          <w:lang w:val="en-US"/>
        </w:rPr>
        <w:drawing>
          <wp:inline distT="0" distB="0" distL="0" distR="0" wp14:anchorId="4BC0778D" wp14:editId="1C868F98">
            <wp:extent cx="5943600" cy="395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50970"/>
                    </a:xfrm>
                    <a:prstGeom prst="rect">
                      <a:avLst/>
                    </a:prstGeom>
                  </pic:spPr>
                </pic:pic>
              </a:graphicData>
            </a:graphic>
          </wp:inline>
        </w:drawing>
      </w:r>
    </w:p>
    <w:p w14:paraId="79643DB7" w14:textId="713F7017" w:rsidR="00DF4C8E" w:rsidRDefault="002C50EE" w:rsidP="00F44498">
      <w:pPr>
        <w:pStyle w:val="Heading2"/>
      </w:pPr>
      <w:r>
        <w:lastRenderedPageBreak/>
        <w:t>5.2. Фармакокинетични свойства</w:t>
      </w:r>
    </w:p>
    <w:p w14:paraId="29BC1333" w14:textId="2F395449" w:rsidR="00B900E9" w:rsidRDefault="00B900E9" w:rsidP="00B900E9"/>
    <w:p w14:paraId="380976A4" w14:textId="75608536" w:rsidR="00B900E9" w:rsidRPr="00B900E9" w:rsidRDefault="00B900E9" w:rsidP="00B900E9">
      <w:pPr>
        <w:rPr>
          <w:sz w:val="24"/>
          <w:szCs w:val="24"/>
        </w:rPr>
      </w:pPr>
      <w:r w:rsidRPr="00B900E9">
        <w:rPr>
          <w:lang w:eastAsia="bg-BG"/>
        </w:rPr>
        <w:t>Фармакокинетичните свойства на инсулина не отразяват метаболитната активност на този хормон. Затова, когато се разглежда активността на инсулина, е по-подходящо да се изследват кривите на усвояване на глюко</w:t>
      </w:r>
      <w:r>
        <w:rPr>
          <w:lang w:eastAsia="bg-BG"/>
        </w:rPr>
        <w:t>зата (както е обсъдено по-горе).</w:t>
      </w:r>
    </w:p>
    <w:p w14:paraId="4563364E" w14:textId="77777777" w:rsidR="00B900E9" w:rsidRPr="00B900E9" w:rsidRDefault="00B900E9" w:rsidP="00B900E9"/>
    <w:p w14:paraId="028E658A" w14:textId="12E35C16" w:rsidR="00395555" w:rsidRDefault="002C50EE" w:rsidP="008A6AF2">
      <w:pPr>
        <w:pStyle w:val="Heading2"/>
      </w:pPr>
      <w:r>
        <w:t>5.3. Предклинични данни за безопасност</w:t>
      </w:r>
    </w:p>
    <w:p w14:paraId="37506806" w14:textId="22B37237" w:rsidR="00B900E9" w:rsidRDefault="00B900E9" w:rsidP="00B900E9"/>
    <w:p w14:paraId="59317F1F" w14:textId="4B2243C3" w:rsidR="00B900E9" w:rsidRPr="00B900E9" w:rsidRDefault="00B900E9" w:rsidP="00B900E9">
      <w:r>
        <w:t xml:space="preserve">Хумулин е човешки инсулин, произведен по рекомбинантна технология. Не са съобщени сериозни събития в проучвания за субхронична токсичност. Човешкият инсулин не е проявил мутагенен ефект в серии </w:t>
      </w:r>
      <w:r>
        <w:rPr>
          <w:i/>
          <w:iCs/>
          <w:lang w:val="en-US"/>
        </w:rPr>
        <w:t>in</w:t>
      </w:r>
      <w:r w:rsidRPr="00B900E9">
        <w:rPr>
          <w:i/>
          <w:iCs/>
          <w:lang w:val="ru-RU"/>
        </w:rPr>
        <w:t xml:space="preserve"> </w:t>
      </w:r>
      <w:r>
        <w:rPr>
          <w:i/>
          <w:iCs/>
          <w:lang w:val="en-US"/>
        </w:rPr>
        <w:t>vitro</w:t>
      </w:r>
      <w:r w:rsidRPr="00B900E9">
        <w:rPr>
          <w:lang w:val="ru-RU"/>
        </w:rPr>
        <w:t xml:space="preserve"> </w:t>
      </w:r>
      <w:r>
        <w:t xml:space="preserve">и </w:t>
      </w:r>
      <w:r>
        <w:rPr>
          <w:i/>
          <w:iCs/>
          <w:lang w:val="en-US"/>
        </w:rPr>
        <w:t>in</w:t>
      </w:r>
      <w:r w:rsidRPr="00B900E9">
        <w:rPr>
          <w:i/>
          <w:iCs/>
          <w:lang w:val="ru-RU"/>
        </w:rPr>
        <w:t xml:space="preserve"> </w:t>
      </w:r>
      <w:r>
        <w:rPr>
          <w:i/>
          <w:iCs/>
          <w:lang w:val="en-US"/>
        </w:rPr>
        <w:t>vivo</w:t>
      </w:r>
      <w:r w:rsidRPr="00B900E9">
        <w:rPr>
          <w:lang w:val="ru-RU"/>
        </w:rPr>
        <w:t xml:space="preserve"> </w:t>
      </w:r>
      <w:r>
        <w:t>проучвания за генетична токсичност.</w:t>
      </w:r>
    </w:p>
    <w:p w14:paraId="6A7820AB" w14:textId="3784A09E" w:rsidR="008A6AF2" w:rsidRDefault="002C50EE" w:rsidP="00395555">
      <w:pPr>
        <w:pStyle w:val="Heading1"/>
      </w:pPr>
      <w:r>
        <w:t>7. ПРИТЕЖАТЕЛ НА РАЗРЕШЕНИЕТО ЗА УПОТРЕБА</w:t>
      </w:r>
    </w:p>
    <w:p w14:paraId="76129E65" w14:textId="43537018" w:rsidR="00B900E9" w:rsidRDefault="00B900E9" w:rsidP="00B900E9"/>
    <w:p w14:paraId="730015AB" w14:textId="49723A5E" w:rsidR="00B900E9" w:rsidRPr="00B900E9" w:rsidRDefault="00B900E9" w:rsidP="00B900E9">
      <w:r>
        <w:t xml:space="preserve">Eli Lilly Nederland B.V., Papendorpseweg 83, 3528 BJ Utrecht, </w:t>
      </w:r>
      <w:r>
        <w:rPr>
          <w:lang w:eastAsia="bg-BG"/>
        </w:rPr>
        <w:t>Нидерландия.</w:t>
      </w:r>
    </w:p>
    <w:p w14:paraId="04840D59" w14:textId="3E35F9E5" w:rsidR="002C50EE" w:rsidRDefault="002C50EE" w:rsidP="00395555">
      <w:pPr>
        <w:pStyle w:val="Heading1"/>
      </w:pPr>
      <w:r>
        <w:t>8. НОМЕР НА РАЗРЕШЕНИЕТО ЗА УПОТРЕБА</w:t>
      </w:r>
    </w:p>
    <w:p w14:paraId="37C0A68D" w14:textId="74C23953" w:rsidR="00B900E9" w:rsidRDefault="00B900E9" w:rsidP="00B900E9"/>
    <w:p w14:paraId="5A1E17A4" w14:textId="1EBF3BF9" w:rsidR="00B900E9" w:rsidRPr="00B900E9" w:rsidRDefault="00B900E9" w:rsidP="00B900E9">
      <w:r>
        <w:t>20000813</w:t>
      </w:r>
    </w:p>
    <w:p w14:paraId="2CCB5832" w14:textId="296C6FDD" w:rsidR="007C605B" w:rsidRDefault="002C50EE" w:rsidP="007C605B">
      <w:pPr>
        <w:pStyle w:val="Heading1"/>
      </w:pPr>
      <w:r>
        <w:t>9. ДАТА НА ПЪРВО РАЗРЕШАВАНЕ/ПОДНОВЯВАНЕ НА РАЗРЕШЕНИЕТО ЗА УПОТРЕБА</w:t>
      </w:r>
    </w:p>
    <w:p w14:paraId="400C31CC" w14:textId="2EDF4803" w:rsidR="00B900E9" w:rsidRDefault="00B900E9" w:rsidP="00B900E9"/>
    <w:p w14:paraId="5C9A2EDF" w14:textId="77777777" w:rsidR="00B900E9" w:rsidRPr="00B900E9" w:rsidRDefault="00B900E9" w:rsidP="00B900E9">
      <w:pPr>
        <w:rPr>
          <w:sz w:val="24"/>
          <w:szCs w:val="24"/>
        </w:rPr>
      </w:pPr>
      <w:r w:rsidRPr="00B900E9">
        <w:rPr>
          <w:lang w:eastAsia="bg-BG"/>
        </w:rPr>
        <w:t>Дата на първо разрешаване: 23 февруари 2018 г.</w:t>
      </w:r>
    </w:p>
    <w:p w14:paraId="46DA59F4" w14:textId="2204FE4D" w:rsidR="00B900E9" w:rsidRPr="00B900E9" w:rsidRDefault="00B900E9" w:rsidP="00B900E9">
      <w:r w:rsidRPr="00B900E9">
        <w:rPr>
          <w:lang w:eastAsia="bg-BG"/>
        </w:rPr>
        <w:t>Дата на последно подновяване: 09 април 2019 г.</w:t>
      </w:r>
    </w:p>
    <w:p w14:paraId="0E9D0119" w14:textId="0245C6D7" w:rsidR="002C50EE" w:rsidRDefault="002C50EE" w:rsidP="002C50EE">
      <w:pPr>
        <w:pStyle w:val="Heading1"/>
      </w:pPr>
      <w:r>
        <w:t>10. ДАТА НА АКТУАЛИЗИРАНЕ НА ТЕКСТА</w:t>
      </w:r>
    </w:p>
    <w:bookmarkEnd w:id="0"/>
    <w:p w14:paraId="43FB38A2" w14:textId="5EB87FB8" w:rsidR="007C605B" w:rsidRPr="002B0A88" w:rsidRDefault="00B900E9" w:rsidP="00B900E9">
      <w:pPr>
        <w:rPr>
          <w:sz w:val="24"/>
          <w:szCs w:val="24"/>
        </w:rPr>
      </w:pPr>
      <w:r>
        <w:t>08/2020</w:t>
      </w:r>
      <w:bookmarkStart w:id="1" w:name="_GoBack"/>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900E9"/>
    <w:rsid w:val="00BF2600"/>
    <w:rsid w:val="00C0049F"/>
    <w:rsid w:val="00C07B84"/>
    <w:rsid w:val="00C33464"/>
    <w:rsid w:val="00C809A7"/>
    <w:rsid w:val="00C83063"/>
    <w:rsid w:val="00C87E90"/>
    <w:rsid w:val="00CA1B57"/>
    <w:rsid w:val="00D84C68"/>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12868</Characters>
  <Application>Microsoft Office Word</Application>
  <DocSecurity>0</DocSecurity>
  <Lines>107</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2022-08-01T14:04:00Z</dcterms:created>
  <dcterms:modified xsi:type="dcterms:W3CDTF">2022-08-01T14:04:00Z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