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2BE34EF6" w14:textId="49533EEF" w:rsidR="007122AD" w:rsidRDefault="00DD466D" w:rsidP="00936AD0">
      <w:pPr>
        <w:pStyle w:val="Heading1"/>
      </w:pPr>
      <w:r>
        <w:t>1.ИМЕ НА ЛЕКАРСТВЕНИЯ ПРОДУКТ</w:t>
      </w:r>
    </w:p>
    <w:p w14:paraId="19A242B9" w14:textId="00E67C44" w:rsidR="002F3C9F" w:rsidRDefault="002F3C9F" w:rsidP="002F3C9F"/>
    <w:p w14:paraId="0CD5B2D1" w14:textId="77777777" w:rsidR="002F3C9F" w:rsidRPr="002F3C9F" w:rsidRDefault="002F3C9F" w:rsidP="002F3C9F">
      <w:pPr>
        <w:rPr>
          <w:sz w:val="24"/>
          <w:szCs w:val="24"/>
        </w:rPr>
      </w:pPr>
      <w:r w:rsidRPr="002F3C9F">
        <w:rPr>
          <w:lang w:eastAsia="bg-BG"/>
        </w:rPr>
        <w:t xml:space="preserve">Хиплафин 5 </w:t>
      </w:r>
      <w:r w:rsidRPr="002F3C9F">
        <w:rPr>
          <w:lang w:val="en-US"/>
        </w:rPr>
        <w:t>mg</w:t>
      </w:r>
      <w:r w:rsidRPr="002F3C9F">
        <w:t xml:space="preserve"> </w:t>
      </w:r>
      <w:r w:rsidRPr="002F3C9F">
        <w:rPr>
          <w:lang w:eastAsia="bg-BG"/>
        </w:rPr>
        <w:t>филмирани таблетки</w:t>
      </w:r>
    </w:p>
    <w:p w14:paraId="7D39B731" w14:textId="77777777" w:rsidR="002F3C9F" w:rsidRPr="002F3C9F" w:rsidRDefault="002F3C9F" w:rsidP="002F3C9F">
      <w:pPr>
        <w:rPr>
          <w:sz w:val="24"/>
          <w:szCs w:val="24"/>
        </w:rPr>
      </w:pPr>
      <w:proofErr w:type="spellStart"/>
      <w:r w:rsidRPr="002F3C9F">
        <w:rPr>
          <w:lang w:val="en-US"/>
        </w:rPr>
        <w:t>Hyplafin</w:t>
      </w:r>
      <w:proofErr w:type="spellEnd"/>
      <w:r w:rsidRPr="002F3C9F">
        <w:t xml:space="preserve"> </w:t>
      </w:r>
      <w:r w:rsidRPr="002F3C9F">
        <w:rPr>
          <w:lang w:eastAsia="bg-BG"/>
        </w:rPr>
        <w:t xml:space="preserve">5 </w:t>
      </w:r>
      <w:r w:rsidRPr="002F3C9F">
        <w:rPr>
          <w:lang w:val="en-US"/>
        </w:rPr>
        <w:t>mg</w:t>
      </w:r>
      <w:r w:rsidRPr="002F3C9F">
        <w:t xml:space="preserve"> </w:t>
      </w:r>
      <w:r w:rsidRPr="002F3C9F">
        <w:rPr>
          <w:lang w:val="en-US"/>
        </w:rPr>
        <w:t>film</w:t>
      </w:r>
      <w:r w:rsidRPr="002F3C9F">
        <w:t>-</w:t>
      </w:r>
      <w:r w:rsidRPr="002F3C9F">
        <w:rPr>
          <w:lang w:val="en-US"/>
        </w:rPr>
        <w:t>coated</w:t>
      </w:r>
      <w:r w:rsidRPr="002F3C9F">
        <w:t xml:space="preserve"> </w:t>
      </w:r>
      <w:r w:rsidRPr="002F3C9F">
        <w:rPr>
          <w:lang w:val="en-US"/>
        </w:rPr>
        <w:t>tablets</w:t>
      </w:r>
    </w:p>
    <w:p w14:paraId="2539F401" w14:textId="77777777" w:rsidR="002F3C9F" w:rsidRPr="002F3C9F" w:rsidRDefault="002F3C9F" w:rsidP="002F3C9F"/>
    <w:p w14:paraId="6920A680" w14:textId="2A35C6A4" w:rsidR="00C40420" w:rsidRDefault="00DD466D" w:rsidP="004A448E">
      <w:pPr>
        <w:pStyle w:val="Heading1"/>
      </w:pPr>
      <w:r>
        <w:t>2. КАЧЕСТВЕН И КОЛИЧЕСТВЕН СЪСТАВ</w:t>
      </w:r>
    </w:p>
    <w:p w14:paraId="6C125485" w14:textId="16417572" w:rsidR="002F3C9F" w:rsidRDefault="002F3C9F" w:rsidP="002F3C9F"/>
    <w:p w14:paraId="3AEE6880" w14:textId="77777777" w:rsidR="002F3C9F" w:rsidRPr="002F3C9F" w:rsidRDefault="002F3C9F" w:rsidP="002F3C9F">
      <w:pPr>
        <w:rPr>
          <w:sz w:val="24"/>
          <w:szCs w:val="24"/>
        </w:rPr>
      </w:pPr>
      <w:r w:rsidRPr="002F3C9F">
        <w:rPr>
          <w:lang w:eastAsia="bg-BG"/>
        </w:rPr>
        <w:t xml:space="preserve">Всяка филмирана таблетка съдържа 5 </w:t>
      </w:r>
      <w:r w:rsidRPr="002F3C9F">
        <w:rPr>
          <w:lang w:val="en-US"/>
        </w:rPr>
        <w:t>mg</w:t>
      </w:r>
      <w:r w:rsidRPr="002F3C9F">
        <w:rPr>
          <w:lang w:val="ru-RU"/>
        </w:rPr>
        <w:t xml:space="preserve"> </w:t>
      </w:r>
      <w:r w:rsidRPr="002F3C9F">
        <w:rPr>
          <w:lang w:eastAsia="bg-BG"/>
        </w:rPr>
        <w:t xml:space="preserve">финастерид </w:t>
      </w:r>
      <w:r w:rsidRPr="002F3C9F">
        <w:rPr>
          <w:i/>
          <w:iCs/>
          <w:lang w:val="ru-RU"/>
        </w:rPr>
        <w:t>(</w:t>
      </w:r>
      <w:r w:rsidRPr="002F3C9F">
        <w:rPr>
          <w:i/>
          <w:iCs/>
          <w:lang w:val="en-US"/>
        </w:rPr>
        <w:t>finasteride</w:t>
      </w:r>
      <w:r w:rsidRPr="002F3C9F">
        <w:rPr>
          <w:i/>
          <w:iCs/>
          <w:lang w:val="ru-RU"/>
        </w:rPr>
        <w:t>).</w:t>
      </w:r>
    </w:p>
    <w:p w14:paraId="77678866" w14:textId="77777777" w:rsidR="002F3C9F" w:rsidRDefault="002F3C9F" w:rsidP="002F3C9F">
      <w:pPr>
        <w:rPr>
          <w:lang w:eastAsia="bg-BG"/>
        </w:rPr>
      </w:pPr>
    </w:p>
    <w:p w14:paraId="672BD030" w14:textId="16DEAB8A" w:rsidR="002F3C9F" w:rsidRPr="002F3C9F" w:rsidRDefault="002F3C9F" w:rsidP="002F3C9F">
      <w:pPr>
        <w:rPr>
          <w:sz w:val="24"/>
          <w:szCs w:val="24"/>
        </w:rPr>
      </w:pPr>
      <w:r w:rsidRPr="002F3C9F">
        <w:rPr>
          <w:lang w:eastAsia="bg-BG"/>
        </w:rPr>
        <w:t xml:space="preserve">Помощно вещество с известно действие: Всяка филмирана таблетка съдържа 90,96 </w:t>
      </w:r>
      <w:r w:rsidRPr="002F3C9F">
        <w:rPr>
          <w:lang w:val="en-US"/>
        </w:rPr>
        <w:t>mg</w:t>
      </w:r>
      <w:r w:rsidRPr="002F3C9F">
        <w:rPr>
          <w:lang w:val="ru-RU"/>
        </w:rPr>
        <w:t xml:space="preserve"> </w:t>
      </w:r>
      <w:r w:rsidRPr="002F3C9F">
        <w:rPr>
          <w:lang w:eastAsia="bg-BG"/>
        </w:rPr>
        <w:t>лактоза монохидрат.</w:t>
      </w:r>
    </w:p>
    <w:p w14:paraId="68434518" w14:textId="77777777" w:rsidR="002F3C9F" w:rsidRPr="002F3C9F" w:rsidRDefault="002F3C9F" w:rsidP="002F3C9F"/>
    <w:p w14:paraId="614984C4" w14:textId="59E8A4E5" w:rsidR="008A6AF2" w:rsidRDefault="00DD466D" w:rsidP="002C50EE">
      <w:pPr>
        <w:pStyle w:val="Heading1"/>
      </w:pPr>
      <w:r>
        <w:t>3. ЛЕКАРСТВЕНА ФОРМА</w:t>
      </w:r>
    </w:p>
    <w:p w14:paraId="4D0AB823" w14:textId="2F46F37A" w:rsidR="002F3C9F" w:rsidRDefault="002F3C9F" w:rsidP="002F3C9F"/>
    <w:p w14:paraId="5E616497" w14:textId="77777777" w:rsidR="002F3C9F" w:rsidRPr="002F3C9F" w:rsidRDefault="002F3C9F" w:rsidP="002F3C9F">
      <w:pPr>
        <w:rPr>
          <w:sz w:val="24"/>
          <w:szCs w:val="24"/>
        </w:rPr>
      </w:pPr>
      <w:r w:rsidRPr="002F3C9F">
        <w:rPr>
          <w:lang w:eastAsia="bg-BG"/>
        </w:rPr>
        <w:t>Филмирана таблетка</w:t>
      </w:r>
    </w:p>
    <w:p w14:paraId="2F275A3A" w14:textId="77777777" w:rsidR="002F3C9F" w:rsidRDefault="002F3C9F" w:rsidP="002F3C9F">
      <w:pPr>
        <w:rPr>
          <w:lang w:eastAsia="bg-BG"/>
        </w:rPr>
      </w:pPr>
    </w:p>
    <w:p w14:paraId="595CD057" w14:textId="58B1917D" w:rsidR="002F3C9F" w:rsidRPr="002F3C9F" w:rsidRDefault="002F3C9F" w:rsidP="002F3C9F">
      <w:pPr>
        <w:rPr>
          <w:sz w:val="24"/>
          <w:szCs w:val="24"/>
        </w:rPr>
      </w:pPr>
      <w:r w:rsidRPr="002F3C9F">
        <w:rPr>
          <w:lang w:eastAsia="bg-BG"/>
        </w:rPr>
        <w:t xml:space="preserve">Сини, кръгли, двойноизпъкнали таблетки с надпис </w:t>
      </w:r>
      <w:r w:rsidRPr="002F3C9F">
        <w:rPr>
          <w:lang w:val="ru-RU"/>
        </w:rPr>
        <w:t>“</w:t>
      </w:r>
      <w:r w:rsidRPr="002F3C9F">
        <w:rPr>
          <w:lang w:val="en-US"/>
        </w:rPr>
        <w:t>F</w:t>
      </w:r>
      <w:r w:rsidRPr="002F3C9F">
        <w:rPr>
          <w:lang w:val="ru-RU"/>
        </w:rPr>
        <w:t xml:space="preserve">5”. </w:t>
      </w:r>
      <w:r w:rsidRPr="002F3C9F">
        <w:rPr>
          <w:lang w:eastAsia="bg-BG"/>
        </w:rPr>
        <w:t xml:space="preserve">Диаметърът е 7 </w:t>
      </w:r>
      <w:r w:rsidRPr="002F3C9F">
        <w:rPr>
          <w:lang w:val="en-US"/>
        </w:rPr>
        <w:t>mm</w:t>
      </w:r>
      <w:r w:rsidRPr="002F3C9F">
        <w:rPr>
          <w:lang w:val="ru-RU"/>
        </w:rPr>
        <w:t>.</w:t>
      </w:r>
    </w:p>
    <w:p w14:paraId="4FF76437" w14:textId="77777777" w:rsidR="002F3C9F" w:rsidRPr="002F3C9F" w:rsidRDefault="002F3C9F" w:rsidP="002F3C9F"/>
    <w:p w14:paraId="490FC2C4" w14:textId="0F4A4A75" w:rsidR="002C50EE" w:rsidRDefault="002C50EE" w:rsidP="002C50EE">
      <w:pPr>
        <w:pStyle w:val="Heading1"/>
      </w:pPr>
      <w:r>
        <w:t>4. КЛИНИЧНИ ДАННИ</w:t>
      </w:r>
    </w:p>
    <w:p w14:paraId="74330405" w14:textId="13BD398A" w:rsidR="007122AD" w:rsidRDefault="002C50EE" w:rsidP="00936AD0">
      <w:pPr>
        <w:pStyle w:val="Heading2"/>
      </w:pPr>
      <w:r>
        <w:t>4.1. Терапевтични показания</w:t>
      </w:r>
    </w:p>
    <w:p w14:paraId="5D552E22" w14:textId="27D7C7BD" w:rsidR="002F3C9F" w:rsidRDefault="002F3C9F" w:rsidP="002F3C9F"/>
    <w:p w14:paraId="2683760D" w14:textId="77777777" w:rsidR="002F3C9F" w:rsidRPr="002F3C9F" w:rsidRDefault="002F3C9F" w:rsidP="002F3C9F">
      <w:pPr>
        <w:rPr>
          <w:sz w:val="24"/>
          <w:szCs w:val="24"/>
        </w:rPr>
      </w:pPr>
      <w:r w:rsidRPr="002F3C9F">
        <w:rPr>
          <w:lang w:eastAsia="bg-BG"/>
        </w:rPr>
        <w:t>Хиплафин е показан за лечение и контрол на доброкачествена хиперплазия на простатата</w:t>
      </w:r>
    </w:p>
    <w:p w14:paraId="1C549DFA" w14:textId="77777777" w:rsidR="002F3C9F" w:rsidRPr="002F3C9F" w:rsidRDefault="002F3C9F" w:rsidP="002F3C9F">
      <w:pPr>
        <w:rPr>
          <w:sz w:val="24"/>
          <w:szCs w:val="24"/>
        </w:rPr>
      </w:pPr>
      <w:r w:rsidRPr="002F3C9F">
        <w:rPr>
          <w:lang w:eastAsia="bg-BG"/>
        </w:rPr>
        <w:t>(ДХП) при пациенти с уголемена простата, за да:</w:t>
      </w:r>
    </w:p>
    <w:p w14:paraId="4E673DC1" w14:textId="77777777" w:rsidR="002F3C9F" w:rsidRPr="002F3C9F" w:rsidRDefault="002F3C9F" w:rsidP="002F3C9F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2F3C9F">
        <w:rPr>
          <w:lang w:eastAsia="bg-BG"/>
        </w:rPr>
        <w:t xml:space="preserve">доведе до регресия на уголемената простата, да подобри отделянето на урина и симптомите, свързани с </w:t>
      </w:r>
      <w:r w:rsidRPr="002F3C9F">
        <w:rPr>
          <w:i/>
          <w:iCs/>
          <w:lang w:eastAsia="bg-BG"/>
        </w:rPr>
        <w:t>ДХП</w:t>
      </w:r>
    </w:p>
    <w:p w14:paraId="49754A4E" w14:textId="0519EB5F" w:rsidR="002F3C9F" w:rsidRPr="002F3C9F" w:rsidRDefault="002F3C9F" w:rsidP="002F3C9F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2F3C9F">
        <w:rPr>
          <w:lang w:eastAsia="bg-BG"/>
        </w:rPr>
        <w:t>намали случаите на остра ретенция на урина и нуждата от хирургическа намеса, включително трансуретрална резекция на простатата (ТУРП) и простатектомия.</w:t>
      </w:r>
    </w:p>
    <w:p w14:paraId="76C237AA" w14:textId="77777777" w:rsidR="002F3C9F" w:rsidRDefault="002F3C9F" w:rsidP="002F3C9F">
      <w:pPr>
        <w:rPr>
          <w:lang w:eastAsia="bg-BG"/>
        </w:rPr>
      </w:pPr>
    </w:p>
    <w:p w14:paraId="33B06E6D" w14:textId="69B8EF53" w:rsidR="002F3C9F" w:rsidRPr="002F3C9F" w:rsidRDefault="002F3C9F" w:rsidP="002F3C9F">
      <w:pPr>
        <w:rPr>
          <w:sz w:val="24"/>
          <w:szCs w:val="24"/>
        </w:rPr>
      </w:pPr>
      <w:r w:rsidRPr="002F3C9F">
        <w:rPr>
          <w:lang w:eastAsia="bg-BG"/>
        </w:rPr>
        <w:t xml:space="preserve">Хиплафин 5 </w:t>
      </w:r>
      <w:r w:rsidRPr="002F3C9F">
        <w:rPr>
          <w:lang w:val="en-US"/>
        </w:rPr>
        <w:t>mg</w:t>
      </w:r>
      <w:r w:rsidRPr="002F3C9F">
        <w:rPr>
          <w:lang w:val="ru-RU"/>
        </w:rPr>
        <w:t xml:space="preserve"> </w:t>
      </w:r>
      <w:r w:rsidRPr="002F3C9F">
        <w:rPr>
          <w:lang w:eastAsia="bg-BG"/>
        </w:rPr>
        <w:t xml:space="preserve">таблетки трябва да се прилага само при пациенти с уголемена простата (обем на простатата над около 40 </w:t>
      </w:r>
      <w:r w:rsidRPr="002F3C9F">
        <w:rPr>
          <w:lang w:val="en-US"/>
        </w:rPr>
        <w:t>ml</w:t>
      </w:r>
      <w:r w:rsidRPr="002F3C9F">
        <w:rPr>
          <w:lang w:val="ru-RU"/>
        </w:rPr>
        <w:t>).</w:t>
      </w:r>
    </w:p>
    <w:p w14:paraId="1C165B07" w14:textId="77777777" w:rsidR="002F3C9F" w:rsidRPr="002F3C9F" w:rsidRDefault="002F3C9F" w:rsidP="002F3C9F"/>
    <w:p w14:paraId="53F5B866" w14:textId="13DE5FE9" w:rsidR="007122AD" w:rsidRDefault="002C50EE" w:rsidP="00936AD0">
      <w:pPr>
        <w:pStyle w:val="Heading2"/>
      </w:pPr>
      <w:r>
        <w:t>4.2. Дозировка и начин на приложение</w:t>
      </w:r>
    </w:p>
    <w:p w14:paraId="55121787" w14:textId="321D847D" w:rsidR="002F3C9F" w:rsidRDefault="002F3C9F" w:rsidP="002F3C9F"/>
    <w:p w14:paraId="753DD34F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Само за перорално приложение.</w:t>
      </w:r>
    </w:p>
    <w:p w14:paraId="4BC845E2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lang w:eastAsia="bg-BG"/>
        </w:rPr>
      </w:pPr>
    </w:p>
    <w:p w14:paraId="5FE0700A" w14:textId="73818B42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Препоръчителната дозировка е една таблетка от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>дневно със или без храна.</w:t>
      </w:r>
    </w:p>
    <w:p w14:paraId="3F29A6BE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lang w:eastAsia="bg-BG"/>
        </w:rPr>
      </w:pPr>
    </w:p>
    <w:p w14:paraId="403710AA" w14:textId="5D2DBFF3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Таблетката трябва да се поглъща цяла, да не се разделя или чупи (вж. точка 6.6).</w:t>
      </w:r>
    </w:p>
    <w:p w14:paraId="4BEBD7FA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lang w:eastAsia="bg-BG"/>
        </w:rPr>
      </w:pPr>
    </w:p>
    <w:p w14:paraId="1B872C37" w14:textId="3BEE9C38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Дори и да се наблюдава подобрение за кратък период на лечение, се налага лечението да продължи най-малко 6 месеца, за да се прецени обективно дали е постигнат задоволителен терапевтичен отговор.</w:t>
      </w:r>
    </w:p>
    <w:p w14:paraId="152E9B59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u w:val="single"/>
          <w:lang w:eastAsia="bg-BG"/>
        </w:rPr>
      </w:pPr>
    </w:p>
    <w:p w14:paraId="2BB80762" w14:textId="31C95E2C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u w:val="single"/>
          <w:lang w:eastAsia="bg-BG"/>
        </w:rPr>
        <w:t>Дозировка пои чернодробна недостатъчност</w:t>
      </w:r>
    </w:p>
    <w:p w14:paraId="31707F36" w14:textId="380A653F" w:rsidR="002F3C9F" w:rsidRDefault="002F3C9F" w:rsidP="002F3C9F">
      <w:pPr>
        <w:rPr>
          <w:rFonts w:eastAsia="Times New Roman" w:cs="Arial"/>
          <w:bCs/>
          <w:color w:val="000000"/>
          <w:lang w:eastAsia="bg-BG"/>
        </w:rPr>
      </w:pPr>
      <w:r w:rsidRPr="002F3C9F">
        <w:rPr>
          <w:rFonts w:eastAsia="Times New Roman" w:cs="Arial"/>
          <w:bCs/>
          <w:color w:val="000000"/>
          <w:lang w:eastAsia="bg-BG"/>
        </w:rPr>
        <w:t>Няма данни за пациенти с чернодробна недостатъчност (вж. точка 4.4)</w:t>
      </w:r>
    </w:p>
    <w:p w14:paraId="01DAF968" w14:textId="489EC440" w:rsidR="002F3C9F" w:rsidRDefault="002F3C9F" w:rsidP="002F3C9F">
      <w:pPr>
        <w:rPr>
          <w:rFonts w:eastAsia="Times New Roman" w:cs="Arial"/>
          <w:bCs/>
          <w:color w:val="000000"/>
          <w:lang w:eastAsia="bg-BG"/>
        </w:rPr>
      </w:pPr>
    </w:p>
    <w:p w14:paraId="7A2E3430" w14:textId="77777777" w:rsidR="002F3C9F" w:rsidRPr="002F3C9F" w:rsidRDefault="002F3C9F" w:rsidP="002F3C9F">
      <w:pPr>
        <w:spacing w:line="240" w:lineRule="auto"/>
        <w:rPr>
          <w:rFonts w:eastAsia="Times New Roman" w:cs="Arial"/>
          <w:sz w:val="12"/>
          <w:szCs w:val="24"/>
        </w:rPr>
      </w:pPr>
      <w:r w:rsidRPr="002F3C9F">
        <w:rPr>
          <w:rFonts w:eastAsia="Times New Roman" w:cs="Arial"/>
          <w:bCs/>
          <w:color w:val="000000"/>
          <w:szCs w:val="42"/>
          <w:u w:val="single"/>
          <w:lang w:eastAsia="bg-BG"/>
        </w:rPr>
        <w:t xml:space="preserve">Дозировка </w:t>
      </w:r>
      <w:r w:rsidRPr="002F3C9F">
        <w:rPr>
          <w:rFonts w:eastAsia="Times New Roman" w:cs="Arial"/>
          <w:bCs/>
          <w:smallCaps/>
          <w:color w:val="000000"/>
          <w:szCs w:val="42"/>
          <w:u w:val="single"/>
          <w:lang w:eastAsia="bg-BG"/>
        </w:rPr>
        <w:t>при</w:t>
      </w:r>
      <w:r w:rsidRPr="002F3C9F">
        <w:rPr>
          <w:rFonts w:eastAsia="Times New Roman" w:cs="Arial"/>
          <w:bCs/>
          <w:color w:val="000000"/>
          <w:szCs w:val="42"/>
          <w:u w:val="single"/>
          <w:lang w:eastAsia="bg-BG"/>
        </w:rPr>
        <w:t xml:space="preserve"> бъбречна недостатъчност</w:t>
      </w:r>
    </w:p>
    <w:p w14:paraId="59951B2F" w14:textId="77777777" w:rsidR="002F3C9F" w:rsidRPr="002F3C9F" w:rsidRDefault="002F3C9F" w:rsidP="002F3C9F">
      <w:pPr>
        <w:spacing w:line="240" w:lineRule="auto"/>
        <w:rPr>
          <w:rFonts w:eastAsia="Times New Roman" w:cs="Arial"/>
          <w:sz w:val="12"/>
          <w:szCs w:val="24"/>
        </w:rPr>
      </w:pPr>
      <w:r w:rsidRPr="002F3C9F">
        <w:rPr>
          <w:rFonts w:eastAsia="Times New Roman" w:cs="Arial"/>
          <w:bCs/>
          <w:color w:val="000000"/>
          <w:szCs w:val="42"/>
          <w:lang w:eastAsia="bg-BG"/>
        </w:rPr>
        <w:t xml:space="preserve">Не е необходимо да се прави корекция на дозата при пациенти с различна степен на бъбречна недостатъчност (с ниска стойност на креатининов клирънс от порядъка на 9 </w:t>
      </w:r>
      <w:r w:rsidRPr="002F3C9F">
        <w:rPr>
          <w:rFonts w:eastAsia="Times New Roman" w:cs="Arial"/>
          <w:bCs/>
          <w:color w:val="000000"/>
          <w:szCs w:val="42"/>
          <w:lang w:val="en-US"/>
        </w:rPr>
        <w:t>ml</w:t>
      </w:r>
      <w:r w:rsidRPr="002F3C9F">
        <w:rPr>
          <w:rFonts w:eastAsia="Times New Roman" w:cs="Arial"/>
          <w:bCs/>
          <w:color w:val="000000"/>
          <w:szCs w:val="42"/>
          <w:lang w:val="ru-RU"/>
        </w:rPr>
        <w:t>/</w:t>
      </w:r>
      <w:r w:rsidRPr="002F3C9F">
        <w:rPr>
          <w:rFonts w:eastAsia="Times New Roman" w:cs="Arial"/>
          <w:bCs/>
          <w:color w:val="000000"/>
          <w:szCs w:val="42"/>
          <w:lang w:val="en-US"/>
        </w:rPr>
        <w:t>min</w:t>
      </w:r>
      <w:r w:rsidRPr="002F3C9F">
        <w:rPr>
          <w:rFonts w:eastAsia="Times New Roman" w:cs="Arial"/>
          <w:bCs/>
          <w:color w:val="000000"/>
          <w:szCs w:val="42"/>
          <w:lang w:val="ru-RU"/>
        </w:rPr>
        <w:t xml:space="preserve">), </w:t>
      </w:r>
      <w:r w:rsidRPr="002F3C9F">
        <w:rPr>
          <w:rFonts w:eastAsia="Times New Roman" w:cs="Arial"/>
          <w:bCs/>
          <w:color w:val="000000"/>
          <w:szCs w:val="42"/>
          <w:lang w:eastAsia="bg-BG"/>
        </w:rPr>
        <w:t>тъй като във фармакокинетични проучвания не е установено, че бъбречната недостатъчност се отразява на елиминирането на финастерид. Финастерид не е проучван при пациенти на хемодиализа.</w:t>
      </w:r>
    </w:p>
    <w:p w14:paraId="130A872D" w14:textId="77777777" w:rsidR="002F3C9F" w:rsidRPr="002F3C9F" w:rsidRDefault="002F3C9F" w:rsidP="002F3C9F">
      <w:pPr>
        <w:spacing w:line="240" w:lineRule="auto"/>
        <w:rPr>
          <w:rFonts w:eastAsia="Times New Roman" w:cs="Arial"/>
          <w:bCs/>
          <w:color w:val="000000"/>
          <w:szCs w:val="42"/>
          <w:u w:val="single"/>
          <w:lang w:eastAsia="bg-BG"/>
        </w:rPr>
      </w:pPr>
    </w:p>
    <w:p w14:paraId="4840BCC1" w14:textId="778060B2" w:rsidR="002F3C9F" w:rsidRPr="002F3C9F" w:rsidRDefault="002F3C9F" w:rsidP="002F3C9F">
      <w:pPr>
        <w:spacing w:line="240" w:lineRule="auto"/>
        <w:rPr>
          <w:rFonts w:eastAsia="Times New Roman" w:cs="Arial"/>
          <w:sz w:val="12"/>
          <w:szCs w:val="24"/>
        </w:rPr>
      </w:pPr>
      <w:r w:rsidRPr="002F3C9F">
        <w:rPr>
          <w:rFonts w:eastAsia="Times New Roman" w:cs="Arial"/>
          <w:bCs/>
          <w:color w:val="000000"/>
          <w:szCs w:val="42"/>
          <w:u w:val="single"/>
          <w:lang w:eastAsia="bg-BG"/>
        </w:rPr>
        <w:t>Дозировка при пациенти в старческа възраст</w:t>
      </w:r>
    </w:p>
    <w:p w14:paraId="76961A6B" w14:textId="77777777" w:rsidR="002F3C9F" w:rsidRPr="002F3C9F" w:rsidRDefault="002F3C9F" w:rsidP="002F3C9F">
      <w:pPr>
        <w:spacing w:line="240" w:lineRule="auto"/>
        <w:rPr>
          <w:rFonts w:eastAsia="Times New Roman" w:cs="Arial"/>
          <w:sz w:val="12"/>
          <w:szCs w:val="24"/>
        </w:rPr>
      </w:pPr>
      <w:r w:rsidRPr="002F3C9F">
        <w:rPr>
          <w:rFonts w:eastAsia="Times New Roman" w:cs="Arial"/>
          <w:bCs/>
          <w:color w:val="000000"/>
          <w:szCs w:val="42"/>
          <w:lang w:eastAsia="bg-BG"/>
        </w:rPr>
        <w:t>Не е необходимо да се извършват корекции в дозировката, независимо че фармакокинетичните проучвания показват слабо намаляване на елиминирането на финастерид при пациенти над 70-годишна възраст.</w:t>
      </w:r>
    </w:p>
    <w:p w14:paraId="0DDBB14F" w14:textId="77777777" w:rsidR="002F3C9F" w:rsidRPr="002F3C9F" w:rsidRDefault="002F3C9F" w:rsidP="002F3C9F"/>
    <w:p w14:paraId="0F253247" w14:textId="6A08066A" w:rsidR="007122AD" w:rsidRDefault="002C50EE" w:rsidP="00936AD0">
      <w:pPr>
        <w:pStyle w:val="Heading2"/>
      </w:pPr>
      <w:r>
        <w:t>4.3. Противопоказания</w:t>
      </w:r>
    </w:p>
    <w:p w14:paraId="50EB0219" w14:textId="62BC6101" w:rsidR="002F3C9F" w:rsidRDefault="002F3C9F" w:rsidP="002F3C9F"/>
    <w:p w14:paraId="0E3FB45F" w14:textId="77777777" w:rsidR="002F3C9F" w:rsidRPr="002F3C9F" w:rsidRDefault="002F3C9F" w:rsidP="002F3C9F">
      <w:pPr>
        <w:rPr>
          <w:sz w:val="24"/>
          <w:szCs w:val="24"/>
        </w:rPr>
      </w:pPr>
      <w:r w:rsidRPr="002F3C9F">
        <w:rPr>
          <w:lang w:eastAsia="bg-BG"/>
        </w:rPr>
        <w:t>Финастерид не е показан за употреба при жени и деца.</w:t>
      </w:r>
    </w:p>
    <w:p w14:paraId="1A4D017D" w14:textId="77777777" w:rsidR="002F3C9F" w:rsidRDefault="002F3C9F" w:rsidP="002F3C9F">
      <w:pPr>
        <w:rPr>
          <w:lang w:eastAsia="bg-BG"/>
        </w:rPr>
      </w:pPr>
    </w:p>
    <w:p w14:paraId="3CF7654C" w14:textId="5002E661" w:rsidR="002F3C9F" w:rsidRPr="002F3C9F" w:rsidRDefault="002F3C9F" w:rsidP="002F3C9F">
      <w:pPr>
        <w:rPr>
          <w:sz w:val="24"/>
          <w:szCs w:val="24"/>
        </w:rPr>
      </w:pPr>
      <w:r w:rsidRPr="002F3C9F">
        <w:rPr>
          <w:lang w:eastAsia="bg-BG"/>
        </w:rPr>
        <w:t>Финастерид е противопоказан в следните случаи:</w:t>
      </w:r>
    </w:p>
    <w:p w14:paraId="62622FA1" w14:textId="77777777" w:rsidR="002F3C9F" w:rsidRDefault="002F3C9F" w:rsidP="002F3C9F">
      <w:pPr>
        <w:rPr>
          <w:lang w:eastAsia="bg-BG"/>
        </w:rPr>
      </w:pPr>
    </w:p>
    <w:p w14:paraId="37AF3417" w14:textId="77777777" w:rsidR="002F3C9F" w:rsidRPr="002F3C9F" w:rsidRDefault="002F3C9F" w:rsidP="002F3C9F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2F3C9F">
        <w:rPr>
          <w:lang w:eastAsia="bg-BG"/>
        </w:rPr>
        <w:t>Свръхчувствителност към активното вещество или към някое от помощните вещества, изброени в точка 6.1.</w:t>
      </w:r>
    </w:p>
    <w:p w14:paraId="6953D442" w14:textId="789643AD" w:rsidR="002F3C9F" w:rsidRPr="002F3C9F" w:rsidRDefault="002F3C9F" w:rsidP="002F3C9F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2F3C9F">
        <w:rPr>
          <w:lang w:eastAsia="bg-BG"/>
        </w:rPr>
        <w:t>Бременност: Употребата при жени, които са бременни или е възможно да са забременели (вж. точка 4.6)</w:t>
      </w:r>
    </w:p>
    <w:p w14:paraId="6FE26117" w14:textId="77777777" w:rsidR="002F3C9F" w:rsidRPr="002F3C9F" w:rsidRDefault="002F3C9F" w:rsidP="002F3C9F"/>
    <w:p w14:paraId="0E0BDCC7" w14:textId="576E3417" w:rsidR="007122AD" w:rsidRDefault="002C50EE" w:rsidP="00936AD0">
      <w:pPr>
        <w:pStyle w:val="Heading2"/>
      </w:pPr>
      <w:r>
        <w:t>4.4. Специални предупреждения и предпазни мерки при употреба</w:t>
      </w:r>
    </w:p>
    <w:p w14:paraId="39D1391D" w14:textId="2A88D073" w:rsidR="002F3C9F" w:rsidRDefault="002F3C9F" w:rsidP="002F3C9F"/>
    <w:p w14:paraId="520EEF92" w14:textId="2FDAF66A" w:rsidR="002F3C9F" w:rsidRPr="002F3C9F" w:rsidRDefault="002F3C9F" w:rsidP="002F3C9F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bCs/>
          <w:color w:val="000000"/>
          <w:u w:val="single"/>
          <w:lang w:eastAsia="bg-BG"/>
        </w:rPr>
        <w:t>Общ</w:t>
      </w:r>
      <w:r w:rsidRPr="002F3C9F">
        <w:rPr>
          <w:rFonts w:eastAsia="Times New Roman" w:cs="Arial"/>
          <w:bCs/>
          <w:color w:val="000000"/>
          <w:u w:val="single"/>
          <w:lang w:eastAsia="bg-BG"/>
        </w:rPr>
        <w:t>и:</w:t>
      </w:r>
    </w:p>
    <w:p w14:paraId="1A0BB840" w14:textId="77777777" w:rsidR="002F3C9F" w:rsidRPr="002F3C9F" w:rsidRDefault="002F3C9F" w:rsidP="002F3C9F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За да се избегнат обструктивни усложнения е важно пациентите с голям обем остатъчна урина и/или силно намален уринен дебит да бъдат внимателно контролирани. Възможността за хирургична намеса трябва да бъде взета предвид.</w:t>
      </w:r>
    </w:p>
    <w:p w14:paraId="646F3894" w14:textId="7AA15375" w:rsidR="002F3C9F" w:rsidRPr="002F3C9F" w:rsidRDefault="002F3C9F" w:rsidP="002F3C9F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При пациенти лекувани с финастерид е необходима консултация с уролог.</w:t>
      </w:r>
    </w:p>
    <w:p w14:paraId="26232A65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u w:val="single"/>
          <w:lang w:eastAsia="bg-BG"/>
        </w:rPr>
      </w:pPr>
    </w:p>
    <w:p w14:paraId="19DA7F3A" w14:textId="4EA835C2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u w:val="single"/>
          <w:lang w:eastAsia="bg-BG"/>
        </w:rPr>
        <w:t xml:space="preserve">Ефект върху откриването на специфичния простатен антиген </w:t>
      </w:r>
      <w:r w:rsidRPr="002F3C9F">
        <w:rPr>
          <w:rFonts w:eastAsia="Times New Roman" w:cs="Arial"/>
          <w:bCs/>
          <w:color w:val="000000"/>
          <w:u w:val="single"/>
          <w:lang w:val="ru-RU"/>
        </w:rPr>
        <w:t>(</w:t>
      </w:r>
      <w:r w:rsidRPr="002F3C9F">
        <w:rPr>
          <w:rFonts w:eastAsia="Times New Roman" w:cs="Arial"/>
          <w:bCs/>
          <w:color w:val="000000"/>
          <w:u w:val="single"/>
          <w:lang w:val="en-US"/>
        </w:rPr>
        <w:t>PSA</w:t>
      </w:r>
      <w:r w:rsidRPr="002F3C9F">
        <w:rPr>
          <w:rFonts w:eastAsia="Times New Roman" w:cs="Arial"/>
          <w:bCs/>
          <w:color w:val="000000"/>
          <w:u w:val="single"/>
          <w:lang w:val="ru-RU"/>
        </w:rPr>
        <w:t xml:space="preserve">) </w:t>
      </w:r>
      <w:r w:rsidRPr="002F3C9F">
        <w:rPr>
          <w:rFonts w:eastAsia="Times New Roman" w:cs="Arial"/>
          <w:bCs/>
          <w:color w:val="000000"/>
          <w:u w:val="single"/>
          <w:lang w:eastAsia="bg-BG"/>
        </w:rPr>
        <w:t xml:space="preserve">и карцином на простатата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Досега не е доказана клинична полза от лечението с финастерид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при пациенти с карцином на простатата. Пациенти с ВРН и повишени стойности на специфичния простатен антиген </w:t>
      </w:r>
      <w:r w:rsidRPr="002F3C9F">
        <w:rPr>
          <w:rFonts w:eastAsia="Times New Roman" w:cs="Arial"/>
          <w:bCs/>
          <w:color w:val="000000"/>
          <w:lang w:val="ru-RU"/>
        </w:rPr>
        <w:t>(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) </w:t>
      </w:r>
      <w:r w:rsidRPr="002F3C9F">
        <w:rPr>
          <w:rFonts w:eastAsia="Times New Roman" w:cs="Arial"/>
          <w:bCs/>
          <w:color w:val="000000"/>
          <w:lang w:eastAsia="bg-BG"/>
        </w:rPr>
        <w:t xml:space="preserve">са наблюдавани в контролирани клинични проучвания с провеждане на серия от изследвания на </w:t>
      </w:r>
      <w:r w:rsidRPr="002F3C9F">
        <w:rPr>
          <w:rFonts w:eastAsia="Times New Roman" w:cs="Arial"/>
          <w:bCs/>
          <w:color w:val="000000"/>
          <w:lang w:val="en-US"/>
        </w:rPr>
        <w:t>PSAs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и биопсии на простата. При тези ВРН проучвания, финастерид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не оказва влияние върху честотата на диагностициране на карцином на простатата и общият брой на диагностицираните случаи не се различава статистически значимо при пациентите, лекувани с финастерид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>или плацебо.</w:t>
      </w:r>
    </w:p>
    <w:p w14:paraId="579CCCBC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lang w:eastAsia="bg-BG"/>
        </w:rPr>
      </w:pPr>
    </w:p>
    <w:p w14:paraId="6E4F9867" w14:textId="2E1E3325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lastRenderedPageBreak/>
        <w:t xml:space="preserve">Преди началото на терапията с финастерид, какго и периодично по време на лечението е необходимо да се извършва ректално туширане и при необходимост да се изследват стойностите на специфичния простатен антиген </w:t>
      </w:r>
      <w:r w:rsidRPr="002F3C9F">
        <w:rPr>
          <w:rFonts w:eastAsia="Times New Roman" w:cs="Arial"/>
          <w:bCs/>
          <w:color w:val="000000"/>
          <w:lang w:val="ru-RU"/>
        </w:rPr>
        <w:t>(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)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в серума, за да се изключи карцином на простатата. Като цяло, когато се извършват анализи на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,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изходните стойности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&gt;10 </w:t>
      </w:r>
      <w:r w:rsidRPr="002F3C9F">
        <w:rPr>
          <w:rFonts w:eastAsia="Times New Roman" w:cs="Arial"/>
          <w:bCs/>
          <w:color w:val="000000"/>
          <w:lang w:val="en-US"/>
        </w:rPr>
        <w:t>ng</w:t>
      </w:r>
      <w:r w:rsidRPr="002F3C9F">
        <w:rPr>
          <w:rFonts w:eastAsia="Times New Roman" w:cs="Arial"/>
          <w:bCs/>
          <w:color w:val="000000"/>
          <w:lang w:val="ru-RU"/>
        </w:rPr>
        <w:t>/</w:t>
      </w:r>
      <w:r w:rsidRPr="002F3C9F">
        <w:rPr>
          <w:rFonts w:eastAsia="Times New Roman" w:cs="Arial"/>
          <w:bCs/>
          <w:color w:val="000000"/>
          <w:lang w:val="en-US"/>
        </w:rPr>
        <w:t>ml</w:t>
      </w:r>
      <w:r w:rsidRPr="002F3C9F">
        <w:rPr>
          <w:rFonts w:eastAsia="Times New Roman" w:cs="Arial"/>
          <w:bCs/>
          <w:color w:val="000000"/>
          <w:lang w:val="ru-RU"/>
        </w:rPr>
        <w:t xml:space="preserve"> (</w:t>
      </w:r>
      <w:proofErr w:type="spellStart"/>
      <w:r w:rsidRPr="002F3C9F">
        <w:rPr>
          <w:rFonts w:eastAsia="Times New Roman" w:cs="Arial"/>
          <w:bCs/>
          <w:color w:val="000000"/>
          <w:lang w:val="en-US"/>
        </w:rPr>
        <w:t>Hybritech</w:t>
      </w:r>
      <w:proofErr w:type="spellEnd"/>
      <w:r w:rsidRPr="002F3C9F">
        <w:rPr>
          <w:rFonts w:eastAsia="Times New Roman" w:cs="Arial"/>
          <w:bCs/>
          <w:color w:val="000000"/>
          <w:lang w:val="ru-RU"/>
        </w:rPr>
        <w:t xml:space="preserve">)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дават повод за последваща оценка и съображения за биопсия. При стойности на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между 4 и 10 </w:t>
      </w:r>
      <w:r w:rsidRPr="002F3C9F">
        <w:rPr>
          <w:rFonts w:eastAsia="Times New Roman" w:cs="Arial"/>
          <w:bCs/>
          <w:color w:val="000000"/>
          <w:lang w:val="en-US"/>
        </w:rPr>
        <w:t>ng</w:t>
      </w:r>
      <w:r w:rsidRPr="002F3C9F">
        <w:rPr>
          <w:rFonts w:eastAsia="Times New Roman" w:cs="Arial"/>
          <w:bCs/>
          <w:color w:val="000000"/>
          <w:lang w:val="ru-RU"/>
        </w:rPr>
        <w:t>/</w:t>
      </w:r>
      <w:r w:rsidRPr="002F3C9F">
        <w:rPr>
          <w:rFonts w:eastAsia="Times New Roman" w:cs="Arial"/>
          <w:bCs/>
          <w:color w:val="000000"/>
          <w:lang w:val="en-US"/>
        </w:rPr>
        <w:t>ml</w:t>
      </w:r>
      <w:r w:rsidRPr="002F3C9F">
        <w:rPr>
          <w:rFonts w:eastAsia="Times New Roman" w:cs="Arial"/>
          <w:bCs/>
          <w:color w:val="000000"/>
          <w:lang w:val="ru-RU"/>
        </w:rPr>
        <w:t xml:space="preserve">, </w:t>
      </w:r>
      <w:r w:rsidRPr="002F3C9F">
        <w:rPr>
          <w:rFonts w:eastAsia="Times New Roman" w:cs="Arial"/>
          <w:bCs/>
          <w:color w:val="000000"/>
          <w:lang w:eastAsia="bg-BG"/>
        </w:rPr>
        <w:t xml:space="preserve">се препоръчва последваща оценка. Съществува значително припокриване на стойностите на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при мъже със или без карцином на простатата. Следователно, при мъже с ДХП, стойностите на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>в нормалните референтни граници не изключват наличието на карцином на простатата независимо от лечението с</w:t>
      </w:r>
      <w:r w:rsidRPr="002F3C9F">
        <w:rPr>
          <w:rFonts w:eastAsia="Times New Roman" w:cs="Arial"/>
          <w:bCs/>
          <w:color w:val="000000"/>
          <w:u w:val="single"/>
          <w:lang w:eastAsia="bg-BG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финастерид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.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Изходни стойности на </w:t>
      </w:r>
      <w:r w:rsidRPr="002F3C9F">
        <w:rPr>
          <w:rFonts w:eastAsia="Times New Roman" w:cs="Arial"/>
          <w:bCs/>
          <w:color w:val="000000"/>
          <w:lang w:val="en-US"/>
        </w:rPr>
        <w:t>PS</w:t>
      </w:r>
      <w:r w:rsidRPr="002F3C9F">
        <w:rPr>
          <w:rFonts w:eastAsia="Times New Roman" w:cs="Arial"/>
          <w:bCs/>
          <w:color w:val="000000"/>
          <w:lang w:eastAsia="bg-BG"/>
        </w:rPr>
        <w:t xml:space="preserve">А &lt;4 </w:t>
      </w:r>
      <w:r w:rsidRPr="002F3C9F">
        <w:rPr>
          <w:rFonts w:eastAsia="Times New Roman" w:cs="Arial"/>
          <w:bCs/>
          <w:color w:val="000000"/>
          <w:lang w:val="en-US"/>
        </w:rPr>
        <w:t>ng</w:t>
      </w:r>
      <w:r w:rsidRPr="002F3C9F">
        <w:rPr>
          <w:rFonts w:eastAsia="Times New Roman" w:cs="Arial"/>
          <w:bCs/>
          <w:color w:val="000000"/>
          <w:lang w:val="ru-RU"/>
        </w:rPr>
        <w:t>/</w:t>
      </w:r>
      <w:r w:rsidRPr="002F3C9F">
        <w:rPr>
          <w:rFonts w:eastAsia="Times New Roman" w:cs="Arial"/>
          <w:bCs/>
          <w:color w:val="000000"/>
          <w:lang w:val="en-US"/>
        </w:rPr>
        <w:t>ml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>не изключват карцином на простатата.</w:t>
      </w:r>
    </w:p>
    <w:p w14:paraId="5267156F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lang w:eastAsia="bg-BG"/>
        </w:rPr>
      </w:pPr>
    </w:p>
    <w:p w14:paraId="1B42DE05" w14:textId="77777777" w:rsidR="002F3C9F" w:rsidRPr="002F3C9F" w:rsidRDefault="002F3C9F" w:rsidP="002F3C9F">
      <w:pPr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Финастерид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води до понижаване на серумните концентрации на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с около 50% при пациенти с ДХП, дори при наличие на карцином на простатата. Това понижение не  серумните нива на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,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при пациенти с ДХП третирани с финастерид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>,</w:t>
      </w:r>
      <w:r w:rsidRPr="002F3C9F">
        <w:rPr>
          <w:rFonts w:eastAsia="Times New Roman" w:cs="Arial"/>
          <w:bCs/>
          <w:color w:val="000000"/>
          <w:lang w:eastAsia="bg-BG"/>
        </w:rPr>
        <w:t xml:space="preserve"> орибва да бъде взето под внимание при оценката на данните за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>и да не се изключва възможността за</w:t>
      </w:r>
      <w:r>
        <w:rPr>
          <w:rFonts w:eastAsia="Times New Roman" w:cs="Arial"/>
          <w:bCs/>
          <w:color w:val="000000"/>
          <w:lang w:eastAsia="bg-BG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съпътстващ карцином на простатата. Това понижение е предвидимо за целия диапазон от стойности на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,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въпреки че може да варира при отделните пациенти. Анализ на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данните от повече от 3 000 пациенти в 4-годишно, двойно-сляпо, плацебо-контролирано проучване за дългосрочна ефикасност и безопасност на финастерид </w:t>
      </w:r>
      <w:r w:rsidRPr="002F3C9F">
        <w:rPr>
          <w:rFonts w:eastAsia="Times New Roman" w:cs="Arial"/>
          <w:bCs/>
          <w:color w:val="000000"/>
          <w:lang w:val="ru-RU"/>
        </w:rPr>
        <w:t>(</w:t>
      </w:r>
      <w:r w:rsidRPr="002F3C9F">
        <w:rPr>
          <w:rFonts w:eastAsia="Times New Roman" w:cs="Arial"/>
          <w:bCs/>
          <w:color w:val="000000"/>
          <w:lang w:val="en-US"/>
        </w:rPr>
        <w:t>Long</w:t>
      </w:r>
      <w:r w:rsidRPr="002F3C9F">
        <w:rPr>
          <w:rFonts w:eastAsia="Times New Roman" w:cs="Arial"/>
          <w:bCs/>
          <w:color w:val="000000"/>
          <w:lang w:val="ru-RU"/>
        </w:rPr>
        <w:t>-</w:t>
      </w:r>
      <w:r w:rsidRPr="002F3C9F">
        <w:rPr>
          <w:rFonts w:eastAsia="Times New Roman" w:cs="Arial"/>
          <w:bCs/>
          <w:color w:val="000000"/>
          <w:lang w:val="en-US"/>
        </w:rPr>
        <w:t>Term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val="en-US"/>
        </w:rPr>
        <w:t>Efficacy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val="en-US"/>
        </w:rPr>
        <w:t>and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val="en-US"/>
        </w:rPr>
        <w:t>Safety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val="en-US"/>
        </w:rPr>
        <w:t>Study</w:t>
      </w:r>
      <w:r w:rsidRPr="002F3C9F">
        <w:rPr>
          <w:rFonts w:eastAsia="Times New Roman" w:cs="Arial"/>
          <w:bCs/>
          <w:color w:val="000000"/>
          <w:lang w:val="ru-RU"/>
        </w:rPr>
        <w:t xml:space="preserve"> (</w:t>
      </w:r>
      <w:r w:rsidRPr="002F3C9F">
        <w:rPr>
          <w:rFonts w:eastAsia="Times New Roman" w:cs="Arial"/>
          <w:bCs/>
          <w:color w:val="000000"/>
          <w:lang w:val="en-US"/>
        </w:rPr>
        <w:t>PLESS</w:t>
      </w:r>
      <w:r w:rsidRPr="002F3C9F">
        <w:rPr>
          <w:rFonts w:eastAsia="Times New Roman" w:cs="Arial"/>
          <w:bCs/>
          <w:color w:val="000000"/>
          <w:lang w:val="ru-RU"/>
        </w:rPr>
        <w:t xml:space="preserve">))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потвърждава, че при типичните пациенти, лекувани с финастерид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за период от шест месеца или повече,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стойностите трябва да бъдат удвоени в сравнение с нормалните граници при нелекувани мъже. Това преизчисление запазва чувствителността и специфичността на изследването на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>и поддържа възможността му да открива карцином на простатата.</w:t>
      </w:r>
    </w:p>
    <w:p w14:paraId="2073F8F5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lang w:eastAsia="bg-BG"/>
        </w:rPr>
      </w:pPr>
    </w:p>
    <w:p w14:paraId="6F4C20C8" w14:textId="1C3E634B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Всяко постоянно увеличаване на стойностите на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при пациенти, лекувани с финастерид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, </w:t>
      </w:r>
      <w:r w:rsidRPr="002F3C9F">
        <w:rPr>
          <w:rFonts w:eastAsia="Times New Roman" w:cs="Arial"/>
          <w:bCs/>
          <w:color w:val="000000"/>
          <w:lang w:eastAsia="bg-BG"/>
        </w:rPr>
        <w:t>трябва да се оценява внимателно, включително да се разгледа възможността за липса на комплайънс.</w:t>
      </w:r>
    </w:p>
    <w:p w14:paraId="763334FA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lang w:eastAsia="bg-BG"/>
        </w:rPr>
      </w:pPr>
    </w:p>
    <w:p w14:paraId="569296FC" w14:textId="1C229823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Процентът свободен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(свободен по отношение на тоталното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съотношение) не се понижава значително от финастерид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и остава постоянен дори под влияние на финастерид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.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Когато процентът свободен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>се използва като помощно средство при откриване на карцином на простатата, не се налага преизчисляване на неговата стойност.</w:t>
      </w:r>
    </w:p>
    <w:p w14:paraId="61516AC0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u w:val="single"/>
          <w:lang w:eastAsia="bg-BG"/>
        </w:rPr>
      </w:pPr>
    </w:p>
    <w:p w14:paraId="50B724FA" w14:textId="258458DA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u w:val="single"/>
          <w:lang w:eastAsia="bg-BG"/>
        </w:rPr>
        <w:t xml:space="preserve">Лекарствени взаимодействия/взаимодействия с лабораторни изследвания </w:t>
      </w:r>
      <w:r w:rsidRPr="002F3C9F">
        <w:rPr>
          <w:rFonts w:eastAsia="Times New Roman" w:cs="Arial"/>
          <w:bCs/>
          <w:i/>
          <w:iCs/>
          <w:color w:val="000000"/>
          <w:lang w:eastAsia="bg-BG"/>
        </w:rPr>
        <w:t xml:space="preserve">Ефект върху стойностите на </w:t>
      </w:r>
      <w:r w:rsidRPr="002F3C9F">
        <w:rPr>
          <w:rFonts w:eastAsia="Times New Roman" w:cs="Arial"/>
          <w:bCs/>
          <w:i/>
          <w:iCs/>
          <w:color w:val="000000"/>
          <w:lang w:val="en-US"/>
        </w:rPr>
        <w:t>PSA</w:t>
      </w:r>
    </w:p>
    <w:p w14:paraId="1D126616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Серумната концентрация на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корелира с възрастта на пациента и обема на простатата, а обемът на простатата е съпоставим с възрастта на пациента. Когато се оценяват лабораторно определените стойности на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, </w:t>
      </w:r>
      <w:r w:rsidRPr="002F3C9F">
        <w:rPr>
          <w:rFonts w:eastAsia="Times New Roman" w:cs="Arial"/>
          <w:bCs/>
          <w:color w:val="000000"/>
          <w:lang w:eastAsia="bg-BG"/>
        </w:rPr>
        <w:t xml:space="preserve">трябва да се вземе под внимание фактът, че при пациенти, лекувани с финастерид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нивата на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намаляват. При повечето пациенти се наблюдава бързо понижаване на нивата на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през първите месеци от терапията, след което нивата на </w:t>
      </w:r>
      <w:r w:rsidRPr="002F3C9F">
        <w:rPr>
          <w:rFonts w:eastAsia="Times New Roman" w:cs="Arial"/>
          <w:bCs/>
          <w:color w:val="000000"/>
          <w:lang w:val="en-US"/>
        </w:rPr>
        <w:t>PS</w:t>
      </w:r>
      <w:r w:rsidRPr="002F3C9F">
        <w:rPr>
          <w:rFonts w:eastAsia="Times New Roman" w:cs="Arial"/>
          <w:bCs/>
          <w:color w:val="000000"/>
          <w:lang w:eastAsia="bg-BG"/>
        </w:rPr>
        <w:t xml:space="preserve">А се стабилизират до нови изходни стойности. Изходните стойности, получени след лечението са приблизително наполовина на тези преди прилагането му. Следователно, при типичните пациенти, лекувани с финастерид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в продължение на шест месеца или повече, стойностите на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трябва да бъдат удвоявани за сравнение с нормалните стойности при нелекувани пациенти. За клинична интерпретация вижте „Ефекти върху откриването на специфичния простатен антиген </w:t>
      </w:r>
      <w:r w:rsidRPr="002F3C9F">
        <w:rPr>
          <w:rFonts w:eastAsia="Times New Roman" w:cs="Arial"/>
          <w:bCs/>
          <w:color w:val="000000"/>
          <w:lang w:val="ru-RU"/>
        </w:rPr>
        <w:t>(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)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и карцином на простатата” в този раздел. Не се наблюдават </w:t>
      </w:r>
      <w:r w:rsidRPr="002F3C9F">
        <w:rPr>
          <w:rFonts w:eastAsia="Times New Roman" w:cs="Arial"/>
          <w:bCs/>
          <w:color w:val="000000"/>
          <w:lang w:eastAsia="bg-BG"/>
        </w:rPr>
        <w:lastRenderedPageBreak/>
        <w:t>други разлики в стандартните лабораторни изследвания при пациентите, лекувани с плацебо или финастерид.</w:t>
      </w:r>
    </w:p>
    <w:p w14:paraId="34456870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u w:val="single"/>
          <w:lang w:eastAsia="bg-BG"/>
        </w:rPr>
      </w:pPr>
    </w:p>
    <w:p w14:paraId="65E3169B" w14:textId="11458D2B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u w:val="single"/>
          <w:lang w:eastAsia="bg-BG"/>
        </w:rPr>
        <w:t>Рак на млечната жлеза при мъже</w:t>
      </w:r>
    </w:p>
    <w:p w14:paraId="53E7367D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Рак на млечната жлеза е докладван при мъже, приемащи финастерид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>по време на клиничните проучвания и в постмаркетинговия период. Лекарите трябва да инструктират пациентите си незабавно да докладват за всякакви промени в гръдната тъкан, като бучки, болка, гинекомастия или отделяне на секрет от зърното.</w:t>
      </w:r>
    </w:p>
    <w:p w14:paraId="68222EC0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Финастерид не е показан за употреба при деца.</w:t>
      </w:r>
    </w:p>
    <w:p w14:paraId="026877AF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Безопасността и ефективността при деца не са установени.</w:t>
      </w:r>
    </w:p>
    <w:p w14:paraId="097CBC04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u w:val="single"/>
          <w:lang w:eastAsia="bg-BG"/>
        </w:rPr>
      </w:pPr>
    </w:p>
    <w:p w14:paraId="7CC438AE" w14:textId="3C22434D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u w:val="single"/>
          <w:lang w:eastAsia="bg-BG"/>
        </w:rPr>
        <w:t>Чернодробна недостатъчност</w:t>
      </w:r>
    </w:p>
    <w:p w14:paraId="0EBF6FB1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Ефектът на чернодробната недостатъчност върху фармакокинетиката на финастерид не е изучаван. Препоръчва се употреба с повишено внимание при пациенти с нарушена чернодробна функция, тъй като финастерид се метаболизира в голяма степен в черния дроб и плазмените концентрации на финастерид могат да се повишат при такива пациенти (вж. точка 4.2).</w:t>
      </w:r>
    </w:p>
    <w:p w14:paraId="43B9709E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u w:val="single"/>
          <w:lang w:eastAsia="bg-BG"/>
        </w:rPr>
      </w:pPr>
    </w:p>
    <w:p w14:paraId="612C82E2" w14:textId="0B793380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u w:val="single"/>
          <w:lang w:eastAsia="bg-BG"/>
        </w:rPr>
        <w:t>Промени в настроението и депресия</w:t>
      </w:r>
    </w:p>
    <w:p w14:paraId="4FF395BC" w14:textId="77777777" w:rsidR="002F3C9F" w:rsidRPr="002F3C9F" w:rsidRDefault="002F3C9F" w:rsidP="002F3C9F">
      <w:pPr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Промени в настроението, включително депресивно настроение, депресия и по-рядко суицидна идеация са съобщавани при пациенти, лекувани с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>финастерид.  Пациентите трябва да</w:t>
      </w:r>
      <w:r>
        <w:rPr>
          <w:rFonts w:eastAsia="Times New Roman" w:cs="Arial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>бъдат проследявани за психични симптоми и ако се появят такива, пациентът трябва да бъде посъветван да потърси медицинска помощ.</w:t>
      </w:r>
    </w:p>
    <w:p w14:paraId="7DBA0909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u w:val="single"/>
          <w:lang w:eastAsia="bg-BG"/>
        </w:rPr>
      </w:pPr>
    </w:p>
    <w:p w14:paraId="4EC433B9" w14:textId="2A1B8B41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u w:val="single"/>
          <w:lang w:eastAsia="bg-BG"/>
        </w:rPr>
        <w:t>Помощни вещества</w:t>
      </w:r>
    </w:p>
    <w:p w14:paraId="580125A9" w14:textId="4F9D1771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i/>
          <w:iCs/>
          <w:color w:val="000000"/>
          <w:lang w:eastAsia="bg-BG"/>
        </w:rPr>
        <w:t>Лактоза</w:t>
      </w:r>
    </w:p>
    <w:p w14:paraId="3F0E9BFC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Пациенти с редки наследствени проблеми на непоносимост към галактоза, пълен лактазен дефицит или глюкозо-галактозна маласорбция не трябва да приемат този лекарствен продукт. </w:t>
      </w:r>
      <w:r w:rsidRPr="002F3C9F">
        <w:rPr>
          <w:rFonts w:eastAsia="Times New Roman" w:cs="Arial"/>
          <w:bCs/>
          <w:i/>
          <w:iCs/>
          <w:color w:val="000000"/>
          <w:lang w:eastAsia="bg-BG"/>
        </w:rPr>
        <w:t>Натрий</w:t>
      </w:r>
    </w:p>
    <w:p w14:paraId="2E82F95A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Този лекарствен продукт съдържа по-малко от 1 </w:t>
      </w:r>
      <w:proofErr w:type="spellStart"/>
      <w:r w:rsidRPr="002F3C9F">
        <w:rPr>
          <w:rFonts w:eastAsia="Times New Roman" w:cs="Arial"/>
          <w:bCs/>
          <w:color w:val="000000"/>
          <w:lang w:val="en-US"/>
        </w:rPr>
        <w:t>mmol</w:t>
      </w:r>
      <w:proofErr w:type="spellEnd"/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натрий (23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) </w:t>
      </w:r>
      <w:r w:rsidRPr="002F3C9F">
        <w:rPr>
          <w:rFonts w:eastAsia="Times New Roman" w:cs="Arial"/>
          <w:bCs/>
          <w:color w:val="000000"/>
          <w:lang w:eastAsia="bg-BG"/>
        </w:rPr>
        <w:t>на филмирана таблетка, т.е. може да се каже, че практически не съдържа натрий.</w:t>
      </w:r>
    </w:p>
    <w:p w14:paraId="5DB1871E" w14:textId="07CC7F3E" w:rsidR="002F3C9F" w:rsidRPr="002F3C9F" w:rsidRDefault="002F3C9F" w:rsidP="002F3C9F">
      <w:pPr>
        <w:spacing w:line="240" w:lineRule="auto"/>
        <w:rPr>
          <w:rFonts w:eastAsia="Times New Roman" w:cs="Arial"/>
        </w:rPr>
      </w:pPr>
    </w:p>
    <w:p w14:paraId="0734264C" w14:textId="5899223D" w:rsidR="007122AD" w:rsidRDefault="002C50EE" w:rsidP="00936AD0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05C37659" w14:textId="369FF54C" w:rsidR="002F3C9F" w:rsidRDefault="002F3C9F" w:rsidP="002F3C9F"/>
    <w:p w14:paraId="4D6D609C" w14:textId="77777777" w:rsidR="002F3C9F" w:rsidRPr="002F3C9F" w:rsidRDefault="002F3C9F" w:rsidP="002F3C9F">
      <w:pPr>
        <w:rPr>
          <w:sz w:val="24"/>
          <w:szCs w:val="24"/>
        </w:rPr>
      </w:pPr>
      <w:r w:rsidRPr="002F3C9F">
        <w:rPr>
          <w:lang w:eastAsia="bg-BG"/>
        </w:rPr>
        <w:t>Не са установени значителни взаимодействия с други лекарствени продукти. Финастерид се метаболизира основно чрез цитохром Р450 ЗА4 ензимната система, но изглежда не я повлиява значително. Въпреки, че рискът финастерид да повлиява фармакокинетиката на други лекарства е оценен като малък, има вероятност инхибиторите и индукторите на цитохром Р450 ЗА4 да повлияват плазмените концентрации на финастерид. Въпреки това, на базата на установените граници на безопасност, всяко повишаване поради едновременната употреба на такива инхибитори е малко вероятно да е клинично значимо. Следните лекарствени продукти са проучвани при хора и не са идентифицирани клинично значими взаимодействия: пропранолол, дигоксин, глибенкламид, варфарин, теофилин и феназон.</w:t>
      </w:r>
    </w:p>
    <w:p w14:paraId="31922A98" w14:textId="77777777" w:rsidR="002F3C9F" w:rsidRPr="002F3C9F" w:rsidRDefault="002F3C9F" w:rsidP="002F3C9F"/>
    <w:p w14:paraId="5D9F40EA" w14:textId="78201291" w:rsidR="007122AD" w:rsidRDefault="002C50EE" w:rsidP="00936AD0">
      <w:pPr>
        <w:pStyle w:val="Heading2"/>
      </w:pPr>
      <w:r>
        <w:t>4.6. Фертилитет, бременност и кърмене</w:t>
      </w:r>
    </w:p>
    <w:p w14:paraId="017532F9" w14:textId="08313C53" w:rsidR="002F3C9F" w:rsidRDefault="002F3C9F" w:rsidP="002F3C9F"/>
    <w:p w14:paraId="3CF56D26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u w:val="single"/>
          <w:lang w:eastAsia="bg-BG"/>
        </w:rPr>
        <w:lastRenderedPageBreak/>
        <w:t>Бременност</w:t>
      </w:r>
    </w:p>
    <w:p w14:paraId="2E6912D0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Финастерид е противопоказан за употреба при жени когато са бременни или има вероятност да са бременни (вж. точка 4.3).</w:t>
      </w:r>
    </w:p>
    <w:p w14:paraId="10037E65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Поради способността на тип </w:t>
      </w:r>
      <w:r w:rsidRPr="002F3C9F">
        <w:rPr>
          <w:rFonts w:eastAsia="Times New Roman" w:cs="Arial"/>
          <w:bCs/>
          <w:color w:val="000000"/>
          <w:lang w:val="en-US"/>
        </w:rPr>
        <w:t>II</w:t>
      </w:r>
      <w:r w:rsidRPr="002F3C9F">
        <w:rPr>
          <w:rFonts w:eastAsia="Times New Roman" w:cs="Arial"/>
          <w:bCs/>
          <w:color w:val="000000"/>
          <w:lang w:eastAsia="bg-BG"/>
        </w:rPr>
        <w:t xml:space="preserve"> 5α-редуктаза инхибиторите да инхибират превръщането на тестостерона в дихидротестостерон, тези лекарства, включително финастерид, могат да причинят увреждания на външните гениталии на мъжкия фетус когато се прилагат при бременни жени (вж. точки 5.3 и 6.6).</w:t>
      </w:r>
    </w:p>
    <w:p w14:paraId="68FD0E46" w14:textId="77777777" w:rsidR="002F3C9F" w:rsidRDefault="002F3C9F" w:rsidP="002F3C9F">
      <w:pPr>
        <w:spacing w:line="240" w:lineRule="auto"/>
        <w:rPr>
          <w:rFonts w:eastAsia="Times New Roman" w:cs="Arial"/>
          <w:bCs/>
          <w:i/>
          <w:iCs/>
          <w:color w:val="000000"/>
          <w:lang w:eastAsia="bg-BG"/>
        </w:rPr>
      </w:pPr>
    </w:p>
    <w:p w14:paraId="7114B172" w14:textId="6CF0B282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i/>
          <w:iCs/>
          <w:color w:val="000000"/>
          <w:lang w:eastAsia="bg-BG"/>
        </w:rPr>
        <w:t>Риск за мъжкия фетус при експозицията на финастерид</w:t>
      </w:r>
    </w:p>
    <w:p w14:paraId="41E84A91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Бременни жени и жени, които могат да забременеят не трябва да докосват счупени или смачкани таблетки финастерид, поради риска от абсорбция на финастерид през кожата и последващ потенциален риск за мъжкия фетус (вж. „Бременност” в този раздел).</w:t>
      </w:r>
    </w:p>
    <w:p w14:paraId="078162BD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Таблетките Хиплафин са филмирани, което при нормално боравене предотвратява контакта с активното вещество, освен ако таблетките не са счупени или смачкани.</w:t>
      </w:r>
    </w:p>
    <w:p w14:paraId="215315C5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lang w:eastAsia="bg-BG"/>
        </w:rPr>
      </w:pPr>
    </w:p>
    <w:p w14:paraId="09B599C5" w14:textId="4F1986BE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Малки количества финастерид са открити в семенната течност на индивиди, приемащи финастерид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eastAsia="bg-BG"/>
        </w:rPr>
        <w:t>/ден. Не е известно дали мъжкия фетус може да бъде увреден, ако майката е изложена на семенната течност на пациент, лекуван с финастерид. Когато сексуалната партньорка на пациента е или може да е бременна се препоръчва пациентът да сведе до минимум експозицията на партньорката му към семенна течност.</w:t>
      </w:r>
    </w:p>
    <w:p w14:paraId="6C43CAE3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u w:val="single"/>
          <w:lang w:eastAsia="bg-BG"/>
        </w:rPr>
      </w:pPr>
    </w:p>
    <w:p w14:paraId="16D8DB62" w14:textId="0B76EBE1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u w:val="single"/>
          <w:lang w:eastAsia="bg-BG"/>
        </w:rPr>
        <w:t>Кърмене</w:t>
      </w:r>
    </w:p>
    <w:p w14:paraId="1864F6A7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Финастерид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>таблетки не е показан за употреба при жени. Не е известно дали финастерид се екскретира в майчиното мляко.</w:t>
      </w:r>
    </w:p>
    <w:p w14:paraId="63E3E2AA" w14:textId="77777777" w:rsidR="002F3C9F" w:rsidRPr="002F3C9F" w:rsidRDefault="002F3C9F" w:rsidP="002F3C9F"/>
    <w:p w14:paraId="5DD7A76D" w14:textId="7FCB507C" w:rsidR="007122AD" w:rsidRDefault="002C50EE" w:rsidP="00936AD0">
      <w:pPr>
        <w:pStyle w:val="Heading2"/>
      </w:pPr>
      <w:r>
        <w:t>4.7. Ефекти върху способността за шофиране и работа с машини</w:t>
      </w:r>
    </w:p>
    <w:p w14:paraId="35DBA626" w14:textId="4681D872" w:rsidR="002F3C9F" w:rsidRDefault="002F3C9F" w:rsidP="002F3C9F"/>
    <w:p w14:paraId="116A23B8" w14:textId="77777777" w:rsidR="002F3C9F" w:rsidRPr="002F3C9F" w:rsidRDefault="002F3C9F" w:rsidP="002F3C9F">
      <w:pPr>
        <w:rPr>
          <w:sz w:val="24"/>
          <w:szCs w:val="24"/>
        </w:rPr>
      </w:pPr>
      <w:r w:rsidRPr="002F3C9F">
        <w:rPr>
          <w:lang w:eastAsia="bg-BG"/>
        </w:rPr>
        <w:t>Няма данни, че финастерид повлиява способността за шофиране и работа с мишки.</w:t>
      </w:r>
    </w:p>
    <w:p w14:paraId="7E5962AE" w14:textId="77777777" w:rsidR="002F3C9F" w:rsidRPr="002F3C9F" w:rsidRDefault="002F3C9F" w:rsidP="002F3C9F"/>
    <w:p w14:paraId="44CE30A3" w14:textId="2FE8F1C8" w:rsidR="007122AD" w:rsidRDefault="002C50EE" w:rsidP="00936AD0">
      <w:pPr>
        <w:pStyle w:val="Heading2"/>
      </w:pPr>
      <w:r>
        <w:t>4.8. Нежелани лекарствени реакции</w:t>
      </w:r>
    </w:p>
    <w:p w14:paraId="16905861" w14:textId="3A9B4918" w:rsidR="002F3C9F" w:rsidRDefault="002F3C9F" w:rsidP="002F3C9F"/>
    <w:p w14:paraId="2ABA8D00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Най-честите нежелани реакции са импотентност и намалено либидо. Тези нежелани реакции настъпват в ранния етап на терапията и при повечето пациенти отзвучават в хода на лечението.</w:t>
      </w:r>
    </w:p>
    <w:p w14:paraId="694DC26C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lang w:eastAsia="bg-BG"/>
        </w:rPr>
      </w:pPr>
    </w:p>
    <w:p w14:paraId="51C00880" w14:textId="4B32720A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Нежеланите реакции докладвани по време на клиничните проучвания и/или постмаркетинговата употреба на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>финастерид и/или финастерид в по-ниски дози са описани в таблицата по-долу.</w:t>
      </w:r>
    </w:p>
    <w:p w14:paraId="4F12E5A0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Честотата на нежеланите реакции е определена както следва:</w:t>
      </w:r>
    </w:p>
    <w:p w14:paraId="22FFFDC6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Много чести (≥1/10)</w:t>
      </w:r>
    </w:p>
    <w:p w14:paraId="51B755D1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Чести (≥1/100 до &lt;1/10)</w:t>
      </w:r>
    </w:p>
    <w:p w14:paraId="0164184F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Нечести (≥1/1 000 до &lt;1/100)</w:t>
      </w:r>
    </w:p>
    <w:p w14:paraId="780538F5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i/>
          <w:iCs/>
          <w:color w:val="000000"/>
          <w:lang w:eastAsia="bg-BG"/>
        </w:rPr>
        <w:t>Редки (≥1/10 000 до</w:t>
      </w:r>
      <w:r w:rsidRPr="002F3C9F">
        <w:rPr>
          <w:rFonts w:eastAsia="Times New Roman" w:cs="Arial"/>
          <w:bCs/>
          <w:color w:val="000000"/>
          <w:lang w:eastAsia="bg-BG"/>
        </w:rPr>
        <w:t xml:space="preserve"> &lt;1/1 000)</w:t>
      </w:r>
    </w:p>
    <w:p w14:paraId="7B66F9ED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Много редки (&lt;1/10 000)</w:t>
      </w:r>
    </w:p>
    <w:p w14:paraId="388EE645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С неизвестна честота (от наличните данни не може да бъде направена оценка).</w:t>
      </w:r>
    </w:p>
    <w:p w14:paraId="5D24B191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Честотата на нежеланите реакции докладвани в постмаркетинговата употреба не могат да бъдат определени тъй като са получени от спонтанни съобщения.</w:t>
      </w:r>
    </w:p>
    <w:p w14:paraId="724FFEF9" w14:textId="67288C70" w:rsidR="002F3C9F" w:rsidRDefault="002F3C9F" w:rsidP="002F3C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085"/>
        <w:gridCol w:w="3148"/>
      </w:tblGrid>
      <w:tr w:rsidR="002F3C9F" w14:paraId="08E457B2" w14:textId="77777777" w:rsidTr="002F3C9F">
        <w:tc>
          <w:tcPr>
            <w:tcW w:w="3192" w:type="dxa"/>
          </w:tcPr>
          <w:p w14:paraId="49C2952F" w14:textId="51682FDD" w:rsidR="002F3C9F" w:rsidRPr="002F3C9F" w:rsidRDefault="002F3C9F" w:rsidP="002F3C9F">
            <w:r w:rsidRPr="002F3C9F">
              <w:rPr>
                <w:bCs/>
              </w:rPr>
              <w:t>Системо-органни класове</w:t>
            </w:r>
          </w:p>
        </w:tc>
        <w:tc>
          <w:tcPr>
            <w:tcW w:w="3192" w:type="dxa"/>
          </w:tcPr>
          <w:p w14:paraId="48E2005E" w14:textId="25011F82" w:rsidR="002F3C9F" w:rsidRPr="002F3C9F" w:rsidRDefault="002F3C9F" w:rsidP="002F3C9F">
            <w:r w:rsidRPr="002F3C9F">
              <w:rPr>
                <w:bCs/>
              </w:rPr>
              <w:t>Честота</w:t>
            </w:r>
          </w:p>
        </w:tc>
        <w:tc>
          <w:tcPr>
            <w:tcW w:w="3192" w:type="dxa"/>
          </w:tcPr>
          <w:p w14:paraId="2134FD41" w14:textId="3722791F" w:rsidR="002F3C9F" w:rsidRPr="002F3C9F" w:rsidRDefault="002F3C9F" w:rsidP="002F3C9F">
            <w:r w:rsidRPr="002F3C9F">
              <w:rPr>
                <w:bCs/>
              </w:rPr>
              <w:t>Нежелани реакции</w:t>
            </w:r>
          </w:p>
        </w:tc>
      </w:tr>
      <w:tr w:rsidR="002F3C9F" w14:paraId="654630AA" w14:textId="77777777" w:rsidTr="002F3C9F">
        <w:tc>
          <w:tcPr>
            <w:tcW w:w="3192" w:type="dxa"/>
          </w:tcPr>
          <w:p w14:paraId="3B04FA2B" w14:textId="408D6B42" w:rsidR="002F3C9F" w:rsidRPr="002F3C9F" w:rsidRDefault="002F3C9F" w:rsidP="002F3C9F">
            <w:r w:rsidRPr="002F3C9F">
              <w:rPr>
                <w:bCs/>
              </w:rPr>
              <w:lastRenderedPageBreak/>
              <w:t>Нарушения на имунната система</w:t>
            </w:r>
          </w:p>
        </w:tc>
        <w:tc>
          <w:tcPr>
            <w:tcW w:w="3192" w:type="dxa"/>
          </w:tcPr>
          <w:p w14:paraId="48FE076E" w14:textId="0C58AA62" w:rsidR="002F3C9F" w:rsidRPr="002F3C9F" w:rsidRDefault="002F3C9F" w:rsidP="002F3C9F">
            <w:r w:rsidRPr="002F3C9F">
              <w:rPr>
                <w:bCs/>
              </w:rPr>
              <w:t xml:space="preserve">С </w:t>
            </w:r>
            <w:r w:rsidRPr="002F3C9F">
              <w:rPr>
                <w:bCs/>
                <w:i/>
                <w:iCs/>
              </w:rPr>
              <w:t>неизвестна честота</w:t>
            </w:r>
          </w:p>
        </w:tc>
        <w:tc>
          <w:tcPr>
            <w:tcW w:w="3192" w:type="dxa"/>
          </w:tcPr>
          <w:p w14:paraId="546FEF8F" w14:textId="408D1831" w:rsidR="002F3C9F" w:rsidRPr="002F3C9F" w:rsidRDefault="002F3C9F" w:rsidP="002F3C9F">
            <w:r w:rsidRPr="002F3C9F">
              <w:rPr>
                <w:bCs/>
              </w:rPr>
              <w:t>Реакции на свръхчувствителност, включително ангиоедем (включва подуване на устните, езика, гърлото и лицето)</w:t>
            </w:r>
          </w:p>
        </w:tc>
      </w:tr>
      <w:tr w:rsidR="002F3C9F" w14:paraId="410D1B5C" w14:textId="77777777" w:rsidTr="002F3C9F">
        <w:tc>
          <w:tcPr>
            <w:tcW w:w="3192" w:type="dxa"/>
            <w:vMerge w:val="restart"/>
          </w:tcPr>
          <w:p w14:paraId="50C5E34A" w14:textId="7FE5D82E" w:rsidR="002F3C9F" w:rsidRPr="002F3C9F" w:rsidRDefault="002F3C9F" w:rsidP="002F3C9F">
            <w:r w:rsidRPr="002F3C9F">
              <w:rPr>
                <w:bCs/>
              </w:rPr>
              <w:t>Психични нарушения</w:t>
            </w:r>
          </w:p>
        </w:tc>
        <w:tc>
          <w:tcPr>
            <w:tcW w:w="3192" w:type="dxa"/>
          </w:tcPr>
          <w:p w14:paraId="52AD7F8C" w14:textId="2FA34862" w:rsidR="002F3C9F" w:rsidRPr="002F3C9F" w:rsidRDefault="002F3C9F" w:rsidP="002F3C9F">
            <w:r w:rsidRPr="002F3C9F">
              <w:rPr>
                <w:bCs/>
                <w:i/>
                <w:iCs/>
              </w:rPr>
              <w:t>Чести</w:t>
            </w:r>
          </w:p>
        </w:tc>
        <w:tc>
          <w:tcPr>
            <w:tcW w:w="3192" w:type="dxa"/>
          </w:tcPr>
          <w:p w14:paraId="65030CC0" w14:textId="261CB231" w:rsidR="002F3C9F" w:rsidRPr="002F3C9F" w:rsidRDefault="002F3C9F" w:rsidP="002F3C9F">
            <w:r w:rsidRPr="002F3C9F">
              <w:rPr>
                <w:bCs/>
              </w:rPr>
              <w:t>Понижено либидо</w:t>
            </w:r>
          </w:p>
        </w:tc>
      </w:tr>
      <w:tr w:rsidR="002F3C9F" w14:paraId="55EC2A6E" w14:textId="77777777" w:rsidTr="002F3C9F">
        <w:tc>
          <w:tcPr>
            <w:tcW w:w="3192" w:type="dxa"/>
            <w:vMerge/>
          </w:tcPr>
          <w:p w14:paraId="2EDF6AB2" w14:textId="77777777" w:rsidR="002F3C9F" w:rsidRPr="002F3C9F" w:rsidRDefault="002F3C9F" w:rsidP="002F3C9F"/>
        </w:tc>
        <w:tc>
          <w:tcPr>
            <w:tcW w:w="3192" w:type="dxa"/>
          </w:tcPr>
          <w:p w14:paraId="4C0CF313" w14:textId="35ECCC6E" w:rsidR="002F3C9F" w:rsidRPr="002F3C9F" w:rsidRDefault="002F3C9F" w:rsidP="002F3C9F">
            <w:r w:rsidRPr="002F3C9F">
              <w:rPr>
                <w:bCs/>
                <w:i/>
                <w:iCs/>
              </w:rPr>
              <w:t>С неизвестна честота</w:t>
            </w:r>
          </w:p>
        </w:tc>
        <w:tc>
          <w:tcPr>
            <w:tcW w:w="3192" w:type="dxa"/>
          </w:tcPr>
          <w:p w14:paraId="27D5F386" w14:textId="586B6E80" w:rsidR="002F3C9F" w:rsidRPr="002F3C9F" w:rsidRDefault="002F3C9F" w:rsidP="002F3C9F">
            <w:r w:rsidRPr="002F3C9F">
              <w:rPr>
                <w:bCs/>
              </w:rPr>
              <w:t>Депресия, понижено либидо, което не отзвучава след прекратяване на лечението, тревожност</w:t>
            </w:r>
          </w:p>
        </w:tc>
      </w:tr>
      <w:tr w:rsidR="002F3C9F" w14:paraId="65D800AB" w14:textId="77777777" w:rsidTr="002F3C9F">
        <w:tc>
          <w:tcPr>
            <w:tcW w:w="3192" w:type="dxa"/>
          </w:tcPr>
          <w:p w14:paraId="60249420" w14:textId="2C7B1CD6" w:rsidR="002F3C9F" w:rsidRPr="002F3C9F" w:rsidRDefault="002F3C9F" w:rsidP="002F3C9F">
            <w:r w:rsidRPr="002F3C9F">
              <w:rPr>
                <w:bCs/>
              </w:rPr>
              <w:t>Сърдечни нарушения</w:t>
            </w:r>
          </w:p>
        </w:tc>
        <w:tc>
          <w:tcPr>
            <w:tcW w:w="3192" w:type="dxa"/>
          </w:tcPr>
          <w:p w14:paraId="76538B7A" w14:textId="0A0E0CA5" w:rsidR="002F3C9F" w:rsidRPr="002F3C9F" w:rsidRDefault="002F3C9F" w:rsidP="002F3C9F">
            <w:r w:rsidRPr="002F3C9F">
              <w:rPr>
                <w:bCs/>
                <w:i/>
                <w:iCs/>
              </w:rPr>
              <w:t>С неизвестна честота</w:t>
            </w:r>
          </w:p>
        </w:tc>
        <w:tc>
          <w:tcPr>
            <w:tcW w:w="3192" w:type="dxa"/>
          </w:tcPr>
          <w:p w14:paraId="7E1AD12F" w14:textId="5807D3AE" w:rsidR="002F3C9F" w:rsidRPr="002F3C9F" w:rsidRDefault="002F3C9F" w:rsidP="002F3C9F">
            <w:r w:rsidRPr="002F3C9F">
              <w:rPr>
                <w:bCs/>
              </w:rPr>
              <w:t>Палпитация</w:t>
            </w:r>
          </w:p>
        </w:tc>
      </w:tr>
      <w:tr w:rsidR="002F3C9F" w14:paraId="68951B31" w14:textId="77777777" w:rsidTr="002F3C9F">
        <w:tc>
          <w:tcPr>
            <w:tcW w:w="3192" w:type="dxa"/>
          </w:tcPr>
          <w:p w14:paraId="2A9E7F0F" w14:textId="3F50ADD3" w:rsidR="002F3C9F" w:rsidRPr="002F3C9F" w:rsidRDefault="002F3C9F" w:rsidP="002F3C9F">
            <w:r w:rsidRPr="002F3C9F">
              <w:rPr>
                <w:bCs/>
              </w:rPr>
              <w:t>Хепатобилиарни нарушения</w:t>
            </w:r>
          </w:p>
        </w:tc>
        <w:tc>
          <w:tcPr>
            <w:tcW w:w="3192" w:type="dxa"/>
          </w:tcPr>
          <w:p w14:paraId="1D7D1B3F" w14:textId="15295BE9" w:rsidR="002F3C9F" w:rsidRPr="002F3C9F" w:rsidRDefault="002F3C9F" w:rsidP="002F3C9F">
            <w:r w:rsidRPr="002F3C9F">
              <w:rPr>
                <w:bCs/>
                <w:i/>
                <w:iCs/>
              </w:rPr>
              <w:t>С неизвестна честота</w:t>
            </w:r>
          </w:p>
        </w:tc>
        <w:tc>
          <w:tcPr>
            <w:tcW w:w="3192" w:type="dxa"/>
          </w:tcPr>
          <w:p w14:paraId="638B0D96" w14:textId="6EB7AE77" w:rsidR="002F3C9F" w:rsidRPr="002F3C9F" w:rsidRDefault="002F3C9F" w:rsidP="002F3C9F">
            <w:r w:rsidRPr="002F3C9F">
              <w:rPr>
                <w:bCs/>
              </w:rPr>
              <w:t>Повишени чернодробни ензими</w:t>
            </w:r>
          </w:p>
        </w:tc>
      </w:tr>
      <w:tr w:rsidR="002F3C9F" w14:paraId="11BD075C" w14:textId="77777777" w:rsidTr="002F3C9F">
        <w:tc>
          <w:tcPr>
            <w:tcW w:w="3192" w:type="dxa"/>
            <w:vMerge w:val="restart"/>
          </w:tcPr>
          <w:p w14:paraId="3B410FA0" w14:textId="7878025F" w:rsidR="002F3C9F" w:rsidRPr="002F3C9F" w:rsidRDefault="002F3C9F" w:rsidP="002F3C9F">
            <w:r w:rsidRPr="002F3C9F">
              <w:rPr>
                <w:bCs/>
              </w:rPr>
              <w:t>Нарушения на кожата и подкожната тъкан</w:t>
            </w:r>
          </w:p>
        </w:tc>
        <w:tc>
          <w:tcPr>
            <w:tcW w:w="3192" w:type="dxa"/>
          </w:tcPr>
          <w:p w14:paraId="4A014B62" w14:textId="2EFFEA0D" w:rsidR="002F3C9F" w:rsidRPr="002F3C9F" w:rsidRDefault="002F3C9F" w:rsidP="002F3C9F">
            <w:r w:rsidRPr="002F3C9F">
              <w:rPr>
                <w:bCs/>
                <w:i/>
                <w:iCs/>
              </w:rPr>
              <w:t>Нечести</w:t>
            </w:r>
          </w:p>
        </w:tc>
        <w:tc>
          <w:tcPr>
            <w:tcW w:w="3192" w:type="dxa"/>
          </w:tcPr>
          <w:p w14:paraId="2EB5DBC6" w14:textId="2AC2D229" w:rsidR="002F3C9F" w:rsidRPr="002F3C9F" w:rsidRDefault="002F3C9F" w:rsidP="002F3C9F">
            <w:r w:rsidRPr="002F3C9F">
              <w:rPr>
                <w:bCs/>
              </w:rPr>
              <w:t>Обрив</w:t>
            </w:r>
          </w:p>
        </w:tc>
      </w:tr>
      <w:tr w:rsidR="002F3C9F" w14:paraId="7FB6EF7A" w14:textId="77777777" w:rsidTr="002F3C9F">
        <w:tc>
          <w:tcPr>
            <w:tcW w:w="3192" w:type="dxa"/>
            <w:vMerge/>
          </w:tcPr>
          <w:p w14:paraId="1BD01264" w14:textId="77777777" w:rsidR="002F3C9F" w:rsidRPr="002F3C9F" w:rsidRDefault="002F3C9F" w:rsidP="002F3C9F"/>
        </w:tc>
        <w:tc>
          <w:tcPr>
            <w:tcW w:w="3192" w:type="dxa"/>
          </w:tcPr>
          <w:p w14:paraId="185E4220" w14:textId="0F0535C8" w:rsidR="002F3C9F" w:rsidRPr="002F3C9F" w:rsidRDefault="002F3C9F" w:rsidP="002F3C9F">
            <w:r w:rsidRPr="002F3C9F">
              <w:rPr>
                <w:bCs/>
                <w:i/>
                <w:iCs/>
              </w:rPr>
              <w:t>С неизвестна честота</w:t>
            </w:r>
          </w:p>
        </w:tc>
        <w:tc>
          <w:tcPr>
            <w:tcW w:w="3192" w:type="dxa"/>
          </w:tcPr>
          <w:p w14:paraId="731B7726" w14:textId="55ECE6B0" w:rsidR="002F3C9F" w:rsidRPr="002F3C9F" w:rsidRDefault="002F3C9F" w:rsidP="002F3C9F">
            <w:r w:rsidRPr="002F3C9F">
              <w:rPr>
                <w:bCs/>
              </w:rPr>
              <w:t>Пруритус, уртикария</w:t>
            </w:r>
          </w:p>
        </w:tc>
      </w:tr>
      <w:tr w:rsidR="002F3C9F" w14:paraId="1849C867" w14:textId="77777777" w:rsidTr="002F3C9F">
        <w:tc>
          <w:tcPr>
            <w:tcW w:w="3192" w:type="dxa"/>
            <w:vMerge w:val="restart"/>
          </w:tcPr>
          <w:p w14:paraId="280E1322" w14:textId="7C5ACE24" w:rsidR="002F3C9F" w:rsidRPr="002F3C9F" w:rsidRDefault="002F3C9F" w:rsidP="002F3C9F">
            <w:r w:rsidRPr="002F3C9F">
              <w:rPr>
                <w:bCs/>
              </w:rPr>
              <w:t>Нарушения на репродуктивната система и гърдата</w:t>
            </w:r>
          </w:p>
        </w:tc>
        <w:tc>
          <w:tcPr>
            <w:tcW w:w="3192" w:type="dxa"/>
          </w:tcPr>
          <w:p w14:paraId="3F00C3E9" w14:textId="42A343F9" w:rsidR="002F3C9F" w:rsidRPr="002F3C9F" w:rsidRDefault="002F3C9F" w:rsidP="002F3C9F">
            <w:r w:rsidRPr="002F3C9F">
              <w:rPr>
                <w:bCs/>
                <w:i/>
                <w:iCs/>
              </w:rPr>
              <w:t>Чести</w:t>
            </w:r>
          </w:p>
        </w:tc>
        <w:tc>
          <w:tcPr>
            <w:tcW w:w="3192" w:type="dxa"/>
          </w:tcPr>
          <w:p w14:paraId="1B68A334" w14:textId="0C737BE8" w:rsidR="002F3C9F" w:rsidRPr="002F3C9F" w:rsidRDefault="002F3C9F" w:rsidP="002F3C9F">
            <w:r w:rsidRPr="002F3C9F">
              <w:rPr>
                <w:bCs/>
              </w:rPr>
              <w:t>Импотентност</w:t>
            </w:r>
          </w:p>
        </w:tc>
      </w:tr>
      <w:tr w:rsidR="002F3C9F" w14:paraId="5ACFE22A" w14:textId="77777777" w:rsidTr="002F3C9F">
        <w:tc>
          <w:tcPr>
            <w:tcW w:w="3192" w:type="dxa"/>
            <w:vMerge/>
          </w:tcPr>
          <w:p w14:paraId="6199C7F8" w14:textId="77777777" w:rsidR="002F3C9F" w:rsidRPr="002F3C9F" w:rsidRDefault="002F3C9F" w:rsidP="002F3C9F"/>
        </w:tc>
        <w:tc>
          <w:tcPr>
            <w:tcW w:w="3192" w:type="dxa"/>
          </w:tcPr>
          <w:p w14:paraId="639969E8" w14:textId="45651B98" w:rsidR="002F3C9F" w:rsidRPr="002F3C9F" w:rsidRDefault="002F3C9F" w:rsidP="002F3C9F">
            <w:r w:rsidRPr="002F3C9F">
              <w:rPr>
                <w:bCs/>
                <w:i/>
                <w:iCs/>
              </w:rPr>
              <w:t>Нечести</w:t>
            </w:r>
          </w:p>
        </w:tc>
        <w:tc>
          <w:tcPr>
            <w:tcW w:w="3192" w:type="dxa"/>
          </w:tcPr>
          <w:p w14:paraId="0F80C9F1" w14:textId="52E0656B" w:rsidR="002F3C9F" w:rsidRPr="002F3C9F" w:rsidRDefault="002F3C9F" w:rsidP="002F3C9F">
            <w:r w:rsidRPr="002F3C9F">
              <w:rPr>
                <w:bCs/>
              </w:rPr>
              <w:t>Нарушена еякулация, чувствителност на гърдите, уголемяване на гърдите</w:t>
            </w:r>
          </w:p>
        </w:tc>
      </w:tr>
      <w:tr w:rsidR="002F3C9F" w14:paraId="014A0511" w14:textId="77777777" w:rsidTr="002F3C9F">
        <w:tc>
          <w:tcPr>
            <w:tcW w:w="3192" w:type="dxa"/>
            <w:vMerge/>
          </w:tcPr>
          <w:p w14:paraId="74244743" w14:textId="77777777" w:rsidR="002F3C9F" w:rsidRPr="002F3C9F" w:rsidRDefault="002F3C9F" w:rsidP="002F3C9F"/>
        </w:tc>
        <w:tc>
          <w:tcPr>
            <w:tcW w:w="3192" w:type="dxa"/>
          </w:tcPr>
          <w:p w14:paraId="2ECEC5A9" w14:textId="059F937D" w:rsidR="002F3C9F" w:rsidRPr="002F3C9F" w:rsidRDefault="002F3C9F" w:rsidP="002F3C9F">
            <w:r w:rsidRPr="002F3C9F">
              <w:rPr>
                <w:bCs/>
                <w:i/>
                <w:iCs/>
              </w:rPr>
              <w:t>С неизвестна честота</w:t>
            </w:r>
          </w:p>
        </w:tc>
        <w:tc>
          <w:tcPr>
            <w:tcW w:w="3192" w:type="dxa"/>
          </w:tcPr>
          <w:p w14:paraId="4D81A2A9" w14:textId="55E9DF2D" w:rsidR="002F3C9F" w:rsidRPr="002F3C9F" w:rsidRDefault="002F3C9F" w:rsidP="002F3C9F">
            <w:r w:rsidRPr="002F3C9F">
              <w:rPr>
                <w:bCs/>
              </w:rPr>
              <w:t>Болка в тестисите, еректилна дисфункция, която не отзвучава след прекратяване на лечението, стерилитет при мъжете и/или лошо качество на семенната течност</w:t>
            </w:r>
          </w:p>
        </w:tc>
      </w:tr>
      <w:tr w:rsidR="002F3C9F" w14:paraId="5DAE3121" w14:textId="77777777" w:rsidTr="002F3C9F">
        <w:tc>
          <w:tcPr>
            <w:tcW w:w="3192" w:type="dxa"/>
          </w:tcPr>
          <w:p w14:paraId="0FB0FE39" w14:textId="0823A71B" w:rsidR="002F3C9F" w:rsidRPr="002F3C9F" w:rsidRDefault="002F3C9F" w:rsidP="002F3C9F">
            <w:r w:rsidRPr="002F3C9F">
              <w:rPr>
                <w:bCs/>
              </w:rPr>
              <w:t>Изследвания</w:t>
            </w:r>
          </w:p>
        </w:tc>
        <w:tc>
          <w:tcPr>
            <w:tcW w:w="3192" w:type="dxa"/>
          </w:tcPr>
          <w:p w14:paraId="14158828" w14:textId="5ACE5D8C" w:rsidR="002F3C9F" w:rsidRPr="002F3C9F" w:rsidRDefault="002F3C9F" w:rsidP="002F3C9F">
            <w:r w:rsidRPr="002F3C9F">
              <w:rPr>
                <w:bCs/>
                <w:i/>
                <w:iCs/>
              </w:rPr>
              <w:t>Чести</w:t>
            </w:r>
          </w:p>
        </w:tc>
        <w:tc>
          <w:tcPr>
            <w:tcW w:w="3192" w:type="dxa"/>
          </w:tcPr>
          <w:p w14:paraId="19153565" w14:textId="39E79A2D" w:rsidR="002F3C9F" w:rsidRPr="002F3C9F" w:rsidRDefault="002F3C9F" w:rsidP="002F3C9F">
            <w:r w:rsidRPr="002F3C9F">
              <w:rPr>
                <w:bCs/>
              </w:rPr>
              <w:t>Понижен обем на еякулата</w:t>
            </w:r>
          </w:p>
        </w:tc>
      </w:tr>
    </w:tbl>
    <w:p w14:paraId="19A09169" w14:textId="051293C8" w:rsidR="002F3C9F" w:rsidRDefault="002F3C9F" w:rsidP="002F3C9F"/>
    <w:p w14:paraId="34BC148F" w14:textId="2992F0A0" w:rsidR="002F3C9F" w:rsidRPr="002F3C9F" w:rsidRDefault="002F3C9F" w:rsidP="002F3C9F">
      <w:pPr>
        <w:rPr>
          <w:rFonts w:cs="Arial"/>
          <w:bCs/>
        </w:rPr>
      </w:pPr>
      <w:r w:rsidRPr="002F3C9F">
        <w:rPr>
          <w:rFonts w:cs="Arial"/>
          <w:bCs/>
        </w:rPr>
        <w:t>В допълнение е докладван карцином на гърдата при мъже в клиничните проучвания и постмаркетинговата употреба (вж. точка 4.4 Специални предупреждения и предпазни мерки при употреба).</w:t>
      </w:r>
    </w:p>
    <w:p w14:paraId="0525F2B2" w14:textId="1BDC5A37" w:rsidR="002F3C9F" w:rsidRPr="002F3C9F" w:rsidRDefault="002F3C9F" w:rsidP="002F3C9F">
      <w:pPr>
        <w:rPr>
          <w:rFonts w:cs="Arial"/>
          <w:bCs/>
        </w:rPr>
      </w:pPr>
    </w:p>
    <w:p w14:paraId="63E50DB3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u w:val="single"/>
          <w:lang w:eastAsia="bg-BG"/>
        </w:rPr>
        <w:t xml:space="preserve">Лечение на простатните симптоми </w:t>
      </w:r>
      <w:r w:rsidRPr="002F3C9F">
        <w:rPr>
          <w:rFonts w:eastAsia="Times New Roman" w:cs="Arial"/>
          <w:bCs/>
          <w:color w:val="000000"/>
          <w:u w:val="single"/>
        </w:rPr>
        <w:t>(</w:t>
      </w:r>
      <w:r w:rsidRPr="002F3C9F">
        <w:rPr>
          <w:rFonts w:eastAsia="Times New Roman" w:cs="Arial"/>
          <w:bCs/>
          <w:color w:val="000000"/>
          <w:u w:val="single"/>
          <w:lang w:val="en-US"/>
        </w:rPr>
        <w:t>Medical</w:t>
      </w:r>
      <w:r w:rsidRPr="002F3C9F">
        <w:rPr>
          <w:rFonts w:eastAsia="Times New Roman" w:cs="Arial"/>
          <w:bCs/>
          <w:color w:val="000000"/>
          <w:u w:val="single"/>
        </w:rPr>
        <w:t xml:space="preserve"> </w:t>
      </w:r>
      <w:r w:rsidRPr="002F3C9F">
        <w:rPr>
          <w:rFonts w:eastAsia="Times New Roman" w:cs="Arial"/>
          <w:bCs/>
          <w:color w:val="000000"/>
          <w:u w:val="single"/>
          <w:lang w:val="en-US"/>
        </w:rPr>
        <w:t>therapy</w:t>
      </w:r>
      <w:r w:rsidRPr="002F3C9F">
        <w:rPr>
          <w:rFonts w:eastAsia="Times New Roman" w:cs="Arial"/>
          <w:bCs/>
          <w:color w:val="000000"/>
          <w:u w:val="single"/>
        </w:rPr>
        <w:t xml:space="preserve"> </w:t>
      </w:r>
      <w:r w:rsidRPr="002F3C9F">
        <w:rPr>
          <w:rFonts w:eastAsia="Times New Roman" w:cs="Arial"/>
          <w:bCs/>
          <w:color w:val="000000"/>
          <w:u w:val="single"/>
          <w:lang w:val="en-US"/>
        </w:rPr>
        <w:t>of</w:t>
      </w:r>
      <w:r w:rsidRPr="002F3C9F">
        <w:rPr>
          <w:rFonts w:eastAsia="Times New Roman" w:cs="Arial"/>
          <w:bCs/>
          <w:color w:val="000000"/>
          <w:u w:val="single"/>
        </w:rPr>
        <w:t xml:space="preserve"> </w:t>
      </w:r>
      <w:r w:rsidRPr="002F3C9F">
        <w:rPr>
          <w:rFonts w:eastAsia="Times New Roman" w:cs="Arial"/>
          <w:bCs/>
          <w:color w:val="000000"/>
          <w:u w:val="single"/>
          <w:lang w:val="en-US"/>
        </w:rPr>
        <w:t>prostatic</w:t>
      </w:r>
      <w:r w:rsidRPr="002F3C9F">
        <w:rPr>
          <w:rFonts w:eastAsia="Times New Roman" w:cs="Arial"/>
          <w:bCs/>
          <w:color w:val="000000"/>
          <w:u w:val="single"/>
        </w:rPr>
        <w:t xml:space="preserve"> </w:t>
      </w:r>
      <w:r w:rsidRPr="002F3C9F">
        <w:rPr>
          <w:rFonts w:eastAsia="Times New Roman" w:cs="Arial"/>
          <w:bCs/>
          <w:color w:val="000000"/>
          <w:u w:val="single"/>
          <w:lang w:val="en-US"/>
        </w:rPr>
        <w:t>symptoms</w:t>
      </w:r>
      <w:r w:rsidRPr="002F3C9F">
        <w:rPr>
          <w:rFonts w:eastAsia="Times New Roman" w:cs="Arial"/>
          <w:bCs/>
          <w:color w:val="000000"/>
          <w:u w:val="single"/>
        </w:rPr>
        <w:t xml:space="preserve"> (</w:t>
      </w:r>
      <w:r w:rsidRPr="002F3C9F">
        <w:rPr>
          <w:rFonts w:eastAsia="Times New Roman" w:cs="Arial"/>
          <w:bCs/>
          <w:color w:val="000000"/>
          <w:u w:val="single"/>
          <w:lang w:val="en-US"/>
        </w:rPr>
        <w:t>MTOPS</w:t>
      </w:r>
      <w:r w:rsidRPr="002F3C9F">
        <w:rPr>
          <w:rFonts w:eastAsia="Times New Roman" w:cs="Arial"/>
          <w:bCs/>
          <w:color w:val="000000"/>
          <w:u w:val="single"/>
        </w:rPr>
        <w:t xml:space="preserve">)) </w:t>
      </w:r>
      <w:r w:rsidRPr="002F3C9F">
        <w:rPr>
          <w:rFonts w:eastAsia="Times New Roman" w:cs="Arial"/>
          <w:bCs/>
          <w:color w:val="000000"/>
          <w:lang w:val="en-US"/>
        </w:rPr>
        <w:t>MTOPS</w:t>
      </w:r>
      <w:r w:rsidRPr="002F3C9F">
        <w:rPr>
          <w:rFonts w:eastAsia="Times New Roman" w:cs="Arial"/>
          <w:bCs/>
          <w:color w:val="000000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проучване сравнява финастерид </w:t>
      </w:r>
      <w:r w:rsidRPr="002F3C9F">
        <w:rPr>
          <w:rFonts w:eastAsia="Times New Roman" w:cs="Arial"/>
          <w:bCs/>
          <w:color w:val="000000"/>
        </w:rPr>
        <w:t xml:space="preserve">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eastAsia="bg-BG"/>
        </w:rPr>
        <w:t xml:space="preserve">/ден </w:t>
      </w:r>
      <w:r w:rsidRPr="002F3C9F">
        <w:rPr>
          <w:rFonts w:eastAsia="Times New Roman" w:cs="Arial"/>
          <w:bCs/>
          <w:color w:val="000000"/>
        </w:rPr>
        <w:t>(</w:t>
      </w:r>
      <w:r w:rsidRPr="002F3C9F">
        <w:rPr>
          <w:rFonts w:eastAsia="Times New Roman" w:cs="Arial"/>
          <w:bCs/>
          <w:color w:val="000000"/>
          <w:lang w:val="en-US"/>
        </w:rPr>
        <w:t>n</w:t>
      </w:r>
      <w:r w:rsidRPr="002F3C9F">
        <w:rPr>
          <w:rFonts w:eastAsia="Times New Roman" w:cs="Arial"/>
          <w:bCs/>
          <w:color w:val="000000"/>
        </w:rPr>
        <w:t xml:space="preserve">=768),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доксазозин </w:t>
      </w:r>
      <w:r w:rsidRPr="002F3C9F">
        <w:rPr>
          <w:rFonts w:eastAsia="Times New Roman" w:cs="Arial"/>
          <w:bCs/>
          <w:color w:val="000000"/>
        </w:rPr>
        <w:t xml:space="preserve">4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или 8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eastAsia="bg-BG"/>
        </w:rPr>
        <w:t xml:space="preserve">/ден </w:t>
      </w:r>
      <w:r w:rsidRPr="002F3C9F">
        <w:rPr>
          <w:rFonts w:eastAsia="Times New Roman" w:cs="Arial"/>
          <w:bCs/>
          <w:color w:val="000000"/>
        </w:rPr>
        <w:t>(</w:t>
      </w:r>
      <w:r w:rsidRPr="002F3C9F">
        <w:rPr>
          <w:rFonts w:eastAsia="Times New Roman" w:cs="Arial"/>
          <w:bCs/>
          <w:color w:val="000000"/>
          <w:lang w:val="en-US"/>
        </w:rPr>
        <w:t>n</w:t>
      </w:r>
      <w:r w:rsidRPr="002F3C9F">
        <w:rPr>
          <w:rFonts w:eastAsia="Times New Roman" w:cs="Arial"/>
          <w:bCs/>
          <w:color w:val="000000"/>
        </w:rPr>
        <w:t xml:space="preserve">=756),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комбинирана терапия от финастерид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eastAsia="bg-BG"/>
        </w:rPr>
        <w:t xml:space="preserve">/ден и доксазозин 4 или 8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eastAsia="bg-BG"/>
        </w:rPr>
        <w:t>/ден (</w:t>
      </w:r>
      <w:r w:rsidRPr="002F3C9F">
        <w:rPr>
          <w:rFonts w:eastAsia="Times New Roman" w:cs="Arial"/>
          <w:bCs/>
          <w:color w:val="000000"/>
          <w:lang w:val="en-US"/>
        </w:rPr>
        <w:t>n</w:t>
      </w:r>
      <w:r w:rsidRPr="002F3C9F">
        <w:rPr>
          <w:rFonts w:eastAsia="Times New Roman" w:cs="Arial"/>
          <w:bCs/>
          <w:color w:val="000000"/>
          <w:lang w:eastAsia="bg-BG"/>
        </w:rPr>
        <w:t>=786) и плацебо (</w:t>
      </w:r>
      <w:r w:rsidRPr="002F3C9F">
        <w:rPr>
          <w:rFonts w:eastAsia="Times New Roman" w:cs="Arial"/>
          <w:bCs/>
          <w:color w:val="000000"/>
          <w:lang w:val="en-US"/>
        </w:rPr>
        <w:t>n</w:t>
      </w:r>
      <w:r w:rsidRPr="002F3C9F">
        <w:rPr>
          <w:rFonts w:eastAsia="Times New Roman" w:cs="Arial"/>
          <w:bCs/>
          <w:color w:val="000000"/>
          <w:lang w:eastAsia="bg-BG"/>
        </w:rPr>
        <w:t>=737). В тези проучвания профилът на безопасност и поносимост от комбинираната терапия е като цяло в съответствие с профилите на индивидуалните компоненти. Честотата на нарушение в еякулацията при пациенти, получаващи комбинирана терапия е сравнима със сумата от честотата на тази нежелана реакция за двете монотерапии.</w:t>
      </w:r>
    </w:p>
    <w:p w14:paraId="1C4E768D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u w:val="single"/>
          <w:lang w:eastAsia="bg-BG"/>
        </w:rPr>
      </w:pPr>
    </w:p>
    <w:p w14:paraId="654B8A81" w14:textId="160A182F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u w:val="single"/>
          <w:lang w:eastAsia="bg-BG"/>
        </w:rPr>
        <w:t>Лянни от лабораторни изследвания</w:t>
      </w:r>
    </w:p>
    <w:p w14:paraId="1E0D6815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Когато се оценяват лабораторните данни за </w:t>
      </w:r>
      <w:r w:rsidRPr="002F3C9F">
        <w:rPr>
          <w:rFonts w:eastAsia="Times New Roman" w:cs="Arial"/>
          <w:bCs/>
          <w:color w:val="000000"/>
          <w:lang w:val="en-US"/>
        </w:rPr>
        <w:t>PS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А, трябва да се обърне внимание на факта, че нивата на </w:t>
      </w:r>
      <w:r w:rsidRPr="002F3C9F">
        <w:rPr>
          <w:rFonts w:eastAsia="Times New Roman" w:cs="Arial"/>
          <w:bCs/>
          <w:color w:val="000000"/>
          <w:lang w:val="en-US"/>
        </w:rPr>
        <w:t>PSA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>обикновено се понижават при пациенти лекувани с финастерид (вж. точка 4.4 Лекарствени взаимодействия/взаимодействия с лабораторни изследвания).</w:t>
      </w:r>
    </w:p>
    <w:p w14:paraId="3128BA95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u w:val="single"/>
          <w:lang w:eastAsia="bg-BG"/>
        </w:rPr>
      </w:pPr>
    </w:p>
    <w:p w14:paraId="035EB2B8" w14:textId="0926D0E6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u w:val="single"/>
          <w:lang w:eastAsia="bg-BG"/>
        </w:rPr>
        <w:t>Други дългосрочни данни</w:t>
      </w:r>
    </w:p>
    <w:p w14:paraId="62FADC16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lastRenderedPageBreak/>
        <w:t xml:space="preserve">В 7-годишно плацебо-контролирано проучване в което са включени 18 882 здрави мъже, от които 9 060 с данни от иглена простатна биопсия за анализ, карцином на простатата е открит при 803 (18,4 %) от мъжете, получаващи финастерид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и при 1 147 (24,4 %) от мъжете получаващи плацебо. В групата получаваща финастерид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, </w:t>
      </w:r>
      <w:r w:rsidRPr="002F3C9F">
        <w:rPr>
          <w:rFonts w:eastAsia="Times New Roman" w:cs="Arial"/>
          <w:bCs/>
          <w:color w:val="000000"/>
          <w:lang w:eastAsia="bg-BG"/>
        </w:rPr>
        <w:t xml:space="preserve">280 (6,4 %) от мъжете са имали карцином на простатата 7-10 по Глисон, открит при иглената биопсия в сравнение с 237 (5,1 %) в групата на плацебо. Допълнителните анализи предполагат, че повишената честота на бързо развиващ се карцином на простатата, наблюдаван при групата, приемаща финастерид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,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може да бъде обяснена чрез откриването на отклонения, дължащи се на ефекта от финастерид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>върху обема на простатата. От общия брой случаи на диагностициран карцином на простатата в това проучване около 98 % са класифицирани като интракапсуларни (фаза Т1 или Т2). Клиничната значимост на данните за 7-10 по Глисон не е известна.</w:t>
      </w:r>
    </w:p>
    <w:p w14:paraId="1E35D2D0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u w:val="single"/>
          <w:lang w:eastAsia="bg-BG"/>
        </w:rPr>
      </w:pPr>
    </w:p>
    <w:p w14:paraId="4CDA2E61" w14:textId="028AB45C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u w:val="single"/>
          <w:lang w:eastAsia="bg-BG"/>
        </w:rPr>
        <w:t>Съобщаване на подозирани нежелани реакции</w:t>
      </w:r>
    </w:p>
    <w:p w14:paraId="693218C7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Изпълнителна агенция по лекарствата, ул.,Дамян Груев” № 8,1303 София, тел.: 02 8903417, уебсайт: </w:t>
      </w:r>
      <w:r w:rsidRPr="002F3C9F">
        <w:rPr>
          <w:rFonts w:eastAsia="Times New Roman" w:cs="Arial"/>
        </w:rPr>
        <w:fldChar w:fldCharType="begin"/>
      </w:r>
      <w:r w:rsidRPr="002F3C9F">
        <w:rPr>
          <w:rFonts w:eastAsia="Times New Roman" w:cs="Arial"/>
        </w:rPr>
        <w:instrText xml:space="preserve"> HYPERLINK "http://www.bda.bg" </w:instrText>
      </w:r>
      <w:r w:rsidRPr="002F3C9F">
        <w:rPr>
          <w:rFonts w:eastAsia="Times New Roman" w:cs="Arial"/>
        </w:rPr>
      </w:r>
      <w:r w:rsidRPr="002F3C9F">
        <w:rPr>
          <w:rFonts w:eastAsia="Times New Roman" w:cs="Arial"/>
        </w:rPr>
        <w:fldChar w:fldCharType="separate"/>
      </w:r>
      <w:r w:rsidRPr="002F3C9F">
        <w:rPr>
          <w:rFonts w:eastAsia="Times New Roman" w:cs="Arial"/>
          <w:bCs/>
          <w:color w:val="000000"/>
          <w:lang w:val="en-US"/>
        </w:rPr>
        <w:t>www</w:t>
      </w:r>
      <w:r w:rsidRPr="002F3C9F">
        <w:rPr>
          <w:rFonts w:eastAsia="Times New Roman" w:cs="Arial"/>
          <w:bCs/>
          <w:color w:val="000000"/>
          <w:lang w:val="ru-RU"/>
        </w:rPr>
        <w:t>.</w:t>
      </w:r>
      <w:proofErr w:type="spellStart"/>
      <w:r w:rsidRPr="002F3C9F">
        <w:rPr>
          <w:rFonts w:eastAsia="Times New Roman" w:cs="Arial"/>
          <w:bCs/>
          <w:color w:val="000000"/>
          <w:lang w:val="en-US"/>
        </w:rPr>
        <w:t>bda</w:t>
      </w:r>
      <w:proofErr w:type="spellEnd"/>
      <w:r w:rsidRPr="002F3C9F">
        <w:rPr>
          <w:rFonts w:eastAsia="Times New Roman" w:cs="Arial"/>
          <w:bCs/>
          <w:color w:val="000000"/>
          <w:lang w:val="ru-RU"/>
        </w:rPr>
        <w:t>.</w:t>
      </w:r>
      <w:proofErr w:type="spellStart"/>
      <w:r w:rsidRPr="002F3C9F">
        <w:rPr>
          <w:rFonts w:eastAsia="Times New Roman" w:cs="Arial"/>
          <w:bCs/>
          <w:color w:val="000000"/>
          <w:lang w:val="en-US"/>
        </w:rPr>
        <w:t>bg</w:t>
      </w:r>
      <w:proofErr w:type="spellEnd"/>
      <w:r w:rsidRPr="002F3C9F">
        <w:rPr>
          <w:rFonts w:eastAsia="Times New Roman" w:cs="Arial"/>
        </w:rPr>
        <w:fldChar w:fldCharType="end"/>
      </w:r>
      <w:r w:rsidRPr="002F3C9F">
        <w:rPr>
          <w:rFonts w:eastAsia="Times New Roman" w:cs="Arial"/>
          <w:bCs/>
          <w:color w:val="000000"/>
          <w:lang w:val="ru-RU"/>
        </w:rPr>
        <w:t>.</w:t>
      </w:r>
    </w:p>
    <w:p w14:paraId="6F7DAD02" w14:textId="77777777" w:rsidR="002F3C9F" w:rsidRPr="002F3C9F" w:rsidRDefault="002F3C9F" w:rsidP="002F3C9F"/>
    <w:p w14:paraId="5A87DBA3" w14:textId="11E5418C" w:rsidR="007122AD" w:rsidRDefault="002C50EE" w:rsidP="00936AD0">
      <w:pPr>
        <w:pStyle w:val="Heading2"/>
      </w:pPr>
      <w:r>
        <w:t>4.9. Предозиране</w:t>
      </w:r>
    </w:p>
    <w:p w14:paraId="23104305" w14:textId="41E7E245" w:rsidR="002F3C9F" w:rsidRDefault="002F3C9F" w:rsidP="002F3C9F"/>
    <w:p w14:paraId="77E04788" w14:textId="11B00BB1" w:rsidR="002F3C9F" w:rsidRPr="002F3C9F" w:rsidRDefault="002F3C9F" w:rsidP="002F3C9F">
      <w:pPr>
        <w:rPr>
          <w:sz w:val="24"/>
          <w:szCs w:val="24"/>
        </w:rPr>
      </w:pPr>
      <w:r w:rsidRPr="002F3C9F">
        <w:rPr>
          <w:lang w:eastAsia="bg-BG"/>
        </w:rPr>
        <w:t xml:space="preserve">При пациенти, приемали единични дози финастерид до 400 </w:t>
      </w:r>
      <w:r w:rsidRPr="002F3C9F">
        <w:rPr>
          <w:lang w:val="en-US"/>
        </w:rPr>
        <w:t>mg</w:t>
      </w:r>
      <w:r w:rsidRPr="002F3C9F">
        <w:rPr>
          <w:lang w:val="ru-RU"/>
        </w:rPr>
        <w:t xml:space="preserve"> </w:t>
      </w:r>
      <w:r w:rsidRPr="002F3C9F">
        <w:rPr>
          <w:lang w:eastAsia="bg-BG"/>
        </w:rPr>
        <w:t xml:space="preserve">и многократни дози до 80 </w:t>
      </w:r>
      <w:r w:rsidRPr="002F3C9F">
        <w:rPr>
          <w:lang w:val="en-US"/>
        </w:rPr>
        <w:t>mg</w:t>
      </w:r>
      <w:r w:rsidRPr="002F3C9F">
        <w:rPr>
          <w:lang w:val="ru-RU"/>
        </w:rPr>
        <w:t xml:space="preserve"> </w:t>
      </w:r>
      <w:r w:rsidRPr="002F3C9F">
        <w:rPr>
          <w:lang w:eastAsia="bg-BG"/>
        </w:rPr>
        <w:t>дневно в продължение на три месеца, не са наблюдавани нежелани реакции. Специфично лечение при предозиране на финастерид не може да бъде препоръчано.</w:t>
      </w:r>
    </w:p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7DE36AC8" w14:textId="29BD43CB" w:rsidR="00B6672E" w:rsidRDefault="002C50EE" w:rsidP="00936AD0">
      <w:pPr>
        <w:pStyle w:val="Heading2"/>
      </w:pPr>
      <w:r>
        <w:t>5.1. Фармакодинамични свойства</w:t>
      </w:r>
    </w:p>
    <w:p w14:paraId="5CDE88F4" w14:textId="6038DA0C" w:rsidR="002F3C9F" w:rsidRDefault="002F3C9F" w:rsidP="002F3C9F"/>
    <w:p w14:paraId="2A7A3E83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Фармакотерапевтична група: инхибитори на тестостерон 5α-редуктазата АТС код: </w:t>
      </w:r>
      <w:r w:rsidRPr="002F3C9F">
        <w:rPr>
          <w:rFonts w:eastAsia="Times New Roman" w:cs="Arial"/>
          <w:bCs/>
          <w:color w:val="000000"/>
          <w:lang w:val="en-US"/>
        </w:rPr>
        <w:t>G</w:t>
      </w:r>
      <w:r w:rsidRPr="002F3C9F">
        <w:rPr>
          <w:rFonts w:eastAsia="Times New Roman" w:cs="Arial"/>
          <w:bCs/>
          <w:color w:val="000000"/>
          <w:lang w:val="ru-RU"/>
        </w:rPr>
        <w:t>04</w:t>
      </w:r>
      <w:r w:rsidRPr="002F3C9F">
        <w:rPr>
          <w:rFonts w:eastAsia="Times New Roman" w:cs="Arial"/>
          <w:bCs/>
          <w:color w:val="000000"/>
          <w:lang w:val="en-US"/>
        </w:rPr>
        <w:t>CB</w:t>
      </w:r>
      <w:r w:rsidRPr="002F3C9F">
        <w:rPr>
          <w:rFonts w:eastAsia="Times New Roman" w:cs="Arial"/>
          <w:bCs/>
          <w:color w:val="000000"/>
          <w:lang w:val="ru-RU"/>
        </w:rPr>
        <w:t>01</w:t>
      </w:r>
    </w:p>
    <w:p w14:paraId="4936A9CB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lang w:eastAsia="bg-BG"/>
        </w:rPr>
      </w:pPr>
    </w:p>
    <w:p w14:paraId="2EBCE63B" w14:textId="1842795D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Финастерид е синтетичен 4-азастероид, специфичен конкурентен инхибитор на интрацелуларния ензим Тип П 5α-редукгазата. Ензимът превръща тестостерона в по-мощният андроген дихидротестостерон </w:t>
      </w:r>
      <w:r w:rsidRPr="002F3C9F">
        <w:rPr>
          <w:rFonts w:eastAsia="Times New Roman" w:cs="Arial"/>
          <w:bCs/>
          <w:color w:val="000000"/>
          <w:lang w:val="ru-RU"/>
        </w:rPr>
        <w:t>(</w:t>
      </w:r>
      <w:r w:rsidRPr="002F3C9F">
        <w:rPr>
          <w:rFonts w:eastAsia="Times New Roman" w:cs="Arial"/>
          <w:bCs/>
          <w:color w:val="000000"/>
          <w:lang w:val="en-US"/>
        </w:rPr>
        <w:t>DHT</w:t>
      </w:r>
      <w:r w:rsidRPr="002F3C9F">
        <w:rPr>
          <w:rFonts w:eastAsia="Times New Roman" w:cs="Arial"/>
          <w:bCs/>
          <w:color w:val="000000"/>
          <w:lang w:val="ru-RU"/>
        </w:rPr>
        <w:t xml:space="preserve">).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Простатната жлеза и следователно, и хиперплазията на простатната тъкан, зависят от превръщането на тестостерона в </w:t>
      </w:r>
      <w:r w:rsidRPr="002F3C9F">
        <w:rPr>
          <w:rFonts w:eastAsia="Times New Roman" w:cs="Arial"/>
          <w:bCs/>
          <w:color w:val="000000"/>
          <w:lang w:val="en-US"/>
        </w:rPr>
        <w:t>DHT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>за своето нормално функциониране и растеж.</w:t>
      </w:r>
    </w:p>
    <w:p w14:paraId="1FD93995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Финастерид няма афинитет към андрогенния рецептор.</w:t>
      </w:r>
    </w:p>
    <w:p w14:paraId="6B82BBEE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</w:p>
    <w:p w14:paraId="7EB069E0" w14:textId="77777777" w:rsidR="002F3C9F" w:rsidRPr="002F3C9F" w:rsidRDefault="002F3C9F" w:rsidP="002F3C9F">
      <w:pPr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Клиничните изпитвания показват бързо намаляване на серумните нива на </w:t>
      </w:r>
      <w:r w:rsidRPr="002F3C9F">
        <w:rPr>
          <w:rFonts w:eastAsia="Times New Roman" w:cs="Arial"/>
          <w:bCs/>
          <w:color w:val="000000"/>
          <w:lang w:val="en-US"/>
        </w:rPr>
        <w:t>DHT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>със 70%, което води до намаляване обема на простатата. След 3 месеца настъпва намаляване с  20% в</w:t>
      </w:r>
      <w:r>
        <w:rPr>
          <w:rFonts w:eastAsia="Times New Roman" w:cs="Arial"/>
          <w:bCs/>
          <w:color w:val="000000"/>
          <w:lang w:eastAsia="bg-BG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>обема на жлезата и свиването й продължава и достига приблизително 27 % след 3 години. Значително намаляване настъпва в периуретралната зона непосредствено около уретрата. Уродинамичниге показатели потвърждават също така значително намаляване на детрузорното налягане в резултат на намалената обструкция.</w:t>
      </w:r>
    </w:p>
    <w:p w14:paraId="2A368619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lang w:eastAsia="bg-BG"/>
        </w:rPr>
      </w:pPr>
    </w:p>
    <w:p w14:paraId="50DABD65" w14:textId="683090F9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lastRenderedPageBreak/>
        <w:t>Значителни подобрения в максималния уринен дебит и симптомите са постигнати след около две седмици в сравнение с началото на лечението. Различия от плацебо са документирани след 4 и 7 месеца съответно.</w:t>
      </w:r>
    </w:p>
    <w:p w14:paraId="72A0B1D1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Показателите за ефикасност са поддържани през 3-годишен период след лечението.</w:t>
      </w:r>
    </w:p>
    <w:p w14:paraId="45EC4443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u w:val="single"/>
          <w:lang w:eastAsia="bg-BG"/>
        </w:rPr>
      </w:pPr>
    </w:p>
    <w:p w14:paraId="19D28EDF" w14:textId="08C342F4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u w:val="single"/>
          <w:lang w:eastAsia="bg-BG"/>
        </w:rPr>
        <w:t>Ефекти на 4-годишно лечение с финастерид върху честотата на остра задръжка на урината, необходимост от хирургическа намеса, скор на симптомите и обем на простатата</w:t>
      </w:r>
    </w:p>
    <w:p w14:paraId="3DBFC2E0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В клинични проучвания на пациенти с умерени до тежки симптоми на ДХП, уголемена простата, установена при ректално туширане и ниски обеми на остатъчна урина, финастерид намалява случаите на остра задръжка на урината от 7/100 до 3/100 през 4-годишен период, както и необходимостта от хирургична намеса (ТУРП или простатектомия) от 10/100 до 5/100. Това намаляване се свърза с подобряване от 2 пункта в скора на симптомите по </w:t>
      </w:r>
      <w:r w:rsidRPr="002F3C9F">
        <w:rPr>
          <w:rFonts w:eastAsia="Times New Roman" w:cs="Arial"/>
          <w:bCs/>
          <w:color w:val="000000"/>
          <w:lang w:val="en-US"/>
        </w:rPr>
        <w:t>QUASI</w:t>
      </w:r>
      <w:r w:rsidRPr="002F3C9F">
        <w:rPr>
          <w:rFonts w:eastAsia="Times New Roman" w:cs="Arial"/>
          <w:bCs/>
          <w:color w:val="000000"/>
          <w:lang w:val="ru-RU"/>
        </w:rPr>
        <w:t>-</w:t>
      </w:r>
      <w:r w:rsidRPr="002F3C9F">
        <w:rPr>
          <w:rFonts w:eastAsia="Times New Roman" w:cs="Arial"/>
          <w:bCs/>
          <w:color w:val="000000"/>
          <w:lang w:val="en-US"/>
        </w:rPr>
        <w:t>AUA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>(диапазон 0-34), продължителна регресия в обема на простатата с приблизително 20 % и устойчиво увеличение на уринния дебит.</w:t>
      </w:r>
    </w:p>
    <w:p w14:paraId="2D2910AD" w14:textId="14038BF8" w:rsidR="002F3C9F" w:rsidRPr="002F3C9F" w:rsidRDefault="002F3C9F" w:rsidP="002F3C9F"/>
    <w:p w14:paraId="78DD93AA" w14:textId="671D6376" w:rsidR="00B6672E" w:rsidRDefault="002C50EE" w:rsidP="00936AD0">
      <w:pPr>
        <w:pStyle w:val="Heading2"/>
      </w:pPr>
      <w:r>
        <w:t>5.2. Фармакокинетични свойства</w:t>
      </w:r>
    </w:p>
    <w:p w14:paraId="6D7D92CF" w14:textId="05761374" w:rsidR="002F3C9F" w:rsidRDefault="002F3C9F" w:rsidP="002F3C9F"/>
    <w:p w14:paraId="0C089B72" w14:textId="35DD8BF8" w:rsidR="002F3C9F" w:rsidRPr="002F3C9F" w:rsidRDefault="002F3C9F" w:rsidP="002F3C9F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bCs/>
          <w:color w:val="000000"/>
          <w:u w:val="single"/>
          <w:lang w:eastAsia="bg-BG"/>
        </w:rPr>
        <w:t>Абсорбц</w:t>
      </w:r>
      <w:r w:rsidRPr="002F3C9F">
        <w:rPr>
          <w:rFonts w:eastAsia="Times New Roman" w:cs="Arial"/>
          <w:bCs/>
          <w:color w:val="000000"/>
          <w:u w:val="single"/>
          <w:lang w:eastAsia="bg-BG"/>
        </w:rPr>
        <w:t>ия</w:t>
      </w:r>
    </w:p>
    <w:p w14:paraId="4140108C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Бионаличността на финастерид е около 80 %. Максимални плазмени концентрации се достигат приблизително 2 часа след приемане на лекарството, а абсорбцията е пълна след 6-8 часа.</w:t>
      </w:r>
    </w:p>
    <w:p w14:paraId="79CBFA74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u w:val="single"/>
          <w:lang w:eastAsia="bg-BG"/>
        </w:rPr>
      </w:pPr>
    </w:p>
    <w:p w14:paraId="51C7A42C" w14:textId="0F4F8C74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u w:val="single"/>
          <w:lang w:eastAsia="bg-BG"/>
        </w:rPr>
        <w:t>Разпределение</w:t>
      </w:r>
    </w:p>
    <w:p w14:paraId="72F2199A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Свързването с плазмените протеини е приблизително 93 %.</w:t>
      </w:r>
    </w:p>
    <w:p w14:paraId="4CCD1F2F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Клирънсът и обемът на разпределение са приблизително 165 </w:t>
      </w:r>
      <w:r w:rsidRPr="002F3C9F">
        <w:rPr>
          <w:rFonts w:eastAsia="Times New Roman" w:cs="Arial"/>
          <w:bCs/>
          <w:color w:val="000000"/>
          <w:lang w:val="en-US"/>
        </w:rPr>
        <w:t>ml</w:t>
      </w:r>
      <w:r w:rsidRPr="002F3C9F">
        <w:rPr>
          <w:rFonts w:eastAsia="Times New Roman" w:cs="Arial"/>
          <w:bCs/>
          <w:color w:val="000000"/>
          <w:lang w:val="ru-RU"/>
        </w:rPr>
        <w:t>/</w:t>
      </w:r>
      <w:r w:rsidRPr="002F3C9F">
        <w:rPr>
          <w:rFonts w:eastAsia="Times New Roman" w:cs="Arial"/>
          <w:bCs/>
          <w:color w:val="000000"/>
          <w:lang w:val="en-US"/>
        </w:rPr>
        <w:t>min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(70-279 </w:t>
      </w:r>
      <w:r w:rsidRPr="002F3C9F">
        <w:rPr>
          <w:rFonts w:eastAsia="Times New Roman" w:cs="Arial"/>
          <w:bCs/>
          <w:color w:val="000000"/>
          <w:lang w:val="en-US"/>
        </w:rPr>
        <w:t>ml</w:t>
      </w:r>
      <w:r w:rsidRPr="002F3C9F">
        <w:rPr>
          <w:rFonts w:eastAsia="Times New Roman" w:cs="Arial"/>
          <w:bCs/>
          <w:color w:val="000000"/>
          <w:lang w:val="ru-RU"/>
        </w:rPr>
        <w:t>/</w:t>
      </w:r>
      <w:r w:rsidRPr="002F3C9F">
        <w:rPr>
          <w:rFonts w:eastAsia="Times New Roman" w:cs="Arial"/>
          <w:bCs/>
          <w:color w:val="000000"/>
          <w:lang w:val="en-US"/>
        </w:rPr>
        <w:t>min</w:t>
      </w:r>
      <w:r w:rsidRPr="002F3C9F">
        <w:rPr>
          <w:rFonts w:eastAsia="Times New Roman" w:cs="Arial"/>
          <w:bCs/>
          <w:color w:val="000000"/>
          <w:lang w:val="ru-RU"/>
        </w:rPr>
        <w:t xml:space="preserve">)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и 761 (44- 961) съответно. При многократно приложение се наблюдава кумулиране на малки количества финастерид. След приемът на дневна доза от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най-ниската концентрация на финастерид в равновесно състояние </w:t>
      </w:r>
      <w:r w:rsidRPr="002F3C9F">
        <w:rPr>
          <w:rFonts w:eastAsia="Times New Roman" w:cs="Arial"/>
          <w:bCs/>
          <w:color w:val="000000"/>
          <w:lang w:val="ru-RU"/>
        </w:rPr>
        <w:t>(</w:t>
      </w:r>
      <w:r w:rsidRPr="002F3C9F">
        <w:rPr>
          <w:rFonts w:eastAsia="Times New Roman" w:cs="Arial"/>
          <w:bCs/>
          <w:color w:val="000000"/>
          <w:lang w:val="en-US"/>
        </w:rPr>
        <w:t>steady</w:t>
      </w:r>
      <w:r w:rsidRPr="002F3C9F">
        <w:rPr>
          <w:rFonts w:eastAsia="Times New Roman" w:cs="Arial"/>
          <w:bCs/>
          <w:color w:val="000000"/>
          <w:lang w:val="ru-RU"/>
        </w:rPr>
        <w:t>-</w:t>
      </w:r>
      <w:r w:rsidRPr="002F3C9F">
        <w:rPr>
          <w:rFonts w:eastAsia="Times New Roman" w:cs="Arial"/>
          <w:bCs/>
          <w:color w:val="000000"/>
          <w:lang w:val="en-US"/>
        </w:rPr>
        <w:t>state</w:t>
      </w:r>
      <w:r w:rsidRPr="002F3C9F">
        <w:rPr>
          <w:rFonts w:eastAsia="Times New Roman" w:cs="Arial"/>
          <w:bCs/>
          <w:color w:val="000000"/>
          <w:lang w:val="ru-RU"/>
        </w:rPr>
        <w:t xml:space="preserve">)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е изчислена на 8-10 </w:t>
      </w:r>
      <w:r w:rsidRPr="002F3C9F">
        <w:rPr>
          <w:rFonts w:eastAsia="Times New Roman" w:cs="Arial"/>
          <w:bCs/>
          <w:color w:val="000000"/>
          <w:lang w:val="en-US"/>
        </w:rPr>
        <w:t>ng</w:t>
      </w:r>
      <w:r w:rsidRPr="002F3C9F">
        <w:rPr>
          <w:rFonts w:eastAsia="Times New Roman" w:cs="Arial"/>
          <w:bCs/>
          <w:color w:val="000000"/>
          <w:lang w:val="ru-RU"/>
        </w:rPr>
        <w:t>/</w:t>
      </w:r>
      <w:r w:rsidRPr="002F3C9F">
        <w:rPr>
          <w:rFonts w:eastAsia="Times New Roman" w:cs="Arial"/>
          <w:bCs/>
          <w:color w:val="000000"/>
          <w:lang w:val="en-US"/>
        </w:rPr>
        <w:t>ml</w:t>
      </w:r>
      <w:r w:rsidRPr="002F3C9F">
        <w:rPr>
          <w:rFonts w:eastAsia="Times New Roman" w:cs="Arial"/>
          <w:bCs/>
          <w:color w:val="000000"/>
          <w:lang w:val="ru-RU"/>
        </w:rPr>
        <w:t xml:space="preserve">, </w:t>
      </w:r>
      <w:r w:rsidRPr="002F3C9F">
        <w:rPr>
          <w:rFonts w:eastAsia="Times New Roman" w:cs="Arial"/>
          <w:bCs/>
          <w:color w:val="000000"/>
          <w:lang w:eastAsia="bg-BG"/>
        </w:rPr>
        <w:t>която остава стабилна с течение на времето.</w:t>
      </w:r>
    </w:p>
    <w:p w14:paraId="37ADB707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u w:val="single"/>
          <w:lang w:eastAsia="bg-BG"/>
        </w:rPr>
      </w:pPr>
    </w:p>
    <w:p w14:paraId="743219D3" w14:textId="21543CD0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u w:val="single"/>
          <w:lang w:eastAsia="bg-BG"/>
        </w:rPr>
        <w:t>Биотрансформация</w:t>
      </w:r>
    </w:p>
    <w:p w14:paraId="4115A5FE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Финастерид се метаболизира в черния дроб. Финастерид не повлиява значимо цитохром Р450 ензимната система. Идентифицирани са два метаболита с нисък ефект за инхибиране на 5а- редуктазата.</w:t>
      </w:r>
    </w:p>
    <w:p w14:paraId="7EEE683A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u w:val="single"/>
          <w:lang w:eastAsia="bg-BG"/>
        </w:rPr>
      </w:pPr>
    </w:p>
    <w:p w14:paraId="768DE24D" w14:textId="1E535B9D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u w:val="single"/>
          <w:lang w:eastAsia="bg-BG"/>
        </w:rPr>
        <w:t>Елиминиране</w:t>
      </w:r>
    </w:p>
    <w:p w14:paraId="3C2FACCB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Плазменият полуживот е средно 6 часа (4-12 часа) (при мъже &gt; 70 години: 8 часа, диапазон 6- 15 часа).</w:t>
      </w:r>
    </w:p>
    <w:p w14:paraId="0C04B54D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След прилагане на радиоактивно белязан финастерид, приблизително 39 % (32-46 %) от дозата се екскретира в урината под формата на метаболита. Фактически в урината не се открива непроменен финастерид. Около 57 % (51-64 %) от общата доза се екскретира във фекалиите.</w:t>
      </w:r>
    </w:p>
    <w:p w14:paraId="6FB492E6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lang w:eastAsia="bg-BG"/>
        </w:rPr>
      </w:pPr>
    </w:p>
    <w:p w14:paraId="2BABFE60" w14:textId="1B21833E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При пациенти с бъбречно увреждане (креатининов клирънс над 9 </w:t>
      </w:r>
      <w:r w:rsidRPr="002F3C9F">
        <w:rPr>
          <w:rFonts w:eastAsia="Times New Roman" w:cs="Arial"/>
          <w:bCs/>
          <w:color w:val="000000"/>
          <w:lang w:val="en-US"/>
        </w:rPr>
        <w:t>ml</w:t>
      </w:r>
      <w:r w:rsidRPr="002F3C9F">
        <w:rPr>
          <w:rFonts w:eastAsia="Times New Roman" w:cs="Arial"/>
          <w:bCs/>
          <w:color w:val="000000"/>
          <w:lang w:val="ru-RU"/>
        </w:rPr>
        <w:t>/</w:t>
      </w:r>
      <w:r w:rsidRPr="002F3C9F">
        <w:rPr>
          <w:rFonts w:eastAsia="Times New Roman" w:cs="Arial"/>
          <w:bCs/>
          <w:color w:val="000000"/>
          <w:lang w:val="en-US"/>
        </w:rPr>
        <w:t>min</w:t>
      </w:r>
      <w:r w:rsidRPr="002F3C9F">
        <w:rPr>
          <w:rFonts w:eastAsia="Times New Roman" w:cs="Arial"/>
          <w:bCs/>
          <w:color w:val="000000"/>
          <w:lang w:val="ru-RU"/>
        </w:rPr>
        <w:t xml:space="preserve">) </w:t>
      </w:r>
      <w:r w:rsidRPr="002F3C9F">
        <w:rPr>
          <w:rFonts w:eastAsia="Times New Roman" w:cs="Arial"/>
          <w:bCs/>
          <w:color w:val="000000"/>
          <w:lang w:eastAsia="bg-BG"/>
        </w:rPr>
        <w:t>не се наблюдават промени в елиминирането на финастерид (вж. точка 4.2)</w:t>
      </w:r>
    </w:p>
    <w:p w14:paraId="77EAF515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lang w:eastAsia="bg-BG"/>
        </w:rPr>
      </w:pPr>
    </w:p>
    <w:p w14:paraId="28C9B275" w14:textId="77777777" w:rsidR="002F3C9F" w:rsidRPr="002F3C9F" w:rsidRDefault="002F3C9F" w:rsidP="002F3C9F">
      <w:pPr>
        <w:rPr>
          <w:rFonts w:ascii="Times New Roman" w:eastAsia="Times New Roman" w:hAnsi="Times New Roman" w:cs="Times New Roman"/>
          <w:sz w:val="24"/>
          <w:szCs w:val="24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Установено е, че финастерид преминава през кръвно-мозъчната бариера. Малки </w:t>
      </w:r>
      <w:r w:rsidRPr="002F3C9F">
        <w:rPr>
          <w:rFonts w:eastAsia="Times New Roman" w:cs="Arial"/>
          <w:bCs/>
          <w:color w:val="000000"/>
          <w:u w:val="single"/>
          <w:lang w:eastAsia="bg-BG"/>
        </w:rPr>
        <w:t>количес</w:t>
      </w:r>
      <w:r w:rsidRPr="002F3C9F">
        <w:rPr>
          <w:rFonts w:eastAsia="Times New Roman" w:cs="Arial"/>
          <w:bCs/>
          <w:color w:val="000000"/>
          <w:lang w:eastAsia="bg-BG"/>
        </w:rPr>
        <w:t>тва финастерид се откриват в семенната течност на лекувани пациенти. В две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>проучвания на здрави доброволци (</w:t>
      </w:r>
      <w:r w:rsidRPr="002F3C9F">
        <w:rPr>
          <w:rFonts w:eastAsia="Times New Roman" w:cs="Arial"/>
          <w:bCs/>
          <w:color w:val="000000"/>
          <w:lang w:val="en-US"/>
        </w:rPr>
        <w:t>n</w:t>
      </w:r>
      <w:r w:rsidRPr="002F3C9F">
        <w:rPr>
          <w:rFonts w:eastAsia="Times New Roman" w:cs="Arial"/>
          <w:bCs/>
          <w:color w:val="000000"/>
          <w:lang w:eastAsia="bg-BG"/>
        </w:rPr>
        <w:t xml:space="preserve">=69), получаващи финастерид по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eastAsia="bg-BG"/>
        </w:rPr>
        <w:t xml:space="preserve">/ден в продължение на 6-24 седмици, концентрациите на финастерид в семенната течност </w:t>
      </w:r>
      <w:r w:rsidRPr="002F3C9F">
        <w:rPr>
          <w:rFonts w:eastAsia="Times New Roman" w:cs="Arial"/>
          <w:bCs/>
          <w:color w:val="000000"/>
          <w:lang w:eastAsia="bg-BG"/>
        </w:rPr>
        <w:lastRenderedPageBreak/>
        <w:t xml:space="preserve">варира от неоткриваеми (&lt;0,1 </w:t>
      </w:r>
      <w:r w:rsidRPr="002F3C9F">
        <w:rPr>
          <w:rFonts w:eastAsia="Times New Roman" w:cs="Arial"/>
          <w:bCs/>
          <w:color w:val="000000"/>
          <w:lang w:val="en-US"/>
        </w:rPr>
        <w:t>ng</w:t>
      </w:r>
      <w:r w:rsidRPr="002F3C9F">
        <w:rPr>
          <w:rFonts w:eastAsia="Times New Roman" w:cs="Arial"/>
          <w:bCs/>
          <w:color w:val="000000"/>
          <w:lang w:val="ru-RU"/>
        </w:rPr>
        <w:t>/</w:t>
      </w:r>
      <w:r w:rsidRPr="002F3C9F">
        <w:rPr>
          <w:rFonts w:eastAsia="Times New Roman" w:cs="Arial"/>
          <w:bCs/>
          <w:color w:val="000000"/>
          <w:lang w:val="en-US"/>
        </w:rPr>
        <w:t>ml</w:t>
      </w:r>
      <w:r w:rsidRPr="002F3C9F">
        <w:rPr>
          <w:rFonts w:eastAsia="Times New Roman" w:cs="Arial"/>
          <w:bCs/>
          <w:color w:val="000000"/>
          <w:lang w:val="ru-RU"/>
        </w:rPr>
        <w:t xml:space="preserve">)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до 10,54 </w:t>
      </w:r>
      <w:r w:rsidRPr="002F3C9F">
        <w:rPr>
          <w:rFonts w:eastAsia="Times New Roman" w:cs="Arial"/>
          <w:bCs/>
          <w:color w:val="000000"/>
          <w:lang w:val="en-US"/>
        </w:rPr>
        <w:t>ng</w:t>
      </w:r>
      <w:r w:rsidRPr="002F3C9F">
        <w:rPr>
          <w:rFonts w:eastAsia="Times New Roman" w:cs="Arial"/>
          <w:bCs/>
          <w:color w:val="000000"/>
          <w:lang w:val="ru-RU"/>
        </w:rPr>
        <w:t>/</w:t>
      </w:r>
      <w:r w:rsidRPr="002F3C9F">
        <w:rPr>
          <w:rFonts w:eastAsia="Times New Roman" w:cs="Arial"/>
          <w:bCs/>
          <w:color w:val="000000"/>
          <w:lang w:val="en-US"/>
        </w:rPr>
        <w:t>ml</w:t>
      </w:r>
      <w:r w:rsidRPr="002F3C9F">
        <w:rPr>
          <w:rFonts w:eastAsia="Times New Roman" w:cs="Arial"/>
          <w:bCs/>
          <w:color w:val="000000"/>
          <w:lang w:val="ru-RU"/>
        </w:rPr>
        <w:t xml:space="preserve">. </w:t>
      </w:r>
      <w:r w:rsidRPr="002F3C9F">
        <w:rPr>
          <w:rFonts w:eastAsia="Times New Roman" w:cs="Arial"/>
          <w:bCs/>
          <w:color w:val="000000"/>
          <w:lang w:eastAsia="bg-BG"/>
        </w:rPr>
        <w:t>В едно по-ранно проучване, което използва по-малко чувствителен  концентрациите на финастерид в семенната течност на 16 индивиди получващи финастерид по</w:t>
      </w:r>
      <w:r>
        <w:rPr>
          <w:rFonts w:eastAsia="Times New Roman" w:cs="Arial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eastAsia="bg-BG"/>
        </w:rPr>
        <w:t xml:space="preserve">/ден варират от неоткриваеми (&lt;1,0 </w:t>
      </w:r>
      <w:r w:rsidRPr="002F3C9F">
        <w:rPr>
          <w:rFonts w:eastAsia="Times New Roman" w:cs="Arial"/>
          <w:bCs/>
          <w:color w:val="000000"/>
          <w:lang w:val="en-US"/>
        </w:rPr>
        <w:t>ng</w:t>
      </w:r>
      <w:r w:rsidRPr="002F3C9F">
        <w:rPr>
          <w:rFonts w:eastAsia="Times New Roman" w:cs="Arial"/>
          <w:bCs/>
          <w:color w:val="000000"/>
          <w:lang w:val="ru-RU"/>
        </w:rPr>
        <w:t>/</w:t>
      </w:r>
      <w:r w:rsidRPr="002F3C9F">
        <w:rPr>
          <w:rFonts w:eastAsia="Times New Roman" w:cs="Arial"/>
          <w:bCs/>
          <w:color w:val="000000"/>
          <w:lang w:val="en-US"/>
        </w:rPr>
        <w:t>ml</w:t>
      </w:r>
      <w:r w:rsidRPr="002F3C9F">
        <w:rPr>
          <w:rFonts w:eastAsia="Times New Roman" w:cs="Arial"/>
          <w:bCs/>
          <w:color w:val="000000"/>
          <w:lang w:val="ru-RU"/>
        </w:rPr>
        <w:t xml:space="preserve">)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до 21 </w:t>
      </w:r>
      <w:r w:rsidRPr="002F3C9F">
        <w:rPr>
          <w:rFonts w:eastAsia="Times New Roman" w:cs="Arial"/>
          <w:bCs/>
          <w:color w:val="000000"/>
          <w:lang w:val="en-US"/>
        </w:rPr>
        <w:t>ng</w:t>
      </w:r>
      <w:r w:rsidRPr="002F3C9F">
        <w:rPr>
          <w:rFonts w:eastAsia="Times New Roman" w:cs="Arial"/>
          <w:bCs/>
          <w:color w:val="000000"/>
          <w:lang w:val="ru-RU"/>
        </w:rPr>
        <w:t>/</w:t>
      </w:r>
      <w:r w:rsidRPr="002F3C9F">
        <w:rPr>
          <w:rFonts w:eastAsia="Times New Roman" w:cs="Arial"/>
          <w:bCs/>
          <w:color w:val="000000"/>
          <w:lang w:val="en-US"/>
        </w:rPr>
        <w:t>ml</w:t>
      </w:r>
      <w:r w:rsidRPr="002F3C9F">
        <w:rPr>
          <w:rFonts w:eastAsia="Times New Roman" w:cs="Arial"/>
          <w:bCs/>
          <w:color w:val="000000"/>
          <w:lang w:val="ru-RU"/>
        </w:rPr>
        <w:t xml:space="preserve">. </w:t>
      </w:r>
      <w:r w:rsidRPr="002F3C9F">
        <w:rPr>
          <w:rFonts w:eastAsia="Times New Roman" w:cs="Arial"/>
          <w:bCs/>
          <w:color w:val="000000"/>
          <w:lang w:eastAsia="bg-BG"/>
        </w:rPr>
        <w:t>Така, на базата на обем на еякулата</w:t>
      </w:r>
      <w:r>
        <w:rPr>
          <w:rFonts w:eastAsia="Times New Roman" w:cs="Arial"/>
          <w:bCs/>
          <w:color w:val="000000"/>
          <w:lang w:eastAsia="bg-BG"/>
        </w:rPr>
        <w:t xml:space="preserve"> </w:t>
      </w:r>
      <w:r w:rsidRPr="002F3C9F">
        <w:rPr>
          <w:lang w:eastAsia="bg-BG"/>
        </w:rPr>
        <w:t xml:space="preserve">5 </w:t>
      </w:r>
      <w:r w:rsidRPr="002F3C9F">
        <w:rPr>
          <w:lang w:val="en-US"/>
        </w:rPr>
        <w:t>ml</w:t>
      </w:r>
      <w:r w:rsidRPr="002F3C9F">
        <w:rPr>
          <w:lang w:val="ru-RU"/>
        </w:rPr>
        <w:t xml:space="preserve">, </w:t>
      </w:r>
      <w:r w:rsidRPr="002F3C9F">
        <w:rPr>
          <w:lang w:eastAsia="bg-BG"/>
        </w:rPr>
        <w:t>количеството финастерид в семенната течност се изчислява на 50 до 100 пъти по-малко от дозата на финастерид (5 μ</w:t>
      </w:r>
      <w:r w:rsidRPr="002F3C9F">
        <w:rPr>
          <w:lang w:val="en-US"/>
        </w:rPr>
        <w:t>g</w:t>
      </w:r>
      <w:r w:rsidRPr="002F3C9F">
        <w:rPr>
          <w:lang w:val="ru-RU"/>
        </w:rPr>
        <w:t xml:space="preserve">), </w:t>
      </w:r>
      <w:r w:rsidRPr="002F3C9F">
        <w:rPr>
          <w:lang w:eastAsia="bg-BG"/>
        </w:rPr>
        <w:t xml:space="preserve">която няма ефект върху циркулиращите нива на </w:t>
      </w:r>
      <w:r w:rsidRPr="002F3C9F">
        <w:rPr>
          <w:lang w:val="en-US"/>
        </w:rPr>
        <w:t>DHT</w:t>
      </w:r>
      <w:r w:rsidRPr="002F3C9F">
        <w:rPr>
          <w:lang w:val="ru-RU"/>
        </w:rPr>
        <w:t xml:space="preserve"> </w:t>
      </w:r>
      <w:r w:rsidRPr="002F3C9F">
        <w:rPr>
          <w:lang w:eastAsia="bg-BG"/>
        </w:rPr>
        <w:t>при мъжете (вж. също точка 5.3).</w:t>
      </w:r>
    </w:p>
    <w:p w14:paraId="30B368F7" w14:textId="6DCEA498" w:rsidR="002F3C9F" w:rsidRPr="002F3C9F" w:rsidRDefault="002F3C9F" w:rsidP="002F3C9F">
      <w:pPr>
        <w:spacing w:line="240" w:lineRule="auto"/>
        <w:rPr>
          <w:rFonts w:eastAsia="Times New Roman" w:cs="Arial"/>
        </w:rPr>
      </w:pPr>
    </w:p>
    <w:p w14:paraId="4FB791BE" w14:textId="2B8D4565" w:rsidR="00B6672E" w:rsidRDefault="002C50EE" w:rsidP="00936AD0">
      <w:pPr>
        <w:pStyle w:val="Heading2"/>
      </w:pPr>
      <w:r>
        <w:t>5.3. Предклинични данни за безопасност</w:t>
      </w:r>
    </w:p>
    <w:p w14:paraId="65ABF600" w14:textId="110954B1" w:rsidR="002F3C9F" w:rsidRDefault="002F3C9F" w:rsidP="002F3C9F"/>
    <w:p w14:paraId="4CAC15FC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>Неклиничните данни не показват особен риск за хората на база на конвенционалните фармакологични изпитвания за токсичност при многократно прилагане, генотоксичност и карциногенен потенциал.</w:t>
      </w:r>
    </w:p>
    <w:p w14:paraId="00D4352D" w14:textId="77777777" w:rsidR="002F3C9F" w:rsidRPr="002F3C9F" w:rsidRDefault="002F3C9F" w:rsidP="002F3C9F">
      <w:pPr>
        <w:spacing w:line="240" w:lineRule="auto"/>
        <w:rPr>
          <w:rFonts w:eastAsia="Times New Roman" w:cs="Arial"/>
        </w:rPr>
      </w:pPr>
      <w:r w:rsidRPr="002F3C9F">
        <w:rPr>
          <w:rFonts w:eastAsia="Times New Roman" w:cs="Arial"/>
          <w:bCs/>
          <w:color w:val="000000"/>
          <w:lang w:eastAsia="bg-BG"/>
        </w:rPr>
        <w:t xml:space="preserve">Изпитванията за репродуктивна токсичност при </w:t>
      </w:r>
      <w:r w:rsidRPr="002F3C9F">
        <w:rPr>
          <w:rFonts w:eastAsia="Times New Roman" w:cs="Arial"/>
          <w:bCs/>
          <w:i/>
          <w:iCs/>
          <w:color w:val="000000"/>
          <w:lang w:eastAsia="bg-BG"/>
        </w:rPr>
        <w:t>мъжки плъхове</w:t>
      </w:r>
      <w:r w:rsidRPr="002F3C9F">
        <w:rPr>
          <w:rFonts w:eastAsia="Times New Roman" w:cs="Arial"/>
          <w:bCs/>
          <w:color w:val="000000"/>
          <w:lang w:eastAsia="bg-BG"/>
        </w:rPr>
        <w:t xml:space="preserve"> показват намаляване на теглото на простатата и семенните везикули, намаляване на секрецията от вторичните полови жлези и намаляване индекса на фертилитета (в резултат на първоначалния фармакологичен ефект на финастерид). Не е ясна клиничната значимост на тези резултати.</w:t>
      </w:r>
    </w:p>
    <w:p w14:paraId="28E78E70" w14:textId="77777777" w:rsidR="002F3C9F" w:rsidRDefault="002F3C9F" w:rsidP="002F3C9F">
      <w:pPr>
        <w:spacing w:line="240" w:lineRule="auto"/>
        <w:rPr>
          <w:rFonts w:eastAsia="Times New Roman" w:cs="Arial"/>
          <w:bCs/>
          <w:color w:val="000000"/>
          <w:lang w:eastAsia="bg-BG"/>
        </w:rPr>
      </w:pPr>
    </w:p>
    <w:p w14:paraId="68089D8B" w14:textId="5EC985C7" w:rsidR="002F3C9F" w:rsidRPr="002F3C9F" w:rsidRDefault="002F3C9F" w:rsidP="002F3C9F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bCs/>
          <w:color w:val="000000"/>
          <w:lang w:eastAsia="bg-BG"/>
        </w:rPr>
        <w:t>Кактп</w:t>
      </w:r>
      <w:r w:rsidRPr="002F3C9F">
        <w:rPr>
          <w:rFonts w:eastAsia="Times New Roman" w:cs="Arial"/>
          <w:bCs/>
          <w:color w:val="000000"/>
          <w:lang w:eastAsia="bg-BG"/>
        </w:rPr>
        <w:t xml:space="preserve"> и при други инхибитори на 5-алфа редуктазата, се наблюдава феминизация на мъжките фетуси на плъховете при прилагане на финастерид през гестационния период. Интравенозното приложение на финастерид при бременни резус маймуни при дозировки до 800 </w:t>
      </w:r>
      <w:r w:rsidRPr="002F3C9F">
        <w:rPr>
          <w:rFonts w:eastAsia="Times New Roman" w:cs="Arial"/>
          <w:bCs/>
          <w:color w:val="000000"/>
          <w:lang w:val="en-US"/>
        </w:rPr>
        <w:t>ng</w:t>
      </w:r>
      <w:r w:rsidRPr="002F3C9F">
        <w:rPr>
          <w:rFonts w:eastAsia="Times New Roman" w:cs="Arial"/>
          <w:bCs/>
          <w:color w:val="000000"/>
          <w:lang w:eastAsia="bg-BG"/>
        </w:rPr>
        <w:t xml:space="preserve">/дневно през целия период на ембрионално и фетално развитие води до аномалии на мъжкия фетус. Тази доза е около 60-120 пъти по-висока от предполагаемото количество в семенната течност на мъж, който е приемал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финастерид и на която жената може да е била изложена посредством семенната течност. В потвърждение на </w:t>
      </w:r>
      <w:r w:rsidRPr="002F3C9F">
        <w:rPr>
          <w:rFonts w:eastAsia="Times New Roman" w:cs="Arial"/>
          <w:bCs/>
          <w:color w:val="000000"/>
          <w:lang w:val="en-US"/>
        </w:rPr>
        <w:t>Rhesus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модела на развитие на човешкия фетус, пероралното приложение на финастерид 2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>/</w:t>
      </w:r>
      <w:r w:rsidRPr="002F3C9F">
        <w:rPr>
          <w:rFonts w:eastAsia="Times New Roman" w:cs="Arial"/>
          <w:bCs/>
          <w:color w:val="000000"/>
          <w:lang w:val="en-US"/>
        </w:rPr>
        <w:t>kg</w:t>
      </w:r>
      <w:r w:rsidRPr="002F3C9F">
        <w:rPr>
          <w:rFonts w:eastAsia="Times New Roman" w:cs="Arial"/>
          <w:bCs/>
          <w:color w:val="000000"/>
          <w:lang w:eastAsia="bg-BG"/>
        </w:rPr>
        <w:t xml:space="preserve">/ден (системната експозиция </w:t>
      </w:r>
      <w:r w:rsidRPr="002F3C9F">
        <w:rPr>
          <w:rFonts w:eastAsia="Times New Roman" w:cs="Arial"/>
          <w:bCs/>
          <w:color w:val="000000"/>
          <w:lang w:val="ru-RU"/>
        </w:rPr>
        <w:t>(</w:t>
      </w:r>
      <w:r w:rsidRPr="002F3C9F">
        <w:rPr>
          <w:rFonts w:eastAsia="Times New Roman" w:cs="Arial"/>
          <w:bCs/>
          <w:color w:val="000000"/>
          <w:lang w:val="en-US"/>
        </w:rPr>
        <w:t>AUC</w:t>
      </w:r>
      <w:r w:rsidRPr="002F3C9F">
        <w:rPr>
          <w:rFonts w:eastAsia="Times New Roman" w:cs="Arial"/>
          <w:bCs/>
          <w:color w:val="000000"/>
          <w:lang w:val="ru-RU"/>
        </w:rPr>
        <w:t xml:space="preserve">) </w:t>
      </w:r>
      <w:r w:rsidRPr="002F3C9F">
        <w:rPr>
          <w:rFonts w:eastAsia="Times New Roman" w:cs="Arial"/>
          <w:bCs/>
          <w:color w:val="000000"/>
          <w:lang w:eastAsia="bg-BG"/>
        </w:rPr>
        <w:t xml:space="preserve">на маймуните е малко по-висока (3 х) от тази на мъжете, които са приемали 5 </w:t>
      </w:r>
      <w:r w:rsidRPr="002F3C9F">
        <w:rPr>
          <w:rFonts w:eastAsia="Times New Roman" w:cs="Arial"/>
          <w:bCs/>
          <w:color w:val="000000"/>
          <w:lang w:val="en-US"/>
        </w:rPr>
        <w:t>mg</w:t>
      </w:r>
      <w:r w:rsidRPr="002F3C9F">
        <w:rPr>
          <w:rFonts w:eastAsia="Times New Roman" w:cs="Arial"/>
          <w:bCs/>
          <w:color w:val="000000"/>
          <w:lang w:val="ru-RU"/>
        </w:rPr>
        <w:t xml:space="preserve"> </w:t>
      </w:r>
      <w:r w:rsidRPr="002F3C9F">
        <w:rPr>
          <w:rFonts w:eastAsia="Times New Roman" w:cs="Arial"/>
          <w:bCs/>
          <w:color w:val="000000"/>
          <w:lang w:eastAsia="bg-BG"/>
        </w:rPr>
        <w:t>финастерид или приблизително 1-2 милиона пъти по-висока от предполагаемото количество финастерид в семенната течност) при бременни маймуни води до аномалии на външните полови органи на мъжкия фетус. Не са наблюдавани други аномалии при мъжкия фетус, нито свързани с финастерид аномалии при женския фетус независимо от дозата.</w:t>
      </w:r>
    </w:p>
    <w:p w14:paraId="2E02B2FD" w14:textId="77777777" w:rsidR="002F3C9F" w:rsidRPr="002F3C9F" w:rsidRDefault="002F3C9F" w:rsidP="002F3C9F"/>
    <w:p w14:paraId="1BA6531D" w14:textId="741E0359" w:rsidR="00B6672E" w:rsidRDefault="002C50EE" w:rsidP="00936AD0">
      <w:pPr>
        <w:pStyle w:val="Heading1"/>
      </w:pPr>
      <w:r>
        <w:t>7. ПРИТЕЖАТЕЛ НА РАЗРЕШЕНИЕТО ЗА УПОТРЕБА</w:t>
      </w:r>
    </w:p>
    <w:p w14:paraId="3E7373C1" w14:textId="6E2C87DB" w:rsidR="002F3C9F" w:rsidRDefault="002F3C9F" w:rsidP="002F3C9F"/>
    <w:p w14:paraId="56840E82" w14:textId="77777777" w:rsidR="002F3C9F" w:rsidRPr="002F3C9F" w:rsidRDefault="002F3C9F" w:rsidP="002F3C9F">
      <w:pPr>
        <w:rPr>
          <w:sz w:val="24"/>
          <w:szCs w:val="24"/>
          <w:lang w:val="en-US"/>
        </w:rPr>
      </w:pPr>
      <w:proofErr w:type="spellStart"/>
      <w:r w:rsidRPr="002F3C9F">
        <w:rPr>
          <w:lang w:val="en-US"/>
        </w:rPr>
        <w:t>Teva</w:t>
      </w:r>
      <w:proofErr w:type="spellEnd"/>
      <w:r w:rsidRPr="002F3C9F">
        <w:rPr>
          <w:lang w:val="en-US"/>
        </w:rPr>
        <w:t xml:space="preserve"> B.V.</w:t>
      </w:r>
    </w:p>
    <w:p w14:paraId="232D667F" w14:textId="77777777" w:rsidR="002F3C9F" w:rsidRPr="002F3C9F" w:rsidRDefault="002F3C9F" w:rsidP="002F3C9F">
      <w:pPr>
        <w:rPr>
          <w:sz w:val="24"/>
          <w:szCs w:val="24"/>
          <w:lang w:val="en-US"/>
        </w:rPr>
      </w:pPr>
      <w:proofErr w:type="spellStart"/>
      <w:r w:rsidRPr="002F3C9F">
        <w:rPr>
          <w:lang w:val="en-US"/>
        </w:rPr>
        <w:t>Swensweg</w:t>
      </w:r>
      <w:proofErr w:type="spellEnd"/>
      <w:r w:rsidRPr="002F3C9F">
        <w:rPr>
          <w:lang w:val="en-US"/>
        </w:rPr>
        <w:t xml:space="preserve"> </w:t>
      </w:r>
      <w:r w:rsidRPr="002F3C9F">
        <w:rPr>
          <w:lang w:eastAsia="bg-BG"/>
        </w:rPr>
        <w:t>5</w:t>
      </w:r>
    </w:p>
    <w:p w14:paraId="1FC1E4BD" w14:textId="77777777" w:rsidR="002F3C9F" w:rsidRPr="002F3C9F" w:rsidRDefault="002F3C9F" w:rsidP="002F3C9F">
      <w:pPr>
        <w:rPr>
          <w:sz w:val="24"/>
          <w:szCs w:val="24"/>
          <w:lang w:val="en-US"/>
        </w:rPr>
      </w:pPr>
      <w:r w:rsidRPr="002F3C9F">
        <w:rPr>
          <w:lang w:eastAsia="bg-BG"/>
        </w:rPr>
        <w:t xml:space="preserve">2031 </w:t>
      </w:r>
      <w:r w:rsidRPr="002F3C9F">
        <w:rPr>
          <w:lang w:val="en-US"/>
        </w:rPr>
        <w:t>GA Haarlem</w:t>
      </w:r>
    </w:p>
    <w:p w14:paraId="3D64C71B" w14:textId="6C70EEE3" w:rsidR="002F3C9F" w:rsidRPr="002F3C9F" w:rsidRDefault="002F3C9F" w:rsidP="002F3C9F">
      <w:r w:rsidRPr="002F3C9F">
        <w:rPr>
          <w:lang w:eastAsia="bg-BG"/>
        </w:rPr>
        <w:t>Нидерландия</w:t>
      </w:r>
    </w:p>
    <w:p w14:paraId="508F3A54" w14:textId="43897E90" w:rsidR="00B6672E" w:rsidRDefault="00936AD0" w:rsidP="00936AD0">
      <w:pPr>
        <w:pStyle w:val="Heading1"/>
      </w:pPr>
      <w:r>
        <w:t>8.</w:t>
      </w:r>
      <w:r w:rsidR="002C50EE">
        <w:t>НОМЕР НА РАЗРЕШЕНИЕТО ЗА УПОТРЕБА</w:t>
      </w:r>
    </w:p>
    <w:p w14:paraId="0CC93D25" w14:textId="1F3B7E53" w:rsidR="002F3C9F" w:rsidRDefault="002F3C9F" w:rsidP="002F3C9F"/>
    <w:p w14:paraId="4869ED60" w14:textId="02F78494" w:rsidR="002F3C9F" w:rsidRPr="002F3C9F" w:rsidRDefault="002F3C9F" w:rsidP="002F3C9F">
      <w:r>
        <w:rPr>
          <w:lang w:val="en-US"/>
        </w:rPr>
        <w:t xml:space="preserve">Per. </w:t>
      </w:r>
      <w:r>
        <w:t>№20090013</w:t>
      </w:r>
    </w:p>
    <w:p w14:paraId="2CCB5832" w14:textId="6CA5C8A7" w:rsidR="007C605B" w:rsidRDefault="002C50EE" w:rsidP="007C605B">
      <w:pPr>
        <w:pStyle w:val="Heading1"/>
      </w:pPr>
      <w:r>
        <w:lastRenderedPageBreak/>
        <w:t>9. ДАТА НА ПЪРВО РАЗРЕШАВАНЕ/ПОДНОВЯВАНЕ НА РАЗРЕШЕНИЕТО ЗА УПОТРЕБА</w:t>
      </w:r>
    </w:p>
    <w:p w14:paraId="2F0F92ED" w14:textId="03845A01" w:rsidR="002F3C9F" w:rsidRDefault="002F3C9F" w:rsidP="002F3C9F"/>
    <w:p w14:paraId="5B9AFF74" w14:textId="77777777" w:rsidR="002F3C9F" w:rsidRPr="002F3C9F" w:rsidRDefault="002F3C9F" w:rsidP="002F3C9F">
      <w:pPr>
        <w:rPr>
          <w:sz w:val="24"/>
          <w:szCs w:val="24"/>
        </w:rPr>
      </w:pPr>
      <w:r w:rsidRPr="002F3C9F">
        <w:rPr>
          <w:lang w:eastAsia="bg-BG"/>
        </w:rPr>
        <w:t>Дата на първо разрешаване: 19.01.2009 г.</w:t>
      </w:r>
    </w:p>
    <w:p w14:paraId="6446E246" w14:textId="77777777" w:rsidR="002F3C9F" w:rsidRPr="002F3C9F" w:rsidRDefault="002F3C9F" w:rsidP="002F3C9F">
      <w:pPr>
        <w:rPr>
          <w:sz w:val="24"/>
          <w:szCs w:val="24"/>
        </w:rPr>
      </w:pPr>
      <w:r w:rsidRPr="002F3C9F">
        <w:rPr>
          <w:lang w:eastAsia="bg-BG"/>
        </w:rPr>
        <w:t>Дата на последно подновяване: 23.02.2015 г.</w:t>
      </w:r>
    </w:p>
    <w:p w14:paraId="077D8BEB" w14:textId="77777777" w:rsidR="002F3C9F" w:rsidRPr="002F3C9F" w:rsidRDefault="002F3C9F" w:rsidP="002F3C9F"/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p w14:paraId="43FB38A2" w14:textId="689F8F04" w:rsidR="007C605B" w:rsidRPr="003E3126" w:rsidRDefault="007C605B" w:rsidP="00B6672E">
      <w:bookmarkStart w:id="1" w:name="_GoBack"/>
      <w:bookmarkEnd w:id="0"/>
      <w:bookmarkEnd w:id="1"/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74D0D9E"/>
    <w:multiLevelType w:val="hybridMultilevel"/>
    <w:tmpl w:val="4E6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C16F5"/>
    <w:multiLevelType w:val="hybridMultilevel"/>
    <w:tmpl w:val="E5EA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B36B2"/>
    <w:multiLevelType w:val="hybridMultilevel"/>
    <w:tmpl w:val="08D420FE"/>
    <w:lvl w:ilvl="0" w:tplc="699857D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8"/>
  </w:num>
  <w:num w:numId="2">
    <w:abstractNumId w:val="0"/>
  </w:num>
  <w:num w:numId="3">
    <w:abstractNumId w:val="14"/>
  </w:num>
  <w:num w:numId="4">
    <w:abstractNumId w:val="3"/>
  </w:num>
  <w:num w:numId="5">
    <w:abstractNumId w:val="1"/>
  </w:num>
  <w:num w:numId="6">
    <w:abstractNumId w:val="17"/>
  </w:num>
  <w:num w:numId="7">
    <w:abstractNumId w:val="12"/>
  </w:num>
  <w:num w:numId="8">
    <w:abstractNumId w:val="16"/>
  </w:num>
  <w:num w:numId="9">
    <w:abstractNumId w:val="2"/>
  </w:num>
  <w:num w:numId="10">
    <w:abstractNumId w:val="4"/>
  </w:num>
  <w:num w:numId="11">
    <w:abstractNumId w:val="31"/>
  </w:num>
  <w:num w:numId="12">
    <w:abstractNumId w:val="15"/>
  </w:num>
  <w:num w:numId="13">
    <w:abstractNumId w:val="20"/>
  </w:num>
  <w:num w:numId="14">
    <w:abstractNumId w:val="13"/>
  </w:num>
  <w:num w:numId="15">
    <w:abstractNumId w:val="30"/>
  </w:num>
  <w:num w:numId="16">
    <w:abstractNumId w:val="11"/>
  </w:num>
  <w:num w:numId="17">
    <w:abstractNumId w:val="25"/>
  </w:num>
  <w:num w:numId="18">
    <w:abstractNumId w:val="8"/>
  </w:num>
  <w:num w:numId="19">
    <w:abstractNumId w:val="27"/>
  </w:num>
  <w:num w:numId="20">
    <w:abstractNumId w:val="24"/>
  </w:num>
  <w:num w:numId="21">
    <w:abstractNumId w:val="18"/>
  </w:num>
  <w:num w:numId="22">
    <w:abstractNumId w:val="26"/>
  </w:num>
  <w:num w:numId="23">
    <w:abstractNumId w:val="19"/>
  </w:num>
  <w:num w:numId="24">
    <w:abstractNumId w:val="9"/>
  </w:num>
  <w:num w:numId="25">
    <w:abstractNumId w:val="23"/>
  </w:num>
  <w:num w:numId="26">
    <w:abstractNumId w:val="22"/>
  </w:num>
  <w:num w:numId="27">
    <w:abstractNumId w:val="33"/>
  </w:num>
  <w:num w:numId="28">
    <w:abstractNumId w:val="6"/>
  </w:num>
  <w:num w:numId="29">
    <w:abstractNumId w:val="21"/>
  </w:num>
  <w:num w:numId="30">
    <w:abstractNumId w:val="36"/>
  </w:num>
  <w:num w:numId="31">
    <w:abstractNumId w:val="5"/>
  </w:num>
  <w:num w:numId="32">
    <w:abstractNumId w:val="35"/>
  </w:num>
  <w:num w:numId="33">
    <w:abstractNumId w:val="29"/>
  </w:num>
  <w:num w:numId="34">
    <w:abstractNumId w:val="34"/>
  </w:num>
  <w:num w:numId="35">
    <w:abstractNumId w:val="7"/>
  </w:num>
  <w:num w:numId="36">
    <w:abstractNumId w:val="1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2F3C9F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122AD"/>
    <w:rsid w:val="0075649D"/>
    <w:rsid w:val="007C605B"/>
    <w:rsid w:val="008134C8"/>
    <w:rsid w:val="00814073"/>
    <w:rsid w:val="00826F0D"/>
    <w:rsid w:val="00893B92"/>
    <w:rsid w:val="008A6AF2"/>
    <w:rsid w:val="008C70A2"/>
    <w:rsid w:val="00936AD0"/>
    <w:rsid w:val="009773E4"/>
    <w:rsid w:val="009B171C"/>
    <w:rsid w:val="009F1313"/>
    <w:rsid w:val="00A20351"/>
    <w:rsid w:val="00A65A81"/>
    <w:rsid w:val="00AA23EC"/>
    <w:rsid w:val="00AC63CE"/>
    <w:rsid w:val="00AE2107"/>
    <w:rsid w:val="00B275A8"/>
    <w:rsid w:val="00B6672E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3245</Words>
  <Characters>18502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2022-10-17T08:16:00Z</dcterms:created>
  <dcterms:modified xsi:type="dcterms:W3CDTF">2022-10-17T08:16:00Z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