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577181C" w:rsidR="007122AD" w:rsidRDefault="00DD466D" w:rsidP="00936AD0">
      <w:pPr>
        <w:pStyle w:val="Heading1"/>
      </w:pPr>
      <w:r>
        <w:t>1.ИМЕ НА ЛЕКАРСТВЕНИЯ ПРОДУКТ</w:t>
      </w:r>
    </w:p>
    <w:p w14:paraId="44E495DB" w14:textId="1055C86E" w:rsidR="00DF72B1" w:rsidRDefault="00DF72B1" w:rsidP="00DF72B1"/>
    <w:p w14:paraId="3A0F806A" w14:textId="77777777" w:rsidR="00DF72B1" w:rsidRPr="00DF72B1" w:rsidRDefault="00DF72B1" w:rsidP="00DF72B1">
      <w:pPr>
        <w:rPr>
          <w:sz w:val="24"/>
          <w:szCs w:val="24"/>
        </w:rPr>
      </w:pPr>
      <w:r w:rsidRPr="00DF72B1">
        <w:rPr>
          <w:lang w:eastAsia="bg-BG"/>
        </w:rPr>
        <w:t xml:space="preserve">ИБАНДРОНОВА КИСЕЛИНА СТАДА 150 </w:t>
      </w:r>
      <w:r w:rsidRPr="00DF72B1">
        <w:rPr>
          <w:lang w:val="en-US"/>
        </w:rPr>
        <w:t>mg</w:t>
      </w:r>
      <w:r w:rsidRPr="00DF72B1">
        <w:rPr>
          <w:lang w:val="ru-RU"/>
        </w:rPr>
        <w:t xml:space="preserve"> </w:t>
      </w:r>
      <w:r w:rsidRPr="00DF72B1">
        <w:rPr>
          <w:lang w:eastAsia="bg-BG"/>
        </w:rPr>
        <w:t>филмирани таблетки</w:t>
      </w:r>
    </w:p>
    <w:p w14:paraId="7FBE2D35" w14:textId="71A5603A" w:rsidR="00DF72B1" w:rsidRPr="00DF72B1" w:rsidRDefault="00DF72B1" w:rsidP="00DF72B1">
      <w:pPr>
        <w:rPr>
          <w:sz w:val="24"/>
          <w:szCs w:val="24"/>
        </w:rPr>
      </w:pPr>
      <w:r w:rsidRPr="00DF72B1">
        <w:rPr>
          <w:lang w:val="en-US"/>
        </w:rPr>
        <w:t xml:space="preserve">IBANDRONIC </w:t>
      </w:r>
      <w:r>
        <w:rPr>
          <w:lang w:val="en-US" w:eastAsia="bg-BG"/>
        </w:rPr>
        <w:t>ACID</w:t>
      </w:r>
      <w:r w:rsidRPr="00DF72B1">
        <w:rPr>
          <w:lang w:eastAsia="bg-BG"/>
        </w:rPr>
        <w:t xml:space="preserve"> </w:t>
      </w:r>
      <w:r w:rsidRPr="00DF72B1">
        <w:rPr>
          <w:lang w:val="en-US"/>
        </w:rPr>
        <w:t xml:space="preserve">STADA </w:t>
      </w:r>
      <w:r w:rsidRPr="00DF72B1">
        <w:rPr>
          <w:lang w:eastAsia="bg-BG"/>
        </w:rPr>
        <w:t xml:space="preserve">150 </w:t>
      </w:r>
      <w:r w:rsidRPr="00DF72B1">
        <w:rPr>
          <w:lang w:val="en-US"/>
        </w:rPr>
        <w:t>mg film-coated tablets</w:t>
      </w:r>
    </w:p>
    <w:p w14:paraId="45F6DD95" w14:textId="77777777" w:rsidR="00DF72B1" w:rsidRPr="00DF72B1" w:rsidRDefault="00DF72B1" w:rsidP="00DF72B1"/>
    <w:p w14:paraId="6920A680" w14:textId="3DD94E21" w:rsidR="00C40420" w:rsidRDefault="00DD466D" w:rsidP="004A448E">
      <w:pPr>
        <w:pStyle w:val="Heading1"/>
      </w:pPr>
      <w:r>
        <w:t>2. КАЧЕСТВЕН И КОЛИЧЕСТВЕН СЪСТАВ</w:t>
      </w:r>
    </w:p>
    <w:p w14:paraId="549715D6" w14:textId="432DA861" w:rsidR="00DF72B1" w:rsidRDefault="00DF72B1" w:rsidP="00DF72B1"/>
    <w:p w14:paraId="44E2384F"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Всяка филмирана таблетка съдържа 150 </w:t>
      </w:r>
      <w:r w:rsidRPr="00DF72B1">
        <w:rPr>
          <w:rFonts w:eastAsia="Times New Roman" w:cs="Arial"/>
          <w:color w:val="000000"/>
          <w:szCs w:val="20"/>
          <w:lang w:val="en-US"/>
        </w:rPr>
        <w:t>mg</w:t>
      </w:r>
      <w:r w:rsidRPr="00DF72B1">
        <w:rPr>
          <w:rFonts w:eastAsia="Times New Roman" w:cs="Arial"/>
          <w:color w:val="000000"/>
          <w:szCs w:val="20"/>
        </w:rPr>
        <w:t xml:space="preserve"> </w:t>
      </w:r>
      <w:r w:rsidRPr="00DF72B1">
        <w:rPr>
          <w:rFonts w:eastAsia="Times New Roman" w:cs="Arial"/>
          <w:color w:val="000000"/>
          <w:szCs w:val="20"/>
          <w:lang w:eastAsia="bg-BG"/>
        </w:rPr>
        <w:t xml:space="preserve">ибандронова киселина </w:t>
      </w:r>
      <w:r w:rsidRPr="00DF72B1">
        <w:rPr>
          <w:rFonts w:eastAsia="Times New Roman" w:cs="Arial"/>
          <w:color w:val="000000"/>
          <w:szCs w:val="20"/>
        </w:rPr>
        <w:t>(</w:t>
      </w:r>
      <w:proofErr w:type="spellStart"/>
      <w:r w:rsidRPr="00DF72B1">
        <w:rPr>
          <w:rFonts w:eastAsia="Times New Roman" w:cs="Arial"/>
          <w:color w:val="000000"/>
          <w:szCs w:val="20"/>
          <w:lang w:val="en-US"/>
        </w:rPr>
        <w:t>ibandronic</w:t>
      </w:r>
      <w:proofErr w:type="spellEnd"/>
      <w:r w:rsidRPr="00DF72B1">
        <w:rPr>
          <w:rFonts w:eastAsia="Times New Roman" w:cs="Arial"/>
          <w:color w:val="000000"/>
          <w:szCs w:val="20"/>
        </w:rPr>
        <w:t xml:space="preserve"> </w:t>
      </w:r>
      <w:r w:rsidRPr="00DF72B1">
        <w:rPr>
          <w:rFonts w:eastAsia="Times New Roman" w:cs="Arial"/>
          <w:color w:val="000000"/>
          <w:szCs w:val="20"/>
          <w:lang w:val="en-US"/>
        </w:rPr>
        <w:t>acid</w:t>
      </w:r>
      <w:r w:rsidRPr="00DF72B1">
        <w:rPr>
          <w:rFonts w:eastAsia="Times New Roman" w:cs="Arial"/>
          <w:color w:val="000000"/>
          <w:szCs w:val="20"/>
        </w:rPr>
        <w:t xml:space="preserve">) </w:t>
      </w:r>
      <w:r w:rsidRPr="00DF72B1">
        <w:rPr>
          <w:rFonts w:eastAsia="Times New Roman" w:cs="Arial"/>
          <w:color w:val="000000"/>
          <w:szCs w:val="20"/>
          <w:lang w:eastAsia="bg-BG"/>
        </w:rPr>
        <w:t xml:space="preserve">род формата на натриев ибандронат монохидрат </w:t>
      </w:r>
      <w:r w:rsidRPr="00DF72B1">
        <w:rPr>
          <w:rFonts w:eastAsia="Times New Roman" w:cs="Arial"/>
          <w:color w:val="000000"/>
          <w:szCs w:val="20"/>
        </w:rPr>
        <w:t>(</w:t>
      </w:r>
      <w:r w:rsidRPr="00DF72B1">
        <w:rPr>
          <w:rFonts w:eastAsia="Times New Roman" w:cs="Arial"/>
          <w:color w:val="000000"/>
          <w:szCs w:val="20"/>
          <w:lang w:val="en-US"/>
        </w:rPr>
        <w:t>as</w:t>
      </w:r>
      <w:r w:rsidRPr="00DF72B1">
        <w:rPr>
          <w:rFonts w:eastAsia="Times New Roman" w:cs="Arial"/>
          <w:color w:val="000000"/>
          <w:szCs w:val="20"/>
        </w:rPr>
        <w:t xml:space="preserve"> </w:t>
      </w:r>
      <w:proofErr w:type="spellStart"/>
      <w:r w:rsidRPr="00DF72B1">
        <w:rPr>
          <w:rFonts w:eastAsia="Times New Roman" w:cs="Arial"/>
          <w:color w:val="000000"/>
          <w:szCs w:val="20"/>
          <w:lang w:val="en-US"/>
        </w:rPr>
        <w:t>ibandronic</w:t>
      </w:r>
      <w:proofErr w:type="spellEnd"/>
      <w:r w:rsidRPr="00DF72B1">
        <w:rPr>
          <w:rFonts w:eastAsia="Times New Roman" w:cs="Arial"/>
          <w:color w:val="000000"/>
          <w:szCs w:val="20"/>
        </w:rPr>
        <w:t xml:space="preserve"> </w:t>
      </w:r>
      <w:r w:rsidRPr="00DF72B1">
        <w:rPr>
          <w:rFonts w:eastAsia="Times New Roman" w:cs="Arial"/>
          <w:color w:val="000000"/>
          <w:szCs w:val="20"/>
          <w:lang w:val="en-US"/>
        </w:rPr>
        <w:t>acid</w:t>
      </w:r>
      <w:r w:rsidRPr="00DF72B1">
        <w:rPr>
          <w:rFonts w:eastAsia="Times New Roman" w:cs="Arial"/>
          <w:color w:val="000000"/>
          <w:szCs w:val="20"/>
        </w:rPr>
        <w:t xml:space="preserve"> </w:t>
      </w:r>
      <w:r w:rsidRPr="00DF72B1">
        <w:rPr>
          <w:rFonts w:eastAsia="Times New Roman" w:cs="Arial"/>
          <w:color w:val="000000"/>
          <w:szCs w:val="20"/>
          <w:lang w:val="en-US"/>
        </w:rPr>
        <w:t>sodium</w:t>
      </w:r>
      <w:r w:rsidRPr="00DF72B1">
        <w:rPr>
          <w:rFonts w:eastAsia="Times New Roman" w:cs="Arial"/>
          <w:color w:val="000000"/>
          <w:szCs w:val="20"/>
        </w:rPr>
        <w:t xml:space="preserve"> </w:t>
      </w:r>
      <w:r w:rsidRPr="00DF72B1">
        <w:rPr>
          <w:rFonts w:eastAsia="Times New Roman" w:cs="Arial"/>
          <w:color w:val="000000"/>
          <w:szCs w:val="20"/>
          <w:lang w:val="en-US"/>
        </w:rPr>
        <w:t>monohydrate</w:t>
      </w:r>
      <w:r w:rsidRPr="00DF72B1">
        <w:rPr>
          <w:rFonts w:eastAsia="Times New Roman" w:cs="Arial"/>
          <w:color w:val="000000"/>
          <w:szCs w:val="20"/>
        </w:rPr>
        <w:t>),</w:t>
      </w:r>
    </w:p>
    <w:p w14:paraId="75D98064" w14:textId="77777777" w:rsidR="00DF72B1" w:rsidRPr="00DF72B1" w:rsidRDefault="00DF72B1" w:rsidP="00DF72B1">
      <w:pPr>
        <w:spacing w:line="240" w:lineRule="auto"/>
        <w:rPr>
          <w:rFonts w:eastAsia="Times New Roman" w:cs="Arial"/>
          <w:i/>
          <w:iCs/>
          <w:color w:val="000000"/>
          <w:szCs w:val="20"/>
          <w:u w:val="single"/>
          <w:lang w:eastAsia="bg-BG"/>
        </w:rPr>
      </w:pPr>
    </w:p>
    <w:p w14:paraId="35971906" w14:textId="1D8AEE02"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u w:val="single"/>
          <w:lang w:eastAsia="bg-BG"/>
        </w:rPr>
        <w:t xml:space="preserve">Помощни вещества </w:t>
      </w:r>
      <w:r w:rsidRPr="00DF72B1">
        <w:rPr>
          <w:rFonts w:eastAsia="Times New Roman" w:cs="Arial"/>
          <w:i/>
          <w:iCs/>
          <w:color w:val="000000"/>
          <w:szCs w:val="20"/>
          <w:u w:val="single"/>
          <w:lang w:val="en-US"/>
        </w:rPr>
        <w:t>c</w:t>
      </w:r>
      <w:r w:rsidRPr="00DF72B1">
        <w:rPr>
          <w:rFonts w:eastAsia="Times New Roman" w:cs="Arial"/>
          <w:i/>
          <w:iCs/>
          <w:color w:val="000000"/>
          <w:szCs w:val="20"/>
          <w:u w:val="single"/>
          <w:lang w:val="ru-RU"/>
        </w:rPr>
        <w:t xml:space="preserve"> </w:t>
      </w:r>
      <w:r w:rsidRPr="00DF72B1">
        <w:rPr>
          <w:rFonts w:eastAsia="Times New Roman" w:cs="Arial"/>
          <w:i/>
          <w:iCs/>
          <w:color w:val="000000"/>
          <w:szCs w:val="20"/>
          <w:u w:val="single"/>
          <w:lang w:eastAsia="bg-BG"/>
        </w:rPr>
        <w:t>известно действие:</w:t>
      </w:r>
    </w:p>
    <w:p w14:paraId="381F22E8" w14:textId="77777777" w:rsidR="00DF72B1" w:rsidRPr="00DF72B1" w:rsidRDefault="00DF72B1" w:rsidP="00DF72B1">
      <w:pPr>
        <w:spacing w:line="240" w:lineRule="auto"/>
        <w:rPr>
          <w:rFonts w:eastAsia="Times New Roman" w:cs="Arial"/>
          <w:color w:val="000000"/>
          <w:szCs w:val="20"/>
          <w:lang w:eastAsia="bg-BG"/>
        </w:rPr>
      </w:pPr>
    </w:p>
    <w:p w14:paraId="00A7CB5B" w14:textId="253185EF"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Всяка филмирана таблетка съдържа 162.77 </w:t>
      </w:r>
      <w:r w:rsidRPr="00DF72B1">
        <w:rPr>
          <w:rFonts w:eastAsia="Times New Roman" w:cs="Arial"/>
          <w:color w:val="000000"/>
          <w:szCs w:val="20"/>
          <w:lang w:val="en-US"/>
        </w:rPr>
        <w:t>mg</w:t>
      </w:r>
      <w:r w:rsidRPr="00DF72B1">
        <w:rPr>
          <w:rFonts w:eastAsia="Times New Roman" w:cs="Arial"/>
          <w:color w:val="000000"/>
          <w:szCs w:val="20"/>
          <w:lang w:val="ru-RU"/>
        </w:rPr>
        <w:t xml:space="preserve"> </w:t>
      </w:r>
      <w:r w:rsidRPr="00DF72B1">
        <w:rPr>
          <w:rFonts w:eastAsia="Times New Roman" w:cs="Arial"/>
          <w:color w:val="000000"/>
          <w:szCs w:val="20"/>
          <w:lang w:eastAsia="bg-BG"/>
        </w:rPr>
        <w:t>лактоза монохидрат.</w:t>
      </w:r>
    </w:p>
    <w:p w14:paraId="49A171D2" w14:textId="77777777" w:rsidR="00DF72B1" w:rsidRPr="00DF72B1" w:rsidRDefault="00DF72B1" w:rsidP="00DF72B1"/>
    <w:p w14:paraId="614984C4" w14:textId="27659712" w:rsidR="008A6AF2" w:rsidRDefault="00DD466D" w:rsidP="002C50EE">
      <w:pPr>
        <w:pStyle w:val="Heading1"/>
      </w:pPr>
      <w:r>
        <w:t>3. ЛЕКАРСТВЕНА ФОРМА</w:t>
      </w:r>
    </w:p>
    <w:p w14:paraId="7F614F06" w14:textId="53218FF1" w:rsidR="00DF72B1" w:rsidRDefault="00DF72B1" w:rsidP="00DF72B1"/>
    <w:p w14:paraId="11978674" w14:textId="77777777" w:rsidR="00DF72B1" w:rsidRPr="00DF72B1" w:rsidRDefault="00DF72B1" w:rsidP="00DF72B1">
      <w:pPr>
        <w:rPr>
          <w:sz w:val="24"/>
          <w:szCs w:val="24"/>
        </w:rPr>
      </w:pPr>
      <w:r w:rsidRPr="00DF72B1">
        <w:rPr>
          <w:lang w:eastAsia="bg-BG"/>
        </w:rPr>
        <w:t>Филмирана таблетка.</w:t>
      </w:r>
    </w:p>
    <w:p w14:paraId="5ED46707" w14:textId="77777777" w:rsidR="00DF72B1" w:rsidRDefault="00DF72B1" w:rsidP="00DF72B1">
      <w:pPr>
        <w:rPr>
          <w:lang w:eastAsia="bg-BG"/>
        </w:rPr>
      </w:pPr>
    </w:p>
    <w:p w14:paraId="7D0DD778" w14:textId="171013CD" w:rsidR="00DF72B1" w:rsidRPr="00DF72B1" w:rsidRDefault="00DF72B1" w:rsidP="00DF72B1">
      <w:pPr>
        <w:rPr>
          <w:sz w:val="24"/>
          <w:szCs w:val="24"/>
        </w:rPr>
      </w:pPr>
      <w:r w:rsidRPr="00DF72B1">
        <w:rPr>
          <w:lang w:eastAsia="bg-BG"/>
        </w:rPr>
        <w:t xml:space="preserve">Бели до почти бели, продълговати, двоено изпъкнали филмирани таблетки, 14 </w:t>
      </w:r>
      <w:r w:rsidRPr="00DF72B1">
        <w:rPr>
          <w:lang w:val="en-US"/>
        </w:rPr>
        <w:t>mm</w:t>
      </w:r>
      <w:r w:rsidRPr="00DF72B1">
        <w:rPr>
          <w:lang w:val="ru-RU"/>
        </w:rPr>
        <w:t xml:space="preserve"> </w:t>
      </w:r>
      <w:r w:rsidRPr="00DF72B1">
        <w:rPr>
          <w:lang w:eastAsia="bg-BG"/>
        </w:rPr>
        <w:t xml:space="preserve">дължина, е надпис </w:t>
      </w:r>
      <w:r w:rsidRPr="00DF72B1">
        <w:rPr>
          <w:lang w:val="ru-RU"/>
        </w:rPr>
        <w:t>“</w:t>
      </w:r>
      <w:r w:rsidRPr="00DF72B1">
        <w:rPr>
          <w:lang w:val="en-US"/>
        </w:rPr>
        <w:t>I</w:t>
      </w:r>
      <w:r w:rsidRPr="00DF72B1">
        <w:rPr>
          <w:lang w:val="ru-RU"/>
        </w:rPr>
        <w:t>9</w:t>
      </w:r>
      <w:r w:rsidRPr="00DF72B1">
        <w:rPr>
          <w:lang w:val="en-US"/>
        </w:rPr>
        <w:t>BE</w:t>
      </w:r>
      <w:r w:rsidRPr="00DF72B1">
        <w:rPr>
          <w:lang w:val="ru-RU"/>
        </w:rPr>
        <w:t xml:space="preserve">” </w:t>
      </w:r>
      <w:r w:rsidRPr="00DF72B1">
        <w:rPr>
          <w:lang w:eastAsia="bg-BG"/>
        </w:rPr>
        <w:t>от едната страна и “150” от другата.</w:t>
      </w:r>
    </w:p>
    <w:p w14:paraId="499BE6A5" w14:textId="77777777" w:rsidR="00DF72B1" w:rsidRPr="00DF72B1" w:rsidRDefault="00DF72B1" w:rsidP="00DF72B1"/>
    <w:p w14:paraId="490FC2C4" w14:textId="0F4A4A75" w:rsidR="002C50EE" w:rsidRDefault="002C50EE" w:rsidP="002C50EE">
      <w:pPr>
        <w:pStyle w:val="Heading1"/>
      </w:pPr>
      <w:r>
        <w:t>4. КЛИНИЧНИ ДАННИ</w:t>
      </w:r>
    </w:p>
    <w:p w14:paraId="74330405" w14:textId="1581634B" w:rsidR="007122AD" w:rsidRDefault="002C50EE" w:rsidP="00936AD0">
      <w:pPr>
        <w:pStyle w:val="Heading2"/>
      </w:pPr>
      <w:r>
        <w:t>4.1. Терапевтични показания</w:t>
      </w:r>
    </w:p>
    <w:p w14:paraId="1FCAEF5E" w14:textId="474DA8B0" w:rsidR="00DF72B1" w:rsidRDefault="00DF72B1" w:rsidP="00DF72B1"/>
    <w:p w14:paraId="6D7FE73F" w14:textId="77777777" w:rsidR="00DF72B1" w:rsidRPr="00DF72B1" w:rsidRDefault="00DF72B1" w:rsidP="00DF72B1">
      <w:pPr>
        <w:rPr>
          <w:sz w:val="24"/>
          <w:szCs w:val="24"/>
        </w:rPr>
      </w:pPr>
      <w:r w:rsidRPr="00DF72B1">
        <w:rPr>
          <w:lang w:eastAsia="bg-BG"/>
        </w:rPr>
        <w:t>Лечение на остеопороза при жени в цостменопауза с увеличен риск от фрактури (вж, точка 5.1). Доказано е намаление на риска от вертебрални фрактури; не е установена ефикасност</w:t>
      </w:r>
      <w:r w:rsidRPr="00DF72B1">
        <w:rPr>
          <w:lang w:val="ru-RU"/>
        </w:rPr>
        <w:t xml:space="preserve"> </w:t>
      </w:r>
      <w:r w:rsidRPr="00DF72B1">
        <w:rPr>
          <w:lang w:eastAsia="bg-BG"/>
        </w:rPr>
        <w:t>по отношение на фрактури на шийката на бедрената кост.</w:t>
      </w:r>
    </w:p>
    <w:p w14:paraId="094D42FB" w14:textId="77777777" w:rsidR="00DF72B1" w:rsidRPr="00DF72B1" w:rsidRDefault="00DF72B1" w:rsidP="00DF72B1"/>
    <w:p w14:paraId="53F5B866" w14:textId="5ED7416A" w:rsidR="007122AD" w:rsidRDefault="002C50EE" w:rsidP="00936AD0">
      <w:pPr>
        <w:pStyle w:val="Heading2"/>
      </w:pPr>
      <w:r>
        <w:t>4.2. Дозировка и начин на приложение</w:t>
      </w:r>
    </w:p>
    <w:p w14:paraId="02F55E25" w14:textId="1A2974BB" w:rsidR="00DF72B1" w:rsidRDefault="00DF72B1" w:rsidP="00DF72B1"/>
    <w:p w14:paraId="2A0A21D0" w14:textId="77777777" w:rsidR="00DF72B1" w:rsidRPr="00DF72B1" w:rsidRDefault="00DF72B1" w:rsidP="00DF72B1">
      <w:pPr>
        <w:pStyle w:val="Heading3"/>
        <w:rPr>
          <w:rFonts w:eastAsia="Times New Roman"/>
          <w:sz w:val="28"/>
          <w:u w:val="single"/>
        </w:rPr>
      </w:pPr>
      <w:r w:rsidRPr="00DF72B1">
        <w:rPr>
          <w:rFonts w:eastAsia="Times New Roman"/>
          <w:u w:val="single"/>
          <w:lang w:eastAsia="bg-BG"/>
        </w:rPr>
        <w:t>Дозировка:</w:t>
      </w:r>
    </w:p>
    <w:p w14:paraId="61BFDF8F"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Препоръчваната доза е една филмирана таблетка от 150 </w:t>
      </w:r>
      <w:r w:rsidRPr="00DF72B1">
        <w:rPr>
          <w:rFonts w:eastAsia="Times New Roman" w:cs="Arial"/>
          <w:color w:val="000000"/>
          <w:szCs w:val="20"/>
          <w:lang w:val="en-US"/>
        </w:rPr>
        <w:t>mg</w:t>
      </w:r>
      <w:r w:rsidRPr="00DF72B1">
        <w:rPr>
          <w:rFonts w:eastAsia="Times New Roman" w:cs="Arial"/>
          <w:color w:val="000000"/>
          <w:szCs w:val="20"/>
          <w:lang w:val="ru-RU"/>
        </w:rPr>
        <w:t xml:space="preserve"> </w:t>
      </w:r>
      <w:r w:rsidRPr="00DF72B1">
        <w:rPr>
          <w:rFonts w:eastAsia="Times New Roman" w:cs="Arial"/>
          <w:color w:val="000000"/>
          <w:szCs w:val="20"/>
          <w:lang w:eastAsia="bg-BG"/>
        </w:rPr>
        <w:t>веднъж месечно. За предпочитане е таблетката да се приема на една и съща дата всеки месец.</w:t>
      </w:r>
    </w:p>
    <w:p w14:paraId="25244ADE" w14:textId="77777777" w:rsidR="00DF72B1" w:rsidRPr="00DF72B1" w:rsidRDefault="00DF72B1" w:rsidP="00DF72B1">
      <w:pPr>
        <w:spacing w:line="240" w:lineRule="auto"/>
        <w:rPr>
          <w:rFonts w:eastAsia="Times New Roman" w:cs="Arial"/>
          <w:color w:val="000000"/>
          <w:szCs w:val="20"/>
          <w:lang w:eastAsia="bg-BG"/>
        </w:rPr>
      </w:pPr>
    </w:p>
    <w:p w14:paraId="18F0573B" w14:textId="4D468334"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Ибандронова киселина СТАДА трябва да се прилага сутрин на гладно (без да е била приемана храна поне 6 часа) и 1 час преди първия прием за деня на храна или напитка (с изключение на вода) (вж. точка 4.5) или преди перорално приемане на друго лекарство или хранителна добавка (включително калций).</w:t>
      </w:r>
    </w:p>
    <w:p w14:paraId="7A750F9C" w14:textId="77777777" w:rsidR="00DF72B1" w:rsidRPr="00DF72B1" w:rsidRDefault="00DF72B1" w:rsidP="00DF72B1">
      <w:pPr>
        <w:spacing w:line="240" w:lineRule="auto"/>
        <w:rPr>
          <w:rFonts w:eastAsia="Times New Roman" w:cs="Arial"/>
          <w:color w:val="000000"/>
          <w:szCs w:val="20"/>
          <w:lang w:eastAsia="bg-BG"/>
        </w:rPr>
      </w:pPr>
    </w:p>
    <w:p w14:paraId="574F2396" w14:textId="7C58EC7A"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lastRenderedPageBreak/>
        <w:t xml:space="preserve">Пациентите трябва да бъдат информирани, че, ако пропуснат доза, трябва да вземат една таблетка Ибандронова киселина СТАДА 150 </w:t>
      </w:r>
      <w:r w:rsidRPr="00DF72B1">
        <w:rPr>
          <w:rFonts w:eastAsia="Times New Roman" w:cs="Arial"/>
          <w:color w:val="000000"/>
          <w:szCs w:val="20"/>
          <w:lang w:val="en-US"/>
        </w:rPr>
        <w:t>mg</w:t>
      </w:r>
      <w:r w:rsidRPr="00DF72B1">
        <w:rPr>
          <w:rFonts w:eastAsia="Times New Roman" w:cs="Arial"/>
          <w:color w:val="000000"/>
          <w:szCs w:val="20"/>
          <w:lang w:val="ru-RU"/>
        </w:rPr>
        <w:t xml:space="preserve"> </w:t>
      </w:r>
      <w:r w:rsidRPr="00DF72B1">
        <w:rPr>
          <w:rFonts w:eastAsia="Times New Roman" w:cs="Arial"/>
          <w:color w:val="000000"/>
          <w:szCs w:val="20"/>
          <w:lang w:eastAsia="bg-BG"/>
        </w:rPr>
        <w:t>на сутринта след като са установили това, освен ако до следващата планирана доза не остават 7 дни. След това пациентите трябва да се върнат към .прием на дозата веднъж месечно на първоначално планираната дата.</w:t>
      </w:r>
    </w:p>
    <w:p w14:paraId="436FE1C2" w14:textId="1EBE1FDA" w:rsidR="00DF72B1" w:rsidRPr="00DF72B1" w:rsidRDefault="00DF72B1" w:rsidP="00DF72B1">
      <w:pPr>
        <w:rPr>
          <w:rFonts w:eastAsia="Times New Roman" w:cs="Arial"/>
          <w:color w:val="000000"/>
          <w:szCs w:val="20"/>
          <w:lang w:val="ru-RU" w:eastAsia="bg-BG"/>
        </w:rPr>
      </w:pPr>
      <w:r w:rsidRPr="00DF72B1">
        <w:rPr>
          <w:rFonts w:eastAsia="Times New Roman" w:cs="Arial"/>
          <w:color w:val="000000"/>
          <w:szCs w:val="20"/>
          <w:lang w:eastAsia="bg-BG"/>
        </w:rPr>
        <w:t>Ако следващата планирана дата е до 7 дни, пациентките трябва да изчакат до следващата доза и след това да продължат да приемат по една таблетка месечно, както е планирано планирано първоначлно</w:t>
      </w:r>
      <w:r w:rsidRPr="00DF72B1">
        <w:rPr>
          <w:rFonts w:eastAsia="Times New Roman" w:cs="Arial"/>
          <w:color w:val="000000"/>
          <w:szCs w:val="20"/>
          <w:lang w:val="ru-RU" w:eastAsia="bg-BG"/>
        </w:rPr>
        <w:t>.</w:t>
      </w:r>
    </w:p>
    <w:p w14:paraId="7ED8AA0F" w14:textId="590106AC" w:rsidR="00DF72B1" w:rsidRPr="00DF72B1" w:rsidRDefault="00DF72B1" w:rsidP="00DF72B1">
      <w:pPr>
        <w:rPr>
          <w:rFonts w:eastAsia="Times New Roman" w:cs="Arial"/>
          <w:color w:val="000000"/>
          <w:szCs w:val="20"/>
          <w:lang w:val="ru-RU" w:eastAsia="bg-BG"/>
        </w:rPr>
      </w:pPr>
    </w:p>
    <w:p w14:paraId="44830CBF"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Пациентите не трябва да вземат две таблетки в една и съща седмица.</w:t>
      </w:r>
    </w:p>
    <w:p w14:paraId="3820773E" w14:textId="77777777" w:rsidR="00DF72B1" w:rsidRPr="00DF72B1" w:rsidRDefault="00DF72B1" w:rsidP="00DF72B1">
      <w:pPr>
        <w:spacing w:line="240" w:lineRule="auto"/>
        <w:rPr>
          <w:rFonts w:eastAsia="Times New Roman" w:cs="Arial"/>
          <w:color w:val="000000"/>
          <w:szCs w:val="20"/>
          <w:lang w:eastAsia="bg-BG"/>
        </w:rPr>
      </w:pPr>
    </w:p>
    <w:p w14:paraId="728CC2A4" w14:textId="780A2453"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При недостатъчен прием с храната, пациентите трябва да получават допълнително калций и/или витамин </w:t>
      </w:r>
      <w:r w:rsidRPr="00DF72B1">
        <w:rPr>
          <w:rFonts w:eastAsia="Times New Roman" w:cs="Arial"/>
          <w:color w:val="000000"/>
          <w:szCs w:val="20"/>
          <w:lang w:val="en-US"/>
        </w:rPr>
        <w:t>D</w:t>
      </w:r>
      <w:r w:rsidRPr="00DF72B1">
        <w:rPr>
          <w:rFonts w:eastAsia="Times New Roman" w:cs="Arial"/>
          <w:color w:val="000000"/>
          <w:szCs w:val="20"/>
          <w:lang w:val="ru-RU"/>
        </w:rPr>
        <w:t xml:space="preserve"> </w:t>
      </w:r>
      <w:r w:rsidRPr="00DF72B1">
        <w:rPr>
          <w:rFonts w:eastAsia="Times New Roman" w:cs="Arial"/>
          <w:color w:val="000000"/>
          <w:szCs w:val="20"/>
          <w:lang w:eastAsia="bg-BG"/>
        </w:rPr>
        <w:t>(вж. точка 4.4 и точка 4.5).</w:t>
      </w:r>
    </w:p>
    <w:p w14:paraId="0DD64476" w14:textId="77777777" w:rsidR="00DF72B1" w:rsidRPr="00DF72B1" w:rsidRDefault="00DF72B1" w:rsidP="00DF72B1">
      <w:pPr>
        <w:spacing w:line="240" w:lineRule="auto"/>
        <w:rPr>
          <w:rFonts w:eastAsia="Times New Roman" w:cs="Arial"/>
          <w:color w:val="000000"/>
          <w:szCs w:val="20"/>
          <w:lang w:eastAsia="bg-BG"/>
        </w:rPr>
      </w:pPr>
    </w:p>
    <w:p w14:paraId="1D1403D1" w14:textId="508B5F5D"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Не е установена оптимална продължителност на лечението с бифосфонати. Необходимостта от продължаване на лечението трябва периодично да се преоценява въз основа на ползите и потенциалните рискове от лечение с Ибандронова киселина Стада 150 </w:t>
      </w:r>
      <w:r w:rsidRPr="00DF72B1">
        <w:rPr>
          <w:rFonts w:eastAsia="Times New Roman" w:cs="Arial"/>
          <w:color w:val="000000"/>
          <w:szCs w:val="20"/>
          <w:lang w:val="en-US"/>
        </w:rPr>
        <w:t>mg</w:t>
      </w:r>
      <w:r w:rsidRPr="00DF72B1">
        <w:rPr>
          <w:rFonts w:eastAsia="Times New Roman" w:cs="Arial"/>
          <w:color w:val="000000"/>
          <w:szCs w:val="20"/>
          <w:lang w:val="ru-RU"/>
        </w:rPr>
        <w:t xml:space="preserve"> </w:t>
      </w:r>
      <w:r w:rsidRPr="00DF72B1">
        <w:rPr>
          <w:rFonts w:eastAsia="Times New Roman" w:cs="Arial"/>
          <w:color w:val="000000"/>
          <w:szCs w:val="20"/>
          <w:lang w:eastAsia="bg-BG"/>
        </w:rPr>
        <w:t>филмирани таблетки за всеки отделен пациент, особено при употреба 5 и повече години.</w:t>
      </w:r>
    </w:p>
    <w:p w14:paraId="410DC06B" w14:textId="77777777" w:rsidR="00DF72B1" w:rsidRPr="00DF72B1" w:rsidRDefault="00DF72B1" w:rsidP="00DF72B1">
      <w:pPr>
        <w:spacing w:line="240" w:lineRule="auto"/>
        <w:rPr>
          <w:rFonts w:eastAsia="Times New Roman" w:cs="Arial"/>
          <w:i/>
          <w:iCs/>
          <w:color w:val="000000"/>
          <w:szCs w:val="20"/>
          <w:u w:val="single"/>
          <w:lang w:eastAsia="bg-BG"/>
        </w:rPr>
      </w:pPr>
    </w:p>
    <w:p w14:paraId="23E334AE" w14:textId="700D15E4"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u w:val="single"/>
          <w:lang w:eastAsia="bg-BG"/>
        </w:rPr>
        <w:t>Специални популации</w:t>
      </w:r>
    </w:p>
    <w:p w14:paraId="5E68C330" w14:textId="77777777"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lang w:eastAsia="bg-BG"/>
        </w:rPr>
        <w:t>Бъбречно увреждане</w:t>
      </w:r>
    </w:p>
    <w:p w14:paraId="7414E951"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Не се препоръчва приложението на Ибандронова киселина СТАДА при пациенти с креатининов клирънс под 30 </w:t>
      </w:r>
      <w:r w:rsidRPr="00DF72B1">
        <w:rPr>
          <w:rFonts w:eastAsia="Times New Roman" w:cs="Arial"/>
          <w:color w:val="000000"/>
          <w:szCs w:val="20"/>
          <w:lang w:val="en-US"/>
        </w:rPr>
        <w:t>ml</w:t>
      </w:r>
      <w:r w:rsidRPr="00DF72B1">
        <w:rPr>
          <w:rFonts w:eastAsia="Times New Roman" w:cs="Arial"/>
          <w:color w:val="000000"/>
          <w:szCs w:val="20"/>
          <w:lang w:val="ru-RU"/>
        </w:rPr>
        <w:t>/</w:t>
      </w:r>
      <w:r w:rsidRPr="00DF72B1">
        <w:rPr>
          <w:rFonts w:eastAsia="Times New Roman" w:cs="Arial"/>
          <w:color w:val="000000"/>
          <w:szCs w:val="20"/>
          <w:lang w:val="en-US"/>
        </w:rPr>
        <w:t>min</w:t>
      </w:r>
      <w:r w:rsidRPr="00DF72B1">
        <w:rPr>
          <w:rFonts w:eastAsia="Times New Roman" w:cs="Arial"/>
          <w:color w:val="000000"/>
          <w:szCs w:val="20"/>
          <w:lang w:val="ru-RU"/>
        </w:rPr>
        <w:t xml:space="preserve"> </w:t>
      </w:r>
      <w:r w:rsidRPr="00DF72B1">
        <w:rPr>
          <w:rFonts w:eastAsia="Times New Roman" w:cs="Arial"/>
          <w:color w:val="000000"/>
          <w:szCs w:val="20"/>
          <w:lang w:eastAsia="bg-BG"/>
        </w:rPr>
        <w:t>поради ограничен клиничен опит (вж. точка 4.4 и точка 5.2).</w:t>
      </w:r>
    </w:p>
    <w:p w14:paraId="6147C34E"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 xml:space="preserve">Не е необходимо коригиране на дозата при пациенти с увреждане на бъбреците в лека или умерена степен, когато клирънсът на креатинина е равен или по-голям от 30 </w:t>
      </w:r>
      <w:r w:rsidRPr="00DF72B1">
        <w:rPr>
          <w:rFonts w:eastAsia="Times New Roman" w:cs="Arial"/>
          <w:color w:val="000000"/>
          <w:szCs w:val="20"/>
          <w:lang w:val="en-US"/>
        </w:rPr>
        <w:t>ml</w:t>
      </w:r>
      <w:r w:rsidRPr="00DF72B1">
        <w:rPr>
          <w:rFonts w:eastAsia="Times New Roman" w:cs="Arial"/>
          <w:color w:val="000000"/>
          <w:szCs w:val="20"/>
          <w:lang w:val="ru-RU"/>
        </w:rPr>
        <w:t>/</w:t>
      </w:r>
      <w:r w:rsidRPr="00DF72B1">
        <w:rPr>
          <w:rFonts w:eastAsia="Times New Roman" w:cs="Arial"/>
          <w:color w:val="000000"/>
          <w:szCs w:val="20"/>
          <w:lang w:val="en-US"/>
        </w:rPr>
        <w:t>min</w:t>
      </w:r>
      <w:r w:rsidRPr="00DF72B1">
        <w:rPr>
          <w:rFonts w:eastAsia="Times New Roman" w:cs="Arial"/>
          <w:color w:val="000000"/>
          <w:szCs w:val="20"/>
          <w:lang w:val="ru-RU"/>
        </w:rPr>
        <w:t>.</w:t>
      </w:r>
    </w:p>
    <w:p w14:paraId="36A18A1A" w14:textId="77777777" w:rsidR="00DF72B1" w:rsidRPr="00DF72B1" w:rsidRDefault="00DF72B1" w:rsidP="00DF72B1">
      <w:pPr>
        <w:spacing w:line="240" w:lineRule="auto"/>
        <w:rPr>
          <w:rFonts w:eastAsia="Times New Roman" w:cs="Arial"/>
          <w:i/>
          <w:iCs/>
          <w:color w:val="000000"/>
          <w:szCs w:val="20"/>
          <w:lang w:eastAsia="bg-BG"/>
        </w:rPr>
      </w:pPr>
    </w:p>
    <w:p w14:paraId="191C8358" w14:textId="479B94A0"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lang w:eastAsia="bg-BG"/>
        </w:rPr>
        <w:t>Чернодробно увреждане</w:t>
      </w:r>
    </w:p>
    <w:p w14:paraId="75E7920B"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Не е необходимо коригиране на дозата (вж. точка 5.2).</w:t>
      </w:r>
    </w:p>
    <w:p w14:paraId="0B4CB30A" w14:textId="77777777" w:rsidR="00DF72B1" w:rsidRPr="00DF72B1" w:rsidRDefault="00DF72B1" w:rsidP="00DF72B1">
      <w:pPr>
        <w:spacing w:line="240" w:lineRule="auto"/>
        <w:rPr>
          <w:rFonts w:eastAsia="Times New Roman" w:cs="Arial"/>
          <w:i/>
          <w:iCs/>
          <w:color w:val="000000"/>
          <w:szCs w:val="20"/>
          <w:lang w:eastAsia="bg-BG"/>
        </w:rPr>
      </w:pPr>
    </w:p>
    <w:p w14:paraId="4FDAB059" w14:textId="6E3BE853"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lang w:eastAsia="bg-BG"/>
        </w:rPr>
        <w:t>Пациенти в старческа възраст (&gt; 65 години)</w:t>
      </w:r>
    </w:p>
    <w:p w14:paraId="13AC2605"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Не е необходимо коригиране на дозата (вж. точка 5.2).</w:t>
      </w:r>
    </w:p>
    <w:p w14:paraId="168A1D17" w14:textId="77777777" w:rsidR="00DF72B1" w:rsidRPr="00DF72B1" w:rsidRDefault="00DF72B1" w:rsidP="00DF72B1">
      <w:pPr>
        <w:spacing w:line="240" w:lineRule="auto"/>
        <w:rPr>
          <w:rFonts w:eastAsia="Times New Roman" w:cs="Arial"/>
          <w:i/>
          <w:iCs/>
          <w:color w:val="000000"/>
          <w:szCs w:val="20"/>
          <w:lang w:eastAsia="bg-BG"/>
        </w:rPr>
      </w:pPr>
    </w:p>
    <w:p w14:paraId="4E3B3F91" w14:textId="187D35EA" w:rsidR="00DF72B1" w:rsidRPr="00DF72B1" w:rsidRDefault="00DF72B1" w:rsidP="00DF72B1">
      <w:pPr>
        <w:spacing w:line="240" w:lineRule="auto"/>
        <w:rPr>
          <w:rFonts w:eastAsia="Times New Roman" w:cs="Arial"/>
          <w:sz w:val="28"/>
          <w:szCs w:val="24"/>
        </w:rPr>
      </w:pPr>
      <w:r w:rsidRPr="00DF72B1">
        <w:rPr>
          <w:rFonts w:eastAsia="Times New Roman" w:cs="Arial"/>
          <w:i/>
          <w:iCs/>
          <w:color w:val="000000"/>
          <w:szCs w:val="20"/>
          <w:lang w:eastAsia="bg-BG"/>
        </w:rPr>
        <w:t>Педиатрична популация</w:t>
      </w:r>
    </w:p>
    <w:p w14:paraId="52028EE4"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Липсва подходящо приложение на Ибандронова киселина при деца под 18 години и не са провеждани изпитвания с Ибандронова киселина при тази популация (вижте точка 5.1 и точка 5.2).</w:t>
      </w:r>
    </w:p>
    <w:p w14:paraId="2267B2CB" w14:textId="77777777" w:rsidR="00DF72B1" w:rsidRPr="00DF72B1" w:rsidRDefault="00DF72B1" w:rsidP="00DF72B1">
      <w:pPr>
        <w:spacing w:line="240" w:lineRule="auto"/>
        <w:rPr>
          <w:rFonts w:eastAsia="Times New Roman" w:cs="Arial"/>
          <w:color w:val="000000"/>
          <w:szCs w:val="20"/>
          <w:u w:val="single"/>
          <w:lang w:eastAsia="bg-BG"/>
        </w:rPr>
      </w:pPr>
    </w:p>
    <w:p w14:paraId="4730AC46" w14:textId="4B8AAEFB" w:rsidR="00DF72B1" w:rsidRPr="00DF72B1" w:rsidRDefault="00DF72B1" w:rsidP="00DF72B1">
      <w:pPr>
        <w:pStyle w:val="Heading3"/>
        <w:rPr>
          <w:rFonts w:eastAsia="Times New Roman"/>
          <w:sz w:val="28"/>
          <w:u w:val="single"/>
        </w:rPr>
      </w:pPr>
      <w:r w:rsidRPr="00DF72B1">
        <w:rPr>
          <w:rFonts w:eastAsia="Times New Roman"/>
          <w:u w:val="single"/>
          <w:lang w:eastAsia="bg-BG"/>
        </w:rPr>
        <w:t>Начин на приложение</w:t>
      </w:r>
    </w:p>
    <w:p w14:paraId="314DE567" w14:textId="77777777" w:rsidR="00DF72B1" w:rsidRPr="00DF72B1" w:rsidRDefault="00DF72B1" w:rsidP="00DF72B1">
      <w:pPr>
        <w:spacing w:line="240" w:lineRule="auto"/>
        <w:rPr>
          <w:rFonts w:eastAsia="Times New Roman" w:cs="Arial"/>
          <w:sz w:val="28"/>
          <w:szCs w:val="24"/>
        </w:rPr>
      </w:pPr>
      <w:r w:rsidRPr="00DF72B1">
        <w:rPr>
          <w:rFonts w:eastAsia="Times New Roman" w:cs="Arial"/>
          <w:color w:val="000000"/>
          <w:szCs w:val="20"/>
          <w:lang w:eastAsia="bg-BG"/>
        </w:rPr>
        <w:t>За перорално приложение.</w:t>
      </w:r>
    </w:p>
    <w:p w14:paraId="7DFE86C6" w14:textId="77777777" w:rsidR="00DF72B1" w:rsidRPr="00DF72B1" w:rsidRDefault="00DF72B1" w:rsidP="00DF72B1">
      <w:pPr>
        <w:pStyle w:val="ListParagraph"/>
        <w:numPr>
          <w:ilvl w:val="0"/>
          <w:numId w:val="37"/>
        </w:numPr>
        <w:spacing w:line="240" w:lineRule="auto"/>
        <w:rPr>
          <w:rFonts w:eastAsia="Times New Roman" w:cs="Arial"/>
          <w:sz w:val="28"/>
          <w:szCs w:val="24"/>
        </w:rPr>
      </w:pPr>
      <w:r w:rsidRPr="00DF72B1">
        <w:rPr>
          <w:rFonts w:eastAsia="Times New Roman" w:cs="Arial"/>
          <w:color w:val="000000"/>
          <w:szCs w:val="20"/>
          <w:lang w:eastAsia="bg-BG"/>
        </w:rPr>
        <w:t xml:space="preserve">Таблетките трябва да се поглъщат цели с чаша обикновена вода (180 до 240 </w:t>
      </w:r>
      <w:r w:rsidRPr="00DF72B1">
        <w:rPr>
          <w:rFonts w:eastAsia="Times New Roman" w:cs="Arial"/>
          <w:color w:val="000000"/>
          <w:szCs w:val="20"/>
          <w:lang w:val="en-US"/>
        </w:rPr>
        <w:t>ml</w:t>
      </w:r>
      <w:r w:rsidRPr="00DF72B1">
        <w:rPr>
          <w:rFonts w:eastAsia="Times New Roman" w:cs="Arial"/>
          <w:color w:val="000000"/>
          <w:szCs w:val="20"/>
          <w:lang w:val="ru-RU"/>
        </w:rPr>
        <w:t xml:space="preserve">) </w:t>
      </w:r>
      <w:r w:rsidRPr="00DF72B1">
        <w:rPr>
          <w:rFonts w:eastAsia="Times New Roman" w:cs="Arial"/>
          <w:color w:val="000000"/>
          <w:szCs w:val="20"/>
          <w:lang w:eastAsia="bg-BG"/>
        </w:rPr>
        <w:t>в седнало или изправено положение на пациента.</w:t>
      </w:r>
    </w:p>
    <w:p w14:paraId="5AB1264E" w14:textId="77777777" w:rsidR="00DF72B1" w:rsidRPr="00DF72B1" w:rsidRDefault="00DF72B1" w:rsidP="00DF72B1">
      <w:pPr>
        <w:pStyle w:val="ListParagraph"/>
        <w:numPr>
          <w:ilvl w:val="0"/>
          <w:numId w:val="37"/>
        </w:numPr>
        <w:spacing w:line="240" w:lineRule="auto"/>
        <w:rPr>
          <w:rFonts w:eastAsia="Times New Roman" w:cs="Arial"/>
          <w:sz w:val="28"/>
          <w:szCs w:val="24"/>
        </w:rPr>
      </w:pPr>
      <w:r w:rsidRPr="00DF72B1">
        <w:rPr>
          <w:rFonts w:eastAsia="Times New Roman" w:cs="Arial"/>
          <w:color w:val="000000"/>
          <w:szCs w:val="20"/>
          <w:lang w:eastAsia="bg-BG"/>
        </w:rPr>
        <w:t>Пациентите не трябва да лягат в продължение на 1 час след приема на Ибандронова киселина</w:t>
      </w:r>
    </w:p>
    <w:p w14:paraId="15C31505" w14:textId="144FF686" w:rsidR="00DF72B1" w:rsidRPr="00DF72B1" w:rsidRDefault="00DF72B1" w:rsidP="00DF72B1">
      <w:pPr>
        <w:pStyle w:val="ListParagraph"/>
        <w:numPr>
          <w:ilvl w:val="0"/>
          <w:numId w:val="37"/>
        </w:numPr>
        <w:spacing w:line="240" w:lineRule="auto"/>
        <w:rPr>
          <w:rFonts w:ascii="Times New Roman" w:eastAsia="Times New Roman" w:hAnsi="Times New Roman" w:cs="Times New Roman"/>
          <w:sz w:val="24"/>
          <w:szCs w:val="24"/>
        </w:rPr>
      </w:pPr>
      <w:r w:rsidRPr="00DF72B1">
        <w:rPr>
          <w:rFonts w:eastAsia="Times New Roman" w:cs="Arial"/>
          <w:color w:val="000000"/>
          <w:szCs w:val="20"/>
          <w:lang w:eastAsia="bg-BG"/>
        </w:rPr>
        <w:t>Водата е единствената напитка, с която трябва да се приема Ибандронова киселина. Пациентите не трябва да дъвчат или смучат таблетката поради възможността от орофарингеална язва.</w:t>
      </w:r>
    </w:p>
    <w:p w14:paraId="1769CCD4" w14:textId="77777777" w:rsidR="00DF72B1" w:rsidRPr="00DF72B1" w:rsidRDefault="00DF72B1" w:rsidP="00DF72B1"/>
    <w:p w14:paraId="0F253247" w14:textId="5B02DAC9" w:rsidR="007122AD" w:rsidRDefault="002C50EE" w:rsidP="00936AD0">
      <w:pPr>
        <w:pStyle w:val="Heading2"/>
      </w:pPr>
      <w:r>
        <w:lastRenderedPageBreak/>
        <w:t>4.3. Противопоказания</w:t>
      </w:r>
    </w:p>
    <w:p w14:paraId="17903C3F" w14:textId="1363ED98" w:rsidR="00DF72B1" w:rsidRDefault="00DF72B1" w:rsidP="00DF72B1"/>
    <w:p w14:paraId="7C152AFE" w14:textId="77777777" w:rsidR="00DF72B1" w:rsidRPr="00DF72B1" w:rsidRDefault="00DF72B1" w:rsidP="00DF72B1">
      <w:pPr>
        <w:pStyle w:val="ListParagraph"/>
        <w:numPr>
          <w:ilvl w:val="0"/>
          <w:numId w:val="38"/>
        </w:numPr>
        <w:spacing w:line="240" w:lineRule="auto"/>
        <w:rPr>
          <w:rFonts w:eastAsia="Times New Roman" w:cs="Arial"/>
          <w:sz w:val="28"/>
          <w:szCs w:val="24"/>
        </w:rPr>
      </w:pPr>
      <w:r w:rsidRPr="00DF72B1">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7CF5A446" w14:textId="77777777" w:rsidR="00DF72B1" w:rsidRPr="00DF72B1" w:rsidRDefault="00DF72B1" w:rsidP="00DF72B1">
      <w:pPr>
        <w:pStyle w:val="ListParagraph"/>
        <w:numPr>
          <w:ilvl w:val="0"/>
          <w:numId w:val="38"/>
        </w:numPr>
        <w:spacing w:line="240" w:lineRule="auto"/>
        <w:rPr>
          <w:rFonts w:eastAsia="Times New Roman" w:cs="Arial"/>
          <w:sz w:val="28"/>
          <w:szCs w:val="24"/>
        </w:rPr>
      </w:pPr>
      <w:r w:rsidRPr="00DF72B1">
        <w:rPr>
          <w:rFonts w:eastAsia="Times New Roman" w:cs="Arial"/>
          <w:color w:val="000000"/>
          <w:szCs w:val="20"/>
          <w:lang w:eastAsia="bg-BG"/>
        </w:rPr>
        <w:t>Хипокалциемия</w:t>
      </w:r>
    </w:p>
    <w:p w14:paraId="1135E7A1" w14:textId="77777777" w:rsidR="00DF72B1" w:rsidRPr="00DF72B1" w:rsidRDefault="00DF72B1" w:rsidP="00DF72B1">
      <w:pPr>
        <w:pStyle w:val="ListParagraph"/>
        <w:numPr>
          <w:ilvl w:val="0"/>
          <w:numId w:val="38"/>
        </w:numPr>
        <w:spacing w:line="240" w:lineRule="auto"/>
        <w:rPr>
          <w:rFonts w:eastAsia="Times New Roman" w:cs="Arial"/>
          <w:sz w:val="28"/>
          <w:szCs w:val="24"/>
        </w:rPr>
      </w:pPr>
      <w:r w:rsidRPr="00DF72B1">
        <w:rPr>
          <w:rFonts w:eastAsia="Times New Roman" w:cs="Arial"/>
          <w:color w:val="000000"/>
          <w:szCs w:val="20"/>
          <w:lang w:eastAsia="bg-BG"/>
        </w:rPr>
        <w:t>Аномалии на хранопровода, които забавят изпразването му, като стриктури или ахалазия;</w:t>
      </w:r>
    </w:p>
    <w:p w14:paraId="189A9AE7" w14:textId="7D0A5A44" w:rsidR="00DF72B1" w:rsidRPr="00DF72B1" w:rsidRDefault="00DF72B1" w:rsidP="00DF72B1">
      <w:pPr>
        <w:pStyle w:val="ListParagraph"/>
        <w:numPr>
          <w:ilvl w:val="0"/>
          <w:numId w:val="38"/>
        </w:numPr>
        <w:spacing w:line="240" w:lineRule="auto"/>
        <w:rPr>
          <w:rFonts w:eastAsia="Times New Roman" w:cs="Arial"/>
          <w:sz w:val="28"/>
          <w:szCs w:val="24"/>
        </w:rPr>
      </w:pPr>
      <w:r w:rsidRPr="00DF72B1">
        <w:rPr>
          <w:rFonts w:eastAsia="Times New Roman" w:cs="Arial"/>
          <w:color w:val="000000"/>
          <w:szCs w:val="20"/>
          <w:lang w:eastAsia="bg-BG"/>
        </w:rPr>
        <w:t>Невъзможност да се стои или седи в изправено положение за поне 60 минути;</w:t>
      </w:r>
    </w:p>
    <w:p w14:paraId="7B9E963D" w14:textId="77777777" w:rsidR="00DF72B1" w:rsidRPr="00DF72B1" w:rsidRDefault="00DF72B1" w:rsidP="00DF72B1"/>
    <w:p w14:paraId="0E0BDCC7" w14:textId="5C03C7F4" w:rsidR="007122AD" w:rsidRDefault="002C50EE" w:rsidP="00936AD0">
      <w:pPr>
        <w:pStyle w:val="Heading2"/>
      </w:pPr>
      <w:r>
        <w:t>4.4. Специални предупреждения и предпазни мерки при употреба</w:t>
      </w:r>
    </w:p>
    <w:p w14:paraId="181ACBE3" w14:textId="570C7AB0" w:rsidR="00DF72B1" w:rsidRDefault="00DF72B1" w:rsidP="00DF72B1"/>
    <w:p w14:paraId="7A1A1F85" w14:textId="77777777"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Хипокал цием ия</w:t>
      </w:r>
    </w:p>
    <w:p w14:paraId="14CB86C2" w14:textId="51C547A4" w:rsidR="00DF72B1" w:rsidRPr="00477D1D" w:rsidRDefault="00DF72B1" w:rsidP="00DF72B1">
      <w:pPr>
        <w:rPr>
          <w:rFonts w:eastAsia="Times New Roman" w:cs="Arial"/>
          <w:color w:val="000000"/>
          <w:lang w:val="ru-RU"/>
        </w:rPr>
      </w:pPr>
      <w:r w:rsidRPr="00477D1D">
        <w:rPr>
          <w:rFonts w:eastAsia="Times New Roman" w:cs="Arial"/>
          <w:color w:val="000000"/>
          <w:lang w:eastAsia="bg-BG"/>
        </w:rPr>
        <w:t xml:space="preserve">Съществуващата хипокалциемия трябва да се коригира преди започване на лечение Ибандронова киселина. Другите нарушения на костния и минералния метаболизъм също трябва да се лекуват ефективно. За всички пациенти е важно адекватното приемане на калций и витамин </w:t>
      </w:r>
      <w:r w:rsidRPr="00477D1D">
        <w:rPr>
          <w:rFonts w:eastAsia="Times New Roman" w:cs="Arial"/>
          <w:color w:val="000000"/>
          <w:lang w:val="en-US"/>
        </w:rPr>
        <w:t>D</w:t>
      </w:r>
      <w:r w:rsidRPr="00477D1D">
        <w:rPr>
          <w:rFonts w:eastAsia="Times New Roman" w:cs="Arial"/>
          <w:color w:val="000000"/>
          <w:lang w:val="ru-RU"/>
        </w:rPr>
        <w:t>.</w:t>
      </w:r>
    </w:p>
    <w:p w14:paraId="334DC5E2" w14:textId="49AD3010" w:rsidR="00DF72B1" w:rsidRPr="00477D1D" w:rsidRDefault="00DF72B1" w:rsidP="00DF72B1">
      <w:pPr>
        <w:rPr>
          <w:rFonts w:eastAsia="Times New Roman" w:cs="Arial"/>
          <w:color w:val="000000"/>
          <w:lang w:val="ru-RU"/>
        </w:rPr>
      </w:pPr>
    </w:p>
    <w:p w14:paraId="786D94C6" w14:textId="77777777"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Стомашно-чревно дразнене</w:t>
      </w:r>
    </w:p>
    <w:p w14:paraId="1EF15563"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 xml:space="preserve">Перорално приложените бифосфонати може да предизвикат локално дразнене на лигавицата на горния дял на стомашно-чревния тракт. Поради възможност от такива дразнещи ефекти и потенциалното влошаване на подлежащото заболяване, ибандронова киселина трябва да се прилага с повишено внимание при пациенти с активни проблеми в горния дял на стомашно- чревния тракт (напр. известен хранопровод на </w:t>
      </w:r>
      <w:r w:rsidRPr="00DF72B1">
        <w:rPr>
          <w:rFonts w:eastAsia="Times New Roman" w:cs="Arial"/>
          <w:color w:val="000000"/>
          <w:lang w:val="en-US"/>
        </w:rPr>
        <w:t>Barrett</w:t>
      </w:r>
      <w:r w:rsidRPr="00DF72B1">
        <w:rPr>
          <w:rFonts w:eastAsia="Times New Roman" w:cs="Arial"/>
          <w:color w:val="000000"/>
          <w:lang w:val="ru-RU"/>
        </w:rPr>
        <w:t xml:space="preserve">, </w:t>
      </w:r>
      <w:r w:rsidRPr="00DF72B1">
        <w:rPr>
          <w:rFonts w:eastAsia="Times New Roman" w:cs="Arial"/>
          <w:color w:val="000000"/>
          <w:lang w:eastAsia="bg-BG"/>
        </w:rPr>
        <w:t>дисфагия, други заболявания на хранопровода, гастрит, дуоденит или язви).</w:t>
      </w:r>
    </w:p>
    <w:p w14:paraId="2B656858"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Съобщават се нежелани реакции, напр. езофагит, язви и ерозии на хранопровода, в някои случаи тежки и налагащи хоспитализация, рядко съпроводени с кървене или последвани от стриктура или перфорация на хранопровода, при пациенти, лекувани с перорални бифосфонати. Рискът от тежки нежелани реакции от страна на хранопровода изглежда е по-голям при пациенти, които не спазват указанията за прилагане и/или продължават да приемат перорални бифосфонати след появата на симптоми, показателни за езофагеално дразнене. Пациентите трябва да обръщат особено внимание на указанията за прилагане и да могат да ги спазват (вж. точка 4.2).</w:t>
      </w:r>
    </w:p>
    <w:p w14:paraId="6C60C657"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Лекарите трябва да внимават за появата на някакви признаци или симптоми, сигнализиращи за възможна реакция от страна на хранопровода, а пациентите трябва да бъдат инструктирани да преустановят приема на ибандронова киселина и да потърсят лекарска помощ, ако получат дисфагия, одинофагия, ретростернална болка или поява или влошаване на киселини.</w:t>
      </w:r>
    </w:p>
    <w:p w14:paraId="57A658E1" w14:textId="77777777" w:rsidR="00DF72B1" w:rsidRPr="00477D1D" w:rsidRDefault="00DF72B1" w:rsidP="00DF72B1">
      <w:pPr>
        <w:spacing w:line="240" w:lineRule="auto"/>
        <w:rPr>
          <w:rFonts w:eastAsia="Times New Roman" w:cs="Arial"/>
          <w:color w:val="000000"/>
          <w:lang w:eastAsia="bg-BG"/>
        </w:rPr>
      </w:pPr>
    </w:p>
    <w:p w14:paraId="57A5F7A8" w14:textId="185A34C0" w:rsidR="00DF72B1" w:rsidRPr="00DF72B1" w:rsidRDefault="00DF72B1" w:rsidP="00DF72B1">
      <w:pPr>
        <w:spacing w:line="240" w:lineRule="auto"/>
        <w:rPr>
          <w:rFonts w:eastAsia="Times New Roman" w:cs="Arial"/>
        </w:rPr>
      </w:pPr>
      <w:r w:rsidRPr="00DF72B1">
        <w:rPr>
          <w:rFonts w:eastAsia="Times New Roman" w:cs="Arial"/>
          <w:color w:val="000000"/>
          <w:lang w:eastAsia="bg-BG"/>
        </w:rPr>
        <w:t>Въпреки че не е наблюдаван повишен риск при контролираните клинични изпитвания, има постмаркетингови съобщения за стомашни и дуоденални язви при употреба на перорални бифосфонати, някои от които тежки и с усложнения,</w:t>
      </w:r>
    </w:p>
    <w:p w14:paraId="2E9993C1" w14:textId="77777777" w:rsidR="00DF72B1" w:rsidRPr="00477D1D" w:rsidRDefault="00DF72B1" w:rsidP="00DF72B1">
      <w:pPr>
        <w:spacing w:line="240" w:lineRule="auto"/>
        <w:rPr>
          <w:rFonts w:eastAsia="Times New Roman" w:cs="Arial"/>
          <w:color w:val="000000"/>
          <w:lang w:eastAsia="bg-BG"/>
        </w:rPr>
      </w:pPr>
    </w:p>
    <w:p w14:paraId="151AD235" w14:textId="23AC933F" w:rsidR="00DF72B1" w:rsidRPr="00DF72B1" w:rsidRDefault="00DF72B1" w:rsidP="00DF72B1">
      <w:pPr>
        <w:spacing w:line="240" w:lineRule="auto"/>
        <w:rPr>
          <w:rFonts w:eastAsia="Times New Roman" w:cs="Arial"/>
        </w:rPr>
      </w:pPr>
      <w:r w:rsidRPr="00DF72B1">
        <w:rPr>
          <w:rFonts w:eastAsia="Times New Roman" w:cs="Arial"/>
          <w:color w:val="000000"/>
          <w:lang w:eastAsia="bg-BG"/>
        </w:rPr>
        <w:t>Както нестероидните противовъзпалителни лекарствени продукти, така и бифосфонатите, са свързани със стомашно-чревно дразнене, поради това трябва да се внимава при едновременното им прилагане.</w:t>
      </w:r>
    </w:p>
    <w:p w14:paraId="5277F5A6" w14:textId="77777777" w:rsidR="00DF72B1" w:rsidRPr="00477D1D" w:rsidRDefault="00DF72B1" w:rsidP="00DF72B1">
      <w:pPr>
        <w:spacing w:line="240" w:lineRule="auto"/>
        <w:rPr>
          <w:rFonts w:eastAsia="Times New Roman" w:cs="Arial"/>
          <w:i/>
          <w:iCs/>
          <w:color w:val="000000"/>
          <w:lang w:eastAsia="bg-BG"/>
        </w:rPr>
      </w:pPr>
    </w:p>
    <w:p w14:paraId="40FEFD7E" w14:textId="54C631F9"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Остеонекроза на челюстта</w:t>
      </w:r>
    </w:p>
    <w:p w14:paraId="114F9422"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Много рядко е съобщавано за остеонекроза на челюстта в постмаркетинговия период при пациенти, приемали ибандронова киселина за лечение на остеопороза (вижте точка 4.8).</w:t>
      </w:r>
    </w:p>
    <w:p w14:paraId="2B3FB9F4" w14:textId="77777777" w:rsidR="00DF72B1" w:rsidRPr="00477D1D" w:rsidRDefault="00DF72B1" w:rsidP="00DF72B1">
      <w:pPr>
        <w:spacing w:line="240" w:lineRule="auto"/>
        <w:rPr>
          <w:rFonts w:eastAsia="Times New Roman" w:cs="Arial"/>
          <w:color w:val="000000"/>
          <w:lang w:eastAsia="bg-BG"/>
        </w:rPr>
      </w:pPr>
    </w:p>
    <w:p w14:paraId="34F28929" w14:textId="5F17B320" w:rsidR="00DF72B1" w:rsidRPr="00DF72B1" w:rsidRDefault="00DF72B1" w:rsidP="00DF72B1">
      <w:pPr>
        <w:spacing w:line="240" w:lineRule="auto"/>
        <w:rPr>
          <w:rFonts w:eastAsia="Times New Roman" w:cs="Arial"/>
        </w:rPr>
      </w:pPr>
      <w:r w:rsidRPr="00DF72B1">
        <w:rPr>
          <w:rFonts w:eastAsia="Times New Roman" w:cs="Arial"/>
          <w:color w:val="000000"/>
          <w:lang w:eastAsia="bg-BG"/>
        </w:rPr>
        <w:t>Началото на лечението или започването на нов курс на лечение трябва да бъде отложено при пациентите с нелекувани, открити, мекотъканни лезии в устната кухина. Препоръчва се провеждането на профилактичен стоматологичен преглед, при който да бъде направена индивидуална оценка на съотношението полза/риск, преди започване на лечение с ибандронова киселина при пациенти със съпътстващи рискови фактори.</w:t>
      </w:r>
    </w:p>
    <w:p w14:paraId="567245A0" w14:textId="77777777" w:rsidR="00DF72B1" w:rsidRPr="00477D1D" w:rsidRDefault="00DF72B1" w:rsidP="00DF72B1">
      <w:pPr>
        <w:spacing w:line="240" w:lineRule="auto"/>
        <w:rPr>
          <w:rFonts w:eastAsia="Times New Roman" w:cs="Arial"/>
          <w:color w:val="000000"/>
          <w:lang w:eastAsia="bg-BG"/>
        </w:rPr>
      </w:pPr>
    </w:p>
    <w:p w14:paraId="5784B532" w14:textId="46CD8BA0" w:rsidR="00DF72B1" w:rsidRPr="00DF72B1" w:rsidRDefault="00DF72B1" w:rsidP="00DF72B1">
      <w:pPr>
        <w:spacing w:line="240" w:lineRule="auto"/>
        <w:rPr>
          <w:rFonts w:eastAsia="Times New Roman" w:cs="Arial"/>
        </w:rPr>
      </w:pPr>
      <w:r w:rsidRPr="00DF72B1">
        <w:rPr>
          <w:rFonts w:eastAsia="Times New Roman" w:cs="Arial"/>
          <w:color w:val="000000"/>
          <w:lang w:eastAsia="bg-BG"/>
        </w:rPr>
        <w:t>При оценяване на индивидуалния риск за развитие на остеонекроза на челюстта трябва да се имат предвид следните рискови фактори;</w:t>
      </w:r>
    </w:p>
    <w:p w14:paraId="7EE7CA91" w14:textId="77777777" w:rsidR="00DF72B1" w:rsidRPr="00477D1D" w:rsidRDefault="00DF72B1" w:rsidP="00DF72B1">
      <w:pPr>
        <w:pStyle w:val="ListParagraph"/>
        <w:numPr>
          <w:ilvl w:val="0"/>
          <w:numId w:val="39"/>
        </w:numPr>
        <w:spacing w:line="240" w:lineRule="auto"/>
        <w:rPr>
          <w:rFonts w:eastAsia="Times New Roman" w:cs="Arial"/>
        </w:rPr>
      </w:pPr>
      <w:r w:rsidRPr="00477D1D">
        <w:rPr>
          <w:rFonts w:eastAsia="Times New Roman" w:cs="Arial"/>
          <w:color w:val="000000"/>
          <w:lang w:eastAsia="bg-BG"/>
        </w:rPr>
        <w:t>Мощността на лекарствения продукт, който потиска костната резорбция (по-висок риск при по-мощните вещества), пътят на прилагане (по-висок риск при парентерално приложение) и кумулативната доза;</w:t>
      </w:r>
    </w:p>
    <w:p w14:paraId="34F327A3" w14:textId="77777777" w:rsidR="00DF72B1" w:rsidRPr="00477D1D" w:rsidRDefault="00DF72B1" w:rsidP="00DF72B1">
      <w:pPr>
        <w:pStyle w:val="ListParagraph"/>
        <w:numPr>
          <w:ilvl w:val="0"/>
          <w:numId w:val="39"/>
        </w:numPr>
        <w:spacing w:line="240" w:lineRule="auto"/>
        <w:rPr>
          <w:rFonts w:eastAsia="Times New Roman" w:cs="Arial"/>
        </w:rPr>
      </w:pPr>
      <w:r w:rsidRPr="00477D1D">
        <w:rPr>
          <w:rFonts w:eastAsia="Times New Roman" w:cs="Arial"/>
          <w:color w:val="000000"/>
          <w:lang w:eastAsia="bg-BG"/>
        </w:rPr>
        <w:t>Карцином, ко-морбидни състояния (напр. анемия, коагулопатии, инфекция), тютюнопушене;</w:t>
      </w:r>
    </w:p>
    <w:p w14:paraId="6D85238C" w14:textId="77777777" w:rsidR="00DF72B1" w:rsidRPr="00477D1D" w:rsidRDefault="00DF72B1" w:rsidP="00DF72B1">
      <w:pPr>
        <w:pStyle w:val="ListParagraph"/>
        <w:numPr>
          <w:ilvl w:val="0"/>
          <w:numId w:val="39"/>
        </w:numPr>
        <w:spacing w:line="240" w:lineRule="auto"/>
        <w:rPr>
          <w:rFonts w:eastAsia="Times New Roman" w:cs="Arial"/>
        </w:rPr>
      </w:pPr>
      <w:r w:rsidRPr="00477D1D">
        <w:rPr>
          <w:rFonts w:eastAsia="Times New Roman" w:cs="Arial"/>
          <w:color w:val="000000"/>
          <w:lang w:eastAsia="bg-BG"/>
        </w:rPr>
        <w:t>Съпътстващи терапии: кортикостероиди, химиотерапия, инхибитори на ангиогенезата, лъчетерапия в областта на главата и шията;</w:t>
      </w:r>
    </w:p>
    <w:p w14:paraId="6E158998" w14:textId="604260B7" w:rsidR="00DF72B1" w:rsidRPr="00477D1D" w:rsidRDefault="00DF72B1" w:rsidP="00DF72B1">
      <w:pPr>
        <w:pStyle w:val="ListParagraph"/>
        <w:numPr>
          <w:ilvl w:val="0"/>
          <w:numId w:val="39"/>
        </w:numPr>
        <w:spacing w:line="240" w:lineRule="auto"/>
        <w:rPr>
          <w:rFonts w:eastAsia="Times New Roman" w:cs="Arial"/>
        </w:rPr>
      </w:pPr>
      <w:r w:rsidRPr="00477D1D">
        <w:rPr>
          <w:rFonts w:eastAsia="Times New Roman" w:cs="Arial"/>
          <w:color w:val="000000"/>
          <w:lang w:eastAsia="bg-BG"/>
        </w:rPr>
        <w:t>лоша устна хигиена, пародонтоза, лошо прилепващи зъбни протези, анамнеза за дентално заболяване, инвазивни стоматологични процедури (например екстракция на зъб).</w:t>
      </w:r>
    </w:p>
    <w:p w14:paraId="63D2C68B" w14:textId="77777777" w:rsidR="00DF72B1" w:rsidRPr="00477D1D" w:rsidRDefault="00DF72B1" w:rsidP="00DF72B1">
      <w:pPr>
        <w:rPr>
          <w:rFonts w:eastAsia="Times New Roman" w:cs="Arial"/>
          <w:color w:val="000000"/>
          <w:lang w:eastAsia="bg-BG"/>
        </w:rPr>
      </w:pPr>
    </w:p>
    <w:p w14:paraId="3E80C5F8" w14:textId="77777777" w:rsidR="00DF72B1" w:rsidRPr="00477D1D" w:rsidRDefault="00DF72B1" w:rsidP="00DF72B1">
      <w:pPr>
        <w:rPr>
          <w:rFonts w:eastAsia="Times New Roman" w:cs="Arial"/>
        </w:rPr>
      </w:pPr>
      <w:r w:rsidRPr="00477D1D">
        <w:rPr>
          <w:rFonts w:eastAsia="Times New Roman" w:cs="Arial"/>
          <w:color w:val="000000"/>
          <w:lang w:eastAsia="bg-BG"/>
        </w:rPr>
        <w:t>Всички пациенти трябва да бъдат съветвани да поддържат добра устна хигиена, да се подлагат на редовни стоматологични прегледи и да докладват незабавно, ако се появят някакви симптоми от</w:t>
      </w:r>
      <w:r w:rsidRPr="00477D1D">
        <w:rPr>
          <w:rFonts w:eastAsia="Times New Roman" w:cs="Arial"/>
          <w:color w:val="000000"/>
          <w:vertAlign w:val="subscript"/>
          <w:lang w:eastAsia="bg-BG"/>
        </w:rPr>
        <w:t xml:space="preserve"> </w:t>
      </w:r>
      <w:r w:rsidRPr="00477D1D">
        <w:rPr>
          <w:rFonts w:eastAsia="Times New Roman" w:cs="Arial"/>
          <w:color w:val="000000"/>
          <w:lang w:eastAsia="bg-BG"/>
        </w:rPr>
        <w:t>страна на устната кухина, като клатещи се зъби, болка или подуване, неоздравявани или наличие на секреция, по време на лечението с ибандронова киселина. По време на лечението с</w:t>
      </w:r>
      <w:r w:rsidRPr="00477D1D">
        <w:rPr>
          <w:rFonts w:eastAsia="Times New Roman" w:cs="Arial"/>
          <w:color w:val="000000"/>
          <w:lang w:val="ru-RU" w:eastAsia="bg-BG"/>
        </w:rPr>
        <w:t xml:space="preserve"> </w:t>
      </w:r>
      <w:r w:rsidRPr="00477D1D">
        <w:rPr>
          <w:rFonts w:eastAsia="Times New Roman" w:cs="Arial"/>
          <w:color w:val="000000"/>
          <w:lang w:eastAsia="bg-BG"/>
        </w:rPr>
        <w:t>ибандронова киселина инвазивни стоматологични процедури трябва да се избягват или да се извършват само след внимателна преценка.</w:t>
      </w:r>
    </w:p>
    <w:p w14:paraId="167010DD" w14:textId="77777777" w:rsidR="00DF72B1" w:rsidRPr="00477D1D" w:rsidRDefault="00DF72B1" w:rsidP="00DF72B1">
      <w:pPr>
        <w:spacing w:line="240" w:lineRule="auto"/>
        <w:rPr>
          <w:rFonts w:eastAsia="Times New Roman" w:cs="Arial"/>
          <w:color w:val="000000"/>
          <w:lang w:eastAsia="bg-BG"/>
        </w:rPr>
      </w:pPr>
    </w:p>
    <w:p w14:paraId="6D3783D9" w14:textId="381B9D58" w:rsidR="00DF72B1" w:rsidRPr="00DF72B1" w:rsidRDefault="00DF72B1" w:rsidP="00DF72B1">
      <w:pPr>
        <w:spacing w:line="240" w:lineRule="auto"/>
        <w:rPr>
          <w:rFonts w:eastAsia="Times New Roman" w:cs="Arial"/>
        </w:rPr>
      </w:pPr>
      <w:r w:rsidRPr="00DF72B1">
        <w:rPr>
          <w:rFonts w:eastAsia="Times New Roman" w:cs="Arial"/>
          <w:color w:val="000000"/>
          <w:lang w:eastAsia="bg-BG"/>
        </w:rPr>
        <w:t>Терапевтичният план при всеки пациент, който развие остеонекроза на челюстта трябва да бъде изготвен при тясно сътрудничество между лекуващия лекар и стоматолог или дентален хирург с опит в лечението на на остеонекроза на челюстта. Трябва да се осмисми временно преустановяване на лечението с ибандронова киселина, докато се подобри състоянието на пациента и съпътстващите рисковите фактори бъдат намалени, когато е възможно.</w:t>
      </w:r>
    </w:p>
    <w:p w14:paraId="1200633F" w14:textId="77777777" w:rsidR="00DF72B1" w:rsidRPr="00477D1D" w:rsidRDefault="00DF72B1" w:rsidP="00DF72B1">
      <w:pPr>
        <w:spacing w:line="240" w:lineRule="auto"/>
        <w:rPr>
          <w:rFonts w:eastAsia="Times New Roman" w:cs="Arial"/>
          <w:i/>
          <w:iCs/>
          <w:color w:val="000000"/>
          <w:lang w:eastAsia="bg-BG"/>
        </w:rPr>
      </w:pPr>
    </w:p>
    <w:p w14:paraId="05CA03FC" w14:textId="6443A43B"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Остеонекроза на външния слухов проход</w:t>
      </w:r>
    </w:p>
    <w:p w14:paraId="3207A09B"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При лечение с бисфосфонати се съобщава за остеонекроза на външния слухов проход, свързана главно при дългосрочна терапия. Възможните рискови фактори за остеонекроза на външния слухов проход включват употреба на стероиди и химиотерапия и/или локални рискови фактори, като например инфекция или травма. Вероятността от развитие на остеонекроза на външния слухов проход трябва да се има предвид при пациенти, приемащи бисфосфонати, които развиват симптоми от страна на ухото, включително хронични ушни инфекции.</w:t>
      </w:r>
    </w:p>
    <w:p w14:paraId="066F131B" w14:textId="77777777" w:rsidR="00DF72B1" w:rsidRPr="00477D1D" w:rsidRDefault="00DF72B1" w:rsidP="00DF72B1">
      <w:pPr>
        <w:spacing w:line="240" w:lineRule="auto"/>
        <w:rPr>
          <w:rFonts w:eastAsia="Times New Roman" w:cs="Arial"/>
          <w:i/>
          <w:iCs/>
          <w:color w:val="000000"/>
          <w:lang w:eastAsia="bg-BG"/>
        </w:rPr>
      </w:pPr>
    </w:p>
    <w:p w14:paraId="69A92DC7" w14:textId="33EC2C5F"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Атипични фрактури на фемура</w:t>
      </w:r>
    </w:p>
    <w:p w14:paraId="1A4E1279"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 xml:space="preserve">Има съобщения за атипични субтрохантерни и диафизни фрактури на феморалната кост при терапия с бифосфонати, предимно при пациенти, които са на продължително лечение за остеопороза. Тези напречни или полегати по конфигурация фрактури може да възникнат навсякъде по дължината на фемура - от непосредствено под малкия трохантер до точно над супракондиларното разширение. Тези фрактури възникват след минимална травма или липса на травма и някои пациенти получават болка в бедрото или слабините, </w:t>
      </w:r>
      <w:r w:rsidRPr="00DF72B1">
        <w:rPr>
          <w:rFonts w:eastAsia="Times New Roman" w:cs="Arial"/>
          <w:color w:val="000000"/>
          <w:lang w:eastAsia="bg-BG"/>
        </w:rPr>
        <w:lastRenderedPageBreak/>
        <w:t xml:space="preserve">често наподобяваща болката характерна за стрес фрактури, седмици до месеци преди появата на пълна фрактура </w:t>
      </w:r>
      <w:r w:rsidRPr="00DF72B1">
        <w:rPr>
          <w:rFonts w:eastAsia="Times New Roman" w:cs="Arial"/>
          <w:i/>
          <w:iCs/>
          <w:color w:val="000000"/>
          <w:lang w:eastAsia="bg-BG"/>
        </w:rPr>
        <w:t xml:space="preserve">на </w:t>
      </w:r>
      <w:r w:rsidRPr="00DF72B1">
        <w:rPr>
          <w:rFonts w:eastAsia="Times New Roman" w:cs="Arial"/>
          <w:color w:val="000000"/>
          <w:lang w:eastAsia="bg-BG"/>
        </w:rPr>
        <w:t>феморалната кост. Фрактурите често са билатерални. Поради това при пациенти лекувани с бифосфонати, които са получили фрактура на тялото на феморалната кост трябва да се изследва контралатералния фемур. Съобщава се също за трудно заздравяване на тези фрактури. Трябва да се помисли за прекратяване на терапията с бифосфонати при пациенти със съмнение за атипична фрактура на фемура, докато продължава изследването на пациента, като се има предвид индивидуалната оценка на съотношението полза/риск.</w:t>
      </w:r>
    </w:p>
    <w:p w14:paraId="40276401"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По време на лечение с бифосфонати пациентите трябва да бъдат инструктирани да съобщават за всяка болка в бедрото, тазобедрената става или слабините и всеки пациент с такива симптоми трябва да се преглежда за непълна фрактура на фемура.</w:t>
      </w:r>
    </w:p>
    <w:p w14:paraId="257C8A72" w14:textId="77777777" w:rsidR="00DF72B1" w:rsidRPr="00477D1D" w:rsidRDefault="00DF72B1" w:rsidP="00DF72B1">
      <w:pPr>
        <w:spacing w:line="240" w:lineRule="auto"/>
        <w:rPr>
          <w:rFonts w:eastAsia="Times New Roman" w:cs="Arial"/>
          <w:i/>
          <w:iCs/>
          <w:color w:val="000000"/>
          <w:lang w:eastAsia="bg-BG"/>
        </w:rPr>
      </w:pPr>
    </w:p>
    <w:p w14:paraId="42344F1B" w14:textId="6E3C9712"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Бъбречно увреждане</w:t>
      </w:r>
    </w:p>
    <w:p w14:paraId="6BCBA95B"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 xml:space="preserve">Поради ограничения клиничен опит, прилагането на ибандронова киселина при пациенти с креатининов клирънс под 30 </w:t>
      </w:r>
      <w:r w:rsidRPr="00DF72B1">
        <w:rPr>
          <w:rFonts w:eastAsia="Times New Roman" w:cs="Arial"/>
          <w:color w:val="000000"/>
          <w:lang w:val="en-US"/>
        </w:rPr>
        <w:t>ml</w:t>
      </w:r>
      <w:r w:rsidRPr="00DF72B1">
        <w:rPr>
          <w:rFonts w:eastAsia="Times New Roman" w:cs="Arial"/>
          <w:color w:val="000000"/>
          <w:lang w:val="ru-RU"/>
        </w:rPr>
        <w:t>/</w:t>
      </w:r>
      <w:r w:rsidRPr="00DF72B1">
        <w:rPr>
          <w:rFonts w:eastAsia="Times New Roman" w:cs="Arial"/>
          <w:color w:val="000000"/>
          <w:lang w:val="en-US"/>
        </w:rPr>
        <w:t>min</w:t>
      </w:r>
      <w:r w:rsidRPr="00DF72B1">
        <w:rPr>
          <w:rFonts w:eastAsia="Times New Roman" w:cs="Arial"/>
          <w:color w:val="000000"/>
          <w:lang w:val="ru-RU"/>
        </w:rPr>
        <w:t xml:space="preserve"> </w:t>
      </w:r>
      <w:r w:rsidRPr="00DF72B1">
        <w:rPr>
          <w:rFonts w:eastAsia="Times New Roman" w:cs="Arial"/>
          <w:color w:val="000000"/>
          <w:lang w:eastAsia="bg-BG"/>
        </w:rPr>
        <w:t>не се препоръчва (вж. точка 5.2).</w:t>
      </w:r>
    </w:p>
    <w:p w14:paraId="3BEFC9BC" w14:textId="77777777" w:rsidR="00DF72B1" w:rsidRPr="00477D1D" w:rsidRDefault="00DF72B1" w:rsidP="00DF72B1">
      <w:pPr>
        <w:spacing w:line="240" w:lineRule="auto"/>
        <w:rPr>
          <w:rFonts w:eastAsia="Times New Roman" w:cs="Arial"/>
          <w:i/>
          <w:iCs/>
          <w:color w:val="000000"/>
          <w:lang w:eastAsia="bg-BG"/>
        </w:rPr>
      </w:pPr>
    </w:p>
    <w:p w14:paraId="7F2CED22" w14:textId="35D80976" w:rsidR="00DF72B1" w:rsidRPr="00DF72B1" w:rsidRDefault="00DF72B1" w:rsidP="00DF72B1">
      <w:pPr>
        <w:spacing w:line="240" w:lineRule="auto"/>
        <w:rPr>
          <w:rFonts w:eastAsia="Times New Roman" w:cs="Arial"/>
        </w:rPr>
      </w:pPr>
      <w:r w:rsidRPr="00DF72B1">
        <w:rPr>
          <w:rFonts w:eastAsia="Times New Roman" w:cs="Arial"/>
          <w:i/>
          <w:iCs/>
          <w:color w:val="000000"/>
          <w:lang w:eastAsia="bg-BG"/>
        </w:rPr>
        <w:t>Помощни вещества</w:t>
      </w:r>
    </w:p>
    <w:p w14:paraId="799232E6" w14:textId="77777777" w:rsidR="00DF72B1" w:rsidRPr="00DF72B1" w:rsidRDefault="00DF72B1" w:rsidP="00DF72B1">
      <w:pPr>
        <w:spacing w:line="240" w:lineRule="auto"/>
        <w:rPr>
          <w:rFonts w:eastAsia="Times New Roman" w:cs="Arial"/>
        </w:rPr>
      </w:pPr>
      <w:r w:rsidRPr="00DF72B1">
        <w:rPr>
          <w:rFonts w:eastAsia="Times New Roman" w:cs="Arial"/>
          <w:color w:val="000000"/>
          <w:lang w:eastAsia="bg-BG"/>
        </w:rPr>
        <w:t>Пациенти с редки наследствени проблеми на непоносимост към галактоза, пълен лактазен дефицит или</w:t>
      </w:r>
      <w:r w:rsidRPr="00DF72B1">
        <w:rPr>
          <w:rFonts w:eastAsia="Times New Roman" w:cs="Arial"/>
          <w:i/>
          <w:iCs/>
          <w:color w:val="000000"/>
          <w:lang w:eastAsia="bg-BG"/>
        </w:rPr>
        <w:t xml:space="preserve"> глюкозо-галактозна</w:t>
      </w:r>
      <w:r w:rsidRPr="00DF72B1">
        <w:rPr>
          <w:rFonts w:eastAsia="Times New Roman" w:cs="Arial"/>
          <w:color w:val="000000"/>
          <w:lang w:eastAsia="bg-BG"/>
        </w:rPr>
        <w:t xml:space="preserve"> малабсорбция не трябва да приемат това лекарство.</w:t>
      </w:r>
    </w:p>
    <w:p w14:paraId="1E72C4C9" w14:textId="77777777" w:rsidR="00DF72B1" w:rsidRPr="00477D1D" w:rsidRDefault="00DF72B1" w:rsidP="00DF72B1">
      <w:pPr>
        <w:rPr>
          <w:rFonts w:eastAsia="Times New Roman" w:cs="Arial"/>
          <w:color w:val="000000"/>
          <w:lang w:eastAsia="bg-BG"/>
        </w:rPr>
      </w:pPr>
    </w:p>
    <w:p w14:paraId="1419C229" w14:textId="12581B55" w:rsidR="00DF72B1" w:rsidRPr="00477D1D" w:rsidRDefault="00DF72B1" w:rsidP="00DF72B1">
      <w:pPr>
        <w:rPr>
          <w:rFonts w:eastAsia="Times New Roman" w:cs="Arial"/>
          <w:color w:val="000000"/>
          <w:lang w:eastAsia="bg-BG"/>
        </w:rPr>
      </w:pPr>
      <w:r w:rsidRPr="00477D1D">
        <w:rPr>
          <w:rFonts w:eastAsia="Times New Roman" w:cs="Arial"/>
          <w:color w:val="000000"/>
          <w:lang w:eastAsia="bg-BG"/>
        </w:rPr>
        <w:t xml:space="preserve">Това лекарство съдържа по-малко от 1 </w:t>
      </w:r>
      <w:proofErr w:type="spellStart"/>
      <w:r w:rsidRPr="00477D1D">
        <w:rPr>
          <w:rFonts w:eastAsia="Times New Roman" w:cs="Arial"/>
          <w:color w:val="000000"/>
          <w:lang w:val="en-US"/>
        </w:rPr>
        <w:t>mmol</w:t>
      </w:r>
      <w:proofErr w:type="spellEnd"/>
      <w:r w:rsidRPr="00477D1D">
        <w:rPr>
          <w:rFonts w:eastAsia="Times New Roman" w:cs="Arial"/>
          <w:color w:val="000000"/>
          <w:lang w:val="ru-RU"/>
        </w:rPr>
        <w:t xml:space="preserve"> </w:t>
      </w:r>
      <w:r w:rsidRPr="00477D1D">
        <w:rPr>
          <w:rFonts w:eastAsia="Times New Roman" w:cs="Arial"/>
          <w:color w:val="000000"/>
          <w:lang w:eastAsia="bg-BG"/>
        </w:rPr>
        <w:t xml:space="preserve">натрий (23 </w:t>
      </w:r>
      <w:r w:rsidRPr="00477D1D">
        <w:rPr>
          <w:rFonts w:eastAsia="Times New Roman" w:cs="Arial"/>
          <w:color w:val="000000"/>
          <w:lang w:val="en-US"/>
        </w:rPr>
        <w:t>mg</w:t>
      </w:r>
      <w:r w:rsidRPr="00477D1D">
        <w:rPr>
          <w:rFonts w:eastAsia="Times New Roman" w:cs="Arial"/>
          <w:color w:val="000000"/>
          <w:lang w:val="ru-RU"/>
        </w:rPr>
        <w:t xml:space="preserve">) </w:t>
      </w:r>
      <w:r w:rsidRPr="00477D1D">
        <w:rPr>
          <w:rFonts w:eastAsia="Times New Roman" w:cs="Arial"/>
          <w:color w:val="000000"/>
          <w:lang w:eastAsia="bg-BG"/>
        </w:rPr>
        <w:t>на таблетка, т.е. може да се каже, че практически не съдържа натрий.</w:t>
      </w:r>
    </w:p>
    <w:p w14:paraId="4EC5F355" w14:textId="1B14DCBF" w:rsidR="00477D1D" w:rsidRPr="00DF72B1" w:rsidRDefault="00477D1D" w:rsidP="00DF72B1">
      <w:pPr>
        <w:rPr>
          <w:lang w:val="ru-RU"/>
        </w:rPr>
      </w:pPr>
    </w:p>
    <w:p w14:paraId="47743BCB" w14:textId="77777777" w:rsidR="00477D1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734264C" w14:textId="0A654F33" w:rsidR="007122AD" w:rsidRDefault="002C50EE" w:rsidP="00936AD0">
      <w:pPr>
        <w:pStyle w:val="Heading2"/>
      </w:pPr>
      <w:r>
        <w:t xml:space="preserve"> </w:t>
      </w:r>
    </w:p>
    <w:p w14:paraId="5CB20DAD"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Взаимодействие лекарствен продукт- храна</w:t>
      </w:r>
    </w:p>
    <w:p w14:paraId="1CD520C9" w14:textId="77777777" w:rsidR="00477D1D" w:rsidRPr="00477D1D" w:rsidRDefault="00477D1D" w:rsidP="00477D1D">
      <w:pPr>
        <w:rPr>
          <w:rFonts w:eastAsia="Times New Roman" w:cs="Arial"/>
          <w:sz w:val="28"/>
          <w:szCs w:val="24"/>
        </w:rPr>
      </w:pPr>
      <w:r w:rsidRPr="00477D1D">
        <w:rPr>
          <w:rFonts w:eastAsia="Times New Roman" w:cs="Arial"/>
          <w:color w:val="000000"/>
          <w:szCs w:val="20"/>
          <w:lang w:eastAsia="bg-BG"/>
        </w:rPr>
        <w:t>Пероралната бионаличност на ибандроновата киселина обикновено се намалява при наличие на храна. Особено продукти, съдържащи калций, включително мляко, и други поливалентни катиоди</w:t>
      </w:r>
      <w:r w:rsidRPr="00477D1D">
        <w:rPr>
          <w:rFonts w:eastAsia="Times New Roman" w:cs="Arial"/>
          <w:color w:val="000000"/>
          <w:szCs w:val="20"/>
          <w:vertAlign w:val="superscript"/>
          <w:lang w:eastAsia="bg-BG"/>
        </w:rPr>
        <w:t xml:space="preserve"> </w:t>
      </w:r>
      <w:r w:rsidRPr="00477D1D">
        <w:rPr>
          <w:rFonts w:eastAsia="Times New Roman" w:cs="Arial"/>
          <w:color w:val="000000"/>
          <w:szCs w:val="20"/>
          <w:lang w:eastAsia="bg-BG"/>
        </w:rPr>
        <w:t>(като алуминий, магнезий, желязо), е възможно да повлияят резорбцията на ибандронова киселина</w:t>
      </w:r>
      <w:r w:rsidRPr="00477D1D">
        <w:rPr>
          <w:rFonts w:eastAsia="Times New Roman" w:cs="Arial"/>
          <w:color w:val="000000"/>
          <w:szCs w:val="20"/>
          <w:lang w:val="ru-RU" w:eastAsia="bg-BG"/>
        </w:rPr>
        <w:t xml:space="preserve"> </w:t>
      </w:r>
      <w:r w:rsidRPr="00477D1D">
        <w:rPr>
          <w:rFonts w:eastAsia="Times New Roman" w:cs="Arial"/>
          <w:color w:val="000000"/>
          <w:szCs w:val="20"/>
          <w:lang w:eastAsia="bg-BG"/>
        </w:rPr>
        <w:t>което съответства на данните от експерименталните изследвания при животни. Поради това пациентите не трябва да приемат храна през нощта (поне 6 часа) преди да вземат ибандронова киселина, и трябва да останат гладни в продължение на 1 час след приема на ибандронова киселина (вж. точка 4.2).</w:t>
      </w:r>
    </w:p>
    <w:p w14:paraId="435FA0EC" w14:textId="77777777" w:rsidR="00477D1D" w:rsidRPr="00477D1D" w:rsidRDefault="00477D1D" w:rsidP="00477D1D">
      <w:pPr>
        <w:spacing w:line="240" w:lineRule="auto"/>
        <w:rPr>
          <w:rFonts w:eastAsia="Times New Roman" w:cs="Arial"/>
          <w:color w:val="000000"/>
          <w:szCs w:val="20"/>
          <w:u w:val="single"/>
          <w:lang w:eastAsia="bg-BG"/>
        </w:rPr>
      </w:pPr>
    </w:p>
    <w:p w14:paraId="375789F3" w14:textId="093EA57F"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Взаимодействие с други лекарствени продукти</w:t>
      </w:r>
    </w:p>
    <w:p w14:paraId="3453FB55"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Счита се, че няма вероятност за метаболитни взаимодействия, тъй като ибандроновата киселина не инхибира основните чернодробни изоензими Р 450 при човека и е доказано, че не индуцира чернодробната система цитохром Р 450 при плъхове (вж. точка 5.2). Ибандроновата киселина се елиминира само чрез бъбречна екскреция и не се подлага на биотрансформация.</w:t>
      </w:r>
    </w:p>
    <w:p w14:paraId="059D7634" w14:textId="77777777" w:rsidR="00477D1D" w:rsidRPr="00477D1D" w:rsidRDefault="00477D1D" w:rsidP="00477D1D">
      <w:pPr>
        <w:spacing w:line="240" w:lineRule="auto"/>
        <w:rPr>
          <w:rFonts w:eastAsia="Times New Roman" w:cs="Arial"/>
          <w:color w:val="000000"/>
          <w:szCs w:val="20"/>
          <w:u w:val="single"/>
          <w:lang w:eastAsia="bg-BG"/>
        </w:rPr>
      </w:pPr>
    </w:p>
    <w:p w14:paraId="14DDAD5F" w14:textId="46AD68E2"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Калциеви добавки, антиациди и някои лекарствени продукти за перорално приложение, съдържащи поливалентни катиони</w:t>
      </w:r>
    </w:p>
    <w:p w14:paraId="1750BF8D"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Възможно е хранителни добавки съдържащи калций, антиацидите и някои лекарствени продукти за перорално приложение, съдържащи поливалентни катиони (като алуминий, магнезий, желязо), да повлияят резорбцията на ибандронова киселина. Поради това </w:t>
      </w:r>
      <w:r w:rsidRPr="00477D1D">
        <w:rPr>
          <w:rFonts w:eastAsia="Times New Roman" w:cs="Arial"/>
          <w:color w:val="000000"/>
          <w:szCs w:val="20"/>
          <w:lang w:eastAsia="bg-BG"/>
        </w:rPr>
        <w:lastRenderedPageBreak/>
        <w:t>пациентите не трябва да приемат други перорални лекарства поне 6 часа преди и 1 час след приема на ибандронова киселина.</w:t>
      </w:r>
    </w:p>
    <w:p w14:paraId="30002850" w14:textId="77777777" w:rsidR="00477D1D" w:rsidRPr="00477D1D" w:rsidRDefault="00477D1D" w:rsidP="00477D1D">
      <w:pPr>
        <w:spacing w:line="240" w:lineRule="auto"/>
        <w:rPr>
          <w:rFonts w:eastAsia="Times New Roman" w:cs="Arial"/>
          <w:color w:val="000000"/>
          <w:szCs w:val="20"/>
          <w:u w:val="single"/>
          <w:lang w:eastAsia="bg-BG"/>
        </w:rPr>
      </w:pPr>
    </w:p>
    <w:p w14:paraId="0FD133E1" w14:textId="04CC630A"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Ацетилсалицилова киселина и НСПВС</w:t>
      </w:r>
    </w:p>
    <w:p w14:paraId="45565B7B" w14:textId="77777777" w:rsidR="00477D1D" w:rsidRPr="00477D1D" w:rsidRDefault="00477D1D" w:rsidP="00477D1D">
      <w:pPr>
        <w:spacing w:line="240" w:lineRule="auto"/>
        <w:rPr>
          <w:rFonts w:eastAsia="Times New Roman" w:cs="Arial"/>
          <w:color w:val="000000"/>
          <w:szCs w:val="20"/>
          <w:lang w:eastAsia="bg-BG"/>
        </w:rPr>
      </w:pPr>
    </w:p>
    <w:p w14:paraId="67C0064B" w14:textId="111748F3"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Тъй като прилагането на ацетилсалицилова киселина, нестероидни противовъзпалителни лекарствени продукти (НСПВЛП) и бифосфонати се свързва с поява на стомашно-чревно дразнене, трябва да се обърне особено внимание при едновременната им употреба (вижте точка 4.4).</w:t>
      </w:r>
    </w:p>
    <w:p w14:paraId="33D3C2B4" w14:textId="77777777" w:rsidR="00477D1D" w:rsidRPr="00477D1D" w:rsidRDefault="00477D1D" w:rsidP="00477D1D">
      <w:pPr>
        <w:spacing w:line="240" w:lineRule="auto"/>
        <w:rPr>
          <w:rFonts w:eastAsia="Times New Roman" w:cs="Arial"/>
          <w:color w:val="000000"/>
          <w:szCs w:val="20"/>
          <w:u w:val="single"/>
          <w:lang w:eastAsia="bg-BG"/>
        </w:rPr>
      </w:pPr>
    </w:p>
    <w:p w14:paraId="4CBE56FE" w14:textId="1D006948"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Н2 блокери или инхибитори на протонната помпа</w:t>
      </w:r>
    </w:p>
    <w:p w14:paraId="00B354E4" w14:textId="77777777" w:rsidR="00477D1D" w:rsidRPr="00477D1D" w:rsidRDefault="00477D1D" w:rsidP="00477D1D">
      <w:pPr>
        <w:spacing w:line="240" w:lineRule="auto"/>
        <w:rPr>
          <w:rFonts w:eastAsia="Times New Roman" w:cs="Arial"/>
          <w:color w:val="000000"/>
          <w:szCs w:val="20"/>
          <w:lang w:eastAsia="bg-BG"/>
        </w:rPr>
      </w:pPr>
    </w:p>
    <w:p w14:paraId="3D1C2FC1" w14:textId="577A0F8C"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От над 1500 пациенти, включени в клиничното изпитване ВМ 16549, което сравнява схемите на лечение с ибандронова киселина веднъж месечно и веднъж дневно, съответно 14 % и 18 % от пациентите са използвали хистаминови (Н2) блокери или инхибитори на протонната помпа в продължение на една и две години. Честотата на проявите от страна на горните отдели на стомашно-чревния тракт при пациентите, лекувани с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е била подобна на тази при пациентите, приемали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w:t>
      </w:r>
    </w:p>
    <w:p w14:paraId="24A7E146" w14:textId="77777777" w:rsidR="00477D1D" w:rsidRPr="00477D1D" w:rsidRDefault="00477D1D" w:rsidP="00477D1D">
      <w:pPr>
        <w:spacing w:line="240" w:lineRule="auto"/>
        <w:rPr>
          <w:rFonts w:eastAsia="Times New Roman" w:cs="Arial"/>
          <w:color w:val="000000"/>
          <w:szCs w:val="20"/>
          <w:lang w:eastAsia="bg-BG"/>
        </w:rPr>
      </w:pPr>
    </w:p>
    <w:p w14:paraId="35C37F17" w14:textId="5DE13B2C" w:rsidR="00477D1D" w:rsidRPr="00477D1D" w:rsidRDefault="00477D1D" w:rsidP="00477D1D">
      <w:pPr>
        <w:spacing w:line="240" w:lineRule="auto"/>
        <w:rPr>
          <w:rFonts w:ascii="Times New Roman" w:eastAsia="Times New Roman" w:hAnsi="Times New Roman" w:cs="Times New Roman"/>
          <w:sz w:val="24"/>
          <w:szCs w:val="24"/>
          <w:lang w:val="ru-RU"/>
        </w:rPr>
      </w:pPr>
      <w:r w:rsidRPr="00477D1D">
        <w:rPr>
          <w:rFonts w:eastAsia="Times New Roman" w:cs="Arial"/>
          <w:color w:val="000000"/>
          <w:szCs w:val="20"/>
          <w:lang w:eastAsia="bg-BG"/>
        </w:rPr>
        <w:t xml:space="preserve">При здрави мъже доброволци и жени в постменопауза интравенозно приложен ранитидин предизвиква увеличение на бионаличността на ибандроновата киселина с около 20 %, вероятно в резултат на намалената киселинност на стомаха. Тъй като, това увеличение е в нормалните граници на допустимото отклонение в бионаличността на ибандроновата киселина, счита се, че не е необходимо коригиране на дозата, когато ибандронова киселина се прилага заедно с Н2-блокери или други активни вещества, които покачват </w:t>
      </w:r>
      <w:r w:rsidRPr="00477D1D">
        <w:rPr>
          <w:rFonts w:eastAsia="Times New Roman" w:cs="Arial"/>
          <w:color w:val="000000"/>
          <w:szCs w:val="20"/>
          <w:lang w:val="en-US"/>
        </w:rPr>
        <w:t>pH</w:t>
      </w:r>
      <w:r w:rsidRPr="00477D1D">
        <w:rPr>
          <w:rFonts w:eastAsia="Times New Roman" w:cs="Arial"/>
          <w:color w:val="000000"/>
          <w:szCs w:val="20"/>
          <w:lang w:eastAsia="bg-BG"/>
        </w:rPr>
        <w:t>-стойността в стомаха.</w:t>
      </w:r>
    </w:p>
    <w:p w14:paraId="1E676A32" w14:textId="0061D271" w:rsidR="00477D1D" w:rsidRPr="00477D1D" w:rsidRDefault="00477D1D" w:rsidP="00477D1D"/>
    <w:p w14:paraId="5D9F40EA" w14:textId="2AB1A966" w:rsidR="007122AD" w:rsidRDefault="002C50EE" w:rsidP="00936AD0">
      <w:pPr>
        <w:pStyle w:val="Heading2"/>
      </w:pPr>
      <w:r>
        <w:t>4.6. Фертилитет, бременност и кърмене</w:t>
      </w:r>
    </w:p>
    <w:p w14:paraId="7CBC79BB" w14:textId="6596E64E" w:rsidR="00477D1D" w:rsidRDefault="00477D1D" w:rsidP="00477D1D"/>
    <w:p w14:paraId="121E00C2" w14:textId="77777777" w:rsidR="00477D1D" w:rsidRPr="00477D1D" w:rsidRDefault="00477D1D" w:rsidP="00477D1D">
      <w:pPr>
        <w:pStyle w:val="Heading3"/>
        <w:rPr>
          <w:rFonts w:eastAsia="Times New Roman"/>
          <w:i/>
          <w:sz w:val="28"/>
        </w:rPr>
      </w:pPr>
      <w:r w:rsidRPr="00477D1D">
        <w:rPr>
          <w:rFonts w:eastAsia="Times New Roman"/>
          <w:i/>
          <w:lang w:eastAsia="bg-BG"/>
        </w:rPr>
        <w:t>Бременност</w:t>
      </w:r>
    </w:p>
    <w:p w14:paraId="240FBED6"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Ибандронова киселина е предназначена за употреба само при жени в постменопауза и не трябва да се приема от жени с детероден потенциал.</w:t>
      </w:r>
    </w:p>
    <w:p w14:paraId="0B18DF9A"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Няма достатъчно данни за употребата на ибандроновата киселина при бременни жени. Потенциалният риск при хора не е известен.</w:t>
      </w:r>
    </w:p>
    <w:p w14:paraId="5446D1D7"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Проучванията при плъхове показват известна репродуктивна токсичност (вж. точка 5.3). Ибандронова киселина не трябва да се използва по време на бременност.</w:t>
      </w:r>
    </w:p>
    <w:p w14:paraId="1D444E67" w14:textId="77777777" w:rsidR="00477D1D" w:rsidRPr="00477D1D" w:rsidRDefault="00477D1D" w:rsidP="00477D1D">
      <w:pPr>
        <w:spacing w:line="240" w:lineRule="auto"/>
        <w:rPr>
          <w:rFonts w:eastAsia="Times New Roman" w:cs="Arial"/>
          <w:i/>
          <w:iCs/>
          <w:color w:val="000000"/>
          <w:szCs w:val="20"/>
          <w:lang w:eastAsia="bg-BG"/>
        </w:rPr>
      </w:pPr>
    </w:p>
    <w:p w14:paraId="3BECF61B" w14:textId="773A93C8" w:rsidR="00477D1D" w:rsidRPr="00477D1D" w:rsidRDefault="00477D1D" w:rsidP="00477D1D">
      <w:pPr>
        <w:pStyle w:val="Heading3"/>
        <w:rPr>
          <w:rFonts w:eastAsia="Times New Roman"/>
          <w:i/>
          <w:sz w:val="28"/>
        </w:rPr>
      </w:pPr>
      <w:r w:rsidRPr="00477D1D">
        <w:rPr>
          <w:rFonts w:eastAsia="Times New Roman"/>
          <w:i/>
          <w:lang w:eastAsia="bg-BG"/>
        </w:rPr>
        <w:t>Кърмене</w:t>
      </w:r>
    </w:p>
    <w:p w14:paraId="4BDF0AF6" w14:textId="77777777" w:rsidR="00477D1D" w:rsidRPr="00477D1D" w:rsidRDefault="00477D1D" w:rsidP="00477D1D">
      <w:pPr>
        <w:rPr>
          <w:rFonts w:eastAsia="Times New Roman" w:cs="Arial"/>
          <w:sz w:val="28"/>
          <w:szCs w:val="24"/>
        </w:rPr>
      </w:pPr>
      <w:r w:rsidRPr="00477D1D">
        <w:rPr>
          <w:rFonts w:eastAsia="Times New Roman" w:cs="Arial"/>
          <w:color w:val="000000"/>
          <w:szCs w:val="20"/>
          <w:lang w:eastAsia="bg-BG"/>
        </w:rPr>
        <w:t>Не е известно дали ибандроновата киселина се отделя в кърмата при човека. Проучванията върху кърмещи плъхове са показали наличието на ниски нива на ибандронова киселина в кърмата след</w:t>
      </w:r>
      <w:r w:rsidRPr="00477D1D">
        <w:rPr>
          <w:rFonts w:eastAsia="Times New Roman" w:cs="Arial"/>
          <w:color w:val="000000"/>
          <w:szCs w:val="20"/>
          <w:lang w:val="ru-RU" w:eastAsia="bg-BG"/>
        </w:rPr>
        <w:t xml:space="preserve"> </w:t>
      </w:r>
      <w:r w:rsidRPr="00477D1D">
        <w:rPr>
          <w:rFonts w:eastAsia="Times New Roman" w:cs="Arial"/>
          <w:color w:val="000000"/>
          <w:szCs w:val="20"/>
          <w:lang w:eastAsia="bg-BG"/>
        </w:rPr>
        <w:t>интравенозно приложение.</w:t>
      </w:r>
    </w:p>
    <w:p w14:paraId="46B44E31"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Ибандронова киселина не трябва да се използва в периода на кърмене.</w:t>
      </w:r>
    </w:p>
    <w:p w14:paraId="5439CAB9" w14:textId="77777777" w:rsidR="00477D1D" w:rsidRPr="00477D1D" w:rsidRDefault="00477D1D" w:rsidP="00477D1D">
      <w:pPr>
        <w:spacing w:line="240" w:lineRule="auto"/>
        <w:rPr>
          <w:rFonts w:eastAsia="Times New Roman" w:cs="Arial"/>
          <w:i/>
          <w:iCs/>
          <w:color w:val="000000"/>
          <w:szCs w:val="20"/>
          <w:lang w:eastAsia="bg-BG"/>
        </w:rPr>
      </w:pPr>
    </w:p>
    <w:p w14:paraId="0E288AF1" w14:textId="3B4153D4" w:rsidR="00477D1D" w:rsidRPr="00477D1D" w:rsidRDefault="00477D1D" w:rsidP="00477D1D">
      <w:pPr>
        <w:pStyle w:val="Heading3"/>
        <w:rPr>
          <w:rFonts w:eastAsia="Times New Roman"/>
          <w:i/>
          <w:sz w:val="28"/>
        </w:rPr>
      </w:pPr>
      <w:r w:rsidRPr="00477D1D">
        <w:rPr>
          <w:rFonts w:eastAsia="Times New Roman"/>
          <w:i/>
          <w:lang w:eastAsia="bg-BG"/>
        </w:rPr>
        <w:t>Фертилитет</w:t>
      </w:r>
    </w:p>
    <w:p w14:paraId="4466EA8F"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Няма данни при хора за ефектите на Ибандронова киселина. При проучвания с плъхове при перорално приложение на ибандронова киселина се наблюдава намален фертилитет. При проучвания с плъхове при интравенозно приложение на ибандронова киселина се наблюдава намален фертилитет при високи дневни дози (вижте точка 5.3).</w:t>
      </w:r>
    </w:p>
    <w:p w14:paraId="690E2369" w14:textId="60808AE0" w:rsidR="00477D1D" w:rsidRPr="00477D1D" w:rsidRDefault="00477D1D" w:rsidP="00477D1D"/>
    <w:p w14:paraId="5DD7A76D" w14:textId="4BC28E0F" w:rsidR="007122AD" w:rsidRDefault="002C50EE" w:rsidP="00936AD0">
      <w:pPr>
        <w:pStyle w:val="Heading2"/>
      </w:pPr>
      <w:r>
        <w:t>4.7. Ефекти върху способността за шофиране и работа с машини</w:t>
      </w:r>
    </w:p>
    <w:p w14:paraId="01D0A27B" w14:textId="3BF5F1AC" w:rsidR="00477D1D" w:rsidRDefault="00477D1D" w:rsidP="00477D1D"/>
    <w:p w14:paraId="2772C153" w14:textId="77777777" w:rsidR="00477D1D" w:rsidRPr="00477D1D" w:rsidRDefault="00477D1D" w:rsidP="00477D1D">
      <w:pPr>
        <w:rPr>
          <w:sz w:val="24"/>
          <w:szCs w:val="24"/>
        </w:rPr>
      </w:pPr>
      <w:r w:rsidRPr="00477D1D">
        <w:rPr>
          <w:lang w:eastAsia="bg-BG"/>
        </w:rPr>
        <w:t>Въз основа на фармакодинамичния и фармакокинетичния профил и съобщените нежелани реакции се счита, че Ибандронова киселина не повлиява или повлиява пренебрежимо способността за шофиране и работа с машини.</w:t>
      </w:r>
    </w:p>
    <w:p w14:paraId="654514AC" w14:textId="77777777" w:rsidR="00477D1D" w:rsidRPr="00477D1D" w:rsidRDefault="00477D1D" w:rsidP="00477D1D"/>
    <w:p w14:paraId="44CE30A3" w14:textId="786F5741" w:rsidR="007122AD" w:rsidRDefault="002C50EE" w:rsidP="00936AD0">
      <w:pPr>
        <w:pStyle w:val="Heading2"/>
      </w:pPr>
      <w:r>
        <w:t>4.8. Нежелани лекарствени реакции</w:t>
      </w:r>
    </w:p>
    <w:p w14:paraId="62734B1A" w14:textId="7C151343" w:rsidR="00477D1D" w:rsidRDefault="00477D1D" w:rsidP="00477D1D"/>
    <w:p w14:paraId="010195E5"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Резюме на профила на безопасност</w:t>
      </w:r>
    </w:p>
    <w:p w14:paraId="34E025D1"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Най-сериозните съобщавани нежелани реакции са анафилактична реакция/шок, атипични фрактури на бедрената кост, остеонекроза на челюстта, стомашно-чревно дразнене, очно възпаление (вж. раздел „Описание на избрани нежелани реакции” и точка 4.4).</w:t>
      </w:r>
    </w:p>
    <w:p w14:paraId="1617A28A"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Най-често съобщаваните нежелани реакции са артралгия и грипоподобни симптоми. Тези симптоми се проявяват във връзка с първата доза, обикновено са краткотрайни, леки или умерени по интензитет и отзвучават при продължаване на лечението, без да налагат лечебни мерки (вж. раздел „Грипоподобно заболяване”).</w:t>
      </w:r>
    </w:p>
    <w:p w14:paraId="51A61F44" w14:textId="77777777" w:rsidR="00477D1D" w:rsidRPr="00477D1D" w:rsidRDefault="00477D1D" w:rsidP="00477D1D">
      <w:pPr>
        <w:spacing w:line="240" w:lineRule="auto"/>
        <w:rPr>
          <w:rFonts w:eastAsia="Times New Roman" w:cs="Arial"/>
          <w:color w:val="000000"/>
          <w:szCs w:val="20"/>
          <w:u w:val="single"/>
          <w:lang w:eastAsia="bg-BG"/>
        </w:rPr>
      </w:pPr>
    </w:p>
    <w:p w14:paraId="23C33E6C" w14:textId="4F7EE1B8"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Табличен списък на нежеланите реакции</w:t>
      </w:r>
    </w:p>
    <w:p w14:paraId="143E6C7F"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В таблица 1 е представен пълен преглед на известните досега нежеланите реакции.</w:t>
      </w:r>
    </w:p>
    <w:p w14:paraId="39D50942"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Безопасността на ибандронова киселина в доза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е оценена в четири плацебо контролирани клинични проучвания върху 1251 пациенти, като по-голяма част от пациентите са набрани от основното тригодишно терапевтично проучване </w:t>
      </w:r>
      <w:r w:rsidRPr="00477D1D">
        <w:rPr>
          <w:rFonts w:eastAsia="Times New Roman" w:cs="Arial"/>
          <w:color w:val="000000"/>
          <w:szCs w:val="20"/>
          <w:lang w:val="ru-RU"/>
        </w:rPr>
        <w:t>(</w:t>
      </w:r>
      <w:r w:rsidRPr="00477D1D">
        <w:rPr>
          <w:rFonts w:eastAsia="Times New Roman" w:cs="Arial"/>
          <w:color w:val="000000"/>
          <w:szCs w:val="20"/>
          <w:lang w:val="en-US"/>
        </w:rPr>
        <w:t>MF</w:t>
      </w:r>
      <w:r w:rsidRPr="00477D1D">
        <w:rPr>
          <w:rFonts w:eastAsia="Times New Roman" w:cs="Arial"/>
          <w:color w:val="000000"/>
          <w:szCs w:val="20"/>
          <w:lang w:val="ru-RU"/>
        </w:rPr>
        <w:t xml:space="preserve"> </w:t>
      </w:r>
      <w:r w:rsidRPr="00477D1D">
        <w:rPr>
          <w:rFonts w:eastAsia="Times New Roman" w:cs="Arial"/>
          <w:color w:val="000000"/>
          <w:szCs w:val="20"/>
          <w:lang w:eastAsia="bg-BG"/>
        </w:rPr>
        <w:t>4411).</w:t>
      </w:r>
    </w:p>
    <w:p w14:paraId="4266FB79" w14:textId="77777777" w:rsidR="00477D1D" w:rsidRPr="00477D1D" w:rsidRDefault="00477D1D" w:rsidP="00477D1D">
      <w:pPr>
        <w:spacing w:line="240" w:lineRule="auto"/>
        <w:rPr>
          <w:rFonts w:eastAsia="Times New Roman" w:cs="Arial"/>
          <w:color w:val="000000"/>
          <w:szCs w:val="20"/>
          <w:lang w:eastAsia="bg-BG"/>
        </w:rPr>
      </w:pPr>
    </w:p>
    <w:p w14:paraId="3CD10540" w14:textId="6D0A6238"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При двегодишно изпитване върху жени след менопауза с остеопороза (ВМ 16549) общата безопасност на ибандронова киселина в доза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тази на ибандронова киселина в доза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са били съвсем сходни. Общият процентен дял на пациентите, които са получили нежелана реакция е 22.7 % и 25.0 % при ибандроновата киселина в доза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21.5 % и 22.5 % за ибандроновата киселина в доза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веднъж дневно, съответно след една и след две години.. В повечето случаи не се е стигнало до прекратяване на лечението.</w:t>
      </w:r>
    </w:p>
    <w:p w14:paraId="7FD28F04" w14:textId="77777777" w:rsidR="00477D1D" w:rsidRPr="00477D1D" w:rsidRDefault="00477D1D" w:rsidP="00477D1D">
      <w:pPr>
        <w:spacing w:line="240" w:lineRule="auto"/>
        <w:rPr>
          <w:rFonts w:eastAsia="Times New Roman" w:cs="Arial"/>
          <w:color w:val="000000"/>
          <w:szCs w:val="20"/>
          <w:lang w:eastAsia="bg-BG"/>
        </w:rPr>
      </w:pPr>
    </w:p>
    <w:p w14:paraId="39C3495C" w14:textId="03CA37FD"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Нежеланите реакции са изброени по системо-органни класове и категория честота по </w:t>
      </w:r>
      <w:proofErr w:type="spellStart"/>
      <w:r w:rsidRPr="00477D1D">
        <w:rPr>
          <w:rFonts w:eastAsia="Times New Roman" w:cs="Arial"/>
          <w:color w:val="000000"/>
          <w:szCs w:val="20"/>
          <w:lang w:val="en-US"/>
        </w:rPr>
        <w:t>MedDRA</w:t>
      </w:r>
      <w:proofErr w:type="spellEnd"/>
      <w:r w:rsidRPr="00477D1D">
        <w:rPr>
          <w:rFonts w:eastAsia="Times New Roman" w:cs="Arial"/>
          <w:color w:val="000000"/>
          <w:szCs w:val="20"/>
          <w:lang w:val="ru-RU"/>
        </w:rPr>
        <w:t>.</w:t>
      </w:r>
    </w:p>
    <w:p w14:paraId="752A9558" w14:textId="77777777" w:rsidR="00477D1D" w:rsidRPr="00477D1D" w:rsidRDefault="00477D1D" w:rsidP="00477D1D">
      <w:pPr>
        <w:spacing w:line="240" w:lineRule="auto"/>
        <w:rPr>
          <w:rFonts w:eastAsia="Times New Roman" w:cs="Arial"/>
          <w:color w:val="000000"/>
          <w:szCs w:val="20"/>
          <w:lang w:eastAsia="bg-BG"/>
        </w:rPr>
      </w:pPr>
    </w:p>
    <w:p w14:paraId="13E2117C" w14:textId="4BC58FCD"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Категориите честота са определени като е използвана следната конвенция: много чести (&gt;1/10), чести (≥ 1/100 до &lt; 1/10), нечести (≥1/1 000 до &lt; 1/100), редки (≥1/10 000 до &lt; 1/1 000), много редки (&lt;1/10 000), с неизвестна честота (от наличните данни не може да бъде направена оценка). При всяко групиране в зависимост от честотата, нежеланите реакции са представени в низходящ ред по отношение на тяхната сериозност.</w:t>
      </w:r>
    </w:p>
    <w:p w14:paraId="6E2FCD49" w14:textId="77777777" w:rsidR="00477D1D" w:rsidRPr="00477D1D" w:rsidRDefault="00477D1D" w:rsidP="00477D1D">
      <w:pPr>
        <w:spacing w:line="240" w:lineRule="auto"/>
        <w:rPr>
          <w:rFonts w:eastAsia="Times New Roman" w:cs="Arial"/>
          <w:b/>
          <w:bCs/>
          <w:color w:val="000000"/>
          <w:szCs w:val="20"/>
          <w:lang w:eastAsia="bg-BG"/>
        </w:rPr>
      </w:pPr>
    </w:p>
    <w:p w14:paraId="62C58B53" w14:textId="2557EB75" w:rsidR="00477D1D" w:rsidRPr="00477D1D" w:rsidRDefault="00477D1D" w:rsidP="00477D1D">
      <w:pPr>
        <w:spacing w:line="240" w:lineRule="auto"/>
        <w:rPr>
          <w:rFonts w:eastAsia="Times New Roman" w:cs="Arial"/>
          <w:sz w:val="28"/>
          <w:szCs w:val="24"/>
        </w:rPr>
      </w:pPr>
      <w:r w:rsidRPr="00477D1D">
        <w:rPr>
          <w:rFonts w:eastAsia="Times New Roman" w:cs="Arial"/>
          <w:b/>
          <w:bCs/>
          <w:color w:val="000000"/>
          <w:szCs w:val="20"/>
          <w:lang w:eastAsia="bg-BG"/>
        </w:rPr>
        <w:t xml:space="preserve">Таблица 1: Нежелани реакции, възникващи при жени в постменопауза, получаващи Ибандронова киселина 150 </w:t>
      </w:r>
      <w:r w:rsidRPr="00477D1D">
        <w:rPr>
          <w:rFonts w:eastAsia="Times New Roman" w:cs="Arial"/>
          <w:b/>
          <w:bCs/>
          <w:color w:val="000000"/>
          <w:szCs w:val="20"/>
          <w:lang w:val="en-US"/>
        </w:rPr>
        <w:t>mg</w:t>
      </w:r>
      <w:r w:rsidRPr="00477D1D">
        <w:rPr>
          <w:rFonts w:eastAsia="Times New Roman" w:cs="Arial"/>
          <w:b/>
          <w:bCs/>
          <w:color w:val="000000"/>
          <w:szCs w:val="20"/>
          <w:lang w:val="ru-RU"/>
        </w:rPr>
        <w:t xml:space="preserve"> </w:t>
      </w:r>
      <w:r w:rsidRPr="00477D1D">
        <w:rPr>
          <w:rFonts w:eastAsia="Times New Roman" w:cs="Arial"/>
          <w:b/>
          <w:bCs/>
          <w:i/>
          <w:iCs/>
          <w:color w:val="000000"/>
          <w:szCs w:val="20"/>
          <w:lang w:eastAsia="bg-BG"/>
        </w:rPr>
        <w:t>веднъж месечно нлн</w:t>
      </w:r>
      <w:r w:rsidRPr="00477D1D">
        <w:rPr>
          <w:rFonts w:eastAsia="Times New Roman" w:cs="Arial"/>
          <w:b/>
          <w:bCs/>
          <w:color w:val="000000"/>
          <w:szCs w:val="20"/>
          <w:lang w:eastAsia="bg-BG"/>
        </w:rPr>
        <w:t xml:space="preserve"> ибандронова киселина 2,5 </w:t>
      </w:r>
      <w:r w:rsidRPr="00477D1D">
        <w:rPr>
          <w:rFonts w:eastAsia="Times New Roman" w:cs="Arial"/>
          <w:b/>
          <w:bCs/>
          <w:color w:val="000000"/>
          <w:szCs w:val="20"/>
          <w:lang w:val="en-US"/>
        </w:rPr>
        <w:t>mg</w:t>
      </w:r>
      <w:r w:rsidRPr="00477D1D">
        <w:rPr>
          <w:rFonts w:eastAsia="Times New Roman" w:cs="Arial"/>
          <w:b/>
          <w:bCs/>
          <w:color w:val="000000"/>
          <w:szCs w:val="20"/>
          <w:lang w:val="ru-RU"/>
        </w:rPr>
        <w:t xml:space="preserve"> </w:t>
      </w:r>
      <w:r>
        <w:rPr>
          <w:rFonts w:eastAsia="Times New Roman" w:cs="Arial"/>
          <w:b/>
          <w:bCs/>
          <w:color w:val="000000"/>
          <w:szCs w:val="20"/>
          <w:lang w:eastAsia="bg-BG"/>
        </w:rPr>
        <w:t>дневно по време на фаза III</w:t>
      </w:r>
      <w:r w:rsidRPr="00477D1D">
        <w:rPr>
          <w:rFonts w:eastAsia="Times New Roman" w:cs="Arial"/>
          <w:b/>
          <w:bCs/>
          <w:color w:val="000000"/>
          <w:szCs w:val="20"/>
          <w:lang w:eastAsia="bg-BG"/>
        </w:rPr>
        <w:t xml:space="preserve"> на изпитвания ВМ16549 и </w:t>
      </w:r>
      <w:r w:rsidRPr="00477D1D">
        <w:rPr>
          <w:rFonts w:eastAsia="Times New Roman" w:cs="Arial"/>
          <w:b/>
          <w:bCs/>
          <w:color w:val="000000"/>
          <w:szCs w:val="20"/>
          <w:lang w:val="en-US"/>
        </w:rPr>
        <w:t>MF</w:t>
      </w:r>
      <w:r w:rsidRPr="00477D1D">
        <w:rPr>
          <w:rFonts w:eastAsia="Times New Roman" w:cs="Arial"/>
          <w:b/>
          <w:bCs/>
          <w:color w:val="000000"/>
          <w:szCs w:val="20"/>
          <w:lang w:val="ru-RU"/>
        </w:rPr>
        <w:t>4411.</w:t>
      </w:r>
    </w:p>
    <w:tbl>
      <w:tblPr>
        <w:tblStyle w:val="TableGrid"/>
        <w:tblW w:w="0" w:type="auto"/>
        <w:tblLook w:val="04A0" w:firstRow="1" w:lastRow="0" w:firstColumn="1" w:lastColumn="0" w:noHBand="0" w:noVBand="1"/>
      </w:tblPr>
      <w:tblGrid>
        <w:gridCol w:w="1764"/>
        <w:gridCol w:w="2094"/>
        <w:gridCol w:w="1551"/>
        <w:gridCol w:w="2233"/>
        <w:gridCol w:w="1708"/>
      </w:tblGrid>
      <w:tr w:rsidR="00477D1D" w14:paraId="7C39E9DC" w14:textId="77777777" w:rsidTr="009C1A28">
        <w:tc>
          <w:tcPr>
            <w:tcW w:w="1915" w:type="dxa"/>
            <w:vAlign w:val="bottom"/>
          </w:tcPr>
          <w:p w14:paraId="5F472A64" w14:textId="32E0B577" w:rsidR="00477D1D" w:rsidRPr="00477D1D" w:rsidRDefault="00477D1D" w:rsidP="00477D1D">
            <w:r w:rsidRPr="00477D1D">
              <w:rPr>
                <w:b/>
                <w:bCs/>
                <w:szCs w:val="20"/>
              </w:rPr>
              <w:t>Система Орган Клас</w:t>
            </w:r>
          </w:p>
        </w:tc>
        <w:tc>
          <w:tcPr>
            <w:tcW w:w="1915" w:type="dxa"/>
            <w:vAlign w:val="center"/>
          </w:tcPr>
          <w:p w14:paraId="48322701" w14:textId="719E5A43" w:rsidR="00477D1D" w:rsidRPr="00477D1D" w:rsidRDefault="00477D1D" w:rsidP="00477D1D">
            <w:r w:rsidRPr="00477D1D">
              <w:rPr>
                <w:b/>
                <w:bCs/>
                <w:szCs w:val="20"/>
              </w:rPr>
              <w:t>Чести</w:t>
            </w:r>
          </w:p>
        </w:tc>
        <w:tc>
          <w:tcPr>
            <w:tcW w:w="1915" w:type="dxa"/>
            <w:vAlign w:val="center"/>
          </w:tcPr>
          <w:p w14:paraId="470F21B0" w14:textId="62F9B9D8" w:rsidR="00477D1D" w:rsidRPr="00477D1D" w:rsidRDefault="00477D1D" w:rsidP="00477D1D">
            <w:r w:rsidRPr="00477D1D">
              <w:rPr>
                <w:b/>
                <w:bCs/>
                <w:szCs w:val="20"/>
              </w:rPr>
              <w:t>Нечести</w:t>
            </w:r>
          </w:p>
        </w:tc>
        <w:tc>
          <w:tcPr>
            <w:tcW w:w="1915" w:type="dxa"/>
            <w:vAlign w:val="center"/>
          </w:tcPr>
          <w:p w14:paraId="2A8C2BFD" w14:textId="215B76E7" w:rsidR="00477D1D" w:rsidRPr="00477D1D" w:rsidRDefault="00477D1D" w:rsidP="00477D1D">
            <w:r w:rsidRPr="00477D1D">
              <w:rPr>
                <w:b/>
                <w:bCs/>
                <w:szCs w:val="20"/>
              </w:rPr>
              <w:t>Редки</w:t>
            </w:r>
          </w:p>
        </w:tc>
        <w:tc>
          <w:tcPr>
            <w:tcW w:w="1916" w:type="dxa"/>
            <w:vAlign w:val="center"/>
          </w:tcPr>
          <w:p w14:paraId="5E805496" w14:textId="4CED30D1" w:rsidR="00477D1D" w:rsidRPr="00477D1D" w:rsidRDefault="00477D1D" w:rsidP="00477D1D">
            <w:r w:rsidRPr="00477D1D">
              <w:rPr>
                <w:b/>
                <w:bCs/>
                <w:szCs w:val="20"/>
              </w:rPr>
              <w:t>Много редки</w:t>
            </w:r>
          </w:p>
        </w:tc>
      </w:tr>
      <w:tr w:rsidR="00477D1D" w14:paraId="4AEBB078" w14:textId="77777777" w:rsidTr="009C1A28">
        <w:tc>
          <w:tcPr>
            <w:tcW w:w="1915" w:type="dxa"/>
            <w:vAlign w:val="bottom"/>
          </w:tcPr>
          <w:p w14:paraId="54CDA84A" w14:textId="4276A4E8" w:rsidR="00477D1D" w:rsidRPr="00477D1D" w:rsidRDefault="00477D1D" w:rsidP="00477D1D">
            <w:r w:rsidRPr="00477D1D">
              <w:rPr>
                <w:szCs w:val="20"/>
              </w:rPr>
              <w:t>Нарушения на имунната система</w:t>
            </w:r>
          </w:p>
        </w:tc>
        <w:tc>
          <w:tcPr>
            <w:tcW w:w="1915" w:type="dxa"/>
          </w:tcPr>
          <w:p w14:paraId="70BDF306" w14:textId="77777777" w:rsidR="00477D1D" w:rsidRPr="00477D1D" w:rsidRDefault="00477D1D" w:rsidP="00477D1D"/>
        </w:tc>
        <w:tc>
          <w:tcPr>
            <w:tcW w:w="1915" w:type="dxa"/>
            <w:vAlign w:val="bottom"/>
          </w:tcPr>
          <w:p w14:paraId="42212CB5" w14:textId="5CA13019" w:rsidR="00477D1D" w:rsidRPr="00477D1D" w:rsidRDefault="00477D1D" w:rsidP="00477D1D">
            <w:r w:rsidRPr="00477D1D">
              <w:rPr>
                <w:szCs w:val="20"/>
              </w:rPr>
              <w:t>Обостряне на астма</w:t>
            </w:r>
          </w:p>
        </w:tc>
        <w:tc>
          <w:tcPr>
            <w:tcW w:w="1915" w:type="dxa"/>
            <w:vAlign w:val="center"/>
          </w:tcPr>
          <w:p w14:paraId="0DBCFB97" w14:textId="2EBF046D" w:rsidR="00477D1D" w:rsidRPr="00477D1D" w:rsidRDefault="00477D1D" w:rsidP="00477D1D">
            <w:r w:rsidRPr="00477D1D">
              <w:rPr>
                <w:szCs w:val="20"/>
              </w:rPr>
              <w:t>Реакция на свръхчувствителност</w:t>
            </w:r>
          </w:p>
        </w:tc>
        <w:tc>
          <w:tcPr>
            <w:tcW w:w="1916" w:type="dxa"/>
            <w:vAlign w:val="center"/>
          </w:tcPr>
          <w:p w14:paraId="260C8F8C" w14:textId="71199F2A" w:rsidR="00477D1D" w:rsidRPr="00477D1D" w:rsidRDefault="00477D1D" w:rsidP="00477D1D">
            <w:r w:rsidRPr="00477D1D">
              <w:rPr>
                <w:szCs w:val="20"/>
              </w:rPr>
              <w:t>Анафилактична реакция/шок*</w:t>
            </w:r>
            <w:r w:rsidRPr="00477D1D">
              <w:rPr>
                <w:szCs w:val="20"/>
                <w:vertAlign w:val="superscript"/>
              </w:rPr>
              <w:t>+</w:t>
            </w:r>
          </w:p>
        </w:tc>
      </w:tr>
      <w:tr w:rsidR="00477D1D" w14:paraId="67FC28B7" w14:textId="77777777" w:rsidTr="009C1A28">
        <w:tc>
          <w:tcPr>
            <w:tcW w:w="1915" w:type="dxa"/>
            <w:vAlign w:val="bottom"/>
          </w:tcPr>
          <w:p w14:paraId="4EDDD7CA" w14:textId="7EFBF8BA" w:rsidR="00477D1D" w:rsidRPr="00477D1D" w:rsidRDefault="00477D1D" w:rsidP="00477D1D">
            <w:r w:rsidRPr="00477D1D">
              <w:rPr>
                <w:szCs w:val="20"/>
              </w:rPr>
              <w:lastRenderedPageBreak/>
              <w:t>Нарушения на нервната система</w:t>
            </w:r>
          </w:p>
        </w:tc>
        <w:tc>
          <w:tcPr>
            <w:tcW w:w="1915" w:type="dxa"/>
            <w:vAlign w:val="center"/>
          </w:tcPr>
          <w:p w14:paraId="2FAC4550" w14:textId="2381FC1F" w:rsidR="00477D1D" w:rsidRPr="00477D1D" w:rsidRDefault="00477D1D" w:rsidP="00477D1D">
            <w:r w:rsidRPr="00477D1D">
              <w:rPr>
                <w:szCs w:val="20"/>
              </w:rPr>
              <w:t>главоболие</w:t>
            </w:r>
          </w:p>
        </w:tc>
        <w:tc>
          <w:tcPr>
            <w:tcW w:w="1915" w:type="dxa"/>
            <w:vAlign w:val="center"/>
          </w:tcPr>
          <w:p w14:paraId="7EEBDB3C" w14:textId="4CB1F12D" w:rsidR="00477D1D" w:rsidRPr="00477D1D" w:rsidRDefault="00477D1D" w:rsidP="00477D1D">
            <w:r w:rsidRPr="00477D1D">
              <w:rPr>
                <w:szCs w:val="20"/>
              </w:rPr>
              <w:t>замайване</w:t>
            </w:r>
          </w:p>
        </w:tc>
        <w:tc>
          <w:tcPr>
            <w:tcW w:w="1915" w:type="dxa"/>
          </w:tcPr>
          <w:p w14:paraId="39469072" w14:textId="77777777" w:rsidR="00477D1D" w:rsidRPr="00477D1D" w:rsidRDefault="00477D1D" w:rsidP="00477D1D"/>
        </w:tc>
        <w:tc>
          <w:tcPr>
            <w:tcW w:w="1916" w:type="dxa"/>
          </w:tcPr>
          <w:p w14:paraId="632044CC" w14:textId="77777777" w:rsidR="00477D1D" w:rsidRPr="00477D1D" w:rsidRDefault="00477D1D" w:rsidP="00477D1D"/>
        </w:tc>
      </w:tr>
      <w:tr w:rsidR="00477D1D" w14:paraId="2B22690D" w14:textId="77777777" w:rsidTr="009C1A28">
        <w:tc>
          <w:tcPr>
            <w:tcW w:w="1915" w:type="dxa"/>
            <w:vAlign w:val="bottom"/>
          </w:tcPr>
          <w:p w14:paraId="4FB2CFD1" w14:textId="617E22DD" w:rsidR="00477D1D" w:rsidRPr="00477D1D" w:rsidRDefault="00477D1D" w:rsidP="00477D1D">
            <w:r w:rsidRPr="00477D1D">
              <w:rPr>
                <w:szCs w:val="20"/>
              </w:rPr>
              <w:t>Нарушения на очите</w:t>
            </w:r>
          </w:p>
        </w:tc>
        <w:tc>
          <w:tcPr>
            <w:tcW w:w="1915" w:type="dxa"/>
          </w:tcPr>
          <w:p w14:paraId="19DB6EE1" w14:textId="77777777" w:rsidR="00477D1D" w:rsidRPr="00477D1D" w:rsidRDefault="00477D1D" w:rsidP="00477D1D"/>
        </w:tc>
        <w:tc>
          <w:tcPr>
            <w:tcW w:w="1915" w:type="dxa"/>
          </w:tcPr>
          <w:p w14:paraId="12395B13" w14:textId="77777777" w:rsidR="00477D1D" w:rsidRPr="00477D1D" w:rsidRDefault="00477D1D" w:rsidP="00477D1D"/>
        </w:tc>
        <w:tc>
          <w:tcPr>
            <w:tcW w:w="1915" w:type="dxa"/>
            <w:vAlign w:val="center"/>
          </w:tcPr>
          <w:p w14:paraId="3D679742" w14:textId="3F0C581E" w:rsidR="00477D1D" w:rsidRPr="00477D1D" w:rsidRDefault="00477D1D" w:rsidP="00477D1D">
            <w:r w:rsidRPr="00477D1D">
              <w:rPr>
                <w:szCs w:val="20"/>
              </w:rPr>
              <w:t>Възпаление на очите</w:t>
            </w:r>
          </w:p>
        </w:tc>
        <w:tc>
          <w:tcPr>
            <w:tcW w:w="1916" w:type="dxa"/>
          </w:tcPr>
          <w:p w14:paraId="4A229106" w14:textId="77777777" w:rsidR="00477D1D" w:rsidRPr="00477D1D" w:rsidRDefault="00477D1D" w:rsidP="00477D1D"/>
        </w:tc>
      </w:tr>
      <w:tr w:rsidR="00477D1D" w14:paraId="7F16B55C" w14:textId="77777777" w:rsidTr="009C1A28">
        <w:tc>
          <w:tcPr>
            <w:tcW w:w="1915" w:type="dxa"/>
          </w:tcPr>
          <w:p w14:paraId="6224D157" w14:textId="579D5CF3" w:rsidR="00477D1D" w:rsidRPr="00477D1D" w:rsidRDefault="00477D1D" w:rsidP="00477D1D">
            <w:r w:rsidRPr="00477D1D">
              <w:rPr>
                <w:szCs w:val="20"/>
              </w:rPr>
              <w:t>Стомашно- чревни нарушения*</w:t>
            </w:r>
          </w:p>
        </w:tc>
        <w:tc>
          <w:tcPr>
            <w:tcW w:w="1915" w:type="dxa"/>
            <w:vAlign w:val="center"/>
          </w:tcPr>
          <w:p w14:paraId="397FEA98" w14:textId="4B03BF40" w:rsidR="00477D1D" w:rsidRPr="00477D1D" w:rsidRDefault="00477D1D" w:rsidP="00477D1D">
            <w:r w:rsidRPr="00477D1D">
              <w:rPr>
                <w:szCs w:val="20"/>
              </w:rPr>
              <w:t>Езофагит, Гастрит, Гастроезофагеална рефлуксна болест, Диспепсия, Диария, Коремна болка, Гадене</w:t>
            </w:r>
          </w:p>
        </w:tc>
        <w:tc>
          <w:tcPr>
            <w:tcW w:w="1915" w:type="dxa"/>
            <w:vAlign w:val="bottom"/>
          </w:tcPr>
          <w:p w14:paraId="7B57A9F3" w14:textId="69CCE672" w:rsidR="00477D1D" w:rsidRPr="00477D1D" w:rsidRDefault="00477D1D" w:rsidP="00477D1D">
            <w:r w:rsidRPr="00477D1D">
              <w:rPr>
                <w:szCs w:val="20"/>
              </w:rPr>
              <w:t>Езофагит, включително улцерации на хранопровода или стриктури и дисфагия, повръщане, флатуленция</w:t>
            </w:r>
          </w:p>
        </w:tc>
        <w:tc>
          <w:tcPr>
            <w:tcW w:w="1915" w:type="dxa"/>
          </w:tcPr>
          <w:p w14:paraId="6D1FBC38" w14:textId="74B18857" w:rsidR="00477D1D" w:rsidRPr="00477D1D" w:rsidRDefault="00477D1D" w:rsidP="00477D1D">
            <w:r w:rsidRPr="00477D1D">
              <w:rPr>
                <w:szCs w:val="20"/>
              </w:rPr>
              <w:t>дуоденит</w:t>
            </w:r>
          </w:p>
        </w:tc>
        <w:tc>
          <w:tcPr>
            <w:tcW w:w="1916" w:type="dxa"/>
          </w:tcPr>
          <w:p w14:paraId="7584B4BD" w14:textId="77777777" w:rsidR="00477D1D" w:rsidRPr="00477D1D" w:rsidRDefault="00477D1D" w:rsidP="00477D1D"/>
        </w:tc>
      </w:tr>
      <w:tr w:rsidR="00477D1D" w14:paraId="57D78B03" w14:textId="77777777" w:rsidTr="009C1A28">
        <w:tc>
          <w:tcPr>
            <w:tcW w:w="1915" w:type="dxa"/>
          </w:tcPr>
          <w:p w14:paraId="2538909F" w14:textId="59C86525" w:rsidR="00477D1D" w:rsidRPr="00477D1D" w:rsidRDefault="00477D1D" w:rsidP="00477D1D">
            <w:r w:rsidRPr="00477D1D">
              <w:rPr>
                <w:szCs w:val="20"/>
              </w:rPr>
              <w:t>Нарушения на кожата и подкожната тъкан</w:t>
            </w:r>
          </w:p>
        </w:tc>
        <w:tc>
          <w:tcPr>
            <w:tcW w:w="1915" w:type="dxa"/>
          </w:tcPr>
          <w:p w14:paraId="0610E388" w14:textId="77DD19E0" w:rsidR="00477D1D" w:rsidRPr="00477D1D" w:rsidRDefault="00477D1D" w:rsidP="00477D1D">
            <w:r w:rsidRPr="00477D1D">
              <w:rPr>
                <w:szCs w:val="20"/>
              </w:rPr>
              <w:t>обрив</w:t>
            </w:r>
          </w:p>
        </w:tc>
        <w:tc>
          <w:tcPr>
            <w:tcW w:w="1915" w:type="dxa"/>
          </w:tcPr>
          <w:p w14:paraId="50F57B9F" w14:textId="77777777" w:rsidR="00477D1D" w:rsidRPr="00477D1D" w:rsidRDefault="00477D1D" w:rsidP="00477D1D"/>
        </w:tc>
        <w:tc>
          <w:tcPr>
            <w:tcW w:w="1915" w:type="dxa"/>
          </w:tcPr>
          <w:p w14:paraId="74946AD6" w14:textId="7836939E" w:rsidR="00477D1D" w:rsidRPr="00477D1D" w:rsidRDefault="00477D1D" w:rsidP="00477D1D">
            <w:r w:rsidRPr="00477D1D">
              <w:rPr>
                <w:szCs w:val="20"/>
              </w:rPr>
              <w:t>Ангиоедем, оток на лицето, уртикария</w:t>
            </w:r>
          </w:p>
        </w:tc>
        <w:tc>
          <w:tcPr>
            <w:tcW w:w="1916" w:type="dxa"/>
            <w:vAlign w:val="bottom"/>
          </w:tcPr>
          <w:p w14:paraId="60CA0E4E" w14:textId="77777777" w:rsidR="00477D1D" w:rsidRPr="00477D1D" w:rsidRDefault="00477D1D" w:rsidP="00477D1D">
            <w:r w:rsidRPr="00477D1D">
              <w:rPr>
                <w:szCs w:val="20"/>
              </w:rPr>
              <w:t xml:space="preserve">Синдром на </w:t>
            </w:r>
            <w:r w:rsidRPr="00477D1D">
              <w:rPr>
                <w:szCs w:val="20"/>
                <w:lang w:val="en-US"/>
              </w:rPr>
              <w:t>Stevens</w:t>
            </w:r>
            <w:r w:rsidRPr="00477D1D">
              <w:rPr>
                <w:szCs w:val="20"/>
                <w:lang w:val="ru-RU"/>
              </w:rPr>
              <w:t xml:space="preserve">- </w:t>
            </w:r>
            <w:r w:rsidRPr="00477D1D">
              <w:rPr>
                <w:szCs w:val="20"/>
                <w:lang w:val="en-US"/>
              </w:rPr>
              <w:t>Johnson</w:t>
            </w:r>
            <w:r w:rsidRPr="00477D1D">
              <w:rPr>
                <w:szCs w:val="20"/>
                <w:lang w:val="ru-RU"/>
              </w:rPr>
              <w:t>+,</w:t>
            </w:r>
          </w:p>
          <w:p w14:paraId="4293B48E" w14:textId="77777777" w:rsidR="00477D1D" w:rsidRPr="00477D1D" w:rsidRDefault="00477D1D" w:rsidP="00477D1D">
            <w:r w:rsidRPr="00477D1D">
              <w:rPr>
                <w:szCs w:val="20"/>
              </w:rPr>
              <w:t>Еритема мултиформе+</w:t>
            </w:r>
            <w:r w:rsidRPr="00477D1D">
              <w:rPr>
                <w:szCs w:val="20"/>
                <w:lang w:val="ru-RU"/>
              </w:rPr>
              <w:t>,</w:t>
            </w:r>
          </w:p>
          <w:p w14:paraId="7CD3790B" w14:textId="37828CD8" w:rsidR="00477D1D" w:rsidRPr="00477D1D" w:rsidRDefault="00477D1D" w:rsidP="00477D1D">
            <w:r w:rsidRPr="00477D1D">
              <w:rPr>
                <w:szCs w:val="20"/>
              </w:rPr>
              <w:t>Булозен дерматит</w:t>
            </w:r>
          </w:p>
        </w:tc>
      </w:tr>
      <w:tr w:rsidR="00477D1D" w14:paraId="60D19E13" w14:textId="77777777" w:rsidTr="009C1A28">
        <w:tc>
          <w:tcPr>
            <w:tcW w:w="1915" w:type="dxa"/>
          </w:tcPr>
          <w:p w14:paraId="02FCE136" w14:textId="26620B78" w:rsidR="00477D1D" w:rsidRPr="00477D1D" w:rsidRDefault="00477D1D" w:rsidP="00477D1D">
            <w:r w:rsidRPr="00477D1D">
              <w:rPr>
                <w:szCs w:val="20"/>
              </w:rPr>
              <w:t>Нарушения на мускулно- скелетната система, съединителната тъкан</w:t>
            </w:r>
          </w:p>
        </w:tc>
        <w:tc>
          <w:tcPr>
            <w:tcW w:w="1915" w:type="dxa"/>
            <w:vAlign w:val="center"/>
          </w:tcPr>
          <w:p w14:paraId="3A589668" w14:textId="1A5EBBA2" w:rsidR="00477D1D" w:rsidRPr="00477D1D" w:rsidRDefault="00477D1D" w:rsidP="00477D1D">
            <w:r w:rsidRPr="00477D1D">
              <w:rPr>
                <w:szCs w:val="20"/>
              </w:rPr>
              <w:t>Артралгия, Миалгия, Мускулно- скелетна болка, Мускулни крампи, Мускулно- скелетна скованост</w:t>
            </w:r>
          </w:p>
        </w:tc>
        <w:tc>
          <w:tcPr>
            <w:tcW w:w="1915" w:type="dxa"/>
          </w:tcPr>
          <w:p w14:paraId="738ED9B0" w14:textId="3F5102CE" w:rsidR="00477D1D" w:rsidRPr="00477D1D" w:rsidRDefault="00477D1D" w:rsidP="00477D1D">
            <w:r w:rsidRPr="00477D1D">
              <w:rPr>
                <w:szCs w:val="20"/>
              </w:rPr>
              <w:t>Болки в гърба</w:t>
            </w:r>
          </w:p>
        </w:tc>
        <w:tc>
          <w:tcPr>
            <w:tcW w:w="1915" w:type="dxa"/>
          </w:tcPr>
          <w:p w14:paraId="4A4237D6" w14:textId="3E2379F7" w:rsidR="00477D1D" w:rsidRPr="00477D1D" w:rsidRDefault="00477D1D" w:rsidP="00477D1D">
            <w:r w:rsidRPr="00477D1D">
              <w:rPr>
                <w:szCs w:val="20"/>
              </w:rPr>
              <w:t>Атипични субтрохантерн</w:t>
            </w:r>
            <w:r>
              <w:rPr>
                <w:szCs w:val="20"/>
              </w:rPr>
              <w:t>и и диафизни фрактури на фемура</w:t>
            </w:r>
            <w:r w:rsidRPr="00477D1D">
              <w:rPr>
                <w:szCs w:val="20"/>
              </w:rPr>
              <w:t>+</w:t>
            </w:r>
          </w:p>
        </w:tc>
        <w:tc>
          <w:tcPr>
            <w:tcW w:w="1916" w:type="dxa"/>
            <w:vAlign w:val="bottom"/>
          </w:tcPr>
          <w:p w14:paraId="77CF66A6" w14:textId="77777777" w:rsidR="00477D1D" w:rsidRPr="00477D1D" w:rsidRDefault="00477D1D" w:rsidP="00477D1D">
            <w:r w:rsidRPr="00477D1D">
              <w:rPr>
                <w:szCs w:val="20"/>
              </w:rPr>
              <w:t>Остеонекроза на челюстта*+</w:t>
            </w:r>
          </w:p>
          <w:p w14:paraId="6964F32B" w14:textId="10D1ED28" w:rsidR="00477D1D" w:rsidRPr="00477D1D" w:rsidRDefault="00477D1D" w:rsidP="00477D1D">
            <w:r w:rsidRPr="00477D1D">
              <w:rPr>
                <w:szCs w:val="20"/>
              </w:rPr>
              <w:t>остеонекроза на външния слухов проход (нежела</w:t>
            </w:r>
            <w:r>
              <w:rPr>
                <w:szCs w:val="20"/>
              </w:rPr>
              <w:t>на реакция на класа бисфосфонат).</w:t>
            </w:r>
          </w:p>
        </w:tc>
      </w:tr>
      <w:tr w:rsidR="00477D1D" w14:paraId="7A6EF799" w14:textId="77777777" w:rsidTr="009C1A28">
        <w:tc>
          <w:tcPr>
            <w:tcW w:w="1915" w:type="dxa"/>
            <w:vAlign w:val="bottom"/>
          </w:tcPr>
          <w:p w14:paraId="64AA167E" w14:textId="6161A1BC" w:rsidR="00477D1D" w:rsidRPr="00477D1D" w:rsidRDefault="00477D1D" w:rsidP="00477D1D">
            <w:r w:rsidRPr="00477D1D">
              <w:rPr>
                <w:szCs w:val="20"/>
              </w:rPr>
              <w:t>Общи нарушения и ефекти на мястото на приложение</w:t>
            </w:r>
          </w:p>
        </w:tc>
        <w:tc>
          <w:tcPr>
            <w:tcW w:w="1915" w:type="dxa"/>
            <w:vAlign w:val="center"/>
          </w:tcPr>
          <w:p w14:paraId="6C2DC693" w14:textId="798683F5" w:rsidR="00477D1D" w:rsidRPr="00477D1D" w:rsidRDefault="00477D1D" w:rsidP="00477D1D">
            <w:r w:rsidRPr="00477D1D">
              <w:rPr>
                <w:szCs w:val="20"/>
              </w:rPr>
              <w:t>Грипоподобно заболяване*</w:t>
            </w:r>
          </w:p>
        </w:tc>
        <w:tc>
          <w:tcPr>
            <w:tcW w:w="1915" w:type="dxa"/>
          </w:tcPr>
          <w:p w14:paraId="3327D756" w14:textId="388145F7" w:rsidR="00477D1D" w:rsidRPr="00477D1D" w:rsidRDefault="00477D1D" w:rsidP="00477D1D">
            <w:r w:rsidRPr="00477D1D">
              <w:rPr>
                <w:szCs w:val="20"/>
              </w:rPr>
              <w:t>умора</w:t>
            </w:r>
          </w:p>
        </w:tc>
        <w:tc>
          <w:tcPr>
            <w:tcW w:w="1915" w:type="dxa"/>
          </w:tcPr>
          <w:p w14:paraId="1A7CC14E" w14:textId="77777777" w:rsidR="00477D1D" w:rsidRPr="00477D1D" w:rsidRDefault="00477D1D" w:rsidP="00477D1D"/>
        </w:tc>
        <w:tc>
          <w:tcPr>
            <w:tcW w:w="1916" w:type="dxa"/>
          </w:tcPr>
          <w:p w14:paraId="3F10969E" w14:textId="77777777" w:rsidR="00477D1D" w:rsidRPr="00477D1D" w:rsidRDefault="00477D1D" w:rsidP="00477D1D"/>
        </w:tc>
      </w:tr>
    </w:tbl>
    <w:p w14:paraId="4F90E3FB" w14:textId="720AC17C" w:rsidR="00477D1D" w:rsidRDefault="00477D1D" w:rsidP="00477D1D"/>
    <w:p w14:paraId="5DBAE024"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*Вижте по-долу допълнителна информация</w:t>
      </w:r>
    </w:p>
    <w:p w14:paraId="454D9231"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+открито при постмаркетингово проучване</w:t>
      </w:r>
    </w:p>
    <w:p w14:paraId="548F4260" w14:textId="77777777" w:rsidR="00477D1D" w:rsidRPr="00477D1D" w:rsidRDefault="00477D1D" w:rsidP="00477D1D">
      <w:pPr>
        <w:spacing w:line="240" w:lineRule="auto"/>
        <w:rPr>
          <w:rFonts w:eastAsia="Times New Roman" w:cs="Arial"/>
          <w:color w:val="000000"/>
          <w:u w:val="single"/>
          <w:lang w:eastAsia="bg-BG"/>
        </w:rPr>
      </w:pPr>
    </w:p>
    <w:p w14:paraId="4BEE3349" w14:textId="3D85E42C" w:rsidR="00477D1D" w:rsidRPr="00477D1D" w:rsidRDefault="00477D1D" w:rsidP="00477D1D">
      <w:pPr>
        <w:spacing w:line="240" w:lineRule="auto"/>
        <w:rPr>
          <w:rFonts w:eastAsia="Times New Roman" w:cs="Arial"/>
        </w:rPr>
      </w:pPr>
      <w:r w:rsidRPr="00477D1D">
        <w:rPr>
          <w:rFonts w:eastAsia="Times New Roman" w:cs="Arial"/>
          <w:color w:val="000000"/>
          <w:u w:val="single"/>
          <w:lang w:eastAsia="bg-BG"/>
        </w:rPr>
        <w:t>Описание на избрани нежелани реакции</w:t>
      </w:r>
    </w:p>
    <w:p w14:paraId="46C98F29" w14:textId="77777777" w:rsidR="00477D1D" w:rsidRPr="00477D1D" w:rsidRDefault="00477D1D" w:rsidP="00477D1D">
      <w:pPr>
        <w:spacing w:line="240" w:lineRule="auto"/>
        <w:rPr>
          <w:rFonts w:eastAsia="Times New Roman" w:cs="Arial"/>
          <w:i/>
          <w:iCs/>
          <w:color w:val="000000"/>
          <w:u w:val="single"/>
          <w:lang w:eastAsia="bg-BG"/>
        </w:rPr>
      </w:pPr>
    </w:p>
    <w:p w14:paraId="0C3252A3" w14:textId="53678E43" w:rsidR="00477D1D" w:rsidRPr="00477D1D" w:rsidRDefault="00477D1D" w:rsidP="00477D1D">
      <w:pPr>
        <w:spacing w:line="240" w:lineRule="auto"/>
        <w:rPr>
          <w:rFonts w:eastAsia="Times New Roman" w:cs="Arial"/>
        </w:rPr>
      </w:pPr>
      <w:r w:rsidRPr="00477D1D">
        <w:rPr>
          <w:rFonts w:eastAsia="Times New Roman" w:cs="Arial"/>
          <w:i/>
          <w:iCs/>
          <w:color w:val="000000"/>
          <w:u w:val="single"/>
          <w:lang w:eastAsia="bg-BG"/>
        </w:rPr>
        <w:t>Стомашно-чревни реакции</w:t>
      </w:r>
    </w:p>
    <w:p w14:paraId="0198E5E6"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 xml:space="preserve">Пациенти с предхождаща анамнеза за стомашно-чревно заболяване, включително пациенти с пептична язва без скорошно кървене или хоспитализация, и пациенти с </w:t>
      </w:r>
      <w:r w:rsidRPr="00477D1D">
        <w:rPr>
          <w:rFonts w:eastAsia="Times New Roman" w:cs="Arial"/>
          <w:color w:val="000000"/>
          <w:lang w:eastAsia="bg-BG"/>
        </w:rPr>
        <w:lastRenderedPageBreak/>
        <w:t xml:space="preserve">диспепсия или рефлукс, контролирани медикаментозно, са били включени в клиничното изпитване с приложение веднъж месечно. При тези пациенти не е установена разлика в честотата на нежеланите събития от страна на горните отдели на стомашно-чревния тракт при на лечение с доза 150 </w:t>
      </w:r>
      <w:r w:rsidRPr="00477D1D">
        <w:rPr>
          <w:rFonts w:eastAsia="Times New Roman" w:cs="Arial"/>
          <w:color w:val="000000"/>
          <w:lang w:val="en-US"/>
        </w:rPr>
        <w:t>mg</w:t>
      </w:r>
      <w:r w:rsidRPr="00477D1D">
        <w:rPr>
          <w:rFonts w:eastAsia="Times New Roman" w:cs="Arial"/>
          <w:color w:val="000000"/>
          <w:lang w:val="ru-RU"/>
        </w:rPr>
        <w:t xml:space="preserve"> </w:t>
      </w:r>
      <w:r w:rsidRPr="00477D1D">
        <w:rPr>
          <w:rFonts w:eastAsia="Times New Roman" w:cs="Arial"/>
          <w:color w:val="000000"/>
          <w:lang w:eastAsia="bg-BG"/>
        </w:rPr>
        <w:t xml:space="preserve">веднъж месечно в сравнение с ежедневното приложение на 2,5 </w:t>
      </w:r>
      <w:r w:rsidRPr="00477D1D">
        <w:rPr>
          <w:rFonts w:eastAsia="Times New Roman" w:cs="Arial"/>
          <w:color w:val="000000"/>
          <w:lang w:val="en-US"/>
        </w:rPr>
        <w:t>mg</w:t>
      </w:r>
      <w:r w:rsidRPr="00477D1D">
        <w:rPr>
          <w:rFonts w:eastAsia="Times New Roman" w:cs="Arial"/>
          <w:color w:val="000000"/>
          <w:lang w:val="ru-RU"/>
        </w:rPr>
        <w:t>.</w:t>
      </w:r>
    </w:p>
    <w:p w14:paraId="7BE320A0" w14:textId="77777777" w:rsidR="00477D1D" w:rsidRPr="00477D1D" w:rsidRDefault="00477D1D" w:rsidP="00477D1D">
      <w:pPr>
        <w:spacing w:line="240" w:lineRule="auto"/>
        <w:rPr>
          <w:rFonts w:eastAsia="Times New Roman" w:cs="Arial"/>
          <w:i/>
          <w:iCs/>
          <w:color w:val="000000"/>
          <w:u w:val="single"/>
          <w:lang w:eastAsia="bg-BG"/>
        </w:rPr>
      </w:pPr>
    </w:p>
    <w:p w14:paraId="61B8623F" w14:textId="393330C7" w:rsidR="00477D1D" w:rsidRPr="00477D1D" w:rsidRDefault="00477D1D" w:rsidP="00477D1D">
      <w:pPr>
        <w:spacing w:line="240" w:lineRule="auto"/>
        <w:rPr>
          <w:rFonts w:eastAsia="Times New Roman" w:cs="Arial"/>
        </w:rPr>
      </w:pPr>
      <w:r w:rsidRPr="00477D1D">
        <w:rPr>
          <w:rFonts w:eastAsia="Times New Roman" w:cs="Arial"/>
          <w:i/>
          <w:iCs/>
          <w:color w:val="000000"/>
          <w:u w:val="single"/>
          <w:lang w:eastAsia="bg-BG"/>
        </w:rPr>
        <w:t>Грипоподобни симптоми</w:t>
      </w:r>
    </w:p>
    <w:p w14:paraId="799E05D8"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Грипоподобното заболяване включва събития, съобщавани като реакция в острата фаза или симптоми, включващи миалгия, артралгия, треска, студени тръпки, умора, гадене, загуба на апетит или болка в костите.</w:t>
      </w:r>
    </w:p>
    <w:p w14:paraId="635E7173" w14:textId="77777777" w:rsidR="00477D1D" w:rsidRPr="00477D1D" w:rsidRDefault="00477D1D" w:rsidP="00477D1D">
      <w:pPr>
        <w:spacing w:line="240" w:lineRule="auto"/>
        <w:rPr>
          <w:rFonts w:eastAsia="Times New Roman" w:cs="Arial"/>
          <w:i/>
          <w:iCs/>
          <w:color w:val="000000"/>
          <w:u w:val="single"/>
          <w:lang w:eastAsia="bg-BG"/>
        </w:rPr>
      </w:pPr>
    </w:p>
    <w:p w14:paraId="3E53178B" w14:textId="68E63A7B" w:rsidR="00477D1D" w:rsidRPr="00477D1D" w:rsidRDefault="00477D1D" w:rsidP="00477D1D">
      <w:pPr>
        <w:spacing w:line="240" w:lineRule="auto"/>
        <w:rPr>
          <w:rFonts w:eastAsia="Times New Roman" w:cs="Arial"/>
        </w:rPr>
      </w:pPr>
      <w:r w:rsidRPr="00477D1D">
        <w:rPr>
          <w:rFonts w:eastAsia="Times New Roman" w:cs="Arial"/>
          <w:i/>
          <w:iCs/>
          <w:color w:val="000000"/>
          <w:u w:val="single"/>
          <w:lang w:eastAsia="bg-BG"/>
        </w:rPr>
        <w:t>Остеонекроза на челюстта</w:t>
      </w:r>
    </w:p>
    <w:p w14:paraId="14BB14E1"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Съобщава се за случаи на остеонекроза на челюстта, основно при пациенти с карцином, лекувани с лекарствени продукти, потискащи костната резорбция, включително ибандронова киселина (вижте точка 4.4). Случаи на остеонекроза на челюстта са съобщавани по време на постмаркетинговия период на ибандронова киселина.</w:t>
      </w:r>
    </w:p>
    <w:p w14:paraId="4698A45C" w14:textId="77777777" w:rsidR="00477D1D" w:rsidRPr="00477D1D" w:rsidRDefault="00477D1D" w:rsidP="00477D1D">
      <w:pPr>
        <w:spacing w:line="240" w:lineRule="auto"/>
        <w:rPr>
          <w:rFonts w:eastAsia="Times New Roman" w:cs="Arial"/>
          <w:i/>
          <w:iCs/>
          <w:color w:val="000000"/>
          <w:u w:val="single"/>
          <w:lang w:eastAsia="bg-BG"/>
        </w:rPr>
      </w:pPr>
    </w:p>
    <w:p w14:paraId="681CA5FF" w14:textId="5969B02D" w:rsidR="00477D1D" w:rsidRPr="00477D1D" w:rsidRDefault="00477D1D" w:rsidP="00477D1D">
      <w:pPr>
        <w:spacing w:line="240" w:lineRule="auto"/>
        <w:rPr>
          <w:rFonts w:eastAsia="Times New Roman" w:cs="Arial"/>
        </w:rPr>
      </w:pPr>
      <w:r w:rsidRPr="00477D1D">
        <w:rPr>
          <w:rFonts w:eastAsia="Times New Roman" w:cs="Arial"/>
          <w:i/>
          <w:iCs/>
          <w:color w:val="000000"/>
          <w:u w:val="single"/>
          <w:lang w:eastAsia="bg-BG"/>
        </w:rPr>
        <w:t>Възпаление на очите</w:t>
      </w:r>
    </w:p>
    <w:p w14:paraId="2E191290"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Възпаление на очите като увеит, еписклерит и склерит са съобщавани при прием на ибандронова киселина. В някои случаи, тези събития не отшумяват след спиране на лечението с ибандронова киселина.</w:t>
      </w:r>
    </w:p>
    <w:p w14:paraId="35ECD30F" w14:textId="77777777" w:rsidR="00477D1D" w:rsidRPr="00477D1D" w:rsidRDefault="00477D1D" w:rsidP="00477D1D">
      <w:pPr>
        <w:spacing w:line="240" w:lineRule="auto"/>
        <w:rPr>
          <w:rFonts w:eastAsia="Times New Roman" w:cs="Arial"/>
          <w:i/>
          <w:iCs/>
          <w:color w:val="000000"/>
          <w:lang w:eastAsia="bg-BG"/>
        </w:rPr>
      </w:pPr>
    </w:p>
    <w:p w14:paraId="12E9D982" w14:textId="355917A5" w:rsidR="00477D1D" w:rsidRPr="00477D1D" w:rsidRDefault="00477D1D" w:rsidP="00477D1D">
      <w:pPr>
        <w:spacing w:line="240" w:lineRule="auto"/>
        <w:rPr>
          <w:rFonts w:eastAsia="Times New Roman" w:cs="Arial"/>
        </w:rPr>
      </w:pPr>
      <w:r w:rsidRPr="00477D1D">
        <w:rPr>
          <w:rFonts w:eastAsia="Times New Roman" w:cs="Arial"/>
          <w:i/>
          <w:iCs/>
          <w:color w:val="000000"/>
          <w:lang w:eastAsia="bg-BG"/>
        </w:rPr>
        <w:t>Анафилактична реакция / шок</w:t>
      </w:r>
    </w:p>
    <w:p w14:paraId="304A16BC"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Случаи на анафилактична реакция/шок, включваща фатални събития са съобщавани при пациенти, лекувани интравенозно с ибандронова киселина.</w:t>
      </w:r>
    </w:p>
    <w:p w14:paraId="3A8C59AD" w14:textId="77777777" w:rsidR="00477D1D" w:rsidRPr="00477D1D" w:rsidRDefault="00477D1D" w:rsidP="00477D1D">
      <w:pPr>
        <w:spacing w:line="240" w:lineRule="auto"/>
        <w:rPr>
          <w:rFonts w:eastAsia="Times New Roman" w:cs="Arial"/>
          <w:color w:val="000000"/>
          <w:u w:val="single"/>
          <w:lang w:eastAsia="bg-BG"/>
        </w:rPr>
      </w:pPr>
    </w:p>
    <w:p w14:paraId="25570137" w14:textId="0179D927" w:rsidR="00477D1D" w:rsidRPr="00477D1D" w:rsidRDefault="00477D1D" w:rsidP="00477D1D">
      <w:pPr>
        <w:spacing w:line="240" w:lineRule="auto"/>
        <w:rPr>
          <w:rFonts w:eastAsia="Times New Roman" w:cs="Arial"/>
        </w:rPr>
      </w:pPr>
      <w:r w:rsidRPr="00477D1D">
        <w:rPr>
          <w:rFonts w:eastAsia="Times New Roman" w:cs="Arial"/>
          <w:color w:val="000000"/>
          <w:u w:val="single"/>
          <w:lang w:eastAsia="bg-BG"/>
        </w:rPr>
        <w:t>Съобщаване на подозирани нежелани реакции</w:t>
      </w:r>
    </w:p>
    <w:p w14:paraId="15D6696F"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D97819E"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Изпълнителна агенция по лекарствата</w:t>
      </w:r>
    </w:p>
    <w:p w14:paraId="18547061"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ул.,Дамян Груев” №8</w:t>
      </w:r>
    </w:p>
    <w:p w14:paraId="7A67F4E1"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1303 София</w:t>
      </w:r>
    </w:p>
    <w:p w14:paraId="012A4C0F"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тел.:+3592 8903417</w:t>
      </w:r>
    </w:p>
    <w:p w14:paraId="4EB499B7" w14:textId="77777777" w:rsidR="00477D1D" w:rsidRPr="00477D1D" w:rsidRDefault="00477D1D" w:rsidP="00477D1D">
      <w:pPr>
        <w:spacing w:line="240" w:lineRule="auto"/>
        <w:rPr>
          <w:rFonts w:eastAsia="Times New Roman" w:cs="Arial"/>
        </w:rPr>
      </w:pPr>
      <w:r w:rsidRPr="00477D1D">
        <w:rPr>
          <w:rFonts w:eastAsia="Times New Roman" w:cs="Arial"/>
          <w:color w:val="000000"/>
          <w:lang w:eastAsia="bg-BG"/>
        </w:rPr>
        <w:t xml:space="preserve">уебсайт: </w:t>
      </w:r>
      <w:hyperlink r:id="rId5" w:history="1">
        <w:r w:rsidRPr="00477D1D">
          <w:rPr>
            <w:rFonts w:eastAsia="Times New Roman" w:cs="Arial"/>
            <w:color w:val="000000"/>
            <w:u w:val="single"/>
            <w:lang w:val="en-US"/>
          </w:rPr>
          <w:t>www</w:t>
        </w:r>
        <w:r w:rsidRPr="00477D1D">
          <w:rPr>
            <w:rFonts w:eastAsia="Times New Roman" w:cs="Arial"/>
            <w:color w:val="000000"/>
            <w:u w:val="single"/>
            <w:lang w:val="ru-RU"/>
          </w:rPr>
          <w:t>.</w:t>
        </w:r>
        <w:proofErr w:type="spellStart"/>
        <w:r w:rsidRPr="00477D1D">
          <w:rPr>
            <w:rFonts w:eastAsia="Times New Roman" w:cs="Arial"/>
            <w:color w:val="000000"/>
            <w:u w:val="single"/>
            <w:lang w:val="en-US"/>
          </w:rPr>
          <w:t>bda</w:t>
        </w:r>
        <w:proofErr w:type="spellEnd"/>
        <w:r w:rsidRPr="00477D1D">
          <w:rPr>
            <w:rFonts w:eastAsia="Times New Roman" w:cs="Arial"/>
            <w:color w:val="000000"/>
            <w:u w:val="single"/>
            <w:lang w:val="ru-RU"/>
          </w:rPr>
          <w:t>.</w:t>
        </w:r>
        <w:proofErr w:type="spellStart"/>
        <w:r w:rsidRPr="00477D1D">
          <w:rPr>
            <w:rFonts w:eastAsia="Times New Roman" w:cs="Arial"/>
            <w:color w:val="000000"/>
            <w:u w:val="single"/>
            <w:lang w:val="en-US"/>
          </w:rPr>
          <w:t>bg</w:t>
        </w:r>
        <w:proofErr w:type="spellEnd"/>
      </w:hyperlink>
    </w:p>
    <w:p w14:paraId="50B63D42" w14:textId="7A58F9EB" w:rsidR="00477D1D" w:rsidRPr="00477D1D" w:rsidRDefault="00477D1D" w:rsidP="00477D1D"/>
    <w:p w14:paraId="5A87DBA3" w14:textId="715AF6D5" w:rsidR="007122AD" w:rsidRDefault="002C50EE" w:rsidP="00936AD0">
      <w:pPr>
        <w:pStyle w:val="Heading2"/>
      </w:pPr>
      <w:r>
        <w:t>4.9. Предозиране</w:t>
      </w:r>
    </w:p>
    <w:p w14:paraId="49BC3919" w14:textId="54E74754" w:rsidR="00477D1D" w:rsidRDefault="00477D1D" w:rsidP="00477D1D"/>
    <w:p w14:paraId="3BB5DB4F" w14:textId="77777777" w:rsidR="00477D1D" w:rsidRPr="00477D1D" w:rsidRDefault="00477D1D" w:rsidP="00477D1D">
      <w:pPr>
        <w:rPr>
          <w:sz w:val="24"/>
          <w:szCs w:val="24"/>
        </w:rPr>
      </w:pPr>
      <w:r w:rsidRPr="00477D1D">
        <w:rPr>
          <w:lang w:eastAsia="bg-BG"/>
        </w:rPr>
        <w:t>Няма специфична информация за лечение при предозиране с Ибандронова киселина.</w:t>
      </w:r>
    </w:p>
    <w:p w14:paraId="47A833C9" w14:textId="4AAB45AF" w:rsidR="00477D1D" w:rsidRPr="00477D1D" w:rsidRDefault="00477D1D" w:rsidP="00477D1D">
      <w:r w:rsidRPr="00477D1D">
        <w:rPr>
          <w:lang w:eastAsia="bg-BG"/>
        </w:rPr>
        <w:t>Въз основа на познаването на този клас съединения обаче, предозиране при перорално приложение може да доведе до нежелани реакции от страна на горните отдели на стомашно-чревния тракт (като стомашно разстройство, диспепсия, езофагит, гастрит или язва) или хипокалциемия. В тези случаи трябва да се приема мляко или антиациди за свързване с ибандронова кис</w:t>
      </w:r>
      <w:r w:rsidRPr="00477D1D">
        <w:rPr>
          <w:u w:val="single"/>
          <w:lang w:eastAsia="bg-BG"/>
        </w:rPr>
        <w:t>елина</w:t>
      </w:r>
      <w:r w:rsidRPr="00477D1D">
        <w:rPr>
          <w:lang w:eastAsia="bg-BG"/>
        </w:rPr>
        <w:t>, а нежеланите реакции да се лекуват симптоматично. Поради риск от дразнене на хранопровода, не трябва да се предизвиква повръщане и пациентът трябва да остане напълно изправен.</w:t>
      </w:r>
    </w:p>
    <w:p w14:paraId="02081B24" w14:textId="1F46E296" w:rsidR="00395555" w:rsidRPr="00395555" w:rsidRDefault="002C50EE" w:rsidP="008A6AF2">
      <w:pPr>
        <w:pStyle w:val="Heading1"/>
      </w:pPr>
      <w:r>
        <w:lastRenderedPageBreak/>
        <w:t>5. ФАРМАКОЛОГИЧНИ СВОЙСТВА</w:t>
      </w:r>
    </w:p>
    <w:p w14:paraId="7DE36AC8" w14:textId="4278B09F" w:rsidR="00B6672E" w:rsidRDefault="002C50EE" w:rsidP="00936AD0">
      <w:pPr>
        <w:pStyle w:val="Heading2"/>
      </w:pPr>
      <w:r>
        <w:t>5.1. Фармакодинамични свойства</w:t>
      </w:r>
    </w:p>
    <w:p w14:paraId="2B1C8E2B" w14:textId="0186C943" w:rsidR="00477D1D" w:rsidRDefault="00477D1D" w:rsidP="00477D1D"/>
    <w:p w14:paraId="16816CC2"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Фармакотерапевтична група: Лекарствени продукти за лечение на костни заболявания, Бифосфонати, АТС код: М05В А06</w:t>
      </w:r>
    </w:p>
    <w:p w14:paraId="74FA3D02" w14:textId="77777777" w:rsidR="00477D1D" w:rsidRPr="00477D1D" w:rsidRDefault="00477D1D" w:rsidP="00477D1D">
      <w:pPr>
        <w:spacing w:line="240" w:lineRule="auto"/>
        <w:rPr>
          <w:rFonts w:eastAsia="Times New Roman" w:cs="Arial"/>
          <w:i/>
          <w:iCs/>
          <w:color w:val="000000"/>
          <w:szCs w:val="20"/>
          <w:lang w:eastAsia="bg-BG"/>
        </w:rPr>
      </w:pPr>
    </w:p>
    <w:p w14:paraId="7E36150E" w14:textId="6839302E" w:rsidR="00477D1D" w:rsidRPr="00477D1D" w:rsidRDefault="00477D1D" w:rsidP="00477D1D">
      <w:pPr>
        <w:spacing w:line="240" w:lineRule="auto"/>
        <w:rPr>
          <w:rFonts w:eastAsia="Times New Roman" w:cs="Arial"/>
          <w:sz w:val="28"/>
          <w:szCs w:val="24"/>
        </w:rPr>
      </w:pPr>
      <w:r w:rsidRPr="00477D1D">
        <w:rPr>
          <w:rFonts w:eastAsia="Times New Roman" w:cs="Arial"/>
          <w:i/>
          <w:iCs/>
          <w:color w:val="000000"/>
          <w:szCs w:val="20"/>
          <w:lang w:eastAsia="bg-BG"/>
        </w:rPr>
        <w:t>Механизъм на действие</w:t>
      </w:r>
    </w:p>
    <w:p w14:paraId="7BD2BE55"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Ибандроновата киселина е високоактивен бифосфонат, принадлежащ към азот-съдържащата група бифосфонати, които действат селективно върху костната тъкан и специфично инхибират остеокластната активност, без да повлиява директно формирането на костите. Тя не повлиява набирането на остеокластите. Ибандроновата киселина води до прогресивно нетно натрупване на костна маса и до намалена честота на фрактурите чрез потискане на повишената костна обмяна до предменопаузни нива при жени в постменопауза.</w:t>
      </w:r>
    </w:p>
    <w:p w14:paraId="01EA078F" w14:textId="77777777" w:rsidR="00477D1D" w:rsidRPr="00477D1D" w:rsidRDefault="00477D1D" w:rsidP="00477D1D">
      <w:pPr>
        <w:spacing w:line="240" w:lineRule="auto"/>
        <w:rPr>
          <w:rFonts w:eastAsia="Times New Roman" w:cs="Arial"/>
          <w:i/>
          <w:iCs/>
          <w:color w:val="000000"/>
          <w:szCs w:val="20"/>
          <w:lang w:eastAsia="bg-BG"/>
        </w:rPr>
      </w:pPr>
    </w:p>
    <w:p w14:paraId="5EDCB3A5" w14:textId="3F036FEF" w:rsidR="00477D1D" w:rsidRPr="00477D1D" w:rsidRDefault="00477D1D" w:rsidP="00477D1D">
      <w:pPr>
        <w:spacing w:line="240" w:lineRule="auto"/>
        <w:rPr>
          <w:rFonts w:eastAsia="Times New Roman" w:cs="Arial"/>
          <w:sz w:val="28"/>
          <w:szCs w:val="24"/>
        </w:rPr>
      </w:pPr>
      <w:r w:rsidRPr="00477D1D">
        <w:rPr>
          <w:rFonts w:eastAsia="Times New Roman" w:cs="Arial"/>
          <w:i/>
          <w:iCs/>
          <w:color w:val="000000"/>
          <w:szCs w:val="20"/>
          <w:lang w:eastAsia="bg-BG"/>
        </w:rPr>
        <w:t>Фармакодинамнчни ефекти</w:t>
      </w:r>
    </w:p>
    <w:p w14:paraId="53E4A904"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Фармакодинамичното действие на ибандроновата киселина е инхибиране на костната резорбция. </w:t>
      </w:r>
      <w:r w:rsidRPr="00477D1D">
        <w:rPr>
          <w:rFonts w:eastAsia="Times New Roman" w:cs="Arial"/>
          <w:i/>
          <w:iCs/>
          <w:color w:val="000000"/>
          <w:szCs w:val="20"/>
          <w:lang w:val="en-US"/>
        </w:rPr>
        <w:t>In</w:t>
      </w:r>
      <w:r w:rsidRPr="00477D1D">
        <w:rPr>
          <w:rFonts w:eastAsia="Times New Roman" w:cs="Arial"/>
          <w:i/>
          <w:iCs/>
          <w:color w:val="000000"/>
          <w:szCs w:val="20"/>
          <w:lang w:val="ru-RU"/>
        </w:rPr>
        <w:t xml:space="preserve"> </w:t>
      </w:r>
      <w:r w:rsidRPr="00477D1D">
        <w:rPr>
          <w:rFonts w:eastAsia="Times New Roman" w:cs="Arial"/>
          <w:i/>
          <w:iCs/>
          <w:color w:val="000000"/>
          <w:szCs w:val="20"/>
          <w:lang w:val="en-US"/>
        </w:rPr>
        <w:t>vivo</w:t>
      </w:r>
      <w:r w:rsidRPr="00477D1D">
        <w:rPr>
          <w:rFonts w:eastAsia="Times New Roman" w:cs="Arial"/>
          <w:color w:val="000000"/>
          <w:szCs w:val="20"/>
          <w:lang w:val="ru-RU"/>
        </w:rPr>
        <w:t xml:space="preserve"> </w:t>
      </w:r>
      <w:r w:rsidRPr="00477D1D">
        <w:rPr>
          <w:rFonts w:eastAsia="Times New Roman" w:cs="Arial"/>
          <w:color w:val="000000"/>
          <w:szCs w:val="20"/>
          <w:lang w:eastAsia="bg-BG"/>
        </w:rPr>
        <w:t>ибандроновата киселина предотвратява експериментално предизвикана костна деструкция, причинена от преустановяване на функциите на половите жлези, приложението на ретиноиди, тумори или туморни екстракти. В млади (бързо растящи) плъхове ендогенната костна резорбция също е инхибирана, което води до повишение на нормалната костна маса в сравнение с нетретирани животни.</w:t>
      </w:r>
    </w:p>
    <w:p w14:paraId="0634E3C3"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Експериментални модели на животни потвърждават, че ибандроновата киселина е високо активен инхибитор на остеокластната активност. Няма данни за увредена минерализация при растящи плъхове дори в дози над 5 000 пъти по-големи от дозата, необходима за лечение на остеопороза.</w:t>
      </w:r>
    </w:p>
    <w:p w14:paraId="06F7D2ED" w14:textId="77777777" w:rsidR="00477D1D" w:rsidRPr="00477D1D" w:rsidRDefault="00477D1D" w:rsidP="00477D1D">
      <w:pPr>
        <w:spacing w:line="240" w:lineRule="auto"/>
        <w:rPr>
          <w:rFonts w:eastAsia="Times New Roman" w:cs="Arial"/>
          <w:color w:val="000000"/>
          <w:szCs w:val="20"/>
          <w:lang w:eastAsia="bg-BG"/>
        </w:rPr>
      </w:pPr>
    </w:p>
    <w:p w14:paraId="36125322" w14:textId="0A30A35D"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Продължителното ежедневно и интермитентно (с дълги интервали без лекарство) прилагане при плъхове, кучета и маймуни е било свързано с образуването на нова костна тъкан с нормално качество и същата или повишена механична здравина дори при дози в токсичните граници. При хората ефикасността на ибандроновата киселина при ежедневно и интермитентно приложение с интервал без лекарство 9-10 седмици е потвърдена от клинично изпитване </w:t>
      </w:r>
      <w:r w:rsidRPr="00477D1D">
        <w:rPr>
          <w:rFonts w:eastAsia="Times New Roman" w:cs="Arial"/>
          <w:color w:val="000000"/>
          <w:szCs w:val="20"/>
          <w:lang w:val="ru-RU"/>
        </w:rPr>
        <w:t>(</w:t>
      </w:r>
      <w:r w:rsidRPr="00477D1D">
        <w:rPr>
          <w:rFonts w:eastAsia="Times New Roman" w:cs="Arial"/>
          <w:color w:val="000000"/>
          <w:szCs w:val="20"/>
          <w:lang w:val="en-US"/>
        </w:rPr>
        <w:t>MF</w:t>
      </w:r>
      <w:r w:rsidRPr="00477D1D">
        <w:rPr>
          <w:rFonts w:eastAsia="Times New Roman" w:cs="Arial"/>
          <w:color w:val="000000"/>
          <w:szCs w:val="20"/>
          <w:lang w:val="ru-RU"/>
        </w:rPr>
        <w:t xml:space="preserve"> </w:t>
      </w:r>
      <w:r w:rsidRPr="00477D1D">
        <w:rPr>
          <w:rFonts w:eastAsia="Times New Roman" w:cs="Arial"/>
          <w:color w:val="000000"/>
          <w:szCs w:val="20"/>
          <w:lang w:eastAsia="bg-BG"/>
        </w:rPr>
        <w:t>4411), при което е доказана ефикасността на ибандроновата киселина за предпазване от фрактури.</w:t>
      </w:r>
    </w:p>
    <w:p w14:paraId="3E0CF582" w14:textId="77777777" w:rsidR="00477D1D" w:rsidRPr="00477D1D" w:rsidRDefault="00477D1D" w:rsidP="00477D1D">
      <w:pPr>
        <w:spacing w:line="240" w:lineRule="auto"/>
        <w:rPr>
          <w:rFonts w:eastAsia="Times New Roman" w:cs="Arial"/>
          <w:color w:val="000000"/>
          <w:szCs w:val="20"/>
          <w:lang w:eastAsia="bg-BG"/>
        </w:rPr>
      </w:pPr>
    </w:p>
    <w:p w14:paraId="780C0807" w14:textId="6C6371AD"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 експериментални модели с опитни животни ибандроновата киселина предизвиква биохимични промени, показателни за доза-зависимо инхибиране на костната резорбция, включително потискане на биохимичните маркери в урината за разграждане на костния колаген (като дезоксипиридинолин и кръстосано-свързани </w:t>
      </w:r>
      <w:r w:rsidRPr="00477D1D">
        <w:rPr>
          <w:rFonts w:eastAsia="Times New Roman" w:cs="Arial"/>
          <w:color w:val="000000"/>
          <w:szCs w:val="20"/>
          <w:lang w:val="en-US"/>
        </w:rPr>
        <w:t>N</w:t>
      </w:r>
      <w:r w:rsidRPr="00477D1D">
        <w:rPr>
          <w:rFonts w:eastAsia="Times New Roman" w:cs="Arial"/>
          <w:color w:val="000000"/>
          <w:szCs w:val="20"/>
          <w:lang w:eastAsia="bg-BG"/>
        </w:rPr>
        <w:t xml:space="preserve">-телопептиди на колаген тип </w:t>
      </w:r>
      <w:r w:rsidRPr="00477D1D">
        <w:rPr>
          <w:rFonts w:eastAsia="Times New Roman" w:cs="Arial"/>
          <w:color w:val="000000"/>
          <w:szCs w:val="20"/>
          <w:lang w:val="en-US"/>
        </w:rPr>
        <w:t>I</w:t>
      </w:r>
      <w:r w:rsidRPr="00477D1D">
        <w:rPr>
          <w:rFonts w:eastAsia="Times New Roman" w:cs="Arial"/>
          <w:color w:val="000000"/>
          <w:szCs w:val="20"/>
          <w:lang w:val="ru-RU"/>
        </w:rPr>
        <w:t xml:space="preserve"> (</w:t>
      </w:r>
      <w:r w:rsidRPr="00477D1D">
        <w:rPr>
          <w:rFonts w:eastAsia="Times New Roman" w:cs="Arial"/>
          <w:color w:val="000000"/>
          <w:szCs w:val="20"/>
          <w:lang w:val="en-US"/>
        </w:rPr>
        <w:t>NTX</w:t>
      </w:r>
      <w:r w:rsidRPr="00477D1D">
        <w:rPr>
          <w:rFonts w:eastAsia="Times New Roman" w:cs="Arial"/>
          <w:color w:val="000000"/>
          <w:szCs w:val="20"/>
          <w:lang w:val="ru-RU"/>
        </w:rPr>
        <w:t>)).</w:t>
      </w:r>
    </w:p>
    <w:p w14:paraId="55E9E250" w14:textId="77777777" w:rsidR="00477D1D" w:rsidRPr="00477D1D" w:rsidRDefault="00477D1D" w:rsidP="00477D1D">
      <w:pPr>
        <w:spacing w:line="240" w:lineRule="auto"/>
        <w:rPr>
          <w:rFonts w:eastAsia="Times New Roman" w:cs="Arial"/>
          <w:color w:val="000000"/>
          <w:szCs w:val="20"/>
          <w:lang w:eastAsia="bg-BG"/>
        </w:rPr>
      </w:pPr>
    </w:p>
    <w:p w14:paraId="009CFC18" w14:textId="12335253"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 едно проучване фаза I за биоеквивалентност, проведено при 72 жени в постменопауза, получили перорално общо четири дози от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през 28 дни, инхибирането на серумния СТХ след първата доза е наблюдавано още 24 часа след приема на дозата (средна стойност на инхибиране 28 %), като средното максимално инхибиране (69 %) е наблюдавано 6 дни по-късно. След третата и четвъртата доза средното максимално инхибиране 6 дни след приема на дозата е било 74 % с намаление до средно инхибиране от 56 %, наблюдавано 28 дни след четвъртата доза. При прекратяване на приема подтискането на биохимичните маркери за костна резорбция се губи.</w:t>
      </w:r>
    </w:p>
    <w:p w14:paraId="638687CB" w14:textId="77777777" w:rsidR="00477D1D" w:rsidRPr="00477D1D" w:rsidRDefault="00477D1D" w:rsidP="00477D1D">
      <w:pPr>
        <w:spacing w:line="240" w:lineRule="auto"/>
        <w:rPr>
          <w:rFonts w:eastAsia="Times New Roman" w:cs="Arial"/>
          <w:i/>
          <w:iCs/>
          <w:color w:val="000000"/>
          <w:szCs w:val="20"/>
          <w:lang w:eastAsia="bg-BG"/>
        </w:rPr>
      </w:pPr>
    </w:p>
    <w:p w14:paraId="217FC876" w14:textId="089BFEB1" w:rsidR="00477D1D" w:rsidRPr="00477D1D" w:rsidRDefault="00477D1D" w:rsidP="00477D1D">
      <w:pPr>
        <w:spacing w:line="240" w:lineRule="auto"/>
        <w:rPr>
          <w:rFonts w:eastAsia="Times New Roman" w:cs="Arial"/>
          <w:sz w:val="28"/>
          <w:szCs w:val="24"/>
        </w:rPr>
      </w:pPr>
      <w:r w:rsidRPr="00477D1D">
        <w:rPr>
          <w:rFonts w:eastAsia="Times New Roman" w:cs="Arial"/>
          <w:i/>
          <w:iCs/>
          <w:color w:val="000000"/>
          <w:szCs w:val="20"/>
          <w:lang w:eastAsia="bg-BG"/>
        </w:rPr>
        <w:lastRenderedPageBreak/>
        <w:t>Клинична ефикасност</w:t>
      </w:r>
    </w:p>
    <w:p w14:paraId="3E3A22FF"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Отделните рискови фактори, като напр. ниска костна минерална плътност </w:t>
      </w:r>
      <w:r w:rsidRPr="00477D1D">
        <w:rPr>
          <w:rFonts w:eastAsia="Times New Roman" w:cs="Arial"/>
          <w:color w:val="000000"/>
          <w:szCs w:val="20"/>
          <w:lang w:val="ru-RU"/>
        </w:rPr>
        <w:t>(</w:t>
      </w:r>
      <w:r w:rsidRPr="00477D1D">
        <w:rPr>
          <w:rFonts w:eastAsia="Times New Roman" w:cs="Arial"/>
          <w:color w:val="000000"/>
          <w:szCs w:val="20"/>
          <w:lang w:val="en-US"/>
        </w:rPr>
        <w:t>K</w:t>
      </w:r>
      <w:r w:rsidRPr="00477D1D">
        <w:rPr>
          <w:rFonts w:eastAsia="Times New Roman" w:cs="Arial"/>
          <w:color w:val="000000"/>
          <w:szCs w:val="20"/>
          <w:lang w:eastAsia="bg-BG"/>
        </w:rPr>
        <w:t>МП</w:t>
      </w:r>
      <w:r w:rsidRPr="00477D1D">
        <w:rPr>
          <w:rFonts w:eastAsia="Times New Roman" w:cs="Arial"/>
          <w:color w:val="000000"/>
          <w:szCs w:val="20"/>
          <w:lang w:val="ru-RU"/>
        </w:rPr>
        <w:t>/(</w:t>
      </w:r>
      <w:r w:rsidRPr="00477D1D">
        <w:rPr>
          <w:rFonts w:eastAsia="Times New Roman" w:cs="Arial"/>
          <w:color w:val="000000"/>
          <w:szCs w:val="20"/>
          <w:lang w:val="en-US"/>
        </w:rPr>
        <w:t>BMD</w:t>
      </w:r>
      <w:r w:rsidRPr="00477D1D">
        <w:rPr>
          <w:rFonts w:eastAsia="Times New Roman" w:cs="Arial"/>
          <w:color w:val="000000"/>
          <w:szCs w:val="20"/>
          <w:lang w:val="ru-RU"/>
        </w:rPr>
        <w:t xml:space="preserve">), </w:t>
      </w:r>
      <w:r w:rsidRPr="00477D1D">
        <w:rPr>
          <w:rFonts w:eastAsia="Times New Roman" w:cs="Arial"/>
          <w:color w:val="000000"/>
          <w:szCs w:val="20"/>
          <w:lang w:eastAsia="bg-BG"/>
        </w:rPr>
        <w:t>възраст, наличие на предишни фрактури, фамилна анамнеза за фрактури, висока костна обмяна и нисък индекс на телесна маса трябва да се имат предвид при определяне на жените с пови</w:t>
      </w:r>
      <w:r w:rsidRPr="00477D1D">
        <w:rPr>
          <w:rFonts w:eastAsia="Times New Roman" w:cs="Arial"/>
          <w:color w:val="000000"/>
          <w:szCs w:val="20"/>
          <w:u w:val="single"/>
          <w:lang w:eastAsia="bg-BG"/>
        </w:rPr>
        <w:t>шен ри</w:t>
      </w:r>
      <w:r w:rsidRPr="00477D1D">
        <w:rPr>
          <w:rFonts w:eastAsia="Times New Roman" w:cs="Arial"/>
          <w:color w:val="000000"/>
          <w:szCs w:val="20"/>
          <w:lang w:eastAsia="bg-BG"/>
        </w:rPr>
        <w:t>ск от фрактури, дължащи се на остеопороза.</w:t>
      </w:r>
    </w:p>
    <w:p w14:paraId="575D6498" w14:textId="77777777" w:rsidR="00477D1D" w:rsidRPr="00477D1D" w:rsidRDefault="00477D1D" w:rsidP="00477D1D">
      <w:pPr>
        <w:spacing w:line="240" w:lineRule="auto"/>
        <w:rPr>
          <w:rFonts w:eastAsia="Times New Roman" w:cs="Arial"/>
          <w:sz w:val="28"/>
          <w:szCs w:val="24"/>
        </w:rPr>
      </w:pPr>
    </w:p>
    <w:p w14:paraId="2AE3C750" w14:textId="3B145921" w:rsidR="00477D1D" w:rsidRPr="00477D1D" w:rsidRDefault="00477D1D" w:rsidP="00477D1D">
      <w:pPr>
        <w:rPr>
          <w:rFonts w:eastAsia="Times New Roman" w:cs="Arial"/>
          <w:b/>
          <w:bCs/>
          <w:color w:val="000000"/>
          <w:szCs w:val="20"/>
          <w:u w:val="single"/>
          <w:lang w:eastAsia="bg-BG"/>
        </w:rPr>
      </w:pPr>
      <w:r w:rsidRPr="00477D1D">
        <w:rPr>
          <w:rFonts w:eastAsia="Times New Roman" w:cs="Arial"/>
          <w:b/>
          <w:bCs/>
          <w:color w:val="000000"/>
          <w:szCs w:val="20"/>
          <w:u w:val="single"/>
          <w:lang w:eastAsia="bg-BG"/>
        </w:rPr>
        <w:t xml:space="preserve">Ибандронова киселина 150 </w:t>
      </w:r>
      <w:r w:rsidRPr="00477D1D">
        <w:rPr>
          <w:rFonts w:eastAsia="Times New Roman" w:cs="Arial"/>
          <w:b/>
          <w:bCs/>
          <w:color w:val="000000"/>
          <w:szCs w:val="20"/>
          <w:u w:val="single"/>
          <w:lang w:val="en-US"/>
        </w:rPr>
        <w:t>mg</w:t>
      </w:r>
      <w:r w:rsidRPr="00477D1D">
        <w:rPr>
          <w:rFonts w:eastAsia="Times New Roman" w:cs="Arial"/>
          <w:b/>
          <w:bCs/>
          <w:color w:val="000000"/>
          <w:szCs w:val="20"/>
          <w:u w:val="single"/>
          <w:lang w:val="ru-RU"/>
        </w:rPr>
        <w:t xml:space="preserve"> </w:t>
      </w:r>
      <w:r w:rsidRPr="00477D1D">
        <w:rPr>
          <w:rFonts w:eastAsia="Times New Roman" w:cs="Arial"/>
          <w:b/>
          <w:bCs/>
          <w:color w:val="000000"/>
          <w:szCs w:val="20"/>
          <w:u w:val="single"/>
          <w:lang w:eastAsia="bg-BG"/>
        </w:rPr>
        <w:t>веднъж месечно</w:t>
      </w:r>
    </w:p>
    <w:p w14:paraId="16AC0D6C" w14:textId="618BB82E" w:rsidR="00477D1D" w:rsidRPr="00477D1D" w:rsidRDefault="00477D1D" w:rsidP="00477D1D">
      <w:pPr>
        <w:rPr>
          <w:rFonts w:eastAsia="Times New Roman" w:cs="Arial"/>
          <w:b/>
          <w:bCs/>
          <w:color w:val="000000"/>
          <w:szCs w:val="20"/>
          <w:u w:val="single"/>
          <w:lang w:eastAsia="bg-BG"/>
        </w:rPr>
      </w:pPr>
    </w:p>
    <w:p w14:paraId="2FA52ED8"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 xml:space="preserve">Костна минерална плътност (КМП/ </w:t>
      </w:r>
      <w:r w:rsidRPr="00477D1D">
        <w:rPr>
          <w:rFonts w:eastAsia="Times New Roman" w:cs="Arial"/>
          <w:color w:val="000000"/>
          <w:szCs w:val="20"/>
          <w:u w:val="single"/>
          <w:lang w:val="en-US"/>
        </w:rPr>
        <w:t>BMD</w:t>
      </w:r>
      <w:r w:rsidRPr="00477D1D">
        <w:rPr>
          <w:rFonts w:eastAsia="Times New Roman" w:cs="Arial"/>
          <w:color w:val="000000"/>
          <w:szCs w:val="20"/>
          <w:u w:val="single"/>
          <w:lang w:val="ru-RU"/>
        </w:rPr>
        <w:t>)</w:t>
      </w:r>
    </w:p>
    <w:p w14:paraId="6F02F1E7"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 едно две годишно, двойно-сляпо, многоцентрово клинично изпитване (ВМ 16549) на жени в постменопауза с остеопороза </w:t>
      </w:r>
      <w:r w:rsidRPr="00477D1D">
        <w:rPr>
          <w:rFonts w:eastAsia="Times New Roman" w:cs="Arial"/>
          <w:color w:val="000000"/>
          <w:szCs w:val="20"/>
          <w:lang w:val="ru-RU"/>
        </w:rPr>
        <w:t>(</w:t>
      </w:r>
      <w:r w:rsidRPr="00477D1D">
        <w:rPr>
          <w:rFonts w:eastAsia="Times New Roman" w:cs="Arial"/>
          <w:color w:val="000000"/>
          <w:szCs w:val="20"/>
          <w:lang w:val="en-US"/>
        </w:rPr>
        <w:t>T</w:t>
      </w:r>
      <w:r w:rsidRPr="00477D1D">
        <w:rPr>
          <w:rFonts w:eastAsia="Times New Roman" w:cs="Arial"/>
          <w:color w:val="000000"/>
          <w:szCs w:val="20"/>
          <w:lang w:val="ru-RU"/>
        </w:rPr>
        <w:t>-</w:t>
      </w:r>
      <w:r w:rsidRPr="00477D1D">
        <w:rPr>
          <w:rFonts w:eastAsia="Times New Roman" w:cs="Arial"/>
          <w:color w:val="000000"/>
          <w:szCs w:val="20"/>
          <w:lang w:val="en-US"/>
        </w:rPr>
        <w:t>score</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на </w:t>
      </w:r>
      <w:r w:rsidRPr="00477D1D">
        <w:rPr>
          <w:rFonts w:eastAsia="Times New Roman" w:cs="Arial"/>
          <w:color w:val="000000"/>
          <w:szCs w:val="20"/>
          <w:lang w:val="en-US"/>
        </w:rPr>
        <w:t>BMD</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на лумбалния отдел на гръбначния стълб под -2,5 </w:t>
      </w:r>
      <w:r w:rsidRPr="00477D1D">
        <w:rPr>
          <w:rFonts w:eastAsia="Times New Roman" w:cs="Arial"/>
          <w:color w:val="000000"/>
          <w:szCs w:val="20"/>
          <w:lang w:val="en-US"/>
        </w:rPr>
        <w:t>SD</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на изходно ниво) е доказано, че прилагането на ибанд 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е поне толкова ефективно за увеличаване на КМП, колкото прилагането на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 Това е доказано както при първичният анализ на първата година, така и при потвърдителния анализ на първичните крайни критерии на втората година (Таблица 2).</w:t>
      </w:r>
    </w:p>
    <w:p w14:paraId="08DB649F" w14:textId="77777777" w:rsidR="00477D1D" w:rsidRPr="00477D1D" w:rsidRDefault="00477D1D" w:rsidP="00477D1D">
      <w:pPr>
        <w:spacing w:line="240" w:lineRule="auto"/>
        <w:rPr>
          <w:rFonts w:eastAsia="Times New Roman" w:cs="Arial"/>
          <w:b/>
          <w:bCs/>
          <w:color w:val="000000"/>
          <w:szCs w:val="20"/>
          <w:lang w:eastAsia="bg-BG"/>
        </w:rPr>
      </w:pPr>
    </w:p>
    <w:p w14:paraId="5F071829" w14:textId="48ED341D" w:rsidR="00477D1D" w:rsidRDefault="00477D1D" w:rsidP="00477D1D">
      <w:pPr>
        <w:spacing w:line="240" w:lineRule="auto"/>
        <w:rPr>
          <w:rFonts w:eastAsia="Times New Roman" w:cs="Arial"/>
          <w:b/>
          <w:bCs/>
          <w:color w:val="000000"/>
          <w:szCs w:val="20"/>
          <w:lang w:eastAsia="bg-BG"/>
        </w:rPr>
      </w:pPr>
      <w:r w:rsidRPr="00477D1D">
        <w:rPr>
          <w:rFonts w:eastAsia="Times New Roman" w:cs="Arial"/>
          <w:b/>
          <w:bCs/>
          <w:color w:val="000000"/>
          <w:szCs w:val="20"/>
          <w:lang w:eastAsia="bg-BG"/>
        </w:rPr>
        <w:t xml:space="preserve">Таблица 2: Средна относителна промяна от изходното ниво на КМП/ </w:t>
      </w:r>
      <w:r w:rsidRPr="00477D1D">
        <w:rPr>
          <w:rFonts w:eastAsia="Times New Roman" w:cs="Arial"/>
          <w:b/>
          <w:bCs/>
          <w:color w:val="000000"/>
          <w:szCs w:val="20"/>
          <w:lang w:val="en-US"/>
        </w:rPr>
        <w:t>BMD</w:t>
      </w:r>
      <w:r w:rsidRPr="00477D1D">
        <w:rPr>
          <w:rFonts w:eastAsia="Times New Roman" w:cs="Arial"/>
          <w:b/>
          <w:bCs/>
          <w:color w:val="000000"/>
          <w:szCs w:val="20"/>
          <w:lang w:val="ru-RU"/>
        </w:rPr>
        <w:t xml:space="preserve"> </w:t>
      </w:r>
      <w:r w:rsidRPr="00477D1D">
        <w:rPr>
          <w:rFonts w:eastAsia="Times New Roman" w:cs="Arial"/>
          <w:b/>
          <w:bCs/>
          <w:color w:val="000000"/>
          <w:szCs w:val="20"/>
          <w:lang w:eastAsia="bg-BG"/>
        </w:rPr>
        <w:t>на лумбалния отдел на гръбначния стълб, бедро общо, бедрената шийка и трохантера след една година (първичен анализ) и две години лечение (при определената според протокола популация) в клинично изпитване ВМ 16549.</w:t>
      </w:r>
    </w:p>
    <w:p w14:paraId="4EF50D15" w14:textId="2A03C296" w:rsidR="00477D1D" w:rsidRDefault="00477D1D" w:rsidP="00477D1D">
      <w:pPr>
        <w:spacing w:line="240" w:lineRule="auto"/>
        <w:rPr>
          <w:rFonts w:eastAsia="Times New Roman" w:cs="Arial"/>
          <w:b/>
          <w:bCs/>
          <w:color w:val="000000"/>
          <w:szCs w:val="20"/>
          <w:lang w:eastAsia="bg-BG"/>
        </w:rPr>
      </w:pPr>
    </w:p>
    <w:tbl>
      <w:tblPr>
        <w:tblStyle w:val="TableGrid"/>
        <w:tblW w:w="0" w:type="auto"/>
        <w:tblLook w:val="04A0" w:firstRow="1" w:lastRow="0" w:firstColumn="1" w:lastColumn="0" w:noHBand="0" w:noVBand="1"/>
      </w:tblPr>
      <w:tblGrid>
        <w:gridCol w:w="1865"/>
        <w:gridCol w:w="1871"/>
        <w:gridCol w:w="1871"/>
        <w:gridCol w:w="1871"/>
        <w:gridCol w:w="1872"/>
      </w:tblGrid>
      <w:tr w:rsidR="00477D1D" w14:paraId="1E4343AF" w14:textId="77777777" w:rsidTr="003B6337">
        <w:tc>
          <w:tcPr>
            <w:tcW w:w="1915" w:type="dxa"/>
          </w:tcPr>
          <w:p w14:paraId="124FE598" w14:textId="77777777" w:rsidR="00477D1D" w:rsidRDefault="00477D1D" w:rsidP="00477D1D"/>
        </w:tc>
        <w:tc>
          <w:tcPr>
            <w:tcW w:w="3830" w:type="dxa"/>
            <w:gridSpan w:val="2"/>
          </w:tcPr>
          <w:p w14:paraId="7698D34D" w14:textId="2D161D46" w:rsidR="00477D1D" w:rsidRDefault="00477D1D" w:rsidP="00477D1D">
            <w:r>
              <w:rPr>
                <w:sz w:val="20"/>
                <w:szCs w:val="20"/>
              </w:rPr>
              <w:t>Данни от една година на изпитване ВМ 16549</w:t>
            </w:r>
          </w:p>
        </w:tc>
        <w:tc>
          <w:tcPr>
            <w:tcW w:w="3831" w:type="dxa"/>
            <w:gridSpan w:val="2"/>
          </w:tcPr>
          <w:p w14:paraId="76AE781F" w14:textId="446DDCAC" w:rsidR="00477D1D" w:rsidRDefault="00477D1D" w:rsidP="00477D1D">
            <w:r>
              <w:rPr>
                <w:sz w:val="20"/>
                <w:szCs w:val="20"/>
              </w:rPr>
              <w:t>Данни от две години на изпитване ВМ 16549</w:t>
            </w:r>
          </w:p>
        </w:tc>
      </w:tr>
      <w:tr w:rsidR="00477D1D" w14:paraId="7DAE8B7F" w14:textId="77777777" w:rsidTr="00477D1D">
        <w:tc>
          <w:tcPr>
            <w:tcW w:w="1915" w:type="dxa"/>
          </w:tcPr>
          <w:p w14:paraId="15886552" w14:textId="60BAC0F8" w:rsidR="00477D1D" w:rsidRPr="00477D1D" w:rsidRDefault="00477D1D" w:rsidP="00477D1D">
            <w:pPr>
              <w:spacing w:line="240" w:lineRule="auto"/>
              <w:rPr>
                <w:rFonts w:eastAsia="Times New Roman" w:cs="Arial"/>
                <w:szCs w:val="24"/>
              </w:rPr>
            </w:pPr>
            <w:r w:rsidRPr="00477D1D">
              <w:rPr>
                <w:szCs w:val="20"/>
              </w:rPr>
              <w:t xml:space="preserve">Средни относителни промени от изходното ниво % [95 % </w:t>
            </w:r>
            <w:r w:rsidRPr="00477D1D">
              <w:rPr>
                <w:szCs w:val="20"/>
                <w:lang w:val="en-US"/>
              </w:rPr>
              <w:t>CI</w:t>
            </w:r>
            <w:r w:rsidRPr="00477D1D">
              <w:rPr>
                <w:szCs w:val="20"/>
                <w:lang w:val="ru-RU"/>
              </w:rPr>
              <w:t>]</w:t>
            </w:r>
          </w:p>
        </w:tc>
        <w:tc>
          <w:tcPr>
            <w:tcW w:w="1915" w:type="dxa"/>
          </w:tcPr>
          <w:p w14:paraId="2CA3BEFA" w14:textId="7789D995" w:rsidR="00477D1D" w:rsidRPr="00477D1D" w:rsidRDefault="00477D1D" w:rsidP="00477D1D">
            <w:pPr>
              <w:spacing w:line="240" w:lineRule="auto"/>
              <w:rPr>
                <w:rFonts w:eastAsia="Times New Roman" w:cs="Arial"/>
                <w:szCs w:val="24"/>
              </w:rPr>
            </w:pPr>
            <w:r w:rsidRPr="00477D1D">
              <w:rPr>
                <w:szCs w:val="20"/>
              </w:rPr>
              <w:t xml:space="preserve">ибандронова киселина 2,5 </w:t>
            </w:r>
            <w:r w:rsidRPr="00477D1D">
              <w:rPr>
                <w:szCs w:val="20"/>
                <w:lang w:val="en-US"/>
              </w:rPr>
              <w:t>mg</w:t>
            </w:r>
            <w:r w:rsidRPr="00477D1D">
              <w:rPr>
                <w:szCs w:val="20"/>
                <w:lang w:val="ru-RU"/>
              </w:rPr>
              <w:t xml:space="preserve"> </w:t>
            </w:r>
            <w:r w:rsidRPr="00477D1D">
              <w:rPr>
                <w:szCs w:val="20"/>
              </w:rPr>
              <w:t xml:space="preserve">дневно </w:t>
            </w:r>
            <w:r w:rsidRPr="00477D1D">
              <w:rPr>
                <w:szCs w:val="20"/>
                <w:lang w:val="ru-RU"/>
              </w:rPr>
              <w:t>(</w:t>
            </w:r>
            <w:r w:rsidRPr="00477D1D">
              <w:rPr>
                <w:szCs w:val="20"/>
                <w:lang w:val="en-US"/>
              </w:rPr>
              <w:t>N</w:t>
            </w:r>
            <w:r w:rsidRPr="00477D1D">
              <w:rPr>
                <w:szCs w:val="20"/>
                <w:lang w:val="ru-RU"/>
              </w:rPr>
              <w:t xml:space="preserve"> = 318)</w:t>
            </w:r>
          </w:p>
        </w:tc>
        <w:tc>
          <w:tcPr>
            <w:tcW w:w="1915" w:type="dxa"/>
          </w:tcPr>
          <w:p w14:paraId="20E23B8A" w14:textId="7E6D341E" w:rsidR="00477D1D" w:rsidRPr="00477D1D" w:rsidRDefault="00477D1D" w:rsidP="00477D1D">
            <w:pPr>
              <w:spacing w:line="240" w:lineRule="auto"/>
              <w:rPr>
                <w:rFonts w:eastAsia="Times New Roman" w:cs="Arial"/>
                <w:szCs w:val="24"/>
              </w:rPr>
            </w:pPr>
            <w:r w:rsidRPr="00477D1D">
              <w:rPr>
                <w:szCs w:val="20"/>
              </w:rPr>
              <w:t xml:space="preserve">ибандронова киселина 150 </w:t>
            </w:r>
            <w:r w:rsidRPr="00477D1D">
              <w:rPr>
                <w:szCs w:val="20"/>
                <w:lang w:val="en-US"/>
              </w:rPr>
              <w:t>mg</w:t>
            </w:r>
            <w:r w:rsidRPr="00477D1D">
              <w:rPr>
                <w:szCs w:val="20"/>
                <w:lang w:val="ru-RU"/>
              </w:rPr>
              <w:t xml:space="preserve"> </w:t>
            </w:r>
            <w:r w:rsidRPr="00477D1D">
              <w:rPr>
                <w:szCs w:val="20"/>
              </w:rPr>
              <w:t xml:space="preserve">веднъж месечно </w:t>
            </w:r>
            <w:r w:rsidRPr="00477D1D">
              <w:rPr>
                <w:szCs w:val="20"/>
                <w:lang w:val="ru-RU"/>
              </w:rPr>
              <w:t>(</w:t>
            </w:r>
            <w:r w:rsidRPr="00477D1D">
              <w:rPr>
                <w:szCs w:val="20"/>
                <w:lang w:val="en-US"/>
              </w:rPr>
              <w:t>N</w:t>
            </w:r>
            <w:r w:rsidRPr="00477D1D">
              <w:rPr>
                <w:szCs w:val="20"/>
                <w:lang w:val="ru-RU"/>
              </w:rPr>
              <w:t xml:space="preserve"> = 320)</w:t>
            </w:r>
          </w:p>
        </w:tc>
        <w:tc>
          <w:tcPr>
            <w:tcW w:w="1915" w:type="dxa"/>
          </w:tcPr>
          <w:p w14:paraId="2212D1E2" w14:textId="3E756101" w:rsidR="00477D1D" w:rsidRPr="00477D1D" w:rsidRDefault="00477D1D" w:rsidP="00477D1D">
            <w:pPr>
              <w:spacing w:line="240" w:lineRule="auto"/>
              <w:rPr>
                <w:rFonts w:eastAsia="Times New Roman" w:cs="Arial"/>
                <w:szCs w:val="24"/>
              </w:rPr>
            </w:pPr>
            <w:r w:rsidRPr="00477D1D">
              <w:rPr>
                <w:szCs w:val="20"/>
              </w:rPr>
              <w:t xml:space="preserve">ибандронова киселина 2,5 </w:t>
            </w:r>
            <w:r w:rsidRPr="00477D1D">
              <w:rPr>
                <w:szCs w:val="20"/>
                <w:lang w:val="en-US"/>
              </w:rPr>
              <w:t>mg</w:t>
            </w:r>
            <w:r w:rsidRPr="00477D1D">
              <w:rPr>
                <w:szCs w:val="20"/>
                <w:lang w:val="ru-RU"/>
              </w:rPr>
              <w:t xml:space="preserve"> </w:t>
            </w:r>
            <w:r w:rsidRPr="00477D1D">
              <w:rPr>
                <w:szCs w:val="20"/>
              </w:rPr>
              <w:t xml:space="preserve">дневно </w:t>
            </w:r>
            <w:r w:rsidRPr="00477D1D">
              <w:rPr>
                <w:szCs w:val="20"/>
                <w:lang w:val="ru-RU"/>
              </w:rPr>
              <w:t>(</w:t>
            </w:r>
            <w:r w:rsidRPr="00477D1D">
              <w:rPr>
                <w:szCs w:val="20"/>
                <w:lang w:val="en-US"/>
              </w:rPr>
              <w:t>N</w:t>
            </w:r>
            <w:r w:rsidRPr="00477D1D">
              <w:rPr>
                <w:szCs w:val="20"/>
                <w:lang w:val="ru-RU"/>
              </w:rPr>
              <w:t xml:space="preserve"> </w:t>
            </w:r>
            <w:r w:rsidRPr="00477D1D">
              <w:rPr>
                <w:szCs w:val="20"/>
              </w:rPr>
              <w:t>= 294)</w:t>
            </w:r>
          </w:p>
        </w:tc>
        <w:tc>
          <w:tcPr>
            <w:tcW w:w="1916" w:type="dxa"/>
          </w:tcPr>
          <w:p w14:paraId="470AA025" w14:textId="381731D0" w:rsidR="00477D1D" w:rsidRPr="00477D1D" w:rsidRDefault="00477D1D" w:rsidP="00477D1D">
            <w:pPr>
              <w:spacing w:line="240" w:lineRule="auto"/>
              <w:rPr>
                <w:rFonts w:eastAsia="Times New Roman" w:cs="Arial"/>
                <w:szCs w:val="24"/>
              </w:rPr>
            </w:pPr>
            <w:r w:rsidRPr="00477D1D">
              <w:rPr>
                <w:szCs w:val="20"/>
              </w:rPr>
              <w:t xml:space="preserve">ибандронова киселина 150 </w:t>
            </w:r>
            <w:r w:rsidRPr="00477D1D">
              <w:rPr>
                <w:szCs w:val="20"/>
                <w:lang w:val="en-US"/>
              </w:rPr>
              <w:t>mg</w:t>
            </w:r>
            <w:r w:rsidRPr="00477D1D">
              <w:rPr>
                <w:szCs w:val="20"/>
                <w:lang w:val="ru-RU"/>
              </w:rPr>
              <w:t xml:space="preserve"> </w:t>
            </w:r>
            <w:r w:rsidRPr="00477D1D">
              <w:rPr>
                <w:szCs w:val="20"/>
              </w:rPr>
              <w:t xml:space="preserve">веднъж месечно </w:t>
            </w:r>
            <w:r w:rsidRPr="00477D1D">
              <w:rPr>
                <w:szCs w:val="20"/>
                <w:lang w:val="ru-RU"/>
              </w:rPr>
              <w:t>(</w:t>
            </w:r>
            <w:r w:rsidRPr="00477D1D">
              <w:rPr>
                <w:szCs w:val="20"/>
                <w:lang w:val="en-US"/>
              </w:rPr>
              <w:t>N</w:t>
            </w:r>
            <w:r w:rsidRPr="00477D1D">
              <w:rPr>
                <w:szCs w:val="20"/>
                <w:lang w:val="ru-RU"/>
              </w:rPr>
              <w:t>-291)</w:t>
            </w:r>
          </w:p>
        </w:tc>
      </w:tr>
      <w:tr w:rsidR="00477D1D" w14:paraId="4AEE9056" w14:textId="77777777" w:rsidTr="00477D1D">
        <w:tc>
          <w:tcPr>
            <w:tcW w:w="1915" w:type="dxa"/>
          </w:tcPr>
          <w:p w14:paraId="2C2A8218" w14:textId="6CDED938" w:rsidR="00477D1D" w:rsidRPr="00477D1D" w:rsidRDefault="00477D1D" w:rsidP="00477D1D">
            <w:pPr>
              <w:spacing w:line="240" w:lineRule="auto"/>
              <w:rPr>
                <w:rFonts w:eastAsia="Times New Roman" w:cs="Arial"/>
                <w:szCs w:val="24"/>
              </w:rPr>
            </w:pPr>
            <w:r w:rsidRPr="00477D1D">
              <w:rPr>
                <w:szCs w:val="20"/>
              </w:rPr>
              <w:t xml:space="preserve">КМП на лумбалния отдел на гръбначен стълб </w:t>
            </w:r>
            <w:r w:rsidRPr="00477D1D">
              <w:rPr>
                <w:szCs w:val="20"/>
                <w:lang w:val="en-US"/>
              </w:rPr>
              <w:t>L</w:t>
            </w:r>
            <w:r w:rsidRPr="00477D1D">
              <w:rPr>
                <w:szCs w:val="20"/>
                <w:lang w:val="ru-RU"/>
              </w:rPr>
              <w:t>2-</w:t>
            </w:r>
            <w:r w:rsidRPr="00477D1D">
              <w:rPr>
                <w:szCs w:val="20"/>
                <w:lang w:val="en-US"/>
              </w:rPr>
              <w:t>L</w:t>
            </w:r>
            <w:r w:rsidRPr="00477D1D">
              <w:rPr>
                <w:szCs w:val="20"/>
                <w:lang w:val="ru-RU"/>
              </w:rPr>
              <w:t>4</w:t>
            </w:r>
          </w:p>
        </w:tc>
        <w:tc>
          <w:tcPr>
            <w:tcW w:w="1915" w:type="dxa"/>
          </w:tcPr>
          <w:p w14:paraId="75CDAF67" w14:textId="3C401F52" w:rsidR="00477D1D" w:rsidRPr="00477D1D" w:rsidRDefault="00477D1D" w:rsidP="00477D1D">
            <w:pPr>
              <w:spacing w:line="240" w:lineRule="auto"/>
              <w:rPr>
                <w:rFonts w:eastAsia="Times New Roman" w:cs="Arial"/>
                <w:szCs w:val="24"/>
              </w:rPr>
            </w:pPr>
            <w:r w:rsidRPr="00477D1D">
              <w:rPr>
                <w:szCs w:val="20"/>
              </w:rPr>
              <w:t>3,9 [3,4, 4,3]</w:t>
            </w:r>
          </w:p>
        </w:tc>
        <w:tc>
          <w:tcPr>
            <w:tcW w:w="1915" w:type="dxa"/>
          </w:tcPr>
          <w:p w14:paraId="6ECEF6B4" w14:textId="02FE6EE0" w:rsidR="00477D1D" w:rsidRPr="00477D1D" w:rsidRDefault="00477D1D" w:rsidP="00477D1D">
            <w:pPr>
              <w:spacing w:line="240" w:lineRule="auto"/>
              <w:rPr>
                <w:rFonts w:eastAsia="Times New Roman" w:cs="Arial"/>
                <w:szCs w:val="24"/>
              </w:rPr>
            </w:pPr>
            <w:r w:rsidRPr="00477D1D">
              <w:rPr>
                <w:szCs w:val="20"/>
              </w:rPr>
              <w:t>4,9 [4,4, 5,3]</w:t>
            </w:r>
          </w:p>
        </w:tc>
        <w:tc>
          <w:tcPr>
            <w:tcW w:w="1915" w:type="dxa"/>
          </w:tcPr>
          <w:p w14:paraId="14DB5400" w14:textId="75F031EE" w:rsidR="00477D1D" w:rsidRPr="00477D1D" w:rsidRDefault="00477D1D" w:rsidP="00477D1D">
            <w:pPr>
              <w:spacing w:line="240" w:lineRule="auto"/>
              <w:rPr>
                <w:rFonts w:eastAsia="Times New Roman" w:cs="Arial"/>
                <w:szCs w:val="24"/>
              </w:rPr>
            </w:pPr>
            <w:r w:rsidRPr="00477D1D">
              <w:rPr>
                <w:szCs w:val="20"/>
              </w:rPr>
              <w:t>5,0 [4,4, 5,5]</w:t>
            </w:r>
          </w:p>
        </w:tc>
        <w:tc>
          <w:tcPr>
            <w:tcW w:w="1916" w:type="dxa"/>
          </w:tcPr>
          <w:p w14:paraId="3D323A2C" w14:textId="1AB87E43" w:rsidR="00477D1D" w:rsidRPr="00477D1D" w:rsidRDefault="00477D1D" w:rsidP="00477D1D">
            <w:pPr>
              <w:spacing w:line="240" w:lineRule="auto"/>
              <w:rPr>
                <w:rFonts w:eastAsia="Times New Roman" w:cs="Arial"/>
                <w:szCs w:val="24"/>
              </w:rPr>
            </w:pPr>
            <w:r w:rsidRPr="00477D1D">
              <w:rPr>
                <w:szCs w:val="20"/>
              </w:rPr>
              <w:t>6,6 [6,0, 7,1]</w:t>
            </w:r>
          </w:p>
        </w:tc>
      </w:tr>
      <w:tr w:rsidR="00477D1D" w14:paraId="3361B1A5" w14:textId="77777777" w:rsidTr="00477D1D">
        <w:tc>
          <w:tcPr>
            <w:tcW w:w="1915" w:type="dxa"/>
          </w:tcPr>
          <w:p w14:paraId="3D2411BA" w14:textId="32D0920E" w:rsidR="00477D1D" w:rsidRPr="00477D1D" w:rsidRDefault="00477D1D" w:rsidP="00477D1D">
            <w:pPr>
              <w:spacing w:line="240" w:lineRule="auto"/>
              <w:rPr>
                <w:rFonts w:eastAsia="Times New Roman" w:cs="Arial"/>
                <w:szCs w:val="24"/>
              </w:rPr>
            </w:pPr>
            <w:r w:rsidRPr="00477D1D">
              <w:rPr>
                <w:szCs w:val="20"/>
              </w:rPr>
              <w:t>КМП на бедро общо</w:t>
            </w:r>
          </w:p>
        </w:tc>
        <w:tc>
          <w:tcPr>
            <w:tcW w:w="1915" w:type="dxa"/>
          </w:tcPr>
          <w:p w14:paraId="2BC8E849" w14:textId="067FE208" w:rsidR="00477D1D" w:rsidRPr="00477D1D" w:rsidRDefault="00477D1D" w:rsidP="00477D1D">
            <w:pPr>
              <w:spacing w:line="240" w:lineRule="auto"/>
              <w:rPr>
                <w:rFonts w:eastAsia="Times New Roman" w:cs="Arial"/>
                <w:szCs w:val="24"/>
              </w:rPr>
            </w:pPr>
            <w:r w:rsidRPr="00477D1D">
              <w:rPr>
                <w:szCs w:val="20"/>
              </w:rPr>
              <w:t>2,0 [1,7, 2,3]</w:t>
            </w:r>
          </w:p>
        </w:tc>
        <w:tc>
          <w:tcPr>
            <w:tcW w:w="1915" w:type="dxa"/>
          </w:tcPr>
          <w:p w14:paraId="5583F895" w14:textId="730EF032" w:rsidR="00477D1D" w:rsidRPr="00477D1D" w:rsidRDefault="00477D1D" w:rsidP="00477D1D">
            <w:pPr>
              <w:spacing w:line="240" w:lineRule="auto"/>
              <w:rPr>
                <w:rFonts w:eastAsia="Times New Roman" w:cs="Arial"/>
                <w:szCs w:val="24"/>
              </w:rPr>
            </w:pPr>
            <w:r w:rsidRPr="00477D1D">
              <w:rPr>
                <w:szCs w:val="20"/>
              </w:rPr>
              <w:t>3,1 [2,8, 3,4]</w:t>
            </w:r>
          </w:p>
        </w:tc>
        <w:tc>
          <w:tcPr>
            <w:tcW w:w="1915" w:type="dxa"/>
          </w:tcPr>
          <w:p w14:paraId="42E45195" w14:textId="1F219D36" w:rsidR="00477D1D" w:rsidRPr="00477D1D" w:rsidRDefault="00477D1D" w:rsidP="00477D1D">
            <w:pPr>
              <w:spacing w:line="240" w:lineRule="auto"/>
              <w:rPr>
                <w:rFonts w:eastAsia="Times New Roman" w:cs="Arial"/>
                <w:szCs w:val="24"/>
              </w:rPr>
            </w:pPr>
            <w:r w:rsidRPr="00477D1D">
              <w:rPr>
                <w:szCs w:val="20"/>
              </w:rPr>
              <w:t>2,5 [2,1, 2,9]</w:t>
            </w:r>
          </w:p>
        </w:tc>
        <w:tc>
          <w:tcPr>
            <w:tcW w:w="1916" w:type="dxa"/>
          </w:tcPr>
          <w:p w14:paraId="4C1A98B8" w14:textId="6798DB95" w:rsidR="00477D1D" w:rsidRPr="00477D1D" w:rsidRDefault="00477D1D" w:rsidP="00477D1D">
            <w:pPr>
              <w:spacing w:line="240" w:lineRule="auto"/>
              <w:rPr>
                <w:rFonts w:eastAsia="Times New Roman" w:cs="Arial"/>
                <w:szCs w:val="24"/>
              </w:rPr>
            </w:pPr>
            <w:r w:rsidRPr="00477D1D">
              <w:rPr>
                <w:szCs w:val="20"/>
              </w:rPr>
              <w:t>4,2 [3,8, 4,5]</w:t>
            </w:r>
          </w:p>
        </w:tc>
      </w:tr>
      <w:tr w:rsidR="00477D1D" w14:paraId="361B280F" w14:textId="77777777" w:rsidTr="00477D1D">
        <w:tc>
          <w:tcPr>
            <w:tcW w:w="1915" w:type="dxa"/>
          </w:tcPr>
          <w:p w14:paraId="45E8E8DF" w14:textId="6E2CE175" w:rsidR="00477D1D" w:rsidRPr="00477D1D" w:rsidRDefault="00477D1D" w:rsidP="00477D1D">
            <w:pPr>
              <w:spacing w:line="240" w:lineRule="auto"/>
              <w:rPr>
                <w:rFonts w:eastAsia="Times New Roman" w:cs="Arial"/>
                <w:szCs w:val="24"/>
              </w:rPr>
            </w:pPr>
            <w:r w:rsidRPr="00477D1D">
              <w:rPr>
                <w:szCs w:val="20"/>
              </w:rPr>
              <w:t>КМП на бедрената шийка</w:t>
            </w:r>
          </w:p>
        </w:tc>
        <w:tc>
          <w:tcPr>
            <w:tcW w:w="1915" w:type="dxa"/>
          </w:tcPr>
          <w:p w14:paraId="133A9C5D" w14:textId="4AD228C9" w:rsidR="00477D1D" w:rsidRPr="00477D1D" w:rsidRDefault="00477D1D" w:rsidP="00477D1D">
            <w:pPr>
              <w:spacing w:line="240" w:lineRule="auto"/>
              <w:rPr>
                <w:rFonts w:eastAsia="Times New Roman" w:cs="Arial"/>
                <w:szCs w:val="24"/>
              </w:rPr>
            </w:pPr>
            <w:r w:rsidRPr="00477D1D">
              <w:rPr>
                <w:szCs w:val="20"/>
              </w:rPr>
              <w:t>1,7 [1,3, 2,1]</w:t>
            </w:r>
          </w:p>
        </w:tc>
        <w:tc>
          <w:tcPr>
            <w:tcW w:w="1915" w:type="dxa"/>
          </w:tcPr>
          <w:p w14:paraId="4A8D5E19" w14:textId="7B73746B" w:rsidR="00477D1D" w:rsidRPr="00477D1D" w:rsidRDefault="00477D1D" w:rsidP="00477D1D">
            <w:pPr>
              <w:spacing w:line="240" w:lineRule="auto"/>
              <w:rPr>
                <w:rFonts w:eastAsia="Times New Roman" w:cs="Arial"/>
                <w:szCs w:val="24"/>
              </w:rPr>
            </w:pPr>
            <w:r w:rsidRPr="00477D1D">
              <w:rPr>
                <w:szCs w:val="20"/>
              </w:rPr>
              <w:t>2,2 [1,9, 2,6]</w:t>
            </w:r>
          </w:p>
        </w:tc>
        <w:tc>
          <w:tcPr>
            <w:tcW w:w="1915" w:type="dxa"/>
          </w:tcPr>
          <w:p w14:paraId="2C5FB568" w14:textId="17461F11" w:rsidR="00477D1D" w:rsidRPr="00477D1D" w:rsidRDefault="00477D1D" w:rsidP="00477D1D">
            <w:pPr>
              <w:spacing w:line="240" w:lineRule="auto"/>
              <w:rPr>
                <w:rFonts w:eastAsia="Times New Roman" w:cs="Arial"/>
                <w:szCs w:val="24"/>
              </w:rPr>
            </w:pPr>
            <w:r w:rsidRPr="00477D1D">
              <w:rPr>
                <w:szCs w:val="20"/>
              </w:rPr>
              <w:t>1,9 [1,4, 2,4]</w:t>
            </w:r>
          </w:p>
        </w:tc>
        <w:tc>
          <w:tcPr>
            <w:tcW w:w="1916" w:type="dxa"/>
          </w:tcPr>
          <w:p w14:paraId="6EBF25D4" w14:textId="78227BC1" w:rsidR="00477D1D" w:rsidRPr="00477D1D" w:rsidRDefault="00477D1D" w:rsidP="00477D1D">
            <w:pPr>
              <w:spacing w:line="240" w:lineRule="auto"/>
              <w:rPr>
                <w:rFonts w:eastAsia="Times New Roman" w:cs="Arial"/>
                <w:szCs w:val="24"/>
              </w:rPr>
            </w:pPr>
            <w:r w:rsidRPr="00477D1D">
              <w:rPr>
                <w:szCs w:val="20"/>
              </w:rPr>
              <w:t>3,1 [2,7, 3,6]</w:t>
            </w:r>
          </w:p>
        </w:tc>
      </w:tr>
      <w:tr w:rsidR="00477D1D" w14:paraId="0E1B7C57" w14:textId="77777777" w:rsidTr="00477D1D">
        <w:tc>
          <w:tcPr>
            <w:tcW w:w="1915" w:type="dxa"/>
          </w:tcPr>
          <w:p w14:paraId="4ADC8C9C" w14:textId="5DF29E3C" w:rsidR="00477D1D" w:rsidRPr="00477D1D" w:rsidRDefault="00477D1D" w:rsidP="00477D1D">
            <w:pPr>
              <w:spacing w:line="240" w:lineRule="auto"/>
              <w:rPr>
                <w:rFonts w:eastAsia="Times New Roman" w:cs="Arial"/>
                <w:szCs w:val="24"/>
              </w:rPr>
            </w:pPr>
            <w:r w:rsidRPr="00477D1D">
              <w:rPr>
                <w:szCs w:val="20"/>
              </w:rPr>
              <w:t>КМП на трохантера</w:t>
            </w:r>
          </w:p>
        </w:tc>
        <w:tc>
          <w:tcPr>
            <w:tcW w:w="1915" w:type="dxa"/>
          </w:tcPr>
          <w:p w14:paraId="0A0B0941" w14:textId="3FAD5F34" w:rsidR="00477D1D" w:rsidRPr="00477D1D" w:rsidRDefault="00477D1D" w:rsidP="00477D1D">
            <w:pPr>
              <w:spacing w:line="240" w:lineRule="auto"/>
              <w:rPr>
                <w:rFonts w:eastAsia="Times New Roman" w:cs="Arial"/>
                <w:szCs w:val="24"/>
              </w:rPr>
            </w:pPr>
            <w:r w:rsidRPr="00477D1D">
              <w:rPr>
                <w:szCs w:val="20"/>
              </w:rPr>
              <w:t>3.2 [2.8, 3.7]</w:t>
            </w:r>
          </w:p>
        </w:tc>
        <w:tc>
          <w:tcPr>
            <w:tcW w:w="1915" w:type="dxa"/>
          </w:tcPr>
          <w:p w14:paraId="646EA827" w14:textId="792A2DF2" w:rsidR="00477D1D" w:rsidRPr="00477D1D" w:rsidRDefault="00477D1D" w:rsidP="00477D1D">
            <w:pPr>
              <w:spacing w:line="240" w:lineRule="auto"/>
              <w:rPr>
                <w:rFonts w:eastAsia="Times New Roman" w:cs="Arial"/>
                <w:szCs w:val="24"/>
              </w:rPr>
            </w:pPr>
            <w:r w:rsidRPr="00477D1D">
              <w:rPr>
                <w:szCs w:val="20"/>
              </w:rPr>
              <w:t>4,6 [4,2, 5,1]</w:t>
            </w:r>
          </w:p>
        </w:tc>
        <w:tc>
          <w:tcPr>
            <w:tcW w:w="1915" w:type="dxa"/>
          </w:tcPr>
          <w:p w14:paraId="0435BA16" w14:textId="623197DF" w:rsidR="00477D1D" w:rsidRPr="00477D1D" w:rsidRDefault="00477D1D" w:rsidP="00477D1D">
            <w:pPr>
              <w:spacing w:line="240" w:lineRule="auto"/>
              <w:rPr>
                <w:rFonts w:eastAsia="Times New Roman" w:cs="Arial"/>
                <w:szCs w:val="24"/>
              </w:rPr>
            </w:pPr>
            <w:r w:rsidRPr="00477D1D">
              <w:rPr>
                <w:szCs w:val="20"/>
              </w:rPr>
              <w:t>4,0 [3,5, 4,5]</w:t>
            </w:r>
          </w:p>
        </w:tc>
        <w:tc>
          <w:tcPr>
            <w:tcW w:w="1916" w:type="dxa"/>
          </w:tcPr>
          <w:p w14:paraId="1C309046" w14:textId="239C22B3" w:rsidR="00477D1D" w:rsidRPr="00477D1D" w:rsidRDefault="00477D1D" w:rsidP="00477D1D">
            <w:pPr>
              <w:spacing w:line="240" w:lineRule="auto"/>
              <w:rPr>
                <w:rFonts w:eastAsia="Times New Roman" w:cs="Arial"/>
                <w:szCs w:val="24"/>
              </w:rPr>
            </w:pPr>
            <w:r w:rsidRPr="00477D1D">
              <w:rPr>
                <w:szCs w:val="20"/>
              </w:rPr>
              <w:t>6,2 [5,7, 6,7]</w:t>
            </w:r>
          </w:p>
        </w:tc>
      </w:tr>
    </w:tbl>
    <w:p w14:paraId="6D4CB3CE" w14:textId="77777777" w:rsidR="00477D1D" w:rsidRPr="00477D1D" w:rsidRDefault="00477D1D" w:rsidP="00477D1D">
      <w:pPr>
        <w:spacing w:line="240" w:lineRule="auto"/>
        <w:rPr>
          <w:rFonts w:eastAsia="Times New Roman" w:cs="Arial"/>
          <w:sz w:val="28"/>
          <w:szCs w:val="24"/>
        </w:rPr>
      </w:pPr>
    </w:p>
    <w:p w14:paraId="5A6FDCF1"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Освен това, в проспективен планиран анализ е доказано, че приложението на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е по-ефективно от лечение с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 за увеличение на КМП на лумбалния отдел на гръбначния стълб след една година, р = 0,002, и след две години, р &lt; 0,001.</w:t>
      </w:r>
    </w:p>
    <w:p w14:paraId="6FFBFABA" w14:textId="77777777" w:rsidR="00477D1D" w:rsidRPr="00477D1D" w:rsidRDefault="00477D1D" w:rsidP="00477D1D">
      <w:pPr>
        <w:spacing w:line="240" w:lineRule="auto"/>
        <w:rPr>
          <w:rFonts w:eastAsia="Times New Roman" w:cs="Arial"/>
          <w:color w:val="000000"/>
          <w:szCs w:val="20"/>
          <w:lang w:eastAsia="bg-BG"/>
        </w:rPr>
      </w:pPr>
    </w:p>
    <w:p w14:paraId="107BE2B8" w14:textId="791D315F"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След една година (първичен анализ) 91,3 % (р = 0,005) от пациентите, получавали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са имали КМП на лумбалния отдел на гръбначния стълб по- висока или равна на изходната (КМП на отговорилите на </w:t>
      </w:r>
      <w:r w:rsidRPr="00477D1D">
        <w:rPr>
          <w:rFonts w:eastAsia="Times New Roman" w:cs="Arial"/>
          <w:color w:val="000000"/>
          <w:szCs w:val="20"/>
          <w:lang w:eastAsia="bg-BG"/>
        </w:rPr>
        <w:lastRenderedPageBreak/>
        <w:t xml:space="preserve">лечението) в сравнение с 84 % от пациентите, получавали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След две години 93,5 % (р = 0,004) и 86,4 % от пациентите, получавали съответно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 са отговорили на лечението.</w:t>
      </w:r>
    </w:p>
    <w:p w14:paraId="7BB56629" w14:textId="2C3E452C" w:rsidR="00477D1D" w:rsidRPr="00477D1D" w:rsidRDefault="00477D1D" w:rsidP="00477D1D">
      <w:pPr>
        <w:spacing w:line="240" w:lineRule="auto"/>
        <w:rPr>
          <w:rFonts w:eastAsia="Times New Roman" w:cs="Arial"/>
          <w:color w:val="000000"/>
          <w:szCs w:val="20"/>
          <w:lang w:val="ru-RU" w:eastAsia="bg-BG"/>
        </w:rPr>
      </w:pPr>
      <w:r w:rsidRPr="00477D1D">
        <w:rPr>
          <w:rFonts w:eastAsia="Times New Roman" w:cs="Arial"/>
          <w:color w:val="000000"/>
          <w:szCs w:val="20"/>
          <w:lang w:eastAsia="bg-BG"/>
        </w:rPr>
        <w:t xml:space="preserve">За КМП на цяло бедро, 90.0 % (р&lt;0.001) от пациентите, получавали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76.7 % от пациентите, получавали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са имали КМП по-висока или равна на изходната първа година. След две години 93.4 % (р &lt; 0.001) от пациентите, получавали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78.4 % от пациентите, получавали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 са имали КМП по-висока или равна</w:t>
      </w:r>
      <w:r w:rsidRPr="00477D1D">
        <w:rPr>
          <w:rFonts w:eastAsia="Times New Roman" w:cs="Arial"/>
          <w:color w:val="000000"/>
          <w:szCs w:val="20"/>
          <w:lang w:val="ru-RU"/>
        </w:rPr>
        <w:t xml:space="preserve"> </w:t>
      </w:r>
      <w:r w:rsidRPr="00477D1D">
        <w:rPr>
          <w:rFonts w:eastAsia="Times New Roman" w:cs="Arial"/>
          <w:color w:val="000000"/>
          <w:szCs w:val="20"/>
          <w:lang w:eastAsia="bg-BG"/>
        </w:rPr>
        <w:t>на изходната</w:t>
      </w:r>
      <w:r w:rsidRPr="00477D1D">
        <w:rPr>
          <w:rFonts w:eastAsia="Times New Roman" w:cs="Arial"/>
          <w:color w:val="000000"/>
          <w:szCs w:val="20"/>
          <w:lang w:val="ru-RU" w:eastAsia="bg-BG"/>
        </w:rPr>
        <w:t>.</w:t>
      </w:r>
    </w:p>
    <w:p w14:paraId="6BF072C9" w14:textId="02708601" w:rsidR="00477D1D" w:rsidRPr="00477D1D" w:rsidRDefault="00477D1D" w:rsidP="00477D1D">
      <w:pPr>
        <w:spacing w:line="240" w:lineRule="auto"/>
        <w:rPr>
          <w:rFonts w:eastAsia="Times New Roman" w:cs="Arial"/>
          <w:color w:val="000000"/>
          <w:szCs w:val="20"/>
          <w:lang w:val="ru-RU" w:eastAsia="bg-BG"/>
        </w:rPr>
      </w:pPr>
    </w:p>
    <w:p w14:paraId="2A0894D2"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Като се приеме по-строг критерий, който комбинира КМП на лумбалния отдел на гръбначния стълб и на бедро общо, 83,9 % (р &lt; 0,001) и 65,7 % от пациентките, получавали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съответно, са отговорили на лечението на първата година. На този критерий след две години са отговорили 87,1 % (р &lt; 0,001) и 70,5 % от пациентите в групите с приложение 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месечно и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 съответно.</w:t>
      </w:r>
    </w:p>
    <w:p w14:paraId="5B8B6D3D" w14:textId="77777777" w:rsidR="00477D1D" w:rsidRPr="00477D1D" w:rsidRDefault="00477D1D" w:rsidP="00477D1D">
      <w:pPr>
        <w:spacing w:line="240" w:lineRule="auto"/>
        <w:rPr>
          <w:rFonts w:eastAsia="Times New Roman" w:cs="Arial"/>
          <w:color w:val="000000"/>
          <w:szCs w:val="20"/>
          <w:u w:val="single"/>
          <w:lang w:eastAsia="bg-BG"/>
        </w:rPr>
      </w:pPr>
    </w:p>
    <w:p w14:paraId="264212D5" w14:textId="4414584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Биохимични маркери на костен обмен</w:t>
      </w:r>
    </w:p>
    <w:p w14:paraId="4FD9475A"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Клинично значимо намаляване на серумните нива на СТХ е наблюдавано във всички точки на измерване, т.е. след 3, 6, 12 и 24 месеца. След една година (първичен анализ) средната относителна промяна от изходното ниво е била - 76 </w:t>
      </w:r>
      <w:r w:rsidRPr="00477D1D">
        <w:rPr>
          <w:rFonts w:eastAsia="Times New Roman" w:cs="Arial"/>
          <w:i/>
          <w:iCs/>
          <w:color w:val="000000"/>
          <w:szCs w:val="20"/>
          <w:lang w:eastAsia="bg-BG"/>
        </w:rPr>
        <w:t>% за</w:t>
      </w:r>
      <w:r w:rsidRPr="00477D1D">
        <w:rPr>
          <w:rFonts w:eastAsia="Times New Roman" w:cs="Arial"/>
          <w:color w:val="000000"/>
          <w:szCs w:val="20"/>
          <w:lang w:eastAsia="bg-BG"/>
        </w:rPr>
        <w:t xml:space="preserve">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- 67 % за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След две години средната относителна промяна е била -68 % и - 62 % съответно в групите с приложение 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месечно и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w:t>
      </w:r>
    </w:p>
    <w:p w14:paraId="5B3C2F50" w14:textId="77777777" w:rsidR="00477D1D" w:rsidRPr="00477D1D" w:rsidRDefault="00477D1D" w:rsidP="00477D1D">
      <w:pPr>
        <w:spacing w:line="240" w:lineRule="auto"/>
        <w:rPr>
          <w:rFonts w:eastAsia="Times New Roman" w:cs="Arial"/>
          <w:color w:val="000000"/>
          <w:szCs w:val="20"/>
          <w:lang w:eastAsia="bg-BG"/>
        </w:rPr>
      </w:pPr>
    </w:p>
    <w:p w14:paraId="5D931698" w14:textId="0EEAA803"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През първата година, 83.5 % (р = 0.006) от пациентите, получавали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73.9 % от пациентите, получавали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са отговорили на лечението (определено като средно намаление ≥ 50 % от изходната стойност). След втората година, са отговорили 78.7 % (р = 0,002) и 65.6 </w:t>
      </w:r>
      <w:r w:rsidRPr="00477D1D">
        <w:rPr>
          <w:rFonts w:eastAsia="Times New Roman" w:cs="Arial"/>
          <w:i/>
          <w:iCs/>
          <w:color w:val="000000"/>
          <w:szCs w:val="20"/>
          <w:lang w:eastAsia="bg-BG"/>
        </w:rPr>
        <w:t>% от</w:t>
      </w:r>
      <w:r w:rsidRPr="00477D1D">
        <w:rPr>
          <w:rFonts w:eastAsia="Times New Roman" w:cs="Arial"/>
          <w:color w:val="000000"/>
          <w:szCs w:val="20"/>
          <w:lang w:eastAsia="bg-BG"/>
        </w:rPr>
        <w:t xml:space="preserve"> пациентите съответно в групите с приложение на доза съответно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и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w:t>
      </w:r>
    </w:p>
    <w:p w14:paraId="48654CA1" w14:textId="77777777" w:rsidR="00477D1D" w:rsidRPr="00477D1D" w:rsidRDefault="00477D1D" w:rsidP="00477D1D">
      <w:pPr>
        <w:spacing w:line="240" w:lineRule="auto"/>
        <w:rPr>
          <w:rFonts w:eastAsia="Times New Roman" w:cs="Arial"/>
          <w:color w:val="000000"/>
          <w:szCs w:val="20"/>
          <w:lang w:eastAsia="bg-BG"/>
        </w:rPr>
      </w:pPr>
    </w:p>
    <w:p w14:paraId="6ED6A952" w14:textId="2EF0010E"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Въз основа на резултатите от клинично изпитване ВМ 16549, се очаква приложението на ибандронова киселина 150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веднъж месечно да бъде поне толкова ефективно за предотвратяване на фрактури като на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дневно.</w:t>
      </w:r>
    </w:p>
    <w:p w14:paraId="481B13C4" w14:textId="77777777" w:rsidR="00477D1D" w:rsidRPr="00477D1D" w:rsidRDefault="00477D1D" w:rsidP="00477D1D">
      <w:pPr>
        <w:spacing w:line="240" w:lineRule="auto"/>
        <w:rPr>
          <w:rFonts w:eastAsia="Times New Roman" w:cs="Arial"/>
          <w:color w:val="000000"/>
          <w:szCs w:val="20"/>
          <w:u w:val="single"/>
          <w:lang w:eastAsia="bg-BG"/>
        </w:rPr>
      </w:pPr>
    </w:p>
    <w:p w14:paraId="3C2AA267" w14:textId="71398E75"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u w:val="single"/>
          <w:lang w:eastAsia="bg-BG"/>
        </w:rPr>
        <w:t xml:space="preserve">Ибандронова киселина 2,5 </w:t>
      </w:r>
      <w:r w:rsidRPr="00477D1D">
        <w:rPr>
          <w:rFonts w:eastAsia="Times New Roman" w:cs="Arial"/>
          <w:color w:val="000000"/>
          <w:szCs w:val="20"/>
          <w:u w:val="single"/>
          <w:lang w:val="en-US"/>
        </w:rPr>
        <w:t>mg</w:t>
      </w:r>
      <w:r w:rsidRPr="00477D1D">
        <w:rPr>
          <w:rFonts w:eastAsia="Times New Roman" w:cs="Arial"/>
          <w:color w:val="000000"/>
          <w:szCs w:val="20"/>
          <w:u w:val="single"/>
          <w:lang w:val="ru-RU"/>
        </w:rPr>
        <w:t xml:space="preserve"> </w:t>
      </w:r>
      <w:r w:rsidRPr="00477D1D">
        <w:rPr>
          <w:rFonts w:eastAsia="Times New Roman" w:cs="Arial"/>
          <w:color w:val="000000"/>
          <w:szCs w:val="20"/>
          <w:u w:val="single"/>
          <w:lang w:eastAsia="bg-BG"/>
        </w:rPr>
        <w:t>дневно</w:t>
      </w:r>
    </w:p>
    <w:p w14:paraId="27036AB3" w14:textId="77777777" w:rsidR="00477D1D" w:rsidRPr="00477D1D" w:rsidRDefault="00477D1D" w:rsidP="00477D1D">
      <w:pPr>
        <w:spacing w:line="240" w:lineRule="auto"/>
        <w:rPr>
          <w:rFonts w:eastAsia="Times New Roman" w:cs="Arial"/>
          <w:color w:val="000000"/>
          <w:szCs w:val="20"/>
          <w:lang w:eastAsia="bg-BG"/>
        </w:rPr>
      </w:pPr>
    </w:p>
    <w:p w14:paraId="4AA52DBF" w14:textId="2647AEA3"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 xml:space="preserve">В началото на три годишно рандомизирано, двойно-сляпо, плацебо-контролирано клинично изпитване за антифрактурна ефективност </w:t>
      </w:r>
      <w:r w:rsidRPr="00477D1D">
        <w:rPr>
          <w:rFonts w:eastAsia="Times New Roman" w:cs="Arial"/>
          <w:color w:val="000000"/>
          <w:szCs w:val="20"/>
          <w:lang w:val="ru-RU"/>
        </w:rPr>
        <w:t>(</w:t>
      </w:r>
      <w:r w:rsidRPr="00477D1D">
        <w:rPr>
          <w:rFonts w:eastAsia="Times New Roman" w:cs="Arial"/>
          <w:color w:val="000000"/>
          <w:szCs w:val="20"/>
          <w:lang w:val="en-US"/>
        </w:rPr>
        <w:t>MF</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4411) е доказано статистически и клинично значимо намаление на честотата на нови рентгенографски, морфометрично и клинично доказани вертебрални фрактури (таблица 3). При това проучване действието на ибандроновата киселина е било оценявано при перорални дози от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и 20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интермитентно като пробна схема на приложение. Ибандроновата киселина е прилагана 60 минути преди първия прием на храна или напитка за деня (интервал на гладуване след приемане на дозата). Изпитването е включвало жени на възраст от 55 до 80 години, които са били най-малко 5 години в постменопауза и са имали КМП на лумбалния отдел на гръбначния стълб 2 до 5 </w:t>
      </w:r>
      <w:r w:rsidRPr="00477D1D">
        <w:rPr>
          <w:rFonts w:eastAsia="Times New Roman" w:cs="Arial"/>
          <w:color w:val="000000"/>
          <w:szCs w:val="20"/>
          <w:lang w:val="en-US"/>
        </w:rPr>
        <w:t>SD</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под средното за жени в предменопауза </w:t>
      </w:r>
      <w:r w:rsidRPr="00477D1D">
        <w:rPr>
          <w:rFonts w:eastAsia="Times New Roman" w:cs="Arial"/>
          <w:color w:val="000000"/>
          <w:szCs w:val="20"/>
          <w:lang w:val="ru-RU"/>
        </w:rPr>
        <w:t>(</w:t>
      </w:r>
      <w:r w:rsidRPr="00477D1D">
        <w:rPr>
          <w:rFonts w:eastAsia="Times New Roman" w:cs="Arial"/>
          <w:color w:val="000000"/>
          <w:szCs w:val="20"/>
          <w:lang w:val="en-US"/>
        </w:rPr>
        <w:t>T</w:t>
      </w:r>
      <w:r w:rsidRPr="00477D1D">
        <w:rPr>
          <w:rFonts w:eastAsia="Times New Roman" w:cs="Arial"/>
          <w:color w:val="000000"/>
          <w:szCs w:val="20"/>
          <w:lang w:val="ru-RU"/>
        </w:rPr>
        <w:t>-</w:t>
      </w:r>
      <w:r w:rsidRPr="00477D1D">
        <w:rPr>
          <w:rFonts w:eastAsia="Times New Roman" w:cs="Arial"/>
          <w:color w:val="000000"/>
          <w:szCs w:val="20"/>
          <w:lang w:val="en-US"/>
        </w:rPr>
        <w:t>score</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на поне един прешлен </w:t>
      </w:r>
      <w:r w:rsidRPr="00477D1D">
        <w:rPr>
          <w:rFonts w:eastAsia="Times New Roman" w:cs="Arial"/>
          <w:color w:val="000000"/>
          <w:szCs w:val="20"/>
          <w:lang w:val="ru-RU"/>
        </w:rPr>
        <w:t>(</w:t>
      </w:r>
      <w:r w:rsidRPr="00477D1D">
        <w:rPr>
          <w:rFonts w:eastAsia="Times New Roman" w:cs="Arial"/>
          <w:color w:val="000000"/>
          <w:szCs w:val="20"/>
          <w:lang w:val="en-US"/>
        </w:rPr>
        <w:t>L</w:t>
      </w:r>
      <w:r w:rsidRPr="00477D1D">
        <w:rPr>
          <w:rFonts w:eastAsia="Times New Roman" w:cs="Arial"/>
          <w:color w:val="000000"/>
          <w:szCs w:val="20"/>
          <w:lang w:val="ru-RU"/>
        </w:rPr>
        <w:t>1-</w:t>
      </w:r>
      <w:r w:rsidRPr="00477D1D">
        <w:rPr>
          <w:rFonts w:eastAsia="Times New Roman" w:cs="Arial"/>
          <w:color w:val="000000"/>
          <w:szCs w:val="20"/>
          <w:lang w:val="en-US"/>
        </w:rPr>
        <w:t>L</w:t>
      </w:r>
      <w:r w:rsidRPr="00477D1D">
        <w:rPr>
          <w:rFonts w:eastAsia="Times New Roman" w:cs="Arial"/>
          <w:color w:val="000000"/>
          <w:szCs w:val="20"/>
          <w:lang w:val="ru-RU"/>
        </w:rPr>
        <w:t xml:space="preserve">4) </w:t>
      </w:r>
      <w:r w:rsidRPr="00477D1D">
        <w:rPr>
          <w:rFonts w:eastAsia="Times New Roman" w:cs="Arial"/>
          <w:color w:val="000000"/>
          <w:szCs w:val="20"/>
          <w:lang w:eastAsia="bg-BG"/>
        </w:rPr>
        <w:t xml:space="preserve">и които са имали една до четири предхождащи вертебрални фрактури. Всички пациенти са получавали 500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калций и 400 </w:t>
      </w:r>
      <w:r w:rsidRPr="00477D1D">
        <w:rPr>
          <w:rFonts w:eastAsia="Times New Roman" w:cs="Arial"/>
          <w:color w:val="000000"/>
          <w:szCs w:val="20"/>
          <w:lang w:val="en-US"/>
        </w:rPr>
        <w:t>IU</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витамин </w:t>
      </w:r>
      <w:r w:rsidRPr="00477D1D">
        <w:rPr>
          <w:rFonts w:eastAsia="Times New Roman" w:cs="Arial"/>
          <w:color w:val="000000"/>
          <w:szCs w:val="20"/>
          <w:lang w:val="en-US"/>
        </w:rPr>
        <w:t>D</w:t>
      </w:r>
      <w:r w:rsidRPr="00477D1D">
        <w:rPr>
          <w:rFonts w:eastAsia="Times New Roman" w:cs="Arial"/>
          <w:color w:val="000000"/>
          <w:szCs w:val="20"/>
          <w:lang w:val="ru-RU"/>
        </w:rPr>
        <w:t xml:space="preserve"> </w:t>
      </w:r>
      <w:r w:rsidRPr="00477D1D">
        <w:rPr>
          <w:rFonts w:eastAsia="Times New Roman" w:cs="Arial"/>
          <w:color w:val="000000"/>
          <w:szCs w:val="20"/>
          <w:lang w:eastAsia="bg-BG"/>
        </w:rPr>
        <w:t xml:space="preserve">дневно. </w:t>
      </w:r>
      <w:r w:rsidRPr="00477D1D">
        <w:rPr>
          <w:rFonts w:eastAsia="Times New Roman" w:cs="Arial"/>
          <w:color w:val="000000"/>
          <w:szCs w:val="20"/>
          <w:lang w:eastAsia="bg-BG"/>
        </w:rPr>
        <w:lastRenderedPageBreak/>
        <w:t xml:space="preserve">Ефикасността е била оценявана при 2928 пациентки. Ибандронова киселина 2,5 </w:t>
      </w:r>
      <w:r w:rsidRPr="00477D1D">
        <w:rPr>
          <w:rFonts w:eastAsia="Times New Roman" w:cs="Arial"/>
          <w:color w:val="000000"/>
          <w:szCs w:val="20"/>
          <w:lang w:val="en-US"/>
        </w:rPr>
        <w:t>mg</w:t>
      </w:r>
      <w:r w:rsidRPr="00477D1D">
        <w:rPr>
          <w:rFonts w:eastAsia="Times New Roman" w:cs="Arial"/>
          <w:color w:val="000000"/>
          <w:szCs w:val="20"/>
          <w:lang w:val="ru-RU"/>
        </w:rPr>
        <w:t xml:space="preserve"> </w:t>
      </w:r>
      <w:r w:rsidRPr="00477D1D">
        <w:rPr>
          <w:rFonts w:eastAsia="Times New Roman" w:cs="Arial"/>
          <w:color w:val="000000"/>
          <w:szCs w:val="20"/>
          <w:lang w:eastAsia="bg-BG"/>
        </w:rPr>
        <w:t>при ежедневно приложение показва статистически и клинично значимо намаление на честотата на нови вертебрални фактури. Тази схема на лечение е довела до намаление на появата на нови рентгенографски доказани вертебрални фрактури с 62 % (р = 0,0001) за трите години на провеждане на изпитването. Относително намаление на риска с 61 % е наблюдавано след 2 години (р = 0,0006). Не е постигната статистически значима разлика след 1 година на лечение (р - 0,056). Противофрактурният ефект е бил устойчив по време на изпитването. Няма данни за намаляване на ефекта с времето.</w:t>
      </w:r>
    </w:p>
    <w:p w14:paraId="3DD8DA8B" w14:textId="77777777" w:rsidR="00477D1D" w:rsidRPr="00477D1D" w:rsidRDefault="00477D1D" w:rsidP="00477D1D">
      <w:pPr>
        <w:spacing w:line="240" w:lineRule="auto"/>
        <w:rPr>
          <w:rFonts w:eastAsia="Times New Roman" w:cs="Arial"/>
          <w:sz w:val="28"/>
          <w:szCs w:val="24"/>
        </w:rPr>
      </w:pPr>
      <w:r w:rsidRPr="00477D1D">
        <w:rPr>
          <w:rFonts w:eastAsia="Times New Roman" w:cs="Arial"/>
          <w:color w:val="000000"/>
          <w:szCs w:val="20"/>
          <w:lang w:eastAsia="bg-BG"/>
        </w:rPr>
        <w:t>Честотата на клинично доказаните вертебрални фрактури също намалява значимо с 49 % (р = 0,011). Освен това, изразеният ефект върху вертебралните фрактури се изразява в статистически значимо по-малкото намаление на ръста в сравнение с плацебо (р &lt; 0,0001).</w:t>
      </w:r>
    </w:p>
    <w:p w14:paraId="14F3BBA8" w14:textId="77777777" w:rsidR="00477D1D" w:rsidRPr="00477D1D" w:rsidRDefault="00477D1D" w:rsidP="00477D1D">
      <w:pPr>
        <w:spacing w:line="240" w:lineRule="auto"/>
        <w:rPr>
          <w:rFonts w:eastAsia="Times New Roman" w:cs="Arial"/>
          <w:b/>
          <w:bCs/>
          <w:color w:val="000000"/>
          <w:szCs w:val="20"/>
          <w:lang w:eastAsia="bg-BG"/>
        </w:rPr>
      </w:pPr>
    </w:p>
    <w:p w14:paraId="31D186F1" w14:textId="4F12FAE3" w:rsidR="00477D1D" w:rsidRDefault="00477D1D" w:rsidP="00477D1D">
      <w:pPr>
        <w:spacing w:line="240" w:lineRule="auto"/>
        <w:rPr>
          <w:rFonts w:eastAsia="Times New Roman" w:cs="Arial"/>
          <w:b/>
          <w:bCs/>
          <w:color w:val="000000"/>
          <w:szCs w:val="20"/>
          <w:lang w:val="ru-RU"/>
        </w:rPr>
      </w:pPr>
      <w:r w:rsidRPr="00477D1D">
        <w:rPr>
          <w:rFonts w:eastAsia="Times New Roman" w:cs="Arial"/>
          <w:b/>
          <w:bCs/>
          <w:color w:val="000000"/>
          <w:szCs w:val="20"/>
          <w:lang w:eastAsia="bg-BG"/>
        </w:rPr>
        <w:t xml:space="preserve">Таблица 3: Резултати от 3-годишно клинично изпитване за фрактури </w:t>
      </w:r>
      <w:r w:rsidRPr="00477D1D">
        <w:rPr>
          <w:rFonts w:eastAsia="Times New Roman" w:cs="Arial"/>
          <w:b/>
          <w:bCs/>
          <w:color w:val="000000"/>
          <w:szCs w:val="20"/>
          <w:lang w:val="en-US"/>
        </w:rPr>
        <w:t>MF</w:t>
      </w:r>
      <w:r w:rsidRPr="00477D1D">
        <w:rPr>
          <w:rFonts w:eastAsia="Times New Roman" w:cs="Arial"/>
          <w:b/>
          <w:bCs/>
          <w:color w:val="000000"/>
          <w:szCs w:val="20"/>
          <w:lang w:val="ru-RU"/>
        </w:rPr>
        <w:t xml:space="preserve"> </w:t>
      </w:r>
      <w:r w:rsidRPr="00477D1D">
        <w:rPr>
          <w:rFonts w:eastAsia="Times New Roman" w:cs="Arial"/>
          <w:b/>
          <w:bCs/>
          <w:color w:val="000000"/>
          <w:szCs w:val="20"/>
          <w:lang w:eastAsia="bg-BG"/>
        </w:rPr>
        <w:t xml:space="preserve">4411 (%, 95 % </w:t>
      </w:r>
      <w:r w:rsidRPr="00477D1D">
        <w:rPr>
          <w:rFonts w:eastAsia="Times New Roman" w:cs="Arial"/>
          <w:b/>
          <w:bCs/>
          <w:color w:val="000000"/>
          <w:szCs w:val="20"/>
          <w:lang w:val="en-US"/>
        </w:rPr>
        <w:t>CI</w:t>
      </w:r>
      <w:r w:rsidRPr="00477D1D">
        <w:rPr>
          <w:rFonts w:eastAsia="Times New Roman" w:cs="Arial"/>
          <w:b/>
          <w:bCs/>
          <w:color w:val="000000"/>
          <w:szCs w:val="20"/>
          <w:lang w:val="ru-RU"/>
        </w:rPr>
        <w:t>)</w:t>
      </w:r>
    </w:p>
    <w:p w14:paraId="262FB8C6" w14:textId="0FD05A66" w:rsidR="00477D1D" w:rsidRDefault="00477D1D" w:rsidP="00477D1D">
      <w:pPr>
        <w:spacing w:line="240" w:lineRule="auto"/>
        <w:rPr>
          <w:rFonts w:eastAsia="Times New Roman" w:cs="Arial"/>
          <w:b/>
          <w:bCs/>
          <w:color w:val="000000"/>
          <w:szCs w:val="20"/>
          <w:lang w:val="ru-RU"/>
        </w:rPr>
      </w:pPr>
    </w:p>
    <w:tbl>
      <w:tblPr>
        <w:tblStyle w:val="TableGrid"/>
        <w:tblW w:w="0" w:type="auto"/>
        <w:tblLook w:val="04A0" w:firstRow="1" w:lastRow="0" w:firstColumn="1" w:lastColumn="0" w:noHBand="0" w:noVBand="1"/>
      </w:tblPr>
      <w:tblGrid>
        <w:gridCol w:w="4114"/>
        <w:gridCol w:w="2118"/>
        <w:gridCol w:w="3118"/>
      </w:tblGrid>
      <w:tr w:rsidR="004A25C4" w14:paraId="172E822F" w14:textId="77777777" w:rsidTr="004A25C4">
        <w:tc>
          <w:tcPr>
            <w:tcW w:w="4219" w:type="dxa"/>
          </w:tcPr>
          <w:p w14:paraId="4274862F" w14:textId="77777777" w:rsidR="004A25C4" w:rsidRPr="004A25C4" w:rsidRDefault="004A25C4" w:rsidP="004A25C4">
            <w:pPr>
              <w:spacing w:line="240" w:lineRule="auto"/>
              <w:rPr>
                <w:rFonts w:eastAsia="Times New Roman" w:cs="Arial"/>
                <w:szCs w:val="24"/>
                <w:lang w:val="ru-RU"/>
              </w:rPr>
            </w:pPr>
          </w:p>
        </w:tc>
        <w:tc>
          <w:tcPr>
            <w:tcW w:w="2165" w:type="dxa"/>
          </w:tcPr>
          <w:p w14:paraId="0B4C98B0" w14:textId="1932C587" w:rsidR="004A25C4" w:rsidRPr="004A25C4" w:rsidRDefault="004A25C4" w:rsidP="004A25C4">
            <w:pPr>
              <w:spacing w:line="240" w:lineRule="auto"/>
              <w:rPr>
                <w:rFonts w:eastAsia="Times New Roman" w:cs="Arial"/>
                <w:szCs w:val="24"/>
                <w:lang w:val="ru-RU"/>
              </w:rPr>
            </w:pPr>
            <w:r w:rsidRPr="004A25C4">
              <w:rPr>
                <w:szCs w:val="20"/>
              </w:rPr>
              <w:t xml:space="preserve">Плацебо </w:t>
            </w:r>
            <w:r w:rsidRPr="004A25C4">
              <w:rPr>
                <w:szCs w:val="20"/>
                <w:lang w:val="en-US"/>
              </w:rPr>
              <w:t>(N =</w:t>
            </w:r>
            <w:r w:rsidRPr="004A25C4">
              <w:rPr>
                <w:szCs w:val="20"/>
              </w:rPr>
              <w:t>974)</w:t>
            </w:r>
          </w:p>
        </w:tc>
        <w:tc>
          <w:tcPr>
            <w:tcW w:w="3192" w:type="dxa"/>
          </w:tcPr>
          <w:p w14:paraId="4BD07FAB" w14:textId="77777777" w:rsidR="004A25C4" w:rsidRPr="004A25C4" w:rsidRDefault="004A25C4" w:rsidP="004A25C4">
            <w:r w:rsidRPr="004A25C4">
              <w:rPr>
                <w:szCs w:val="20"/>
              </w:rPr>
              <w:t xml:space="preserve">ибандронова киселина 2,5 </w:t>
            </w:r>
            <w:r w:rsidRPr="004A25C4">
              <w:rPr>
                <w:szCs w:val="20"/>
                <w:lang w:val="en-US"/>
              </w:rPr>
              <w:t>mg</w:t>
            </w:r>
            <w:r w:rsidRPr="004A25C4">
              <w:rPr>
                <w:szCs w:val="20"/>
                <w:lang w:val="ru-RU"/>
              </w:rPr>
              <w:t xml:space="preserve"> </w:t>
            </w:r>
            <w:r w:rsidRPr="004A25C4">
              <w:rPr>
                <w:szCs w:val="20"/>
              </w:rPr>
              <w:t>дневно</w:t>
            </w:r>
          </w:p>
          <w:p w14:paraId="148A42B9" w14:textId="18BEA2BB" w:rsidR="004A25C4" w:rsidRPr="004A25C4" w:rsidRDefault="004A25C4" w:rsidP="004A25C4">
            <w:pPr>
              <w:spacing w:line="240" w:lineRule="auto"/>
              <w:rPr>
                <w:rFonts w:eastAsia="Times New Roman" w:cs="Arial"/>
                <w:szCs w:val="24"/>
                <w:lang w:val="ru-RU"/>
              </w:rPr>
            </w:pPr>
            <w:r w:rsidRPr="004A25C4">
              <w:rPr>
                <w:szCs w:val="20"/>
                <w:lang w:val="ru-RU"/>
              </w:rPr>
              <w:t>(</w:t>
            </w:r>
            <w:r w:rsidRPr="004A25C4">
              <w:rPr>
                <w:szCs w:val="20"/>
                <w:lang w:val="en-US"/>
              </w:rPr>
              <w:t>N</w:t>
            </w:r>
            <w:r w:rsidRPr="004A25C4">
              <w:rPr>
                <w:szCs w:val="20"/>
                <w:lang w:val="ru-RU"/>
              </w:rPr>
              <w:t xml:space="preserve"> </w:t>
            </w:r>
            <w:r w:rsidRPr="004A25C4">
              <w:rPr>
                <w:szCs w:val="20"/>
              </w:rPr>
              <w:t>= 977)</w:t>
            </w:r>
          </w:p>
        </w:tc>
      </w:tr>
      <w:tr w:rsidR="004A25C4" w14:paraId="4E7B4CFD" w14:textId="77777777" w:rsidTr="004A25C4">
        <w:tc>
          <w:tcPr>
            <w:tcW w:w="4219" w:type="dxa"/>
          </w:tcPr>
          <w:p w14:paraId="6E4509C8" w14:textId="6475B114" w:rsidR="004A25C4" w:rsidRPr="004A25C4" w:rsidRDefault="004A25C4" w:rsidP="004A25C4">
            <w:pPr>
              <w:spacing w:line="240" w:lineRule="auto"/>
              <w:rPr>
                <w:rFonts w:eastAsia="Times New Roman" w:cs="Arial"/>
                <w:szCs w:val="24"/>
                <w:lang w:val="ru-RU"/>
              </w:rPr>
            </w:pPr>
            <w:r w:rsidRPr="004A25C4">
              <w:rPr>
                <w:szCs w:val="20"/>
              </w:rPr>
              <w:t>Намаляване на относителния риск Нови морфометрично доказани вертебрални фрактури</w:t>
            </w:r>
          </w:p>
        </w:tc>
        <w:tc>
          <w:tcPr>
            <w:tcW w:w="2165" w:type="dxa"/>
          </w:tcPr>
          <w:p w14:paraId="69952D26" w14:textId="77777777" w:rsidR="004A25C4" w:rsidRPr="004A25C4" w:rsidRDefault="004A25C4" w:rsidP="004A25C4">
            <w:pPr>
              <w:spacing w:line="240" w:lineRule="auto"/>
              <w:rPr>
                <w:rFonts w:eastAsia="Times New Roman" w:cs="Arial"/>
                <w:szCs w:val="24"/>
                <w:lang w:val="ru-RU"/>
              </w:rPr>
            </w:pPr>
          </w:p>
        </w:tc>
        <w:tc>
          <w:tcPr>
            <w:tcW w:w="3192" w:type="dxa"/>
          </w:tcPr>
          <w:p w14:paraId="1AF1EF70" w14:textId="1217419B" w:rsidR="004A25C4" w:rsidRPr="004A25C4" w:rsidRDefault="004A25C4" w:rsidP="004A25C4">
            <w:pPr>
              <w:spacing w:line="240" w:lineRule="auto"/>
              <w:rPr>
                <w:rFonts w:eastAsia="Times New Roman" w:cs="Arial"/>
                <w:szCs w:val="24"/>
                <w:lang w:val="ru-RU"/>
              </w:rPr>
            </w:pPr>
            <w:r w:rsidRPr="004A25C4">
              <w:rPr>
                <w:szCs w:val="20"/>
              </w:rPr>
              <w:t>62 % (40,9, 75,1)</w:t>
            </w:r>
          </w:p>
        </w:tc>
      </w:tr>
      <w:tr w:rsidR="004A25C4" w14:paraId="79E17048" w14:textId="77777777" w:rsidTr="004A25C4">
        <w:tc>
          <w:tcPr>
            <w:tcW w:w="4219" w:type="dxa"/>
          </w:tcPr>
          <w:p w14:paraId="6B4573AE" w14:textId="213C9C05" w:rsidR="004A25C4" w:rsidRPr="004A25C4" w:rsidRDefault="004A25C4" w:rsidP="004A25C4">
            <w:pPr>
              <w:spacing w:line="240" w:lineRule="auto"/>
              <w:rPr>
                <w:rFonts w:eastAsia="Times New Roman" w:cs="Arial"/>
                <w:szCs w:val="24"/>
                <w:lang w:val="ru-RU"/>
              </w:rPr>
            </w:pPr>
            <w:r w:rsidRPr="004A25C4">
              <w:rPr>
                <w:szCs w:val="20"/>
              </w:rPr>
              <w:t>Честота на нови морфометрично доказани вертебрални фрактури</w:t>
            </w:r>
          </w:p>
        </w:tc>
        <w:tc>
          <w:tcPr>
            <w:tcW w:w="2165" w:type="dxa"/>
          </w:tcPr>
          <w:p w14:paraId="6273B805" w14:textId="2D3A34F3" w:rsidR="004A25C4" w:rsidRPr="004A25C4" w:rsidRDefault="004A25C4" w:rsidP="004A25C4">
            <w:pPr>
              <w:spacing w:line="240" w:lineRule="auto"/>
              <w:rPr>
                <w:rFonts w:eastAsia="Times New Roman" w:cs="Arial"/>
                <w:szCs w:val="24"/>
                <w:lang w:val="ru-RU"/>
              </w:rPr>
            </w:pPr>
            <w:r w:rsidRPr="004A25C4">
              <w:rPr>
                <w:szCs w:val="20"/>
              </w:rPr>
              <w:t>9,56 % (7,5; 11,7)</w:t>
            </w:r>
          </w:p>
        </w:tc>
        <w:tc>
          <w:tcPr>
            <w:tcW w:w="3192" w:type="dxa"/>
          </w:tcPr>
          <w:p w14:paraId="0C67818B" w14:textId="2D0E0C8B" w:rsidR="004A25C4" w:rsidRPr="004A25C4" w:rsidRDefault="004A25C4" w:rsidP="004A25C4">
            <w:pPr>
              <w:spacing w:line="240" w:lineRule="auto"/>
              <w:rPr>
                <w:rFonts w:eastAsia="Times New Roman" w:cs="Arial"/>
                <w:szCs w:val="24"/>
                <w:lang w:val="ru-RU"/>
              </w:rPr>
            </w:pPr>
            <w:r w:rsidRPr="004A25C4">
              <w:rPr>
                <w:szCs w:val="20"/>
              </w:rPr>
              <w:t>4,68 % (3,2; 6,2)</w:t>
            </w:r>
          </w:p>
        </w:tc>
      </w:tr>
      <w:tr w:rsidR="004A25C4" w14:paraId="1BBD5F98" w14:textId="77777777" w:rsidTr="004A25C4">
        <w:tc>
          <w:tcPr>
            <w:tcW w:w="4219" w:type="dxa"/>
          </w:tcPr>
          <w:p w14:paraId="589D8299" w14:textId="0F04082A" w:rsidR="004A25C4" w:rsidRPr="004A25C4" w:rsidRDefault="004A25C4" w:rsidP="004A25C4">
            <w:pPr>
              <w:spacing w:line="240" w:lineRule="auto"/>
              <w:rPr>
                <w:rFonts w:eastAsia="Times New Roman" w:cs="Arial"/>
                <w:szCs w:val="24"/>
                <w:lang w:val="ru-RU"/>
              </w:rPr>
            </w:pPr>
            <w:r w:rsidRPr="004A25C4">
              <w:rPr>
                <w:szCs w:val="20"/>
              </w:rPr>
              <w:t>Намаляване на относителния риск от клинична вертебрална фрактура</w:t>
            </w:r>
          </w:p>
        </w:tc>
        <w:tc>
          <w:tcPr>
            <w:tcW w:w="2165" w:type="dxa"/>
          </w:tcPr>
          <w:p w14:paraId="2DA81EF2" w14:textId="77777777" w:rsidR="004A25C4" w:rsidRPr="004A25C4" w:rsidRDefault="004A25C4" w:rsidP="004A25C4">
            <w:pPr>
              <w:spacing w:line="240" w:lineRule="auto"/>
              <w:rPr>
                <w:rFonts w:eastAsia="Times New Roman" w:cs="Arial"/>
                <w:szCs w:val="24"/>
                <w:lang w:val="ru-RU"/>
              </w:rPr>
            </w:pPr>
          </w:p>
        </w:tc>
        <w:tc>
          <w:tcPr>
            <w:tcW w:w="3192" w:type="dxa"/>
          </w:tcPr>
          <w:p w14:paraId="28B9FAAB" w14:textId="77777777" w:rsidR="004A25C4" w:rsidRPr="004A25C4" w:rsidRDefault="004A25C4" w:rsidP="004A25C4">
            <w:r w:rsidRPr="004A25C4">
              <w:rPr>
                <w:szCs w:val="20"/>
              </w:rPr>
              <w:t>49%</w:t>
            </w:r>
          </w:p>
          <w:p w14:paraId="25B7EAF4" w14:textId="01D22992" w:rsidR="004A25C4" w:rsidRPr="004A25C4" w:rsidRDefault="004A25C4" w:rsidP="004A25C4">
            <w:pPr>
              <w:spacing w:line="240" w:lineRule="auto"/>
              <w:rPr>
                <w:rFonts w:eastAsia="Times New Roman" w:cs="Arial"/>
                <w:szCs w:val="24"/>
                <w:lang w:val="ru-RU"/>
              </w:rPr>
            </w:pPr>
            <w:r w:rsidRPr="004A25C4">
              <w:rPr>
                <w:szCs w:val="20"/>
              </w:rPr>
              <w:t>(14,03, 69,49)</w:t>
            </w:r>
          </w:p>
        </w:tc>
      </w:tr>
      <w:tr w:rsidR="004A25C4" w14:paraId="5D6EA8A6" w14:textId="77777777" w:rsidTr="004A25C4">
        <w:tc>
          <w:tcPr>
            <w:tcW w:w="4219" w:type="dxa"/>
          </w:tcPr>
          <w:p w14:paraId="4B091299" w14:textId="76918966" w:rsidR="004A25C4" w:rsidRPr="004A25C4" w:rsidRDefault="004A25C4" w:rsidP="004A25C4">
            <w:pPr>
              <w:spacing w:line="240" w:lineRule="auto"/>
              <w:rPr>
                <w:rFonts w:eastAsia="Times New Roman" w:cs="Arial"/>
                <w:szCs w:val="24"/>
                <w:lang w:val="ru-RU"/>
              </w:rPr>
            </w:pPr>
            <w:r w:rsidRPr="004A25C4">
              <w:rPr>
                <w:szCs w:val="20"/>
              </w:rPr>
              <w:t>Честота на клинична вертебрална фрактура</w:t>
            </w:r>
          </w:p>
        </w:tc>
        <w:tc>
          <w:tcPr>
            <w:tcW w:w="2165" w:type="dxa"/>
          </w:tcPr>
          <w:p w14:paraId="361B6341" w14:textId="4850F336" w:rsidR="004A25C4" w:rsidRPr="004A25C4" w:rsidRDefault="004A25C4" w:rsidP="004A25C4">
            <w:pPr>
              <w:spacing w:line="240" w:lineRule="auto"/>
              <w:rPr>
                <w:rFonts w:eastAsia="Times New Roman" w:cs="Arial"/>
                <w:szCs w:val="24"/>
                <w:lang w:val="ru-RU"/>
              </w:rPr>
            </w:pPr>
            <w:r w:rsidRPr="004A25C4">
              <w:rPr>
                <w:szCs w:val="20"/>
              </w:rPr>
              <w:t>5,33 % (3,73; 6,92)</w:t>
            </w:r>
          </w:p>
        </w:tc>
        <w:tc>
          <w:tcPr>
            <w:tcW w:w="3192" w:type="dxa"/>
          </w:tcPr>
          <w:p w14:paraId="53BB8F20" w14:textId="648F3169" w:rsidR="004A25C4" w:rsidRPr="004A25C4" w:rsidRDefault="004A25C4" w:rsidP="004A25C4">
            <w:pPr>
              <w:spacing w:line="240" w:lineRule="auto"/>
              <w:rPr>
                <w:rFonts w:eastAsia="Times New Roman" w:cs="Arial"/>
                <w:szCs w:val="24"/>
                <w:lang w:val="ru-RU"/>
              </w:rPr>
            </w:pPr>
            <w:r w:rsidRPr="004A25C4">
              <w:rPr>
                <w:szCs w:val="20"/>
              </w:rPr>
              <w:t>2,75 % (1,61; 3,89)</w:t>
            </w:r>
          </w:p>
        </w:tc>
      </w:tr>
      <w:tr w:rsidR="004A25C4" w14:paraId="710F407F" w14:textId="77777777" w:rsidTr="004A25C4">
        <w:tc>
          <w:tcPr>
            <w:tcW w:w="4219" w:type="dxa"/>
          </w:tcPr>
          <w:p w14:paraId="7948C2F7" w14:textId="64677E55" w:rsidR="004A25C4" w:rsidRPr="004A25C4" w:rsidRDefault="004A25C4" w:rsidP="004A25C4">
            <w:pPr>
              <w:spacing w:line="240" w:lineRule="auto"/>
              <w:rPr>
                <w:rFonts w:eastAsia="Times New Roman" w:cs="Arial"/>
                <w:szCs w:val="24"/>
                <w:lang w:val="ru-RU"/>
              </w:rPr>
            </w:pPr>
            <w:r w:rsidRPr="004A25C4">
              <w:rPr>
                <w:szCs w:val="20"/>
              </w:rPr>
              <w:t>КМП - средна промяна отнесена към изходната стойност на лумбалния отдел на гръбначния стълб през 3-тата година</w:t>
            </w:r>
          </w:p>
        </w:tc>
        <w:tc>
          <w:tcPr>
            <w:tcW w:w="2165" w:type="dxa"/>
          </w:tcPr>
          <w:p w14:paraId="776C75B0" w14:textId="71666003" w:rsidR="004A25C4" w:rsidRPr="004A25C4" w:rsidRDefault="004A25C4" w:rsidP="004A25C4">
            <w:pPr>
              <w:spacing w:line="240" w:lineRule="auto"/>
              <w:rPr>
                <w:rFonts w:eastAsia="Times New Roman" w:cs="Arial"/>
                <w:szCs w:val="24"/>
                <w:lang w:val="ru-RU"/>
              </w:rPr>
            </w:pPr>
            <w:r w:rsidRPr="004A25C4">
              <w:rPr>
                <w:szCs w:val="20"/>
              </w:rPr>
              <w:t>1,26 % (0,8; 1,7)</w:t>
            </w:r>
          </w:p>
        </w:tc>
        <w:tc>
          <w:tcPr>
            <w:tcW w:w="3192" w:type="dxa"/>
          </w:tcPr>
          <w:p w14:paraId="16EBD9CD" w14:textId="7F7E4AD2" w:rsidR="004A25C4" w:rsidRPr="004A25C4" w:rsidRDefault="004A25C4" w:rsidP="004A25C4">
            <w:pPr>
              <w:spacing w:line="240" w:lineRule="auto"/>
              <w:rPr>
                <w:rFonts w:eastAsia="Times New Roman" w:cs="Arial"/>
                <w:szCs w:val="24"/>
                <w:lang w:val="ru-RU"/>
              </w:rPr>
            </w:pPr>
            <w:r w:rsidRPr="004A25C4">
              <w:rPr>
                <w:szCs w:val="20"/>
              </w:rPr>
              <w:t>6,54 % (6,1; 7,0)</w:t>
            </w:r>
          </w:p>
        </w:tc>
      </w:tr>
      <w:tr w:rsidR="004A25C4" w14:paraId="4907EDD1" w14:textId="77777777" w:rsidTr="004A25C4">
        <w:tc>
          <w:tcPr>
            <w:tcW w:w="4219" w:type="dxa"/>
          </w:tcPr>
          <w:p w14:paraId="712A3CB9" w14:textId="2B0964AF" w:rsidR="004A25C4" w:rsidRPr="004A25C4" w:rsidRDefault="004A25C4" w:rsidP="004A25C4">
            <w:pPr>
              <w:spacing w:line="240" w:lineRule="auto"/>
              <w:rPr>
                <w:rFonts w:eastAsia="Times New Roman" w:cs="Arial"/>
                <w:szCs w:val="24"/>
                <w:lang w:val="ru-RU"/>
              </w:rPr>
            </w:pPr>
            <w:r w:rsidRPr="004A25C4">
              <w:rPr>
                <w:szCs w:val="20"/>
              </w:rPr>
              <w:t>КМП - средна промяна отнесена към изходната стойност в цяло бедро през 3- тата година</w:t>
            </w:r>
          </w:p>
        </w:tc>
        <w:tc>
          <w:tcPr>
            <w:tcW w:w="2165" w:type="dxa"/>
          </w:tcPr>
          <w:p w14:paraId="226853EF" w14:textId="77777777" w:rsidR="004A25C4" w:rsidRPr="004A25C4" w:rsidRDefault="004A25C4" w:rsidP="004A25C4">
            <w:r w:rsidRPr="004A25C4">
              <w:rPr>
                <w:szCs w:val="20"/>
              </w:rPr>
              <w:t>-0,69 %</w:t>
            </w:r>
          </w:p>
          <w:p w14:paraId="7C687752" w14:textId="1768C0CF" w:rsidR="004A25C4" w:rsidRPr="004A25C4" w:rsidRDefault="004A25C4" w:rsidP="004A25C4">
            <w:pPr>
              <w:spacing w:line="240" w:lineRule="auto"/>
              <w:rPr>
                <w:rFonts w:eastAsia="Times New Roman" w:cs="Arial"/>
                <w:szCs w:val="24"/>
                <w:lang w:val="ru-RU"/>
              </w:rPr>
            </w:pPr>
            <w:r w:rsidRPr="004A25C4">
              <w:rPr>
                <w:szCs w:val="20"/>
              </w:rPr>
              <w:t>(-1,0; -0,4)</w:t>
            </w:r>
          </w:p>
        </w:tc>
        <w:tc>
          <w:tcPr>
            <w:tcW w:w="3192" w:type="dxa"/>
          </w:tcPr>
          <w:p w14:paraId="4EB67734" w14:textId="28B97588" w:rsidR="004A25C4" w:rsidRPr="004A25C4" w:rsidRDefault="004A25C4" w:rsidP="004A25C4">
            <w:pPr>
              <w:spacing w:line="240" w:lineRule="auto"/>
              <w:rPr>
                <w:rFonts w:eastAsia="Times New Roman" w:cs="Arial"/>
                <w:szCs w:val="24"/>
                <w:lang w:val="ru-RU"/>
              </w:rPr>
            </w:pPr>
            <w:r w:rsidRPr="004A25C4">
              <w:rPr>
                <w:szCs w:val="20"/>
              </w:rPr>
              <w:t>3,36 % (3,0; 3,7)</w:t>
            </w:r>
          </w:p>
        </w:tc>
      </w:tr>
    </w:tbl>
    <w:p w14:paraId="4728C60F" w14:textId="6FC06547" w:rsidR="00477D1D" w:rsidRDefault="00477D1D" w:rsidP="00477D1D">
      <w:pPr>
        <w:spacing w:line="240" w:lineRule="auto"/>
        <w:rPr>
          <w:rFonts w:eastAsia="Times New Roman" w:cs="Arial"/>
          <w:sz w:val="28"/>
          <w:szCs w:val="24"/>
          <w:lang w:val="ru-RU"/>
        </w:rPr>
      </w:pPr>
    </w:p>
    <w:p w14:paraId="7C05287F"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Ефектът от лечението с ибандронова киселина е бил допълнително оценен при анализ на субпопулация пациенти, които на изходно ниво са имали КМП </w:t>
      </w:r>
      <w:r w:rsidRPr="004A25C4">
        <w:rPr>
          <w:rFonts w:eastAsia="Times New Roman" w:cs="Arial"/>
          <w:color w:val="000000"/>
          <w:szCs w:val="20"/>
          <w:lang w:val="en-US"/>
        </w:rPr>
        <w:t>T</w:t>
      </w:r>
      <w:r w:rsidRPr="004A25C4">
        <w:rPr>
          <w:rFonts w:eastAsia="Times New Roman" w:cs="Arial"/>
          <w:color w:val="000000"/>
          <w:szCs w:val="20"/>
          <w:lang w:val="ru-RU"/>
        </w:rPr>
        <w:t>-</w:t>
      </w:r>
      <w:r w:rsidRPr="004A25C4">
        <w:rPr>
          <w:rFonts w:eastAsia="Times New Roman" w:cs="Arial"/>
          <w:color w:val="000000"/>
          <w:szCs w:val="20"/>
          <w:lang w:val="en-US"/>
        </w:rPr>
        <w:t>score</w:t>
      </w:r>
      <w:r w:rsidRPr="004A25C4">
        <w:rPr>
          <w:rFonts w:eastAsia="Times New Roman" w:cs="Arial"/>
          <w:color w:val="000000"/>
          <w:szCs w:val="20"/>
          <w:lang w:val="ru-RU"/>
        </w:rPr>
        <w:t xml:space="preserve"> </w:t>
      </w:r>
      <w:r w:rsidRPr="004A25C4">
        <w:rPr>
          <w:rFonts w:eastAsia="Times New Roman" w:cs="Arial"/>
          <w:color w:val="000000"/>
          <w:szCs w:val="20"/>
          <w:lang w:eastAsia="bg-BG"/>
        </w:rPr>
        <w:t>под -2,5 в лумбалния отдел на гръбначния стълб. Намалението на риска от вертебрални фрактури е съответствало в голяма степен на риска за общата популация.</w:t>
      </w:r>
    </w:p>
    <w:p w14:paraId="7FDFD545" w14:textId="77777777" w:rsidR="004A25C4" w:rsidRPr="004A25C4" w:rsidRDefault="004A25C4" w:rsidP="004A25C4">
      <w:pPr>
        <w:spacing w:line="240" w:lineRule="auto"/>
        <w:rPr>
          <w:rFonts w:eastAsia="Times New Roman" w:cs="Arial"/>
          <w:b/>
          <w:bCs/>
          <w:color w:val="000000"/>
          <w:szCs w:val="20"/>
          <w:lang w:eastAsia="bg-BG"/>
        </w:rPr>
      </w:pPr>
    </w:p>
    <w:p w14:paraId="6CEF9103" w14:textId="3D9B0A1D" w:rsidR="004A25C4" w:rsidRPr="004A25C4" w:rsidRDefault="004A25C4" w:rsidP="004A25C4">
      <w:pPr>
        <w:spacing w:line="240" w:lineRule="auto"/>
        <w:rPr>
          <w:rFonts w:eastAsia="Times New Roman" w:cs="Arial"/>
          <w:sz w:val="28"/>
          <w:szCs w:val="24"/>
        </w:rPr>
      </w:pPr>
      <w:r w:rsidRPr="004A25C4">
        <w:rPr>
          <w:rFonts w:eastAsia="Times New Roman" w:cs="Arial"/>
          <w:b/>
          <w:bCs/>
          <w:color w:val="000000"/>
          <w:szCs w:val="20"/>
          <w:lang w:eastAsia="bg-BG"/>
        </w:rPr>
        <w:t xml:space="preserve">Таблица 4: Резултати от 3-годишно клинично изпитване за фрактури </w:t>
      </w:r>
      <w:r w:rsidRPr="004A25C4">
        <w:rPr>
          <w:rFonts w:eastAsia="Times New Roman" w:cs="Arial"/>
          <w:b/>
          <w:bCs/>
          <w:color w:val="000000"/>
          <w:szCs w:val="20"/>
          <w:lang w:val="en-US"/>
        </w:rPr>
        <w:t>MF</w:t>
      </w:r>
      <w:r w:rsidRPr="004A25C4">
        <w:rPr>
          <w:rFonts w:eastAsia="Times New Roman" w:cs="Arial"/>
          <w:b/>
          <w:bCs/>
          <w:color w:val="000000"/>
          <w:szCs w:val="20"/>
          <w:lang w:val="ru-RU"/>
        </w:rPr>
        <w:t xml:space="preserve"> </w:t>
      </w:r>
      <w:r w:rsidRPr="004A25C4">
        <w:rPr>
          <w:rFonts w:eastAsia="Times New Roman" w:cs="Arial"/>
          <w:b/>
          <w:bCs/>
          <w:color w:val="000000"/>
          <w:szCs w:val="20"/>
          <w:lang w:eastAsia="bg-BG"/>
        </w:rPr>
        <w:t xml:space="preserve">4411 (%, 95 % </w:t>
      </w:r>
      <w:r w:rsidRPr="004A25C4">
        <w:rPr>
          <w:rFonts w:eastAsia="Times New Roman" w:cs="Arial"/>
          <w:b/>
          <w:bCs/>
          <w:color w:val="000000"/>
          <w:szCs w:val="20"/>
          <w:lang w:val="en-US"/>
        </w:rPr>
        <w:t>CI</w:t>
      </w:r>
      <w:r w:rsidRPr="004A25C4">
        <w:rPr>
          <w:rFonts w:eastAsia="Times New Roman" w:cs="Arial"/>
          <w:b/>
          <w:bCs/>
          <w:color w:val="000000"/>
          <w:szCs w:val="20"/>
          <w:lang w:val="ru-RU"/>
        </w:rPr>
        <w:t xml:space="preserve">) </w:t>
      </w:r>
      <w:r w:rsidRPr="004A25C4">
        <w:rPr>
          <w:rFonts w:eastAsia="Times New Roman" w:cs="Arial"/>
          <w:b/>
          <w:bCs/>
          <w:color w:val="000000"/>
          <w:szCs w:val="20"/>
          <w:lang w:eastAsia="bg-BG"/>
        </w:rPr>
        <w:t xml:space="preserve">при пациенти е КМП Т- </w:t>
      </w:r>
      <w:r w:rsidRPr="004A25C4">
        <w:rPr>
          <w:rFonts w:eastAsia="Times New Roman" w:cs="Arial"/>
          <w:b/>
          <w:bCs/>
          <w:color w:val="000000"/>
          <w:szCs w:val="20"/>
          <w:lang w:val="en-US"/>
        </w:rPr>
        <w:t>score</w:t>
      </w:r>
      <w:r w:rsidRPr="004A25C4">
        <w:rPr>
          <w:rFonts w:eastAsia="Times New Roman" w:cs="Arial"/>
          <w:b/>
          <w:bCs/>
          <w:color w:val="000000"/>
          <w:szCs w:val="20"/>
          <w:lang w:val="ru-RU"/>
        </w:rPr>
        <w:t xml:space="preserve"> </w:t>
      </w:r>
      <w:r w:rsidRPr="004A25C4">
        <w:rPr>
          <w:rFonts w:eastAsia="Times New Roman" w:cs="Arial"/>
          <w:b/>
          <w:bCs/>
          <w:color w:val="000000"/>
          <w:szCs w:val="20"/>
          <w:lang w:eastAsia="bg-BG"/>
        </w:rPr>
        <w:t>на изходно ниво под -2,5 в лумбалния отдел на гръбначния стълб</w:t>
      </w:r>
    </w:p>
    <w:p w14:paraId="42FA56DE" w14:textId="443394E7" w:rsidR="004A25C4" w:rsidRDefault="004A25C4" w:rsidP="00477D1D">
      <w:pPr>
        <w:spacing w:line="240" w:lineRule="auto"/>
        <w:rPr>
          <w:rFonts w:eastAsia="Times New Roman" w:cs="Arial"/>
          <w:sz w:val="28"/>
          <w:szCs w:val="24"/>
        </w:rPr>
      </w:pPr>
    </w:p>
    <w:tbl>
      <w:tblPr>
        <w:tblStyle w:val="TableGrid"/>
        <w:tblW w:w="0" w:type="auto"/>
        <w:tblLook w:val="04A0" w:firstRow="1" w:lastRow="0" w:firstColumn="1" w:lastColumn="0" w:noHBand="0" w:noVBand="1"/>
      </w:tblPr>
      <w:tblGrid>
        <w:gridCol w:w="3134"/>
        <w:gridCol w:w="3098"/>
        <w:gridCol w:w="3118"/>
      </w:tblGrid>
      <w:tr w:rsidR="004A25C4" w14:paraId="78F6ED09" w14:textId="77777777" w:rsidTr="004A25C4">
        <w:tc>
          <w:tcPr>
            <w:tcW w:w="3192" w:type="dxa"/>
          </w:tcPr>
          <w:p w14:paraId="7402EE01" w14:textId="77777777" w:rsidR="004A25C4" w:rsidRPr="004A25C4" w:rsidRDefault="004A25C4" w:rsidP="004A25C4">
            <w:pPr>
              <w:spacing w:line="240" w:lineRule="auto"/>
              <w:rPr>
                <w:rFonts w:eastAsia="Times New Roman" w:cs="Arial"/>
              </w:rPr>
            </w:pPr>
          </w:p>
        </w:tc>
        <w:tc>
          <w:tcPr>
            <w:tcW w:w="3192" w:type="dxa"/>
          </w:tcPr>
          <w:p w14:paraId="2F71845D" w14:textId="75A8F8E6" w:rsidR="004A25C4" w:rsidRPr="004A25C4" w:rsidRDefault="004A25C4" w:rsidP="004A25C4">
            <w:pPr>
              <w:spacing w:line="240" w:lineRule="auto"/>
              <w:rPr>
                <w:rFonts w:eastAsia="Times New Roman" w:cs="Arial"/>
              </w:rPr>
            </w:pPr>
            <w:r w:rsidRPr="004A25C4">
              <w:t xml:space="preserve">Плацебо </w:t>
            </w:r>
            <w:r w:rsidRPr="004A25C4">
              <w:rPr>
                <w:lang w:val="en-US"/>
              </w:rPr>
              <w:t xml:space="preserve">(N </w:t>
            </w:r>
            <w:r w:rsidRPr="004A25C4">
              <w:t>= 587)</w:t>
            </w:r>
          </w:p>
        </w:tc>
        <w:tc>
          <w:tcPr>
            <w:tcW w:w="3192" w:type="dxa"/>
          </w:tcPr>
          <w:p w14:paraId="6E617D8C" w14:textId="77777777" w:rsidR="004A25C4" w:rsidRPr="004A25C4" w:rsidRDefault="004A25C4" w:rsidP="004A25C4">
            <w:r w:rsidRPr="004A25C4">
              <w:t xml:space="preserve">ибандронова киселина 2,5 </w:t>
            </w:r>
            <w:r w:rsidRPr="004A25C4">
              <w:rPr>
                <w:lang w:val="en-US"/>
              </w:rPr>
              <w:t>mg</w:t>
            </w:r>
            <w:r w:rsidRPr="004A25C4">
              <w:rPr>
                <w:lang w:val="ru-RU"/>
              </w:rPr>
              <w:t xml:space="preserve"> </w:t>
            </w:r>
            <w:r w:rsidRPr="004A25C4">
              <w:t>дневно</w:t>
            </w:r>
          </w:p>
          <w:p w14:paraId="30EFC21F" w14:textId="2D1A5693" w:rsidR="004A25C4" w:rsidRPr="004A25C4" w:rsidRDefault="004A25C4" w:rsidP="004A25C4">
            <w:pPr>
              <w:spacing w:line="240" w:lineRule="auto"/>
              <w:rPr>
                <w:rFonts w:eastAsia="Times New Roman" w:cs="Arial"/>
              </w:rPr>
            </w:pPr>
            <w:r w:rsidRPr="004A25C4">
              <w:rPr>
                <w:lang w:val="ru-RU"/>
              </w:rPr>
              <w:t>(</w:t>
            </w:r>
            <w:r w:rsidRPr="004A25C4">
              <w:rPr>
                <w:lang w:val="en-US"/>
              </w:rPr>
              <w:t>N</w:t>
            </w:r>
            <w:r w:rsidRPr="004A25C4">
              <w:rPr>
                <w:lang w:val="ru-RU"/>
              </w:rPr>
              <w:t xml:space="preserve"> </w:t>
            </w:r>
            <w:r w:rsidRPr="004A25C4">
              <w:t>= 575)</w:t>
            </w:r>
          </w:p>
        </w:tc>
      </w:tr>
      <w:tr w:rsidR="004A25C4" w14:paraId="238E1A69" w14:textId="77777777" w:rsidTr="004A25C4">
        <w:tc>
          <w:tcPr>
            <w:tcW w:w="3192" w:type="dxa"/>
          </w:tcPr>
          <w:p w14:paraId="33F060F1" w14:textId="667822D6" w:rsidR="004A25C4" w:rsidRPr="004A25C4" w:rsidRDefault="004A25C4" w:rsidP="004A25C4">
            <w:pPr>
              <w:spacing w:line="240" w:lineRule="auto"/>
              <w:rPr>
                <w:rFonts w:eastAsia="Times New Roman" w:cs="Arial"/>
              </w:rPr>
            </w:pPr>
            <w:r w:rsidRPr="004A25C4">
              <w:lastRenderedPageBreak/>
              <w:t>Намаляване на относителния риск Нови морфометрично доказани вертебрални фрактури</w:t>
            </w:r>
          </w:p>
        </w:tc>
        <w:tc>
          <w:tcPr>
            <w:tcW w:w="3192" w:type="dxa"/>
          </w:tcPr>
          <w:p w14:paraId="27C3BBF8" w14:textId="77777777" w:rsidR="004A25C4" w:rsidRPr="004A25C4" w:rsidRDefault="004A25C4" w:rsidP="004A25C4">
            <w:pPr>
              <w:spacing w:line="240" w:lineRule="auto"/>
              <w:rPr>
                <w:rFonts w:eastAsia="Times New Roman" w:cs="Arial"/>
              </w:rPr>
            </w:pPr>
          </w:p>
        </w:tc>
        <w:tc>
          <w:tcPr>
            <w:tcW w:w="3192" w:type="dxa"/>
          </w:tcPr>
          <w:p w14:paraId="1B0ED856" w14:textId="29DD58FD" w:rsidR="004A25C4" w:rsidRPr="004A25C4" w:rsidRDefault="004A25C4" w:rsidP="004A25C4">
            <w:pPr>
              <w:spacing w:line="240" w:lineRule="auto"/>
              <w:rPr>
                <w:rFonts w:eastAsia="Times New Roman" w:cs="Arial"/>
              </w:rPr>
            </w:pPr>
            <w:r w:rsidRPr="004A25C4">
              <w:t>59 % (34,5; 74,3)</w:t>
            </w:r>
          </w:p>
        </w:tc>
      </w:tr>
      <w:tr w:rsidR="004A25C4" w14:paraId="4C3D987B" w14:textId="77777777" w:rsidTr="004A25C4">
        <w:tc>
          <w:tcPr>
            <w:tcW w:w="3192" w:type="dxa"/>
          </w:tcPr>
          <w:p w14:paraId="1D97E658" w14:textId="2BABB54F" w:rsidR="004A25C4" w:rsidRPr="004A25C4" w:rsidRDefault="004A25C4" w:rsidP="004A25C4">
            <w:pPr>
              <w:spacing w:line="240" w:lineRule="auto"/>
              <w:rPr>
                <w:rFonts w:eastAsia="Times New Roman" w:cs="Arial"/>
              </w:rPr>
            </w:pPr>
            <w:r w:rsidRPr="004A25C4">
              <w:t>Честота на нови морфометрично доказани вертебрални фрактури</w:t>
            </w:r>
          </w:p>
        </w:tc>
        <w:tc>
          <w:tcPr>
            <w:tcW w:w="3192" w:type="dxa"/>
          </w:tcPr>
          <w:p w14:paraId="7557518A" w14:textId="77777777" w:rsidR="004A25C4" w:rsidRPr="004A25C4" w:rsidRDefault="004A25C4" w:rsidP="004A25C4">
            <w:r w:rsidRPr="004A25C4">
              <w:t>12,54%</w:t>
            </w:r>
          </w:p>
          <w:p w14:paraId="676C7A49" w14:textId="31E02407" w:rsidR="004A25C4" w:rsidRPr="004A25C4" w:rsidRDefault="004A25C4" w:rsidP="004A25C4">
            <w:pPr>
              <w:spacing w:line="240" w:lineRule="auto"/>
              <w:rPr>
                <w:rFonts w:eastAsia="Times New Roman" w:cs="Arial"/>
              </w:rPr>
            </w:pPr>
            <w:r w:rsidRPr="004A25C4">
              <w:t>(9,53, 15,55)</w:t>
            </w:r>
          </w:p>
        </w:tc>
        <w:tc>
          <w:tcPr>
            <w:tcW w:w="3192" w:type="dxa"/>
          </w:tcPr>
          <w:p w14:paraId="479C24D3" w14:textId="7ED2F4FC" w:rsidR="004A25C4" w:rsidRPr="004A25C4" w:rsidRDefault="004A25C4" w:rsidP="004A25C4">
            <w:pPr>
              <w:spacing w:line="240" w:lineRule="auto"/>
              <w:rPr>
                <w:rFonts w:eastAsia="Times New Roman" w:cs="Arial"/>
              </w:rPr>
            </w:pPr>
            <w:r w:rsidRPr="004A25C4">
              <w:t>5,36 % (3,31; 7,41)</w:t>
            </w:r>
          </w:p>
        </w:tc>
      </w:tr>
      <w:tr w:rsidR="004A25C4" w14:paraId="65642E79" w14:textId="77777777" w:rsidTr="004A25C4">
        <w:tc>
          <w:tcPr>
            <w:tcW w:w="3192" w:type="dxa"/>
          </w:tcPr>
          <w:p w14:paraId="720F7AC0" w14:textId="7E0D5C95" w:rsidR="004A25C4" w:rsidRPr="004A25C4" w:rsidRDefault="004A25C4" w:rsidP="004A25C4">
            <w:pPr>
              <w:spacing w:line="240" w:lineRule="auto"/>
              <w:rPr>
                <w:rFonts w:eastAsia="Times New Roman" w:cs="Arial"/>
              </w:rPr>
            </w:pPr>
            <w:r w:rsidRPr="004A25C4">
              <w:t>Намаляване на относителния риск от клинична вертебрална фрактура</w:t>
            </w:r>
          </w:p>
        </w:tc>
        <w:tc>
          <w:tcPr>
            <w:tcW w:w="3192" w:type="dxa"/>
          </w:tcPr>
          <w:p w14:paraId="56E5104F" w14:textId="77777777" w:rsidR="004A25C4" w:rsidRPr="004A25C4" w:rsidRDefault="004A25C4" w:rsidP="004A25C4">
            <w:pPr>
              <w:spacing w:line="240" w:lineRule="auto"/>
              <w:rPr>
                <w:rFonts w:eastAsia="Times New Roman" w:cs="Arial"/>
              </w:rPr>
            </w:pPr>
          </w:p>
        </w:tc>
        <w:tc>
          <w:tcPr>
            <w:tcW w:w="3192" w:type="dxa"/>
          </w:tcPr>
          <w:p w14:paraId="61A5B5D7" w14:textId="77777777" w:rsidR="004A25C4" w:rsidRPr="004A25C4" w:rsidRDefault="004A25C4" w:rsidP="004A25C4">
            <w:r w:rsidRPr="004A25C4">
              <w:t>50%</w:t>
            </w:r>
          </w:p>
          <w:p w14:paraId="2CAF8A95" w14:textId="2D3DE0BC" w:rsidR="004A25C4" w:rsidRPr="004A25C4" w:rsidRDefault="004A25C4" w:rsidP="004A25C4">
            <w:pPr>
              <w:spacing w:line="240" w:lineRule="auto"/>
              <w:rPr>
                <w:rFonts w:eastAsia="Times New Roman" w:cs="Arial"/>
              </w:rPr>
            </w:pPr>
            <w:r w:rsidRPr="004A25C4">
              <w:t>(9,49; 71,91)</w:t>
            </w:r>
          </w:p>
        </w:tc>
      </w:tr>
      <w:tr w:rsidR="004A25C4" w14:paraId="6B8E524C" w14:textId="77777777" w:rsidTr="004A25C4">
        <w:tc>
          <w:tcPr>
            <w:tcW w:w="3192" w:type="dxa"/>
          </w:tcPr>
          <w:p w14:paraId="4F57C893" w14:textId="39E347CA" w:rsidR="004A25C4" w:rsidRPr="004A25C4" w:rsidRDefault="004A25C4" w:rsidP="004A25C4">
            <w:pPr>
              <w:spacing w:line="240" w:lineRule="auto"/>
              <w:rPr>
                <w:rFonts w:eastAsia="Times New Roman" w:cs="Arial"/>
              </w:rPr>
            </w:pPr>
            <w:r w:rsidRPr="004A25C4">
              <w:t>Честота на клинична вертебрална фрактура</w:t>
            </w:r>
          </w:p>
        </w:tc>
        <w:tc>
          <w:tcPr>
            <w:tcW w:w="3192" w:type="dxa"/>
          </w:tcPr>
          <w:p w14:paraId="75B68977" w14:textId="5F45F2C3" w:rsidR="004A25C4" w:rsidRPr="004A25C4" w:rsidRDefault="004A25C4" w:rsidP="004A25C4">
            <w:pPr>
              <w:spacing w:line="240" w:lineRule="auto"/>
              <w:rPr>
                <w:rFonts w:eastAsia="Times New Roman" w:cs="Arial"/>
              </w:rPr>
            </w:pPr>
            <w:r w:rsidRPr="004A25C4">
              <w:t>6,97 % (4,67; 9,27)</w:t>
            </w:r>
          </w:p>
        </w:tc>
        <w:tc>
          <w:tcPr>
            <w:tcW w:w="3192" w:type="dxa"/>
          </w:tcPr>
          <w:p w14:paraId="76C480CE" w14:textId="197F0FA3" w:rsidR="004A25C4" w:rsidRPr="004A25C4" w:rsidRDefault="004A25C4" w:rsidP="004A25C4">
            <w:pPr>
              <w:spacing w:line="240" w:lineRule="auto"/>
              <w:rPr>
                <w:rFonts w:eastAsia="Times New Roman" w:cs="Arial"/>
              </w:rPr>
            </w:pPr>
            <w:r w:rsidRPr="004A25C4">
              <w:t>3,57 % (1,89; 5,24)</w:t>
            </w:r>
          </w:p>
        </w:tc>
      </w:tr>
      <w:tr w:rsidR="004A25C4" w14:paraId="18D0A13B" w14:textId="77777777" w:rsidTr="004A25C4">
        <w:tc>
          <w:tcPr>
            <w:tcW w:w="3192" w:type="dxa"/>
          </w:tcPr>
          <w:p w14:paraId="4DF82A5D" w14:textId="3A87B02A" w:rsidR="004A25C4" w:rsidRPr="004A25C4" w:rsidRDefault="004A25C4" w:rsidP="004A25C4">
            <w:pPr>
              <w:spacing w:line="240" w:lineRule="auto"/>
              <w:rPr>
                <w:rFonts w:eastAsia="Times New Roman" w:cs="Arial"/>
              </w:rPr>
            </w:pPr>
            <w:r w:rsidRPr="004A25C4">
              <w:t>КМП - средна промяна отнесена към изходната стойност на лумбалния отдел на гръбначния стълб през 3-тата година</w:t>
            </w:r>
          </w:p>
        </w:tc>
        <w:tc>
          <w:tcPr>
            <w:tcW w:w="3192" w:type="dxa"/>
          </w:tcPr>
          <w:p w14:paraId="447E1C42" w14:textId="027E0DD5" w:rsidR="004A25C4" w:rsidRPr="004A25C4" w:rsidRDefault="004A25C4" w:rsidP="004A25C4">
            <w:pPr>
              <w:spacing w:line="240" w:lineRule="auto"/>
              <w:rPr>
                <w:rFonts w:eastAsia="Times New Roman" w:cs="Arial"/>
              </w:rPr>
            </w:pPr>
            <w:r w:rsidRPr="004A25C4">
              <w:t>1,13 % (0,6; 1,7)</w:t>
            </w:r>
          </w:p>
        </w:tc>
        <w:tc>
          <w:tcPr>
            <w:tcW w:w="3192" w:type="dxa"/>
          </w:tcPr>
          <w:p w14:paraId="350EEE16" w14:textId="38E55E4D" w:rsidR="004A25C4" w:rsidRPr="004A25C4" w:rsidRDefault="004A25C4" w:rsidP="004A25C4">
            <w:pPr>
              <w:spacing w:line="240" w:lineRule="auto"/>
              <w:rPr>
                <w:rFonts w:eastAsia="Times New Roman" w:cs="Arial"/>
              </w:rPr>
            </w:pPr>
            <w:r w:rsidRPr="004A25C4">
              <w:t>7,01 % (6,5; 7,6)</w:t>
            </w:r>
          </w:p>
        </w:tc>
      </w:tr>
      <w:tr w:rsidR="004A25C4" w14:paraId="0BB2CD2A" w14:textId="77777777" w:rsidTr="004A25C4">
        <w:tc>
          <w:tcPr>
            <w:tcW w:w="3192" w:type="dxa"/>
          </w:tcPr>
          <w:p w14:paraId="16C602BE" w14:textId="525F731C" w:rsidR="004A25C4" w:rsidRPr="004A25C4" w:rsidRDefault="004A25C4" w:rsidP="004A25C4">
            <w:pPr>
              <w:spacing w:line="240" w:lineRule="auto"/>
              <w:rPr>
                <w:rFonts w:eastAsia="Times New Roman" w:cs="Arial"/>
              </w:rPr>
            </w:pPr>
            <w:r w:rsidRPr="004A25C4">
              <w:t>КМП - средна промяна отнесена към изходната стойност на бедро общо през 3-тата година</w:t>
            </w:r>
          </w:p>
        </w:tc>
        <w:tc>
          <w:tcPr>
            <w:tcW w:w="3192" w:type="dxa"/>
          </w:tcPr>
          <w:p w14:paraId="32CFE06D" w14:textId="77777777" w:rsidR="004A25C4" w:rsidRPr="004A25C4" w:rsidRDefault="004A25C4" w:rsidP="004A25C4">
            <w:r w:rsidRPr="004A25C4">
              <w:t>-0,70 %</w:t>
            </w:r>
          </w:p>
          <w:p w14:paraId="4563F03D" w14:textId="6BE1749C" w:rsidR="004A25C4" w:rsidRPr="004A25C4" w:rsidRDefault="004A25C4" w:rsidP="004A25C4">
            <w:pPr>
              <w:spacing w:line="240" w:lineRule="auto"/>
              <w:rPr>
                <w:rFonts w:eastAsia="Times New Roman" w:cs="Arial"/>
              </w:rPr>
            </w:pPr>
            <w:r w:rsidRPr="004A25C4">
              <w:t>(-1,1;-0,2)</w:t>
            </w:r>
          </w:p>
        </w:tc>
        <w:tc>
          <w:tcPr>
            <w:tcW w:w="3192" w:type="dxa"/>
          </w:tcPr>
          <w:p w14:paraId="43437BA8" w14:textId="77777777" w:rsidR="004A25C4" w:rsidRPr="004A25C4" w:rsidRDefault="004A25C4" w:rsidP="004A25C4">
            <w:r w:rsidRPr="004A25C4">
              <w:t>3,59%</w:t>
            </w:r>
          </w:p>
          <w:p w14:paraId="26043D5D" w14:textId="0EEBC6F5" w:rsidR="004A25C4" w:rsidRPr="004A25C4" w:rsidRDefault="004A25C4" w:rsidP="004A25C4">
            <w:pPr>
              <w:spacing w:line="240" w:lineRule="auto"/>
              <w:rPr>
                <w:rFonts w:eastAsia="Times New Roman" w:cs="Arial"/>
              </w:rPr>
            </w:pPr>
            <w:r w:rsidRPr="004A25C4">
              <w:t>(3,1;4,1)</w:t>
            </w:r>
          </w:p>
        </w:tc>
      </w:tr>
    </w:tbl>
    <w:p w14:paraId="09E44A26" w14:textId="063C6033" w:rsidR="004A25C4" w:rsidRDefault="004A25C4" w:rsidP="00477D1D">
      <w:pPr>
        <w:spacing w:line="240" w:lineRule="auto"/>
        <w:rPr>
          <w:rFonts w:eastAsia="Times New Roman" w:cs="Arial"/>
          <w:sz w:val="28"/>
          <w:szCs w:val="24"/>
        </w:rPr>
      </w:pPr>
    </w:p>
    <w:p w14:paraId="4F2786EF"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В клиничното изпитване </w:t>
      </w:r>
      <w:r w:rsidRPr="004A25C4">
        <w:rPr>
          <w:rFonts w:eastAsia="Times New Roman" w:cs="Arial"/>
          <w:color w:val="000000"/>
          <w:szCs w:val="20"/>
          <w:lang w:val="en-US"/>
        </w:rPr>
        <w:t>MF</w:t>
      </w:r>
      <w:r w:rsidRPr="004A25C4">
        <w:rPr>
          <w:rFonts w:eastAsia="Times New Roman" w:cs="Arial"/>
          <w:color w:val="000000"/>
          <w:szCs w:val="20"/>
          <w:lang w:val="ru-RU"/>
        </w:rPr>
        <w:t xml:space="preserve">4411, </w:t>
      </w:r>
      <w:r w:rsidRPr="004A25C4">
        <w:rPr>
          <w:rFonts w:eastAsia="Times New Roman" w:cs="Arial"/>
          <w:color w:val="000000"/>
          <w:szCs w:val="20"/>
          <w:lang w:eastAsia="bg-BG"/>
        </w:rPr>
        <w:t xml:space="preserve">включващо всички пациенти не е установено намаление на невертебралните фрактури, въпреки, че дозата на ибандронова киселина е адаптирана да бъде ефективна при субпопулацията с висок риск (КМП на шийката на бедрената кост Т- </w:t>
      </w:r>
      <w:r w:rsidRPr="004A25C4">
        <w:rPr>
          <w:rFonts w:eastAsia="Times New Roman" w:cs="Arial"/>
          <w:color w:val="000000"/>
          <w:szCs w:val="20"/>
          <w:lang w:val="en-US"/>
        </w:rPr>
        <w:t>score</w:t>
      </w:r>
      <w:r w:rsidRPr="004A25C4">
        <w:rPr>
          <w:rFonts w:eastAsia="Times New Roman" w:cs="Arial"/>
          <w:color w:val="000000"/>
          <w:szCs w:val="20"/>
          <w:lang w:val="ru-RU"/>
        </w:rPr>
        <w:t xml:space="preserve"> </w:t>
      </w:r>
      <w:r w:rsidRPr="004A25C4">
        <w:rPr>
          <w:rFonts w:eastAsia="Times New Roman" w:cs="Arial"/>
          <w:color w:val="000000"/>
          <w:szCs w:val="20"/>
          <w:lang w:eastAsia="bg-BG"/>
        </w:rPr>
        <w:t>&lt; -3.0), при която е установено намаляване на риска от невертебрални фрактури с 69 %.</w:t>
      </w:r>
    </w:p>
    <w:p w14:paraId="22FED270" w14:textId="77777777" w:rsidR="004A25C4" w:rsidRPr="004A25C4" w:rsidRDefault="004A25C4" w:rsidP="004A25C4">
      <w:pPr>
        <w:spacing w:line="240" w:lineRule="auto"/>
        <w:rPr>
          <w:rFonts w:eastAsia="Times New Roman" w:cs="Arial"/>
          <w:color w:val="000000"/>
          <w:szCs w:val="20"/>
          <w:lang w:eastAsia="bg-BG"/>
        </w:rPr>
      </w:pPr>
    </w:p>
    <w:p w14:paraId="3A705225" w14:textId="50568A2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Ежедневното лечение с 2,5 </w:t>
      </w:r>
      <w:r w:rsidRPr="004A25C4">
        <w:rPr>
          <w:rFonts w:eastAsia="Times New Roman" w:cs="Arial"/>
          <w:color w:val="000000"/>
          <w:szCs w:val="20"/>
          <w:lang w:val="en-US"/>
        </w:rPr>
        <w:t>mg</w:t>
      </w:r>
      <w:r w:rsidRPr="004A25C4">
        <w:rPr>
          <w:rFonts w:eastAsia="Times New Roman" w:cs="Arial"/>
          <w:color w:val="000000"/>
          <w:szCs w:val="20"/>
          <w:lang w:val="ru-RU"/>
        </w:rPr>
        <w:t xml:space="preserve"> </w:t>
      </w:r>
      <w:r w:rsidRPr="004A25C4">
        <w:rPr>
          <w:rFonts w:eastAsia="Times New Roman" w:cs="Arial"/>
          <w:color w:val="000000"/>
          <w:szCs w:val="20"/>
          <w:lang w:eastAsia="bg-BG"/>
        </w:rPr>
        <w:t>е води до прогресивно увеличение на КМП на вертебралните и невертебралните части на скелета.</w:t>
      </w:r>
    </w:p>
    <w:p w14:paraId="1E25CCBE" w14:textId="77777777" w:rsidR="004A25C4" w:rsidRPr="004A25C4" w:rsidRDefault="004A25C4" w:rsidP="004A25C4">
      <w:pPr>
        <w:spacing w:line="240" w:lineRule="auto"/>
        <w:rPr>
          <w:rFonts w:eastAsia="Times New Roman" w:cs="Arial"/>
          <w:color w:val="000000"/>
          <w:szCs w:val="20"/>
          <w:lang w:eastAsia="bg-BG"/>
        </w:rPr>
      </w:pPr>
    </w:p>
    <w:p w14:paraId="020C2EAF" w14:textId="24DBC51E"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Увеличението на КМП на лумбалния отдел на гръбначния стълб за три години в сравнение с плацебо е било 5.3 % и 6.5 % спрямо изходното ниво. Увеличението за бедрената кост в сравнение с изходното ниво е било 2.8 % на бедрената шийка, 3.4 % за бедро общо и 5.5 % за трохантера.</w:t>
      </w:r>
    </w:p>
    <w:p w14:paraId="2867AFDD"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Биохимичните маркери за костен обмен (като СТХ в урината и серумен остеокалцин) са показали очакван модел на потискане до предменопаузални стойности и са достигнали максимално потискане до 3-6 месеца.</w:t>
      </w:r>
    </w:p>
    <w:p w14:paraId="2CD28549"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Клинически значимо намаление с 50 % на биохимическите маркери за костна резорбция е наблюдавано още на първия месец след началото на лечение с ибандронова киселина 2,5 </w:t>
      </w:r>
      <w:r w:rsidRPr="004A25C4">
        <w:rPr>
          <w:rFonts w:eastAsia="Times New Roman" w:cs="Arial"/>
          <w:color w:val="000000"/>
          <w:szCs w:val="20"/>
          <w:lang w:val="en-US"/>
        </w:rPr>
        <w:t>mg</w:t>
      </w:r>
      <w:r w:rsidRPr="004A25C4">
        <w:rPr>
          <w:rFonts w:eastAsia="Times New Roman" w:cs="Arial"/>
          <w:color w:val="000000"/>
          <w:szCs w:val="20"/>
          <w:lang w:val="ru-RU"/>
        </w:rPr>
        <w:t>.</w:t>
      </w:r>
    </w:p>
    <w:p w14:paraId="234FFD64"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След прекратяване на лечението е наблюдавано възвръщане към патологичната степен на повишена костна резорбция от преди лечението, свързана с постменопаузална остеопороза.</w:t>
      </w:r>
    </w:p>
    <w:p w14:paraId="4EB89DD3"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Хистологичният анализ на костни биопсии след две и три години на лечение на жени в постменопауза показва кости с нормално качество без данни за дефект в минерализацията.</w:t>
      </w:r>
    </w:p>
    <w:p w14:paraId="5FBA8795" w14:textId="77777777" w:rsidR="004A25C4" w:rsidRPr="004A25C4" w:rsidRDefault="004A25C4" w:rsidP="004A25C4">
      <w:pPr>
        <w:spacing w:line="240" w:lineRule="auto"/>
        <w:rPr>
          <w:rFonts w:eastAsia="Times New Roman" w:cs="Arial"/>
          <w:b/>
          <w:bCs/>
          <w:color w:val="000000"/>
          <w:szCs w:val="20"/>
          <w:lang w:eastAsia="bg-BG"/>
        </w:rPr>
      </w:pPr>
      <w:bookmarkStart w:id="1" w:name="bookmark0"/>
    </w:p>
    <w:p w14:paraId="1B8B7FD8" w14:textId="2B2C5B62" w:rsidR="004A25C4" w:rsidRPr="004A25C4" w:rsidRDefault="004A25C4" w:rsidP="004A25C4">
      <w:pPr>
        <w:spacing w:line="240" w:lineRule="auto"/>
        <w:rPr>
          <w:rFonts w:eastAsia="Times New Roman" w:cs="Arial"/>
          <w:sz w:val="28"/>
          <w:szCs w:val="24"/>
        </w:rPr>
      </w:pPr>
      <w:r w:rsidRPr="004A25C4">
        <w:rPr>
          <w:rFonts w:eastAsia="Times New Roman" w:cs="Arial"/>
          <w:b/>
          <w:bCs/>
          <w:color w:val="000000"/>
          <w:szCs w:val="20"/>
          <w:lang w:eastAsia="bg-BG"/>
        </w:rPr>
        <w:t>Педиатрична популация (вижте точка 4.2 и точка 5.2)</w:t>
      </w:r>
      <w:bookmarkEnd w:id="1"/>
    </w:p>
    <w:p w14:paraId="55434B09" w14:textId="51B4534A" w:rsidR="004A25C4" w:rsidRPr="00477D1D" w:rsidRDefault="004A25C4" w:rsidP="004A25C4">
      <w:pPr>
        <w:spacing w:line="240" w:lineRule="auto"/>
        <w:rPr>
          <w:rFonts w:eastAsia="Times New Roman" w:cs="Arial"/>
          <w:sz w:val="32"/>
          <w:szCs w:val="24"/>
        </w:rPr>
      </w:pPr>
      <w:r w:rsidRPr="004A25C4">
        <w:rPr>
          <w:rFonts w:eastAsia="Times New Roman" w:cs="Arial"/>
          <w:color w:val="000000"/>
          <w:szCs w:val="20"/>
          <w:lang w:eastAsia="bg-BG"/>
        </w:rPr>
        <w:lastRenderedPageBreak/>
        <w:t>Ибандронова киселина не е изследвана при педиатричната популация, поради това няма данни за ефикасността или безопасността при тази популация пациенти.</w:t>
      </w:r>
    </w:p>
    <w:p w14:paraId="730738E1" w14:textId="771E128F" w:rsidR="00477D1D" w:rsidRPr="00477D1D" w:rsidRDefault="00477D1D" w:rsidP="00477D1D"/>
    <w:p w14:paraId="78DD93AA" w14:textId="3D2A24E2" w:rsidR="00B6672E" w:rsidRDefault="002C50EE" w:rsidP="00936AD0">
      <w:pPr>
        <w:pStyle w:val="Heading2"/>
      </w:pPr>
      <w:r>
        <w:t>5.2. Фармакокинетични свойства</w:t>
      </w:r>
    </w:p>
    <w:p w14:paraId="14D5D9CE" w14:textId="6B11764C" w:rsidR="004A25C4" w:rsidRDefault="004A25C4" w:rsidP="004A25C4"/>
    <w:p w14:paraId="5C1AEDB8"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Първичните фармакологични ефекти на ибандроновата киселина върху костта не са директно свързани с действителните плазмени концентрации, което се доказва от различни изследвания при животни и хора.</w:t>
      </w:r>
    </w:p>
    <w:p w14:paraId="6661FDEE" w14:textId="77777777" w:rsidR="004A25C4" w:rsidRPr="004A25C4" w:rsidRDefault="004A25C4" w:rsidP="004A25C4">
      <w:pPr>
        <w:spacing w:line="240" w:lineRule="auto"/>
        <w:rPr>
          <w:rFonts w:eastAsia="Times New Roman" w:cs="Arial"/>
          <w:i/>
          <w:iCs/>
          <w:color w:val="000000"/>
          <w:szCs w:val="20"/>
          <w:lang w:eastAsia="bg-BG"/>
        </w:rPr>
      </w:pPr>
    </w:p>
    <w:p w14:paraId="101E8191" w14:textId="76C10822" w:rsidR="004A25C4" w:rsidRPr="004A25C4" w:rsidRDefault="004A25C4" w:rsidP="004A25C4">
      <w:pPr>
        <w:pStyle w:val="Heading3"/>
        <w:rPr>
          <w:rFonts w:eastAsia="Times New Roman"/>
          <w:i/>
          <w:sz w:val="28"/>
        </w:rPr>
      </w:pPr>
      <w:r w:rsidRPr="004A25C4">
        <w:rPr>
          <w:rFonts w:eastAsia="Times New Roman"/>
          <w:i/>
          <w:lang w:eastAsia="bg-BG"/>
        </w:rPr>
        <w:t>Абсорбция</w:t>
      </w:r>
    </w:p>
    <w:p w14:paraId="7D5D435B"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Абсорбцията на ибандронова киселина в горните отдели на стомашно-чревния тракт след перорално приложение е бърза и при перорален прием до 50 </w:t>
      </w:r>
      <w:r w:rsidRPr="004A25C4">
        <w:rPr>
          <w:rFonts w:eastAsia="Times New Roman" w:cs="Arial"/>
          <w:color w:val="000000"/>
          <w:szCs w:val="20"/>
          <w:lang w:val="en-US"/>
        </w:rPr>
        <w:t>mg</w:t>
      </w:r>
      <w:r w:rsidRPr="004A25C4">
        <w:rPr>
          <w:rFonts w:eastAsia="Times New Roman" w:cs="Arial"/>
          <w:color w:val="000000"/>
          <w:szCs w:val="20"/>
          <w:lang w:val="ru-RU"/>
        </w:rPr>
        <w:t xml:space="preserve">, </w:t>
      </w:r>
      <w:r w:rsidRPr="004A25C4">
        <w:rPr>
          <w:rFonts w:eastAsia="Times New Roman" w:cs="Arial"/>
          <w:color w:val="000000"/>
          <w:szCs w:val="20"/>
          <w:lang w:eastAsia="bg-BG"/>
        </w:rPr>
        <w:t>плазмените концентрации се повишават пропорционално на дозата, като при по-високи дози увеличението е по-голямо от пропорционалното на дозата. Максималните наблюдавани плазмени концентрации се достигат за 0.5 до 2 часа (среднно за 1 час) при прием на гладно и абсолютната бионаличност е около 0.6 %. Степента на абсорбция се влошава, когато лекарството се приема с храна или напитки (освен чиста вода). Бионаличността се намалява с около 90 %, когато ибандроновата киселина се прилага със стандартна закуска в сравнение с бионаличността, наблюдавана при лица, които са я приемали на гладно. Няма значимо намаление на бионаличността, ако ибандроновата киселина се приема 60 минути преди първия прием на храна за деня. Бионаличността и нарастването на КМП се намаляват, когато храната или напитките се приемат по-рано от 60 минути след приема на ибандронова киселина.</w:t>
      </w:r>
    </w:p>
    <w:p w14:paraId="4E538FD0" w14:textId="77777777" w:rsidR="004A25C4" w:rsidRPr="004A25C4" w:rsidRDefault="004A25C4" w:rsidP="004A25C4">
      <w:pPr>
        <w:spacing w:line="240" w:lineRule="auto"/>
        <w:rPr>
          <w:rFonts w:eastAsia="Times New Roman" w:cs="Arial"/>
          <w:i/>
          <w:iCs/>
          <w:color w:val="000000"/>
          <w:szCs w:val="20"/>
          <w:lang w:eastAsia="bg-BG"/>
        </w:rPr>
      </w:pPr>
    </w:p>
    <w:p w14:paraId="7DEDF649" w14:textId="19E05618" w:rsidR="004A25C4" w:rsidRPr="004A25C4" w:rsidRDefault="004A25C4" w:rsidP="004A25C4">
      <w:pPr>
        <w:pStyle w:val="Heading3"/>
        <w:rPr>
          <w:rFonts w:eastAsia="Times New Roman"/>
          <w:i/>
          <w:sz w:val="28"/>
        </w:rPr>
      </w:pPr>
      <w:r w:rsidRPr="004A25C4">
        <w:rPr>
          <w:rFonts w:eastAsia="Times New Roman"/>
          <w:i/>
          <w:lang w:eastAsia="bg-BG"/>
        </w:rPr>
        <w:t>Разпределение</w:t>
      </w:r>
    </w:p>
    <w:p w14:paraId="4BFF68CB" w14:textId="77777777" w:rsidR="004A25C4" w:rsidRPr="004A25C4" w:rsidRDefault="004A25C4" w:rsidP="004A25C4">
      <w:pPr>
        <w:rPr>
          <w:rFonts w:eastAsia="Times New Roman" w:cs="Arial"/>
          <w:sz w:val="28"/>
          <w:szCs w:val="24"/>
        </w:rPr>
      </w:pPr>
      <w:r w:rsidRPr="004A25C4">
        <w:rPr>
          <w:rFonts w:eastAsia="Times New Roman" w:cs="Arial"/>
          <w:color w:val="000000"/>
          <w:szCs w:val="20"/>
          <w:lang w:eastAsia="bg-BG"/>
        </w:rPr>
        <w:t xml:space="preserve">След начална системна експозиция ибандроновата киселина бързо се свързва с костите или се отделя с урината. При хора крайния обем на разпределение е най-малко 90 1 и е установено, че количеството на дозата, достигащо до костите, е 40-50 % от циркулиращата доза. Свързването с плазмените протеини при човека е приблизително 85 % - 87 % (определено </w:t>
      </w:r>
      <w:r w:rsidRPr="004A25C4">
        <w:rPr>
          <w:rFonts w:eastAsia="Times New Roman" w:cs="Arial"/>
          <w:color w:val="000000"/>
          <w:szCs w:val="20"/>
          <w:lang w:val="en-US"/>
        </w:rPr>
        <w:t>in</w:t>
      </w:r>
      <w:r w:rsidRPr="004A25C4">
        <w:rPr>
          <w:rFonts w:eastAsia="Times New Roman" w:cs="Arial"/>
          <w:color w:val="000000"/>
          <w:szCs w:val="20"/>
          <w:lang w:val="ru-RU"/>
        </w:rPr>
        <w:t xml:space="preserve"> </w:t>
      </w:r>
      <w:r w:rsidRPr="004A25C4">
        <w:rPr>
          <w:rFonts w:eastAsia="Times New Roman" w:cs="Arial"/>
          <w:color w:val="000000"/>
          <w:szCs w:val="20"/>
          <w:lang w:val="en-US"/>
        </w:rPr>
        <w:t>vitro</w:t>
      </w:r>
      <w:r w:rsidRPr="004A25C4">
        <w:rPr>
          <w:rFonts w:eastAsia="Times New Roman" w:cs="Arial"/>
          <w:color w:val="000000"/>
          <w:szCs w:val="20"/>
          <w:lang w:val="ru-RU"/>
        </w:rPr>
        <w:t xml:space="preserve"> </w:t>
      </w:r>
      <w:r w:rsidRPr="004A25C4">
        <w:rPr>
          <w:rFonts w:eastAsia="Times New Roman" w:cs="Arial"/>
          <w:color w:val="000000"/>
          <w:szCs w:val="20"/>
          <w:lang w:eastAsia="bg-BG"/>
        </w:rPr>
        <w:t>при</w:t>
      </w:r>
      <w:r w:rsidRPr="004A25C4">
        <w:rPr>
          <w:rFonts w:eastAsia="Times New Roman" w:cs="Arial"/>
          <w:color w:val="000000"/>
          <w:szCs w:val="20"/>
          <w:lang w:val="ru-RU" w:eastAsia="bg-BG"/>
        </w:rPr>
        <w:t xml:space="preserve"> </w:t>
      </w:r>
      <w:r w:rsidRPr="004A25C4">
        <w:rPr>
          <w:rFonts w:eastAsia="Times New Roman" w:cs="Arial"/>
          <w:color w:val="000000"/>
          <w:szCs w:val="20"/>
          <w:lang w:eastAsia="bg-BG"/>
        </w:rPr>
        <w:t>терапевтични концентрации) и поради това конкурентно взаимодействие с други лекарствени продукти, дължащо се на изместване, е малко вероятно.</w:t>
      </w:r>
    </w:p>
    <w:p w14:paraId="028DC9A6" w14:textId="77777777" w:rsidR="004A25C4" w:rsidRPr="004A25C4" w:rsidRDefault="004A25C4" w:rsidP="004A25C4">
      <w:pPr>
        <w:spacing w:line="240" w:lineRule="auto"/>
        <w:rPr>
          <w:rFonts w:eastAsia="Times New Roman" w:cs="Arial"/>
          <w:i/>
          <w:iCs/>
          <w:color w:val="000000"/>
          <w:szCs w:val="20"/>
          <w:lang w:eastAsia="bg-BG"/>
        </w:rPr>
      </w:pPr>
    </w:p>
    <w:p w14:paraId="20640A37" w14:textId="429C55A1" w:rsidR="004A25C4" w:rsidRPr="004A25C4" w:rsidRDefault="004A25C4" w:rsidP="004A25C4">
      <w:pPr>
        <w:pStyle w:val="Heading3"/>
        <w:rPr>
          <w:rFonts w:eastAsia="Times New Roman"/>
          <w:i/>
          <w:sz w:val="28"/>
        </w:rPr>
      </w:pPr>
      <w:r w:rsidRPr="004A25C4">
        <w:rPr>
          <w:rFonts w:eastAsia="Times New Roman"/>
          <w:i/>
          <w:lang w:eastAsia="bg-BG"/>
        </w:rPr>
        <w:t>Метаболизъм</w:t>
      </w:r>
    </w:p>
    <w:p w14:paraId="38E8AAFC"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Няма данни, че ибандроновата киселина се метаболизира при животните или човека.</w:t>
      </w:r>
    </w:p>
    <w:p w14:paraId="30E527A2" w14:textId="77777777" w:rsidR="004A25C4" w:rsidRPr="004A25C4" w:rsidRDefault="004A25C4" w:rsidP="004A25C4">
      <w:pPr>
        <w:spacing w:line="240" w:lineRule="auto"/>
        <w:rPr>
          <w:rFonts w:eastAsia="Times New Roman" w:cs="Arial"/>
          <w:i/>
          <w:iCs/>
          <w:color w:val="000000"/>
          <w:szCs w:val="20"/>
          <w:lang w:eastAsia="bg-BG"/>
        </w:rPr>
      </w:pPr>
    </w:p>
    <w:p w14:paraId="50F45891" w14:textId="147D95B6" w:rsidR="004A25C4" w:rsidRPr="004A25C4" w:rsidRDefault="004A25C4" w:rsidP="004A25C4">
      <w:pPr>
        <w:pStyle w:val="Heading3"/>
        <w:rPr>
          <w:rFonts w:eastAsia="Times New Roman"/>
          <w:i/>
          <w:sz w:val="28"/>
        </w:rPr>
      </w:pPr>
      <w:r w:rsidRPr="004A25C4">
        <w:rPr>
          <w:rFonts w:eastAsia="Times New Roman"/>
          <w:i/>
          <w:lang w:eastAsia="bg-BG"/>
        </w:rPr>
        <w:t>Елиминиране</w:t>
      </w:r>
    </w:p>
    <w:p w14:paraId="48F69668"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Абсорбираната част на ибандроновата киселина се елиминира от кръвообращението чрез костна абсорбция (изчислена на 40-50 % при жените в постменопауза), а останалото количество се отделя през бъбреците в непроменена форма. Неабсорбираната фракция на ибандроновата киселина се елиминира чрез фекалиите в непроменена форма.</w:t>
      </w:r>
    </w:p>
    <w:p w14:paraId="250F177E" w14:textId="77777777" w:rsidR="004A25C4" w:rsidRPr="004A25C4" w:rsidRDefault="004A25C4" w:rsidP="004A25C4">
      <w:pPr>
        <w:spacing w:line="240" w:lineRule="auto"/>
        <w:rPr>
          <w:rFonts w:eastAsia="Times New Roman" w:cs="Arial"/>
          <w:color w:val="000000"/>
          <w:szCs w:val="20"/>
          <w:lang w:eastAsia="bg-BG"/>
        </w:rPr>
      </w:pPr>
    </w:p>
    <w:p w14:paraId="36F4E48E" w14:textId="622E4B64"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Наблюдаваният полуживот е в широки граници, като очевидно крайният полуживот обикновено е в границата от 10-72 часа. Тъй като изчислените стойности в голяма степен зависят от продължителността на клиничното изпитване, от използваната доза и чувствителността на метода, както при другите бифосфонати, действителният краен полуживот вероятно е значително по- голям. Началните концентрации в плазмата бързо се понижават, като достигат до 10 % от максималните стойности на 3 и 8 часа, съответно </w:t>
      </w:r>
      <w:r w:rsidRPr="004A25C4">
        <w:rPr>
          <w:rFonts w:eastAsia="Times New Roman" w:cs="Arial"/>
          <w:color w:val="000000"/>
          <w:szCs w:val="20"/>
          <w:lang w:eastAsia="bg-BG"/>
        </w:rPr>
        <w:lastRenderedPageBreak/>
        <w:t xml:space="preserve">след интравенозно или перорално приложение. Общият клирънс на ибандроновата киселина е нисък, със средни стойности в границите на 84-160 </w:t>
      </w:r>
      <w:r w:rsidRPr="004A25C4">
        <w:rPr>
          <w:rFonts w:eastAsia="Times New Roman" w:cs="Arial"/>
          <w:color w:val="000000"/>
          <w:szCs w:val="20"/>
          <w:lang w:val="en-US"/>
        </w:rPr>
        <w:t>ml</w:t>
      </w:r>
      <w:r w:rsidRPr="004A25C4">
        <w:rPr>
          <w:rFonts w:eastAsia="Times New Roman" w:cs="Arial"/>
          <w:color w:val="000000"/>
          <w:szCs w:val="20"/>
          <w:lang w:val="ru-RU"/>
        </w:rPr>
        <w:t>/</w:t>
      </w:r>
      <w:r w:rsidRPr="004A25C4">
        <w:rPr>
          <w:rFonts w:eastAsia="Times New Roman" w:cs="Arial"/>
          <w:color w:val="000000"/>
          <w:szCs w:val="20"/>
          <w:lang w:val="en-US"/>
        </w:rPr>
        <w:t>min</w:t>
      </w:r>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Бъбречният клирънс (около 60 </w:t>
      </w:r>
      <w:r w:rsidRPr="004A25C4">
        <w:rPr>
          <w:rFonts w:eastAsia="Times New Roman" w:cs="Arial"/>
          <w:color w:val="000000"/>
          <w:szCs w:val="20"/>
          <w:lang w:val="en-US"/>
        </w:rPr>
        <w:t>ml</w:t>
      </w:r>
      <w:r w:rsidRPr="004A25C4">
        <w:rPr>
          <w:rFonts w:eastAsia="Times New Roman" w:cs="Arial"/>
          <w:color w:val="000000"/>
          <w:szCs w:val="20"/>
          <w:lang w:val="ru-RU"/>
        </w:rPr>
        <w:t>/</w:t>
      </w:r>
      <w:r w:rsidRPr="004A25C4">
        <w:rPr>
          <w:rFonts w:eastAsia="Times New Roman" w:cs="Arial"/>
          <w:color w:val="000000"/>
          <w:szCs w:val="20"/>
          <w:lang w:val="en-US"/>
        </w:rPr>
        <w:t>min</w:t>
      </w:r>
      <w:r w:rsidRPr="004A25C4">
        <w:rPr>
          <w:rFonts w:eastAsia="Times New Roman" w:cs="Arial"/>
          <w:color w:val="000000"/>
          <w:szCs w:val="20"/>
          <w:lang w:val="ru-RU"/>
        </w:rPr>
        <w:t xml:space="preserve"> </w:t>
      </w:r>
      <w:r w:rsidRPr="004A25C4">
        <w:rPr>
          <w:rFonts w:eastAsia="Times New Roman" w:cs="Arial"/>
          <w:color w:val="000000"/>
          <w:szCs w:val="20"/>
          <w:lang w:eastAsia="bg-BG"/>
        </w:rPr>
        <w:t>при здрави жени в постменопауза) представлява 50- 60 % от общия клирънс и е свързан с креатининовия клирънс. Счита се, че разликата между видимия общ и бъбречен клирънс отразява поемането от костите.</w:t>
      </w:r>
    </w:p>
    <w:p w14:paraId="6BF0EE14"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Секреторният път не включва известните системи за киселинен или алкален транспорт, участващи в екскрецията на други активни вещества. Освен това ибандроновата киселина не инхибира основните чернодробни изоензими Р450 при човека и не индуцира чернодробната система цитохром Р450 при плъхове.</w:t>
      </w:r>
    </w:p>
    <w:p w14:paraId="0DE8BD40" w14:textId="77777777" w:rsidR="004A25C4" w:rsidRPr="004A25C4" w:rsidRDefault="004A25C4" w:rsidP="004A25C4">
      <w:pPr>
        <w:spacing w:line="240" w:lineRule="auto"/>
        <w:rPr>
          <w:rFonts w:eastAsia="Times New Roman" w:cs="Arial"/>
          <w:color w:val="000000"/>
          <w:szCs w:val="20"/>
          <w:u w:val="single"/>
          <w:lang w:eastAsia="bg-BG"/>
        </w:rPr>
      </w:pPr>
    </w:p>
    <w:p w14:paraId="14EA74F2" w14:textId="4F050049"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u w:val="single"/>
          <w:lang w:eastAsia="bg-BG"/>
        </w:rPr>
        <w:t>Фармакокинетика при специални клинични ситуации</w:t>
      </w:r>
    </w:p>
    <w:p w14:paraId="7A963032" w14:textId="77777777" w:rsidR="004A25C4" w:rsidRPr="004A25C4" w:rsidRDefault="004A25C4" w:rsidP="004A25C4">
      <w:pPr>
        <w:spacing w:line="240" w:lineRule="auto"/>
        <w:rPr>
          <w:rFonts w:eastAsia="Times New Roman" w:cs="Arial"/>
          <w:i/>
          <w:iCs/>
          <w:color w:val="000000"/>
          <w:szCs w:val="20"/>
          <w:lang w:eastAsia="bg-BG"/>
        </w:rPr>
      </w:pPr>
    </w:p>
    <w:p w14:paraId="01952F2D" w14:textId="1B1B1F8D"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Пол</w:t>
      </w:r>
    </w:p>
    <w:p w14:paraId="533F7ADB"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Бионаличността и фармакокинетиката на ибандроновата киселина са подобни при мъже и жени.</w:t>
      </w:r>
    </w:p>
    <w:p w14:paraId="6EAA91BC" w14:textId="77777777" w:rsidR="004A25C4" w:rsidRPr="004A25C4" w:rsidRDefault="004A25C4" w:rsidP="004A25C4">
      <w:pPr>
        <w:spacing w:line="240" w:lineRule="auto"/>
        <w:rPr>
          <w:rFonts w:eastAsia="Times New Roman" w:cs="Arial"/>
          <w:i/>
          <w:iCs/>
          <w:color w:val="000000"/>
          <w:szCs w:val="20"/>
          <w:lang w:eastAsia="bg-BG"/>
        </w:rPr>
      </w:pPr>
    </w:p>
    <w:p w14:paraId="45591587" w14:textId="6EC3F568"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Раса</w:t>
      </w:r>
    </w:p>
    <w:p w14:paraId="059BA58D"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Няма данни за клинично значими етнически разлики между азиатци и представители на бялата раса при елиминирането на ибандроновата киселина. Има много малко данни за пациенти от африкански произход.</w:t>
      </w:r>
    </w:p>
    <w:p w14:paraId="16031056" w14:textId="77777777" w:rsidR="004A25C4" w:rsidRPr="004A25C4" w:rsidRDefault="004A25C4" w:rsidP="004A25C4">
      <w:pPr>
        <w:spacing w:line="240" w:lineRule="auto"/>
        <w:rPr>
          <w:rFonts w:eastAsia="Times New Roman" w:cs="Arial"/>
          <w:i/>
          <w:iCs/>
          <w:color w:val="000000"/>
          <w:szCs w:val="20"/>
          <w:lang w:eastAsia="bg-BG"/>
        </w:rPr>
      </w:pPr>
    </w:p>
    <w:p w14:paraId="3F2ACCF8" w14:textId="20A5DC59"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Пациенти с бъбречно увреждане</w:t>
      </w:r>
    </w:p>
    <w:p w14:paraId="68060927"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Бъбречният клирънс на ибандроновата киселина при пациенти с увреждане на бъбреците в различна степен е в линейна зависимост с креатининовия клирънс.</w:t>
      </w:r>
    </w:p>
    <w:p w14:paraId="4A9A0CD0"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Не се налага коригиране на дозата при пациенти с увреждане на бъбреците в лека или умерена степен </w:t>
      </w:r>
      <w:r w:rsidRPr="004A25C4">
        <w:rPr>
          <w:rFonts w:eastAsia="Times New Roman" w:cs="Arial"/>
          <w:color w:val="000000"/>
          <w:szCs w:val="20"/>
          <w:lang w:val="ru-RU"/>
        </w:rPr>
        <w:t>(</w:t>
      </w:r>
      <w:proofErr w:type="spellStart"/>
      <w:r w:rsidRPr="004A25C4">
        <w:rPr>
          <w:rFonts w:eastAsia="Times New Roman" w:cs="Arial"/>
          <w:color w:val="000000"/>
          <w:szCs w:val="20"/>
          <w:lang w:val="en-US"/>
        </w:rPr>
        <w:t>CLcr</w:t>
      </w:r>
      <w:proofErr w:type="spellEnd"/>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 30 </w:t>
      </w:r>
      <w:r w:rsidRPr="004A25C4">
        <w:rPr>
          <w:rFonts w:eastAsia="Times New Roman" w:cs="Arial"/>
          <w:color w:val="000000"/>
          <w:szCs w:val="20"/>
          <w:lang w:val="en-US"/>
        </w:rPr>
        <w:t>ml</w:t>
      </w:r>
      <w:r w:rsidRPr="004A25C4">
        <w:rPr>
          <w:rFonts w:eastAsia="Times New Roman" w:cs="Arial"/>
          <w:color w:val="000000"/>
          <w:szCs w:val="20"/>
          <w:lang w:val="ru-RU"/>
        </w:rPr>
        <w:t>/</w:t>
      </w:r>
      <w:r w:rsidRPr="004A25C4">
        <w:rPr>
          <w:rFonts w:eastAsia="Times New Roman" w:cs="Arial"/>
          <w:color w:val="000000"/>
          <w:szCs w:val="20"/>
          <w:lang w:val="en-US"/>
        </w:rPr>
        <w:t>min</w:t>
      </w:r>
      <w:r w:rsidRPr="004A25C4">
        <w:rPr>
          <w:rFonts w:eastAsia="Times New Roman" w:cs="Arial"/>
          <w:color w:val="000000"/>
          <w:szCs w:val="20"/>
          <w:lang w:val="ru-RU"/>
        </w:rPr>
        <w:t xml:space="preserve">), </w:t>
      </w:r>
      <w:r w:rsidRPr="004A25C4">
        <w:rPr>
          <w:rFonts w:eastAsia="Times New Roman" w:cs="Arial"/>
          <w:color w:val="000000"/>
          <w:szCs w:val="20"/>
          <w:lang w:eastAsia="bg-BG"/>
        </w:rPr>
        <w:t>както е видно от клиничното изпитване ВМ 16549, където повечето от пациентите са имали бъбречно увреждане в лека или умерена степен..</w:t>
      </w:r>
    </w:p>
    <w:p w14:paraId="605D9505" w14:textId="77777777" w:rsidR="004A25C4" w:rsidRPr="004A25C4" w:rsidRDefault="004A25C4" w:rsidP="004A25C4">
      <w:pPr>
        <w:rPr>
          <w:rFonts w:eastAsia="Times New Roman" w:cs="Arial"/>
          <w:sz w:val="28"/>
          <w:szCs w:val="24"/>
        </w:rPr>
      </w:pPr>
      <w:r w:rsidRPr="004A25C4">
        <w:rPr>
          <w:rFonts w:eastAsia="Times New Roman" w:cs="Arial"/>
          <w:color w:val="000000"/>
          <w:szCs w:val="20"/>
          <w:lang w:eastAsia="bg-BG"/>
        </w:rPr>
        <w:t xml:space="preserve">Пациенти с тежка бъбречна недостатъчност </w:t>
      </w:r>
      <w:r w:rsidRPr="004A25C4">
        <w:rPr>
          <w:rFonts w:eastAsia="Times New Roman" w:cs="Arial"/>
          <w:color w:val="000000"/>
          <w:szCs w:val="20"/>
          <w:lang w:val="ru-RU"/>
        </w:rPr>
        <w:t>(</w:t>
      </w:r>
      <w:proofErr w:type="spellStart"/>
      <w:r w:rsidRPr="004A25C4">
        <w:rPr>
          <w:rFonts w:eastAsia="Times New Roman" w:cs="Arial"/>
          <w:color w:val="000000"/>
          <w:szCs w:val="20"/>
          <w:lang w:val="en-US"/>
        </w:rPr>
        <w:t>CLcr</w:t>
      </w:r>
      <w:proofErr w:type="spellEnd"/>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&lt; 30 </w:t>
      </w:r>
      <w:r w:rsidRPr="004A25C4">
        <w:rPr>
          <w:rFonts w:eastAsia="Times New Roman" w:cs="Arial"/>
          <w:color w:val="000000"/>
          <w:szCs w:val="20"/>
          <w:lang w:val="en-US"/>
        </w:rPr>
        <w:t>ml</w:t>
      </w:r>
      <w:r w:rsidRPr="004A25C4">
        <w:rPr>
          <w:rFonts w:eastAsia="Times New Roman" w:cs="Arial"/>
          <w:color w:val="000000"/>
          <w:szCs w:val="20"/>
          <w:lang w:val="ru-RU"/>
        </w:rPr>
        <w:t>/</w:t>
      </w:r>
      <w:r w:rsidRPr="004A25C4">
        <w:rPr>
          <w:rFonts w:eastAsia="Times New Roman" w:cs="Arial"/>
          <w:color w:val="000000"/>
          <w:szCs w:val="20"/>
          <w:lang w:val="en-US"/>
        </w:rPr>
        <w:t>min</w:t>
      </w:r>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получавали ежедневно перорално 10 </w:t>
      </w:r>
      <w:r w:rsidRPr="004A25C4">
        <w:rPr>
          <w:rFonts w:eastAsia="Times New Roman" w:cs="Arial"/>
          <w:color w:val="000000"/>
          <w:szCs w:val="20"/>
          <w:lang w:val="en-US"/>
        </w:rPr>
        <w:t>mg</w:t>
      </w:r>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ибандронова киселина в продължение на 21 дни, са имали 2-3 пъти по-високи плазмени концентрации в сравнение с лица с нормална функция на бъбреците, а общият клирънс на ибандроновата киселина е бил 44 </w:t>
      </w:r>
      <w:r w:rsidRPr="004A25C4">
        <w:rPr>
          <w:rFonts w:eastAsia="Times New Roman" w:cs="Arial"/>
          <w:color w:val="000000"/>
          <w:szCs w:val="20"/>
          <w:lang w:val="en-US"/>
        </w:rPr>
        <w:t>ml</w:t>
      </w:r>
      <w:r w:rsidRPr="004A25C4">
        <w:rPr>
          <w:rFonts w:eastAsia="Times New Roman" w:cs="Arial"/>
          <w:color w:val="000000"/>
          <w:szCs w:val="20"/>
          <w:lang w:val="ru-RU"/>
        </w:rPr>
        <w:t>/</w:t>
      </w:r>
      <w:r w:rsidRPr="004A25C4">
        <w:rPr>
          <w:rFonts w:eastAsia="Times New Roman" w:cs="Arial"/>
          <w:color w:val="000000"/>
          <w:szCs w:val="20"/>
          <w:lang w:val="en-US"/>
        </w:rPr>
        <w:t>min</w:t>
      </w:r>
      <w:r w:rsidRPr="004A25C4">
        <w:rPr>
          <w:rFonts w:eastAsia="Times New Roman" w:cs="Arial"/>
          <w:color w:val="000000"/>
          <w:szCs w:val="20"/>
          <w:lang w:val="ru-RU"/>
        </w:rPr>
        <w:t xml:space="preserve">. </w:t>
      </w:r>
      <w:r w:rsidRPr="004A25C4">
        <w:rPr>
          <w:rFonts w:eastAsia="Times New Roman" w:cs="Arial"/>
          <w:color w:val="000000"/>
          <w:szCs w:val="20"/>
          <w:lang w:eastAsia="bg-BG"/>
        </w:rPr>
        <w:t xml:space="preserve">След интравенозно приложение на 0,5 </w:t>
      </w:r>
      <w:r w:rsidRPr="004A25C4">
        <w:rPr>
          <w:rFonts w:eastAsia="Times New Roman" w:cs="Arial"/>
          <w:color w:val="000000"/>
          <w:szCs w:val="20"/>
          <w:lang w:val="en-US"/>
        </w:rPr>
        <w:t>mg</w:t>
      </w:r>
      <w:r w:rsidRPr="004A25C4">
        <w:rPr>
          <w:rFonts w:eastAsia="Times New Roman" w:cs="Arial"/>
          <w:color w:val="000000"/>
          <w:szCs w:val="20"/>
          <w:lang w:val="ru-RU"/>
        </w:rPr>
        <w:t xml:space="preserve"> </w:t>
      </w:r>
      <w:r w:rsidRPr="004A25C4">
        <w:rPr>
          <w:rFonts w:eastAsia="Times New Roman" w:cs="Arial"/>
          <w:color w:val="000000"/>
          <w:szCs w:val="20"/>
          <w:lang w:eastAsia="bg-BG"/>
        </w:rPr>
        <w:t>общият, бъбречният и екстрареналният клирънс намаляват със съответно 67 %, 77 % и 50 % при лица с тежка бъбречна недостатъчност, но не е имало намаление на поносимостта, свързано с увеличение на експозицията. Поради ограниченият клиничен опит не се препоръчва приложението на ибандроновата киселина при пациенти с тежко бъбречно увреждане (вж. точка 4.2 и точка 4.4) Фармакокинетиката на ибандроновата киселина не е оценявана при пациенти</w:t>
      </w:r>
      <w:r w:rsidRPr="004A25C4">
        <w:rPr>
          <w:rFonts w:eastAsia="Times New Roman" w:cs="Arial"/>
          <w:color w:val="000000"/>
          <w:szCs w:val="20"/>
          <w:lang w:val="ru-RU" w:eastAsia="bg-BG"/>
        </w:rPr>
        <w:t xml:space="preserve"> </w:t>
      </w:r>
      <w:r w:rsidRPr="004A25C4">
        <w:rPr>
          <w:rFonts w:eastAsia="Times New Roman" w:cs="Arial"/>
          <w:color w:val="000000"/>
          <w:szCs w:val="20"/>
          <w:lang w:eastAsia="bg-BG"/>
        </w:rPr>
        <w:t>бъбречна недостатъчност, лекувани с други средства освен хемодиализа. Фармакокинетиката на ибандроновата киселина при такива пациенти не е известна и ибандроновата киселина не трябва да се прилага при тези обстоятелства.</w:t>
      </w:r>
    </w:p>
    <w:p w14:paraId="1D85671D" w14:textId="77777777" w:rsidR="004A25C4" w:rsidRPr="004A25C4" w:rsidRDefault="004A25C4" w:rsidP="004A25C4">
      <w:pPr>
        <w:spacing w:line="240" w:lineRule="auto"/>
        <w:rPr>
          <w:rFonts w:eastAsia="Times New Roman" w:cs="Arial"/>
          <w:i/>
          <w:iCs/>
          <w:color w:val="000000"/>
          <w:szCs w:val="20"/>
          <w:lang w:eastAsia="bg-BG"/>
        </w:rPr>
      </w:pPr>
    </w:p>
    <w:p w14:paraId="012ACEAA" w14:textId="31301AEB"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Пациенти с чернодробно увреждане (вижте точка 4.2)</w:t>
      </w:r>
    </w:p>
    <w:p w14:paraId="62470E2C"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Няма фармакокинетични данни за ибандроновата киселина при пациенти, които имат увреждане на черния дроб. Черният дроб няма съществена роля за клирънса на ибандроновата киселина, тъй като тя не се метаболизира, а се отделя чрез бъбречна екскреция и поемане от костите. Поради това не е необходимо коригиране на дозата при пациенти с увреждане на черния дроб.</w:t>
      </w:r>
    </w:p>
    <w:p w14:paraId="7FAC5345" w14:textId="77777777" w:rsidR="004A25C4" w:rsidRPr="004A25C4" w:rsidRDefault="004A25C4" w:rsidP="004A25C4">
      <w:pPr>
        <w:spacing w:line="240" w:lineRule="auto"/>
        <w:rPr>
          <w:rFonts w:eastAsia="Times New Roman" w:cs="Arial"/>
          <w:i/>
          <w:iCs/>
          <w:color w:val="000000"/>
          <w:szCs w:val="20"/>
          <w:u w:val="single"/>
          <w:lang w:eastAsia="bg-BG"/>
        </w:rPr>
      </w:pPr>
    </w:p>
    <w:p w14:paraId="5AF79396" w14:textId="21D190CA"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u w:val="single"/>
          <w:lang w:eastAsia="bg-BG"/>
        </w:rPr>
        <w:t>Пациенти в старческа възраст</w:t>
      </w:r>
      <w:r w:rsidRPr="004A25C4">
        <w:rPr>
          <w:rFonts w:eastAsia="Times New Roman" w:cs="Arial"/>
          <w:i/>
          <w:iCs/>
          <w:color w:val="000000"/>
          <w:szCs w:val="20"/>
          <w:lang w:eastAsia="bg-BG"/>
        </w:rPr>
        <w:t xml:space="preserve"> (вижте точка 4.2)</w:t>
      </w:r>
    </w:p>
    <w:p w14:paraId="66E5D27B"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lastRenderedPageBreak/>
        <w:t>При един мултивариантен анализ възрастта не е била независим фактор за нито един от всички изследвани фармакокинетични параметри. Тъй като функция на бъбреците намалява с възрастта, това е единственият фактор, който трябва да се има предвид (вж. точката за увреждане на бъбреците).</w:t>
      </w:r>
    </w:p>
    <w:p w14:paraId="4E43AC7C" w14:textId="77777777" w:rsidR="004A25C4" w:rsidRPr="004A25C4" w:rsidRDefault="004A25C4" w:rsidP="004A25C4">
      <w:pPr>
        <w:spacing w:line="240" w:lineRule="auto"/>
        <w:rPr>
          <w:rFonts w:eastAsia="Times New Roman" w:cs="Arial"/>
          <w:i/>
          <w:iCs/>
          <w:color w:val="000000"/>
          <w:szCs w:val="20"/>
          <w:lang w:eastAsia="bg-BG"/>
        </w:rPr>
      </w:pPr>
    </w:p>
    <w:p w14:paraId="19C8B597" w14:textId="11037F9F"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Педиатрична популация (вижте точка 4.2 и точка 5.1)</w:t>
      </w:r>
    </w:p>
    <w:p w14:paraId="17F41FDF" w14:textId="153CF3F5" w:rsidR="004A25C4" w:rsidRPr="004A25C4" w:rsidRDefault="004A25C4" w:rsidP="004A25C4">
      <w:pPr>
        <w:rPr>
          <w:rFonts w:eastAsia="Times New Roman" w:cs="Arial"/>
          <w:color w:val="000000"/>
          <w:szCs w:val="20"/>
          <w:lang w:eastAsia="bg-BG"/>
        </w:rPr>
      </w:pPr>
      <w:r w:rsidRPr="004A25C4">
        <w:rPr>
          <w:rFonts w:eastAsia="Times New Roman" w:cs="Arial"/>
          <w:color w:val="000000"/>
          <w:szCs w:val="20"/>
          <w:lang w:eastAsia="bg-BG"/>
        </w:rPr>
        <w:t>Няма данни за приложението на ибандроновата киселина в тези възрастови групи.</w:t>
      </w:r>
    </w:p>
    <w:p w14:paraId="5E67A87D" w14:textId="77777777" w:rsidR="004A25C4" w:rsidRPr="004A25C4" w:rsidRDefault="004A25C4" w:rsidP="004A25C4">
      <w:pPr>
        <w:rPr>
          <w:lang w:val="ru-RU"/>
        </w:rPr>
      </w:pPr>
    </w:p>
    <w:p w14:paraId="4FB791BE" w14:textId="317732AC" w:rsidR="00B6672E" w:rsidRDefault="002C50EE" w:rsidP="00936AD0">
      <w:pPr>
        <w:pStyle w:val="Heading2"/>
      </w:pPr>
      <w:r>
        <w:t>5.3. Предклинични данни за безопасност</w:t>
      </w:r>
    </w:p>
    <w:p w14:paraId="44DFBCD6" w14:textId="565C3B1A" w:rsidR="004A25C4" w:rsidRDefault="004A25C4" w:rsidP="004A25C4"/>
    <w:p w14:paraId="4CB7F2B5"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Наблюдавани са токсични ефекти, напр. признаци на бъбречно уврежданев експериментални опити с кучета само след прилагане на доза многократно по-висока от максималната терапевтична доза при човека, което има малко значение при клиничната употреба.</w:t>
      </w:r>
    </w:p>
    <w:p w14:paraId="4426B60E" w14:textId="77777777" w:rsidR="004A25C4" w:rsidRPr="004A25C4" w:rsidRDefault="004A25C4" w:rsidP="004A25C4">
      <w:pPr>
        <w:spacing w:line="240" w:lineRule="auto"/>
        <w:rPr>
          <w:rFonts w:eastAsia="Times New Roman" w:cs="Arial"/>
          <w:i/>
          <w:iCs/>
          <w:color w:val="000000"/>
          <w:szCs w:val="20"/>
          <w:lang w:eastAsia="bg-BG"/>
        </w:rPr>
      </w:pPr>
    </w:p>
    <w:p w14:paraId="47E6EF22" w14:textId="1AD3A326"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Мутагенност/карциногенност:</w:t>
      </w:r>
    </w:p>
    <w:p w14:paraId="0170BBFB"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Не са наблюдавани признаци за карциногенност. Изпитванията за генотоксичност не са показали данни за ефект на ибандроновата киселина върху генетичната активност.</w:t>
      </w:r>
    </w:p>
    <w:p w14:paraId="55CC5487" w14:textId="77777777" w:rsidR="004A25C4" w:rsidRPr="004A25C4" w:rsidRDefault="004A25C4" w:rsidP="004A25C4">
      <w:pPr>
        <w:spacing w:line="240" w:lineRule="auto"/>
        <w:rPr>
          <w:rFonts w:eastAsia="Times New Roman" w:cs="Arial"/>
          <w:i/>
          <w:iCs/>
          <w:color w:val="000000"/>
          <w:szCs w:val="20"/>
          <w:lang w:eastAsia="bg-BG"/>
        </w:rPr>
      </w:pPr>
    </w:p>
    <w:p w14:paraId="5CE82A61" w14:textId="3527E015" w:rsidR="004A25C4" w:rsidRPr="004A25C4" w:rsidRDefault="004A25C4" w:rsidP="004A25C4">
      <w:pPr>
        <w:spacing w:line="240" w:lineRule="auto"/>
        <w:rPr>
          <w:rFonts w:eastAsia="Times New Roman" w:cs="Arial"/>
          <w:sz w:val="28"/>
          <w:szCs w:val="24"/>
        </w:rPr>
      </w:pPr>
      <w:r w:rsidRPr="004A25C4">
        <w:rPr>
          <w:rFonts w:eastAsia="Times New Roman" w:cs="Arial"/>
          <w:i/>
          <w:iCs/>
          <w:color w:val="000000"/>
          <w:szCs w:val="20"/>
          <w:lang w:eastAsia="bg-BG"/>
        </w:rPr>
        <w:t>Репродуктивна токсичност:</w:t>
      </w:r>
    </w:p>
    <w:p w14:paraId="51AEACCC" w14:textId="77777777" w:rsidR="004A25C4" w:rsidRPr="004A25C4" w:rsidRDefault="004A25C4" w:rsidP="004A25C4">
      <w:pPr>
        <w:spacing w:line="240" w:lineRule="auto"/>
        <w:rPr>
          <w:rFonts w:eastAsia="Times New Roman" w:cs="Arial"/>
          <w:sz w:val="28"/>
          <w:szCs w:val="24"/>
        </w:rPr>
      </w:pPr>
      <w:r w:rsidRPr="004A25C4">
        <w:rPr>
          <w:rFonts w:eastAsia="Times New Roman" w:cs="Arial"/>
          <w:color w:val="000000"/>
          <w:szCs w:val="20"/>
          <w:lang w:eastAsia="bg-BG"/>
        </w:rPr>
        <w:t xml:space="preserve">Няма данни за директна фетална токсичност или тератогенен ефект на ибандроновата киселина при перорално прилагане на плъхове и зайци и не са наблюдавани нежелани реакции върху развитието на поколение </w:t>
      </w:r>
      <w:r w:rsidRPr="004A25C4">
        <w:rPr>
          <w:rFonts w:eastAsia="Times New Roman" w:cs="Arial"/>
          <w:color w:val="000000"/>
          <w:szCs w:val="20"/>
          <w:lang w:val="en-US"/>
        </w:rPr>
        <w:t>F</w:t>
      </w:r>
      <w:r w:rsidRPr="004A25C4">
        <w:rPr>
          <w:rFonts w:eastAsia="Times New Roman" w:cs="Arial"/>
          <w:color w:val="000000"/>
          <w:szCs w:val="20"/>
          <w:vertAlign w:val="subscript"/>
          <w:lang w:val="ru-RU"/>
        </w:rPr>
        <w:t>1</w:t>
      </w:r>
      <w:r w:rsidRPr="004A25C4">
        <w:rPr>
          <w:rFonts w:eastAsia="Times New Roman" w:cs="Arial"/>
          <w:color w:val="000000"/>
          <w:szCs w:val="20"/>
          <w:lang w:val="ru-RU"/>
        </w:rPr>
        <w:t xml:space="preserve"> </w:t>
      </w:r>
      <w:r w:rsidRPr="004A25C4">
        <w:rPr>
          <w:rFonts w:eastAsia="Times New Roman" w:cs="Arial"/>
          <w:color w:val="000000"/>
          <w:szCs w:val="20"/>
          <w:lang w:eastAsia="bg-BG"/>
        </w:rPr>
        <w:t>на плъхове при дози надвиващи най-малко 35 пъти при човек. Нежеланите реакции на ибандроновата киселина при изпитванията за репродуктивна токсичност при плъхове са били ефектите, наблюдавани при бифосфонатите като клас. Те включват намален брой имплантации, повлияване на естественото раждане (дистокия) и увеличение на висцералните вариации (синдром бъбречно легенче-уретер).</w:t>
      </w:r>
    </w:p>
    <w:p w14:paraId="2B543AB9" w14:textId="77777777" w:rsidR="004A25C4" w:rsidRPr="004A25C4" w:rsidRDefault="004A25C4" w:rsidP="004A25C4"/>
    <w:p w14:paraId="1BA6531D" w14:textId="72EA4EC1" w:rsidR="00B6672E" w:rsidRDefault="002C50EE" w:rsidP="00936AD0">
      <w:pPr>
        <w:pStyle w:val="Heading1"/>
      </w:pPr>
      <w:r>
        <w:t>7. ПРИТЕЖАТЕЛ НА РАЗРЕШЕНИЕТО ЗА УПОТРЕБА</w:t>
      </w:r>
    </w:p>
    <w:p w14:paraId="21DC446A" w14:textId="1A396B8E" w:rsidR="004A25C4" w:rsidRDefault="004A25C4" w:rsidP="004A25C4"/>
    <w:p w14:paraId="13182FAE" w14:textId="77777777" w:rsidR="004A25C4" w:rsidRPr="004A25C4" w:rsidRDefault="004A25C4" w:rsidP="004A25C4">
      <w:pPr>
        <w:rPr>
          <w:sz w:val="24"/>
          <w:szCs w:val="24"/>
          <w:lang w:val="en-US"/>
        </w:rPr>
      </w:pPr>
      <w:proofErr w:type="spellStart"/>
      <w:r w:rsidRPr="004A25C4">
        <w:rPr>
          <w:lang w:val="en-US"/>
        </w:rPr>
        <w:t>Stada</w:t>
      </w:r>
      <w:proofErr w:type="spellEnd"/>
      <w:r w:rsidRPr="004A25C4">
        <w:rPr>
          <w:lang w:val="en-US"/>
        </w:rPr>
        <w:t xml:space="preserve"> </w:t>
      </w:r>
      <w:proofErr w:type="spellStart"/>
      <w:r w:rsidRPr="004A25C4">
        <w:rPr>
          <w:lang w:val="en-US"/>
        </w:rPr>
        <w:t>Arzneimittel</w:t>
      </w:r>
      <w:proofErr w:type="spellEnd"/>
      <w:r w:rsidRPr="004A25C4">
        <w:rPr>
          <w:lang w:val="en-US"/>
        </w:rPr>
        <w:t xml:space="preserve"> AG</w:t>
      </w:r>
    </w:p>
    <w:p w14:paraId="21E9D711" w14:textId="77777777" w:rsidR="004A25C4" w:rsidRPr="004A25C4" w:rsidRDefault="004A25C4" w:rsidP="004A25C4">
      <w:pPr>
        <w:rPr>
          <w:sz w:val="24"/>
          <w:szCs w:val="24"/>
          <w:lang w:val="en-US"/>
        </w:rPr>
      </w:pPr>
      <w:proofErr w:type="spellStart"/>
      <w:r w:rsidRPr="004A25C4">
        <w:rPr>
          <w:lang w:val="en-US"/>
        </w:rPr>
        <w:t>Stadastrasse</w:t>
      </w:r>
      <w:proofErr w:type="spellEnd"/>
      <w:r w:rsidRPr="004A25C4">
        <w:rPr>
          <w:lang w:val="en-US"/>
        </w:rPr>
        <w:t xml:space="preserve"> 2-18</w:t>
      </w:r>
    </w:p>
    <w:p w14:paraId="22EC6B23" w14:textId="77777777" w:rsidR="004A25C4" w:rsidRPr="004A25C4" w:rsidRDefault="004A25C4" w:rsidP="004A25C4">
      <w:pPr>
        <w:rPr>
          <w:sz w:val="24"/>
          <w:szCs w:val="24"/>
          <w:lang w:val="en-US"/>
        </w:rPr>
      </w:pPr>
      <w:proofErr w:type="gramStart"/>
      <w:r w:rsidRPr="004A25C4">
        <w:rPr>
          <w:lang w:val="en-US"/>
        </w:rPr>
        <w:t>61118</w:t>
      </w:r>
      <w:proofErr w:type="gramEnd"/>
      <w:r w:rsidRPr="004A25C4">
        <w:rPr>
          <w:lang w:val="en-US"/>
        </w:rPr>
        <w:t xml:space="preserve"> Bad </w:t>
      </w:r>
      <w:proofErr w:type="spellStart"/>
      <w:r w:rsidRPr="004A25C4">
        <w:rPr>
          <w:lang w:val="en-US"/>
        </w:rPr>
        <w:t>Vilbel</w:t>
      </w:r>
      <w:proofErr w:type="spellEnd"/>
    </w:p>
    <w:p w14:paraId="27DFE048" w14:textId="62D6EDE3" w:rsidR="004A25C4" w:rsidRPr="004A25C4" w:rsidRDefault="004A25C4" w:rsidP="004A25C4">
      <w:r w:rsidRPr="004A25C4">
        <w:rPr>
          <w:lang w:eastAsia="bg-BG"/>
        </w:rPr>
        <w:t>Германия</w:t>
      </w:r>
    </w:p>
    <w:p w14:paraId="508F3A54" w14:textId="6A7104F0" w:rsidR="00B6672E" w:rsidRDefault="00936AD0" w:rsidP="00936AD0">
      <w:pPr>
        <w:pStyle w:val="Heading1"/>
      </w:pPr>
      <w:r>
        <w:t>8.</w:t>
      </w:r>
      <w:r w:rsidR="002C50EE">
        <w:t>НОМЕР НА РАЗРЕШЕНИЕТО ЗА УПОТРЕБА</w:t>
      </w:r>
    </w:p>
    <w:p w14:paraId="0CD76579" w14:textId="3E5C9738" w:rsidR="004A25C4" w:rsidRDefault="004A25C4" w:rsidP="004A25C4"/>
    <w:p w14:paraId="01220508" w14:textId="5422E79B" w:rsidR="004A25C4" w:rsidRPr="004A25C4" w:rsidRDefault="004A25C4" w:rsidP="004A25C4">
      <w:pPr>
        <w:rPr>
          <w:sz w:val="24"/>
          <w:szCs w:val="24"/>
        </w:rPr>
      </w:pPr>
      <w:r w:rsidRPr="004A25C4">
        <w:rPr>
          <w:lang w:eastAsia="bg-BG"/>
        </w:rPr>
        <w:t xml:space="preserve">Регистрационен № </w:t>
      </w:r>
      <w:r w:rsidRPr="004A25C4">
        <w:rPr>
          <w:b/>
          <w:bCs/>
          <w:lang w:eastAsia="bg-BG"/>
        </w:rPr>
        <w:t>20110250</w:t>
      </w:r>
    </w:p>
    <w:p w14:paraId="2CCB5832" w14:textId="5A1BFB06" w:rsidR="007C605B" w:rsidRDefault="002C50EE" w:rsidP="007C605B">
      <w:pPr>
        <w:pStyle w:val="Heading1"/>
      </w:pPr>
      <w:r>
        <w:t>9. ДАТА НА ПЪРВО РАЗРЕШАВАНЕ/ПОДНОВЯВАНЕ НА РАЗРЕШЕНИЕТО ЗА УПОТРЕБА</w:t>
      </w:r>
    </w:p>
    <w:p w14:paraId="7E7A0D96" w14:textId="2B682FBA" w:rsidR="004A25C4" w:rsidRDefault="004A25C4" w:rsidP="004A25C4"/>
    <w:p w14:paraId="56FBAC57" w14:textId="6BF3DEB1" w:rsidR="004A25C4" w:rsidRPr="004A25C4" w:rsidRDefault="004A25C4" w:rsidP="004A25C4">
      <w:pPr>
        <w:rPr>
          <w:sz w:val="24"/>
          <w:szCs w:val="24"/>
        </w:rPr>
      </w:pPr>
      <w:r w:rsidRPr="004A25C4">
        <w:rPr>
          <w:lang w:eastAsia="bg-BG"/>
        </w:rPr>
        <w:t>15.04.2011 /13.03.2015</w:t>
      </w:r>
    </w:p>
    <w:p w14:paraId="0E9D0119" w14:textId="0245C6D7" w:rsidR="002C50EE" w:rsidRDefault="002C50EE" w:rsidP="002C50EE">
      <w:pPr>
        <w:pStyle w:val="Heading1"/>
      </w:pPr>
      <w:r>
        <w:lastRenderedPageBreak/>
        <w:t>10. ДАТА НА АКТУАЛИЗИРАНЕ НА ТЕКСТА</w:t>
      </w:r>
    </w:p>
    <w:bookmarkEnd w:id="0"/>
    <w:p w14:paraId="43FB38A2" w14:textId="0C10AC79" w:rsidR="007C605B" w:rsidRPr="003E3126" w:rsidRDefault="004A25C4" w:rsidP="004A25C4">
      <w:r>
        <w:t>14/04/2020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71F73"/>
    <w:multiLevelType w:val="hybridMultilevel"/>
    <w:tmpl w:val="4EC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3F600F36"/>
    <w:multiLevelType w:val="hybridMultilevel"/>
    <w:tmpl w:val="7D0EE27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A81BBF"/>
    <w:multiLevelType w:val="hybridMultilevel"/>
    <w:tmpl w:val="37E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9"/>
  </w:num>
  <w:num w:numId="7">
    <w:abstractNumId w:val="12"/>
  </w:num>
  <w:num w:numId="8">
    <w:abstractNumId w:val="17"/>
  </w:num>
  <w:num w:numId="9">
    <w:abstractNumId w:val="2"/>
  </w:num>
  <w:num w:numId="10">
    <w:abstractNumId w:val="4"/>
  </w:num>
  <w:num w:numId="11">
    <w:abstractNumId w:val="34"/>
  </w:num>
  <w:num w:numId="12">
    <w:abstractNumId w:val="16"/>
  </w:num>
  <w:num w:numId="13">
    <w:abstractNumId w:val="23"/>
  </w:num>
  <w:num w:numId="14">
    <w:abstractNumId w:val="13"/>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9"/>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15"/>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77D1D"/>
    <w:rsid w:val="004A25C4"/>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F72B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6248</Words>
  <Characters>35618</Characters>
  <Application>Microsoft Office Word</Application>
  <DocSecurity>0</DocSecurity>
  <Lines>296</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2022-10-17T13:34:00Z</dcterms:created>
  <dcterms:modified xsi:type="dcterms:W3CDTF">2022-10-17T13:34:00Z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