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2D1E2708" w:rsidR="00AA23EC" w:rsidRDefault="00DD466D" w:rsidP="00DD466D">
      <w:pPr>
        <w:pStyle w:val="Heading1"/>
      </w:pPr>
      <w:r>
        <w:t>1.ИМЕ НА ЛЕКАРСТВЕНИЯ ПРОДУКТ</w:t>
      </w:r>
    </w:p>
    <w:p w14:paraId="35F517F6" w14:textId="77777777" w:rsidR="005559A0" w:rsidRPr="005559A0" w:rsidRDefault="005559A0" w:rsidP="005559A0">
      <w:pPr>
        <w:rPr>
          <w:sz w:val="24"/>
          <w:szCs w:val="24"/>
          <w:lang w:val="en-US"/>
        </w:rPr>
      </w:pPr>
      <w:r w:rsidRPr="005559A0">
        <w:rPr>
          <w:lang w:val="en-US"/>
        </w:rPr>
        <w:t>ILOMEDIN 20 micrograms/ml concentrate for solution for infusion</w:t>
      </w:r>
    </w:p>
    <w:p w14:paraId="78CC38B7" w14:textId="16A4FEF4" w:rsidR="005559A0" w:rsidRPr="005559A0" w:rsidRDefault="005559A0" w:rsidP="005559A0">
      <w:r w:rsidRPr="005559A0">
        <w:rPr>
          <w:lang w:eastAsia="bg-BG"/>
        </w:rPr>
        <w:t xml:space="preserve">ИЛОМЕДИН </w:t>
      </w:r>
      <w:r w:rsidRPr="005559A0">
        <w:rPr>
          <w:lang w:val="en-US"/>
        </w:rPr>
        <w:t xml:space="preserve">20 </w:t>
      </w:r>
      <w:r w:rsidRPr="005559A0">
        <w:rPr>
          <w:lang w:eastAsia="bg-BG"/>
        </w:rPr>
        <w:t>микрограма</w:t>
      </w:r>
      <w:r w:rsidRPr="005559A0">
        <w:rPr>
          <w:lang w:val="en-US"/>
        </w:rPr>
        <w:t xml:space="preserve">/ml </w:t>
      </w:r>
      <w:r w:rsidRPr="005559A0">
        <w:rPr>
          <w:lang w:eastAsia="bg-BG"/>
        </w:rPr>
        <w:t xml:space="preserve">концентрат за </w:t>
      </w:r>
      <w:proofErr w:type="spellStart"/>
      <w:r w:rsidRPr="005559A0">
        <w:rPr>
          <w:lang w:eastAsia="bg-BG"/>
        </w:rPr>
        <w:t>инфузионен</w:t>
      </w:r>
      <w:proofErr w:type="spellEnd"/>
      <w:r w:rsidRPr="005559A0">
        <w:rPr>
          <w:lang w:eastAsia="bg-BG"/>
        </w:rPr>
        <w:t xml:space="preserve"> разтвор</w:t>
      </w:r>
    </w:p>
    <w:p w14:paraId="4D88B710" w14:textId="6BB27A86" w:rsidR="00D86297" w:rsidRDefault="00DD466D" w:rsidP="00AA23EC">
      <w:pPr>
        <w:pStyle w:val="Heading1"/>
      </w:pPr>
      <w:r>
        <w:t>2. КАЧЕСТВЕН И КОЛИЧЕСТВЕН СЪСТАВ</w:t>
      </w:r>
    </w:p>
    <w:p w14:paraId="3FE467D2" w14:textId="77777777" w:rsidR="005559A0" w:rsidRPr="005559A0" w:rsidRDefault="005559A0" w:rsidP="005559A0">
      <w:pPr>
        <w:rPr>
          <w:sz w:val="24"/>
          <w:szCs w:val="24"/>
        </w:rPr>
      </w:pPr>
      <w:r w:rsidRPr="005559A0">
        <w:rPr>
          <w:lang w:eastAsia="bg-BG"/>
        </w:rPr>
        <w:t xml:space="preserve">1 </w:t>
      </w:r>
      <w:r w:rsidRPr="005559A0">
        <w:rPr>
          <w:lang w:val="en-US"/>
        </w:rPr>
        <w:t xml:space="preserve">ml </w:t>
      </w:r>
      <w:r w:rsidRPr="005559A0">
        <w:rPr>
          <w:lang w:eastAsia="bg-BG"/>
        </w:rPr>
        <w:t xml:space="preserve">воден разтвор съдържа 0,027 </w:t>
      </w:r>
      <w:r w:rsidRPr="005559A0">
        <w:rPr>
          <w:lang w:val="en-US"/>
        </w:rPr>
        <w:t xml:space="preserve">mg </w:t>
      </w:r>
      <w:proofErr w:type="spellStart"/>
      <w:r w:rsidRPr="005559A0">
        <w:rPr>
          <w:lang w:eastAsia="bg-BG"/>
        </w:rPr>
        <w:t>илопрост</w:t>
      </w:r>
      <w:proofErr w:type="spellEnd"/>
      <w:r w:rsidRPr="005559A0">
        <w:rPr>
          <w:lang w:eastAsia="bg-BG"/>
        </w:rPr>
        <w:t xml:space="preserve"> </w:t>
      </w:r>
      <w:proofErr w:type="spellStart"/>
      <w:r w:rsidRPr="005559A0">
        <w:rPr>
          <w:lang w:eastAsia="bg-BG"/>
        </w:rPr>
        <w:t>трометамол</w:t>
      </w:r>
      <w:proofErr w:type="spellEnd"/>
      <w:r w:rsidRPr="005559A0">
        <w:rPr>
          <w:lang w:eastAsia="bg-BG"/>
        </w:rPr>
        <w:t xml:space="preserve"> (еквивалентен на 0,020 </w:t>
      </w:r>
      <w:r w:rsidRPr="005559A0">
        <w:rPr>
          <w:lang w:val="en-US"/>
        </w:rPr>
        <w:t xml:space="preserve">mg </w:t>
      </w:r>
      <w:proofErr w:type="spellStart"/>
      <w:r w:rsidRPr="005559A0">
        <w:rPr>
          <w:lang w:eastAsia="bg-BG"/>
        </w:rPr>
        <w:t>илопрост</w:t>
      </w:r>
      <w:proofErr w:type="spellEnd"/>
      <w:r w:rsidRPr="005559A0">
        <w:rPr>
          <w:lang w:eastAsia="bg-BG"/>
        </w:rPr>
        <w:t>).</w:t>
      </w:r>
    </w:p>
    <w:p w14:paraId="39134923" w14:textId="386FB8C8" w:rsidR="005559A0" w:rsidRPr="005559A0" w:rsidRDefault="005559A0" w:rsidP="005559A0">
      <w:r w:rsidRPr="005559A0">
        <w:rPr>
          <w:lang w:eastAsia="bg-BG"/>
        </w:rPr>
        <w:t xml:space="preserve">2,5 </w:t>
      </w:r>
      <w:r w:rsidRPr="005559A0">
        <w:rPr>
          <w:lang w:val="en-US"/>
        </w:rPr>
        <w:t xml:space="preserve">ml </w:t>
      </w:r>
      <w:r w:rsidRPr="005559A0">
        <w:rPr>
          <w:lang w:eastAsia="bg-BG"/>
        </w:rPr>
        <w:t xml:space="preserve">воден разтвор съдържа 0,067 </w:t>
      </w:r>
      <w:r w:rsidRPr="005559A0">
        <w:rPr>
          <w:lang w:val="en-US"/>
        </w:rPr>
        <w:t xml:space="preserve">mg </w:t>
      </w:r>
      <w:proofErr w:type="spellStart"/>
      <w:r w:rsidRPr="005559A0">
        <w:rPr>
          <w:lang w:eastAsia="bg-BG"/>
        </w:rPr>
        <w:t>илопрост</w:t>
      </w:r>
      <w:proofErr w:type="spellEnd"/>
      <w:r w:rsidRPr="005559A0">
        <w:rPr>
          <w:lang w:eastAsia="bg-BG"/>
        </w:rPr>
        <w:t xml:space="preserve"> </w:t>
      </w:r>
      <w:proofErr w:type="spellStart"/>
      <w:r w:rsidRPr="005559A0">
        <w:rPr>
          <w:lang w:eastAsia="bg-BG"/>
        </w:rPr>
        <w:t>трометамол</w:t>
      </w:r>
      <w:proofErr w:type="spellEnd"/>
      <w:r w:rsidRPr="005559A0">
        <w:rPr>
          <w:lang w:eastAsia="bg-BG"/>
        </w:rPr>
        <w:t xml:space="preserve"> (еквивалентен на 0,050 </w:t>
      </w:r>
      <w:r w:rsidRPr="005559A0">
        <w:rPr>
          <w:lang w:val="en-US"/>
        </w:rPr>
        <w:t xml:space="preserve">mg </w:t>
      </w:r>
      <w:proofErr w:type="spellStart"/>
      <w:r w:rsidRPr="005559A0">
        <w:rPr>
          <w:lang w:eastAsia="bg-BG"/>
        </w:rPr>
        <w:t>илопрост</w:t>
      </w:r>
      <w:proofErr w:type="spellEnd"/>
      <w:r w:rsidRPr="005559A0">
        <w:rPr>
          <w:lang w:eastAsia="bg-BG"/>
        </w:rPr>
        <w:t>).</w:t>
      </w:r>
    </w:p>
    <w:p w14:paraId="5E332777" w14:textId="3110B42A" w:rsidR="005A66D9" w:rsidRDefault="00DD466D" w:rsidP="00CA1B57">
      <w:pPr>
        <w:pStyle w:val="Heading1"/>
      </w:pPr>
      <w:r>
        <w:t>3. ЛЕКАРСТВЕНА ФОРМА</w:t>
      </w:r>
    </w:p>
    <w:p w14:paraId="1688685E" w14:textId="77777777" w:rsidR="005559A0" w:rsidRPr="005559A0" w:rsidRDefault="005559A0" w:rsidP="005559A0">
      <w:pPr>
        <w:rPr>
          <w:sz w:val="24"/>
          <w:szCs w:val="24"/>
        </w:rPr>
      </w:pPr>
      <w:r w:rsidRPr="005559A0">
        <w:rPr>
          <w:lang w:eastAsia="bg-BG"/>
        </w:rPr>
        <w:t xml:space="preserve">Концентрат за </w:t>
      </w:r>
      <w:proofErr w:type="spellStart"/>
      <w:r w:rsidRPr="005559A0">
        <w:rPr>
          <w:lang w:eastAsia="bg-BG"/>
        </w:rPr>
        <w:t>инфузионен</w:t>
      </w:r>
      <w:proofErr w:type="spellEnd"/>
      <w:r w:rsidRPr="005559A0">
        <w:rPr>
          <w:lang w:eastAsia="bg-BG"/>
        </w:rPr>
        <w:t xml:space="preserve"> разтвор.</w:t>
      </w:r>
    </w:p>
    <w:p w14:paraId="68DC6B20" w14:textId="0A18936D" w:rsidR="005559A0" w:rsidRPr="005559A0" w:rsidRDefault="005559A0" w:rsidP="005559A0">
      <w:r w:rsidRPr="005559A0">
        <w:rPr>
          <w:lang w:eastAsia="bg-BG"/>
        </w:rPr>
        <w:t>Бистър, без частици.</w:t>
      </w:r>
    </w:p>
    <w:p w14:paraId="490FC2C4" w14:textId="77777777" w:rsidR="002C50EE" w:rsidRDefault="002C50EE" w:rsidP="002C50EE">
      <w:pPr>
        <w:pStyle w:val="Heading1"/>
      </w:pPr>
      <w:r>
        <w:t>4. КЛИНИЧНИ ДАННИ</w:t>
      </w:r>
    </w:p>
    <w:p w14:paraId="1512A286" w14:textId="2888A462" w:rsidR="00FD69E8" w:rsidRDefault="002C50EE" w:rsidP="00AA23EC">
      <w:pPr>
        <w:pStyle w:val="Heading2"/>
      </w:pPr>
      <w:r>
        <w:t>4.1. Терапевтични показания</w:t>
      </w:r>
    </w:p>
    <w:p w14:paraId="0369255D" w14:textId="77777777" w:rsidR="005559A0" w:rsidRPr="005559A0" w:rsidRDefault="005559A0" w:rsidP="005559A0">
      <w:pPr>
        <w:rPr>
          <w:sz w:val="24"/>
          <w:szCs w:val="24"/>
        </w:rPr>
      </w:pPr>
      <w:r w:rsidRPr="005559A0">
        <w:rPr>
          <w:lang w:eastAsia="bg-BG"/>
        </w:rPr>
        <w:t xml:space="preserve">Лечение на напреднал </w:t>
      </w:r>
      <w:proofErr w:type="spellStart"/>
      <w:r w:rsidRPr="005559A0">
        <w:rPr>
          <w:lang w:eastAsia="bg-BG"/>
        </w:rPr>
        <w:t>облитериращ</w:t>
      </w:r>
      <w:proofErr w:type="spellEnd"/>
      <w:r w:rsidRPr="005559A0">
        <w:rPr>
          <w:lang w:eastAsia="bg-BG"/>
        </w:rPr>
        <w:t xml:space="preserve"> </w:t>
      </w:r>
      <w:proofErr w:type="spellStart"/>
      <w:r w:rsidRPr="005559A0">
        <w:rPr>
          <w:lang w:eastAsia="bg-BG"/>
        </w:rPr>
        <w:t>тромбангиит</w:t>
      </w:r>
      <w:proofErr w:type="spellEnd"/>
      <w:r w:rsidRPr="005559A0">
        <w:rPr>
          <w:lang w:eastAsia="bg-BG"/>
        </w:rPr>
        <w:t xml:space="preserve"> (Болест на Бюргер) с критична исхемия на крайниците в случаи, при които не е показана </w:t>
      </w:r>
      <w:proofErr w:type="spellStart"/>
      <w:r w:rsidRPr="005559A0">
        <w:rPr>
          <w:lang w:eastAsia="bg-BG"/>
        </w:rPr>
        <w:t>реваскуларизация</w:t>
      </w:r>
      <w:proofErr w:type="spellEnd"/>
      <w:r w:rsidRPr="005559A0">
        <w:rPr>
          <w:lang w:eastAsia="bg-BG"/>
        </w:rPr>
        <w:t>.</w:t>
      </w:r>
    </w:p>
    <w:p w14:paraId="1E067ED8" w14:textId="77777777" w:rsidR="005559A0" w:rsidRDefault="005559A0" w:rsidP="005559A0">
      <w:pPr>
        <w:rPr>
          <w:lang w:eastAsia="bg-BG"/>
        </w:rPr>
      </w:pPr>
    </w:p>
    <w:p w14:paraId="73CB008D" w14:textId="6F2FF63D" w:rsidR="005559A0" w:rsidRPr="005559A0" w:rsidRDefault="005559A0" w:rsidP="005559A0">
      <w:pPr>
        <w:rPr>
          <w:sz w:val="24"/>
          <w:szCs w:val="24"/>
        </w:rPr>
      </w:pPr>
      <w:r w:rsidRPr="005559A0">
        <w:rPr>
          <w:lang w:eastAsia="bg-BG"/>
        </w:rPr>
        <w:t xml:space="preserve">Лечението на пациенти с тежко периферно артериално </w:t>
      </w:r>
      <w:proofErr w:type="spellStart"/>
      <w:r w:rsidRPr="005559A0">
        <w:rPr>
          <w:lang w:eastAsia="bg-BG"/>
        </w:rPr>
        <w:t>оклузивно</w:t>
      </w:r>
      <w:proofErr w:type="spellEnd"/>
      <w:r w:rsidRPr="005559A0">
        <w:rPr>
          <w:lang w:eastAsia="bg-BG"/>
        </w:rPr>
        <w:t xml:space="preserve"> заболяване (ПАОЗ), особено на такива с риск от ампутация и при които не е възможно провеждане на хирургична интервенция или </w:t>
      </w:r>
      <w:proofErr w:type="spellStart"/>
      <w:r w:rsidRPr="005559A0">
        <w:rPr>
          <w:lang w:eastAsia="bg-BG"/>
        </w:rPr>
        <w:t>ангиопластика</w:t>
      </w:r>
      <w:proofErr w:type="spellEnd"/>
      <w:r w:rsidRPr="005559A0">
        <w:rPr>
          <w:lang w:eastAsia="bg-BG"/>
        </w:rPr>
        <w:t>.</w:t>
      </w:r>
    </w:p>
    <w:p w14:paraId="34CE7374" w14:textId="77777777" w:rsidR="005559A0" w:rsidRDefault="005559A0" w:rsidP="005559A0">
      <w:pPr>
        <w:rPr>
          <w:lang w:eastAsia="bg-BG"/>
        </w:rPr>
      </w:pPr>
    </w:p>
    <w:p w14:paraId="4DE12206" w14:textId="50E3234F" w:rsidR="005559A0" w:rsidRPr="005559A0" w:rsidRDefault="005559A0" w:rsidP="005559A0">
      <w:pPr>
        <w:rPr>
          <w:sz w:val="24"/>
          <w:szCs w:val="24"/>
        </w:rPr>
      </w:pPr>
      <w:r w:rsidRPr="005559A0">
        <w:rPr>
          <w:lang w:eastAsia="bg-BG"/>
        </w:rPr>
        <w:t xml:space="preserve">Лечение на пациенти с тежък </w:t>
      </w:r>
      <w:proofErr w:type="spellStart"/>
      <w:r w:rsidRPr="005559A0">
        <w:rPr>
          <w:lang w:eastAsia="bg-BG"/>
        </w:rPr>
        <w:t>инвалидизиращ</w:t>
      </w:r>
      <w:proofErr w:type="spellEnd"/>
      <w:r w:rsidRPr="005559A0">
        <w:rPr>
          <w:lang w:eastAsia="bg-BG"/>
        </w:rPr>
        <w:t xml:space="preserve"> синдром на </w:t>
      </w:r>
      <w:proofErr w:type="spellStart"/>
      <w:r w:rsidRPr="005559A0">
        <w:rPr>
          <w:lang w:eastAsia="bg-BG"/>
        </w:rPr>
        <w:t>Рейно</w:t>
      </w:r>
      <w:proofErr w:type="spellEnd"/>
      <w:r w:rsidRPr="005559A0">
        <w:rPr>
          <w:lang w:eastAsia="bg-BG"/>
        </w:rPr>
        <w:t>, който не се поддава на други видове терапия.</w:t>
      </w:r>
    </w:p>
    <w:p w14:paraId="039BF0E1" w14:textId="77777777" w:rsidR="005559A0" w:rsidRPr="003765DC" w:rsidRDefault="005559A0" w:rsidP="003765DC"/>
    <w:p w14:paraId="66024DB0" w14:textId="7A3CE188" w:rsidR="003765DC" w:rsidRDefault="002C50EE" w:rsidP="002B3C38">
      <w:pPr>
        <w:pStyle w:val="Heading2"/>
      </w:pPr>
      <w:r>
        <w:t>4.2. Дозировка и начин на приложение</w:t>
      </w:r>
    </w:p>
    <w:p w14:paraId="7A64B71A" w14:textId="77777777" w:rsidR="005559A0" w:rsidRDefault="005559A0" w:rsidP="005559A0">
      <w:pPr>
        <w:spacing w:line="240" w:lineRule="auto"/>
        <w:rPr>
          <w:rFonts w:ascii="Times New Roman" w:eastAsia="Times New Roman" w:hAnsi="Times New Roman" w:cs="Times New Roman"/>
          <w:color w:val="000000"/>
          <w:lang w:eastAsia="bg-BG"/>
        </w:rPr>
      </w:pPr>
    </w:p>
    <w:p w14:paraId="6B3C790A" w14:textId="3CF7682F" w:rsidR="005559A0" w:rsidRPr="005559A0" w:rsidRDefault="005559A0" w:rsidP="005559A0">
      <w:pPr>
        <w:rPr>
          <w:sz w:val="24"/>
          <w:szCs w:val="24"/>
        </w:rPr>
      </w:pPr>
      <w:proofErr w:type="spellStart"/>
      <w:r w:rsidRPr="005559A0">
        <w:rPr>
          <w:lang w:eastAsia="bg-BG"/>
        </w:rPr>
        <w:t>Иломедин</w:t>
      </w:r>
      <w:proofErr w:type="spellEnd"/>
      <w:r w:rsidRPr="005559A0">
        <w:rPr>
          <w:lang w:eastAsia="bg-BG"/>
        </w:rPr>
        <w:t xml:space="preserve"> трябва да се използва само под стриктно наблюдение в болница или в подходящо оборудвани поликлиники за амбулаторни пациенти.</w:t>
      </w:r>
    </w:p>
    <w:p w14:paraId="6C8753E1" w14:textId="77777777" w:rsidR="005559A0" w:rsidRDefault="005559A0" w:rsidP="005559A0">
      <w:pPr>
        <w:rPr>
          <w:lang w:eastAsia="bg-BG"/>
        </w:rPr>
      </w:pPr>
    </w:p>
    <w:p w14:paraId="09FC5F8F" w14:textId="04D14D18" w:rsidR="005559A0" w:rsidRPr="005559A0" w:rsidRDefault="005559A0" w:rsidP="005559A0">
      <w:pPr>
        <w:rPr>
          <w:sz w:val="24"/>
          <w:szCs w:val="24"/>
        </w:rPr>
      </w:pPr>
      <w:r w:rsidRPr="005559A0">
        <w:rPr>
          <w:lang w:eastAsia="bg-BG"/>
        </w:rPr>
        <w:t>Преди започване на лечението на жени трябва да се изключи бременност.</w:t>
      </w:r>
    </w:p>
    <w:p w14:paraId="7256DDD9" w14:textId="77777777" w:rsidR="005559A0" w:rsidRDefault="005559A0" w:rsidP="005559A0">
      <w:pPr>
        <w:rPr>
          <w:lang w:eastAsia="bg-BG"/>
        </w:rPr>
      </w:pPr>
    </w:p>
    <w:p w14:paraId="31EAAC38" w14:textId="1EA9C77E" w:rsidR="005559A0" w:rsidRPr="005559A0" w:rsidRDefault="005559A0" w:rsidP="005559A0">
      <w:pPr>
        <w:rPr>
          <w:sz w:val="24"/>
          <w:szCs w:val="24"/>
        </w:rPr>
      </w:pPr>
      <w:proofErr w:type="spellStart"/>
      <w:r w:rsidRPr="005559A0">
        <w:rPr>
          <w:lang w:eastAsia="bg-BG"/>
        </w:rPr>
        <w:t>Иломедин</w:t>
      </w:r>
      <w:proofErr w:type="spellEnd"/>
      <w:r w:rsidRPr="005559A0">
        <w:rPr>
          <w:lang w:eastAsia="bg-BG"/>
        </w:rPr>
        <w:t xml:space="preserve"> се прилага след разреждане, както е описано в част 6.6 Специални предпазни мерки при изхвърляне и работа, под форма на интравенозна инфузия в продължение на 6 часа дневно в периферна вена или с централен венозен катетър. Дозата се адаптира в зависимост от индивидуалната поносимост в порядъка от 0,5 до 2,0 </w:t>
      </w:r>
      <w:r w:rsidRPr="005559A0">
        <w:rPr>
          <w:lang w:val="en-US"/>
        </w:rPr>
        <w:t xml:space="preserve">ng </w:t>
      </w:r>
      <w:proofErr w:type="spellStart"/>
      <w:r w:rsidRPr="005559A0">
        <w:rPr>
          <w:lang w:eastAsia="bg-BG"/>
        </w:rPr>
        <w:t>илопрост</w:t>
      </w:r>
      <w:proofErr w:type="spellEnd"/>
      <w:r w:rsidRPr="005559A0">
        <w:rPr>
          <w:lang w:val="en-US"/>
        </w:rPr>
        <w:t xml:space="preserve">/kg </w:t>
      </w:r>
      <w:r w:rsidRPr="005559A0">
        <w:rPr>
          <w:lang w:eastAsia="bg-BG"/>
        </w:rPr>
        <w:t>телесно тегло</w:t>
      </w:r>
      <w:r w:rsidRPr="005559A0">
        <w:rPr>
          <w:lang w:val="en-US"/>
        </w:rPr>
        <w:t>/min.</w:t>
      </w:r>
    </w:p>
    <w:p w14:paraId="068CA2C7" w14:textId="77777777" w:rsidR="005559A0" w:rsidRDefault="005559A0" w:rsidP="005559A0">
      <w:pPr>
        <w:rPr>
          <w:lang w:eastAsia="bg-BG"/>
        </w:rPr>
      </w:pPr>
    </w:p>
    <w:p w14:paraId="12DDADD3" w14:textId="0989CD10" w:rsidR="005559A0" w:rsidRPr="005559A0" w:rsidRDefault="005559A0" w:rsidP="005559A0">
      <w:pPr>
        <w:rPr>
          <w:sz w:val="24"/>
          <w:szCs w:val="24"/>
        </w:rPr>
      </w:pPr>
      <w:proofErr w:type="spellStart"/>
      <w:r w:rsidRPr="005559A0">
        <w:rPr>
          <w:lang w:eastAsia="bg-BG"/>
        </w:rPr>
        <w:t>Инфузионният</w:t>
      </w:r>
      <w:proofErr w:type="spellEnd"/>
      <w:r w:rsidRPr="005559A0">
        <w:rPr>
          <w:lang w:eastAsia="bg-BG"/>
        </w:rPr>
        <w:t xml:space="preserve"> разтвор трябва да се приготвя преди всяка инфузия, за да се осигури стерилността му.</w:t>
      </w:r>
    </w:p>
    <w:p w14:paraId="1DED0AEC" w14:textId="77777777" w:rsidR="005559A0" w:rsidRDefault="005559A0" w:rsidP="005559A0">
      <w:pPr>
        <w:rPr>
          <w:lang w:eastAsia="bg-BG"/>
        </w:rPr>
      </w:pPr>
    </w:p>
    <w:p w14:paraId="5D622415" w14:textId="5C4D561A" w:rsidR="005559A0" w:rsidRPr="005559A0" w:rsidRDefault="005559A0" w:rsidP="005559A0">
      <w:pPr>
        <w:rPr>
          <w:sz w:val="24"/>
          <w:szCs w:val="24"/>
        </w:rPr>
      </w:pPr>
      <w:r w:rsidRPr="005559A0">
        <w:rPr>
          <w:lang w:eastAsia="bg-BG"/>
        </w:rPr>
        <w:lastRenderedPageBreak/>
        <w:t>Съдържанието на ампулата и на разтворителя трябва старателно да се смеси.</w:t>
      </w:r>
    </w:p>
    <w:p w14:paraId="44B09374" w14:textId="77777777" w:rsidR="005559A0" w:rsidRDefault="005559A0" w:rsidP="005559A0">
      <w:pPr>
        <w:rPr>
          <w:lang w:eastAsia="bg-BG"/>
        </w:rPr>
      </w:pPr>
    </w:p>
    <w:p w14:paraId="190F2ED2" w14:textId="191B3AEF" w:rsidR="005559A0" w:rsidRPr="005559A0" w:rsidRDefault="005559A0" w:rsidP="005559A0">
      <w:pPr>
        <w:rPr>
          <w:sz w:val="24"/>
          <w:szCs w:val="24"/>
        </w:rPr>
      </w:pPr>
      <w:r w:rsidRPr="005559A0">
        <w:rPr>
          <w:lang w:eastAsia="bg-BG"/>
        </w:rPr>
        <w:t>Кръвното налягане и пулса трябва да се измерват преди започване на инфузията и след всяко увеличение на дозата.</w:t>
      </w:r>
    </w:p>
    <w:p w14:paraId="186C984B" w14:textId="77777777" w:rsidR="005559A0" w:rsidRDefault="005559A0" w:rsidP="005559A0">
      <w:pPr>
        <w:rPr>
          <w:lang w:eastAsia="bg-BG"/>
        </w:rPr>
      </w:pPr>
    </w:p>
    <w:p w14:paraId="78126F1D" w14:textId="77777777" w:rsidR="005559A0" w:rsidRPr="005559A0" w:rsidRDefault="005559A0" w:rsidP="005559A0">
      <w:pPr>
        <w:rPr>
          <w:rFonts w:eastAsia="Times New Roman" w:cs="Arial"/>
          <w:sz w:val="24"/>
          <w:szCs w:val="24"/>
        </w:rPr>
      </w:pPr>
      <w:r w:rsidRPr="005559A0">
        <w:rPr>
          <w:rFonts w:cs="Arial"/>
          <w:lang w:eastAsia="bg-BG"/>
        </w:rPr>
        <w:t xml:space="preserve">В първите 2-3 дни се установяват индивидуално-поносимите дози. За тази цел лечението трябва да започне със скорост на инфузията 0,5 </w:t>
      </w:r>
      <w:r w:rsidRPr="005559A0">
        <w:rPr>
          <w:rFonts w:cs="Arial"/>
          <w:lang w:val="en-US"/>
        </w:rPr>
        <w:t xml:space="preserve">ng/kg/min </w:t>
      </w:r>
      <w:r w:rsidRPr="005559A0">
        <w:rPr>
          <w:rFonts w:cs="Arial"/>
          <w:lang w:eastAsia="bg-BG"/>
        </w:rPr>
        <w:t xml:space="preserve">в продължение на 30 минути. След това дозата може да се увеличи в интервали от около 30 минути с по 0,5 </w:t>
      </w:r>
      <w:r w:rsidRPr="005559A0">
        <w:rPr>
          <w:rFonts w:cs="Arial"/>
          <w:lang w:val="en-US"/>
        </w:rPr>
        <w:t xml:space="preserve">ng/kg/min </w:t>
      </w:r>
      <w:r w:rsidRPr="005559A0">
        <w:rPr>
          <w:rFonts w:cs="Arial"/>
          <w:lang w:eastAsia="bg-BG"/>
        </w:rPr>
        <w:t xml:space="preserve">до 2,0 </w:t>
      </w:r>
      <w:r w:rsidRPr="005559A0">
        <w:rPr>
          <w:rFonts w:cs="Arial"/>
          <w:lang w:val="en-US"/>
        </w:rPr>
        <w:t xml:space="preserve">ng/kg/min. </w:t>
      </w:r>
      <w:r w:rsidRPr="005559A0">
        <w:rPr>
          <w:rFonts w:cs="Arial"/>
          <w:lang w:eastAsia="bg-BG"/>
        </w:rPr>
        <w:t>Точната скорост на</w:t>
      </w:r>
      <w:r w:rsidRPr="005559A0">
        <w:rPr>
          <w:rFonts w:cs="Arial"/>
          <w:lang w:val="en-US" w:eastAsia="bg-BG"/>
        </w:rPr>
        <w:t xml:space="preserve"> </w:t>
      </w:r>
      <w:r w:rsidRPr="005559A0">
        <w:rPr>
          <w:rFonts w:eastAsia="Times New Roman" w:cs="Arial"/>
          <w:color w:val="000000"/>
          <w:lang w:eastAsia="bg-BG"/>
        </w:rPr>
        <w:t xml:space="preserve">инфузия трябва да се изчисли на базата на телесното тегло, така че инфузията да бъде в порядъка на 0,5 до 2,0 </w:t>
      </w:r>
      <w:r w:rsidRPr="005559A0">
        <w:rPr>
          <w:rFonts w:eastAsia="Times New Roman" w:cs="Arial"/>
          <w:color w:val="000000"/>
          <w:lang w:val="en-US"/>
        </w:rPr>
        <w:t xml:space="preserve">ng/kg/min </w:t>
      </w:r>
      <w:r w:rsidRPr="005559A0">
        <w:rPr>
          <w:rFonts w:eastAsia="Times New Roman" w:cs="Arial"/>
          <w:color w:val="000000"/>
          <w:lang w:eastAsia="bg-BG"/>
        </w:rPr>
        <w:t xml:space="preserve">(вж. таблицата по-долу за употреба на </w:t>
      </w:r>
      <w:proofErr w:type="spellStart"/>
      <w:r w:rsidRPr="005559A0">
        <w:rPr>
          <w:rFonts w:eastAsia="Times New Roman" w:cs="Arial"/>
          <w:color w:val="000000"/>
          <w:lang w:eastAsia="bg-BG"/>
        </w:rPr>
        <w:t>инфузионна</w:t>
      </w:r>
      <w:proofErr w:type="spellEnd"/>
      <w:r w:rsidRPr="005559A0">
        <w:rPr>
          <w:rFonts w:eastAsia="Times New Roman" w:cs="Arial"/>
          <w:color w:val="000000"/>
          <w:lang w:eastAsia="bg-BG"/>
        </w:rPr>
        <w:t xml:space="preserve"> помпа или на автоматичен </w:t>
      </w:r>
      <w:proofErr w:type="spellStart"/>
      <w:r w:rsidRPr="005559A0">
        <w:rPr>
          <w:rFonts w:eastAsia="Times New Roman" w:cs="Arial"/>
          <w:color w:val="000000"/>
          <w:lang w:eastAsia="bg-BG"/>
        </w:rPr>
        <w:t>перфузор</w:t>
      </w:r>
      <w:proofErr w:type="spellEnd"/>
      <w:r w:rsidRPr="005559A0">
        <w:rPr>
          <w:rFonts w:eastAsia="Times New Roman" w:cs="Arial"/>
          <w:color w:val="000000"/>
          <w:lang w:eastAsia="bg-BG"/>
        </w:rPr>
        <w:t>).</w:t>
      </w:r>
    </w:p>
    <w:p w14:paraId="13726467" w14:textId="77777777" w:rsidR="005559A0" w:rsidRPr="005559A0" w:rsidRDefault="005559A0" w:rsidP="005559A0">
      <w:pPr>
        <w:spacing w:line="240" w:lineRule="auto"/>
        <w:rPr>
          <w:rFonts w:eastAsia="Times New Roman" w:cs="Arial"/>
          <w:color w:val="000000"/>
          <w:lang w:eastAsia="bg-BG"/>
        </w:rPr>
      </w:pPr>
    </w:p>
    <w:p w14:paraId="763DB5ED" w14:textId="61DDC243" w:rsidR="005559A0" w:rsidRPr="005559A0" w:rsidRDefault="005559A0" w:rsidP="005559A0">
      <w:pPr>
        <w:spacing w:line="240" w:lineRule="auto"/>
        <w:rPr>
          <w:rFonts w:eastAsia="Times New Roman" w:cs="Arial"/>
          <w:sz w:val="24"/>
          <w:szCs w:val="24"/>
        </w:rPr>
      </w:pPr>
      <w:r w:rsidRPr="005559A0">
        <w:rPr>
          <w:rFonts w:eastAsia="Times New Roman" w:cs="Arial"/>
          <w:color w:val="000000"/>
          <w:lang w:eastAsia="bg-BG"/>
        </w:rPr>
        <w:t>В зависимост от появата на нежелани реакции, като главоболие и гадене или нежелано спадане на кръвното налягане, скоростта на инфузията трябва да се намали, докато се намери поносимата доза. Ако нежеланите реакции са тежки, инфузията трябва да се прекъсне. След това лечението трябва да продължи - обикновено 4 седмици - с установената в първите 2-3 дни поносима доза.</w:t>
      </w:r>
    </w:p>
    <w:p w14:paraId="48F45E98" w14:textId="77777777" w:rsidR="005559A0" w:rsidRPr="005559A0" w:rsidRDefault="005559A0" w:rsidP="005559A0">
      <w:pPr>
        <w:spacing w:line="240" w:lineRule="auto"/>
        <w:rPr>
          <w:rFonts w:eastAsia="Times New Roman" w:cs="Arial"/>
          <w:color w:val="000000"/>
          <w:lang w:eastAsia="bg-BG"/>
        </w:rPr>
      </w:pPr>
    </w:p>
    <w:p w14:paraId="387931D2" w14:textId="6BDD29ED" w:rsidR="005559A0" w:rsidRPr="005559A0" w:rsidRDefault="005559A0" w:rsidP="005559A0">
      <w:pPr>
        <w:spacing w:line="240" w:lineRule="auto"/>
        <w:rPr>
          <w:rFonts w:eastAsia="Times New Roman" w:cs="Arial"/>
          <w:sz w:val="24"/>
          <w:szCs w:val="24"/>
        </w:rPr>
      </w:pPr>
      <w:r w:rsidRPr="005559A0">
        <w:rPr>
          <w:rFonts w:eastAsia="Times New Roman" w:cs="Arial"/>
          <w:color w:val="000000"/>
          <w:lang w:eastAsia="bg-BG"/>
        </w:rPr>
        <w:t>В зависимост от техниката на инфузия, съществуват два начина за разреждане на една ампула. Едното от двете разреждания е с 10 пъти по-ниска концентрация в сравнение с другото (0,2 μ</w:t>
      </w:r>
      <w:r w:rsidRPr="005559A0">
        <w:rPr>
          <w:rFonts w:eastAsia="Times New Roman" w:cs="Arial"/>
          <w:color w:val="000000"/>
          <w:lang w:val="en-US"/>
        </w:rPr>
        <w:t xml:space="preserve">g/ml </w:t>
      </w:r>
      <w:r w:rsidRPr="005559A0">
        <w:rPr>
          <w:rFonts w:eastAsia="Times New Roman" w:cs="Arial"/>
          <w:color w:val="000000"/>
          <w:lang w:eastAsia="bg-BG"/>
        </w:rPr>
        <w:t>спрямо 2 μ</w:t>
      </w:r>
      <w:r w:rsidRPr="005559A0">
        <w:rPr>
          <w:rFonts w:eastAsia="Times New Roman" w:cs="Arial"/>
          <w:color w:val="000000"/>
          <w:lang w:val="en-US"/>
        </w:rPr>
        <w:t xml:space="preserve">g/ml) </w:t>
      </w:r>
      <w:r w:rsidRPr="005559A0">
        <w:rPr>
          <w:rFonts w:eastAsia="Times New Roman" w:cs="Arial"/>
          <w:color w:val="000000"/>
          <w:lang w:eastAsia="bg-BG"/>
        </w:rPr>
        <w:t xml:space="preserve">и може да бъде прилагано с </w:t>
      </w:r>
      <w:proofErr w:type="spellStart"/>
      <w:r w:rsidRPr="005559A0">
        <w:rPr>
          <w:rFonts w:eastAsia="Times New Roman" w:cs="Arial"/>
          <w:color w:val="000000"/>
          <w:lang w:eastAsia="bg-BG"/>
        </w:rPr>
        <w:t>инфузионна</w:t>
      </w:r>
      <w:proofErr w:type="spellEnd"/>
      <w:r w:rsidRPr="005559A0">
        <w:rPr>
          <w:rFonts w:eastAsia="Times New Roman" w:cs="Arial"/>
          <w:color w:val="000000"/>
          <w:lang w:eastAsia="bg-BG"/>
        </w:rPr>
        <w:t xml:space="preserve"> помпа (напр. </w:t>
      </w:r>
      <w:proofErr w:type="spellStart"/>
      <w:r w:rsidRPr="005559A0">
        <w:rPr>
          <w:rFonts w:eastAsia="Times New Roman" w:cs="Arial"/>
          <w:color w:val="000000"/>
          <w:lang w:val="en-US"/>
        </w:rPr>
        <w:t>Infusomat</w:t>
      </w:r>
      <w:proofErr w:type="spellEnd"/>
      <w:r w:rsidRPr="005559A0">
        <w:rPr>
          <w:rFonts w:eastAsia="Times New Roman" w:cs="Arial"/>
          <w:color w:val="000000"/>
          <w:lang w:val="en-US"/>
        </w:rPr>
        <w:t xml:space="preserve">®). </w:t>
      </w:r>
      <w:r w:rsidRPr="005559A0">
        <w:rPr>
          <w:rFonts w:eastAsia="Times New Roman" w:cs="Arial"/>
          <w:color w:val="000000"/>
          <w:lang w:eastAsia="bg-BG"/>
        </w:rPr>
        <w:t xml:space="preserve">В обратния случай разтворът с по-висока концентрация се прилага посредством автоматичен </w:t>
      </w:r>
      <w:proofErr w:type="spellStart"/>
      <w:r w:rsidRPr="005559A0">
        <w:rPr>
          <w:rFonts w:eastAsia="Times New Roman" w:cs="Arial"/>
          <w:color w:val="000000"/>
          <w:lang w:eastAsia="bg-BG"/>
        </w:rPr>
        <w:t>перфузор</w:t>
      </w:r>
      <w:proofErr w:type="spellEnd"/>
      <w:r w:rsidRPr="005559A0">
        <w:rPr>
          <w:rFonts w:eastAsia="Times New Roman" w:cs="Arial"/>
          <w:color w:val="000000"/>
          <w:lang w:eastAsia="bg-BG"/>
        </w:rPr>
        <w:t xml:space="preserve"> (напр. </w:t>
      </w:r>
      <w:proofErr w:type="spellStart"/>
      <w:r w:rsidRPr="005559A0">
        <w:rPr>
          <w:rFonts w:eastAsia="Times New Roman" w:cs="Arial"/>
          <w:color w:val="000000"/>
          <w:lang w:val="en-US"/>
        </w:rPr>
        <w:t>Perfusor</w:t>
      </w:r>
      <w:proofErr w:type="spellEnd"/>
      <w:r w:rsidRPr="005559A0">
        <w:rPr>
          <w:rFonts w:eastAsia="Times New Roman" w:cs="Arial"/>
          <w:color w:val="000000"/>
          <w:lang w:val="en-US"/>
        </w:rPr>
        <w:t xml:space="preserve">®) </w:t>
      </w:r>
      <w:r w:rsidRPr="005559A0">
        <w:rPr>
          <w:rFonts w:eastAsia="Times New Roman" w:cs="Arial"/>
          <w:color w:val="000000"/>
          <w:lang w:eastAsia="bg-BG"/>
        </w:rPr>
        <w:t>(за указания за изхвърляне и работа вж. част 6.6 Специални предпазни мерки при изхвърляне и работа).</w:t>
      </w:r>
    </w:p>
    <w:p w14:paraId="148179F7" w14:textId="77777777" w:rsidR="005559A0" w:rsidRPr="005559A0" w:rsidRDefault="005559A0" w:rsidP="005559A0">
      <w:pPr>
        <w:spacing w:line="240" w:lineRule="auto"/>
        <w:rPr>
          <w:rFonts w:eastAsia="Times New Roman" w:cs="Arial"/>
          <w:color w:val="000000"/>
          <w:u w:val="single"/>
          <w:lang w:eastAsia="bg-BG"/>
        </w:rPr>
      </w:pPr>
    </w:p>
    <w:p w14:paraId="1C790E59" w14:textId="4A96C146" w:rsidR="005559A0" w:rsidRPr="005559A0" w:rsidRDefault="005559A0" w:rsidP="005559A0">
      <w:pPr>
        <w:spacing w:line="240" w:lineRule="auto"/>
        <w:rPr>
          <w:rFonts w:eastAsia="Times New Roman" w:cs="Arial"/>
          <w:sz w:val="24"/>
          <w:szCs w:val="24"/>
        </w:rPr>
      </w:pPr>
      <w:r w:rsidRPr="005559A0">
        <w:rPr>
          <w:rFonts w:eastAsia="Times New Roman" w:cs="Arial"/>
          <w:color w:val="000000"/>
          <w:u w:val="single"/>
          <w:lang w:eastAsia="bg-BG"/>
        </w:rPr>
        <w:t xml:space="preserve">Скорост на инфузията </w:t>
      </w:r>
      <w:r w:rsidRPr="005559A0">
        <w:rPr>
          <w:rFonts w:eastAsia="Times New Roman" w:cs="Arial"/>
          <w:color w:val="000000"/>
          <w:u w:val="single"/>
          <w:lang w:val="en-US"/>
        </w:rPr>
        <w:t>[m 1/</w:t>
      </w:r>
      <w:proofErr w:type="spellStart"/>
      <w:r w:rsidRPr="005559A0">
        <w:rPr>
          <w:rFonts w:eastAsia="Times New Roman" w:cs="Arial"/>
          <w:color w:val="000000"/>
          <w:u w:val="single"/>
          <w:lang w:val="en-US"/>
        </w:rPr>
        <w:t>hJ</w:t>
      </w:r>
      <w:proofErr w:type="spellEnd"/>
      <w:r w:rsidRPr="005559A0">
        <w:rPr>
          <w:rFonts w:eastAsia="Times New Roman" w:cs="Arial"/>
          <w:color w:val="000000"/>
          <w:u w:val="single"/>
          <w:lang w:val="en-US"/>
        </w:rPr>
        <w:t xml:space="preserve"> </w:t>
      </w:r>
      <w:r w:rsidRPr="005559A0">
        <w:rPr>
          <w:rFonts w:eastAsia="Times New Roman" w:cs="Arial"/>
          <w:color w:val="000000"/>
          <w:u w:val="single"/>
          <w:lang w:eastAsia="bg-BG"/>
        </w:rPr>
        <w:t xml:space="preserve">за различни дози при употреба на </w:t>
      </w:r>
      <w:proofErr w:type="spellStart"/>
      <w:r w:rsidRPr="005559A0">
        <w:rPr>
          <w:rFonts w:eastAsia="Times New Roman" w:cs="Arial"/>
          <w:color w:val="000000"/>
          <w:u w:val="single"/>
          <w:lang w:eastAsia="bg-BG"/>
        </w:rPr>
        <w:t>инфузионна</w:t>
      </w:r>
      <w:proofErr w:type="spellEnd"/>
      <w:r w:rsidRPr="005559A0">
        <w:rPr>
          <w:rFonts w:eastAsia="Times New Roman" w:cs="Arial"/>
          <w:color w:val="000000"/>
          <w:u w:val="single"/>
          <w:lang w:eastAsia="bg-BG"/>
        </w:rPr>
        <w:t xml:space="preserve"> помпа</w:t>
      </w:r>
    </w:p>
    <w:p w14:paraId="6B2823A0" w14:textId="77777777" w:rsidR="005559A0" w:rsidRPr="005559A0" w:rsidRDefault="005559A0" w:rsidP="005559A0">
      <w:pPr>
        <w:spacing w:line="240" w:lineRule="auto"/>
        <w:rPr>
          <w:rFonts w:eastAsia="Times New Roman" w:cs="Arial"/>
          <w:sz w:val="24"/>
          <w:szCs w:val="24"/>
        </w:rPr>
      </w:pPr>
      <w:r w:rsidRPr="005559A0">
        <w:rPr>
          <w:rFonts w:eastAsia="Times New Roman" w:cs="Arial"/>
          <w:color w:val="000000"/>
          <w:lang w:eastAsia="bg-BG"/>
        </w:rPr>
        <w:t xml:space="preserve">Обикновено готовият за употреба </w:t>
      </w:r>
      <w:proofErr w:type="spellStart"/>
      <w:r w:rsidRPr="005559A0">
        <w:rPr>
          <w:rFonts w:eastAsia="Times New Roman" w:cs="Arial"/>
          <w:color w:val="000000"/>
          <w:lang w:eastAsia="bg-BG"/>
        </w:rPr>
        <w:t>инфузионен</w:t>
      </w:r>
      <w:proofErr w:type="spellEnd"/>
      <w:r w:rsidRPr="005559A0">
        <w:rPr>
          <w:rFonts w:eastAsia="Times New Roman" w:cs="Arial"/>
          <w:color w:val="000000"/>
          <w:lang w:eastAsia="bg-BG"/>
        </w:rPr>
        <w:t xml:space="preserve"> разтвор се влива интравенозно с помощта на </w:t>
      </w:r>
      <w:proofErr w:type="spellStart"/>
      <w:r w:rsidRPr="005559A0">
        <w:rPr>
          <w:rFonts w:eastAsia="Times New Roman" w:cs="Arial"/>
          <w:color w:val="000000"/>
          <w:lang w:eastAsia="bg-BG"/>
        </w:rPr>
        <w:t>инфузионна</w:t>
      </w:r>
      <w:proofErr w:type="spellEnd"/>
      <w:r w:rsidRPr="005559A0">
        <w:rPr>
          <w:rFonts w:eastAsia="Times New Roman" w:cs="Arial"/>
          <w:color w:val="000000"/>
          <w:lang w:eastAsia="bg-BG"/>
        </w:rPr>
        <w:t xml:space="preserve"> помпа (напр. </w:t>
      </w:r>
      <w:proofErr w:type="spellStart"/>
      <w:r w:rsidRPr="005559A0">
        <w:rPr>
          <w:rFonts w:eastAsia="Times New Roman" w:cs="Arial"/>
          <w:color w:val="000000"/>
          <w:lang w:val="en-US"/>
        </w:rPr>
        <w:t>Infusomat</w:t>
      </w:r>
      <w:proofErr w:type="spellEnd"/>
      <w:r w:rsidRPr="005559A0">
        <w:rPr>
          <w:rFonts w:eastAsia="Times New Roman" w:cs="Arial"/>
          <w:color w:val="000000"/>
          <w:lang w:val="en-US"/>
        </w:rPr>
        <w:t xml:space="preserve">®). </w:t>
      </w:r>
      <w:r w:rsidRPr="005559A0">
        <w:rPr>
          <w:rFonts w:eastAsia="Times New Roman" w:cs="Arial"/>
          <w:color w:val="000000"/>
          <w:lang w:eastAsia="bg-BG"/>
        </w:rPr>
        <w:t xml:space="preserve">За указания за разреждане </w:t>
      </w:r>
      <w:r w:rsidRPr="005559A0">
        <w:rPr>
          <w:rFonts w:eastAsia="Times New Roman" w:cs="Arial"/>
          <w:color w:val="000000"/>
          <w:u w:val="single"/>
          <w:lang w:eastAsia="bg-BG"/>
        </w:rPr>
        <w:t xml:space="preserve">на </w:t>
      </w:r>
      <w:proofErr w:type="spellStart"/>
      <w:r w:rsidRPr="005559A0">
        <w:rPr>
          <w:rFonts w:eastAsia="Times New Roman" w:cs="Arial"/>
          <w:color w:val="000000"/>
          <w:u w:val="single"/>
          <w:lang w:eastAsia="bg-BG"/>
        </w:rPr>
        <w:t>Иломедин</w:t>
      </w:r>
      <w:proofErr w:type="spellEnd"/>
      <w:r w:rsidRPr="005559A0">
        <w:rPr>
          <w:rFonts w:eastAsia="Times New Roman" w:cs="Arial"/>
          <w:color w:val="000000"/>
          <w:u w:val="single"/>
          <w:lang w:eastAsia="bg-BG"/>
        </w:rPr>
        <w:t xml:space="preserve"> за употреба с </w:t>
      </w:r>
      <w:proofErr w:type="spellStart"/>
      <w:r w:rsidRPr="005559A0">
        <w:rPr>
          <w:rFonts w:eastAsia="Times New Roman" w:cs="Arial"/>
          <w:color w:val="000000"/>
          <w:u w:val="single"/>
          <w:lang w:eastAsia="bg-BG"/>
        </w:rPr>
        <w:t>инфузионна</w:t>
      </w:r>
      <w:proofErr w:type="spellEnd"/>
      <w:r w:rsidRPr="005559A0">
        <w:rPr>
          <w:rFonts w:eastAsia="Times New Roman" w:cs="Arial"/>
          <w:color w:val="000000"/>
          <w:u w:val="single"/>
          <w:lang w:eastAsia="bg-BG"/>
        </w:rPr>
        <w:t xml:space="preserve"> помпа</w:t>
      </w:r>
      <w:r w:rsidRPr="005559A0">
        <w:rPr>
          <w:rFonts w:eastAsia="Times New Roman" w:cs="Arial"/>
          <w:color w:val="000000"/>
          <w:lang w:eastAsia="bg-BG"/>
        </w:rPr>
        <w:t xml:space="preserve"> вж. част 6.6 Специални предпазни мерки при изхвърляне и работа.</w:t>
      </w:r>
    </w:p>
    <w:p w14:paraId="57B237BD" w14:textId="77777777" w:rsidR="005559A0" w:rsidRPr="005559A0" w:rsidRDefault="005559A0" w:rsidP="005559A0">
      <w:pPr>
        <w:spacing w:line="240" w:lineRule="auto"/>
        <w:rPr>
          <w:rFonts w:eastAsia="Times New Roman" w:cs="Arial"/>
          <w:color w:val="000000"/>
          <w:lang w:eastAsia="bg-BG"/>
        </w:rPr>
      </w:pPr>
    </w:p>
    <w:p w14:paraId="7DEBB346" w14:textId="5CFEC441" w:rsidR="005559A0" w:rsidRPr="005559A0" w:rsidRDefault="005559A0" w:rsidP="005559A0">
      <w:pPr>
        <w:spacing w:line="240" w:lineRule="auto"/>
        <w:rPr>
          <w:rFonts w:eastAsia="Times New Roman" w:cs="Arial"/>
          <w:sz w:val="24"/>
          <w:szCs w:val="24"/>
        </w:rPr>
      </w:pPr>
      <w:r w:rsidRPr="005559A0">
        <w:rPr>
          <w:rFonts w:eastAsia="Times New Roman" w:cs="Arial"/>
          <w:color w:val="000000"/>
          <w:lang w:eastAsia="bg-BG"/>
        </w:rPr>
        <w:t xml:space="preserve">При концентрация на </w:t>
      </w:r>
      <w:proofErr w:type="spellStart"/>
      <w:r w:rsidRPr="005559A0">
        <w:rPr>
          <w:rFonts w:eastAsia="Times New Roman" w:cs="Arial"/>
          <w:color w:val="000000"/>
          <w:lang w:eastAsia="bg-BG"/>
        </w:rPr>
        <w:t>Иломедин</w:t>
      </w:r>
      <w:proofErr w:type="spellEnd"/>
      <w:r w:rsidRPr="005559A0">
        <w:rPr>
          <w:rFonts w:eastAsia="Times New Roman" w:cs="Arial"/>
          <w:color w:val="000000"/>
          <w:lang w:eastAsia="bg-BG"/>
        </w:rPr>
        <w:t xml:space="preserve"> от 0,2 μ</w:t>
      </w:r>
      <w:r w:rsidRPr="005559A0">
        <w:rPr>
          <w:rFonts w:eastAsia="Times New Roman" w:cs="Arial"/>
          <w:color w:val="000000"/>
          <w:lang w:val="en-US"/>
        </w:rPr>
        <w:t xml:space="preserve">g/ml </w:t>
      </w:r>
      <w:r w:rsidRPr="005559A0">
        <w:rPr>
          <w:rFonts w:eastAsia="Times New Roman" w:cs="Arial"/>
          <w:color w:val="000000"/>
          <w:lang w:eastAsia="bg-BG"/>
        </w:rPr>
        <w:t xml:space="preserve">необходимата скорост на инфузия трябва да се определи по дадената по-долу схема, за да се получи доза от порядъка на от 0,5 до 2,0 </w:t>
      </w:r>
      <w:r w:rsidRPr="005559A0">
        <w:rPr>
          <w:rFonts w:eastAsia="Times New Roman" w:cs="Arial"/>
          <w:color w:val="000000"/>
          <w:lang w:val="en-US"/>
        </w:rPr>
        <w:t>ng/kg/min.</w:t>
      </w:r>
    </w:p>
    <w:p w14:paraId="0EABEE14" w14:textId="77777777" w:rsidR="005559A0" w:rsidRPr="005559A0" w:rsidRDefault="005559A0" w:rsidP="005559A0">
      <w:pPr>
        <w:spacing w:line="240" w:lineRule="auto"/>
        <w:rPr>
          <w:rFonts w:eastAsia="Times New Roman" w:cs="Arial"/>
          <w:color w:val="000000"/>
          <w:lang w:eastAsia="bg-BG"/>
        </w:rPr>
      </w:pPr>
    </w:p>
    <w:p w14:paraId="564971E6" w14:textId="6B11385B" w:rsidR="005559A0" w:rsidRPr="005559A0" w:rsidRDefault="005559A0" w:rsidP="005559A0">
      <w:pPr>
        <w:spacing w:line="240" w:lineRule="auto"/>
        <w:rPr>
          <w:rFonts w:eastAsia="Times New Roman" w:cs="Arial"/>
          <w:sz w:val="24"/>
          <w:szCs w:val="24"/>
        </w:rPr>
      </w:pPr>
      <w:r w:rsidRPr="005559A0">
        <w:rPr>
          <w:rFonts w:eastAsia="Times New Roman" w:cs="Arial"/>
          <w:color w:val="000000"/>
          <w:lang w:eastAsia="bg-BG"/>
        </w:rPr>
        <w:t xml:space="preserve">Следната таблица може да бъде използвана за изчисление на скоростта на инфузия, съответстваща на личното тегло на пациента и дозата за вливане. Моля </w:t>
      </w:r>
      <w:proofErr w:type="spellStart"/>
      <w:r w:rsidRPr="005559A0">
        <w:rPr>
          <w:rFonts w:eastAsia="Times New Roman" w:cs="Arial"/>
          <w:color w:val="000000"/>
          <w:lang w:eastAsia="bg-BG"/>
        </w:rPr>
        <w:t>интерполирайте</w:t>
      </w:r>
      <w:proofErr w:type="spellEnd"/>
      <w:r w:rsidRPr="005559A0">
        <w:rPr>
          <w:rFonts w:eastAsia="Times New Roman" w:cs="Arial"/>
          <w:color w:val="000000"/>
          <w:lang w:eastAsia="bg-BG"/>
        </w:rPr>
        <w:t xml:space="preserve">, за да получите актуалното лично тегло на пациента, и след това нагласете скоростта на инфузия към желаната доза в </w:t>
      </w:r>
      <w:r w:rsidRPr="005559A0">
        <w:rPr>
          <w:rFonts w:eastAsia="Times New Roman" w:cs="Arial"/>
          <w:color w:val="000000"/>
          <w:lang w:val="en-US"/>
        </w:rPr>
        <w:t>ng/kg/min.</w:t>
      </w:r>
    </w:p>
    <w:p w14:paraId="0CA52009" w14:textId="1E9E4E54" w:rsidR="005559A0" w:rsidRDefault="005559A0" w:rsidP="005559A0">
      <w:pPr>
        <w:rPr>
          <w:lang w:val="en-US"/>
        </w:rPr>
      </w:pPr>
    </w:p>
    <w:tbl>
      <w:tblPr>
        <w:tblStyle w:val="TableGrid"/>
        <w:tblW w:w="0" w:type="auto"/>
        <w:tblLook w:val="04A0" w:firstRow="1" w:lastRow="0" w:firstColumn="1" w:lastColumn="0" w:noHBand="0" w:noVBand="1"/>
      </w:tblPr>
      <w:tblGrid>
        <w:gridCol w:w="1915"/>
        <w:gridCol w:w="1915"/>
        <w:gridCol w:w="1915"/>
        <w:gridCol w:w="1915"/>
        <w:gridCol w:w="1916"/>
      </w:tblGrid>
      <w:tr w:rsidR="005559A0" w14:paraId="33AEDF48" w14:textId="77777777" w:rsidTr="003665E1">
        <w:tc>
          <w:tcPr>
            <w:tcW w:w="1915" w:type="dxa"/>
          </w:tcPr>
          <w:p w14:paraId="2D249E13" w14:textId="77777777" w:rsidR="005559A0" w:rsidRPr="005559A0" w:rsidRDefault="005559A0" w:rsidP="005559A0">
            <w:pPr>
              <w:rPr>
                <w:rFonts w:cs="Arial"/>
                <w:lang w:val="en-US"/>
              </w:rPr>
            </w:pPr>
          </w:p>
        </w:tc>
        <w:tc>
          <w:tcPr>
            <w:tcW w:w="7661" w:type="dxa"/>
            <w:gridSpan w:val="4"/>
          </w:tcPr>
          <w:p w14:paraId="7C2BB43F" w14:textId="31F01865" w:rsidR="005559A0" w:rsidRPr="005559A0" w:rsidRDefault="005559A0" w:rsidP="005559A0">
            <w:pPr>
              <w:spacing w:line="240" w:lineRule="auto"/>
              <w:rPr>
                <w:rFonts w:eastAsia="Times New Roman" w:cs="Arial"/>
                <w:lang w:val="en-US"/>
              </w:rPr>
            </w:pPr>
            <w:r w:rsidRPr="005559A0">
              <w:rPr>
                <w:rFonts w:eastAsia="Times New Roman" w:cs="Arial"/>
                <w:color w:val="000000"/>
                <w:lang w:eastAsia="bg-BG"/>
              </w:rPr>
              <w:t xml:space="preserve">Доза </w:t>
            </w:r>
            <w:r w:rsidRPr="005559A0">
              <w:rPr>
                <w:rFonts w:eastAsia="Times New Roman" w:cs="Arial"/>
                <w:color w:val="000000"/>
                <w:lang w:val="en-US"/>
              </w:rPr>
              <w:t>[ng/kg/min]</w:t>
            </w:r>
          </w:p>
        </w:tc>
      </w:tr>
      <w:tr w:rsidR="005559A0" w14:paraId="7CDA57B3" w14:textId="77777777" w:rsidTr="005559A0">
        <w:tc>
          <w:tcPr>
            <w:tcW w:w="1915" w:type="dxa"/>
          </w:tcPr>
          <w:p w14:paraId="56B89383" w14:textId="77777777" w:rsidR="005559A0" w:rsidRPr="005559A0" w:rsidRDefault="005559A0" w:rsidP="005559A0">
            <w:pPr>
              <w:rPr>
                <w:rFonts w:cs="Arial"/>
                <w:lang w:val="en-US"/>
              </w:rPr>
            </w:pPr>
          </w:p>
        </w:tc>
        <w:tc>
          <w:tcPr>
            <w:tcW w:w="1915" w:type="dxa"/>
          </w:tcPr>
          <w:p w14:paraId="01FFF7F0" w14:textId="58DF65FE" w:rsidR="005559A0" w:rsidRPr="005559A0" w:rsidRDefault="005559A0" w:rsidP="005559A0">
            <w:pPr>
              <w:rPr>
                <w:rFonts w:cs="Arial"/>
                <w:lang w:val="en-US"/>
              </w:rPr>
            </w:pPr>
            <w:r w:rsidRPr="005559A0">
              <w:rPr>
                <w:rFonts w:cs="Arial"/>
                <w:lang w:val="en-US"/>
              </w:rPr>
              <w:t>0,5</w:t>
            </w:r>
          </w:p>
        </w:tc>
        <w:tc>
          <w:tcPr>
            <w:tcW w:w="1915" w:type="dxa"/>
          </w:tcPr>
          <w:p w14:paraId="53D76284" w14:textId="1AD91DFF" w:rsidR="005559A0" w:rsidRPr="005559A0" w:rsidRDefault="005559A0" w:rsidP="005559A0">
            <w:pPr>
              <w:rPr>
                <w:rFonts w:cs="Arial"/>
                <w:lang w:val="en-US"/>
              </w:rPr>
            </w:pPr>
            <w:r w:rsidRPr="005559A0">
              <w:rPr>
                <w:rFonts w:cs="Arial"/>
                <w:lang w:val="en-US"/>
              </w:rPr>
              <w:t>1,0</w:t>
            </w:r>
          </w:p>
        </w:tc>
        <w:tc>
          <w:tcPr>
            <w:tcW w:w="1915" w:type="dxa"/>
          </w:tcPr>
          <w:p w14:paraId="08EB41DE" w14:textId="0CF653AB" w:rsidR="005559A0" w:rsidRPr="005559A0" w:rsidRDefault="005559A0" w:rsidP="005559A0">
            <w:pPr>
              <w:rPr>
                <w:rFonts w:cs="Arial"/>
                <w:lang w:val="en-US"/>
              </w:rPr>
            </w:pPr>
            <w:r w:rsidRPr="005559A0">
              <w:rPr>
                <w:rFonts w:cs="Arial"/>
                <w:lang w:val="en-US"/>
              </w:rPr>
              <w:t>1,5</w:t>
            </w:r>
          </w:p>
        </w:tc>
        <w:tc>
          <w:tcPr>
            <w:tcW w:w="1916" w:type="dxa"/>
          </w:tcPr>
          <w:p w14:paraId="444A98F2" w14:textId="1E3B2F51" w:rsidR="005559A0" w:rsidRPr="005559A0" w:rsidRDefault="005559A0" w:rsidP="005559A0">
            <w:pPr>
              <w:rPr>
                <w:rFonts w:cs="Arial"/>
                <w:lang w:val="en-US"/>
              </w:rPr>
            </w:pPr>
            <w:r w:rsidRPr="005559A0">
              <w:rPr>
                <w:rFonts w:cs="Arial"/>
                <w:lang w:val="en-US"/>
              </w:rPr>
              <w:t>2,0</w:t>
            </w:r>
          </w:p>
        </w:tc>
      </w:tr>
      <w:tr w:rsidR="005559A0" w14:paraId="1FA53469" w14:textId="77777777" w:rsidTr="005559A0">
        <w:tc>
          <w:tcPr>
            <w:tcW w:w="1915" w:type="dxa"/>
          </w:tcPr>
          <w:p w14:paraId="5F635B6C" w14:textId="2AF42773" w:rsidR="005559A0" w:rsidRPr="005559A0" w:rsidRDefault="005559A0" w:rsidP="005559A0">
            <w:pPr>
              <w:rPr>
                <w:rFonts w:cs="Arial"/>
                <w:lang w:val="en-US"/>
              </w:rPr>
            </w:pPr>
            <w:r w:rsidRPr="005559A0">
              <w:rPr>
                <w:rFonts w:cs="Arial"/>
              </w:rPr>
              <w:t xml:space="preserve">Телесно тегло </w:t>
            </w:r>
            <w:r w:rsidRPr="005559A0">
              <w:rPr>
                <w:rFonts w:cs="Arial"/>
                <w:lang w:val="en-US"/>
              </w:rPr>
              <w:t>[kg]</w:t>
            </w:r>
          </w:p>
        </w:tc>
        <w:tc>
          <w:tcPr>
            <w:tcW w:w="1915" w:type="dxa"/>
          </w:tcPr>
          <w:p w14:paraId="01B71F92" w14:textId="739A3BF8" w:rsidR="005559A0" w:rsidRPr="005559A0" w:rsidRDefault="005559A0" w:rsidP="005559A0">
            <w:pPr>
              <w:rPr>
                <w:rFonts w:cs="Arial"/>
                <w:lang w:val="en-US"/>
              </w:rPr>
            </w:pPr>
            <w:r w:rsidRPr="005559A0">
              <w:rPr>
                <w:rFonts w:cs="Arial"/>
              </w:rPr>
              <w:t xml:space="preserve">Скорост на инфузия </w:t>
            </w:r>
            <w:r w:rsidRPr="005559A0">
              <w:rPr>
                <w:rFonts w:cs="Arial"/>
                <w:lang w:val="en-US"/>
              </w:rPr>
              <w:t>[ml/h]</w:t>
            </w:r>
          </w:p>
        </w:tc>
        <w:tc>
          <w:tcPr>
            <w:tcW w:w="1915" w:type="dxa"/>
          </w:tcPr>
          <w:p w14:paraId="6942D5A4" w14:textId="7EFB8716" w:rsidR="005559A0" w:rsidRPr="005559A0" w:rsidRDefault="005559A0" w:rsidP="005559A0">
            <w:pPr>
              <w:rPr>
                <w:rFonts w:cs="Arial"/>
                <w:lang w:val="en-US"/>
              </w:rPr>
            </w:pPr>
            <w:r w:rsidRPr="005559A0">
              <w:rPr>
                <w:rFonts w:cs="Arial"/>
              </w:rPr>
              <w:t xml:space="preserve">Телесно тегло </w:t>
            </w:r>
            <w:r w:rsidRPr="005559A0">
              <w:rPr>
                <w:rFonts w:cs="Arial"/>
                <w:lang w:val="en-US"/>
              </w:rPr>
              <w:t>[kg]</w:t>
            </w:r>
          </w:p>
        </w:tc>
        <w:tc>
          <w:tcPr>
            <w:tcW w:w="1915" w:type="dxa"/>
          </w:tcPr>
          <w:p w14:paraId="440AD7DC" w14:textId="127A49B6" w:rsidR="005559A0" w:rsidRPr="005559A0" w:rsidRDefault="005559A0" w:rsidP="005559A0">
            <w:pPr>
              <w:rPr>
                <w:rFonts w:cs="Arial"/>
                <w:lang w:val="en-US"/>
              </w:rPr>
            </w:pPr>
            <w:r w:rsidRPr="005559A0">
              <w:rPr>
                <w:rFonts w:cs="Arial"/>
              </w:rPr>
              <w:t xml:space="preserve">Скорост на инфузия </w:t>
            </w:r>
            <w:r w:rsidRPr="005559A0">
              <w:rPr>
                <w:rFonts w:cs="Arial"/>
                <w:lang w:val="en-US"/>
              </w:rPr>
              <w:t>[ml/h]</w:t>
            </w:r>
          </w:p>
        </w:tc>
        <w:tc>
          <w:tcPr>
            <w:tcW w:w="1916" w:type="dxa"/>
          </w:tcPr>
          <w:p w14:paraId="6F07F740" w14:textId="786A8230" w:rsidR="005559A0" w:rsidRPr="005559A0" w:rsidRDefault="005559A0" w:rsidP="005559A0">
            <w:pPr>
              <w:rPr>
                <w:rFonts w:cs="Arial"/>
                <w:lang w:val="en-US"/>
              </w:rPr>
            </w:pPr>
            <w:r w:rsidRPr="005559A0">
              <w:rPr>
                <w:rFonts w:cs="Arial"/>
              </w:rPr>
              <w:t xml:space="preserve">Телесно тегло </w:t>
            </w:r>
            <w:r w:rsidRPr="005559A0">
              <w:rPr>
                <w:rFonts w:cs="Arial"/>
                <w:lang w:val="en-US"/>
              </w:rPr>
              <w:t>[kg]</w:t>
            </w:r>
          </w:p>
        </w:tc>
      </w:tr>
      <w:tr w:rsidR="005559A0" w14:paraId="2185DD74" w14:textId="77777777" w:rsidTr="005559A0">
        <w:tc>
          <w:tcPr>
            <w:tcW w:w="1915" w:type="dxa"/>
          </w:tcPr>
          <w:p w14:paraId="1FD851D3" w14:textId="72C3379A" w:rsidR="005559A0" w:rsidRPr="005559A0" w:rsidRDefault="005559A0" w:rsidP="005559A0">
            <w:pPr>
              <w:rPr>
                <w:rFonts w:cs="Arial"/>
                <w:lang w:val="en-US"/>
              </w:rPr>
            </w:pPr>
            <w:r w:rsidRPr="005559A0">
              <w:rPr>
                <w:rFonts w:cs="Arial"/>
              </w:rPr>
              <w:t>40</w:t>
            </w:r>
          </w:p>
        </w:tc>
        <w:tc>
          <w:tcPr>
            <w:tcW w:w="1915" w:type="dxa"/>
          </w:tcPr>
          <w:p w14:paraId="48C7CF8A" w14:textId="46391298" w:rsidR="005559A0" w:rsidRPr="005559A0" w:rsidRDefault="005559A0" w:rsidP="005559A0">
            <w:pPr>
              <w:rPr>
                <w:rFonts w:cs="Arial"/>
                <w:lang w:val="en-US"/>
              </w:rPr>
            </w:pPr>
            <w:r w:rsidRPr="005559A0">
              <w:rPr>
                <w:rFonts w:cs="Arial"/>
              </w:rPr>
              <w:t>6,0</w:t>
            </w:r>
          </w:p>
        </w:tc>
        <w:tc>
          <w:tcPr>
            <w:tcW w:w="1915" w:type="dxa"/>
          </w:tcPr>
          <w:p w14:paraId="3471AA57" w14:textId="168B309B" w:rsidR="005559A0" w:rsidRPr="005559A0" w:rsidRDefault="005559A0" w:rsidP="005559A0">
            <w:pPr>
              <w:rPr>
                <w:rFonts w:cs="Arial"/>
                <w:lang w:val="en-US"/>
              </w:rPr>
            </w:pPr>
            <w:r w:rsidRPr="005559A0">
              <w:rPr>
                <w:rFonts w:cs="Arial"/>
              </w:rPr>
              <w:t>12</w:t>
            </w:r>
          </w:p>
        </w:tc>
        <w:tc>
          <w:tcPr>
            <w:tcW w:w="1915" w:type="dxa"/>
          </w:tcPr>
          <w:p w14:paraId="07A090D8" w14:textId="74D4668C" w:rsidR="005559A0" w:rsidRPr="005559A0" w:rsidRDefault="005559A0" w:rsidP="005559A0">
            <w:pPr>
              <w:rPr>
                <w:rFonts w:cs="Arial"/>
                <w:lang w:val="en-US"/>
              </w:rPr>
            </w:pPr>
            <w:r w:rsidRPr="005559A0">
              <w:rPr>
                <w:rFonts w:cs="Arial"/>
              </w:rPr>
              <w:t>18,0</w:t>
            </w:r>
          </w:p>
        </w:tc>
        <w:tc>
          <w:tcPr>
            <w:tcW w:w="1916" w:type="dxa"/>
          </w:tcPr>
          <w:p w14:paraId="35E15BA7" w14:textId="136F0A90" w:rsidR="005559A0" w:rsidRPr="005559A0" w:rsidRDefault="005559A0" w:rsidP="005559A0">
            <w:pPr>
              <w:rPr>
                <w:rFonts w:cs="Arial"/>
                <w:lang w:val="en-US"/>
              </w:rPr>
            </w:pPr>
            <w:r w:rsidRPr="005559A0">
              <w:rPr>
                <w:rFonts w:cs="Arial"/>
              </w:rPr>
              <w:t>24</w:t>
            </w:r>
          </w:p>
        </w:tc>
      </w:tr>
      <w:tr w:rsidR="005559A0" w14:paraId="5AC8909B" w14:textId="77777777" w:rsidTr="005559A0">
        <w:tc>
          <w:tcPr>
            <w:tcW w:w="1915" w:type="dxa"/>
          </w:tcPr>
          <w:p w14:paraId="278D5F11" w14:textId="25F4F9FA" w:rsidR="005559A0" w:rsidRPr="005559A0" w:rsidRDefault="005559A0" w:rsidP="005559A0">
            <w:pPr>
              <w:rPr>
                <w:rFonts w:cs="Arial"/>
                <w:lang w:val="en-US"/>
              </w:rPr>
            </w:pPr>
            <w:r w:rsidRPr="005559A0">
              <w:rPr>
                <w:rFonts w:cs="Arial"/>
              </w:rPr>
              <w:t>50</w:t>
            </w:r>
          </w:p>
        </w:tc>
        <w:tc>
          <w:tcPr>
            <w:tcW w:w="1915" w:type="dxa"/>
          </w:tcPr>
          <w:p w14:paraId="7584E44B" w14:textId="4226A01F" w:rsidR="005559A0" w:rsidRPr="005559A0" w:rsidRDefault="005559A0" w:rsidP="005559A0">
            <w:pPr>
              <w:rPr>
                <w:rFonts w:cs="Arial"/>
                <w:lang w:val="en-US"/>
              </w:rPr>
            </w:pPr>
            <w:r w:rsidRPr="005559A0">
              <w:rPr>
                <w:rFonts w:cs="Arial"/>
              </w:rPr>
              <w:t>7,5</w:t>
            </w:r>
          </w:p>
        </w:tc>
        <w:tc>
          <w:tcPr>
            <w:tcW w:w="1915" w:type="dxa"/>
          </w:tcPr>
          <w:p w14:paraId="0636F847" w14:textId="5ED996DB" w:rsidR="005559A0" w:rsidRPr="005559A0" w:rsidRDefault="005559A0" w:rsidP="005559A0">
            <w:pPr>
              <w:rPr>
                <w:rFonts w:cs="Arial"/>
                <w:lang w:val="en-US"/>
              </w:rPr>
            </w:pPr>
            <w:r w:rsidRPr="005559A0">
              <w:rPr>
                <w:rFonts w:cs="Arial"/>
              </w:rPr>
              <w:t>15</w:t>
            </w:r>
          </w:p>
        </w:tc>
        <w:tc>
          <w:tcPr>
            <w:tcW w:w="1915" w:type="dxa"/>
          </w:tcPr>
          <w:p w14:paraId="05DF65FB" w14:textId="5C7D4857" w:rsidR="005559A0" w:rsidRPr="005559A0" w:rsidRDefault="005559A0" w:rsidP="005559A0">
            <w:pPr>
              <w:rPr>
                <w:rFonts w:cs="Arial"/>
                <w:lang w:val="en-US"/>
              </w:rPr>
            </w:pPr>
            <w:r w:rsidRPr="005559A0">
              <w:rPr>
                <w:rFonts w:cs="Arial"/>
              </w:rPr>
              <w:t>22,5</w:t>
            </w:r>
          </w:p>
        </w:tc>
        <w:tc>
          <w:tcPr>
            <w:tcW w:w="1916" w:type="dxa"/>
          </w:tcPr>
          <w:p w14:paraId="66580BC6" w14:textId="4D4D2A51" w:rsidR="005559A0" w:rsidRPr="005559A0" w:rsidRDefault="005559A0" w:rsidP="005559A0">
            <w:pPr>
              <w:rPr>
                <w:rFonts w:cs="Arial"/>
                <w:lang w:val="en-US"/>
              </w:rPr>
            </w:pPr>
            <w:r w:rsidRPr="005559A0">
              <w:rPr>
                <w:rFonts w:cs="Arial"/>
              </w:rPr>
              <w:t>30</w:t>
            </w:r>
          </w:p>
        </w:tc>
      </w:tr>
      <w:tr w:rsidR="005559A0" w14:paraId="627287D5" w14:textId="77777777" w:rsidTr="005559A0">
        <w:tc>
          <w:tcPr>
            <w:tcW w:w="1915" w:type="dxa"/>
          </w:tcPr>
          <w:p w14:paraId="5B6076CE" w14:textId="245D30CE" w:rsidR="005559A0" w:rsidRPr="005559A0" w:rsidRDefault="005559A0" w:rsidP="005559A0">
            <w:pPr>
              <w:rPr>
                <w:rFonts w:cs="Arial"/>
                <w:lang w:val="en-US"/>
              </w:rPr>
            </w:pPr>
            <w:r w:rsidRPr="005559A0">
              <w:rPr>
                <w:rFonts w:cs="Arial"/>
              </w:rPr>
              <w:t>60</w:t>
            </w:r>
          </w:p>
        </w:tc>
        <w:tc>
          <w:tcPr>
            <w:tcW w:w="1915" w:type="dxa"/>
          </w:tcPr>
          <w:p w14:paraId="1EBA9747" w14:textId="26261E56" w:rsidR="005559A0" w:rsidRPr="005559A0" w:rsidRDefault="005559A0" w:rsidP="005559A0">
            <w:pPr>
              <w:rPr>
                <w:rFonts w:cs="Arial"/>
                <w:lang w:val="en-US"/>
              </w:rPr>
            </w:pPr>
            <w:r w:rsidRPr="005559A0">
              <w:rPr>
                <w:rFonts w:cs="Arial"/>
              </w:rPr>
              <w:t>9,0</w:t>
            </w:r>
          </w:p>
        </w:tc>
        <w:tc>
          <w:tcPr>
            <w:tcW w:w="1915" w:type="dxa"/>
          </w:tcPr>
          <w:p w14:paraId="774A3B7B" w14:textId="1F66985E" w:rsidR="005559A0" w:rsidRPr="005559A0" w:rsidRDefault="005559A0" w:rsidP="005559A0">
            <w:pPr>
              <w:rPr>
                <w:rFonts w:cs="Arial"/>
                <w:lang w:val="en-US"/>
              </w:rPr>
            </w:pPr>
            <w:r w:rsidRPr="005559A0">
              <w:rPr>
                <w:rFonts w:cs="Arial"/>
              </w:rPr>
              <w:t>18</w:t>
            </w:r>
          </w:p>
        </w:tc>
        <w:tc>
          <w:tcPr>
            <w:tcW w:w="1915" w:type="dxa"/>
          </w:tcPr>
          <w:p w14:paraId="75D8E2D4" w14:textId="3DF020CB" w:rsidR="005559A0" w:rsidRPr="005559A0" w:rsidRDefault="005559A0" w:rsidP="005559A0">
            <w:pPr>
              <w:rPr>
                <w:rFonts w:cs="Arial"/>
                <w:lang w:val="en-US"/>
              </w:rPr>
            </w:pPr>
            <w:r w:rsidRPr="005559A0">
              <w:rPr>
                <w:rFonts w:cs="Arial"/>
              </w:rPr>
              <w:t>27,0</w:t>
            </w:r>
          </w:p>
        </w:tc>
        <w:tc>
          <w:tcPr>
            <w:tcW w:w="1916" w:type="dxa"/>
          </w:tcPr>
          <w:p w14:paraId="1C82D6AE" w14:textId="4026F2FF" w:rsidR="005559A0" w:rsidRPr="005559A0" w:rsidRDefault="005559A0" w:rsidP="005559A0">
            <w:pPr>
              <w:rPr>
                <w:rFonts w:cs="Arial"/>
                <w:lang w:val="en-US"/>
              </w:rPr>
            </w:pPr>
            <w:r w:rsidRPr="005559A0">
              <w:rPr>
                <w:rFonts w:cs="Arial"/>
              </w:rPr>
              <w:t>36</w:t>
            </w:r>
          </w:p>
        </w:tc>
      </w:tr>
      <w:tr w:rsidR="005559A0" w14:paraId="35A883EC" w14:textId="77777777" w:rsidTr="005559A0">
        <w:tc>
          <w:tcPr>
            <w:tcW w:w="1915" w:type="dxa"/>
          </w:tcPr>
          <w:p w14:paraId="5ED1E02D" w14:textId="31450604" w:rsidR="005559A0" w:rsidRPr="005559A0" w:rsidRDefault="005559A0" w:rsidP="005559A0">
            <w:pPr>
              <w:rPr>
                <w:rFonts w:cs="Arial"/>
                <w:lang w:val="en-US"/>
              </w:rPr>
            </w:pPr>
            <w:r w:rsidRPr="005559A0">
              <w:rPr>
                <w:rFonts w:cs="Arial"/>
              </w:rPr>
              <w:t>70</w:t>
            </w:r>
          </w:p>
        </w:tc>
        <w:tc>
          <w:tcPr>
            <w:tcW w:w="1915" w:type="dxa"/>
          </w:tcPr>
          <w:p w14:paraId="34920A78" w14:textId="40049814" w:rsidR="005559A0" w:rsidRPr="005559A0" w:rsidRDefault="005559A0" w:rsidP="005559A0">
            <w:pPr>
              <w:rPr>
                <w:rFonts w:cs="Arial"/>
                <w:lang w:val="en-US"/>
              </w:rPr>
            </w:pPr>
            <w:r w:rsidRPr="005559A0">
              <w:rPr>
                <w:rFonts w:cs="Arial"/>
              </w:rPr>
              <w:t>10,5</w:t>
            </w:r>
          </w:p>
        </w:tc>
        <w:tc>
          <w:tcPr>
            <w:tcW w:w="1915" w:type="dxa"/>
          </w:tcPr>
          <w:p w14:paraId="61A87B8D" w14:textId="0B4AFBD4" w:rsidR="005559A0" w:rsidRPr="005559A0" w:rsidRDefault="005559A0" w:rsidP="005559A0">
            <w:pPr>
              <w:rPr>
                <w:rFonts w:cs="Arial"/>
                <w:lang w:val="en-US"/>
              </w:rPr>
            </w:pPr>
            <w:r w:rsidRPr="005559A0">
              <w:rPr>
                <w:rFonts w:cs="Arial"/>
              </w:rPr>
              <w:t>21</w:t>
            </w:r>
          </w:p>
        </w:tc>
        <w:tc>
          <w:tcPr>
            <w:tcW w:w="1915" w:type="dxa"/>
          </w:tcPr>
          <w:p w14:paraId="1798C7E3" w14:textId="56ABAF35" w:rsidR="005559A0" w:rsidRPr="005559A0" w:rsidRDefault="005559A0" w:rsidP="005559A0">
            <w:pPr>
              <w:rPr>
                <w:rFonts w:cs="Arial"/>
                <w:lang w:val="en-US"/>
              </w:rPr>
            </w:pPr>
            <w:r w:rsidRPr="005559A0">
              <w:rPr>
                <w:rFonts w:cs="Arial"/>
              </w:rPr>
              <w:t>31,5</w:t>
            </w:r>
          </w:p>
        </w:tc>
        <w:tc>
          <w:tcPr>
            <w:tcW w:w="1916" w:type="dxa"/>
          </w:tcPr>
          <w:p w14:paraId="5B390603" w14:textId="136D7121" w:rsidR="005559A0" w:rsidRPr="005559A0" w:rsidRDefault="005559A0" w:rsidP="005559A0">
            <w:pPr>
              <w:rPr>
                <w:rFonts w:cs="Arial"/>
                <w:lang w:val="en-US"/>
              </w:rPr>
            </w:pPr>
            <w:r w:rsidRPr="005559A0">
              <w:rPr>
                <w:rFonts w:cs="Arial"/>
              </w:rPr>
              <w:t>42</w:t>
            </w:r>
          </w:p>
        </w:tc>
      </w:tr>
      <w:tr w:rsidR="005559A0" w14:paraId="04887C2D" w14:textId="77777777" w:rsidTr="005559A0">
        <w:tc>
          <w:tcPr>
            <w:tcW w:w="1915" w:type="dxa"/>
          </w:tcPr>
          <w:p w14:paraId="1CD9BE9E" w14:textId="6899AF8A" w:rsidR="005559A0" w:rsidRPr="005559A0" w:rsidRDefault="005559A0" w:rsidP="005559A0">
            <w:pPr>
              <w:rPr>
                <w:rFonts w:cs="Arial"/>
                <w:lang w:val="en-US"/>
              </w:rPr>
            </w:pPr>
            <w:r w:rsidRPr="005559A0">
              <w:rPr>
                <w:rFonts w:cs="Arial"/>
              </w:rPr>
              <w:t>80</w:t>
            </w:r>
          </w:p>
        </w:tc>
        <w:tc>
          <w:tcPr>
            <w:tcW w:w="1915" w:type="dxa"/>
          </w:tcPr>
          <w:p w14:paraId="68726A9E" w14:textId="6AF035F2" w:rsidR="005559A0" w:rsidRPr="005559A0" w:rsidRDefault="005559A0" w:rsidP="005559A0">
            <w:pPr>
              <w:rPr>
                <w:rFonts w:cs="Arial"/>
                <w:lang w:val="en-US"/>
              </w:rPr>
            </w:pPr>
            <w:r w:rsidRPr="005559A0">
              <w:rPr>
                <w:rFonts w:cs="Arial"/>
              </w:rPr>
              <w:t>12,0</w:t>
            </w:r>
          </w:p>
        </w:tc>
        <w:tc>
          <w:tcPr>
            <w:tcW w:w="1915" w:type="dxa"/>
          </w:tcPr>
          <w:p w14:paraId="08712A96" w14:textId="1C526593" w:rsidR="005559A0" w:rsidRPr="005559A0" w:rsidRDefault="005559A0" w:rsidP="005559A0">
            <w:pPr>
              <w:rPr>
                <w:rFonts w:cs="Arial"/>
                <w:lang w:val="en-US"/>
              </w:rPr>
            </w:pPr>
            <w:r w:rsidRPr="005559A0">
              <w:rPr>
                <w:rFonts w:cs="Arial"/>
              </w:rPr>
              <w:t>24</w:t>
            </w:r>
          </w:p>
        </w:tc>
        <w:tc>
          <w:tcPr>
            <w:tcW w:w="1915" w:type="dxa"/>
          </w:tcPr>
          <w:p w14:paraId="787B6147" w14:textId="200F782B" w:rsidR="005559A0" w:rsidRPr="005559A0" w:rsidRDefault="005559A0" w:rsidP="005559A0">
            <w:pPr>
              <w:rPr>
                <w:rFonts w:cs="Arial"/>
                <w:lang w:val="en-US"/>
              </w:rPr>
            </w:pPr>
            <w:r w:rsidRPr="005559A0">
              <w:rPr>
                <w:rFonts w:cs="Arial"/>
              </w:rPr>
              <w:t>36,0</w:t>
            </w:r>
          </w:p>
        </w:tc>
        <w:tc>
          <w:tcPr>
            <w:tcW w:w="1916" w:type="dxa"/>
          </w:tcPr>
          <w:p w14:paraId="304FE81D" w14:textId="0C81D334" w:rsidR="005559A0" w:rsidRPr="005559A0" w:rsidRDefault="005559A0" w:rsidP="005559A0">
            <w:pPr>
              <w:rPr>
                <w:rFonts w:cs="Arial"/>
                <w:lang w:val="en-US"/>
              </w:rPr>
            </w:pPr>
            <w:r w:rsidRPr="005559A0">
              <w:rPr>
                <w:rFonts w:cs="Arial"/>
              </w:rPr>
              <w:t>48</w:t>
            </w:r>
          </w:p>
        </w:tc>
      </w:tr>
      <w:tr w:rsidR="005559A0" w14:paraId="5CD7FBC2" w14:textId="77777777" w:rsidTr="005559A0">
        <w:tc>
          <w:tcPr>
            <w:tcW w:w="1915" w:type="dxa"/>
          </w:tcPr>
          <w:p w14:paraId="03108372" w14:textId="6B90339A" w:rsidR="005559A0" w:rsidRPr="005559A0" w:rsidRDefault="005559A0" w:rsidP="005559A0">
            <w:pPr>
              <w:rPr>
                <w:rFonts w:cs="Arial"/>
                <w:lang w:val="en-US"/>
              </w:rPr>
            </w:pPr>
            <w:r w:rsidRPr="005559A0">
              <w:rPr>
                <w:rFonts w:cs="Arial"/>
              </w:rPr>
              <w:lastRenderedPageBreak/>
              <w:t>90</w:t>
            </w:r>
          </w:p>
        </w:tc>
        <w:tc>
          <w:tcPr>
            <w:tcW w:w="1915" w:type="dxa"/>
          </w:tcPr>
          <w:p w14:paraId="2B8F6FA0" w14:textId="16188040" w:rsidR="005559A0" w:rsidRPr="005559A0" w:rsidRDefault="005559A0" w:rsidP="005559A0">
            <w:pPr>
              <w:rPr>
                <w:rFonts w:cs="Arial"/>
                <w:lang w:val="en-US"/>
              </w:rPr>
            </w:pPr>
            <w:r w:rsidRPr="005559A0">
              <w:rPr>
                <w:rFonts w:cs="Arial"/>
              </w:rPr>
              <w:t>13,5</w:t>
            </w:r>
          </w:p>
        </w:tc>
        <w:tc>
          <w:tcPr>
            <w:tcW w:w="1915" w:type="dxa"/>
          </w:tcPr>
          <w:p w14:paraId="38BA2458" w14:textId="44FCE0E8" w:rsidR="005559A0" w:rsidRPr="005559A0" w:rsidRDefault="005559A0" w:rsidP="005559A0">
            <w:pPr>
              <w:rPr>
                <w:rFonts w:cs="Arial"/>
                <w:lang w:val="en-US"/>
              </w:rPr>
            </w:pPr>
            <w:r w:rsidRPr="005559A0">
              <w:rPr>
                <w:rFonts w:cs="Arial"/>
              </w:rPr>
              <w:t>27</w:t>
            </w:r>
          </w:p>
        </w:tc>
        <w:tc>
          <w:tcPr>
            <w:tcW w:w="1915" w:type="dxa"/>
          </w:tcPr>
          <w:p w14:paraId="58111EEE" w14:textId="344CECF6" w:rsidR="005559A0" w:rsidRPr="005559A0" w:rsidRDefault="005559A0" w:rsidP="005559A0">
            <w:pPr>
              <w:rPr>
                <w:rFonts w:cs="Arial"/>
                <w:lang w:val="en-US"/>
              </w:rPr>
            </w:pPr>
            <w:r w:rsidRPr="005559A0">
              <w:rPr>
                <w:rFonts w:cs="Arial"/>
              </w:rPr>
              <w:t>40,5</w:t>
            </w:r>
          </w:p>
        </w:tc>
        <w:tc>
          <w:tcPr>
            <w:tcW w:w="1916" w:type="dxa"/>
          </w:tcPr>
          <w:p w14:paraId="23DC7DEF" w14:textId="062B7A8E" w:rsidR="005559A0" w:rsidRPr="005559A0" w:rsidRDefault="005559A0" w:rsidP="005559A0">
            <w:pPr>
              <w:rPr>
                <w:rFonts w:cs="Arial"/>
                <w:lang w:val="en-US"/>
              </w:rPr>
            </w:pPr>
            <w:r w:rsidRPr="005559A0">
              <w:rPr>
                <w:rFonts w:cs="Arial"/>
              </w:rPr>
              <w:t>54</w:t>
            </w:r>
          </w:p>
        </w:tc>
      </w:tr>
      <w:tr w:rsidR="005559A0" w14:paraId="1D5DA294" w14:textId="77777777" w:rsidTr="005559A0">
        <w:tc>
          <w:tcPr>
            <w:tcW w:w="1915" w:type="dxa"/>
          </w:tcPr>
          <w:p w14:paraId="64E23BAF" w14:textId="4D093D40" w:rsidR="005559A0" w:rsidRPr="005559A0" w:rsidRDefault="005559A0" w:rsidP="005559A0">
            <w:pPr>
              <w:rPr>
                <w:rFonts w:cs="Arial"/>
                <w:lang w:val="en-US"/>
              </w:rPr>
            </w:pPr>
            <w:r w:rsidRPr="005559A0">
              <w:rPr>
                <w:rFonts w:cs="Arial"/>
              </w:rPr>
              <w:t>100</w:t>
            </w:r>
          </w:p>
        </w:tc>
        <w:tc>
          <w:tcPr>
            <w:tcW w:w="1915" w:type="dxa"/>
          </w:tcPr>
          <w:p w14:paraId="56188C3A" w14:textId="767FABC5" w:rsidR="005559A0" w:rsidRPr="005559A0" w:rsidRDefault="005559A0" w:rsidP="005559A0">
            <w:pPr>
              <w:rPr>
                <w:rFonts w:cs="Arial"/>
                <w:lang w:val="en-US"/>
              </w:rPr>
            </w:pPr>
            <w:r w:rsidRPr="005559A0">
              <w:rPr>
                <w:rFonts w:cs="Arial"/>
              </w:rPr>
              <w:t>15,0</w:t>
            </w:r>
          </w:p>
        </w:tc>
        <w:tc>
          <w:tcPr>
            <w:tcW w:w="1915" w:type="dxa"/>
          </w:tcPr>
          <w:p w14:paraId="06C87D3E" w14:textId="1AED9782" w:rsidR="005559A0" w:rsidRPr="005559A0" w:rsidRDefault="005559A0" w:rsidP="005559A0">
            <w:pPr>
              <w:rPr>
                <w:rFonts w:cs="Arial"/>
                <w:lang w:val="en-US"/>
              </w:rPr>
            </w:pPr>
            <w:r w:rsidRPr="005559A0">
              <w:rPr>
                <w:rFonts w:cs="Arial"/>
              </w:rPr>
              <w:t>30</w:t>
            </w:r>
          </w:p>
        </w:tc>
        <w:tc>
          <w:tcPr>
            <w:tcW w:w="1915" w:type="dxa"/>
          </w:tcPr>
          <w:p w14:paraId="547963C7" w14:textId="27DA2248" w:rsidR="005559A0" w:rsidRPr="005559A0" w:rsidRDefault="005559A0" w:rsidP="005559A0">
            <w:pPr>
              <w:rPr>
                <w:rFonts w:cs="Arial"/>
                <w:lang w:val="en-US"/>
              </w:rPr>
            </w:pPr>
            <w:r w:rsidRPr="005559A0">
              <w:rPr>
                <w:rFonts w:cs="Arial"/>
              </w:rPr>
              <w:t>45,0</w:t>
            </w:r>
          </w:p>
        </w:tc>
        <w:tc>
          <w:tcPr>
            <w:tcW w:w="1916" w:type="dxa"/>
          </w:tcPr>
          <w:p w14:paraId="4FF5A23B" w14:textId="7661E5A4" w:rsidR="005559A0" w:rsidRPr="005559A0" w:rsidRDefault="005559A0" w:rsidP="005559A0">
            <w:pPr>
              <w:rPr>
                <w:rFonts w:cs="Arial"/>
                <w:lang w:val="en-US"/>
              </w:rPr>
            </w:pPr>
            <w:r w:rsidRPr="005559A0">
              <w:rPr>
                <w:rFonts w:cs="Arial"/>
              </w:rPr>
              <w:t>60</w:t>
            </w:r>
          </w:p>
        </w:tc>
      </w:tr>
      <w:tr w:rsidR="005559A0" w14:paraId="45660CA4" w14:textId="77777777" w:rsidTr="005559A0">
        <w:tc>
          <w:tcPr>
            <w:tcW w:w="1915" w:type="dxa"/>
          </w:tcPr>
          <w:p w14:paraId="783D4180" w14:textId="24B3BB57" w:rsidR="005559A0" w:rsidRPr="005559A0" w:rsidRDefault="005559A0" w:rsidP="005559A0">
            <w:pPr>
              <w:rPr>
                <w:rFonts w:cs="Arial"/>
                <w:lang w:val="en-US"/>
              </w:rPr>
            </w:pPr>
            <w:r w:rsidRPr="005559A0">
              <w:rPr>
                <w:rFonts w:cs="Arial"/>
              </w:rPr>
              <w:t>110</w:t>
            </w:r>
          </w:p>
        </w:tc>
        <w:tc>
          <w:tcPr>
            <w:tcW w:w="1915" w:type="dxa"/>
          </w:tcPr>
          <w:p w14:paraId="6106CA47" w14:textId="1E26CEB3" w:rsidR="005559A0" w:rsidRPr="005559A0" w:rsidRDefault="005559A0" w:rsidP="005559A0">
            <w:pPr>
              <w:rPr>
                <w:rFonts w:cs="Arial"/>
                <w:lang w:val="en-US"/>
              </w:rPr>
            </w:pPr>
            <w:r w:rsidRPr="005559A0">
              <w:rPr>
                <w:rFonts w:cs="Arial"/>
              </w:rPr>
              <w:t>16,5</w:t>
            </w:r>
          </w:p>
        </w:tc>
        <w:tc>
          <w:tcPr>
            <w:tcW w:w="1915" w:type="dxa"/>
          </w:tcPr>
          <w:p w14:paraId="5C8AEC85" w14:textId="51D4778D" w:rsidR="005559A0" w:rsidRPr="005559A0" w:rsidRDefault="005559A0" w:rsidP="005559A0">
            <w:pPr>
              <w:rPr>
                <w:rFonts w:cs="Arial"/>
                <w:lang w:val="en-US"/>
              </w:rPr>
            </w:pPr>
            <w:r w:rsidRPr="005559A0">
              <w:rPr>
                <w:rFonts w:cs="Arial"/>
              </w:rPr>
              <w:t>33</w:t>
            </w:r>
          </w:p>
        </w:tc>
        <w:tc>
          <w:tcPr>
            <w:tcW w:w="1915" w:type="dxa"/>
          </w:tcPr>
          <w:p w14:paraId="58A08547" w14:textId="5EFB43D9" w:rsidR="005559A0" w:rsidRPr="005559A0" w:rsidRDefault="005559A0" w:rsidP="005559A0">
            <w:pPr>
              <w:rPr>
                <w:rFonts w:cs="Arial"/>
                <w:lang w:val="en-US"/>
              </w:rPr>
            </w:pPr>
            <w:r w:rsidRPr="005559A0">
              <w:rPr>
                <w:rFonts w:cs="Arial"/>
              </w:rPr>
              <w:t>49,5</w:t>
            </w:r>
          </w:p>
        </w:tc>
        <w:tc>
          <w:tcPr>
            <w:tcW w:w="1916" w:type="dxa"/>
          </w:tcPr>
          <w:p w14:paraId="2125E244" w14:textId="6866BDB0" w:rsidR="005559A0" w:rsidRPr="005559A0" w:rsidRDefault="005559A0" w:rsidP="005559A0">
            <w:pPr>
              <w:rPr>
                <w:rFonts w:cs="Arial"/>
                <w:lang w:val="en-US"/>
              </w:rPr>
            </w:pPr>
            <w:r w:rsidRPr="005559A0">
              <w:rPr>
                <w:rFonts w:cs="Arial"/>
              </w:rPr>
              <w:t>66</w:t>
            </w:r>
          </w:p>
        </w:tc>
      </w:tr>
    </w:tbl>
    <w:p w14:paraId="0CE29FEC" w14:textId="77777777" w:rsidR="005559A0" w:rsidRDefault="005559A0" w:rsidP="005559A0">
      <w:pPr>
        <w:spacing w:line="240" w:lineRule="auto"/>
        <w:rPr>
          <w:rFonts w:ascii="Times New Roman" w:eastAsia="Times New Roman" w:hAnsi="Times New Roman" w:cs="Times New Roman"/>
          <w:color w:val="000000"/>
          <w:u w:val="single"/>
          <w:lang w:eastAsia="bg-BG"/>
        </w:rPr>
      </w:pPr>
    </w:p>
    <w:p w14:paraId="14C2CF0B" w14:textId="2A795C9C" w:rsidR="005559A0" w:rsidRPr="005559A0" w:rsidRDefault="005559A0" w:rsidP="005559A0">
      <w:pPr>
        <w:spacing w:line="240" w:lineRule="auto"/>
        <w:rPr>
          <w:rFonts w:eastAsia="Times New Roman" w:cs="Arial"/>
          <w:sz w:val="24"/>
          <w:szCs w:val="24"/>
        </w:rPr>
      </w:pPr>
      <w:r w:rsidRPr="005559A0">
        <w:rPr>
          <w:rFonts w:eastAsia="Times New Roman" w:cs="Arial"/>
          <w:color w:val="000000"/>
          <w:u w:val="single"/>
          <w:lang w:eastAsia="bg-BG"/>
        </w:rPr>
        <w:t xml:space="preserve">Скорост на инфузията </w:t>
      </w:r>
      <w:r w:rsidRPr="005559A0">
        <w:rPr>
          <w:rFonts w:eastAsia="Times New Roman" w:cs="Arial"/>
          <w:color w:val="000000"/>
          <w:u w:val="single"/>
          <w:lang w:val="en-US"/>
        </w:rPr>
        <w:t xml:space="preserve">[ml/h] </w:t>
      </w:r>
      <w:r w:rsidRPr="005559A0">
        <w:rPr>
          <w:rFonts w:eastAsia="Times New Roman" w:cs="Arial"/>
          <w:color w:val="000000"/>
          <w:u w:val="single"/>
          <w:lang w:eastAsia="bg-BG"/>
        </w:rPr>
        <w:t xml:space="preserve">за различни дози при употреба на автоматичен </w:t>
      </w:r>
      <w:proofErr w:type="spellStart"/>
      <w:r w:rsidRPr="005559A0">
        <w:rPr>
          <w:rFonts w:eastAsia="Times New Roman" w:cs="Arial"/>
          <w:color w:val="000000"/>
          <w:u w:val="single"/>
          <w:lang w:eastAsia="bg-BG"/>
        </w:rPr>
        <w:t>перфузор</w:t>
      </w:r>
      <w:proofErr w:type="spellEnd"/>
    </w:p>
    <w:p w14:paraId="2B409A5A" w14:textId="77777777" w:rsidR="005559A0" w:rsidRPr="005559A0" w:rsidRDefault="005559A0" w:rsidP="005559A0">
      <w:pPr>
        <w:spacing w:line="240" w:lineRule="auto"/>
        <w:rPr>
          <w:rFonts w:eastAsia="Times New Roman" w:cs="Arial"/>
          <w:color w:val="000000"/>
          <w:lang w:eastAsia="bg-BG"/>
        </w:rPr>
      </w:pPr>
    </w:p>
    <w:p w14:paraId="108D85CE" w14:textId="6D1DCCA4" w:rsidR="005559A0" w:rsidRPr="005559A0" w:rsidRDefault="005559A0" w:rsidP="005559A0">
      <w:pPr>
        <w:spacing w:line="240" w:lineRule="auto"/>
        <w:rPr>
          <w:rFonts w:eastAsia="Times New Roman" w:cs="Arial"/>
          <w:sz w:val="24"/>
          <w:szCs w:val="24"/>
        </w:rPr>
      </w:pPr>
      <w:r w:rsidRPr="005559A0">
        <w:rPr>
          <w:rFonts w:eastAsia="Times New Roman" w:cs="Arial"/>
          <w:color w:val="000000"/>
          <w:lang w:eastAsia="bg-BG"/>
        </w:rPr>
        <w:t xml:space="preserve">Може да се използва автоматичен </w:t>
      </w:r>
      <w:proofErr w:type="spellStart"/>
      <w:r w:rsidRPr="005559A0">
        <w:rPr>
          <w:rFonts w:eastAsia="Times New Roman" w:cs="Arial"/>
          <w:color w:val="000000"/>
          <w:lang w:eastAsia="bg-BG"/>
        </w:rPr>
        <w:t>перфузор</w:t>
      </w:r>
      <w:proofErr w:type="spellEnd"/>
      <w:r w:rsidRPr="005559A0">
        <w:rPr>
          <w:rFonts w:eastAsia="Times New Roman" w:cs="Arial"/>
          <w:color w:val="000000"/>
          <w:lang w:eastAsia="bg-BG"/>
        </w:rPr>
        <w:t xml:space="preserve"> за 50 </w:t>
      </w:r>
      <w:r w:rsidRPr="005559A0">
        <w:rPr>
          <w:rFonts w:eastAsia="Times New Roman" w:cs="Arial"/>
          <w:color w:val="000000"/>
          <w:lang w:val="en-US"/>
        </w:rPr>
        <w:t xml:space="preserve">ml </w:t>
      </w:r>
      <w:r w:rsidRPr="005559A0">
        <w:rPr>
          <w:rFonts w:eastAsia="Times New Roman" w:cs="Arial"/>
          <w:color w:val="000000"/>
          <w:lang w:eastAsia="bg-BG"/>
        </w:rPr>
        <w:t xml:space="preserve">спринцовка (напр. </w:t>
      </w:r>
      <w:proofErr w:type="spellStart"/>
      <w:r w:rsidRPr="005559A0">
        <w:rPr>
          <w:rFonts w:eastAsia="Times New Roman" w:cs="Arial"/>
          <w:color w:val="000000"/>
          <w:lang w:val="en-US"/>
        </w:rPr>
        <w:t>Perfusor</w:t>
      </w:r>
      <w:proofErr w:type="spellEnd"/>
      <w:r w:rsidRPr="005559A0">
        <w:rPr>
          <w:rFonts w:eastAsia="Times New Roman" w:cs="Arial"/>
          <w:color w:val="000000"/>
          <w:lang w:val="en-US"/>
        </w:rPr>
        <w:t xml:space="preserve">®) </w:t>
      </w:r>
      <w:r w:rsidRPr="005559A0">
        <w:rPr>
          <w:rFonts w:eastAsia="Times New Roman" w:cs="Arial"/>
          <w:color w:val="000000"/>
          <w:lang w:eastAsia="bg-BG"/>
        </w:rPr>
        <w:t xml:space="preserve">(за указания за изхвърляне и работа вж. част 6.6 Специални предпазни мерки при изхвърляне и работа). При концентрация на </w:t>
      </w:r>
      <w:proofErr w:type="spellStart"/>
      <w:r w:rsidRPr="005559A0">
        <w:rPr>
          <w:rFonts w:eastAsia="Times New Roman" w:cs="Arial"/>
          <w:color w:val="000000"/>
          <w:lang w:eastAsia="bg-BG"/>
        </w:rPr>
        <w:t>Иломедин</w:t>
      </w:r>
      <w:proofErr w:type="spellEnd"/>
      <w:r w:rsidRPr="005559A0">
        <w:rPr>
          <w:rFonts w:eastAsia="Times New Roman" w:cs="Arial"/>
          <w:color w:val="000000"/>
          <w:lang w:eastAsia="bg-BG"/>
        </w:rPr>
        <w:t xml:space="preserve"> от 2 </w:t>
      </w:r>
      <w:proofErr w:type="spellStart"/>
      <w:r w:rsidRPr="005559A0">
        <w:rPr>
          <w:rFonts w:eastAsia="Times New Roman" w:cs="Arial"/>
          <w:color w:val="000000"/>
          <w:lang w:val="en-US"/>
        </w:rPr>
        <w:t>μg</w:t>
      </w:r>
      <w:proofErr w:type="spellEnd"/>
      <w:r w:rsidRPr="005559A0">
        <w:rPr>
          <w:rFonts w:eastAsia="Times New Roman" w:cs="Arial"/>
          <w:color w:val="000000"/>
          <w:lang w:val="en-US"/>
        </w:rPr>
        <w:t xml:space="preserve">/ml </w:t>
      </w:r>
      <w:r w:rsidRPr="005559A0">
        <w:rPr>
          <w:rFonts w:eastAsia="Times New Roman" w:cs="Arial"/>
          <w:color w:val="000000"/>
          <w:lang w:eastAsia="bg-BG"/>
        </w:rPr>
        <w:t xml:space="preserve">необходимата скорост на инфузия трябва да се определи чрез посочената схема, за да се получи доза от порядъка на 0,5 до 2,0 </w:t>
      </w:r>
      <w:r w:rsidRPr="005559A0">
        <w:rPr>
          <w:rFonts w:eastAsia="Times New Roman" w:cs="Arial"/>
          <w:color w:val="000000"/>
          <w:lang w:val="en-US"/>
        </w:rPr>
        <w:t>ng/kg/min.</w:t>
      </w:r>
    </w:p>
    <w:p w14:paraId="68F5CC0B" w14:textId="77777777" w:rsidR="005559A0" w:rsidRPr="005559A0" w:rsidRDefault="005559A0" w:rsidP="005559A0">
      <w:pPr>
        <w:spacing w:line="240" w:lineRule="auto"/>
        <w:rPr>
          <w:rFonts w:eastAsia="Times New Roman" w:cs="Arial"/>
          <w:color w:val="000000"/>
          <w:lang w:eastAsia="bg-BG"/>
        </w:rPr>
      </w:pPr>
    </w:p>
    <w:p w14:paraId="2052FB24" w14:textId="686E4263" w:rsidR="005559A0" w:rsidRPr="005559A0" w:rsidRDefault="005559A0" w:rsidP="005559A0">
      <w:pPr>
        <w:spacing w:line="240" w:lineRule="auto"/>
        <w:rPr>
          <w:rFonts w:eastAsia="Times New Roman" w:cs="Arial"/>
          <w:sz w:val="24"/>
          <w:szCs w:val="24"/>
        </w:rPr>
      </w:pPr>
      <w:r w:rsidRPr="005559A0">
        <w:rPr>
          <w:rFonts w:eastAsia="Times New Roman" w:cs="Arial"/>
          <w:color w:val="000000"/>
          <w:lang w:eastAsia="bg-BG"/>
        </w:rPr>
        <w:t xml:space="preserve">Следната таблица може да бъде използвана за изчисление на скоростта на инфузия, съответстваща на личното тегло на пациента и дозата за вливане. Моля </w:t>
      </w:r>
      <w:proofErr w:type="spellStart"/>
      <w:r w:rsidRPr="005559A0">
        <w:rPr>
          <w:rFonts w:eastAsia="Times New Roman" w:cs="Arial"/>
          <w:color w:val="000000"/>
          <w:lang w:eastAsia="bg-BG"/>
        </w:rPr>
        <w:t>интерполирайте</w:t>
      </w:r>
      <w:proofErr w:type="spellEnd"/>
      <w:r w:rsidRPr="005559A0">
        <w:rPr>
          <w:rFonts w:eastAsia="Times New Roman" w:cs="Arial"/>
          <w:color w:val="000000"/>
          <w:lang w:eastAsia="bg-BG"/>
        </w:rPr>
        <w:t xml:space="preserve">, за да получите актуалното лично тегло на пациента, и след това нагласете скоростта на инфузия към желаната доза в </w:t>
      </w:r>
      <w:r w:rsidRPr="005559A0">
        <w:rPr>
          <w:rFonts w:eastAsia="Times New Roman" w:cs="Arial"/>
          <w:color w:val="000000"/>
          <w:lang w:val="en-US"/>
        </w:rPr>
        <w:t>ng/kg/min</w:t>
      </w:r>
    </w:p>
    <w:p w14:paraId="3A2FAF47" w14:textId="55EAE3BA" w:rsidR="005559A0" w:rsidRDefault="005559A0" w:rsidP="005559A0">
      <w:pPr>
        <w:rPr>
          <w:lang w:val="en-US"/>
        </w:rPr>
      </w:pPr>
    </w:p>
    <w:tbl>
      <w:tblPr>
        <w:tblStyle w:val="TableGrid"/>
        <w:tblW w:w="0" w:type="auto"/>
        <w:tblLook w:val="04A0" w:firstRow="1" w:lastRow="0" w:firstColumn="1" w:lastColumn="0" w:noHBand="0" w:noVBand="1"/>
      </w:tblPr>
      <w:tblGrid>
        <w:gridCol w:w="2235"/>
        <w:gridCol w:w="1595"/>
        <w:gridCol w:w="1915"/>
        <w:gridCol w:w="1915"/>
        <w:gridCol w:w="1916"/>
      </w:tblGrid>
      <w:tr w:rsidR="007B1E8A" w14:paraId="3E130C94" w14:textId="77777777" w:rsidTr="007B1E8A">
        <w:tc>
          <w:tcPr>
            <w:tcW w:w="2235" w:type="dxa"/>
          </w:tcPr>
          <w:p w14:paraId="3A39251C" w14:textId="77777777" w:rsidR="007B1E8A" w:rsidRDefault="007B1E8A" w:rsidP="007B1E8A">
            <w:pPr>
              <w:rPr>
                <w:lang w:val="en-US"/>
              </w:rPr>
            </w:pPr>
          </w:p>
        </w:tc>
        <w:tc>
          <w:tcPr>
            <w:tcW w:w="7341" w:type="dxa"/>
            <w:gridSpan w:val="4"/>
          </w:tcPr>
          <w:p w14:paraId="10EBB889" w14:textId="797FA730" w:rsidR="007B1E8A" w:rsidRPr="007B1E8A" w:rsidRDefault="007B1E8A" w:rsidP="007B1E8A">
            <w:pPr>
              <w:rPr>
                <w:lang w:val="en-US"/>
              </w:rPr>
            </w:pPr>
            <w:r w:rsidRPr="005559A0">
              <w:rPr>
                <w:rFonts w:eastAsia="Times New Roman" w:cs="Arial"/>
                <w:color w:val="000000"/>
                <w:lang w:eastAsia="bg-BG"/>
              </w:rPr>
              <w:t xml:space="preserve">Доза </w:t>
            </w:r>
            <w:r w:rsidRPr="005559A0">
              <w:rPr>
                <w:rFonts w:eastAsia="Times New Roman" w:cs="Arial"/>
                <w:color w:val="000000"/>
                <w:lang w:val="en-US"/>
              </w:rPr>
              <w:t>[ng/kg/min]</w:t>
            </w:r>
          </w:p>
        </w:tc>
      </w:tr>
      <w:tr w:rsidR="007B1E8A" w14:paraId="24D74BA7" w14:textId="77777777" w:rsidTr="007B1E8A">
        <w:tc>
          <w:tcPr>
            <w:tcW w:w="2235" w:type="dxa"/>
          </w:tcPr>
          <w:p w14:paraId="7BD65511" w14:textId="77777777" w:rsidR="007B1E8A" w:rsidRDefault="007B1E8A" w:rsidP="007B1E8A">
            <w:pPr>
              <w:rPr>
                <w:lang w:val="en-US"/>
              </w:rPr>
            </w:pPr>
          </w:p>
        </w:tc>
        <w:tc>
          <w:tcPr>
            <w:tcW w:w="1595" w:type="dxa"/>
          </w:tcPr>
          <w:p w14:paraId="688A5C11" w14:textId="313DD0E1" w:rsidR="007B1E8A" w:rsidRDefault="007B1E8A" w:rsidP="007B1E8A">
            <w:pPr>
              <w:rPr>
                <w:lang w:val="en-US"/>
              </w:rPr>
            </w:pPr>
            <w:r w:rsidRPr="005559A0">
              <w:rPr>
                <w:rFonts w:cs="Arial"/>
                <w:lang w:val="en-US"/>
              </w:rPr>
              <w:t>0,5</w:t>
            </w:r>
          </w:p>
        </w:tc>
        <w:tc>
          <w:tcPr>
            <w:tcW w:w="1915" w:type="dxa"/>
          </w:tcPr>
          <w:p w14:paraId="1EFAF1C9" w14:textId="4B6E5AD8" w:rsidR="007B1E8A" w:rsidRDefault="007B1E8A" w:rsidP="007B1E8A">
            <w:pPr>
              <w:rPr>
                <w:lang w:val="en-US"/>
              </w:rPr>
            </w:pPr>
            <w:r>
              <w:rPr>
                <w:lang w:val="en-US"/>
              </w:rPr>
              <w:t>1,0</w:t>
            </w:r>
          </w:p>
        </w:tc>
        <w:tc>
          <w:tcPr>
            <w:tcW w:w="1915" w:type="dxa"/>
          </w:tcPr>
          <w:p w14:paraId="1C1A7E4B" w14:textId="40A832DE" w:rsidR="007B1E8A" w:rsidRDefault="007B1E8A" w:rsidP="007B1E8A">
            <w:pPr>
              <w:rPr>
                <w:lang w:val="en-US"/>
              </w:rPr>
            </w:pPr>
            <w:r>
              <w:rPr>
                <w:rFonts w:cs="Arial"/>
                <w:lang w:val="en-US"/>
              </w:rPr>
              <w:t>1,</w:t>
            </w:r>
            <w:r w:rsidRPr="005559A0">
              <w:rPr>
                <w:rFonts w:cs="Arial"/>
                <w:lang w:val="en-US"/>
              </w:rPr>
              <w:t>5</w:t>
            </w:r>
          </w:p>
        </w:tc>
        <w:tc>
          <w:tcPr>
            <w:tcW w:w="1916" w:type="dxa"/>
          </w:tcPr>
          <w:p w14:paraId="3F6BC7A8" w14:textId="281BC5B6" w:rsidR="007B1E8A" w:rsidRDefault="007B1E8A" w:rsidP="007B1E8A">
            <w:pPr>
              <w:rPr>
                <w:lang w:val="en-US"/>
              </w:rPr>
            </w:pPr>
            <w:r>
              <w:rPr>
                <w:lang w:val="en-US"/>
              </w:rPr>
              <w:t>2,0</w:t>
            </w:r>
          </w:p>
        </w:tc>
      </w:tr>
      <w:tr w:rsidR="007B1E8A" w14:paraId="13188A9D" w14:textId="77777777" w:rsidTr="007B1E8A">
        <w:tc>
          <w:tcPr>
            <w:tcW w:w="2235" w:type="dxa"/>
          </w:tcPr>
          <w:p w14:paraId="727E146A" w14:textId="5F8838C2" w:rsidR="007B1E8A" w:rsidRDefault="007B1E8A" w:rsidP="007B1E8A">
            <w:pPr>
              <w:rPr>
                <w:lang w:val="en-US"/>
              </w:rPr>
            </w:pPr>
            <w:r>
              <w:t xml:space="preserve">Телесно тегло </w:t>
            </w:r>
            <w:r>
              <w:rPr>
                <w:lang w:val="en-US"/>
              </w:rPr>
              <w:t>[kg]</w:t>
            </w:r>
          </w:p>
        </w:tc>
        <w:tc>
          <w:tcPr>
            <w:tcW w:w="7341" w:type="dxa"/>
            <w:gridSpan w:val="4"/>
          </w:tcPr>
          <w:p w14:paraId="40C9A700" w14:textId="07F65F98" w:rsidR="007B1E8A" w:rsidRDefault="007B1E8A" w:rsidP="007B1E8A">
            <w:pPr>
              <w:rPr>
                <w:lang w:val="en-US"/>
              </w:rPr>
            </w:pPr>
            <w:r>
              <w:t xml:space="preserve">Скорост на инфузия </w:t>
            </w:r>
            <w:r>
              <w:rPr>
                <w:lang w:val="en-US"/>
              </w:rPr>
              <w:t>[m 1/h]</w:t>
            </w:r>
          </w:p>
        </w:tc>
      </w:tr>
      <w:tr w:rsidR="007B1E8A" w14:paraId="52177D22" w14:textId="77777777" w:rsidTr="007B1E8A">
        <w:tc>
          <w:tcPr>
            <w:tcW w:w="2235" w:type="dxa"/>
          </w:tcPr>
          <w:p w14:paraId="2F8A53D2" w14:textId="199E4908" w:rsidR="007B1E8A" w:rsidRDefault="007B1E8A" w:rsidP="007B1E8A">
            <w:pPr>
              <w:rPr>
                <w:lang w:val="en-US"/>
              </w:rPr>
            </w:pPr>
            <w:r>
              <w:t>40</w:t>
            </w:r>
          </w:p>
        </w:tc>
        <w:tc>
          <w:tcPr>
            <w:tcW w:w="1595" w:type="dxa"/>
          </w:tcPr>
          <w:p w14:paraId="68BE6E43" w14:textId="6864726C" w:rsidR="007B1E8A" w:rsidRDefault="007B1E8A" w:rsidP="007B1E8A">
            <w:pPr>
              <w:rPr>
                <w:lang w:val="en-US"/>
              </w:rPr>
            </w:pPr>
            <w:r>
              <w:t>0,60</w:t>
            </w:r>
          </w:p>
        </w:tc>
        <w:tc>
          <w:tcPr>
            <w:tcW w:w="1915" w:type="dxa"/>
          </w:tcPr>
          <w:p w14:paraId="6C98EB69" w14:textId="7086941D" w:rsidR="007B1E8A" w:rsidRDefault="007B1E8A" w:rsidP="007B1E8A">
            <w:pPr>
              <w:rPr>
                <w:lang w:val="en-US"/>
              </w:rPr>
            </w:pPr>
            <w:r>
              <w:t>1,2</w:t>
            </w:r>
          </w:p>
        </w:tc>
        <w:tc>
          <w:tcPr>
            <w:tcW w:w="1915" w:type="dxa"/>
          </w:tcPr>
          <w:p w14:paraId="418C0AA3" w14:textId="75ED188A" w:rsidR="007B1E8A" w:rsidRDefault="007B1E8A" w:rsidP="007B1E8A">
            <w:pPr>
              <w:rPr>
                <w:lang w:val="en-US"/>
              </w:rPr>
            </w:pPr>
            <w:r>
              <w:t>1,80</w:t>
            </w:r>
          </w:p>
        </w:tc>
        <w:tc>
          <w:tcPr>
            <w:tcW w:w="1916" w:type="dxa"/>
          </w:tcPr>
          <w:p w14:paraId="3480F3D8" w14:textId="23D357A7" w:rsidR="007B1E8A" w:rsidRDefault="007B1E8A" w:rsidP="007B1E8A">
            <w:pPr>
              <w:rPr>
                <w:lang w:val="en-US"/>
              </w:rPr>
            </w:pPr>
            <w:r>
              <w:t>2,4</w:t>
            </w:r>
          </w:p>
        </w:tc>
      </w:tr>
      <w:tr w:rsidR="007B1E8A" w14:paraId="6E3FE27B" w14:textId="77777777" w:rsidTr="007B1E8A">
        <w:tc>
          <w:tcPr>
            <w:tcW w:w="2235" w:type="dxa"/>
          </w:tcPr>
          <w:p w14:paraId="6A286F1F" w14:textId="7DD65C55" w:rsidR="007B1E8A" w:rsidRDefault="007B1E8A" w:rsidP="007B1E8A">
            <w:pPr>
              <w:rPr>
                <w:lang w:val="en-US"/>
              </w:rPr>
            </w:pPr>
            <w:r>
              <w:t>50</w:t>
            </w:r>
          </w:p>
        </w:tc>
        <w:tc>
          <w:tcPr>
            <w:tcW w:w="1595" w:type="dxa"/>
          </w:tcPr>
          <w:p w14:paraId="2C3BD613" w14:textId="23A131B3" w:rsidR="007B1E8A" w:rsidRDefault="007B1E8A" w:rsidP="007B1E8A">
            <w:pPr>
              <w:rPr>
                <w:lang w:val="en-US"/>
              </w:rPr>
            </w:pPr>
            <w:r>
              <w:t>0,75</w:t>
            </w:r>
          </w:p>
        </w:tc>
        <w:tc>
          <w:tcPr>
            <w:tcW w:w="1915" w:type="dxa"/>
          </w:tcPr>
          <w:p w14:paraId="0E905A44" w14:textId="79FC6D93" w:rsidR="007B1E8A" w:rsidRDefault="007B1E8A" w:rsidP="007B1E8A">
            <w:pPr>
              <w:rPr>
                <w:lang w:val="en-US"/>
              </w:rPr>
            </w:pPr>
            <w:r>
              <w:t>1,5</w:t>
            </w:r>
          </w:p>
        </w:tc>
        <w:tc>
          <w:tcPr>
            <w:tcW w:w="1915" w:type="dxa"/>
          </w:tcPr>
          <w:p w14:paraId="52E3A17E" w14:textId="6404A087" w:rsidR="007B1E8A" w:rsidRDefault="007B1E8A" w:rsidP="007B1E8A">
            <w:pPr>
              <w:rPr>
                <w:lang w:val="en-US"/>
              </w:rPr>
            </w:pPr>
            <w:r>
              <w:t>2,25</w:t>
            </w:r>
          </w:p>
        </w:tc>
        <w:tc>
          <w:tcPr>
            <w:tcW w:w="1916" w:type="dxa"/>
          </w:tcPr>
          <w:p w14:paraId="01B740DC" w14:textId="208F4C43" w:rsidR="007B1E8A" w:rsidRDefault="007B1E8A" w:rsidP="007B1E8A">
            <w:pPr>
              <w:rPr>
                <w:lang w:val="en-US"/>
              </w:rPr>
            </w:pPr>
            <w:r>
              <w:t>3,0</w:t>
            </w:r>
          </w:p>
        </w:tc>
      </w:tr>
      <w:tr w:rsidR="007B1E8A" w14:paraId="2F8ED91C" w14:textId="77777777" w:rsidTr="007B1E8A">
        <w:tc>
          <w:tcPr>
            <w:tcW w:w="2235" w:type="dxa"/>
          </w:tcPr>
          <w:p w14:paraId="23E0691F" w14:textId="346D6B6D" w:rsidR="007B1E8A" w:rsidRDefault="007B1E8A" w:rsidP="007B1E8A">
            <w:pPr>
              <w:rPr>
                <w:lang w:val="en-US"/>
              </w:rPr>
            </w:pPr>
            <w:r>
              <w:t>60</w:t>
            </w:r>
          </w:p>
        </w:tc>
        <w:tc>
          <w:tcPr>
            <w:tcW w:w="1595" w:type="dxa"/>
          </w:tcPr>
          <w:p w14:paraId="732D8BF9" w14:textId="64BEFA34" w:rsidR="007B1E8A" w:rsidRDefault="007B1E8A" w:rsidP="007B1E8A">
            <w:pPr>
              <w:rPr>
                <w:lang w:val="en-US"/>
              </w:rPr>
            </w:pPr>
            <w:r>
              <w:t>0,90</w:t>
            </w:r>
          </w:p>
        </w:tc>
        <w:tc>
          <w:tcPr>
            <w:tcW w:w="1915" w:type="dxa"/>
          </w:tcPr>
          <w:p w14:paraId="355FB4C3" w14:textId="0D919348" w:rsidR="007B1E8A" w:rsidRDefault="007B1E8A" w:rsidP="007B1E8A">
            <w:pPr>
              <w:rPr>
                <w:lang w:val="en-US"/>
              </w:rPr>
            </w:pPr>
            <w:r>
              <w:t>1,8</w:t>
            </w:r>
          </w:p>
        </w:tc>
        <w:tc>
          <w:tcPr>
            <w:tcW w:w="1915" w:type="dxa"/>
          </w:tcPr>
          <w:p w14:paraId="33A6667F" w14:textId="24CBE456" w:rsidR="007B1E8A" w:rsidRDefault="007B1E8A" w:rsidP="007B1E8A">
            <w:pPr>
              <w:rPr>
                <w:lang w:val="en-US"/>
              </w:rPr>
            </w:pPr>
            <w:r>
              <w:t>2,70</w:t>
            </w:r>
          </w:p>
        </w:tc>
        <w:tc>
          <w:tcPr>
            <w:tcW w:w="1916" w:type="dxa"/>
          </w:tcPr>
          <w:p w14:paraId="11B6DED2" w14:textId="3D036D0B" w:rsidR="007B1E8A" w:rsidRDefault="007B1E8A" w:rsidP="007B1E8A">
            <w:pPr>
              <w:rPr>
                <w:lang w:val="en-US"/>
              </w:rPr>
            </w:pPr>
            <w:r>
              <w:t>3,6</w:t>
            </w:r>
          </w:p>
        </w:tc>
      </w:tr>
      <w:tr w:rsidR="007B1E8A" w14:paraId="23FA5386" w14:textId="77777777" w:rsidTr="007B1E8A">
        <w:tc>
          <w:tcPr>
            <w:tcW w:w="2235" w:type="dxa"/>
          </w:tcPr>
          <w:p w14:paraId="162BD134" w14:textId="477B0282" w:rsidR="007B1E8A" w:rsidRDefault="007B1E8A" w:rsidP="007B1E8A">
            <w:pPr>
              <w:rPr>
                <w:lang w:val="en-US"/>
              </w:rPr>
            </w:pPr>
            <w:r>
              <w:t>70</w:t>
            </w:r>
          </w:p>
        </w:tc>
        <w:tc>
          <w:tcPr>
            <w:tcW w:w="1595" w:type="dxa"/>
          </w:tcPr>
          <w:p w14:paraId="2A057D0D" w14:textId="551C01F4" w:rsidR="007B1E8A" w:rsidRDefault="007B1E8A" w:rsidP="007B1E8A">
            <w:pPr>
              <w:rPr>
                <w:lang w:val="en-US"/>
              </w:rPr>
            </w:pPr>
            <w:r>
              <w:t>1,05</w:t>
            </w:r>
          </w:p>
        </w:tc>
        <w:tc>
          <w:tcPr>
            <w:tcW w:w="1915" w:type="dxa"/>
          </w:tcPr>
          <w:p w14:paraId="2F9B284D" w14:textId="2E83C77B" w:rsidR="007B1E8A" w:rsidRDefault="007B1E8A" w:rsidP="007B1E8A">
            <w:pPr>
              <w:rPr>
                <w:lang w:val="en-US"/>
              </w:rPr>
            </w:pPr>
            <w:r>
              <w:t>2,1</w:t>
            </w:r>
          </w:p>
        </w:tc>
        <w:tc>
          <w:tcPr>
            <w:tcW w:w="1915" w:type="dxa"/>
          </w:tcPr>
          <w:p w14:paraId="6E65DDDF" w14:textId="10888B5C" w:rsidR="007B1E8A" w:rsidRDefault="007B1E8A" w:rsidP="007B1E8A">
            <w:pPr>
              <w:rPr>
                <w:lang w:val="en-US"/>
              </w:rPr>
            </w:pPr>
            <w:r>
              <w:t>3,15</w:t>
            </w:r>
          </w:p>
        </w:tc>
        <w:tc>
          <w:tcPr>
            <w:tcW w:w="1916" w:type="dxa"/>
          </w:tcPr>
          <w:p w14:paraId="54FDB44A" w14:textId="6156FB72" w:rsidR="007B1E8A" w:rsidRDefault="007B1E8A" w:rsidP="007B1E8A">
            <w:pPr>
              <w:rPr>
                <w:lang w:val="en-US"/>
              </w:rPr>
            </w:pPr>
            <w:r>
              <w:t>4,2</w:t>
            </w:r>
          </w:p>
        </w:tc>
      </w:tr>
      <w:tr w:rsidR="007B1E8A" w14:paraId="52EC9BD7" w14:textId="77777777" w:rsidTr="007B1E8A">
        <w:tc>
          <w:tcPr>
            <w:tcW w:w="2235" w:type="dxa"/>
          </w:tcPr>
          <w:p w14:paraId="556310F2" w14:textId="60F93900" w:rsidR="007B1E8A" w:rsidRDefault="007B1E8A" w:rsidP="007B1E8A">
            <w:pPr>
              <w:rPr>
                <w:lang w:val="en-US"/>
              </w:rPr>
            </w:pPr>
            <w:r>
              <w:t>80</w:t>
            </w:r>
          </w:p>
        </w:tc>
        <w:tc>
          <w:tcPr>
            <w:tcW w:w="1595" w:type="dxa"/>
          </w:tcPr>
          <w:p w14:paraId="548E08E0" w14:textId="540CA71D" w:rsidR="007B1E8A" w:rsidRDefault="007B1E8A" w:rsidP="007B1E8A">
            <w:pPr>
              <w:rPr>
                <w:lang w:val="en-US"/>
              </w:rPr>
            </w:pPr>
            <w:r>
              <w:t>1,20</w:t>
            </w:r>
          </w:p>
        </w:tc>
        <w:tc>
          <w:tcPr>
            <w:tcW w:w="1915" w:type="dxa"/>
          </w:tcPr>
          <w:p w14:paraId="67F767F8" w14:textId="0473F5E1" w:rsidR="007B1E8A" w:rsidRDefault="007B1E8A" w:rsidP="007B1E8A">
            <w:pPr>
              <w:rPr>
                <w:lang w:val="en-US"/>
              </w:rPr>
            </w:pPr>
            <w:r>
              <w:t>2,4</w:t>
            </w:r>
          </w:p>
        </w:tc>
        <w:tc>
          <w:tcPr>
            <w:tcW w:w="1915" w:type="dxa"/>
          </w:tcPr>
          <w:p w14:paraId="195C72D5" w14:textId="6FAC7341" w:rsidR="007B1E8A" w:rsidRDefault="007B1E8A" w:rsidP="007B1E8A">
            <w:pPr>
              <w:rPr>
                <w:lang w:val="en-US"/>
              </w:rPr>
            </w:pPr>
            <w:r>
              <w:t>3,60</w:t>
            </w:r>
          </w:p>
        </w:tc>
        <w:tc>
          <w:tcPr>
            <w:tcW w:w="1916" w:type="dxa"/>
          </w:tcPr>
          <w:p w14:paraId="0AAE11C6" w14:textId="45CE7F7F" w:rsidR="007B1E8A" w:rsidRDefault="007B1E8A" w:rsidP="007B1E8A">
            <w:pPr>
              <w:rPr>
                <w:lang w:val="en-US"/>
              </w:rPr>
            </w:pPr>
            <w:r>
              <w:t>4,8</w:t>
            </w:r>
          </w:p>
        </w:tc>
      </w:tr>
      <w:tr w:rsidR="007B1E8A" w14:paraId="53BBDE38" w14:textId="77777777" w:rsidTr="007B1E8A">
        <w:tc>
          <w:tcPr>
            <w:tcW w:w="2235" w:type="dxa"/>
          </w:tcPr>
          <w:p w14:paraId="5A2368D0" w14:textId="1DFE00C8" w:rsidR="007B1E8A" w:rsidRDefault="007B1E8A" w:rsidP="007B1E8A">
            <w:pPr>
              <w:rPr>
                <w:lang w:val="en-US"/>
              </w:rPr>
            </w:pPr>
            <w:r>
              <w:t>90</w:t>
            </w:r>
          </w:p>
        </w:tc>
        <w:tc>
          <w:tcPr>
            <w:tcW w:w="1595" w:type="dxa"/>
          </w:tcPr>
          <w:p w14:paraId="1B78C802" w14:textId="3470C3BC" w:rsidR="007B1E8A" w:rsidRDefault="007B1E8A" w:rsidP="007B1E8A">
            <w:pPr>
              <w:rPr>
                <w:lang w:val="en-US"/>
              </w:rPr>
            </w:pPr>
            <w:r>
              <w:t>1,35</w:t>
            </w:r>
          </w:p>
        </w:tc>
        <w:tc>
          <w:tcPr>
            <w:tcW w:w="1915" w:type="dxa"/>
          </w:tcPr>
          <w:p w14:paraId="039DC368" w14:textId="6511DD49" w:rsidR="007B1E8A" w:rsidRDefault="007B1E8A" w:rsidP="007B1E8A">
            <w:pPr>
              <w:rPr>
                <w:lang w:val="en-US"/>
              </w:rPr>
            </w:pPr>
            <w:r>
              <w:t>2,7</w:t>
            </w:r>
          </w:p>
        </w:tc>
        <w:tc>
          <w:tcPr>
            <w:tcW w:w="1915" w:type="dxa"/>
          </w:tcPr>
          <w:p w14:paraId="565E159E" w14:textId="79631920" w:rsidR="007B1E8A" w:rsidRDefault="007B1E8A" w:rsidP="007B1E8A">
            <w:pPr>
              <w:rPr>
                <w:lang w:val="en-US"/>
              </w:rPr>
            </w:pPr>
            <w:r>
              <w:t>4,05</w:t>
            </w:r>
          </w:p>
        </w:tc>
        <w:tc>
          <w:tcPr>
            <w:tcW w:w="1916" w:type="dxa"/>
          </w:tcPr>
          <w:p w14:paraId="72702803" w14:textId="69C7D822" w:rsidR="007B1E8A" w:rsidRDefault="007B1E8A" w:rsidP="007B1E8A">
            <w:pPr>
              <w:rPr>
                <w:lang w:val="en-US"/>
              </w:rPr>
            </w:pPr>
            <w:r>
              <w:t>5,4</w:t>
            </w:r>
          </w:p>
        </w:tc>
      </w:tr>
      <w:tr w:rsidR="007B1E8A" w14:paraId="2445898D" w14:textId="77777777" w:rsidTr="007B1E8A">
        <w:tc>
          <w:tcPr>
            <w:tcW w:w="2235" w:type="dxa"/>
          </w:tcPr>
          <w:p w14:paraId="6948F02B" w14:textId="32BB85C4" w:rsidR="007B1E8A" w:rsidRDefault="007B1E8A" w:rsidP="007B1E8A">
            <w:pPr>
              <w:rPr>
                <w:lang w:val="en-US"/>
              </w:rPr>
            </w:pPr>
            <w:r>
              <w:t>100</w:t>
            </w:r>
          </w:p>
        </w:tc>
        <w:tc>
          <w:tcPr>
            <w:tcW w:w="1595" w:type="dxa"/>
          </w:tcPr>
          <w:p w14:paraId="2E329C0E" w14:textId="5F077BE1" w:rsidR="007B1E8A" w:rsidRDefault="007B1E8A" w:rsidP="007B1E8A">
            <w:pPr>
              <w:rPr>
                <w:lang w:val="en-US"/>
              </w:rPr>
            </w:pPr>
            <w:r>
              <w:t>1,50</w:t>
            </w:r>
          </w:p>
        </w:tc>
        <w:tc>
          <w:tcPr>
            <w:tcW w:w="1915" w:type="dxa"/>
          </w:tcPr>
          <w:p w14:paraId="66999748" w14:textId="3D28521C" w:rsidR="007B1E8A" w:rsidRDefault="007B1E8A" w:rsidP="007B1E8A">
            <w:pPr>
              <w:rPr>
                <w:lang w:val="en-US"/>
              </w:rPr>
            </w:pPr>
            <w:r>
              <w:t>3,0</w:t>
            </w:r>
          </w:p>
        </w:tc>
        <w:tc>
          <w:tcPr>
            <w:tcW w:w="1915" w:type="dxa"/>
          </w:tcPr>
          <w:p w14:paraId="2D4D88F6" w14:textId="4EE2E12D" w:rsidR="007B1E8A" w:rsidRDefault="007B1E8A" w:rsidP="007B1E8A">
            <w:pPr>
              <w:rPr>
                <w:lang w:val="en-US"/>
              </w:rPr>
            </w:pPr>
            <w:r>
              <w:t>4,50</w:t>
            </w:r>
          </w:p>
        </w:tc>
        <w:tc>
          <w:tcPr>
            <w:tcW w:w="1916" w:type="dxa"/>
          </w:tcPr>
          <w:p w14:paraId="128C1D1C" w14:textId="70E54F7D" w:rsidR="007B1E8A" w:rsidRDefault="007B1E8A" w:rsidP="007B1E8A">
            <w:pPr>
              <w:rPr>
                <w:lang w:val="en-US"/>
              </w:rPr>
            </w:pPr>
            <w:r>
              <w:t>6,0</w:t>
            </w:r>
          </w:p>
        </w:tc>
      </w:tr>
      <w:tr w:rsidR="007B1E8A" w14:paraId="7ED92DE7" w14:textId="77777777" w:rsidTr="007B1E8A">
        <w:tc>
          <w:tcPr>
            <w:tcW w:w="2235" w:type="dxa"/>
          </w:tcPr>
          <w:p w14:paraId="1ABA998D" w14:textId="28276DF1" w:rsidR="007B1E8A" w:rsidRDefault="007B1E8A" w:rsidP="007B1E8A">
            <w:pPr>
              <w:rPr>
                <w:lang w:val="en-US"/>
              </w:rPr>
            </w:pPr>
            <w:r>
              <w:t>110</w:t>
            </w:r>
          </w:p>
        </w:tc>
        <w:tc>
          <w:tcPr>
            <w:tcW w:w="1595" w:type="dxa"/>
          </w:tcPr>
          <w:p w14:paraId="03A179F6" w14:textId="0BB17006" w:rsidR="007B1E8A" w:rsidRDefault="007B1E8A" w:rsidP="007B1E8A">
            <w:pPr>
              <w:rPr>
                <w:lang w:val="en-US"/>
              </w:rPr>
            </w:pPr>
            <w:r>
              <w:t>1,65</w:t>
            </w:r>
          </w:p>
        </w:tc>
        <w:tc>
          <w:tcPr>
            <w:tcW w:w="1915" w:type="dxa"/>
          </w:tcPr>
          <w:p w14:paraId="64D08DA2" w14:textId="312355DF" w:rsidR="007B1E8A" w:rsidRDefault="007B1E8A" w:rsidP="007B1E8A">
            <w:pPr>
              <w:rPr>
                <w:lang w:val="en-US"/>
              </w:rPr>
            </w:pPr>
            <w:r>
              <w:t>3,3</w:t>
            </w:r>
          </w:p>
        </w:tc>
        <w:tc>
          <w:tcPr>
            <w:tcW w:w="1915" w:type="dxa"/>
          </w:tcPr>
          <w:p w14:paraId="2FD673B1" w14:textId="33A20EA0" w:rsidR="007B1E8A" w:rsidRDefault="007B1E8A" w:rsidP="007B1E8A">
            <w:pPr>
              <w:rPr>
                <w:lang w:val="en-US"/>
              </w:rPr>
            </w:pPr>
            <w:r>
              <w:t>4,95</w:t>
            </w:r>
          </w:p>
        </w:tc>
        <w:tc>
          <w:tcPr>
            <w:tcW w:w="1916" w:type="dxa"/>
          </w:tcPr>
          <w:p w14:paraId="51212019" w14:textId="6B17D5F5" w:rsidR="007B1E8A" w:rsidRDefault="007B1E8A" w:rsidP="007B1E8A">
            <w:pPr>
              <w:rPr>
                <w:lang w:val="en-US"/>
              </w:rPr>
            </w:pPr>
            <w:r>
              <w:t>6,6</w:t>
            </w:r>
          </w:p>
        </w:tc>
      </w:tr>
    </w:tbl>
    <w:p w14:paraId="7B44E9F6" w14:textId="77777777" w:rsidR="007B1E8A" w:rsidRDefault="007B1E8A" w:rsidP="007B1E8A">
      <w:pPr>
        <w:spacing w:line="240" w:lineRule="auto"/>
        <w:rPr>
          <w:rFonts w:ascii="Times New Roman" w:eastAsia="Times New Roman" w:hAnsi="Times New Roman" w:cs="Times New Roman"/>
          <w:color w:val="000000"/>
          <w:lang w:eastAsia="bg-BG"/>
        </w:rPr>
      </w:pPr>
    </w:p>
    <w:p w14:paraId="2A61585B" w14:textId="4FA80141"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 xml:space="preserve">Продължителността на лечението е до 4 седмици. Често при синдром на </w:t>
      </w:r>
      <w:proofErr w:type="spellStart"/>
      <w:r w:rsidRPr="007B1E8A">
        <w:rPr>
          <w:rFonts w:eastAsia="Times New Roman" w:cs="Arial"/>
          <w:color w:val="000000"/>
          <w:lang w:eastAsia="bg-BG"/>
        </w:rPr>
        <w:t>Рейно</w:t>
      </w:r>
      <w:proofErr w:type="spellEnd"/>
      <w:r w:rsidRPr="007B1E8A">
        <w:rPr>
          <w:rFonts w:eastAsia="Times New Roman" w:cs="Arial"/>
          <w:color w:val="000000"/>
          <w:lang w:eastAsia="bg-BG"/>
        </w:rPr>
        <w:t xml:space="preserve"> са достатъчни и по- кратки периоди на лечение (3 до 5 дни), за да се получи подобрение за няколко седмици.</w:t>
      </w:r>
    </w:p>
    <w:p w14:paraId="6A59C0AF" w14:textId="77777777" w:rsidR="007B1E8A" w:rsidRPr="007B1E8A" w:rsidRDefault="007B1E8A" w:rsidP="007B1E8A">
      <w:pPr>
        <w:spacing w:line="240" w:lineRule="auto"/>
        <w:rPr>
          <w:rFonts w:eastAsia="Times New Roman" w:cs="Arial"/>
          <w:color w:val="000000"/>
          <w:lang w:eastAsia="bg-BG"/>
        </w:rPr>
      </w:pPr>
    </w:p>
    <w:p w14:paraId="73875C3E" w14:textId="293B7DE7"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 xml:space="preserve">Непрекъснатата инфузия в продължение на няколко дни не се препоръчва поради възможността от развитие на </w:t>
      </w:r>
      <w:proofErr w:type="spellStart"/>
      <w:r w:rsidRPr="007B1E8A">
        <w:rPr>
          <w:rFonts w:eastAsia="Times New Roman" w:cs="Arial"/>
          <w:color w:val="000000"/>
          <w:lang w:eastAsia="bg-BG"/>
        </w:rPr>
        <w:t>тахифилаксия</w:t>
      </w:r>
      <w:proofErr w:type="spellEnd"/>
      <w:r w:rsidRPr="007B1E8A">
        <w:rPr>
          <w:rFonts w:eastAsia="Times New Roman" w:cs="Arial"/>
          <w:color w:val="000000"/>
          <w:lang w:eastAsia="bg-BG"/>
        </w:rPr>
        <w:t xml:space="preserve">, ефектите върху </w:t>
      </w:r>
      <w:proofErr w:type="spellStart"/>
      <w:r w:rsidRPr="007B1E8A">
        <w:rPr>
          <w:rFonts w:eastAsia="Times New Roman" w:cs="Arial"/>
          <w:color w:val="000000"/>
          <w:lang w:eastAsia="bg-BG"/>
        </w:rPr>
        <w:t>тромбоцитите</w:t>
      </w:r>
      <w:proofErr w:type="spellEnd"/>
      <w:r w:rsidRPr="007B1E8A">
        <w:rPr>
          <w:rFonts w:eastAsia="Times New Roman" w:cs="Arial"/>
          <w:color w:val="000000"/>
          <w:lang w:eastAsia="bg-BG"/>
        </w:rPr>
        <w:t xml:space="preserve"> и възможността от </w:t>
      </w:r>
      <w:r w:rsidRPr="007B1E8A">
        <w:rPr>
          <w:rFonts w:eastAsia="Times New Roman" w:cs="Arial"/>
          <w:color w:val="000000"/>
          <w:lang w:val="en-US"/>
        </w:rPr>
        <w:t xml:space="preserve">“rebound” </w:t>
      </w:r>
      <w:r w:rsidRPr="007B1E8A">
        <w:rPr>
          <w:rFonts w:eastAsia="Times New Roman" w:cs="Arial"/>
          <w:color w:val="000000"/>
          <w:lang w:eastAsia="bg-BG"/>
        </w:rPr>
        <w:t xml:space="preserve">хиперагрегация на </w:t>
      </w:r>
      <w:proofErr w:type="spellStart"/>
      <w:r w:rsidRPr="007B1E8A">
        <w:rPr>
          <w:rFonts w:eastAsia="Times New Roman" w:cs="Arial"/>
          <w:color w:val="000000"/>
          <w:lang w:eastAsia="bg-BG"/>
        </w:rPr>
        <w:t>тромбоцитите</w:t>
      </w:r>
      <w:proofErr w:type="spellEnd"/>
      <w:r w:rsidRPr="007B1E8A">
        <w:rPr>
          <w:rFonts w:eastAsia="Times New Roman" w:cs="Arial"/>
          <w:color w:val="000000"/>
          <w:lang w:eastAsia="bg-BG"/>
        </w:rPr>
        <w:t xml:space="preserve"> в края на лечението, въпреки че не се съобщава за клинични усложнения, свързани с тези феномени.</w:t>
      </w:r>
    </w:p>
    <w:p w14:paraId="67119985" w14:textId="77777777" w:rsidR="007B1E8A" w:rsidRPr="007B1E8A" w:rsidRDefault="007B1E8A" w:rsidP="007B1E8A">
      <w:pPr>
        <w:spacing w:line="240" w:lineRule="auto"/>
        <w:rPr>
          <w:rFonts w:eastAsia="Times New Roman" w:cs="Arial"/>
          <w:color w:val="000000"/>
          <w:lang w:eastAsia="bg-BG"/>
        </w:rPr>
      </w:pPr>
    </w:p>
    <w:p w14:paraId="2AEAB7C7" w14:textId="2B5338F5" w:rsidR="007B1E8A" w:rsidRPr="007B1E8A" w:rsidRDefault="007B1E8A" w:rsidP="007B1E8A">
      <w:pPr>
        <w:pStyle w:val="ListParagraph"/>
        <w:numPr>
          <w:ilvl w:val="0"/>
          <w:numId w:val="26"/>
        </w:numPr>
        <w:spacing w:line="240" w:lineRule="auto"/>
        <w:rPr>
          <w:rFonts w:eastAsia="Times New Roman" w:cs="Arial"/>
          <w:sz w:val="24"/>
          <w:szCs w:val="24"/>
        </w:rPr>
      </w:pPr>
      <w:r w:rsidRPr="007B1E8A">
        <w:rPr>
          <w:rFonts w:eastAsia="Times New Roman" w:cs="Arial"/>
          <w:color w:val="000000"/>
          <w:lang w:eastAsia="bg-BG"/>
        </w:rPr>
        <w:t>Пациенти с бъбречно или чернодробно увреждане</w:t>
      </w:r>
    </w:p>
    <w:p w14:paraId="5F7C3768" w14:textId="77777777" w:rsidR="007B1E8A" w:rsidRPr="007B1E8A" w:rsidRDefault="007B1E8A" w:rsidP="007B1E8A">
      <w:pPr>
        <w:spacing w:line="240" w:lineRule="auto"/>
        <w:rPr>
          <w:rFonts w:eastAsia="Times New Roman" w:cs="Arial"/>
          <w:color w:val="000000"/>
          <w:lang w:eastAsia="bg-BG"/>
        </w:rPr>
      </w:pPr>
    </w:p>
    <w:p w14:paraId="09990D83" w14:textId="1DD069EC"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 xml:space="preserve">Трябва да се има предвид, че при пациентите е бъбречна недостатъчност, изискваща диализа, и при пациентите с чернодробна цироза елиминирането на </w:t>
      </w:r>
      <w:proofErr w:type="spellStart"/>
      <w:r w:rsidRPr="007B1E8A">
        <w:rPr>
          <w:rFonts w:eastAsia="Times New Roman" w:cs="Arial"/>
          <w:color w:val="000000"/>
          <w:lang w:eastAsia="bg-BG"/>
        </w:rPr>
        <w:t>илопрост</w:t>
      </w:r>
      <w:proofErr w:type="spellEnd"/>
      <w:r w:rsidRPr="007B1E8A">
        <w:rPr>
          <w:rFonts w:eastAsia="Times New Roman" w:cs="Arial"/>
          <w:color w:val="000000"/>
          <w:lang w:eastAsia="bg-BG"/>
        </w:rPr>
        <w:t xml:space="preserve"> е намалено. При такива пациенти е наложително понижение на дозата (напр. половината от препоръчаната доза).</w:t>
      </w:r>
    </w:p>
    <w:p w14:paraId="2F2F3581" w14:textId="77777777" w:rsidR="007B1E8A" w:rsidRPr="005559A0" w:rsidRDefault="007B1E8A" w:rsidP="005559A0">
      <w:pPr>
        <w:rPr>
          <w:lang w:val="en-US"/>
        </w:rPr>
      </w:pPr>
    </w:p>
    <w:p w14:paraId="1A261012" w14:textId="348CE578" w:rsidR="003765DC" w:rsidRDefault="002C50EE" w:rsidP="002B3C38">
      <w:pPr>
        <w:pStyle w:val="Heading2"/>
      </w:pPr>
      <w:r>
        <w:t>4.3. Противопоказания</w:t>
      </w:r>
    </w:p>
    <w:p w14:paraId="2F6159A8" w14:textId="77777777" w:rsidR="007B1E8A" w:rsidRDefault="007B1E8A" w:rsidP="007B1E8A">
      <w:pPr>
        <w:spacing w:line="240" w:lineRule="auto"/>
        <w:rPr>
          <w:rFonts w:ascii="Times New Roman" w:eastAsia="Times New Roman" w:hAnsi="Times New Roman" w:cs="Times New Roman"/>
          <w:color w:val="000000"/>
          <w:lang w:eastAsia="bg-BG"/>
        </w:rPr>
      </w:pPr>
    </w:p>
    <w:p w14:paraId="758C44B5" w14:textId="25610703" w:rsidR="007B1E8A" w:rsidRPr="007B1E8A" w:rsidRDefault="007B1E8A" w:rsidP="007B1E8A">
      <w:pPr>
        <w:pStyle w:val="ListParagraph"/>
        <w:numPr>
          <w:ilvl w:val="0"/>
          <w:numId w:val="27"/>
        </w:numPr>
        <w:rPr>
          <w:sz w:val="24"/>
          <w:szCs w:val="24"/>
        </w:rPr>
      </w:pPr>
      <w:r w:rsidRPr="007B1E8A">
        <w:rPr>
          <w:lang w:eastAsia="bg-BG"/>
        </w:rPr>
        <w:t>Бременност</w:t>
      </w:r>
    </w:p>
    <w:p w14:paraId="2134CE44" w14:textId="77777777" w:rsidR="007B1E8A" w:rsidRPr="007B1E8A" w:rsidRDefault="007B1E8A" w:rsidP="007B1E8A">
      <w:pPr>
        <w:pStyle w:val="ListParagraph"/>
        <w:numPr>
          <w:ilvl w:val="0"/>
          <w:numId w:val="27"/>
        </w:numPr>
        <w:rPr>
          <w:sz w:val="24"/>
          <w:szCs w:val="24"/>
        </w:rPr>
      </w:pPr>
      <w:r w:rsidRPr="007B1E8A">
        <w:rPr>
          <w:lang w:eastAsia="bg-BG"/>
        </w:rPr>
        <w:lastRenderedPageBreak/>
        <w:t>Кърмене</w:t>
      </w:r>
    </w:p>
    <w:p w14:paraId="01D9B995" w14:textId="77777777" w:rsidR="007B1E8A" w:rsidRPr="007B1E8A" w:rsidRDefault="007B1E8A" w:rsidP="007B1E8A">
      <w:pPr>
        <w:pStyle w:val="ListParagraph"/>
        <w:numPr>
          <w:ilvl w:val="0"/>
          <w:numId w:val="27"/>
        </w:numPr>
        <w:rPr>
          <w:sz w:val="24"/>
          <w:szCs w:val="24"/>
        </w:rPr>
      </w:pPr>
      <w:r w:rsidRPr="007B1E8A">
        <w:rPr>
          <w:lang w:eastAsia="bg-BG"/>
        </w:rPr>
        <w:t xml:space="preserve">Състояния, при които ефектите на </w:t>
      </w:r>
      <w:proofErr w:type="spellStart"/>
      <w:r w:rsidRPr="007B1E8A">
        <w:rPr>
          <w:lang w:eastAsia="bg-BG"/>
        </w:rPr>
        <w:t>Иломедин</w:t>
      </w:r>
      <w:proofErr w:type="spellEnd"/>
      <w:r w:rsidRPr="007B1E8A">
        <w:rPr>
          <w:lang w:eastAsia="bg-BG"/>
        </w:rPr>
        <w:t xml:space="preserve"> върху </w:t>
      </w:r>
      <w:proofErr w:type="spellStart"/>
      <w:r w:rsidRPr="007B1E8A">
        <w:rPr>
          <w:lang w:eastAsia="bg-BG"/>
        </w:rPr>
        <w:t>тромбоцитите</w:t>
      </w:r>
      <w:proofErr w:type="spellEnd"/>
      <w:r w:rsidRPr="007B1E8A">
        <w:rPr>
          <w:lang w:eastAsia="bg-BG"/>
        </w:rPr>
        <w:t xml:space="preserve"> могат да увеличат риска от хеморагия (напр. активни </w:t>
      </w:r>
      <w:proofErr w:type="spellStart"/>
      <w:r w:rsidRPr="007B1E8A">
        <w:rPr>
          <w:lang w:eastAsia="bg-BG"/>
        </w:rPr>
        <w:t>пептични</w:t>
      </w:r>
      <w:proofErr w:type="spellEnd"/>
      <w:r w:rsidRPr="007B1E8A">
        <w:rPr>
          <w:lang w:eastAsia="bg-BG"/>
        </w:rPr>
        <w:t xml:space="preserve"> язви, травма, </w:t>
      </w:r>
      <w:proofErr w:type="spellStart"/>
      <w:r w:rsidRPr="007B1E8A">
        <w:rPr>
          <w:lang w:eastAsia="bg-BG"/>
        </w:rPr>
        <w:t>интракраниален</w:t>
      </w:r>
      <w:proofErr w:type="spellEnd"/>
      <w:r w:rsidRPr="007B1E8A">
        <w:rPr>
          <w:lang w:eastAsia="bg-BG"/>
        </w:rPr>
        <w:t xml:space="preserve"> кръвоизлив)</w:t>
      </w:r>
    </w:p>
    <w:p w14:paraId="18B1496C" w14:textId="77777777" w:rsidR="007B1E8A" w:rsidRPr="007B1E8A" w:rsidRDefault="007B1E8A" w:rsidP="007B1E8A">
      <w:pPr>
        <w:pStyle w:val="ListParagraph"/>
        <w:numPr>
          <w:ilvl w:val="0"/>
          <w:numId w:val="27"/>
        </w:numPr>
        <w:rPr>
          <w:sz w:val="24"/>
          <w:szCs w:val="24"/>
        </w:rPr>
      </w:pPr>
      <w:r w:rsidRPr="007B1E8A">
        <w:rPr>
          <w:lang w:eastAsia="bg-BG"/>
        </w:rPr>
        <w:t>Тежко сърдечно коронарно заболяване или нестабилна стенокардия</w:t>
      </w:r>
    </w:p>
    <w:p w14:paraId="645A61DE" w14:textId="77777777" w:rsidR="007B1E8A" w:rsidRPr="007B1E8A" w:rsidRDefault="007B1E8A" w:rsidP="007B1E8A">
      <w:pPr>
        <w:pStyle w:val="ListParagraph"/>
        <w:numPr>
          <w:ilvl w:val="0"/>
          <w:numId w:val="27"/>
        </w:numPr>
        <w:rPr>
          <w:sz w:val="24"/>
          <w:szCs w:val="24"/>
        </w:rPr>
      </w:pPr>
      <w:r w:rsidRPr="007B1E8A">
        <w:rPr>
          <w:lang w:eastAsia="bg-BG"/>
        </w:rPr>
        <w:t>Инфаркт на миокарда в последните 6 месеца</w:t>
      </w:r>
    </w:p>
    <w:p w14:paraId="7A6963E0" w14:textId="77777777" w:rsidR="007B1E8A" w:rsidRPr="007B1E8A" w:rsidRDefault="007B1E8A" w:rsidP="007B1E8A">
      <w:pPr>
        <w:pStyle w:val="ListParagraph"/>
        <w:numPr>
          <w:ilvl w:val="0"/>
          <w:numId w:val="27"/>
        </w:numPr>
        <w:rPr>
          <w:sz w:val="24"/>
          <w:szCs w:val="24"/>
        </w:rPr>
      </w:pPr>
      <w:r w:rsidRPr="007B1E8A">
        <w:rPr>
          <w:lang w:eastAsia="bg-BG"/>
        </w:rPr>
        <w:t xml:space="preserve">Остра или хронична застойна сърдечна недостатъчност </w:t>
      </w:r>
      <w:r w:rsidRPr="007B1E8A">
        <w:rPr>
          <w:lang w:val="en-US"/>
        </w:rPr>
        <w:t xml:space="preserve">(NYHA II-IV </w:t>
      </w:r>
      <w:r w:rsidRPr="007B1E8A">
        <w:rPr>
          <w:lang w:eastAsia="bg-BG"/>
        </w:rPr>
        <w:t>клас)</w:t>
      </w:r>
    </w:p>
    <w:p w14:paraId="38298D99" w14:textId="77777777" w:rsidR="007B1E8A" w:rsidRPr="007B1E8A" w:rsidRDefault="007B1E8A" w:rsidP="007B1E8A">
      <w:pPr>
        <w:pStyle w:val="ListParagraph"/>
        <w:numPr>
          <w:ilvl w:val="0"/>
          <w:numId w:val="27"/>
        </w:numPr>
        <w:rPr>
          <w:sz w:val="24"/>
          <w:szCs w:val="24"/>
        </w:rPr>
      </w:pPr>
      <w:r w:rsidRPr="007B1E8A">
        <w:rPr>
          <w:lang w:eastAsia="bg-BG"/>
        </w:rPr>
        <w:t>Тежки аритмии</w:t>
      </w:r>
    </w:p>
    <w:p w14:paraId="2D29FEED" w14:textId="77777777" w:rsidR="007B1E8A" w:rsidRPr="007B1E8A" w:rsidRDefault="007B1E8A" w:rsidP="007B1E8A">
      <w:pPr>
        <w:pStyle w:val="ListParagraph"/>
        <w:numPr>
          <w:ilvl w:val="0"/>
          <w:numId w:val="27"/>
        </w:numPr>
        <w:rPr>
          <w:sz w:val="24"/>
          <w:szCs w:val="24"/>
        </w:rPr>
      </w:pPr>
      <w:r w:rsidRPr="007B1E8A">
        <w:rPr>
          <w:lang w:eastAsia="bg-BG"/>
        </w:rPr>
        <w:t>Съмнение за белодробен застой;</w:t>
      </w:r>
    </w:p>
    <w:p w14:paraId="12F86EDD" w14:textId="77777777" w:rsidR="007B1E8A" w:rsidRDefault="007B1E8A" w:rsidP="007B1E8A">
      <w:pPr>
        <w:rPr>
          <w:lang w:eastAsia="bg-BG"/>
        </w:rPr>
      </w:pPr>
    </w:p>
    <w:p w14:paraId="3F25837E" w14:textId="44B9477D" w:rsidR="007B1E8A" w:rsidRPr="007B1E8A" w:rsidRDefault="007B1E8A" w:rsidP="007B1E8A">
      <w:pPr>
        <w:rPr>
          <w:sz w:val="24"/>
          <w:szCs w:val="24"/>
        </w:rPr>
      </w:pPr>
      <w:r w:rsidRPr="007B1E8A">
        <w:rPr>
          <w:lang w:eastAsia="bg-BG"/>
        </w:rPr>
        <w:t>Свръхчувствителност към активното вещество или към някое от помощните вещества, изброени в точка 6.1.</w:t>
      </w:r>
    </w:p>
    <w:p w14:paraId="1C4C0490" w14:textId="77777777" w:rsidR="007B1E8A" w:rsidRPr="007B1E8A" w:rsidRDefault="007B1E8A" w:rsidP="007B1E8A"/>
    <w:p w14:paraId="5EF6E7D6" w14:textId="1D06707C" w:rsidR="003765DC" w:rsidRDefault="002C50EE" w:rsidP="002B3C38">
      <w:pPr>
        <w:pStyle w:val="Heading2"/>
      </w:pPr>
      <w:r>
        <w:t>4.4. Специални предупреждения и предпазни мерки при употреба</w:t>
      </w:r>
    </w:p>
    <w:p w14:paraId="15A0D722" w14:textId="77777777" w:rsidR="007B1E8A" w:rsidRDefault="007B1E8A" w:rsidP="007B1E8A">
      <w:pPr>
        <w:spacing w:line="240" w:lineRule="auto"/>
        <w:rPr>
          <w:rFonts w:ascii="Times New Roman" w:eastAsia="Times New Roman" w:hAnsi="Times New Roman" w:cs="Times New Roman"/>
          <w:b/>
          <w:bCs/>
          <w:color w:val="000000"/>
          <w:lang w:eastAsia="bg-BG"/>
        </w:rPr>
      </w:pPr>
      <w:bookmarkStart w:id="1" w:name="bookmark0"/>
    </w:p>
    <w:p w14:paraId="3DF5B03C" w14:textId="4ACC2B2A" w:rsidR="007B1E8A" w:rsidRPr="007B1E8A" w:rsidRDefault="007B1E8A" w:rsidP="007B1E8A">
      <w:pPr>
        <w:spacing w:line="240" w:lineRule="auto"/>
        <w:rPr>
          <w:rFonts w:eastAsia="Times New Roman" w:cs="Arial"/>
          <w:sz w:val="24"/>
          <w:szCs w:val="24"/>
        </w:rPr>
      </w:pPr>
      <w:r w:rsidRPr="007B1E8A">
        <w:rPr>
          <w:rFonts w:eastAsia="Times New Roman" w:cs="Arial"/>
          <w:b/>
          <w:bCs/>
          <w:color w:val="000000"/>
          <w:lang w:eastAsia="bg-BG"/>
        </w:rPr>
        <w:t>Специални предупреждения</w:t>
      </w:r>
      <w:bookmarkEnd w:id="1"/>
    </w:p>
    <w:p w14:paraId="375909BB" w14:textId="77777777" w:rsidR="007B1E8A" w:rsidRPr="007B1E8A" w:rsidRDefault="007B1E8A" w:rsidP="007B1E8A">
      <w:pPr>
        <w:spacing w:line="240" w:lineRule="auto"/>
        <w:rPr>
          <w:rFonts w:eastAsia="Times New Roman" w:cs="Arial"/>
          <w:color w:val="000000"/>
          <w:lang w:eastAsia="bg-BG"/>
        </w:rPr>
      </w:pPr>
    </w:p>
    <w:p w14:paraId="1576BC53" w14:textId="5669E3E7"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Не трябва да се отлага операцията при пациенти, нуждаещи се от неотложна ампутация (напр. при инфектирана гангрена).</w:t>
      </w:r>
    </w:p>
    <w:p w14:paraId="72B025D5" w14:textId="77777777" w:rsidR="007B1E8A" w:rsidRPr="007B1E8A" w:rsidRDefault="007B1E8A" w:rsidP="007B1E8A">
      <w:pPr>
        <w:spacing w:line="240" w:lineRule="auto"/>
        <w:rPr>
          <w:rFonts w:eastAsia="Times New Roman" w:cs="Arial"/>
          <w:color w:val="000000"/>
          <w:lang w:eastAsia="bg-BG"/>
        </w:rPr>
      </w:pPr>
    </w:p>
    <w:p w14:paraId="07237D6B" w14:textId="6DD72B97"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Пациентите трябва да бъдат уведомени, че се налага да прекратят пушенето.</w:t>
      </w:r>
    </w:p>
    <w:p w14:paraId="537105DD" w14:textId="77777777" w:rsidR="007B1E8A" w:rsidRPr="007B1E8A" w:rsidRDefault="007B1E8A" w:rsidP="007B1E8A">
      <w:pPr>
        <w:spacing w:line="240" w:lineRule="auto"/>
        <w:rPr>
          <w:rFonts w:eastAsia="Times New Roman" w:cs="Arial"/>
          <w:color w:val="000000"/>
          <w:lang w:eastAsia="bg-BG"/>
        </w:rPr>
      </w:pPr>
    </w:p>
    <w:p w14:paraId="778F2D5C" w14:textId="31FAD6B0" w:rsidR="007B1E8A" w:rsidRPr="007B1E8A" w:rsidRDefault="007B1E8A" w:rsidP="007B1E8A">
      <w:pPr>
        <w:spacing w:line="240" w:lineRule="auto"/>
        <w:rPr>
          <w:rFonts w:eastAsia="Times New Roman" w:cs="Arial"/>
          <w:color w:val="000000"/>
          <w:lang w:eastAsia="bg-BG"/>
        </w:rPr>
      </w:pPr>
      <w:r w:rsidRPr="007B1E8A">
        <w:rPr>
          <w:rFonts w:eastAsia="Times New Roman" w:cs="Arial"/>
          <w:color w:val="000000"/>
          <w:lang w:eastAsia="bg-BG"/>
        </w:rPr>
        <w:t xml:space="preserve">Елиминирането на </w:t>
      </w:r>
      <w:proofErr w:type="spellStart"/>
      <w:r w:rsidRPr="007B1E8A">
        <w:rPr>
          <w:rFonts w:eastAsia="Times New Roman" w:cs="Arial"/>
          <w:color w:val="000000"/>
          <w:lang w:eastAsia="bg-BG"/>
        </w:rPr>
        <w:t>илопрост</w:t>
      </w:r>
      <w:proofErr w:type="spellEnd"/>
      <w:r w:rsidRPr="007B1E8A">
        <w:rPr>
          <w:rFonts w:eastAsia="Times New Roman" w:cs="Arial"/>
          <w:color w:val="000000"/>
          <w:lang w:eastAsia="bg-BG"/>
        </w:rPr>
        <w:t xml:space="preserve"> е намалено при пациенти с чернодробна дисфункция и при пациенти с бъбречна недостатъчност, нуждаещи се от диализа (вж. 4.2 Дозировка и начин на приложение и 5.2 </w:t>
      </w:r>
      <w:proofErr w:type="spellStart"/>
      <w:r w:rsidRPr="007B1E8A">
        <w:rPr>
          <w:rFonts w:eastAsia="Times New Roman" w:cs="Arial"/>
          <w:color w:val="000000"/>
          <w:lang w:eastAsia="bg-BG"/>
        </w:rPr>
        <w:t>Фармакокинетични</w:t>
      </w:r>
      <w:proofErr w:type="spellEnd"/>
      <w:r w:rsidRPr="007B1E8A">
        <w:rPr>
          <w:rFonts w:eastAsia="Times New Roman" w:cs="Arial"/>
          <w:color w:val="000000"/>
          <w:lang w:eastAsia="bg-BG"/>
        </w:rPr>
        <w:t xml:space="preserve"> свойства).</w:t>
      </w:r>
    </w:p>
    <w:p w14:paraId="7F0AEAE3" w14:textId="60E1F535" w:rsidR="007B1E8A" w:rsidRPr="007B1E8A" w:rsidRDefault="007B1E8A" w:rsidP="007B1E8A">
      <w:pPr>
        <w:spacing w:line="240" w:lineRule="auto"/>
        <w:rPr>
          <w:rFonts w:eastAsia="Times New Roman" w:cs="Arial"/>
          <w:color w:val="000000"/>
          <w:lang w:eastAsia="bg-BG"/>
        </w:rPr>
      </w:pPr>
    </w:p>
    <w:p w14:paraId="6CC11BAD" w14:textId="77777777"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При пациентите е ниско кръвно налягане трябва да се внимава да не се развие допълнително хипотония. Пациентите с тежки сърдечно-съдови заболявания трябва стриктно да бъдат наблюдавани.</w:t>
      </w:r>
    </w:p>
    <w:p w14:paraId="33C09AD9" w14:textId="77777777" w:rsidR="007B1E8A" w:rsidRPr="007B1E8A" w:rsidRDefault="007B1E8A" w:rsidP="007B1E8A">
      <w:pPr>
        <w:spacing w:line="240" w:lineRule="auto"/>
        <w:rPr>
          <w:rFonts w:eastAsia="Times New Roman" w:cs="Arial"/>
          <w:color w:val="000000"/>
          <w:lang w:eastAsia="bg-BG"/>
        </w:rPr>
      </w:pPr>
    </w:p>
    <w:p w14:paraId="474FA51F" w14:textId="215E2510"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Трябва да се има предвид възможността за ортостатична хипотония при изправяне на пациента след края на инфузията.</w:t>
      </w:r>
    </w:p>
    <w:p w14:paraId="5204E8A7" w14:textId="77777777" w:rsidR="007B1E8A" w:rsidRPr="007B1E8A" w:rsidRDefault="007B1E8A" w:rsidP="007B1E8A">
      <w:pPr>
        <w:spacing w:line="240" w:lineRule="auto"/>
        <w:rPr>
          <w:rFonts w:eastAsia="Times New Roman" w:cs="Arial"/>
          <w:color w:val="000000"/>
          <w:lang w:eastAsia="bg-BG"/>
        </w:rPr>
      </w:pPr>
    </w:p>
    <w:p w14:paraId="557E780B" w14:textId="5C5207DF"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 xml:space="preserve">За пациенти с </w:t>
      </w:r>
      <w:proofErr w:type="spellStart"/>
      <w:r w:rsidRPr="007B1E8A">
        <w:rPr>
          <w:rFonts w:eastAsia="Times New Roman" w:cs="Arial"/>
          <w:color w:val="000000"/>
          <w:lang w:eastAsia="bg-BG"/>
        </w:rPr>
        <w:t>мозъчносъдов</w:t>
      </w:r>
      <w:proofErr w:type="spellEnd"/>
      <w:r w:rsidRPr="007B1E8A">
        <w:rPr>
          <w:rFonts w:eastAsia="Times New Roman" w:cs="Arial"/>
          <w:color w:val="000000"/>
          <w:lang w:eastAsia="bg-BG"/>
        </w:rPr>
        <w:t xml:space="preserve"> инцидент (напр. преходен исхемичен пристъп, удар) в рамките на последните 3 месеца трябва да се направи внимателна оценка на съотношението на рисковете и ползите (вж. също 4.3 Противопоказания: риск от хеморагия, напр. </w:t>
      </w:r>
      <w:proofErr w:type="spellStart"/>
      <w:r w:rsidRPr="007B1E8A">
        <w:rPr>
          <w:rFonts w:eastAsia="Times New Roman" w:cs="Arial"/>
          <w:color w:val="000000"/>
          <w:lang w:eastAsia="bg-BG"/>
        </w:rPr>
        <w:t>интракраниален</w:t>
      </w:r>
      <w:proofErr w:type="spellEnd"/>
      <w:r w:rsidRPr="007B1E8A">
        <w:rPr>
          <w:rFonts w:eastAsia="Times New Roman" w:cs="Arial"/>
          <w:color w:val="000000"/>
          <w:lang w:eastAsia="bg-BG"/>
        </w:rPr>
        <w:t xml:space="preserve"> кръвоизлив).</w:t>
      </w:r>
    </w:p>
    <w:p w14:paraId="6FB192C1" w14:textId="77777777" w:rsidR="007B1E8A" w:rsidRPr="007B1E8A" w:rsidRDefault="007B1E8A" w:rsidP="007B1E8A">
      <w:pPr>
        <w:spacing w:line="240" w:lineRule="auto"/>
        <w:rPr>
          <w:rFonts w:eastAsia="Times New Roman" w:cs="Arial"/>
          <w:b/>
          <w:bCs/>
          <w:color w:val="000000"/>
          <w:lang w:eastAsia="bg-BG"/>
        </w:rPr>
      </w:pPr>
    </w:p>
    <w:p w14:paraId="6FD01968" w14:textId="1CEA9DB9" w:rsidR="007B1E8A" w:rsidRPr="007B1E8A" w:rsidRDefault="007B1E8A" w:rsidP="007B1E8A">
      <w:pPr>
        <w:spacing w:line="240" w:lineRule="auto"/>
        <w:rPr>
          <w:rFonts w:eastAsia="Times New Roman" w:cs="Arial"/>
          <w:sz w:val="24"/>
          <w:szCs w:val="24"/>
        </w:rPr>
      </w:pPr>
      <w:r w:rsidRPr="007B1E8A">
        <w:rPr>
          <w:rFonts w:eastAsia="Times New Roman" w:cs="Arial"/>
          <w:b/>
          <w:bCs/>
          <w:color w:val="000000"/>
          <w:lang w:eastAsia="bg-BG"/>
        </w:rPr>
        <w:t>Специални предпазни мерки при употреба</w:t>
      </w:r>
    </w:p>
    <w:p w14:paraId="2D101067" w14:textId="77777777" w:rsidR="007B1E8A" w:rsidRPr="007B1E8A" w:rsidRDefault="007B1E8A" w:rsidP="007B1E8A">
      <w:pPr>
        <w:spacing w:line="240" w:lineRule="auto"/>
        <w:rPr>
          <w:rFonts w:eastAsia="Times New Roman" w:cs="Arial"/>
          <w:color w:val="000000"/>
          <w:lang w:eastAsia="bg-BG"/>
        </w:rPr>
      </w:pPr>
    </w:p>
    <w:p w14:paraId="1D6B9BB3" w14:textId="4296C4FE"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Понастоящем има само спорадични съобщения за употреба при деца и юноши.</w:t>
      </w:r>
    </w:p>
    <w:p w14:paraId="65BE397F" w14:textId="77777777" w:rsidR="007B1E8A" w:rsidRPr="007B1E8A" w:rsidRDefault="007B1E8A" w:rsidP="007B1E8A">
      <w:pPr>
        <w:spacing w:line="240" w:lineRule="auto"/>
        <w:rPr>
          <w:rFonts w:eastAsia="Times New Roman" w:cs="Arial"/>
          <w:color w:val="000000"/>
          <w:lang w:eastAsia="bg-BG"/>
        </w:rPr>
      </w:pPr>
    </w:p>
    <w:p w14:paraId="4440F1AD" w14:textId="4DB0B53F" w:rsidR="007B1E8A" w:rsidRPr="007B1E8A" w:rsidRDefault="007B1E8A" w:rsidP="007B1E8A">
      <w:pPr>
        <w:spacing w:line="240" w:lineRule="auto"/>
        <w:rPr>
          <w:rFonts w:eastAsia="Times New Roman" w:cs="Arial"/>
          <w:sz w:val="24"/>
          <w:szCs w:val="24"/>
        </w:rPr>
      </w:pPr>
      <w:proofErr w:type="spellStart"/>
      <w:r w:rsidRPr="007B1E8A">
        <w:rPr>
          <w:rFonts w:eastAsia="Times New Roman" w:cs="Arial"/>
          <w:color w:val="000000"/>
          <w:lang w:eastAsia="bg-BG"/>
        </w:rPr>
        <w:t>Паравазалната</w:t>
      </w:r>
      <w:proofErr w:type="spellEnd"/>
      <w:r w:rsidRPr="007B1E8A">
        <w:rPr>
          <w:rFonts w:eastAsia="Times New Roman" w:cs="Arial"/>
          <w:color w:val="000000"/>
          <w:lang w:eastAsia="bg-BG"/>
        </w:rPr>
        <w:t xml:space="preserve"> инфузия на неразреден </w:t>
      </w:r>
      <w:proofErr w:type="spellStart"/>
      <w:r w:rsidRPr="007B1E8A">
        <w:rPr>
          <w:rFonts w:eastAsia="Times New Roman" w:cs="Arial"/>
          <w:color w:val="000000"/>
          <w:lang w:eastAsia="bg-BG"/>
        </w:rPr>
        <w:t>Иломедин</w:t>
      </w:r>
      <w:proofErr w:type="spellEnd"/>
      <w:r w:rsidRPr="007B1E8A">
        <w:rPr>
          <w:rFonts w:eastAsia="Times New Roman" w:cs="Arial"/>
          <w:color w:val="000000"/>
          <w:lang w:eastAsia="bg-BG"/>
        </w:rPr>
        <w:t xml:space="preserve"> може да предизвика локални промени в мястото на инжектиране.</w:t>
      </w:r>
    </w:p>
    <w:p w14:paraId="7465A100" w14:textId="77777777" w:rsidR="007B1E8A" w:rsidRPr="007B1E8A" w:rsidRDefault="007B1E8A" w:rsidP="007B1E8A">
      <w:pPr>
        <w:spacing w:line="240" w:lineRule="auto"/>
        <w:rPr>
          <w:rFonts w:eastAsia="Times New Roman" w:cs="Arial"/>
          <w:color w:val="000000"/>
          <w:lang w:eastAsia="bg-BG"/>
        </w:rPr>
      </w:pPr>
    </w:p>
    <w:p w14:paraId="0A8456EA" w14:textId="449A741F"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 xml:space="preserve">Трябва да се избягват пероралното поглъщане и контактът е </w:t>
      </w:r>
      <w:proofErr w:type="spellStart"/>
      <w:r w:rsidRPr="007B1E8A">
        <w:rPr>
          <w:rFonts w:eastAsia="Times New Roman" w:cs="Arial"/>
          <w:color w:val="000000"/>
          <w:lang w:eastAsia="bg-BG"/>
        </w:rPr>
        <w:t>мукозните</w:t>
      </w:r>
      <w:proofErr w:type="spellEnd"/>
      <w:r w:rsidRPr="007B1E8A">
        <w:rPr>
          <w:rFonts w:eastAsia="Times New Roman" w:cs="Arial"/>
          <w:color w:val="000000"/>
          <w:lang w:eastAsia="bg-BG"/>
        </w:rPr>
        <w:t xml:space="preserve"> мембрани. При контакт е кожата </w:t>
      </w:r>
      <w:proofErr w:type="spellStart"/>
      <w:r w:rsidRPr="007B1E8A">
        <w:rPr>
          <w:rFonts w:eastAsia="Times New Roman" w:cs="Arial"/>
          <w:color w:val="000000"/>
          <w:lang w:eastAsia="bg-BG"/>
        </w:rPr>
        <w:t>илопрост</w:t>
      </w:r>
      <w:proofErr w:type="spellEnd"/>
      <w:r w:rsidRPr="007B1E8A">
        <w:rPr>
          <w:rFonts w:eastAsia="Times New Roman" w:cs="Arial"/>
          <w:color w:val="000000"/>
          <w:lang w:eastAsia="bg-BG"/>
        </w:rPr>
        <w:t xml:space="preserve"> може да предизвика упорита, но безболезнена еритема. Ето защо е необходимо да се вземат мерки за избягване на контакта на </w:t>
      </w:r>
      <w:proofErr w:type="spellStart"/>
      <w:r w:rsidRPr="007B1E8A">
        <w:rPr>
          <w:rFonts w:eastAsia="Times New Roman" w:cs="Arial"/>
          <w:color w:val="000000"/>
          <w:lang w:eastAsia="bg-BG"/>
        </w:rPr>
        <w:t>илопрост</w:t>
      </w:r>
      <w:proofErr w:type="spellEnd"/>
      <w:r w:rsidRPr="007B1E8A">
        <w:rPr>
          <w:rFonts w:eastAsia="Times New Roman" w:cs="Arial"/>
          <w:color w:val="000000"/>
          <w:lang w:eastAsia="bg-BG"/>
        </w:rPr>
        <w:t xml:space="preserve"> с кожата. В </w:t>
      </w:r>
      <w:r w:rsidRPr="007B1E8A">
        <w:rPr>
          <w:rFonts w:eastAsia="Times New Roman" w:cs="Arial"/>
          <w:color w:val="000000"/>
          <w:lang w:eastAsia="bg-BG"/>
        </w:rPr>
        <w:lastRenderedPageBreak/>
        <w:t>случай на такъв контакт засегнатата повърхност трябва да се измие незабавно е големи количества вода или физиологичен разтвор.</w:t>
      </w:r>
    </w:p>
    <w:p w14:paraId="7859825A" w14:textId="77777777" w:rsidR="007B1E8A" w:rsidRPr="007B1E8A" w:rsidRDefault="007B1E8A" w:rsidP="007B1E8A">
      <w:pPr>
        <w:spacing w:line="240" w:lineRule="auto"/>
        <w:rPr>
          <w:rFonts w:eastAsia="Times New Roman" w:cs="Arial"/>
          <w:b/>
          <w:bCs/>
          <w:color w:val="000000"/>
          <w:lang w:eastAsia="bg-BG"/>
        </w:rPr>
      </w:pPr>
      <w:bookmarkStart w:id="2" w:name="bookmark2"/>
    </w:p>
    <w:p w14:paraId="1206F30D" w14:textId="31AA966C" w:rsidR="007B1E8A" w:rsidRPr="007B1E8A" w:rsidRDefault="007B1E8A" w:rsidP="007B1E8A">
      <w:pPr>
        <w:spacing w:line="240" w:lineRule="auto"/>
        <w:rPr>
          <w:rFonts w:eastAsia="Times New Roman" w:cs="Arial"/>
          <w:sz w:val="24"/>
          <w:szCs w:val="24"/>
        </w:rPr>
      </w:pPr>
      <w:r w:rsidRPr="007B1E8A">
        <w:rPr>
          <w:rFonts w:eastAsia="Times New Roman" w:cs="Arial"/>
          <w:b/>
          <w:bCs/>
          <w:color w:val="000000"/>
          <w:lang w:eastAsia="bg-BG"/>
        </w:rPr>
        <w:t>Информация за помощните вещества</w:t>
      </w:r>
      <w:bookmarkEnd w:id="2"/>
    </w:p>
    <w:p w14:paraId="14420A86" w14:textId="77777777" w:rsidR="007B1E8A" w:rsidRPr="007B1E8A" w:rsidRDefault="007B1E8A" w:rsidP="007B1E8A">
      <w:pPr>
        <w:spacing w:line="240" w:lineRule="auto"/>
        <w:rPr>
          <w:rFonts w:eastAsia="Times New Roman" w:cs="Arial"/>
          <w:color w:val="000000"/>
          <w:lang w:eastAsia="bg-BG"/>
        </w:rPr>
      </w:pPr>
    </w:p>
    <w:p w14:paraId="2FA6FB5C" w14:textId="5B818E6E"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 xml:space="preserve">Това лекарство съдържа 1,62 </w:t>
      </w:r>
      <w:r w:rsidRPr="007B1E8A">
        <w:rPr>
          <w:rFonts w:eastAsia="Times New Roman" w:cs="Arial"/>
          <w:color w:val="000000"/>
          <w:lang w:val="en-US"/>
        </w:rPr>
        <w:t xml:space="preserve">mg </w:t>
      </w:r>
      <w:r w:rsidRPr="007B1E8A">
        <w:rPr>
          <w:rFonts w:eastAsia="Times New Roman" w:cs="Arial"/>
          <w:color w:val="000000"/>
          <w:lang w:eastAsia="bg-BG"/>
        </w:rPr>
        <w:t xml:space="preserve">алкохол (етанол) в 1 </w:t>
      </w:r>
      <w:r w:rsidRPr="007B1E8A">
        <w:rPr>
          <w:rFonts w:eastAsia="Times New Roman" w:cs="Arial"/>
          <w:color w:val="000000"/>
          <w:lang w:val="en-US"/>
        </w:rPr>
        <w:t xml:space="preserve">ml. </w:t>
      </w:r>
      <w:r w:rsidRPr="007B1E8A">
        <w:rPr>
          <w:rFonts w:eastAsia="Times New Roman" w:cs="Arial"/>
          <w:color w:val="000000"/>
          <w:lang w:eastAsia="bg-BG"/>
        </w:rPr>
        <w:t xml:space="preserve">Количеството в 1 ампула от това лекарство е еквивалентно на по-малко от 0,04 </w:t>
      </w:r>
      <w:r w:rsidRPr="007B1E8A">
        <w:rPr>
          <w:rFonts w:eastAsia="Times New Roman" w:cs="Arial"/>
          <w:color w:val="000000"/>
          <w:lang w:val="en-US"/>
        </w:rPr>
        <w:t xml:space="preserve">ml </w:t>
      </w:r>
      <w:r w:rsidRPr="007B1E8A">
        <w:rPr>
          <w:rFonts w:eastAsia="Times New Roman" w:cs="Arial"/>
          <w:color w:val="000000"/>
          <w:lang w:eastAsia="bg-BG"/>
        </w:rPr>
        <w:t xml:space="preserve">бира или 0,02 </w:t>
      </w:r>
      <w:r w:rsidRPr="007B1E8A">
        <w:rPr>
          <w:rFonts w:eastAsia="Times New Roman" w:cs="Arial"/>
          <w:color w:val="000000"/>
          <w:lang w:val="en-US"/>
        </w:rPr>
        <w:t xml:space="preserve">ml </w:t>
      </w:r>
      <w:r w:rsidRPr="007B1E8A">
        <w:rPr>
          <w:rFonts w:eastAsia="Times New Roman" w:cs="Arial"/>
          <w:color w:val="000000"/>
          <w:lang w:eastAsia="bg-BG"/>
        </w:rPr>
        <w:t>вино.</w:t>
      </w:r>
    </w:p>
    <w:p w14:paraId="6755A400" w14:textId="77777777" w:rsidR="007B1E8A" w:rsidRPr="007B1E8A" w:rsidRDefault="007B1E8A" w:rsidP="007B1E8A">
      <w:pPr>
        <w:spacing w:line="240" w:lineRule="auto"/>
        <w:rPr>
          <w:rFonts w:eastAsia="Times New Roman" w:cs="Arial"/>
          <w:color w:val="000000"/>
          <w:lang w:eastAsia="bg-BG"/>
        </w:rPr>
      </w:pPr>
    </w:p>
    <w:p w14:paraId="3405D6C2" w14:textId="0A57DA12" w:rsidR="007B1E8A" w:rsidRPr="007B1E8A" w:rsidRDefault="007B1E8A" w:rsidP="007B1E8A">
      <w:pPr>
        <w:spacing w:line="240" w:lineRule="auto"/>
        <w:rPr>
          <w:rFonts w:eastAsia="Times New Roman" w:cs="Arial"/>
          <w:sz w:val="24"/>
          <w:szCs w:val="24"/>
        </w:rPr>
      </w:pPr>
      <w:r w:rsidRPr="007B1E8A">
        <w:rPr>
          <w:rFonts w:eastAsia="Times New Roman" w:cs="Arial"/>
          <w:color w:val="000000"/>
          <w:lang w:eastAsia="bg-BG"/>
        </w:rPr>
        <w:t xml:space="preserve">Това лекарство съдържа по-малко от 1 </w:t>
      </w:r>
      <w:r w:rsidRPr="007B1E8A">
        <w:rPr>
          <w:rFonts w:eastAsia="Times New Roman" w:cs="Arial"/>
          <w:color w:val="000000"/>
          <w:lang w:val="en-US"/>
        </w:rPr>
        <w:t xml:space="preserve">mmol </w:t>
      </w:r>
      <w:r w:rsidRPr="007B1E8A">
        <w:rPr>
          <w:rFonts w:eastAsia="Times New Roman" w:cs="Arial"/>
          <w:color w:val="000000"/>
          <w:lang w:eastAsia="bg-BG"/>
        </w:rPr>
        <w:t xml:space="preserve">натрий (23 </w:t>
      </w:r>
      <w:r w:rsidRPr="007B1E8A">
        <w:rPr>
          <w:rFonts w:eastAsia="Times New Roman" w:cs="Arial"/>
          <w:color w:val="000000"/>
          <w:lang w:val="en-US"/>
        </w:rPr>
        <w:t xml:space="preserve">mg) </w:t>
      </w:r>
      <w:r w:rsidRPr="007B1E8A">
        <w:rPr>
          <w:rFonts w:eastAsia="Times New Roman" w:cs="Arial"/>
          <w:color w:val="000000"/>
          <w:lang w:eastAsia="bg-BG"/>
        </w:rPr>
        <w:t xml:space="preserve">на </w:t>
      </w:r>
      <w:proofErr w:type="spellStart"/>
      <w:r w:rsidRPr="007B1E8A">
        <w:rPr>
          <w:rFonts w:eastAsia="Times New Roman" w:cs="Arial"/>
          <w:color w:val="000000"/>
          <w:lang w:eastAsia="bg-BG"/>
        </w:rPr>
        <w:t>дозова</w:t>
      </w:r>
      <w:proofErr w:type="spellEnd"/>
      <w:r w:rsidRPr="007B1E8A">
        <w:rPr>
          <w:rFonts w:eastAsia="Times New Roman" w:cs="Arial"/>
          <w:color w:val="000000"/>
          <w:lang w:eastAsia="bg-BG"/>
        </w:rPr>
        <w:t xml:space="preserve"> единица, т.е. може да се каже, че практически не съдържа натрий.</w:t>
      </w:r>
    </w:p>
    <w:p w14:paraId="5788DE13" w14:textId="77777777" w:rsidR="007B1E8A" w:rsidRPr="007B1E8A" w:rsidRDefault="007B1E8A" w:rsidP="007B1E8A">
      <w:pPr>
        <w:spacing w:line="240" w:lineRule="auto"/>
        <w:rPr>
          <w:rFonts w:ascii="Times New Roman" w:eastAsia="Times New Roman" w:hAnsi="Times New Roman" w:cs="Times New Roman"/>
          <w:sz w:val="24"/>
          <w:szCs w:val="24"/>
        </w:rPr>
      </w:pPr>
    </w:p>
    <w:p w14:paraId="1B16142C" w14:textId="77777777" w:rsidR="007B1E8A" w:rsidRPr="007B1E8A" w:rsidRDefault="007B1E8A" w:rsidP="007B1E8A"/>
    <w:p w14:paraId="297352C8" w14:textId="514DC97D" w:rsidR="003765DC" w:rsidRDefault="002C50EE" w:rsidP="002B3C38">
      <w:pPr>
        <w:pStyle w:val="Heading2"/>
      </w:pPr>
      <w:r>
        <w:t>4.5. Взаимодействие с други лекарствени продукти и други форми на взаимодействие</w:t>
      </w:r>
    </w:p>
    <w:p w14:paraId="3C6AC757" w14:textId="77777777" w:rsidR="007B1E8A" w:rsidRDefault="007B1E8A" w:rsidP="007B1E8A">
      <w:pPr>
        <w:spacing w:line="240" w:lineRule="auto"/>
        <w:rPr>
          <w:rFonts w:ascii="Times New Roman" w:eastAsia="Times New Roman" w:hAnsi="Times New Roman" w:cs="Times New Roman"/>
          <w:color w:val="000000"/>
          <w:lang w:eastAsia="bg-BG"/>
        </w:rPr>
      </w:pPr>
    </w:p>
    <w:p w14:paraId="7A2C93AD" w14:textId="236A3472" w:rsidR="007B1E8A" w:rsidRPr="007B1E8A" w:rsidRDefault="007B1E8A" w:rsidP="007B1E8A">
      <w:pPr>
        <w:rPr>
          <w:sz w:val="24"/>
          <w:szCs w:val="24"/>
        </w:rPr>
      </w:pPr>
      <w:proofErr w:type="spellStart"/>
      <w:r w:rsidRPr="007B1E8A">
        <w:rPr>
          <w:lang w:eastAsia="bg-BG"/>
        </w:rPr>
        <w:t>Илопрост</w:t>
      </w:r>
      <w:proofErr w:type="spellEnd"/>
      <w:r w:rsidRPr="007B1E8A">
        <w:rPr>
          <w:lang w:eastAsia="bg-BG"/>
        </w:rPr>
        <w:t xml:space="preserve"> може да усили антихипертензивното действие на </w:t>
      </w:r>
      <w:r w:rsidRPr="007B1E8A">
        <w:rPr>
          <w:lang w:val="en-US"/>
        </w:rPr>
        <w:t>β</w:t>
      </w:r>
      <w:r w:rsidRPr="007B1E8A">
        <w:rPr>
          <w:lang w:eastAsia="bg-BG"/>
        </w:rPr>
        <w:t xml:space="preserve">-рецепторни </w:t>
      </w:r>
      <w:proofErr w:type="spellStart"/>
      <w:r w:rsidRPr="007B1E8A">
        <w:rPr>
          <w:lang w:eastAsia="bg-BG"/>
        </w:rPr>
        <w:t>блокери</w:t>
      </w:r>
      <w:proofErr w:type="spellEnd"/>
      <w:r w:rsidRPr="007B1E8A">
        <w:rPr>
          <w:lang w:eastAsia="bg-BG"/>
        </w:rPr>
        <w:t xml:space="preserve">, калциеви антагонисти, </w:t>
      </w:r>
      <w:proofErr w:type="spellStart"/>
      <w:r w:rsidRPr="007B1E8A">
        <w:rPr>
          <w:lang w:eastAsia="bg-BG"/>
        </w:rPr>
        <w:t>вазодилататори</w:t>
      </w:r>
      <w:proofErr w:type="spellEnd"/>
      <w:r w:rsidRPr="007B1E8A">
        <w:rPr>
          <w:lang w:eastAsia="bg-BG"/>
        </w:rPr>
        <w:t xml:space="preserve"> и АСЕ инхибитори. Ако се получи значителна хипотония, тя може да се коригира чрез понижение на дозата на </w:t>
      </w:r>
      <w:proofErr w:type="spellStart"/>
      <w:r w:rsidRPr="007B1E8A">
        <w:rPr>
          <w:lang w:eastAsia="bg-BG"/>
        </w:rPr>
        <w:t>илопрост</w:t>
      </w:r>
      <w:proofErr w:type="spellEnd"/>
      <w:r w:rsidRPr="007B1E8A">
        <w:rPr>
          <w:lang w:eastAsia="bg-BG"/>
        </w:rPr>
        <w:t>.</w:t>
      </w:r>
    </w:p>
    <w:p w14:paraId="086EA34C" w14:textId="77777777" w:rsidR="007B1E8A" w:rsidRDefault="007B1E8A" w:rsidP="007B1E8A">
      <w:pPr>
        <w:rPr>
          <w:lang w:eastAsia="bg-BG"/>
        </w:rPr>
      </w:pPr>
    </w:p>
    <w:p w14:paraId="71442A17" w14:textId="77777777" w:rsidR="007B1E8A" w:rsidRDefault="007B1E8A" w:rsidP="007B1E8A">
      <w:pPr>
        <w:rPr>
          <w:lang w:eastAsia="bg-BG"/>
        </w:rPr>
      </w:pPr>
      <w:r w:rsidRPr="007B1E8A">
        <w:rPr>
          <w:lang w:eastAsia="bg-BG"/>
        </w:rPr>
        <w:t xml:space="preserve">Тъй като </w:t>
      </w:r>
      <w:proofErr w:type="spellStart"/>
      <w:r w:rsidRPr="007B1E8A">
        <w:rPr>
          <w:lang w:eastAsia="bg-BG"/>
        </w:rPr>
        <w:t>илопрост</w:t>
      </w:r>
      <w:proofErr w:type="spellEnd"/>
      <w:r w:rsidRPr="007B1E8A">
        <w:rPr>
          <w:lang w:eastAsia="bg-BG"/>
        </w:rPr>
        <w:t xml:space="preserve"> инхибира функцията на </w:t>
      </w:r>
      <w:proofErr w:type="spellStart"/>
      <w:r w:rsidRPr="007B1E8A">
        <w:rPr>
          <w:lang w:eastAsia="bg-BG"/>
        </w:rPr>
        <w:t>тромбоцитите</w:t>
      </w:r>
      <w:proofErr w:type="spellEnd"/>
      <w:r w:rsidRPr="007B1E8A">
        <w:rPr>
          <w:lang w:eastAsia="bg-BG"/>
        </w:rPr>
        <w:t xml:space="preserve">, употребата му с антикоагуланти (като </w:t>
      </w:r>
      <w:proofErr w:type="spellStart"/>
      <w:r w:rsidRPr="007B1E8A">
        <w:rPr>
          <w:lang w:eastAsia="bg-BG"/>
        </w:rPr>
        <w:t>хепарин</w:t>
      </w:r>
      <w:proofErr w:type="spellEnd"/>
      <w:r w:rsidRPr="007B1E8A">
        <w:rPr>
          <w:lang w:eastAsia="bg-BG"/>
        </w:rPr>
        <w:t xml:space="preserve"> или </w:t>
      </w:r>
      <w:proofErr w:type="spellStart"/>
      <w:r w:rsidRPr="007B1E8A">
        <w:rPr>
          <w:lang w:eastAsia="bg-BG"/>
        </w:rPr>
        <w:t>кумаринови</w:t>
      </w:r>
      <w:proofErr w:type="spellEnd"/>
      <w:r w:rsidRPr="007B1E8A">
        <w:rPr>
          <w:lang w:eastAsia="bg-BG"/>
        </w:rPr>
        <w:t xml:space="preserve"> антикоагуланти) или други инхибитори на </w:t>
      </w:r>
      <w:proofErr w:type="spellStart"/>
      <w:r w:rsidRPr="007B1E8A">
        <w:rPr>
          <w:lang w:eastAsia="bg-BG"/>
        </w:rPr>
        <w:t>тромбоцитната</w:t>
      </w:r>
      <w:proofErr w:type="spellEnd"/>
      <w:r w:rsidRPr="007B1E8A">
        <w:rPr>
          <w:lang w:eastAsia="bg-BG"/>
        </w:rPr>
        <w:t xml:space="preserve"> агрегация (като ацетилсалицилова киселина, нестероидни противовъзпалителни средства, </w:t>
      </w:r>
      <w:proofErr w:type="spellStart"/>
      <w:r w:rsidRPr="007B1E8A">
        <w:rPr>
          <w:lang w:eastAsia="bg-BG"/>
        </w:rPr>
        <w:t>фосфодиестеразни</w:t>
      </w:r>
      <w:proofErr w:type="spellEnd"/>
      <w:r w:rsidRPr="007B1E8A">
        <w:rPr>
          <w:lang w:eastAsia="bg-BG"/>
        </w:rPr>
        <w:t xml:space="preserve"> инхибитори и азотни </w:t>
      </w:r>
      <w:proofErr w:type="spellStart"/>
      <w:r w:rsidRPr="007B1E8A">
        <w:rPr>
          <w:lang w:eastAsia="bg-BG"/>
        </w:rPr>
        <w:t>вазодилататори</w:t>
      </w:r>
      <w:proofErr w:type="spellEnd"/>
      <w:r w:rsidRPr="007B1E8A">
        <w:rPr>
          <w:lang w:eastAsia="bg-BG"/>
        </w:rPr>
        <w:t xml:space="preserve">, напр. </w:t>
      </w:r>
      <w:proofErr w:type="spellStart"/>
      <w:r w:rsidRPr="007B1E8A">
        <w:rPr>
          <w:lang w:eastAsia="bg-BG"/>
        </w:rPr>
        <w:t>молсидомин</w:t>
      </w:r>
      <w:proofErr w:type="spellEnd"/>
      <w:r w:rsidRPr="007B1E8A">
        <w:rPr>
          <w:lang w:eastAsia="bg-BG"/>
        </w:rPr>
        <w:t xml:space="preserve">) могат да повишат риска от кръвоизлив. </w:t>
      </w:r>
    </w:p>
    <w:p w14:paraId="1B2A5E9E" w14:textId="570F23C4" w:rsidR="007B1E8A" w:rsidRPr="007B1E8A" w:rsidRDefault="007B1E8A" w:rsidP="007B1E8A">
      <w:pPr>
        <w:rPr>
          <w:sz w:val="24"/>
          <w:szCs w:val="24"/>
        </w:rPr>
      </w:pPr>
      <w:r w:rsidRPr="007B1E8A">
        <w:rPr>
          <w:lang w:eastAsia="bg-BG"/>
        </w:rPr>
        <w:t xml:space="preserve">Ако се получи кръвоизлив, инфузията с </w:t>
      </w:r>
      <w:proofErr w:type="spellStart"/>
      <w:r w:rsidRPr="007B1E8A">
        <w:rPr>
          <w:lang w:eastAsia="bg-BG"/>
        </w:rPr>
        <w:t>Иломедин</w:t>
      </w:r>
      <w:proofErr w:type="spellEnd"/>
      <w:r w:rsidRPr="007B1E8A">
        <w:rPr>
          <w:lang w:eastAsia="bg-BG"/>
        </w:rPr>
        <w:t xml:space="preserve"> трябва да се прекрати.</w:t>
      </w:r>
    </w:p>
    <w:p w14:paraId="2CA5287E" w14:textId="77777777" w:rsidR="007B1E8A" w:rsidRDefault="007B1E8A" w:rsidP="007B1E8A">
      <w:pPr>
        <w:rPr>
          <w:lang w:eastAsia="bg-BG"/>
        </w:rPr>
      </w:pPr>
    </w:p>
    <w:p w14:paraId="78C8211B" w14:textId="30AB09D6" w:rsidR="007B1E8A" w:rsidRDefault="007B1E8A" w:rsidP="007B1E8A">
      <w:pPr>
        <w:rPr>
          <w:lang w:eastAsia="bg-BG"/>
        </w:rPr>
      </w:pPr>
      <w:r w:rsidRPr="007B1E8A">
        <w:rPr>
          <w:lang w:eastAsia="bg-BG"/>
        </w:rPr>
        <w:t xml:space="preserve">Перорална </w:t>
      </w:r>
      <w:proofErr w:type="spellStart"/>
      <w:r w:rsidRPr="007B1E8A">
        <w:rPr>
          <w:lang w:eastAsia="bg-BG"/>
        </w:rPr>
        <w:t>премедикация</w:t>
      </w:r>
      <w:proofErr w:type="spellEnd"/>
      <w:r w:rsidRPr="007B1E8A">
        <w:rPr>
          <w:lang w:eastAsia="bg-BG"/>
        </w:rPr>
        <w:t xml:space="preserve"> е до 300 </w:t>
      </w:r>
      <w:r w:rsidRPr="007B1E8A">
        <w:rPr>
          <w:lang w:val="en-US"/>
        </w:rPr>
        <w:t xml:space="preserve">mg </w:t>
      </w:r>
      <w:r w:rsidRPr="007B1E8A">
        <w:rPr>
          <w:lang w:eastAsia="bg-BG"/>
        </w:rPr>
        <w:t xml:space="preserve">дневно ацетилсалицилова киселина за период от 8 дни няма </w:t>
      </w:r>
    </w:p>
    <w:p w14:paraId="437C9629" w14:textId="5F0FB60E" w:rsidR="007B1E8A" w:rsidRPr="007B1E8A" w:rsidRDefault="007B1E8A" w:rsidP="007B1E8A">
      <w:pPr>
        <w:rPr>
          <w:sz w:val="24"/>
          <w:szCs w:val="24"/>
        </w:rPr>
      </w:pPr>
      <w:r w:rsidRPr="007B1E8A">
        <w:rPr>
          <w:lang w:eastAsia="bg-BG"/>
        </w:rPr>
        <w:t xml:space="preserve">влияние върху фармакокинетиката на </w:t>
      </w:r>
      <w:proofErr w:type="spellStart"/>
      <w:r w:rsidRPr="007B1E8A">
        <w:rPr>
          <w:lang w:eastAsia="bg-BG"/>
        </w:rPr>
        <w:t>илопрост</w:t>
      </w:r>
      <w:proofErr w:type="spellEnd"/>
      <w:r w:rsidRPr="007B1E8A">
        <w:rPr>
          <w:lang w:eastAsia="bg-BG"/>
        </w:rPr>
        <w:t xml:space="preserve">. При опити с животни е установено, че </w:t>
      </w:r>
      <w:proofErr w:type="spellStart"/>
      <w:r w:rsidRPr="007B1E8A">
        <w:rPr>
          <w:lang w:eastAsia="bg-BG"/>
        </w:rPr>
        <w:t>илопрост</w:t>
      </w:r>
      <w:proofErr w:type="spellEnd"/>
      <w:r w:rsidRPr="007B1E8A">
        <w:rPr>
          <w:lang w:eastAsia="bg-BG"/>
        </w:rPr>
        <w:t xml:space="preserve"> може да доведе до намаляване на равновесната плазмена концентрация на </w:t>
      </w:r>
      <w:r w:rsidRPr="007B1E8A">
        <w:rPr>
          <w:lang w:val="en-US"/>
        </w:rPr>
        <w:t xml:space="preserve">t-PA. </w:t>
      </w:r>
      <w:r w:rsidRPr="007B1E8A">
        <w:rPr>
          <w:lang w:eastAsia="bg-BG"/>
        </w:rPr>
        <w:t xml:space="preserve">Резултатите от опитите при хора показват, че инфузиите на </w:t>
      </w:r>
      <w:proofErr w:type="spellStart"/>
      <w:r w:rsidRPr="007B1E8A">
        <w:rPr>
          <w:lang w:eastAsia="bg-BG"/>
        </w:rPr>
        <w:t>илопрост</w:t>
      </w:r>
      <w:proofErr w:type="spellEnd"/>
      <w:r w:rsidRPr="007B1E8A">
        <w:rPr>
          <w:lang w:eastAsia="bg-BG"/>
        </w:rPr>
        <w:t xml:space="preserve"> не повлияват фармакокинетиката на </w:t>
      </w:r>
      <w:proofErr w:type="spellStart"/>
      <w:r w:rsidRPr="007B1E8A">
        <w:rPr>
          <w:lang w:eastAsia="bg-BG"/>
        </w:rPr>
        <w:t>многодозов</w:t>
      </w:r>
      <w:proofErr w:type="spellEnd"/>
      <w:r w:rsidRPr="007B1E8A">
        <w:rPr>
          <w:lang w:eastAsia="bg-BG"/>
        </w:rPr>
        <w:t xml:space="preserve"> перорален </w:t>
      </w:r>
      <w:proofErr w:type="spellStart"/>
      <w:r w:rsidRPr="007B1E8A">
        <w:rPr>
          <w:lang w:eastAsia="bg-BG"/>
        </w:rPr>
        <w:t>дигоксин</w:t>
      </w:r>
      <w:proofErr w:type="spellEnd"/>
      <w:r w:rsidRPr="007B1E8A">
        <w:rPr>
          <w:lang w:eastAsia="bg-BG"/>
        </w:rPr>
        <w:t xml:space="preserve"> при пациенти и че </w:t>
      </w:r>
      <w:proofErr w:type="spellStart"/>
      <w:r w:rsidRPr="007B1E8A">
        <w:rPr>
          <w:lang w:eastAsia="bg-BG"/>
        </w:rPr>
        <w:t>илопрост</w:t>
      </w:r>
      <w:proofErr w:type="spellEnd"/>
      <w:r w:rsidRPr="007B1E8A">
        <w:rPr>
          <w:lang w:eastAsia="bg-BG"/>
        </w:rPr>
        <w:t xml:space="preserve"> няма влияние върху фармакокинетиката на едновременно прилагания </w:t>
      </w:r>
      <w:r w:rsidRPr="007B1E8A">
        <w:rPr>
          <w:lang w:val="en-US"/>
        </w:rPr>
        <w:t>t-PA.</w:t>
      </w:r>
    </w:p>
    <w:p w14:paraId="13020F7E" w14:textId="77777777" w:rsidR="007B1E8A" w:rsidRDefault="007B1E8A" w:rsidP="007B1E8A">
      <w:pPr>
        <w:rPr>
          <w:lang w:eastAsia="bg-BG"/>
        </w:rPr>
      </w:pPr>
    </w:p>
    <w:p w14:paraId="3037960E" w14:textId="220C422A" w:rsidR="007B1E8A" w:rsidRDefault="007B1E8A" w:rsidP="007B1E8A">
      <w:pPr>
        <w:rPr>
          <w:lang w:eastAsia="bg-BG"/>
        </w:rPr>
      </w:pPr>
      <w:r w:rsidRPr="007B1E8A">
        <w:rPr>
          <w:lang w:eastAsia="bg-BG"/>
        </w:rPr>
        <w:t xml:space="preserve">При опити с животни, </w:t>
      </w:r>
      <w:proofErr w:type="spellStart"/>
      <w:r w:rsidRPr="007B1E8A">
        <w:rPr>
          <w:lang w:eastAsia="bg-BG"/>
        </w:rPr>
        <w:t>съдоразширяващият</w:t>
      </w:r>
      <w:proofErr w:type="spellEnd"/>
      <w:r w:rsidRPr="007B1E8A">
        <w:rPr>
          <w:lang w:eastAsia="bg-BG"/>
        </w:rPr>
        <w:t xml:space="preserve"> ефект на </w:t>
      </w:r>
      <w:proofErr w:type="spellStart"/>
      <w:r w:rsidRPr="007B1E8A">
        <w:rPr>
          <w:lang w:eastAsia="bg-BG"/>
        </w:rPr>
        <w:t>илопрост</w:t>
      </w:r>
      <w:proofErr w:type="spellEnd"/>
      <w:r w:rsidRPr="007B1E8A">
        <w:rPr>
          <w:lang w:eastAsia="bg-BG"/>
        </w:rPr>
        <w:t xml:space="preserve"> намалява, когато животните предварително са третирани с </w:t>
      </w:r>
      <w:proofErr w:type="spellStart"/>
      <w:r w:rsidRPr="007B1E8A">
        <w:rPr>
          <w:lang w:eastAsia="bg-BG"/>
        </w:rPr>
        <w:t>глюкокортикоиди</w:t>
      </w:r>
      <w:proofErr w:type="spellEnd"/>
      <w:r w:rsidRPr="007B1E8A">
        <w:rPr>
          <w:lang w:eastAsia="bg-BG"/>
        </w:rPr>
        <w:t xml:space="preserve">, а </w:t>
      </w:r>
      <w:proofErr w:type="spellStart"/>
      <w:r w:rsidRPr="007B1E8A">
        <w:rPr>
          <w:lang w:eastAsia="bg-BG"/>
        </w:rPr>
        <w:t>инхибиторният</w:t>
      </w:r>
      <w:proofErr w:type="spellEnd"/>
      <w:r w:rsidRPr="007B1E8A">
        <w:rPr>
          <w:lang w:eastAsia="bg-BG"/>
        </w:rPr>
        <w:t xml:space="preserve"> ефект върху агрегацията на </w:t>
      </w:r>
      <w:proofErr w:type="spellStart"/>
      <w:r w:rsidRPr="007B1E8A">
        <w:rPr>
          <w:lang w:eastAsia="bg-BG"/>
        </w:rPr>
        <w:t>тромбоцити</w:t>
      </w:r>
      <w:proofErr w:type="spellEnd"/>
      <w:r w:rsidRPr="007B1E8A">
        <w:rPr>
          <w:lang w:eastAsia="bg-BG"/>
        </w:rPr>
        <w:t xml:space="preserve"> не се променя. Значението на тази находка за употребата при човека все още не е проучено.</w:t>
      </w:r>
    </w:p>
    <w:p w14:paraId="4B52FA28" w14:textId="4953B383" w:rsidR="005D0A88" w:rsidRDefault="005D0A88" w:rsidP="007B1E8A">
      <w:pPr>
        <w:rPr>
          <w:lang w:eastAsia="bg-BG"/>
        </w:rPr>
      </w:pPr>
    </w:p>
    <w:p w14:paraId="2B1A8068" w14:textId="506694C6" w:rsidR="005D0A88" w:rsidRDefault="005D0A88" w:rsidP="007B1E8A">
      <w:r>
        <w:t xml:space="preserve">Въпреки че не са провеждани клинични изпитвания, </w:t>
      </w:r>
      <w:r>
        <w:rPr>
          <w:i/>
          <w:iCs/>
          <w:lang w:val="en-US"/>
        </w:rPr>
        <w:t>in vitro</w:t>
      </w:r>
      <w:r>
        <w:rPr>
          <w:lang w:val="en-US"/>
        </w:rPr>
        <w:t xml:space="preserve"> </w:t>
      </w:r>
      <w:r>
        <w:t xml:space="preserve">изпитвания, които изследват </w:t>
      </w:r>
      <w:proofErr w:type="spellStart"/>
      <w:r>
        <w:t>инхибиторния</w:t>
      </w:r>
      <w:proofErr w:type="spellEnd"/>
      <w:r>
        <w:t xml:space="preserve"> потенциал на </w:t>
      </w:r>
      <w:proofErr w:type="spellStart"/>
      <w:r>
        <w:t>илопрост</w:t>
      </w:r>
      <w:proofErr w:type="spellEnd"/>
      <w:r>
        <w:t xml:space="preserve"> върху активността на </w:t>
      </w:r>
      <w:proofErr w:type="spellStart"/>
      <w:r>
        <w:t>цитохром</w:t>
      </w:r>
      <w:proofErr w:type="spellEnd"/>
      <w:r>
        <w:t xml:space="preserve"> Р450 ензими, показват, че от </w:t>
      </w:r>
      <w:proofErr w:type="spellStart"/>
      <w:r>
        <w:t>илопрост</w:t>
      </w:r>
      <w:proofErr w:type="spellEnd"/>
      <w:r>
        <w:t xml:space="preserve"> не трябва да се очаква значимо инхибиране на лекарствения метаболизъм чрез тези ензими.</w:t>
      </w:r>
    </w:p>
    <w:p w14:paraId="0A664F3E" w14:textId="77777777" w:rsidR="005D0A88" w:rsidRPr="007B1E8A" w:rsidRDefault="005D0A88" w:rsidP="007B1E8A"/>
    <w:p w14:paraId="20B09708" w14:textId="5E53C103" w:rsidR="003765DC" w:rsidRDefault="002C50EE" w:rsidP="002B3C38">
      <w:pPr>
        <w:pStyle w:val="Heading2"/>
      </w:pPr>
      <w:r>
        <w:t xml:space="preserve">4.6. </w:t>
      </w:r>
      <w:proofErr w:type="spellStart"/>
      <w:r>
        <w:t>Фертилитет</w:t>
      </w:r>
      <w:proofErr w:type="spellEnd"/>
      <w:r>
        <w:t>, бременност и кърмене</w:t>
      </w:r>
    </w:p>
    <w:p w14:paraId="08CD162B" w14:textId="77777777" w:rsidR="005D0A88" w:rsidRDefault="005D0A88" w:rsidP="005D0A88">
      <w:pPr>
        <w:spacing w:line="240" w:lineRule="auto"/>
        <w:rPr>
          <w:rFonts w:ascii="Times New Roman" w:eastAsia="Times New Roman" w:hAnsi="Times New Roman" w:cs="Times New Roman"/>
          <w:color w:val="000000"/>
          <w:lang w:eastAsia="bg-BG"/>
        </w:rPr>
      </w:pPr>
    </w:p>
    <w:p w14:paraId="56DDC693" w14:textId="4396BC92" w:rsidR="005D0A88" w:rsidRPr="005D0A88" w:rsidRDefault="005D0A88" w:rsidP="005D0A88">
      <w:pPr>
        <w:spacing w:line="240" w:lineRule="auto"/>
        <w:rPr>
          <w:rFonts w:eastAsia="Times New Roman" w:cs="Arial"/>
          <w:sz w:val="24"/>
          <w:szCs w:val="24"/>
        </w:rPr>
      </w:pPr>
      <w:proofErr w:type="spellStart"/>
      <w:r w:rsidRPr="005D0A88">
        <w:rPr>
          <w:rFonts w:eastAsia="Times New Roman" w:cs="Arial"/>
          <w:color w:val="000000"/>
          <w:lang w:eastAsia="bg-BG"/>
        </w:rPr>
        <w:t>Иломедин</w:t>
      </w:r>
      <w:proofErr w:type="spellEnd"/>
      <w:r w:rsidRPr="005D0A88">
        <w:rPr>
          <w:rFonts w:eastAsia="Times New Roman" w:cs="Arial"/>
          <w:color w:val="000000"/>
          <w:lang w:eastAsia="bg-BG"/>
        </w:rPr>
        <w:t xml:space="preserve"> не трябва да се прилага при бременни и кърмачки (вж. 4.3 Противопоказания).</w:t>
      </w:r>
    </w:p>
    <w:p w14:paraId="7A4712A9" w14:textId="77777777" w:rsidR="005D0A88" w:rsidRPr="005D0A88" w:rsidRDefault="005D0A88" w:rsidP="005D0A88">
      <w:pPr>
        <w:spacing w:line="240" w:lineRule="auto"/>
        <w:rPr>
          <w:rFonts w:eastAsia="Times New Roman" w:cs="Arial"/>
          <w:color w:val="000000"/>
          <w:u w:val="single"/>
          <w:lang w:eastAsia="bg-BG"/>
        </w:rPr>
      </w:pPr>
    </w:p>
    <w:p w14:paraId="1517C7E7" w14:textId="07D10F5D" w:rsidR="005D0A88" w:rsidRPr="005D0A88" w:rsidRDefault="005D0A88" w:rsidP="005D0A88">
      <w:pPr>
        <w:pStyle w:val="Heading3"/>
        <w:rPr>
          <w:rFonts w:eastAsia="Times New Roman"/>
          <w:u w:val="single"/>
        </w:rPr>
      </w:pPr>
      <w:r w:rsidRPr="005D0A88">
        <w:rPr>
          <w:rFonts w:eastAsia="Times New Roman"/>
          <w:u w:val="single"/>
          <w:lang w:eastAsia="bg-BG"/>
        </w:rPr>
        <w:t>Бременност</w:t>
      </w:r>
    </w:p>
    <w:p w14:paraId="03DE723C" w14:textId="77777777" w:rsidR="005D0A88" w:rsidRPr="005D0A88" w:rsidRDefault="005D0A88" w:rsidP="005D0A88">
      <w:pPr>
        <w:spacing w:line="240" w:lineRule="auto"/>
        <w:rPr>
          <w:rFonts w:eastAsia="Times New Roman" w:cs="Arial"/>
          <w:color w:val="000000"/>
          <w:lang w:eastAsia="bg-BG"/>
        </w:rPr>
      </w:pPr>
    </w:p>
    <w:p w14:paraId="4C5C9BDE" w14:textId="3ED81D07"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Няма достатъчно данни за употребата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при бременни жени. Предклиничните изпитвания показват доказателства за </w:t>
      </w:r>
      <w:proofErr w:type="spellStart"/>
      <w:r w:rsidRPr="005D0A88">
        <w:rPr>
          <w:rFonts w:eastAsia="Times New Roman" w:cs="Arial"/>
          <w:color w:val="000000"/>
          <w:lang w:eastAsia="bg-BG"/>
        </w:rPr>
        <w:t>фетотоксичност</w:t>
      </w:r>
      <w:proofErr w:type="spellEnd"/>
      <w:r w:rsidRPr="005D0A88">
        <w:rPr>
          <w:rFonts w:eastAsia="Times New Roman" w:cs="Arial"/>
          <w:color w:val="000000"/>
          <w:lang w:eastAsia="bg-BG"/>
        </w:rPr>
        <w:t xml:space="preserve"> при плъхове, но не и при зайци и маймуни (вж. 5.3 Предклинични данни за безопасност).</w:t>
      </w:r>
    </w:p>
    <w:p w14:paraId="4D074C1D" w14:textId="77777777" w:rsidR="005D0A88" w:rsidRPr="005D0A88" w:rsidRDefault="005D0A88" w:rsidP="005D0A88">
      <w:pPr>
        <w:spacing w:line="240" w:lineRule="auto"/>
        <w:rPr>
          <w:rFonts w:eastAsia="Times New Roman" w:cs="Arial"/>
          <w:color w:val="000000"/>
          <w:lang w:eastAsia="bg-BG"/>
        </w:rPr>
      </w:pPr>
    </w:p>
    <w:p w14:paraId="17D48145" w14:textId="5D7AD9ED"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Тъй като потенциалния риск от терапевтичната употреба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при бременни не е известен, жени в детеродна възраст трябва да използват ефективни контрацептивни методи по време на лечението.</w:t>
      </w:r>
    </w:p>
    <w:p w14:paraId="10DDA3E1" w14:textId="77777777" w:rsidR="005D0A88" w:rsidRPr="005D0A88" w:rsidRDefault="005D0A88" w:rsidP="005D0A88">
      <w:pPr>
        <w:spacing w:line="240" w:lineRule="auto"/>
        <w:rPr>
          <w:rFonts w:eastAsia="Times New Roman" w:cs="Arial"/>
          <w:color w:val="000000"/>
          <w:u w:val="single"/>
          <w:lang w:eastAsia="bg-BG"/>
        </w:rPr>
      </w:pPr>
    </w:p>
    <w:p w14:paraId="4E7003F0" w14:textId="13A3E039" w:rsidR="005D0A88" w:rsidRPr="005D0A88" w:rsidRDefault="005D0A88" w:rsidP="005D0A88">
      <w:pPr>
        <w:pStyle w:val="Heading3"/>
        <w:rPr>
          <w:rFonts w:eastAsia="Times New Roman"/>
          <w:u w:val="single"/>
        </w:rPr>
      </w:pPr>
      <w:r w:rsidRPr="005D0A88">
        <w:rPr>
          <w:rFonts w:eastAsia="Times New Roman"/>
          <w:u w:val="single"/>
          <w:lang w:eastAsia="bg-BG"/>
        </w:rPr>
        <w:t>Кърмене</w:t>
      </w:r>
    </w:p>
    <w:p w14:paraId="5E96E277" w14:textId="77777777" w:rsidR="005D0A88" w:rsidRPr="005D0A88" w:rsidRDefault="005D0A88" w:rsidP="005D0A88">
      <w:pPr>
        <w:spacing w:line="240" w:lineRule="auto"/>
        <w:rPr>
          <w:rFonts w:eastAsia="Times New Roman" w:cs="Arial"/>
          <w:color w:val="000000"/>
          <w:lang w:eastAsia="bg-BG"/>
        </w:rPr>
      </w:pPr>
    </w:p>
    <w:p w14:paraId="3A540027" w14:textId="21E4B8EB"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Не е известно дали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преминава в кърмата. Тъй като съвсем малко количество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преминава в кърмата при плъхове,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не следва да се прилага при кърмещи жени.</w:t>
      </w:r>
    </w:p>
    <w:p w14:paraId="4E2083A1" w14:textId="77777777" w:rsidR="005D0A88" w:rsidRPr="005D0A88" w:rsidRDefault="005D0A88" w:rsidP="005D0A88"/>
    <w:p w14:paraId="13465597" w14:textId="0BC62DC2" w:rsidR="003765DC" w:rsidRDefault="002C50EE" w:rsidP="002B3C38">
      <w:pPr>
        <w:pStyle w:val="Heading2"/>
      </w:pPr>
      <w:r>
        <w:t>4.7. Ефекти върху способността за шофиране и работа с машини</w:t>
      </w:r>
    </w:p>
    <w:p w14:paraId="47415D28" w14:textId="77777777" w:rsidR="005D0A88" w:rsidRDefault="005D0A88" w:rsidP="005D0A88"/>
    <w:p w14:paraId="4CD635BB" w14:textId="319FB574" w:rsidR="005D0A88" w:rsidRDefault="005D0A88" w:rsidP="005D0A88">
      <w:r>
        <w:t>Неприложимо</w:t>
      </w:r>
    </w:p>
    <w:p w14:paraId="5700E886" w14:textId="77777777" w:rsidR="005D0A88" w:rsidRPr="005D0A88" w:rsidRDefault="005D0A88" w:rsidP="005D0A88"/>
    <w:p w14:paraId="5D66F04B" w14:textId="58E53E29" w:rsidR="003765DC" w:rsidRDefault="002C50EE" w:rsidP="002B3C38">
      <w:pPr>
        <w:pStyle w:val="Heading2"/>
      </w:pPr>
      <w:r>
        <w:t>4.8. Нежелани лекарствени реакции</w:t>
      </w:r>
    </w:p>
    <w:p w14:paraId="37A38DF1" w14:textId="77777777" w:rsidR="005D0A88" w:rsidRDefault="005D0A88" w:rsidP="005D0A88">
      <w:pPr>
        <w:spacing w:line="240" w:lineRule="auto"/>
        <w:rPr>
          <w:rFonts w:ascii="Times New Roman" w:eastAsia="Times New Roman" w:hAnsi="Times New Roman" w:cs="Times New Roman"/>
          <w:i/>
          <w:iCs/>
          <w:color w:val="000000"/>
          <w:lang w:eastAsia="bg-BG"/>
        </w:rPr>
      </w:pPr>
    </w:p>
    <w:p w14:paraId="17B99F58" w14:textId="3897EE73" w:rsidR="005D0A88" w:rsidRPr="005D0A88" w:rsidRDefault="005D0A88" w:rsidP="005D0A88">
      <w:pPr>
        <w:spacing w:line="240" w:lineRule="auto"/>
        <w:rPr>
          <w:rFonts w:eastAsia="Times New Roman" w:cs="Arial"/>
          <w:sz w:val="24"/>
          <w:szCs w:val="24"/>
        </w:rPr>
      </w:pPr>
      <w:r w:rsidRPr="005D0A88">
        <w:rPr>
          <w:rFonts w:eastAsia="Times New Roman" w:cs="Arial"/>
          <w:i/>
          <w:iCs/>
          <w:color w:val="000000"/>
          <w:lang w:eastAsia="bg-BG"/>
        </w:rPr>
        <w:t>Резюме на профила на безопасност</w:t>
      </w:r>
    </w:p>
    <w:p w14:paraId="3CDECA87" w14:textId="77777777" w:rsidR="005D0A88" w:rsidRPr="005D0A88" w:rsidRDefault="005D0A88" w:rsidP="005D0A88">
      <w:pPr>
        <w:spacing w:line="240" w:lineRule="auto"/>
        <w:rPr>
          <w:rFonts w:eastAsia="Times New Roman" w:cs="Arial"/>
          <w:color w:val="000000"/>
          <w:lang w:eastAsia="bg-BG"/>
        </w:rPr>
      </w:pPr>
    </w:p>
    <w:p w14:paraId="4722A5C5" w14:textId="354BED63"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Общият профил на безопасност на </w:t>
      </w:r>
      <w:proofErr w:type="spellStart"/>
      <w:r w:rsidRPr="005D0A88">
        <w:rPr>
          <w:rFonts w:eastAsia="Times New Roman" w:cs="Arial"/>
          <w:color w:val="000000"/>
          <w:lang w:eastAsia="bg-BG"/>
        </w:rPr>
        <w:t>Иломедин</w:t>
      </w:r>
      <w:proofErr w:type="spellEnd"/>
      <w:r w:rsidRPr="005D0A88">
        <w:rPr>
          <w:rFonts w:eastAsia="Times New Roman" w:cs="Arial"/>
          <w:color w:val="000000"/>
          <w:lang w:eastAsia="bg-BG"/>
        </w:rPr>
        <w:t xml:space="preserve"> се основава на данни от </w:t>
      </w:r>
      <w:proofErr w:type="spellStart"/>
      <w:r w:rsidRPr="005D0A88">
        <w:rPr>
          <w:rFonts w:eastAsia="Times New Roman" w:cs="Arial"/>
          <w:color w:val="000000"/>
          <w:lang w:eastAsia="bg-BG"/>
        </w:rPr>
        <w:t>постмаркетингово</w:t>
      </w:r>
      <w:proofErr w:type="spellEnd"/>
      <w:r w:rsidRPr="005D0A88">
        <w:rPr>
          <w:rFonts w:eastAsia="Times New Roman" w:cs="Arial"/>
          <w:color w:val="000000"/>
          <w:lang w:eastAsia="bg-BG"/>
        </w:rPr>
        <w:t xml:space="preserve"> наблюдение и на сборни данни от клинични изпитвания. Необработените инциденти са базирани на кумулативната база данни от 3325 пациента, които са получили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в контролирани или неконтролирани клинични изпитвания или в програма за палиативна употреба при по-възрастни пациенти и с повече от едно заболяване, с периферно артериално </w:t>
      </w:r>
      <w:proofErr w:type="spellStart"/>
      <w:r w:rsidRPr="005D0A88">
        <w:rPr>
          <w:rFonts w:eastAsia="Times New Roman" w:cs="Arial"/>
          <w:color w:val="000000"/>
          <w:lang w:eastAsia="bg-BG"/>
        </w:rPr>
        <w:t>оклузивно</w:t>
      </w:r>
      <w:proofErr w:type="spellEnd"/>
      <w:r w:rsidRPr="005D0A88">
        <w:rPr>
          <w:rFonts w:eastAsia="Times New Roman" w:cs="Arial"/>
          <w:color w:val="000000"/>
          <w:lang w:eastAsia="bg-BG"/>
        </w:rPr>
        <w:t xml:space="preserve"> заболяване </w:t>
      </w:r>
      <w:r w:rsidRPr="005D0A88">
        <w:rPr>
          <w:rFonts w:eastAsia="Times New Roman" w:cs="Arial"/>
          <w:color w:val="000000"/>
          <w:lang w:val="en-US"/>
        </w:rPr>
        <w:t xml:space="preserve">(PAOD) </w:t>
      </w:r>
      <w:r w:rsidRPr="005D0A88">
        <w:rPr>
          <w:rFonts w:eastAsia="Times New Roman" w:cs="Arial"/>
          <w:color w:val="000000"/>
          <w:lang w:eastAsia="bg-BG"/>
        </w:rPr>
        <w:t xml:space="preserve">в неговите напреднали стадии III и IV и пациенти с </w:t>
      </w:r>
      <w:proofErr w:type="spellStart"/>
      <w:r w:rsidRPr="005D0A88">
        <w:rPr>
          <w:rFonts w:eastAsia="Times New Roman" w:cs="Arial"/>
          <w:color w:val="000000"/>
          <w:lang w:eastAsia="bg-BG"/>
        </w:rPr>
        <w:t>облитериращ</w:t>
      </w:r>
      <w:proofErr w:type="spellEnd"/>
      <w:r w:rsidRPr="005D0A88">
        <w:rPr>
          <w:rFonts w:eastAsia="Times New Roman" w:cs="Arial"/>
          <w:color w:val="000000"/>
          <w:lang w:eastAsia="bg-BG"/>
        </w:rPr>
        <w:t xml:space="preserve"> </w:t>
      </w:r>
      <w:proofErr w:type="spellStart"/>
      <w:r w:rsidRPr="005D0A88">
        <w:rPr>
          <w:rFonts w:eastAsia="Times New Roman" w:cs="Arial"/>
          <w:color w:val="000000"/>
          <w:lang w:eastAsia="bg-BG"/>
        </w:rPr>
        <w:t>тромбангиит</w:t>
      </w:r>
      <w:proofErr w:type="spellEnd"/>
      <w:r w:rsidRPr="005D0A88">
        <w:rPr>
          <w:rFonts w:eastAsia="Times New Roman" w:cs="Arial"/>
          <w:color w:val="000000"/>
          <w:lang w:eastAsia="bg-BG"/>
        </w:rPr>
        <w:t xml:space="preserve"> (ТАО) (за повече информация вж. Таблица 1).</w:t>
      </w:r>
    </w:p>
    <w:p w14:paraId="45E9CC35" w14:textId="77777777" w:rsidR="005D0A88" w:rsidRPr="005D0A88" w:rsidRDefault="005D0A88" w:rsidP="005D0A88">
      <w:pPr>
        <w:spacing w:line="240" w:lineRule="auto"/>
        <w:rPr>
          <w:rFonts w:eastAsia="Times New Roman" w:cs="Arial"/>
          <w:color w:val="000000"/>
          <w:lang w:eastAsia="bg-BG"/>
        </w:rPr>
      </w:pPr>
    </w:p>
    <w:p w14:paraId="173E5641" w14:textId="7D97DC42"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Най-често наблюдаваните нежелани лекарствени реакции (</w:t>
      </w:r>
      <w:r w:rsidRPr="005D0A88">
        <w:rPr>
          <w:rFonts w:eastAsia="Times New Roman" w:cs="Arial"/>
          <w:color w:val="000000"/>
          <w:lang w:val="en-US"/>
        </w:rPr>
        <w:t>≥</w:t>
      </w:r>
      <w:r w:rsidRPr="005D0A88">
        <w:rPr>
          <w:rFonts w:eastAsia="Times New Roman" w:cs="Arial"/>
          <w:color w:val="000000"/>
          <w:lang w:eastAsia="bg-BG"/>
        </w:rPr>
        <w:t xml:space="preserve">10%) при пациенти, получаващи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в клинични изпитвания, са главоболие, зачервяване на лицето, гадене, повръщане и </w:t>
      </w:r>
      <w:proofErr w:type="spellStart"/>
      <w:r w:rsidRPr="005D0A88">
        <w:rPr>
          <w:rFonts w:eastAsia="Times New Roman" w:cs="Arial"/>
          <w:color w:val="000000"/>
          <w:lang w:eastAsia="bg-BG"/>
        </w:rPr>
        <w:t>хиперхидроза</w:t>
      </w:r>
      <w:proofErr w:type="spellEnd"/>
      <w:r w:rsidRPr="005D0A88">
        <w:rPr>
          <w:rFonts w:eastAsia="Times New Roman" w:cs="Arial"/>
          <w:color w:val="000000"/>
          <w:lang w:eastAsia="bg-BG"/>
        </w:rPr>
        <w:t xml:space="preserve">. Вероятно е да бъдат проявени, докато дозата се </w:t>
      </w:r>
      <w:proofErr w:type="spellStart"/>
      <w:r w:rsidRPr="005D0A88">
        <w:rPr>
          <w:rFonts w:eastAsia="Times New Roman" w:cs="Arial"/>
          <w:color w:val="000000"/>
          <w:lang w:eastAsia="bg-BG"/>
        </w:rPr>
        <w:t>титрира</w:t>
      </w:r>
      <w:proofErr w:type="spellEnd"/>
      <w:r w:rsidRPr="005D0A88">
        <w:rPr>
          <w:rFonts w:eastAsia="Times New Roman" w:cs="Arial"/>
          <w:color w:val="000000"/>
          <w:lang w:eastAsia="bg-BG"/>
        </w:rPr>
        <w:t xml:space="preserve"> в началото на лечението за определяне на най-добрата поносима доза за съответния пациент. Все пак, всички тези нежелани реакции обикновено отшумяват бързо с намаляване на дозата.</w:t>
      </w:r>
    </w:p>
    <w:p w14:paraId="263941A3" w14:textId="77777777" w:rsidR="005D0A88" w:rsidRPr="005D0A88" w:rsidRDefault="005D0A88" w:rsidP="005D0A88">
      <w:pPr>
        <w:spacing w:line="240" w:lineRule="auto"/>
        <w:rPr>
          <w:rFonts w:eastAsia="Times New Roman" w:cs="Arial"/>
          <w:color w:val="000000"/>
          <w:lang w:eastAsia="bg-BG"/>
        </w:rPr>
      </w:pPr>
    </w:p>
    <w:p w14:paraId="4D7FAD5D" w14:textId="720E35F7"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Общо, най-тежките нежелани лекарствени реакции при пациенти, получаващи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са </w:t>
      </w:r>
      <w:proofErr w:type="spellStart"/>
      <w:r w:rsidRPr="005D0A88">
        <w:rPr>
          <w:rFonts w:eastAsia="Times New Roman" w:cs="Arial"/>
          <w:color w:val="000000"/>
          <w:lang w:eastAsia="bg-BG"/>
        </w:rPr>
        <w:t>мозъчносъдов</w:t>
      </w:r>
      <w:proofErr w:type="spellEnd"/>
      <w:r w:rsidRPr="005D0A88">
        <w:rPr>
          <w:rFonts w:eastAsia="Times New Roman" w:cs="Arial"/>
          <w:color w:val="000000"/>
          <w:lang w:eastAsia="bg-BG"/>
        </w:rPr>
        <w:t xml:space="preserve"> инцидент, инфаркт на миокарда, белодробна емболия, сърдечна недостатъчност, гърч, хипотония, тахикардия, астма, стенокардия, задух и белодробен оток.</w:t>
      </w:r>
    </w:p>
    <w:p w14:paraId="0A7CD544" w14:textId="77777777" w:rsidR="005D0A88" w:rsidRPr="005D0A88" w:rsidRDefault="005D0A88" w:rsidP="005D0A88">
      <w:pPr>
        <w:spacing w:line="240" w:lineRule="auto"/>
        <w:rPr>
          <w:rFonts w:eastAsia="Times New Roman" w:cs="Arial"/>
          <w:color w:val="000000"/>
          <w:lang w:eastAsia="bg-BG"/>
        </w:rPr>
      </w:pPr>
    </w:p>
    <w:p w14:paraId="202E7D73" w14:textId="3B717406"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Друга група нежелани реакции е свързана с реакции на мястото на инфузия. Например, могат да се появят зачервяване на мястото на инфузия и болка мястото на инфузия или една кожна </w:t>
      </w:r>
      <w:proofErr w:type="spellStart"/>
      <w:r w:rsidRPr="005D0A88">
        <w:rPr>
          <w:rFonts w:eastAsia="Times New Roman" w:cs="Arial"/>
          <w:color w:val="000000"/>
          <w:lang w:eastAsia="bg-BG"/>
        </w:rPr>
        <w:t>вазодилатация</w:t>
      </w:r>
      <w:proofErr w:type="spellEnd"/>
      <w:r w:rsidRPr="005D0A88">
        <w:rPr>
          <w:rFonts w:eastAsia="Times New Roman" w:cs="Arial"/>
          <w:color w:val="000000"/>
          <w:lang w:eastAsia="bg-BG"/>
        </w:rPr>
        <w:t xml:space="preserve"> да се развие до </w:t>
      </w:r>
      <w:proofErr w:type="spellStart"/>
      <w:r w:rsidRPr="005D0A88">
        <w:rPr>
          <w:rFonts w:eastAsia="Times New Roman" w:cs="Arial"/>
          <w:color w:val="000000"/>
          <w:lang w:eastAsia="bg-BG"/>
        </w:rPr>
        <w:t>ивицовидна</w:t>
      </w:r>
      <w:proofErr w:type="spellEnd"/>
      <w:r w:rsidRPr="005D0A88">
        <w:rPr>
          <w:rFonts w:eastAsia="Times New Roman" w:cs="Arial"/>
          <w:color w:val="000000"/>
          <w:lang w:eastAsia="bg-BG"/>
        </w:rPr>
        <w:t xml:space="preserve"> еритема над вената на инфузия.</w:t>
      </w:r>
    </w:p>
    <w:p w14:paraId="03464FD6" w14:textId="77777777" w:rsidR="005D0A88" w:rsidRPr="005D0A88" w:rsidRDefault="005D0A88" w:rsidP="005D0A88">
      <w:pPr>
        <w:spacing w:line="240" w:lineRule="auto"/>
        <w:rPr>
          <w:rFonts w:eastAsia="Times New Roman" w:cs="Arial"/>
          <w:i/>
          <w:iCs/>
          <w:color w:val="000000"/>
          <w:lang w:eastAsia="bg-BG"/>
        </w:rPr>
      </w:pPr>
    </w:p>
    <w:p w14:paraId="328F6A63" w14:textId="2FC71390" w:rsidR="005D0A88" w:rsidRPr="005D0A88" w:rsidRDefault="005D0A88" w:rsidP="005D0A88">
      <w:pPr>
        <w:spacing w:line="240" w:lineRule="auto"/>
        <w:rPr>
          <w:rFonts w:eastAsia="Times New Roman" w:cs="Arial"/>
          <w:sz w:val="24"/>
          <w:szCs w:val="24"/>
        </w:rPr>
      </w:pPr>
      <w:r w:rsidRPr="005D0A88">
        <w:rPr>
          <w:rFonts w:eastAsia="Times New Roman" w:cs="Arial"/>
          <w:i/>
          <w:iCs/>
          <w:color w:val="000000"/>
          <w:lang w:eastAsia="bg-BG"/>
        </w:rPr>
        <w:lastRenderedPageBreak/>
        <w:t>Резюме в табличен вид на нежеланите реакции</w:t>
      </w:r>
    </w:p>
    <w:p w14:paraId="08E0B687" w14:textId="77777777" w:rsidR="005D0A88" w:rsidRPr="005D0A88" w:rsidRDefault="005D0A88" w:rsidP="005D0A88">
      <w:pPr>
        <w:spacing w:line="240" w:lineRule="auto"/>
        <w:rPr>
          <w:rFonts w:eastAsia="Times New Roman" w:cs="Arial"/>
          <w:color w:val="000000"/>
          <w:lang w:eastAsia="bg-BG"/>
        </w:rPr>
      </w:pPr>
    </w:p>
    <w:p w14:paraId="65EAAEDF" w14:textId="77777777" w:rsidR="005D0A88" w:rsidRPr="005D0A88" w:rsidRDefault="005D0A88" w:rsidP="005D0A88">
      <w:pPr>
        <w:rPr>
          <w:rFonts w:eastAsia="Times New Roman" w:cs="Arial"/>
          <w:sz w:val="24"/>
          <w:szCs w:val="24"/>
        </w:rPr>
      </w:pPr>
      <w:r w:rsidRPr="005D0A88">
        <w:rPr>
          <w:rFonts w:eastAsia="Times New Roman" w:cs="Arial"/>
          <w:color w:val="000000"/>
          <w:lang w:eastAsia="bg-BG"/>
        </w:rPr>
        <w:t xml:space="preserve">В таблицата по-долу са поместени нежеланите лекарствени реакции, наблюдавани с </w:t>
      </w:r>
      <w:proofErr w:type="spellStart"/>
      <w:r w:rsidRPr="005D0A88">
        <w:rPr>
          <w:rFonts w:eastAsia="Times New Roman" w:cs="Arial"/>
          <w:color w:val="000000"/>
          <w:lang w:eastAsia="bg-BG"/>
        </w:rPr>
        <w:t>Иломедин</w:t>
      </w:r>
      <w:proofErr w:type="spellEnd"/>
      <w:r w:rsidRPr="005D0A88">
        <w:rPr>
          <w:rFonts w:eastAsia="Times New Roman" w:cs="Arial"/>
          <w:color w:val="000000"/>
          <w:lang w:eastAsia="bg-BG"/>
        </w:rPr>
        <w:t xml:space="preserve">. Те са класифицирани по </w:t>
      </w:r>
      <w:proofErr w:type="spellStart"/>
      <w:r w:rsidRPr="005D0A88">
        <w:rPr>
          <w:rFonts w:eastAsia="Times New Roman" w:cs="Arial"/>
          <w:color w:val="000000"/>
          <w:lang w:eastAsia="bg-BG"/>
        </w:rPr>
        <w:t>системо</w:t>
      </w:r>
      <w:proofErr w:type="spellEnd"/>
      <w:r w:rsidRPr="005D0A88">
        <w:rPr>
          <w:rFonts w:eastAsia="Times New Roman" w:cs="Arial"/>
          <w:color w:val="000000"/>
          <w:lang w:eastAsia="bg-BG"/>
        </w:rPr>
        <w:t xml:space="preserve">-органни класове (по </w:t>
      </w:r>
      <w:r w:rsidRPr="005D0A88">
        <w:rPr>
          <w:rFonts w:eastAsia="Times New Roman" w:cs="Arial"/>
          <w:color w:val="000000"/>
          <w:lang w:val="en-US"/>
        </w:rPr>
        <w:t xml:space="preserve">MedDRA </w:t>
      </w:r>
      <w:r w:rsidRPr="005D0A88">
        <w:rPr>
          <w:rFonts w:eastAsia="Times New Roman" w:cs="Arial"/>
          <w:color w:val="000000"/>
          <w:lang w:eastAsia="bg-BG"/>
        </w:rPr>
        <w:t>версия 14.1). Използвана е най-подходящата терминология за описание на съответната реакция и нейните синоними и свързани състояния.</w:t>
      </w:r>
    </w:p>
    <w:p w14:paraId="11405C3B" w14:textId="77777777" w:rsidR="005D0A88" w:rsidRPr="005D0A88" w:rsidRDefault="005D0A88" w:rsidP="005D0A88">
      <w:pPr>
        <w:spacing w:line="240" w:lineRule="auto"/>
        <w:rPr>
          <w:rFonts w:eastAsia="Times New Roman" w:cs="Arial"/>
          <w:color w:val="000000"/>
          <w:lang w:eastAsia="bg-BG"/>
        </w:rPr>
      </w:pPr>
      <w:r w:rsidRPr="005D0A88">
        <w:rPr>
          <w:rFonts w:eastAsia="Times New Roman" w:cs="Arial"/>
          <w:color w:val="000000"/>
          <w:lang w:eastAsia="bg-BG"/>
        </w:rPr>
        <w:t xml:space="preserve">Нежеланите лекарствени реакции от клинични изпитвания са класифицирани по тяхната честота. </w:t>
      </w:r>
    </w:p>
    <w:p w14:paraId="57C51C62" w14:textId="77777777" w:rsidR="005D0A88" w:rsidRPr="005D0A88" w:rsidRDefault="005D0A88" w:rsidP="005D0A88">
      <w:pPr>
        <w:spacing w:line="240" w:lineRule="auto"/>
        <w:rPr>
          <w:rFonts w:eastAsia="Times New Roman" w:cs="Arial"/>
          <w:color w:val="000000"/>
          <w:lang w:eastAsia="bg-BG"/>
        </w:rPr>
      </w:pPr>
    </w:p>
    <w:p w14:paraId="774394EC" w14:textId="6D1EF5B5"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Групите по честота са определение, както следва: много чести (</w:t>
      </w:r>
      <w:r w:rsidRPr="005D0A88">
        <w:rPr>
          <w:rFonts w:eastAsia="Times New Roman" w:cs="Arial"/>
          <w:color w:val="000000"/>
          <w:lang w:val="en-US"/>
        </w:rPr>
        <w:t>≥</w:t>
      </w:r>
      <w:r w:rsidRPr="005D0A88">
        <w:rPr>
          <w:rFonts w:eastAsia="Times New Roman" w:cs="Arial"/>
          <w:color w:val="000000"/>
          <w:lang w:eastAsia="bg-BG"/>
        </w:rPr>
        <w:t>1/10), чести (</w:t>
      </w:r>
      <w:r w:rsidRPr="005D0A88">
        <w:rPr>
          <w:rFonts w:eastAsia="Times New Roman" w:cs="Arial"/>
          <w:color w:val="000000"/>
          <w:lang w:val="en-US"/>
        </w:rPr>
        <w:t>≥</w:t>
      </w:r>
      <w:r w:rsidRPr="005D0A88">
        <w:rPr>
          <w:rFonts w:eastAsia="Times New Roman" w:cs="Arial"/>
          <w:color w:val="000000"/>
          <w:lang w:eastAsia="bg-BG"/>
        </w:rPr>
        <w:t>1/100 до &lt;1/10), нечести (</w:t>
      </w:r>
      <w:r w:rsidRPr="005D0A88">
        <w:rPr>
          <w:rFonts w:eastAsia="Times New Roman" w:cs="Arial"/>
          <w:color w:val="000000"/>
          <w:lang w:val="en-US"/>
        </w:rPr>
        <w:t>≥</w:t>
      </w:r>
      <w:r w:rsidRPr="005D0A88">
        <w:rPr>
          <w:rFonts w:eastAsia="Times New Roman" w:cs="Arial"/>
          <w:color w:val="000000"/>
          <w:lang w:eastAsia="bg-BG"/>
        </w:rPr>
        <w:t>1/1 000 до &lt;1/100) и редки (</w:t>
      </w:r>
      <w:r w:rsidRPr="005D0A88">
        <w:rPr>
          <w:rFonts w:eastAsia="Times New Roman" w:cs="Arial"/>
          <w:color w:val="000000"/>
          <w:lang w:val="en-US"/>
        </w:rPr>
        <w:t>≥</w:t>
      </w:r>
      <w:r w:rsidRPr="005D0A88">
        <w:rPr>
          <w:rFonts w:eastAsia="Times New Roman" w:cs="Arial"/>
          <w:color w:val="000000"/>
          <w:lang w:eastAsia="bg-BG"/>
        </w:rPr>
        <w:t>1/10 000 до &lt;1/1 000).</w:t>
      </w:r>
    </w:p>
    <w:p w14:paraId="3C4DC8BD" w14:textId="77777777" w:rsidR="005D0A88" w:rsidRPr="005D0A88" w:rsidRDefault="005D0A88" w:rsidP="005D0A88">
      <w:pPr>
        <w:spacing w:line="240" w:lineRule="auto"/>
        <w:rPr>
          <w:rFonts w:eastAsia="Times New Roman" w:cs="Arial"/>
          <w:b/>
          <w:bCs/>
          <w:color w:val="000000"/>
          <w:lang w:eastAsia="bg-BG"/>
        </w:rPr>
      </w:pPr>
    </w:p>
    <w:p w14:paraId="76B521DC" w14:textId="57E9B83C" w:rsidR="005D0A88" w:rsidRPr="005D0A88" w:rsidRDefault="005D0A88" w:rsidP="005D0A88">
      <w:pPr>
        <w:spacing w:line="240" w:lineRule="auto"/>
        <w:rPr>
          <w:rFonts w:eastAsia="Times New Roman" w:cs="Arial"/>
          <w:sz w:val="24"/>
          <w:szCs w:val="24"/>
        </w:rPr>
      </w:pPr>
      <w:r w:rsidRPr="005D0A88">
        <w:rPr>
          <w:rFonts w:eastAsia="Times New Roman" w:cs="Arial"/>
          <w:b/>
          <w:bCs/>
          <w:color w:val="000000"/>
          <w:lang w:eastAsia="bg-BG"/>
        </w:rPr>
        <w:t xml:space="preserve">Таблица 1: Нежелани лекарствени реакции, съобщавани в клинични изпитвания или по време на </w:t>
      </w:r>
      <w:proofErr w:type="spellStart"/>
      <w:r w:rsidRPr="005D0A88">
        <w:rPr>
          <w:rFonts w:eastAsia="Times New Roman" w:cs="Arial"/>
          <w:b/>
          <w:bCs/>
          <w:color w:val="000000"/>
          <w:lang w:eastAsia="bg-BG"/>
        </w:rPr>
        <w:t>постмаркетингово</w:t>
      </w:r>
      <w:proofErr w:type="spellEnd"/>
      <w:r w:rsidRPr="005D0A88">
        <w:rPr>
          <w:rFonts w:eastAsia="Times New Roman" w:cs="Arial"/>
          <w:b/>
          <w:bCs/>
          <w:color w:val="000000"/>
          <w:lang w:eastAsia="bg-BG"/>
        </w:rPr>
        <w:t xml:space="preserve"> наблюдение при пациенти на лечение с </w:t>
      </w:r>
      <w:proofErr w:type="spellStart"/>
      <w:r w:rsidRPr="005D0A88">
        <w:rPr>
          <w:rFonts w:eastAsia="Times New Roman" w:cs="Arial"/>
          <w:b/>
          <w:bCs/>
          <w:color w:val="000000"/>
          <w:lang w:eastAsia="bg-BG"/>
        </w:rPr>
        <w:t>Иломедин</w:t>
      </w:r>
      <w:proofErr w:type="spellEnd"/>
    </w:p>
    <w:tbl>
      <w:tblPr>
        <w:tblStyle w:val="TableGrid"/>
        <w:tblW w:w="0" w:type="auto"/>
        <w:tblLook w:val="04A0" w:firstRow="1" w:lastRow="0" w:firstColumn="1" w:lastColumn="0" w:noHBand="0" w:noVBand="1"/>
      </w:tblPr>
      <w:tblGrid>
        <w:gridCol w:w="1939"/>
        <w:gridCol w:w="1782"/>
        <w:gridCol w:w="1996"/>
        <w:gridCol w:w="2079"/>
        <w:gridCol w:w="1780"/>
      </w:tblGrid>
      <w:tr w:rsidR="005D0A88" w14:paraId="40867F91" w14:textId="77777777" w:rsidTr="005D0A88">
        <w:tc>
          <w:tcPr>
            <w:tcW w:w="1939" w:type="dxa"/>
          </w:tcPr>
          <w:p w14:paraId="2172FE17" w14:textId="2B5B02D9" w:rsidR="005D0A88" w:rsidRDefault="005D0A88" w:rsidP="005D0A88">
            <w:pPr>
              <w:spacing w:line="240" w:lineRule="auto"/>
              <w:rPr>
                <w:rFonts w:eastAsia="Times New Roman" w:cs="Arial"/>
                <w:sz w:val="24"/>
                <w:szCs w:val="24"/>
              </w:rPr>
            </w:pPr>
            <w:proofErr w:type="spellStart"/>
            <w:r>
              <w:rPr>
                <w:b/>
                <w:bCs/>
              </w:rPr>
              <w:t>Системо</w:t>
            </w:r>
            <w:proofErr w:type="spellEnd"/>
            <w:r>
              <w:rPr>
                <w:b/>
                <w:bCs/>
              </w:rPr>
              <w:t xml:space="preserve">-органни класове </w:t>
            </w:r>
            <w:r>
              <w:rPr>
                <w:b/>
                <w:bCs/>
                <w:lang w:val="en-US"/>
              </w:rPr>
              <w:t>(MedDRA)</w:t>
            </w:r>
          </w:p>
        </w:tc>
        <w:tc>
          <w:tcPr>
            <w:tcW w:w="1843" w:type="dxa"/>
          </w:tcPr>
          <w:p w14:paraId="538A7592" w14:textId="5D890A35" w:rsidR="005D0A88" w:rsidRDefault="005D0A88" w:rsidP="005D0A88">
            <w:pPr>
              <w:spacing w:line="240" w:lineRule="auto"/>
              <w:rPr>
                <w:rFonts w:eastAsia="Times New Roman" w:cs="Arial"/>
                <w:sz w:val="24"/>
                <w:szCs w:val="24"/>
              </w:rPr>
            </w:pPr>
            <w:r>
              <w:rPr>
                <w:b/>
                <w:bCs/>
              </w:rPr>
              <w:t>Много чести</w:t>
            </w:r>
          </w:p>
        </w:tc>
        <w:tc>
          <w:tcPr>
            <w:tcW w:w="1872" w:type="dxa"/>
          </w:tcPr>
          <w:p w14:paraId="01CD4B3E" w14:textId="6D59891D" w:rsidR="005D0A88" w:rsidRDefault="005D0A88" w:rsidP="005D0A88">
            <w:pPr>
              <w:spacing w:line="240" w:lineRule="auto"/>
              <w:rPr>
                <w:rFonts w:eastAsia="Times New Roman" w:cs="Arial"/>
                <w:sz w:val="24"/>
                <w:szCs w:val="24"/>
              </w:rPr>
            </w:pPr>
            <w:r>
              <w:rPr>
                <w:b/>
                <w:bCs/>
              </w:rPr>
              <w:t>Чести</w:t>
            </w:r>
          </w:p>
        </w:tc>
        <w:tc>
          <w:tcPr>
            <w:tcW w:w="2079" w:type="dxa"/>
          </w:tcPr>
          <w:p w14:paraId="3BCC3DE6" w14:textId="1EEE1306" w:rsidR="005D0A88" w:rsidRDefault="005D0A88" w:rsidP="005D0A88">
            <w:pPr>
              <w:spacing w:line="240" w:lineRule="auto"/>
              <w:rPr>
                <w:rFonts w:eastAsia="Times New Roman" w:cs="Arial"/>
                <w:sz w:val="24"/>
                <w:szCs w:val="24"/>
              </w:rPr>
            </w:pPr>
            <w:r>
              <w:rPr>
                <w:b/>
                <w:bCs/>
              </w:rPr>
              <w:t>Нечести</w:t>
            </w:r>
          </w:p>
        </w:tc>
        <w:tc>
          <w:tcPr>
            <w:tcW w:w="1843" w:type="dxa"/>
          </w:tcPr>
          <w:p w14:paraId="256F7920" w14:textId="2E5C9FD4" w:rsidR="005D0A88" w:rsidRDefault="005D0A88" w:rsidP="005D0A88">
            <w:pPr>
              <w:spacing w:line="240" w:lineRule="auto"/>
              <w:rPr>
                <w:rFonts w:eastAsia="Times New Roman" w:cs="Arial"/>
                <w:sz w:val="24"/>
                <w:szCs w:val="24"/>
              </w:rPr>
            </w:pPr>
            <w:r>
              <w:rPr>
                <w:b/>
                <w:bCs/>
              </w:rPr>
              <w:t>Редки</w:t>
            </w:r>
          </w:p>
        </w:tc>
      </w:tr>
      <w:tr w:rsidR="005D0A88" w14:paraId="0EA352DA" w14:textId="77777777" w:rsidTr="005D0A88">
        <w:tc>
          <w:tcPr>
            <w:tcW w:w="1939" w:type="dxa"/>
            <w:vAlign w:val="bottom"/>
          </w:tcPr>
          <w:p w14:paraId="02D8A756" w14:textId="326C48E8" w:rsidR="005D0A88" w:rsidRDefault="005D0A88" w:rsidP="005D0A88">
            <w:pPr>
              <w:spacing w:line="240" w:lineRule="auto"/>
              <w:rPr>
                <w:rFonts w:eastAsia="Times New Roman" w:cs="Arial"/>
                <w:sz w:val="24"/>
                <w:szCs w:val="24"/>
              </w:rPr>
            </w:pPr>
            <w:r>
              <w:t>Нарушения на кръвта и лимфната система</w:t>
            </w:r>
          </w:p>
        </w:tc>
        <w:tc>
          <w:tcPr>
            <w:tcW w:w="1843" w:type="dxa"/>
          </w:tcPr>
          <w:p w14:paraId="4C98308F" w14:textId="77777777" w:rsidR="005D0A88" w:rsidRDefault="005D0A88" w:rsidP="005D0A88">
            <w:pPr>
              <w:spacing w:line="240" w:lineRule="auto"/>
              <w:rPr>
                <w:rFonts w:eastAsia="Times New Roman" w:cs="Arial"/>
                <w:sz w:val="24"/>
                <w:szCs w:val="24"/>
              </w:rPr>
            </w:pPr>
          </w:p>
        </w:tc>
        <w:tc>
          <w:tcPr>
            <w:tcW w:w="1872" w:type="dxa"/>
          </w:tcPr>
          <w:p w14:paraId="058BBF23" w14:textId="77777777" w:rsidR="005D0A88" w:rsidRDefault="005D0A88" w:rsidP="005D0A88">
            <w:pPr>
              <w:spacing w:line="240" w:lineRule="auto"/>
              <w:rPr>
                <w:rFonts w:eastAsia="Times New Roman" w:cs="Arial"/>
                <w:sz w:val="24"/>
                <w:szCs w:val="24"/>
              </w:rPr>
            </w:pPr>
          </w:p>
        </w:tc>
        <w:tc>
          <w:tcPr>
            <w:tcW w:w="2079" w:type="dxa"/>
          </w:tcPr>
          <w:p w14:paraId="5D305C62" w14:textId="7F35AB4B" w:rsidR="005D0A88" w:rsidRDefault="005D0A88" w:rsidP="005D0A88">
            <w:pPr>
              <w:spacing w:line="240" w:lineRule="auto"/>
              <w:rPr>
                <w:rFonts w:eastAsia="Times New Roman" w:cs="Arial"/>
                <w:sz w:val="24"/>
                <w:szCs w:val="24"/>
              </w:rPr>
            </w:pPr>
            <w:proofErr w:type="spellStart"/>
            <w:r>
              <w:t>Тромбоцитопения</w:t>
            </w:r>
            <w:proofErr w:type="spellEnd"/>
          </w:p>
        </w:tc>
        <w:tc>
          <w:tcPr>
            <w:tcW w:w="1843" w:type="dxa"/>
          </w:tcPr>
          <w:p w14:paraId="2354FE0F" w14:textId="77777777" w:rsidR="005D0A88" w:rsidRDefault="005D0A88" w:rsidP="005D0A88">
            <w:pPr>
              <w:spacing w:line="240" w:lineRule="auto"/>
              <w:rPr>
                <w:rFonts w:eastAsia="Times New Roman" w:cs="Arial"/>
                <w:sz w:val="24"/>
                <w:szCs w:val="24"/>
              </w:rPr>
            </w:pPr>
          </w:p>
        </w:tc>
      </w:tr>
      <w:tr w:rsidR="005D0A88" w14:paraId="5DBDB09D" w14:textId="77777777" w:rsidTr="005D0A88">
        <w:tc>
          <w:tcPr>
            <w:tcW w:w="1939" w:type="dxa"/>
            <w:vAlign w:val="bottom"/>
          </w:tcPr>
          <w:p w14:paraId="2AAE4106" w14:textId="48F9533B" w:rsidR="005D0A88" w:rsidRDefault="005D0A88" w:rsidP="005D0A88">
            <w:pPr>
              <w:spacing w:line="240" w:lineRule="auto"/>
              <w:rPr>
                <w:rFonts w:eastAsia="Times New Roman" w:cs="Arial"/>
                <w:sz w:val="24"/>
                <w:szCs w:val="24"/>
              </w:rPr>
            </w:pPr>
            <w:r>
              <w:t>Нарушения на имунната система</w:t>
            </w:r>
          </w:p>
        </w:tc>
        <w:tc>
          <w:tcPr>
            <w:tcW w:w="1843" w:type="dxa"/>
          </w:tcPr>
          <w:p w14:paraId="7A01561F" w14:textId="77777777" w:rsidR="005D0A88" w:rsidRDefault="005D0A88" w:rsidP="005D0A88">
            <w:pPr>
              <w:spacing w:line="240" w:lineRule="auto"/>
              <w:rPr>
                <w:rFonts w:eastAsia="Times New Roman" w:cs="Arial"/>
                <w:sz w:val="24"/>
                <w:szCs w:val="24"/>
              </w:rPr>
            </w:pPr>
          </w:p>
        </w:tc>
        <w:tc>
          <w:tcPr>
            <w:tcW w:w="1872" w:type="dxa"/>
          </w:tcPr>
          <w:p w14:paraId="2051E663" w14:textId="77777777" w:rsidR="005D0A88" w:rsidRDefault="005D0A88" w:rsidP="005D0A88">
            <w:pPr>
              <w:spacing w:line="240" w:lineRule="auto"/>
              <w:rPr>
                <w:rFonts w:eastAsia="Times New Roman" w:cs="Arial"/>
                <w:sz w:val="24"/>
                <w:szCs w:val="24"/>
              </w:rPr>
            </w:pPr>
          </w:p>
        </w:tc>
        <w:tc>
          <w:tcPr>
            <w:tcW w:w="2079" w:type="dxa"/>
            <w:vAlign w:val="bottom"/>
          </w:tcPr>
          <w:p w14:paraId="01003903" w14:textId="1FFAE95C" w:rsidR="005D0A88" w:rsidRDefault="005D0A88" w:rsidP="005D0A88">
            <w:pPr>
              <w:spacing w:line="240" w:lineRule="auto"/>
              <w:rPr>
                <w:rFonts w:eastAsia="Times New Roman" w:cs="Arial"/>
                <w:sz w:val="24"/>
                <w:szCs w:val="24"/>
              </w:rPr>
            </w:pPr>
            <w:r>
              <w:t>Свръхчувствител</w:t>
            </w:r>
            <w:r>
              <w:softHyphen/>
              <w:t>ност</w:t>
            </w:r>
          </w:p>
        </w:tc>
        <w:tc>
          <w:tcPr>
            <w:tcW w:w="1843" w:type="dxa"/>
          </w:tcPr>
          <w:p w14:paraId="0097E1CA" w14:textId="77777777" w:rsidR="005D0A88" w:rsidRDefault="005D0A88" w:rsidP="005D0A88">
            <w:pPr>
              <w:spacing w:line="240" w:lineRule="auto"/>
              <w:rPr>
                <w:rFonts w:eastAsia="Times New Roman" w:cs="Arial"/>
                <w:sz w:val="24"/>
                <w:szCs w:val="24"/>
              </w:rPr>
            </w:pPr>
          </w:p>
        </w:tc>
      </w:tr>
      <w:tr w:rsidR="005D0A88" w14:paraId="147B4376" w14:textId="77777777" w:rsidTr="005D0A88">
        <w:tc>
          <w:tcPr>
            <w:tcW w:w="1939" w:type="dxa"/>
            <w:vAlign w:val="bottom"/>
          </w:tcPr>
          <w:p w14:paraId="512D5F25" w14:textId="77D7299D" w:rsidR="005D0A88" w:rsidRDefault="005D0A88" w:rsidP="005D0A88">
            <w:pPr>
              <w:spacing w:line="240" w:lineRule="auto"/>
              <w:rPr>
                <w:rFonts w:eastAsia="Times New Roman" w:cs="Arial"/>
                <w:sz w:val="24"/>
                <w:szCs w:val="24"/>
              </w:rPr>
            </w:pPr>
            <w:r>
              <w:t>Нарушения на метаболизма и храненето</w:t>
            </w:r>
          </w:p>
        </w:tc>
        <w:tc>
          <w:tcPr>
            <w:tcW w:w="1843" w:type="dxa"/>
          </w:tcPr>
          <w:p w14:paraId="54A7F372" w14:textId="77777777" w:rsidR="005D0A88" w:rsidRDefault="005D0A88" w:rsidP="005D0A88">
            <w:pPr>
              <w:spacing w:line="240" w:lineRule="auto"/>
              <w:rPr>
                <w:rFonts w:eastAsia="Times New Roman" w:cs="Arial"/>
                <w:sz w:val="24"/>
                <w:szCs w:val="24"/>
              </w:rPr>
            </w:pPr>
          </w:p>
        </w:tc>
        <w:tc>
          <w:tcPr>
            <w:tcW w:w="1872" w:type="dxa"/>
          </w:tcPr>
          <w:p w14:paraId="4A33308F" w14:textId="146458E9" w:rsidR="005D0A88" w:rsidRDefault="005D0A88" w:rsidP="005D0A88">
            <w:pPr>
              <w:spacing w:line="240" w:lineRule="auto"/>
              <w:rPr>
                <w:rFonts w:eastAsia="Times New Roman" w:cs="Arial"/>
                <w:sz w:val="24"/>
                <w:szCs w:val="24"/>
              </w:rPr>
            </w:pPr>
            <w:r>
              <w:t>Намален апетит</w:t>
            </w:r>
          </w:p>
        </w:tc>
        <w:tc>
          <w:tcPr>
            <w:tcW w:w="2079" w:type="dxa"/>
          </w:tcPr>
          <w:p w14:paraId="28DAB71E" w14:textId="77777777" w:rsidR="005D0A88" w:rsidRDefault="005D0A88" w:rsidP="005D0A88">
            <w:pPr>
              <w:spacing w:line="240" w:lineRule="auto"/>
              <w:rPr>
                <w:rFonts w:eastAsia="Times New Roman" w:cs="Arial"/>
                <w:sz w:val="24"/>
                <w:szCs w:val="24"/>
              </w:rPr>
            </w:pPr>
          </w:p>
        </w:tc>
        <w:tc>
          <w:tcPr>
            <w:tcW w:w="1843" w:type="dxa"/>
          </w:tcPr>
          <w:p w14:paraId="69AFB337" w14:textId="77777777" w:rsidR="005D0A88" w:rsidRDefault="005D0A88" w:rsidP="005D0A88">
            <w:pPr>
              <w:spacing w:line="240" w:lineRule="auto"/>
              <w:rPr>
                <w:rFonts w:eastAsia="Times New Roman" w:cs="Arial"/>
                <w:sz w:val="24"/>
                <w:szCs w:val="24"/>
              </w:rPr>
            </w:pPr>
          </w:p>
        </w:tc>
      </w:tr>
      <w:tr w:rsidR="005D0A88" w14:paraId="2AA0B65C" w14:textId="77777777" w:rsidTr="005D0A88">
        <w:tc>
          <w:tcPr>
            <w:tcW w:w="1939" w:type="dxa"/>
          </w:tcPr>
          <w:p w14:paraId="57D7D0B8" w14:textId="77777777" w:rsidR="005D0A88" w:rsidRDefault="005D0A88" w:rsidP="005D0A88">
            <w:pPr>
              <w:spacing w:line="240" w:lineRule="auto"/>
              <w:rPr>
                <w:rFonts w:eastAsia="Times New Roman" w:cs="Arial"/>
                <w:sz w:val="24"/>
                <w:szCs w:val="24"/>
              </w:rPr>
            </w:pPr>
          </w:p>
        </w:tc>
        <w:tc>
          <w:tcPr>
            <w:tcW w:w="1843" w:type="dxa"/>
          </w:tcPr>
          <w:p w14:paraId="0D6F0E4B" w14:textId="77777777" w:rsidR="005D0A88" w:rsidRDefault="005D0A88" w:rsidP="005D0A88">
            <w:pPr>
              <w:spacing w:line="240" w:lineRule="auto"/>
              <w:rPr>
                <w:rFonts w:eastAsia="Times New Roman" w:cs="Arial"/>
                <w:sz w:val="24"/>
                <w:szCs w:val="24"/>
              </w:rPr>
            </w:pPr>
          </w:p>
        </w:tc>
        <w:tc>
          <w:tcPr>
            <w:tcW w:w="1872" w:type="dxa"/>
          </w:tcPr>
          <w:p w14:paraId="788418DA" w14:textId="77777777" w:rsidR="005D0A88" w:rsidRDefault="005D0A88" w:rsidP="005D0A88">
            <w:pPr>
              <w:spacing w:line="240" w:lineRule="auto"/>
              <w:rPr>
                <w:rFonts w:eastAsia="Times New Roman" w:cs="Arial"/>
                <w:sz w:val="24"/>
                <w:szCs w:val="24"/>
              </w:rPr>
            </w:pPr>
          </w:p>
        </w:tc>
        <w:tc>
          <w:tcPr>
            <w:tcW w:w="2079" w:type="dxa"/>
          </w:tcPr>
          <w:p w14:paraId="7EBA5994" w14:textId="77777777" w:rsidR="005D0A88" w:rsidRDefault="005D0A88" w:rsidP="005D0A88">
            <w:pPr>
              <w:spacing w:line="240" w:lineRule="auto"/>
              <w:rPr>
                <w:rFonts w:eastAsia="Times New Roman" w:cs="Arial"/>
                <w:sz w:val="24"/>
                <w:szCs w:val="24"/>
              </w:rPr>
            </w:pPr>
          </w:p>
        </w:tc>
        <w:tc>
          <w:tcPr>
            <w:tcW w:w="1843" w:type="dxa"/>
          </w:tcPr>
          <w:p w14:paraId="4E0B82AB" w14:textId="77777777" w:rsidR="005D0A88" w:rsidRDefault="005D0A88" w:rsidP="005D0A88">
            <w:pPr>
              <w:spacing w:line="240" w:lineRule="auto"/>
              <w:rPr>
                <w:rFonts w:eastAsia="Times New Roman" w:cs="Arial"/>
                <w:sz w:val="24"/>
                <w:szCs w:val="24"/>
              </w:rPr>
            </w:pPr>
          </w:p>
        </w:tc>
      </w:tr>
      <w:tr w:rsidR="005D0A88" w14:paraId="546ED07D" w14:textId="77777777" w:rsidTr="005D0A88">
        <w:tc>
          <w:tcPr>
            <w:tcW w:w="1939" w:type="dxa"/>
          </w:tcPr>
          <w:p w14:paraId="7280B1E6" w14:textId="68B39345" w:rsidR="005D0A88" w:rsidRDefault="005D0A88" w:rsidP="005D0A88">
            <w:pPr>
              <w:spacing w:line="240" w:lineRule="auto"/>
              <w:rPr>
                <w:rFonts w:eastAsia="Times New Roman" w:cs="Arial"/>
                <w:sz w:val="24"/>
                <w:szCs w:val="24"/>
              </w:rPr>
            </w:pPr>
            <w:r>
              <w:t>Психични нарушения</w:t>
            </w:r>
          </w:p>
        </w:tc>
        <w:tc>
          <w:tcPr>
            <w:tcW w:w="1843" w:type="dxa"/>
          </w:tcPr>
          <w:p w14:paraId="4E35B386" w14:textId="77777777" w:rsidR="005D0A88" w:rsidRDefault="005D0A88" w:rsidP="005D0A88">
            <w:pPr>
              <w:spacing w:line="240" w:lineRule="auto"/>
              <w:rPr>
                <w:rFonts w:eastAsia="Times New Roman" w:cs="Arial"/>
                <w:sz w:val="24"/>
                <w:szCs w:val="24"/>
              </w:rPr>
            </w:pPr>
          </w:p>
        </w:tc>
        <w:tc>
          <w:tcPr>
            <w:tcW w:w="1872" w:type="dxa"/>
          </w:tcPr>
          <w:p w14:paraId="7D34F5F7" w14:textId="4C25B9D9" w:rsidR="005D0A88" w:rsidRDefault="005D0A88" w:rsidP="005D0A88">
            <w:pPr>
              <w:spacing w:line="240" w:lineRule="auto"/>
              <w:rPr>
                <w:rFonts w:eastAsia="Times New Roman" w:cs="Arial"/>
                <w:sz w:val="24"/>
                <w:szCs w:val="24"/>
              </w:rPr>
            </w:pPr>
            <w:r>
              <w:t>Апатия, Състояние на обърканост</w:t>
            </w:r>
          </w:p>
        </w:tc>
        <w:tc>
          <w:tcPr>
            <w:tcW w:w="2079" w:type="dxa"/>
          </w:tcPr>
          <w:p w14:paraId="73CD0036" w14:textId="5E57965E" w:rsidR="005D0A88" w:rsidRDefault="005D0A88" w:rsidP="005D0A88">
            <w:pPr>
              <w:spacing w:line="240" w:lineRule="auto"/>
              <w:rPr>
                <w:rFonts w:eastAsia="Times New Roman" w:cs="Arial"/>
                <w:sz w:val="24"/>
                <w:szCs w:val="24"/>
              </w:rPr>
            </w:pPr>
            <w:r>
              <w:t>Безпокойство, Депресия, Халюцинации</w:t>
            </w:r>
          </w:p>
        </w:tc>
        <w:tc>
          <w:tcPr>
            <w:tcW w:w="1843" w:type="dxa"/>
          </w:tcPr>
          <w:p w14:paraId="1A8DFEA5" w14:textId="77777777" w:rsidR="005D0A88" w:rsidRDefault="005D0A88" w:rsidP="005D0A88">
            <w:pPr>
              <w:spacing w:line="240" w:lineRule="auto"/>
              <w:rPr>
                <w:rFonts w:eastAsia="Times New Roman" w:cs="Arial"/>
                <w:sz w:val="24"/>
                <w:szCs w:val="24"/>
              </w:rPr>
            </w:pPr>
          </w:p>
        </w:tc>
      </w:tr>
      <w:tr w:rsidR="005D0A88" w14:paraId="6273B99F" w14:textId="77777777" w:rsidTr="005D0A88">
        <w:tc>
          <w:tcPr>
            <w:tcW w:w="1939" w:type="dxa"/>
          </w:tcPr>
          <w:p w14:paraId="3A412F5D" w14:textId="7D208DCD" w:rsidR="005D0A88" w:rsidRDefault="005D0A88" w:rsidP="005D0A88">
            <w:pPr>
              <w:spacing w:line="240" w:lineRule="auto"/>
              <w:rPr>
                <w:rFonts w:eastAsia="Times New Roman" w:cs="Arial"/>
                <w:sz w:val="24"/>
                <w:szCs w:val="24"/>
              </w:rPr>
            </w:pPr>
            <w:r>
              <w:t>Нарушения на нервната система</w:t>
            </w:r>
          </w:p>
        </w:tc>
        <w:tc>
          <w:tcPr>
            <w:tcW w:w="1843" w:type="dxa"/>
          </w:tcPr>
          <w:p w14:paraId="71C2E876" w14:textId="64ECFDA9" w:rsidR="005D0A88" w:rsidRDefault="005D0A88" w:rsidP="005D0A88">
            <w:pPr>
              <w:spacing w:line="240" w:lineRule="auto"/>
              <w:rPr>
                <w:rFonts w:eastAsia="Times New Roman" w:cs="Arial"/>
                <w:sz w:val="24"/>
                <w:szCs w:val="24"/>
              </w:rPr>
            </w:pPr>
            <w:r>
              <w:t>Главоболие</w:t>
            </w:r>
          </w:p>
        </w:tc>
        <w:tc>
          <w:tcPr>
            <w:tcW w:w="1872" w:type="dxa"/>
            <w:vAlign w:val="bottom"/>
          </w:tcPr>
          <w:p w14:paraId="5D5CE35D" w14:textId="72CC36E6" w:rsidR="005D0A88" w:rsidRDefault="005D0A88" w:rsidP="005D0A88">
            <w:pPr>
              <w:spacing w:line="240" w:lineRule="auto"/>
              <w:rPr>
                <w:rFonts w:eastAsia="Times New Roman" w:cs="Arial"/>
                <w:sz w:val="24"/>
                <w:szCs w:val="24"/>
              </w:rPr>
            </w:pPr>
            <w:r>
              <w:t xml:space="preserve">Замаяност/ </w:t>
            </w:r>
            <w:proofErr w:type="spellStart"/>
            <w:r>
              <w:t>Вертиго</w:t>
            </w:r>
            <w:proofErr w:type="spellEnd"/>
            <w:r>
              <w:t xml:space="preserve">, </w:t>
            </w:r>
            <w:proofErr w:type="spellStart"/>
            <w:r>
              <w:t>Парестезия</w:t>
            </w:r>
            <w:proofErr w:type="spellEnd"/>
            <w:r>
              <w:t xml:space="preserve"> / Чувство на пулсиране, </w:t>
            </w:r>
            <w:proofErr w:type="spellStart"/>
            <w:r>
              <w:t>Хиперестезия</w:t>
            </w:r>
            <w:proofErr w:type="spellEnd"/>
            <w:r>
              <w:t xml:space="preserve">, Чувство на парене, Безпокойство / Възбуда, </w:t>
            </w:r>
            <w:proofErr w:type="spellStart"/>
            <w:r>
              <w:t>Седация</w:t>
            </w:r>
            <w:proofErr w:type="spellEnd"/>
            <w:r>
              <w:t>, Сънливост</w:t>
            </w:r>
          </w:p>
        </w:tc>
        <w:tc>
          <w:tcPr>
            <w:tcW w:w="2079" w:type="dxa"/>
          </w:tcPr>
          <w:p w14:paraId="4F8B4139" w14:textId="1F631516" w:rsidR="005D0A88" w:rsidRDefault="005D0A88" w:rsidP="005D0A88">
            <w:pPr>
              <w:spacing w:line="240" w:lineRule="auto"/>
              <w:rPr>
                <w:rFonts w:eastAsia="Times New Roman" w:cs="Arial"/>
                <w:sz w:val="24"/>
                <w:szCs w:val="24"/>
              </w:rPr>
            </w:pPr>
            <w:r>
              <w:t>Гърч*, Припадък, Тремор, Мигрена</w:t>
            </w:r>
          </w:p>
        </w:tc>
        <w:tc>
          <w:tcPr>
            <w:tcW w:w="1843" w:type="dxa"/>
          </w:tcPr>
          <w:p w14:paraId="2C520AC4" w14:textId="77777777" w:rsidR="005D0A88" w:rsidRDefault="005D0A88" w:rsidP="005D0A88">
            <w:pPr>
              <w:spacing w:line="240" w:lineRule="auto"/>
              <w:rPr>
                <w:rFonts w:eastAsia="Times New Roman" w:cs="Arial"/>
                <w:sz w:val="24"/>
                <w:szCs w:val="24"/>
              </w:rPr>
            </w:pPr>
          </w:p>
        </w:tc>
      </w:tr>
      <w:tr w:rsidR="005D0A88" w14:paraId="0DAC9770" w14:textId="77777777" w:rsidTr="005D0A88">
        <w:tc>
          <w:tcPr>
            <w:tcW w:w="1939" w:type="dxa"/>
          </w:tcPr>
          <w:p w14:paraId="0CA5005A" w14:textId="372CA677" w:rsidR="005D0A88" w:rsidRDefault="005D0A88" w:rsidP="005D0A88">
            <w:pPr>
              <w:spacing w:line="240" w:lineRule="auto"/>
              <w:rPr>
                <w:rFonts w:eastAsia="Times New Roman" w:cs="Arial"/>
                <w:sz w:val="24"/>
                <w:szCs w:val="24"/>
              </w:rPr>
            </w:pPr>
            <w:r>
              <w:t>Нарушения на очите</w:t>
            </w:r>
          </w:p>
        </w:tc>
        <w:tc>
          <w:tcPr>
            <w:tcW w:w="1843" w:type="dxa"/>
          </w:tcPr>
          <w:p w14:paraId="310B2C47" w14:textId="77777777" w:rsidR="005D0A88" w:rsidRDefault="005D0A88" w:rsidP="005D0A88">
            <w:pPr>
              <w:spacing w:line="240" w:lineRule="auto"/>
              <w:rPr>
                <w:rFonts w:eastAsia="Times New Roman" w:cs="Arial"/>
                <w:sz w:val="24"/>
                <w:szCs w:val="24"/>
              </w:rPr>
            </w:pPr>
          </w:p>
        </w:tc>
        <w:tc>
          <w:tcPr>
            <w:tcW w:w="1872" w:type="dxa"/>
          </w:tcPr>
          <w:p w14:paraId="14AE6062" w14:textId="77777777" w:rsidR="005D0A88" w:rsidRDefault="005D0A88" w:rsidP="005D0A88">
            <w:pPr>
              <w:spacing w:line="240" w:lineRule="auto"/>
              <w:rPr>
                <w:rFonts w:eastAsia="Times New Roman" w:cs="Arial"/>
                <w:sz w:val="24"/>
                <w:szCs w:val="24"/>
              </w:rPr>
            </w:pPr>
          </w:p>
        </w:tc>
        <w:tc>
          <w:tcPr>
            <w:tcW w:w="2079" w:type="dxa"/>
            <w:vAlign w:val="bottom"/>
          </w:tcPr>
          <w:p w14:paraId="00B4591C" w14:textId="46FAE2EB" w:rsidR="005D0A88" w:rsidRDefault="005D0A88" w:rsidP="005D0A88">
            <w:pPr>
              <w:spacing w:line="240" w:lineRule="auto"/>
              <w:rPr>
                <w:rFonts w:eastAsia="Times New Roman" w:cs="Arial"/>
                <w:sz w:val="24"/>
                <w:szCs w:val="24"/>
              </w:rPr>
            </w:pPr>
            <w:r>
              <w:t>Замъглено зрение, Очно дразнене, Очна болка</w:t>
            </w:r>
          </w:p>
        </w:tc>
        <w:tc>
          <w:tcPr>
            <w:tcW w:w="1843" w:type="dxa"/>
          </w:tcPr>
          <w:p w14:paraId="21CB41EB" w14:textId="77777777" w:rsidR="005D0A88" w:rsidRDefault="005D0A88" w:rsidP="005D0A88">
            <w:pPr>
              <w:spacing w:line="240" w:lineRule="auto"/>
              <w:rPr>
                <w:rFonts w:eastAsia="Times New Roman" w:cs="Arial"/>
                <w:sz w:val="24"/>
                <w:szCs w:val="24"/>
              </w:rPr>
            </w:pPr>
          </w:p>
        </w:tc>
      </w:tr>
      <w:tr w:rsidR="005D0A88" w14:paraId="19F84AA4" w14:textId="77777777" w:rsidTr="005D0A88">
        <w:tc>
          <w:tcPr>
            <w:tcW w:w="1939" w:type="dxa"/>
          </w:tcPr>
          <w:p w14:paraId="313A521B" w14:textId="21E03A59" w:rsidR="005D0A88" w:rsidRDefault="005D0A88" w:rsidP="005D0A88">
            <w:pPr>
              <w:spacing w:line="240" w:lineRule="auto"/>
              <w:rPr>
                <w:rFonts w:eastAsia="Times New Roman" w:cs="Arial"/>
                <w:sz w:val="24"/>
                <w:szCs w:val="24"/>
              </w:rPr>
            </w:pPr>
            <w:r>
              <w:t xml:space="preserve">Нарушения на ухото и </w:t>
            </w:r>
            <w:r>
              <w:lastRenderedPageBreak/>
              <w:t>лабиринта</w:t>
            </w:r>
          </w:p>
        </w:tc>
        <w:tc>
          <w:tcPr>
            <w:tcW w:w="1843" w:type="dxa"/>
          </w:tcPr>
          <w:p w14:paraId="256CB0A9" w14:textId="77777777" w:rsidR="005D0A88" w:rsidRDefault="005D0A88" w:rsidP="005D0A88">
            <w:pPr>
              <w:spacing w:line="240" w:lineRule="auto"/>
              <w:rPr>
                <w:rFonts w:eastAsia="Times New Roman" w:cs="Arial"/>
                <w:sz w:val="24"/>
                <w:szCs w:val="24"/>
              </w:rPr>
            </w:pPr>
          </w:p>
        </w:tc>
        <w:tc>
          <w:tcPr>
            <w:tcW w:w="1872" w:type="dxa"/>
          </w:tcPr>
          <w:p w14:paraId="55C2133B" w14:textId="77777777" w:rsidR="005D0A88" w:rsidRDefault="005D0A88" w:rsidP="005D0A88">
            <w:pPr>
              <w:spacing w:line="240" w:lineRule="auto"/>
              <w:rPr>
                <w:rFonts w:eastAsia="Times New Roman" w:cs="Arial"/>
                <w:sz w:val="24"/>
                <w:szCs w:val="24"/>
              </w:rPr>
            </w:pPr>
          </w:p>
        </w:tc>
        <w:tc>
          <w:tcPr>
            <w:tcW w:w="2079" w:type="dxa"/>
          </w:tcPr>
          <w:p w14:paraId="116899BD" w14:textId="77777777" w:rsidR="005D0A88" w:rsidRDefault="005D0A88" w:rsidP="005D0A88">
            <w:pPr>
              <w:spacing w:line="240" w:lineRule="auto"/>
              <w:rPr>
                <w:rFonts w:eastAsia="Times New Roman" w:cs="Arial"/>
                <w:sz w:val="24"/>
                <w:szCs w:val="24"/>
              </w:rPr>
            </w:pPr>
          </w:p>
        </w:tc>
        <w:tc>
          <w:tcPr>
            <w:tcW w:w="1843" w:type="dxa"/>
          </w:tcPr>
          <w:p w14:paraId="74DE949D" w14:textId="322B2E2B" w:rsidR="005D0A88" w:rsidRDefault="005D0A88" w:rsidP="005D0A88">
            <w:pPr>
              <w:spacing w:line="240" w:lineRule="auto"/>
              <w:rPr>
                <w:rFonts w:eastAsia="Times New Roman" w:cs="Arial"/>
                <w:sz w:val="24"/>
                <w:szCs w:val="24"/>
              </w:rPr>
            </w:pPr>
            <w:r>
              <w:t>Вестибуларно нарушение</w:t>
            </w:r>
          </w:p>
        </w:tc>
      </w:tr>
      <w:tr w:rsidR="005D0A88" w14:paraId="14A532E0" w14:textId="77777777" w:rsidTr="005D0A88">
        <w:tc>
          <w:tcPr>
            <w:tcW w:w="1939" w:type="dxa"/>
          </w:tcPr>
          <w:p w14:paraId="655435F1" w14:textId="3D96E630" w:rsidR="005D0A88" w:rsidRDefault="005D0A88" w:rsidP="005D0A88">
            <w:pPr>
              <w:spacing w:line="240" w:lineRule="auto"/>
              <w:rPr>
                <w:rFonts w:eastAsia="Times New Roman" w:cs="Arial"/>
                <w:sz w:val="24"/>
                <w:szCs w:val="24"/>
              </w:rPr>
            </w:pPr>
            <w:r>
              <w:t>Сърдечни нарушения</w:t>
            </w:r>
          </w:p>
        </w:tc>
        <w:tc>
          <w:tcPr>
            <w:tcW w:w="1843" w:type="dxa"/>
          </w:tcPr>
          <w:p w14:paraId="6AA63983" w14:textId="77777777" w:rsidR="005D0A88" w:rsidRDefault="005D0A88" w:rsidP="005D0A88">
            <w:pPr>
              <w:spacing w:line="240" w:lineRule="auto"/>
              <w:rPr>
                <w:rFonts w:eastAsia="Times New Roman" w:cs="Arial"/>
                <w:sz w:val="24"/>
                <w:szCs w:val="24"/>
              </w:rPr>
            </w:pPr>
          </w:p>
        </w:tc>
        <w:tc>
          <w:tcPr>
            <w:tcW w:w="1872" w:type="dxa"/>
          </w:tcPr>
          <w:p w14:paraId="05F94410" w14:textId="61098C9D" w:rsidR="005D0A88" w:rsidRDefault="005D0A88" w:rsidP="005D0A88">
            <w:pPr>
              <w:spacing w:line="240" w:lineRule="auto"/>
              <w:rPr>
                <w:rFonts w:eastAsia="Times New Roman" w:cs="Arial"/>
                <w:sz w:val="24"/>
                <w:szCs w:val="24"/>
              </w:rPr>
            </w:pPr>
            <w:r>
              <w:t>Тахикардия*, Брадикардия, Стенокардия*</w:t>
            </w:r>
          </w:p>
        </w:tc>
        <w:tc>
          <w:tcPr>
            <w:tcW w:w="2079" w:type="dxa"/>
            <w:vAlign w:val="bottom"/>
          </w:tcPr>
          <w:p w14:paraId="46B4DBC0" w14:textId="46644052" w:rsidR="005D0A88" w:rsidRDefault="005D0A88" w:rsidP="005D0A88">
            <w:pPr>
              <w:spacing w:line="240" w:lineRule="auto"/>
              <w:rPr>
                <w:rFonts w:eastAsia="Times New Roman" w:cs="Arial"/>
                <w:sz w:val="24"/>
                <w:szCs w:val="24"/>
              </w:rPr>
            </w:pPr>
            <w:r>
              <w:t xml:space="preserve">Инфаркт на миокарда*, Сърдечна недостатъчност*, Аритмия / </w:t>
            </w:r>
            <w:proofErr w:type="spellStart"/>
            <w:r>
              <w:t>Екстрасистоли</w:t>
            </w:r>
            <w:proofErr w:type="spellEnd"/>
          </w:p>
        </w:tc>
        <w:tc>
          <w:tcPr>
            <w:tcW w:w="1843" w:type="dxa"/>
          </w:tcPr>
          <w:p w14:paraId="235F2899" w14:textId="77777777" w:rsidR="005D0A88" w:rsidRDefault="005D0A88" w:rsidP="005D0A88">
            <w:pPr>
              <w:spacing w:line="240" w:lineRule="auto"/>
              <w:rPr>
                <w:rFonts w:eastAsia="Times New Roman" w:cs="Arial"/>
                <w:sz w:val="24"/>
                <w:szCs w:val="24"/>
              </w:rPr>
            </w:pPr>
          </w:p>
        </w:tc>
      </w:tr>
      <w:tr w:rsidR="005D0A88" w14:paraId="25B99A69" w14:textId="77777777" w:rsidTr="005D0A88">
        <w:tc>
          <w:tcPr>
            <w:tcW w:w="1939" w:type="dxa"/>
          </w:tcPr>
          <w:p w14:paraId="209D852E" w14:textId="0F04691A" w:rsidR="005D0A88" w:rsidRDefault="005D0A88" w:rsidP="005D0A88">
            <w:pPr>
              <w:spacing w:line="240" w:lineRule="auto"/>
              <w:rPr>
                <w:rFonts w:eastAsia="Times New Roman" w:cs="Arial"/>
                <w:sz w:val="24"/>
                <w:szCs w:val="24"/>
              </w:rPr>
            </w:pPr>
            <w:r>
              <w:t>Съдови нарушения</w:t>
            </w:r>
          </w:p>
        </w:tc>
        <w:tc>
          <w:tcPr>
            <w:tcW w:w="1843" w:type="dxa"/>
          </w:tcPr>
          <w:p w14:paraId="560B0C54" w14:textId="3740BFB8" w:rsidR="005D0A88" w:rsidRDefault="005D0A88" w:rsidP="005D0A88">
            <w:pPr>
              <w:spacing w:line="240" w:lineRule="auto"/>
              <w:rPr>
                <w:rFonts w:eastAsia="Times New Roman" w:cs="Arial"/>
                <w:sz w:val="24"/>
                <w:szCs w:val="24"/>
              </w:rPr>
            </w:pPr>
            <w:r>
              <w:t>Зачервяване на лицето</w:t>
            </w:r>
          </w:p>
        </w:tc>
        <w:tc>
          <w:tcPr>
            <w:tcW w:w="1872" w:type="dxa"/>
            <w:vAlign w:val="bottom"/>
          </w:tcPr>
          <w:p w14:paraId="00E4CB76" w14:textId="4A07D54D" w:rsidR="005D0A88" w:rsidRDefault="005D0A88" w:rsidP="005D0A88">
            <w:pPr>
              <w:spacing w:line="240" w:lineRule="auto"/>
              <w:rPr>
                <w:rFonts w:eastAsia="Times New Roman" w:cs="Arial"/>
                <w:sz w:val="24"/>
                <w:szCs w:val="24"/>
              </w:rPr>
            </w:pPr>
            <w:r>
              <w:t>Хипотония*, Повишено кръвно налягане</w:t>
            </w:r>
          </w:p>
        </w:tc>
        <w:tc>
          <w:tcPr>
            <w:tcW w:w="2079" w:type="dxa"/>
            <w:vAlign w:val="bottom"/>
          </w:tcPr>
          <w:p w14:paraId="07E53B27" w14:textId="77777777" w:rsidR="005D0A88" w:rsidRPr="005D0A88" w:rsidRDefault="005D0A88" w:rsidP="005D0A88">
            <w:pPr>
              <w:rPr>
                <w:rFonts w:ascii="Times New Roman" w:eastAsia="Times New Roman" w:hAnsi="Times New Roman" w:cs="Times New Roman"/>
                <w:sz w:val="24"/>
                <w:szCs w:val="24"/>
              </w:rPr>
            </w:pPr>
            <w:r>
              <w:t>Мозъчно-съдов инцидент*, Церебрална</w:t>
            </w:r>
            <w:r>
              <w:rPr>
                <w:lang w:val="en-US"/>
              </w:rPr>
              <w:t xml:space="preserve"> </w:t>
            </w:r>
            <w:r w:rsidRPr="005D0A88">
              <w:rPr>
                <w:lang w:eastAsia="bg-BG"/>
              </w:rPr>
              <w:t>исхемия, Белодробна емболия*, Дълбока венозна тромбоза</w:t>
            </w:r>
          </w:p>
          <w:p w14:paraId="645E1248" w14:textId="001B0177" w:rsidR="005D0A88" w:rsidRPr="005D0A88" w:rsidRDefault="005D0A88" w:rsidP="005D0A88">
            <w:pPr>
              <w:spacing w:line="240" w:lineRule="auto"/>
              <w:rPr>
                <w:rFonts w:eastAsia="Times New Roman" w:cs="Arial"/>
                <w:sz w:val="24"/>
                <w:szCs w:val="24"/>
                <w:lang w:val="en-US"/>
              </w:rPr>
            </w:pPr>
          </w:p>
        </w:tc>
        <w:tc>
          <w:tcPr>
            <w:tcW w:w="1843" w:type="dxa"/>
          </w:tcPr>
          <w:p w14:paraId="07F038A4" w14:textId="77777777" w:rsidR="005D0A88" w:rsidRDefault="005D0A88" w:rsidP="005D0A88">
            <w:pPr>
              <w:spacing w:line="240" w:lineRule="auto"/>
              <w:rPr>
                <w:rFonts w:eastAsia="Times New Roman" w:cs="Arial"/>
                <w:sz w:val="24"/>
                <w:szCs w:val="24"/>
              </w:rPr>
            </w:pPr>
          </w:p>
        </w:tc>
      </w:tr>
      <w:tr w:rsidR="005D0A88" w14:paraId="276E670A" w14:textId="77777777" w:rsidTr="005D0A88">
        <w:tc>
          <w:tcPr>
            <w:tcW w:w="1939" w:type="dxa"/>
            <w:vAlign w:val="bottom"/>
          </w:tcPr>
          <w:p w14:paraId="5C6575C6" w14:textId="353255C2" w:rsidR="005D0A88" w:rsidRDefault="005D0A88" w:rsidP="005D0A88">
            <w:pPr>
              <w:spacing w:line="240" w:lineRule="auto"/>
              <w:rPr>
                <w:rFonts w:eastAsia="Times New Roman" w:cs="Arial"/>
                <w:sz w:val="24"/>
                <w:szCs w:val="24"/>
              </w:rPr>
            </w:pPr>
            <w:r>
              <w:t xml:space="preserve">Респираторни, гръдни и </w:t>
            </w:r>
            <w:proofErr w:type="spellStart"/>
            <w:r>
              <w:t>медиастинални</w:t>
            </w:r>
            <w:proofErr w:type="spellEnd"/>
            <w:r>
              <w:t xml:space="preserve"> нарушения</w:t>
            </w:r>
          </w:p>
        </w:tc>
        <w:tc>
          <w:tcPr>
            <w:tcW w:w="1843" w:type="dxa"/>
          </w:tcPr>
          <w:p w14:paraId="3B641FA5" w14:textId="77777777" w:rsidR="005D0A88" w:rsidRDefault="005D0A88" w:rsidP="005D0A88">
            <w:pPr>
              <w:spacing w:line="240" w:lineRule="auto"/>
              <w:rPr>
                <w:rFonts w:eastAsia="Times New Roman" w:cs="Arial"/>
                <w:sz w:val="24"/>
                <w:szCs w:val="24"/>
              </w:rPr>
            </w:pPr>
          </w:p>
        </w:tc>
        <w:tc>
          <w:tcPr>
            <w:tcW w:w="1872" w:type="dxa"/>
          </w:tcPr>
          <w:p w14:paraId="0B1EDA4E" w14:textId="6710CEE3" w:rsidR="005D0A88" w:rsidRDefault="005D0A88" w:rsidP="005D0A88">
            <w:pPr>
              <w:spacing w:line="240" w:lineRule="auto"/>
              <w:rPr>
                <w:rFonts w:eastAsia="Times New Roman" w:cs="Arial"/>
                <w:sz w:val="24"/>
                <w:szCs w:val="24"/>
              </w:rPr>
            </w:pPr>
            <w:r>
              <w:t>Задух*</w:t>
            </w:r>
          </w:p>
        </w:tc>
        <w:tc>
          <w:tcPr>
            <w:tcW w:w="2079" w:type="dxa"/>
          </w:tcPr>
          <w:p w14:paraId="39A9A240" w14:textId="0ADDCB63" w:rsidR="005D0A88" w:rsidRDefault="005D0A88" w:rsidP="005D0A88">
            <w:pPr>
              <w:spacing w:line="240" w:lineRule="auto"/>
              <w:rPr>
                <w:rFonts w:eastAsia="Times New Roman" w:cs="Arial"/>
                <w:sz w:val="24"/>
                <w:szCs w:val="24"/>
              </w:rPr>
            </w:pPr>
            <w:r>
              <w:t>Астма*, Белодробен оток*</w:t>
            </w:r>
          </w:p>
        </w:tc>
        <w:tc>
          <w:tcPr>
            <w:tcW w:w="1843" w:type="dxa"/>
          </w:tcPr>
          <w:p w14:paraId="3BC248C4" w14:textId="79D03E2C" w:rsidR="005D0A88" w:rsidRDefault="005D0A88" w:rsidP="005D0A88">
            <w:pPr>
              <w:spacing w:line="240" w:lineRule="auto"/>
              <w:rPr>
                <w:rFonts w:eastAsia="Times New Roman" w:cs="Arial"/>
                <w:sz w:val="24"/>
                <w:szCs w:val="24"/>
              </w:rPr>
            </w:pPr>
            <w:r>
              <w:t>Кашлица</w:t>
            </w:r>
          </w:p>
        </w:tc>
      </w:tr>
      <w:tr w:rsidR="005D0A88" w14:paraId="59A67ED3" w14:textId="77777777" w:rsidTr="005D0A88">
        <w:tc>
          <w:tcPr>
            <w:tcW w:w="1939" w:type="dxa"/>
          </w:tcPr>
          <w:p w14:paraId="5173AA52" w14:textId="44EE1A71" w:rsidR="005D0A88" w:rsidRDefault="005D0A88" w:rsidP="005D0A88">
            <w:pPr>
              <w:spacing w:line="240" w:lineRule="auto"/>
              <w:rPr>
                <w:rFonts w:eastAsia="Times New Roman" w:cs="Arial"/>
                <w:sz w:val="24"/>
                <w:szCs w:val="24"/>
              </w:rPr>
            </w:pPr>
            <w:r>
              <w:t>Стомашно-чревни нарушения</w:t>
            </w:r>
          </w:p>
        </w:tc>
        <w:tc>
          <w:tcPr>
            <w:tcW w:w="1843" w:type="dxa"/>
          </w:tcPr>
          <w:p w14:paraId="5D59F4C3" w14:textId="7D792FA6" w:rsidR="005D0A88" w:rsidRDefault="005D0A88" w:rsidP="005D0A88">
            <w:pPr>
              <w:spacing w:line="240" w:lineRule="auto"/>
              <w:rPr>
                <w:rFonts w:eastAsia="Times New Roman" w:cs="Arial"/>
                <w:sz w:val="24"/>
                <w:szCs w:val="24"/>
              </w:rPr>
            </w:pPr>
            <w:r>
              <w:t>Гадене, Повръщане</w:t>
            </w:r>
          </w:p>
        </w:tc>
        <w:tc>
          <w:tcPr>
            <w:tcW w:w="1872" w:type="dxa"/>
          </w:tcPr>
          <w:p w14:paraId="5F0FC909" w14:textId="2D25E1E6" w:rsidR="005D0A88" w:rsidRDefault="005D0A88" w:rsidP="005D0A88">
            <w:pPr>
              <w:spacing w:line="240" w:lineRule="auto"/>
              <w:rPr>
                <w:rFonts w:eastAsia="Times New Roman" w:cs="Arial"/>
                <w:sz w:val="24"/>
                <w:szCs w:val="24"/>
              </w:rPr>
            </w:pPr>
            <w:r>
              <w:t>Диария, Абдоминални оплаквания/ Абдоминална болка</w:t>
            </w:r>
          </w:p>
        </w:tc>
        <w:tc>
          <w:tcPr>
            <w:tcW w:w="2079" w:type="dxa"/>
            <w:vAlign w:val="bottom"/>
          </w:tcPr>
          <w:p w14:paraId="2158124B" w14:textId="77777777" w:rsidR="005D0A88" w:rsidRDefault="005D0A88" w:rsidP="005D0A88">
            <w:r>
              <w:t>Хеморагична диария,</w:t>
            </w:r>
          </w:p>
          <w:p w14:paraId="7BA04332" w14:textId="4AC283A3" w:rsidR="005D0A88" w:rsidRDefault="005D0A88" w:rsidP="005D0A88">
            <w:pPr>
              <w:spacing w:line="240" w:lineRule="auto"/>
              <w:rPr>
                <w:rFonts w:eastAsia="Times New Roman" w:cs="Arial"/>
                <w:sz w:val="24"/>
                <w:szCs w:val="24"/>
              </w:rPr>
            </w:pPr>
            <w:proofErr w:type="spellStart"/>
            <w:r>
              <w:t>Ректално</w:t>
            </w:r>
            <w:proofErr w:type="spellEnd"/>
            <w:r>
              <w:t xml:space="preserve"> кървене, Диспепсия, </w:t>
            </w:r>
            <w:proofErr w:type="spellStart"/>
            <w:r>
              <w:t>Ректални</w:t>
            </w:r>
            <w:proofErr w:type="spellEnd"/>
            <w:r>
              <w:t xml:space="preserve"> </w:t>
            </w:r>
            <w:proofErr w:type="spellStart"/>
            <w:r>
              <w:t>тенезми</w:t>
            </w:r>
            <w:proofErr w:type="spellEnd"/>
            <w:r>
              <w:t xml:space="preserve">, Констипация, </w:t>
            </w:r>
            <w:proofErr w:type="spellStart"/>
            <w:r>
              <w:t>Уригване</w:t>
            </w:r>
            <w:proofErr w:type="spellEnd"/>
            <w:r>
              <w:t xml:space="preserve">, </w:t>
            </w:r>
            <w:proofErr w:type="spellStart"/>
            <w:r>
              <w:t>Дисфагия</w:t>
            </w:r>
            <w:proofErr w:type="spellEnd"/>
            <w:r>
              <w:t xml:space="preserve">, Сухота в устата/ </w:t>
            </w:r>
            <w:proofErr w:type="spellStart"/>
            <w:r>
              <w:t>Дисгеузия</w:t>
            </w:r>
            <w:proofErr w:type="spellEnd"/>
          </w:p>
        </w:tc>
        <w:tc>
          <w:tcPr>
            <w:tcW w:w="1843" w:type="dxa"/>
          </w:tcPr>
          <w:p w14:paraId="4E3EC8B4" w14:textId="2340ED7E" w:rsidR="005D0A88" w:rsidRDefault="005D0A88" w:rsidP="005D0A88">
            <w:pPr>
              <w:spacing w:line="240" w:lineRule="auto"/>
              <w:rPr>
                <w:rFonts w:eastAsia="Times New Roman" w:cs="Arial"/>
                <w:sz w:val="24"/>
                <w:szCs w:val="24"/>
              </w:rPr>
            </w:pPr>
            <w:proofErr w:type="spellStart"/>
            <w:r>
              <w:t>Проктит</w:t>
            </w:r>
            <w:proofErr w:type="spellEnd"/>
          </w:p>
        </w:tc>
      </w:tr>
      <w:tr w:rsidR="005D0A88" w14:paraId="4EC0086C" w14:textId="77777777" w:rsidTr="005D0A88">
        <w:tc>
          <w:tcPr>
            <w:tcW w:w="1939" w:type="dxa"/>
            <w:vAlign w:val="bottom"/>
          </w:tcPr>
          <w:p w14:paraId="635C51E5" w14:textId="0CE3B61F" w:rsidR="005D0A88" w:rsidRDefault="005D0A88" w:rsidP="005D0A88">
            <w:pPr>
              <w:spacing w:line="240" w:lineRule="auto"/>
              <w:rPr>
                <w:rFonts w:eastAsia="Times New Roman" w:cs="Arial"/>
                <w:sz w:val="24"/>
                <w:szCs w:val="24"/>
              </w:rPr>
            </w:pPr>
            <w:proofErr w:type="spellStart"/>
            <w:r>
              <w:t>Хепатобилиарни</w:t>
            </w:r>
            <w:proofErr w:type="spellEnd"/>
            <w:r>
              <w:t xml:space="preserve"> нарушения</w:t>
            </w:r>
          </w:p>
        </w:tc>
        <w:tc>
          <w:tcPr>
            <w:tcW w:w="1843" w:type="dxa"/>
          </w:tcPr>
          <w:p w14:paraId="67BEB7F3" w14:textId="77777777" w:rsidR="005D0A88" w:rsidRDefault="005D0A88" w:rsidP="005D0A88">
            <w:pPr>
              <w:spacing w:line="240" w:lineRule="auto"/>
              <w:rPr>
                <w:rFonts w:eastAsia="Times New Roman" w:cs="Arial"/>
                <w:sz w:val="24"/>
                <w:szCs w:val="24"/>
              </w:rPr>
            </w:pPr>
          </w:p>
        </w:tc>
        <w:tc>
          <w:tcPr>
            <w:tcW w:w="1872" w:type="dxa"/>
          </w:tcPr>
          <w:p w14:paraId="1AA3C57D" w14:textId="77777777" w:rsidR="005D0A88" w:rsidRDefault="005D0A88" w:rsidP="005D0A88">
            <w:pPr>
              <w:spacing w:line="240" w:lineRule="auto"/>
              <w:rPr>
                <w:rFonts w:eastAsia="Times New Roman" w:cs="Arial"/>
                <w:sz w:val="24"/>
                <w:szCs w:val="24"/>
              </w:rPr>
            </w:pPr>
          </w:p>
        </w:tc>
        <w:tc>
          <w:tcPr>
            <w:tcW w:w="2079" w:type="dxa"/>
          </w:tcPr>
          <w:p w14:paraId="17DC0895" w14:textId="16CE7158" w:rsidR="005D0A88" w:rsidRDefault="005D0A88" w:rsidP="005D0A88">
            <w:pPr>
              <w:spacing w:line="240" w:lineRule="auto"/>
              <w:rPr>
                <w:rFonts w:eastAsia="Times New Roman" w:cs="Arial"/>
                <w:sz w:val="24"/>
                <w:szCs w:val="24"/>
              </w:rPr>
            </w:pPr>
            <w:r>
              <w:t>Жълтеница</w:t>
            </w:r>
          </w:p>
        </w:tc>
        <w:tc>
          <w:tcPr>
            <w:tcW w:w="1843" w:type="dxa"/>
          </w:tcPr>
          <w:p w14:paraId="6F41EA22" w14:textId="77777777" w:rsidR="005D0A88" w:rsidRDefault="005D0A88" w:rsidP="005D0A88">
            <w:pPr>
              <w:spacing w:line="240" w:lineRule="auto"/>
              <w:rPr>
                <w:rFonts w:eastAsia="Times New Roman" w:cs="Arial"/>
                <w:sz w:val="24"/>
                <w:szCs w:val="24"/>
              </w:rPr>
            </w:pPr>
          </w:p>
        </w:tc>
      </w:tr>
      <w:tr w:rsidR="005D0A88" w14:paraId="54B79DA4" w14:textId="77777777" w:rsidTr="005D0A88">
        <w:tc>
          <w:tcPr>
            <w:tcW w:w="1939" w:type="dxa"/>
            <w:vAlign w:val="bottom"/>
          </w:tcPr>
          <w:p w14:paraId="380FEAA1" w14:textId="08DF0BA6" w:rsidR="005D0A88" w:rsidRDefault="005D0A88" w:rsidP="005D0A88">
            <w:pPr>
              <w:spacing w:line="240" w:lineRule="auto"/>
              <w:rPr>
                <w:rFonts w:eastAsia="Times New Roman" w:cs="Arial"/>
                <w:sz w:val="24"/>
                <w:szCs w:val="24"/>
              </w:rPr>
            </w:pPr>
            <w:r>
              <w:t>Нарушения на кожата и подкожната тъкан</w:t>
            </w:r>
          </w:p>
        </w:tc>
        <w:tc>
          <w:tcPr>
            <w:tcW w:w="1843" w:type="dxa"/>
          </w:tcPr>
          <w:p w14:paraId="55A902B2" w14:textId="6FCE8823" w:rsidR="005D0A88" w:rsidRDefault="005D0A88" w:rsidP="005D0A88">
            <w:pPr>
              <w:spacing w:line="240" w:lineRule="auto"/>
              <w:rPr>
                <w:rFonts w:eastAsia="Times New Roman" w:cs="Arial"/>
                <w:sz w:val="24"/>
                <w:szCs w:val="24"/>
              </w:rPr>
            </w:pPr>
            <w:proofErr w:type="spellStart"/>
            <w:r>
              <w:t>Хиперхидроза</w:t>
            </w:r>
            <w:proofErr w:type="spellEnd"/>
          </w:p>
        </w:tc>
        <w:tc>
          <w:tcPr>
            <w:tcW w:w="1872" w:type="dxa"/>
          </w:tcPr>
          <w:p w14:paraId="4FD94932" w14:textId="77777777" w:rsidR="005D0A88" w:rsidRDefault="005D0A88" w:rsidP="005D0A88">
            <w:pPr>
              <w:spacing w:line="240" w:lineRule="auto"/>
              <w:rPr>
                <w:rFonts w:eastAsia="Times New Roman" w:cs="Arial"/>
                <w:sz w:val="24"/>
                <w:szCs w:val="24"/>
              </w:rPr>
            </w:pPr>
          </w:p>
        </w:tc>
        <w:tc>
          <w:tcPr>
            <w:tcW w:w="2079" w:type="dxa"/>
          </w:tcPr>
          <w:p w14:paraId="5DD9D788" w14:textId="6149A6B1" w:rsidR="005D0A88" w:rsidRDefault="005D0A88" w:rsidP="005D0A88">
            <w:pPr>
              <w:spacing w:line="240" w:lineRule="auto"/>
              <w:rPr>
                <w:rFonts w:eastAsia="Times New Roman" w:cs="Arial"/>
                <w:sz w:val="24"/>
                <w:szCs w:val="24"/>
              </w:rPr>
            </w:pPr>
            <w:r>
              <w:t>Сърбеж</w:t>
            </w:r>
          </w:p>
        </w:tc>
        <w:tc>
          <w:tcPr>
            <w:tcW w:w="1843" w:type="dxa"/>
          </w:tcPr>
          <w:p w14:paraId="092E6A7B" w14:textId="77777777" w:rsidR="005D0A88" w:rsidRDefault="005D0A88" w:rsidP="005D0A88">
            <w:pPr>
              <w:spacing w:line="240" w:lineRule="auto"/>
              <w:rPr>
                <w:rFonts w:eastAsia="Times New Roman" w:cs="Arial"/>
                <w:sz w:val="24"/>
                <w:szCs w:val="24"/>
              </w:rPr>
            </w:pPr>
          </w:p>
        </w:tc>
      </w:tr>
      <w:tr w:rsidR="005D0A88" w14:paraId="486312D0" w14:textId="77777777" w:rsidTr="005D0A88">
        <w:tc>
          <w:tcPr>
            <w:tcW w:w="1939" w:type="dxa"/>
            <w:vAlign w:val="bottom"/>
          </w:tcPr>
          <w:p w14:paraId="232775D2" w14:textId="6B254FBA" w:rsidR="005D0A88" w:rsidRDefault="005D0A88" w:rsidP="005D0A88">
            <w:pPr>
              <w:spacing w:line="240" w:lineRule="auto"/>
              <w:rPr>
                <w:rFonts w:eastAsia="Times New Roman" w:cs="Arial"/>
                <w:sz w:val="24"/>
                <w:szCs w:val="24"/>
              </w:rPr>
            </w:pPr>
            <w:r>
              <w:t>Нарушения на мускулно- скелетната система и съединителната тъкан</w:t>
            </w:r>
          </w:p>
        </w:tc>
        <w:tc>
          <w:tcPr>
            <w:tcW w:w="1843" w:type="dxa"/>
          </w:tcPr>
          <w:p w14:paraId="3BDFB994" w14:textId="77777777" w:rsidR="005D0A88" w:rsidRDefault="005D0A88" w:rsidP="005D0A88">
            <w:pPr>
              <w:spacing w:line="240" w:lineRule="auto"/>
              <w:rPr>
                <w:rFonts w:eastAsia="Times New Roman" w:cs="Arial"/>
                <w:sz w:val="24"/>
                <w:szCs w:val="24"/>
              </w:rPr>
            </w:pPr>
          </w:p>
        </w:tc>
        <w:tc>
          <w:tcPr>
            <w:tcW w:w="1872" w:type="dxa"/>
          </w:tcPr>
          <w:p w14:paraId="10DF36C3" w14:textId="11707AB9" w:rsidR="005D0A88" w:rsidRDefault="005D0A88" w:rsidP="005D0A88">
            <w:pPr>
              <w:spacing w:line="240" w:lineRule="auto"/>
              <w:rPr>
                <w:rFonts w:eastAsia="Times New Roman" w:cs="Arial"/>
                <w:sz w:val="24"/>
                <w:szCs w:val="24"/>
              </w:rPr>
            </w:pPr>
            <w:r>
              <w:t xml:space="preserve">Болка в челюстта/ </w:t>
            </w:r>
            <w:proofErr w:type="spellStart"/>
            <w:r>
              <w:t>Тризмус</w:t>
            </w:r>
            <w:proofErr w:type="spellEnd"/>
            <w:r>
              <w:t xml:space="preserve">, </w:t>
            </w:r>
            <w:proofErr w:type="spellStart"/>
            <w:r>
              <w:t>Миалгия</w:t>
            </w:r>
            <w:proofErr w:type="spellEnd"/>
            <w:r>
              <w:t xml:space="preserve"> / </w:t>
            </w:r>
            <w:proofErr w:type="spellStart"/>
            <w:r>
              <w:t>Артралгия</w:t>
            </w:r>
            <w:proofErr w:type="spellEnd"/>
          </w:p>
        </w:tc>
        <w:tc>
          <w:tcPr>
            <w:tcW w:w="2079" w:type="dxa"/>
          </w:tcPr>
          <w:p w14:paraId="5E44A211" w14:textId="2320D144" w:rsidR="005D0A88" w:rsidRDefault="005D0A88" w:rsidP="005D0A88">
            <w:pPr>
              <w:spacing w:line="240" w:lineRule="auto"/>
              <w:rPr>
                <w:rFonts w:eastAsia="Times New Roman" w:cs="Arial"/>
                <w:sz w:val="24"/>
                <w:szCs w:val="24"/>
              </w:rPr>
            </w:pPr>
            <w:proofErr w:type="spellStart"/>
            <w:r>
              <w:t>Тетания</w:t>
            </w:r>
            <w:proofErr w:type="spellEnd"/>
            <w:r>
              <w:t>/ Мускулни спазми. Хипертония</w:t>
            </w:r>
          </w:p>
        </w:tc>
        <w:tc>
          <w:tcPr>
            <w:tcW w:w="1843" w:type="dxa"/>
          </w:tcPr>
          <w:p w14:paraId="0A0A4E1B" w14:textId="77777777" w:rsidR="005D0A88" w:rsidRDefault="005D0A88" w:rsidP="005D0A88">
            <w:pPr>
              <w:spacing w:line="240" w:lineRule="auto"/>
              <w:rPr>
                <w:rFonts w:eastAsia="Times New Roman" w:cs="Arial"/>
                <w:sz w:val="24"/>
                <w:szCs w:val="24"/>
              </w:rPr>
            </w:pPr>
          </w:p>
        </w:tc>
      </w:tr>
      <w:tr w:rsidR="005D0A88" w14:paraId="1C0BA748" w14:textId="77777777" w:rsidTr="005D0A88">
        <w:tc>
          <w:tcPr>
            <w:tcW w:w="1939" w:type="dxa"/>
          </w:tcPr>
          <w:p w14:paraId="1BD58776" w14:textId="3D08F12C" w:rsidR="005D0A88" w:rsidRDefault="005D0A88" w:rsidP="005D0A88">
            <w:pPr>
              <w:spacing w:line="240" w:lineRule="auto"/>
              <w:rPr>
                <w:rFonts w:eastAsia="Times New Roman" w:cs="Arial"/>
                <w:sz w:val="24"/>
                <w:szCs w:val="24"/>
              </w:rPr>
            </w:pPr>
            <w:r>
              <w:t>Нарушения на бъбреците и пикочните пътища</w:t>
            </w:r>
          </w:p>
        </w:tc>
        <w:tc>
          <w:tcPr>
            <w:tcW w:w="1843" w:type="dxa"/>
          </w:tcPr>
          <w:p w14:paraId="69BA81CC" w14:textId="77777777" w:rsidR="005D0A88" w:rsidRDefault="005D0A88" w:rsidP="005D0A88">
            <w:pPr>
              <w:spacing w:line="240" w:lineRule="auto"/>
              <w:rPr>
                <w:rFonts w:eastAsia="Times New Roman" w:cs="Arial"/>
                <w:sz w:val="24"/>
                <w:szCs w:val="24"/>
              </w:rPr>
            </w:pPr>
          </w:p>
        </w:tc>
        <w:tc>
          <w:tcPr>
            <w:tcW w:w="1872" w:type="dxa"/>
          </w:tcPr>
          <w:p w14:paraId="33125756" w14:textId="77777777" w:rsidR="005D0A88" w:rsidRDefault="005D0A88" w:rsidP="005D0A88">
            <w:pPr>
              <w:spacing w:line="240" w:lineRule="auto"/>
              <w:rPr>
                <w:rFonts w:eastAsia="Times New Roman" w:cs="Arial"/>
                <w:sz w:val="24"/>
                <w:szCs w:val="24"/>
              </w:rPr>
            </w:pPr>
          </w:p>
        </w:tc>
        <w:tc>
          <w:tcPr>
            <w:tcW w:w="2079" w:type="dxa"/>
            <w:vAlign w:val="bottom"/>
          </w:tcPr>
          <w:p w14:paraId="61AD4B1E" w14:textId="1B190C2A" w:rsidR="005D0A88" w:rsidRDefault="005D0A88" w:rsidP="005D0A88">
            <w:pPr>
              <w:spacing w:line="240" w:lineRule="auto"/>
              <w:rPr>
                <w:rFonts w:eastAsia="Times New Roman" w:cs="Arial"/>
                <w:sz w:val="24"/>
                <w:szCs w:val="24"/>
              </w:rPr>
            </w:pPr>
            <w:r>
              <w:t xml:space="preserve">Бъбречна болка, </w:t>
            </w:r>
            <w:proofErr w:type="spellStart"/>
            <w:r>
              <w:t>Урогенитални</w:t>
            </w:r>
            <w:proofErr w:type="spellEnd"/>
            <w:r>
              <w:t xml:space="preserve"> </w:t>
            </w:r>
            <w:proofErr w:type="spellStart"/>
            <w:r>
              <w:t>тенезми</w:t>
            </w:r>
            <w:proofErr w:type="spellEnd"/>
            <w:r>
              <w:t xml:space="preserve">, Нарушения в уринирането, </w:t>
            </w:r>
            <w:proofErr w:type="spellStart"/>
            <w:r>
              <w:t>Дизурия</w:t>
            </w:r>
            <w:proofErr w:type="spellEnd"/>
            <w:r>
              <w:t xml:space="preserve">, </w:t>
            </w:r>
            <w:r>
              <w:lastRenderedPageBreak/>
              <w:t xml:space="preserve">Нарушение на </w:t>
            </w:r>
            <w:proofErr w:type="spellStart"/>
            <w:r>
              <w:t>уринарния</w:t>
            </w:r>
            <w:proofErr w:type="spellEnd"/>
            <w:r>
              <w:t xml:space="preserve"> тракт</w:t>
            </w:r>
          </w:p>
        </w:tc>
        <w:tc>
          <w:tcPr>
            <w:tcW w:w="1843" w:type="dxa"/>
          </w:tcPr>
          <w:p w14:paraId="5027A5AC" w14:textId="77777777" w:rsidR="005D0A88" w:rsidRDefault="005D0A88" w:rsidP="005D0A88">
            <w:pPr>
              <w:spacing w:line="240" w:lineRule="auto"/>
              <w:rPr>
                <w:rFonts w:eastAsia="Times New Roman" w:cs="Arial"/>
                <w:sz w:val="24"/>
                <w:szCs w:val="24"/>
              </w:rPr>
            </w:pPr>
          </w:p>
        </w:tc>
      </w:tr>
      <w:tr w:rsidR="005D0A88" w14:paraId="51E6969B" w14:textId="77777777" w:rsidTr="005D0A88">
        <w:tc>
          <w:tcPr>
            <w:tcW w:w="1939" w:type="dxa"/>
          </w:tcPr>
          <w:p w14:paraId="061D28F0" w14:textId="2AF45F4E" w:rsidR="005D0A88" w:rsidRDefault="005D0A88" w:rsidP="005D0A88">
            <w:pPr>
              <w:spacing w:line="240" w:lineRule="auto"/>
              <w:rPr>
                <w:rFonts w:eastAsia="Times New Roman" w:cs="Arial"/>
                <w:sz w:val="24"/>
                <w:szCs w:val="24"/>
              </w:rPr>
            </w:pPr>
            <w:r>
              <w:t>Общи нарушения и ефекти на мястото на приложение</w:t>
            </w:r>
          </w:p>
        </w:tc>
        <w:tc>
          <w:tcPr>
            <w:tcW w:w="1843" w:type="dxa"/>
          </w:tcPr>
          <w:p w14:paraId="27B82002" w14:textId="77777777" w:rsidR="005D0A88" w:rsidRDefault="005D0A88" w:rsidP="005D0A88">
            <w:pPr>
              <w:spacing w:line="240" w:lineRule="auto"/>
              <w:rPr>
                <w:rFonts w:eastAsia="Times New Roman" w:cs="Arial"/>
                <w:sz w:val="24"/>
                <w:szCs w:val="24"/>
              </w:rPr>
            </w:pPr>
          </w:p>
        </w:tc>
        <w:tc>
          <w:tcPr>
            <w:tcW w:w="1872" w:type="dxa"/>
          </w:tcPr>
          <w:p w14:paraId="15115243" w14:textId="77777777" w:rsidR="005D0A88" w:rsidRPr="005D0A88" w:rsidRDefault="005D0A88" w:rsidP="005D0A88">
            <w:pPr>
              <w:rPr>
                <w:rFonts w:eastAsia="Times New Roman" w:cs="Arial"/>
                <w:sz w:val="24"/>
                <w:szCs w:val="24"/>
              </w:rPr>
            </w:pPr>
            <w:r w:rsidRPr="005D0A88">
              <w:rPr>
                <w:rFonts w:cs="Arial"/>
              </w:rPr>
              <w:t xml:space="preserve">Болка, Треска / Повишена телесна температура, Чувство на общо затопляне, </w:t>
            </w:r>
            <w:proofErr w:type="spellStart"/>
            <w:r w:rsidRPr="005D0A88">
              <w:rPr>
                <w:rFonts w:cs="Arial"/>
              </w:rPr>
              <w:t>Астения</w:t>
            </w:r>
            <w:proofErr w:type="spellEnd"/>
            <w:r w:rsidRPr="005D0A88">
              <w:rPr>
                <w:rFonts w:cs="Arial"/>
              </w:rPr>
              <w:t xml:space="preserve"> / Общо неразположение, Тръпки, Отпадналост / Умора, Жажда, Реакции на мястото на инфузия (еритема на мястото на</w:t>
            </w:r>
            <w:r w:rsidRPr="005D0A88">
              <w:rPr>
                <w:rFonts w:cs="Arial"/>
                <w:lang w:val="en-US"/>
              </w:rPr>
              <w:t xml:space="preserve"> </w:t>
            </w:r>
            <w:r w:rsidRPr="005D0A88">
              <w:rPr>
                <w:rFonts w:eastAsia="Times New Roman" w:cs="Arial"/>
                <w:color w:val="000000"/>
                <w:lang w:eastAsia="bg-BG"/>
              </w:rPr>
              <w:t>инфузия, болка на мястото на инфузия, флебит на мястото на инфузия)</w:t>
            </w:r>
          </w:p>
          <w:p w14:paraId="5DB0B5A1" w14:textId="548D9C6C" w:rsidR="005D0A88" w:rsidRPr="005D0A88" w:rsidRDefault="005D0A88" w:rsidP="005D0A88">
            <w:pPr>
              <w:spacing w:line="240" w:lineRule="auto"/>
              <w:rPr>
                <w:rFonts w:eastAsia="Times New Roman" w:cs="Arial"/>
                <w:sz w:val="24"/>
                <w:szCs w:val="24"/>
                <w:lang w:val="en-US"/>
              </w:rPr>
            </w:pPr>
          </w:p>
        </w:tc>
        <w:tc>
          <w:tcPr>
            <w:tcW w:w="2079" w:type="dxa"/>
          </w:tcPr>
          <w:p w14:paraId="5F34D793" w14:textId="77777777" w:rsidR="005D0A88" w:rsidRDefault="005D0A88" w:rsidP="005D0A88">
            <w:pPr>
              <w:spacing w:line="240" w:lineRule="auto"/>
              <w:rPr>
                <w:rFonts w:eastAsia="Times New Roman" w:cs="Arial"/>
                <w:sz w:val="24"/>
                <w:szCs w:val="24"/>
              </w:rPr>
            </w:pPr>
          </w:p>
        </w:tc>
        <w:tc>
          <w:tcPr>
            <w:tcW w:w="1843" w:type="dxa"/>
            <w:textDirection w:val="btLr"/>
          </w:tcPr>
          <w:p w14:paraId="093F066F" w14:textId="77777777" w:rsidR="005D0A88" w:rsidRDefault="005D0A88" w:rsidP="005D0A88">
            <w:pPr>
              <w:spacing w:line="240" w:lineRule="auto"/>
              <w:rPr>
                <w:rFonts w:eastAsia="Times New Roman" w:cs="Arial"/>
                <w:sz w:val="24"/>
                <w:szCs w:val="24"/>
              </w:rPr>
            </w:pPr>
          </w:p>
        </w:tc>
      </w:tr>
    </w:tbl>
    <w:p w14:paraId="500AA63E" w14:textId="77777777" w:rsidR="005D0A88" w:rsidRPr="005D0A88" w:rsidRDefault="005D0A88" w:rsidP="005D0A88">
      <w:pPr>
        <w:spacing w:line="240" w:lineRule="auto"/>
        <w:rPr>
          <w:rFonts w:eastAsia="Times New Roman" w:cs="Arial"/>
        </w:rPr>
      </w:pPr>
      <w:r w:rsidRPr="005D0A88">
        <w:rPr>
          <w:rFonts w:eastAsia="Times New Roman" w:cs="Arial"/>
          <w:color w:val="000000"/>
          <w:lang w:val="en-US"/>
        </w:rPr>
        <w:t xml:space="preserve">* </w:t>
      </w:r>
      <w:r w:rsidRPr="005D0A88">
        <w:rPr>
          <w:rFonts w:eastAsia="Times New Roman" w:cs="Arial"/>
          <w:color w:val="000000"/>
          <w:lang w:eastAsia="bg-BG"/>
        </w:rPr>
        <w:t>Съобщавани са животозастрашаващи и/или фатални случаи</w:t>
      </w:r>
    </w:p>
    <w:p w14:paraId="7CEA7D7B" w14:textId="77777777" w:rsidR="005D0A88" w:rsidRPr="005D0A88" w:rsidRDefault="005D0A88" w:rsidP="005D0A88">
      <w:pPr>
        <w:spacing w:line="240" w:lineRule="auto"/>
        <w:rPr>
          <w:rFonts w:eastAsia="Times New Roman" w:cs="Arial"/>
          <w:color w:val="000000"/>
          <w:lang w:eastAsia="bg-BG"/>
        </w:rPr>
      </w:pPr>
    </w:p>
    <w:p w14:paraId="43986DDE" w14:textId="30B077A3" w:rsidR="005D0A88" w:rsidRPr="005D0A88" w:rsidRDefault="005D0A88" w:rsidP="005D0A88">
      <w:pPr>
        <w:spacing w:line="240" w:lineRule="auto"/>
        <w:rPr>
          <w:rFonts w:eastAsia="Times New Roman" w:cs="Arial"/>
        </w:rPr>
      </w:pP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може да предизвика стенокардия, особено при пациенти с ИБС.</w:t>
      </w:r>
    </w:p>
    <w:p w14:paraId="60F84D0B" w14:textId="77777777" w:rsidR="005D0A88" w:rsidRPr="005D0A88" w:rsidRDefault="005D0A88" w:rsidP="005D0A88">
      <w:pPr>
        <w:spacing w:line="240" w:lineRule="auto"/>
        <w:rPr>
          <w:rFonts w:eastAsia="Times New Roman" w:cs="Arial"/>
          <w:color w:val="000000"/>
          <w:lang w:eastAsia="bg-BG"/>
        </w:rPr>
      </w:pPr>
    </w:p>
    <w:p w14:paraId="49BBB337" w14:textId="6C8FBAA5" w:rsidR="005D0A88" w:rsidRPr="005D0A88" w:rsidRDefault="005D0A88" w:rsidP="005D0A88">
      <w:pPr>
        <w:spacing w:line="240" w:lineRule="auto"/>
        <w:rPr>
          <w:rFonts w:eastAsia="Times New Roman" w:cs="Arial"/>
        </w:rPr>
      </w:pPr>
      <w:r w:rsidRPr="005D0A88">
        <w:rPr>
          <w:rFonts w:eastAsia="Times New Roman" w:cs="Arial"/>
          <w:color w:val="000000"/>
          <w:lang w:eastAsia="bg-BG"/>
        </w:rPr>
        <w:t xml:space="preserve">Рискът от кръвоизлив е увеличен при пациенти, на които са предписани под формата на съпътстваща терапия инхибитори на </w:t>
      </w:r>
      <w:proofErr w:type="spellStart"/>
      <w:r w:rsidRPr="005D0A88">
        <w:rPr>
          <w:rFonts w:eastAsia="Times New Roman" w:cs="Arial"/>
          <w:color w:val="000000"/>
          <w:lang w:eastAsia="bg-BG"/>
        </w:rPr>
        <w:t>тромбоцитната</w:t>
      </w:r>
      <w:proofErr w:type="spellEnd"/>
      <w:r w:rsidRPr="005D0A88">
        <w:rPr>
          <w:rFonts w:eastAsia="Times New Roman" w:cs="Arial"/>
          <w:color w:val="000000"/>
          <w:lang w:eastAsia="bg-BG"/>
        </w:rPr>
        <w:t xml:space="preserve"> агрегация, </w:t>
      </w:r>
      <w:proofErr w:type="spellStart"/>
      <w:r w:rsidRPr="005D0A88">
        <w:rPr>
          <w:rFonts w:eastAsia="Times New Roman" w:cs="Arial"/>
          <w:color w:val="000000"/>
          <w:lang w:eastAsia="bg-BG"/>
        </w:rPr>
        <w:t>хепарин</w:t>
      </w:r>
      <w:proofErr w:type="spellEnd"/>
      <w:r w:rsidRPr="005D0A88">
        <w:rPr>
          <w:rFonts w:eastAsia="Times New Roman" w:cs="Arial"/>
          <w:color w:val="000000"/>
          <w:lang w:eastAsia="bg-BG"/>
        </w:rPr>
        <w:t xml:space="preserve"> или антикоагуланти от вида на </w:t>
      </w:r>
      <w:proofErr w:type="spellStart"/>
      <w:r w:rsidRPr="005D0A88">
        <w:rPr>
          <w:rFonts w:eastAsia="Times New Roman" w:cs="Arial"/>
          <w:color w:val="000000"/>
          <w:lang w:eastAsia="bg-BG"/>
        </w:rPr>
        <w:t>кумарините</w:t>
      </w:r>
      <w:proofErr w:type="spellEnd"/>
      <w:r w:rsidRPr="005D0A88">
        <w:rPr>
          <w:rFonts w:eastAsia="Times New Roman" w:cs="Arial"/>
          <w:color w:val="000000"/>
          <w:lang w:eastAsia="bg-BG"/>
        </w:rPr>
        <w:t>.</w:t>
      </w:r>
    </w:p>
    <w:p w14:paraId="5015BA0F" w14:textId="77777777" w:rsidR="005D0A88" w:rsidRPr="005D0A88" w:rsidRDefault="005D0A88" w:rsidP="005D0A88">
      <w:pPr>
        <w:spacing w:line="240" w:lineRule="auto"/>
        <w:rPr>
          <w:rFonts w:eastAsia="Times New Roman" w:cs="Arial"/>
          <w:color w:val="000000"/>
          <w:u w:val="single"/>
          <w:lang w:eastAsia="bg-BG"/>
        </w:rPr>
      </w:pPr>
    </w:p>
    <w:p w14:paraId="40D72F74" w14:textId="45B872B7" w:rsidR="005D0A88" w:rsidRPr="005D0A88" w:rsidRDefault="005D0A88" w:rsidP="005D0A88">
      <w:pPr>
        <w:spacing w:line="240" w:lineRule="auto"/>
        <w:rPr>
          <w:rFonts w:eastAsia="Times New Roman" w:cs="Arial"/>
        </w:rPr>
      </w:pPr>
      <w:r w:rsidRPr="005D0A88">
        <w:rPr>
          <w:rFonts w:eastAsia="Times New Roman" w:cs="Arial"/>
          <w:color w:val="000000"/>
          <w:u w:val="single"/>
          <w:lang w:eastAsia="bg-BG"/>
        </w:rPr>
        <w:t>Съобщаване на подозирани нежелани реакции</w:t>
      </w:r>
    </w:p>
    <w:p w14:paraId="1A445341" w14:textId="77777777" w:rsidR="005D0A88" w:rsidRPr="005D0A88" w:rsidRDefault="005D0A88" w:rsidP="005D0A88">
      <w:pPr>
        <w:spacing w:line="240" w:lineRule="auto"/>
        <w:rPr>
          <w:rFonts w:eastAsia="Times New Roman" w:cs="Arial"/>
        </w:rPr>
      </w:pPr>
      <w:r w:rsidRPr="005D0A88">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w:t>
      </w:r>
    </w:p>
    <w:p w14:paraId="6D8E90CB" w14:textId="56E88353" w:rsidR="005D0A88" w:rsidRDefault="005D0A88" w:rsidP="005D0A88">
      <w:pPr>
        <w:rPr>
          <w:rFonts w:eastAsia="Times New Roman" w:cs="Arial"/>
        </w:rPr>
      </w:pPr>
      <w:r w:rsidRPr="005D0A88">
        <w:rPr>
          <w:rFonts w:eastAsia="Times New Roman" w:cs="Arial"/>
          <w:color w:val="000000"/>
          <w:lang w:eastAsia="bg-BG"/>
        </w:rPr>
        <w:t xml:space="preserve">Тел.:+359 2 8903417 уебсайт: </w:t>
      </w:r>
      <w:hyperlink r:id="rId5" w:history="1">
        <w:r w:rsidRPr="005D0A88">
          <w:rPr>
            <w:rFonts w:eastAsia="Times New Roman" w:cs="Arial"/>
            <w:color w:val="000000"/>
            <w:lang w:val="en-US"/>
          </w:rPr>
          <w:t>www.bda.bg</w:t>
        </w:r>
      </w:hyperlink>
    </w:p>
    <w:p w14:paraId="3102ED48" w14:textId="77777777" w:rsidR="005D0A88" w:rsidRPr="005D0A88" w:rsidRDefault="005D0A88" w:rsidP="005D0A88">
      <w:pPr>
        <w:rPr>
          <w:rFonts w:cs="Arial"/>
        </w:rPr>
      </w:pPr>
    </w:p>
    <w:p w14:paraId="42DF9851" w14:textId="21F9393A" w:rsidR="003765DC" w:rsidRDefault="002C50EE" w:rsidP="002B3C38">
      <w:pPr>
        <w:pStyle w:val="Heading2"/>
      </w:pPr>
      <w:r>
        <w:t>4.9. Предозиране</w:t>
      </w:r>
    </w:p>
    <w:p w14:paraId="6880198E" w14:textId="77777777" w:rsidR="005D0A88" w:rsidRDefault="005D0A88" w:rsidP="005D0A88">
      <w:pPr>
        <w:rPr>
          <w:lang w:eastAsia="bg-BG"/>
        </w:rPr>
      </w:pPr>
    </w:p>
    <w:p w14:paraId="3032D495" w14:textId="66A87AE9" w:rsidR="005D0A88" w:rsidRPr="005D0A88" w:rsidRDefault="005D0A88" w:rsidP="005D0A88">
      <w:pPr>
        <w:pStyle w:val="ListParagraph"/>
        <w:numPr>
          <w:ilvl w:val="0"/>
          <w:numId w:val="26"/>
        </w:numPr>
        <w:rPr>
          <w:lang w:eastAsia="bg-BG"/>
        </w:rPr>
      </w:pPr>
      <w:r w:rsidRPr="005D0A88">
        <w:rPr>
          <w:lang w:eastAsia="bg-BG"/>
        </w:rPr>
        <w:t>Симптоми на предозиране</w:t>
      </w:r>
    </w:p>
    <w:p w14:paraId="351BA54B" w14:textId="77777777" w:rsidR="005D0A88" w:rsidRDefault="005D0A88" w:rsidP="005D0A88">
      <w:pPr>
        <w:rPr>
          <w:lang w:eastAsia="bg-BG"/>
        </w:rPr>
      </w:pPr>
    </w:p>
    <w:p w14:paraId="291231F8" w14:textId="44BD8171" w:rsidR="005D0A88" w:rsidRPr="005D0A88" w:rsidRDefault="005D0A88" w:rsidP="005D0A88">
      <w:pPr>
        <w:rPr>
          <w:sz w:val="24"/>
          <w:szCs w:val="24"/>
        </w:rPr>
      </w:pPr>
      <w:r w:rsidRPr="005D0A88">
        <w:rPr>
          <w:lang w:eastAsia="bg-BG"/>
        </w:rPr>
        <w:t>Възможна е хипотонична реакция, както и главоболие, зачервяване на лицето, гадене, повръщане и диария. Също така е възможно увеличение на кръвното налягане, брадикардия и болка в крайниците или гърба.</w:t>
      </w:r>
    </w:p>
    <w:p w14:paraId="3C5E4A10" w14:textId="77777777" w:rsidR="005D0A88" w:rsidRDefault="005D0A88" w:rsidP="005D0A88">
      <w:pPr>
        <w:rPr>
          <w:lang w:eastAsia="bg-BG"/>
        </w:rPr>
      </w:pPr>
    </w:p>
    <w:p w14:paraId="3A13C8C4" w14:textId="00A1058B" w:rsidR="005D0A88" w:rsidRPr="005D0A88" w:rsidRDefault="005D0A88" w:rsidP="005D0A88">
      <w:pPr>
        <w:pStyle w:val="ListParagraph"/>
        <w:numPr>
          <w:ilvl w:val="0"/>
          <w:numId w:val="26"/>
        </w:numPr>
        <w:rPr>
          <w:lang w:eastAsia="bg-BG"/>
        </w:rPr>
      </w:pPr>
      <w:r w:rsidRPr="005D0A88">
        <w:rPr>
          <w:lang w:eastAsia="bg-BG"/>
        </w:rPr>
        <w:t>Лечение на предозирането</w:t>
      </w:r>
    </w:p>
    <w:p w14:paraId="69A2F899" w14:textId="77777777" w:rsidR="005D0A88" w:rsidRDefault="005D0A88" w:rsidP="005D0A88">
      <w:pPr>
        <w:rPr>
          <w:lang w:eastAsia="bg-BG"/>
        </w:rPr>
      </w:pPr>
    </w:p>
    <w:p w14:paraId="2409E098" w14:textId="084C13DF" w:rsidR="005D0A88" w:rsidRPr="005D0A88" w:rsidRDefault="005D0A88" w:rsidP="005D0A88">
      <w:pPr>
        <w:rPr>
          <w:sz w:val="24"/>
          <w:szCs w:val="24"/>
        </w:rPr>
      </w:pPr>
      <w:r w:rsidRPr="005D0A88">
        <w:rPr>
          <w:lang w:eastAsia="bg-BG"/>
        </w:rPr>
        <w:t>Не е известен специфичен антидот.</w:t>
      </w:r>
    </w:p>
    <w:p w14:paraId="13D4FFD4" w14:textId="77777777" w:rsidR="005D0A88" w:rsidRDefault="005D0A88" w:rsidP="005D0A88">
      <w:pPr>
        <w:rPr>
          <w:lang w:eastAsia="bg-BG"/>
        </w:rPr>
      </w:pPr>
    </w:p>
    <w:p w14:paraId="29F9F572" w14:textId="2C27F454" w:rsidR="005D0A88" w:rsidRPr="005D0A88" w:rsidRDefault="005D0A88" w:rsidP="005D0A88">
      <w:pPr>
        <w:rPr>
          <w:sz w:val="24"/>
          <w:szCs w:val="24"/>
        </w:rPr>
      </w:pPr>
      <w:r w:rsidRPr="005D0A88">
        <w:rPr>
          <w:lang w:eastAsia="bg-BG"/>
        </w:rPr>
        <w:t>Препоръчват се прекъсване на инфузията, наблюдение и симптоматични мерки.</w:t>
      </w:r>
    </w:p>
    <w:p w14:paraId="71153D95" w14:textId="77777777" w:rsidR="005D0A88" w:rsidRPr="005D0A88" w:rsidRDefault="005D0A88" w:rsidP="005D0A88"/>
    <w:p w14:paraId="18EF4AFE" w14:textId="77777777" w:rsidR="002C50EE" w:rsidRDefault="002C50EE" w:rsidP="002C50EE">
      <w:pPr>
        <w:pStyle w:val="Heading1"/>
      </w:pPr>
      <w:r>
        <w:t>5. ФАРМАКОЛОГИЧНИ СВОЙСТВА</w:t>
      </w:r>
    </w:p>
    <w:p w14:paraId="7635AD51" w14:textId="3976B344" w:rsidR="003765DC" w:rsidRDefault="002C50EE" w:rsidP="002B3C38">
      <w:pPr>
        <w:pStyle w:val="Heading2"/>
      </w:pPr>
      <w:r>
        <w:t xml:space="preserve">5.1. </w:t>
      </w:r>
      <w:proofErr w:type="spellStart"/>
      <w:r>
        <w:t>Фармакодинамични</w:t>
      </w:r>
      <w:proofErr w:type="spellEnd"/>
      <w:r>
        <w:t xml:space="preserve"> свойства</w:t>
      </w:r>
    </w:p>
    <w:p w14:paraId="7EA87037" w14:textId="77777777" w:rsidR="005D0A88" w:rsidRDefault="005D0A88" w:rsidP="005D0A88">
      <w:pPr>
        <w:spacing w:line="240" w:lineRule="auto"/>
        <w:rPr>
          <w:rFonts w:ascii="Times New Roman" w:eastAsia="Times New Roman" w:hAnsi="Times New Roman" w:cs="Times New Roman"/>
          <w:color w:val="000000"/>
          <w:lang w:eastAsia="bg-BG"/>
        </w:rPr>
      </w:pPr>
    </w:p>
    <w:p w14:paraId="3A505B9F" w14:textId="4E2F10E8" w:rsidR="005D0A88" w:rsidRPr="005D0A88" w:rsidRDefault="005D0A88" w:rsidP="005D0A88">
      <w:pPr>
        <w:rPr>
          <w:sz w:val="24"/>
          <w:szCs w:val="24"/>
        </w:rPr>
      </w:pPr>
      <w:proofErr w:type="spellStart"/>
      <w:r w:rsidRPr="005D0A88">
        <w:rPr>
          <w:lang w:eastAsia="bg-BG"/>
        </w:rPr>
        <w:t>Фармакотерапевтична</w:t>
      </w:r>
      <w:proofErr w:type="spellEnd"/>
      <w:r w:rsidRPr="005D0A88">
        <w:rPr>
          <w:lang w:eastAsia="bg-BG"/>
        </w:rPr>
        <w:t xml:space="preserve"> група: Инхибитори на агрегацията на </w:t>
      </w:r>
      <w:proofErr w:type="spellStart"/>
      <w:r w:rsidRPr="005D0A88">
        <w:rPr>
          <w:lang w:eastAsia="bg-BG"/>
        </w:rPr>
        <w:t>тромбоцитите</w:t>
      </w:r>
      <w:proofErr w:type="spellEnd"/>
      <w:r w:rsidRPr="005D0A88">
        <w:rPr>
          <w:lang w:eastAsia="bg-BG"/>
        </w:rPr>
        <w:t xml:space="preserve">, е изключение на </w:t>
      </w:r>
      <w:proofErr w:type="spellStart"/>
      <w:r w:rsidRPr="005D0A88">
        <w:rPr>
          <w:lang w:eastAsia="bg-BG"/>
        </w:rPr>
        <w:t>хепарин</w:t>
      </w:r>
      <w:proofErr w:type="spellEnd"/>
      <w:r w:rsidRPr="005D0A88">
        <w:rPr>
          <w:lang w:eastAsia="bg-BG"/>
        </w:rPr>
        <w:t xml:space="preserve">, </w:t>
      </w:r>
      <w:proofErr w:type="spellStart"/>
      <w:r w:rsidRPr="005D0A88">
        <w:rPr>
          <w:lang w:eastAsia="bg-BG"/>
        </w:rPr>
        <w:t>АТСкод</w:t>
      </w:r>
      <w:proofErr w:type="spellEnd"/>
      <w:r w:rsidRPr="005D0A88">
        <w:rPr>
          <w:lang w:eastAsia="bg-BG"/>
        </w:rPr>
        <w:t>: В01АС11</w:t>
      </w:r>
    </w:p>
    <w:p w14:paraId="5F144C51" w14:textId="77777777" w:rsidR="005D0A88" w:rsidRDefault="005D0A88" w:rsidP="005D0A88">
      <w:pPr>
        <w:rPr>
          <w:lang w:eastAsia="bg-BG"/>
        </w:rPr>
      </w:pPr>
    </w:p>
    <w:p w14:paraId="37D7AB85" w14:textId="00051C1E" w:rsidR="005D0A88" w:rsidRPr="005D0A88" w:rsidRDefault="005D0A88" w:rsidP="005D0A88">
      <w:pPr>
        <w:rPr>
          <w:sz w:val="24"/>
          <w:szCs w:val="24"/>
        </w:rPr>
      </w:pPr>
      <w:proofErr w:type="spellStart"/>
      <w:r w:rsidRPr="005D0A88">
        <w:rPr>
          <w:lang w:eastAsia="bg-BG"/>
        </w:rPr>
        <w:t>Илопрост</w:t>
      </w:r>
      <w:proofErr w:type="spellEnd"/>
      <w:r w:rsidRPr="005D0A88">
        <w:rPr>
          <w:lang w:eastAsia="bg-BG"/>
        </w:rPr>
        <w:t xml:space="preserve"> е </w:t>
      </w:r>
      <w:proofErr w:type="spellStart"/>
      <w:r w:rsidRPr="005D0A88">
        <w:rPr>
          <w:lang w:eastAsia="bg-BG"/>
        </w:rPr>
        <w:t>простациклинов</w:t>
      </w:r>
      <w:proofErr w:type="spellEnd"/>
      <w:r w:rsidRPr="005D0A88">
        <w:rPr>
          <w:lang w:eastAsia="bg-BG"/>
        </w:rPr>
        <w:t xml:space="preserve"> аналог. Наблюдават се следните фармакологични ефекти:</w:t>
      </w:r>
    </w:p>
    <w:p w14:paraId="76A504B7" w14:textId="3E1C0BAA" w:rsidR="005D0A88" w:rsidRPr="005D0A88" w:rsidRDefault="005D0A88" w:rsidP="005D0A88">
      <w:pPr>
        <w:pStyle w:val="ListParagraph"/>
        <w:numPr>
          <w:ilvl w:val="0"/>
          <w:numId w:val="27"/>
        </w:numPr>
        <w:rPr>
          <w:sz w:val="24"/>
          <w:szCs w:val="24"/>
        </w:rPr>
      </w:pPr>
      <w:r w:rsidRPr="005D0A88">
        <w:rPr>
          <w:lang w:eastAsia="bg-BG"/>
        </w:rPr>
        <w:t xml:space="preserve">Инхибиране на агрегацията и адхезията на </w:t>
      </w:r>
      <w:proofErr w:type="spellStart"/>
      <w:r w:rsidRPr="005D0A88">
        <w:rPr>
          <w:lang w:eastAsia="bg-BG"/>
        </w:rPr>
        <w:t>тромбоцити</w:t>
      </w:r>
      <w:proofErr w:type="spellEnd"/>
      <w:r w:rsidRPr="005D0A88">
        <w:rPr>
          <w:lang w:eastAsia="bg-BG"/>
        </w:rPr>
        <w:t xml:space="preserve"> и инхибиране на реакцията</w:t>
      </w:r>
      <w:r>
        <w:rPr>
          <w:lang w:eastAsia="bg-BG"/>
        </w:rPr>
        <w:t xml:space="preserve"> о</w:t>
      </w:r>
      <w:r w:rsidRPr="005D0A88">
        <w:rPr>
          <w:lang w:eastAsia="bg-BG"/>
        </w:rPr>
        <w:t>свобождаване</w:t>
      </w:r>
    </w:p>
    <w:p w14:paraId="33B2CC61" w14:textId="56888DB7" w:rsidR="005D0A88" w:rsidRPr="005D0A88" w:rsidRDefault="005D0A88" w:rsidP="005D0A88">
      <w:pPr>
        <w:pStyle w:val="ListParagraph"/>
        <w:numPr>
          <w:ilvl w:val="0"/>
          <w:numId w:val="27"/>
        </w:numPr>
        <w:rPr>
          <w:sz w:val="24"/>
          <w:szCs w:val="24"/>
        </w:rPr>
      </w:pPr>
      <w:r w:rsidRPr="005D0A88">
        <w:rPr>
          <w:lang w:eastAsia="bg-BG"/>
        </w:rPr>
        <w:t xml:space="preserve">Разширение на </w:t>
      </w:r>
      <w:proofErr w:type="spellStart"/>
      <w:r w:rsidRPr="005D0A88">
        <w:rPr>
          <w:lang w:eastAsia="bg-BG"/>
        </w:rPr>
        <w:t>артериоли</w:t>
      </w:r>
      <w:proofErr w:type="spellEnd"/>
      <w:r w:rsidRPr="005D0A88">
        <w:rPr>
          <w:lang w:eastAsia="bg-BG"/>
        </w:rPr>
        <w:t xml:space="preserve"> и </w:t>
      </w:r>
      <w:proofErr w:type="spellStart"/>
      <w:r w:rsidRPr="005D0A88">
        <w:rPr>
          <w:lang w:eastAsia="bg-BG"/>
        </w:rPr>
        <w:t>венули</w:t>
      </w:r>
      <w:proofErr w:type="spellEnd"/>
      <w:r w:rsidRPr="005D0A88">
        <w:rPr>
          <w:lang w:eastAsia="bg-BG"/>
        </w:rPr>
        <w:t>,</w:t>
      </w:r>
    </w:p>
    <w:p w14:paraId="19C81C8F" w14:textId="1EE5E951" w:rsidR="005D0A88" w:rsidRDefault="005D0A88" w:rsidP="005D0A88">
      <w:pPr>
        <w:rPr>
          <w:lang w:eastAsia="bg-BG"/>
        </w:rPr>
      </w:pPr>
      <w:r w:rsidRPr="005D0A88">
        <w:rPr>
          <w:lang w:eastAsia="bg-BG"/>
        </w:rPr>
        <w:t xml:space="preserve">Увеличение на плътността на капилярите и намаление на увеличената съдова пропускливост в микроциркулацията, предизвикана от медиатори, като </w:t>
      </w:r>
      <w:proofErr w:type="spellStart"/>
      <w:r w:rsidRPr="005D0A88">
        <w:rPr>
          <w:lang w:eastAsia="bg-BG"/>
        </w:rPr>
        <w:t>серотонин</w:t>
      </w:r>
      <w:proofErr w:type="spellEnd"/>
      <w:r w:rsidRPr="005D0A88">
        <w:rPr>
          <w:lang w:eastAsia="bg-BG"/>
        </w:rPr>
        <w:t xml:space="preserve"> или хистамин.</w:t>
      </w:r>
    </w:p>
    <w:p w14:paraId="01821D2F" w14:textId="77777777" w:rsidR="005D0A88" w:rsidRPr="005D0A88" w:rsidRDefault="005D0A88" w:rsidP="005D0A88">
      <w:pPr>
        <w:pStyle w:val="ListParagraph"/>
        <w:numPr>
          <w:ilvl w:val="0"/>
          <w:numId w:val="27"/>
        </w:numPr>
        <w:rPr>
          <w:sz w:val="24"/>
          <w:szCs w:val="24"/>
        </w:rPr>
      </w:pPr>
      <w:r w:rsidRPr="005D0A88">
        <w:rPr>
          <w:lang w:eastAsia="bg-BG"/>
        </w:rPr>
        <w:t xml:space="preserve">Стимулиране на ендогенния </w:t>
      </w:r>
      <w:proofErr w:type="spellStart"/>
      <w:r w:rsidRPr="005D0A88">
        <w:rPr>
          <w:lang w:eastAsia="bg-BG"/>
        </w:rPr>
        <w:t>фибринолитичен</w:t>
      </w:r>
      <w:proofErr w:type="spellEnd"/>
      <w:r w:rsidRPr="005D0A88">
        <w:rPr>
          <w:lang w:eastAsia="bg-BG"/>
        </w:rPr>
        <w:t xml:space="preserve"> потенциал </w:t>
      </w:r>
    </w:p>
    <w:p w14:paraId="42B39FC5" w14:textId="063A314D" w:rsidR="005D0A88" w:rsidRPr="005D0A88" w:rsidRDefault="005D0A88" w:rsidP="005D0A88">
      <w:pPr>
        <w:rPr>
          <w:sz w:val="24"/>
          <w:szCs w:val="24"/>
        </w:rPr>
      </w:pPr>
      <w:r w:rsidRPr="005D0A88">
        <w:rPr>
          <w:lang w:eastAsia="bg-BG"/>
        </w:rPr>
        <w:t xml:space="preserve">Противовъзпалително действие, като инхибиране на адхезията на левкоцити след лезия на </w:t>
      </w:r>
      <w:proofErr w:type="spellStart"/>
      <w:r w:rsidRPr="005D0A88">
        <w:rPr>
          <w:lang w:eastAsia="bg-BG"/>
        </w:rPr>
        <w:t>ендотела</w:t>
      </w:r>
      <w:proofErr w:type="spellEnd"/>
      <w:r w:rsidRPr="005D0A88">
        <w:rPr>
          <w:lang w:eastAsia="bg-BG"/>
        </w:rPr>
        <w:t xml:space="preserve">, инхибиране на кумулирането на левкоцити в засегнатата тъкан и намалено освобождаване на тумор </w:t>
      </w:r>
      <w:proofErr w:type="spellStart"/>
      <w:r w:rsidRPr="005D0A88">
        <w:rPr>
          <w:lang w:eastAsia="bg-BG"/>
        </w:rPr>
        <w:t>некротичен</w:t>
      </w:r>
      <w:proofErr w:type="spellEnd"/>
      <w:r w:rsidRPr="005D0A88">
        <w:rPr>
          <w:lang w:eastAsia="bg-BG"/>
        </w:rPr>
        <w:t xml:space="preserve"> фактор.</w:t>
      </w:r>
    </w:p>
    <w:p w14:paraId="75347B4D" w14:textId="77777777" w:rsidR="005D0A88" w:rsidRPr="005D0A88" w:rsidRDefault="005D0A88" w:rsidP="005D0A88"/>
    <w:p w14:paraId="4D7DA0E3" w14:textId="3D3AB398" w:rsidR="004D4D6B" w:rsidRDefault="002C50EE" w:rsidP="002B3C38">
      <w:pPr>
        <w:pStyle w:val="Heading2"/>
      </w:pPr>
      <w:r>
        <w:t xml:space="preserve">5.2. </w:t>
      </w:r>
      <w:proofErr w:type="spellStart"/>
      <w:r>
        <w:t>Фармакокинетични</w:t>
      </w:r>
      <w:proofErr w:type="spellEnd"/>
      <w:r>
        <w:t xml:space="preserve"> свойства</w:t>
      </w:r>
    </w:p>
    <w:p w14:paraId="0EB28DCD" w14:textId="77777777" w:rsidR="005D0A88" w:rsidRDefault="005D0A88" w:rsidP="005D0A88">
      <w:pPr>
        <w:spacing w:line="240" w:lineRule="auto"/>
        <w:rPr>
          <w:rFonts w:ascii="Times New Roman" w:eastAsia="Times New Roman" w:hAnsi="Times New Roman" w:cs="Times New Roman"/>
          <w:color w:val="000000"/>
          <w:u w:val="single"/>
          <w:lang w:eastAsia="bg-BG"/>
        </w:rPr>
      </w:pPr>
    </w:p>
    <w:p w14:paraId="5AEE6AF7" w14:textId="1DA99B2B" w:rsidR="005D0A88" w:rsidRPr="005D0A88" w:rsidRDefault="005D0A88" w:rsidP="005D0A88">
      <w:pPr>
        <w:pStyle w:val="Heading3"/>
        <w:rPr>
          <w:rFonts w:eastAsia="Times New Roman"/>
          <w:u w:val="single"/>
        </w:rPr>
      </w:pPr>
      <w:r w:rsidRPr="005D0A88">
        <w:rPr>
          <w:rFonts w:eastAsia="Times New Roman"/>
          <w:u w:val="single"/>
          <w:lang w:eastAsia="bg-BG"/>
        </w:rPr>
        <w:t>Разпределение</w:t>
      </w:r>
    </w:p>
    <w:p w14:paraId="7BA709FF" w14:textId="77777777" w:rsidR="005D0A88" w:rsidRPr="005D0A88" w:rsidRDefault="005D0A88" w:rsidP="005D0A88">
      <w:pPr>
        <w:spacing w:line="240" w:lineRule="auto"/>
        <w:rPr>
          <w:rFonts w:eastAsia="Times New Roman" w:cs="Arial"/>
          <w:color w:val="000000"/>
          <w:lang w:eastAsia="bg-BG"/>
        </w:rPr>
      </w:pPr>
    </w:p>
    <w:p w14:paraId="078A6B30" w14:textId="72F6A864"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Равновесни плазмени концентрации се достигат 10-20 минути след началото на интравенозната инфузия. Равновесните плазмени концентрации са линейно свързани със скоростта на инфузията. Плазмени концентрации около 135 </w:t>
      </w:r>
      <w:r w:rsidRPr="005D0A88">
        <w:rPr>
          <w:rFonts w:eastAsia="Times New Roman" w:cs="Arial"/>
          <w:color w:val="000000"/>
          <w:lang w:val="en-US"/>
        </w:rPr>
        <w:t>±</w:t>
      </w:r>
      <w:r w:rsidRPr="005D0A88">
        <w:rPr>
          <w:rFonts w:eastAsia="Times New Roman" w:cs="Arial"/>
          <w:color w:val="000000"/>
          <w:lang w:eastAsia="bg-BG"/>
        </w:rPr>
        <w:t xml:space="preserve"> 24 </w:t>
      </w:r>
      <w:proofErr w:type="spellStart"/>
      <w:r w:rsidRPr="005D0A88">
        <w:rPr>
          <w:rFonts w:eastAsia="Times New Roman" w:cs="Arial"/>
          <w:color w:val="000000"/>
          <w:lang w:val="en-US"/>
        </w:rPr>
        <w:t>pg</w:t>
      </w:r>
      <w:proofErr w:type="spellEnd"/>
      <w:r w:rsidRPr="005D0A88">
        <w:rPr>
          <w:rFonts w:eastAsia="Times New Roman" w:cs="Arial"/>
          <w:color w:val="000000"/>
          <w:lang w:val="en-US"/>
        </w:rPr>
        <w:t xml:space="preserve">/ml </w:t>
      </w:r>
      <w:r w:rsidRPr="005D0A88">
        <w:rPr>
          <w:rFonts w:eastAsia="Times New Roman" w:cs="Arial"/>
          <w:color w:val="000000"/>
          <w:lang w:eastAsia="bg-BG"/>
        </w:rPr>
        <w:t xml:space="preserve">се получават при скорост на инфузията 3 </w:t>
      </w:r>
      <w:r w:rsidRPr="005D0A88">
        <w:rPr>
          <w:rFonts w:eastAsia="Times New Roman" w:cs="Arial"/>
          <w:color w:val="000000"/>
          <w:lang w:val="en-US"/>
        </w:rPr>
        <w:t xml:space="preserve">ng/kg/min. </w:t>
      </w:r>
      <w:r w:rsidRPr="005D0A88">
        <w:rPr>
          <w:rFonts w:eastAsia="Times New Roman" w:cs="Arial"/>
          <w:color w:val="000000"/>
          <w:lang w:eastAsia="bg-BG"/>
        </w:rPr>
        <w:t xml:space="preserve">Плазмената концентрация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спада много бързо след края на инфузията, поради това, че се </w:t>
      </w:r>
      <w:proofErr w:type="spellStart"/>
      <w:r w:rsidRPr="005D0A88">
        <w:rPr>
          <w:rFonts w:eastAsia="Times New Roman" w:cs="Arial"/>
          <w:color w:val="000000"/>
          <w:lang w:eastAsia="bg-BG"/>
        </w:rPr>
        <w:t>метаболизира</w:t>
      </w:r>
      <w:proofErr w:type="spellEnd"/>
      <w:r w:rsidRPr="005D0A88">
        <w:rPr>
          <w:rFonts w:eastAsia="Times New Roman" w:cs="Arial"/>
          <w:color w:val="000000"/>
          <w:lang w:eastAsia="bg-BG"/>
        </w:rPr>
        <w:t xml:space="preserve"> бързо. Метаболитният клирънс на субстанцията от плазмата е около 20 ± 5 </w:t>
      </w:r>
      <w:r w:rsidRPr="005D0A88">
        <w:rPr>
          <w:rFonts w:eastAsia="Times New Roman" w:cs="Arial"/>
          <w:color w:val="000000"/>
          <w:lang w:val="en-US"/>
        </w:rPr>
        <w:t xml:space="preserve">ml/kg/min. </w:t>
      </w:r>
      <w:r w:rsidRPr="005D0A88">
        <w:rPr>
          <w:rFonts w:eastAsia="Times New Roman" w:cs="Arial"/>
          <w:color w:val="000000"/>
          <w:lang w:eastAsia="bg-BG"/>
        </w:rPr>
        <w:t xml:space="preserve">Плазменият полуживот в терминалната </w:t>
      </w:r>
      <w:proofErr w:type="spellStart"/>
      <w:r w:rsidRPr="005D0A88">
        <w:rPr>
          <w:rFonts w:eastAsia="Times New Roman" w:cs="Arial"/>
          <w:color w:val="000000"/>
          <w:lang w:eastAsia="bg-BG"/>
        </w:rPr>
        <w:t>диспозиционна</w:t>
      </w:r>
      <w:proofErr w:type="spellEnd"/>
      <w:r w:rsidRPr="005D0A88">
        <w:rPr>
          <w:rFonts w:eastAsia="Times New Roman" w:cs="Arial"/>
          <w:color w:val="000000"/>
          <w:lang w:eastAsia="bg-BG"/>
        </w:rPr>
        <w:t xml:space="preserve"> фаза е 0,5 часа, в резултат на което нивото на субстанцията спада до по-малко от 10% от равновесната концентрация 2 часа след края на инфузията.</w:t>
      </w:r>
    </w:p>
    <w:p w14:paraId="643EC1AA" w14:textId="77777777"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Не се очакват взаимодействия с други лекарства на ниво свързване с плазмени протеини поради това, че по-голямата част от </w:t>
      </w:r>
      <w:proofErr w:type="spellStart"/>
      <w:r w:rsidRPr="005D0A88">
        <w:rPr>
          <w:rFonts w:eastAsia="Times New Roman" w:cs="Arial"/>
          <w:color w:val="000000"/>
          <w:lang w:eastAsia="bg-BG"/>
        </w:rPr>
        <w:t>иломедин</w:t>
      </w:r>
      <w:proofErr w:type="spellEnd"/>
      <w:r w:rsidRPr="005D0A88">
        <w:rPr>
          <w:rFonts w:eastAsia="Times New Roman" w:cs="Arial"/>
          <w:color w:val="000000"/>
          <w:lang w:eastAsia="bg-BG"/>
        </w:rPr>
        <w:t xml:space="preserve"> е свързана с плазмения албумин (</w:t>
      </w:r>
      <w:proofErr w:type="spellStart"/>
      <w:r w:rsidRPr="005D0A88">
        <w:rPr>
          <w:rFonts w:eastAsia="Times New Roman" w:cs="Arial"/>
          <w:color w:val="000000"/>
          <w:lang w:eastAsia="bg-BG"/>
        </w:rPr>
        <w:t>протеинно</w:t>
      </w:r>
      <w:proofErr w:type="spellEnd"/>
      <w:r w:rsidRPr="005D0A88">
        <w:rPr>
          <w:rFonts w:eastAsia="Times New Roman" w:cs="Arial"/>
          <w:color w:val="000000"/>
          <w:lang w:eastAsia="bg-BG"/>
        </w:rPr>
        <w:t xml:space="preserve"> свързване 60%) и се достигат много ниски концентрации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Слабо вероятен е ефект от терапията с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върху биотрансформацията на други лекарства, поради пътищата на метаболизъм и ниската абсолютна доза.</w:t>
      </w:r>
    </w:p>
    <w:p w14:paraId="3BEA1161" w14:textId="77777777" w:rsidR="005D0A88" w:rsidRPr="005D0A88" w:rsidRDefault="005D0A88" w:rsidP="005D0A88">
      <w:pPr>
        <w:spacing w:line="240" w:lineRule="auto"/>
        <w:rPr>
          <w:rFonts w:eastAsia="Times New Roman" w:cs="Arial"/>
          <w:color w:val="000000"/>
          <w:u w:val="single"/>
          <w:lang w:eastAsia="bg-BG"/>
        </w:rPr>
      </w:pPr>
    </w:p>
    <w:p w14:paraId="56987D8F" w14:textId="480D28FB" w:rsidR="005D0A88" w:rsidRPr="005D0A88" w:rsidRDefault="005D0A88" w:rsidP="005D0A88">
      <w:pPr>
        <w:pStyle w:val="Heading3"/>
        <w:rPr>
          <w:rFonts w:eastAsia="Times New Roman"/>
          <w:u w:val="single"/>
        </w:rPr>
      </w:pPr>
      <w:r w:rsidRPr="005D0A88">
        <w:rPr>
          <w:rFonts w:eastAsia="Times New Roman"/>
          <w:u w:val="single"/>
          <w:lang w:eastAsia="bg-BG"/>
        </w:rPr>
        <w:t>Биотрансформация</w:t>
      </w:r>
    </w:p>
    <w:p w14:paraId="46F1DF37" w14:textId="77777777" w:rsidR="005D0A88" w:rsidRPr="005D0A88" w:rsidRDefault="005D0A88" w:rsidP="005D0A88">
      <w:pPr>
        <w:spacing w:line="240" w:lineRule="auto"/>
        <w:rPr>
          <w:rFonts w:eastAsia="Times New Roman" w:cs="Arial"/>
          <w:color w:val="000000"/>
          <w:lang w:eastAsia="bg-BG"/>
        </w:rPr>
      </w:pPr>
    </w:p>
    <w:p w14:paraId="3315B8E2" w14:textId="2F22C970" w:rsidR="005D0A88" w:rsidRDefault="005D0A88" w:rsidP="005D0A88">
      <w:pPr>
        <w:spacing w:line="240" w:lineRule="auto"/>
        <w:rPr>
          <w:rFonts w:eastAsia="Times New Roman" w:cs="Arial"/>
          <w:color w:val="000000"/>
          <w:lang w:eastAsia="bg-BG"/>
        </w:rPr>
      </w:pPr>
      <w:proofErr w:type="spellStart"/>
      <w:r w:rsidRPr="005D0A88">
        <w:rPr>
          <w:rFonts w:eastAsia="Times New Roman" w:cs="Arial"/>
          <w:color w:val="000000"/>
          <w:lang w:eastAsia="bg-BG"/>
        </w:rPr>
        <w:lastRenderedPageBreak/>
        <w:t>Илопрост</w:t>
      </w:r>
      <w:proofErr w:type="spellEnd"/>
      <w:r w:rsidRPr="005D0A88">
        <w:rPr>
          <w:rFonts w:eastAsia="Times New Roman" w:cs="Arial"/>
          <w:color w:val="000000"/>
          <w:lang w:eastAsia="bg-BG"/>
        </w:rPr>
        <w:t xml:space="preserve"> се </w:t>
      </w:r>
      <w:proofErr w:type="spellStart"/>
      <w:r w:rsidRPr="005D0A88">
        <w:rPr>
          <w:rFonts w:eastAsia="Times New Roman" w:cs="Arial"/>
          <w:color w:val="000000"/>
          <w:lang w:eastAsia="bg-BG"/>
        </w:rPr>
        <w:t>метаболизира</w:t>
      </w:r>
      <w:proofErr w:type="spellEnd"/>
      <w:r w:rsidRPr="005D0A88">
        <w:rPr>
          <w:rFonts w:eastAsia="Times New Roman" w:cs="Arial"/>
          <w:color w:val="000000"/>
          <w:lang w:eastAsia="bg-BG"/>
        </w:rPr>
        <w:t xml:space="preserve"> главно чрез </w:t>
      </w:r>
      <w:r w:rsidRPr="005D0A88">
        <w:rPr>
          <w:rFonts w:eastAsia="Times New Roman" w:cs="Arial"/>
          <w:color w:val="000000"/>
          <w:lang w:val="en-US"/>
        </w:rPr>
        <w:t>β</w:t>
      </w:r>
      <w:r w:rsidRPr="005D0A88">
        <w:rPr>
          <w:rFonts w:eastAsia="Times New Roman" w:cs="Arial"/>
          <w:color w:val="000000"/>
          <w:lang w:eastAsia="bg-BG"/>
        </w:rPr>
        <w:t xml:space="preserve">-окисление на </w:t>
      </w:r>
      <w:proofErr w:type="spellStart"/>
      <w:r w:rsidRPr="005D0A88">
        <w:rPr>
          <w:rFonts w:eastAsia="Times New Roman" w:cs="Arial"/>
          <w:color w:val="000000"/>
          <w:lang w:eastAsia="bg-BG"/>
        </w:rPr>
        <w:t>карбоксилната</w:t>
      </w:r>
      <w:proofErr w:type="spellEnd"/>
      <w:r w:rsidRPr="005D0A88">
        <w:rPr>
          <w:rFonts w:eastAsia="Times New Roman" w:cs="Arial"/>
          <w:color w:val="000000"/>
          <w:lang w:eastAsia="bg-BG"/>
        </w:rPr>
        <w:t xml:space="preserve"> странична верига. Не се елиминира в непроменен вид. Главният метаболит е </w:t>
      </w:r>
      <w:proofErr w:type="spellStart"/>
      <w:r w:rsidRPr="005D0A88">
        <w:rPr>
          <w:rFonts w:eastAsia="Times New Roman" w:cs="Arial"/>
          <w:color w:val="000000"/>
          <w:lang w:eastAsia="bg-BG"/>
        </w:rPr>
        <w:t>тетранор-илопрост</w:t>
      </w:r>
      <w:proofErr w:type="spellEnd"/>
      <w:r w:rsidRPr="005D0A88">
        <w:rPr>
          <w:rFonts w:eastAsia="Times New Roman" w:cs="Arial"/>
          <w:color w:val="000000"/>
          <w:lang w:eastAsia="bg-BG"/>
        </w:rPr>
        <w:t xml:space="preserve">, който се открива в урината в свободна и </w:t>
      </w:r>
      <w:proofErr w:type="spellStart"/>
      <w:r w:rsidRPr="005D0A88">
        <w:rPr>
          <w:rFonts w:eastAsia="Times New Roman" w:cs="Arial"/>
          <w:color w:val="000000"/>
          <w:lang w:eastAsia="bg-BG"/>
        </w:rPr>
        <w:t>конюгирана</w:t>
      </w:r>
      <w:proofErr w:type="spellEnd"/>
      <w:r w:rsidRPr="005D0A88">
        <w:rPr>
          <w:rFonts w:eastAsia="Times New Roman" w:cs="Arial"/>
          <w:color w:val="000000"/>
          <w:lang w:eastAsia="bg-BG"/>
        </w:rPr>
        <w:t xml:space="preserve"> форма в 4 </w:t>
      </w:r>
      <w:proofErr w:type="spellStart"/>
      <w:r w:rsidRPr="005D0A88">
        <w:rPr>
          <w:rFonts w:eastAsia="Times New Roman" w:cs="Arial"/>
          <w:color w:val="000000"/>
          <w:lang w:eastAsia="bg-BG"/>
        </w:rPr>
        <w:t>диастереоизомери</w:t>
      </w:r>
      <w:proofErr w:type="spellEnd"/>
      <w:r w:rsidRPr="005D0A88">
        <w:rPr>
          <w:rFonts w:eastAsia="Times New Roman" w:cs="Arial"/>
          <w:color w:val="000000"/>
          <w:lang w:eastAsia="bg-BG"/>
        </w:rPr>
        <w:t xml:space="preserve">. </w:t>
      </w:r>
      <w:proofErr w:type="spellStart"/>
      <w:r w:rsidRPr="005D0A88">
        <w:rPr>
          <w:rFonts w:eastAsia="Times New Roman" w:cs="Arial"/>
          <w:color w:val="000000"/>
          <w:lang w:eastAsia="bg-BG"/>
        </w:rPr>
        <w:t>Тетранор-илопрост</w:t>
      </w:r>
      <w:proofErr w:type="spellEnd"/>
      <w:r w:rsidRPr="005D0A88">
        <w:rPr>
          <w:rFonts w:eastAsia="Times New Roman" w:cs="Arial"/>
          <w:color w:val="000000"/>
          <w:lang w:eastAsia="bg-BG"/>
        </w:rPr>
        <w:t xml:space="preserve"> не е активен фармакологично, както е показано в изпитванията върху животни. </w:t>
      </w:r>
      <w:r w:rsidRPr="005D0A88">
        <w:rPr>
          <w:rFonts w:eastAsia="Times New Roman" w:cs="Arial"/>
          <w:i/>
          <w:iCs/>
          <w:color w:val="000000"/>
          <w:lang w:val="en-US"/>
        </w:rPr>
        <w:t>In vitro</w:t>
      </w:r>
      <w:r w:rsidRPr="005D0A88">
        <w:rPr>
          <w:rFonts w:eastAsia="Times New Roman" w:cs="Arial"/>
          <w:color w:val="000000"/>
          <w:lang w:val="en-US"/>
        </w:rPr>
        <w:t xml:space="preserve"> </w:t>
      </w:r>
      <w:r w:rsidRPr="005D0A88">
        <w:rPr>
          <w:rFonts w:eastAsia="Times New Roman" w:cs="Arial"/>
          <w:color w:val="000000"/>
          <w:lang w:eastAsia="bg-BG"/>
        </w:rPr>
        <w:t xml:space="preserve">изпитванията предполагат, че метаболизмът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в белите дробове е подобен след интравенозно приложение или инхалиране.</w:t>
      </w:r>
    </w:p>
    <w:p w14:paraId="64969F22" w14:textId="77777777" w:rsidR="005D0A88" w:rsidRPr="005D0A88" w:rsidRDefault="005D0A88" w:rsidP="005D0A88">
      <w:pPr>
        <w:spacing w:line="240" w:lineRule="auto"/>
        <w:rPr>
          <w:rFonts w:eastAsia="Times New Roman" w:cs="Arial"/>
          <w:sz w:val="24"/>
          <w:szCs w:val="24"/>
        </w:rPr>
      </w:pPr>
    </w:p>
    <w:p w14:paraId="63627916" w14:textId="77777777" w:rsidR="005D0A88" w:rsidRPr="005D0A88" w:rsidRDefault="005D0A88" w:rsidP="005D0A88">
      <w:pPr>
        <w:pStyle w:val="Heading3"/>
        <w:rPr>
          <w:rFonts w:eastAsia="Times New Roman"/>
          <w:u w:val="single"/>
        </w:rPr>
      </w:pPr>
      <w:r w:rsidRPr="005D0A88">
        <w:rPr>
          <w:rFonts w:eastAsia="Times New Roman"/>
          <w:u w:val="single"/>
          <w:lang w:eastAsia="bg-BG"/>
        </w:rPr>
        <w:t>Елиминиране</w:t>
      </w:r>
    </w:p>
    <w:p w14:paraId="77FB554E" w14:textId="77777777" w:rsidR="005D0A88" w:rsidRPr="005D0A88" w:rsidRDefault="005D0A88" w:rsidP="005D0A88">
      <w:pPr>
        <w:spacing w:line="240" w:lineRule="auto"/>
        <w:rPr>
          <w:rFonts w:eastAsia="Times New Roman" w:cs="Arial"/>
          <w:color w:val="000000"/>
          <w:lang w:eastAsia="bg-BG"/>
        </w:rPr>
      </w:pPr>
    </w:p>
    <w:p w14:paraId="53CC29AB" w14:textId="00FFFF8C"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При пациенти с нормална бъбречна и чернодробна функция, разположението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след интравенозно вливане се характеризира в повечето случаи с двуфазов профил със средни времена на полуживот от 3 до 5 минути и от 15 до 30 минути. Общият клирънс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е около 20 </w:t>
      </w:r>
      <w:r w:rsidRPr="005D0A88">
        <w:rPr>
          <w:rFonts w:eastAsia="Times New Roman" w:cs="Arial"/>
          <w:color w:val="000000"/>
          <w:lang w:val="en-US"/>
        </w:rPr>
        <w:t xml:space="preserve">ml/kg/min, </w:t>
      </w:r>
      <w:r w:rsidRPr="005D0A88">
        <w:rPr>
          <w:rFonts w:eastAsia="Times New Roman" w:cs="Arial"/>
          <w:color w:val="000000"/>
          <w:lang w:eastAsia="bg-BG"/>
        </w:rPr>
        <w:t xml:space="preserve">което показва </w:t>
      </w:r>
      <w:proofErr w:type="spellStart"/>
      <w:r w:rsidRPr="005D0A88">
        <w:rPr>
          <w:rFonts w:eastAsia="Times New Roman" w:cs="Arial"/>
          <w:color w:val="000000"/>
          <w:lang w:eastAsia="bg-BG"/>
        </w:rPr>
        <w:t>екстрахепаталния</w:t>
      </w:r>
      <w:proofErr w:type="spellEnd"/>
      <w:r w:rsidRPr="005D0A88">
        <w:rPr>
          <w:rFonts w:eastAsia="Times New Roman" w:cs="Arial"/>
          <w:color w:val="000000"/>
          <w:lang w:eastAsia="bg-BG"/>
        </w:rPr>
        <w:t xml:space="preserve"> принос към метаболизма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w:t>
      </w:r>
    </w:p>
    <w:p w14:paraId="38FDF07F" w14:textId="77777777" w:rsidR="005D0A88" w:rsidRPr="005D0A88" w:rsidRDefault="005D0A88" w:rsidP="005D0A88">
      <w:pPr>
        <w:spacing w:line="240" w:lineRule="auto"/>
        <w:rPr>
          <w:rFonts w:eastAsia="Times New Roman" w:cs="Arial"/>
          <w:color w:val="000000"/>
          <w:lang w:eastAsia="bg-BG"/>
        </w:rPr>
      </w:pPr>
    </w:p>
    <w:p w14:paraId="5A675571" w14:textId="587FC6E4"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Проведено е изпитване от вида маса-баланс с използването на </w:t>
      </w:r>
      <w:r w:rsidRPr="005D0A88">
        <w:rPr>
          <w:rFonts w:eastAsia="Times New Roman" w:cs="Arial"/>
          <w:color w:val="000000"/>
          <w:vertAlign w:val="superscript"/>
          <w:lang w:eastAsia="bg-BG"/>
        </w:rPr>
        <w:t>3</w:t>
      </w:r>
      <w:r w:rsidRPr="005D0A88">
        <w:rPr>
          <w:rFonts w:eastAsia="Times New Roman" w:cs="Arial"/>
          <w:color w:val="000000"/>
          <w:lang w:eastAsia="bg-BG"/>
        </w:rPr>
        <w:t>Н-илопрост при здрави доброволци. След интравенозна инфузия възстановяването на общата радиоактивност е 81%, а специфичните възстановявания в урината и изпражненията са съответно 68% и 12%. Метаболитите се елиминират от плазмата и в урината в 2 фази, за които са изчислени времена на полуживот около 2 и 5 часа (плазма) и 2 и 18 часа (урина).</w:t>
      </w:r>
    </w:p>
    <w:p w14:paraId="12296120" w14:textId="77777777" w:rsidR="005D0A88" w:rsidRPr="005D0A88" w:rsidRDefault="005D0A88" w:rsidP="005D0A88">
      <w:pPr>
        <w:spacing w:line="240" w:lineRule="auto"/>
        <w:rPr>
          <w:rFonts w:eastAsia="Times New Roman" w:cs="Arial"/>
          <w:color w:val="000000"/>
          <w:lang w:eastAsia="bg-BG"/>
        </w:rPr>
      </w:pPr>
    </w:p>
    <w:p w14:paraId="4945C577" w14:textId="7AA7CB26" w:rsidR="005D0A88" w:rsidRPr="005D0A88" w:rsidRDefault="005D0A88" w:rsidP="005D0A88">
      <w:pPr>
        <w:pStyle w:val="ListParagraph"/>
        <w:numPr>
          <w:ilvl w:val="0"/>
          <w:numId w:val="26"/>
        </w:numPr>
        <w:spacing w:line="240" w:lineRule="auto"/>
        <w:rPr>
          <w:rFonts w:eastAsia="Times New Roman" w:cs="Arial"/>
          <w:color w:val="000000"/>
          <w:lang w:eastAsia="bg-BG"/>
        </w:rPr>
      </w:pPr>
      <w:r w:rsidRPr="005D0A88">
        <w:rPr>
          <w:rFonts w:eastAsia="Times New Roman" w:cs="Arial"/>
          <w:color w:val="000000"/>
          <w:lang w:eastAsia="bg-BG"/>
        </w:rPr>
        <w:t>Характерни свойства при групи пациенти</w:t>
      </w:r>
    </w:p>
    <w:p w14:paraId="7C01526A" w14:textId="77777777" w:rsidR="005D0A88" w:rsidRPr="005D0A88" w:rsidRDefault="005D0A88" w:rsidP="005D0A88">
      <w:pPr>
        <w:spacing w:line="240" w:lineRule="auto"/>
        <w:rPr>
          <w:rFonts w:eastAsia="Times New Roman" w:cs="Arial"/>
          <w:i/>
          <w:iCs/>
          <w:color w:val="000000"/>
          <w:u w:val="single"/>
          <w:lang w:eastAsia="bg-BG"/>
        </w:rPr>
      </w:pPr>
    </w:p>
    <w:p w14:paraId="14B531E9" w14:textId="389D0CD0" w:rsidR="005D0A88" w:rsidRPr="005D0A88" w:rsidRDefault="005D0A88" w:rsidP="005D0A88">
      <w:pPr>
        <w:spacing w:line="240" w:lineRule="auto"/>
        <w:rPr>
          <w:rFonts w:eastAsia="Times New Roman" w:cs="Arial"/>
          <w:sz w:val="24"/>
          <w:szCs w:val="24"/>
        </w:rPr>
      </w:pPr>
      <w:r w:rsidRPr="005D0A88">
        <w:rPr>
          <w:rFonts w:eastAsia="Times New Roman" w:cs="Arial"/>
          <w:i/>
          <w:iCs/>
          <w:color w:val="000000"/>
          <w:u w:val="single"/>
          <w:lang w:eastAsia="bg-BG"/>
        </w:rPr>
        <w:t>Бъбречна дисфункция:</w:t>
      </w:r>
    </w:p>
    <w:p w14:paraId="06487CA8" w14:textId="77777777"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В едно изпитване с интравенозна инфузия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пациентите с последен стадий на бъбречна недостатъчност, подложени на лечение с </w:t>
      </w:r>
      <w:proofErr w:type="spellStart"/>
      <w:r w:rsidRPr="005D0A88">
        <w:rPr>
          <w:rFonts w:eastAsia="Times New Roman" w:cs="Arial"/>
          <w:color w:val="000000"/>
          <w:lang w:eastAsia="bg-BG"/>
        </w:rPr>
        <w:t>интермитентна</w:t>
      </w:r>
      <w:proofErr w:type="spellEnd"/>
      <w:r w:rsidRPr="005D0A88">
        <w:rPr>
          <w:rFonts w:eastAsia="Times New Roman" w:cs="Arial"/>
          <w:color w:val="000000"/>
          <w:lang w:eastAsia="bg-BG"/>
        </w:rPr>
        <w:t xml:space="preserve"> диализа, показват значително намален клирънс (среден </w:t>
      </w:r>
      <w:r w:rsidRPr="005D0A88">
        <w:rPr>
          <w:rFonts w:eastAsia="Times New Roman" w:cs="Arial"/>
          <w:color w:val="000000"/>
          <w:lang w:val="en-US"/>
        </w:rPr>
        <w:t xml:space="preserve">CL </w:t>
      </w:r>
      <w:r w:rsidRPr="005D0A88">
        <w:rPr>
          <w:rFonts w:eastAsia="Times New Roman" w:cs="Arial"/>
          <w:color w:val="000000"/>
          <w:lang w:eastAsia="bg-BG"/>
        </w:rPr>
        <w:t xml:space="preserve">= 5 ± 2 </w:t>
      </w:r>
      <w:r w:rsidRPr="005D0A88">
        <w:rPr>
          <w:rFonts w:eastAsia="Times New Roman" w:cs="Arial"/>
          <w:color w:val="000000"/>
          <w:lang w:val="en-US"/>
        </w:rPr>
        <w:t xml:space="preserve">ml/minute/kg) </w:t>
      </w:r>
      <w:r w:rsidRPr="005D0A88">
        <w:rPr>
          <w:rFonts w:eastAsia="Times New Roman" w:cs="Arial"/>
          <w:color w:val="000000"/>
          <w:lang w:eastAsia="bg-BG"/>
        </w:rPr>
        <w:t xml:space="preserve">в сравнение с </w:t>
      </w:r>
      <w:proofErr w:type="spellStart"/>
      <w:r w:rsidRPr="005D0A88">
        <w:rPr>
          <w:rFonts w:eastAsia="Times New Roman" w:cs="Arial"/>
          <w:color w:val="000000"/>
          <w:lang w:eastAsia="bg-BG"/>
        </w:rPr>
        <w:t>клирънса</w:t>
      </w:r>
      <w:proofErr w:type="spellEnd"/>
      <w:r w:rsidRPr="005D0A88">
        <w:rPr>
          <w:rFonts w:eastAsia="Times New Roman" w:cs="Arial"/>
          <w:color w:val="000000"/>
          <w:lang w:eastAsia="bg-BG"/>
        </w:rPr>
        <w:t xml:space="preserve">, наблюдаван при пациенти с бъбречна недостатъчност, които не са подложени на лечение с </w:t>
      </w:r>
      <w:proofErr w:type="spellStart"/>
      <w:r w:rsidRPr="005D0A88">
        <w:rPr>
          <w:rFonts w:eastAsia="Times New Roman" w:cs="Arial"/>
          <w:color w:val="000000"/>
          <w:lang w:eastAsia="bg-BG"/>
        </w:rPr>
        <w:t>интермитентна</w:t>
      </w:r>
      <w:proofErr w:type="spellEnd"/>
      <w:r w:rsidRPr="005D0A88">
        <w:rPr>
          <w:rFonts w:eastAsia="Times New Roman" w:cs="Arial"/>
          <w:color w:val="000000"/>
          <w:lang w:eastAsia="bg-BG"/>
        </w:rPr>
        <w:t xml:space="preserve"> диализа (среден С</w:t>
      </w:r>
      <w:r w:rsidRPr="005D0A88">
        <w:rPr>
          <w:rFonts w:eastAsia="Times New Roman" w:cs="Arial"/>
          <w:color w:val="000000"/>
          <w:lang w:val="en-US"/>
        </w:rPr>
        <w:t>L=</w:t>
      </w:r>
      <w:r w:rsidRPr="005D0A88">
        <w:rPr>
          <w:rFonts w:eastAsia="Times New Roman" w:cs="Arial"/>
          <w:color w:val="000000"/>
          <w:lang w:eastAsia="bg-BG"/>
        </w:rPr>
        <w:t xml:space="preserve"> 18 ± 2 </w:t>
      </w:r>
      <w:r w:rsidRPr="005D0A88">
        <w:rPr>
          <w:rFonts w:eastAsia="Times New Roman" w:cs="Arial"/>
          <w:color w:val="000000"/>
          <w:lang w:val="en-US"/>
        </w:rPr>
        <w:t xml:space="preserve">ml/m </w:t>
      </w:r>
      <w:proofErr w:type="spellStart"/>
      <w:r w:rsidRPr="005D0A88">
        <w:rPr>
          <w:rFonts w:eastAsia="Times New Roman" w:cs="Arial"/>
          <w:color w:val="000000"/>
          <w:lang w:val="en-US"/>
        </w:rPr>
        <w:t>inute</w:t>
      </w:r>
      <w:proofErr w:type="spellEnd"/>
      <w:r w:rsidRPr="005D0A88">
        <w:rPr>
          <w:rFonts w:eastAsia="Times New Roman" w:cs="Arial"/>
          <w:color w:val="000000"/>
          <w:lang w:val="en-US"/>
        </w:rPr>
        <w:t>/kg)</w:t>
      </w:r>
      <w:r w:rsidRPr="005D0A88">
        <w:rPr>
          <w:rFonts w:eastAsia="Times New Roman" w:cs="Arial"/>
          <w:color w:val="000000"/>
          <w:lang w:eastAsia="bg-BG"/>
        </w:rPr>
        <w:t>.</w:t>
      </w:r>
    </w:p>
    <w:p w14:paraId="4EF2185A" w14:textId="77777777" w:rsidR="005D0A88" w:rsidRPr="005D0A88" w:rsidRDefault="005D0A88" w:rsidP="005D0A88">
      <w:pPr>
        <w:spacing w:line="240" w:lineRule="auto"/>
        <w:rPr>
          <w:rFonts w:eastAsia="Times New Roman" w:cs="Arial"/>
          <w:i/>
          <w:iCs/>
          <w:color w:val="000000"/>
          <w:u w:val="single"/>
          <w:lang w:eastAsia="bg-BG"/>
        </w:rPr>
      </w:pPr>
    </w:p>
    <w:p w14:paraId="25E2F7AC" w14:textId="4B95DAA7" w:rsidR="005D0A88" w:rsidRPr="005D0A88" w:rsidRDefault="005D0A88" w:rsidP="005D0A88">
      <w:pPr>
        <w:spacing w:line="240" w:lineRule="auto"/>
        <w:rPr>
          <w:rFonts w:eastAsia="Times New Roman" w:cs="Arial"/>
          <w:sz w:val="24"/>
          <w:szCs w:val="24"/>
        </w:rPr>
      </w:pPr>
      <w:r w:rsidRPr="005D0A88">
        <w:rPr>
          <w:rFonts w:eastAsia="Times New Roman" w:cs="Arial"/>
          <w:i/>
          <w:iCs/>
          <w:color w:val="000000"/>
          <w:u w:val="single"/>
          <w:lang w:eastAsia="bg-BG"/>
        </w:rPr>
        <w:t>Чернодробна дисфункция</w:t>
      </w:r>
    </w:p>
    <w:p w14:paraId="62E265A5" w14:textId="77777777" w:rsidR="005D0A88" w:rsidRPr="005D0A88" w:rsidRDefault="005D0A88" w:rsidP="005D0A88">
      <w:pPr>
        <w:rPr>
          <w:rFonts w:eastAsia="Times New Roman" w:cs="Arial"/>
          <w:sz w:val="24"/>
          <w:szCs w:val="24"/>
        </w:rPr>
      </w:pPr>
      <w:r w:rsidRPr="005D0A88">
        <w:rPr>
          <w:rFonts w:eastAsia="Times New Roman" w:cs="Arial"/>
          <w:color w:val="000000"/>
          <w:lang w:eastAsia="bg-BG"/>
        </w:rPr>
        <w:t xml:space="preserve">Тъй като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се </w:t>
      </w:r>
      <w:proofErr w:type="spellStart"/>
      <w:r w:rsidRPr="005D0A88">
        <w:rPr>
          <w:rFonts w:eastAsia="Times New Roman" w:cs="Arial"/>
          <w:color w:val="000000"/>
          <w:lang w:eastAsia="bg-BG"/>
        </w:rPr>
        <w:t>метаболизира</w:t>
      </w:r>
      <w:proofErr w:type="spellEnd"/>
      <w:r w:rsidRPr="005D0A88">
        <w:rPr>
          <w:rFonts w:eastAsia="Times New Roman" w:cs="Arial"/>
          <w:color w:val="000000"/>
          <w:lang w:eastAsia="bg-BG"/>
        </w:rPr>
        <w:t xml:space="preserve"> главно от черния дроб, плазмените нива на лекарството се влияят от промени в чернодробната функция. В едно интравенозно изпитване са получени резултати от 8</w:t>
      </w:r>
      <w:r w:rsidRPr="005D0A88">
        <w:rPr>
          <w:rFonts w:eastAsia="Times New Roman" w:cs="Arial"/>
          <w:color w:val="000000"/>
          <w:lang w:eastAsia="bg-BG"/>
        </w:rPr>
        <w:t xml:space="preserve"> </w:t>
      </w:r>
      <w:r w:rsidRPr="005D0A88">
        <w:rPr>
          <w:rFonts w:eastAsia="Times New Roman" w:cs="Arial"/>
          <w:color w:val="000000"/>
          <w:lang w:eastAsia="bg-BG"/>
        </w:rPr>
        <w:t xml:space="preserve">пациенти, страдащи от чернодробна цироза. Средният клирънс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 xml:space="preserve"> се оценява на 10 </w:t>
      </w:r>
      <w:r w:rsidRPr="005D0A88">
        <w:rPr>
          <w:rFonts w:eastAsia="Times New Roman" w:cs="Arial"/>
          <w:color w:val="000000"/>
          <w:lang w:val="en-US"/>
        </w:rPr>
        <w:t>ml/minute/kg.</w:t>
      </w:r>
    </w:p>
    <w:p w14:paraId="795EE2FF" w14:textId="77777777" w:rsidR="005D0A88" w:rsidRPr="005D0A88" w:rsidRDefault="005D0A88" w:rsidP="005D0A88">
      <w:pPr>
        <w:spacing w:line="240" w:lineRule="auto"/>
        <w:rPr>
          <w:rFonts w:eastAsia="Times New Roman" w:cs="Arial"/>
          <w:i/>
          <w:iCs/>
          <w:color w:val="000000"/>
          <w:u w:val="single"/>
          <w:lang w:eastAsia="bg-BG"/>
        </w:rPr>
      </w:pPr>
    </w:p>
    <w:p w14:paraId="22625BEF" w14:textId="53C9A229" w:rsidR="005D0A88" w:rsidRPr="005D0A88" w:rsidRDefault="005D0A88" w:rsidP="005D0A88">
      <w:pPr>
        <w:spacing w:line="240" w:lineRule="auto"/>
        <w:rPr>
          <w:rFonts w:eastAsia="Times New Roman" w:cs="Arial"/>
          <w:sz w:val="24"/>
          <w:szCs w:val="24"/>
        </w:rPr>
      </w:pPr>
      <w:r w:rsidRPr="005D0A88">
        <w:rPr>
          <w:rFonts w:eastAsia="Times New Roman" w:cs="Arial"/>
          <w:i/>
          <w:iCs/>
          <w:color w:val="000000"/>
          <w:u w:val="single"/>
          <w:lang w:eastAsia="bg-BG"/>
        </w:rPr>
        <w:t>Възраст и пол</w:t>
      </w:r>
    </w:p>
    <w:p w14:paraId="326DB65E" w14:textId="77777777" w:rsidR="005D0A88" w:rsidRPr="005D0A88" w:rsidRDefault="005D0A88" w:rsidP="005D0A88">
      <w:pPr>
        <w:spacing w:line="240" w:lineRule="auto"/>
        <w:rPr>
          <w:rFonts w:eastAsia="Times New Roman" w:cs="Arial"/>
          <w:sz w:val="24"/>
          <w:szCs w:val="24"/>
        </w:rPr>
      </w:pPr>
      <w:r w:rsidRPr="005D0A88">
        <w:rPr>
          <w:rFonts w:eastAsia="Times New Roman" w:cs="Arial"/>
          <w:color w:val="000000"/>
          <w:lang w:eastAsia="bg-BG"/>
        </w:rPr>
        <w:t xml:space="preserve">Възрастта и полът не са от клинично значение за фармакокинетиката на </w:t>
      </w:r>
      <w:proofErr w:type="spellStart"/>
      <w:r w:rsidRPr="005D0A88">
        <w:rPr>
          <w:rFonts w:eastAsia="Times New Roman" w:cs="Arial"/>
          <w:color w:val="000000"/>
          <w:lang w:eastAsia="bg-BG"/>
        </w:rPr>
        <w:t>илопрост</w:t>
      </w:r>
      <w:proofErr w:type="spellEnd"/>
      <w:r w:rsidRPr="005D0A88">
        <w:rPr>
          <w:rFonts w:eastAsia="Times New Roman" w:cs="Arial"/>
          <w:color w:val="000000"/>
          <w:lang w:eastAsia="bg-BG"/>
        </w:rPr>
        <w:t>.</w:t>
      </w:r>
    </w:p>
    <w:p w14:paraId="1008AAAF" w14:textId="35FA061F" w:rsidR="005D0A88" w:rsidRPr="005D0A88" w:rsidRDefault="005D0A88" w:rsidP="005D0A88"/>
    <w:p w14:paraId="1BDBE06B" w14:textId="0DB1A24B" w:rsidR="004D4D6B" w:rsidRDefault="002C50EE" w:rsidP="002B3C38">
      <w:pPr>
        <w:pStyle w:val="Heading2"/>
      </w:pPr>
      <w:r>
        <w:t>5.3. Предклинични данни за безопасност</w:t>
      </w:r>
    </w:p>
    <w:p w14:paraId="4E6716DD" w14:textId="77777777" w:rsidR="005D0A88" w:rsidRDefault="005D0A88" w:rsidP="005D0A88">
      <w:pPr>
        <w:spacing w:line="240" w:lineRule="auto"/>
        <w:rPr>
          <w:rFonts w:ascii="Times New Roman" w:eastAsia="Times New Roman" w:hAnsi="Times New Roman" w:cs="Times New Roman"/>
          <w:color w:val="000000"/>
          <w:lang w:eastAsia="bg-BG"/>
        </w:rPr>
      </w:pPr>
    </w:p>
    <w:p w14:paraId="073CEE4A" w14:textId="3942B002" w:rsidR="005D0A88" w:rsidRPr="005D0A88" w:rsidRDefault="005D0A88" w:rsidP="005D0A88">
      <w:pPr>
        <w:rPr>
          <w:sz w:val="24"/>
          <w:szCs w:val="24"/>
        </w:rPr>
      </w:pPr>
      <w:r w:rsidRPr="005D0A88">
        <w:rPr>
          <w:lang w:eastAsia="bg-BG"/>
        </w:rPr>
        <w:t xml:space="preserve">Неклиничните данни не показват особен риск за хора на базата на конвенционалните фармакологични проучвания за безопасност, проучвания за токсичност при многократно прилагане, </w:t>
      </w:r>
      <w:proofErr w:type="spellStart"/>
      <w:r w:rsidRPr="005D0A88">
        <w:rPr>
          <w:lang w:eastAsia="bg-BG"/>
        </w:rPr>
        <w:t>генотоксичност</w:t>
      </w:r>
      <w:proofErr w:type="spellEnd"/>
      <w:r w:rsidRPr="005D0A88">
        <w:rPr>
          <w:lang w:eastAsia="bg-BG"/>
        </w:rPr>
        <w:t>, карциногенен потенциал, репродуктивна токсичност и токсичност за развитието.</w:t>
      </w:r>
    </w:p>
    <w:p w14:paraId="69B56F8D" w14:textId="77777777" w:rsidR="005D0A88" w:rsidRDefault="005D0A88" w:rsidP="005D0A88">
      <w:pPr>
        <w:rPr>
          <w:lang w:eastAsia="bg-BG"/>
        </w:rPr>
      </w:pPr>
    </w:p>
    <w:p w14:paraId="478E4F92" w14:textId="5A86353E" w:rsidR="005D0A88" w:rsidRPr="005D0A88" w:rsidRDefault="005D0A88" w:rsidP="005D0A88">
      <w:pPr>
        <w:rPr>
          <w:sz w:val="24"/>
          <w:szCs w:val="24"/>
        </w:rPr>
      </w:pPr>
      <w:r w:rsidRPr="005D0A88">
        <w:rPr>
          <w:lang w:eastAsia="bg-BG"/>
        </w:rPr>
        <w:t>При неклиничните проучвания само при експозиции, за които се счита, че са в достатъчна степен по- големи от максималната експозиция при хора се наблюдават ефекти, които показват малко значение за клиничната употреба.</w:t>
      </w:r>
    </w:p>
    <w:p w14:paraId="64B6F948" w14:textId="77777777" w:rsidR="005D0A88" w:rsidRDefault="005D0A88" w:rsidP="005D0A88">
      <w:pPr>
        <w:rPr>
          <w:lang w:eastAsia="bg-BG"/>
        </w:rPr>
      </w:pPr>
    </w:p>
    <w:p w14:paraId="398F60D7" w14:textId="61A8BCAA" w:rsidR="005D0A88" w:rsidRDefault="005D0A88" w:rsidP="005D0A88">
      <w:pPr>
        <w:pStyle w:val="ListParagraph"/>
        <w:numPr>
          <w:ilvl w:val="0"/>
          <w:numId w:val="26"/>
        </w:numPr>
        <w:rPr>
          <w:lang w:eastAsia="bg-BG"/>
        </w:rPr>
      </w:pPr>
      <w:r w:rsidRPr="005D0A88">
        <w:rPr>
          <w:lang w:eastAsia="bg-BG"/>
        </w:rPr>
        <w:t>Системна токсичност</w:t>
      </w:r>
    </w:p>
    <w:p w14:paraId="215AA8D1" w14:textId="77777777" w:rsidR="005D0A88" w:rsidRPr="005D0A88" w:rsidRDefault="005D0A88" w:rsidP="005D0A88">
      <w:pPr>
        <w:rPr>
          <w:lang w:eastAsia="bg-BG"/>
        </w:rPr>
      </w:pPr>
    </w:p>
    <w:p w14:paraId="4C82F8EA" w14:textId="77777777" w:rsidR="005D0A88" w:rsidRPr="005D0A88" w:rsidRDefault="005D0A88" w:rsidP="005D0A88">
      <w:pPr>
        <w:rPr>
          <w:sz w:val="24"/>
          <w:szCs w:val="24"/>
        </w:rPr>
      </w:pPr>
      <w:r w:rsidRPr="005D0A88">
        <w:rPr>
          <w:lang w:eastAsia="bg-BG"/>
        </w:rPr>
        <w:t xml:space="preserve">В изпитвания за остра токсичност, еднократните интравенозна и перорална дози </w:t>
      </w:r>
      <w:proofErr w:type="spellStart"/>
      <w:r w:rsidRPr="005D0A88">
        <w:rPr>
          <w:lang w:eastAsia="bg-BG"/>
        </w:rPr>
        <w:t>илопрост</w:t>
      </w:r>
      <w:proofErr w:type="spellEnd"/>
      <w:r w:rsidRPr="005D0A88">
        <w:rPr>
          <w:lang w:eastAsia="bg-BG"/>
        </w:rPr>
        <w:t xml:space="preserve"> предизвикват тежки симптоми на интоксикация или смърт (IV) при дози около 2 порядъка над терапевтичната интравенозна доза. Имайки предвид високия фармакологичен потенциал на </w:t>
      </w:r>
      <w:proofErr w:type="spellStart"/>
      <w:r w:rsidRPr="005D0A88">
        <w:rPr>
          <w:lang w:eastAsia="bg-BG"/>
        </w:rPr>
        <w:t>илопрост</w:t>
      </w:r>
      <w:proofErr w:type="spellEnd"/>
      <w:r w:rsidRPr="005D0A88">
        <w:rPr>
          <w:lang w:eastAsia="bg-BG"/>
        </w:rPr>
        <w:t xml:space="preserve"> и абсолютните дози, които се изискват за терапевтични цели, получените резултати в изпитванията за остра токсичност не показват риск от остри нежелани реакции при хора. Както се очаква за един </w:t>
      </w:r>
      <w:proofErr w:type="spellStart"/>
      <w:r w:rsidRPr="005D0A88">
        <w:rPr>
          <w:lang w:eastAsia="bg-BG"/>
        </w:rPr>
        <w:t>простациклин</w:t>
      </w:r>
      <w:proofErr w:type="spellEnd"/>
      <w:r w:rsidRPr="005D0A88">
        <w:rPr>
          <w:lang w:eastAsia="bg-BG"/>
        </w:rPr>
        <w:t xml:space="preserve">, </w:t>
      </w:r>
      <w:proofErr w:type="spellStart"/>
      <w:r w:rsidRPr="005D0A88">
        <w:rPr>
          <w:lang w:eastAsia="bg-BG"/>
        </w:rPr>
        <w:t>илопрост</w:t>
      </w:r>
      <w:proofErr w:type="spellEnd"/>
      <w:r w:rsidRPr="005D0A88">
        <w:rPr>
          <w:lang w:eastAsia="bg-BG"/>
        </w:rPr>
        <w:t xml:space="preserve"> предизвиква </w:t>
      </w:r>
      <w:proofErr w:type="spellStart"/>
      <w:r w:rsidRPr="005D0A88">
        <w:rPr>
          <w:lang w:eastAsia="bg-BG"/>
        </w:rPr>
        <w:t>хемодинамични</w:t>
      </w:r>
      <w:proofErr w:type="spellEnd"/>
      <w:r w:rsidRPr="005D0A88">
        <w:rPr>
          <w:lang w:eastAsia="bg-BG"/>
        </w:rPr>
        <w:t xml:space="preserve"> ефекти (</w:t>
      </w:r>
      <w:proofErr w:type="spellStart"/>
      <w:r w:rsidRPr="005D0A88">
        <w:rPr>
          <w:lang w:eastAsia="bg-BG"/>
        </w:rPr>
        <w:t>вазодилатация</w:t>
      </w:r>
      <w:proofErr w:type="spellEnd"/>
      <w:r w:rsidRPr="005D0A88">
        <w:rPr>
          <w:lang w:eastAsia="bg-BG"/>
        </w:rPr>
        <w:t xml:space="preserve">, зачервяване на кожата, хипотония, инхибиране на </w:t>
      </w:r>
      <w:proofErr w:type="spellStart"/>
      <w:r w:rsidRPr="005D0A88">
        <w:rPr>
          <w:lang w:eastAsia="bg-BG"/>
        </w:rPr>
        <w:t>тромбоцитната</w:t>
      </w:r>
      <w:proofErr w:type="spellEnd"/>
      <w:r w:rsidRPr="005D0A88">
        <w:rPr>
          <w:lang w:eastAsia="bg-BG"/>
        </w:rPr>
        <w:t xml:space="preserve"> функция, респираторен </w:t>
      </w:r>
      <w:proofErr w:type="spellStart"/>
      <w:r w:rsidRPr="005D0A88">
        <w:rPr>
          <w:lang w:eastAsia="bg-BG"/>
        </w:rPr>
        <w:t>дистрес</w:t>
      </w:r>
      <w:proofErr w:type="spellEnd"/>
      <w:r w:rsidRPr="005D0A88">
        <w:rPr>
          <w:lang w:eastAsia="bg-BG"/>
        </w:rPr>
        <w:t>) и общи признаци на интоксикация, като апатия, нарушения на походката и изменения в Стойката.</w:t>
      </w:r>
    </w:p>
    <w:p w14:paraId="5793F68F" w14:textId="77777777" w:rsidR="005D0A88" w:rsidRPr="005D0A88" w:rsidRDefault="005D0A88" w:rsidP="005D0A88">
      <w:pPr>
        <w:rPr>
          <w:sz w:val="24"/>
          <w:szCs w:val="24"/>
        </w:rPr>
      </w:pPr>
      <w:r w:rsidRPr="005D0A88">
        <w:rPr>
          <w:lang w:eastAsia="bg-BG"/>
        </w:rPr>
        <w:t xml:space="preserve">В изпитванията за системна токсичност с многократна (непрекъсната) венозна инфузия се наблюдава леко понижение на кръвното налягане при дози 14 </w:t>
      </w:r>
      <w:r w:rsidRPr="005D0A88">
        <w:rPr>
          <w:lang w:val="en-US"/>
        </w:rPr>
        <w:t xml:space="preserve">ng/kg/min., </w:t>
      </w:r>
      <w:r w:rsidRPr="005D0A88">
        <w:rPr>
          <w:lang w:eastAsia="bg-BG"/>
        </w:rPr>
        <w:t>а тежки нежелани реакции (хипотония, нарушения на дихателната функция) се появяват само след екстремно високи дози.</w:t>
      </w:r>
    </w:p>
    <w:p w14:paraId="47E20D06" w14:textId="77777777" w:rsidR="005D0A88" w:rsidRDefault="005D0A88" w:rsidP="005D0A88">
      <w:pPr>
        <w:rPr>
          <w:lang w:eastAsia="bg-BG"/>
        </w:rPr>
      </w:pPr>
    </w:p>
    <w:p w14:paraId="6266A5B6" w14:textId="708560DE" w:rsidR="005D0A88" w:rsidRPr="005D0A88" w:rsidRDefault="005D0A88" w:rsidP="005D0A88">
      <w:pPr>
        <w:rPr>
          <w:sz w:val="24"/>
          <w:szCs w:val="24"/>
        </w:rPr>
      </w:pPr>
      <w:r w:rsidRPr="005D0A88">
        <w:rPr>
          <w:lang w:eastAsia="bg-BG"/>
        </w:rPr>
        <w:t xml:space="preserve">Продължителна </w:t>
      </w:r>
      <w:r w:rsidRPr="005D0A88">
        <w:rPr>
          <w:lang w:val="en-US"/>
        </w:rPr>
        <w:t xml:space="preserve">IV/SC </w:t>
      </w:r>
      <w:r w:rsidRPr="005D0A88">
        <w:rPr>
          <w:lang w:eastAsia="bg-BG"/>
        </w:rPr>
        <w:t xml:space="preserve">инфузия на </w:t>
      </w:r>
      <w:proofErr w:type="spellStart"/>
      <w:r w:rsidRPr="005D0A88">
        <w:rPr>
          <w:lang w:eastAsia="bg-BG"/>
        </w:rPr>
        <w:t>илопрост</w:t>
      </w:r>
      <w:proofErr w:type="spellEnd"/>
      <w:r w:rsidRPr="005D0A88">
        <w:rPr>
          <w:lang w:eastAsia="bg-BG"/>
        </w:rPr>
        <w:t xml:space="preserve"> до 26 седмици в гризачи и не-гризачи при нива на дозата, които надвишават терапевтичната системна експозиция при хора между 14 и 47 пъти (въз основа на плазмените нива) не предизвиква никаква органна токсичност. Наблюдават се единствено очакваните фармакологични ефекти, като хипотония, зачервяване на кожата, </w:t>
      </w:r>
      <w:proofErr w:type="spellStart"/>
      <w:r w:rsidRPr="005D0A88">
        <w:rPr>
          <w:lang w:eastAsia="bg-BG"/>
        </w:rPr>
        <w:t>диспнея</w:t>
      </w:r>
      <w:proofErr w:type="spellEnd"/>
      <w:r w:rsidRPr="005D0A88">
        <w:rPr>
          <w:lang w:eastAsia="bg-BG"/>
        </w:rPr>
        <w:t xml:space="preserve">, повишена </w:t>
      </w:r>
      <w:proofErr w:type="spellStart"/>
      <w:r w:rsidRPr="005D0A88">
        <w:rPr>
          <w:lang w:eastAsia="bg-BG"/>
        </w:rPr>
        <w:t>интестинална</w:t>
      </w:r>
      <w:proofErr w:type="spellEnd"/>
      <w:r w:rsidRPr="005D0A88">
        <w:rPr>
          <w:lang w:eastAsia="bg-BG"/>
        </w:rPr>
        <w:t xml:space="preserve"> подвижност.</w:t>
      </w:r>
    </w:p>
    <w:p w14:paraId="00C9C4AF" w14:textId="77777777" w:rsidR="005D0A88" w:rsidRDefault="005D0A88" w:rsidP="005D0A88">
      <w:pPr>
        <w:rPr>
          <w:lang w:eastAsia="bg-BG"/>
        </w:rPr>
      </w:pPr>
    </w:p>
    <w:p w14:paraId="16F02830" w14:textId="461A7A11" w:rsidR="005D0A88" w:rsidRPr="005D0A88" w:rsidRDefault="005D0A88" w:rsidP="005D0A88">
      <w:pPr>
        <w:pStyle w:val="ListParagraph"/>
        <w:numPr>
          <w:ilvl w:val="0"/>
          <w:numId w:val="26"/>
        </w:numPr>
        <w:rPr>
          <w:lang w:eastAsia="bg-BG"/>
        </w:rPr>
      </w:pPr>
      <w:proofErr w:type="spellStart"/>
      <w:r w:rsidRPr="005D0A88">
        <w:rPr>
          <w:lang w:eastAsia="bg-BG"/>
        </w:rPr>
        <w:t>Генотоксичен</w:t>
      </w:r>
      <w:proofErr w:type="spellEnd"/>
      <w:r w:rsidRPr="005D0A88">
        <w:rPr>
          <w:lang w:eastAsia="bg-BG"/>
        </w:rPr>
        <w:t xml:space="preserve"> потенциал, </w:t>
      </w:r>
      <w:proofErr w:type="spellStart"/>
      <w:r w:rsidRPr="005D0A88">
        <w:rPr>
          <w:lang w:eastAsia="bg-BG"/>
        </w:rPr>
        <w:t>туморогенност</w:t>
      </w:r>
      <w:proofErr w:type="spellEnd"/>
    </w:p>
    <w:p w14:paraId="0C88E38B" w14:textId="77777777" w:rsidR="005D0A88" w:rsidRDefault="005D0A88" w:rsidP="005D0A88">
      <w:pPr>
        <w:rPr>
          <w:lang w:eastAsia="bg-BG"/>
        </w:rPr>
      </w:pPr>
    </w:p>
    <w:p w14:paraId="16427096" w14:textId="578B0D45" w:rsidR="005D0A88" w:rsidRPr="005D0A88" w:rsidRDefault="005D0A88" w:rsidP="005D0A88">
      <w:pPr>
        <w:rPr>
          <w:sz w:val="24"/>
          <w:szCs w:val="24"/>
        </w:rPr>
      </w:pPr>
      <w:r w:rsidRPr="005D0A88">
        <w:rPr>
          <w:lang w:eastAsia="bg-BG"/>
        </w:rPr>
        <w:t xml:space="preserve">В изследвания </w:t>
      </w:r>
      <w:r w:rsidRPr="005D0A88">
        <w:rPr>
          <w:i/>
          <w:iCs/>
          <w:lang w:val="en-US"/>
        </w:rPr>
        <w:t>in vivo</w:t>
      </w:r>
      <w:r w:rsidRPr="005D0A88">
        <w:rPr>
          <w:lang w:val="en-US"/>
        </w:rPr>
        <w:t xml:space="preserve"> </w:t>
      </w:r>
      <w:r w:rsidRPr="005D0A88">
        <w:rPr>
          <w:lang w:eastAsia="bg-BG"/>
        </w:rPr>
        <w:t xml:space="preserve">и </w:t>
      </w:r>
      <w:r w:rsidRPr="005D0A88">
        <w:rPr>
          <w:i/>
          <w:iCs/>
          <w:lang w:val="en-US"/>
        </w:rPr>
        <w:t>in vitro</w:t>
      </w:r>
      <w:r w:rsidRPr="005D0A88">
        <w:rPr>
          <w:lang w:val="en-US"/>
        </w:rPr>
        <w:t xml:space="preserve"> </w:t>
      </w:r>
      <w:r w:rsidRPr="005D0A88">
        <w:rPr>
          <w:lang w:eastAsia="bg-BG"/>
        </w:rPr>
        <w:t xml:space="preserve">за установяване на </w:t>
      </w:r>
      <w:proofErr w:type="spellStart"/>
      <w:r w:rsidRPr="005D0A88">
        <w:rPr>
          <w:lang w:eastAsia="bg-BG"/>
        </w:rPr>
        <w:t>генотоксични</w:t>
      </w:r>
      <w:proofErr w:type="spellEnd"/>
      <w:r w:rsidRPr="005D0A88">
        <w:rPr>
          <w:lang w:eastAsia="bg-BG"/>
        </w:rPr>
        <w:t xml:space="preserve"> ефекти не са открити никакви доказателства за мутагенен потенциал. Не е наблюдаван </w:t>
      </w:r>
      <w:proofErr w:type="spellStart"/>
      <w:r w:rsidRPr="005D0A88">
        <w:rPr>
          <w:lang w:eastAsia="bg-BG"/>
        </w:rPr>
        <w:t>туморогенен</w:t>
      </w:r>
      <w:proofErr w:type="spellEnd"/>
      <w:r w:rsidRPr="005D0A88">
        <w:rPr>
          <w:lang w:eastAsia="bg-BG"/>
        </w:rPr>
        <w:t xml:space="preserve"> потенциал на </w:t>
      </w:r>
      <w:proofErr w:type="spellStart"/>
      <w:r w:rsidRPr="005D0A88">
        <w:rPr>
          <w:lang w:eastAsia="bg-BG"/>
        </w:rPr>
        <w:t>илопрост</w:t>
      </w:r>
      <w:proofErr w:type="spellEnd"/>
      <w:r w:rsidRPr="005D0A88">
        <w:rPr>
          <w:lang w:eastAsia="bg-BG"/>
        </w:rPr>
        <w:t xml:space="preserve"> при изпитванията за </w:t>
      </w:r>
      <w:proofErr w:type="spellStart"/>
      <w:r w:rsidRPr="005D0A88">
        <w:rPr>
          <w:lang w:eastAsia="bg-BG"/>
        </w:rPr>
        <w:t>туморогенност</w:t>
      </w:r>
      <w:proofErr w:type="spellEnd"/>
      <w:r w:rsidRPr="005D0A88">
        <w:rPr>
          <w:lang w:eastAsia="bg-BG"/>
        </w:rPr>
        <w:t xml:space="preserve"> при плъхове и мишки.</w:t>
      </w:r>
    </w:p>
    <w:p w14:paraId="32731F8A" w14:textId="77777777" w:rsidR="005D0A88" w:rsidRDefault="005D0A88" w:rsidP="005D0A88">
      <w:pPr>
        <w:rPr>
          <w:lang w:eastAsia="bg-BG"/>
        </w:rPr>
      </w:pPr>
    </w:p>
    <w:p w14:paraId="0DE5F859" w14:textId="7A8DF168" w:rsidR="005D0A88" w:rsidRPr="005D0A88" w:rsidRDefault="005D0A88" w:rsidP="005D0A88">
      <w:pPr>
        <w:pStyle w:val="ListParagraph"/>
        <w:numPr>
          <w:ilvl w:val="0"/>
          <w:numId w:val="26"/>
        </w:numPr>
        <w:rPr>
          <w:lang w:eastAsia="bg-BG"/>
        </w:rPr>
      </w:pPr>
      <w:r w:rsidRPr="005D0A88">
        <w:rPr>
          <w:lang w:eastAsia="bg-BG"/>
        </w:rPr>
        <w:t>Репродуктивна токсичност</w:t>
      </w:r>
    </w:p>
    <w:p w14:paraId="286EE9A3" w14:textId="77777777" w:rsidR="005D0A88" w:rsidRDefault="005D0A88" w:rsidP="005D0A88">
      <w:pPr>
        <w:rPr>
          <w:lang w:eastAsia="bg-BG"/>
        </w:rPr>
      </w:pPr>
    </w:p>
    <w:p w14:paraId="4A75173E" w14:textId="058DB53F" w:rsidR="005D0A88" w:rsidRPr="005D0A88" w:rsidRDefault="005D0A88" w:rsidP="005D0A88">
      <w:pPr>
        <w:rPr>
          <w:sz w:val="24"/>
          <w:szCs w:val="24"/>
        </w:rPr>
      </w:pPr>
      <w:r w:rsidRPr="005D0A88">
        <w:rPr>
          <w:lang w:eastAsia="bg-BG"/>
        </w:rPr>
        <w:t xml:space="preserve">При проучвания за </w:t>
      </w:r>
      <w:proofErr w:type="spellStart"/>
      <w:r w:rsidRPr="005D0A88">
        <w:rPr>
          <w:lang w:eastAsia="bg-BG"/>
        </w:rPr>
        <w:t>ембрио</w:t>
      </w:r>
      <w:proofErr w:type="spellEnd"/>
      <w:r w:rsidRPr="005D0A88">
        <w:rPr>
          <w:lang w:eastAsia="bg-BG"/>
        </w:rPr>
        <w:t xml:space="preserve">- и </w:t>
      </w:r>
      <w:proofErr w:type="spellStart"/>
      <w:r w:rsidRPr="005D0A88">
        <w:rPr>
          <w:lang w:eastAsia="bg-BG"/>
        </w:rPr>
        <w:t>фетотоксичност</w:t>
      </w:r>
      <w:proofErr w:type="spellEnd"/>
      <w:r w:rsidRPr="005D0A88">
        <w:rPr>
          <w:lang w:eastAsia="bg-BG"/>
        </w:rPr>
        <w:t xml:space="preserve"> при плъхове, продължително интравенозно приложение на </w:t>
      </w:r>
      <w:proofErr w:type="spellStart"/>
      <w:r w:rsidRPr="005D0A88">
        <w:rPr>
          <w:lang w:eastAsia="bg-BG"/>
        </w:rPr>
        <w:t>илопрост</w:t>
      </w:r>
      <w:proofErr w:type="spellEnd"/>
      <w:r w:rsidRPr="005D0A88">
        <w:rPr>
          <w:lang w:eastAsia="bg-BG"/>
        </w:rPr>
        <w:t xml:space="preserve"> води до аномалии в единичните фаланги на предните лапи при някои от </w:t>
      </w:r>
      <w:proofErr w:type="spellStart"/>
      <w:r w:rsidRPr="005D0A88">
        <w:rPr>
          <w:lang w:eastAsia="bg-BG"/>
        </w:rPr>
        <w:t>фетусите</w:t>
      </w:r>
      <w:proofErr w:type="spellEnd"/>
      <w:r w:rsidRPr="005D0A88">
        <w:rPr>
          <w:lang w:eastAsia="bg-BG"/>
        </w:rPr>
        <w:t xml:space="preserve">/малките, без </w:t>
      </w:r>
      <w:proofErr w:type="spellStart"/>
      <w:r w:rsidRPr="005D0A88">
        <w:rPr>
          <w:lang w:eastAsia="bg-BG"/>
        </w:rPr>
        <w:t>дозова</w:t>
      </w:r>
      <w:proofErr w:type="spellEnd"/>
      <w:r w:rsidRPr="005D0A88">
        <w:rPr>
          <w:lang w:eastAsia="bg-BG"/>
        </w:rPr>
        <w:t xml:space="preserve"> зависимост.</w:t>
      </w:r>
    </w:p>
    <w:p w14:paraId="4D15EEBB" w14:textId="77777777" w:rsidR="005D0A88" w:rsidRDefault="005D0A88" w:rsidP="005D0A88">
      <w:pPr>
        <w:rPr>
          <w:lang w:eastAsia="bg-BG"/>
        </w:rPr>
      </w:pPr>
    </w:p>
    <w:p w14:paraId="734CDFA9" w14:textId="672D39F9" w:rsidR="005D0A88" w:rsidRDefault="005D0A88" w:rsidP="005D0A88">
      <w:pPr>
        <w:rPr>
          <w:lang w:eastAsia="bg-BG"/>
        </w:rPr>
      </w:pPr>
      <w:r w:rsidRPr="005D0A88">
        <w:rPr>
          <w:lang w:eastAsia="bg-BG"/>
        </w:rPr>
        <w:t xml:space="preserve">Тези изменения не се считат за истински тератогенни ефекти, но най-вероятно са свързани с </w:t>
      </w:r>
    </w:p>
    <w:p w14:paraId="0909861C" w14:textId="4205CB16" w:rsidR="005D0A88" w:rsidRPr="005D0A88" w:rsidRDefault="005D0A88" w:rsidP="005D0A88">
      <w:pPr>
        <w:rPr>
          <w:sz w:val="24"/>
          <w:szCs w:val="24"/>
        </w:rPr>
      </w:pPr>
      <w:r w:rsidRPr="005D0A88">
        <w:rPr>
          <w:lang w:eastAsia="bg-BG"/>
        </w:rPr>
        <w:t xml:space="preserve">индуцираното от </w:t>
      </w:r>
      <w:proofErr w:type="spellStart"/>
      <w:r w:rsidRPr="005D0A88">
        <w:rPr>
          <w:lang w:eastAsia="bg-BG"/>
        </w:rPr>
        <w:t>илопрост</w:t>
      </w:r>
      <w:proofErr w:type="spellEnd"/>
      <w:r w:rsidRPr="005D0A88">
        <w:rPr>
          <w:lang w:eastAsia="bg-BG"/>
        </w:rPr>
        <w:t xml:space="preserve"> забавяне на растежа в късната </w:t>
      </w:r>
      <w:proofErr w:type="spellStart"/>
      <w:r w:rsidRPr="005D0A88">
        <w:rPr>
          <w:lang w:eastAsia="bg-BG"/>
        </w:rPr>
        <w:t>органогенеза</w:t>
      </w:r>
      <w:proofErr w:type="spellEnd"/>
      <w:r w:rsidRPr="005D0A88">
        <w:rPr>
          <w:lang w:eastAsia="bg-BG"/>
        </w:rPr>
        <w:t xml:space="preserve">, което се дължи на </w:t>
      </w:r>
      <w:proofErr w:type="spellStart"/>
      <w:r w:rsidRPr="005D0A88">
        <w:rPr>
          <w:lang w:eastAsia="bg-BG"/>
        </w:rPr>
        <w:t>хемодинамични</w:t>
      </w:r>
      <w:proofErr w:type="spellEnd"/>
      <w:r w:rsidRPr="005D0A88">
        <w:rPr>
          <w:lang w:eastAsia="bg-BG"/>
        </w:rPr>
        <w:t xml:space="preserve"> нарушения във </w:t>
      </w:r>
      <w:proofErr w:type="spellStart"/>
      <w:r w:rsidRPr="005D0A88">
        <w:rPr>
          <w:lang w:eastAsia="bg-BG"/>
        </w:rPr>
        <w:t>фетоплацентарната</w:t>
      </w:r>
      <w:proofErr w:type="spellEnd"/>
      <w:r w:rsidRPr="005D0A88">
        <w:rPr>
          <w:lang w:eastAsia="bg-BG"/>
        </w:rPr>
        <w:t xml:space="preserve"> единица. Може да се предположи, че това забавяне на растежа е до голяма степен обратимо по време на </w:t>
      </w:r>
      <w:proofErr w:type="spellStart"/>
      <w:r w:rsidRPr="005D0A88">
        <w:rPr>
          <w:lang w:eastAsia="bg-BG"/>
        </w:rPr>
        <w:t>постнаталното</w:t>
      </w:r>
      <w:proofErr w:type="spellEnd"/>
      <w:r w:rsidRPr="005D0A88">
        <w:rPr>
          <w:lang w:eastAsia="bg-BG"/>
        </w:rPr>
        <w:t xml:space="preserve"> развитие. В сравнителни проучвания за </w:t>
      </w:r>
      <w:proofErr w:type="spellStart"/>
      <w:r w:rsidRPr="005D0A88">
        <w:rPr>
          <w:lang w:eastAsia="bg-BG"/>
        </w:rPr>
        <w:t>ембриотоксичност</w:t>
      </w:r>
      <w:proofErr w:type="spellEnd"/>
      <w:r w:rsidRPr="005D0A88">
        <w:rPr>
          <w:lang w:eastAsia="bg-BG"/>
        </w:rPr>
        <w:t xml:space="preserve"> при зайци и маймуни не са наблюдавани такива аномалии на пръстите или други значими аномалии дори след значително по-високи </w:t>
      </w:r>
      <w:proofErr w:type="spellStart"/>
      <w:r w:rsidRPr="005D0A88">
        <w:rPr>
          <w:lang w:eastAsia="bg-BG"/>
        </w:rPr>
        <w:t>дозови</w:t>
      </w:r>
      <w:proofErr w:type="spellEnd"/>
      <w:r w:rsidRPr="005D0A88">
        <w:rPr>
          <w:lang w:eastAsia="bg-BG"/>
        </w:rPr>
        <w:t xml:space="preserve"> нива, които превишават дозата при хора няколко пъти.</w:t>
      </w:r>
    </w:p>
    <w:p w14:paraId="4D6A98D1" w14:textId="77777777" w:rsidR="005D0A88" w:rsidRPr="005D0A88" w:rsidRDefault="005D0A88" w:rsidP="005D0A88">
      <w:pPr>
        <w:rPr>
          <w:sz w:val="24"/>
          <w:szCs w:val="24"/>
        </w:rPr>
      </w:pPr>
    </w:p>
    <w:p w14:paraId="72ABDA14" w14:textId="0D75700E" w:rsidR="005D0A88" w:rsidRPr="005D0A88" w:rsidRDefault="005D0A88" w:rsidP="005D0A88">
      <w:r w:rsidRPr="005D0A88">
        <w:rPr>
          <w:lang w:eastAsia="bg-BG"/>
        </w:rPr>
        <w:t xml:space="preserve">При плъхове се наблюдава преминаването на изключително ниски нива на </w:t>
      </w:r>
      <w:proofErr w:type="spellStart"/>
      <w:r w:rsidRPr="005D0A88">
        <w:rPr>
          <w:lang w:eastAsia="bg-BG"/>
        </w:rPr>
        <w:t>илопрост</w:t>
      </w:r>
      <w:proofErr w:type="spellEnd"/>
      <w:r w:rsidRPr="005D0A88">
        <w:rPr>
          <w:lang w:eastAsia="bg-BG"/>
        </w:rPr>
        <w:t xml:space="preserve"> в кърмата.</w:t>
      </w:r>
    </w:p>
    <w:p w14:paraId="6940F72E" w14:textId="2FE5DA7A" w:rsidR="009B171C" w:rsidRDefault="002C50EE" w:rsidP="00CA1B57">
      <w:pPr>
        <w:pStyle w:val="Heading1"/>
      </w:pPr>
      <w:r>
        <w:lastRenderedPageBreak/>
        <w:t>7. ПРИТЕЖАТЕЛ НА РАЗРЕШЕНИЕТО ЗА УПОТРЕБА</w:t>
      </w:r>
    </w:p>
    <w:p w14:paraId="754EC279" w14:textId="77777777" w:rsidR="005D0A88" w:rsidRPr="005D0A88" w:rsidRDefault="005D0A88" w:rsidP="005D0A88">
      <w:pPr>
        <w:rPr>
          <w:sz w:val="24"/>
          <w:szCs w:val="24"/>
          <w:lang w:val="en-US"/>
        </w:rPr>
      </w:pPr>
      <w:r w:rsidRPr="005D0A88">
        <w:rPr>
          <w:lang w:val="en-US"/>
        </w:rPr>
        <w:t>Bayer AG</w:t>
      </w:r>
    </w:p>
    <w:p w14:paraId="698780F5" w14:textId="77777777" w:rsidR="005D0A88" w:rsidRPr="005D0A88" w:rsidRDefault="005D0A88" w:rsidP="005D0A88">
      <w:pPr>
        <w:rPr>
          <w:sz w:val="24"/>
          <w:szCs w:val="24"/>
          <w:lang w:val="en-US"/>
        </w:rPr>
      </w:pPr>
      <w:r w:rsidRPr="005D0A88">
        <w:rPr>
          <w:lang w:val="en-US"/>
        </w:rPr>
        <w:t xml:space="preserve">Kaiser-Wilhelm-Allee </w:t>
      </w:r>
      <w:r w:rsidRPr="005D0A88">
        <w:rPr>
          <w:lang w:eastAsia="bg-BG"/>
        </w:rPr>
        <w:t>1</w:t>
      </w:r>
    </w:p>
    <w:p w14:paraId="0E6B3184" w14:textId="77777777" w:rsidR="005D0A88" w:rsidRPr="005D0A88" w:rsidRDefault="005D0A88" w:rsidP="005D0A88">
      <w:pPr>
        <w:rPr>
          <w:sz w:val="24"/>
          <w:szCs w:val="24"/>
          <w:lang w:val="en-US"/>
        </w:rPr>
      </w:pPr>
      <w:r w:rsidRPr="005D0A88">
        <w:rPr>
          <w:lang w:eastAsia="bg-BG"/>
        </w:rPr>
        <w:t xml:space="preserve">51373 </w:t>
      </w:r>
      <w:r w:rsidRPr="005D0A88">
        <w:rPr>
          <w:lang w:val="en-US"/>
        </w:rPr>
        <w:t>Leverkusen</w:t>
      </w:r>
    </w:p>
    <w:p w14:paraId="1FFB36A4" w14:textId="415747C1" w:rsidR="005D0A88" w:rsidRPr="005D0A88" w:rsidRDefault="005D0A88" w:rsidP="005D0A88">
      <w:r w:rsidRPr="005D0A88">
        <w:rPr>
          <w:lang w:eastAsia="bg-BG"/>
        </w:rPr>
        <w:t>Германия</w:t>
      </w:r>
    </w:p>
    <w:p w14:paraId="04840D59" w14:textId="4C6896CC" w:rsidR="002C50EE" w:rsidRDefault="002C50EE" w:rsidP="002C50EE">
      <w:pPr>
        <w:pStyle w:val="Heading1"/>
      </w:pPr>
      <w:r>
        <w:t>8. НОМЕР НА РАЗРЕШЕНИЕТО ЗА УПОТРЕБА</w:t>
      </w:r>
    </w:p>
    <w:p w14:paraId="636DE839" w14:textId="3BCCBB64" w:rsidR="005D0A88" w:rsidRPr="005D0A88" w:rsidRDefault="005D0A88" w:rsidP="005D0A88">
      <w:r>
        <w:t>Регистрационен номер: 20000733</w:t>
      </w:r>
    </w:p>
    <w:p w14:paraId="5900CBF3" w14:textId="383DD02F" w:rsidR="002C50EE" w:rsidRDefault="002C50EE" w:rsidP="002C50EE">
      <w:pPr>
        <w:pStyle w:val="Heading1"/>
      </w:pPr>
      <w:r>
        <w:t>9. ДАТА НА ПЪРВО РАЗРЕШАВАНЕ/ПОДНОВЯВАНЕ НА РАЗРЕШЕНИЕТО ЗА УПОТРЕБА</w:t>
      </w:r>
    </w:p>
    <w:p w14:paraId="7263578E" w14:textId="77777777" w:rsidR="005D0A88" w:rsidRPr="005D0A88" w:rsidRDefault="005D0A88" w:rsidP="005D0A88">
      <w:pPr>
        <w:rPr>
          <w:sz w:val="24"/>
          <w:szCs w:val="24"/>
        </w:rPr>
      </w:pPr>
      <w:r w:rsidRPr="005D0A88">
        <w:rPr>
          <w:lang w:eastAsia="bg-BG"/>
        </w:rPr>
        <w:t>Дата на първо разрешаване: 11 декември 2000 г.</w:t>
      </w:r>
    </w:p>
    <w:p w14:paraId="36686148" w14:textId="6822D96C" w:rsidR="005D0A88" w:rsidRPr="005D0A88" w:rsidRDefault="005D0A88" w:rsidP="005D0A88">
      <w:r w:rsidRPr="005D0A88">
        <w:rPr>
          <w:lang w:eastAsia="bg-BG"/>
        </w:rPr>
        <w:t>Дата на последно подновяване: 27 май 2011 г.</w:t>
      </w:r>
    </w:p>
    <w:p w14:paraId="0E9D0119" w14:textId="0245C6D7" w:rsidR="002C50EE" w:rsidRDefault="002C50EE" w:rsidP="002C50EE">
      <w:pPr>
        <w:pStyle w:val="Heading1"/>
      </w:pPr>
      <w:r>
        <w:t>10. ДАТА НА АКТУАЛИЗИРАНЕ НА ТЕКСТА</w:t>
      </w:r>
    </w:p>
    <w:bookmarkEnd w:id="0"/>
    <w:p w14:paraId="423F4C2A" w14:textId="28A13A9C" w:rsidR="00C87E90" w:rsidRPr="003E3126" w:rsidRDefault="005D0A88" w:rsidP="005D0A88">
      <w:r>
        <w:t>07/2020</w:t>
      </w:r>
    </w:p>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561AF4"/>
    <w:multiLevelType w:val="hybridMultilevel"/>
    <w:tmpl w:val="02C6D76C"/>
    <w:lvl w:ilvl="0" w:tplc="53F69F8C">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9"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C0FA2"/>
    <w:multiLevelType w:val="hybridMultilevel"/>
    <w:tmpl w:val="10FC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A3734"/>
    <w:multiLevelType w:val="hybridMultilevel"/>
    <w:tmpl w:val="12384EB0"/>
    <w:lvl w:ilvl="0" w:tplc="53F69F8C">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1"/>
  </w:num>
  <w:num w:numId="4">
    <w:abstractNumId w:val="3"/>
  </w:num>
  <w:num w:numId="5">
    <w:abstractNumId w:val="1"/>
  </w:num>
  <w:num w:numId="6">
    <w:abstractNumId w:val="15"/>
  </w:num>
  <w:num w:numId="7">
    <w:abstractNumId w:val="9"/>
  </w:num>
  <w:num w:numId="8">
    <w:abstractNumId w:val="14"/>
  </w:num>
  <w:num w:numId="9">
    <w:abstractNumId w:val="2"/>
  </w:num>
  <w:num w:numId="10">
    <w:abstractNumId w:val="4"/>
  </w:num>
  <w:num w:numId="11">
    <w:abstractNumId w:val="27"/>
  </w:num>
  <w:num w:numId="12">
    <w:abstractNumId w:val="13"/>
  </w:num>
  <w:num w:numId="13">
    <w:abstractNumId w:val="18"/>
  </w:num>
  <w:num w:numId="14">
    <w:abstractNumId w:val="10"/>
  </w:num>
  <w:num w:numId="15">
    <w:abstractNumId w:val="26"/>
  </w:num>
  <w:num w:numId="16">
    <w:abstractNumId w:val="8"/>
  </w:num>
  <w:num w:numId="17">
    <w:abstractNumId w:val="21"/>
  </w:num>
  <w:num w:numId="18">
    <w:abstractNumId w:val="6"/>
  </w:num>
  <w:num w:numId="19">
    <w:abstractNumId w:val="24"/>
  </w:num>
  <w:num w:numId="20">
    <w:abstractNumId w:val="20"/>
  </w:num>
  <w:num w:numId="21">
    <w:abstractNumId w:val="16"/>
  </w:num>
  <w:num w:numId="22">
    <w:abstractNumId w:val="22"/>
  </w:num>
  <w:num w:numId="23">
    <w:abstractNumId w:val="17"/>
  </w:num>
  <w:num w:numId="24">
    <w:abstractNumId w:val="7"/>
  </w:num>
  <w:num w:numId="25">
    <w:abstractNumId w:val="19"/>
  </w:num>
  <w:num w:numId="26">
    <w:abstractNumId w:val="12"/>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3C38"/>
    <w:rsid w:val="002B4DBB"/>
    <w:rsid w:val="002C50EE"/>
    <w:rsid w:val="00340A0A"/>
    <w:rsid w:val="003765DC"/>
    <w:rsid w:val="003E3126"/>
    <w:rsid w:val="004D4D6B"/>
    <w:rsid w:val="00517A5B"/>
    <w:rsid w:val="005559A0"/>
    <w:rsid w:val="00593A00"/>
    <w:rsid w:val="005A66D9"/>
    <w:rsid w:val="005D0A88"/>
    <w:rsid w:val="00605BCA"/>
    <w:rsid w:val="006158A1"/>
    <w:rsid w:val="00617B1F"/>
    <w:rsid w:val="00672487"/>
    <w:rsid w:val="00672600"/>
    <w:rsid w:val="00681D4A"/>
    <w:rsid w:val="00685882"/>
    <w:rsid w:val="0075649D"/>
    <w:rsid w:val="007B1E8A"/>
    <w:rsid w:val="00814073"/>
    <w:rsid w:val="00826F0D"/>
    <w:rsid w:val="00893B92"/>
    <w:rsid w:val="008C70A2"/>
    <w:rsid w:val="009773E4"/>
    <w:rsid w:val="009B171C"/>
    <w:rsid w:val="00A20351"/>
    <w:rsid w:val="00AA23EC"/>
    <w:rsid w:val="00AC63CE"/>
    <w:rsid w:val="00AE2107"/>
    <w:rsid w:val="00B275A8"/>
    <w:rsid w:val="00BF2600"/>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2021-09-12T17:59:00Z</dcterms:created>
  <dcterms:modified xsi:type="dcterms:W3CDTF">2021-09-12T17:59:00Z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