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06A96158"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Имарса 250 </w:t>
      </w:r>
      <w:r w:rsidRPr="00BC543D">
        <w:rPr>
          <w:rFonts w:eastAsia="Times New Roman" w:cs="Arial"/>
          <w:color w:val="000000"/>
          <w:lang w:val="en-US"/>
        </w:rPr>
        <w:t xml:space="preserve">mg </w:t>
      </w:r>
      <w:r w:rsidRPr="00BC543D">
        <w:rPr>
          <w:rFonts w:eastAsia="Times New Roman" w:cs="Arial"/>
          <w:color w:val="000000"/>
          <w:lang w:eastAsia="bg-BG"/>
        </w:rPr>
        <w:t>инжекционен разтвор в предварително напълнена спринцовка</w:t>
      </w:r>
    </w:p>
    <w:p w14:paraId="17BAA4B4" w14:textId="77777777" w:rsidR="00BC543D" w:rsidRPr="00BC543D" w:rsidRDefault="00BC543D" w:rsidP="00BC543D">
      <w:pPr>
        <w:rPr>
          <w:rFonts w:eastAsia="Times New Roman" w:cs="Arial"/>
          <w:color w:val="000000"/>
          <w:lang w:val="en-US"/>
        </w:rPr>
      </w:pPr>
    </w:p>
    <w:p w14:paraId="69AC8148" w14:textId="73D6EFCE" w:rsidR="00EC41ED" w:rsidRPr="00BC543D" w:rsidRDefault="00BC543D" w:rsidP="00BC543D">
      <w:pPr>
        <w:rPr>
          <w:rFonts w:cs="Arial"/>
        </w:rPr>
      </w:pPr>
      <w:proofErr w:type="spellStart"/>
      <w:r w:rsidRPr="00BC543D">
        <w:rPr>
          <w:rFonts w:eastAsia="Times New Roman" w:cs="Arial"/>
          <w:color w:val="000000"/>
          <w:lang w:val="en-US"/>
        </w:rPr>
        <w:t>Imarsa</w:t>
      </w:r>
      <w:proofErr w:type="spellEnd"/>
      <w:r w:rsidRPr="00BC543D">
        <w:rPr>
          <w:rFonts w:eastAsia="Times New Roman" w:cs="Arial"/>
          <w:color w:val="000000"/>
          <w:lang w:val="en-US"/>
        </w:rPr>
        <w:t xml:space="preserve"> </w:t>
      </w:r>
      <w:r w:rsidRPr="00BC543D">
        <w:rPr>
          <w:rFonts w:eastAsia="Times New Roman" w:cs="Arial"/>
          <w:color w:val="000000"/>
          <w:lang w:eastAsia="bg-BG"/>
        </w:rPr>
        <w:t xml:space="preserve">250 </w:t>
      </w:r>
      <w:r w:rsidRPr="00BC543D">
        <w:rPr>
          <w:rFonts w:eastAsia="Times New Roman" w:cs="Arial"/>
          <w:color w:val="000000"/>
          <w:lang w:val="en-US"/>
        </w:rPr>
        <w:t>mg solution for injection in pre-filled syringe</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15BD5159"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Една предварително напълнена спринцовка съдържа 250 </w:t>
      </w:r>
      <w:r w:rsidRPr="00BC543D">
        <w:rPr>
          <w:rFonts w:eastAsia="Times New Roman" w:cs="Arial"/>
          <w:color w:val="000000"/>
          <w:lang w:val="en-US"/>
        </w:rPr>
        <w:t xml:space="preserve">mg </w:t>
      </w:r>
      <w:r w:rsidRPr="00BC543D">
        <w:rPr>
          <w:rFonts w:eastAsia="Times New Roman" w:cs="Arial"/>
          <w:color w:val="000000"/>
          <w:lang w:eastAsia="bg-BG"/>
        </w:rPr>
        <w:t xml:space="preserve">фулвестрант </w:t>
      </w:r>
      <w:r w:rsidRPr="00BC543D">
        <w:rPr>
          <w:rFonts w:eastAsia="Times New Roman" w:cs="Arial"/>
          <w:color w:val="000000"/>
          <w:lang w:val="en-US"/>
        </w:rPr>
        <w:t>(</w:t>
      </w:r>
      <w:proofErr w:type="spellStart"/>
      <w:r w:rsidRPr="00BC543D">
        <w:rPr>
          <w:rFonts w:eastAsia="Times New Roman" w:cs="Arial"/>
          <w:color w:val="000000"/>
          <w:lang w:val="en-US"/>
        </w:rPr>
        <w:t>fulvestrant</w:t>
      </w:r>
      <w:proofErr w:type="spellEnd"/>
      <w:r w:rsidRPr="00BC543D">
        <w:rPr>
          <w:rFonts w:eastAsia="Times New Roman" w:cs="Arial"/>
          <w:color w:val="000000"/>
          <w:lang w:val="en-US"/>
        </w:rPr>
        <w:t xml:space="preserve">) </w:t>
      </w:r>
      <w:r w:rsidRPr="00BC543D">
        <w:rPr>
          <w:rFonts w:eastAsia="Times New Roman" w:cs="Arial"/>
          <w:color w:val="000000"/>
          <w:lang w:eastAsia="bg-BG"/>
        </w:rPr>
        <w:t xml:space="preserve">в 5 </w:t>
      </w:r>
      <w:r w:rsidRPr="00BC543D">
        <w:rPr>
          <w:rFonts w:eastAsia="Times New Roman" w:cs="Arial"/>
          <w:color w:val="000000"/>
          <w:lang w:val="en-US"/>
        </w:rPr>
        <w:t xml:space="preserve">ml </w:t>
      </w:r>
      <w:r w:rsidRPr="00BC543D">
        <w:rPr>
          <w:rFonts w:eastAsia="Times New Roman" w:cs="Arial"/>
          <w:color w:val="000000"/>
          <w:lang w:eastAsia="bg-BG"/>
        </w:rPr>
        <w:t>разтвор.</w:t>
      </w:r>
    </w:p>
    <w:p w14:paraId="1DDBF788" w14:textId="77777777" w:rsidR="00BC543D" w:rsidRPr="00BC543D" w:rsidRDefault="00BC543D" w:rsidP="00BC543D">
      <w:pPr>
        <w:spacing w:line="240" w:lineRule="auto"/>
        <w:rPr>
          <w:rFonts w:eastAsia="Times New Roman" w:cs="Arial"/>
          <w:color w:val="000000"/>
          <w:u w:val="single"/>
          <w:lang w:eastAsia="bg-BG"/>
        </w:rPr>
      </w:pPr>
    </w:p>
    <w:p w14:paraId="1AE688CB" w14:textId="3388B030" w:rsidR="00BC543D" w:rsidRPr="00BC543D" w:rsidRDefault="00BC543D" w:rsidP="00BC543D">
      <w:pPr>
        <w:spacing w:line="240" w:lineRule="auto"/>
        <w:rPr>
          <w:rFonts w:eastAsia="Times New Roman" w:cs="Arial"/>
          <w:lang w:eastAsia="bg-BG"/>
        </w:rPr>
      </w:pPr>
      <w:r w:rsidRPr="00BC543D">
        <w:rPr>
          <w:rFonts w:eastAsia="Times New Roman" w:cs="Arial"/>
          <w:color w:val="000000"/>
          <w:u w:val="single"/>
          <w:lang w:eastAsia="bg-BG"/>
        </w:rPr>
        <w:t xml:space="preserve">Помощни вещества с известно действие (на 5 </w:t>
      </w:r>
      <w:r w:rsidRPr="00BC543D">
        <w:rPr>
          <w:rFonts w:eastAsia="Times New Roman" w:cs="Arial"/>
          <w:color w:val="000000"/>
          <w:u w:val="single"/>
          <w:lang w:val="en-US"/>
        </w:rPr>
        <w:t>ml)</w:t>
      </w:r>
    </w:p>
    <w:p w14:paraId="191A95D6"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Етанол 96% (алкохол), 500 </w:t>
      </w:r>
      <w:r w:rsidRPr="00BC543D">
        <w:rPr>
          <w:rFonts w:eastAsia="Times New Roman" w:cs="Arial"/>
          <w:color w:val="000000"/>
          <w:lang w:val="en-US"/>
        </w:rPr>
        <w:t>mg</w:t>
      </w:r>
    </w:p>
    <w:p w14:paraId="2BF2EE29"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Бензилов алкохол (Е1519), 500 </w:t>
      </w:r>
      <w:r w:rsidRPr="00BC543D">
        <w:rPr>
          <w:rFonts w:eastAsia="Times New Roman" w:cs="Arial"/>
          <w:color w:val="000000"/>
          <w:lang w:val="en-US"/>
        </w:rPr>
        <w:t>mg</w:t>
      </w:r>
    </w:p>
    <w:p w14:paraId="21A7764F"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Бензилбензоат, 750 </w:t>
      </w:r>
      <w:r w:rsidRPr="00BC543D">
        <w:rPr>
          <w:rFonts w:eastAsia="Times New Roman" w:cs="Arial"/>
          <w:color w:val="000000"/>
          <w:lang w:val="en-US"/>
        </w:rPr>
        <w:t>mg</w:t>
      </w:r>
    </w:p>
    <w:p w14:paraId="03489417" w14:textId="77777777" w:rsidR="00BC543D" w:rsidRPr="00BC543D" w:rsidRDefault="00BC543D" w:rsidP="00BC543D">
      <w:pPr>
        <w:rPr>
          <w:rFonts w:eastAsia="Times New Roman" w:cs="Arial"/>
          <w:color w:val="000000"/>
          <w:lang w:eastAsia="bg-BG"/>
        </w:rPr>
      </w:pPr>
    </w:p>
    <w:p w14:paraId="54632B43" w14:textId="1AB3EAEF" w:rsidR="00EC41ED" w:rsidRPr="00BC543D" w:rsidRDefault="00BC543D" w:rsidP="00BC543D">
      <w:pPr>
        <w:rPr>
          <w:rFonts w:cs="Arial"/>
        </w:rPr>
      </w:pPr>
      <w:r w:rsidRPr="00BC543D">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0A25FB76"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Инжекционен разтвор в предварително напълнена спринцовка</w:t>
      </w:r>
    </w:p>
    <w:p w14:paraId="48CBE8E0" w14:textId="77777777" w:rsidR="00BC543D" w:rsidRPr="00BC543D" w:rsidRDefault="00BC543D" w:rsidP="00BC543D">
      <w:pPr>
        <w:rPr>
          <w:rFonts w:eastAsia="Times New Roman" w:cs="Arial"/>
          <w:color w:val="000000"/>
          <w:lang w:eastAsia="bg-BG"/>
        </w:rPr>
      </w:pPr>
    </w:p>
    <w:p w14:paraId="743244F0" w14:textId="41828F9A" w:rsidR="00EC41ED" w:rsidRPr="00BC543D" w:rsidRDefault="00BC543D" w:rsidP="00BC543D">
      <w:pPr>
        <w:rPr>
          <w:rFonts w:cs="Arial"/>
        </w:rPr>
      </w:pPr>
      <w:r w:rsidRPr="00BC543D">
        <w:rPr>
          <w:rFonts w:eastAsia="Times New Roman" w:cs="Arial"/>
          <w:color w:val="000000"/>
          <w:lang w:eastAsia="bg-BG"/>
        </w:rPr>
        <w:t>Бистър, безцветен до жълт вискозен разтвор, без видими частици.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453142AF"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Фулвестрант е показан:</w:t>
      </w:r>
    </w:p>
    <w:p w14:paraId="0DD80121" w14:textId="77777777" w:rsidR="00BC543D" w:rsidRPr="00BC543D" w:rsidRDefault="00BC543D" w:rsidP="00BC543D">
      <w:pPr>
        <w:numPr>
          <w:ilvl w:val="0"/>
          <w:numId w:val="2"/>
        </w:numPr>
        <w:spacing w:line="240" w:lineRule="auto"/>
        <w:rPr>
          <w:rFonts w:eastAsia="Times New Roman" w:cs="Arial"/>
          <w:color w:val="000000"/>
          <w:lang w:eastAsia="bg-BG"/>
        </w:rPr>
      </w:pPr>
      <w:r w:rsidRPr="00BC543D">
        <w:rPr>
          <w:rFonts w:eastAsia="Times New Roman" w:cs="Arial"/>
          <w:color w:val="000000"/>
          <w:lang w:eastAsia="bg-BG"/>
        </w:rPr>
        <w:t>като монотерапия за лечение на естроген-рецептор позитивен, локално авансирал или метастатичен рак на млечната жлеза при постменопаузални жени:</w:t>
      </w:r>
    </w:p>
    <w:p w14:paraId="50F5F388" w14:textId="77777777" w:rsidR="00BC543D" w:rsidRPr="00BC543D" w:rsidRDefault="00BC543D" w:rsidP="00BC543D">
      <w:pPr>
        <w:pStyle w:val="ListParagraph"/>
        <w:numPr>
          <w:ilvl w:val="0"/>
          <w:numId w:val="36"/>
        </w:numPr>
        <w:spacing w:line="240" w:lineRule="auto"/>
        <w:rPr>
          <w:rFonts w:eastAsia="Times New Roman" w:cs="Arial"/>
          <w:lang w:eastAsia="bg-BG"/>
        </w:rPr>
      </w:pPr>
      <w:r w:rsidRPr="00BC543D">
        <w:rPr>
          <w:rFonts w:eastAsia="Times New Roman" w:cs="Arial"/>
          <w:color w:val="000000"/>
          <w:lang w:eastAsia="bg-BG"/>
        </w:rPr>
        <w:t>които преди това не са били подлагани на ендокринна терапия, или</w:t>
      </w:r>
    </w:p>
    <w:p w14:paraId="25588109" w14:textId="3F879F45" w:rsidR="00BC543D" w:rsidRPr="00BC543D" w:rsidRDefault="00BC543D" w:rsidP="00BC543D">
      <w:pPr>
        <w:pStyle w:val="ListParagraph"/>
        <w:numPr>
          <w:ilvl w:val="0"/>
          <w:numId w:val="36"/>
        </w:numPr>
        <w:spacing w:line="240" w:lineRule="auto"/>
        <w:rPr>
          <w:rFonts w:eastAsia="Times New Roman" w:cs="Arial"/>
          <w:lang w:eastAsia="bg-BG"/>
        </w:rPr>
      </w:pPr>
      <w:r w:rsidRPr="00BC543D">
        <w:rPr>
          <w:rFonts w:eastAsia="Times New Roman" w:cs="Arial"/>
          <w:color w:val="000000"/>
          <w:lang w:eastAsia="bg-BG"/>
        </w:rPr>
        <w:t>с рецидив на заболяването по време на или след адювантна антиестрогенна терапия, или при прогресия на заболяването по време на антиестрогенна терапия;</w:t>
      </w:r>
    </w:p>
    <w:p w14:paraId="4F5AED6B" w14:textId="77777777" w:rsidR="00BC543D" w:rsidRPr="00BC543D" w:rsidRDefault="00BC543D" w:rsidP="00BC543D">
      <w:pPr>
        <w:numPr>
          <w:ilvl w:val="0"/>
          <w:numId w:val="2"/>
        </w:numPr>
        <w:spacing w:line="240" w:lineRule="auto"/>
        <w:rPr>
          <w:rFonts w:eastAsia="Times New Roman" w:cs="Arial"/>
          <w:color w:val="000000"/>
          <w:lang w:eastAsia="bg-BG"/>
        </w:rPr>
      </w:pPr>
      <w:r w:rsidRPr="00BC543D">
        <w:rPr>
          <w:rFonts w:eastAsia="Times New Roman" w:cs="Arial"/>
          <w:color w:val="000000"/>
          <w:lang w:eastAsia="bg-BG"/>
        </w:rPr>
        <w:t xml:space="preserve">в комбинация с палбоциклиб за лечение на положителен за хормонален рецептор </w:t>
      </w:r>
      <w:r w:rsidRPr="00BC543D">
        <w:rPr>
          <w:rFonts w:eastAsia="Times New Roman" w:cs="Arial"/>
          <w:color w:val="000000"/>
          <w:lang w:val="en-US"/>
        </w:rPr>
        <w:t xml:space="preserve">(HR), </w:t>
      </w:r>
      <w:r w:rsidRPr="00BC543D">
        <w:rPr>
          <w:rFonts w:eastAsia="Times New Roman" w:cs="Arial"/>
          <w:color w:val="000000"/>
          <w:lang w:eastAsia="bg-BG"/>
        </w:rPr>
        <w:t xml:space="preserve">отрицателен за рецептор 2 на човешкия епидермален растежен фактор </w:t>
      </w:r>
      <w:r w:rsidRPr="00BC543D">
        <w:rPr>
          <w:rFonts w:eastAsia="Times New Roman" w:cs="Arial"/>
          <w:color w:val="000000"/>
          <w:lang w:val="en-US"/>
        </w:rPr>
        <w:t xml:space="preserve">(HER2) </w:t>
      </w:r>
      <w:r w:rsidRPr="00BC543D">
        <w:rPr>
          <w:rFonts w:eastAsia="Times New Roman" w:cs="Arial"/>
          <w:color w:val="000000"/>
          <w:lang w:eastAsia="bg-BG"/>
        </w:rPr>
        <w:t>локално авансирал или метастатичен рак на млечната жлеза при жени, които преди това са получавали ендокринна терапия (вж, точка 5.1).</w:t>
      </w:r>
    </w:p>
    <w:p w14:paraId="27995E6B" w14:textId="77777777" w:rsidR="00BC543D" w:rsidRPr="00BC543D" w:rsidRDefault="00BC543D" w:rsidP="00BC543D">
      <w:pPr>
        <w:rPr>
          <w:rFonts w:eastAsia="Times New Roman" w:cs="Arial"/>
          <w:color w:val="000000"/>
          <w:lang w:eastAsia="bg-BG"/>
        </w:rPr>
      </w:pPr>
    </w:p>
    <w:p w14:paraId="6DFA4B9D" w14:textId="7EC35B7A" w:rsidR="0091385D" w:rsidRPr="00BC543D" w:rsidRDefault="00BC543D" w:rsidP="00BC543D">
      <w:pPr>
        <w:rPr>
          <w:rFonts w:cs="Arial"/>
        </w:rPr>
      </w:pPr>
      <w:r w:rsidRPr="00BC543D">
        <w:rPr>
          <w:rFonts w:eastAsia="Times New Roman" w:cs="Arial"/>
          <w:color w:val="000000"/>
          <w:lang w:eastAsia="bg-BG"/>
        </w:rPr>
        <w:lastRenderedPageBreak/>
        <w:t xml:space="preserve">При пре- или перименопаузални жени, комбинираната терапия с палбоциклиб трябва да е комбинирана с агонист на лутеинизиращ хормон-освобождаващ хормон </w:t>
      </w:r>
      <w:r w:rsidRPr="00BC543D">
        <w:rPr>
          <w:rFonts w:eastAsia="Times New Roman" w:cs="Arial"/>
          <w:color w:val="000000"/>
          <w:lang w:val="en-US"/>
        </w:rPr>
        <w:t>(LHRH).</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7FBF1BCE" w14:textId="2DB6E36A" w:rsidR="00EC41ED" w:rsidRPr="00BC543D" w:rsidRDefault="00BC543D" w:rsidP="00BC543D">
      <w:pPr>
        <w:pStyle w:val="Heading3"/>
        <w:rPr>
          <w:u w:val="single"/>
        </w:rPr>
      </w:pPr>
      <w:r w:rsidRPr="00BC543D">
        <w:rPr>
          <w:u w:val="single"/>
        </w:rPr>
        <w:t>Дозировка</w:t>
      </w:r>
    </w:p>
    <w:p w14:paraId="49C0BA58" w14:textId="77777777" w:rsidR="00BC543D" w:rsidRPr="00BC543D" w:rsidRDefault="00BC543D" w:rsidP="00BC543D">
      <w:pPr>
        <w:spacing w:line="240" w:lineRule="auto"/>
        <w:rPr>
          <w:rFonts w:eastAsia="Times New Roman" w:cs="Arial"/>
          <w:lang w:eastAsia="bg-BG"/>
        </w:rPr>
      </w:pPr>
      <w:r w:rsidRPr="00BC543D">
        <w:rPr>
          <w:rFonts w:eastAsia="Times New Roman" w:cs="Arial"/>
          <w:i/>
          <w:iCs/>
          <w:color w:val="000000"/>
          <w:lang w:eastAsia="bg-BG"/>
        </w:rPr>
        <w:t>Жени (включително и в старческа възраст)</w:t>
      </w:r>
    </w:p>
    <w:p w14:paraId="01B9A39B"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Препоръчителната доза е 500 </w:t>
      </w:r>
      <w:r w:rsidRPr="00BC543D">
        <w:rPr>
          <w:rFonts w:eastAsia="Times New Roman" w:cs="Arial"/>
          <w:color w:val="000000"/>
          <w:lang w:val="en-US"/>
        </w:rPr>
        <w:t xml:space="preserve">mg </w:t>
      </w:r>
      <w:r w:rsidRPr="00BC543D">
        <w:rPr>
          <w:rFonts w:eastAsia="Times New Roman" w:cs="Arial"/>
          <w:color w:val="000000"/>
          <w:lang w:eastAsia="bg-BG"/>
        </w:rPr>
        <w:t xml:space="preserve">на интервали от един месец плюс допълнителна доза от 500 </w:t>
      </w:r>
      <w:r w:rsidRPr="00BC543D">
        <w:rPr>
          <w:rFonts w:eastAsia="Times New Roman" w:cs="Arial"/>
          <w:color w:val="000000"/>
          <w:lang w:val="en-US"/>
        </w:rPr>
        <w:t xml:space="preserve">mg </w:t>
      </w:r>
      <w:r w:rsidRPr="00BC543D">
        <w:rPr>
          <w:rFonts w:eastAsia="Times New Roman" w:cs="Arial"/>
          <w:color w:val="000000"/>
          <w:lang w:eastAsia="bg-BG"/>
        </w:rPr>
        <w:t>две седмици след първата доза.</w:t>
      </w:r>
    </w:p>
    <w:p w14:paraId="598EA604" w14:textId="77777777" w:rsidR="00BC543D" w:rsidRPr="00BC543D" w:rsidRDefault="00BC543D" w:rsidP="00BC543D">
      <w:pPr>
        <w:spacing w:line="240" w:lineRule="auto"/>
        <w:rPr>
          <w:rFonts w:eastAsia="Times New Roman" w:cs="Arial"/>
          <w:color w:val="000000"/>
          <w:lang w:eastAsia="bg-BG"/>
        </w:rPr>
      </w:pPr>
    </w:p>
    <w:p w14:paraId="49C6186C" w14:textId="36F469E1"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Когато фулвестрант се използва в комбинация с палбоциклиб, моля вижте също Кратката характеристика на продукта палбоциклиб.</w:t>
      </w:r>
    </w:p>
    <w:p w14:paraId="10661305" w14:textId="77777777" w:rsidR="00BC543D" w:rsidRPr="00BC543D" w:rsidRDefault="00BC543D" w:rsidP="00BC543D">
      <w:pPr>
        <w:spacing w:line="240" w:lineRule="auto"/>
        <w:rPr>
          <w:rFonts w:eastAsia="Times New Roman" w:cs="Arial"/>
          <w:color w:val="000000"/>
          <w:lang w:eastAsia="bg-BG"/>
        </w:rPr>
      </w:pPr>
    </w:p>
    <w:p w14:paraId="4FA3BA08" w14:textId="373BE8FD"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Преди започване на комбинирана терапия с фулвестрант и палбоциклиб, и по време на цялата й продължителност, пре-/перименопаузалните жени трябва да бъдат лекувани с агонист на </w:t>
      </w:r>
      <w:r w:rsidRPr="00BC543D">
        <w:rPr>
          <w:rFonts w:eastAsia="Times New Roman" w:cs="Arial"/>
          <w:color w:val="000000"/>
          <w:lang w:val="en-US"/>
        </w:rPr>
        <w:t xml:space="preserve">LHRH, </w:t>
      </w:r>
      <w:r w:rsidRPr="00BC543D">
        <w:rPr>
          <w:rFonts w:eastAsia="Times New Roman" w:cs="Arial"/>
          <w:color w:val="000000"/>
          <w:lang w:eastAsia="bg-BG"/>
        </w:rPr>
        <w:t>в съответствие с местната клинична практика.</w:t>
      </w:r>
    </w:p>
    <w:p w14:paraId="07432DAD" w14:textId="77777777" w:rsidR="00BC543D" w:rsidRPr="00BC543D" w:rsidRDefault="00BC543D" w:rsidP="00BC543D">
      <w:pPr>
        <w:spacing w:line="240" w:lineRule="auto"/>
        <w:rPr>
          <w:rFonts w:eastAsia="Times New Roman" w:cs="Arial"/>
          <w:color w:val="000000"/>
          <w:u w:val="single"/>
          <w:lang w:eastAsia="bg-BG"/>
        </w:rPr>
      </w:pPr>
    </w:p>
    <w:p w14:paraId="5724AABC" w14:textId="0F6A9783" w:rsidR="00BC543D" w:rsidRPr="00BC543D" w:rsidRDefault="00BC543D" w:rsidP="00BC543D">
      <w:pPr>
        <w:spacing w:line="240" w:lineRule="auto"/>
        <w:rPr>
          <w:rFonts w:eastAsia="Times New Roman" w:cs="Arial"/>
          <w:lang w:eastAsia="bg-BG"/>
        </w:rPr>
      </w:pPr>
      <w:r w:rsidRPr="00BC543D">
        <w:rPr>
          <w:rFonts w:eastAsia="Times New Roman" w:cs="Arial"/>
          <w:color w:val="000000"/>
          <w:u w:val="single"/>
          <w:lang w:eastAsia="bg-BG"/>
        </w:rPr>
        <w:t>Специални популации</w:t>
      </w:r>
    </w:p>
    <w:p w14:paraId="025B9B89" w14:textId="77777777" w:rsidR="00BC543D" w:rsidRPr="00BC543D" w:rsidRDefault="00BC543D" w:rsidP="00BC543D">
      <w:pPr>
        <w:spacing w:line="240" w:lineRule="auto"/>
        <w:rPr>
          <w:rFonts w:eastAsia="Times New Roman" w:cs="Arial"/>
          <w:i/>
          <w:iCs/>
          <w:color w:val="000000"/>
          <w:lang w:eastAsia="bg-BG"/>
        </w:rPr>
      </w:pPr>
    </w:p>
    <w:p w14:paraId="34B6C25E" w14:textId="44015661" w:rsidR="00BC543D" w:rsidRPr="00BC543D" w:rsidRDefault="00BC543D" w:rsidP="00BC543D">
      <w:pPr>
        <w:spacing w:line="240" w:lineRule="auto"/>
        <w:rPr>
          <w:rFonts w:eastAsia="Times New Roman" w:cs="Arial"/>
          <w:lang w:eastAsia="bg-BG"/>
        </w:rPr>
      </w:pPr>
      <w:r w:rsidRPr="00BC543D">
        <w:rPr>
          <w:rFonts w:eastAsia="Times New Roman" w:cs="Arial"/>
          <w:i/>
          <w:iCs/>
          <w:color w:val="000000"/>
          <w:lang w:eastAsia="bg-BG"/>
        </w:rPr>
        <w:t>Бъбречно увреждане</w:t>
      </w:r>
    </w:p>
    <w:p w14:paraId="624B6258"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Не се препоръчва коригиране на дозата при пациенти с лека до умерена степен на бъбречно увреждане (креатининов клирънс &gt;30 </w:t>
      </w:r>
      <w:r w:rsidRPr="00BC543D">
        <w:rPr>
          <w:rFonts w:eastAsia="Times New Roman" w:cs="Arial"/>
          <w:color w:val="000000"/>
          <w:lang w:val="en-US"/>
        </w:rPr>
        <w:t>ml</w:t>
      </w:r>
      <w:r w:rsidRPr="00BC543D">
        <w:rPr>
          <w:rFonts w:eastAsia="Times New Roman" w:cs="Arial"/>
          <w:color w:val="000000"/>
          <w:lang w:eastAsia="bg-BG"/>
        </w:rPr>
        <w:t xml:space="preserve">/мин). Безопасността и ефикасността му не са оценени при пациенти с тежка степен на бъбречно увреждане (креатининов клирънс &lt;30 </w:t>
      </w:r>
      <w:r w:rsidRPr="00BC543D">
        <w:rPr>
          <w:rFonts w:eastAsia="Times New Roman" w:cs="Arial"/>
          <w:color w:val="000000"/>
          <w:lang w:val="en-US"/>
        </w:rPr>
        <w:t>ml</w:t>
      </w:r>
      <w:r w:rsidRPr="00BC543D">
        <w:rPr>
          <w:rFonts w:eastAsia="Times New Roman" w:cs="Arial"/>
          <w:color w:val="000000"/>
          <w:lang w:eastAsia="bg-BG"/>
        </w:rPr>
        <w:t>/мин) и поради това, при такива пациенти се препоръчва повишено внимание (вж. точка 4.4).</w:t>
      </w:r>
    </w:p>
    <w:p w14:paraId="438442BE" w14:textId="77777777" w:rsidR="00BC543D" w:rsidRPr="00BC543D" w:rsidRDefault="00BC543D" w:rsidP="00BC543D">
      <w:pPr>
        <w:spacing w:line="240" w:lineRule="auto"/>
        <w:rPr>
          <w:rFonts w:eastAsia="Times New Roman" w:cs="Arial"/>
          <w:i/>
          <w:iCs/>
          <w:color w:val="000000"/>
          <w:lang w:eastAsia="bg-BG"/>
        </w:rPr>
      </w:pPr>
    </w:p>
    <w:p w14:paraId="0108ADC7" w14:textId="5287EC62" w:rsidR="00BC543D" w:rsidRPr="00BC543D" w:rsidRDefault="00BC543D" w:rsidP="00BC543D">
      <w:pPr>
        <w:spacing w:line="240" w:lineRule="auto"/>
        <w:rPr>
          <w:rFonts w:eastAsia="Times New Roman" w:cs="Arial"/>
          <w:lang w:eastAsia="bg-BG"/>
        </w:rPr>
      </w:pPr>
      <w:r w:rsidRPr="00BC543D">
        <w:rPr>
          <w:rFonts w:eastAsia="Times New Roman" w:cs="Arial"/>
          <w:i/>
          <w:iCs/>
          <w:color w:val="000000"/>
          <w:lang w:eastAsia="bg-BG"/>
        </w:rPr>
        <w:t>Чернодробно увреждане</w:t>
      </w:r>
    </w:p>
    <w:p w14:paraId="44FF5CAC"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Не се препоръчва коригиране на дозата при пациенти с лека до умерена степен на чернодробно увреждане. Въпреки това фулвестрант трябва да се прилага с повишено внимание при тези пациенти, тъй като е възможна повишена експозиция на фулвестрант. Няма данни при пациенти с тежка степен на чернодробно увреждане (вж. точки 4.3,4.4 и 5.2).</w:t>
      </w:r>
    </w:p>
    <w:p w14:paraId="3BEB722D" w14:textId="77777777" w:rsidR="00BC543D" w:rsidRPr="00BC543D" w:rsidRDefault="00BC543D" w:rsidP="00BC543D">
      <w:pPr>
        <w:spacing w:line="240" w:lineRule="auto"/>
        <w:rPr>
          <w:rFonts w:eastAsia="Times New Roman" w:cs="Arial"/>
          <w:i/>
          <w:iCs/>
          <w:color w:val="000000"/>
          <w:lang w:eastAsia="bg-BG"/>
        </w:rPr>
      </w:pPr>
    </w:p>
    <w:p w14:paraId="139300DD" w14:textId="644EBE67" w:rsidR="00BC543D" w:rsidRPr="00BC543D" w:rsidRDefault="00BC543D" w:rsidP="00BC543D">
      <w:pPr>
        <w:spacing w:line="240" w:lineRule="auto"/>
        <w:rPr>
          <w:rFonts w:eastAsia="Times New Roman" w:cs="Arial"/>
          <w:lang w:eastAsia="bg-BG"/>
        </w:rPr>
      </w:pPr>
      <w:r w:rsidRPr="00BC543D">
        <w:rPr>
          <w:rFonts w:eastAsia="Times New Roman" w:cs="Arial"/>
          <w:i/>
          <w:iCs/>
          <w:color w:val="000000"/>
          <w:lang w:eastAsia="bg-BG"/>
        </w:rPr>
        <w:t>Педиатрична популация</w:t>
      </w:r>
    </w:p>
    <w:p w14:paraId="0994DD14"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Безопасността и ефикасността на фулвестрант при деца на възраст от 0 до 18 години не са установени. Наличните до момента данни са описани в точки 5.1 и 5.2, но препоръки по отношение на дозировка не могат да бъдат направени.</w:t>
      </w:r>
    </w:p>
    <w:p w14:paraId="0C243696" w14:textId="77777777" w:rsidR="00BC543D" w:rsidRPr="00BC543D" w:rsidRDefault="00BC543D" w:rsidP="00BC543D">
      <w:pPr>
        <w:spacing w:line="240" w:lineRule="auto"/>
        <w:rPr>
          <w:rFonts w:eastAsia="Times New Roman" w:cs="Arial"/>
          <w:color w:val="000000"/>
          <w:u w:val="single"/>
          <w:lang w:eastAsia="bg-BG"/>
        </w:rPr>
      </w:pPr>
    </w:p>
    <w:p w14:paraId="2EF203FC" w14:textId="1F9E04A0" w:rsidR="00BC543D" w:rsidRPr="00BC543D" w:rsidRDefault="00BC543D" w:rsidP="00BC543D">
      <w:pPr>
        <w:pStyle w:val="Heading3"/>
        <w:rPr>
          <w:rFonts w:eastAsia="Times New Roman"/>
          <w:u w:val="single"/>
          <w:lang w:eastAsia="bg-BG"/>
        </w:rPr>
      </w:pPr>
      <w:r w:rsidRPr="00BC543D">
        <w:rPr>
          <w:rFonts w:eastAsia="Times New Roman"/>
          <w:u w:val="single"/>
          <w:lang w:eastAsia="bg-BG"/>
        </w:rPr>
        <w:t>Начин на приложение</w:t>
      </w:r>
    </w:p>
    <w:p w14:paraId="158FAB79"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Фулвестрант трябва да се прилага като две последователни бавни интрамускулни инжекции от 5 </w:t>
      </w:r>
      <w:r w:rsidRPr="00BC543D">
        <w:rPr>
          <w:rFonts w:eastAsia="Times New Roman" w:cs="Arial"/>
          <w:color w:val="000000"/>
          <w:lang w:val="en-US"/>
        </w:rPr>
        <w:t xml:space="preserve">ml </w:t>
      </w:r>
      <w:r w:rsidRPr="00BC543D">
        <w:rPr>
          <w:rFonts w:eastAsia="Times New Roman" w:cs="Arial"/>
          <w:color w:val="000000"/>
          <w:lang w:eastAsia="bg-BG"/>
        </w:rPr>
        <w:t>(1-2 минути на инжекция), по една от всяка страна на седалището (глутеалната област).</w:t>
      </w:r>
    </w:p>
    <w:p w14:paraId="6E35C39B" w14:textId="77777777" w:rsidR="00BC543D" w:rsidRPr="00BC543D" w:rsidRDefault="00BC543D" w:rsidP="00BC543D">
      <w:pPr>
        <w:spacing w:line="240" w:lineRule="auto"/>
        <w:rPr>
          <w:rFonts w:eastAsia="Times New Roman" w:cs="Arial"/>
          <w:color w:val="000000"/>
          <w:lang w:eastAsia="bg-BG"/>
        </w:rPr>
      </w:pPr>
    </w:p>
    <w:p w14:paraId="43B1FB07" w14:textId="729F8ECA"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Необходимо е внимание при инжектиране на фулвестрант в дорзоглутеалната област поради близостта на подлежащия седалищен нерв.</w:t>
      </w:r>
    </w:p>
    <w:p w14:paraId="7D564B9C" w14:textId="77777777" w:rsidR="00BC543D" w:rsidRPr="00BC543D" w:rsidRDefault="00BC543D" w:rsidP="00BC543D">
      <w:pPr>
        <w:rPr>
          <w:rFonts w:eastAsia="Times New Roman" w:cs="Arial"/>
          <w:color w:val="000000"/>
          <w:lang w:eastAsia="bg-BG"/>
        </w:rPr>
      </w:pPr>
    </w:p>
    <w:p w14:paraId="5C3F348B" w14:textId="5008D167" w:rsidR="00BC543D" w:rsidRPr="00BC543D" w:rsidRDefault="00BC543D" w:rsidP="00BC543D">
      <w:pPr>
        <w:rPr>
          <w:rFonts w:cs="Arial"/>
        </w:rPr>
      </w:pPr>
      <w:r w:rsidRPr="00BC543D">
        <w:rPr>
          <w:rFonts w:eastAsia="Times New Roman" w:cs="Arial"/>
          <w:color w:val="000000"/>
          <w:lang w:eastAsia="bg-BG"/>
        </w:rPr>
        <w:t>За подробни инструкции за прилагане, вижте точка 6.6.</w:t>
      </w:r>
    </w:p>
    <w:p w14:paraId="132F3111" w14:textId="77777777" w:rsidR="005B0F27" w:rsidRPr="0091385D" w:rsidRDefault="005B0F27" w:rsidP="0091385D"/>
    <w:p w14:paraId="28C984E8" w14:textId="0756AE28" w:rsidR="008134C8" w:rsidRDefault="002C50EE" w:rsidP="004A448E">
      <w:pPr>
        <w:pStyle w:val="Heading2"/>
      </w:pPr>
      <w:r>
        <w:lastRenderedPageBreak/>
        <w:t>4.3. Противопоказания</w:t>
      </w:r>
    </w:p>
    <w:p w14:paraId="2363D607" w14:textId="619A99CE" w:rsidR="0091385D" w:rsidRDefault="0091385D" w:rsidP="0091385D"/>
    <w:p w14:paraId="6ED2292D"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Свръхчувствителност към активното вещество или някое от помощните вещества, изброени в точка 6.1.</w:t>
      </w:r>
    </w:p>
    <w:p w14:paraId="0F828761"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Бременност и кърмене (вж. точка 4.6).</w:t>
      </w:r>
    </w:p>
    <w:p w14:paraId="030B6A4D" w14:textId="1D905A99" w:rsidR="00EC41ED" w:rsidRPr="00BC543D" w:rsidRDefault="00BC543D" w:rsidP="00BC543D">
      <w:pPr>
        <w:rPr>
          <w:rFonts w:cs="Arial"/>
        </w:rPr>
      </w:pPr>
      <w:r w:rsidRPr="00BC543D">
        <w:rPr>
          <w:rFonts w:eastAsia="Times New Roman" w:cs="Arial"/>
          <w:color w:val="000000"/>
          <w:lang w:eastAsia="bg-BG"/>
        </w:rPr>
        <w:t>Тежка степен на чернодробно увреждане (вж. точки 4.4 и 5.2).</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2F58076B"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Фулвестрант трябва да се прилага с повишено внимание при пациенти с лека до умерена степен на чернодробно увреждане (вж. точки 4.2, 4.3 и 5.2).</w:t>
      </w:r>
    </w:p>
    <w:p w14:paraId="615339B0" w14:textId="77777777" w:rsidR="00BC543D" w:rsidRPr="00BC543D" w:rsidRDefault="00BC543D" w:rsidP="00BC543D">
      <w:pPr>
        <w:spacing w:line="240" w:lineRule="auto"/>
        <w:rPr>
          <w:rFonts w:eastAsia="Times New Roman" w:cs="Arial"/>
          <w:color w:val="000000"/>
          <w:lang w:eastAsia="bg-BG"/>
        </w:rPr>
      </w:pPr>
    </w:p>
    <w:p w14:paraId="5F216B63" w14:textId="48EA5888"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Фулвестрант трябва да се прилага с повишено внимание при пациенти с тежка степен на бъбречно увреждане (креатининов клирънс &lt;30 </w:t>
      </w:r>
      <w:r w:rsidRPr="00BC543D">
        <w:rPr>
          <w:rFonts w:eastAsia="Times New Roman" w:cs="Arial"/>
          <w:color w:val="000000"/>
          <w:lang w:val="en-US"/>
        </w:rPr>
        <w:t>ml</w:t>
      </w:r>
      <w:r w:rsidRPr="00BC543D">
        <w:rPr>
          <w:rFonts w:eastAsia="Times New Roman" w:cs="Arial"/>
          <w:color w:val="000000"/>
          <w:lang w:eastAsia="bg-BG"/>
        </w:rPr>
        <w:t>/мин).</w:t>
      </w:r>
    </w:p>
    <w:p w14:paraId="2FA5DEF0" w14:textId="77777777" w:rsidR="00BC543D" w:rsidRPr="00BC543D" w:rsidRDefault="00BC543D" w:rsidP="00BC543D">
      <w:pPr>
        <w:spacing w:line="240" w:lineRule="auto"/>
        <w:rPr>
          <w:rFonts w:eastAsia="Times New Roman" w:cs="Arial"/>
          <w:color w:val="000000"/>
          <w:lang w:eastAsia="bg-BG"/>
        </w:rPr>
      </w:pPr>
    </w:p>
    <w:p w14:paraId="202194CD" w14:textId="50D8FE70"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Поради интрамускулния път на въвеждане, фулвестрант трябва да се използва с повишено внимание при пациенти с хеморагична диатеза, тромбоцитопения и при тези на антикоагулантна терапия.</w:t>
      </w:r>
    </w:p>
    <w:p w14:paraId="3847D7DE" w14:textId="77777777" w:rsidR="00BC543D" w:rsidRPr="00BC543D" w:rsidRDefault="00BC543D" w:rsidP="00BC543D">
      <w:pPr>
        <w:spacing w:line="240" w:lineRule="auto"/>
        <w:rPr>
          <w:rFonts w:eastAsia="Times New Roman" w:cs="Arial"/>
          <w:color w:val="000000"/>
          <w:lang w:eastAsia="bg-BG"/>
        </w:rPr>
      </w:pPr>
    </w:p>
    <w:p w14:paraId="43563C29" w14:textId="09666546"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Често при жени с напреднал рак на гърдата се наблюдават тромбоемболични инциденти, което е наблюдавано и при клинични проучвания с фулвестрант (вж. точка 4.8). Това трябва да се вземе предвид, когато се изписва фулвестрант </w:t>
      </w:r>
      <w:r w:rsidRPr="00BC543D">
        <w:rPr>
          <w:rFonts w:eastAsia="Times New Roman" w:cs="Arial"/>
          <w:i/>
          <w:iCs/>
          <w:color w:val="000000"/>
          <w:lang w:eastAsia="bg-BG"/>
        </w:rPr>
        <w:t>при рискови пациенти.</w:t>
      </w:r>
    </w:p>
    <w:p w14:paraId="7349C6AE" w14:textId="77777777" w:rsidR="00BC543D" w:rsidRPr="00BC543D" w:rsidRDefault="00BC543D" w:rsidP="00BC543D">
      <w:pPr>
        <w:spacing w:line="240" w:lineRule="auto"/>
        <w:rPr>
          <w:rFonts w:eastAsia="Times New Roman" w:cs="Arial"/>
          <w:color w:val="000000"/>
          <w:lang w:eastAsia="bg-BG"/>
        </w:rPr>
      </w:pPr>
    </w:p>
    <w:p w14:paraId="5E4ED9DE" w14:textId="37312449"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При инжектирането на фулвестрант се съобщават събития, свързани с мястото на инжектиране, включващи ишиас, невралгия, невропатна болка и периферна невропатия. Необходимо е повишено внимание при приложение на фулвестрант в дорзоглутеалната област поради близостта на подлежащия седалищен нерв (вж. точки 4.2 и 4.8).</w:t>
      </w:r>
    </w:p>
    <w:p w14:paraId="77B759CE" w14:textId="77777777" w:rsidR="00BC543D" w:rsidRPr="00BC543D" w:rsidRDefault="00BC543D" w:rsidP="00BC543D">
      <w:pPr>
        <w:spacing w:line="240" w:lineRule="auto"/>
        <w:rPr>
          <w:rFonts w:eastAsia="Times New Roman" w:cs="Arial"/>
          <w:color w:val="000000"/>
          <w:lang w:eastAsia="bg-BG"/>
        </w:rPr>
      </w:pPr>
    </w:p>
    <w:p w14:paraId="120905D9" w14:textId="7057E9F5"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Няма дългосрочни данни за ефекта на фулвестрант върху костите. Поради механизма на действие на фулвестрант, съществува потенциален риск от остеопороза.</w:t>
      </w:r>
    </w:p>
    <w:p w14:paraId="7F321465" w14:textId="77FE08B5"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Ефикасността и безопасността на фулвестрант (или като монотерапия, или в комбинация с палбоциклиб) не са проучени при пациенти с критично висцерално заболяване.</w:t>
      </w:r>
    </w:p>
    <w:p w14:paraId="59B7B740" w14:textId="77777777" w:rsidR="00BC543D" w:rsidRPr="00BC543D" w:rsidRDefault="00BC543D" w:rsidP="00BC543D">
      <w:pPr>
        <w:spacing w:line="240" w:lineRule="auto"/>
        <w:rPr>
          <w:rFonts w:eastAsia="Times New Roman" w:cs="Arial"/>
          <w:color w:val="000000"/>
          <w:lang w:eastAsia="bg-BG"/>
        </w:rPr>
      </w:pPr>
    </w:p>
    <w:p w14:paraId="3F455A3B" w14:textId="6D39B3E8"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Когато фулвестрант се използва в комбинация с палбоциклиб, моля вижте също Кратката характеристика на продукта палбоциклиб.</w:t>
      </w:r>
    </w:p>
    <w:p w14:paraId="585B817E" w14:textId="77777777" w:rsidR="00BC543D" w:rsidRPr="00BC543D" w:rsidRDefault="00BC543D" w:rsidP="00BC543D">
      <w:pPr>
        <w:spacing w:line="240" w:lineRule="auto"/>
        <w:rPr>
          <w:rFonts w:eastAsia="Times New Roman" w:cs="Arial"/>
          <w:i/>
          <w:iCs/>
          <w:color w:val="000000"/>
          <w:lang w:eastAsia="bg-BG"/>
        </w:rPr>
      </w:pPr>
    </w:p>
    <w:p w14:paraId="62A366DE" w14:textId="440A408F" w:rsidR="00BC543D" w:rsidRPr="00BC543D" w:rsidRDefault="00BC543D" w:rsidP="00BC543D">
      <w:pPr>
        <w:spacing w:line="240" w:lineRule="auto"/>
        <w:rPr>
          <w:rFonts w:eastAsia="Times New Roman" w:cs="Arial"/>
          <w:lang w:eastAsia="bg-BG"/>
        </w:rPr>
      </w:pPr>
      <w:r w:rsidRPr="00BC543D">
        <w:rPr>
          <w:rFonts w:eastAsia="Times New Roman" w:cs="Arial"/>
          <w:i/>
          <w:iCs/>
          <w:color w:val="000000"/>
          <w:lang w:eastAsia="bg-BG"/>
        </w:rPr>
        <w:t>Повлияване на тестовете за естрадиол, базирани на антитела</w:t>
      </w:r>
    </w:p>
    <w:p w14:paraId="31AE3FE5"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Поради структурното подобие на фулвестрант и естрадиол, фулвестрант може да повлияе тестовете за естрадиол, базирани на антитела, като те може да покажат фалшиво повишени нива на естрадиол.</w:t>
      </w:r>
    </w:p>
    <w:p w14:paraId="5B00AD6E" w14:textId="77777777" w:rsidR="00BC543D" w:rsidRPr="00BC543D" w:rsidRDefault="00BC543D" w:rsidP="00BC543D">
      <w:pPr>
        <w:spacing w:line="240" w:lineRule="auto"/>
        <w:rPr>
          <w:rFonts w:eastAsia="Times New Roman" w:cs="Arial"/>
          <w:i/>
          <w:iCs/>
          <w:color w:val="000000"/>
          <w:lang w:eastAsia="bg-BG"/>
        </w:rPr>
      </w:pPr>
    </w:p>
    <w:p w14:paraId="04D60797" w14:textId="25697D82" w:rsidR="00BC543D" w:rsidRPr="00BC543D" w:rsidRDefault="00BC543D" w:rsidP="00BC543D">
      <w:pPr>
        <w:spacing w:line="240" w:lineRule="auto"/>
        <w:rPr>
          <w:rFonts w:eastAsia="Times New Roman" w:cs="Arial"/>
          <w:lang w:eastAsia="bg-BG"/>
        </w:rPr>
      </w:pPr>
      <w:r w:rsidRPr="00BC543D">
        <w:rPr>
          <w:rFonts w:eastAsia="Times New Roman" w:cs="Arial"/>
          <w:i/>
          <w:iCs/>
          <w:color w:val="000000"/>
          <w:lang w:eastAsia="bg-BG"/>
        </w:rPr>
        <w:t>Етанол</w:t>
      </w:r>
    </w:p>
    <w:p w14:paraId="21EDE5B4"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Лекарственият продукт съдържа 500 </w:t>
      </w:r>
      <w:r w:rsidRPr="00BC543D">
        <w:rPr>
          <w:rFonts w:eastAsia="Times New Roman" w:cs="Arial"/>
          <w:color w:val="000000"/>
          <w:lang w:val="en-US"/>
        </w:rPr>
        <w:t xml:space="preserve">mg </w:t>
      </w:r>
      <w:r w:rsidRPr="00BC543D">
        <w:rPr>
          <w:rFonts w:eastAsia="Times New Roman" w:cs="Arial"/>
          <w:color w:val="000000"/>
          <w:lang w:eastAsia="bg-BG"/>
        </w:rPr>
        <w:t xml:space="preserve">алкохол (етанол) във всяка инжекция, което е еквивалентно на 100 </w:t>
      </w:r>
      <w:r w:rsidRPr="00BC543D">
        <w:rPr>
          <w:rFonts w:eastAsia="Times New Roman" w:cs="Arial"/>
          <w:color w:val="000000"/>
          <w:lang w:val="en-US"/>
        </w:rPr>
        <w:t xml:space="preserve">mg/ml </w:t>
      </w:r>
      <w:r w:rsidRPr="00BC543D">
        <w:rPr>
          <w:rFonts w:eastAsia="Times New Roman" w:cs="Arial"/>
          <w:color w:val="000000"/>
          <w:lang w:eastAsia="bg-BG"/>
        </w:rPr>
        <w:t xml:space="preserve">(10% т./об.) Количеството алкохол във всяка инжекция от това лекарство е еквивалентно на 13 </w:t>
      </w:r>
      <w:r w:rsidRPr="00BC543D">
        <w:rPr>
          <w:rFonts w:eastAsia="Times New Roman" w:cs="Arial"/>
          <w:color w:val="000000"/>
          <w:lang w:val="en-US"/>
        </w:rPr>
        <w:t xml:space="preserve">ml </w:t>
      </w:r>
      <w:r w:rsidRPr="00BC543D">
        <w:rPr>
          <w:rFonts w:eastAsia="Times New Roman" w:cs="Arial"/>
          <w:color w:val="000000"/>
          <w:lang w:eastAsia="bg-BG"/>
        </w:rPr>
        <w:t xml:space="preserve">бира или 5 </w:t>
      </w:r>
      <w:r w:rsidRPr="00BC543D">
        <w:rPr>
          <w:rFonts w:eastAsia="Times New Roman" w:cs="Arial"/>
          <w:color w:val="000000"/>
          <w:lang w:val="en-US"/>
        </w:rPr>
        <w:t xml:space="preserve">ml </w:t>
      </w:r>
      <w:r w:rsidRPr="00BC543D">
        <w:rPr>
          <w:rFonts w:eastAsia="Times New Roman" w:cs="Arial"/>
          <w:color w:val="000000"/>
          <w:lang w:eastAsia="bg-BG"/>
        </w:rPr>
        <w:t>вино.</w:t>
      </w:r>
    </w:p>
    <w:p w14:paraId="3E91E68F"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Доза от 500 </w:t>
      </w:r>
      <w:r w:rsidRPr="00BC543D">
        <w:rPr>
          <w:rFonts w:eastAsia="Times New Roman" w:cs="Arial"/>
          <w:color w:val="000000"/>
          <w:lang w:val="en-US"/>
        </w:rPr>
        <w:t xml:space="preserve">mg </w:t>
      </w:r>
      <w:r w:rsidRPr="00BC543D">
        <w:rPr>
          <w:rFonts w:eastAsia="Times New Roman" w:cs="Arial"/>
          <w:color w:val="000000"/>
          <w:lang w:eastAsia="bg-BG"/>
        </w:rPr>
        <w:t xml:space="preserve">от това лекарство (две спринцовки), приложена на възрастни жени с тегло до 70 </w:t>
      </w:r>
      <w:r w:rsidRPr="00BC543D">
        <w:rPr>
          <w:rFonts w:eastAsia="Times New Roman" w:cs="Arial"/>
          <w:color w:val="000000"/>
          <w:lang w:val="en-US"/>
        </w:rPr>
        <w:t xml:space="preserve">kg, </w:t>
      </w:r>
      <w:r w:rsidRPr="00BC543D">
        <w:rPr>
          <w:rFonts w:eastAsia="Times New Roman" w:cs="Arial"/>
          <w:color w:val="000000"/>
          <w:lang w:eastAsia="bg-BG"/>
        </w:rPr>
        <w:t xml:space="preserve">би довело до излагане на 14,3 </w:t>
      </w:r>
      <w:r w:rsidRPr="00BC543D">
        <w:rPr>
          <w:rFonts w:eastAsia="Times New Roman" w:cs="Arial"/>
          <w:color w:val="000000"/>
          <w:lang w:val="en-US"/>
        </w:rPr>
        <w:t xml:space="preserve">mg/kg </w:t>
      </w:r>
      <w:r w:rsidRPr="00BC543D">
        <w:rPr>
          <w:rFonts w:eastAsia="Times New Roman" w:cs="Arial"/>
          <w:color w:val="000000"/>
          <w:lang w:eastAsia="bg-BG"/>
        </w:rPr>
        <w:t xml:space="preserve">етанол, което може да причини повишаване на концентрацията на алкохол в кръвта (ВАС) от около 2,4 </w:t>
      </w:r>
      <w:r w:rsidRPr="00BC543D">
        <w:rPr>
          <w:rFonts w:eastAsia="Times New Roman" w:cs="Arial"/>
          <w:color w:val="000000"/>
          <w:lang w:val="en-US"/>
        </w:rPr>
        <w:t xml:space="preserve">mg/100 ml </w:t>
      </w:r>
      <w:r w:rsidRPr="00BC543D">
        <w:rPr>
          <w:rFonts w:eastAsia="Times New Roman" w:cs="Arial"/>
          <w:color w:val="000000"/>
          <w:lang w:eastAsia="bg-BG"/>
        </w:rPr>
        <w:t>(вижте Приложение I към доклад ЕМА/СНМР/43486/2018).</w:t>
      </w:r>
    </w:p>
    <w:p w14:paraId="7E46D051"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lastRenderedPageBreak/>
        <w:t xml:space="preserve">За сравнение, за възрастен, който пие чаша вино или 500 </w:t>
      </w:r>
      <w:r w:rsidRPr="00BC543D">
        <w:rPr>
          <w:rFonts w:eastAsia="Times New Roman" w:cs="Arial"/>
          <w:color w:val="000000"/>
          <w:lang w:val="en-US"/>
        </w:rPr>
        <w:t xml:space="preserve">ml </w:t>
      </w:r>
      <w:r w:rsidRPr="00BC543D">
        <w:rPr>
          <w:rFonts w:eastAsia="Times New Roman" w:cs="Arial"/>
          <w:color w:val="000000"/>
          <w:lang w:eastAsia="bg-BG"/>
        </w:rPr>
        <w:t xml:space="preserve">бира, ВАС вероятно ще бъде около 50 </w:t>
      </w:r>
      <w:r w:rsidRPr="00BC543D">
        <w:rPr>
          <w:rFonts w:eastAsia="Times New Roman" w:cs="Arial"/>
          <w:color w:val="000000"/>
          <w:lang w:val="en-US"/>
        </w:rPr>
        <w:t>mg/100 ml.</w:t>
      </w:r>
    </w:p>
    <w:p w14:paraId="28BAE82B" w14:textId="77777777" w:rsidR="00BC543D" w:rsidRPr="00BC543D" w:rsidRDefault="00BC543D" w:rsidP="00BC543D">
      <w:pPr>
        <w:rPr>
          <w:rFonts w:eastAsia="Times New Roman" w:cs="Arial"/>
          <w:color w:val="000000"/>
          <w:lang w:eastAsia="bg-BG"/>
        </w:rPr>
      </w:pPr>
    </w:p>
    <w:p w14:paraId="0E28BBDE" w14:textId="67A10E9F" w:rsidR="007A2185" w:rsidRPr="00BC543D" w:rsidRDefault="00BC543D" w:rsidP="00BC543D">
      <w:pPr>
        <w:rPr>
          <w:rFonts w:cs="Arial"/>
        </w:rPr>
      </w:pPr>
      <w:r w:rsidRPr="00BC543D">
        <w:rPr>
          <w:rFonts w:eastAsia="Times New Roman" w:cs="Arial"/>
          <w:color w:val="000000"/>
          <w:lang w:eastAsia="bg-BG"/>
        </w:rPr>
        <w:t>Едновременно приложение с лекарства, съдържащи напр. пропилен гликол или етанол може да доведе до натрупване на етанол и да предизвика нежелани реакции.</w:t>
      </w:r>
    </w:p>
    <w:p w14:paraId="24E3E82F" w14:textId="4983ACEB" w:rsidR="0091385D" w:rsidRPr="00BC543D" w:rsidRDefault="0091385D" w:rsidP="0091385D">
      <w:pPr>
        <w:rPr>
          <w:rFonts w:cs="Arial"/>
        </w:rPr>
      </w:pPr>
    </w:p>
    <w:p w14:paraId="0F83C11E" w14:textId="77777777" w:rsidR="00BC543D" w:rsidRPr="00BC543D" w:rsidRDefault="00BC543D" w:rsidP="00BC543D">
      <w:pPr>
        <w:spacing w:line="240" w:lineRule="auto"/>
        <w:rPr>
          <w:rFonts w:eastAsia="Times New Roman" w:cs="Arial"/>
          <w:lang w:eastAsia="bg-BG"/>
        </w:rPr>
      </w:pPr>
      <w:r w:rsidRPr="00BC543D">
        <w:rPr>
          <w:rFonts w:eastAsia="Times New Roman" w:cs="Arial"/>
          <w:i/>
          <w:iCs/>
          <w:color w:val="000000"/>
          <w:lang w:eastAsia="bg-BG"/>
        </w:rPr>
        <w:t>Бензилов алкохол</w:t>
      </w:r>
    </w:p>
    <w:p w14:paraId="4C94519F"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Този лекарствен продукт съдържа бензилов алкохол като помощно вещество, което може да причини алергични реакции.</w:t>
      </w:r>
    </w:p>
    <w:p w14:paraId="3434D917" w14:textId="77777777" w:rsidR="00BC543D" w:rsidRPr="00BC543D" w:rsidRDefault="00BC543D" w:rsidP="00BC543D">
      <w:pPr>
        <w:spacing w:line="240" w:lineRule="auto"/>
        <w:rPr>
          <w:rFonts w:eastAsia="Times New Roman" w:cs="Arial"/>
          <w:color w:val="000000"/>
          <w:u w:val="single"/>
          <w:lang w:eastAsia="bg-BG"/>
        </w:rPr>
      </w:pPr>
    </w:p>
    <w:p w14:paraId="710C23AA" w14:textId="02272EA3" w:rsidR="00BC543D" w:rsidRPr="00BC543D" w:rsidRDefault="00BC543D" w:rsidP="00BC543D">
      <w:pPr>
        <w:spacing w:line="240" w:lineRule="auto"/>
        <w:rPr>
          <w:rFonts w:eastAsia="Times New Roman" w:cs="Arial"/>
          <w:lang w:eastAsia="bg-BG"/>
        </w:rPr>
      </w:pPr>
      <w:r w:rsidRPr="00BC543D">
        <w:rPr>
          <w:rFonts w:eastAsia="Times New Roman" w:cs="Arial"/>
          <w:color w:val="000000"/>
          <w:u w:val="single"/>
          <w:lang w:eastAsia="bg-BG"/>
        </w:rPr>
        <w:t>Педиатрична популация</w:t>
      </w:r>
    </w:p>
    <w:p w14:paraId="5B8D8DA9" w14:textId="79C127F7" w:rsidR="00BC543D" w:rsidRPr="00BC543D" w:rsidRDefault="00BC543D" w:rsidP="00BC543D">
      <w:pPr>
        <w:rPr>
          <w:rFonts w:cs="Arial"/>
        </w:rPr>
      </w:pPr>
      <w:r w:rsidRPr="00BC543D">
        <w:rPr>
          <w:rFonts w:eastAsia="Times New Roman" w:cs="Arial"/>
          <w:color w:val="000000"/>
          <w:lang w:eastAsia="bg-BG"/>
        </w:rPr>
        <w:t>Употребата на фулвестрант при деца и юноши не се препоръчва, тъй като безопасността и ефикасността не са установени за тази група пациенти (вж. точка 5.1).</w:t>
      </w:r>
    </w:p>
    <w:p w14:paraId="3829C59E" w14:textId="77777777" w:rsidR="00BC543D" w:rsidRPr="0091385D" w:rsidRDefault="00BC543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5B2761C5" w14:textId="1684D52A" w:rsidR="0091385D" w:rsidRPr="00F02728" w:rsidRDefault="00BC543D" w:rsidP="0091385D">
      <w:pPr>
        <w:rPr>
          <w:rFonts w:cs="Arial"/>
        </w:rPr>
      </w:pPr>
      <w:r w:rsidRPr="00F02728">
        <w:rPr>
          <w:rFonts w:cs="Arial"/>
        </w:rPr>
        <w:t xml:space="preserve">Клинично проучване за взаимодействие с мидазолам (субстрат на </w:t>
      </w:r>
      <w:r w:rsidRPr="00F02728">
        <w:rPr>
          <w:rFonts w:cs="Arial"/>
          <w:lang w:val="en-US"/>
        </w:rPr>
        <w:t xml:space="preserve">CYP3A4) </w:t>
      </w:r>
      <w:r w:rsidRPr="00F02728">
        <w:rPr>
          <w:rFonts w:cs="Arial"/>
        </w:rPr>
        <w:t xml:space="preserve">демонстрира, че фулвестрант не инхибира </w:t>
      </w:r>
      <w:r w:rsidRPr="00F02728">
        <w:rPr>
          <w:rFonts w:cs="Arial"/>
          <w:lang w:val="en-US"/>
        </w:rPr>
        <w:t xml:space="preserve">CYP3A4. </w:t>
      </w:r>
      <w:r w:rsidRPr="00F02728">
        <w:rPr>
          <w:rFonts w:cs="Arial"/>
        </w:rPr>
        <w:t xml:space="preserve">Клинични проучвания за взаимодействие с рифампицин (индуктор на </w:t>
      </w:r>
      <w:r w:rsidRPr="00F02728">
        <w:rPr>
          <w:rFonts w:cs="Arial"/>
          <w:lang w:val="en-US"/>
        </w:rPr>
        <w:t xml:space="preserve">CYP3A4) </w:t>
      </w:r>
      <w:r w:rsidRPr="00F02728">
        <w:rPr>
          <w:rFonts w:cs="Arial"/>
        </w:rPr>
        <w:t xml:space="preserve">и кетоконазол (инхибитор на </w:t>
      </w:r>
      <w:r w:rsidRPr="00F02728">
        <w:rPr>
          <w:rFonts w:cs="Arial"/>
          <w:lang w:val="en-US"/>
        </w:rPr>
        <w:t xml:space="preserve">CYP3A4) </w:t>
      </w:r>
      <w:r w:rsidRPr="00F02728">
        <w:rPr>
          <w:rFonts w:cs="Arial"/>
        </w:rPr>
        <w:t xml:space="preserve">не показват клинично значима промяна в клирънса на фулвестрант. Следователно не е нужно коригиране на дозата при пациенти, които приемат едновременно фулвестрант и инхибитори или индуктори на </w:t>
      </w:r>
      <w:r w:rsidRPr="00F02728">
        <w:rPr>
          <w:rFonts w:cs="Arial"/>
          <w:lang w:val="en-US"/>
        </w:rPr>
        <w:t>CYP3A4.</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0384590D"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u w:val="single"/>
          <w:lang w:eastAsia="bg-BG"/>
        </w:rPr>
        <w:t>Жени с детероден потенциал</w:t>
      </w:r>
    </w:p>
    <w:p w14:paraId="075909BD"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Жени с детероден потенциал трябва да използват ефективна контрацепция по време на лечение с Имарса и 2 години след последната доза.</w:t>
      </w:r>
    </w:p>
    <w:p w14:paraId="68198F54" w14:textId="77777777" w:rsidR="00BC543D" w:rsidRPr="00F02728" w:rsidRDefault="00BC543D" w:rsidP="00BC543D">
      <w:pPr>
        <w:spacing w:line="240" w:lineRule="auto"/>
        <w:rPr>
          <w:rFonts w:eastAsia="Times New Roman" w:cs="Arial"/>
          <w:color w:val="000000"/>
          <w:u w:val="single"/>
          <w:lang w:eastAsia="bg-BG"/>
        </w:rPr>
      </w:pPr>
    </w:p>
    <w:p w14:paraId="7DD74C1B" w14:textId="73503BF8" w:rsidR="00BC543D" w:rsidRPr="00F02728" w:rsidRDefault="00BC543D" w:rsidP="00F02728">
      <w:pPr>
        <w:pStyle w:val="Heading3"/>
        <w:rPr>
          <w:rFonts w:eastAsia="Times New Roman"/>
          <w:u w:val="single"/>
          <w:lang w:eastAsia="bg-BG"/>
        </w:rPr>
      </w:pPr>
      <w:r w:rsidRPr="00F02728">
        <w:rPr>
          <w:rFonts w:eastAsia="Times New Roman"/>
          <w:u w:val="single"/>
          <w:lang w:eastAsia="bg-BG"/>
        </w:rPr>
        <w:t>Бременност</w:t>
      </w:r>
    </w:p>
    <w:p w14:paraId="478FADB5"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Приложението на фулвестрант по време на бременност е противопоказано (вж. точка 4.3). Има данни, че при плъхове и зайци, след еднократно интрамускулно приложение, фулвестрант минава през плацентата. Проучванията при животни показват наличие на репродуктивна токсичност, включително и повишена честота на фетални аномалии и смъртни случаи (вж. точка 5.3). Ако по време на приложението на фулвестрант настъпи бременност, пациентката трябва да бъде информирана за потенциалните опасности за плода и потенциалния риск за загубата му.</w:t>
      </w:r>
    </w:p>
    <w:p w14:paraId="093FC1D5" w14:textId="77777777" w:rsidR="00BC543D" w:rsidRPr="00F02728" w:rsidRDefault="00BC543D" w:rsidP="00BC543D">
      <w:pPr>
        <w:spacing w:line="240" w:lineRule="auto"/>
        <w:rPr>
          <w:rFonts w:eastAsia="Times New Roman" w:cs="Arial"/>
          <w:color w:val="000000"/>
          <w:u w:val="single"/>
          <w:lang w:eastAsia="bg-BG"/>
        </w:rPr>
      </w:pPr>
    </w:p>
    <w:p w14:paraId="6E07C301" w14:textId="379C7BA2" w:rsidR="00BC543D" w:rsidRPr="00F02728" w:rsidRDefault="00BC543D" w:rsidP="00F02728">
      <w:pPr>
        <w:pStyle w:val="Heading3"/>
        <w:rPr>
          <w:rFonts w:eastAsia="Times New Roman"/>
          <w:u w:val="single"/>
          <w:lang w:eastAsia="bg-BG"/>
        </w:rPr>
      </w:pPr>
      <w:r w:rsidRPr="00F02728">
        <w:rPr>
          <w:rFonts w:eastAsia="Times New Roman"/>
          <w:u w:val="single"/>
          <w:lang w:eastAsia="bg-BG"/>
        </w:rPr>
        <w:t>Кърмене</w:t>
      </w:r>
    </w:p>
    <w:p w14:paraId="3AD0FDCB"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Кърменето трябва да се преустанови по време на лечение с фулвестрант. Фулвестрант се екскретира в млякото на лактиращи плъхове. Не е известно дали фулвестрант се екскретира в кърмата. Поради потенциала от сериозни нежелани реакции от фулвестрант при кърмачета, употребата му по време на кърмене е противопоказана (вж. точка 4.3).</w:t>
      </w:r>
    </w:p>
    <w:p w14:paraId="6E70C612" w14:textId="77777777" w:rsidR="00BC543D" w:rsidRPr="00F02728" w:rsidRDefault="00BC543D" w:rsidP="00BC543D">
      <w:pPr>
        <w:spacing w:line="240" w:lineRule="auto"/>
        <w:rPr>
          <w:rFonts w:eastAsia="Times New Roman" w:cs="Arial"/>
          <w:color w:val="000000"/>
          <w:u w:val="single"/>
          <w:lang w:eastAsia="bg-BG"/>
        </w:rPr>
      </w:pPr>
    </w:p>
    <w:p w14:paraId="7EA5151B" w14:textId="6DFBC2E5" w:rsidR="00BC543D" w:rsidRPr="00F02728" w:rsidRDefault="00BC543D" w:rsidP="00F02728">
      <w:pPr>
        <w:pStyle w:val="Heading3"/>
        <w:rPr>
          <w:rFonts w:eastAsia="Times New Roman"/>
          <w:u w:val="single"/>
          <w:lang w:eastAsia="bg-BG"/>
        </w:rPr>
      </w:pPr>
      <w:r w:rsidRPr="00F02728">
        <w:rPr>
          <w:rFonts w:eastAsia="Times New Roman"/>
          <w:u w:val="single"/>
          <w:lang w:eastAsia="bg-BG"/>
        </w:rPr>
        <w:t>Фертилитет</w:t>
      </w:r>
    </w:p>
    <w:p w14:paraId="102F0D07" w14:textId="1E27AE23" w:rsidR="007A2185" w:rsidRPr="00F02728" w:rsidRDefault="00BC543D" w:rsidP="00BC543D">
      <w:pPr>
        <w:rPr>
          <w:rFonts w:cs="Arial"/>
        </w:rPr>
      </w:pPr>
      <w:r w:rsidRPr="00F02728">
        <w:rPr>
          <w:rFonts w:eastAsia="Times New Roman" w:cs="Arial"/>
          <w:color w:val="000000"/>
          <w:lang w:eastAsia="bg-BG"/>
        </w:rPr>
        <w:t>Ефектите на фулвестрант върху фертилитета при хора не са проучвани.</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16299400" w:rsidR="007A2185" w:rsidRPr="00F02728" w:rsidRDefault="00BC543D" w:rsidP="0091385D">
      <w:pPr>
        <w:rPr>
          <w:rFonts w:cs="Arial"/>
        </w:rPr>
      </w:pPr>
      <w:r w:rsidRPr="00F02728">
        <w:rPr>
          <w:rFonts w:cs="Arial"/>
        </w:rPr>
        <w:t>Фулвестрант не повлиява или повлиява незначително способността за шофиране и работа с машини. Все пак, понеже при лечение с фулвестрант има много чести съобщения за астения, пациентите, които развият тази нежелана реакция, трябва да подхождат с повишено внимание към шофирането и работата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4B74EF8F"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u w:val="single"/>
          <w:lang w:eastAsia="bg-BG"/>
        </w:rPr>
        <w:t>Резюме на профила за безопасност</w:t>
      </w:r>
    </w:p>
    <w:p w14:paraId="60171A56" w14:textId="77777777" w:rsidR="00BC543D" w:rsidRPr="00BC543D" w:rsidRDefault="00BC543D" w:rsidP="00BC543D">
      <w:pPr>
        <w:spacing w:line="240" w:lineRule="auto"/>
        <w:rPr>
          <w:rFonts w:eastAsia="Times New Roman" w:cs="Arial"/>
          <w:lang w:eastAsia="bg-BG"/>
        </w:rPr>
      </w:pPr>
      <w:r w:rsidRPr="00BC543D">
        <w:rPr>
          <w:rFonts w:eastAsia="Times New Roman" w:cs="Arial"/>
          <w:i/>
          <w:iCs/>
          <w:color w:val="000000"/>
          <w:lang w:eastAsia="bg-BG"/>
        </w:rPr>
        <w:t>Монотерапия</w:t>
      </w:r>
    </w:p>
    <w:p w14:paraId="715A49D4"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В тази точка е представена информация, основана на всички нежелани реакции от клинични проучвания, постмаркетингови проучвания и спонтанни съобщения. В сборните данни за фулвестрант като монотерапия най-често съобщаваните нежелани реакции са били реакции на мястото на инжектиране, астения, гадене и повишени чернодробни ензими (АЛАТ, АСАТ, АФ).</w:t>
      </w:r>
    </w:p>
    <w:p w14:paraId="2FC18E71" w14:textId="77777777" w:rsidR="00BC543D" w:rsidRPr="00F02728" w:rsidRDefault="00BC543D" w:rsidP="00BC543D">
      <w:pPr>
        <w:spacing w:line="240" w:lineRule="auto"/>
        <w:rPr>
          <w:rFonts w:eastAsia="Times New Roman" w:cs="Arial"/>
          <w:color w:val="000000"/>
          <w:lang w:eastAsia="bg-BG"/>
        </w:rPr>
      </w:pPr>
    </w:p>
    <w:p w14:paraId="2FCF3C22" w14:textId="62569C93"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 xml:space="preserve">В таблица 1, дадените по-долу категории по честота на нежеланите лекарствени реакции (НЛР) са изчислени въз основа на сборни анализи на безопасността при групи на лечение с фулвестрант 500 </w:t>
      </w:r>
      <w:r w:rsidRPr="00BC543D">
        <w:rPr>
          <w:rFonts w:eastAsia="Times New Roman" w:cs="Arial"/>
          <w:color w:val="000000"/>
          <w:lang w:val="en-US"/>
        </w:rPr>
        <w:t xml:space="preserve">mg </w:t>
      </w:r>
      <w:r w:rsidRPr="00BC543D">
        <w:rPr>
          <w:rFonts w:eastAsia="Times New Roman" w:cs="Arial"/>
          <w:color w:val="000000"/>
          <w:lang w:eastAsia="bg-BG"/>
        </w:rPr>
        <w:t xml:space="preserve">в проучвания, които сравняват фулвестрант 500 </w:t>
      </w:r>
      <w:r w:rsidRPr="00BC543D">
        <w:rPr>
          <w:rFonts w:eastAsia="Times New Roman" w:cs="Arial"/>
          <w:color w:val="000000"/>
          <w:lang w:val="en-US"/>
        </w:rPr>
        <w:t xml:space="preserve">mg </w:t>
      </w:r>
      <w:r w:rsidRPr="00BC543D">
        <w:rPr>
          <w:rFonts w:eastAsia="Times New Roman" w:cs="Arial"/>
          <w:color w:val="000000"/>
          <w:lang w:eastAsia="bg-BG"/>
        </w:rPr>
        <w:t xml:space="preserve">с фулвестрант 250 </w:t>
      </w:r>
      <w:r w:rsidRPr="00BC543D">
        <w:rPr>
          <w:rFonts w:eastAsia="Times New Roman" w:cs="Arial"/>
          <w:color w:val="000000"/>
          <w:lang w:val="en-US"/>
        </w:rPr>
        <w:t xml:space="preserve">mg [CONFIRM </w:t>
      </w:r>
      <w:r w:rsidRPr="00BC543D">
        <w:rPr>
          <w:rFonts w:eastAsia="Times New Roman" w:cs="Arial"/>
          <w:color w:val="000000"/>
          <w:lang w:eastAsia="bg-BG"/>
        </w:rPr>
        <w:t xml:space="preserve">(проучване </w:t>
      </w:r>
      <w:r w:rsidRPr="00BC543D">
        <w:rPr>
          <w:rFonts w:eastAsia="Times New Roman" w:cs="Arial"/>
          <w:color w:val="000000"/>
          <w:lang w:val="en-US"/>
        </w:rPr>
        <w:t xml:space="preserve">D6997C00002), FINDER </w:t>
      </w:r>
      <w:r w:rsidRPr="00BC543D">
        <w:rPr>
          <w:rFonts w:eastAsia="Times New Roman" w:cs="Arial"/>
          <w:color w:val="000000"/>
          <w:lang w:eastAsia="bg-BG"/>
        </w:rPr>
        <w:t xml:space="preserve">1 (проучване </w:t>
      </w:r>
      <w:r w:rsidRPr="00BC543D">
        <w:rPr>
          <w:rFonts w:eastAsia="Times New Roman" w:cs="Arial"/>
          <w:color w:val="000000"/>
          <w:lang w:val="en-US"/>
        </w:rPr>
        <w:t xml:space="preserve">D6997C00004), FINDER </w:t>
      </w:r>
      <w:r w:rsidRPr="00BC543D">
        <w:rPr>
          <w:rFonts w:eastAsia="Times New Roman" w:cs="Arial"/>
          <w:color w:val="000000"/>
          <w:lang w:eastAsia="bg-BG"/>
        </w:rPr>
        <w:t xml:space="preserve">2 (проучване </w:t>
      </w:r>
      <w:r w:rsidRPr="00BC543D">
        <w:rPr>
          <w:rFonts w:eastAsia="Times New Roman" w:cs="Arial"/>
          <w:color w:val="000000"/>
          <w:lang w:val="en-US"/>
        </w:rPr>
        <w:t xml:space="preserve">D6997C00006) </w:t>
      </w:r>
      <w:r w:rsidRPr="00BC543D">
        <w:rPr>
          <w:rFonts w:eastAsia="Times New Roman" w:cs="Arial"/>
          <w:color w:val="000000"/>
          <w:lang w:eastAsia="bg-BG"/>
        </w:rPr>
        <w:t xml:space="preserve">и </w:t>
      </w:r>
      <w:r w:rsidRPr="00BC543D">
        <w:rPr>
          <w:rFonts w:eastAsia="Times New Roman" w:cs="Arial"/>
          <w:color w:val="000000"/>
          <w:lang w:val="en-US"/>
        </w:rPr>
        <w:t xml:space="preserve">NEWEST </w:t>
      </w:r>
      <w:r w:rsidRPr="00BC543D">
        <w:rPr>
          <w:rFonts w:eastAsia="Times New Roman" w:cs="Arial"/>
          <w:color w:val="000000"/>
          <w:lang w:eastAsia="bg-BG"/>
        </w:rPr>
        <w:t xml:space="preserve">(проучване </w:t>
      </w:r>
      <w:r w:rsidRPr="00BC543D">
        <w:rPr>
          <w:rFonts w:eastAsia="Times New Roman" w:cs="Arial"/>
          <w:color w:val="000000"/>
          <w:lang w:val="en-US"/>
        </w:rPr>
        <w:t xml:space="preserve">D6997C00003)], </w:t>
      </w:r>
      <w:r w:rsidRPr="00BC543D">
        <w:rPr>
          <w:rFonts w:eastAsia="Times New Roman" w:cs="Arial"/>
          <w:color w:val="000000"/>
          <w:lang w:eastAsia="bg-BG"/>
        </w:rPr>
        <w:t xml:space="preserve">или само от </w:t>
      </w:r>
      <w:r w:rsidRPr="00BC543D">
        <w:rPr>
          <w:rFonts w:eastAsia="Times New Roman" w:cs="Arial"/>
          <w:color w:val="000000"/>
          <w:lang w:val="en-US"/>
        </w:rPr>
        <w:t xml:space="preserve">FALCON </w:t>
      </w:r>
      <w:r w:rsidRPr="00BC543D">
        <w:rPr>
          <w:rFonts w:eastAsia="Times New Roman" w:cs="Arial"/>
          <w:color w:val="000000"/>
          <w:lang w:eastAsia="bg-BG"/>
        </w:rPr>
        <w:t xml:space="preserve">(проучване </w:t>
      </w:r>
      <w:r w:rsidRPr="00BC543D">
        <w:rPr>
          <w:rFonts w:eastAsia="Times New Roman" w:cs="Arial"/>
          <w:color w:val="000000"/>
          <w:lang w:val="en-US"/>
        </w:rPr>
        <w:t>D699BC00001</w:t>
      </w:r>
      <w:r w:rsidRPr="00BC543D">
        <w:rPr>
          <w:rFonts w:eastAsia="Times New Roman" w:cs="Arial"/>
          <w:color w:val="000000"/>
          <w:lang w:eastAsia="bg-BG"/>
        </w:rPr>
        <w:t xml:space="preserve">), което сравнява фулвестрант 500 </w:t>
      </w:r>
      <w:r w:rsidRPr="00BC543D">
        <w:rPr>
          <w:rFonts w:eastAsia="Times New Roman" w:cs="Arial"/>
          <w:color w:val="000000"/>
          <w:lang w:val="en-US"/>
        </w:rPr>
        <w:t xml:space="preserve">mg </w:t>
      </w:r>
      <w:r w:rsidRPr="00BC543D">
        <w:rPr>
          <w:rFonts w:eastAsia="Times New Roman" w:cs="Arial"/>
          <w:color w:val="000000"/>
          <w:lang w:eastAsia="bg-BG"/>
        </w:rPr>
        <w:t xml:space="preserve">с анастрозол 1 </w:t>
      </w:r>
      <w:r w:rsidRPr="00BC543D">
        <w:rPr>
          <w:rFonts w:eastAsia="Times New Roman" w:cs="Arial"/>
          <w:color w:val="000000"/>
          <w:lang w:val="en-US"/>
        </w:rPr>
        <w:t xml:space="preserve">mg. </w:t>
      </w:r>
      <w:r w:rsidRPr="00BC543D">
        <w:rPr>
          <w:rFonts w:eastAsia="Times New Roman" w:cs="Arial"/>
          <w:color w:val="000000"/>
          <w:lang w:eastAsia="bg-BG"/>
        </w:rPr>
        <w:t xml:space="preserve">Когато честотите от сборния анализ на данните за безопасност и от </w:t>
      </w:r>
      <w:r w:rsidRPr="00BC543D">
        <w:rPr>
          <w:rFonts w:eastAsia="Times New Roman" w:cs="Arial"/>
          <w:color w:val="000000"/>
          <w:lang w:val="en-US"/>
        </w:rPr>
        <w:t xml:space="preserve">FALCON </w:t>
      </w:r>
      <w:r w:rsidRPr="00BC543D">
        <w:rPr>
          <w:rFonts w:eastAsia="Times New Roman" w:cs="Arial"/>
          <w:color w:val="000000"/>
          <w:lang w:eastAsia="bg-BG"/>
        </w:rPr>
        <w:t xml:space="preserve">се различават, е представена по-високата честота. Дадените в таблица 1 честоти са въз основа на всички съобщени събития, без значение каква е била преценката на изследователя за причинно-следствената връзка. Медианата на продължителност на лечението с фулвестрант 500 </w:t>
      </w:r>
      <w:r w:rsidRPr="00BC543D">
        <w:rPr>
          <w:rFonts w:eastAsia="Times New Roman" w:cs="Arial"/>
          <w:color w:val="000000"/>
          <w:lang w:val="en-US"/>
        </w:rPr>
        <w:t xml:space="preserve">mg </w:t>
      </w:r>
      <w:r w:rsidRPr="00BC543D">
        <w:rPr>
          <w:rFonts w:eastAsia="Times New Roman" w:cs="Arial"/>
          <w:color w:val="000000"/>
          <w:lang w:eastAsia="bg-BG"/>
        </w:rPr>
        <w:t xml:space="preserve">в сборните данни (включително по-горе споменатите проучвания плюс </w:t>
      </w:r>
      <w:r w:rsidRPr="00BC543D">
        <w:rPr>
          <w:rFonts w:eastAsia="Times New Roman" w:cs="Arial"/>
          <w:color w:val="000000"/>
          <w:lang w:val="en-US"/>
        </w:rPr>
        <w:t xml:space="preserve">FALCON) </w:t>
      </w:r>
      <w:r w:rsidRPr="00BC543D">
        <w:rPr>
          <w:rFonts w:eastAsia="Times New Roman" w:cs="Arial"/>
          <w:color w:val="000000"/>
          <w:lang w:eastAsia="bg-BG"/>
        </w:rPr>
        <w:t>е била 6,5 месеца.</w:t>
      </w:r>
    </w:p>
    <w:p w14:paraId="35BBD6CE" w14:textId="77777777" w:rsidR="00BC543D" w:rsidRPr="00F02728" w:rsidRDefault="00BC543D" w:rsidP="00BC543D">
      <w:pPr>
        <w:spacing w:line="240" w:lineRule="auto"/>
        <w:rPr>
          <w:rFonts w:eastAsia="Times New Roman" w:cs="Arial"/>
          <w:color w:val="000000"/>
          <w:u w:val="single"/>
          <w:lang w:eastAsia="bg-BG"/>
        </w:rPr>
      </w:pPr>
    </w:p>
    <w:p w14:paraId="3C42B068" w14:textId="2F825321" w:rsidR="00BC543D" w:rsidRPr="00BC543D" w:rsidRDefault="00BC543D" w:rsidP="00BC543D">
      <w:pPr>
        <w:spacing w:line="240" w:lineRule="auto"/>
        <w:rPr>
          <w:rFonts w:eastAsia="Times New Roman" w:cs="Arial"/>
          <w:lang w:eastAsia="bg-BG"/>
        </w:rPr>
      </w:pPr>
      <w:r w:rsidRPr="00BC543D">
        <w:rPr>
          <w:rFonts w:eastAsia="Times New Roman" w:cs="Arial"/>
          <w:color w:val="000000"/>
          <w:u w:val="single"/>
          <w:lang w:eastAsia="bg-BG"/>
        </w:rPr>
        <w:t>Табличен списък на нежеланите реакции</w:t>
      </w:r>
    </w:p>
    <w:p w14:paraId="65764744" w14:textId="77777777" w:rsidR="00BC543D" w:rsidRPr="00BC543D" w:rsidRDefault="00BC543D" w:rsidP="00BC543D">
      <w:pPr>
        <w:spacing w:line="240" w:lineRule="auto"/>
        <w:rPr>
          <w:rFonts w:eastAsia="Times New Roman" w:cs="Arial"/>
          <w:lang w:eastAsia="bg-BG"/>
        </w:rPr>
      </w:pPr>
      <w:r w:rsidRPr="00BC543D">
        <w:rPr>
          <w:rFonts w:eastAsia="Times New Roman" w:cs="Arial"/>
          <w:color w:val="000000"/>
          <w:lang w:eastAsia="bg-BG"/>
        </w:rPr>
        <w:t>Изброените по-долу нежелани реакции са класифицирани по честота и системо-органни класове (СОК). Групирането по честота е дефинирано по следната конвенция: много чести (≥1/10), чести (≥1/100 до &lt;1/10), нечести (≥1/1 000 до &lt;1/100).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7DFA0637" w14:textId="77777777" w:rsidR="00BC543D" w:rsidRPr="00F02728" w:rsidRDefault="00BC543D" w:rsidP="00BC543D">
      <w:pPr>
        <w:rPr>
          <w:rFonts w:eastAsia="Times New Roman" w:cs="Arial"/>
          <w:b/>
          <w:bCs/>
          <w:color w:val="000000"/>
          <w:lang w:eastAsia="bg-BG"/>
        </w:rPr>
      </w:pPr>
      <w:bookmarkStart w:id="1" w:name="bookmark0"/>
    </w:p>
    <w:p w14:paraId="0254AACC" w14:textId="022C710F" w:rsidR="007A2185" w:rsidRPr="00F02728" w:rsidRDefault="00BC543D" w:rsidP="00BC543D">
      <w:pPr>
        <w:jc w:val="center"/>
        <w:rPr>
          <w:rFonts w:cs="Arial"/>
        </w:rPr>
      </w:pPr>
      <w:r w:rsidRPr="00F02728">
        <w:rPr>
          <w:rFonts w:eastAsia="Times New Roman" w:cs="Arial"/>
          <w:b/>
          <w:bCs/>
          <w:color w:val="000000"/>
          <w:lang w:eastAsia="bg-BG"/>
        </w:rPr>
        <w:t>Таблица 1 Нежелани лекарствени реакции, съобщавани при пациенти, лекувани с фулвестрант като монотерапия</w:t>
      </w:r>
      <w:bookmarkEnd w:id="1"/>
    </w:p>
    <w:p w14:paraId="443BC107" w14:textId="7BCD6DE8" w:rsidR="005B0F27" w:rsidRPr="00F02728" w:rsidRDefault="005B0F27" w:rsidP="0091385D">
      <w:pPr>
        <w:rPr>
          <w:rFonts w:cs="Arial"/>
        </w:rPr>
      </w:pPr>
    </w:p>
    <w:tbl>
      <w:tblPr>
        <w:tblStyle w:val="TableGrid"/>
        <w:tblW w:w="0" w:type="auto"/>
        <w:tblLook w:val="04A0" w:firstRow="1" w:lastRow="0" w:firstColumn="1" w:lastColumn="0" w:noHBand="0" w:noVBand="1"/>
      </w:tblPr>
      <w:tblGrid>
        <w:gridCol w:w="3116"/>
        <w:gridCol w:w="3117"/>
        <w:gridCol w:w="3117"/>
      </w:tblGrid>
      <w:tr w:rsidR="00BC543D" w:rsidRPr="00F02728" w14:paraId="3C9BB655" w14:textId="77777777" w:rsidTr="00F02728">
        <w:tc>
          <w:tcPr>
            <w:tcW w:w="9350" w:type="dxa"/>
            <w:gridSpan w:val="3"/>
          </w:tcPr>
          <w:p w14:paraId="0D24173A" w14:textId="76A91D34" w:rsidR="00BC543D" w:rsidRPr="00F02728" w:rsidRDefault="00BC543D" w:rsidP="0091385D">
            <w:pPr>
              <w:rPr>
                <w:rFonts w:cs="Arial"/>
              </w:rPr>
            </w:pPr>
            <w:r w:rsidRPr="00F02728">
              <w:rPr>
                <w:rFonts w:cs="Arial"/>
                <w:b/>
                <w:bCs/>
              </w:rPr>
              <w:t>Нежелани реакции по системо-органни класове и честота</w:t>
            </w:r>
          </w:p>
        </w:tc>
      </w:tr>
      <w:tr w:rsidR="00BC543D" w:rsidRPr="00F02728" w14:paraId="6DC5899B" w14:textId="77777777" w:rsidTr="00BC543D">
        <w:tc>
          <w:tcPr>
            <w:tcW w:w="3116" w:type="dxa"/>
          </w:tcPr>
          <w:p w14:paraId="3CAE9F70" w14:textId="0727C2F5" w:rsidR="00BC543D" w:rsidRPr="00F02728" w:rsidRDefault="00BC543D" w:rsidP="00BC543D">
            <w:pPr>
              <w:rPr>
                <w:rFonts w:cs="Arial"/>
              </w:rPr>
            </w:pPr>
            <w:r w:rsidRPr="00F02728">
              <w:rPr>
                <w:rFonts w:cs="Arial"/>
              </w:rPr>
              <w:t>Инфекции и инфестации</w:t>
            </w:r>
          </w:p>
        </w:tc>
        <w:tc>
          <w:tcPr>
            <w:tcW w:w="3117" w:type="dxa"/>
          </w:tcPr>
          <w:p w14:paraId="12276D3F" w14:textId="17F39403" w:rsidR="00BC543D" w:rsidRPr="00F02728" w:rsidRDefault="00BC543D" w:rsidP="00BC543D">
            <w:pPr>
              <w:rPr>
                <w:rFonts w:cs="Arial"/>
              </w:rPr>
            </w:pPr>
            <w:r w:rsidRPr="00F02728">
              <w:rPr>
                <w:rFonts w:cs="Arial"/>
              </w:rPr>
              <w:t>Чести</w:t>
            </w:r>
          </w:p>
        </w:tc>
        <w:tc>
          <w:tcPr>
            <w:tcW w:w="3117" w:type="dxa"/>
          </w:tcPr>
          <w:p w14:paraId="0D96D066" w14:textId="7681EF22" w:rsidR="00BC543D" w:rsidRPr="00F02728" w:rsidRDefault="00BC543D" w:rsidP="00BC543D">
            <w:pPr>
              <w:rPr>
                <w:rFonts w:cs="Arial"/>
              </w:rPr>
            </w:pPr>
            <w:r w:rsidRPr="00F02728">
              <w:rPr>
                <w:rFonts w:cs="Arial"/>
              </w:rPr>
              <w:t>Инфекции на пикочните пътища</w:t>
            </w:r>
          </w:p>
        </w:tc>
      </w:tr>
      <w:tr w:rsidR="00BC543D" w:rsidRPr="00F02728" w14:paraId="3AEC5C3B" w14:textId="77777777" w:rsidTr="00BC543D">
        <w:tc>
          <w:tcPr>
            <w:tcW w:w="3116" w:type="dxa"/>
          </w:tcPr>
          <w:p w14:paraId="4E3CF41F" w14:textId="1B6EE30F" w:rsidR="00BC543D" w:rsidRPr="00F02728" w:rsidRDefault="00BC543D" w:rsidP="00BC543D">
            <w:pPr>
              <w:rPr>
                <w:rFonts w:cs="Arial"/>
              </w:rPr>
            </w:pPr>
            <w:r w:rsidRPr="00F02728">
              <w:rPr>
                <w:rFonts w:cs="Arial"/>
              </w:rPr>
              <w:t>Нарушения на кръвта и лимфната система</w:t>
            </w:r>
          </w:p>
        </w:tc>
        <w:tc>
          <w:tcPr>
            <w:tcW w:w="3117" w:type="dxa"/>
          </w:tcPr>
          <w:p w14:paraId="136E29FF" w14:textId="71BFE675" w:rsidR="00BC543D" w:rsidRPr="00F02728" w:rsidRDefault="00BC543D" w:rsidP="00BC543D">
            <w:pPr>
              <w:rPr>
                <w:rFonts w:cs="Arial"/>
              </w:rPr>
            </w:pPr>
            <w:r w:rsidRPr="00F02728">
              <w:rPr>
                <w:rFonts w:cs="Arial"/>
              </w:rPr>
              <w:t>Чести</w:t>
            </w:r>
          </w:p>
        </w:tc>
        <w:tc>
          <w:tcPr>
            <w:tcW w:w="3117" w:type="dxa"/>
          </w:tcPr>
          <w:p w14:paraId="044DE239" w14:textId="0CBA6F6D" w:rsidR="00BC543D" w:rsidRPr="00F02728" w:rsidRDefault="00BC543D" w:rsidP="00BC543D">
            <w:pPr>
              <w:rPr>
                <w:rFonts w:cs="Arial"/>
              </w:rPr>
            </w:pPr>
            <w:r w:rsidRPr="00F02728">
              <w:rPr>
                <w:rFonts w:cs="Arial"/>
              </w:rPr>
              <w:t>Намален брой тромбоцити</w:t>
            </w:r>
            <w:r w:rsidRPr="00F02728">
              <w:rPr>
                <w:rFonts w:cs="Arial"/>
                <w:vertAlign w:val="superscript"/>
              </w:rPr>
              <w:t>д</w:t>
            </w:r>
          </w:p>
        </w:tc>
      </w:tr>
      <w:tr w:rsidR="00BC543D" w:rsidRPr="00F02728" w14:paraId="3E10A3FF" w14:textId="77777777" w:rsidTr="00BC543D">
        <w:tc>
          <w:tcPr>
            <w:tcW w:w="3116" w:type="dxa"/>
            <w:vMerge w:val="restart"/>
          </w:tcPr>
          <w:p w14:paraId="189B0DC4" w14:textId="080976D1" w:rsidR="00BC543D" w:rsidRPr="00F02728" w:rsidRDefault="00BC543D" w:rsidP="00BC543D">
            <w:pPr>
              <w:rPr>
                <w:rFonts w:cs="Arial"/>
              </w:rPr>
            </w:pPr>
            <w:r w:rsidRPr="00F02728">
              <w:rPr>
                <w:rFonts w:cs="Arial"/>
              </w:rPr>
              <w:t>Нарушения на имунната система</w:t>
            </w:r>
          </w:p>
        </w:tc>
        <w:tc>
          <w:tcPr>
            <w:tcW w:w="3117" w:type="dxa"/>
          </w:tcPr>
          <w:p w14:paraId="0F6BD2E0" w14:textId="10AD14C0" w:rsidR="00BC543D" w:rsidRPr="00F02728" w:rsidRDefault="00BC543D" w:rsidP="00BC543D">
            <w:pPr>
              <w:rPr>
                <w:rFonts w:cs="Arial"/>
              </w:rPr>
            </w:pPr>
            <w:r w:rsidRPr="00F02728">
              <w:rPr>
                <w:rFonts w:cs="Arial"/>
              </w:rPr>
              <w:t>Много чести</w:t>
            </w:r>
          </w:p>
        </w:tc>
        <w:tc>
          <w:tcPr>
            <w:tcW w:w="3117" w:type="dxa"/>
          </w:tcPr>
          <w:p w14:paraId="36859778" w14:textId="6ADCC621" w:rsidR="00BC543D" w:rsidRPr="00F02728" w:rsidRDefault="00BC543D" w:rsidP="00BC543D">
            <w:pPr>
              <w:rPr>
                <w:rFonts w:cs="Arial"/>
              </w:rPr>
            </w:pPr>
            <w:r w:rsidRPr="00F02728">
              <w:rPr>
                <w:rFonts w:cs="Arial"/>
              </w:rPr>
              <w:t>Реакции на свръхчувствителност</w:t>
            </w:r>
            <w:r w:rsidRPr="00F02728">
              <w:rPr>
                <w:rFonts w:cs="Arial"/>
                <w:vertAlign w:val="superscript"/>
              </w:rPr>
              <w:t>д</w:t>
            </w:r>
          </w:p>
        </w:tc>
      </w:tr>
      <w:tr w:rsidR="00BC543D" w:rsidRPr="00F02728" w14:paraId="64055B10" w14:textId="77777777" w:rsidTr="00BC543D">
        <w:tc>
          <w:tcPr>
            <w:tcW w:w="3116" w:type="dxa"/>
            <w:vMerge/>
          </w:tcPr>
          <w:p w14:paraId="1F703977" w14:textId="77777777" w:rsidR="00BC543D" w:rsidRPr="00F02728" w:rsidRDefault="00BC543D" w:rsidP="00BC543D">
            <w:pPr>
              <w:rPr>
                <w:rFonts w:cs="Arial"/>
              </w:rPr>
            </w:pPr>
          </w:p>
        </w:tc>
        <w:tc>
          <w:tcPr>
            <w:tcW w:w="3117" w:type="dxa"/>
          </w:tcPr>
          <w:p w14:paraId="2F595D2D" w14:textId="6D6344A0" w:rsidR="00BC543D" w:rsidRPr="00F02728" w:rsidRDefault="00BC543D" w:rsidP="00BC543D">
            <w:pPr>
              <w:rPr>
                <w:rFonts w:cs="Arial"/>
              </w:rPr>
            </w:pPr>
            <w:r w:rsidRPr="00F02728">
              <w:rPr>
                <w:rFonts w:cs="Arial"/>
              </w:rPr>
              <w:t>Нечести</w:t>
            </w:r>
          </w:p>
        </w:tc>
        <w:tc>
          <w:tcPr>
            <w:tcW w:w="3117" w:type="dxa"/>
          </w:tcPr>
          <w:p w14:paraId="1258641D" w14:textId="144CB167" w:rsidR="00BC543D" w:rsidRPr="00F02728" w:rsidRDefault="00BC543D" w:rsidP="00BC543D">
            <w:pPr>
              <w:rPr>
                <w:rFonts w:cs="Arial"/>
              </w:rPr>
            </w:pPr>
            <w:r w:rsidRPr="00F02728">
              <w:rPr>
                <w:rFonts w:cs="Arial"/>
              </w:rPr>
              <w:t>Анафилактични реакции</w:t>
            </w:r>
          </w:p>
        </w:tc>
      </w:tr>
      <w:tr w:rsidR="00BC543D" w:rsidRPr="00F02728" w14:paraId="06C15FCC" w14:textId="77777777" w:rsidTr="00BC543D">
        <w:tc>
          <w:tcPr>
            <w:tcW w:w="3116" w:type="dxa"/>
          </w:tcPr>
          <w:p w14:paraId="3C836D4C" w14:textId="6E1FE486" w:rsidR="00BC543D" w:rsidRPr="00F02728" w:rsidRDefault="00BC543D" w:rsidP="00BC543D">
            <w:pPr>
              <w:rPr>
                <w:rFonts w:cs="Arial"/>
              </w:rPr>
            </w:pPr>
            <w:r w:rsidRPr="00F02728">
              <w:rPr>
                <w:rFonts w:cs="Arial"/>
              </w:rPr>
              <w:t>Нарушения на метаболизма и храненето</w:t>
            </w:r>
          </w:p>
        </w:tc>
        <w:tc>
          <w:tcPr>
            <w:tcW w:w="3117" w:type="dxa"/>
          </w:tcPr>
          <w:p w14:paraId="1904D973" w14:textId="5D3E78E2" w:rsidR="00BC543D" w:rsidRPr="00F02728" w:rsidRDefault="00BC543D" w:rsidP="00BC543D">
            <w:pPr>
              <w:rPr>
                <w:rFonts w:cs="Arial"/>
              </w:rPr>
            </w:pPr>
            <w:r w:rsidRPr="00F02728">
              <w:rPr>
                <w:rFonts w:cs="Arial"/>
              </w:rPr>
              <w:t>Чести</w:t>
            </w:r>
          </w:p>
        </w:tc>
        <w:tc>
          <w:tcPr>
            <w:tcW w:w="3117" w:type="dxa"/>
          </w:tcPr>
          <w:p w14:paraId="6A16C646" w14:textId="40B06658" w:rsidR="00BC543D" w:rsidRPr="00F02728" w:rsidRDefault="00BC543D" w:rsidP="00BC543D">
            <w:pPr>
              <w:rPr>
                <w:rFonts w:cs="Arial"/>
              </w:rPr>
            </w:pPr>
            <w:r w:rsidRPr="00F02728">
              <w:rPr>
                <w:rFonts w:cs="Arial"/>
              </w:rPr>
              <w:t xml:space="preserve">Анорексия </w:t>
            </w:r>
            <w:r w:rsidRPr="00F02728">
              <w:rPr>
                <w:rFonts w:cs="Arial"/>
                <w:vertAlign w:val="superscript"/>
              </w:rPr>
              <w:t>а</w:t>
            </w:r>
          </w:p>
        </w:tc>
      </w:tr>
      <w:tr w:rsidR="00BC543D" w:rsidRPr="00F02728" w14:paraId="54866FA7" w14:textId="77777777" w:rsidTr="00BC543D">
        <w:tc>
          <w:tcPr>
            <w:tcW w:w="3116" w:type="dxa"/>
          </w:tcPr>
          <w:p w14:paraId="4384CBF5" w14:textId="588ED626" w:rsidR="00BC543D" w:rsidRPr="00F02728" w:rsidRDefault="00BC543D" w:rsidP="00BC543D">
            <w:pPr>
              <w:rPr>
                <w:rFonts w:cs="Arial"/>
              </w:rPr>
            </w:pPr>
            <w:r w:rsidRPr="00F02728">
              <w:rPr>
                <w:rFonts w:cs="Arial"/>
              </w:rPr>
              <w:t>Нарушения на нервната система</w:t>
            </w:r>
          </w:p>
        </w:tc>
        <w:tc>
          <w:tcPr>
            <w:tcW w:w="3117" w:type="dxa"/>
          </w:tcPr>
          <w:p w14:paraId="58914E58" w14:textId="4A531B8E" w:rsidR="00BC543D" w:rsidRPr="00F02728" w:rsidRDefault="00BC543D" w:rsidP="00BC543D">
            <w:pPr>
              <w:rPr>
                <w:rFonts w:cs="Arial"/>
              </w:rPr>
            </w:pPr>
            <w:r w:rsidRPr="00F02728">
              <w:rPr>
                <w:rFonts w:cs="Arial"/>
              </w:rPr>
              <w:t>Чести</w:t>
            </w:r>
          </w:p>
        </w:tc>
        <w:tc>
          <w:tcPr>
            <w:tcW w:w="3117" w:type="dxa"/>
          </w:tcPr>
          <w:p w14:paraId="597765BA" w14:textId="7154EB67" w:rsidR="00BC543D" w:rsidRPr="00F02728" w:rsidRDefault="00BC543D" w:rsidP="00BC543D">
            <w:pPr>
              <w:rPr>
                <w:rFonts w:cs="Arial"/>
              </w:rPr>
            </w:pPr>
            <w:r w:rsidRPr="00F02728">
              <w:rPr>
                <w:rFonts w:cs="Arial"/>
              </w:rPr>
              <w:t>Главоболие</w:t>
            </w:r>
          </w:p>
        </w:tc>
      </w:tr>
      <w:tr w:rsidR="00BC543D" w:rsidRPr="00F02728" w14:paraId="607C5140" w14:textId="77777777" w:rsidTr="00BC543D">
        <w:tc>
          <w:tcPr>
            <w:tcW w:w="3116" w:type="dxa"/>
            <w:vMerge w:val="restart"/>
          </w:tcPr>
          <w:p w14:paraId="447646C3" w14:textId="7ABA582D" w:rsidR="00BC543D" w:rsidRPr="00F02728" w:rsidRDefault="00BC543D" w:rsidP="00BC543D">
            <w:pPr>
              <w:rPr>
                <w:rFonts w:cs="Arial"/>
              </w:rPr>
            </w:pPr>
            <w:r w:rsidRPr="00F02728">
              <w:rPr>
                <w:rFonts w:cs="Arial"/>
              </w:rPr>
              <w:t>Съдови нарушения</w:t>
            </w:r>
          </w:p>
        </w:tc>
        <w:tc>
          <w:tcPr>
            <w:tcW w:w="3117" w:type="dxa"/>
          </w:tcPr>
          <w:p w14:paraId="088592AA" w14:textId="61D7BFEF" w:rsidR="00BC543D" w:rsidRPr="00F02728" w:rsidRDefault="00BC543D" w:rsidP="00BC543D">
            <w:pPr>
              <w:rPr>
                <w:rFonts w:cs="Arial"/>
              </w:rPr>
            </w:pPr>
            <w:r w:rsidRPr="00F02728">
              <w:rPr>
                <w:rFonts w:cs="Arial"/>
              </w:rPr>
              <w:t>Много чести</w:t>
            </w:r>
          </w:p>
        </w:tc>
        <w:tc>
          <w:tcPr>
            <w:tcW w:w="3117" w:type="dxa"/>
          </w:tcPr>
          <w:p w14:paraId="075845D9" w14:textId="2CEB14DC" w:rsidR="00BC543D" w:rsidRPr="00F02728" w:rsidRDefault="00BC543D" w:rsidP="00BC543D">
            <w:pPr>
              <w:rPr>
                <w:rFonts w:cs="Arial"/>
              </w:rPr>
            </w:pPr>
            <w:r w:rsidRPr="00F02728">
              <w:rPr>
                <w:rFonts w:cs="Arial"/>
              </w:rPr>
              <w:t xml:space="preserve">Горещи вълни </w:t>
            </w:r>
            <w:r w:rsidRPr="00F02728">
              <w:rPr>
                <w:rFonts w:cs="Arial"/>
                <w:vertAlign w:val="superscript"/>
              </w:rPr>
              <w:t>д</w:t>
            </w:r>
          </w:p>
        </w:tc>
      </w:tr>
      <w:tr w:rsidR="00BC543D" w:rsidRPr="00F02728" w14:paraId="5F441E4E" w14:textId="77777777" w:rsidTr="00BC543D">
        <w:tc>
          <w:tcPr>
            <w:tcW w:w="3116" w:type="dxa"/>
            <w:vMerge/>
          </w:tcPr>
          <w:p w14:paraId="1C45DFAA" w14:textId="77777777" w:rsidR="00BC543D" w:rsidRPr="00F02728" w:rsidRDefault="00BC543D" w:rsidP="00BC543D">
            <w:pPr>
              <w:rPr>
                <w:rFonts w:cs="Arial"/>
              </w:rPr>
            </w:pPr>
          </w:p>
        </w:tc>
        <w:tc>
          <w:tcPr>
            <w:tcW w:w="3117" w:type="dxa"/>
          </w:tcPr>
          <w:p w14:paraId="3FA24750" w14:textId="518BF803" w:rsidR="00BC543D" w:rsidRPr="00F02728" w:rsidRDefault="00BC543D" w:rsidP="00BC543D">
            <w:pPr>
              <w:rPr>
                <w:rFonts w:cs="Arial"/>
              </w:rPr>
            </w:pPr>
            <w:r w:rsidRPr="00F02728">
              <w:rPr>
                <w:rFonts w:cs="Arial"/>
              </w:rPr>
              <w:t>Чести</w:t>
            </w:r>
          </w:p>
        </w:tc>
        <w:tc>
          <w:tcPr>
            <w:tcW w:w="3117" w:type="dxa"/>
          </w:tcPr>
          <w:p w14:paraId="4F9697A3" w14:textId="01B67EDC" w:rsidR="00BC543D" w:rsidRPr="00F02728" w:rsidRDefault="00BC543D" w:rsidP="00BC543D">
            <w:pPr>
              <w:rPr>
                <w:rFonts w:cs="Arial"/>
              </w:rPr>
            </w:pPr>
            <w:r w:rsidRPr="00F02728">
              <w:rPr>
                <w:rFonts w:cs="Arial"/>
              </w:rPr>
              <w:t xml:space="preserve">Венозна тромбоемболия </w:t>
            </w:r>
            <w:r w:rsidRPr="00F02728">
              <w:rPr>
                <w:rFonts w:cs="Arial"/>
                <w:vertAlign w:val="superscript"/>
              </w:rPr>
              <w:t>а</w:t>
            </w:r>
          </w:p>
        </w:tc>
      </w:tr>
      <w:tr w:rsidR="00BC543D" w:rsidRPr="00F02728" w14:paraId="1DFDADAE" w14:textId="77777777" w:rsidTr="00BC543D">
        <w:tc>
          <w:tcPr>
            <w:tcW w:w="3116" w:type="dxa"/>
            <w:vMerge w:val="restart"/>
          </w:tcPr>
          <w:p w14:paraId="534B8B39" w14:textId="59D5B786" w:rsidR="00BC543D" w:rsidRPr="00F02728" w:rsidRDefault="00BC543D" w:rsidP="00BC543D">
            <w:pPr>
              <w:rPr>
                <w:rFonts w:cs="Arial"/>
              </w:rPr>
            </w:pPr>
            <w:r w:rsidRPr="00F02728">
              <w:rPr>
                <w:rFonts w:cs="Arial"/>
              </w:rPr>
              <w:t>Стомашно-чревни нарушения</w:t>
            </w:r>
          </w:p>
        </w:tc>
        <w:tc>
          <w:tcPr>
            <w:tcW w:w="3117" w:type="dxa"/>
          </w:tcPr>
          <w:p w14:paraId="1428F156" w14:textId="512D6363" w:rsidR="00BC543D" w:rsidRPr="00F02728" w:rsidRDefault="00BC543D" w:rsidP="00BC543D">
            <w:pPr>
              <w:rPr>
                <w:rFonts w:cs="Arial"/>
              </w:rPr>
            </w:pPr>
            <w:r w:rsidRPr="00F02728">
              <w:rPr>
                <w:rFonts w:cs="Arial"/>
              </w:rPr>
              <w:t>Много чести</w:t>
            </w:r>
          </w:p>
        </w:tc>
        <w:tc>
          <w:tcPr>
            <w:tcW w:w="3117" w:type="dxa"/>
          </w:tcPr>
          <w:p w14:paraId="01BF2BBD" w14:textId="554A9FE9" w:rsidR="00BC543D" w:rsidRPr="00F02728" w:rsidRDefault="00BC543D" w:rsidP="00BC543D">
            <w:pPr>
              <w:rPr>
                <w:rFonts w:cs="Arial"/>
              </w:rPr>
            </w:pPr>
            <w:r w:rsidRPr="00F02728">
              <w:rPr>
                <w:rFonts w:cs="Arial"/>
              </w:rPr>
              <w:t>Гадене</w:t>
            </w:r>
          </w:p>
        </w:tc>
      </w:tr>
      <w:tr w:rsidR="00BC543D" w:rsidRPr="00F02728" w14:paraId="59CA19C5" w14:textId="77777777" w:rsidTr="00BC543D">
        <w:tc>
          <w:tcPr>
            <w:tcW w:w="3116" w:type="dxa"/>
            <w:vMerge/>
          </w:tcPr>
          <w:p w14:paraId="27FCB2A6" w14:textId="77777777" w:rsidR="00BC543D" w:rsidRPr="00F02728" w:rsidRDefault="00BC543D" w:rsidP="00BC543D">
            <w:pPr>
              <w:rPr>
                <w:rFonts w:cs="Arial"/>
              </w:rPr>
            </w:pPr>
          </w:p>
        </w:tc>
        <w:tc>
          <w:tcPr>
            <w:tcW w:w="3117" w:type="dxa"/>
          </w:tcPr>
          <w:p w14:paraId="245E4AE5" w14:textId="2AE5A169" w:rsidR="00BC543D" w:rsidRPr="00F02728" w:rsidRDefault="00BC543D" w:rsidP="00BC543D">
            <w:pPr>
              <w:rPr>
                <w:rFonts w:cs="Arial"/>
              </w:rPr>
            </w:pPr>
            <w:r w:rsidRPr="00F02728">
              <w:rPr>
                <w:rFonts w:cs="Arial"/>
              </w:rPr>
              <w:t>Чести</w:t>
            </w:r>
          </w:p>
        </w:tc>
        <w:tc>
          <w:tcPr>
            <w:tcW w:w="3117" w:type="dxa"/>
          </w:tcPr>
          <w:p w14:paraId="506BFCB2" w14:textId="466E04F9" w:rsidR="00BC543D" w:rsidRPr="00F02728" w:rsidRDefault="00BC543D" w:rsidP="00BC543D">
            <w:pPr>
              <w:rPr>
                <w:rFonts w:cs="Arial"/>
              </w:rPr>
            </w:pPr>
            <w:r w:rsidRPr="00F02728">
              <w:rPr>
                <w:rFonts w:cs="Arial"/>
              </w:rPr>
              <w:t>Повръщане, диария</w:t>
            </w:r>
          </w:p>
        </w:tc>
      </w:tr>
      <w:tr w:rsidR="00BC543D" w:rsidRPr="00F02728" w14:paraId="6750EBCE" w14:textId="77777777" w:rsidTr="00BC543D">
        <w:tc>
          <w:tcPr>
            <w:tcW w:w="3116" w:type="dxa"/>
            <w:vMerge w:val="restart"/>
          </w:tcPr>
          <w:p w14:paraId="394B83FE" w14:textId="76EE6F36" w:rsidR="00BC543D" w:rsidRPr="00F02728" w:rsidRDefault="00BC543D" w:rsidP="00BC543D">
            <w:pPr>
              <w:rPr>
                <w:rFonts w:cs="Arial"/>
              </w:rPr>
            </w:pPr>
            <w:r w:rsidRPr="00F02728">
              <w:rPr>
                <w:rFonts w:cs="Arial"/>
              </w:rPr>
              <w:t>Хепатобилиарни нарушения</w:t>
            </w:r>
          </w:p>
        </w:tc>
        <w:tc>
          <w:tcPr>
            <w:tcW w:w="3117" w:type="dxa"/>
          </w:tcPr>
          <w:p w14:paraId="2113708E" w14:textId="45488A42" w:rsidR="00BC543D" w:rsidRPr="00F02728" w:rsidRDefault="00BC543D" w:rsidP="00BC543D">
            <w:pPr>
              <w:rPr>
                <w:rFonts w:cs="Arial"/>
              </w:rPr>
            </w:pPr>
            <w:r w:rsidRPr="00F02728">
              <w:rPr>
                <w:rFonts w:cs="Arial"/>
              </w:rPr>
              <w:t>Много чести</w:t>
            </w:r>
          </w:p>
        </w:tc>
        <w:tc>
          <w:tcPr>
            <w:tcW w:w="3117" w:type="dxa"/>
          </w:tcPr>
          <w:p w14:paraId="01D1C3CB" w14:textId="0AECCFC9" w:rsidR="00BC543D" w:rsidRPr="00F02728" w:rsidRDefault="00BC543D" w:rsidP="00BC543D">
            <w:pPr>
              <w:rPr>
                <w:rFonts w:cs="Arial"/>
              </w:rPr>
            </w:pPr>
            <w:r w:rsidRPr="00F02728">
              <w:rPr>
                <w:rFonts w:cs="Arial"/>
              </w:rPr>
              <w:t xml:space="preserve">Повишени чернодробни ензими (АЛАТ, АСАТ, АФ) </w:t>
            </w:r>
            <w:r w:rsidRPr="00F02728">
              <w:rPr>
                <w:rFonts w:cs="Arial"/>
                <w:vertAlign w:val="superscript"/>
              </w:rPr>
              <w:t>а</w:t>
            </w:r>
          </w:p>
        </w:tc>
      </w:tr>
      <w:tr w:rsidR="00BC543D" w:rsidRPr="00F02728" w14:paraId="6D3A4E60" w14:textId="77777777" w:rsidTr="00BC543D">
        <w:tc>
          <w:tcPr>
            <w:tcW w:w="3116" w:type="dxa"/>
            <w:vMerge/>
          </w:tcPr>
          <w:p w14:paraId="26732C5C" w14:textId="77777777" w:rsidR="00BC543D" w:rsidRPr="00F02728" w:rsidRDefault="00BC543D" w:rsidP="00BC543D">
            <w:pPr>
              <w:rPr>
                <w:rFonts w:cs="Arial"/>
              </w:rPr>
            </w:pPr>
          </w:p>
        </w:tc>
        <w:tc>
          <w:tcPr>
            <w:tcW w:w="3117" w:type="dxa"/>
          </w:tcPr>
          <w:p w14:paraId="2B798CD5" w14:textId="39EC0246" w:rsidR="00BC543D" w:rsidRPr="00F02728" w:rsidRDefault="00BC543D" w:rsidP="00BC543D">
            <w:pPr>
              <w:rPr>
                <w:rFonts w:cs="Arial"/>
              </w:rPr>
            </w:pPr>
            <w:r w:rsidRPr="00F02728">
              <w:rPr>
                <w:rFonts w:cs="Arial"/>
              </w:rPr>
              <w:t>Чести</w:t>
            </w:r>
          </w:p>
        </w:tc>
        <w:tc>
          <w:tcPr>
            <w:tcW w:w="3117" w:type="dxa"/>
          </w:tcPr>
          <w:p w14:paraId="711C7ED3" w14:textId="2E20105F" w:rsidR="00BC543D" w:rsidRPr="00F02728" w:rsidRDefault="00BC543D" w:rsidP="00BC543D">
            <w:pPr>
              <w:rPr>
                <w:rFonts w:cs="Arial"/>
              </w:rPr>
            </w:pPr>
            <w:r w:rsidRPr="00F02728">
              <w:rPr>
                <w:rFonts w:cs="Arial"/>
              </w:rPr>
              <w:t xml:space="preserve">Повишен билирубина </w:t>
            </w:r>
            <w:r w:rsidRPr="00F02728">
              <w:rPr>
                <w:rFonts w:cs="Arial"/>
                <w:vertAlign w:val="superscript"/>
              </w:rPr>
              <w:t>а</w:t>
            </w:r>
          </w:p>
        </w:tc>
      </w:tr>
      <w:tr w:rsidR="00BC543D" w:rsidRPr="00F02728" w14:paraId="098DF9C3" w14:textId="77777777" w:rsidTr="00BC543D">
        <w:tc>
          <w:tcPr>
            <w:tcW w:w="3116" w:type="dxa"/>
            <w:vMerge/>
          </w:tcPr>
          <w:p w14:paraId="70DD9E1A" w14:textId="77777777" w:rsidR="00BC543D" w:rsidRPr="00F02728" w:rsidRDefault="00BC543D" w:rsidP="00BC543D">
            <w:pPr>
              <w:rPr>
                <w:rFonts w:cs="Arial"/>
              </w:rPr>
            </w:pPr>
          </w:p>
        </w:tc>
        <w:tc>
          <w:tcPr>
            <w:tcW w:w="3117" w:type="dxa"/>
          </w:tcPr>
          <w:p w14:paraId="01073493" w14:textId="4249925F" w:rsidR="00BC543D" w:rsidRPr="00F02728" w:rsidRDefault="00BC543D" w:rsidP="00BC543D">
            <w:pPr>
              <w:rPr>
                <w:rFonts w:cs="Arial"/>
              </w:rPr>
            </w:pPr>
            <w:r w:rsidRPr="00F02728">
              <w:rPr>
                <w:rFonts w:cs="Arial"/>
              </w:rPr>
              <w:t>Нечести</w:t>
            </w:r>
          </w:p>
        </w:tc>
        <w:tc>
          <w:tcPr>
            <w:tcW w:w="3117" w:type="dxa"/>
          </w:tcPr>
          <w:p w14:paraId="0C7898E3" w14:textId="7963DB38" w:rsidR="00BC543D" w:rsidRPr="00F02728" w:rsidRDefault="00BC543D" w:rsidP="00BC543D">
            <w:pPr>
              <w:rPr>
                <w:rFonts w:cs="Arial"/>
              </w:rPr>
            </w:pPr>
            <w:r w:rsidRPr="00F02728">
              <w:rPr>
                <w:rFonts w:cs="Arial"/>
              </w:rPr>
              <w:t>Чернодробна недостатъчност</w:t>
            </w:r>
            <w:r w:rsidR="00F02728" w:rsidRPr="00F02728">
              <w:rPr>
                <w:rFonts w:cs="Arial"/>
                <w:vertAlign w:val="superscript"/>
              </w:rPr>
              <w:t>в,</w:t>
            </w:r>
            <w:r w:rsidRPr="00F02728">
              <w:rPr>
                <w:rFonts w:cs="Arial"/>
                <w:vertAlign w:val="superscript"/>
              </w:rPr>
              <w:t>е</w:t>
            </w:r>
            <w:r w:rsidR="00F02728" w:rsidRPr="00F02728">
              <w:rPr>
                <w:rFonts w:cs="Arial"/>
              </w:rPr>
              <w:t xml:space="preserve">, хепатит </w:t>
            </w:r>
            <w:r w:rsidR="00F02728" w:rsidRPr="00F02728">
              <w:rPr>
                <w:rFonts w:cs="Arial"/>
                <w:vertAlign w:val="superscript"/>
              </w:rPr>
              <w:t>е</w:t>
            </w:r>
            <w:r w:rsidR="00F02728" w:rsidRPr="00F02728">
              <w:rPr>
                <w:rFonts w:cs="Arial"/>
              </w:rPr>
              <w:t>, повишаване на ГГТ</w:t>
            </w:r>
            <w:r w:rsidRPr="00F02728">
              <w:rPr>
                <w:rFonts w:cs="Arial"/>
                <w:vertAlign w:val="superscript"/>
              </w:rPr>
              <w:t>е</w:t>
            </w:r>
          </w:p>
        </w:tc>
      </w:tr>
      <w:tr w:rsidR="00F02728" w:rsidRPr="00F02728" w14:paraId="35EF75F4" w14:textId="77777777" w:rsidTr="00BC543D">
        <w:tc>
          <w:tcPr>
            <w:tcW w:w="3116" w:type="dxa"/>
          </w:tcPr>
          <w:p w14:paraId="26B35CC9" w14:textId="3D52CF50" w:rsidR="00F02728" w:rsidRPr="00F02728" w:rsidRDefault="00F02728" w:rsidP="00F02728">
            <w:pPr>
              <w:rPr>
                <w:rFonts w:cs="Arial"/>
              </w:rPr>
            </w:pPr>
            <w:r w:rsidRPr="00F02728">
              <w:rPr>
                <w:rFonts w:cs="Arial"/>
              </w:rPr>
              <w:t>Нарушения на кожата и подкожната тъкан</w:t>
            </w:r>
          </w:p>
        </w:tc>
        <w:tc>
          <w:tcPr>
            <w:tcW w:w="3117" w:type="dxa"/>
          </w:tcPr>
          <w:p w14:paraId="49FB49EC" w14:textId="106B2298" w:rsidR="00F02728" w:rsidRPr="00F02728" w:rsidRDefault="00F02728" w:rsidP="00F02728">
            <w:pPr>
              <w:rPr>
                <w:rFonts w:cs="Arial"/>
              </w:rPr>
            </w:pPr>
            <w:r w:rsidRPr="00F02728">
              <w:rPr>
                <w:rFonts w:cs="Arial"/>
              </w:rPr>
              <w:t>Много чести</w:t>
            </w:r>
          </w:p>
        </w:tc>
        <w:tc>
          <w:tcPr>
            <w:tcW w:w="3117" w:type="dxa"/>
          </w:tcPr>
          <w:p w14:paraId="484FBC16" w14:textId="59BA997A" w:rsidR="00F02728" w:rsidRPr="00F02728" w:rsidRDefault="00F02728" w:rsidP="00F02728">
            <w:pPr>
              <w:rPr>
                <w:rFonts w:cs="Arial"/>
              </w:rPr>
            </w:pPr>
            <w:r w:rsidRPr="00F02728">
              <w:rPr>
                <w:rFonts w:cs="Arial"/>
              </w:rPr>
              <w:t>Обрив</w:t>
            </w:r>
            <w:r w:rsidRPr="00F02728">
              <w:rPr>
                <w:rFonts w:cs="Arial"/>
                <w:vertAlign w:val="superscript"/>
              </w:rPr>
              <w:t>д</w:t>
            </w:r>
          </w:p>
        </w:tc>
      </w:tr>
      <w:tr w:rsidR="00F02728" w:rsidRPr="00F02728" w14:paraId="094B35E4" w14:textId="77777777" w:rsidTr="00BC543D">
        <w:tc>
          <w:tcPr>
            <w:tcW w:w="3116" w:type="dxa"/>
            <w:vMerge w:val="restart"/>
          </w:tcPr>
          <w:p w14:paraId="3E8CE2F0" w14:textId="2CE7F6CC" w:rsidR="00F02728" w:rsidRPr="00F02728" w:rsidRDefault="00F02728" w:rsidP="00F02728">
            <w:pPr>
              <w:rPr>
                <w:rFonts w:cs="Arial"/>
              </w:rPr>
            </w:pPr>
            <w:r w:rsidRPr="00F02728">
              <w:rPr>
                <w:rFonts w:cs="Arial"/>
              </w:rPr>
              <w:t>Нарушения на мускулно-скелетната система и съединителната тъкан</w:t>
            </w:r>
          </w:p>
        </w:tc>
        <w:tc>
          <w:tcPr>
            <w:tcW w:w="3117" w:type="dxa"/>
          </w:tcPr>
          <w:p w14:paraId="3DEAEE19" w14:textId="152504ED" w:rsidR="00F02728" w:rsidRPr="00F02728" w:rsidRDefault="00F02728" w:rsidP="00F02728">
            <w:pPr>
              <w:rPr>
                <w:rFonts w:cs="Arial"/>
              </w:rPr>
            </w:pPr>
            <w:r w:rsidRPr="00F02728">
              <w:rPr>
                <w:rFonts w:cs="Arial"/>
              </w:rPr>
              <w:t>Много чести</w:t>
            </w:r>
          </w:p>
        </w:tc>
        <w:tc>
          <w:tcPr>
            <w:tcW w:w="3117" w:type="dxa"/>
          </w:tcPr>
          <w:p w14:paraId="78BD17E9" w14:textId="483AB0F8" w:rsidR="00F02728" w:rsidRPr="00F02728" w:rsidRDefault="00F02728" w:rsidP="00F02728">
            <w:pPr>
              <w:rPr>
                <w:rFonts w:cs="Arial"/>
              </w:rPr>
            </w:pPr>
            <w:r w:rsidRPr="00F02728">
              <w:rPr>
                <w:rFonts w:cs="Arial"/>
              </w:rPr>
              <w:t>Болки в ставите и в мускулно- скелетната система</w:t>
            </w:r>
            <w:r w:rsidRPr="00F02728">
              <w:rPr>
                <w:rFonts w:cs="Arial"/>
                <w:vertAlign w:val="superscript"/>
              </w:rPr>
              <w:t>г</w:t>
            </w:r>
          </w:p>
        </w:tc>
      </w:tr>
      <w:tr w:rsidR="00F02728" w:rsidRPr="00F02728" w14:paraId="024812AC" w14:textId="77777777" w:rsidTr="00BC543D">
        <w:tc>
          <w:tcPr>
            <w:tcW w:w="3116" w:type="dxa"/>
            <w:vMerge/>
          </w:tcPr>
          <w:p w14:paraId="255F2334" w14:textId="77777777" w:rsidR="00F02728" w:rsidRPr="00F02728" w:rsidRDefault="00F02728" w:rsidP="00F02728">
            <w:pPr>
              <w:rPr>
                <w:rFonts w:cs="Arial"/>
              </w:rPr>
            </w:pPr>
          </w:p>
        </w:tc>
        <w:tc>
          <w:tcPr>
            <w:tcW w:w="3117" w:type="dxa"/>
          </w:tcPr>
          <w:p w14:paraId="4DD63E48" w14:textId="0EA3EEC4" w:rsidR="00F02728" w:rsidRPr="00F02728" w:rsidRDefault="00F02728" w:rsidP="00F02728">
            <w:pPr>
              <w:rPr>
                <w:rFonts w:cs="Arial"/>
              </w:rPr>
            </w:pPr>
            <w:r w:rsidRPr="00F02728">
              <w:rPr>
                <w:rFonts w:cs="Arial"/>
              </w:rPr>
              <w:t>Чести</w:t>
            </w:r>
          </w:p>
        </w:tc>
        <w:tc>
          <w:tcPr>
            <w:tcW w:w="3117" w:type="dxa"/>
          </w:tcPr>
          <w:p w14:paraId="2F20396F" w14:textId="2CC4C348" w:rsidR="00F02728" w:rsidRPr="00F02728" w:rsidRDefault="00F02728" w:rsidP="00F02728">
            <w:pPr>
              <w:rPr>
                <w:rFonts w:cs="Arial"/>
              </w:rPr>
            </w:pPr>
            <w:r w:rsidRPr="00F02728">
              <w:rPr>
                <w:rFonts w:cs="Arial"/>
              </w:rPr>
              <w:t>Болки в гърба</w:t>
            </w:r>
            <w:r w:rsidRPr="00F02728">
              <w:rPr>
                <w:rFonts w:cs="Arial"/>
                <w:vertAlign w:val="superscript"/>
              </w:rPr>
              <w:t>а</w:t>
            </w:r>
          </w:p>
        </w:tc>
      </w:tr>
      <w:tr w:rsidR="00F02728" w:rsidRPr="00F02728" w14:paraId="2D08691B" w14:textId="77777777" w:rsidTr="00BC543D">
        <w:tc>
          <w:tcPr>
            <w:tcW w:w="3116" w:type="dxa"/>
            <w:vMerge w:val="restart"/>
          </w:tcPr>
          <w:p w14:paraId="2200FE91" w14:textId="59F3B591" w:rsidR="00F02728" w:rsidRPr="00F02728" w:rsidRDefault="00F02728" w:rsidP="00F02728">
            <w:pPr>
              <w:rPr>
                <w:rFonts w:cs="Arial"/>
              </w:rPr>
            </w:pPr>
            <w:r w:rsidRPr="00F02728">
              <w:rPr>
                <w:rFonts w:cs="Arial"/>
              </w:rPr>
              <w:t>Нарушения на възпроизводителната система и гърдата</w:t>
            </w:r>
          </w:p>
        </w:tc>
        <w:tc>
          <w:tcPr>
            <w:tcW w:w="3117" w:type="dxa"/>
          </w:tcPr>
          <w:p w14:paraId="1B32CF5B" w14:textId="50FCFC12" w:rsidR="00F02728" w:rsidRPr="00F02728" w:rsidRDefault="00F02728" w:rsidP="00F02728">
            <w:pPr>
              <w:rPr>
                <w:rFonts w:cs="Arial"/>
              </w:rPr>
            </w:pPr>
            <w:r w:rsidRPr="00F02728">
              <w:rPr>
                <w:rFonts w:cs="Arial"/>
              </w:rPr>
              <w:t>Чести</w:t>
            </w:r>
          </w:p>
        </w:tc>
        <w:tc>
          <w:tcPr>
            <w:tcW w:w="3117" w:type="dxa"/>
          </w:tcPr>
          <w:p w14:paraId="074995E7" w14:textId="707C2F91" w:rsidR="00F02728" w:rsidRPr="00F02728" w:rsidRDefault="00F02728" w:rsidP="00F02728">
            <w:pPr>
              <w:rPr>
                <w:rFonts w:cs="Arial"/>
              </w:rPr>
            </w:pPr>
            <w:r w:rsidRPr="00F02728">
              <w:rPr>
                <w:rFonts w:cs="Arial"/>
              </w:rPr>
              <w:t>Вагинален кръвоизлив</w:t>
            </w:r>
            <w:r w:rsidRPr="00F02728">
              <w:rPr>
                <w:rFonts w:cs="Arial"/>
                <w:vertAlign w:val="superscript"/>
              </w:rPr>
              <w:t>д</w:t>
            </w:r>
          </w:p>
        </w:tc>
      </w:tr>
      <w:tr w:rsidR="00F02728" w:rsidRPr="00F02728" w14:paraId="0B780467" w14:textId="77777777" w:rsidTr="00BC543D">
        <w:tc>
          <w:tcPr>
            <w:tcW w:w="3116" w:type="dxa"/>
            <w:vMerge/>
          </w:tcPr>
          <w:p w14:paraId="36B4EE67" w14:textId="77777777" w:rsidR="00F02728" w:rsidRPr="00F02728" w:rsidRDefault="00F02728" w:rsidP="00F02728">
            <w:pPr>
              <w:rPr>
                <w:rFonts w:cs="Arial"/>
              </w:rPr>
            </w:pPr>
          </w:p>
        </w:tc>
        <w:tc>
          <w:tcPr>
            <w:tcW w:w="3117" w:type="dxa"/>
          </w:tcPr>
          <w:p w14:paraId="562AA4BB" w14:textId="1F59915C" w:rsidR="00F02728" w:rsidRPr="00F02728" w:rsidRDefault="00F02728" w:rsidP="00F02728">
            <w:pPr>
              <w:rPr>
                <w:rFonts w:cs="Arial"/>
              </w:rPr>
            </w:pPr>
            <w:r w:rsidRPr="00F02728">
              <w:rPr>
                <w:rFonts w:cs="Arial"/>
              </w:rPr>
              <w:t>Нечести</w:t>
            </w:r>
          </w:p>
        </w:tc>
        <w:tc>
          <w:tcPr>
            <w:tcW w:w="3117" w:type="dxa"/>
          </w:tcPr>
          <w:p w14:paraId="3CFE866E" w14:textId="312FD6DF" w:rsidR="00F02728" w:rsidRPr="00F02728" w:rsidRDefault="00F02728" w:rsidP="00F02728">
            <w:pPr>
              <w:rPr>
                <w:rFonts w:cs="Arial"/>
              </w:rPr>
            </w:pPr>
            <w:r w:rsidRPr="00F02728">
              <w:rPr>
                <w:rFonts w:cs="Arial"/>
              </w:rPr>
              <w:t>Вагинална кандидоза</w:t>
            </w:r>
            <w:r w:rsidRPr="00F02728">
              <w:rPr>
                <w:rFonts w:cs="Arial"/>
                <w:vertAlign w:val="superscript"/>
              </w:rPr>
              <w:t>е</w:t>
            </w:r>
            <w:r w:rsidRPr="00F02728">
              <w:rPr>
                <w:rFonts w:cs="Arial"/>
              </w:rPr>
              <w:t>, левкорея</w:t>
            </w:r>
            <w:r w:rsidRPr="00F02728">
              <w:rPr>
                <w:rFonts w:cs="Arial"/>
                <w:vertAlign w:val="superscript"/>
              </w:rPr>
              <w:t>е</w:t>
            </w:r>
          </w:p>
        </w:tc>
      </w:tr>
      <w:tr w:rsidR="00F02728" w:rsidRPr="00F02728" w14:paraId="13FD9F04" w14:textId="77777777" w:rsidTr="00BC543D">
        <w:tc>
          <w:tcPr>
            <w:tcW w:w="3116" w:type="dxa"/>
            <w:vMerge w:val="restart"/>
          </w:tcPr>
          <w:p w14:paraId="164DA01D" w14:textId="7589641F" w:rsidR="00F02728" w:rsidRPr="00F02728" w:rsidRDefault="00F02728" w:rsidP="00F02728">
            <w:pPr>
              <w:rPr>
                <w:rFonts w:cs="Arial"/>
              </w:rPr>
            </w:pPr>
            <w:r w:rsidRPr="00F02728">
              <w:rPr>
                <w:rFonts w:cs="Arial"/>
              </w:rPr>
              <w:t>Общи нарушения и ефекти на мястото на приложение</w:t>
            </w:r>
          </w:p>
        </w:tc>
        <w:tc>
          <w:tcPr>
            <w:tcW w:w="3117" w:type="dxa"/>
          </w:tcPr>
          <w:p w14:paraId="3B0430F5" w14:textId="529B3FED" w:rsidR="00F02728" w:rsidRPr="00F02728" w:rsidRDefault="00F02728" w:rsidP="00F02728">
            <w:pPr>
              <w:rPr>
                <w:rFonts w:cs="Arial"/>
              </w:rPr>
            </w:pPr>
            <w:r w:rsidRPr="00F02728">
              <w:rPr>
                <w:rFonts w:cs="Arial"/>
              </w:rPr>
              <w:t>Много чести</w:t>
            </w:r>
          </w:p>
        </w:tc>
        <w:tc>
          <w:tcPr>
            <w:tcW w:w="3117" w:type="dxa"/>
          </w:tcPr>
          <w:p w14:paraId="2AD6F83A" w14:textId="699BF278" w:rsidR="00F02728" w:rsidRPr="00F02728" w:rsidRDefault="00F02728" w:rsidP="00F02728">
            <w:pPr>
              <w:rPr>
                <w:rFonts w:cs="Arial"/>
              </w:rPr>
            </w:pPr>
            <w:r w:rsidRPr="00F02728">
              <w:rPr>
                <w:rFonts w:cs="Arial"/>
              </w:rPr>
              <w:t>Астения</w:t>
            </w:r>
            <w:r w:rsidRPr="00F02728">
              <w:rPr>
                <w:rFonts w:cs="Arial"/>
                <w:vertAlign w:val="superscript"/>
              </w:rPr>
              <w:t>а</w:t>
            </w:r>
            <w:r w:rsidRPr="00F02728">
              <w:rPr>
                <w:rFonts w:cs="Arial"/>
              </w:rPr>
              <w:t>, реакции на мястото на инжектиране</w:t>
            </w:r>
            <w:r w:rsidRPr="00F02728">
              <w:rPr>
                <w:rFonts w:cs="Arial"/>
                <w:vertAlign w:val="superscript"/>
              </w:rPr>
              <w:t>б</w:t>
            </w:r>
          </w:p>
        </w:tc>
      </w:tr>
      <w:tr w:rsidR="00F02728" w:rsidRPr="00F02728" w14:paraId="4FE64EBB" w14:textId="77777777" w:rsidTr="00BC543D">
        <w:tc>
          <w:tcPr>
            <w:tcW w:w="3116" w:type="dxa"/>
            <w:vMerge/>
          </w:tcPr>
          <w:p w14:paraId="03CA1D0C" w14:textId="77777777" w:rsidR="00F02728" w:rsidRPr="00F02728" w:rsidRDefault="00F02728" w:rsidP="00F02728">
            <w:pPr>
              <w:rPr>
                <w:rFonts w:cs="Arial"/>
              </w:rPr>
            </w:pPr>
          </w:p>
        </w:tc>
        <w:tc>
          <w:tcPr>
            <w:tcW w:w="3117" w:type="dxa"/>
          </w:tcPr>
          <w:p w14:paraId="7BC8F87F" w14:textId="2705E5AF" w:rsidR="00F02728" w:rsidRPr="00F02728" w:rsidRDefault="00F02728" w:rsidP="00F02728">
            <w:pPr>
              <w:rPr>
                <w:rFonts w:cs="Arial"/>
              </w:rPr>
            </w:pPr>
            <w:r w:rsidRPr="00F02728">
              <w:rPr>
                <w:rFonts w:cs="Arial"/>
              </w:rPr>
              <w:t>Чести</w:t>
            </w:r>
          </w:p>
        </w:tc>
        <w:tc>
          <w:tcPr>
            <w:tcW w:w="3117" w:type="dxa"/>
          </w:tcPr>
          <w:p w14:paraId="67F2279B" w14:textId="0056EE1A" w:rsidR="00F02728" w:rsidRPr="00F02728" w:rsidRDefault="00F02728" w:rsidP="00F02728">
            <w:pPr>
              <w:rPr>
                <w:rFonts w:cs="Arial"/>
              </w:rPr>
            </w:pPr>
            <w:r w:rsidRPr="00F02728">
              <w:rPr>
                <w:rFonts w:cs="Arial"/>
              </w:rPr>
              <w:t>Периферна невропатия</w:t>
            </w:r>
            <w:r w:rsidRPr="00F02728">
              <w:rPr>
                <w:rFonts w:cs="Arial"/>
                <w:vertAlign w:val="superscript"/>
              </w:rPr>
              <w:t>д</w:t>
            </w:r>
            <w:r w:rsidRPr="00F02728">
              <w:rPr>
                <w:rFonts w:cs="Arial"/>
              </w:rPr>
              <w:t>, възпаление на седалищния нерв</w:t>
            </w:r>
            <w:r w:rsidRPr="00F02728">
              <w:rPr>
                <w:rFonts w:cs="Arial"/>
                <w:vertAlign w:val="superscript"/>
              </w:rPr>
              <w:t>д</w:t>
            </w:r>
          </w:p>
        </w:tc>
      </w:tr>
      <w:tr w:rsidR="00F02728" w:rsidRPr="00F02728" w14:paraId="69252379" w14:textId="77777777" w:rsidTr="00BC543D">
        <w:tc>
          <w:tcPr>
            <w:tcW w:w="3116" w:type="dxa"/>
            <w:vMerge/>
          </w:tcPr>
          <w:p w14:paraId="51674B93" w14:textId="77777777" w:rsidR="00F02728" w:rsidRPr="00F02728" w:rsidRDefault="00F02728" w:rsidP="00F02728">
            <w:pPr>
              <w:rPr>
                <w:rFonts w:cs="Arial"/>
              </w:rPr>
            </w:pPr>
          </w:p>
        </w:tc>
        <w:tc>
          <w:tcPr>
            <w:tcW w:w="3117" w:type="dxa"/>
          </w:tcPr>
          <w:p w14:paraId="02CB38F9" w14:textId="1C7F3771" w:rsidR="00F02728" w:rsidRPr="00F02728" w:rsidRDefault="00F02728" w:rsidP="00F02728">
            <w:pPr>
              <w:rPr>
                <w:rFonts w:cs="Arial"/>
              </w:rPr>
            </w:pPr>
            <w:r w:rsidRPr="00F02728">
              <w:rPr>
                <w:rFonts w:cs="Arial"/>
              </w:rPr>
              <w:t>Нечести</w:t>
            </w:r>
          </w:p>
        </w:tc>
        <w:tc>
          <w:tcPr>
            <w:tcW w:w="3117" w:type="dxa"/>
          </w:tcPr>
          <w:p w14:paraId="49555184" w14:textId="79E065F2" w:rsidR="00F02728" w:rsidRPr="00F02728" w:rsidRDefault="00F02728" w:rsidP="00F02728">
            <w:pPr>
              <w:rPr>
                <w:rFonts w:cs="Arial"/>
              </w:rPr>
            </w:pPr>
            <w:r w:rsidRPr="00F02728">
              <w:rPr>
                <w:rFonts w:cs="Arial"/>
              </w:rPr>
              <w:t>Кръвоизлив на мястото на инжектиране</w:t>
            </w:r>
            <w:r w:rsidRPr="00F02728">
              <w:rPr>
                <w:rFonts w:cs="Arial"/>
                <w:vertAlign w:val="superscript"/>
              </w:rPr>
              <w:t>е</w:t>
            </w:r>
            <w:r w:rsidRPr="00F02728">
              <w:rPr>
                <w:rFonts w:cs="Arial"/>
              </w:rPr>
              <w:t>, хематом на мястото на инжектиране</w:t>
            </w:r>
            <w:r w:rsidRPr="00F02728">
              <w:rPr>
                <w:rFonts w:cs="Arial"/>
                <w:vertAlign w:val="superscript"/>
              </w:rPr>
              <w:t>е</w:t>
            </w:r>
            <w:r w:rsidRPr="00F02728">
              <w:rPr>
                <w:rFonts w:cs="Arial"/>
              </w:rPr>
              <w:t>, невралгия</w:t>
            </w:r>
            <w:r w:rsidRPr="00F02728">
              <w:rPr>
                <w:rFonts w:cs="Arial"/>
                <w:vertAlign w:val="superscript"/>
              </w:rPr>
              <w:t>в,е</w:t>
            </w:r>
          </w:p>
        </w:tc>
      </w:tr>
    </w:tbl>
    <w:p w14:paraId="74E5511D" w14:textId="77777777" w:rsidR="00BC543D" w:rsidRPr="00BC543D" w:rsidRDefault="00BC543D" w:rsidP="00BC543D">
      <w:pPr>
        <w:spacing w:line="240" w:lineRule="auto"/>
        <w:rPr>
          <w:rFonts w:eastAsia="Times New Roman" w:cs="Arial"/>
          <w:sz w:val="32"/>
          <w:szCs w:val="24"/>
          <w:lang w:eastAsia="bg-BG"/>
        </w:rPr>
      </w:pPr>
      <w:r w:rsidRPr="00BC543D">
        <w:rPr>
          <w:rFonts w:eastAsia="Times New Roman" w:cs="Arial"/>
          <w:color w:val="000000"/>
          <w:sz w:val="20"/>
          <w:szCs w:val="17"/>
          <w:vertAlign w:val="superscript"/>
          <w:lang w:eastAsia="bg-BG"/>
        </w:rPr>
        <w:t>а</w:t>
      </w:r>
      <w:r w:rsidRPr="00BC543D">
        <w:rPr>
          <w:rFonts w:eastAsia="Times New Roman" w:cs="Arial"/>
          <w:color w:val="000000"/>
          <w:sz w:val="20"/>
          <w:szCs w:val="17"/>
          <w:lang w:eastAsia="bg-BG"/>
        </w:rPr>
        <w:t xml:space="preserve"> Включва нежелани лекарствени реакции, за които поради наличие на подлежащо заболяване не може да се определи с точност степента, в която фулвестрант допринася за развитието им.</w:t>
      </w:r>
    </w:p>
    <w:p w14:paraId="1C65B362" w14:textId="77777777" w:rsidR="00BC543D" w:rsidRPr="00BC543D" w:rsidRDefault="00BC543D" w:rsidP="00BC543D">
      <w:pPr>
        <w:spacing w:line="240" w:lineRule="auto"/>
        <w:rPr>
          <w:rFonts w:eastAsia="Times New Roman" w:cs="Arial"/>
          <w:sz w:val="32"/>
          <w:szCs w:val="24"/>
          <w:lang w:eastAsia="bg-BG"/>
        </w:rPr>
      </w:pPr>
      <w:r w:rsidRPr="00BC543D">
        <w:rPr>
          <w:rFonts w:eastAsia="Times New Roman" w:cs="Arial"/>
          <w:color w:val="000000"/>
          <w:sz w:val="20"/>
          <w:szCs w:val="17"/>
          <w:vertAlign w:val="superscript"/>
          <w:lang w:eastAsia="bg-BG"/>
        </w:rPr>
        <w:t>6</w:t>
      </w:r>
      <w:r w:rsidRPr="00BC543D">
        <w:rPr>
          <w:rFonts w:eastAsia="Times New Roman" w:cs="Arial"/>
          <w:color w:val="000000"/>
          <w:sz w:val="20"/>
          <w:szCs w:val="17"/>
          <w:lang w:eastAsia="bg-BG"/>
        </w:rPr>
        <w:tab/>
        <w:t>Терминът „реакции на мястото на инжектиране” не включва термините „кръвоизлив на мястото на</w:t>
      </w:r>
    </w:p>
    <w:p w14:paraId="049F752C" w14:textId="77777777" w:rsidR="00BC543D" w:rsidRPr="00BC543D" w:rsidRDefault="00BC543D" w:rsidP="00BC543D">
      <w:pPr>
        <w:spacing w:line="240" w:lineRule="auto"/>
        <w:rPr>
          <w:rFonts w:eastAsia="Times New Roman" w:cs="Arial"/>
          <w:sz w:val="32"/>
          <w:szCs w:val="24"/>
          <w:lang w:eastAsia="bg-BG"/>
        </w:rPr>
      </w:pPr>
      <w:r w:rsidRPr="00BC543D">
        <w:rPr>
          <w:rFonts w:eastAsia="Times New Roman" w:cs="Arial"/>
          <w:color w:val="000000"/>
          <w:sz w:val="20"/>
          <w:szCs w:val="17"/>
          <w:lang w:eastAsia="bg-BG"/>
        </w:rPr>
        <w:t>инжектиране”, „хематом на мястото на инжектиране”, „ишиас“, „невралгия“ и „периферна невропагия“.</w:t>
      </w:r>
    </w:p>
    <w:p w14:paraId="745EBFCB" w14:textId="77777777" w:rsidR="00BC543D" w:rsidRPr="00BC543D" w:rsidRDefault="00BC543D" w:rsidP="00BC543D">
      <w:pPr>
        <w:spacing w:line="240" w:lineRule="auto"/>
        <w:rPr>
          <w:rFonts w:eastAsia="Times New Roman" w:cs="Arial"/>
          <w:sz w:val="32"/>
          <w:szCs w:val="24"/>
          <w:lang w:eastAsia="bg-BG"/>
        </w:rPr>
      </w:pPr>
      <w:r w:rsidRPr="00BC543D">
        <w:rPr>
          <w:rFonts w:eastAsia="Times New Roman" w:cs="Arial"/>
          <w:color w:val="000000"/>
          <w:sz w:val="20"/>
          <w:szCs w:val="17"/>
          <w:vertAlign w:val="superscript"/>
          <w:lang w:eastAsia="bg-BG"/>
        </w:rPr>
        <w:t>в</w:t>
      </w:r>
      <w:r w:rsidRPr="00BC543D">
        <w:rPr>
          <w:rFonts w:eastAsia="Times New Roman" w:cs="Arial"/>
          <w:color w:val="000000"/>
          <w:sz w:val="20"/>
          <w:szCs w:val="17"/>
          <w:lang w:eastAsia="bg-BG"/>
        </w:rPr>
        <w:tab/>
        <w:t xml:space="preserve">Реакцията не е наблюдавана при големите клинични проучвания </w:t>
      </w:r>
      <w:r w:rsidRPr="00BC543D">
        <w:rPr>
          <w:rFonts w:eastAsia="Times New Roman" w:cs="Arial"/>
          <w:color w:val="000000"/>
          <w:sz w:val="20"/>
          <w:szCs w:val="17"/>
          <w:lang w:val="en-US"/>
        </w:rPr>
        <w:t xml:space="preserve">(CONFIRM, FINDER </w:t>
      </w:r>
      <w:r w:rsidRPr="00BC543D">
        <w:rPr>
          <w:rFonts w:eastAsia="Times New Roman" w:cs="Arial"/>
          <w:color w:val="000000"/>
          <w:sz w:val="20"/>
          <w:szCs w:val="17"/>
          <w:lang w:eastAsia="bg-BG"/>
        </w:rPr>
        <w:t xml:space="preserve">1, </w:t>
      </w:r>
      <w:r w:rsidRPr="00BC543D">
        <w:rPr>
          <w:rFonts w:eastAsia="Times New Roman" w:cs="Arial"/>
          <w:color w:val="000000"/>
          <w:sz w:val="20"/>
          <w:szCs w:val="17"/>
          <w:lang w:val="en-US"/>
        </w:rPr>
        <w:t xml:space="preserve">FINDER </w:t>
      </w:r>
      <w:r w:rsidRPr="00BC543D">
        <w:rPr>
          <w:rFonts w:eastAsia="Times New Roman" w:cs="Arial"/>
          <w:color w:val="000000"/>
          <w:sz w:val="20"/>
          <w:szCs w:val="17"/>
          <w:lang w:eastAsia="bg-BG"/>
        </w:rPr>
        <w:t xml:space="preserve">2, </w:t>
      </w:r>
      <w:r w:rsidRPr="00BC543D">
        <w:rPr>
          <w:rFonts w:eastAsia="Times New Roman" w:cs="Arial"/>
          <w:color w:val="000000"/>
          <w:sz w:val="20"/>
          <w:szCs w:val="17"/>
          <w:lang w:val="en-US"/>
        </w:rPr>
        <w:t>NEWEST).</w:t>
      </w:r>
    </w:p>
    <w:p w14:paraId="71F0D264" w14:textId="77777777" w:rsidR="00BC543D" w:rsidRPr="00BC543D" w:rsidRDefault="00BC543D" w:rsidP="00BC543D">
      <w:pPr>
        <w:spacing w:line="240" w:lineRule="auto"/>
        <w:rPr>
          <w:rFonts w:eastAsia="Times New Roman" w:cs="Arial"/>
          <w:sz w:val="32"/>
          <w:szCs w:val="24"/>
          <w:lang w:eastAsia="bg-BG"/>
        </w:rPr>
      </w:pPr>
      <w:r w:rsidRPr="00BC543D">
        <w:rPr>
          <w:rFonts w:eastAsia="Times New Roman" w:cs="Arial"/>
          <w:color w:val="000000"/>
          <w:sz w:val="20"/>
          <w:szCs w:val="17"/>
          <w:lang w:eastAsia="bg-BG"/>
        </w:rPr>
        <w:t>Честотата е изчислена посредством горната граница на 95% доверителен интервал за точкова оценка. Изчислен е като 3/560 (където 560 е броят пациенти в големите клинични проучвания), което попада в категорията „нечести”.</w:t>
      </w:r>
    </w:p>
    <w:p w14:paraId="3EC44C13" w14:textId="77777777" w:rsidR="00BC543D" w:rsidRPr="00BC543D" w:rsidRDefault="00BC543D" w:rsidP="00BC543D">
      <w:pPr>
        <w:spacing w:line="240" w:lineRule="auto"/>
        <w:rPr>
          <w:rFonts w:eastAsia="Times New Roman" w:cs="Arial"/>
          <w:sz w:val="32"/>
          <w:szCs w:val="24"/>
          <w:lang w:eastAsia="bg-BG"/>
        </w:rPr>
      </w:pPr>
      <w:r w:rsidRPr="00BC543D">
        <w:rPr>
          <w:rFonts w:eastAsia="Times New Roman" w:cs="Arial"/>
          <w:color w:val="000000"/>
          <w:sz w:val="20"/>
          <w:szCs w:val="17"/>
          <w:vertAlign w:val="superscript"/>
          <w:lang w:eastAsia="bg-BG"/>
        </w:rPr>
        <w:t>г</w:t>
      </w:r>
      <w:r w:rsidRPr="00BC543D">
        <w:rPr>
          <w:rFonts w:eastAsia="Times New Roman" w:cs="Arial"/>
          <w:color w:val="000000"/>
          <w:sz w:val="20"/>
          <w:szCs w:val="17"/>
          <w:lang w:eastAsia="bg-BG"/>
        </w:rPr>
        <w:tab/>
        <w:t>Включва: артралгия и по-рядко болка в мускулно-скелетната система, миалгия и болки в крайниците.</w:t>
      </w:r>
    </w:p>
    <w:p w14:paraId="0BA75796" w14:textId="77777777" w:rsidR="00BC543D" w:rsidRPr="00BC543D" w:rsidRDefault="00BC543D" w:rsidP="00BC543D">
      <w:pPr>
        <w:spacing w:line="240" w:lineRule="auto"/>
        <w:rPr>
          <w:rFonts w:eastAsia="Times New Roman" w:cs="Arial"/>
          <w:sz w:val="32"/>
          <w:szCs w:val="24"/>
          <w:lang w:eastAsia="bg-BG"/>
        </w:rPr>
      </w:pPr>
      <w:r w:rsidRPr="00BC543D">
        <w:rPr>
          <w:rFonts w:eastAsia="Times New Roman" w:cs="Arial"/>
          <w:color w:val="000000"/>
          <w:sz w:val="20"/>
          <w:szCs w:val="17"/>
          <w:vertAlign w:val="superscript"/>
          <w:lang w:eastAsia="bg-BG"/>
        </w:rPr>
        <w:t>д</w:t>
      </w:r>
      <w:r w:rsidRPr="00BC543D">
        <w:rPr>
          <w:rFonts w:eastAsia="Times New Roman" w:cs="Arial"/>
          <w:color w:val="000000"/>
          <w:sz w:val="20"/>
          <w:szCs w:val="17"/>
          <w:lang w:eastAsia="bg-BG"/>
        </w:rPr>
        <w:tab/>
        <w:t xml:space="preserve">Категорията за честота е различна при сборните данни за безопасност и при </w:t>
      </w:r>
      <w:r w:rsidRPr="00BC543D">
        <w:rPr>
          <w:rFonts w:eastAsia="Times New Roman" w:cs="Arial"/>
          <w:color w:val="000000"/>
          <w:sz w:val="20"/>
          <w:szCs w:val="17"/>
          <w:lang w:val="en-US"/>
        </w:rPr>
        <w:t>FALCON,</w:t>
      </w:r>
    </w:p>
    <w:p w14:paraId="2DD7D170" w14:textId="77777777" w:rsidR="00BC543D" w:rsidRPr="00BC543D" w:rsidRDefault="00BC543D" w:rsidP="00BC543D">
      <w:pPr>
        <w:spacing w:line="240" w:lineRule="auto"/>
        <w:rPr>
          <w:rFonts w:eastAsia="Times New Roman" w:cs="Arial"/>
          <w:sz w:val="32"/>
          <w:szCs w:val="24"/>
          <w:lang w:eastAsia="bg-BG"/>
        </w:rPr>
      </w:pPr>
      <w:r w:rsidRPr="00BC543D">
        <w:rPr>
          <w:rFonts w:eastAsia="Times New Roman" w:cs="Arial"/>
          <w:color w:val="000000"/>
          <w:sz w:val="20"/>
          <w:szCs w:val="17"/>
          <w:vertAlign w:val="superscript"/>
          <w:lang w:eastAsia="bg-BG"/>
        </w:rPr>
        <w:t>е</w:t>
      </w:r>
      <w:r w:rsidRPr="00BC543D">
        <w:rPr>
          <w:rFonts w:eastAsia="Times New Roman" w:cs="Arial"/>
          <w:color w:val="000000"/>
          <w:sz w:val="20"/>
          <w:szCs w:val="17"/>
          <w:lang w:eastAsia="bg-BG"/>
        </w:rPr>
        <w:t xml:space="preserve"> НЛР не е наблюдавана във </w:t>
      </w:r>
      <w:r w:rsidRPr="00BC543D">
        <w:rPr>
          <w:rFonts w:eastAsia="Times New Roman" w:cs="Arial"/>
          <w:color w:val="000000"/>
          <w:sz w:val="20"/>
          <w:szCs w:val="17"/>
          <w:lang w:val="en-US"/>
        </w:rPr>
        <w:t>FALCON.</w:t>
      </w:r>
    </w:p>
    <w:p w14:paraId="7B8AD78B" w14:textId="77777777" w:rsidR="00BC543D" w:rsidRDefault="00BC543D" w:rsidP="00BC543D">
      <w:pPr>
        <w:spacing w:line="240" w:lineRule="auto"/>
        <w:rPr>
          <w:rFonts w:ascii="Times New Roman" w:eastAsia="Times New Roman" w:hAnsi="Times New Roman" w:cs="Times New Roman"/>
          <w:color w:val="000000"/>
          <w:sz w:val="20"/>
          <w:szCs w:val="20"/>
          <w:u w:val="single"/>
          <w:lang w:eastAsia="bg-BG"/>
        </w:rPr>
      </w:pPr>
    </w:p>
    <w:p w14:paraId="4B8A7527" w14:textId="09938610" w:rsidR="00BC543D" w:rsidRPr="00BC543D" w:rsidRDefault="00BC543D" w:rsidP="00BC543D">
      <w:pPr>
        <w:spacing w:line="240" w:lineRule="auto"/>
        <w:rPr>
          <w:rFonts w:eastAsia="Times New Roman" w:cs="Arial"/>
          <w:sz w:val="28"/>
          <w:szCs w:val="24"/>
          <w:lang w:eastAsia="bg-BG"/>
        </w:rPr>
      </w:pPr>
      <w:r w:rsidRPr="00BC543D">
        <w:rPr>
          <w:rFonts w:eastAsia="Times New Roman" w:cs="Arial"/>
          <w:color w:val="000000"/>
          <w:szCs w:val="20"/>
          <w:u w:val="single"/>
          <w:lang w:eastAsia="bg-BG"/>
        </w:rPr>
        <w:lastRenderedPageBreak/>
        <w:t>Описание на избрани нежелани реакции</w:t>
      </w:r>
    </w:p>
    <w:p w14:paraId="19BD2D3D" w14:textId="77777777" w:rsidR="00BC543D" w:rsidRPr="00BC543D" w:rsidRDefault="00BC543D" w:rsidP="00BC543D">
      <w:pPr>
        <w:spacing w:line="240" w:lineRule="auto"/>
        <w:rPr>
          <w:rFonts w:eastAsia="Times New Roman" w:cs="Arial"/>
          <w:sz w:val="28"/>
          <w:szCs w:val="24"/>
          <w:lang w:eastAsia="bg-BG"/>
        </w:rPr>
      </w:pPr>
      <w:r w:rsidRPr="00BC543D">
        <w:rPr>
          <w:rFonts w:eastAsia="Times New Roman" w:cs="Arial"/>
          <w:color w:val="000000"/>
          <w:szCs w:val="20"/>
          <w:lang w:eastAsia="bg-BG"/>
        </w:rPr>
        <w:t xml:space="preserve">Включените по-долу описания се основават на анализа на данните за безопасност, съответно при 228 пациентки, които са получили най-малко една (1) доза фулвестрант, и при 232 пациентки, които са получили най-малко една (1) доза анастрозол, във фаза 3 на проучването </w:t>
      </w:r>
      <w:r w:rsidRPr="00BC543D">
        <w:rPr>
          <w:rFonts w:eastAsia="Times New Roman" w:cs="Arial"/>
          <w:color w:val="000000"/>
          <w:szCs w:val="20"/>
          <w:lang w:val="en-US"/>
        </w:rPr>
        <w:t>FALCON.</w:t>
      </w:r>
    </w:p>
    <w:p w14:paraId="66D26A52" w14:textId="77777777" w:rsidR="00BC543D" w:rsidRPr="00F02728" w:rsidRDefault="00BC543D" w:rsidP="00BC543D">
      <w:pPr>
        <w:spacing w:line="240" w:lineRule="auto"/>
        <w:rPr>
          <w:rFonts w:eastAsia="Times New Roman" w:cs="Arial"/>
          <w:i/>
          <w:iCs/>
          <w:color w:val="000000"/>
          <w:szCs w:val="20"/>
          <w:lang w:eastAsia="bg-BG"/>
        </w:rPr>
      </w:pPr>
    </w:p>
    <w:p w14:paraId="097D4F5C" w14:textId="187BF77E" w:rsidR="00BC543D" w:rsidRPr="00BC543D" w:rsidRDefault="00BC543D" w:rsidP="00BC543D">
      <w:pPr>
        <w:spacing w:line="240" w:lineRule="auto"/>
        <w:rPr>
          <w:rFonts w:eastAsia="Times New Roman" w:cs="Arial"/>
          <w:sz w:val="28"/>
          <w:szCs w:val="24"/>
          <w:lang w:eastAsia="bg-BG"/>
        </w:rPr>
      </w:pPr>
      <w:r w:rsidRPr="00BC543D">
        <w:rPr>
          <w:rFonts w:eastAsia="Times New Roman" w:cs="Arial"/>
          <w:i/>
          <w:iCs/>
          <w:color w:val="000000"/>
          <w:szCs w:val="20"/>
          <w:lang w:eastAsia="bg-BG"/>
        </w:rPr>
        <w:t>Болки в ставите и мускулно-скелетната система</w:t>
      </w:r>
    </w:p>
    <w:p w14:paraId="275A39DD" w14:textId="77777777" w:rsidR="00BC543D" w:rsidRPr="00BC543D" w:rsidRDefault="00BC543D" w:rsidP="00BC543D">
      <w:pPr>
        <w:spacing w:line="240" w:lineRule="auto"/>
        <w:rPr>
          <w:rFonts w:eastAsia="Times New Roman" w:cs="Arial"/>
          <w:sz w:val="28"/>
          <w:szCs w:val="24"/>
          <w:lang w:eastAsia="bg-BG"/>
        </w:rPr>
      </w:pPr>
      <w:r w:rsidRPr="00BC543D">
        <w:rPr>
          <w:rFonts w:eastAsia="Times New Roman" w:cs="Arial"/>
          <w:color w:val="000000"/>
          <w:szCs w:val="20"/>
          <w:lang w:eastAsia="bg-BG"/>
        </w:rPr>
        <w:t xml:space="preserve">В проучването </w:t>
      </w:r>
      <w:r w:rsidRPr="00BC543D">
        <w:rPr>
          <w:rFonts w:eastAsia="Times New Roman" w:cs="Arial"/>
          <w:color w:val="000000"/>
          <w:szCs w:val="20"/>
          <w:lang w:val="en-US"/>
        </w:rPr>
        <w:t xml:space="preserve">FALCON, </w:t>
      </w:r>
      <w:r w:rsidRPr="00BC543D">
        <w:rPr>
          <w:rFonts w:eastAsia="Times New Roman" w:cs="Arial"/>
          <w:color w:val="000000"/>
          <w:szCs w:val="20"/>
          <w:lang w:eastAsia="bg-BG"/>
        </w:rPr>
        <w:t>броят на пациентките, които са съобщили като нежелана реакция болки в</w:t>
      </w:r>
      <w:r w:rsidRPr="00BC543D">
        <w:rPr>
          <w:rFonts w:eastAsia="Times New Roman" w:cs="Arial"/>
          <w:smallCaps/>
          <w:color w:val="000000"/>
          <w:szCs w:val="20"/>
          <w:lang w:eastAsia="bg-BG"/>
        </w:rPr>
        <w:t xml:space="preserve"> </w:t>
      </w:r>
      <w:r w:rsidRPr="00BC543D">
        <w:rPr>
          <w:rFonts w:eastAsia="Times New Roman" w:cs="Arial"/>
          <w:color w:val="000000"/>
          <w:szCs w:val="20"/>
          <w:lang w:eastAsia="bg-BG"/>
        </w:rPr>
        <w:t>ставите и мускулно-скелетната, е съответно 65 (31,2%) и 48 (24,1%) в рамото на фулвестрант и анастрозол. От 65-те пациентки в рамото на фулвестрант, 40% (26/65) са съобщили за болки в ставите и мускулно-скелетната система през първия месец на лечението и 66,2% (43/65) - през първите 3 месеца на лечението. Пациентките не съобщават за нежелани събития степен ≥3 по СТСАЕ или такива, които да налагат намаляване на дозата, прекъсване на приема или прекратяване на лечението.</w:t>
      </w:r>
    </w:p>
    <w:p w14:paraId="5DACC113" w14:textId="77777777" w:rsidR="00BC543D" w:rsidRPr="00F02728" w:rsidRDefault="00BC543D" w:rsidP="00BC543D">
      <w:pPr>
        <w:spacing w:line="240" w:lineRule="auto"/>
        <w:rPr>
          <w:rFonts w:eastAsia="Times New Roman" w:cs="Arial"/>
          <w:i/>
          <w:iCs/>
          <w:color w:val="000000"/>
          <w:szCs w:val="20"/>
          <w:lang w:eastAsia="bg-BG"/>
        </w:rPr>
      </w:pPr>
    </w:p>
    <w:p w14:paraId="4B6AAB07" w14:textId="3145CBEB" w:rsidR="00BC543D" w:rsidRPr="00BC543D" w:rsidRDefault="00BC543D" w:rsidP="00BC543D">
      <w:pPr>
        <w:spacing w:line="240" w:lineRule="auto"/>
        <w:rPr>
          <w:rFonts w:eastAsia="Times New Roman" w:cs="Arial"/>
          <w:sz w:val="28"/>
          <w:szCs w:val="24"/>
          <w:lang w:eastAsia="bg-BG"/>
        </w:rPr>
      </w:pPr>
      <w:r w:rsidRPr="00BC543D">
        <w:rPr>
          <w:rFonts w:eastAsia="Times New Roman" w:cs="Arial"/>
          <w:i/>
          <w:iCs/>
          <w:color w:val="000000"/>
          <w:szCs w:val="20"/>
          <w:lang w:eastAsia="bg-BG"/>
        </w:rPr>
        <w:t>Комбинирана терапия с палбоциклиб</w:t>
      </w:r>
    </w:p>
    <w:p w14:paraId="074110BE" w14:textId="77777777" w:rsidR="00BC543D" w:rsidRPr="00F02728" w:rsidRDefault="00BC543D" w:rsidP="00BC543D">
      <w:pPr>
        <w:rPr>
          <w:rFonts w:eastAsia="Times New Roman" w:cs="Arial"/>
          <w:sz w:val="28"/>
          <w:szCs w:val="24"/>
          <w:lang w:eastAsia="bg-BG"/>
        </w:rPr>
      </w:pPr>
      <w:r w:rsidRPr="00F02728">
        <w:rPr>
          <w:rFonts w:eastAsia="Times New Roman" w:cs="Arial"/>
          <w:color w:val="000000"/>
          <w:szCs w:val="20"/>
          <w:lang w:eastAsia="bg-BG"/>
        </w:rPr>
        <w:t xml:space="preserve">Общият профил за безопасност на фулвестрант, когато се използва в комбинация с палбоциклиб, е въз основа на данните от 517 пациенти с </w:t>
      </w:r>
      <w:r w:rsidRPr="00F02728">
        <w:rPr>
          <w:rFonts w:eastAsia="Times New Roman" w:cs="Arial"/>
          <w:color w:val="000000"/>
          <w:szCs w:val="20"/>
          <w:lang w:val="en-US"/>
        </w:rPr>
        <w:t>HR</w:t>
      </w:r>
      <w:r w:rsidRPr="00F02728">
        <w:rPr>
          <w:rFonts w:eastAsia="Times New Roman" w:cs="Arial"/>
          <w:color w:val="000000"/>
          <w:szCs w:val="20"/>
          <w:lang w:eastAsia="bg-BG"/>
        </w:rPr>
        <w:t>-положителен, Н</w:t>
      </w:r>
      <w:r w:rsidRPr="00F02728">
        <w:rPr>
          <w:rFonts w:eastAsia="Times New Roman" w:cs="Arial"/>
          <w:color w:val="000000"/>
          <w:szCs w:val="20"/>
          <w:lang w:val="en-US"/>
        </w:rPr>
        <w:t>ER</w:t>
      </w:r>
      <w:r w:rsidRPr="00F02728">
        <w:rPr>
          <w:rFonts w:eastAsia="Times New Roman" w:cs="Arial"/>
          <w:color w:val="000000"/>
          <w:szCs w:val="20"/>
          <w:lang w:eastAsia="bg-BG"/>
        </w:rPr>
        <w:t xml:space="preserve">2-отрицателен авансирал или метастатичен рак на млечната жлеза в рандомизираното проучване </w:t>
      </w:r>
      <w:r w:rsidRPr="00F02728">
        <w:rPr>
          <w:rFonts w:eastAsia="Times New Roman" w:cs="Arial"/>
          <w:color w:val="000000"/>
          <w:szCs w:val="20"/>
          <w:lang w:val="en-US"/>
        </w:rPr>
        <w:t xml:space="preserve">PALOMA3 </w:t>
      </w:r>
      <w:r w:rsidRPr="00F02728">
        <w:rPr>
          <w:rFonts w:eastAsia="Times New Roman" w:cs="Arial"/>
          <w:color w:val="000000"/>
          <w:szCs w:val="20"/>
          <w:lang w:eastAsia="bg-BG"/>
        </w:rPr>
        <w:t>(вж. точка 5.1). Най-честите (≥20 %) нежелани реакции от каквато и да е степен, съобщени при пациенти, които получават фулвестрант в комбинация с палбоциклиб, са неутропения, левкопения, инфекции,  умора, гадене, анемия, стоматит, диария, тромбоцитопения и повръщане. Най-честите (≥2%)</w:t>
      </w:r>
      <w:r w:rsidRPr="00F02728">
        <w:rPr>
          <w:rFonts w:eastAsia="Times New Roman" w:cs="Arial"/>
          <w:color w:val="000000"/>
          <w:szCs w:val="20"/>
          <w:lang w:val="en-US" w:eastAsia="bg-BG"/>
        </w:rPr>
        <w:t xml:space="preserve"> </w:t>
      </w:r>
      <w:r w:rsidRPr="00F02728">
        <w:rPr>
          <w:rFonts w:eastAsia="Times New Roman" w:cs="Arial"/>
          <w:color w:val="000000"/>
          <w:szCs w:val="20"/>
          <w:lang w:eastAsia="bg-BG"/>
        </w:rPr>
        <w:t xml:space="preserve">нежелани реакции степен ≥ 3 са неутропения, левкопения, анемия, инфекции, повишени стойности на аспартат аминотрансфераза </w:t>
      </w:r>
      <w:r w:rsidRPr="00F02728">
        <w:rPr>
          <w:rFonts w:eastAsia="Times New Roman" w:cs="Arial"/>
          <w:color w:val="000000"/>
          <w:szCs w:val="20"/>
          <w:lang w:val="en-US"/>
        </w:rPr>
        <w:t xml:space="preserve">(AST), </w:t>
      </w:r>
      <w:r w:rsidRPr="00F02728">
        <w:rPr>
          <w:rFonts w:eastAsia="Times New Roman" w:cs="Arial"/>
          <w:color w:val="000000"/>
          <w:szCs w:val="20"/>
          <w:lang w:eastAsia="bg-BG"/>
        </w:rPr>
        <w:t>тромбоцитопения и умора.</w:t>
      </w:r>
    </w:p>
    <w:p w14:paraId="0A2414BF" w14:textId="77777777" w:rsidR="00BC543D" w:rsidRPr="00F02728" w:rsidRDefault="00BC543D" w:rsidP="00BC543D">
      <w:pPr>
        <w:spacing w:line="240" w:lineRule="auto"/>
        <w:rPr>
          <w:rFonts w:eastAsia="Times New Roman" w:cs="Arial"/>
          <w:color w:val="000000"/>
          <w:szCs w:val="20"/>
          <w:lang w:eastAsia="bg-BG"/>
        </w:rPr>
      </w:pPr>
    </w:p>
    <w:p w14:paraId="662BF84D" w14:textId="19A5D689" w:rsidR="00BC543D" w:rsidRPr="00BC543D" w:rsidRDefault="00BC543D" w:rsidP="00BC543D">
      <w:pPr>
        <w:spacing w:line="240" w:lineRule="auto"/>
        <w:rPr>
          <w:rFonts w:eastAsia="Times New Roman" w:cs="Arial"/>
          <w:sz w:val="28"/>
          <w:szCs w:val="24"/>
          <w:lang w:eastAsia="bg-BG"/>
        </w:rPr>
      </w:pPr>
      <w:r w:rsidRPr="00BC543D">
        <w:rPr>
          <w:rFonts w:eastAsia="Times New Roman" w:cs="Arial"/>
          <w:color w:val="000000"/>
          <w:szCs w:val="20"/>
          <w:lang w:eastAsia="bg-BG"/>
        </w:rPr>
        <w:t xml:space="preserve">В таблица 2 са представени нежеланите реакции от </w:t>
      </w:r>
      <w:r w:rsidRPr="00BC543D">
        <w:rPr>
          <w:rFonts w:eastAsia="Times New Roman" w:cs="Arial"/>
          <w:color w:val="000000"/>
          <w:szCs w:val="20"/>
          <w:lang w:val="en-US"/>
        </w:rPr>
        <w:t>PALOMA3.</w:t>
      </w:r>
    </w:p>
    <w:p w14:paraId="3FE1936A" w14:textId="77777777" w:rsidR="00BC543D" w:rsidRPr="00BC543D" w:rsidRDefault="00BC543D" w:rsidP="00BC543D">
      <w:pPr>
        <w:spacing w:line="240" w:lineRule="auto"/>
        <w:rPr>
          <w:rFonts w:eastAsia="Times New Roman" w:cs="Arial"/>
          <w:sz w:val="28"/>
          <w:szCs w:val="24"/>
          <w:lang w:eastAsia="bg-BG"/>
        </w:rPr>
      </w:pPr>
      <w:r w:rsidRPr="00BC543D">
        <w:rPr>
          <w:rFonts w:eastAsia="Times New Roman" w:cs="Arial"/>
          <w:color w:val="000000"/>
          <w:szCs w:val="20"/>
          <w:lang w:eastAsia="bg-BG"/>
        </w:rPr>
        <w:t>Медианата на продължителност на експозицията на фулвестрант е 11,2 месеца в рамото на фулвестрант плюс палбоциклиб и 4,8 месеца в рамото на фулвестрант плюс плацебо.</w:t>
      </w:r>
    </w:p>
    <w:p w14:paraId="4BE1237F" w14:textId="77777777" w:rsidR="00BC543D" w:rsidRPr="00BC543D" w:rsidRDefault="00BC543D" w:rsidP="00BC543D">
      <w:pPr>
        <w:spacing w:line="240" w:lineRule="auto"/>
        <w:rPr>
          <w:rFonts w:eastAsia="Times New Roman" w:cs="Arial"/>
          <w:sz w:val="28"/>
          <w:szCs w:val="24"/>
          <w:lang w:eastAsia="bg-BG"/>
        </w:rPr>
      </w:pPr>
      <w:r w:rsidRPr="00BC543D">
        <w:rPr>
          <w:rFonts w:eastAsia="Times New Roman" w:cs="Arial"/>
          <w:color w:val="000000"/>
          <w:szCs w:val="20"/>
          <w:lang w:eastAsia="bg-BG"/>
        </w:rPr>
        <w:t>Медианата на продължителност на експозицията на палбоциклиб в рамото на фулвестрант плюс палбоциклиб е 10,8 месеца.</w:t>
      </w:r>
    </w:p>
    <w:p w14:paraId="23099037" w14:textId="77777777" w:rsidR="00BC543D" w:rsidRPr="00F02728" w:rsidRDefault="00BC543D" w:rsidP="00BC543D">
      <w:pPr>
        <w:rPr>
          <w:rFonts w:eastAsia="Times New Roman" w:cs="Arial"/>
          <w:b/>
          <w:bCs/>
          <w:color w:val="000000"/>
          <w:szCs w:val="20"/>
          <w:lang w:eastAsia="bg-BG"/>
        </w:rPr>
      </w:pPr>
    </w:p>
    <w:p w14:paraId="12FE4CDA" w14:textId="40EE4C3F" w:rsidR="00BC543D" w:rsidRPr="00F02728" w:rsidRDefault="00BC543D" w:rsidP="00BC543D">
      <w:pPr>
        <w:rPr>
          <w:rFonts w:eastAsia="Times New Roman" w:cs="Arial"/>
          <w:b/>
          <w:bCs/>
          <w:color w:val="000000"/>
          <w:szCs w:val="20"/>
          <w:lang w:val="en-US"/>
        </w:rPr>
      </w:pPr>
      <w:r w:rsidRPr="00F02728">
        <w:rPr>
          <w:rFonts w:eastAsia="Times New Roman" w:cs="Arial"/>
          <w:b/>
          <w:bCs/>
          <w:color w:val="000000"/>
          <w:szCs w:val="20"/>
          <w:lang w:eastAsia="bg-BG"/>
        </w:rPr>
        <w:t xml:space="preserve">Таблица 2 Нежелани реакции, базирани на данни от проучването </w:t>
      </w:r>
      <w:r w:rsidRPr="00F02728">
        <w:rPr>
          <w:rFonts w:eastAsia="Times New Roman" w:cs="Arial"/>
          <w:b/>
          <w:bCs/>
          <w:color w:val="000000"/>
          <w:szCs w:val="20"/>
          <w:lang w:val="en-US"/>
        </w:rPr>
        <w:t>PALOMA3 (N=517)</w:t>
      </w:r>
    </w:p>
    <w:tbl>
      <w:tblPr>
        <w:tblStyle w:val="TableGrid"/>
        <w:tblW w:w="0" w:type="auto"/>
        <w:tblLook w:val="04A0" w:firstRow="1" w:lastRow="0" w:firstColumn="1" w:lastColumn="0" w:noHBand="0" w:noVBand="1"/>
      </w:tblPr>
      <w:tblGrid>
        <w:gridCol w:w="2072"/>
        <w:gridCol w:w="1818"/>
        <w:gridCol w:w="1818"/>
        <w:gridCol w:w="1835"/>
        <w:gridCol w:w="1807"/>
      </w:tblGrid>
      <w:tr w:rsidR="00F02728" w14:paraId="77AE8CFB" w14:textId="77777777" w:rsidTr="00F02728">
        <w:tc>
          <w:tcPr>
            <w:tcW w:w="1904" w:type="dxa"/>
            <w:vMerge w:val="restart"/>
          </w:tcPr>
          <w:p w14:paraId="6D3744AA" w14:textId="77777777" w:rsidR="00F02728" w:rsidRPr="00154D99" w:rsidRDefault="00F02728" w:rsidP="00F02728">
            <w:pPr>
              <w:spacing w:line="240" w:lineRule="auto"/>
              <w:rPr>
                <w:rFonts w:eastAsia="Times New Roman" w:cs="Arial"/>
                <w:lang w:eastAsia="bg-BG"/>
              </w:rPr>
            </w:pPr>
            <w:r w:rsidRPr="00154D99">
              <w:rPr>
                <w:rFonts w:eastAsia="Times New Roman" w:cs="Arial"/>
                <w:b/>
                <w:bCs/>
                <w:color w:val="000000"/>
                <w:lang w:eastAsia="bg-BG"/>
              </w:rPr>
              <w:t>Системо-органен клас Честота</w:t>
            </w:r>
          </w:p>
          <w:p w14:paraId="392AA385" w14:textId="7C521A8D" w:rsidR="00F02728" w:rsidRPr="00154D99" w:rsidRDefault="00F02728" w:rsidP="00F02728">
            <w:pPr>
              <w:rPr>
                <w:rFonts w:cs="Arial"/>
                <w:lang w:val="en-US"/>
              </w:rPr>
            </w:pPr>
            <w:r w:rsidRPr="00154D99">
              <w:rPr>
                <w:rFonts w:eastAsia="Times New Roman" w:cs="Arial"/>
                <w:b/>
                <w:bCs/>
                <w:color w:val="000000"/>
                <w:lang w:eastAsia="bg-BG"/>
              </w:rPr>
              <w:t>Предпочитан термин*</w:t>
            </w:r>
          </w:p>
        </w:tc>
        <w:tc>
          <w:tcPr>
            <w:tcW w:w="3724" w:type="dxa"/>
            <w:gridSpan w:val="2"/>
          </w:tcPr>
          <w:p w14:paraId="4B600B84" w14:textId="0B8EC6D9" w:rsidR="00F02728" w:rsidRPr="00154D99" w:rsidRDefault="00F02728" w:rsidP="00F02728">
            <w:pPr>
              <w:jc w:val="center"/>
              <w:rPr>
                <w:rFonts w:cs="Arial"/>
                <w:lang w:val="en-US"/>
              </w:rPr>
            </w:pPr>
            <w:r w:rsidRPr="00154D99">
              <w:rPr>
                <w:rFonts w:cs="Arial"/>
                <w:b/>
                <w:bCs/>
              </w:rPr>
              <w:t xml:space="preserve">Фулвестрант + палбоциклиб </w:t>
            </w:r>
            <w:r w:rsidRPr="00154D99">
              <w:rPr>
                <w:rFonts w:cs="Arial"/>
                <w:b/>
                <w:bCs/>
                <w:lang w:val="en-US"/>
              </w:rPr>
              <w:t>(N=345)</w:t>
            </w:r>
          </w:p>
        </w:tc>
        <w:tc>
          <w:tcPr>
            <w:tcW w:w="3722" w:type="dxa"/>
            <w:gridSpan w:val="2"/>
          </w:tcPr>
          <w:p w14:paraId="1A819144" w14:textId="7F6F29E7" w:rsidR="00F02728" w:rsidRPr="00154D99" w:rsidRDefault="00F02728" w:rsidP="00F02728">
            <w:pPr>
              <w:jc w:val="center"/>
              <w:rPr>
                <w:rFonts w:cs="Arial"/>
                <w:lang w:val="en-US"/>
              </w:rPr>
            </w:pPr>
            <w:r w:rsidRPr="00154D99">
              <w:rPr>
                <w:rFonts w:cs="Arial"/>
                <w:b/>
                <w:bCs/>
              </w:rPr>
              <w:t xml:space="preserve">Фулвестрант + плацебо </w:t>
            </w:r>
            <w:r w:rsidRPr="00154D99">
              <w:rPr>
                <w:rFonts w:cs="Arial"/>
                <w:b/>
                <w:bCs/>
                <w:lang w:val="en-US"/>
              </w:rPr>
              <w:t>(N=172)</w:t>
            </w:r>
          </w:p>
        </w:tc>
      </w:tr>
      <w:tr w:rsidR="00F02728" w14:paraId="6ABE8C07" w14:textId="77777777" w:rsidTr="00F02728">
        <w:tc>
          <w:tcPr>
            <w:tcW w:w="1904" w:type="dxa"/>
            <w:vMerge/>
          </w:tcPr>
          <w:p w14:paraId="7E636A9F" w14:textId="77777777" w:rsidR="00F02728" w:rsidRPr="00154D99" w:rsidRDefault="00F02728" w:rsidP="00F02728">
            <w:pPr>
              <w:rPr>
                <w:rFonts w:cs="Arial"/>
                <w:lang w:val="en-US"/>
              </w:rPr>
            </w:pPr>
          </w:p>
        </w:tc>
        <w:tc>
          <w:tcPr>
            <w:tcW w:w="1862" w:type="dxa"/>
          </w:tcPr>
          <w:p w14:paraId="46FE5643" w14:textId="4069B508" w:rsidR="00F02728" w:rsidRPr="00154D99" w:rsidRDefault="00F02728" w:rsidP="00F02728">
            <w:pPr>
              <w:jc w:val="center"/>
              <w:rPr>
                <w:rFonts w:cs="Arial"/>
                <w:lang w:val="en-US"/>
              </w:rPr>
            </w:pPr>
            <w:r w:rsidRPr="00154D99">
              <w:rPr>
                <w:rFonts w:cs="Arial"/>
                <w:b/>
                <w:bCs/>
              </w:rPr>
              <w:t xml:space="preserve">Всички степени </w:t>
            </w:r>
            <w:r w:rsidRPr="00154D99">
              <w:rPr>
                <w:rFonts w:cs="Arial"/>
                <w:b/>
                <w:bCs/>
                <w:lang w:val="en-US"/>
              </w:rPr>
              <w:t xml:space="preserve">n </w:t>
            </w:r>
            <w:r w:rsidRPr="00154D99">
              <w:rPr>
                <w:rFonts w:cs="Arial"/>
                <w:b/>
                <w:bCs/>
              </w:rPr>
              <w:t>(%)</w:t>
            </w:r>
          </w:p>
        </w:tc>
        <w:tc>
          <w:tcPr>
            <w:tcW w:w="1862" w:type="dxa"/>
          </w:tcPr>
          <w:p w14:paraId="264035F6" w14:textId="3252DD1B" w:rsidR="00F02728" w:rsidRPr="00154D99" w:rsidRDefault="00F02728" w:rsidP="00F02728">
            <w:pPr>
              <w:jc w:val="center"/>
              <w:rPr>
                <w:rFonts w:cs="Arial"/>
                <w:lang w:val="en-US"/>
              </w:rPr>
            </w:pPr>
            <w:r w:rsidRPr="00154D99">
              <w:rPr>
                <w:rFonts w:cs="Arial"/>
                <w:b/>
                <w:bCs/>
              </w:rPr>
              <w:t xml:space="preserve">Степен ≥3 </w:t>
            </w:r>
            <w:r w:rsidRPr="00154D99">
              <w:rPr>
                <w:rFonts w:cs="Arial"/>
                <w:b/>
                <w:bCs/>
                <w:lang w:val="en-US"/>
              </w:rPr>
              <w:t>n</w:t>
            </w:r>
            <w:r w:rsidRPr="00154D99">
              <w:rPr>
                <w:rFonts w:cs="Arial"/>
                <w:b/>
                <w:bCs/>
              </w:rPr>
              <w:t>(%)</w:t>
            </w:r>
          </w:p>
        </w:tc>
        <w:tc>
          <w:tcPr>
            <w:tcW w:w="1861" w:type="dxa"/>
          </w:tcPr>
          <w:p w14:paraId="0862EE3F" w14:textId="2FF92F8C" w:rsidR="00F02728" w:rsidRPr="00154D99" w:rsidRDefault="00F02728" w:rsidP="00F02728">
            <w:pPr>
              <w:jc w:val="center"/>
              <w:rPr>
                <w:rFonts w:cs="Arial"/>
                <w:lang w:val="en-US"/>
              </w:rPr>
            </w:pPr>
            <w:r w:rsidRPr="00154D99">
              <w:rPr>
                <w:rFonts w:cs="Arial"/>
                <w:b/>
                <w:bCs/>
              </w:rPr>
              <w:t xml:space="preserve">Всички степени </w:t>
            </w:r>
            <w:r w:rsidRPr="00154D99">
              <w:rPr>
                <w:rFonts w:cs="Arial"/>
                <w:b/>
                <w:bCs/>
                <w:lang w:val="en-US"/>
              </w:rPr>
              <w:t>n</w:t>
            </w:r>
            <w:r w:rsidRPr="00154D99">
              <w:rPr>
                <w:rFonts w:cs="Arial"/>
                <w:b/>
                <w:bCs/>
              </w:rPr>
              <w:t xml:space="preserve"> (%)</w:t>
            </w:r>
          </w:p>
        </w:tc>
        <w:tc>
          <w:tcPr>
            <w:tcW w:w="1861" w:type="dxa"/>
          </w:tcPr>
          <w:p w14:paraId="565A8C20" w14:textId="05A1E66E" w:rsidR="00F02728" w:rsidRPr="00154D99" w:rsidRDefault="00F02728" w:rsidP="00F02728">
            <w:pPr>
              <w:jc w:val="center"/>
              <w:rPr>
                <w:rFonts w:cs="Arial"/>
                <w:lang w:val="en-US"/>
              </w:rPr>
            </w:pPr>
            <w:r w:rsidRPr="00154D99">
              <w:rPr>
                <w:rFonts w:cs="Arial"/>
                <w:b/>
                <w:bCs/>
              </w:rPr>
              <w:t xml:space="preserve">Степен ≥3 </w:t>
            </w:r>
            <w:r w:rsidRPr="00154D99">
              <w:rPr>
                <w:rFonts w:cs="Arial"/>
                <w:b/>
                <w:bCs/>
                <w:lang w:val="en-US"/>
              </w:rPr>
              <w:t>n</w:t>
            </w:r>
            <w:r w:rsidRPr="00154D99">
              <w:rPr>
                <w:rFonts w:cs="Arial"/>
                <w:b/>
                <w:bCs/>
              </w:rPr>
              <w:t>(%)</w:t>
            </w:r>
          </w:p>
        </w:tc>
      </w:tr>
      <w:tr w:rsidR="00F02728" w14:paraId="31259C89" w14:textId="77777777" w:rsidTr="00F02728">
        <w:tc>
          <w:tcPr>
            <w:tcW w:w="9350" w:type="dxa"/>
            <w:gridSpan w:val="5"/>
          </w:tcPr>
          <w:p w14:paraId="2D04EDDA" w14:textId="701C4D84" w:rsidR="00F02728" w:rsidRPr="00154D99" w:rsidRDefault="00F02728" w:rsidP="00BC543D">
            <w:pPr>
              <w:rPr>
                <w:rFonts w:cs="Arial"/>
                <w:lang w:val="en-US"/>
              </w:rPr>
            </w:pPr>
            <w:r w:rsidRPr="00154D99">
              <w:rPr>
                <w:rFonts w:cs="Arial"/>
                <w:b/>
                <w:bCs/>
              </w:rPr>
              <w:t>Инфекции и инфестации</w:t>
            </w:r>
          </w:p>
        </w:tc>
      </w:tr>
      <w:tr w:rsidR="00F02728" w14:paraId="31F4C430" w14:textId="77777777" w:rsidTr="00F02728">
        <w:tc>
          <w:tcPr>
            <w:tcW w:w="1904" w:type="dxa"/>
          </w:tcPr>
          <w:p w14:paraId="0AF31388" w14:textId="188DA4C5" w:rsidR="00F02728" w:rsidRPr="00154D99" w:rsidRDefault="00F02728" w:rsidP="00F02728">
            <w:pPr>
              <w:rPr>
                <w:rFonts w:cs="Arial"/>
                <w:lang w:val="en-US"/>
              </w:rPr>
            </w:pPr>
            <w:r w:rsidRPr="00154D99">
              <w:rPr>
                <w:rFonts w:cs="Arial"/>
                <w:i/>
                <w:iCs/>
              </w:rPr>
              <w:t>Много чести</w:t>
            </w:r>
          </w:p>
        </w:tc>
        <w:tc>
          <w:tcPr>
            <w:tcW w:w="1862" w:type="dxa"/>
          </w:tcPr>
          <w:p w14:paraId="2A410121" w14:textId="77777777" w:rsidR="00F02728" w:rsidRPr="00154D99" w:rsidRDefault="00F02728" w:rsidP="00F02728">
            <w:pPr>
              <w:rPr>
                <w:rFonts w:cs="Arial"/>
                <w:lang w:val="en-US"/>
              </w:rPr>
            </w:pPr>
          </w:p>
        </w:tc>
        <w:tc>
          <w:tcPr>
            <w:tcW w:w="1862" w:type="dxa"/>
          </w:tcPr>
          <w:p w14:paraId="1AD515B9" w14:textId="77777777" w:rsidR="00F02728" w:rsidRPr="00154D99" w:rsidRDefault="00F02728" w:rsidP="00F02728">
            <w:pPr>
              <w:rPr>
                <w:rFonts w:cs="Arial"/>
                <w:lang w:val="en-US"/>
              </w:rPr>
            </w:pPr>
          </w:p>
        </w:tc>
        <w:tc>
          <w:tcPr>
            <w:tcW w:w="1861" w:type="dxa"/>
          </w:tcPr>
          <w:p w14:paraId="7BAF1FAA" w14:textId="77777777" w:rsidR="00F02728" w:rsidRPr="00154D99" w:rsidRDefault="00F02728" w:rsidP="00F02728">
            <w:pPr>
              <w:rPr>
                <w:rFonts w:cs="Arial"/>
                <w:lang w:val="en-US"/>
              </w:rPr>
            </w:pPr>
          </w:p>
        </w:tc>
        <w:tc>
          <w:tcPr>
            <w:tcW w:w="1861" w:type="dxa"/>
          </w:tcPr>
          <w:p w14:paraId="085EA536" w14:textId="77777777" w:rsidR="00F02728" w:rsidRPr="00154D99" w:rsidRDefault="00F02728" w:rsidP="00F02728">
            <w:pPr>
              <w:rPr>
                <w:rFonts w:cs="Arial"/>
                <w:lang w:val="en-US"/>
              </w:rPr>
            </w:pPr>
          </w:p>
        </w:tc>
      </w:tr>
      <w:tr w:rsidR="00F02728" w14:paraId="2AC5F76C" w14:textId="77777777" w:rsidTr="00F02728">
        <w:tc>
          <w:tcPr>
            <w:tcW w:w="1904" w:type="dxa"/>
          </w:tcPr>
          <w:p w14:paraId="1617286D" w14:textId="0CF6E88B" w:rsidR="00F02728" w:rsidRPr="00154D99" w:rsidRDefault="00F02728" w:rsidP="00F02728">
            <w:pPr>
              <w:rPr>
                <w:rFonts w:cs="Arial"/>
                <w:lang w:val="en-US"/>
              </w:rPr>
            </w:pPr>
            <w:r w:rsidRPr="00154D99">
              <w:rPr>
                <w:rFonts w:cs="Arial"/>
              </w:rPr>
              <w:t>Инфекции</w:t>
            </w:r>
            <w:r w:rsidRPr="00154D99">
              <w:rPr>
                <w:rFonts w:cs="Arial"/>
                <w:vertAlign w:val="superscript"/>
              </w:rPr>
              <w:t>6</w:t>
            </w:r>
          </w:p>
        </w:tc>
        <w:tc>
          <w:tcPr>
            <w:tcW w:w="1862" w:type="dxa"/>
          </w:tcPr>
          <w:p w14:paraId="11769FEA" w14:textId="7743E134" w:rsidR="00F02728" w:rsidRPr="00154D99" w:rsidRDefault="00F02728" w:rsidP="00F02728">
            <w:pPr>
              <w:rPr>
                <w:rFonts w:cs="Arial"/>
                <w:lang w:val="en-US"/>
              </w:rPr>
            </w:pPr>
            <w:r w:rsidRPr="00154D99">
              <w:rPr>
                <w:rFonts w:cs="Arial"/>
                <w:b/>
                <w:bCs/>
              </w:rPr>
              <w:t>188 (54,5)</w:t>
            </w:r>
          </w:p>
        </w:tc>
        <w:tc>
          <w:tcPr>
            <w:tcW w:w="1862" w:type="dxa"/>
          </w:tcPr>
          <w:p w14:paraId="0EE17DF9" w14:textId="02237763" w:rsidR="00F02728" w:rsidRPr="00154D99" w:rsidRDefault="00F02728" w:rsidP="00F02728">
            <w:pPr>
              <w:rPr>
                <w:rFonts w:cs="Arial"/>
                <w:lang w:val="en-US"/>
              </w:rPr>
            </w:pPr>
            <w:r w:rsidRPr="00154D99">
              <w:rPr>
                <w:rFonts w:cs="Arial"/>
                <w:b/>
                <w:bCs/>
              </w:rPr>
              <w:t>19 (5,5)</w:t>
            </w:r>
          </w:p>
        </w:tc>
        <w:tc>
          <w:tcPr>
            <w:tcW w:w="1861" w:type="dxa"/>
          </w:tcPr>
          <w:p w14:paraId="7BAA6224" w14:textId="25A7CF3B" w:rsidR="00F02728" w:rsidRPr="00154D99" w:rsidRDefault="00F02728" w:rsidP="00F02728">
            <w:pPr>
              <w:rPr>
                <w:rFonts w:cs="Arial"/>
                <w:lang w:val="en-US"/>
              </w:rPr>
            </w:pPr>
            <w:r w:rsidRPr="00154D99">
              <w:rPr>
                <w:rFonts w:cs="Arial"/>
                <w:b/>
                <w:bCs/>
              </w:rPr>
              <w:t>60 (34,9)</w:t>
            </w:r>
          </w:p>
        </w:tc>
        <w:tc>
          <w:tcPr>
            <w:tcW w:w="1861" w:type="dxa"/>
          </w:tcPr>
          <w:p w14:paraId="5283F11E" w14:textId="31C5E21A" w:rsidR="00F02728" w:rsidRPr="00154D99" w:rsidRDefault="00F02728" w:rsidP="00F02728">
            <w:pPr>
              <w:rPr>
                <w:rFonts w:cs="Arial"/>
                <w:lang w:val="en-US"/>
              </w:rPr>
            </w:pPr>
            <w:r w:rsidRPr="00154D99">
              <w:rPr>
                <w:rFonts w:cs="Arial"/>
                <w:b/>
                <w:bCs/>
              </w:rPr>
              <w:t>6(3,5)</w:t>
            </w:r>
          </w:p>
        </w:tc>
      </w:tr>
      <w:tr w:rsidR="00F02728" w14:paraId="12222C28" w14:textId="77777777" w:rsidTr="00F02728">
        <w:tc>
          <w:tcPr>
            <w:tcW w:w="9350" w:type="dxa"/>
            <w:gridSpan w:val="5"/>
          </w:tcPr>
          <w:p w14:paraId="2D041EE6" w14:textId="4B9EE12A" w:rsidR="00F02728" w:rsidRPr="00154D99" w:rsidRDefault="00154D99" w:rsidP="00BC543D">
            <w:pPr>
              <w:rPr>
                <w:rFonts w:cs="Arial"/>
                <w:lang w:val="en-US"/>
              </w:rPr>
            </w:pPr>
            <w:r w:rsidRPr="00154D99">
              <w:rPr>
                <w:rFonts w:cs="Arial"/>
                <w:b/>
                <w:bCs/>
              </w:rPr>
              <w:t>Нарушения на кръвта и лимфната система</w:t>
            </w:r>
          </w:p>
        </w:tc>
      </w:tr>
      <w:tr w:rsidR="00F02728" w14:paraId="637CE9F0" w14:textId="77777777" w:rsidTr="00F02728">
        <w:tc>
          <w:tcPr>
            <w:tcW w:w="1904" w:type="dxa"/>
          </w:tcPr>
          <w:p w14:paraId="4404C2C3" w14:textId="46FB1A60" w:rsidR="00F02728" w:rsidRPr="00154D99" w:rsidRDefault="00F02728" w:rsidP="00F02728">
            <w:pPr>
              <w:rPr>
                <w:rFonts w:cs="Arial"/>
                <w:lang w:val="en-US"/>
              </w:rPr>
            </w:pPr>
            <w:r w:rsidRPr="00154D99">
              <w:rPr>
                <w:rFonts w:cs="Arial"/>
                <w:i/>
                <w:iCs/>
              </w:rPr>
              <w:t>Много чести</w:t>
            </w:r>
          </w:p>
        </w:tc>
        <w:tc>
          <w:tcPr>
            <w:tcW w:w="1862" w:type="dxa"/>
          </w:tcPr>
          <w:p w14:paraId="05B09094" w14:textId="77777777" w:rsidR="00F02728" w:rsidRPr="00154D99" w:rsidRDefault="00F02728" w:rsidP="00F02728">
            <w:pPr>
              <w:rPr>
                <w:rFonts w:cs="Arial"/>
                <w:lang w:val="en-US"/>
              </w:rPr>
            </w:pPr>
          </w:p>
        </w:tc>
        <w:tc>
          <w:tcPr>
            <w:tcW w:w="1862" w:type="dxa"/>
          </w:tcPr>
          <w:p w14:paraId="61A73A28" w14:textId="77777777" w:rsidR="00F02728" w:rsidRPr="00154D99" w:rsidRDefault="00F02728" w:rsidP="00F02728">
            <w:pPr>
              <w:rPr>
                <w:rFonts w:cs="Arial"/>
                <w:lang w:val="en-US"/>
              </w:rPr>
            </w:pPr>
          </w:p>
        </w:tc>
        <w:tc>
          <w:tcPr>
            <w:tcW w:w="1861" w:type="dxa"/>
          </w:tcPr>
          <w:p w14:paraId="676EF9CE" w14:textId="77777777" w:rsidR="00F02728" w:rsidRPr="00154D99" w:rsidRDefault="00F02728" w:rsidP="00F02728">
            <w:pPr>
              <w:rPr>
                <w:rFonts w:cs="Arial"/>
                <w:lang w:val="en-US"/>
              </w:rPr>
            </w:pPr>
          </w:p>
        </w:tc>
        <w:tc>
          <w:tcPr>
            <w:tcW w:w="1861" w:type="dxa"/>
          </w:tcPr>
          <w:p w14:paraId="2772358B" w14:textId="77777777" w:rsidR="00F02728" w:rsidRPr="00154D99" w:rsidRDefault="00F02728" w:rsidP="00F02728">
            <w:pPr>
              <w:rPr>
                <w:rFonts w:cs="Arial"/>
                <w:lang w:val="en-US"/>
              </w:rPr>
            </w:pPr>
          </w:p>
        </w:tc>
      </w:tr>
      <w:tr w:rsidR="00F02728" w14:paraId="27543C86" w14:textId="77777777" w:rsidTr="00F02728">
        <w:tc>
          <w:tcPr>
            <w:tcW w:w="1904" w:type="dxa"/>
          </w:tcPr>
          <w:p w14:paraId="4A27913A" w14:textId="2A2FAE1E" w:rsidR="00F02728" w:rsidRPr="00154D99" w:rsidRDefault="00F02728" w:rsidP="00F02728">
            <w:pPr>
              <w:rPr>
                <w:rFonts w:cs="Arial"/>
                <w:lang w:val="en-US"/>
              </w:rPr>
            </w:pPr>
            <w:r w:rsidRPr="00154D99">
              <w:rPr>
                <w:rFonts w:cs="Arial"/>
              </w:rPr>
              <w:t>Неутропения в</w:t>
            </w:r>
          </w:p>
        </w:tc>
        <w:tc>
          <w:tcPr>
            <w:tcW w:w="1862" w:type="dxa"/>
          </w:tcPr>
          <w:p w14:paraId="6AFB2D44" w14:textId="02377531" w:rsidR="00F02728" w:rsidRPr="00154D99" w:rsidRDefault="00F02728" w:rsidP="00F02728">
            <w:pPr>
              <w:rPr>
                <w:rFonts w:cs="Arial"/>
                <w:lang w:val="en-US"/>
              </w:rPr>
            </w:pPr>
            <w:r w:rsidRPr="00154D99">
              <w:rPr>
                <w:rFonts w:cs="Arial"/>
                <w:b/>
                <w:bCs/>
              </w:rPr>
              <w:t>290 (84,1)</w:t>
            </w:r>
          </w:p>
        </w:tc>
        <w:tc>
          <w:tcPr>
            <w:tcW w:w="1862" w:type="dxa"/>
          </w:tcPr>
          <w:p w14:paraId="410489AE" w14:textId="2497866F" w:rsidR="00F02728" w:rsidRPr="00154D99" w:rsidRDefault="00F02728" w:rsidP="00F02728">
            <w:pPr>
              <w:rPr>
                <w:rFonts w:cs="Arial"/>
                <w:lang w:val="en-US"/>
              </w:rPr>
            </w:pPr>
            <w:r w:rsidRPr="00154D99">
              <w:rPr>
                <w:rFonts w:cs="Arial"/>
                <w:b/>
                <w:bCs/>
              </w:rPr>
              <w:t>240(69,6)</w:t>
            </w:r>
          </w:p>
        </w:tc>
        <w:tc>
          <w:tcPr>
            <w:tcW w:w="1861" w:type="dxa"/>
          </w:tcPr>
          <w:p w14:paraId="6622BB57" w14:textId="640D1B8D" w:rsidR="00F02728" w:rsidRPr="00154D99" w:rsidRDefault="00F02728" w:rsidP="00F02728">
            <w:pPr>
              <w:rPr>
                <w:rFonts w:cs="Arial"/>
                <w:lang w:val="en-US"/>
              </w:rPr>
            </w:pPr>
            <w:r w:rsidRPr="00154D99">
              <w:rPr>
                <w:rFonts w:cs="Arial"/>
                <w:b/>
                <w:bCs/>
              </w:rPr>
              <w:t>6(3,5)</w:t>
            </w:r>
          </w:p>
        </w:tc>
        <w:tc>
          <w:tcPr>
            <w:tcW w:w="1861" w:type="dxa"/>
          </w:tcPr>
          <w:p w14:paraId="5D79DE5B" w14:textId="65E6EF26" w:rsidR="00F02728" w:rsidRPr="00154D99" w:rsidRDefault="00F02728" w:rsidP="00F02728">
            <w:pPr>
              <w:rPr>
                <w:rFonts w:cs="Arial"/>
                <w:lang w:val="en-US"/>
              </w:rPr>
            </w:pPr>
            <w:r w:rsidRPr="00154D99">
              <w:rPr>
                <w:rFonts w:cs="Arial"/>
                <w:b/>
                <w:bCs/>
              </w:rPr>
              <w:t>0</w:t>
            </w:r>
          </w:p>
        </w:tc>
      </w:tr>
      <w:tr w:rsidR="00F02728" w14:paraId="369C0588" w14:textId="77777777" w:rsidTr="00F02728">
        <w:tc>
          <w:tcPr>
            <w:tcW w:w="1904" w:type="dxa"/>
          </w:tcPr>
          <w:p w14:paraId="65A2B6FF" w14:textId="67717977" w:rsidR="00F02728" w:rsidRPr="00154D99" w:rsidRDefault="00F02728" w:rsidP="00F02728">
            <w:pPr>
              <w:rPr>
                <w:rFonts w:cs="Arial"/>
                <w:lang w:val="en-US"/>
              </w:rPr>
            </w:pPr>
            <w:r w:rsidRPr="00154D99">
              <w:rPr>
                <w:rFonts w:cs="Arial"/>
              </w:rPr>
              <w:t>Левкопения</w:t>
            </w:r>
            <w:r w:rsidRPr="00154D99">
              <w:rPr>
                <w:rFonts w:cs="Arial"/>
                <w:vertAlign w:val="superscript"/>
              </w:rPr>
              <w:t>г</w:t>
            </w:r>
          </w:p>
        </w:tc>
        <w:tc>
          <w:tcPr>
            <w:tcW w:w="1862" w:type="dxa"/>
          </w:tcPr>
          <w:p w14:paraId="2E533811" w14:textId="074DC352" w:rsidR="00F02728" w:rsidRPr="00154D99" w:rsidRDefault="00F02728" w:rsidP="00F02728">
            <w:pPr>
              <w:rPr>
                <w:rFonts w:cs="Arial"/>
                <w:lang w:val="en-US"/>
              </w:rPr>
            </w:pPr>
            <w:r w:rsidRPr="00154D99">
              <w:rPr>
                <w:rFonts w:cs="Arial"/>
                <w:b/>
                <w:bCs/>
              </w:rPr>
              <w:t>207 (60,0)</w:t>
            </w:r>
          </w:p>
        </w:tc>
        <w:tc>
          <w:tcPr>
            <w:tcW w:w="1862" w:type="dxa"/>
          </w:tcPr>
          <w:p w14:paraId="499ABF70" w14:textId="4D4AC248" w:rsidR="00F02728" w:rsidRPr="00154D99" w:rsidRDefault="00F02728" w:rsidP="00F02728">
            <w:pPr>
              <w:rPr>
                <w:rFonts w:cs="Arial"/>
                <w:lang w:val="en-US"/>
              </w:rPr>
            </w:pPr>
            <w:r w:rsidRPr="00154D99">
              <w:rPr>
                <w:rFonts w:cs="Arial"/>
                <w:b/>
                <w:bCs/>
              </w:rPr>
              <w:t>132 (38,3)</w:t>
            </w:r>
          </w:p>
        </w:tc>
        <w:tc>
          <w:tcPr>
            <w:tcW w:w="1861" w:type="dxa"/>
          </w:tcPr>
          <w:p w14:paraId="50AF0EAB" w14:textId="480C256A" w:rsidR="00F02728" w:rsidRPr="00154D99" w:rsidRDefault="00F02728" w:rsidP="00F02728">
            <w:pPr>
              <w:rPr>
                <w:rFonts w:cs="Arial"/>
                <w:lang w:val="en-US"/>
              </w:rPr>
            </w:pPr>
            <w:r w:rsidRPr="00154D99">
              <w:rPr>
                <w:rFonts w:cs="Arial"/>
                <w:b/>
                <w:bCs/>
              </w:rPr>
              <w:t>9(5,2)</w:t>
            </w:r>
          </w:p>
        </w:tc>
        <w:tc>
          <w:tcPr>
            <w:tcW w:w="1861" w:type="dxa"/>
          </w:tcPr>
          <w:p w14:paraId="66D28DEF" w14:textId="15042482" w:rsidR="00F02728" w:rsidRPr="00154D99" w:rsidRDefault="00F02728" w:rsidP="00F02728">
            <w:pPr>
              <w:rPr>
                <w:rFonts w:cs="Arial"/>
                <w:lang w:val="en-US"/>
              </w:rPr>
            </w:pPr>
            <w:r w:rsidRPr="00154D99">
              <w:rPr>
                <w:rFonts w:cs="Arial"/>
                <w:b/>
                <w:bCs/>
              </w:rPr>
              <w:t>1 (0,6)</w:t>
            </w:r>
          </w:p>
        </w:tc>
      </w:tr>
      <w:tr w:rsidR="00F02728" w14:paraId="39FBA9AA" w14:textId="77777777" w:rsidTr="00F02728">
        <w:tc>
          <w:tcPr>
            <w:tcW w:w="1904" w:type="dxa"/>
          </w:tcPr>
          <w:p w14:paraId="1A8D07FA" w14:textId="5AF95043" w:rsidR="00F02728" w:rsidRPr="00154D99" w:rsidRDefault="00F02728" w:rsidP="00F02728">
            <w:pPr>
              <w:rPr>
                <w:rFonts w:cs="Arial"/>
                <w:lang w:val="en-US"/>
              </w:rPr>
            </w:pPr>
            <w:r w:rsidRPr="00154D99">
              <w:rPr>
                <w:rFonts w:cs="Arial"/>
              </w:rPr>
              <w:t xml:space="preserve">Анемия д </w:t>
            </w:r>
          </w:p>
        </w:tc>
        <w:tc>
          <w:tcPr>
            <w:tcW w:w="1862" w:type="dxa"/>
          </w:tcPr>
          <w:p w14:paraId="2F77C5EE" w14:textId="29890DA8" w:rsidR="00F02728" w:rsidRPr="00154D99" w:rsidRDefault="00F02728" w:rsidP="00F02728">
            <w:pPr>
              <w:rPr>
                <w:rFonts w:cs="Arial"/>
                <w:lang w:val="en-US"/>
              </w:rPr>
            </w:pPr>
            <w:r w:rsidRPr="00154D99">
              <w:rPr>
                <w:rFonts w:cs="Arial"/>
                <w:b/>
                <w:bCs/>
              </w:rPr>
              <w:t>109(31,6)</w:t>
            </w:r>
          </w:p>
        </w:tc>
        <w:tc>
          <w:tcPr>
            <w:tcW w:w="1862" w:type="dxa"/>
          </w:tcPr>
          <w:p w14:paraId="20F11993" w14:textId="09DDAE6A" w:rsidR="00F02728" w:rsidRPr="00154D99" w:rsidRDefault="00F02728" w:rsidP="00F02728">
            <w:pPr>
              <w:rPr>
                <w:rFonts w:cs="Arial"/>
                <w:lang w:val="en-US"/>
              </w:rPr>
            </w:pPr>
            <w:r w:rsidRPr="00154D99">
              <w:rPr>
                <w:rFonts w:cs="Arial"/>
                <w:b/>
                <w:bCs/>
              </w:rPr>
              <w:t>15 (4,3)</w:t>
            </w:r>
          </w:p>
        </w:tc>
        <w:tc>
          <w:tcPr>
            <w:tcW w:w="1861" w:type="dxa"/>
          </w:tcPr>
          <w:p w14:paraId="5C6ED546" w14:textId="1878DDD2" w:rsidR="00F02728" w:rsidRPr="00154D99" w:rsidRDefault="00F02728" w:rsidP="00F02728">
            <w:pPr>
              <w:rPr>
                <w:rFonts w:cs="Arial"/>
                <w:lang w:val="en-US"/>
              </w:rPr>
            </w:pPr>
            <w:r w:rsidRPr="00154D99">
              <w:rPr>
                <w:rFonts w:cs="Arial"/>
                <w:b/>
                <w:bCs/>
              </w:rPr>
              <w:t>24 (14,0)</w:t>
            </w:r>
          </w:p>
        </w:tc>
        <w:tc>
          <w:tcPr>
            <w:tcW w:w="1861" w:type="dxa"/>
          </w:tcPr>
          <w:p w14:paraId="22F8B31A" w14:textId="6FE27570" w:rsidR="00F02728" w:rsidRPr="00154D99" w:rsidRDefault="00F02728" w:rsidP="00F02728">
            <w:pPr>
              <w:rPr>
                <w:rFonts w:cs="Arial"/>
                <w:lang w:val="en-US"/>
              </w:rPr>
            </w:pPr>
            <w:r w:rsidRPr="00154D99">
              <w:rPr>
                <w:rFonts w:cs="Arial"/>
                <w:b/>
                <w:bCs/>
              </w:rPr>
              <w:t>4(2,3)</w:t>
            </w:r>
          </w:p>
        </w:tc>
      </w:tr>
      <w:tr w:rsidR="00F02728" w14:paraId="6D7AFA5F" w14:textId="77777777" w:rsidTr="00F02728">
        <w:tc>
          <w:tcPr>
            <w:tcW w:w="1904" w:type="dxa"/>
          </w:tcPr>
          <w:p w14:paraId="06A8A199" w14:textId="5DC033B6" w:rsidR="00F02728" w:rsidRPr="00154D99" w:rsidRDefault="00F02728" w:rsidP="00F02728">
            <w:pPr>
              <w:rPr>
                <w:rFonts w:cs="Arial"/>
                <w:lang w:val="en-US"/>
              </w:rPr>
            </w:pPr>
            <w:r w:rsidRPr="00154D99">
              <w:rPr>
                <w:rFonts w:cs="Arial"/>
              </w:rPr>
              <w:t>Тромбоцитопения е</w:t>
            </w:r>
          </w:p>
        </w:tc>
        <w:tc>
          <w:tcPr>
            <w:tcW w:w="1862" w:type="dxa"/>
          </w:tcPr>
          <w:p w14:paraId="0E4C1EF6" w14:textId="318CA7DB" w:rsidR="00F02728" w:rsidRPr="00154D99" w:rsidRDefault="00F02728" w:rsidP="00F02728">
            <w:pPr>
              <w:rPr>
                <w:rFonts w:cs="Arial"/>
                <w:lang w:val="en-US"/>
              </w:rPr>
            </w:pPr>
            <w:r w:rsidRPr="00154D99">
              <w:rPr>
                <w:rFonts w:cs="Arial"/>
                <w:b/>
                <w:bCs/>
              </w:rPr>
              <w:t>88 (25,5)</w:t>
            </w:r>
          </w:p>
        </w:tc>
        <w:tc>
          <w:tcPr>
            <w:tcW w:w="1862" w:type="dxa"/>
          </w:tcPr>
          <w:p w14:paraId="194C7592" w14:textId="7C10551F" w:rsidR="00F02728" w:rsidRPr="00154D99" w:rsidRDefault="00F02728" w:rsidP="00F02728">
            <w:pPr>
              <w:rPr>
                <w:rFonts w:cs="Arial"/>
                <w:lang w:val="en-US"/>
              </w:rPr>
            </w:pPr>
            <w:r w:rsidRPr="00154D99">
              <w:rPr>
                <w:rFonts w:cs="Arial"/>
                <w:b/>
                <w:bCs/>
              </w:rPr>
              <w:t>10 (2,9)</w:t>
            </w:r>
          </w:p>
        </w:tc>
        <w:tc>
          <w:tcPr>
            <w:tcW w:w="1861" w:type="dxa"/>
          </w:tcPr>
          <w:p w14:paraId="25473057" w14:textId="199E7AEE" w:rsidR="00F02728" w:rsidRPr="00154D99" w:rsidRDefault="00F02728" w:rsidP="00F02728">
            <w:pPr>
              <w:rPr>
                <w:rFonts w:cs="Arial"/>
                <w:lang w:val="en-US"/>
              </w:rPr>
            </w:pPr>
            <w:r w:rsidRPr="00154D99">
              <w:rPr>
                <w:rFonts w:cs="Arial"/>
                <w:b/>
                <w:bCs/>
              </w:rPr>
              <w:t>0</w:t>
            </w:r>
          </w:p>
        </w:tc>
        <w:tc>
          <w:tcPr>
            <w:tcW w:w="1861" w:type="dxa"/>
          </w:tcPr>
          <w:p w14:paraId="37164C54" w14:textId="6FDEA8E4" w:rsidR="00F02728" w:rsidRPr="00154D99" w:rsidRDefault="00F02728" w:rsidP="00F02728">
            <w:pPr>
              <w:rPr>
                <w:rFonts w:cs="Arial"/>
                <w:lang w:val="en-US"/>
              </w:rPr>
            </w:pPr>
            <w:r w:rsidRPr="00154D99">
              <w:rPr>
                <w:rFonts w:cs="Arial"/>
                <w:b/>
                <w:bCs/>
              </w:rPr>
              <w:t>0</w:t>
            </w:r>
          </w:p>
        </w:tc>
      </w:tr>
      <w:tr w:rsidR="00F02728" w14:paraId="6FF896AB" w14:textId="77777777" w:rsidTr="00F02728">
        <w:tc>
          <w:tcPr>
            <w:tcW w:w="1904" w:type="dxa"/>
          </w:tcPr>
          <w:p w14:paraId="21E3EFC5" w14:textId="4C022804" w:rsidR="00F02728" w:rsidRPr="00154D99" w:rsidRDefault="00F02728" w:rsidP="00F02728">
            <w:pPr>
              <w:rPr>
                <w:rFonts w:cs="Arial"/>
                <w:lang w:val="en-US"/>
              </w:rPr>
            </w:pPr>
            <w:r w:rsidRPr="00154D99">
              <w:rPr>
                <w:rFonts w:cs="Arial"/>
                <w:i/>
                <w:iCs/>
              </w:rPr>
              <w:t>Нечести</w:t>
            </w:r>
          </w:p>
        </w:tc>
        <w:tc>
          <w:tcPr>
            <w:tcW w:w="1862" w:type="dxa"/>
          </w:tcPr>
          <w:p w14:paraId="407229B7" w14:textId="77777777" w:rsidR="00F02728" w:rsidRPr="00154D99" w:rsidRDefault="00F02728" w:rsidP="00F02728">
            <w:pPr>
              <w:rPr>
                <w:rFonts w:cs="Arial"/>
                <w:lang w:val="en-US"/>
              </w:rPr>
            </w:pPr>
          </w:p>
        </w:tc>
        <w:tc>
          <w:tcPr>
            <w:tcW w:w="1862" w:type="dxa"/>
          </w:tcPr>
          <w:p w14:paraId="76B72074" w14:textId="77777777" w:rsidR="00F02728" w:rsidRPr="00154D99" w:rsidRDefault="00F02728" w:rsidP="00F02728">
            <w:pPr>
              <w:rPr>
                <w:rFonts w:cs="Arial"/>
                <w:lang w:val="en-US"/>
              </w:rPr>
            </w:pPr>
          </w:p>
        </w:tc>
        <w:tc>
          <w:tcPr>
            <w:tcW w:w="1861" w:type="dxa"/>
          </w:tcPr>
          <w:p w14:paraId="6A64ED36" w14:textId="77777777" w:rsidR="00F02728" w:rsidRPr="00154D99" w:rsidRDefault="00F02728" w:rsidP="00F02728">
            <w:pPr>
              <w:rPr>
                <w:rFonts w:cs="Arial"/>
                <w:lang w:val="en-US"/>
              </w:rPr>
            </w:pPr>
          </w:p>
        </w:tc>
        <w:tc>
          <w:tcPr>
            <w:tcW w:w="1861" w:type="dxa"/>
          </w:tcPr>
          <w:p w14:paraId="3CED2030" w14:textId="77777777" w:rsidR="00F02728" w:rsidRPr="00154D99" w:rsidRDefault="00F02728" w:rsidP="00F02728">
            <w:pPr>
              <w:rPr>
                <w:rFonts w:cs="Arial"/>
                <w:lang w:val="en-US"/>
              </w:rPr>
            </w:pPr>
          </w:p>
        </w:tc>
      </w:tr>
      <w:tr w:rsidR="00F02728" w14:paraId="057EDF14" w14:textId="77777777" w:rsidTr="00F02728">
        <w:tc>
          <w:tcPr>
            <w:tcW w:w="1904" w:type="dxa"/>
          </w:tcPr>
          <w:p w14:paraId="2EB91808" w14:textId="09C5FE98" w:rsidR="00F02728" w:rsidRPr="00154D99" w:rsidRDefault="00F02728" w:rsidP="00F02728">
            <w:pPr>
              <w:rPr>
                <w:rFonts w:cs="Arial"/>
                <w:lang w:val="en-US"/>
              </w:rPr>
            </w:pPr>
            <w:r w:rsidRPr="00154D99">
              <w:rPr>
                <w:rFonts w:cs="Arial"/>
              </w:rPr>
              <w:lastRenderedPageBreak/>
              <w:t>Фебрилна неутропения</w:t>
            </w:r>
          </w:p>
        </w:tc>
        <w:tc>
          <w:tcPr>
            <w:tcW w:w="1862" w:type="dxa"/>
          </w:tcPr>
          <w:p w14:paraId="0DDBB2C4" w14:textId="0BC4B83B" w:rsidR="00F02728" w:rsidRPr="00154D99" w:rsidRDefault="00F02728" w:rsidP="00F02728">
            <w:pPr>
              <w:rPr>
                <w:rFonts w:cs="Arial"/>
                <w:lang w:val="en-US"/>
              </w:rPr>
            </w:pPr>
            <w:r w:rsidRPr="00154D99">
              <w:rPr>
                <w:rFonts w:cs="Arial"/>
                <w:b/>
                <w:bCs/>
              </w:rPr>
              <w:t>3 (0,9)</w:t>
            </w:r>
          </w:p>
        </w:tc>
        <w:tc>
          <w:tcPr>
            <w:tcW w:w="1862" w:type="dxa"/>
          </w:tcPr>
          <w:p w14:paraId="4065C419" w14:textId="14DC6CF4" w:rsidR="00F02728" w:rsidRPr="00154D99" w:rsidRDefault="00F02728" w:rsidP="00F02728">
            <w:pPr>
              <w:rPr>
                <w:rFonts w:cs="Arial"/>
                <w:lang w:val="en-US"/>
              </w:rPr>
            </w:pPr>
            <w:r w:rsidRPr="00154D99">
              <w:rPr>
                <w:rFonts w:cs="Arial"/>
                <w:b/>
                <w:bCs/>
              </w:rPr>
              <w:t>3 (0,9)</w:t>
            </w:r>
          </w:p>
        </w:tc>
        <w:tc>
          <w:tcPr>
            <w:tcW w:w="1861" w:type="dxa"/>
          </w:tcPr>
          <w:p w14:paraId="1B20C415" w14:textId="674C84FC" w:rsidR="00F02728" w:rsidRPr="00154D99" w:rsidRDefault="00F02728" w:rsidP="00F02728">
            <w:pPr>
              <w:rPr>
                <w:rFonts w:cs="Arial"/>
                <w:lang w:val="en-US"/>
              </w:rPr>
            </w:pPr>
            <w:r w:rsidRPr="00154D99">
              <w:rPr>
                <w:rFonts w:cs="Arial"/>
                <w:b/>
                <w:bCs/>
              </w:rPr>
              <w:t>0</w:t>
            </w:r>
          </w:p>
        </w:tc>
        <w:tc>
          <w:tcPr>
            <w:tcW w:w="1861" w:type="dxa"/>
          </w:tcPr>
          <w:p w14:paraId="530F1AAA" w14:textId="7D96A829" w:rsidR="00F02728" w:rsidRPr="00154D99" w:rsidRDefault="00F02728" w:rsidP="00F02728">
            <w:pPr>
              <w:rPr>
                <w:rFonts w:cs="Arial"/>
                <w:lang w:val="en-US"/>
              </w:rPr>
            </w:pPr>
            <w:r w:rsidRPr="00154D99">
              <w:rPr>
                <w:rFonts w:cs="Arial"/>
                <w:b/>
                <w:bCs/>
              </w:rPr>
              <w:t>0</w:t>
            </w:r>
          </w:p>
        </w:tc>
      </w:tr>
      <w:tr w:rsidR="00F02728" w14:paraId="451928E8" w14:textId="77777777" w:rsidTr="00F02728">
        <w:tc>
          <w:tcPr>
            <w:tcW w:w="9350" w:type="dxa"/>
            <w:gridSpan w:val="5"/>
          </w:tcPr>
          <w:p w14:paraId="49EA85BB" w14:textId="31F250E6" w:rsidR="00F02728" w:rsidRPr="00154D99" w:rsidRDefault="00F02728" w:rsidP="00BC543D">
            <w:pPr>
              <w:rPr>
                <w:rFonts w:cs="Arial"/>
                <w:lang w:val="en-US"/>
              </w:rPr>
            </w:pPr>
            <w:r w:rsidRPr="00154D99">
              <w:rPr>
                <w:rFonts w:cs="Arial"/>
                <w:b/>
                <w:bCs/>
              </w:rPr>
              <w:t>Нарушения на метаболизма и храненето</w:t>
            </w:r>
          </w:p>
        </w:tc>
      </w:tr>
      <w:tr w:rsidR="00F02728" w14:paraId="064A9B1C" w14:textId="77777777" w:rsidTr="00F02728">
        <w:tc>
          <w:tcPr>
            <w:tcW w:w="1904" w:type="dxa"/>
          </w:tcPr>
          <w:p w14:paraId="71431B2E" w14:textId="26319886" w:rsidR="00F02728" w:rsidRPr="00154D99" w:rsidRDefault="00F02728" w:rsidP="00F02728">
            <w:pPr>
              <w:rPr>
                <w:rFonts w:cs="Arial"/>
                <w:lang w:val="en-US"/>
              </w:rPr>
            </w:pPr>
            <w:r w:rsidRPr="00154D99">
              <w:rPr>
                <w:rFonts w:cs="Arial"/>
                <w:i/>
                <w:iCs/>
              </w:rPr>
              <w:t>Много чести</w:t>
            </w:r>
          </w:p>
        </w:tc>
        <w:tc>
          <w:tcPr>
            <w:tcW w:w="1862" w:type="dxa"/>
          </w:tcPr>
          <w:p w14:paraId="367697D1" w14:textId="77777777" w:rsidR="00F02728" w:rsidRPr="00154D99" w:rsidRDefault="00F02728" w:rsidP="00F02728">
            <w:pPr>
              <w:rPr>
                <w:rFonts w:cs="Arial"/>
                <w:lang w:val="en-US"/>
              </w:rPr>
            </w:pPr>
          </w:p>
        </w:tc>
        <w:tc>
          <w:tcPr>
            <w:tcW w:w="1862" w:type="dxa"/>
          </w:tcPr>
          <w:p w14:paraId="7EAAFA2C" w14:textId="77777777" w:rsidR="00F02728" w:rsidRPr="00154D99" w:rsidRDefault="00F02728" w:rsidP="00F02728">
            <w:pPr>
              <w:rPr>
                <w:rFonts w:cs="Arial"/>
                <w:lang w:val="en-US"/>
              </w:rPr>
            </w:pPr>
          </w:p>
        </w:tc>
        <w:tc>
          <w:tcPr>
            <w:tcW w:w="1861" w:type="dxa"/>
          </w:tcPr>
          <w:p w14:paraId="004C749B" w14:textId="77777777" w:rsidR="00F02728" w:rsidRPr="00154D99" w:rsidRDefault="00F02728" w:rsidP="00F02728">
            <w:pPr>
              <w:rPr>
                <w:rFonts w:cs="Arial"/>
                <w:lang w:val="en-US"/>
              </w:rPr>
            </w:pPr>
          </w:p>
        </w:tc>
        <w:tc>
          <w:tcPr>
            <w:tcW w:w="1861" w:type="dxa"/>
          </w:tcPr>
          <w:p w14:paraId="10221349" w14:textId="77777777" w:rsidR="00F02728" w:rsidRPr="00154D99" w:rsidRDefault="00F02728" w:rsidP="00F02728">
            <w:pPr>
              <w:rPr>
                <w:rFonts w:cs="Arial"/>
                <w:lang w:val="en-US"/>
              </w:rPr>
            </w:pPr>
          </w:p>
        </w:tc>
      </w:tr>
      <w:tr w:rsidR="00F02728" w14:paraId="3E5DDDCB" w14:textId="77777777" w:rsidTr="00F02728">
        <w:tc>
          <w:tcPr>
            <w:tcW w:w="1904" w:type="dxa"/>
          </w:tcPr>
          <w:p w14:paraId="772D3CDE" w14:textId="57B5192E" w:rsidR="00F02728" w:rsidRPr="00154D99" w:rsidRDefault="00F02728" w:rsidP="00F02728">
            <w:pPr>
              <w:rPr>
                <w:rFonts w:cs="Arial"/>
                <w:lang w:val="en-US"/>
              </w:rPr>
            </w:pPr>
            <w:r w:rsidRPr="00154D99">
              <w:rPr>
                <w:rFonts w:cs="Arial"/>
              </w:rPr>
              <w:t>Намален апетит</w:t>
            </w:r>
          </w:p>
        </w:tc>
        <w:tc>
          <w:tcPr>
            <w:tcW w:w="1862" w:type="dxa"/>
          </w:tcPr>
          <w:p w14:paraId="1D850FC9" w14:textId="5993E502" w:rsidR="00F02728" w:rsidRPr="00154D99" w:rsidRDefault="00F02728" w:rsidP="00F02728">
            <w:pPr>
              <w:rPr>
                <w:rFonts w:cs="Arial"/>
                <w:lang w:val="en-US"/>
              </w:rPr>
            </w:pPr>
            <w:r w:rsidRPr="00154D99">
              <w:rPr>
                <w:rFonts w:cs="Arial"/>
                <w:b/>
                <w:bCs/>
              </w:rPr>
              <w:t>60 (17,4)</w:t>
            </w:r>
          </w:p>
        </w:tc>
        <w:tc>
          <w:tcPr>
            <w:tcW w:w="1862" w:type="dxa"/>
          </w:tcPr>
          <w:p w14:paraId="14BB56BB" w14:textId="19C55BC4" w:rsidR="00F02728" w:rsidRPr="00154D99" w:rsidRDefault="00F02728" w:rsidP="00F02728">
            <w:pPr>
              <w:rPr>
                <w:rFonts w:cs="Arial"/>
                <w:lang w:val="en-US"/>
              </w:rPr>
            </w:pPr>
            <w:r w:rsidRPr="00154D99">
              <w:rPr>
                <w:rFonts w:cs="Arial"/>
                <w:b/>
                <w:bCs/>
              </w:rPr>
              <w:t>4(1,2)</w:t>
            </w:r>
          </w:p>
        </w:tc>
        <w:tc>
          <w:tcPr>
            <w:tcW w:w="1861" w:type="dxa"/>
          </w:tcPr>
          <w:p w14:paraId="71FB0D10" w14:textId="435E201B" w:rsidR="00F02728" w:rsidRPr="00154D99" w:rsidRDefault="00F02728" w:rsidP="00F02728">
            <w:pPr>
              <w:rPr>
                <w:rFonts w:cs="Arial"/>
                <w:lang w:val="en-US"/>
              </w:rPr>
            </w:pPr>
            <w:r w:rsidRPr="00154D99">
              <w:rPr>
                <w:rFonts w:cs="Arial"/>
                <w:b/>
                <w:bCs/>
              </w:rPr>
              <w:t>18 (10,5)</w:t>
            </w:r>
          </w:p>
        </w:tc>
        <w:tc>
          <w:tcPr>
            <w:tcW w:w="1861" w:type="dxa"/>
          </w:tcPr>
          <w:p w14:paraId="47310371" w14:textId="0D02849A" w:rsidR="00F02728" w:rsidRPr="00154D99" w:rsidRDefault="00F02728" w:rsidP="00F02728">
            <w:pPr>
              <w:rPr>
                <w:rFonts w:cs="Arial"/>
                <w:lang w:val="en-US"/>
              </w:rPr>
            </w:pPr>
            <w:r w:rsidRPr="00154D99">
              <w:rPr>
                <w:rFonts w:cs="Arial"/>
                <w:b/>
                <w:bCs/>
              </w:rPr>
              <w:t>1(0,6)</w:t>
            </w:r>
          </w:p>
        </w:tc>
      </w:tr>
      <w:tr w:rsidR="00F02728" w14:paraId="14162130" w14:textId="77777777" w:rsidTr="00F02728">
        <w:tc>
          <w:tcPr>
            <w:tcW w:w="9350" w:type="dxa"/>
            <w:gridSpan w:val="5"/>
          </w:tcPr>
          <w:p w14:paraId="307859B4" w14:textId="0D35334E" w:rsidR="00F02728" w:rsidRPr="00154D99" w:rsidRDefault="00F02728" w:rsidP="00BC543D">
            <w:pPr>
              <w:rPr>
                <w:rFonts w:cs="Arial"/>
                <w:lang w:val="en-US"/>
              </w:rPr>
            </w:pPr>
            <w:r w:rsidRPr="00154D99">
              <w:rPr>
                <w:rFonts w:cs="Arial"/>
                <w:b/>
                <w:bCs/>
              </w:rPr>
              <w:t>Нарушения на нервната система</w:t>
            </w:r>
          </w:p>
        </w:tc>
      </w:tr>
      <w:tr w:rsidR="00F02728" w14:paraId="5BB5577D" w14:textId="77777777" w:rsidTr="00F02728">
        <w:tc>
          <w:tcPr>
            <w:tcW w:w="1904" w:type="dxa"/>
          </w:tcPr>
          <w:p w14:paraId="3003FD43" w14:textId="430F111A" w:rsidR="00F02728" w:rsidRPr="00154D99" w:rsidRDefault="00F02728" w:rsidP="00F02728">
            <w:pPr>
              <w:rPr>
                <w:rFonts w:cs="Arial"/>
                <w:lang w:val="en-US"/>
              </w:rPr>
            </w:pPr>
            <w:r w:rsidRPr="00154D99">
              <w:rPr>
                <w:rFonts w:cs="Arial"/>
                <w:i/>
                <w:iCs/>
              </w:rPr>
              <w:t>Чести</w:t>
            </w:r>
          </w:p>
        </w:tc>
        <w:tc>
          <w:tcPr>
            <w:tcW w:w="1862" w:type="dxa"/>
          </w:tcPr>
          <w:p w14:paraId="2417D07A" w14:textId="77777777" w:rsidR="00F02728" w:rsidRPr="00154D99" w:rsidRDefault="00F02728" w:rsidP="00F02728">
            <w:pPr>
              <w:rPr>
                <w:rFonts w:cs="Arial"/>
                <w:lang w:val="en-US"/>
              </w:rPr>
            </w:pPr>
          </w:p>
        </w:tc>
        <w:tc>
          <w:tcPr>
            <w:tcW w:w="1862" w:type="dxa"/>
          </w:tcPr>
          <w:p w14:paraId="40A5A9B1" w14:textId="77777777" w:rsidR="00F02728" w:rsidRPr="00154D99" w:rsidRDefault="00F02728" w:rsidP="00F02728">
            <w:pPr>
              <w:rPr>
                <w:rFonts w:cs="Arial"/>
                <w:lang w:val="en-US"/>
              </w:rPr>
            </w:pPr>
          </w:p>
        </w:tc>
        <w:tc>
          <w:tcPr>
            <w:tcW w:w="1861" w:type="dxa"/>
          </w:tcPr>
          <w:p w14:paraId="2E6BCF2E" w14:textId="77777777" w:rsidR="00F02728" w:rsidRPr="00154D99" w:rsidRDefault="00F02728" w:rsidP="00F02728">
            <w:pPr>
              <w:rPr>
                <w:rFonts w:cs="Arial"/>
                <w:lang w:val="en-US"/>
              </w:rPr>
            </w:pPr>
          </w:p>
        </w:tc>
        <w:tc>
          <w:tcPr>
            <w:tcW w:w="1861" w:type="dxa"/>
          </w:tcPr>
          <w:p w14:paraId="78F7F66B" w14:textId="77777777" w:rsidR="00F02728" w:rsidRPr="00154D99" w:rsidRDefault="00F02728" w:rsidP="00F02728">
            <w:pPr>
              <w:rPr>
                <w:rFonts w:cs="Arial"/>
                <w:lang w:val="en-US"/>
              </w:rPr>
            </w:pPr>
          </w:p>
        </w:tc>
      </w:tr>
      <w:tr w:rsidR="00F02728" w14:paraId="6AFBF5A4" w14:textId="77777777" w:rsidTr="00F02728">
        <w:tc>
          <w:tcPr>
            <w:tcW w:w="1904" w:type="dxa"/>
          </w:tcPr>
          <w:p w14:paraId="56EA308C" w14:textId="340FEB03" w:rsidR="00F02728" w:rsidRPr="00154D99" w:rsidRDefault="00F02728" w:rsidP="00F02728">
            <w:pPr>
              <w:rPr>
                <w:rFonts w:cs="Arial"/>
                <w:lang w:val="en-US"/>
              </w:rPr>
            </w:pPr>
            <w:r w:rsidRPr="00154D99">
              <w:rPr>
                <w:rFonts w:cs="Arial"/>
              </w:rPr>
              <w:t>Дисгеузия</w:t>
            </w:r>
          </w:p>
        </w:tc>
        <w:tc>
          <w:tcPr>
            <w:tcW w:w="1862" w:type="dxa"/>
          </w:tcPr>
          <w:p w14:paraId="71555867" w14:textId="61B7A063" w:rsidR="00F02728" w:rsidRPr="00154D99" w:rsidRDefault="00F02728" w:rsidP="00F02728">
            <w:pPr>
              <w:rPr>
                <w:rFonts w:cs="Arial"/>
                <w:lang w:val="en-US"/>
              </w:rPr>
            </w:pPr>
            <w:r w:rsidRPr="00154D99">
              <w:rPr>
                <w:rFonts w:cs="Arial"/>
                <w:b/>
                <w:bCs/>
              </w:rPr>
              <w:t>27 (7,8)</w:t>
            </w:r>
          </w:p>
        </w:tc>
        <w:tc>
          <w:tcPr>
            <w:tcW w:w="1862" w:type="dxa"/>
          </w:tcPr>
          <w:p w14:paraId="722D56AF" w14:textId="5C90EF0C" w:rsidR="00F02728" w:rsidRPr="00154D99" w:rsidRDefault="00F02728" w:rsidP="00F02728">
            <w:pPr>
              <w:rPr>
                <w:rFonts w:cs="Arial"/>
                <w:lang w:val="en-US"/>
              </w:rPr>
            </w:pPr>
            <w:r w:rsidRPr="00154D99">
              <w:rPr>
                <w:rFonts w:cs="Arial"/>
                <w:b/>
                <w:bCs/>
              </w:rPr>
              <w:t>0</w:t>
            </w:r>
          </w:p>
        </w:tc>
        <w:tc>
          <w:tcPr>
            <w:tcW w:w="1861" w:type="dxa"/>
          </w:tcPr>
          <w:p w14:paraId="50636DBC" w14:textId="3F2F8D94" w:rsidR="00F02728" w:rsidRPr="00154D99" w:rsidRDefault="00F02728" w:rsidP="00F02728">
            <w:pPr>
              <w:rPr>
                <w:rFonts w:cs="Arial"/>
                <w:lang w:val="en-US"/>
              </w:rPr>
            </w:pPr>
            <w:r w:rsidRPr="00154D99">
              <w:rPr>
                <w:rFonts w:cs="Arial"/>
                <w:b/>
                <w:bCs/>
              </w:rPr>
              <w:t>6(3,5)</w:t>
            </w:r>
          </w:p>
        </w:tc>
        <w:tc>
          <w:tcPr>
            <w:tcW w:w="1861" w:type="dxa"/>
          </w:tcPr>
          <w:p w14:paraId="1175B05F" w14:textId="1E574806" w:rsidR="00F02728" w:rsidRPr="00154D99" w:rsidRDefault="00F02728" w:rsidP="00F02728">
            <w:pPr>
              <w:rPr>
                <w:rFonts w:cs="Arial"/>
                <w:lang w:val="en-US"/>
              </w:rPr>
            </w:pPr>
            <w:r w:rsidRPr="00154D99">
              <w:rPr>
                <w:rFonts w:cs="Arial"/>
                <w:b/>
                <w:bCs/>
              </w:rPr>
              <w:t>0</w:t>
            </w:r>
          </w:p>
        </w:tc>
      </w:tr>
      <w:tr w:rsidR="00F02728" w14:paraId="37E83BF6" w14:textId="77777777" w:rsidTr="00F02728">
        <w:tc>
          <w:tcPr>
            <w:tcW w:w="9350" w:type="dxa"/>
            <w:gridSpan w:val="5"/>
          </w:tcPr>
          <w:p w14:paraId="1ABBF665" w14:textId="26F2BB69" w:rsidR="00F02728" w:rsidRPr="00154D99" w:rsidRDefault="00F02728" w:rsidP="00BC543D">
            <w:pPr>
              <w:rPr>
                <w:rFonts w:cs="Arial"/>
                <w:lang w:val="en-US"/>
              </w:rPr>
            </w:pPr>
            <w:r w:rsidRPr="00154D99">
              <w:rPr>
                <w:rFonts w:cs="Arial"/>
                <w:b/>
                <w:bCs/>
              </w:rPr>
              <w:t>Нарушения на очите</w:t>
            </w:r>
          </w:p>
        </w:tc>
      </w:tr>
      <w:tr w:rsidR="00F02728" w14:paraId="2AA82083" w14:textId="77777777" w:rsidTr="00F02728">
        <w:tc>
          <w:tcPr>
            <w:tcW w:w="1904" w:type="dxa"/>
          </w:tcPr>
          <w:p w14:paraId="635119D7" w14:textId="0DEA5997" w:rsidR="00F02728" w:rsidRPr="00154D99" w:rsidRDefault="00F02728" w:rsidP="00F02728">
            <w:pPr>
              <w:rPr>
                <w:rFonts w:cs="Arial"/>
                <w:lang w:val="en-US"/>
              </w:rPr>
            </w:pPr>
            <w:r w:rsidRPr="00154D99">
              <w:rPr>
                <w:rFonts w:cs="Arial"/>
                <w:i/>
                <w:iCs/>
              </w:rPr>
              <w:t>Чести</w:t>
            </w:r>
          </w:p>
        </w:tc>
        <w:tc>
          <w:tcPr>
            <w:tcW w:w="1862" w:type="dxa"/>
          </w:tcPr>
          <w:p w14:paraId="39594644" w14:textId="77777777" w:rsidR="00F02728" w:rsidRPr="00154D99" w:rsidRDefault="00F02728" w:rsidP="00F02728">
            <w:pPr>
              <w:rPr>
                <w:rFonts w:cs="Arial"/>
                <w:lang w:val="en-US"/>
              </w:rPr>
            </w:pPr>
          </w:p>
        </w:tc>
        <w:tc>
          <w:tcPr>
            <w:tcW w:w="1862" w:type="dxa"/>
          </w:tcPr>
          <w:p w14:paraId="30E96D87" w14:textId="77777777" w:rsidR="00F02728" w:rsidRPr="00154D99" w:rsidRDefault="00F02728" w:rsidP="00F02728">
            <w:pPr>
              <w:rPr>
                <w:rFonts w:cs="Arial"/>
                <w:lang w:val="en-US"/>
              </w:rPr>
            </w:pPr>
          </w:p>
        </w:tc>
        <w:tc>
          <w:tcPr>
            <w:tcW w:w="1861" w:type="dxa"/>
          </w:tcPr>
          <w:p w14:paraId="061BB12F" w14:textId="77777777" w:rsidR="00F02728" w:rsidRPr="00154D99" w:rsidRDefault="00F02728" w:rsidP="00F02728">
            <w:pPr>
              <w:rPr>
                <w:rFonts w:cs="Arial"/>
                <w:lang w:val="en-US"/>
              </w:rPr>
            </w:pPr>
          </w:p>
        </w:tc>
        <w:tc>
          <w:tcPr>
            <w:tcW w:w="1861" w:type="dxa"/>
          </w:tcPr>
          <w:p w14:paraId="6F690315" w14:textId="77777777" w:rsidR="00F02728" w:rsidRPr="00154D99" w:rsidRDefault="00F02728" w:rsidP="00F02728">
            <w:pPr>
              <w:rPr>
                <w:rFonts w:cs="Arial"/>
                <w:lang w:val="en-US"/>
              </w:rPr>
            </w:pPr>
          </w:p>
        </w:tc>
      </w:tr>
      <w:tr w:rsidR="00F02728" w14:paraId="6A199191" w14:textId="77777777" w:rsidTr="00F02728">
        <w:tc>
          <w:tcPr>
            <w:tcW w:w="1904" w:type="dxa"/>
          </w:tcPr>
          <w:p w14:paraId="0EF3FA04" w14:textId="727BA535" w:rsidR="00F02728" w:rsidRPr="00154D99" w:rsidRDefault="00F02728" w:rsidP="00F02728">
            <w:pPr>
              <w:rPr>
                <w:rFonts w:cs="Arial"/>
                <w:lang w:val="en-US"/>
              </w:rPr>
            </w:pPr>
            <w:r w:rsidRPr="00154D99">
              <w:rPr>
                <w:rFonts w:cs="Arial"/>
              </w:rPr>
              <w:t>Повишена лакримация</w:t>
            </w:r>
          </w:p>
        </w:tc>
        <w:tc>
          <w:tcPr>
            <w:tcW w:w="1862" w:type="dxa"/>
          </w:tcPr>
          <w:p w14:paraId="40CB1650" w14:textId="0C7DDAAB" w:rsidR="00F02728" w:rsidRPr="00154D99" w:rsidRDefault="00F02728" w:rsidP="00F02728">
            <w:pPr>
              <w:rPr>
                <w:rFonts w:cs="Arial"/>
                <w:lang w:val="en-US"/>
              </w:rPr>
            </w:pPr>
            <w:r w:rsidRPr="00154D99">
              <w:rPr>
                <w:rFonts w:cs="Arial"/>
                <w:b/>
                <w:bCs/>
              </w:rPr>
              <w:t>25 (7,2)</w:t>
            </w:r>
          </w:p>
        </w:tc>
        <w:tc>
          <w:tcPr>
            <w:tcW w:w="1862" w:type="dxa"/>
          </w:tcPr>
          <w:p w14:paraId="4A23D101" w14:textId="533A81B3" w:rsidR="00F02728" w:rsidRPr="00154D99" w:rsidRDefault="00F02728" w:rsidP="00F02728">
            <w:pPr>
              <w:rPr>
                <w:rFonts w:cs="Arial"/>
                <w:lang w:val="en-US"/>
              </w:rPr>
            </w:pPr>
            <w:r w:rsidRPr="00154D99">
              <w:rPr>
                <w:rFonts w:cs="Arial"/>
                <w:b/>
                <w:bCs/>
              </w:rPr>
              <w:t>0</w:t>
            </w:r>
          </w:p>
        </w:tc>
        <w:tc>
          <w:tcPr>
            <w:tcW w:w="1861" w:type="dxa"/>
          </w:tcPr>
          <w:p w14:paraId="5B15FA50" w14:textId="068E96FC" w:rsidR="00F02728" w:rsidRPr="00154D99" w:rsidRDefault="00F02728" w:rsidP="00F02728">
            <w:pPr>
              <w:rPr>
                <w:rFonts w:cs="Arial"/>
                <w:lang w:val="en-US"/>
              </w:rPr>
            </w:pPr>
            <w:r w:rsidRPr="00154D99">
              <w:rPr>
                <w:rFonts w:cs="Arial"/>
                <w:b/>
                <w:bCs/>
              </w:rPr>
              <w:t>2(1,2)</w:t>
            </w:r>
          </w:p>
        </w:tc>
        <w:tc>
          <w:tcPr>
            <w:tcW w:w="1861" w:type="dxa"/>
          </w:tcPr>
          <w:p w14:paraId="7530BEED" w14:textId="2742E4B1" w:rsidR="00F02728" w:rsidRPr="00154D99" w:rsidRDefault="00F02728" w:rsidP="00F02728">
            <w:pPr>
              <w:rPr>
                <w:rFonts w:cs="Arial"/>
                <w:lang w:val="en-US"/>
              </w:rPr>
            </w:pPr>
            <w:r w:rsidRPr="00154D99">
              <w:rPr>
                <w:rFonts w:cs="Arial"/>
                <w:b/>
                <w:bCs/>
              </w:rPr>
              <w:t>0</w:t>
            </w:r>
          </w:p>
        </w:tc>
      </w:tr>
      <w:tr w:rsidR="00F02728" w14:paraId="166CF30C" w14:textId="77777777" w:rsidTr="00F02728">
        <w:tc>
          <w:tcPr>
            <w:tcW w:w="1904" w:type="dxa"/>
          </w:tcPr>
          <w:p w14:paraId="71F25119" w14:textId="4C4C150B" w:rsidR="00F02728" w:rsidRPr="00154D99" w:rsidRDefault="00F02728" w:rsidP="00F02728">
            <w:pPr>
              <w:rPr>
                <w:rFonts w:cs="Arial"/>
                <w:lang w:val="en-US"/>
              </w:rPr>
            </w:pPr>
            <w:r w:rsidRPr="00154D99">
              <w:rPr>
                <w:rFonts w:cs="Arial"/>
              </w:rPr>
              <w:t>Замъглено зрение</w:t>
            </w:r>
          </w:p>
        </w:tc>
        <w:tc>
          <w:tcPr>
            <w:tcW w:w="1862" w:type="dxa"/>
          </w:tcPr>
          <w:p w14:paraId="781E1BB9" w14:textId="1DD0306C" w:rsidR="00F02728" w:rsidRPr="00154D99" w:rsidRDefault="00F02728" w:rsidP="00F02728">
            <w:pPr>
              <w:rPr>
                <w:rFonts w:cs="Arial"/>
                <w:lang w:val="en-US"/>
              </w:rPr>
            </w:pPr>
            <w:r w:rsidRPr="00154D99">
              <w:rPr>
                <w:rFonts w:cs="Arial"/>
                <w:b/>
                <w:bCs/>
              </w:rPr>
              <w:t>24(7,0)</w:t>
            </w:r>
          </w:p>
        </w:tc>
        <w:tc>
          <w:tcPr>
            <w:tcW w:w="1862" w:type="dxa"/>
          </w:tcPr>
          <w:p w14:paraId="361A7AEC" w14:textId="56DE6883" w:rsidR="00F02728" w:rsidRPr="00154D99" w:rsidRDefault="00F02728" w:rsidP="00F02728">
            <w:pPr>
              <w:rPr>
                <w:rFonts w:cs="Arial"/>
                <w:lang w:val="en-US"/>
              </w:rPr>
            </w:pPr>
            <w:r w:rsidRPr="00154D99">
              <w:rPr>
                <w:rFonts w:cs="Arial"/>
                <w:b/>
                <w:bCs/>
              </w:rPr>
              <w:t>0</w:t>
            </w:r>
          </w:p>
        </w:tc>
        <w:tc>
          <w:tcPr>
            <w:tcW w:w="1861" w:type="dxa"/>
          </w:tcPr>
          <w:p w14:paraId="30EA8D2C" w14:textId="2D5C5C28" w:rsidR="00F02728" w:rsidRPr="00154D99" w:rsidRDefault="00F02728" w:rsidP="00F02728">
            <w:pPr>
              <w:rPr>
                <w:rFonts w:cs="Arial"/>
                <w:lang w:val="en-US"/>
              </w:rPr>
            </w:pPr>
            <w:r w:rsidRPr="00154D99">
              <w:rPr>
                <w:rFonts w:cs="Arial"/>
                <w:b/>
                <w:bCs/>
              </w:rPr>
              <w:t>3 (1,7)</w:t>
            </w:r>
          </w:p>
        </w:tc>
        <w:tc>
          <w:tcPr>
            <w:tcW w:w="1861" w:type="dxa"/>
          </w:tcPr>
          <w:p w14:paraId="313697DE" w14:textId="4B4839F4" w:rsidR="00F02728" w:rsidRPr="00154D99" w:rsidRDefault="00F02728" w:rsidP="00F02728">
            <w:pPr>
              <w:rPr>
                <w:rFonts w:cs="Arial"/>
                <w:lang w:val="en-US"/>
              </w:rPr>
            </w:pPr>
            <w:r w:rsidRPr="00154D99">
              <w:rPr>
                <w:rFonts w:cs="Arial"/>
                <w:b/>
                <w:bCs/>
              </w:rPr>
              <w:t>0</w:t>
            </w:r>
          </w:p>
        </w:tc>
      </w:tr>
      <w:tr w:rsidR="00F02728" w14:paraId="39B82243" w14:textId="77777777" w:rsidTr="00F02728">
        <w:tc>
          <w:tcPr>
            <w:tcW w:w="1904" w:type="dxa"/>
          </w:tcPr>
          <w:p w14:paraId="6CB4CD34" w14:textId="2CE43429" w:rsidR="00F02728" w:rsidRPr="00154D99" w:rsidRDefault="00F02728" w:rsidP="00F02728">
            <w:pPr>
              <w:rPr>
                <w:rFonts w:cs="Arial"/>
                <w:lang w:val="en-US"/>
              </w:rPr>
            </w:pPr>
            <w:r w:rsidRPr="00154D99">
              <w:rPr>
                <w:rFonts w:cs="Arial"/>
              </w:rPr>
              <w:t>„Сухо око“</w:t>
            </w:r>
          </w:p>
        </w:tc>
        <w:tc>
          <w:tcPr>
            <w:tcW w:w="1862" w:type="dxa"/>
          </w:tcPr>
          <w:p w14:paraId="6F31266B" w14:textId="49B1DFA9" w:rsidR="00F02728" w:rsidRPr="00154D99" w:rsidRDefault="00F02728" w:rsidP="00F02728">
            <w:pPr>
              <w:rPr>
                <w:rFonts w:cs="Arial"/>
                <w:lang w:val="en-US"/>
              </w:rPr>
            </w:pPr>
            <w:r w:rsidRPr="00154D99">
              <w:rPr>
                <w:rFonts w:cs="Arial"/>
                <w:b/>
                <w:bCs/>
              </w:rPr>
              <w:t>15 (4,3)</w:t>
            </w:r>
          </w:p>
        </w:tc>
        <w:tc>
          <w:tcPr>
            <w:tcW w:w="1862" w:type="dxa"/>
          </w:tcPr>
          <w:p w14:paraId="4B9BD1AE" w14:textId="47DE3D45" w:rsidR="00F02728" w:rsidRPr="00154D99" w:rsidRDefault="00F02728" w:rsidP="00F02728">
            <w:pPr>
              <w:rPr>
                <w:rFonts w:cs="Arial"/>
                <w:lang w:val="en-US"/>
              </w:rPr>
            </w:pPr>
            <w:r w:rsidRPr="00154D99">
              <w:rPr>
                <w:rFonts w:cs="Arial"/>
                <w:b/>
                <w:bCs/>
              </w:rPr>
              <w:t>0</w:t>
            </w:r>
          </w:p>
        </w:tc>
        <w:tc>
          <w:tcPr>
            <w:tcW w:w="1861" w:type="dxa"/>
          </w:tcPr>
          <w:p w14:paraId="33C7CEF6" w14:textId="33E168F8" w:rsidR="00F02728" w:rsidRPr="00154D99" w:rsidRDefault="00F02728" w:rsidP="00F02728">
            <w:pPr>
              <w:rPr>
                <w:rFonts w:cs="Arial"/>
                <w:lang w:val="en-US"/>
              </w:rPr>
            </w:pPr>
            <w:r w:rsidRPr="00154D99">
              <w:rPr>
                <w:rFonts w:cs="Arial"/>
                <w:b/>
                <w:bCs/>
              </w:rPr>
              <w:t>3(1,7)</w:t>
            </w:r>
          </w:p>
        </w:tc>
        <w:tc>
          <w:tcPr>
            <w:tcW w:w="1861" w:type="dxa"/>
          </w:tcPr>
          <w:p w14:paraId="135B898A" w14:textId="6984B0F5" w:rsidR="00F02728" w:rsidRPr="00154D99" w:rsidRDefault="00F02728" w:rsidP="00F02728">
            <w:pPr>
              <w:rPr>
                <w:rFonts w:cs="Arial"/>
                <w:lang w:val="en-US"/>
              </w:rPr>
            </w:pPr>
            <w:r w:rsidRPr="00154D99">
              <w:rPr>
                <w:rFonts w:cs="Arial"/>
                <w:b/>
                <w:bCs/>
              </w:rPr>
              <w:t>0</w:t>
            </w:r>
          </w:p>
        </w:tc>
      </w:tr>
      <w:tr w:rsidR="00F02728" w14:paraId="4712D84D" w14:textId="77777777" w:rsidTr="00F02728">
        <w:tc>
          <w:tcPr>
            <w:tcW w:w="9350" w:type="dxa"/>
            <w:gridSpan w:val="5"/>
          </w:tcPr>
          <w:p w14:paraId="7C14DA97" w14:textId="66DCEB3F" w:rsidR="00F02728" w:rsidRPr="00154D99" w:rsidRDefault="00F02728" w:rsidP="00BC543D">
            <w:pPr>
              <w:rPr>
                <w:rFonts w:cs="Arial"/>
                <w:lang w:val="en-US"/>
              </w:rPr>
            </w:pPr>
            <w:r w:rsidRPr="00154D99">
              <w:rPr>
                <w:rFonts w:cs="Arial"/>
                <w:b/>
                <w:bCs/>
              </w:rPr>
              <w:t>Респираторни, гръдни и медиастинални нарушения</w:t>
            </w:r>
          </w:p>
        </w:tc>
      </w:tr>
      <w:tr w:rsidR="00F02728" w14:paraId="614CEC30" w14:textId="77777777" w:rsidTr="00F02728">
        <w:tc>
          <w:tcPr>
            <w:tcW w:w="1904" w:type="dxa"/>
          </w:tcPr>
          <w:p w14:paraId="3900EF25" w14:textId="0A659FFF" w:rsidR="00F02728" w:rsidRPr="00154D99" w:rsidRDefault="00F02728" w:rsidP="00F02728">
            <w:pPr>
              <w:rPr>
                <w:rFonts w:cs="Arial"/>
                <w:lang w:val="en-US"/>
              </w:rPr>
            </w:pPr>
            <w:r w:rsidRPr="00154D99">
              <w:rPr>
                <w:rFonts w:cs="Arial"/>
                <w:i/>
                <w:iCs/>
              </w:rPr>
              <w:t>Чести</w:t>
            </w:r>
          </w:p>
        </w:tc>
        <w:tc>
          <w:tcPr>
            <w:tcW w:w="1862" w:type="dxa"/>
          </w:tcPr>
          <w:p w14:paraId="73E32ADE" w14:textId="77777777" w:rsidR="00F02728" w:rsidRPr="00154D99" w:rsidRDefault="00F02728" w:rsidP="00F02728">
            <w:pPr>
              <w:rPr>
                <w:rFonts w:cs="Arial"/>
                <w:lang w:val="en-US"/>
              </w:rPr>
            </w:pPr>
          </w:p>
        </w:tc>
        <w:tc>
          <w:tcPr>
            <w:tcW w:w="1862" w:type="dxa"/>
          </w:tcPr>
          <w:p w14:paraId="6CF06AFA" w14:textId="77777777" w:rsidR="00F02728" w:rsidRPr="00154D99" w:rsidRDefault="00F02728" w:rsidP="00F02728">
            <w:pPr>
              <w:rPr>
                <w:rFonts w:cs="Arial"/>
                <w:lang w:val="en-US"/>
              </w:rPr>
            </w:pPr>
          </w:p>
        </w:tc>
        <w:tc>
          <w:tcPr>
            <w:tcW w:w="1861" w:type="dxa"/>
          </w:tcPr>
          <w:p w14:paraId="5E44DB0D" w14:textId="77777777" w:rsidR="00F02728" w:rsidRPr="00154D99" w:rsidRDefault="00F02728" w:rsidP="00F02728">
            <w:pPr>
              <w:rPr>
                <w:rFonts w:cs="Arial"/>
                <w:lang w:val="en-US"/>
              </w:rPr>
            </w:pPr>
          </w:p>
        </w:tc>
        <w:tc>
          <w:tcPr>
            <w:tcW w:w="1861" w:type="dxa"/>
          </w:tcPr>
          <w:p w14:paraId="129460A9" w14:textId="77777777" w:rsidR="00F02728" w:rsidRPr="00154D99" w:rsidRDefault="00F02728" w:rsidP="00F02728">
            <w:pPr>
              <w:rPr>
                <w:rFonts w:cs="Arial"/>
                <w:lang w:val="en-US"/>
              </w:rPr>
            </w:pPr>
          </w:p>
        </w:tc>
      </w:tr>
      <w:tr w:rsidR="00F02728" w14:paraId="708CCEBA" w14:textId="77777777" w:rsidTr="00F02728">
        <w:tc>
          <w:tcPr>
            <w:tcW w:w="1904" w:type="dxa"/>
          </w:tcPr>
          <w:p w14:paraId="5F0DE180" w14:textId="77B7A8EA" w:rsidR="00F02728" w:rsidRPr="00154D99" w:rsidRDefault="00F02728" w:rsidP="00F02728">
            <w:pPr>
              <w:rPr>
                <w:rFonts w:cs="Arial"/>
                <w:lang w:val="en-US"/>
              </w:rPr>
            </w:pPr>
            <w:r w:rsidRPr="00154D99">
              <w:rPr>
                <w:rFonts w:cs="Arial"/>
              </w:rPr>
              <w:t>Епистаксис</w:t>
            </w:r>
          </w:p>
        </w:tc>
        <w:tc>
          <w:tcPr>
            <w:tcW w:w="1862" w:type="dxa"/>
          </w:tcPr>
          <w:p w14:paraId="3290D334" w14:textId="5BD80A73" w:rsidR="00F02728" w:rsidRPr="00154D99" w:rsidRDefault="00F02728" w:rsidP="00F02728">
            <w:pPr>
              <w:rPr>
                <w:rFonts w:cs="Arial"/>
                <w:lang w:val="en-US"/>
              </w:rPr>
            </w:pPr>
            <w:r w:rsidRPr="00154D99">
              <w:rPr>
                <w:rFonts w:cs="Arial"/>
                <w:b/>
                <w:bCs/>
              </w:rPr>
              <w:t>25 (7,2)</w:t>
            </w:r>
          </w:p>
        </w:tc>
        <w:tc>
          <w:tcPr>
            <w:tcW w:w="1862" w:type="dxa"/>
          </w:tcPr>
          <w:p w14:paraId="79033459" w14:textId="0A15B7EB" w:rsidR="00F02728" w:rsidRPr="00154D99" w:rsidRDefault="00F02728" w:rsidP="00F02728">
            <w:pPr>
              <w:rPr>
                <w:rFonts w:cs="Arial"/>
                <w:lang w:val="en-US"/>
              </w:rPr>
            </w:pPr>
            <w:r w:rsidRPr="00154D99">
              <w:rPr>
                <w:rFonts w:cs="Arial"/>
                <w:b/>
                <w:bCs/>
              </w:rPr>
              <w:t>0</w:t>
            </w:r>
          </w:p>
        </w:tc>
        <w:tc>
          <w:tcPr>
            <w:tcW w:w="1861" w:type="dxa"/>
          </w:tcPr>
          <w:p w14:paraId="0AFC3EF5" w14:textId="7E3D798D" w:rsidR="00F02728" w:rsidRPr="00154D99" w:rsidRDefault="00F02728" w:rsidP="00F02728">
            <w:pPr>
              <w:rPr>
                <w:rFonts w:cs="Arial"/>
                <w:lang w:val="en-US"/>
              </w:rPr>
            </w:pPr>
            <w:r w:rsidRPr="00154D99">
              <w:rPr>
                <w:rFonts w:cs="Arial"/>
                <w:b/>
                <w:bCs/>
              </w:rPr>
              <w:tab/>
              <w:t>4(23)</w:t>
            </w:r>
          </w:p>
        </w:tc>
        <w:tc>
          <w:tcPr>
            <w:tcW w:w="1861" w:type="dxa"/>
          </w:tcPr>
          <w:p w14:paraId="0A0803F7" w14:textId="176D057E" w:rsidR="00F02728" w:rsidRPr="00154D99" w:rsidRDefault="00F02728" w:rsidP="00F02728">
            <w:pPr>
              <w:rPr>
                <w:rFonts w:cs="Arial"/>
                <w:lang w:val="en-US"/>
              </w:rPr>
            </w:pPr>
            <w:r w:rsidRPr="00154D99">
              <w:rPr>
                <w:rFonts w:cs="Arial"/>
                <w:b/>
                <w:bCs/>
              </w:rPr>
              <w:t>0</w:t>
            </w:r>
          </w:p>
        </w:tc>
      </w:tr>
      <w:tr w:rsidR="00F02728" w14:paraId="52D953DF" w14:textId="77777777" w:rsidTr="00F02728">
        <w:tc>
          <w:tcPr>
            <w:tcW w:w="9350" w:type="dxa"/>
            <w:gridSpan w:val="5"/>
          </w:tcPr>
          <w:p w14:paraId="1243EC9F" w14:textId="68A52A9F" w:rsidR="00F02728" w:rsidRPr="00154D99" w:rsidRDefault="00F02728" w:rsidP="00BC543D">
            <w:pPr>
              <w:rPr>
                <w:rFonts w:cs="Arial"/>
                <w:lang w:val="en-US"/>
              </w:rPr>
            </w:pPr>
            <w:r w:rsidRPr="00154D99">
              <w:rPr>
                <w:rFonts w:cs="Arial"/>
                <w:b/>
                <w:bCs/>
              </w:rPr>
              <w:t>Стомашно-чревни нарушения</w:t>
            </w:r>
          </w:p>
        </w:tc>
      </w:tr>
      <w:tr w:rsidR="00F02728" w14:paraId="13A81BB3" w14:textId="77777777" w:rsidTr="00F02728">
        <w:tc>
          <w:tcPr>
            <w:tcW w:w="1904" w:type="dxa"/>
          </w:tcPr>
          <w:p w14:paraId="7673701E" w14:textId="21914231" w:rsidR="00F02728" w:rsidRPr="00154D99" w:rsidRDefault="00F02728" w:rsidP="00F02728">
            <w:pPr>
              <w:rPr>
                <w:rFonts w:cs="Arial"/>
                <w:lang w:val="en-US"/>
              </w:rPr>
            </w:pPr>
            <w:r w:rsidRPr="00154D99">
              <w:rPr>
                <w:rFonts w:cs="Arial"/>
                <w:i/>
                <w:iCs/>
              </w:rPr>
              <w:t>Много чести</w:t>
            </w:r>
          </w:p>
        </w:tc>
        <w:tc>
          <w:tcPr>
            <w:tcW w:w="1862" w:type="dxa"/>
          </w:tcPr>
          <w:p w14:paraId="45A1347F" w14:textId="77777777" w:rsidR="00F02728" w:rsidRPr="00154D99" w:rsidRDefault="00F02728" w:rsidP="00F02728">
            <w:pPr>
              <w:rPr>
                <w:rFonts w:cs="Arial"/>
                <w:lang w:val="en-US"/>
              </w:rPr>
            </w:pPr>
          </w:p>
        </w:tc>
        <w:tc>
          <w:tcPr>
            <w:tcW w:w="1862" w:type="dxa"/>
          </w:tcPr>
          <w:p w14:paraId="5467C0E1" w14:textId="77777777" w:rsidR="00F02728" w:rsidRPr="00154D99" w:rsidRDefault="00F02728" w:rsidP="00F02728">
            <w:pPr>
              <w:rPr>
                <w:rFonts w:cs="Arial"/>
                <w:lang w:val="en-US"/>
              </w:rPr>
            </w:pPr>
          </w:p>
        </w:tc>
        <w:tc>
          <w:tcPr>
            <w:tcW w:w="1861" w:type="dxa"/>
          </w:tcPr>
          <w:p w14:paraId="2B5F624A" w14:textId="77777777" w:rsidR="00F02728" w:rsidRPr="00154D99" w:rsidRDefault="00F02728" w:rsidP="00F02728">
            <w:pPr>
              <w:rPr>
                <w:rFonts w:cs="Arial"/>
                <w:lang w:val="en-US"/>
              </w:rPr>
            </w:pPr>
          </w:p>
        </w:tc>
        <w:tc>
          <w:tcPr>
            <w:tcW w:w="1861" w:type="dxa"/>
          </w:tcPr>
          <w:p w14:paraId="054A6F9A" w14:textId="77777777" w:rsidR="00F02728" w:rsidRPr="00154D99" w:rsidRDefault="00F02728" w:rsidP="00F02728">
            <w:pPr>
              <w:rPr>
                <w:rFonts w:cs="Arial"/>
                <w:lang w:val="en-US"/>
              </w:rPr>
            </w:pPr>
          </w:p>
        </w:tc>
      </w:tr>
      <w:tr w:rsidR="00F02728" w14:paraId="23321F6C" w14:textId="77777777" w:rsidTr="00F02728">
        <w:tc>
          <w:tcPr>
            <w:tcW w:w="1904" w:type="dxa"/>
          </w:tcPr>
          <w:p w14:paraId="333B50B5" w14:textId="5CA50341" w:rsidR="00F02728" w:rsidRPr="00154D99" w:rsidRDefault="00F02728" w:rsidP="00F02728">
            <w:pPr>
              <w:rPr>
                <w:rFonts w:cs="Arial"/>
                <w:lang w:val="en-US"/>
              </w:rPr>
            </w:pPr>
            <w:r w:rsidRPr="00154D99">
              <w:rPr>
                <w:rFonts w:cs="Arial"/>
              </w:rPr>
              <w:t>Гадене</w:t>
            </w:r>
          </w:p>
        </w:tc>
        <w:tc>
          <w:tcPr>
            <w:tcW w:w="1862" w:type="dxa"/>
          </w:tcPr>
          <w:p w14:paraId="05940FD1" w14:textId="417AA9F5" w:rsidR="00F02728" w:rsidRPr="00154D99" w:rsidRDefault="00F02728" w:rsidP="00F02728">
            <w:pPr>
              <w:rPr>
                <w:rFonts w:cs="Arial"/>
                <w:lang w:val="en-US"/>
              </w:rPr>
            </w:pPr>
            <w:r w:rsidRPr="00154D99">
              <w:rPr>
                <w:rFonts w:cs="Arial"/>
                <w:b/>
                <w:bCs/>
              </w:rPr>
              <w:t>124(35,9)</w:t>
            </w:r>
          </w:p>
        </w:tc>
        <w:tc>
          <w:tcPr>
            <w:tcW w:w="1862" w:type="dxa"/>
          </w:tcPr>
          <w:p w14:paraId="1C2F7329" w14:textId="19D6F193" w:rsidR="00F02728" w:rsidRPr="00154D99" w:rsidRDefault="00F02728" w:rsidP="00F02728">
            <w:pPr>
              <w:rPr>
                <w:rFonts w:cs="Arial"/>
                <w:lang w:val="en-US"/>
              </w:rPr>
            </w:pPr>
            <w:r w:rsidRPr="00154D99">
              <w:rPr>
                <w:rFonts w:cs="Arial"/>
                <w:b/>
                <w:bCs/>
              </w:rPr>
              <w:t>2(0,6)</w:t>
            </w:r>
          </w:p>
        </w:tc>
        <w:tc>
          <w:tcPr>
            <w:tcW w:w="1861" w:type="dxa"/>
          </w:tcPr>
          <w:p w14:paraId="6361A224" w14:textId="65FE5883" w:rsidR="00F02728" w:rsidRPr="00154D99" w:rsidRDefault="00F02728" w:rsidP="00F02728">
            <w:pPr>
              <w:rPr>
                <w:rFonts w:cs="Arial"/>
                <w:lang w:val="en-US"/>
              </w:rPr>
            </w:pPr>
            <w:r w:rsidRPr="00154D99">
              <w:rPr>
                <w:rFonts w:cs="Arial"/>
                <w:b/>
                <w:bCs/>
              </w:rPr>
              <w:t>53 (30,8)</w:t>
            </w:r>
          </w:p>
        </w:tc>
        <w:tc>
          <w:tcPr>
            <w:tcW w:w="1861" w:type="dxa"/>
          </w:tcPr>
          <w:p w14:paraId="33962C66" w14:textId="699677B3" w:rsidR="00F02728" w:rsidRPr="00154D99" w:rsidRDefault="00F02728" w:rsidP="00F02728">
            <w:pPr>
              <w:rPr>
                <w:rFonts w:cs="Arial"/>
                <w:lang w:val="en-US"/>
              </w:rPr>
            </w:pPr>
            <w:r w:rsidRPr="00154D99">
              <w:rPr>
                <w:rFonts w:cs="Arial"/>
                <w:b/>
                <w:bCs/>
              </w:rPr>
              <w:t>1(0,6)</w:t>
            </w:r>
          </w:p>
        </w:tc>
      </w:tr>
      <w:tr w:rsidR="00F02728" w14:paraId="3ED1B5EF" w14:textId="77777777" w:rsidTr="00F02728">
        <w:tc>
          <w:tcPr>
            <w:tcW w:w="1904" w:type="dxa"/>
          </w:tcPr>
          <w:p w14:paraId="54EC27F5" w14:textId="4C7AED43" w:rsidR="00F02728" w:rsidRPr="00154D99" w:rsidRDefault="00F02728" w:rsidP="00F02728">
            <w:pPr>
              <w:rPr>
                <w:rFonts w:cs="Arial"/>
                <w:lang w:val="en-US"/>
              </w:rPr>
            </w:pPr>
            <w:r w:rsidRPr="00154D99">
              <w:rPr>
                <w:rFonts w:cs="Arial"/>
              </w:rPr>
              <w:t>Стоматит ж</w:t>
            </w:r>
          </w:p>
        </w:tc>
        <w:tc>
          <w:tcPr>
            <w:tcW w:w="1862" w:type="dxa"/>
          </w:tcPr>
          <w:p w14:paraId="02C5C4EA" w14:textId="22ECF803" w:rsidR="00F02728" w:rsidRPr="00154D99" w:rsidRDefault="00F02728" w:rsidP="00F02728">
            <w:pPr>
              <w:rPr>
                <w:rFonts w:cs="Arial"/>
                <w:lang w:val="en-US"/>
              </w:rPr>
            </w:pPr>
            <w:r w:rsidRPr="00154D99">
              <w:rPr>
                <w:rFonts w:cs="Arial"/>
                <w:b/>
                <w:bCs/>
              </w:rPr>
              <w:t>104 (30,1)</w:t>
            </w:r>
          </w:p>
        </w:tc>
        <w:tc>
          <w:tcPr>
            <w:tcW w:w="1862" w:type="dxa"/>
          </w:tcPr>
          <w:p w14:paraId="781FEF7D" w14:textId="77F3484E" w:rsidR="00F02728" w:rsidRPr="00154D99" w:rsidRDefault="00F02728" w:rsidP="00F02728">
            <w:pPr>
              <w:rPr>
                <w:rFonts w:cs="Arial"/>
                <w:lang w:val="en-US"/>
              </w:rPr>
            </w:pPr>
            <w:r w:rsidRPr="00154D99">
              <w:rPr>
                <w:rFonts w:cs="Arial"/>
                <w:b/>
                <w:bCs/>
              </w:rPr>
              <w:t>3 (0,9)</w:t>
            </w:r>
          </w:p>
        </w:tc>
        <w:tc>
          <w:tcPr>
            <w:tcW w:w="1861" w:type="dxa"/>
          </w:tcPr>
          <w:p w14:paraId="7C338E3D" w14:textId="4B29C189" w:rsidR="00F02728" w:rsidRPr="00154D99" w:rsidRDefault="00F02728" w:rsidP="00F02728">
            <w:pPr>
              <w:rPr>
                <w:rFonts w:cs="Arial"/>
                <w:lang w:val="en-US"/>
              </w:rPr>
            </w:pPr>
            <w:r w:rsidRPr="00154D99">
              <w:rPr>
                <w:rFonts w:cs="Arial"/>
                <w:b/>
                <w:bCs/>
              </w:rPr>
              <w:t>24(14,0)</w:t>
            </w:r>
          </w:p>
        </w:tc>
        <w:tc>
          <w:tcPr>
            <w:tcW w:w="1861" w:type="dxa"/>
          </w:tcPr>
          <w:p w14:paraId="60E4A66E" w14:textId="1BF27F83" w:rsidR="00F02728" w:rsidRPr="00154D99" w:rsidRDefault="00F02728" w:rsidP="00F02728">
            <w:pPr>
              <w:rPr>
                <w:rFonts w:cs="Arial"/>
                <w:lang w:val="en-US"/>
              </w:rPr>
            </w:pPr>
            <w:r w:rsidRPr="00154D99">
              <w:rPr>
                <w:rFonts w:cs="Arial"/>
                <w:b/>
                <w:bCs/>
              </w:rPr>
              <w:t>0</w:t>
            </w:r>
          </w:p>
        </w:tc>
      </w:tr>
      <w:tr w:rsidR="00F02728" w14:paraId="72813CA4" w14:textId="77777777" w:rsidTr="00F02728">
        <w:tc>
          <w:tcPr>
            <w:tcW w:w="1904" w:type="dxa"/>
          </w:tcPr>
          <w:p w14:paraId="0E3D61DA" w14:textId="411276CB" w:rsidR="00F02728" w:rsidRPr="00154D99" w:rsidRDefault="00F02728" w:rsidP="00F02728">
            <w:pPr>
              <w:rPr>
                <w:rFonts w:cs="Arial"/>
                <w:lang w:val="en-US"/>
              </w:rPr>
            </w:pPr>
            <w:r w:rsidRPr="00154D99">
              <w:rPr>
                <w:rFonts w:cs="Arial"/>
              </w:rPr>
              <w:t>Диария</w:t>
            </w:r>
          </w:p>
        </w:tc>
        <w:tc>
          <w:tcPr>
            <w:tcW w:w="1862" w:type="dxa"/>
          </w:tcPr>
          <w:p w14:paraId="63DF9B5F" w14:textId="7C64180B" w:rsidR="00F02728" w:rsidRPr="00154D99" w:rsidRDefault="00F02728" w:rsidP="00F02728">
            <w:pPr>
              <w:rPr>
                <w:rFonts w:cs="Arial"/>
                <w:lang w:val="en-US"/>
              </w:rPr>
            </w:pPr>
            <w:r w:rsidRPr="00154D99">
              <w:rPr>
                <w:rFonts w:cs="Arial"/>
                <w:b/>
                <w:bCs/>
              </w:rPr>
              <w:t>94 (27,2)</w:t>
            </w:r>
          </w:p>
        </w:tc>
        <w:tc>
          <w:tcPr>
            <w:tcW w:w="1862" w:type="dxa"/>
          </w:tcPr>
          <w:p w14:paraId="145867AD" w14:textId="26FB5715" w:rsidR="00F02728" w:rsidRPr="00154D99" w:rsidRDefault="00F02728" w:rsidP="00F02728">
            <w:pPr>
              <w:rPr>
                <w:rFonts w:cs="Arial"/>
                <w:lang w:val="en-US"/>
              </w:rPr>
            </w:pPr>
            <w:r w:rsidRPr="00154D99">
              <w:rPr>
                <w:rFonts w:cs="Arial"/>
                <w:b/>
                <w:bCs/>
              </w:rPr>
              <w:t>0</w:t>
            </w:r>
          </w:p>
        </w:tc>
        <w:tc>
          <w:tcPr>
            <w:tcW w:w="1861" w:type="dxa"/>
          </w:tcPr>
          <w:p w14:paraId="1E8E1B5C" w14:textId="1348887D" w:rsidR="00F02728" w:rsidRPr="004B3221" w:rsidRDefault="00F02728" w:rsidP="00F02728">
            <w:pPr>
              <w:rPr>
                <w:rFonts w:cs="Arial"/>
                <w:lang w:val="en-US"/>
              </w:rPr>
            </w:pPr>
            <w:r w:rsidRPr="004B3221">
              <w:rPr>
                <w:rFonts w:cs="Arial"/>
                <w:b/>
                <w:bCs/>
              </w:rPr>
              <w:t xml:space="preserve">35(20,3) </w:t>
            </w:r>
          </w:p>
        </w:tc>
        <w:tc>
          <w:tcPr>
            <w:tcW w:w="1861" w:type="dxa"/>
          </w:tcPr>
          <w:p w14:paraId="4CBC6526" w14:textId="60A8DE4D" w:rsidR="00F02728" w:rsidRPr="00154D99" w:rsidRDefault="00F02728" w:rsidP="00F02728">
            <w:pPr>
              <w:rPr>
                <w:rFonts w:cs="Arial"/>
                <w:lang w:val="en-US"/>
              </w:rPr>
            </w:pPr>
            <w:r w:rsidRPr="00154D99">
              <w:rPr>
                <w:rFonts w:cs="Arial"/>
                <w:b/>
                <w:bCs/>
              </w:rPr>
              <w:t xml:space="preserve">    2 (1,2)</w:t>
            </w:r>
          </w:p>
        </w:tc>
      </w:tr>
      <w:tr w:rsidR="00F02728" w14:paraId="66B2B318" w14:textId="77777777" w:rsidTr="00F02728">
        <w:tc>
          <w:tcPr>
            <w:tcW w:w="1904" w:type="dxa"/>
          </w:tcPr>
          <w:p w14:paraId="6300579D" w14:textId="1D937B47" w:rsidR="00F02728" w:rsidRPr="00154D99" w:rsidRDefault="00F02728" w:rsidP="00F02728">
            <w:pPr>
              <w:rPr>
                <w:rFonts w:cs="Arial"/>
                <w:lang w:val="en-US"/>
              </w:rPr>
            </w:pPr>
            <w:r w:rsidRPr="00154D99">
              <w:rPr>
                <w:rFonts w:cs="Arial"/>
              </w:rPr>
              <w:t>Повръщане</w:t>
            </w:r>
          </w:p>
        </w:tc>
        <w:tc>
          <w:tcPr>
            <w:tcW w:w="1862" w:type="dxa"/>
          </w:tcPr>
          <w:p w14:paraId="1F2DFB94" w14:textId="3DED0CDD" w:rsidR="00F02728" w:rsidRPr="00154D99" w:rsidRDefault="00F02728" w:rsidP="00F02728">
            <w:pPr>
              <w:rPr>
                <w:rFonts w:cs="Arial"/>
                <w:lang w:val="en-US"/>
              </w:rPr>
            </w:pPr>
            <w:r w:rsidRPr="00154D99">
              <w:rPr>
                <w:rFonts w:cs="Arial"/>
              </w:rPr>
              <w:t>75 (21,7)</w:t>
            </w:r>
          </w:p>
        </w:tc>
        <w:tc>
          <w:tcPr>
            <w:tcW w:w="1862" w:type="dxa"/>
          </w:tcPr>
          <w:p w14:paraId="42191290" w14:textId="4A134B5B" w:rsidR="00F02728" w:rsidRPr="00154D99" w:rsidRDefault="00F02728" w:rsidP="00F02728">
            <w:pPr>
              <w:rPr>
                <w:rFonts w:cs="Arial"/>
                <w:lang w:val="en-US"/>
              </w:rPr>
            </w:pPr>
            <w:r w:rsidRPr="00154D99">
              <w:rPr>
                <w:rFonts w:cs="Arial"/>
              </w:rPr>
              <w:t>2 (0,6)</w:t>
            </w:r>
          </w:p>
        </w:tc>
        <w:tc>
          <w:tcPr>
            <w:tcW w:w="1861" w:type="dxa"/>
          </w:tcPr>
          <w:p w14:paraId="56EA082F" w14:textId="613ED06D" w:rsidR="00F02728" w:rsidRPr="00154D99" w:rsidRDefault="00F02728" w:rsidP="00F02728">
            <w:pPr>
              <w:rPr>
                <w:rFonts w:cs="Arial"/>
                <w:lang w:val="en-US"/>
              </w:rPr>
            </w:pPr>
            <w:r w:rsidRPr="00154D99">
              <w:rPr>
                <w:rFonts w:cs="Arial"/>
              </w:rPr>
              <w:t>28 (16,3)</w:t>
            </w:r>
          </w:p>
        </w:tc>
        <w:tc>
          <w:tcPr>
            <w:tcW w:w="1861" w:type="dxa"/>
          </w:tcPr>
          <w:p w14:paraId="6B48E629" w14:textId="41CED4CB" w:rsidR="00F02728" w:rsidRPr="00154D99" w:rsidRDefault="00F02728" w:rsidP="00F02728">
            <w:pPr>
              <w:rPr>
                <w:rFonts w:cs="Arial"/>
                <w:lang w:val="en-US"/>
              </w:rPr>
            </w:pPr>
            <w:r w:rsidRPr="00154D99">
              <w:rPr>
                <w:rFonts w:cs="Arial"/>
              </w:rPr>
              <w:t>1 (0,6)</w:t>
            </w:r>
          </w:p>
        </w:tc>
      </w:tr>
      <w:tr w:rsidR="00F02728" w14:paraId="2F39314C" w14:textId="77777777" w:rsidTr="00F02728">
        <w:tc>
          <w:tcPr>
            <w:tcW w:w="9350" w:type="dxa"/>
            <w:gridSpan w:val="5"/>
          </w:tcPr>
          <w:p w14:paraId="237DE14E" w14:textId="65175B8B" w:rsidR="00F02728" w:rsidRPr="00154D99" w:rsidRDefault="00F02728" w:rsidP="00BC543D">
            <w:pPr>
              <w:rPr>
                <w:rFonts w:cs="Arial"/>
                <w:lang w:val="en-US"/>
              </w:rPr>
            </w:pPr>
            <w:r w:rsidRPr="00154D99">
              <w:rPr>
                <w:rFonts w:cs="Arial"/>
                <w:b/>
                <w:bCs/>
              </w:rPr>
              <w:t>Нарушения на кожата н подкожната тъкан</w:t>
            </w:r>
          </w:p>
        </w:tc>
      </w:tr>
      <w:tr w:rsidR="00F02728" w14:paraId="44F55E8A" w14:textId="77777777" w:rsidTr="00F02728">
        <w:tc>
          <w:tcPr>
            <w:tcW w:w="1904" w:type="dxa"/>
          </w:tcPr>
          <w:p w14:paraId="402500C8" w14:textId="2F1E5D94" w:rsidR="00F02728" w:rsidRPr="00154D99" w:rsidRDefault="00F02728" w:rsidP="00F02728">
            <w:pPr>
              <w:rPr>
                <w:rFonts w:cs="Arial"/>
                <w:lang w:val="en-US"/>
              </w:rPr>
            </w:pPr>
            <w:r w:rsidRPr="00154D99">
              <w:rPr>
                <w:rFonts w:cs="Arial"/>
                <w:i/>
                <w:iCs/>
              </w:rPr>
              <w:t>Много чести</w:t>
            </w:r>
          </w:p>
        </w:tc>
        <w:tc>
          <w:tcPr>
            <w:tcW w:w="1862" w:type="dxa"/>
          </w:tcPr>
          <w:p w14:paraId="669BE021" w14:textId="77777777" w:rsidR="00F02728" w:rsidRPr="00154D99" w:rsidRDefault="00F02728" w:rsidP="00F02728">
            <w:pPr>
              <w:rPr>
                <w:rFonts w:cs="Arial"/>
                <w:lang w:val="en-US"/>
              </w:rPr>
            </w:pPr>
          </w:p>
        </w:tc>
        <w:tc>
          <w:tcPr>
            <w:tcW w:w="1862" w:type="dxa"/>
          </w:tcPr>
          <w:p w14:paraId="04F24C46" w14:textId="77777777" w:rsidR="00F02728" w:rsidRPr="00154D99" w:rsidRDefault="00F02728" w:rsidP="00F02728">
            <w:pPr>
              <w:rPr>
                <w:rFonts w:cs="Arial"/>
                <w:lang w:val="en-US"/>
              </w:rPr>
            </w:pPr>
          </w:p>
        </w:tc>
        <w:tc>
          <w:tcPr>
            <w:tcW w:w="1861" w:type="dxa"/>
          </w:tcPr>
          <w:p w14:paraId="5E64DDB0" w14:textId="77777777" w:rsidR="00F02728" w:rsidRPr="00154D99" w:rsidRDefault="00F02728" w:rsidP="00F02728">
            <w:pPr>
              <w:rPr>
                <w:rFonts w:cs="Arial"/>
                <w:lang w:val="en-US"/>
              </w:rPr>
            </w:pPr>
          </w:p>
        </w:tc>
        <w:tc>
          <w:tcPr>
            <w:tcW w:w="1861" w:type="dxa"/>
          </w:tcPr>
          <w:p w14:paraId="5E9994FC" w14:textId="77777777" w:rsidR="00F02728" w:rsidRPr="00154D99" w:rsidRDefault="00F02728" w:rsidP="00F02728">
            <w:pPr>
              <w:rPr>
                <w:rFonts w:cs="Arial"/>
                <w:lang w:val="en-US"/>
              </w:rPr>
            </w:pPr>
          </w:p>
        </w:tc>
      </w:tr>
      <w:tr w:rsidR="00F02728" w14:paraId="7E44750A" w14:textId="77777777" w:rsidTr="00F02728">
        <w:tc>
          <w:tcPr>
            <w:tcW w:w="1904" w:type="dxa"/>
          </w:tcPr>
          <w:p w14:paraId="1438A98E" w14:textId="3AF8CC7C" w:rsidR="00F02728" w:rsidRPr="00154D99" w:rsidRDefault="00F02728" w:rsidP="00F02728">
            <w:pPr>
              <w:rPr>
                <w:rFonts w:cs="Arial"/>
                <w:lang w:val="en-US"/>
              </w:rPr>
            </w:pPr>
            <w:r w:rsidRPr="00154D99">
              <w:rPr>
                <w:rFonts w:cs="Arial"/>
              </w:rPr>
              <w:t>Алопеция</w:t>
            </w:r>
          </w:p>
        </w:tc>
        <w:tc>
          <w:tcPr>
            <w:tcW w:w="1862" w:type="dxa"/>
          </w:tcPr>
          <w:p w14:paraId="5CCD62C2" w14:textId="75C98317" w:rsidR="00F02728" w:rsidRPr="00154D99" w:rsidRDefault="00F02728" w:rsidP="00F02728">
            <w:pPr>
              <w:rPr>
                <w:rFonts w:cs="Arial"/>
                <w:lang w:val="en-US"/>
              </w:rPr>
            </w:pPr>
            <w:r w:rsidRPr="00154D99">
              <w:rPr>
                <w:rFonts w:cs="Arial"/>
              </w:rPr>
              <w:t>67 (19,4)</w:t>
            </w:r>
          </w:p>
        </w:tc>
        <w:tc>
          <w:tcPr>
            <w:tcW w:w="1862" w:type="dxa"/>
          </w:tcPr>
          <w:p w14:paraId="4E5292D4" w14:textId="4EB70596" w:rsidR="00F02728" w:rsidRPr="00154D99" w:rsidRDefault="00F02728" w:rsidP="00F02728">
            <w:pPr>
              <w:rPr>
                <w:rFonts w:cs="Arial"/>
                <w:lang w:val="en-US"/>
              </w:rPr>
            </w:pPr>
            <w:r w:rsidRPr="00154D99">
              <w:rPr>
                <w:rFonts w:cs="Arial"/>
                <w:lang w:val="en-US"/>
              </w:rPr>
              <w:t>NA</w:t>
            </w:r>
          </w:p>
        </w:tc>
        <w:tc>
          <w:tcPr>
            <w:tcW w:w="1861" w:type="dxa"/>
          </w:tcPr>
          <w:p w14:paraId="50D7AD80" w14:textId="5E5E2BA0" w:rsidR="00F02728" w:rsidRPr="00154D99" w:rsidRDefault="00F02728" w:rsidP="00F02728">
            <w:pPr>
              <w:rPr>
                <w:rFonts w:cs="Arial"/>
                <w:lang w:val="en-US"/>
              </w:rPr>
            </w:pPr>
            <w:r w:rsidRPr="00154D99">
              <w:rPr>
                <w:rFonts w:cs="Arial"/>
              </w:rPr>
              <w:t>11 (6,4)</w:t>
            </w:r>
          </w:p>
        </w:tc>
        <w:tc>
          <w:tcPr>
            <w:tcW w:w="1861" w:type="dxa"/>
          </w:tcPr>
          <w:p w14:paraId="7D27E335" w14:textId="5DBC74B0" w:rsidR="00F02728" w:rsidRPr="00154D99" w:rsidRDefault="00F02728" w:rsidP="00F02728">
            <w:pPr>
              <w:rPr>
                <w:rFonts w:cs="Arial"/>
                <w:lang w:val="en-US"/>
              </w:rPr>
            </w:pPr>
            <w:r w:rsidRPr="00154D99">
              <w:rPr>
                <w:rFonts w:cs="Arial"/>
                <w:lang w:val="en-US"/>
              </w:rPr>
              <w:t>NA</w:t>
            </w:r>
          </w:p>
        </w:tc>
      </w:tr>
      <w:tr w:rsidR="00F02728" w14:paraId="2AD15FC5" w14:textId="77777777" w:rsidTr="00F02728">
        <w:tc>
          <w:tcPr>
            <w:tcW w:w="1904" w:type="dxa"/>
          </w:tcPr>
          <w:p w14:paraId="234B0C87" w14:textId="21D55C6E" w:rsidR="00F02728" w:rsidRPr="00154D99" w:rsidRDefault="00F02728" w:rsidP="00F02728">
            <w:pPr>
              <w:rPr>
                <w:rFonts w:cs="Arial"/>
                <w:lang w:val="en-US"/>
              </w:rPr>
            </w:pPr>
            <w:r w:rsidRPr="00154D99">
              <w:rPr>
                <w:rFonts w:cs="Arial"/>
              </w:rPr>
              <w:t>Обрив</w:t>
            </w:r>
            <w:r w:rsidRPr="00154D99">
              <w:rPr>
                <w:rFonts w:cs="Arial"/>
                <w:vertAlign w:val="superscript"/>
              </w:rPr>
              <w:t>3</w:t>
            </w:r>
          </w:p>
        </w:tc>
        <w:tc>
          <w:tcPr>
            <w:tcW w:w="1862" w:type="dxa"/>
          </w:tcPr>
          <w:p w14:paraId="112C4F51" w14:textId="1147AF4C" w:rsidR="00F02728" w:rsidRPr="00154D99" w:rsidRDefault="00F02728" w:rsidP="00F02728">
            <w:pPr>
              <w:rPr>
                <w:rFonts w:cs="Arial"/>
                <w:lang w:val="en-US"/>
              </w:rPr>
            </w:pPr>
            <w:r w:rsidRPr="00154D99">
              <w:rPr>
                <w:rFonts w:cs="Arial"/>
              </w:rPr>
              <w:t>63 (18,3)</w:t>
            </w:r>
          </w:p>
        </w:tc>
        <w:tc>
          <w:tcPr>
            <w:tcW w:w="1862" w:type="dxa"/>
          </w:tcPr>
          <w:p w14:paraId="6BEB99B6" w14:textId="061CA718" w:rsidR="00F02728" w:rsidRPr="00154D99" w:rsidRDefault="00F02728" w:rsidP="00F02728">
            <w:pPr>
              <w:rPr>
                <w:rFonts w:cs="Arial"/>
                <w:lang w:val="en-US"/>
              </w:rPr>
            </w:pPr>
            <w:r w:rsidRPr="00154D99">
              <w:rPr>
                <w:rFonts w:cs="Arial"/>
              </w:rPr>
              <w:t>3(0,9)</w:t>
            </w:r>
          </w:p>
        </w:tc>
        <w:tc>
          <w:tcPr>
            <w:tcW w:w="1861" w:type="dxa"/>
          </w:tcPr>
          <w:p w14:paraId="4874B94D" w14:textId="1442E4D7" w:rsidR="00F02728" w:rsidRPr="00154D99" w:rsidRDefault="00F02728" w:rsidP="00F02728">
            <w:pPr>
              <w:rPr>
                <w:rFonts w:cs="Arial"/>
                <w:lang w:val="en-US"/>
              </w:rPr>
            </w:pPr>
            <w:r w:rsidRPr="00154D99">
              <w:rPr>
                <w:rFonts w:cs="Arial"/>
              </w:rPr>
              <w:t>10(5,8)</w:t>
            </w:r>
          </w:p>
        </w:tc>
        <w:tc>
          <w:tcPr>
            <w:tcW w:w="1861" w:type="dxa"/>
          </w:tcPr>
          <w:p w14:paraId="40F5A540" w14:textId="6551CA85" w:rsidR="00F02728" w:rsidRPr="00154D99" w:rsidRDefault="00F02728" w:rsidP="00F02728">
            <w:pPr>
              <w:rPr>
                <w:rFonts w:cs="Arial"/>
                <w:lang w:val="en-US"/>
              </w:rPr>
            </w:pPr>
            <w:r w:rsidRPr="00154D99">
              <w:rPr>
                <w:rFonts w:cs="Arial"/>
              </w:rPr>
              <w:t>0</w:t>
            </w:r>
          </w:p>
        </w:tc>
      </w:tr>
      <w:tr w:rsidR="00F02728" w14:paraId="5C6807C7" w14:textId="77777777" w:rsidTr="00F02728">
        <w:tc>
          <w:tcPr>
            <w:tcW w:w="1904" w:type="dxa"/>
          </w:tcPr>
          <w:p w14:paraId="3D53C209" w14:textId="0DD335EC" w:rsidR="00F02728" w:rsidRPr="00154D99" w:rsidRDefault="00F02728" w:rsidP="00F02728">
            <w:pPr>
              <w:rPr>
                <w:rFonts w:cs="Arial"/>
                <w:lang w:val="en-US"/>
              </w:rPr>
            </w:pPr>
            <w:r w:rsidRPr="00154D99">
              <w:rPr>
                <w:rFonts w:cs="Arial"/>
                <w:i/>
                <w:iCs/>
              </w:rPr>
              <w:t>Чести</w:t>
            </w:r>
          </w:p>
        </w:tc>
        <w:tc>
          <w:tcPr>
            <w:tcW w:w="1862" w:type="dxa"/>
          </w:tcPr>
          <w:p w14:paraId="5147B952" w14:textId="77777777" w:rsidR="00F02728" w:rsidRPr="00154D99" w:rsidRDefault="00F02728" w:rsidP="00F02728">
            <w:pPr>
              <w:rPr>
                <w:rFonts w:cs="Arial"/>
                <w:lang w:val="en-US"/>
              </w:rPr>
            </w:pPr>
          </w:p>
        </w:tc>
        <w:tc>
          <w:tcPr>
            <w:tcW w:w="1862" w:type="dxa"/>
          </w:tcPr>
          <w:p w14:paraId="479D67C3" w14:textId="77777777" w:rsidR="00F02728" w:rsidRPr="00154D99" w:rsidRDefault="00F02728" w:rsidP="00F02728">
            <w:pPr>
              <w:rPr>
                <w:rFonts w:cs="Arial"/>
                <w:lang w:val="en-US"/>
              </w:rPr>
            </w:pPr>
          </w:p>
        </w:tc>
        <w:tc>
          <w:tcPr>
            <w:tcW w:w="1861" w:type="dxa"/>
          </w:tcPr>
          <w:p w14:paraId="7CA29008" w14:textId="77777777" w:rsidR="00F02728" w:rsidRPr="00154D99" w:rsidRDefault="00F02728" w:rsidP="00F02728">
            <w:pPr>
              <w:rPr>
                <w:rFonts w:cs="Arial"/>
                <w:lang w:val="en-US"/>
              </w:rPr>
            </w:pPr>
          </w:p>
        </w:tc>
        <w:tc>
          <w:tcPr>
            <w:tcW w:w="1861" w:type="dxa"/>
          </w:tcPr>
          <w:p w14:paraId="037C8E34" w14:textId="77777777" w:rsidR="00F02728" w:rsidRPr="00154D99" w:rsidRDefault="00F02728" w:rsidP="00F02728">
            <w:pPr>
              <w:rPr>
                <w:rFonts w:cs="Arial"/>
                <w:lang w:val="en-US"/>
              </w:rPr>
            </w:pPr>
          </w:p>
        </w:tc>
      </w:tr>
      <w:tr w:rsidR="00F02728" w14:paraId="79C42B58" w14:textId="77777777" w:rsidTr="00F02728">
        <w:tc>
          <w:tcPr>
            <w:tcW w:w="1904" w:type="dxa"/>
          </w:tcPr>
          <w:p w14:paraId="1DFF418D" w14:textId="7AC85DE5" w:rsidR="00F02728" w:rsidRPr="00154D99" w:rsidRDefault="00F02728" w:rsidP="00F02728">
            <w:pPr>
              <w:rPr>
                <w:rFonts w:cs="Arial"/>
                <w:lang w:val="en-US"/>
              </w:rPr>
            </w:pPr>
            <w:r w:rsidRPr="00154D99">
              <w:rPr>
                <w:rFonts w:cs="Arial"/>
              </w:rPr>
              <w:t>Суха кожа</w:t>
            </w:r>
          </w:p>
        </w:tc>
        <w:tc>
          <w:tcPr>
            <w:tcW w:w="1862" w:type="dxa"/>
          </w:tcPr>
          <w:p w14:paraId="6482730C" w14:textId="73C71F1D" w:rsidR="00F02728" w:rsidRPr="00154D99" w:rsidRDefault="00F02728" w:rsidP="00F02728">
            <w:pPr>
              <w:rPr>
                <w:rFonts w:cs="Arial"/>
                <w:lang w:val="en-US"/>
              </w:rPr>
            </w:pPr>
            <w:r w:rsidRPr="00154D99">
              <w:rPr>
                <w:rFonts w:cs="Arial"/>
              </w:rPr>
              <w:t>28 (8,1)</w:t>
            </w:r>
          </w:p>
        </w:tc>
        <w:tc>
          <w:tcPr>
            <w:tcW w:w="1862" w:type="dxa"/>
          </w:tcPr>
          <w:p w14:paraId="7B846F5E" w14:textId="39017E5E" w:rsidR="00F02728" w:rsidRPr="00154D99" w:rsidRDefault="00F02728" w:rsidP="00F02728">
            <w:pPr>
              <w:rPr>
                <w:rFonts w:cs="Arial"/>
                <w:lang w:val="en-US"/>
              </w:rPr>
            </w:pPr>
            <w:r w:rsidRPr="00154D99">
              <w:rPr>
                <w:rFonts w:cs="Arial"/>
              </w:rPr>
              <w:t>0</w:t>
            </w:r>
          </w:p>
        </w:tc>
        <w:tc>
          <w:tcPr>
            <w:tcW w:w="1861" w:type="dxa"/>
          </w:tcPr>
          <w:p w14:paraId="22B16B73" w14:textId="0959A61B" w:rsidR="00F02728" w:rsidRPr="00154D99" w:rsidRDefault="00F02728" w:rsidP="00F02728">
            <w:pPr>
              <w:rPr>
                <w:rFonts w:cs="Arial"/>
                <w:lang w:val="en-US"/>
              </w:rPr>
            </w:pPr>
            <w:r w:rsidRPr="00154D99">
              <w:rPr>
                <w:rFonts w:cs="Arial"/>
              </w:rPr>
              <w:t>3(1,7)</w:t>
            </w:r>
          </w:p>
        </w:tc>
        <w:tc>
          <w:tcPr>
            <w:tcW w:w="1861" w:type="dxa"/>
          </w:tcPr>
          <w:p w14:paraId="0B73EFD3" w14:textId="4F461800" w:rsidR="00F02728" w:rsidRPr="00154D99" w:rsidRDefault="00F02728" w:rsidP="00F02728">
            <w:pPr>
              <w:rPr>
                <w:rFonts w:cs="Arial"/>
                <w:lang w:val="en-US"/>
              </w:rPr>
            </w:pPr>
            <w:r w:rsidRPr="00154D99">
              <w:rPr>
                <w:rFonts w:cs="Arial"/>
              </w:rPr>
              <w:t>0</w:t>
            </w:r>
          </w:p>
        </w:tc>
      </w:tr>
      <w:tr w:rsidR="00F02728" w14:paraId="75F1ECDB" w14:textId="77777777" w:rsidTr="00F02728">
        <w:tc>
          <w:tcPr>
            <w:tcW w:w="9350" w:type="dxa"/>
            <w:gridSpan w:val="5"/>
          </w:tcPr>
          <w:p w14:paraId="2B5EFBE3" w14:textId="4714DED2" w:rsidR="00F02728" w:rsidRPr="00154D99" w:rsidRDefault="00F02728" w:rsidP="00BC543D">
            <w:pPr>
              <w:rPr>
                <w:rFonts w:cs="Arial"/>
                <w:lang w:val="en-US"/>
              </w:rPr>
            </w:pPr>
            <w:r w:rsidRPr="00154D99">
              <w:rPr>
                <w:rFonts w:cs="Arial"/>
                <w:b/>
                <w:bCs/>
              </w:rPr>
              <w:t>Общи нарушения и ефекти на мястото на приложение</w:t>
            </w:r>
          </w:p>
        </w:tc>
      </w:tr>
      <w:tr w:rsidR="00F02728" w14:paraId="4553895A" w14:textId="77777777" w:rsidTr="00F02728">
        <w:tc>
          <w:tcPr>
            <w:tcW w:w="1904" w:type="dxa"/>
          </w:tcPr>
          <w:p w14:paraId="5D189301" w14:textId="3041A92E" w:rsidR="00F02728" w:rsidRPr="00154D99" w:rsidRDefault="00F02728" w:rsidP="00F02728">
            <w:pPr>
              <w:rPr>
                <w:rFonts w:cs="Arial"/>
                <w:lang w:val="en-US"/>
              </w:rPr>
            </w:pPr>
            <w:r w:rsidRPr="00154D99">
              <w:rPr>
                <w:rFonts w:cs="Arial"/>
                <w:i/>
                <w:iCs/>
              </w:rPr>
              <w:t>Много чести</w:t>
            </w:r>
          </w:p>
        </w:tc>
        <w:tc>
          <w:tcPr>
            <w:tcW w:w="1862" w:type="dxa"/>
          </w:tcPr>
          <w:p w14:paraId="12CC7A89" w14:textId="77777777" w:rsidR="00F02728" w:rsidRPr="00154D99" w:rsidRDefault="00F02728" w:rsidP="00F02728">
            <w:pPr>
              <w:rPr>
                <w:rFonts w:cs="Arial"/>
                <w:lang w:val="en-US"/>
              </w:rPr>
            </w:pPr>
          </w:p>
        </w:tc>
        <w:tc>
          <w:tcPr>
            <w:tcW w:w="1862" w:type="dxa"/>
          </w:tcPr>
          <w:p w14:paraId="4985A632" w14:textId="77777777" w:rsidR="00F02728" w:rsidRPr="00154D99" w:rsidRDefault="00F02728" w:rsidP="00F02728">
            <w:pPr>
              <w:rPr>
                <w:rFonts w:cs="Arial"/>
                <w:lang w:val="en-US"/>
              </w:rPr>
            </w:pPr>
          </w:p>
        </w:tc>
        <w:tc>
          <w:tcPr>
            <w:tcW w:w="1861" w:type="dxa"/>
          </w:tcPr>
          <w:p w14:paraId="2745B07F" w14:textId="77777777" w:rsidR="00F02728" w:rsidRPr="00154D99" w:rsidRDefault="00F02728" w:rsidP="00F02728">
            <w:pPr>
              <w:rPr>
                <w:rFonts w:cs="Arial"/>
                <w:lang w:val="en-US"/>
              </w:rPr>
            </w:pPr>
          </w:p>
        </w:tc>
        <w:tc>
          <w:tcPr>
            <w:tcW w:w="1861" w:type="dxa"/>
          </w:tcPr>
          <w:p w14:paraId="3790B3EE" w14:textId="77777777" w:rsidR="00F02728" w:rsidRPr="00154D99" w:rsidRDefault="00F02728" w:rsidP="00F02728">
            <w:pPr>
              <w:rPr>
                <w:rFonts w:cs="Arial"/>
                <w:lang w:val="en-US"/>
              </w:rPr>
            </w:pPr>
          </w:p>
        </w:tc>
      </w:tr>
      <w:tr w:rsidR="00F02728" w14:paraId="0D0FAEC1" w14:textId="77777777" w:rsidTr="00F02728">
        <w:tc>
          <w:tcPr>
            <w:tcW w:w="1904" w:type="dxa"/>
          </w:tcPr>
          <w:p w14:paraId="30C91E02" w14:textId="62040820" w:rsidR="00F02728" w:rsidRPr="00154D99" w:rsidRDefault="00F02728" w:rsidP="00F02728">
            <w:pPr>
              <w:rPr>
                <w:rFonts w:cs="Arial"/>
                <w:lang w:val="en-US"/>
              </w:rPr>
            </w:pPr>
            <w:r w:rsidRPr="00154D99">
              <w:rPr>
                <w:rFonts w:cs="Arial"/>
              </w:rPr>
              <w:t>Умора</w:t>
            </w:r>
          </w:p>
        </w:tc>
        <w:tc>
          <w:tcPr>
            <w:tcW w:w="1862" w:type="dxa"/>
          </w:tcPr>
          <w:p w14:paraId="2E91042D" w14:textId="4FB8993A" w:rsidR="00F02728" w:rsidRPr="00154D99" w:rsidRDefault="00F02728" w:rsidP="00F02728">
            <w:pPr>
              <w:rPr>
                <w:rFonts w:cs="Arial"/>
                <w:lang w:val="en-US"/>
              </w:rPr>
            </w:pPr>
            <w:r w:rsidRPr="00154D99">
              <w:rPr>
                <w:rFonts w:cs="Arial"/>
              </w:rPr>
              <w:t>152 (44,1)</w:t>
            </w:r>
          </w:p>
        </w:tc>
        <w:tc>
          <w:tcPr>
            <w:tcW w:w="1862" w:type="dxa"/>
          </w:tcPr>
          <w:p w14:paraId="0C59F6D6" w14:textId="77DB2B98" w:rsidR="00F02728" w:rsidRPr="00154D99" w:rsidRDefault="00F02728" w:rsidP="00F02728">
            <w:pPr>
              <w:rPr>
                <w:rFonts w:cs="Arial"/>
                <w:lang w:val="en-US"/>
              </w:rPr>
            </w:pPr>
            <w:r w:rsidRPr="00154D99">
              <w:rPr>
                <w:rFonts w:cs="Arial"/>
              </w:rPr>
              <w:t>9(2,6)</w:t>
            </w:r>
          </w:p>
        </w:tc>
        <w:tc>
          <w:tcPr>
            <w:tcW w:w="1861" w:type="dxa"/>
          </w:tcPr>
          <w:p w14:paraId="725F23F7" w14:textId="2E246B25" w:rsidR="00F02728" w:rsidRPr="00154D99" w:rsidRDefault="00F02728" w:rsidP="00F02728">
            <w:pPr>
              <w:rPr>
                <w:rFonts w:cs="Arial"/>
                <w:lang w:val="en-US"/>
              </w:rPr>
            </w:pPr>
            <w:r w:rsidRPr="00154D99">
              <w:rPr>
                <w:rFonts w:cs="Arial"/>
              </w:rPr>
              <w:t>54 (31,4)</w:t>
            </w:r>
          </w:p>
        </w:tc>
        <w:tc>
          <w:tcPr>
            <w:tcW w:w="1861" w:type="dxa"/>
          </w:tcPr>
          <w:p w14:paraId="46F3ABB9" w14:textId="462F26E9" w:rsidR="00F02728" w:rsidRPr="00154D99" w:rsidRDefault="00F02728" w:rsidP="00F02728">
            <w:pPr>
              <w:rPr>
                <w:rFonts w:cs="Arial"/>
                <w:lang w:val="en-US"/>
              </w:rPr>
            </w:pPr>
            <w:r w:rsidRPr="00154D99">
              <w:rPr>
                <w:rFonts w:cs="Arial"/>
              </w:rPr>
              <w:t>2(1,2)</w:t>
            </w:r>
          </w:p>
        </w:tc>
      </w:tr>
      <w:tr w:rsidR="00F02728" w14:paraId="1BB024A0" w14:textId="77777777" w:rsidTr="00F02728">
        <w:tc>
          <w:tcPr>
            <w:tcW w:w="1904" w:type="dxa"/>
          </w:tcPr>
          <w:p w14:paraId="2DAFCDB9" w14:textId="19F48287" w:rsidR="00F02728" w:rsidRPr="00154D99" w:rsidRDefault="00F02728" w:rsidP="00F02728">
            <w:pPr>
              <w:rPr>
                <w:rFonts w:cs="Arial"/>
                <w:lang w:val="en-US"/>
              </w:rPr>
            </w:pPr>
            <w:r w:rsidRPr="00154D99">
              <w:rPr>
                <w:rFonts w:cs="Arial"/>
              </w:rPr>
              <w:t>Пирексия</w:t>
            </w:r>
          </w:p>
        </w:tc>
        <w:tc>
          <w:tcPr>
            <w:tcW w:w="1862" w:type="dxa"/>
          </w:tcPr>
          <w:p w14:paraId="4C74011B" w14:textId="54402C44" w:rsidR="00F02728" w:rsidRPr="00154D99" w:rsidRDefault="00F02728" w:rsidP="00F02728">
            <w:pPr>
              <w:rPr>
                <w:rFonts w:cs="Arial"/>
                <w:lang w:val="en-US"/>
              </w:rPr>
            </w:pPr>
            <w:r w:rsidRPr="00154D99">
              <w:rPr>
                <w:rFonts w:cs="Arial"/>
              </w:rPr>
              <w:t>47(13,6)</w:t>
            </w:r>
          </w:p>
        </w:tc>
        <w:tc>
          <w:tcPr>
            <w:tcW w:w="1862" w:type="dxa"/>
          </w:tcPr>
          <w:p w14:paraId="195B4CEA" w14:textId="3CEF0186" w:rsidR="00F02728" w:rsidRPr="00154D99" w:rsidRDefault="00F02728" w:rsidP="00F02728">
            <w:pPr>
              <w:rPr>
                <w:rFonts w:cs="Arial"/>
                <w:lang w:val="en-US"/>
              </w:rPr>
            </w:pPr>
            <w:r w:rsidRPr="00154D99">
              <w:rPr>
                <w:rFonts w:cs="Arial"/>
              </w:rPr>
              <w:t>1 (0,3)</w:t>
            </w:r>
          </w:p>
        </w:tc>
        <w:tc>
          <w:tcPr>
            <w:tcW w:w="1861" w:type="dxa"/>
          </w:tcPr>
          <w:p w14:paraId="5EA27A42" w14:textId="381A3CD5" w:rsidR="00F02728" w:rsidRPr="00154D99" w:rsidRDefault="00F02728" w:rsidP="00F02728">
            <w:pPr>
              <w:rPr>
                <w:rFonts w:cs="Arial"/>
                <w:lang w:val="en-US"/>
              </w:rPr>
            </w:pPr>
            <w:r w:rsidRPr="00154D99">
              <w:rPr>
                <w:rFonts w:cs="Arial"/>
              </w:rPr>
              <w:t>10(5,8)</w:t>
            </w:r>
          </w:p>
        </w:tc>
        <w:tc>
          <w:tcPr>
            <w:tcW w:w="1861" w:type="dxa"/>
          </w:tcPr>
          <w:p w14:paraId="1A391A3C" w14:textId="619C9856" w:rsidR="00F02728" w:rsidRPr="00154D99" w:rsidRDefault="00F02728" w:rsidP="00F02728">
            <w:pPr>
              <w:rPr>
                <w:rFonts w:cs="Arial"/>
                <w:lang w:val="en-US"/>
              </w:rPr>
            </w:pPr>
            <w:r w:rsidRPr="00154D99">
              <w:rPr>
                <w:rFonts w:cs="Arial"/>
              </w:rPr>
              <w:t>0</w:t>
            </w:r>
          </w:p>
        </w:tc>
      </w:tr>
      <w:tr w:rsidR="00F02728" w14:paraId="3F82DCDD" w14:textId="77777777" w:rsidTr="00F02728">
        <w:tc>
          <w:tcPr>
            <w:tcW w:w="1904" w:type="dxa"/>
          </w:tcPr>
          <w:p w14:paraId="4F79C3C6" w14:textId="4F8CF6BB" w:rsidR="00F02728" w:rsidRPr="00154D99" w:rsidRDefault="00F02728" w:rsidP="00F02728">
            <w:pPr>
              <w:rPr>
                <w:rFonts w:cs="Arial"/>
                <w:lang w:val="en-US"/>
              </w:rPr>
            </w:pPr>
            <w:r w:rsidRPr="00154D99">
              <w:rPr>
                <w:rFonts w:cs="Arial"/>
                <w:i/>
                <w:iCs/>
              </w:rPr>
              <w:t>Чести</w:t>
            </w:r>
          </w:p>
        </w:tc>
        <w:tc>
          <w:tcPr>
            <w:tcW w:w="1862" w:type="dxa"/>
          </w:tcPr>
          <w:p w14:paraId="0D585EDF" w14:textId="77777777" w:rsidR="00F02728" w:rsidRPr="00154D99" w:rsidRDefault="00F02728" w:rsidP="00F02728">
            <w:pPr>
              <w:rPr>
                <w:rFonts w:cs="Arial"/>
                <w:lang w:val="en-US"/>
              </w:rPr>
            </w:pPr>
          </w:p>
        </w:tc>
        <w:tc>
          <w:tcPr>
            <w:tcW w:w="1862" w:type="dxa"/>
          </w:tcPr>
          <w:p w14:paraId="123C3F9F" w14:textId="77777777" w:rsidR="00F02728" w:rsidRPr="00154D99" w:rsidRDefault="00F02728" w:rsidP="00F02728">
            <w:pPr>
              <w:rPr>
                <w:rFonts w:cs="Arial"/>
                <w:lang w:val="en-US"/>
              </w:rPr>
            </w:pPr>
          </w:p>
        </w:tc>
        <w:tc>
          <w:tcPr>
            <w:tcW w:w="1861" w:type="dxa"/>
          </w:tcPr>
          <w:p w14:paraId="2C61697D" w14:textId="77777777" w:rsidR="00F02728" w:rsidRPr="00154D99" w:rsidRDefault="00F02728" w:rsidP="00F02728">
            <w:pPr>
              <w:rPr>
                <w:rFonts w:cs="Arial"/>
                <w:lang w:val="en-US"/>
              </w:rPr>
            </w:pPr>
          </w:p>
        </w:tc>
        <w:tc>
          <w:tcPr>
            <w:tcW w:w="1861" w:type="dxa"/>
          </w:tcPr>
          <w:p w14:paraId="3018B920" w14:textId="77777777" w:rsidR="00F02728" w:rsidRPr="00154D99" w:rsidRDefault="00F02728" w:rsidP="00F02728">
            <w:pPr>
              <w:rPr>
                <w:rFonts w:cs="Arial"/>
                <w:lang w:val="en-US"/>
              </w:rPr>
            </w:pPr>
          </w:p>
        </w:tc>
      </w:tr>
      <w:tr w:rsidR="00F02728" w14:paraId="678612CF" w14:textId="77777777" w:rsidTr="00F02728">
        <w:tc>
          <w:tcPr>
            <w:tcW w:w="1904" w:type="dxa"/>
          </w:tcPr>
          <w:p w14:paraId="1A5FD4C4" w14:textId="6DE23574" w:rsidR="00F02728" w:rsidRPr="00154D99" w:rsidRDefault="00F02728" w:rsidP="00F02728">
            <w:pPr>
              <w:rPr>
                <w:rFonts w:cs="Arial"/>
                <w:lang w:val="en-US"/>
              </w:rPr>
            </w:pPr>
            <w:r w:rsidRPr="00154D99">
              <w:rPr>
                <w:rFonts w:cs="Arial"/>
              </w:rPr>
              <w:t>Астения</w:t>
            </w:r>
          </w:p>
        </w:tc>
        <w:tc>
          <w:tcPr>
            <w:tcW w:w="1862" w:type="dxa"/>
          </w:tcPr>
          <w:p w14:paraId="69722BCE" w14:textId="1A2994F6" w:rsidR="00F02728" w:rsidRPr="00154D99" w:rsidRDefault="00F02728" w:rsidP="00F02728">
            <w:pPr>
              <w:rPr>
                <w:rFonts w:cs="Arial"/>
                <w:lang w:val="en-US"/>
              </w:rPr>
            </w:pPr>
            <w:r w:rsidRPr="00154D99">
              <w:rPr>
                <w:rFonts w:cs="Arial"/>
              </w:rPr>
              <w:t>27 (7,8)</w:t>
            </w:r>
          </w:p>
        </w:tc>
        <w:tc>
          <w:tcPr>
            <w:tcW w:w="1862" w:type="dxa"/>
          </w:tcPr>
          <w:p w14:paraId="5C077E69" w14:textId="4844518C" w:rsidR="00F02728" w:rsidRPr="00154D99" w:rsidRDefault="00F02728" w:rsidP="00F02728">
            <w:pPr>
              <w:rPr>
                <w:rFonts w:cs="Arial"/>
                <w:lang w:val="en-US"/>
              </w:rPr>
            </w:pPr>
            <w:r w:rsidRPr="00154D99">
              <w:rPr>
                <w:rFonts w:cs="Arial"/>
                <w:lang w:val="en-US"/>
              </w:rPr>
              <w:t xml:space="preserve">1 </w:t>
            </w:r>
            <w:r w:rsidRPr="00154D99">
              <w:rPr>
                <w:rFonts w:cs="Arial"/>
              </w:rPr>
              <w:t>(0,3)</w:t>
            </w:r>
          </w:p>
        </w:tc>
        <w:tc>
          <w:tcPr>
            <w:tcW w:w="1861" w:type="dxa"/>
          </w:tcPr>
          <w:p w14:paraId="268976A9" w14:textId="7FF939D4" w:rsidR="00F02728" w:rsidRPr="00154D99" w:rsidRDefault="00F02728" w:rsidP="00F02728">
            <w:pPr>
              <w:rPr>
                <w:rFonts w:cs="Arial"/>
                <w:lang w:val="en-US"/>
              </w:rPr>
            </w:pPr>
            <w:r w:rsidRPr="00154D99">
              <w:rPr>
                <w:rFonts w:cs="Arial"/>
              </w:rPr>
              <w:t>13(7,6)</w:t>
            </w:r>
          </w:p>
        </w:tc>
        <w:tc>
          <w:tcPr>
            <w:tcW w:w="1861" w:type="dxa"/>
          </w:tcPr>
          <w:p w14:paraId="0299F62F" w14:textId="172C6F48" w:rsidR="00F02728" w:rsidRPr="00154D99" w:rsidRDefault="00F02728" w:rsidP="00F02728">
            <w:pPr>
              <w:rPr>
                <w:rFonts w:cs="Arial"/>
                <w:lang w:val="en-US"/>
              </w:rPr>
            </w:pPr>
            <w:r w:rsidRPr="00154D99">
              <w:rPr>
                <w:rFonts w:cs="Arial"/>
              </w:rPr>
              <w:t>2</w:t>
            </w:r>
            <w:r w:rsidRPr="00154D99">
              <w:rPr>
                <w:rFonts w:cs="Arial"/>
                <w:lang w:val="en-US"/>
              </w:rPr>
              <w:t xml:space="preserve"> (1,2)</w:t>
            </w:r>
          </w:p>
        </w:tc>
      </w:tr>
      <w:tr w:rsidR="00F02728" w14:paraId="62B81437" w14:textId="77777777" w:rsidTr="00F02728">
        <w:tc>
          <w:tcPr>
            <w:tcW w:w="9350" w:type="dxa"/>
            <w:gridSpan w:val="5"/>
          </w:tcPr>
          <w:p w14:paraId="16E823F4" w14:textId="6D70BA38" w:rsidR="00F02728" w:rsidRPr="00154D99" w:rsidRDefault="00F02728" w:rsidP="00F02728">
            <w:pPr>
              <w:rPr>
                <w:rFonts w:cs="Arial"/>
                <w:lang w:val="en-US"/>
              </w:rPr>
            </w:pPr>
            <w:r w:rsidRPr="00154D99">
              <w:rPr>
                <w:rFonts w:cs="Arial"/>
                <w:b/>
                <w:bCs/>
              </w:rPr>
              <w:t>Изследвания</w:t>
            </w:r>
          </w:p>
        </w:tc>
      </w:tr>
      <w:tr w:rsidR="00F02728" w14:paraId="28D6CBD0" w14:textId="77777777" w:rsidTr="00F02728">
        <w:tc>
          <w:tcPr>
            <w:tcW w:w="1904" w:type="dxa"/>
          </w:tcPr>
          <w:p w14:paraId="4AEC743F" w14:textId="419E56AD" w:rsidR="00F02728" w:rsidRPr="00154D99" w:rsidRDefault="00F02728" w:rsidP="00F02728">
            <w:pPr>
              <w:rPr>
                <w:rFonts w:cs="Arial"/>
                <w:lang w:val="en-US"/>
              </w:rPr>
            </w:pPr>
            <w:r w:rsidRPr="00154D99">
              <w:rPr>
                <w:rFonts w:cs="Arial"/>
                <w:i/>
                <w:iCs/>
              </w:rPr>
              <w:t>Много чести</w:t>
            </w:r>
          </w:p>
        </w:tc>
        <w:tc>
          <w:tcPr>
            <w:tcW w:w="1862" w:type="dxa"/>
          </w:tcPr>
          <w:p w14:paraId="6C346ECC" w14:textId="77777777" w:rsidR="00F02728" w:rsidRPr="00154D99" w:rsidRDefault="00F02728" w:rsidP="00F02728">
            <w:pPr>
              <w:rPr>
                <w:rFonts w:cs="Arial"/>
                <w:lang w:val="en-US"/>
              </w:rPr>
            </w:pPr>
          </w:p>
        </w:tc>
        <w:tc>
          <w:tcPr>
            <w:tcW w:w="1862" w:type="dxa"/>
          </w:tcPr>
          <w:p w14:paraId="328B871D" w14:textId="77777777" w:rsidR="00F02728" w:rsidRPr="00154D99" w:rsidRDefault="00F02728" w:rsidP="00F02728">
            <w:pPr>
              <w:rPr>
                <w:rFonts w:cs="Arial"/>
                <w:lang w:val="en-US"/>
              </w:rPr>
            </w:pPr>
          </w:p>
        </w:tc>
        <w:tc>
          <w:tcPr>
            <w:tcW w:w="1861" w:type="dxa"/>
          </w:tcPr>
          <w:p w14:paraId="2DCB38E1" w14:textId="77777777" w:rsidR="00F02728" w:rsidRPr="00154D99" w:rsidRDefault="00F02728" w:rsidP="00F02728">
            <w:pPr>
              <w:rPr>
                <w:rFonts w:cs="Arial"/>
                <w:lang w:val="en-US"/>
              </w:rPr>
            </w:pPr>
          </w:p>
        </w:tc>
        <w:tc>
          <w:tcPr>
            <w:tcW w:w="1861" w:type="dxa"/>
          </w:tcPr>
          <w:p w14:paraId="6851E54E" w14:textId="77777777" w:rsidR="00F02728" w:rsidRPr="00154D99" w:rsidRDefault="00F02728" w:rsidP="00F02728">
            <w:pPr>
              <w:rPr>
                <w:rFonts w:cs="Arial"/>
                <w:lang w:val="en-US"/>
              </w:rPr>
            </w:pPr>
          </w:p>
        </w:tc>
      </w:tr>
      <w:tr w:rsidR="00F02728" w14:paraId="773F81ED" w14:textId="77777777" w:rsidTr="00F02728">
        <w:tc>
          <w:tcPr>
            <w:tcW w:w="1904" w:type="dxa"/>
          </w:tcPr>
          <w:p w14:paraId="5355A24F" w14:textId="72700AFA" w:rsidR="00F02728" w:rsidRPr="00154D99" w:rsidRDefault="00F02728" w:rsidP="00F02728">
            <w:pPr>
              <w:rPr>
                <w:rFonts w:cs="Arial"/>
                <w:lang w:val="en-US"/>
              </w:rPr>
            </w:pPr>
            <w:r w:rsidRPr="00154D99">
              <w:rPr>
                <w:rFonts w:cs="Arial"/>
              </w:rPr>
              <w:t xml:space="preserve">Повишени стойности на </w:t>
            </w:r>
            <w:r w:rsidRPr="00154D99">
              <w:rPr>
                <w:rFonts w:cs="Arial"/>
                <w:lang w:val="en-US"/>
              </w:rPr>
              <w:t>AST</w:t>
            </w:r>
          </w:p>
        </w:tc>
        <w:tc>
          <w:tcPr>
            <w:tcW w:w="1862" w:type="dxa"/>
          </w:tcPr>
          <w:p w14:paraId="17408FF0" w14:textId="4F621ABF" w:rsidR="00F02728" w:rsidRPr="00154D99" w:rsidRDefault="00F02728" w:rsidP="00F02728">
            <w:pPr>
              <w:rPr>
                <w:rFonts w:cs="Arial"/>
                <w:lang w:val="en-US"/>
              </w:rPr>
            </w:pPr>
            <w:r w:rsidRPr="00154D99">
              <w:rPr>
                <w:rFonts w:cs="Arial"/>
              </w:rPr>
              <w:t>40(11,6)</w:t>
            </w:r>
          </w:p>
        </w:tc>
        <w:tc>
          <w:tcPr>
            <w:tcW w:w="1862" w:type="dxa"/>
          </w:tcPr>
          <w:p w14:paraId="22DE987F" w14:textId="01A8EA08" w:rsidR="00F02728" w:rsidRPr="00154D99" w:rsidRDefault="00F02728" w:rsidP="00F02728">
            <w:pPr>
              <w:rPr>
                <w:rFonts w:cs="Arial"/>
                <w:lang w:val="en-US"/>
              </w:rPr>
            </w:pPr>
            <w:r w:rsidRPr="00154D99">
              <w:rPr>
                <w:rFonts w:cs="Arial"/>
              </w:rPr>
              <w:t>11 (3,2)</w:t>
            </w:r>
          </w:p>
        </w:tc>
        <w:tc>
          <w:tcPr>
            <w:tcW w:w="1861" w:type="dxa"/>
          </w:tcPr>
          <w:p w14:paraId="508CFD5A" w14:textId="4826E3D0" w:rsidR="00F02728" w:rsidRPr="00154D99" w:rsidRDefault="00F02728" w:rsidP="00F02728">
            <w:pPr>
              <w:rPr>
                <w:rFonts w:cs="Arial"/>
                <w:lang w:val="en-US"/>
              </w:rPr>
            </w:pPr>
            <w:r w:rsidRPr="00154D99">
              <w:rPr>
                <w:rFonts w:cs="Arial"/>
              </w:rPr>
              <w:t>13 (7,6)</w:t>
            </w:r>
          </w:p>
        </w:tc>
        <w:tc>
          <w:tcPr>
            <w:tcW w:w="1861" w:type="dxa"/>
          </w:tcPr>
          <w:p w14:paraId="4BE04EE5" w14:textId="16FE712B" w:rsidR="00F02728" w:rsidRPr="00154D99" w:rsidRDefault="00F02728" w:rsidP="00F02728">
            <w:pPr>
              <w:rPr>
                <w:rFonts w:cs="Arial"/>
                <w:lang w:val="en-US"/>
              </w:rPr>
            </w:pPr>
            <w:r w:rsidRPr="00154D99">
              <w:rPr>
                <w:rFonts w:cs="Arial"/>
              </w:rPr>
              <w:t>4(2,3)</w:t>
            </w:r>
          </w:p>
        </w:tc>
      </w:tr>
      <w:tr w:rsidR="00F02728" w14:paraId="01CCA667" w14:textId="77777777" w:rsidTr="00F02728">
        <w:tc>
          <w:tcPr>
            <w:tcW w:w="1904" w:type="dxa"/>
          </w:tcPr>
          <w:p w14:paraId="5A686006" w14:textId="3A482BF4" w:rsidR="00F02728" w:rsidRPr="00154D99" w:rsidRDefault="00F02728" w:rsidP="00F02728">
            <w:pPr>
              <w:rPr>
                <w:rFonts w:cs="Arial"/>
                <w:lang w:val="en-US"/>
              </w:rPr>
            </w:pPr>
            <w:r w:rsidRPr="00154D99">
              <w:rPr>
                <w:rFonts w:cs="Arial"/>
                <w:i/>
                <w:iCs/>
              </w:rPr>
              <w:t>Чести</w:t>
            </w:r>
          </w:p>
        </w:tc>
        <w:tc>
          <w:tcPr>
            <w:tcW w:w="1862" w:type="dxa"/>
          </w:tcPr>
          <w:p w14:paraId="7138BAFD" w14:textId="77777777" w:rsidR="00F02728" w:rsidRPr="00154D99" w:rsidRDefault="00F02728" w:rsidP="00F02728">
            <w:pPr>
              <w:rPr>
                <w:rFonts w:cs="Arial"/>
                <w:lang w:val="en-US"/>
              </w:rPr>
            </w:pPr>
          </w:p>
        </w:tc>
        <w:tc>
          <w:tcPr>
            <w:tcW w:w="1862" w:type="dxa"/>
          </w:tcPr>
          <w:p w14:paraId="286A82EF" w14:textId="77777777" w:rsidR="00F02728" w:rsidRPr="00154D99" w:rsidRDefault="00F02728" w:rsidP="00F02728">
            <w:pPr>
              <w:rPr>
                <w:rFonts w:cs="Arial"/>
                <w:lang w:val="en-US"/>
              </w:rPr>
            </w:pPr>
          </w:p>
        </w:tc>
        <w:tc>
          <w:tcPr>
            <w:tcW w:w="1861" w:type="dxa"/>
          </w:tcPr>
          <w:p w14:paraId="192DCA97" w14:textId="77777777" w:rsidR="00F02728" w:rsidRPr="00154D99" w:rsidRDefault="00F02728" w:rsidP="00F02728">
            <w:pPr>
              <w:rPr>
                <w:rFonts w:cs="Arial"/>
                <w:lang w:val="en-US"/>
              </w:rPr>
            </w:pPr>
          </w:p>
        </w:tc>
        <w:tc>
          <w:tcPr>
            <w:tcW w:w="1861" w:type="dxa"/>
          </w:tcPr>
          <w:p w14:paraId="0CC1CC70" w14:textId="77777777" w:rsidR="00F02728" w:rsidRPr="00154D99" w:rsidRDefault="00F02728" w:rsidP="00F02728">
            <w:pPr>
              <w:rPr>
                <w:rFonts w:cs="Arial"/>
                <w:lang w:val="en-US"/>
              </w:rPr>
            </w:pPr>
          </w:p>
        </w:tc>
      </w:tr>
      <w:tr w:rsidR="00F02728" w14:paraId="567339D5" w14:textId="77777777" w:rsidTr="00F02728">
        <w:tc>
          <w:tcPr>
            <w:tcW w:w="1904" w:type="dxa"/>
          </w:tcPr>
          <w:p w14:paraId="23187C5C" w14:textId="7DCB055B" w:rsidR="00F02728" w:rsidRPr="00154D99" w:rsidRDefault="00F02728" w:rsidP="00F02728">
            <w:pPr>
              <w:rPr>
                <w:rFonts w:cs="Arial"/>
                <w:lang w:val="en-US"/>
              </w:rPr>
            </w:pPr>
            <w:r w:rsidRPr="00154D99">
              <w:rPr>
                <w:rFonts w:cs="Arial"/>
              </w:rPr>
              <w:t xml:space="preserve">Повишени стойности на </w:t>
            </w:r>
            <w:r w:rsidRPr="00154D99">
              <w:rPr>
                <w:rFonts w:cs="Arial"/>
                <w:lang w:val="en-US"/>
              </w:rPr>
              <w:t>ALT</w:t>
            </w:r>
          </w:p>
        </w:tc>
        <w:tc>
          <w:tcPr>
            <w:tcW w:w="1862" w:type="dxa"/>
          </w:tcPr>
          <w:p w14:paraId="7D679F13" w14:textId="70996C77" w:rsidR="00F02728" w:rsidRPr="00154D99" w:rsidRDefault="00F02728" w:rsidP="00F02728">
            <w:pPr>
              <w:rPr>
                <w:rFonts w:cs="Arial"/>
                <w:lang w:val="en-US"/>
              </w:rPr>
            </w:pPr>
            <w:r w:rsidRPr="00154D99">
              <w:rPr>
                <w:rFonts w:cs="Arial"/>
              </w:rPr>
              <w:t>30 (8,7)</w:t>
            </w:r>
          </w:p>
        </w:tc>
        <w:tc>
          <w:tcPr>
            <w:tcW w:w="1862" w:type="dxa"/>
          </w:tcPr>
          <w:p w14:paraId="0B4EA1F4" w14:textId="48E30D89" w:rsidR="00F02728" w:rsidRPr="00154D99" w:rsidRDefault="00F02728" w:rsidP="00F02728">
            <w:pPr>
              <w:rPr>
                <w:rFonts w:cs="Arial"/>
                <w:lang w:val="en-US"/>
              </w:rPr>
            </w:pPr>
            <w:r w:rsidRPr="00154D99">
              <w:rPr>
                <w:rFonts w:cs="Arial"/>
              </w:rPr>
              <w:t>7 (2,0)</w:t>
            </w:r>
          </w:p>
        </w:tc>
        <w:tc>
          <w:tcPr>
            <w:tcW w:w="1861" w:type="dxa"/>
          </w:tcPr>
          <w:p w14:paraId="62A7BF77" w14:textId="498B27CC" w:rsidR="00F02728" w:rsidRPr="00154D99" w:rsidRDefault="00F02728" w:rsidP="00F02728">
            <w:pPr>
              <w:rPr>
                <w:rFonts w:cs="Arial"/>
                <w:lang w:val="en-US"/>
              </w:rPr>
            </w:pPr>
            <w:r w:rsidRPr="00154D99">
              <w:rPr>
                <w:rFonts w:cs="Arial"/>
              </w:rPr>
              <w:t>10 (5,8)</w:t>
            </w:r>
          </w:p>
        </w:tc>
        <w:tc>
          <w:tcPr>
            <w:tcW w:w="1861" w:type="dxa"/>
          </w:tcPr>
          <w:p w14:paraId="5869306A" w14:textId="7A828D94" w:rsidR="00F02728" w:rsidRPr="00154D99" w:rsidRDefault="00F02728" w:rsidP="00F02728">
            <w:pPr>
              <w:rPr>
                <w:rFonts w:cs="Arial"/>
                <w:lang w:val="en-US"/>
              </w:rPr>
            </w:pPr>
            <w:r w:rsidRPr="00154D99">
              <w:rPr>
                <w:rFonts w:cs="Arial"/>
              </w:rPr>
              <w:t>1 (0,6)</w:t>
            </w:r>
          </w:p>
        </w:tc>
      </w:tr>
    </w:tbl>
    <w:p w14:paraId="638CB91B" w14:textId="77777777" w:rsidR="00F02728" w:rsidRDefault="00F02728" w:rsidP="00F02728">
      <w:pPr>
        <w:spacing w:line="240" w:lineRule="auto"/>
        <w:rPr>
          <w:rFonts w:eastAsia="Times New Roman" w:cs="Arial"/>
          <w:color w:val="000000"/>
          <w:sz w:val="20"/>
          <w:szCs w:val="20"/>
          <w:lang w:eastAsia="bg-BG"/>
        </w:rPr>
      </w:pPr>
      <w:r w:rsidRPr="00F02728">
        <w:rPr>
          <w:rFonts w:eastAsia="Times New Roman" w:cs="Arial"/>
          <w:color w:val="000000"/>
          <w:sz w:val="20"/>
          <w:szCs w:val="20"/>
          <w:lang w:eastAsia="bg-BG"/>
        </w:rPr>
        <w:t>А</w:t>
      </w:r>
      <w:r w:rsidRPr="00F02728">
        <w:rPr>
          <w:rFonts w:eastAsia="Times New Roman" w:cs="Arial"/>
          <w:color w:val="000000"/>
          <w:sz w:val="20"/>
          <w:szCs w:val="20"/>
          <w:lang w:val="en-US"/>
        </w:rPr>
        <w:t>L</w:t>
      </w:r>
      <w:r w:rsidRPr="00F02728">
        <w:rPr>
          <w:rFonts w:eastAsia="Times New Roman" w:cs="Arial"/>
          <w:color w:val="000000"/>
          <w:sz w:val="20"/>
          <w:szCs w:val="20"/>
          <w:lang w:eastAsia="bg-BG"/>
        </w:rPr>
        <w:t>Т=аланин аминотрансфераза; А</w:t>
      </w:r>
      <w:r w:rsidRPr="00F02728">
        <w:rPr>
          <w:rFonts w:eastAsia="Times New Roman" w:cs="Arial"/>
          <w:color w:val="000000"/>
          <w:sz w:val="20"/>
          <w:szCs w:val="20"/>
          <w:lang w:val="en-US"/>
        </w:rPr>
        <w:t>S</w:t>
      </w:r>
      <w:r w:rsidRPr="00F02728">
        <w:rPr>
          <w:rFonts w:eastAsia="Times New Roman" w:cs="Arial"/>
          <w:color w:val="000000"/>
          <w:sz w:val="20"/>
          <w:szCs w:val="20"/>
          <w:lang w:eastAsia="bg-BG"/>
        </w:rPr>
        <w:t xml:space="preserve">Т=аспартат аминотрансфераза; </w:t>
      </w:r>
      <w:r w:rsidRPr="00F02728">
        <w:rPr>
          <w:rFonts w:eastAsia="Times New Roman" w:cs="Arial"/>
          <w:color w:val="000000"/>
          <w:sz w:val="20"/>
          <w:szCs w:val="20"/>
          <w:lang w:val="en-US"/>
        </w:rPr>
        <w:t>N/n=6po</w:t>
      </w:r>
      <w:r w:rsidRPr="00F02728">
        <w:rPr>
          <w:rFonts w:eastAsia="Times New Roman" w:cs="Arial"/>
          <w:color w:val="000000"/>
          <w:sz w:val="20"/>
          <w:szCs w:val="20"/>
          <w:lang w:eastAsia="bg-BG"/>
        </w:rPr>
        <w:t>й</w:t>
      </w:r>
      <w:r w:rsidRPr="00F02728">
        <w:rPr>
          <w:rFonts w:eastAsia="Times New Roman" w:cs="Arial"/>
          <w:color w:val="000000"/>
          <w:sz w:val="20"/>
          <w:szCs w:val="20"/>
          <w:lang w:val="en-US"/>
        </w:rPr>
        <w:t xml:space="preserve"> </w:t>
      </w:r>
      <w:r w:rsidRPr="00F02728">
        <w:rPr>
          <w:rFonts w:eastAsia="Times New Roman" w:cs="Arial"/>
          <w:color w:val="000000"/>
          <w:sz w:val="20"/>
          <w:szCs w:val="20"/>
          <w:lang w:eastAsia="bg-BG"/>
        </w:rPr>
        <w:t xml:space="preserve">пациенти; </w:t>
      </w:r>
      <w:r w:rsidRPr="00F02728">
        <w:rPr>
          <w:rFonts w:eastAsia="Times New Roman" w:cs="Arial"/>
          <w:color w:val="000000"/>
          <w:sz w:val="20"/>
          <w:szCs w:val="20"/>
          <w:lang w:val="en-US"/>
        </w:rPr>
        <w:t xml:space="preserve">NA= </w:t>
      </w:r>
      <w:r w:rsidRPr="00F02728">
        <w:rPr>
          <w:rFonts w:eastAsia="Times New Roman" w:cs="Arial"/>
          <w:color w:val="000000"/>
          <w:sz w:val="20"/>
          <w:szCs w:val="20"/>
          <w:lang w:eastAsia="bg-BG"/>
        </w:rPr>
        <w:t xml:space="preserve">не е приложимо </w:t>
      </w:r>
    </w:p>
    <w:p w14:paraId="194F6233" w14:textId="74A7C710" w:rsidR="00F02728" w:rsidRPr="00F02728" w:rsidRDefault="00F02728" w:rsidP="00F02728">
      <w:pPr>
        <w:spacing w:line="240" w:lineRule="auto"/>
        <w:rPr>
          <w:rFonts w:eastAsia="Times New Roman" w:cs="Arial"/>
          <w:sz w:val="20"/>
          <w:szCs w:val="20"/>
          <w:lang w:eastAsia="bg-BG"/>
        </w:rPr>
      </w:pPr>
      <w:r w:rsidRPr="00F02728">
        <w:rPr>
          <w:rFonts w:eastAsia="Times New Roman" w:cs="Arial"/>
          <w:color w:val="000000"/>
          <w:sz w:val="20"/>
          <w:szCs w:val="20"/>
          <w:vertAlign w:val="superscript"/>
          <w:lang w:eastAsia="bg-BG"/>
        </w:rPr>
        <w:t xml:space="preserve">а </w:t>
      </w:r>
      <w:r w:rsidRPr="00F02728">
        <w:rPr>
          <w:rFonts w:eastAsia="Times New Roman" w:cs="Arial"/>
          <w:color w:val="000000"/>
          <w:sz w:val="20"/>
          <w:szCs w:val="20"/>
          <w:lang w:eastAsia="bg-BG"/>
        </w:rPr>
        <w:t xml:space="preserve">Предпочитаните термини (ПТ) са изброени съгласно </w:t>
      </w:r>
      <w:proofErr w:type="spellStart"/>
      <w:r w:rsidRPr="00F02728">
        <w:rPr>
          <w:rFonts w:eastAsia="Times New Roman" w:cs="Arial"/>
          <w:color w:val="000000"/>
          <w:sz w:val="20"/>
          <w:szCs w:val="20"/>
          <w:lang w:val="en-US"/>
        </w:rPr>
        <w:t>MedDRA</w:t>
      </w:r>
      <w:proofErr w:type="spellEnd"/>
      <w:r w:rsidRPr="00F02728">
        <w:rPr>
          <w:rFonts w:eastAsia="Times New Roman" w:cs="Arial"/>
          <w:color w:val="000000"/>
          <w:sz w:val="20"/>
          <w:szCs w:val="20"/>
          <w:lang w:val="en-US"/>
        </w:rPr>
        <w:t xml:space="preserve"> </w:t>
      </w:r>
      <w:r w:rsidRPr="00F02728">
        <w:rPr>
          <w:rFonts w:eastAsia="Times New Roman" w:cs="Arial"/>
          <w:color w:val="000000"/>
          <w:sz w:val="20"/>
          <w:szCs w:val="20"/>
          <w:lang w:eastAsia="bg-BG"/>
        </w:rPr>
        <w:t>17.1.</w:t>
      </w:r>
    </w:p>
    <w:p w14:paraId="09AF0915" w14:textId="77777777" w:rsidR="00F02728" w:rsidRDefault="00F02728" w:rsidP="00F02728">
      <w:pPr>
        <w:spacing w:line="240" w:lineRule="auto"/>
        <w:rPr>
          <w:rFonts w:eastAsia="Times New Roman" w:cs="Arial"/>
          <w:color w:val="000000"/>
          <w:sz w:val="20"/>
          <w:szCs w:val="20"/>
          <w:vertAlign w:val="superscript"/>
          <w:lang w:eastAsia="bg-BG"/>
        </w:rPr>
      </w:pPr>
      <w:r w:rsidRPr="00F02728">
        <w:rPr>
          <w:rFonts w:eastAsia="Times New Roman" w:cs="Arial"/>
          <w:color w:val="000000"/>
          <w:sz w:val="20"/>
          <w:szCs w:val="20"/>
          <w:vertAlign w:val="superscript"/>
          <w:lang w:eastAsia="bg-BG"/>
        </w:rPr>
        <w:lastRenderedPageBreak/>
        <w:t>б</w:t>
      </w:r>
      <w:r w:rsidRPr="00F02728">
        <w:rPr>
          <w:rFonts w:eastAsia="Times New Roman" w:cs="Arial"/>
          <w:color w:val="000000"/>
          <w:sz w:val="20"/>
          <w:szCs w:val="20"/>
          <w:lang w:eastAsia="bg-BG"/>
        </w:rPr>
        <w:t xml:space="preserve"> „Инфекции“ включва всички ПТ, които са част от системо-органния клас „Инфекции и инфестации“.</w:t>
      </w:r>
      <w:r w:rsidRPr="00F02728">
        <w:rPr>
          <w:rFonts w:eastAsia="Times New Roman" w:cs="Arial"/>
          <w:color w:val="000000"/>
          <w:sz w:val="20"/>
          <w:szCs w:val="20"/>
          <w:vertAlign w:val="superscript"/>
          <w:lang w:eastAsia="bg-BG"/>
        </w:rPr>
        <w:t xml:space="preserve"> </w:t>
      </w:r>
    </w:p>
    <w:p w14:paraId="15770543" w14:textId="28A62A3C" w:rsidR="00F02728" w:rsidRPr="00F02728" w:rsidRDefault="00F02728" w:rsidP="00F02728">
      <w:pPr>
        <w:spacing w:line="240" w:lineRule="auto"/>
        <w:rPr>
          <w:rFonts w:eastAsia="Times New Roman" w:cs="Arial"/>
          <w:sz w:val="20"/>
          <w:szCs w:val="20"/>
          <w:lang w:eastAsia="bg-BG"/>
        </w:rPr>
      </w:pPr>
      <w:r w:rsidRPr="00F02728">
        <w:rPr>
          <w:rFonts w:eastAsia="Times New Roman" w:cs="Arial"/>
          <w:color w:val="000000"/>
          <w:sz w:val="20"/>
          <w:szCs w:val="20"/>
          <w:vertAlign w:val="superscript"/>
          <w:lang w:eastAsia="bg-BG"/>
        </w:rPr>
        <w:t xml:space="preserve">в </w:t>
      </w:r>
      <w:r w:rsidRPr="00F02728">
        <w:rPr>
          <w:rFonts w:eastAsia="Times New Roman" w:cs="Arial"/>
          <w:color w:val="000000"/>
          <w:sz w:val="20"/>
          <w:szCs w:val="20"/>
          <w:lang w:eastAsia="bg-BG"/>
        </w:rPr>
        <w:t>„Неугропения“ включва следните ПТ: неугропения, намален брой на неутрофилите.</w:t>
      </w:r>
    </w:p>
    <w:p w14:paraId="3C260D85" w14:textId="77777777" w:rsidR="00F02728" w:rsidRDefault="00F02728" w:rsidP="00F02728">
      <w:pPr>
        <w:spacing w:line="240" w:lineRule="auto"/>
        <w:rPr>
          <w:rFonts w:eastAsia="Times New Roman" w:cs="Arial"/>
          <w:color w:val="000000"/>
          <w:sz w:val="20"/>
          <w:szCs w:val="20"/>
          <w:lang w:eastAsia="bg-BG"/>
        </w:rPr>
      </w:pPr>
      <w:r w:rsidRPr="00F02728">
        <w:rPr>
          <w:rFonts w:eastAsia="Times New Roman" w:cs="Arial"/>
          <w:color w:val="000000"/>
          <w:sz w:val="20"/>
          <w:szCs w:val="20"/>
          <w:vertAlign w:val="superscript"/>
          <w:lang w:eastAsia="bg-BG"/>
        </w:rPr>
        <w:t>г</w:t>
      </w:r>
      <w:r w:rsidRPr="00F02728">
        <w:rPr>
          <w:rFonts w:eastAsia="Times New Roman" w:cs="Arial"/>
          <w:color w:val="000000"/>
          <w:sz w:val="20"/>
          <w:szCs w:val="20"/>
          <w:lang w:eastAsia="bg-BG"/>
        </w:rPr>
        <w:t xml:space="preserve"> „Левкопения" включва следните ПТ: левкопения, намален брой на белите кръвни клетки, </w:t>
      </w:r>
    </w:p>
    <w:p w14:paraId="54C09442" w14:textId="77777777" w:rsidR="00F02728" w:rsidRDefault="00F02728" w:rsidP="00F02728">
      <w:pPr>
        <w:spacing w:line="240" w:lineRule="auto"/>
        <w:rPr>
          <w:rFonts w:eastAsia="Times New Roman" w:cs="Arial"/>
          <w:color w:val="000000"/>
          <w:sz w:val="20"/>
          <w:szCs w:val="20"/>
          <w:lang w:eastAsia="bg-BG"/>
        </w:rPr>
      </w:pPr>
      <w:r w:rsidRPr="00F02728">
        <w:rPr>
          <w:rFonts w:eastAsia="Times New Roman" w:cs="Arial"/>
          <w:color w:val="000000"/>
          <w:sz w:val="20"/>
          <w:szCs w:val="20"/>
          <w:vertAlign w:val="superscript"/>
          <w:lang w:eastAsia="bg-BG"/>
        </w:rPr>
        <w:t>д</w:t>
      </w:r>
      <w:r w:rsidRPr="00F02728">
        <w:rPr>
          <w:rFonts w:eastAsia="Times New Roman" w:cs="Arial"/>
          <w:color w:val="000000"/>
          <w:sz w:val="20"/>
          <w:szCs w:val="20"/>
          <w:lang w:eastAsia="bg-BG"/>
        </w:rPr>
        <w:t xml:space="preserve"> ,Анемия“ включва следните ПТ: анемия, понижен хемоглобин, понижен хематокрит. </w:t>
      </w:r>
    </w:p>
    <w:p w14:paraId="796D6425" w14:textId="77777777" w:rsidR="00F02728" w:rsidRDefault="00F02728" w:rsidP="00F02728">
      <w:pPr>
        <w:spacing w:line="240" w:lineRule="auto"/>
        <w:rPr>
          <w:rFonts w:eastAsia="Times New Roman" w:cs="Arial"/>
          <w:color w:val="000000"/>
          <w:sz w:val="20"/>
          <w:szCs w:val="20"/>
          <w:lang w:eastAsia="bg-BG"/>
        </w:rPr>
      </w:pPr>
      <w:r w:rsidRPr="00F02728">
        <w:rPr>
          <w:rFonts w:eastAsia="Times New Roman" w:cs="Arial"/>
          <w:color w:val="000000"/>
          <w:sz w:val="20"/>
          <w:szCs w:val="20"/>
          <w:vertAlign w:val="superscript"/>
          <w:lang w:eastAsia="bg-BG"/>
        </w:rPr>
        <w:t>е</w:t>
      </w:r>
      <w:r w:rsidRPr="00F02728">
        <w:rPr>
          <w:rFonts w:eastAsia="Times New Roman" w:cs="Arial"/>
          <w:color w:val="000000"/>
          <w:sz w:val="20"/>
          <w:szCs w:val="20"/>
          <w:lang w:eastAsia="bg-BG"/>
        </w:rPr>
        <w:t xml:space="preserve"> „Тромбоцитопения“ включва следните ПТ: тромбоцитопения, намален брой на тромбоцитите. </w:t>
      </w:r>
    </w:p>
    <w:p w14:paraId="1211A0CD" w14:textId="7B04924C" w:rsidR="00F02728" w:rsidRPr="00F02728" w:rsidRDefault="00F02728" w:rsidP="00F02728">
      <w:pPr>
        <w:spacing w:line="240" w:lineRule="auto"/>
        <w:rPr>
          <w:rFonts w:eastAsia="Times New Roman" w:cs="Arial"/>
          <w:sz w:val="20"/>
          <w:szCs w:val="20"/>
          <w:lang w:eastAsia="bg-BG"/>
        </w:rPr>
      </w:pPr>
      <w:r w:rsidRPr="00F02728">
        <w:rPr>
          <w:rFonts w:eastAsia="Times New Roman" w:cs="Arial"/>
          <w:color w:val="000000"/>
          <w:sz w:val="20"/>
          <w:szCs w:val="20"/>
          <w:vertAlign w:val="superscript"/>
          <w:lang w:eastAsia="bg-BG"/>
        </w:rPr>
        <w:t>ж</w:t>
      </w:r>
      <w:r w:rsidRPr="00F02728">
        <w:rPr>
          <w:rFonts w:eastAsia="Times New Roman" w:cs="Arial"/>
          <w:color w:val="000000"/>
          <w:sz w:val="20"/>
          <w:szCs w:val="20"/>
          <w:lang w:eastAsia="bg-BG"/>
        </w:rPr>
        <w:t xml:space="preserve"> „Стоматит“ включва следните ПТ: афтозен стоматит, хейлит, глосит, глосодиния, язви в устата, възпаление на лигавицата, болка в устата, орофарингеален дискомфорт, орофарингеална болка, стоматит.</w:t>
      </w:r>
    </w:p>
    <w:p w14:paraId="49529A8F" w14:textId="77777777" w:rsidR="00F02728" w:rsidRPr="00F02728" w:rsidRDefault="00F02728" w:rsidP="00F02728">
      <w:pPr>
        <w:spacing w:line="240" w:lineRule="auto"/>
        <w:rPr>
          <w:rFonts w:eastAsia="Times New Roman" w:cs="Arial"/>
          <w:sz w:val="20"/>
          <w:szCs w:val="20"/>
          <w:lang w:eastAsia="bg-BG"/>
        </w:rPr>
      </w:pPr>
      <w:r w:rsidRPr="00F02728">
        <w:rPr>
          <w:rFonts w:eastAsia="Times New Roman" w:cs="Arial"/>
          <w:color w:val="000000"/>
          <w:sz w:val="20"/>
          <w:szCs w:val="20"/>
          <w:vertAlign w:val="superscript"/>
          <w:lang w:eastAsia="bg-BG"/>
        </w:rPr>
        <w:t>з</w:t>
      </w:r>
      <w:r w:rsidRPr="00F02728">
        <w:rPr>
          <w:rFonts w:eastAsia="Times New Roman" w:cs="Arial"/>
          <w:color w:val="000000"/>
          <w:sz w:val="20"/>
          <w:szCs w:val="20"/>
          <w:lang w:eastAsia="bg-BG"/>
        </w:rPr>
        <w:t xml:space="preserve"> „Обрив“ включва следните ПТ: обрив, макулопапулозен обрив, сърбящ обрив, еритематозен обрив, папулозен обрив, дерматит, акнеиформен дерматит, токсичен кожен обрив.</w:t>
      </w:r>
    </w:p>
    <w:p w14:paraId="0A1BF666" w14:textId="77777777" w:rsidR="00F02728" w:rsidRDefault="00F02728" w:rsidP="00F02728">
      <w:pPr>
        <w:spacing w:line="240" w:lineRule="auto"/>
        <w:rPr>
          <w:rFonts w:ascii="Times New Roman" w:eastAsia="Times New Roman" w:hAnsi="Times New Roman" w:cs="Times New Roman"/>
          <w:color w:val="000000"/>
          <w:sz w:val="20"/>
          <w:szCs w:val="20"/>
          <w:u w:val="single"/>
          <w:lang w:eastAsia="bg-BG"/>
        </w:rPr>
      </w:pPr>
    </w:p>
    <w:p w14:paraId="010041BC" w14:textId="71F2C928" w:rsidR="00F02728" w:rsidRPr="00F02728" w:rsidRDefault="00F02728" w:rsidP="00F02728">
      <w:pPr>
        <w:spacing w:line="240" w:lineRule="auto"/>
        <w:rPr>
          <w:rFonts w:eastAsia="Times New Roman" w:cs="Arial"/>
          <w:sz w:val="28"/>
          <w:szCs w:val="24"/>
          <w:lang w:eastAsia="bg-BG"/>
        </w:rPr>
      </w:pPr>
      <w:r w:rsidRPr="00F02728">
        <w:rPr>
          <w:rFonts w:eastAsia="Times New Roman" w:cs="Arial"/>
          <w:color w:val="000000"/>
          <w:szCs w:val="20"/>
          <w:u w:val="single"/>
          <w:lang w:eastAsia="bg-BG"/>
        </w:rPr>
        <w:t>Описание на избрани нежелани реакции</w:t>
      </w:r>
    </w:p>
    <w:p w14:paraId="01E67E5A" w14:textId="77777777" w:rsidR="00F02728" w:rsidRPr="00F02728" w:rsidRDefault="00F02728" w:rsidP="00F02728">
      <w:pPr>
        <w:spacing w:line="240" w:lineRule="auto"/>
        <w:rPr>
          <w:rFonts w:eastAsia="Times New Roman" w:cs="Arial"/>
          <w:sz w:val="28"/>
          <w:szCs w:val="24"/>
          <w:lang w:eastAsia="bg-BG"/>
        </w:rPr>
      </w:pPr>
      <w:r w:rsidRPr="00F02728">
        <w:rPr>
          <w:rFonts w:eastAsia="Times New Roman" w:cs="Arial"/>
          <w:i/>
          <w:iCs/>
          <w:color w:val="000000"/>
          <w:szCs w:val="20"/>
          <w:lang w:eastAsia="bg-BG"/>
        </w:rPr>
        <w:t>Неутропения</w:t>
      </w:r>
    </w:p>
    <w:p w14:paraId="0289E6E4" w14:textId="77777777" w:rsidR="00F02728" w:rsidRPr="00F02728" w:rsidRDefault="00F02728" w:rsidP="00F02728">
      <w:pPr>
        <w:spacing w:line="240" w:lineRule="auto"/>
        <w:rPr>
          <w:rFonts w:eastAsia="Times New Roman" w:cs="Arial"/>
          <w:sz w:val="28"/>
          <w:szCs w:val="24"/>
          <w:lang w:eastAsia="bg-BG"/>
        </w:rPr>
      </w:pPr>
      <w:r w:rsidRPr="00F02728">
        <w:rPr>
          <w:rFonts w:eastAsia="Times New Roman" w:cs="Arial"/>
          <w:color w:val="000000"/>
          <w:szCs w:val="20"/>
          <w:lang w:eastAsia="bg-BG"/>
        </w:rPr>
        <w:t xml:space="preserve">Неугропения от каквато и да е степен се съобщава при 290 (84,1 %) пациенти от проучването </w:t>
      </w:r>
      <w:r w:rsidRPr="00F02728">
        <w:rPr>
          <w:rFonts w:eastAsia="Times New Roman" w:cs="Arial"/>
          <w:color w:val="000000"/>
          <w:szCs w:val="20"/>
          <w:lang w:val="en-US"/>
        </w:rPr>
        <w:t xml:space="preserve">PALOMA3, </w:t>
      </w:r>
      <w:r w:rsidRPr="00F02728">
        <w:rPr>
          <w:rFonts w:eastAsia="Times New Roman" w:cs="Arial"/>
          <w:color w:val="000000"/>
          <w:szCs w:val="20"/>
          <w:lang w:eastAsia="bg-BG"/>
        </w:rPr>
        <w:t>получаващи фулвестрант в комбинация с палбоциклиб; неугропения степен 3 се съобщава при 200 (58,0%) пациенти, а неугропения степен 4 се съобщава при 40 (11,6%) пациенти. В рамото на фулвестрант плюс плацебо (</w:t>
      </w:r>
      <w:r w:rsidRPr="00F02728">
        <w:rPr>
          <w:rFonts w:eastAsia="Times New Roman" w:cs="Arial"/>
          <w:color w:val="000000"/>
          <w:szCs w:val="20"/>
          <w:lang w:val="en-US"/>
        </w:rPr>
        <w:t>n</w:t>
      </w:r>
      <w:r w:rsidRPr="00F02728">
        <w:rPr>
          <w:rFonts w:eastAsia="Times New Roman" w:cs="Arial"/>
          <w:color w:val="000000"/>
          <w:szCs w:val="20"/>
          <w:lang w:eastAsia="bg-BG"/>
        </w:rPr>
        <w:t>=172), неугропения от каквато и да е степен се съобщава при 6 (3,5%) пациенти;. Няма съобщения за неугропения степен 3 и 4 в рамото на фулвестрант плюс плацебо.</w:t>
      </w:r>
    </w:p>
    <w:p w14:paraId="3CE686D1" w14:textId="77777777" w:rsidR="00F02728" w:rsidRPr="00F02728" w:rsidRDefault="00F02728" w:rsidP="00F02728">
      <w:pPr>
        <w:spacing w:line="240" w:lineRule="auto"/>
        <w:rPr>
          <w:rFonts w:eastAsia="Times New Roman" w:cs="Arial"/>
          <w:color w:val="000000"/>
          <w:szCs w:val="20"/>
          <w:lang w:eastAsia="bg-BG"/>
        </w:rPr>
      </w:pPr>
    </w:p>
    <w:p w14:paraId="7F6B6D89" w14:textId="6DC86C10" w:rsidR="00F02728" w:rsidRPr="00F02728" w:rsidRDefault="00F02728" w:rsidP="00F02728">
      <w:pPr>
        <w:spacing w:line="240" w:lineRule="auto"/>
        <w:rPr>
          <w:rFonts w:eastAsia="Times New Roman" w:cs="Arial"/>
          <w:sz w:val="28"/>
          <w:szCs w:val="24"/>
          <w:lang w:eastAsia="bg-BG"/>
        </w:rPr>
      </w:pPr>
      <w:r w:rsidRPr="00F02728">
        <w:rPr>
          <w:rFonts w:eastAsia="Times New Roman" w:cs="Arial"/>
          <w:color w:val="000000"/>
          <w:szCs w:val="20"/>
          <w:lang w:eastAsia="bg-BG"/>
        </w:rPr>
        <w:t>При пациенти, получаващи фулвестрант в комбинация с палбоциклиб, медианата на времето до първия епизод на неугропения от каквато е да е степен е 15 дни (диапазон: 13-512 дни), а медианата на продължителността на неугропения степен &gt;3 е 16 дни. Фебрилна неугропения се съобщава при 3 (0,9%) от пациентите, получаващи фулвестрант в комбинация с палбоциклиб.</w:t>
      </w:r>
    </w:p>
    <w:p w14:paraId="03AA8FB5" w14:textId="77777777" w:rsidR="00F02728" w:rsidRPr="00F02728" w:rsidRDefault="00F02728" w:rsidP="00F02728">
      <w:pPr>
        <w:spacing w:line="240" w:lineRule="auto"/>
        <w:rPr>
          <w:rFonts w:eastAsia="Times New Roman" w:cs="Arial"/>
          <w:color w:val="000000"/>
          <w:szCs w:val="20"/>
          <w:u w:val="single"/>
          <w:lang w:eastAsia="bg-BG"/>
        </w:rPr>
      </w:pPr>
    </w:p>
    <w:p w14:paraId="575614E1" w14:textId="72CED411" w:rsidR="00F02728" w:rsidRPr="00F02728" w:rsidRDefault="00F02728" w:rsidP="00F02728">
      <w:pPr>
        <w:spacing w:line="240" w:lineRule="auto"/>
        <w:rPr>
          <w:rFonts w:eastAsia="Times New Roman" w:cs="Arial"/>
          <w:sz w:val="28"/>
          <w:szCs w:val="24"/>
          <w:lang w:eastAsia="bg-BG"/>
        </w:rPr>
      </w:pPr>
      <w:r w:rsidRPr="00F02728">
        <w:rPr>
          <w:rFonts w:eastAsia="Times New Roman" w:cs="Arial"/>
          <w:color w:val="000000"/>
          <w:szCs w:val="20"/>
          <w:u w:val="single"/>
          <w:lang w:eastAsia="bg-BG"/>
        </w:rPr>
        <w:t>Съобщаване на подозирани нежелани реакции</w:t>
      </w:r>
    </w:p>
    <w:p w14:paraId="10EFE48E" w14:textId="1C6BE311" w:rsidR="00BC543D" w:rsidRPr="00F02728" w:rsidRDefault="00F02728" w:rsidP="00F02728">
      <w:pPr>
        <w:rPr>
          <w:rFonts w:cs="Arial"/>
          <w:sz w:val="24"/>
          <w:lang w:val="en-US"/>
        </w:rPr>
      </w:pPr>
      <w:r w:rsidRPr="00F02728">
        <w:rPr>
          <w:rFonts w:eastAsia="Times New Roman" w:cs="Arial"/>
          <w:color w:val="000000"/>
          <w:szCs w:val="2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8,1303 София, тел.: +35928903417, уебсайт: </w:t>
      </w:r>
      <w:r w:rsidRPr="00F02728">
        <w:rPr>
          <w:rFonts w:eastAsia="Times New Roman" w:cs="Arial"/>
          <w:color w:val="000000"/>
          <w:szCs w:val="20"/>
          <w:lang w:val="en-US"/>
        </w:rPr>
        <w:t>www.bda.bg</w:t>
      </w:r>
    </w:p>
    <w:p w14:paraId="15078B61" w14:textId="77777777" w:rsidR="00BC543D" w:rsidRPr="0091385D" w:rsidRDefault="00BC543D"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6A43B8F3" w14:textId="4ECF474C" w:rsidR="007A2185" w:rsidRPr="0054101C" w:rsidRDefault="00154D99" w:rsidP="0091385D">
      <w:pPr>
        <w:rPr>
          <w:rFonts w:cs="Arial"/>
          <w:sz w:val="24"/>
        </w:rPr>
      </w:pPr>
      <w:r w:rsidRPr="0054101C">
        <w:rPr>
          <w:rFonts w:cs="Arial"/>
          <w:szCs w:val="20"/>
        </w:rPr>
        <w:t>Съобщени са изолирани случаи на предозиране с фулвестрант при хора. При предозиране се препоръчва симптоматично поддържащо лечение. Проучванията върху животни предполагат, че няма други ефекти освен тези, отнесени директно или индиректно към антиестрогенната активност при високи дози на фулвестрант (вж. точка 5.3).</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635D5F6A" w14:textId="77777777" w:rsidR="00154D99" w:rsidRPr="00154D99" w:rsidRDefault="00154D99" w:rsidP="00154D99">
      <w:pPr>
        <w:spacing w:line="240" w:lineRule="auto"/>
        <w:rPr>
          <w:rFonts w:eastAsia="Times New Roman" w:cs="Arial"/>
          <w:sz w:val="28"/>
          <w:szCs w:val="24"/>
          <w:lang w:eastAsia="bg-BG"/>
        </w:rPr>
      </w:pPr>
      <w:r w:rsidRPr="00154D99">
        <w:rPr>
          <w:rFonts w:eastAsia="Times New Roman" w:cs="Arial"/>
          <w:color w:val="000000"/>
          <w:szCs w:val="20"/>
          <w:lang w:eastAsia="bg-BG"/>
        </w:rPr>
        <w:t xml:space="preserve">Фармакотерапевтична група: Ендокринна терапия, Антиестрогени, АТС код: </w:t>
      </w:r>
      <w:r w:rsidRPr="00154D99">
        <w:rPr>
          <w:rFonts w:eastAsia="Times New Roman" w:cs="Arial"/>
          <w:color w:val="000000"/>
          <w:szCs w:val="20"/>
          <w:lang w:val="en-US"/>
        </w:rPr>
        <w:t>L02BA03</w:t>
      </w:r>
    </w:p>
    <w:p w14:paraId="5A2C3E1E" w14:textId="77777777" w:rsidR="00154D99" w:rsidRPr="0054101C" w:rsidRDefault="00154D99" w:rsidP="00154D99">
      <w:pPr>
        <w:spacing w:line="240" w:lineRule="auto"/>
        <w:rPr>
          <w:rFonts w:eastAsia="Times New Roman" w:cs="Arial"/>
          <w:color w:val="000000"/>
          <w:szCs w:val="20"/>
          <w:u w:val="single"/>
          <w:lang w:eastAsia="bg-BG"/>
        </w:rPr>
      </w:pPr>
    </w:p>
    <w:p w14:paraId="102242CC" w14:textId="6380AAFB" w:rsidR="00154D99" w:rsidRPr="00154D99" w:rsidRDefault="00154D99" w:rsidP="00154D99">
      <w:pPr>
        <w:spacing w:line="240" w:lineRule="auto"/>
        <w:rPr>
          <w:rFonts w:eastAsia="Times New Roman" w:cs="Arial"/>
          <w:sz w:val="28"/>
          <w:szCs w:val="24"/>
          <w:lang w:eastAsia="bg-BG"/>
        </w:rPr>
      </w:pPr>
      <w:r w:rsidRPr="00154D99">
        <w:rPr>
          <w:rFonts w:eastAsia="Times New Roman" w:cs="Arial"/>
          <w:color w:val="000000"/>
          <w:szCs w:val="20"/>
          <w:u w:val="single"/>
          <w:lang w:eastAsia="bg-BG"/>
        </w:rPr>
        <w:t>Механизъм на действие и Фармакодинамични ефекти</w:t>
      </w:r>
    </w:p>
    <w:p w14:paraId="0D69450F" w14:textId="77777777" w:rsidR="00154D99" w:rsidRPr="00154D99" w:rsidRDefault="00154D99" w:rsidP="00154D99">
      <w:pPr>
        <w:spacing w:line="240" w:lineRule="auto"/>
        <w:rPr>
          <w:rFonts w:eastAsia="Times New Roman" w:cs="Arial"/>
          <w:sz w:val="28"/>
          <w:szCs w:val="24"/>
          <w:lang w:eastAsia="bg-BG"/>
        </w:rPr>
      </w:pPr>
      <w:r w:rsidRPr="00154D99">
        <w:rPr>
          <w:rFonts w:eastAsia="Times New Roman" w:cs="Arial"/>
          <w:color w:val="000000"/>
          <w:szCs w:val="20"/>
          <w:lang w:eastAsia="bg-BG"/>
        </w:rPr>
        <w:t xml:space="preserve">Фулвестрант е конкурентен антагонист на естрогеновите рецептори </w:t>
      </w:r>
      <w:r w:rsidRPr="00154D99">
        <w:rPr>
          <w:rFonts w:eastAsia="Times New Roman" w:cs="Arial"/>
          <w:color w:val="000000"/>
          <w:szCs w:val="20"/>
          <w:lang w:val="en-US"/>
        </w:rPr>
        <w:t xml:space="preserve">(ER) </w:t>
      </w:r>
      <w:r w:rsidRPr="00154D99">
        <w:rPr>
          <w:rFonts w:eastAsia="Times New Roman" w:cs="Arial"/>
          <w:color w:val="000000"/>
          <w:szCs w:val="20"/>
          <w:lang w:eastAsia="bg-BG"/>
        </w:rPr>
        <w:t>с афинитет, сравним с този на естрадиол. Фулвестрант блокира трофичните действия на естрогените, без да има парциално агонистично (естрогено-подобно) действие. Механизмът му на действие е свързан с понижение на нивата на естроген-рецепторния протеин.</w:t>
      </w:r>
    </w:p>
    <w:p w14:paraId="1A8B05BA" w14:textId="6E57E40E" w:rsidR="00154D99" w:rsidRPr="00154D99" w:rsidRDefault="00154D99" w:rsidP="00154D99">
      <w:pPr>
        <w:spacing w:line="240" w:lineRule="auto"/>
        <w:rPr>
          <w:rFonts w:eastAsia="Times New Roman" w:cs="Arial"/>
          <w:sz w:val="28"/>
          <w:szCs w:val="24"/>
          <w:lang w:eastAsia="bg-BG"/>
        </w:rPr>
      </w:pPr>
      <w:r w:rsidRPr="00154D99">
        <w:rPr>
          <w:rFonts w:eastAsia="Times New Roman" w:cs="Arial"/>
          <w:color w:val="000000"/>
          <w:szCs w:val="20"/>
          <w:lang w:eastAsia="bg-BG"/>
        </w:rPr>
        <w:t xml:space="preserve">Клиничните проучвания при постменопаузални жени с първичен рак на гърдата показват, че фулвестрант значително понижава ЕР протеина при ЕР позитивни тумори, в сравнение с плацебо. Също така, налице е значително понижение на експресията на прогестероновия рецептор, което е в съответствие с липсата на присъщи естроген-агонистични ефекти. Също така, има данни, че фулвестрант 500 </w:t>
      </w:r>
      <w:r w:rsidRPr="00154D99">
        <w:rPr>
          <w:rFonts w:eastAsia="Times New Roman" w:cs="Arial"/>
          <w:color w:val="000000"/>
          <w:szCs w:val="20"/>
          <w:lang w:val="en-US"/>
        </w:rPr>
        <w:t xml:space="preserve">mg, </w:t>
      </w:r>
      <w:r w:rsidRPr="00154D99">
        <w:rPr>
          <w:rFonts w:eastAsia="Times New Roman" w:cs="Arial"/>
          <w:color w:val="000000"/>
          <w:szCs w:val="20"/>
          <w:lang w:eastAsia="bg-BG"/>
        </w:rPr>
        <w:t xml:space="preserve">приложен при пациенти с тумори на гърдата, в условията на неоадювантно лечение, потиска експресията на </w:t>
      </w:r>
      <w:r w:rsidRPr="00154D99">
        <w:rPr>
          <w:rFonts w:eastAsia="Times New Roman" w:cs="Arial"/>
          <w:color w:val="000000"/>
          <w:szCs w:val="20"/>
          <w:lang w:val="en-US"/>
        </w:rPr>
        <w:t xml:space="preserve">ER </w:t>
      </w:r>
      <w:r w:rsidRPr="00154D99">
        <w:rPr>
          <w:rFonts w:eastAsia="Times New Roman" w:cs="Arial"/>
          <w:color w:val="000000"/>
          <w:szCs w:val="20"/>
          <w:lang w:eastAsia="bg-BG"/>
        </w:rPr>
        <w:t xml:space="preserve">и на маркера на пролиферация </w:t>
      </w:r>
      <w:r w:rsidRPr="00154D99">
        <w:rPr>
          <w:rFonts w:eastAsia="Times New Roman" w:cs="Arial"/>
          <w:color w:val="000000"/>
          <w:szCs w:val="20"/>
          <w:lang w:val="en-US"/>
        </w:rPr>
        <w:t xml:space="preserve">Ki67 </w:t>
      </w:r>
      <w:r w:rsidRPr="00154D99">
        <w:rPr>
          <w:rFonts w:eastAsia="Times New Roman" w:cs="Arial"/>
          <w:color w:val="000000"/>
          <w:szCs w:val="20"/>
          <w:lang w:eastAsia="bg-BG"/>
        </w:rPr>
        <w:t xml:space="preserve">в по-голяма степен, отколкото фулвестрант 250 </w:t>
      </w:r>
      <w:r w:rsidRPr="00154D99">
        <w:rPr>
          <w:rFonts w:eastAsia="Times New Roman" w:cs="Arial"/>
          <w:color w:val="000000"/>
          <w:szCs w:val="20"/>
          <w:lang w:val="en-US"/>
        </w:rPr>
        <w:t>mg.</w:t>
      </w:r>
    </w:p>
    <w:p w14:paraId="20EA3631" w14:textId="77777777" w:rsidR="00154D99" w:rsidRPr="0054101C" w:rsidRDefault="00154D99" w:rsidP="00154D99">
      <w:pPr>
        <w:spacing w:line="240" w:lineRule="auto"/>
        <w:rPr>
          <w:rFonts w:eastAsia="Times New Roman" w:cs="Arial"/>
          <w:color w:val="000000"/>
          <w:szCs w:val="20"/>
          <w:u w:val="single"/>
          <w:lang w:eastAsia="bg-BG"/>
        </w:rPr>
      </w:pPr>
    </w:p>
    <w:p w14:paraId="626769AA" w14:textId="6CDE22CE" w:rsidR="00154D99" w:rsidRPr="00154D99" w:rsidRDefault="00154D99" w:rsidP="00154D99">
      <w:pPr>
        <w:spacing w:line="240" w:lineRule="auto"/>
        <w:rPr>
          <w:rFonts w:eastAsia="Times New Roman" w:cs="Arial"/>
          <w:sz w:val="28"/>
          <w:szCs w:val="24"/>
          <w:lang w:eastAsia="bg-BG"/>
        </w:rPr>
      </w:pPr>
      <w:r w:rsidRPr="00154D99">
        <w:rPr>
          <w:rFonts w:eastAsia="Times New Roman" w:cs="Arial"/>
          <w:color w:val="000000"/>
          <w:szCs w:val="20"/>
          <w:u w:val="single"/>
          <w:lang w:eastAsia="bg-BG"/>
        </w:rPr>
        <w:t>Клинична ефикасност и безопасност при авансирал рак на гърдата</w:t>
      </w:r>
    </w:p>
    <w:p w14:paraId="43E2BF9F" w14:textId="77777777" w:rsidR="00154D99" w:rsidRPr="0054101C" w:rsidRDefault="00154D99" w:rsidP="00154D99">
      <w:pPr>
        <w:spacing w:line="240" w:lineRule="auto"/>
        <w:rPr>
          <w:rFonts w:eastAsia="Times New Roman" w:cs="Arial"/>
          <w:i/>
          <w:iCs/>
          <w:color w:val="000000"/>
          <w:szCs w:val="20"/>
          <w:lang w:eastAsia="bg-BG"/>
        </w:rPr>
      </w:pPr>
    </w:p>
    <w:p w14:paraId="344D8855" w14:textId="6285D900" w:rsidR="00154D99" w:rsidRPr="00154D99" w:rsidRDefault="00154D99" w:rsidP="00154D99">
      <w:pPr>
        <w:spacing w:line="240" w:lineRule="auto"/>
        <w:rPr>
          <w:rFonts w:eastAsia="Times New Roman" w:cs="Arial"/>
          <w:sz w:val="28"/>
          <w:szCs w:val="24"/>
          <w:lang w:eastAsia="bg-BG"/>
        </w:rPr>
      </w:pPr>
      <w:r w:rsidRPr="00154D99">
        <w:rPr>
          <w:rFonts w:eastAsia="Times New Roman" w:cs="Arial"/>
          <w:i/>
          <w:iCs/>
          <w:color w:val="000000"/>
          <w:szCs w:val="20"/>
          <w:lang w:eastAsia="bg-BG"/>
        </w:rPr>
        <w:t>Монотерапия</w:t>
      </w:r>
    </w:p>
    <w:p w14:paraId="1D73FC19" w14:textId="77777777" w:rsidR="00154D99" w:rsidRPr="00154D99" w:rsidRDefault="00154D99" w:rsidP="00154D99">
      <w:pPr>
        <w:spacing w:line="240" w:lineRule="auto"/>
        <w:rPr>
          <w:rFonts w:eastAsia="Times New Roman" w:cs="Arial"/>
          <w:sz w:val="28"/>
          <w:szCs w:val="24"/>
          <w:lang w:eastAsia="bg-BG"/>
        </w:rPr>
      </w:pPr>
      <w:r w:rsidRPr="00154D99">
        <w:rPr>
          <w:rFonts w:eastAsia="Times New Roman" w:cs="Arial"/>
          <w:color w:val="000000"/>
          <w:szCs w:val="20"/>
          <w:lang w:eastAsia="bg-BG"/>
        </w:rPr>
        <w:t xml:space="preserve">Клинично проучване фаза 3 е приключило при 736 постменопаузални жени с авансирал рак на гърдата, с рецидив по време на или след адювантна ендокринна терапия или с прогресия след ендокринна терапия за авансирало заболяване. Проучването включва 423 пациенти, които са имали рецидив или прогресия по време на анти-естрогенова терапия (АЕ-подгрупа) и 313 пациенти, които са имали рецидив или прогресия по време на терапия с ароматазен инхибитор (АИ-подгрупа). Проучването сравнява ефикасността и безопасността на фулвестрант 500 </w:t>
      </w:r>
      <w:r w:rsidRPr="00154D99">
        <w:rPr>
          <w:rFonts w:eastAsia="Times New Roman" w:cs="Arial"/>
          <w:color w:val="000000"/>
          <w:szCs w:val="20"/>
          <w:lang w:val="en-US"/>
        </w:rPr>
        <w:t xml:space="preserve">mg </w:t>
      </w:r>
      <w:r w:rsidRPr="00154D99">
        <w:rPr>
          <w:rFonts w:eastAsia="Times New Roman" w:cs="Arial"/>
          <w:color w:val="000000"/>
          <w:szCs w:val="20"/>
          <w:lang w:eastAsia="bg-BG"/>
        </w:rPr>
        <w:t>(</w:t>
      </w:r>
      <w:r w:rsidRPr="00154D99">
        <w:rPr>
          <w:rFonts w:eastAsia="Times New Roman" w:cs="Arial"/>
          <w:color w:val="000000"/>
          <w:szCs w:val="20"/>
          <w:lang w:val="en-US"/>
        </w:rPr>
        <w:t>n</w:t>
      </w:r>
      <w:r w:rsidRPr="00154D99">
        <w:rPr>
          <w:rFonts w:eastAsia="Times New Roman" w:cs="Arial"/>
          <w:color w:val="000000"/>
          <w:szCs w:val="20"/>
          <w:lang w:eastAsia="bg-BG"/>
        </w:rPr>
        <w:t xml:space="preserve">=362) с тези на фулвестрант 250 </w:t>
      </w:r>
      <w:r w:rsidRPr="00154D99">
        <w:rPr>
          <w:rFonts w:eastAsia="Times New Roman" w:cs="Arial"/>
          <w:color w:val="000000"/>
          <w:szCs w:val="20"/>
          <w:lang w:val="en-US"/>
        </w:rPr>
        <w:t xml:space="preserve">mg </w:t>
      </w:r>
      <w:r w:rsidRPr="00154D99">
        <w:rPr>
          <w:rFonts w:eastAsia="Times New Roman" w:cs="Arial"/>
          <w:color w:val="000000"/>
          <w:szCs w:val="20"/>
          <w:lang w:eastAsia="bg-BG"/>
        </w:rPr>
        <w:t>(</w:t>
      </w:r>
      <w:r w:rsidRPr="00154D99">
        <w:rPr>
          <w:rFonts w:eastAsia="Times New Roman" w:cs="Arial"/>
          <w:color w:val="000000"/>
          <w:szCs w:val="20"/>
          <w:lang w:val="en-US"/>
        </w:rPr>
        <w:t>n=</w:t>
      </w:r>
      <w:r w:rsidRPr="00154D99">
        <w:rPr>
          <w:rFonts w:eastAsia="Times New Roman" w:cs="Arial"/>
          <w:color w:val="000000"/>
          <w:szCs w:val="20"/>
          <w:lang w:eastAsia="bg-BG"/>
        </w:rPr>
        <w:t xml:space="preserve">374). Първичната крайна точка е преживяемост без прогресия (ПБП), а ключовите вторични крайни точки за ефикасност включват степен на обективно повлияване (СОП), степен на клинична полза (СКП) и обща преживяемост (ОП). Резултатите от проучването </w:t>
      </w:r>
      <w:r w:rsidRPr="00154D99">
        <w:rPr>
          <w:rFonts w:eastAsia="Times New Roman" w:cs="Arial"/>
          <w:color w:val="000000"/>
          <w:szCs w:val="20"/>
          <w:lang w:val="en-US"/>
        </w:rPr>
        <w:t xml:space="preserve">CONFIRM </w:t>
      </w:r>
      <w:r w:rsidRPr="00154D99">
        <w:rPr>
          <w:rFonts w:eastAsia="Times New Roman" w:cs="Arial"/>
          <w:color w:val="000000"/>
          <w:szCs w:val="20"/>
          <w:lang w:eastAsia="bg-BG"/>
        </w:rPr>
        <w:t>по отношение на ефикасността са резюмирани в таблица 3.</w:t>
      </w:r>
    </w:p>
    <w:p w14:paraId="26A9FE19" w14:textId="77777777" w:rsidR="00154D99" w:rsidRPr="0054101C" w:rsidRDefault="00154D99" w:rsidP="00154D99">
      <w:pPr>
        <w:rPr>
          <w:rFonts w:eastAsia="Times New Roman" w:cs="Arial"/>
          <w:b/>
          <w:bCs/>
          <w:color w:val="000000"/>
          <w:szCs w:val="20"/>
          <w:lang w:eastAsia="bg-BG"/>
        </w:rPr>
      </w:pPr>
    </w:p>
    <w:p w14:paraId="038F692B" w14:textId="3CD4E126" w:rsidR="007A2185" w:rsidRPr="0054101C" w:rsidRDefault="00154D99" w:rsidP="00154D99">
      <w:pPr>
        <w:rPr>
          <w:rFonts w:eastAsia="Times New Roman" w:cs="Arial"/>
          <w:b/>
          <w:bCs/>
          <w:color w:val="000000"/>
          <w:szCs w:val="20"/>
          <w:lang w:val="en-US"/>
        </w:rPr>
      </w:pPr>
      <w:r w:rsidRPr="0054101C">
        <w:rPr>
          <w:rFonts w:eastAsia="Times New Roman" w:cs="Arial"/>
          <w:b/>
          <w:bCs/>
          <w:color w:val="000000"/>
          <w:szCs w:val="20"/>
          <w:lang w:eastAsia="bg-BG"/>
        </w:rPr>
        <w:t xml:space="preserve">Таблица 3 Резюме на резултатите по отношение на първичната крайна точка (ПБП) и ключовите вторични крайни точки за ефикасност в проучването </w:t>
      </w:r>
      <w:r w:rsidRPr="0054101C">
        <w:rPr>
          <w:rFonts w:eastAsia="Times New Roman" w:cs="Arial"/>
          <w:b/>
          <w:bCs/>
          <w:color w:val="000000"/>
          <w:szCs w:val="20"/>
          <w:lang w:val="en-US"/>
        </w:rPr>
        <w:t>CONFIRM</w:t>
      </w:r>
    </w:p>
    <w:tbl>
      <w:tblPr>
        <w:tblStyle w:val="TableGrid"/>
        <w:tblW w:w="0" w:type="auto"/>
        <w:tblLook w:val="04A0" w:firstRow="1" w:lastRow="0" w:firstColumn="1" w:lastColumn="0" w:noHBand="0" w:noVBand="1"/>
      </w:tblPr>
      <w:tblGrid>
        <w:gridCol w:w="1732"/>
        <w:gridCol w:w="1402"/>
        <w:gridCol w:w="1402"/>
        <w:gridCol w:w="1459"/>
        <w:gridCol w:w="1517"/>
        <w:gridCol w:w="1208"/>
      </w:tblGrid>
      <w:tr w:rsidR="0054101C" w:rsidRPr="0054101C" w14:paraId="70EA16A9" w14:textId="77777777" w:rsidTr="0054101C">
        <w:tc>
          <w:tcPr>
            <w:tcW w:w="1548" w:type="dxa"/>
            <w:vAlign w:val="bottom"/>
          </w:tcPr>
          <w:p w14:paraId="16F07ED4" w14:textId="303D185B" w:rsidR="0054101C" w:rsidRPr="0054101C" w:rsidRDefault="0054101C" w:rsidP="0054101C">
            <w:pPr>
              <w:rPr>
                <w:rFonts w:cs="Arial"/>
              </w:rPr>
            </w:pPr>
            <w:r w:rsidRPr="0054101C">
              <w:rPr>
                <w:rFonts w:cs="Arial"/>
                <w:b/>
                <w:bCs/>
                <w:lang w:eastAsia="bg-BG"/>
              </w:rPr>
              <w:t>Променлив</w:t>
            </w:r>
            <w:r w:rsidRPr="0054101C">
              <w:rPr>
                <w:rFonts w:cs="Arial"/>
                <w:b/>
                <w:bCs/>
              </w:rPr>
              <w:t>a</w:t>
            </w:r>
          </w:p>
        </w:tc>
        <w:tc>
          <w:tcPr>
            <w:tcW w:w="1274" w:type="dxa"/>
            <w:vAlign w:val="bottom"/>
          </w:tcPr>
          <w:p w14:paraId="233E5A84" w14:textId="75987FCD" w:rsidR="0054101C" w:rsidRPr="0054101C" w:rsidRDefault="0054101C" w:rsidP="0054101C">
            <w:pPr>
              <w:rPr>
                <w:rFonts w:cs="Arial"/>
              </w:rPr>
            </w:pPr>
            <w:r w:rsidRPr="0054101C">
              <w:rPr>
                <w:rFonts w:cs="Arial"/>
                <w:b/>
                <w:bCs/>
                <w:lang w:eastAsia="bg-BG"/>
              </w:rPr>
              <w:t>Метод на оценка;</w:t>
            </w:r>
          </w:p>
        </w:tc>
        <w:tc>
          <w:tcPr>
            <w:tcW w:w="1322" w:type="dxa"/>
            <w:vAlign w:val="bottom"/>
          </w:tcPr>
          <w:p w14:paraId="2A234914" w14:textId="766BD694" w:rsidR="0054101C" w:rsidRPr="0054101C" w:rsidRDefault="0054101C" w:rsidP="0054101C">
            <w:pPr>
              <w:rPr>
                <w:rFonts w:cs="Arial"/>
              </w:rPr>
            </w:pPr>
            <w:r w:rsidRPr="0054101C">
              <w:rPr>
                <w:rFonts w:cs="Arial"/>
                <w:b/>
                <w:bCs/>
              </w:rPr>
              <w:t xml:space="preserve">Fulvestrant </w:t>
            </w:r>
            <w:r w:rsidRPr="0054101C">
              <w:rPr>
                <w:rFonts w:cs="Arial"/>
                <w:b/>
                <w:bCs/>
                <w:lang w:eastAsia="bg-BG"/>
              </w:rPr>
              <w:t xml:space="preserve">500 </w:t>
            </w:r>
            <w:r w:rsidRPr="0054101C">
              <w:rPr>
                <w:rFonts w:cs="Arial"/>
                <w:b/>
                <w:bCs/>
              </w:rPr>
              <w:t>mg</w:t>
            </w:r>
          </w:p>
        </w:tc>
        <w:tc>
          <w:tcPr>
            <w:tcW w:w="1322" w:type="dxa"/>
            <w:vAlign w:val="bottom"/>
          </w:tcPr>
          <w:p w14:paraId="26B756EA" w14:textId="2213D664" w:rsidR="0054101C" w:rsidRPr="0054101C" w:rsidRDefault="0054101C" w:rsidP="0054101C">
            <w:pPr>
              <w:rPr>
                <w:rFonts w:cs="Arial"/>
              </w:rPr>
            </w:pPr>
            <w:r w:rsidRPr="0054101C">
              <w:rPr>
                <w:rFonts w:cs="Arial"/>
                <w:b/>
                <w:bCs/>
              </w:rPr>
              <w:t xml:space="preserve">Fulvestrant </w:t>
            </w:r>
            <w:r w:rsidRPr="0054101C">
              <w:rPr>
                <w:rFonts w:cs="Arial"/>
                <w:b/>
                <w:bCs/>
                <w:lang w:eastAsia="bg-BG"/>
              </w:rPr>
              <w:t xml:space="preserve">250 </w:t>
            </w:r>
            <w:r w:rsidRPr="0054101C">
              <w:rPr>
                <w:rFonts w:cs="Arial"/>
                <w:b/>
                <w:bCs/>
              </w:rPr>
              <w:t>mg</w:t>
            </w:r>
          </w:p>
        </w:tc>
        <w:tc>
          <w:tcPr>
            <w:tcW w:w="2725" w:type="dxa"/>
            <w:gridSpan w:val="2"/>
            <w:vAlign w:val="bottom"/>
          </w:tcPr>
          <w:p w14:paraId="7F04A991" w14:textId="3EFD4A4B" w:rsidR="0054101C" w:rsidRPr="0054101C" w:rsidRDefault="0054101C" w:rsidP="0054101C">
            <w:pPr>
              <w:rPr>
                <w:rFonts w:cs="Arial"/>
              </w:rPr>
            </w:pPr>
            <w:r w:rsidRPr="0054101C">
              <w:rPr>
                <w:rFonts w:cs="Arial"/>
                <w:b/>
                <w:bCs/>
                <w:lang w:eastAsia="bg-BG"/>
              </w:rPr>
              <w:t xml:space="preserve">Сравнение между </w:t>
            </w:r>
            <w:r w:rsidRPr="0054101C">
              <w:rPr>
                <w:rFonts w:cs="Arial"/>
                <w:b/>
                <w:bCs/>
              </w:rPr>
              <w:t>rpy</w:t>
            </w:r>
            <w:r w:rsidRPr="0054101C">
              <w:rPr>
                <w:rFonts w:cs="Arial"/>
                <w:b/>
                <w:bCs/>
                <w:lang w:eastAsia="bg-BG"/>
              </w:rPr>
              <w:t>пите</w:t>
            </w:r>
            <w:r w:rsidRPr="0054101C">
              <w:rPr>
                <w:rFonts w:cs="Arial"/>
                <w:i/>
                <w:iCs/>
              </w:rPr>
              <w:t xml:space="preserve"> </w:t>
            </w:r>
            <w:r w:rsidRPr="0054101C">
              <w:rPr>
                <w:rFonts w:cs="Arial"/>
                <w:b/>
                <w:bCs/>
              </w:rPr>
              <w:t>(Fulvestrant 500 mg/Fulvestrant 250 mg)</w:t>
            </w:r>
          </w:p>
        </w:tc>
      </w:tr>
      <w:tr w:rsidR="0054101C" w:rsidRPr="0054101C" w14:paraId="16D9FFF4" w14:textId="77777777" w:rsidTr="0054101C">
        <w:tc>
          <w:tcPr>
            <w:tcW w:w="1548" w:type="dxa"/>
          </w:tcPr>
          <w:p w14:paraId="093AD110" w14:textId="76468F6F" w:rsidR="0054101C" w:rsidRPr="0054101C" w:rsidRDefault="0054101C" w:rsidP="0054101C">
            <w:pPr>
              <w:rPr>
                <w:rFonts w:cs="Arial"/>
              </w:rPr>
            </w:pPr>
            <w:r w:rsidRPr="0054101C">
              <w:rPr>
                <w:rFonts w:cs="Arial"/>
                <w:b/>
                <w:bCs/>
              </w:rPr>
              <w:t>терапевтично сравнение</w:t>
            </w:r>
          </w:p>
        </w:tc>
        <w:tc>
          <w:tcPr>
            <w:tcW w:w="1274" w:type="dxa"/>
          </w:tcPr>
          <w:p w14:paraId="3072F9ED" w14:textId="0BF98D10" w:rsidR="0054101C" w:rsidRPr="0054101C" w:rsidRDefault="0054101C" w:rsidP="0054101C">
            <w:pPr>
              <w:rPr>
                <w:rFonts w:cs="Arial"/>
              </w:rPr>
            </w:pPr>
            <w:r w:rsidRPr="0054101C">
              <w:rPr>
                <w:rFonts w:cs="Arial"/>
                <w:b/>
                <w:bCs/>
                <w:lang w:val="en-US"/>
              </w:rPr>
              <w:t>(N=362)</w:t>
            </w:r>
          </w:p>
        </w:tc>
        <w:tc>
          <w:tcPr>
            <w:tcW w:w="1322" w:type="dxa"/>
          </w:tcPr>
          <w:p w14:paraId="45EACBE5" w14:textId="7FA55C7A" w:rsidR="0054101C" w:rsidRPr="0054101C" w:rsidRDefault="0054101C" w:rsidP="0054101C">
            <w:pPr>
              <w:rPr>
                <w:rFonts w:cs="Arial"/>
              </w:rPr>
            </w:pPr>
            <w:r w:rsidRPr="0054101C">
              <w:rPr>
                <w:rFonts w:cs="Arial"/>
                <w:b/>
                <w:bCs/>
                <w:lang w:val="en-US"/>
              </w:rPr>
              <w:t>(N=374)</w:t>
            </w:r>
          </w:p>
        </w:tc>
        <w:tc>
          <w:tcPr>
            <w:tcW w:w="1322" w:type="dxa"/>
          </w:tcPr>
          <w:p w14:paraId="5B9CDF04" w14:textId="05D9A0F8" w:rsidR="0054101C" w:rsidRPr="0054101C" w:rsidRDefault="0054101C" w:rsidP="0054101C">
            <w:pPr>
              <w:rPr>
                <w:rFonts w:cs="Arial"/>
              </w:rPr>
            </w:pPr>
            <w:r w:rsidRPr="0054101C">
              <w:rPr>
                <w:rFonts w:cs="Arial"/>
                <w:b/>
                <w:bCs/>
              </w:rPr>
              <w:t>Коеф ицнен т</w:t>
            </w:r>
            <w:r w:rsidRPr="0054101C">
              <w:rPr>
                <w:rFonts w:cs="Arial"/>
                <w:b/>
                <w:bCs/>
                <w:lang w:val="en-US"/>
              </w:rPr>
              <w:t xml:space="preserve"> </w:t>
            </w:r>
            <w:r w:rsidRPr="0054101C">
              <w:rPr>
                <w:rFonts w:cs="Arial"/>
                <w:b/>
                <w:bCs/>
              </w:rPr>
              <w:t>на риск</w:t>
            </w:r>
          </w:p>
        </w:tc>
        <w:tc>
          <w:tcPr>
            <w:tcW w:w="1517" w:type="dxa"/>
          </w:tcPr>
          <w:p w14:paraId="2C247997" w14:textId="09010C42" w:rsidR="0054101C" w:rsidRPr="0054101C" w:rsidRDefault="0054101C" w:rsidP="0054101C">
            <w:pPr>
              <w:rPr>
                <w:rFonts w:cs="Arial"/>
              </w:rPr>
            </w:pPr>
            <w:r w:rsidRPr="0054101C">
              <w:rPr>
                <w:rFonts w:cs="Arial"/>
                <w:b/>
                <w:bCs/>
              </w:rPr>
              <w:t xml:space="preserve">95% </w:t>
            </w:r>
            <w:r w:rsidRPr="0054101C">
              <w:rPr>
                <w:rFonts w:cs="Arial"/>
                <w:b/>
                <w:bCs/>
                <w:lang w:val="en-US"/>
              </w:rPr>
              <w:t>CI</w:t>
            </w:r>
          </w:p>
        </w:tc>
        <w:tc>
          <w:tcPr>
            <w:tcW w:w="1208" w:type="dxa"/>
          </w:tcPr>
          <w:p w14:paraId="0E59673B" w14:textId="0840025E" w:rsidR="0054101C" w:rsidRPr="0054101C" w:rsidRDefault="0054101C" w:rsidP="0054101C">
            <w:pPr>
              <w:rPr>
                <w:rFonts w:cs="Arial"/>
              </w:rPr>
            </w:pPr>
            <w:r w:rsidRPr="0054101C">
              <w:rPr>
                <w:rFonts w:cs="Arial"/>
                <w:b/>
                <w:bCs/>
                <w:lang w:val="en-US"/>
              </w:rPr>
              <w:t>p</w:t>
            </w:r>
            <w:r w:rsidRPr="0054101C">
              <w:rPr>
                <w:rFonts w:cs="Arial"/>
                <w:b/>
                <w:bCs/>
              </w:rPr>
              <w:t>- стойно ст</w:t>
            </w:r>
          </w:p>
        </w:tc>
      </w:tr>
      <w:tr w:rsidR="0054101C" w:rsidRPr="0054101C" w14:paraId="140ACF64" w14:textId="77777777" w:rsidTr="0054101C">
        <w:tc>
          <w:tcPr>
            <w:tcW w:w="1548" w:type="dxa"/>
          </w:tcPr>
          <w:p w14:paraId="70361329" w14:textId="1AA78114" w:rsidR="0054101C" w:rsidRPr="0054101C" w:rsidRDefault="0054101C" w:rsidP="0054101C">
            <w:pPr>
              <w:rPr>
                <w:rFonts w:cs="Arial"/>
              </w:rPr>
            </w:pPr>
            <w:r w:rsidRPr="0054101C">
              <w:rPr>
                <w:rFonts w:cs="Arial"/>
                <w:b/>
                <w:bCs/>
              </w:rPr>
              <w:t>ПБП</w:t>
            </w:r>
            <w:r w:rsidRPr="0054101C">
              <w:rPr>
                <w:rFonts w:cs="Arial"/>
                <w:b/>
                <w:bCs/>
              </w:rPr>
              <w:tab/>
              <w:t>Медиана по</w:t>
            </w:r>
          </w:p>
        </w:tc>
        <w:tc>
          <w:tcPr>
            <w:tcW w:w="1274" w:type="dxa"/>
          </w:tcPr>
          <w:p w14:paraId="658A0C52" w14:textId="77777777" w:rsidR="0054101C" w:rsidRPr="0054101C" w:rsidRDefault="0054101C" w:rsidP="0054101C">
            <w:pPr>
              <w:rPr>
                <w:rFonts w:cs="Arial"/>
              </w:rPr>
            </w:pPr>
          </w:p>
        </w:tc>
        <w:tc>
          <w:tcPr>
            <w:tcW w:w="1322" w:type="dxa"/>
          </w:tcPr>
          <w:p w14:paraId="7C078C83" w14:textId="77777777" w:rsidR="0054101C" w:rsidRPr="0054101C" w:rsidRDefault="0054101C" w:rsidP="0054101C">
            <w:pPr>
              <w:rPr>
                <w:rFonts w:cs="Arial"/>
              </w:rPr>
            </w:pPr>
          </w:p>
        </w:tc>
        <w:tc>
          <w:tcPr>
            <w:tcW w:w="1322" w:type="dxa"/>
          </w:tcPr>
          <w:p w14:paraId="48A67EEA" w14:textId="77777777" w:rsidR="0054101C" w:rsidRPr="0054101C" w:rsidRDefault="0054101C" w:rsidP="0054101C">
            <w:pPr>
              <w:rPr>
                <w:rFonts w:cs="Arial"/>
              </w:rPr>
            </w:pPr>
          </w:p>
        </w:tc>
        <w:tc>
          <w:tcPr>
            <w:tcW w:w="1517" w:type="dxa"/>
          </w:tcPr>
          <w:p w14:paraId="365FC4A1" w14:textId="77777777" w:rsidR="0054101C" w:rsidRPr="0054101C" w:rsidRDefault="0054101C" w:rsidP="0054101C">
            <w:pPr>
              <w:rPr>
                <w:rFonts w:cs="Arial"/>
              </w:rPr>
            </w:pPr>
          </w:p>
        </w:tc>
        <w:tc>
          <w:tcPr>
            <w:tcW w:w="1208" w:type="dxa"/>
          </w:tcPr>
          <w:p w14:paraId="1307245D" w14:textId="77777777" w:rsidR="0054101C" w:rsidRPr="0054101C" w:rsidRDefault="0054101C" w:rsidP="0054101C">
            <w:pPr>
              <w:rPr>
                <w:rFonts w:cs="Arial"/>
              </w:rPr>
            </w:pPr>
          </w:p>
        </w:tc>
      </w:tr>
      <w:tr w:rsidR="0054101C" w:rsidRPr="0054101C" w14:paraId="48D1E5AA" w14:textId="77777777" w:rsidTr="0054101C">
        <w:tc>
          <w:tcPr>
            <w:tcW w:w="1548" w:type="dxa"/>
          </w:tcPr>
          <w:p w14:paraId="3A191846" w14:textId="270FA732" w:rsidR="0054101C" w:rsidRPr="0054101C" w:rsidRDefault="0054101C" w:rsidP="0054101C">
            <w:pPr>
              <w:rPr>
                <w:rFonts w:cs="Arial"/>
              </w:rPr>
            </w:pPr>
            <w:r w:rsidRPr="0054101C">
              <w:rPr>
                <w:rFonts w:cs="Arial"/>
                <w:b/>
                <w:bCs/>
              </w:rPr>
              <w:t>К-М в месеци; коефициент на риск</w:t>
            </w:r>
          </w:p>
        </w:tc>
        <w:tc>
          <w:tcPr>
            <w:tcW w:w="1274" w:type="dxa"/>
          </w:tcPr>
          <w:p w14:paraId="6FC50946" w14:textId="77777777" w:rsidR="0054101C" w:rsidRPr="0054101C" w:rsidRDefault="0054101C" w:rsidP="0054101C">
            <w:pPr>
              <w:rPr>
                <w:rFonts w:cs="Arial"/>
              </w:rPr>
            </w:pPr>
          </w:p>
        </w:tc>
        <w:tc>
          <w:tcPr>
            <w:tcW w:w="1322" w:type="dxa"/>
          </w:tcPr>
          <w:p w14:paraId="7501A615" w14:textId="77777777" w:rsidR="0054101C" w:rsidRPr="0054101C" w:rsidRDefault="0054101C" w:rsidP="0054101C">
            <w:pPr>
              <w:rPr>
                <w:rFonts w:cs="Arial"/>
              </w:rPr>
            </w:pPr>
          </w:p>
        </w:tc>
        <w:tc>
          <w:tcPr>
            <w:tcW w:w="1322" w:type="dxa"/>
          </w:tcPr>
          <w:p w14:paraId="5B4D63F2" w14:textId="77777777" w:rsidR="0054101C" w:rsidRPr="0054101C" w:rsidRDefault="0054101C" w:rsidP="0054101C">
            <w:pPr>
              <w:rPr>
                <w:rFonts w:cs="Arial"/>
              </w:rPr>
            </w:pPr>
          </w:p>
        </w:tc>
        <w:tc>
          <w:tcPr>
            <w:tcW w:w="1517" w:type="dxa"/>
          </w:tcPr>
          <w:p w14:paraId="43001F8B" w14:textId="77777777" w:rsidR="0054101C" w:rsidRPr="0054101C" w:rsidRDefault="0054101C" w:rsidP="0054101C">
            <w:pPr>
              <w:rPr>
                <w:rFonts w:cs="Arial"/>
              </w:rPr>
            </w:pPr>
          </w:p>
        </w:tc>
        <w:tc>
          <w:tcPr>
            <w:tcW w:w="1208" w:type="dxa"/>
          </w:tcPr>
          <w:p w14:paraId="76C6EF29" w14:textId="77777777" w:rsidR="0054101C" w:rsidRPr="0054101C" w:rsidRDefault="0054101C" w:rsidP="0054101C">
            <w:pPr>
              <w:rPr>
                <w:rFonts w:cs="Arial"/>
              </w:rPr>
            </w:pPr>
          </w:p>
        </w:tc>
      </w:tr>
      <w:tr w:rsidR="0054101C" w:rsidRPr="0054101C" w14:paraId="0CE8BECF" w14:textId="77777777" w:rsidTr="0054101C">
        <w:tc>
          <w:tcPr>
            <w:tcW w:w="1548" w:type="dxa"/>
          </w:tcPr>
          <w:p w14:paraId="26DAEC46" w14:textId="1E8DF538" w:rsidR="0054101C" w:rsidRPr="0054101C" w:rsidRDefault="0054101C" w:rsidP="0054101C">
            <w:pPr>
              <w:rPr>
                <w:rFonts w:cs="Arial"/>
              </w:rPr>
            </w:pPr>
            <w:r w:rsidRPr="0054101C">
              <w:rPr>
                <w:rFonts w:cs="Arial"/>
                <w:b/>
                <w:bCs/>
              </w:rPr>
              <w:t>Общо пациенти</w:t>
            </w:r>
          </w:p>
        </w:tc>
        <w:tc>
          <w:tcPr>
            <w:tcW w:w="1274" w:type="dxa"/>
          </w:tcPr>
          <w:p w14:paraId="37A6F419" w14:textId="470526D5" w:rsidR="0054101C" w:rsidRPr="0054101C" w:rsidRDefault="0054101C" w:rsidP="0054101C">
            <w:pPr>
              <w:rPr>
                <w:rFonts w:cs="Arial"/>
              </w:rPr>
            </w:pPr>
            <w:r w:rsidRPr="0054101C">
              <w:rPr>
                <w:rFonts w:cs="Arial"/>
              </w:rPr>
              <w:t>6,5</w:t>
            </w:r>
          </w:p>
        </w:tc>
        <w:tc>
          <w:tcPr>
            <w:tcW w:w="1322" w:type="dxa"/>
          </w:tcPr>
          <w:p w14:paraId="1AEF458A" w14:textId="2BAF89C7" w:rsidR="0054101C" w:rsidRPr="0054101C" w:rsidRDefault="0054101C" w:rsidP="0054101C">
            <w:pPr>
              <w:rPr>
                <w:rFonts w:cs="Arial"/>
              </w:rPr>
            </w:pPr>
            <w:r w:rsidRPr="0054101C">
              <w:rPr>
                <w:rFonts w:cs="Arial"/>
                <w:lang w:val="en-US"/>
              </w:rPr>
              <w:t>5,5</w:t>
            </w:r>
          </w:p>
        </w:tc>
        <w:tc>
          <w:tcPr>
            <w:tcW w:w="1322" w:type="dxa"/>
          </w:tcPr>
          <w:p w14:paraId="684B8C88" w14:textId="08456D50" w:rsidR="0054101C" w:rsidRPr="0054101C" w:rsidRDefault="0054101C" w:rsidP="0054101C">
            <w:pPr>
              <w:rPr>
                <w:rFonts w:cs="Arial"/>
              </w:rPr>
            </w:pPr>
            <w:r w:rsidRPr="0054101C">
              <w:rPr>
                <w:rFonts w:cs="Arial"/>
              </w:rPr>
              <w:t>0,80</w:t>
            </w:r>
          </w:p>
        </w:tc>
        <w:tc>
          <w:tcPr>
            <w:tcW w:w="1517" w:type="dxa"/>
          </w:tcPr>
          <w:p w14:paraId="355B2F99" w14:textId="6A7F5D9E" w:rsidR="0054101C" w:rsidRPr="0054101C" w:rsidRDefault="0054101C" w:rsidP="0054101C">
            <w:pPr>
              <w:rPr>
                <w:rFonts w:cs="Arial"/>
              </w:rPr>
            </w:pPr>
            <w:r w:rsidRPr="0054101C">
              <w:rPr>
                <w:rFonts w:cs="Arial"/>
              </w:rPr>
              <w:t>0,68; 0,94</w:t>
            </w:r>
          </w:p>
        </w:tc>
        <w:tc>
          <w:tcPr>
            <w:tcW w:w="1208" w:type="dxa"/>
          </w:tcPr>
          <w:p w14:paraId="063DD388" w14:textId="33376225" w:rsidR="0054101C" w:rsidRPr="0054101C" w:rsidRDefault="0054101C" w:rsidP="0054101C">
            <w:pPr>
              <w:rPr>
                <w:rFonts w:cs="Arial"/>
              </w:rPr>
            </w:pPr>
            <w:r w:rsidRPr="0054101C">
              <w:rPr>
                <w:rFonts w:cs="Arial"/>
              </w:rPr>
              <w:t>0,006</w:t>
            </w:r>
          </w:p>
        </w:tc>
      </w:tr>
      <w:tr w:rsidR="0054101C" w:rsidRPr="0054101C" w14:paraId="3EEF0990" w14:textId="77777777" w:rsidTr="0054101C">
        <w:tc>
          <w:tcPr>
            <w:tcW w:w="1548" w:type="dxa"/>
          </w:tcPr>
          <w:p w14:paraId="2F9E0D0E" w14:textId="6EBD06EC" w:rsidR="0054101C" w:rsidRPr="0054101C" w:rsidRDefault="0054101C" w:rsidP="0054101C">
            <w:pPr>
              <w:rPr>
                <w:rFonts w:cs="Arial"/>
              </w:rPr>
            </w:pPr>
            <w:r w:rsidRPr="0054101C">
              <w:rPr>
                <w:rFonts w:cs="Arial"/>
                <w:b/>
                <w:bCs/>
              </w:rPr>
              <w:lastRenderedPageBreak/>
              <w:t>-АЕ подгрупа (</w:t>
            </w:r>
            <w:r w:rsidRPr="0054101C">
              <w:rPr>
                <w:rFonts w:cs="Arial"/>
                <w:b/>
                <w:bCs/>
                <w:lang w:val="en-US"/>
              </w:rPr>
              <w:t>n</w:t>
            </w:r>
            <w:r w:rsidRPr="0054101C">
              <w:rPr>
                <w:rFonts w:cs="Arial"/>
                <w:b/>
                <w:bCs/>
              </w:rPr>
              <w:t>=423)</w:t>
            </w:r>
          </w:p>
        </w:tc>
        <w:tc>
          <w:tcPr>
            <w:tcW w:w="1274" w:type="dxa"/>
          </w:tcPr>
          <w:p w14:paraId="5D67AEEC" w14:textId="64BF71A3" w:rsidR="0054101C" w:rsidRPr="0054101C" w:rsidRDefault="0054101C" w:rsidP="0054101C">
            <w:pPr>
              <w:rPr>
                <w:rFonts w:cs="Arial"/>
              </w:rPr>
            </w:pPr>
            <w:r w:rsidRPr="0054101C">
              <w:rPr>
                <w:rFonts w:cs="Arial"/>
              </w:rPr>
              <w:t>8,6</w:t>
            </w:r>
          </w:p>
        </w:tc>
        <w:tc>
          <w:tcPr>
            <w:tcW w:w="1322" w:type="dxa"/>
          </w:tcPr>
          <w:p w14:paraId="6DAE6F98" w14:textId="1F775541" w:rsidR="0054101C" w:rsidRPr="0054101C" w:rsidRDefault="0054101C" w:rsidP="0054101C">
            <w:pPr>
              <w:rPr>
                <w:rFonts w:cs="Arial"/>
              </w:rPr>
            </w:pPr>
            <w:r w:rsidRPr="0054101C">
              <w:rPr>
                <w:rFonts w:cs="Arial"/>
                <w:lang w:val="en-US"/>
              </w:rPr>
              <w:t>5,8</w:t>
            </w:r>
          </w:p>
        </w:tc>
        <w:tc>
          <w:tcPr>
            <w:tcW w:w="1322" w:type="dxa"/>
          </w:tcPr>
          <w:p w14:paraId="57FC0E95" w14:textId="400E6CB0" w:rsidR="0054101C" w:rsidRPr="0054101C" w:rsidRDefault="0054101C" w:rsidP="0054101C">
            <w:pPr>
              <w:rPr>
                <w:rFonts w:cs="Arial"/>
              </w:rPr>
            </w:pPr>
            <w:r w:rsidRPr="0054101C">
              <w:rPr>
                <w:rFonts w:cs="Arial"/>
              </w:rPr>
              <w:t>0,76</w:t>
            </w:r>
          </w:p>
        </w:tc>
        <w:tc>
          <w:tcPr>
            <w:tcW w:w="1517" w:type="dxa"/>
          </w:tcPr>
          <w:p w14:paraId="7BC84769" w14:textId="046C801F" w:rsidR="0054101C" w:rsidRPr="0054101C" w:rsidRDefault="0054101C" w:rsidP="0054101C">
            <w:pPr>
              <w:rPr>
                <w:rFonts w:cs="Arial"/>
              </w:rPr>
            </w:pPr>
            <w:r w:rsidRPr="0054101C">
              <w:rPr>
                <w:rFonts w:cs="Arial"/>
              </w:rPr>
              <w:t>0,62; 0,94</w:t>
            </w:r>
          </w:p>
        </w:tc>
        <w:tc>
          <w:tcPr>
            <w:tcW w:w="1208" w:type="dxa"/>
          </w:tcPr>
          <w:p w14:paraId="4D688CD1" w14:textId="517BD31E" w:rsidR="0054101C" w:rsidRPr="0054101C" w:rsidRDefault="0054101C" w:rsidP="0054101C">
            <w:pPr>
              <w:rPr>
                <w:rFonts w:cs="Arial"/>
              </w:rPr>
            </w:pPr>
            <w:r w:rsidRPr="0054101C">
              <w:rPr>
                <w:rFonts w:cs="Arial"/>
              </w:rPr>
              <w:t>0,013</w:t>
            </w:r>
          </w:p>
        </w:tc>
      </w:tr>
      <w:tr w:rsidR="0054101C" w:rsidRPr="0054101C" w14:paraId="3131947D" w14:textId="77777777" w:rsidTr="0054101C">
        <w:tc>
          <w:tcPr>
            <w:tcW w:w="1548" w:type="dxa"/>
          </w:tcPr>
          <w:p w14:paraId="2E134724" w14:textId="65D4CFC8" w:rsidR="0054101C" w:rsidRPr="0054101C" w:rsidRDefault="004B3221" w:rsidP="0054101C">
            <w:pPr>
              <w:rPr>
                <w:rFonts w:cs="Arial"/>
              </w:rPr>
            </w:pPr>
            <w:r>
              <w:rPr>
                <w:rFonts w:cs="Arial"/>
                <w:b/>
                <w:bCs/>
              </w:rPr>
              <w:t>-АИ подгрупа (</w:t>
            </w:r>
            <w:r>
              <w:rPr>
                <w:rFonts w:cs="Arial"/>
                <w:b/>
                <w:bCs/>
                <w:lang w:val="en-US"/>
              </w:rPr>
              <w:t>n</w:t>
            </w:r>
            <w:r w:rsidR="0054101C" w:rsidRPr="0054101C">
              <w:rPr>
                <w:rFonts w:cs="Arial"/>
                <w:b/>
                <w:bCs/>
              </w:rPr>
              <w:t>=313)</w:t>
            </w:r>
            <w:r w:rsidR="0054101C" w:rsidRPr="0054101C">
              <w:rPr>
                <w:rFonts w:cs="Arial"/>
                <w:b/>
                <w:bCs/>
                <w:lang w:val="en-US"/>
              </w:rPr>
              <w:t xml:space="preserve"> </w:t>
            </w:r>
            <w:r w:rsidR="0054101C" w:rsidRPr="0054101C">
              <w:rPr>
                <w:rFonts w:cs="Arial"/>
                <w:b/>
                <w:bCs/>
                <w:vertAlign w:val="superscript"/>
                <w:lang w:val="en-US"/>
              </w:rPr>
              <w:t>a</w:t>
            </w:r>
          </w:p>
        </w:tc>
        <w:tc>
          <w:tcPr>
            <w:tcW w:w="1274" w:type="dxa"/>
          </w:tcPr>
          <w:p w14:paraId="349D075F" w14:textId="56773C78" w:rsidR="0054101C" w:rsidRPr="0054101C" w:rsidRDefault="0054101C" w:rsidP="0054101C">
            <w:pPr>
              <w:rPr>
                <w:rFonts w:cs="Arial"/>
              </w:rPr>
            </w:pPr>
            <w:r w:rsidRPr="0054101C">
              <w:rPr>
                <w:rFonts w:cs="Arial"/>
              </w:rPr>
              <w:t>5,4</w:t>
            </w:r>
          </w:p>
        </w:tc>
        <w:tc>
          <w:tcPr>
            <w:tcW w:w="1322" w:type="dxa"/>
          </w:tcPr>
          <w:p w14:paraId="07309272" w14:textId="3757A016" w:rsidR="0054101C" w:rsidRPr="0054101C" w:rsidRDefault="0054101C" w:rsidP="0054101C">
            <w:pPr>
              <w:rPr>
                <w:rFonts w:cs="Arial"/>
              </w:rPr>
            </w:pPr>
            <w:r w:rsidRPr="0054101C">
              <w:rPr>
                <w:rFonts w:cs="Arial"/>
                <w:lang w:val="en-US"/>
              </w:rPr>
              <w:t>4,1</w:t>
            </w:r>
          </w:p>
        </w:tc>
        <w:tc>
          <w:tcPr>
            <w:tcW w:w="1322" w:type="dxa"/>
          </w:tcPr>
          <w:p w14:paraId="6D6EC51A" w14:textId="37A53353" w:rsidR="0054101C" w:rsidRPr="0054101C" w:rsidRDefault="0054101C" w:rsidP="0054101C">
            <w:pPr>
              <w:rPr>
                <w:rFonts w:cs="Arial"/>
              </w:rPr>
            </w:pPr>
            <w:r w:rsidRPr="0054101C">
              <w:rPr>
                <w:rFonts w:cs="Arial"/>
              </w:rPr>
              <w:t>0,85</w:t>
            </w:r>
          </w:p>
        </w:tc>
        <w:tc>
          <w:tcPr>
            <w:tcW w:w="1517" w:type="dxa"/>
          </w:tcPr>
          <w:p w14:paraId="4D8C5E4C" w14:textId="57AECDFE" w:rsidR="0054101C" w:rsidRPr="0054101C" w:rsidRDefault="0054101C" w:rsidP="0054101C">
            <w:pPr>
              <w:rPr>
                <w:rFonts w:cs="Arial"/>
              </w:rPr>
            </w:pPr>
            <w:r w:rsidRPr="0054101C">
              <w:rPr>
                <w:rFonts w:cs="Arial"/>
              </w:rPr>
              <w:t>0,67; 1,08</w:t>
            </w:r>
          </w:p>
        </w:tc>
        <w:tc>
          <w:tcPr>
            <w:tcW w:w="1208" w:type="dxa"/>
          </w:tcPr>
          <w:p w14:paraId="1D0A5A29" w14:textId="6821771E" w:rsidR="0054101C" w:rsidRPr="0054101C" w:rsidRDefault="0054101C" w:rsidP="0054101C">
            <w:pPr>
              <w:rPr>
                <w:rFonts w:cs="Arial"/>
              </w:rPr>
            </w:pPr>
            <w:r w:rsidRPr="0054101C">
              <w:rPr>
                <w:rFonts w:cs="Arial"/>
              </w:rPr>
              <w:t>0,195</w:t>
            </w:r>
          </w:p>
        </w:tc>
      </w:tr>
      <w:tr w:rsidR="0054101C" w:rsidRPr="0054101C" w14:paraId="1FF720E1" w14:textId="77777777" w:rsidTr="0054101C">
        <w:tc>
          <w:tcPr>
            <w:tcW w:w="1548" w:type="dxa"/>
          </w:tcPr>
          <w:p w14:paraId="47E52BB4" w14:textId="66E39EAD" w:rsidR="0054101C" w:rsidRPr="0054101C" w:rsidRDefault="0054101C" w:rsidP="0054101C">
            <w:pPr>
              <w:rPr>
                <w:rFonts w:cs="Arial"/>
              </w:rPr>
            </w:pPr>
            <w:r w:rsidRPr="0054101C">
              <w:rPr>
                <w:rFonts w:cs="Arial"/>
                <w:b/>
                <w:bCs/>
              </w:rPr>
              <w:t>ОП</w:t>
            </w:r>
            <w:r w:rsidRPr="0054101C">
              <w:rPr>
                <w:rFonts w:cs="Arial"/>
                <w:b/>
                <w:bCs/>
                <w:vertAlign w:val="superscript"/>
              </w:rPr>
              <w:t>б</w:t>
            </w:r>
            <w:r w:rsidRPr="0054101C">
              <w:rPr>
                <w:rFonts w:cs="Arial"/>
                <w:b/>
                <w:bCs/>
              </w:rPr>
              <w:tab/>
              <w:t>Медиана по</w:t>
            </w:r>
          </w:p>
        </w:tc>
        <w:tc>
          <w:tcPr>
            <w:tcW w:w="1274" w:type="dxa"/>
          </w:tcPr>
          <w:p w14:paraId="3DCA72D4" w14:textId="77777777" w:rsidR="0054101C" w:rsidRPr="0054101C" w:rsidRDefault="0054101C" w:rsidP="0054101C">
            <w:pPr>
              <w:rPr>
                <w:rFonts w:cs="Arial"/>
              </w:rPr>
            </w:pPr>
          </w:p>
        </w:tc>
        <w:tc>
          <w:tcPr>
            <w:tcW w:w="1322" w:type="dxa"/>
          </w:tcPr>
          <w:p w14:paraId="1AA41213" w14:textId="77777777" w:rsidR="0054101C" w:rsidRPr="0054101C" w:rsidRDefault="0054101C" w:rsidP="0054101C">
            <w:pPr>
              <w:rPr>
                <w:rFonts w:cs="Arial"/>
              </w:rPr>
            </w:pPr>
          </w:p>
        </w:tc>
        <w:tc>
          <w:tcPr>
            <w:tcW w:w="1322" w:type="dxa"/>
          </w:tcPr>
          <w:p w14:paraId="23561B53" w14:textId="77777777" w:rsidR="0054101C" w:rsidRPr="0054101C" w:rsidRDefault="0054101C" w:rsidP="0054101C">
            <w:pPr>
              <w:rPr>
                <w:rFonts w:cs="Arial"/>
              </w:rPr>
            </w:pPr>
          </w:p>
        </w:tc>
        <w:tc>
          <w:tcPr>
            <w:tcW w:w="1517" w:type="dxa"/>
          </w:tcPr>
          <w:p w14:paraId="39631060" w14:textId="77777777" w:rsidR="0054101C" w:rsidRPr="0054101C" w:rsidRDefault="0054101C" w:rsidP="0054101C">
            <w:pPr>
              <w:rPr>
                <w:rFonts w:cs="Arial"/>
              </w:rPr>
            </w:pPr>
          </w:p>
        </w:tc>
        <w:tc>
          <w:tcPr>
            <w:tcW w:w="1208" w:type="dxa"/>
          </w:tcPr>
          <w:p w14:paraId="287808D2" w14:textId="77777777" w:rsidR="0054101C" w:rsidRPr="0054101C" w:rsidRDefault="0054101C" w:rsidP="0054101C">
            <w:pPr>
              <w:rPr>
                <w:rFonts w:cs="Arial"/>
              </w:rPr>
            </w:pPr>
          </w:p>
        </w:tc>
      </w:tr>
      <w:tr w:rsidR="0054101C" w:rsidRPr="0054101C" w14:paraId="43C0A94F" w14:textId="77777777" w:rsidTr="0054101C">
        <w:tc>
          <w:tcPr>
            <w:tcW w:w="1548" w:type="dxa"/>
          </w:tcPr>
          <w:p w14:paraId="4DC928A1" w14:textId="454B3873" w:rsidR="0054101C" w:rsidRPr="0054101C" w:rsidRDefault="0054101C" w:rsidP="0054101C">
            <w:pPr>
              <w:rPr>
                <w:rFonts w:cs="Arial"/>
              </w:rPr>
            </w:pPr>
            <w:r w:rsidRPr="0054101C">
              <w:rPr>
                <w:rFonts w:cs="Arial"/>
                <w:b/>
                <w:bCs/>
              </w:rPr>
              <w:t>К-М в месеци; коефициент на риск</w:t>
            </w:r>
          </w:p>
        </w:tc>
        <w:tc>
          <w:tcPr>
            <w:tcW w:w="1274" w:type="dxa"/>
          </w:tcPr>
          <w:p w14:paraId="392891EA" w14:textId="77777777" w:rsidR="0054101C" w:rsidRPr="0054101C" w:rsidRDefault="0054101C" w:rsidP="0054101C">
            <w:pPr>
              <w:rPr>
                <w:rFonts w:cs="Arial"/>
              </w:rPr>
            </w:pPr>
          </w:p>
        </w:tc>
        <w:tc>
          <w:tcPr>
            <w:tcW w:w="1322" w:type="dxa"/>
          </w:tcPr>
          <w:p w14:paraId="64728749" w14:textId="77777777" w:rsidR="0054101C" w:rsidRPr="0054101C" w:rsidRDefault="0054101C" w:rsidP="0054101C">
            <w:pPr>
              <w:rPr>
                <w:rFonts w:cs="Arial"/>
              </w:rPr>
            </w:pPr>
          </w:p>
        </w:tc>
        <w:tc>
          <w:tcPr>
            <w:tcW w:w="1322" w:type="dxa"/>
          </w:tcPr>
          <w:p w14:paraId="18BCEE16" w14:textId="77777777" w:rsidR="0054101C" w:rsidRPr="0054101C" w:rsidRDefault="0054101C" w:rsidP="0054101C">
            <w:pPr>
              <w:rPr>
                <w:rFonts w:cs="Arial"/>
              </w:rPr>
            </w:pPr>
          </w:p>
        </w:tc>
        <w:tc>
          <w:tcPr>
            <w:tcW w:w="1517" w:type="dxa"/>
          </w:tcPr>
          <w:p w14:paraId="2306916B" w14:textId="77777777" w:rsidR="0054101C" w:rsidRPr="0054101C" w:rsidRDefault="0054101C" w:rsidP="0054101C">
            <w:pPr>
              <w:rPr>
                <w:rFonts w:cs="Arial"/>
              </w:rPr>
            </w:pPr>
          </w:p>
        </w:tc>
        <w:tc>
          <w:tcPr>
            <w:tcW w:w="1208" w:type="dxa"/>
          </w:tcPr>
          <w:p w14:paraId="4E057E07" w14:textId="77777777" w:rsidR="0054101C" w:rsidRPr="0054101C" w:rsidRDefault="0054101C" w:rsidP="0054101C">
            <w:pPr>
              <w:rPr>
                <w:rFonts w:cs="Arial"/>
              </w:rPr>
            </w:pPr>
          </w:p>
        </w:tc>
      </w:tr>
      <w:tr w:rsidR="0054101C" w:rsidRPr="0054101C" w14:paraId="00DB105A" w14:textId="77777777" w:rsidTr="0054101C">
        <w:tc>
          <w:tcPr>
            <w:tcW w:w="1548" w:type="dxa"/>
          </w:tcPr>
          <w:p w14:paraId="25374A4E" w14:textId="2DBD6F5F" w:rsidR="0054101C" w:rsidRPr="0054101C" w:rsidRDefault="0054101C" w:rsidP="0054101C">
            <w:pPr>
              <w:rPr>
                <w:rFonts w:cs="Arial"/>
              </w:rPr>
            </w:pPr>
            <w:r w:rsidRPr="0054101C">
              <w:rPr>
                <w:rFonts w:cs="Arial"/>
                <w:b/>
                <w:bCs/>
              </w:rPr>
              <w:t>Общо пациенти</w:t>
            </w:r>
          </w:p>
        </w:tc>
        <w:tc>
          <w:tcPr>
            <w:tcW w:w="1274" w:type="dxa"/>
          </w:tcPr>
          <w:p w14:paraId="552A5133" w14:textId="576652DF" w:rsidR="0054101C" w:rsidRPr="0054101C" w:rsidRDefault="0054101C" w:rsidP="0054101C">
            <w:pPr>
              <w:rPr>
                <w:rFonts w:cs="Arial"/>
              </w:rPr>
            </w:pPr>
            <w:r w:rsidRPr="0054101C">
              <w:rPr>
                <w:rFonts w:cs="Arial"/>
              </w:rPr>
              <w:t>26,4</w:t>
            </w:r>
          </w:p>
        </w:tc>
        <w:tc>
          <w:tcPr>
            <w:tcW w:w="1322" w:type="dxa"/>
          </w:tcPr>
          <w:p w14:paraId="5379FA93" w14:textId="0B861A2B" w:rsidR="0054101C" w:rsidRPr="0054101C" w:rsidRDefault="0054101C" w:rsidP="0054101C">
            <w:pPr>
              <w:rPr>
                <w:rFonts w:cs="Arial"/>
              </w:rPr>
            </w:pPr>
            <w:r w:rsidRPr="0054101C">
              <w:rPr>
                <w:rFonts w:cs="Arial"/>
                <w:lang w:val="en-US"/>
              </w:rPr>
              <w:t>22,3</w:t>
            </w:r>
          </w:p>
        </w:tc>
        <w:tc>
          <w:tcPr>
            <w:tcW w:w="1322" w:type="dxa"/>
          </w:tcPr>
          <w:p w14:paraId="098ECC92" w14:textId="32A69F57" w:rsidR="0054101C" w:rsidRPr="0054101C" w:rsidRDefault="0054101C" w:rsidP="0054101C">
            <w:pPr>
              <w:rPr>
                <w:rFonts w:cs="Arial"/>
              </w:rPr>
            </w:pPr>
            <w:r w:rsidRPr="0054101C">
              <w:rPr>
                <w:rFonts w:cs="Arial"/>
              </w:rPr>
              <w:t>0,81</w:t>
            </w:r>
          </w:p>
        </w:tc>
        <w:tc>
          <w:tcPr>
            <w:tcW w:w="1517" w:type="dxa"/>
          </w:tcPr>
          <w:p w14:paraId="464AB77C" w14:textId="3D3B9D87" w:rsidR="0054101C" w:rsidRPr="0054101C" w:rsidRDefault="0054101C" w:rsidP="0054101C">
            <w:pPr>
              <w:rPr>
                <w:rFonts w:cs="Arial"/>
              </w:rPr>
            </w:pPr>
            <w:r w:rsidRPr="0054101C">
              <w:rPr>
                <w:rFonts w:cs="Arial"/>
              </w:rPr>
              <w:t>0,69; 0,96</w:t>
            </w:r>
          </w:p>
        </w:tc>
        <w:tc>
          <w:tcPr>
            <w:tcW w:w="1208" w:type="dxa"/>
          </w:tcPr>
          <w:p w14:paraId="3B6DDD99" w14:textId="3317247A" w:rsidR="0054101C" w:rsidRPr="0054101C" w:rsidRDefault="0054101C" w:rsidP="0054101C">
            <w:pPr>
              <w:rPr>
                <w:rFonts w:cs="Arial"/>
              </w:rPr>
            </w:pPr>
            <w:r w:rsidRPr="0054101C">
              <w:rPr>
                <w:rFonts w:cs="Arial"/>
              </w:rPr>
              <w:t xml:space="preserve">0,016 в </w:t>
            </w:r>
          </w:p>
        </w:tc>
      </w:tr>
      <w:tr w:rsidR="0054101C" w:rsidRPr="0054101C" w14:paraId="0C5E9225" w14:textId="77777777" w:rsidTr="0054101C">
        <w:tc>
          <w:tcPr>
            <w:tcW w:w="1548" w:type="dxa"/>
          </w:tcPr>
          <w:p w14:paraId="2B41C3C8" w14:textId="19DF2D65" w:rsidR="0054101C" w:rsidRPr="0054101C" w:rsidRDefault="0054101C" w:rsidP="0054101C">
            <w:pPr>
              <w:rPr>
                <w:rFonts w:cs="Arial"/>
              </w:rPr>
            </w:pPr>
            <w:r w:rsidRPr="0054101C">
              <w:rPr>
                <w:rFonts w:cs="Arial"/>
                <w:b/>
                <w:bCs/>
              </w:rPr>
              <w:t>-АЕ подгрупа (</w:t>
            </w:r>
            <w:r w:rsidRPr="0054101C">
              <w:rPr>
                <w:rFonts w:cs="Arial"/>
                <w:b/>
                <w:bCs/>
                <w:lang w:val="en-US"/>
              </w:rPr>
              <w:t>n</w:t>
            </w:r>
            <w:r w:rsidRPr="0054101C">
              <w:rPr>
                <w:rFonts w:cs="Arial"/>
                <w:b/>
                <w:bCs/>
              </w:rPr>
              <w:t>=423)</w:t>
            </w:r>
          </w:p>
        </w:tc>
        <w:tc>
          <w:tcPr>
            <w:tcW w:w="1274" w:type="dxa"/>
          </w:tcPr>
          <w:p w14:paraId="1500A90C" w14:textId="21DD43B3" w:rsidR="0054101C" w:rsidRPr="0054101C" w:rsidRDefault="0054101C" w:rsidP="0054101C">
            <w:pPr>
              <w:rPr>
                <w:rFonts w:cs="Arial"/>
              </w:rPr>
            </w:pPr>
            <w:r w:rsidRPr="0054101C">
              <w:rPr>
                <w:rFonts w:cs="Arial"/>
              </w:rPr>
              <w:t>30,6</w:t>
            </w:r>
          </w:p>
        </w:tc>
        <w:tc>
          <w:tcPr>
            <w:tcW w:w="1322" w:type="dxa"/>
          </w:tcPr>
          <w:p w14:paraId="5561FF95" w14:textId="407AF2DC" w:rsidR="0054101C" w:rsidRPr="0054101C" w:rsidRDefault="0054101C" w:rsidP="0054101C">
            <w:pPr>
              <w:rPr>
                <w:rFonts w:cs="Arial"/>
              </w:rPr>
            </w:pPr>
            <w:r w:rsidRPr="0054101C">
              <w:rPr>
                <w:rFonts w:cs="Arial"/>
                <w:lang w:val="en-US"/>
              </w:rPr>
              <w:t>23,9</w:t>
            </w:r>
          </w:p>
        </w:tc>
        <w:tc>
          <w:tcPr>
            <w:tcW w:w="1322" w:type="dxa"/>
          </w:tcPr>
          <w:p w14:paraId="2B96E93F" w14:textId="47C3AAAD" w:rsidR="0054101C" w:rsidRPr="0054101C" w:rsidRDefault="0054101C" w:rsidP="0054101C">
            <w:pPr>
              <w:rPr>
                <w:rFonts w:cs="Arial"/>
              </w:rPr>
            </w:pPr>
            <w:r w:rsidRPr="0054101C">
              <w:rPr>
                <w:rFonts w:cs="Arial"/>
              </w:rPr>
              <w:t>0,79</w:t>
            </w:r>
          </w:p>
        </w:tc>
        <w:tc>
          <w:tcPr>
            <w:tcW w:w="1517" w:type="dxa"/>
          </w:tcPr>
          <w:p w14:paraId="577EE1DD" w14:textId="38779700" w:rsidR="0054101C" w:rsidRPr="0054101C" w:rsidRDefault="0054101C" w:rsidP="0054101C">
            <w:pPr>
              <w:rPr>
                <w:rFonts w:cs="Arial"/>
              </w:rPr>
            </w:pPr>
            <w:r w:rsidRPr="0054101C">
              <w:rPr>
                <w:rFonts w:cs="Arial"/>
              </w:rPr>
              <w:t>0,63; 0,99</w:t>
            </w:r>
          </w:p>
        </w:tc>
        <w:tc>
          <w:tcPr>
            <w:tcW w:w="1208" w:type="dxa"/>
          </w:tcPr>
          <w:p w14:paraId="39ABBC2B" w14:textId="5EE8A0E8" w:rsidR="0054101C" w:rsidRPr="0054101C" w:rsidRDefault="0054101C" w:rsidP="0054101C">
            <w:pPr>
              <w:rPr>
                <w:rFonts w:cs="Arial"/>
              </w:rPr>
            </w:pPr>
            <w:r w:rsidRPr="0054101C">
              <w:rPr>
                <w:rFonts w:cs="Arial"/>
              </w:rPr>
              <w:t>0,038 в</w:t>
            </w:r>
          </w:p>
        </w:tc>
      </w:tr>
      <w:tr w:rsidR="0054101C" w:rsidRPr="0054101C" w14:paraId="3595D9FE" w14:textId="77777777" w:rsidTr="0054101C">
        <w:tc>
          <w:tcPr>
            <w:tcW w:w="1548" w:type="dxa"/>
          </w:tcPr>
          <w:p w14:paraId="1B6E384A" w14:textId="1D71D02E" w:rsidR="0054101C" w:rsidRPr="0054101C" w:rsidRDefault="0054101C" w:rsidP="0054101C">
            <w:pPr>
              <w:rPr>
                <w:rFonts w:cs="Arial"/>
              </w:rPr>
            </w:pPr>
            <w:r w:rsidRPr="0054101C">
              <w:rPr>
                <w:rFonts w:cs="Arial"/>
                <w:b/>
                <w:bCs/>
              </w:rPr>
              <w:t>-АИ подгрупа (</w:t>
            </w:r>
            <w:r w:rsidRPr="0054101C">
              <w:rPr>
                <w:rFonts w:cs="Arial"/>
                <w:b/>
                <w:bCs/>
                <w:lang w:val="en-US"/>
              </w:rPr>
              <w:t>n</w:t>
            </w:r>
            <w:r w:rsidRPr="0054101C">
              <w:rPr>
                <w:rFonts w:cs="Arial"/>
                <w:b/>
                <w:bCs/>
              </w:rPr>
              <w:t>=313)</w:t>
            </w:r>
            <w:r w:rsidRPr="0054101C">
              <w:rPr>
                <w:rFonts w:cs="Arial"/>
                <w:b/>
                <w:bCs/>
                <w:vertAlign w:val="superscript"/>
              </w:rPr>
              <w:t>а</w:t>
            </w:r>
          </w:p>
        </w:tc>
        <w:tc>
          <w:tcPr>
            <w:tcW w:w="1274" w:type="dxa"/>
          </w:tcPr>
          <w:p w14:paraId="6E722282" w14:textId="324C3DC4" w:rsidR="0054101C" w:rsidRPr="0054101C" w:rsidRDefault="0054101C" w:rsidP="0054101C">
            <w:pPr>
              <w:rPr>
                <w:rFonts w:cs="Arial"/>
              </w:rPr>
            </w:pPr>
            <w:r w:rsidRPr="0054101C">
              <w:rPr>
                <w:rFonts w:cs="Arial"/>
              </w:rPr>
              <w:t>24,1</w:t>
            </w:r>
          </w:p>
        </w:tc>
        <w:tc>
          <w:tcPr>
            <w:tcW w:w="1322" w:type="dxa"/>
          </w:tcPr>
          <w:p w14:paraId="2BA2B4D6" w14:textId="31EA65DD" w:rsidR="0054101C" w:rsidRPr="0054101C" w:rsidRDefault="0054101C" w:rsidP="0054101C">
            <w:pPr>
              <w:rPr>
                <w:rFonts w:cs="Arial"/>
              </w:rPr>
            </w:pPr>
            <w:r w:rsidRPr="0054101C">
              <w:rPr>
                <w:rFonts w:cs="Arial"/>
                <w:lang w:val="en-US"/>
              </w:rPr>
              <w:t>20,8</w:t>
            </w:r>
          </w:p>
        </w:tc>
        <w:tc>
          <w:tcPr>
            <w:tcW w:w="1322" w:type="dxa"/>
          </w:tcPr>
          <w:p w14:paraId="1C0046E4" w14:textId="0852AB13" w:rsidR="0054101C" w:rsidRPr="0054101C" w:rsidRDefault="0054101C" w:rsidP="0054101C">
            <w:pPr>
              <w:rPr>
                <w:rFonts w:cs="Arial"/>
              </w:rPr>
            </w:pPr>
            <w:r w:rsidRPr="0054101C">
              <w:rPr>
                <w:rFonts w:cs="Arial"/>
              </w:rPr>
              <w:t>0,86</w:t>
            </w:r>
          </w:p>
        </w:tc>
        <w:tc>
          <w:tcPr>
            <w:tcW w:w="1517" w:type="dxa"/>
          </w:tcPr>
          <w:p w14:paraId="51AC67CD" w14:textId="6679BEEF" w:rsidR="0054101C" w:rsidRPr="0054101C" w:rsidRDefault="0054101C" w:rsidP="0054101C">
            <w:pPr>
              <w:rPr>
                <w:rFonts w:cs="Arial"/>
              </w:rPr>
            </w:pPr>
            <w:r w:rsidRPr="0054101C">
              <w:rPr>
                <w:rFonts w:cs="Arial"/>
              </w:rPr>
              <w:t>0,67; 1,11</w:t>
            </w:r>
          </w:p>
        </w:tc>
        <w:tc>
          <w:tcPr>
            <w:tcW w:w="1208" w:type="dxa"/>
          </w:tcPr>
          <w:p w14:paraId="5E170E8B" w14:textId="679EB827" w:rsidR="0054101C" w:rsidRPr="0054101C" w:rsidRDefault="0054101C" w:rsidP="0054101C">
            <w:pPr>
              <w:rPr>
                <w:rFonts w:cs="Arial"/>
              </w:rPr>
            </w:pPr>
            <w:r w:rsidRPr="0054101C">
              <w:rPr>
                <w:rFonts w:cs="Arial"/>
              </w:rPr>
              <w:t>0,241</w:t>
            </w:r>
            <w:r w:rsidRPr="0054101C">
              <w:rPr>
                <w:rFonts w:cs="Arial"/>
                <w:lang w:val="en-US"/>
              </w:rPr>
              <w:t xml:space="preserve"> </w:t>
            </w:r>
            <w:r w:rsidRPr="0054101C">
              <w:rPr>
                <w:rFonts w:cs="Arial"/>
              </w:rPr>
              <w:t>в</w:t>
            </w:r>
          </w:p>
        </w:tc>
      </w:tr>
      <w:tr w:rsidR="0054101C" w:rsidRPr="0054101C" w14:paraId="2BAEF9D3" w14:textId="77777777" w:rsidTr="00105271">
        <w:tc>
          <w:tcPr>
            <w:tcW w:w="1548" w:type="dxa"/>
            <w:vMerge w:val="restart"/>
          </w:tcPr>
          <w:p w14:paraId="7CE48DCA" w14:textId="5A52D544" w:rsidR="0054101C" w:rsidRPr="0054101C" w:rsidRDefault="0054101C" w:rsidP="0054101C">
            <w:pPr>
              <w:rPr>
                <w:rFonts w:cs="Arial"/>
              </w:rPr>
            </w:pPr>
            <w:r w:rsidRPr="0054101C">
              <w:rPr>
                <w:rFonts w:cs="Arial"/>
                <w:b/>
                <w:bCs/>
              </w:rPr>
              <w:t>Променлива Метод на оценка;</w:t>
            </w:r>
            <w:r w:rsidRPr="0054101C">
              <w:rPr>
                <w:rFonts w:cs="Arial"/>
              </w:rPr>
              <w:t xml:space="preserve"> </w:t>
            </w:r>
            <w:r w:rsidRPr="0054101C">
              <w:rPr>
                <w:rFonts w:cs="Arial"/>
                <w:b/>
                <w:bCs/>
              </w:rPr>
              <w:t>терапевтично</w:t>
            </w:r>
          </w:p>
          <w:p w14:paraId="2206BCCD" w14:textId="67207E95" w:rsidR="0054101C" w:rsidRPr="0054101C" w:rsidRDefault="0054101C" w:rsidP="0054101C">
            <w:pPr>
              <w:rPr>
                <w:rFonts w:cs="Arial"/>
              </w:rPr>
            </w:pPr>
            <w:r w:rsidRPr="0054101C">
              <w:rPr>
                <w:rFonts w:cs="Arial"/>
                <w:b/>
                <w:bCs/>
              </w:rPr>
              <w:t>сравнение</w:t>
            </w:r>
          </w:p>
        </w:tc>
        <w:tc>
          <w:tcPr>
            <w:tcW w:w="1274" w:type="dxa"/>
          </w:tcPr>
          <w:p w14:paraId="7785CBE0" w14:textId="1CB16C76" w:rsidR="0054101C" w:rsidRPr="0054101C" w:rsidRDefault="0054101C" w:rsidP="0054101C">
            <w:pPr>
              <w:rPr>
                <w:rFonts w:cs="Arial"/>
              </w:rPr>
            </w:pPr>
            <w:proofErr w:type="spellStart"/>
            <w:r w:rsidRPr="0054101C">
              <w:rPr>
                <w:rFonts w:cs="Arial"/>
                <w:b/>
                <w:bCs/>
                <w:lang w:val="en-US"/>
              </w:rPr>
              <w:t>Fulvestrant</w:t>
            </w:r>
            <w:proofErr w:type="spellEnd"/>
          </w:p>
        </w:tc>
        <w:tc>
          <w:tcPr>
            <w:tcW w:w="1322" w:type="dxa"/>
          </w:tcPr>
          <w:p w14:paraId="62EB548C" w14:textId="5D9AB425" w:rsidR="0054101C" w:rsidRPr="0054101C" w:rsidRDefault="0054101C" w:rsidP="0054101C">
            <w:pPr>
              <w:rPr>
                <w:rFonts w:cs="Arial"/>
              </w:rPr>
            </w:pPr>
            <w:proofErr w:type="spellStart"/>
            <w:r w:rsidRPr="0054101C">
              <w:rPr>
                <w:rFonts w:cs="Arial"/>
                <w:b/>
                <w:bCs/>
                <w:lang w:val="en-US"/>
              </w:rPr>
              <w:t>Fulvestrant</w:t>
            </w:r>
            <w:proofErr w:type="spellEnd"/>
          </w:p>
        </w:tc>
        <w:tc>
          <w:tcPr>
            <w:tcW w:w="4047" w:type="dxa"/>
            <w:gridSpan w:val="3"/>
          </w:tcPr>
          <w:p w14:paraId="24820964" w14:textId="08AFAC15" w:rsidR="0054101C" w:rsidRPr="0054101C" w:rsidRDefault="0054101C" w:rsidP="0054101C">
            <w:pPr>
              <w:rPr>
                <w:rFonts w:cs="Arial"/>
              </w:rPr>
            </w:pPr>
            <w:r w:rsidRPr="0054101C">
              <w:rPr>
                <w:rFonts w:cs="Arial"/>
                <w:b/>
                <w:bCs/>
              </w:rPr>
              <w:t>Сравнение между групите</w:t>
            </w:r>
          </w:p>
        </w:tc>
      </w:tr>
      <w:tr w:rsidR="0054101C" w:rsidRPr="0054101C" w14:paraId="738EAE6E" w14:textId="77777777" w:rsidTr="006C7869">
        <w:tc>
          <w:tcPr>
            <w:tcW w:w="1548" w:type="dxa"/>
            <w:vMerge/>
          </w:tcPr>
          <w:p w14:paraId="550E8F4A" w14:textId="510B7B80" w:rsidR="0054101C" w:rsidRPr="0054101C" w:rsidRDefault="0054101C" w:rsidP="0054101C">
            <w:pPr>
              <w:rPr>
                <w:rFonts w:cs="Arial"/>
              </w:rPr>
            </w:pPr>
          </w:p>
        </w:tc>
        <w:tc>
          <w:tcPr>
            <w:tcW w:w="1274" w:type="dxa"/>
          </w:tcPr>
          <w:p w14:paraId="2A9BF136" w14:textId="30D43627" w:rsidR="0054101C" w:rsidRPr="0054101C" w:rsidRDefault="0054101C" w:rsidP="0054101C">
            <w:pPr>
              <w:rPr>
                <w:rFonts w:cs="Arial"/>
              </w:rPr>
            </w:pPr>
            <w:r w:rsidRPr="0054101C">
              <w:rPr>
                <w:rFonts w:cs="Arial"/>
                <w:b/>
                <w:bCs/>
                <w:lang w:val="en-US"/>
              </w:rPr>
              <w:t>500 mg</w:t>
            </w:r>
          </w:p>
        </w:tc>
        <w:tc>
          <w:tcPr>
            <w:tcW w:w="1322" w:type="dxa"/>
          </w:tcPr>
          <w:p w14:paraId="3B816A9A" w14:textId="582E3E53" w:rsidR="0054101C" w:rsidRPr="0054101C" w:rsidRDefault="0054101C" w:rsidP="0054101C">
            <w:pPr>
              <w:rPr>
                <w:rFonts w:cs="Arial"/>
              </w:rPr>
            </w:pPr>
            <w:r w:rsidRPr="0054101C">
              <w:rPr>
                <w:rFonts w:cs="Arial"/>
                <w:b/>
                <w:bCs/>
                <w:lang w:val="en-US"/>
              </w:rPr>
              <w:t>250 mg</w:t>
            </w:r>
          </w:p>
        </w:tc>
        <w:tc>
          <w:tcPr>
            <w:tcW w:w="4047" w:type="dxa"/>
            <w:gridSpan w:val="3"/>
          </w:tcPr>
          <w:p w14:paraId="76F01626" w14:textId="566956AD" w:rsidR="0054101C" w:rsidRPr="0054101C" w:rsidRDefault="0054101C" w:rsidP="0054101C">
            <w:pPr>
              <w:rPr>
                <w:rFonts w:cs="Arial"/>
              </w:rPr>
            </w:pPr>
            <w:r w:rsidRPr="0054101C">
              <w:rPr>
                <w:rFonts w:cs="Arial"/>
                <w:b/>
                <w:bCs/>
                <w:u w:val="single"/>
                <w:lang w:val="en-US"/>
              </w:rPr>
              <w:t>(</w:t>
            </w:r>
            <w:proofErr w:type="spellStart"/>
            <w:r w:rsidRPr="0054101C">
              <w:rPr>
                <w:rFonts w:cs="Arial"/>
                <w:b/>
                <w:bCs/>
                <w:u w:val="single"/>
                <w:lang w:val="en-US"/>
              </w:rPr>
              <w:t>Fulvestrant</w:t>
            </w:r>
            <w:proofErr w:type="spellEnd"/>
            <w:r w:rsidRPr="0054101C">
              <w:rPr>
                <w:rFonts w:cs="Arial"/>
                <w:b/>
                <w:bCs/>
                <w:u w:val="single"/>
                <w:lang w:val="en-US"/>
              </w:rPr>
              <w:t xml:space="preserve"> </w:t>
            </w:r>
            <w:r w:rsidRPr="0054101C">
              <w:rPr>
                <w:rFonts w:cs="Arial"/>
                <w:b/>
                <w:bCs/>
                <w:u w:val="single"/>
              </w:rPr>
              <w:t xml:space="preserve">500 </w:t>
            </w:r>
            <w:r w:rsidRPr="0054101C">
              <w:rPr>
                <w:rFonts w:cs="Arial"/>
                <w:b/>
                <w:bCs/>
                <w:u w:val="single"/>
                <w:lang w:val="en-US"/>
              </w:rPr>
              <w:t>mg/</w:t>
            </w:r>
            <w:proofErr w:type="spellStart"/>
            <w:r w:rsidRPr="0054101C">
              <w:rPr>
                <w:rFonts w:cs="Arial"/>
                <w:b/>
                <w:bCs/>
                <w:u w:val="single"/>
                <w:lang w:val="en-US"/>
              </w:rPr>
              <w:t>Fulvestrant</w:t>
            </w:r>
            <w:proofErr w:type="spellEnd"/>
            <w:r w:rsidRPr="0054101C">
              <w:rPr>
                <w:rFonts w:cs="Arial"/>
                <w:b/>
                <w:bCs/>
                <w:u w:val="single"/>
                <w:lang w:val="en-US"/>
              </w:rPr>
              <w:t xml:space="preserve"> </w:t>
            </w:r>
            <w:r w:rsidRPr="0054101C">
              <w:rPr>
                <w:rFonts w:cs="Arial"/>
                <w:b/>
                <w:bCs/>
                <w:u w:val="single"/>
              </w:rPr>
              <w:t xml:space="preserve">250 </w:t>
            </w:r>
            <w:r w:rsidRPr="0054101C">
              <w:rPr>
                <w:rFonts w:cs="Arial"/>
                <w:b/>
                <w:bCs/>
                <w:u w:val="single"/>
                <w:lang w:val="en-US"/>
              </w:rPr>
              <w:t>mg)</w:t>
            </w:r>
          </w:p>
        </w:tc>
      </w:tr>
      <w:tr w:rsidR="0054101C" w:rsidRPr="0054101C" w14:paraId="7F906613" w14:textId="77777777" w:rsidTr="000B3827">
        <w:trPr>
          <w:trHeight w:val="830"/>
        </w:trPr>
        <w:tc>
          <w:tcPr>
            <w:tcW w:w="1548" w:type="dxa"/>
            <w:vMerge/>
          </w:tcPr>
          <w:p w14:paraId="388B488F" w14:textId="063FA045" w:rsidR="0054101C" w:rsidRPr="0054101C" w:rsidRDefault="0054101C" w:rsidP="0054101C">
            <w:pPr>
              <w:rPr>
                <w:rFonts w:cs="Arial"/>
              </w:rPr>
            </w:pPr>
          </w:p>
        </w:tc>
        <w:tc>
          <w:tcPr>
            <w:tcW w:w="1274" w:type="dxa"/>
          </w:tcPr>
          <w:p w14:paraId="526B5B08" w14:textId="55D73A3F" w:rsidR="0054101C" w:rsidRPr="0054101C" w:rsidRDefault="0054101C" w:rsidP="0054101C">
            <w:pPr>
              <w:rPr>
                <w:rFonts w:cs="Arial"/>
              </w:rPr>
            </w:pPr>
            <w:r w:rsidRPr="0054101C">
              <w:rPr>
                <w:rFonts w:cs="Arial"/>
                <w:b/>
                <w:bCs/>
                <w:lang w:val="en-US"/>
              </w:rPr>
              <w:t>(N=362)</w:t>
            </w:r>
          </w:p>
        </w:tc>
        <w:tc>
          <w:tcPr>
            <w:tcW w:w="1322" w:type="dxa"/>
          </w:tcPr>
          <w:p w14:paraId="7B902DE0" w14:textId="3CE26BCA" w:rsidR="0054101C" w:rsidRPr="0054101C" w:rsidRDefault="0054101C" w:rsidP="0054101C">
            <w:pPr>
              <w:rPr>
                <w:rFonts w:cs="Arial"/>
              </w:rPr>
            </w:pPr>
            <w:r w:rsidRPr="0054101C">
              <w:rPr>
                <w:rFonts w:cs="Arial"/>
                <w:b/>
                <w:bCs/>
                <w:lang w:val="en-US"/>
              </w:rPr>
              <w:t>(N=374)</w:t>
            </w:r>
          </w:p>
        </w:tc>
        <w:tc>
          <w:tcPr>
            <w:tcW w:w="1322" w:type="dxa"/>
          </w:tcPr>
          <w:p w14:paraId="2849A2BF" w14:textId="77777777" w:rsidR="0054101C" w:rsidRPr="0054101C" w:rsidRDefault="0054101C" w:rsidP="0054101C">
            <w:pPr>
              <w:rPr>
                <w:rFonts w:cs="Arial"/>
              </w:rPr>
            </w:pPr>
            <w:r w:rsidRPr="0054101C">
              <w:rPr>
                <w:rFonts w:cs="Arial"/>
                <w:b/>
                <w:bCs/>
              </w:rPr>
              <w:t>Абсолютна</w:t>
            </w:r>
          </w:p>
          <w:p w14:paraId="2BF5546D" w14:textId="77777777" w:rsidR="0054101C" w:rsidRPr="0054101C" w:rsidRDefault="0054101C" w:rsidP="0054101C">
            <w:pPr>
              <w:rPr>
                <w:rFonts w:cs="Arial"/>
              </w:rPr>
            </w:pPr>
            <w:r w:rsidRPr="0054101C">
              <w:rPr>
                <w:rFonts w:cs="Arial"/>
                <w:b/>
                <w:bCs/>
              </w:rPr>
              <w:t>разлика в</w:t>
            </w:r>
          </w:p>
          <w:p w14:paraId="653CE0C2" w14:textId="7DB4A7AB" w:rsidR="0054101C" w:rsidRPr="0054101C" w:rsidRDefault="0054101C" w:rsidP="0054101C">
            <w:pPr>
              <w:rPr>
                <w:rFonts w:cs="Arial"/>
              </w:rPr>
            </w:pPr>
            <w:r w:rsidRPr="0054101C">
              <w:rPr>
                <w:rFonts w:cs="Arial"/>
              </w:rPr>
              <w:t>%</w:t>
            </w:r>
          </w:p>
        </w:tc>
        <w:tc>
          <w:tcPr>
            <w:tcW w:w="1517" w:type="dxa"/>
          </w:tcPr>
          <w:p w14:paraId="6B877260" w14:textId="4F7319E5" w:rsidR="0054101C" w:rsidRPr="0054101C" w:rsidRDefault="0054101C" w:rsidP="0054101C">
            <w:pPr>
              <w:rPr>
                <w:rFonts w:cs="Arial"/>
              </w:rPr>
            </w:pPr>
            <w:r w:rsidRPr="0054101C">
              <w:rPr>
                <w:rFonts w:cs="Arial"/>
                <w:b/>
                <w:bCs/>
              </w:rPr>
              <w:t xml:space="preserve">95% </w:t>
            </w:r>
            <w:r w:rsidRPr="0054101C">
              <w:rPr>
                <w:rFonts w:cs="Arial"/>
                <w:b/>
                <w:bCs/>
                <w:lang w:val="en-US"/>
              </w:rPr>
              <w:t>CI</w:t>
            </w:r>
          </w:p>
        </w:tc>
        <w:tc>
          <w:tcPr>
            <w:tcW w:w="1208" w:type="dxa"/>
          </w:tcPr>
          <w:p w14:paraId="463BCF66" w14:textId="77777777" w:rsidR="0054101C" w:rsidRPr="0054101C" w:rsidRDefault="0054101C" w:rsidP="0054101C">
            <w:pPr>
              <w:rPr>
                <w:rFonts w:cs="Arial"/>
              </w:rPr>
            </w:pPr>
          </w:p>
        </w:tc>
      </w:tr>
      <w:tr w:rsidR="0054101C" w:rsidRPr="0054101C" w14:paraId="5C90DB5E" w14:textId="77777777" w:rsidTr="002327F2">
        <w:trPr>
          <w:trHeight w:val="1398"/>
        </w:trPr>
        <w:tc>
          <w:tcPr>
            <w:tcW w:w="1548" w:type="dxa"/>
          </w:tcPr>
          <w:p w14:paraId="30A24FD5" w14:textId="77777777" w:rsidR="0054101C" w:rsidRPr="0054101C" w:rsidRDefault="0054101C" w:rsidP="0054101C">
            <w:pPr>
              <w:rPr>
                <w:rFonts w:cs="Arial"/>
              </w:rPr>
            </w:pPr>
            <w:r w:rsidRPr="0054101C">
              <w:rPr>
                <w:rFonts w:cs="Arial"/>
                <w:b/>
                <w:bCs/>
              </w:rPr>
              <w:t>СОП</w:t>
            </w:r>
            <w:r w:rsidRPr="0054101C">
              <w:rPr>
                <w:rFonts w:cs="Arial"/>
                <w:b/>
                <w:bCs/>
                <w:vertAlign w:val="superscript"/>
              </w:rPr>
              <w:t>Г</w:t>
            </w:r>
            <w:r w:rsidRPr="0054101C">
              <w:rPr>
                <w:rFonts w:cs="Arial"/>
                <w:b/>
                <w:bCs/>
              </w:rPr>
              <w:tab/>
              <w:t>% пациенти</w:t>
            </w:r>
          </w:p>
          <w:p w14:paraId="43CF811E" w14:textId="5DDD682F" w:rsidR="0054101C" w:rsidRPr="0054101C" w:rsidRDefault="0054101C" w:rsidP="0054101C">
            <w:pPr>
              <w:rPr>
                <w:rFonts w:cs="Arial"/>
              </w:rPr>
            </w:pPr>
            <w:r w:rsidRPr="0054101C">
              <w:rPr>
                <w:rFonts w:cs="Arial"/>
                <w:b/>
                <w:bCs/>
              </w:rPr>
              <w:t>с обективен отговор; абсолютна разлика в %</w:t>
            </w:r>
          </w:p>
        </w:tc>
        <w:tc>
          <w:tcPr>
            <w:tcW w:w="6643" w:type="dxa"/>
            <w:gridSpan w:val="5"/>
          </w:tcPr>
          <w:p w14:paraId="2E85C2D9" w14:textId="77777777" w:rsidR="0054101C" w:rsidRPr="0054101C" w:rsidRDefault="0054101C" w:rsidP="0054101C">
            <w:pPr>
              <w:rPr>
                <w:rFonts w:cs="Arial"/>
              </w:rPr>
            </w:pPr>
          </w:p>
        </w:tc>
      </w:tr>
    </w:tbl>
    <w:p w14:paraId="4DCE5694" w14:textId="3112386C" w:rsidR="00154D99" w:rsidRPr="0054101C" w:rsidRDefault="00154D99" w:rsidP="00154D99">
      <w:pPr>
        <w:rPr>
          <w:rFonts w:cs="Arial"/>
        </w:rPr>
      </w:pPr>
    </w:p>
    <w:p w14:paraId="230B5FF4" w14:textId="77777777" w:rsidR="0054101C" w:rsidRPr="0054101C" w:rsidRDefault="0054101C" w:rsidP="00154D99">
      <w:pPr>
        <w:rPr>
          <w:rFonts w:cs="Arial"/>
        </w:rPr>
      </w:pPr>
    </w:p>
    <w:tbl>
      <w:tblPr>
        <w:tblStyle w:val="TableGrid"/>
        <w:tblW w:w="0" w:type="auto"/>
        <w:tblLook w:val="04A0" w:firstRow="1" w:lastRow="0" w:firstColumn="1" w:lastColumn="0" w:noHBand="0" w:noVBand="1"/>
      </w:tblPr>
      <w:tblGrid>
        <w:gridCol w:w="1870"/>
        <w:gridCol w:w="1870"/>
        <w:gridCol w:w="1870"/>
        <w:gridCol w:w="1870"/>
        <w:gridCol w:w="1870"/>
      </w:tblGrid>
      <w:tr w:rsidR="00154D99" w:rsidRPr="0054101C" w14:paraId="0E62298D" w14:textId="77777777" w:rsidTr="00154D99">
        <w:tc>
          <w:tcPr>
            <w:tcW w:w="1870" w:type="dxa"/>
            <w:vMerge w:val="restart"/>
          </w:tcPr>
          <w:p w14:paraId="7CAB7833" w14:textId="77777777" w:rsidR="00154D99" w:rsidRPr="0054101C" w:rsidRDefault="00154D99" w:rsidP="00154D99">
            <w:pPr>
              <w:rPr>
                <w:rFonts w:cs="Arial"/>
              </w:rPr>
            </w:pPr>
            <w:r w:rsidRPr="0054101C">
              <w:rPr>
                <w:rFonts w:cs="Arial"/>
                <w:b/>
                <w:bCs/>
              </w:rPr>
              <w:t>Общо пациенти</w:t>
            </w:r>
          </w:p>
          <w:p w14:paraId="592F46EB" w14:textId="77777777" w:rsidR="00154D99" w:rsidRPr="0054101C" w:rsidRDefault="00154D99" w:rsidP="00154D99">
            <w:pPr>
              <w:rPr>
                <w:rFonts w:cs="Arial"/>
              </w:rPr>
            </w:pPr>
            <w:r w:rsidRPr="0054101C">
              <w:rPr>
                <w:rFonts w:cs="Arial"/>
                <w:b/>
                <w:bCs/>
              </w:rPr>
              <w:t>-АЕ подгрупа (</w:t>
            </w:r>
            <w:r w:rsidRPr="0054101C">
              <w:rPr>
                <w:rFonts w:cs="Arial"/>
                <w:b/>
                <w:bCs/>
                <w:lang w:val="en-US"/>
              </w:rPr>
              <w:t>n</w:t>
            </w:r>
            <w:r w:rsidRPr="0054101C">
              <w:rPr>
                <w:rFonts w:cs="Arial"/>
                <w:b/>
                <w:bCs/>
              </w:rPr>
              <w:t>=296)</w:t>
            </w:r>
          </w:p>
          <w:p w14:paraId="05C09219" w14:textId="77777777" w:rsidR="00154D99" w:rsidRPr="0054101C" w:rsidRDefault="00154D99" w:rsidP="00154D99">
            <w:pPr>
              <w:rPr>
                <w:rFonts w:cs="Arial"/>
                <w:b/>
                <w:bCs/>
                <w:lang w:val="en-US"/>
              </w:rPr>
            </w:pPr>
            <w:r w:rsidRPr="0054101C">
              <w:rPr>
                <w:rFonts w:cs="Arial"/>
                <w:b/>
                <w:bCs/>
              </w:rPr>
              <w:t>-АИ подгрупа (</w:t>
            </w:r>
            <w:r w:rsidRPr="0054101C">
              <w:rPr>
                <w:rFonts w:cs="Arial"/>
                <w:b/>
                <w:bCs/>
                <w:lang w:val="en-US"/>
              </w:rPr>
              <w:t>n=</w:t>
            </w:r>
            <w:r w:rsidRPr="0054101C">
              <w:rPr>
                <w:rFonts w:cs="Arial"/>
                <w:b/>
                <w:bCs/>
              </w:rPr>
              <w:t>205)</w:t>
            </w:r>
            <w:r w:rsidRPr="0054101C">
              <w:rPr>
                <w:rFonts w:cs="Arial"/>
                <w:b/>
                <w:bCs/>
                <w:vertAlign w:val="superscript"/>
                <w:lang w:val="en-US"/>
              </w:rPr>
              <w:t>a</w:t>
            </w:r>
          </w:p>
          <w:p w14:paraId="47B16BB3" w14:textId="77777777" w:rsidR="00154D99" w:rsidRPr="0054101C" w:rsidRDefault="00154D99" w:rsidP="00154D99">
            <w:pPr>
              <w:rPr>
                <w:rFonts w:cs="Arial"/>
              </w:rPr>
            </w:pPr>
            <w:r w:rsidRPr="0054101C">
              <w:rPr>
                <w:rFonts w:cs="Arial"/>
                <w:b/>
                <w:bCs/>
                <w:lang w:val="en-US"/>
              </w:rPr>
              <w:t>CK</w:t>
            </w:r>
            <w:r w:rsidRPr="0054101C">
              <w:rPr>
                <w:rFonts w:cs="Arial"/>
                <w:b/>
                <w:bCs/>
              </w:rPr>
              <w:t xml:space="preserve">П </w:t>
            </w:r>
            <w:r w:rsidRPr="0054101C">
              <w:rPr>
                <w:rFonts w:cs="Arial"/>
                <w:b/>
                <w:bCs/>
                <w:vertAlign w:val="superscript"/>
              </w:rPr>
              <w:t>а</w:t>
            </w:r>
          </w:p>
          <w:p w14:paraId="7C7D88B7" w14:textId="77777777" w:rsidR="00154D99" w:rsidRPr="0054101C" w:rsidRDefault="00154D99" w:rsidP="00154D99">
            <w:pPr>
              <w:jc w:val="right"/>
              <w:rPr>
                <w:rFonts w:cs="Arial"/>
              </w:rPr>
            </w:pPr>
            <w:r w:rsidRPr="0054101C">
              <w:rPr>
                <w:rFonts w:cs="Arial"/>
                <w:b/>
                <w:bCs/>
              </w:rPr>
              <w:t>% пациенти</w:t>
            </w:r>
          </w:p>
          <w:p w14:paraId="76F2DAC0" w14:textId="77777777" w:rsidR="00154D99" w:rsidRPr="0054101C" w:rsidRDefault="00154D99" w:rsidP="00154D99">
            <w:pPr>
              <w:jc w:val="right"/>
              <w:rPr>
                <w:rFonts w:cs="Arial"/>
              </w:rPr>
            </w:pPr>
            <w:r w:rsidRPr="0054101C">
              <w:rPr>
                <w:rFonts w:cs="Arial"/>
                <w:b/>
                <w:bCs/>
              </w:rPr>
              <w:t>с</w:t>
            </w:r>
            <w:r w:rsidRPr="0054101C">
              <w:rPr>
                <w:rFonts w:cs="Arial"/>
                <w:b/>
                <w:bCs/>
                <w:lang w:val="en-US"/>
              </w:rPr>
              <w:t xml:space="preserve"> </w:t>
            </w:r>
            <w:r w:rsidRPr="0054101C">
              <w:rPr>
                <w:rFonts w:cs="Arial"/>
                <w:b/>
                <w:bCs/>
              </w:rPr>
              <w:t>КП;</w:t>
            </w:r>
          </w:p>
          <w:p w14:paraId="5DBEE4C5" w14:textId="77777777" w:rsidR="00154D99" w:rsidRPr="0054101C" w:rsidRDefault="00154D99" w:rsidP="00154D99">
            <w:pPr>
              <w:jc w:val="right"/>
              <w:rPr>
                <w:rFonts w:cs="Arial"/>
              </w:rPr>
            </w:pPr>
            <w:r w:rsidRPr="0054101C">
              <w:rPr>
                <w:rFonts w:cs="Arial"/>
                <w:b/>
                <w:bCs/>
              </w:rPr>
              <w:t>абсолютна</w:t>
            </w:r>
          </w:p>
          <w:p w14:paraId="5FAF6234" w14:textId="7F5B3E7E" w:rsidR="00154D99" w:rsidRPr="0054101C" w:rsidRDefault="00154D99" w:rsidP="00154D99">
            <w:pPr>
              <w:jc w:val="right"/>
              <w:rPr>
                <w:rFonts w:cs="Arial"/>
              </w:rPr>
            </w:pPr>
            <w:r w:rsidRPr="0054101C">
              <w:rPr>
                <w:rFonts w:cs="Arial"/>
                <w:b/>
                <w:bCs/>
              </w:rPr>
              <w:t>разлика в %</w:t>
            </w:r>
          </w:p>
        </w:tc>
        <w:tc>
          <w:tcPr>
            <w:tcW w:w="1870" w:type="dxa"/>
          </w:tcPr>
          <w:p w14:paraId="66575D39" w14:textId="383586EB" w:rsidR="00154D99" w:rsidRPr="0054101C" w:rsidRDefault="00154D99" w:rsidP="00154D99">
            <w:pPr>
              <w:rPr>
                <w:rFonts w:cs="Arial"/>
              </w:rPr>
            </w:pPr>
            <w:r w:rsidRPr="0054101C">
              <w:rPr>
                <w:rFonts w:cs="Arial"/>
              </w:rPr>
              <w:t>13,8</w:t>
            </w:r>
          </w:p>
        </w:tc>
        <w:tc>
          <w:tcPr>
            <w:tcW w:w="1870" w:type="dxa"/>
          </w:tcPr>
          <w:p w14:paraId="40A048F8" w14:textId="7885B5FE" w:rsidR="00154D99" w:rsidRPr="0054101C" w:rsidRDefault="00154D99" w:rsidP="00154D99">
            <w:pPr>
              <w:rPr>
                <w:rFonts w:cs="Arial"/>
              </w:rPr>
            </w:pPr>
            <w:r w:rsidRPr="0054101C">
              <w:rPr>
                <w:rFonts w:cs="Arial"/>
              </w:rPr>
              <w:t>14,6</w:t>
            </w:r>
          </w:p>
        </w:tc>
        <w:tc>
          <w:tcPr>
            <w:tcW w:w="1870" w:type="dxa"/>
          </w:tcPr>
          <w:p w14:paraId="601C3632" w14:textId="3CA3BC32" w:rsidR="00154D99" w:rsidRPr="0054101C" w:rsidRDefault="00154D99" w:rsidP="00154D99">
            <w:pPr>
              <w:rPr>
                <w:rFonts w:cs="Arial"/>
              </w:rPr>
            </w:pPr>
            <w:r w:rsidRPr="0054101C">
              <w:rPr>
                <w:rFonts w:cs="Arial"/>
              </w:rPr>
              <w:t>-0,8</w:t>
            </w:r>
          </w:p>
        </w:tc>
        <w:tc>
          <w:tcPr>
            <w:tcW w:w="1870" w:type="dxa"/>
          </w:tcPr>
          <w:p w14:paraId="35580FC8" w14:textId="7077ABCB" w:rsidR="00154D99" w:rsidRPr="0054101C" w:rsidRDefault="00154D99" w:rsidP="00154D99">
            <w:pPr>
              <w:rPr>
                <w:rFonts w:cs="Arial"/>
              </w:rPr>
            </w:pPr>
            <w:r w:rsidRPr="0054101C">
              <w:rPr>
                <w:rFonts w:cs="Arial"/>
              </w:rPr>
              <w:t>-5,8; 6,3</w:t>
            </w:r>
          </w:p>
        </w:tc>
      </w:tr>
      <w:tr w:rsidR="00154D99" w:rsidRPr="0054101C" w14:paraId="65A20809" w14:textId="77777777" w:rsidTr="00154D99">
        <w:tc>
          <w:tcPr>
            <w:tcW w:w="1870" w:type="dxa"/>
            <w:vMerge/>
          </w:tcPr>
          <w:p w14:paraId="66E0BB0C" w14:textId="59646CB6" w:rsidR="00154D99" w:rsidRPr="0054101C" w:rsidRDefault="00154D99" w:rsidP="00154D99">
            <w:pPr>
              <w:jc w:val="right"/>
              <w:rPr>
                <w:rFonts w:cs="Arial"/>
              </w:rPr>
            </w:pPr>
          </w:p>
        </w:tc>
        <w:tc>
          <w:tcPr>
            <w:tcW w:w="1870" w:type="dxa"/>
          </w:tcPr>
          <w:p w14:paraId="5674975F" w14:textId="26331371" w:rsidR="00154D99" w:rsidRPr="0054101C" w:rsidRDefault="00154D99" w:rsidP="00154D99">
            <w:pPr>
              <w:rPr>
                <w:rFonts w:cs="Arial"/>
              </w:rPr>
            </w:pPr>
            <w:r w:rsidRPr="0054101C">
              <w:rPr>
                <w:rFonts w:cs="Arial"/>
              </w:rPr>
              <w:t>18,1</w:t>
            </w:r>
          </w:p>
        </w:tc>
        <w:tc>
          <w:tcPr>
            <w:tcW w:w="1870" w:type="dxa"/>
          </w:tcPr>
          <w:p w14:paraId="51DFF373" w14:textId="107D8C74" w:rsidR="00154D99" w:rsidRPr="0054101C" w:rsidRDefault="00154D99" w:rsidP="00154D99">
            <w:pPr>
              <w:rPr>
                <w:rFonts w:cs="Arial"/>
              </w:rPr>
            </w:pPr>
            <w:r w:rsidRPr="0054101C">
              <w:rPr>
                <w:rFonts w:cs="Arial"/>
              </w:rPr>
              <w:t>19,1</w:t>
            </w:r>
          </w:p>
        </w:tc>
        <w:tc>
          <w:tcPr>
            <w:tcW w:w="1870" w:type="dxa"/>
          </w:tcPr>
          <w:p w14:paraId="178B57C0" w14:textId="3B81ECAC" w:rsidR="00154D99" w:rsidRPr="0054101C" w:rsidRDefault="00154D99" w:rsidP="00154D99">
            <w:pPr>
              <w:rPr>
                <w:rFonts w:cs="Arial"/>
              </w:rPr>
            </w:pPr>
            <w:r w:rsidRPr="0054101C">
              <w:rPr>
                <w:rFonts w:cs="Arial"/>
              </w:rPr>
              <w:t>-1,0</w:t>
            </w:r>
          </w:p>
        </w:tc>
        <w:tc>
          <w:tcPr>
            <w:tcW w:w="1870" w:type="dxa"/>
          </w:tcPr>
          <w:p w14:paraId="57B2137A" w14:textId="0261549C" w:rsidR="00154D99" w:rsidRPr="0054101C" w:rsidRDefault="00154D99" w:rsidP="00154D99">
            <w:pPr>
              <w:rPr>
                <w:rFonts w:cs="Arial"/>
              </w:rPr>
            </w:pPr>
            <w:r w:rsidRPr="0054101C">
              <w:rPr>
                <w:rFonts w:cs="Arial"/>
              </w:rPr>
              <w:t>-8,2; 9,3</w:t>
            </w:r>
          </w:p>
        </w:tc>
      </w:tr>
      <w:tr w:rsidR="00154D99" w:rsidRPr="0054101C" w14:paraId="667364D2" w14:textId="77777777" w:rsidTr="009235EB">
        <w:trPr>
          <w:trHeight w:val="550"/>
        </w:trPr>
        <w:tc>
          <w:tcPr>
            <w:tcW w:w="1870" w:type="dxa"/>
            <w:vMerge/>
          </w:tcPr>
          <w:p w14:paraId="141B1D82" w14:textId="68529D64" w:rsidR="00154D99" w:rsidRPr="0054101C" w:rsidRDefault="00154D99" w:rsidP="00154D99">
            <w:pPr>
              <w:jc w:val="right"/>
              <w:rPr>
                <w:rFonts w:cs="Arial"/>
              </w:rPr>
            </w:pPr>
          </w:p>
        </w:tc>
        <w:tc>
          <w:tcPr>
            <w:tcW w:w="7480" w:type="dxa"/>
            <w:gridSpan w:val="4"/>
          </w:tcPr>
          <w:p w14:paraId="57FB803C" w14:textId="2C703D7B" w:rsidR="00154D99" w:rsidRPr="0054101C" w:rsidRDefault="00154D99" w:rsidP="00154D99">
            <w:pPr>
              <w:rPr>
                <w:rFonts w:cs="Arial"/>
              </w:rPr>
            </w:pPr>
          </w:p>
        </w:tc>
      </w:tr>
      <w:tr w:rsidR="00154D99" w:rsidRPr="0054101C" w14:paraId="46718ABF" w14:textId="77777777" w:rsidTr="00154D99">
        <w:tc>
          <w:tcPr>
            <w:tcW w:w="1870" w:type="dxa"/>
            <w:vMerge/>
          </w:tcPr>
          <w:p w14:paraId="6759649C" w14:textId="65F18973" w:rsidR="00154D99" w:rsidRPr="0054101C" w:rsidRDefault="00154D99" w:rsidP="00154D99">
            <w:pPr>
              <w:jc w:val="right"/>
              <w:rPr>
                <w:rFonts w:cs="Arial"/>
              </w:rPr>
            </w:pPr>
          </w:p>
        </w:tc>
        <w:tc>
          <w:tcPr>
            <w:tcW w:w="1870" w:type="dxa"/>
          </w:tcPr>
          <w:p w14:paraId="6B75A955" w14:textId="62C879EF" w:rsidR="00154D99" w:rsidRPr="0054101C" w:rsidRDefault="00154D99" w:rsidP="00154D99">
            <w:pPr>
              <w:rPr>
                <w:rFonts w:cs="Arial"/>
              </w:rPr>
            </w:pPr>
            <w:r w:rsidRPr="0054101C">
              <w:rPr>
                <w:rFonts w:cs="Arial"/>
              </w:rPr>
              <w:t>7,3</w:t>
            </w:r>
          </w:p>
        </w:tc>
        <w:tc>
          <w:tcPr>
            <w:tcW w:w="1870" w:type="dxa"/>
          </w:tcPr>
          <w:p w14:paraId="1BEE1AF7" w14:textId="368044EF" w:rsidR="00154D99" w:rsidRPr="0054101C" w:rsidRDefault="00154D99" w:rsidP="00154D99">
            <w:pPr>
              <w:rPr>
                <w:rFonts w:cs="Arial"/>
              </w:rPr>
            </w:pPr>
            <w:r w:rsidRPr="0054101C">
              <w:rPr>
                <w:rFonts w:cs="Arial"/>
              </w:rPr>
              <w:t>8,3</w:t>
            </w:r>
          </w:p>
        </w:tc>
        <w:tc>
          <w:tcPr>
            <w:tcW w:w="1870" w:type="dxa"/>
          </w:tcPr>
          <w:p w14:paraId="188D3D97" w14:textId="1BF0BD30" w:rsidR="00154D99" w:rsidRPr="0054101C" w:rsidRDefault="00154D99" w:rsidP="00154D99">
            <w:pPr>
              <w:rPr>
                <w:rFonts w:cs="Arial"/>
              </w:rPr>
            </w:pPr>
            <w:r w:rsidRPr="0054101C">
              <w:rPr>
                <w:rFonts w:cs="Arial"/>
              </w:rPr>
              <w:t>-1,0</w:t>
            </w:r>
          </w:p>
        </w:tc>
        <w:tc>
          <w:tcPr>
            <w:tcW w:w="1870" w:type="dxa"/>
          </w:tcPr>
          <w:p w14:paraId="7D8084BF" w14:textId="7BB226CF" w:rsidR="00154D99" w:rsidRPr="0054101C" w:rsidRDefault="00154D99" w:rsidP="00154D99">
            <w:pPr>
              <w:rPr>
                <w:rFonts w:cs="Arial"/>
              </w:rPr>
            </w:pPr>
            <w:r w:rsidRPr="0054101C">
              <w:rPr>
                <w:rFonts w:cs="Arial"/>
              </w:rPr>
              <w:t>-5,5; 9,8</w:t>
            </w:r>
          </w:p>
        </w:tc>
      </w:tr>
      <w:tr w:rsidR="00154D99" w:rsidRPr="0054101C" w14:paraId="631DD2AC" w14:textId="77777777" w:rsidTr="00B65014">
        <w:trPr>
          <w:trHeight w:val="550"/>
        </w:trPr>
        <w:tc>
          <w:tcPr>
            <w:tcW w:w="1870" w:type="dxa"/>
            <w:vMerge/>
          </w:tcPr>
          <w:p w14:paraId="0CE4A8DE" w14:textId="121F86CA" w:rsidR="00154D99" w:rsidRPr="0054101C" w:rsidRDefault="00154D99" w:rsidP="00154D99">
            <w:pPr>
              <w:jc w:val="right"/>
              <w:rPr>
                <w:rFonts w:cs="Arial"/>
              </w:rPr>
            </w:pPr>
          </w:p>
        </w:tc>
        <w:tc>
          <w:tcPr>
            <w:tcW w:w="7480" w:type="dxa"/>
            <w:gridSpan w:val="4"/>
          </w:tcPr>
          <w:p w14:paraId="4C047C35" w14:textId="77777777" w:rsidR="00154D99" w:rsidRPr="0054101C" w:rsidRDefault="00154D99" w:rsidP="00154D99">
            <w:pPr>
              <w:rPr>
                <w:rFonts w:cs="Arial"/>
              </w:rPr>
            </w:pPr>
          </w:p>
        </w:tc>
      </w:tr>
      <w:tr w:rsidR="00154D99" w:rsidRPr="0054101C" w14:paraId="015271F1" w14:textId="77777777" w:rsidTr="00154D99">
        <w:tc>
          <w:tcPr>
            <w:tcW w:w="1870" w:type="dxa"/>
          </w:tcPr>
          <w:p w14:paraId="48265FE9" w14:textId="7748CEF7" w:rsidR="00154D99" w:rsidRPr="0054101C" w:rsidRDefault="00154D99" w:rsidP="00154D99">
            <w:pPr>
              <w:rPr>
                <w:rFonts w:cs="Arial"/>
              </w:rPr>
            </w:pPr>
            <w:r w:rsidRPr="0054101C">
              <w:rPr>
                <w:rFonts w:cs="Arial"/>
                <w:b/>
                <w:bCs/>
              </w:rPr>
              <w:t>Общо пациенти</w:t>
            </w:r>
          </w:p>
        </w:tc>
        <w:tc>
          <w:tcPr>
            <w:tcW w:w="1870" w:type="dxa"/>
          </w:tcPr>
          <w:p w14:paraId="033A5473" w14:textId="3F38D523" w:rsidR="00154D99" w:rsidRPr="0054101C" w:rsidRDefault="00154D99" w:rsidP="00154D99">
            <w:pPr>
              <w:rPr>
                <w:rFonts w:cs="Arial"/>
              </w:rPr>
            </w:pPr>
            <w:r w:rsidRPr="0054101C">
              <w:rPr>
                <w:rFonts w:cs="Arial"/>
              </w:rPr>
              <w:t>45,6</w:t>
            </w:r>
          </w:p>
        </w:tc>
        <w:tc>
          <w:tcPr>
            <w:tcW w:w="1870" w:type="dxa"/>
          </w:tcPr>
          <w:p w14:paraId="6FC67B58" w14:textId="02557FDA" w:rsidR="00154D99" w:rsidRPr="0054101C" w:rsidRDefault="00154D99" w:rsidP="00154D99">
            <w:pPr>
              <w:rPr>
                <w:rFonts w:cs="Arial"/>
              </w:rPr>
            </w:pPr>
            <w:r w:rsidRPr="0054101C">
              <w:rPr>
                <w:rFonts w:cs="Arial"/>
              </w:rPr>
              <w:t>39,6</w:t>
            </w:r>
          </w:p>
        </w:tc>
        <w:tc>
          <w:tcPr>
            <w:tcW w:w="1870" w:type="dxa"/>
          </w:tcPr>
          <w:p w14:paraId="2C76C852" w14:textId="25168365" w:rsidR="00154D99" w:rsidRPr="0054101C" w:rsidRDefault="00154D99" w:rsidP="00154D99">
            <w:pPr>
              <w:rPr>
                <w:rFonts w:cs="Arial"/>
              </w:rPr>
            </w:pPr>
            <w:r w:rsidRPr="0054101C">
              <w:rPr>
                <w:rFonts w:cs="Arial"/>
              </w:rPr>
              <w:t>6,0</w:t>
            </w:r>
          </w:p>
        </w:tc>
        <w:tc>
          <w:tcPr>
            <w:tcW w:w="1870" w:type="dxa"/>
          </w:tcPr>
          <w:p w14:paraId="63EFCB2D" w14:textId="6BBB922F" w:rsidR="00154D99" w:rsidRPr="0054101C" w:rsidRDefault="00154D99" w:rsidP="00154D99">
            <w:pPr>
              <w:rPr>
                <w:rFonts w:cs="Arial"/>
              </w:rPr>
            </w:pPr>
            <w:r w:rsidRPr="0054101C">
              <w:rPr>
                <w:rFonts w:cs="Arial"/>
              </w:rPr>
              <w:t>-1,1; 13,3</w:t>
            </w:r>
          </w:p>
        </w:tc>
      </w:tr>
      <w:tr w:rsidR="00154D99" w:rsidRPr="0054101C" w14:paraId="38BD45E1" w14:textId="77777777" w:rsidTr="00154D99">
        <w:tc>
          <w:tcPr>
            <w:tcW w:w="1870" w:type="dxa"/>
          </w:tcPr>
          <w:p w14:paraId="52E9CFF0" w14:textId="15E3F369" w:rsidR="00154D99" w:rsidRPr="0054101C" w:rsidRDefault="00154D99" w:rsidP="00154D99">
            <w:pPr>
              <w:rPr>
                <w:rFonts w:cs="Arial"/>
              </w:rPr>
            </w:pPr>
            <w:r w:rsidRPr="0054101C">
              <w:rPr>
                <w:rFonts w:cs="Arial"/>
                <w:b/>
                <w:bCs/>
              </w:rPr>
              <w:t>-АЕ подгрупа (</w:t>
            </w:r>
            <w:r w:rsidRPr="0054101C">
              <w:rPr>
                <w:rFonts w:cs="Arial"/>
                <w:b/>
                <w:bCs/>
                <w:lang w:val="en-US"/>
              </w:rPr>
              <w:t>n</w:t>
            </w:r>
            <w:r w:rsidRPr="0054101C">
              <w:rPr>
                <w:rFonts w:cs="Arial"/>
                <w:b/>
                <w:bCs/>
              </w:rPr>
              <w:t>=423)</w:t>
            </w:r>
          </w:p>
        </w:tc>
        <w:tc>
          <w:tcPr>
            <w:tcW w:w="1870" w:type="dxa"/>
          </w:tcPr>
          <w:p w14:paraId="6EDB1C87" w14:textId="64FDD0FE" w:rsidR="00154D99" w:rsidRPr="0054101C" w:rsidRDefault="00154D99" w:rsidP="00154D99">
            <w:pPr>
              <w:rPr>
                <w:rFonts w:cs="Arial"/>
              </w:rPr>
            </w:pPr>
            <w:r w:rsidRPr="0054101C">
              <w:rPr>
                <w:rFonts w:cs="Arial"/>
              </w:rPr>
              <w:t>52,4</w:t>
            </w:r>
          </w:p>
        </w:tc>
        <w:tc>
          <w:tcPr>
            <w:tcW w:w="1870" w:type="dxa"/>
          </w:tcPr>
          <w:p w14:paraId="66E25363" w14:textId="784795E8" w:rsidR="00154D99" w:rsidRPr="0054101C" w:rsidRDefault="00154D99" w:rsidP="00154D99">
            <w:pPr>
              <w:rPr>
                <w:rFonts w:cs="Arial"/>
              </w:rPr>
            </w:pPr>
            <w:r w:rsidRPr="0054101C">
              <w:rPr>
                <w:rFonts w:cs="Arial"/>
              </w:rPr>
              <w:t>45,1</w:t>
            </w:r>
          </w:p>
        </w:tc>
        <w:tc>
          <w:tcPr>
            <w:tcW w:w="1870" w:type="dxa"/>
          </w:tcPr>
          <w:p w14:paraId="13A5EFFC" w14:textId="6D4EEC3A" w:rsidR="00154D99" w:rsidRPr="0054101C" w:rsidRDefault="00154D99" w:rsidP="00154D99">
            <w:pPr>
              <w:rPr>
                <w:rFonts w:cs="Arial"/>
              </w:rPr>
            </w:pPr>
            <w:r w:rsidRPr="0054101C">
              <w:rPr>
                <w:rFonts w:cs="Arial"/>
              </w:rPr>
              <w:t>7,3</w:t>
            </w:r>
          </w:p>
        </w:tc>
        <w:tc>
          <w:tcPr>
            <w:tcW w:w="1870" w:type="dxa"/>
          </w:tcPr>
          <w:p w14:paraId="5FF4430D" w14:textId="07C94C28" w:rsidR="00154D99" w:rsidRPr="0054101C" w:rsidRDefault="00154D99" w:rsidP="00154D99">
            <w:pPr>
              <w:rPr>
                <w:rFonts w:cs="Arial"/>
              </w:rPr>
            </w:pPr>
            <w:r w:rsidRPr="0054101C">
              <w:rPr>
                <w:rFonts w:cs="Arial"/>
              </w:rPr>
              <w:t>-2,2; 16,6</w:t>
            </w:r>
          </w:p>
        </w:tc>
      </w:tr>
      <w:tr w:rsidR="00154D99" w:rsidRPr="0054101C" w14:paraId="5020480C" w14:textId="77777777" w:rsidTr="00154D99">
        <w:tc>
          <w:tcPr>
            <w:tcW w:w="1870" w:type="dxa"/>
          </w:tcPr>
          <w:p w14:paraId="502EA1C1" w14:textId="507B6156" w:rsidR="00154D99" w:rsidRPr="0054101C" w:rsidRDefault="00154D99" w:rsidP="00154D99">
            <w:pPr>
              <w:rPr>
                <w:rFonts w:cs="Arial"/>
              </w:rPr>
            </w:pPr>
            <w:r w:rsidRPr="0054101C">
              <w:rPr>
                <w:rFonts w:cs="Arial"/>
                <w:b/>
                <w:bCs/>
              </w:rPr>
              <w:lastRenderedPageBreak/>
              <w:t>-АИ подгрупа (</w:t>
            </w:r>
            <w:r w:rsidRPr="0054101C">
              <w:rPr>
                <w:rFonts w:cs="Arial"/>
                <w:b/>
                <w:bCs/>
                <w:lang w:val="en-US"/>
              </w:rPr>
              <w:t>n</w:t>
            </w:r>
            <w:r w:rsidRPr="0054101C">
              <w:rPr>
                <w:rFonts w:cs="Arial"/>
                <w:b/>
                <w:bCs/>
              </w:rPr>
              <w:t>=313)</w:t>
            </w:r>
            <w:r w:rsidRPr="0054101C">
              <w:rPr>
                <w:rFonts w:cs="Arial"/>
                <w:b/>
                <w:bCs/>
                <w:vertAlign w:val="superscript"/>
              </w:rPr>
              <w:t>а</w:t>
            </w:r>
          </w:p>
        </w:tc>
        <w:tc>
          <w:tcPr>
            <w:tcW w:w="1870" w:type="dxa"/>
          </w:tcPr>
          <w:p w14:paraId="28003ADD" w14:textId="28521309" w:rsidR="00154D99" w:rsidRPr="0054101C" w:rsidRDefault="00154D99" w:rsidP="00154D99">
            <w:pPr>
              <w:rPr>
                <w:rFonts w:cs="Arial"/>
              </w:rPr>
            </w:pPr>
            <w:r w:rsidRPr="0054101C">
              <w:rPr>
                <w:rFonts w:cs="Arial"/>
              </w:rPr>
              <w:t>36,2</w:t>
            </w:r>
          </w:p>
        </w:tc>
        <w:tc>
          <w:tcPr>
            <w:tcW w:w="1870" w:type="dxa"/>
          </w:tcPr>
          <w:p w14:paraId="2BDEEA48" w14:textId="6FB0FE3C" w:rsidR="00154D99" w:rsidRPr="0054101C" w:rsidRDefault="00154D99" w:rsidP="00154D99">
            <w:pPr>
              <w:rPr>
                <w:rFonts w:cs="Arial"/>
              </w:rPr>
            </w:pPr>
            <w:r w:rsidRPr="0054101C">
              <w:rPr>
                <w:rFonts w:cs="Arial"/>
              </w:rPr>
              <w:t>32,3</w:t>
            </w:r>
          </w:p>
        </w:tc>
        <w:tc>
          <w:tcPr>
            <w:tcW w:w="1870" w:type="dxa"/>
          </w:tcPr>
          <w:p w14:paraId="21CE9643" w14:textId="741625F3" w:rsidR="00154D99" w:rsidRPr="0054101C" w:rsidRDefault="00154D99" w:rsidP="00154D99">
            <w:pPr>
              <w:rPr>
                <w:rFonts w:cs="Arial"/>
              </w:rPr>
            </w:pPr>
            <w:r w:rsidRPr="0054101C">
              <w:rPr>
                <w:rFonts w:cs="Arial"/>
              </w:rPr>
              <w:t>3,9</w:t>
            </w:r>
          </w:p>
        </w:tc>
        <w:tc>
          <w:tcPr>
            <w:tcW w:w="1870" w:type="dxa"/>
          </w:tcPr>
          <w:p w14:paraId="0D675478" w14:textId="10BAD9AF" w:rsidR="00154D99" w:rsidRPr="0054101C" w:rsidRDefault="00154D99" w:rsidP="00154D99">
            <w:pPr>
              <w:rPr>
                <w:rFonts w:cs="Arial"/>
              </w:rPr>
            </w:pPr>
            <w:r w:rsidRPr="0054101C">
              <w:rPr>
                <w:rFonts w:cs="Arial"/>
              </w:rPr>
              <w:t>-6,1; 15,2</w:t>
            </w:r>
          </w:p>
        </w:tc>
      </w:tr>
    </w:tbl>
    <w:p w14:paraId="586E594D" w14:textId="3B28680F" w:rsidR="00154D99" w:rsidRPr="00154D99" w:rsidRDefault="00154D99" w:rsidP="00154D99">
      <w:pPr>
        <w:spacing w:line="240" w:lineRule="auto"/>
        <w:rPr>
          <w:rFonts w:eastAsia="Times New Roman" w:cs="Arial"/>
          <w:sz w:val="20"/>
          <w:lang w:eastAsia="bg-BG"/>
        </w:rPr>
      </w:pPr>
      <w:r w:rsidRPr="00154D99">
        <w:rPr>
          <w:rFonts w:eastAsia="Times New Roman" w:cs="Arial"/>
          <w:color w:val="000000"/>
          <w:sz w:val="20"/>
          <w:vertAlign w:val="superscript"/>
          <w:lang w:eastAsia="bg-BG"/>
        </w:rPr>
        <w:t>а</w:t>
      </w:r>
      <w:r w:rsidRPr="00154D99">
        <w:rPr>
          <w:rFonts w:eastAsia="Times New Roman" w:cs="Arial"/>
          <w:color w:val="000000"/>
          <w:sz w:val="20"/>
          <w:lang w:eastAsia="bg-BG"/>
        </w:rPr>
        <w:t xml:space="preserve"> </w:t>
      </w:r>
      <w:r w:rsidR="0054101C">
        <w:rPr>
          <w:rFonts w:eastAsia="Times New Roman" w:cs="Arial"/>
          <w:color w:val="000000"/>
          <w:sz w:val="20"/>
          <w:lang w:eastAsia="bg-BG"/>
        </w:rPr>
        <w:t xml:space="preserve">  </w:t>
      </w:r>
      <w:r w:rsidRPr="00154D99">
        <w:rPr>
          <w:rFonts w:eastAsia="Times New Roman" w:cs="Arial"/>
          <w:color w:val="000000"/>
          <w:sz w:val="20"/>
          <w:lang w:eastAsia="bg-BG"/>
        </w:rPr>
        <w:t>Фулвестрант е показан при пациенти, които са имали рецидив или прогресия по време на анти-естрогенова терапия. Резултатите от АИ-подгрупа не са убедителни.</w:t>
      </w:r>
    </w:p>
    <w:p w14:paraId="1C64D3A3" w14:textId="464DC002" w:rsidR="00154D99" w:rsidRPr="00154D99" w:rsidRDefault="00154D99" w:rsidP="00154D99">
      <w:pPr>
        <w:spacing w:line="240" w:lineRule="auto"/>
        <w:rPr>
          <w:rFonts w:eastAsia="Times New Roman" w:cs="Arial"/>
          <w:sz w:val="20"/>
          <w:lang w:eastAsia="bg-BG"/>
        </w:rPr>
      </w:pPr>
      <w:r w:rsidRPr="00154D99">
        <w:rPr>
          <w:rFonts w:eastAsia="Times New Roman" w:cs="Arial"/>
          <w:color w:val="000000"/>
          <w:sz w:val="20"/>
          <w:vertAlign w:val="superscript"/>
          <w:lang w:eastAsia="bg-BG"/>
        </w:rPr>
        <w:t>б</w:t>
      </w:r>
      <w:r w:rsidRPr="00154D99">
        <w:rPr>
          <w:rFonts w:eastAsia="Times New Roman" w:cs="Arial"/>
          <w:color w:val="000000"/>
          <w:sz w:val="20"/>
          <w:lang w:eastAsia="bg-BG"/>
        </w:rPr>
        <w:t xml:space="preserve"> </w:t>
      </w:r>
      <w:r w:rsidR="0054101C">
        <w:rPr>
          <w:rFonts w:eastAsia="Times New Roman" w:cs="Arial"/>
          <w:color w:val="000000"/>
          <w:sz w:val="20"/>
          <w:lang w:eastAsia="bg-BG"/>
        </w:rPr>
        <w:t xml:space="preserve">  </w:t>
      </w:r>
      <w:r w:rsidRPr="00154D99">
        <w:rPr>
          <w:rFonts w:eastAsia="Times New Roman" w:cs="Arial"/>
          <w:color w:val="000000"/>
          <w:sz w:val="20"/>
          <w:lang w:eastAsia="bg-BG"/>
        </w:rPr>
        <w:t>Представените за ОП данни са от окончателните анализи за преживяемост при готовност 75%.</w:t>
      </w:r>
    </w:p>
    <w:p w14:paraId="6317E6EF" w14:textId="2EEE96B4" w:rsidR="00154D99" w:rsidRPr="00154D99" w:rsidRDefault="00154D99" w:rsidP="00154D99">
      <w:pPr>
        <w:spacing w:line="240" w:lineRule="auto"/>
        <w:rPr>
          <w:rFonts w:eastAsia="Times New Roman" w:cs="Arial"/>
          <w:sz w:val="20"/>
          <w:lang w:eastAsia="bg-BG"/>
        </w:rPr>
      </w:pPr>
      <w:r w:rsidRPr="00154D99">
        <w:rPr>
          <w:rFonts w:eastAsia="Times New Roman" w:cs="Arial"/>
          <w:color w:val="000000"/>
          <w:sz w:val="20"/>
          <w:vertAlign w:val="superscript"/>
          <w:lang w:eastAsia="bg-BG"/>
        </w:rPr>
        <w:t>в</w:t>
      </w:r>
      <w:r w:rsidRPr="00154D99">
        <w:rPr>
          <w:rFonts w:eastAsia="Times New Roman" w:cs="Arial"/>
          <w:color w:val="000000"/>
          <w:sz w:val="20"/>
          <w:lang w:eastAsia="bg-BG"/>
        </w:rPr>
        <w:t xml:space="preserve"> </w:t>
      </w:r>
      <w:r w:rsidR="0054101C">
        <w:rPr>
          <w:rFonts w:eastAsia="Times New Roman" w:cs="Arial"/>
          <w:color w:val="000000"/>
          <w:sz w:val="20"/>
          <w:lang w:eastAsia="bg-BG"/>
        </w:rPr>
        <w:t xml:space="preserve">  </w:t>
      </w:r>
      <w:r w:rsidRPr="00154D99">
        <w:rPr>
          <w:rFonts w:eastAsia="Times New Roman" w:cs="Arial"/>
          <w:color w:val="000000"/>
          <w:sz w:val="20"/>
          <w:lang w:eastAsia="bg-BG"/>
        </w:rPr>
        <w:t>Номинална р-стойност без да се прави уточняване за различията при сравнение между първоначалните анализи за обща преживяемост при готовност 50% и обновените анализи за преживяемост при готовност 75%.</w:t>
      </w:r>
    </w:p>
    <w:p w14:paraId="27034D0C" w14:textId="502DB226" w:rsidR="00154D99" w:rsidRPr="00154D99" w:rsidRDefault="00154D99" w:rsidP="00154D99">
      <w:pPr>
        <w:spacing w:line="240" w:lineRule="auto"/>
        <w:rPr>
          <w:rFonts w:eastAsia="Times New Roman" w:cs="Arial"/>
          <w:sz w:val="20"/>
          <w:lang w:eastAsia="bg-BG"/>
        </w:rPr>
      </w:pPr>
      <w:r w:rsidRPr="00154D99">
        <w:rPr>
          <w:rFonts w:eastAsia="Times New Roman" w:cs="Arial"/>
          <w:color w:val="000000"/>
          <w:sz w:val="20"/>
          <w:vertAlign w:val="superscript"/>
          <w:lang w:eastAsia="bg-BG"/>
        </w:rPr>
        <w:t>г</w:t>
      </w:r>
      <w:r w:rsidRPr="00154D99">
        <w:rPr>
          <w:rFonts w:eastAsia="Times New Roman" w:cs="Arial"/>
          <w:color w:val="000000"/>
          <w:sz w:val="20"/>
          <w:lang w:eastAsia="bg-BG"/>
        </w:rPr>
        <w:t xml:space="preserve"> </w:t>
      </w:r>
      <w:r w:rsidR="0054101C">
        <w:rPr>
          <w:rFonts w:eastAsia="Times New Roman" w:cs="Arial"/>
          <w:color w:val="000000"/>
          <w:sz w:val="20"/>
          <w:lang w:eastAsia="bg-BG"/>
        </w:rPr>
        <w:t xml:space="preserve">  </w:t>
      </w:r>
      <w:r w:rsidRPr="00154D99">
        <w:rPr>
          <w:rFonts w:eastAsia="Times New Roman" w:cs="Arial"/>
          <w:color w:val="000000"/>
          <w:sz w:val="20"/>
          <w:lang w:eastAsia="bg-BG"/>
        </w:rPr>
        <w:t xml:space="preserve">СОП е оценена при пациентите, при които е било възможно да се оцени повлияването на изходно ниво (т.е. при пациентите с измеримо заболяване на изходно ниво: 240 пациенти в групата на фулвестрант 500 </w:t>
      </w:r>
      <w:r w:rsidRPr="00154D99">
        <w:rPr>
          <w:rFonts w:eastAsia="Times New Roman" w:cs="Arial"/>
          <w:color w:val="000000"/>
          <w:sz w:val="20"/>
          <w:lang w:val="en-US"/>
        </w:rPr>
        <w:t xml:space="preserve">mg </w:t>
      </w:r>
      <w:r w:rsidRPr="00154D99">
        <w:rPr>
          <w:rFonts w:eastAsia="Times New Roman" w:cs="Arial"/>
          <w:color w:val="000000"/>
          <w:sz w:val="20"/>
          <w:lang w:eastAsia="bg-BG"/>
        </w:rPr>
        <w:t xml:space="preserve">и 261 пациенти в групата на фулвестрант 250 </w:t>
      </w:r>
      <w:r w:rsidRPr="00154D99">
        <w:rPr>
          <w:rFonts w:eastAsia="Times New Roman" w:cs="Arial"/>
          <w:color w:val="000000"/>
          <w:sz w:val="20"/>
          <w:lang w:val="en-US"/>
        </w:rPr>
        <w:t>mg).</w:t>
      </w:r>
    </w:p>
    <w:p w14:paraId="44AF8041" w14:textId="0B8CB2A7" w:rsidR="00154D99" w:rsidRPr="00154D99" w:rsidRDefault="00154D99" w:rsidP="00154D99">
      <w:pPr>
        <w:spacing w:line="240" w:lineRule="auto"/>
        <w:rPr>
          <w:rFonts w:eastAsia="Times New Roman" w:cs="Arial"/>
          <w:sz w:val="20"/>
          <w:lang w:eastAsia="bg-BG"/>
        </w:rPr>
      </w:pPr>
      <w:r w:rsidRPr="00154D99">
        <w:rPr>
          <w:rFonts w:eastAsia="Times New Roman" w:cs="Arial"/>
          <w:color w:val="000000"/>
          <w:sz w:val="20"/>
          <w:vertAlign w:val="superscript"/>
          <w:lang w:eastAsia="bg-BG"/>
        </w:rPr>
        <w:t>а</w:t>
      </w:r>
      <w:r w:rsidR="0054101C">
        <w:rPr>
          <w:rFonts w:eastAsia="Times New Roman" w:cs="Arial"/>
          <w:color w:val="000000"/>
          <w:sz w:val="20"/>
          <w:lang w:eastAsia="bg-BG"/>
        </w:rPr>
        <w:t xml:space="preserve">  </w:t>
      </w:r>
      <w:r w:rsidRPr="00154D99">
        <w:rPr>
          <w:rFonts w:eastAsia="Times New Roman" w:cs="Arial"/>
          <w:color w:val="000000"/>
          <w:sz w:val="20"/>
          <w:lang w:eastAsia="bg-BG"/>
        </w:rPr>
        <w:t xml:space="preserve">Пациенти с най-добро обективно повлияване на пълно повлияване, частично повлияване или стабилно заболяване </w:t>
      </w:r>
      <w:r w:rsidRPr="00154D99">
        <w:rPr>
          <w:rFonts w:cs="Arial"/>
          <w:color w:val="222222"/>
          <w:sz w:val="20"/>
        </w:rPr>
        <w:t>≥</w:t>
      </w:r>
      <w:r w:rsidRPr="00154D99">
        <w:rPr>
          <w:rFonts w:eastAsia="Times New Roman" w:cs="Arial"/>
          <w:color w:val="000000"/>
          <w:sz w:val="20"/>
          <w:lang w:eastAsia="bg-BG"/>
        </w:rPr>
        <w:t>24 седмици.</w:t>
      </w:r>
    </w:p>
    <w:p w14:paraId="36152471" w14:textId="1BD80E9D" w:rsidR="0091385D" w:rsidRPr="00154D99" w:rsidRDefault="00154D99" w:rsidP="00154D99">
      <w:pPr>
        <w:rPr>
          <w:rFonts w:cs="Arial"/>
          <w:sz w:val="20"/>
        </w:rPr>
      </w:pPr>
      <w:r w:rsidRPr="00154D99">
        <w:rPr>
          <w:rFonts w:eastAsia="Times New Roman" w:cs="Arial"/>
          <w:color w:val="000000"/>
          <w:sz w:val="20"/>
          <w:lang w:eastAsia="bg-BG"/>
        </w:rPr>
        <w:t xml:space="preserve">ПБП: преживяемост без прогресия; СОП: степен на обективно повлияване; СКП: степен на клинична полза; КП клинична полза; ОП: обща преживяемост; К-М: Каплан Майер; </w:t>
      </w:r>
      <w:r w:rsidRPr="00154D99">
        <w:rPr>
          <w:rFonts w:eastAsia="Times New Roman" w:cs="Arial"/>
          <w:color w:val="000000"/>
          <w:sz w:val="20"/>
          <w:lang w:val="en-US"/>
        </w:rPr>
        <w:t xml:space="preserve">CI: </w:t>
      </w:r>
      <w:r w:rsidRPr="00154D99">
        <w:rPr>
          <w:rFonts w:eastAsia="Times New Roman" w:cs="Arial"/>
          <w:color w:val="000000"/>
          <w:sz w:val="20"/>
          <w:lang w:eastAsia="bg-BG"/>
        </w:rPr>
        <w:t>доверителен интервал; АИ: ароматазен инхибитор;</w:t>
      </w:r>
      <w:r w:rsidRPr="00154D99">
        <w:rPr>
          <w:rFonts w:eastAsia="Times New Roman" w:cs="Arial"/>
          <w:color w:val="000000"/>
          <w:sz w:val="20"/>
          <w:vertAlign w:val="subscript"/>
          <w:lang w:eastAsia="bg-BG"/>
        </w:rPr>
        <w:t xml:space="preserve"> </w:t>
      </w:r>
      <w:r w:rsidRPr="00154D99">
        <w:rPr>
          <w:rFonts w:eastAsia="Times New Roman" w:cs="Arial"/>
          <w:color w:val="000000"/>
          <w:sz w:val="20"/>
          <w:lang w:eastAsia="bg-BG"/>
        </w:rPr>
        <w:t>АЕ: антиестроген.</w:t>
      </w:r>
    </w:p>
    <w:p w14:paraId="7C0DA57A" w14:textId="182CC950" w:rsidR="00154D99" w:rsidRDefault="00154D99" w:rsidP="0091385D"/>
    <w:p w14:paraId="314864BE" w14:textId="77777777" w:rsidR="0054101C" w:rsidRPr="0054101C" w:rsidRDefault="0054101C" w:rsidP="0054101C">
      <w:pPr>
        <w:spacing w:line="240" w:lineRule="auto"/>
        <w:rPr>
          <w:rFonts w:eastAsia="Times New Roman" w:cs="Arial"/>
          <w:lang w:eastAsia="bg-BG"/>
        </w:rPr>
      </w:pPr>
      <w:r w:rsidRPr="0054101C">
        <w:rPr>
          <w:rFonts w:eastAsia="Times New Roman" w:cs="Arial"/>
          <w:color w:val="000000"/>
          <w:lang w:eastAsia="bg-BG"/>
        </w:rPr>
        <w:t xml:space="preserve">Едно рандомизирано, двойносляпо, контролирано с двойно плацебо, многоцентрово проучване фаза 3, с фулвестрант 500 </w:t>
      </w:r>
      <w:r w:rsidRPr="0054101C">
        <w:rPr>
          <w:rFonts w:eastAsia="Times New Roman" w:cs="Arial"/>
          <w:color w:val="000000"/>
          <w:lang w:val="en-US"/>
        </w:rPr>
        <w:t xml:space="preserve">mg </w:t>
      </w:r>
      <w:r w:rsidRPr="0054101C">
        <w:rPr>
          <w:rFonts w:eastAsia="Times New Roman" w:cs="Arial"/>
          <w:color w:val="000000"/>
          <w:lang w:eastAsia="bg-BG"/>
        </w:rPr>
        <w:t xml:space="preserve">спрямо анастрозол 1 </w:t>
      </w:r>
      <w:r w:rsidRPr="0054101C">
        <w:rPr>
          <w:rFonts w:eastAsia="Times New Roman" w:cs="Arial"/>
          <w:color w:val="000000"/>
          <w:lang w:val="en-US"/>
        </w:rPr>
        <w:t xml:space="preserve">mg, </w:t>
      </w:r>
      <w:r w:rsidRPr="0054101C">
        <w:rPr>
          <w:rFonts w:eastAsia="Times New Roman" w:cs="Arial"/>
          <w:color w:val="000000"/>
          <w:lang w:eastAsia="bg-BG"/>
        </w:rPr>
        <w:t xml:space="preserve">е проведено при постменопаузални жени с </w:t>
      </w:r>
      <w:r w:rsidRPr="0054101C">
        <w:rPr>
          <w:rFonts w:eastAsia="Times New Roman" w:cs="Arial"/>
          <w:color w:val="000000"/>
          <w:lang w:val="en-US"/>
        </w:rPr>
        <w:t>ER</w:t>
      </w:r>
      <w:r w:rsidRPr="0054101C">
        <w:rPr>
          <w:rFonts w:eastAsia="Times New Roman" w:cs="Arial"/>
          <w:color w:val="000000"/>
          <w:lang w:eastAsia="bg-BG"/>
        </w:rPr>
        <w:t xml:space="preserve">-позитивен и/или </w:t>
      </w:r>
      <w:proofErr w:type="spellStart"/>
      <w:r w:rsidRPr="0054101C">
        <w:rPr>
          <w:rFonts w:eastAsia="Times New Roman" w:cs="Arial"/>
          <w:color w:val="000000"/>
          <w:lang w:val="en-US"/>
        </w:rPr>
        <w:t>PgR</w:t>
      </w:r>
      <w:proofErr w:type="spellEnd"/>
      <w:r w:rsidRPr="0054101C">
        <w:rPr>
          <w:rFonts w:eastAsia="Times New Roman" w:cs="Arial"/>
          <w:color w:val="000000"/>
          <w:lang w:eastAsia="bg-BG"/>
        </w:rPr>
        <w:t xml:space="preserve">-позитивен локално авансирал или метастатичен рак на млечната жлеза, които предходно не са били лекувани с хормонална терапия. Общо 462 пациентки са рандомизирани в съотношение 1:1 да получават последователно фулвестрант 500 </w:t>
      </w:r>
      <w:r w:rsidRPr="0054101C">
        <w:rPr>
          <w:rFonts w:eastAsia="Times New Roman" w:cs="Arial"/>
          <w:color w:val="000000"/>
          <w:lang w:val="en-US"/>
        </w:rPr>
        <w:t xml:space="preserve">mg </w:t>
      </w:r>
      <w:r w:rsidRPr="0054101C">
        <w:rPr>
          <w:rFonts w:eastAsia="Times New Roman" w:cs="Arial"/>
          <w:color w:val="000000"/>
          <w:lang w:eastAsia="bg-BG"/>
        </w:rPr>
        <w:t xml:space="preserve">или анастрозол 1 </w:t>
      </w:r>
      <w:r w:rsidRPr="0054101C">
        <w:rPr>
          <w:rFonts w:eastAsia="Times New Roman" w:cs="Arial"/>
          <w:color w:val="000000"/>
          <w:lang w:val="en-US"/>
        </w:rPr>
        <w:t>mg.</w:t>
      </w:r>
    </w:p>
    <w:p w14:paraId="414D93AE" w14:textId="77777777" w:rsidR="0054101C" w:rsidRPr="0054101C" w:rsidRDefault="0054101C" w:rsidP="0054101C">
      <w:pPr>
        <w:spacing w:line="240" w:lineRule="auto"/>
        <w:rPr>
          <w:rFonts w:eastAsia="Times New Roman" w:cs="Arial"/>
          <w:lang w:eastAsia="bg-BG"/>
        </w:rPr>
      </w:pPr>
      <w:r w:rsidRPr="0054101C">
        <w:rPr>
          <w:rFonts w:eastAsia="Times New Roman" w:cs="Arial"/>
          <w:color w:val="000000"/>
          <w:lang w:eastAsia="bg-BG"/>
        </w:rPr>
        <w:t>Рандомизацията е стратифицирана по типа на заболяването (локално авансирал или метастатичен), предходна химиотерапия за авансирало заболяване и измеримо заболяване.</w:t>
      </w:r>
    </w:p>
    <w:p w14:paraId="5C173EAA" w14:textId="77777777" w:rsidR="0054101C" w:rsidRPr="004E5B9A" w:rsidRDefault="0054101C" w:rsidP="0054101C">
      <w:pPr>
        <w:spacing w:line="240" w:lineRule="auto"/>
        <w:rPr>
          <w:rFonts w:eastAsia="Times New Roman" w:cs="Arial"/>
          <w:color w:val="000000"/>
          <w:lang w:eastAsia="bg-BG"/>
        </w:rPr>
      </w:pPr>
    </w:p>
    <w:p w14:paraId="58275F10" w14:textId="1564EE50" w:rsidR="0054101C" w:rsidRPr="0054101C" w:rsidRDefault="0054101C" w:rsidP="0054101C">
      <w:pPr>
        <w:spacing w:line="240" w:lineRule="auto"/>
        <w:rPr>
          <w:rFonts w:eastAsia="Times New Roman" w:cs="Arial"/>
          <w:lang w:eastAsia="bg-BG"/>
        </w:rPr>
      </w:pPr>
      <w:r w:rsidRPr="0054101C">
        <w:rPr>
          <w:rFonts w:eastAsia="Times New Roman" w:cs="Arial"/>
          <w:color w:val="000000"/>
          <w:lang w:eastAsia="bg-BG"/>
        </w:rPr>
        <w:t xml:space="preserve">Първичната крайна точка за ефикасност на проучването е оценената от изследователя преживяемост без прогресия (ПБП), оценена съобразно с </w:t>
      </w:r>
      <w:r w:rsidRPr="0054101C">
        <w:rPr>
          <w:rFonts w:eastAsia="Times New Roman" w:cs="Arial"/>
          <w:color w:val="000000"/>
          <w:lang w:val="en-US"/>
        </w:rPr>
        <w:t xml:space="preserve">RECIST </w:t>
      </w:r>
      <w:r w:rsidRPr="0054101C">
        <w:rPr>
          <w:rFonts w:eastAsia="Times New Roman" w:cs="Arial"/>
          <w:color w:val="000000"/>
          <w:lang w:eastAsia="bg-BG"/>
        </w:rPr>
        <w:t xml:space="preserve">1.1 (Критерии за оценка на повлияването при солидни тумори </w:t>
      </w:r>
      <w:r w:rsidRPr="0054101C">
        <w:rPr>
          <w:rFonts w:eastAsia="Times New Roman" w:cs="Arial"/>
          <w:color w:val="000000"/>
          <w:lang w:val="en-US"/>
        </w:rPr>
        <w:t xml:space="preserve">[Response Evaluation Criteria in Solid </w:t>
      </w:r>
      <w:proofErr w:type="spellStart"/>
      <w:r w:rsidRPr="0054101C">
        <w:rPr>
          <w:rFonts w:eastAsia="Times New Roman" w:cs="Arial"/>
          <w:color w:val="000000"/>
          <w:lang w:val="en-US"/>
        </w:rPr>
        <w:t>Tumours</w:t>
      </w:r>
      <w:proofErr w:type="spellEnd"/>
      <w:r w:rsidRPr="0054101C">
        <w:rPr>
          <w:rFonts w:eastAsia="Times New Roman" w:cs="Arial"/>
          <w:color w:val="000000"/>
          <w:lang w:val="en-US"/>
        </w:rPr>
        <w:t xml:space="preserve">]). </w:t>
      </w:r>
      <w:r w:rsidRPr="0054101C">
        <w:rPr>
          <w:rFonts w:eastAsia="Times New Roman" w:cs="Arial"/>
          <w:color w:val="000000"/>
          <w:lang w:eastAsia="bg-BG"/>
        </w:rPr>
        <w:t>Ключовите вторични точки за ефикасност включват обща преживяемост (ОП) и степен на обективно повлияване (СОП).</w:t>
      </w:r>
    </w:p>
    <w:p w14:paraId="390BD130" w14:textId="77777777" w:rsidR="0054101C" w:rsidRPr="004E5B9A" w:rsidRDefault="0054101C" w:rsidP="0054101C">
      <w:pPr>
        <w:spacing w:line="240" w:lineRule="auto"/>
        <w:rPr>
          <w:rFonts w:eastAsia="Times New Roman" w:cs="Arial"/>
          <w:color w:val="000000"/>
          <w:lang w:eastAsia="bg-BG"/>
        </w:rPr>
      </w:pPr>
    </w:p>
    <w:p w14:paraId="7976D561" w14:textId="44D4F6C6" w:rsidR="0054101C" w:rsidRPr="0054101C" w:rsidRDefault="0054101C" w:rsidP="0054101C">
      <w:pPr>
        <w:spacing w:line="240" w:lineRule="auto"/>
        <w:rPr>
          <w:rFonts w:eastAsia="Times New Roman" w:cs="Arial"/>
          <w:lang w:eastAsia="bg-BG"/>
        </w:rPr>
      </w:pPr>
      <w:r w:rsidRPr="0054101C">
        <w:rPr>
          <w:rFonts w:eastAsia="Times New Roman" w:cs="Arial"/>
          <w:color w:val="000000"/>
          <w:lang w:eastAsia="bg-BG"/>
        </w:rPr>
        <w:t>При пациентките, включени в това проучване, медианата на възрастта е 63 години (диапазон 36 до 90 години). По-голямата част от пациентките (87,0%) са с метастатично заболяване на изходно ниво. Петдесет и пет процента (55,0%) от пациентките са с висцерални метастази на изходно ниво. Общо 17,1% от пациентките предходно са преминали химиотерапевтичен режим за авансирало заболяване; 84,2% от пациентките имат измеримо заболяване.</w:t>
      </w:r>
    </w:p>
    <w:p w14:paraId="6D9D4109" w14:textId="77777777" w:rsidR="0054101C" w:rsidRPr="004E5B9A" w:rsidRDefault="0054101C" w:rsidP="0054101C">
      <w:pPr>
        <w:spacing w:line="240" w:lineRule="auto"/>
        <w:rPr>
          <w:rFonts w:eastAsia="Times New Roman" w:cs="Arial"/>
          <w:color w:val="000000"/>
          <w:lang w:eastAsia="bg-BG"/>
        </w:rPr>
      </w:pPr>
    </w:p>
    <w:p w14:paraId="5EE4F202" w14:textId="6FA0244B" w:rsidR="0054101C" w:rsidRPr="0054101C" w:rsidRDefault="0054101C" w:rsidP="0054101C">
      <w:pPr>
        <w:spacing w:line="240" w:lineRule="auto"/>
        <w:rPr>
          <w:rFonts w:eastAsia="Times New Roman" w:cs="Arial"/>
          <w:lang w:eastAsia="bg-BG"/>
        </w:rPr>
      </w:pPr>
      <w:r w:rsidRPr="0054101C">
        <w:rPr>
          <w:rFonts w:eastAsia="Times New Roman" w:cs="Arial"/>
          <w:color w:val="000000"/>
          <w:lang w:eastAsia="bg-BG"/>
        </w:rPr>
        <w:t>Съответстващи резултати се наблюдават в по-голямата част от предварително определените подгрупи пациентки. В подгрупата пациентки, при които заболяването е ограничено до невисцерални метастази (</w:t>
      </w:r>
      <w:r w:rsidRPr="0054101C">
        <w:rPr>
          <w:rFonts w:eastAsia="Times New Roman" w:cs="Arial"/>
          <w:color w:val="000000"/>
          <w:lang w:val="en-US"/>
        </w:rPr>
        <w:t>n</w:t>
      </w:r>
      <w:r w:rsidRPr="0054101C">
        <w:rPr>
          <w:rFonts w:eastAsia="Times New Roman" w:cs="Arial"/>
          <w:color w:val="000000"/>
          <w:lang w:eastAsia="bg-BG"/>
        </w:rPr>
        <w:t xml:space="preserve">=208), коефициентът на риск </w:t>
      </w:r>
      <w:r w:rsidRPr="0054101C">
        <w:rPr>
          <w:rFonts w:eastAsia="Times New Roman" w:cs="Arial"/>
          <w:color w:val="000000"/>
          <w:lang w:val="en-US"/>
        </w:rPr>
        <w:t xml:space="preserve">(HR) </w:t>
      </w:r>
      <w:r w:rsidRPr="0054101C">
        <w:rPr>
          <w:rFonts w:eastAsia="Times New Roman" w:cs="Arial"/>
          <w:color w:val="000000"/>
          <w:lang w:eastAsia="bg-BG"/>
        </w:rPr>
        <w:t xml:space="preserve">е 0,592 (95% </w:t>
      </w:r>
      <w:r w:rsidRPr="0054101C">
        <w:rPr>
          <w:rFonts w:eastAsia="Times New Roman" w:cs="Arial"/>
          <w:color w:val="000000"/>
          <w:lang w:val="en-US"/>
        </w:rPr>
        <w:t xml:space="preserve">CI: </w:t>
      </w:r>
      <w:r w:rsidRPr="0054101C">
        <w:rPr>
          <w:rFonts w:eastAsia="Times New Roman" w:cs="Arial"/>
          <w:color w:val="000000"/>
          <w:lang w:eastAsia="bg-BG"/>
        </w:rPr>
        <w:t xml:space="preserve">0,419; 0,837) в рамото на фулвестрант, в сравнение с рамото на анастрозол. В подгрупата на пациентките с висцерални метастази </w:t>
      </w:r>
      <w:r w:rsidRPr="0054101C">
        <w:rPr>
          <w:rFonts w:eastAsia="Times New Roman" w:cs="Arial"/>
          <w:color w:val="000000"/>
          <w:lang w:val="en-US"/>
        </w:rPr>
        <w:t xml:space="preserve">(n=254), HR </w:t>
      </w:r>
      <w:r w:rsidRPr="0054101C">
        <w:rPr>
          <w:rFonts w:eastAsia="Times New Roman" w:cs="Arial"/>
          <w:color w:val="000000"/>
          <w:lang w:eastAsia="bg-BG"/>
        </w:rPr>
        <w:t xml:space="preserve">е 0,993 (95% </w:t>
      </w:r>
      <w:r w:rsidRPr="0054101C">
        <w:rPr>
          <w:rFonts w:eastAsia="Times New Roman" w:cs="Arial"/>
          <w:color w:val="000000"/>
          <w:lang w:val="en-US"/>
        </w:rPr>
        <w:t xml:space="preserve">CI: </w:t>
      </w:r>
      <w:r w:rsidRPr="0054101C">
        <w:rPr>
          <w:rFonts w:eastAsia="Times New Roman" w:cs="Arial"/>
          <w:color w:val="000000"/>
          <w:lang w:eastAsia="bg-BG"/>
        </w:rPr>
        <w:t xml:space="preserve">0,740; 1,331) в рамото на фулвестрант, в сравнение с рамото на анастрозол. Резултатите за ефикасност от проучването </w:t>
      </w:r>
      <w:r w:rsidRPr="0054101C">
        <w:rPr>
          <w:rFonts w:eastAsia="Times New Roman" w:cs="Arial"/>
          <w:color w:val="000000"/>
          <w:lang w:val="en-US"/>
        </w:rPr>
        <w:t xml:space="preserve">FALCON </w:t>
      </w:r>
      <w:r w:rsidRPr="0054101C">
        <w:rPr>
          <w:rFonts w:eastAsia="Times New Roman" w:cs="Arial"/>
          <w:color w:val="000000"/>
          <w:lang w:eastAsia="bg-BG"/>
        </w:rPr>
        <w:t>са представени в таблица 4 и фигура 1.</w:t>
      </w:r>
    </w:p>
    <w:p w14:paraId="5C0CBC49" w14:textId="77777777" w:rsidR="0054101C" w:rsidRPr="004E5B9A" w:rsidRDefault="0054101C" w:rsidP="0054101C">
      <w:pPr>
        <w:rPr>
          <w:rFonts w:eastAsia="Times New Roman" w:cs="Arial"/>
          <w:b/>
          <w:bCs/>
          <w:color w:val="000000"/>
          <w:lang w:eastAsia="bg-BG"/>
        </w:rPr>
      </w:pPr>
    </w:p>
    <w:p w14:paraId="0933CEF1" w14:textId="1946960E" w:rsidR="0054101C" w:rsidRPr="004E5B9A" w:rsidRDefault="0054101C" w:rsidP="0054101C">
      <w:pPr>
        <w:rPr>
          <w:rFonts w:eastAsia="Times New Roman" w:cs="Arial"/>
          <w:b/>
          <w:bCs/>
          <w:color w:val="000000"/>
          <w:lang w:val="en-US"/>
        </w:rPr>
      </w:pPr>
      <w:r w:rsidRPr="004E5B9A">
        <w:rPr>
          <w:rFonts w:eastAsia="Times New Roman" w:cs="Arial"/>
          <w:b/>
          <w:bCs/>
          <w:color w:val="000000"/>
          <w:lang w:eastAsia="bg-BG"/>
        </w:rPr>
        <w:t xml:space="preserve">Таблица </w:t>
      </w:r>
      <w:r w:rsidRPr="004E5B9A">
        <w:rPr>
          <w:rFonts w:eastAsia="Times New Roman" w:cs="Arial"/>
          <w:b/>
          <w:bCs/>
          <w:i/>
          <w:iCs/>
          <w:color w:val="000000"/>
          <w:lang w:eastAsia="bg-BG"/>
        </w:rPr>
        <w:t>4</w:t>
      </w:r>
      <w:r w:rsidRPr="004E5B9A">
        <w:rPr>
          <w:rFonts w:eastAsia="Times New Roman" w:cs="Arial"/>
          <w:b/>
          <w:bCs/>
          <w:color w:val="000000"/>
          <w:lang w:eastAsia="bg-BG"/>
        </w:rPr>
        <w:t xml:space="preserve"> Резюме на резултатите за първичната крайна точка за ефикасност (ПБП) и ключовите вторични крайни точки (оценка на изследователя, </w:t>
      </w:r>
      <w:r w:rsidRPr="004E5B9A">
        <w:rPr>
          <w:rFonts w:eastAsia="Times New Roman" w:cs="Arial"/>
          <w:b/>
          <w:bCs/>
          <w:color w:val="000000"/>
          <w:lang w:val="en-US"/>
        </w:rPr>
        <w:t xml:space="preserve">intent-to-treat </w:t>
      </w:r>
      <w:r w:rsidR="004B3221">
        <w:rPr>
          <w:rFonts w:eastAsia="Times New Roman" w:cs="Arial"/>
          <w:b/>
          <w:bCs/>
          <w:color w:val="000000"/>
          <w:lang w:eastAsia="bg-BG"/>
        </w:rPr>
        <w:t>популация) -</w:t>
      </w:r>
      <w:r w:rsidRPr="004E5B9A">
        <w:rPr>
          <w:rFonts w:eastAsia="Times New Roman" w:cs="Arial"/>
          <w:b/>
          <w:bCs/>
          <w:color w:val="000000"/>
          <w:lang w:eastAsia="bg-BG"/>
        </w:rPr>
        <w:t xml:space="preserve"> проучване </w:t>
      </w:r>
      <w:r w:rsidRPr="004E5B9A">
        <w:rPr>
          <w:rFonts w:eastAsia="Times New Roman" w:cs="Arial"/>
          <w:b/>
          <w:bCs/>
          <w:color w:val="000000"/>
          <w:lang w:val="en-US"/>
        </w:rPr>
        <w:t>FALCON</w:t>
      </w:r>
    </w:p>
    <w:p w14:paraId="62FCE204" w14:textId="1A77AD97" w:rsidR="0054101C" w:rsidRPr="004E5B9A" w:rsidRDefault="0054101C" w:rsidP="0054101C">
      <w:pPr>
        <w:rPr>
          <w:rFonts w:eastAsia="Times New Roman" w:cs="Arial"/>
          <w:b/>
          <w:bCs/>
          <w:color w:val="000000"/>
          <w:lang w:val="en-US"/>
        </w:rPr>
      </w:pPr>
    </w:p>
    <w:tbl>
      <w:tblPr>
        <w:tblStyle w:val="TableGrid"/>
        <w:tblW w:w="0" w:type="auto"/>
        <w:tblLook w:val="04A0" w:firstRow="1" w:lastRow="0" w:firstColumn="1" w:lastColumn="0" w:noHBand="0" w:noVBand="1"/>
      </w:tblPr>
      <w:tblGrid>
        <w:gridCol w:w="3116"/>
        <w:gridCol w:w="3117"/>
        <w:gridCol w:w="3117"/>
      </w:tblGrid>
      <w:tr w:rsidR="0054101C" w:rsidRPr="004E5B9A" w14:paraId="7DBF5C1D" w14:textId="77777777" w:rsidTr="0054101C">
        <w:tc>
          <w:tcPr>
            <w:tcW w:w="3116" w:type="dxa"/>
          </w:tcPr>
          <w:p w14:paraId="031D0C29" w14:textId="77777777" w:rsidR="0054101C" w:rsidRPr="004E5B9A" w:rsidRDefault="0054101C" w:rsidP="0054101C">
            <w:pPr>
              <w:rPr>
                <w:rFonts w:cs="Arial"/>
              </w:rPr>
            </w:pPr>
          </w:p>
        </w:tc>
        <w:tc>
          <w:tcPr>
            <w:tcW w:w="3117" w:type="dxa"/>
          </w:tcPr>
          <w:p w14:paraId="0C683D84" w14:textId="6E226F19" w:rsidR="0054101C" w:rsidRPr="004E5B9A" w:rsidRDefault="0054101C" w:rsidP="0054101C">
            <w:pPr>
              <w:rPr>
                <w:rFonts w:cs="Arial"/>
              </w:rPr>
            </w:pPr>
            <w:r w:rsidRPr="004E5B9A">
              <w:rPr>
                <w:rFonts w:cs="Arial"/>
              </w:rPr>
              <w:t xml:space="preserve">Fulvestrant </w:t>
            </w:r>
            <w:r w:rsidRPr="004E5B9A">
              <w:rPr>
                <w:rFonts w:cs="Arial"/>
                <w:lang w:eastAsia="bg-BG"/>
              </w:rPr>
              <w:t xml:space="preserve">500 </w:t>
            </w:r>
            <w:r w:rsidRPr="004E5B9A">
              <w:rPr>
                <w:rFonts w:cs="Arial"/>
              </w:rPr>
              <w:t>mg (N=230)</w:t>
            </w:r>
          </w:p>
        </w:tc>
        <w:tc>
          <w:tcPr>
            <w:tcW w:w="3117" w:type="dxa"/>
          </w:tcPr>
          <w:p w14:paraId="160CA269" w14:textId="3A0CFE94" w:rsidR="0054101C" w:rsidRPr="004E5B9A" w:rsidRDefault="0054101C" w:rsidP="0054101C">
            <w:pPr>
              <w:rPr>
                <w:rFonts w:cs="Arial"/>
              </w:rPr>
            </w:pPr>
            <w:r w:rsidRPr="004E5B9A">
              <w:rPr>
                <w:rFonts w:cs="Arial"/>
              </w:rPr>
              <w:t>Anastrozole 1 mg (N=232)</w:t>
            </w:r>
          </w:p>
        </w:tc>
      </w:tr>
      <w:tr w:rsidR="0054101C" w:rsidRPr="004E5B9A" w14:paraId="3766D2B3" w14:textId="77777777" w:rsidTr="00582B1E">
        <w:tc>
          <w:tcPr>
            <w:tcW w:w="9350" w:type="dxa"/>
            <w:gridSpan w:val="3"/>
          </w:tcPr>
          <w:p w14:paraId="4A7CF8EF" w14:textId="4AECD0C9" w:rsidR="0054101C" w:rsidRPr="004E5B9A" w:rsidRDefault="0054101C" w:rsidP="0054101C">
            <w:pPr>
              <w:rPr>
                <w:rFonts w:cs="Arial"/>
              </w:rPr>
            </w:pPr>
            <w:r w:rsidRPr="004E5B9A">
              <w:rPr>
                <w:rFonts w:cs="Arial"/>
              </w:rPr>
              <w:t>Преживяемост без прогресия</w:t>
            </w:r>
          </w:p>
        </w:tc>
      </w:tr>
      <w:tr w:rsidR="0054101C" w:rsidRPr="004E5B9A" w14:paraId="58428A65" w14:textId="77777777" w:rsidTr="0054101C">
        <w:tc>
          <w:tcPr>
            <w:tcW w:w="3116" w:type="dxa"/>
          </w:tcPr>
          <w:p w14:paraId="7EADE9C0" w14:textId="34B09851" w:rsidR="0054101C" w:rsidRPr="004E5B9A" w:rsidRDefault="0054101C" w:rsidP="0054101C">
            <w:pPr>
              <w:rPr>
                <w:rFonts w:cs="Arial"/>
              </w:rPr>
            </w:pPr>
            <w:r w:rsidRPr="004E5B9A">
              <w:rPr>
                <w:rFonts w:cs="Arial"/>
              </w:rPr>
              <w:t>Брой случаи на ПБП (%)</w:t>
            </w:r>
          </w:p>
        </w:tc>
        <w:tc>
          <w:tcPr>
            <w:tcW w:w="3117" w:type="dxa"/>
          </w:tcPr>
          <w:p w14:paraId="70ED6AF3" w14:textId="75D01D82" w:rsidR="0054101C" w:rsidRPr="004E5B9A" w:rsidRDefault="0054101C" w:rsidP="0054101C">
            <w:pPr>
              <w:rPr>
                <w:rFonts w:cs="Arial"/>
              </w:rPr>
            </w:pPr>
            <w:r w:rsidRPr="004E5B9A">
              <w:rPr>
                <w:rFonts w:cs="Arial"/>
              </w:rPr>
              <w:t>143 (62,2%)</w:t>
            </w:r>
          </w:p>
        </w:tc>
        <w:tc>
          <w:tcPr>
            <w:tcW w:w="3117" w:type="dxa"/>
          </w:tcPr>
          <w:p w14:paraId="5F2CE463" w14:textId="4C090C5F" w:rsidR="0054101C" w:rsidRPr="004E5B9A" w:rsidRDefault="0054101C" w:rsidP="0054101C">
            <w:pPr>
              <w:rPr>
                <w:rFonts w:cs="Arial"/>
              </w:rPr>
            </w:pPr>
            <w:r w:rsidRPr="004E5B9A">
              <w:rPr>
                <w:rFonts w:cs="Arial"/>
                <w:lang w:val="en-US"/>
              </w:rPr>
              <w:t>166 (71</w:t>
            </w:r>
            <w:proofErr w:type="gramStart"/>
            <w:r w:rsidRPr="004E5B9A">
              <w:rPr>
                <w:rFonts w:cs="Arial"/>
                <w:lang w:val="en-US"/>
              </w:rPr>
              <w:t>,6</w:t>
            </w:r>
            <w:proofErr w:type="gramEnd"/>
            <w:r w:rsidRPr="004E5B9A">
              <w:rPr>
                <w:rFonts w:cs="Arial"/>
                <w:lang w:val="en-US"/>
              </w:rPr>
              <w:t>%)</w:t>
            </w:r>
          </w:p>
        </w:tc>
      </w:tr>
      <w:tr w:rsidR="0054101C" w:rsidRPr="004E5B9A" w14:paraId="69B3D459" w14:textId="77777777" w:rsidTr="002A1FD0">
        <w:tc>
          <w:tcPr>
            <w:tcW w:w="3116" w:type="dxa"/>
          </w:tcPr>
          <w:p w14:paraId="0BC43C21" w14:textId="532A46CF" w:rsidR="0054101C" w:rsidRPr="004E5B9A" w:rsidRDefault="0054101C" w:rsidP="0054101C">
            <w:pPr>
              <w:rPr>
                <w:rFonts w:cs="Arial"/>
              </w:rPr>
            </w:pPr>
            <w:r w:rsidRPr="004E5B9A">
              <w:rPr>
                <w:rFonts w:cs="Arial"/>
              </w:rPr>
              <w:t xml:space="preserve">Коефициент на риск за ПБП (95% </w:t>
            </w:r>
            <w:r w:rsidRPr="004E5B9A">
              <w:rPr>
                <w:rFonts w:cs="Arial"/>
                <w:lang w:val="en-US"/>
              </w:rPr>
              <w:t xml:space="preserve">CI) </w:t>
            </w:r>
            <w:r w:rsidRPr="004E5B9A">
              <w:rPr>
                <w:rFonts w:cs="Arial"/>
              </w:rPr>
              <w:t>и р-стойност</w:t>
            </w:r>
          </w:p>
        </w:tc>
        <w:tc>
          <w:tcPr>
            <w:tcW w:w="6234" w:type="dxa"/>
            <w:gridSpan w:val="2"/>
          </w:tcPr>
          <w:p w14:paraId="73785077" w14:textId="17EB54FC" w:rsidR="0054101C" w:rsidRPr="004E5B9A" w:rsidRDefault="0054101C" w:rsidP="0054101C">
            <w:pPr>
              <w:rPr>
                <w:rFonts w:cs="Arial"/>
              </w:rPr>
            </w:pPr>
            <w:r w:rsidRPr="004E5B9A">
              <w:rPr>
                <w:rFonts w:cs="Arial"/>
                <w:lang w:val="en-US"/>
              </w:rPr>
              <w:t xml:space="preserve">HR </w:t>
            </w:r>
            <w:r w:rsidRPr="004E5B9A">
              <w:rPr>
                <w:rFonts w:cs="Arial"/>
              </w:rPr>
              <w:t xml:space="preserve">0,797 (0,637-0,999) </w:t>
            </w:r>
            <w:r w:rsidRPr="004E5B9A">
              <w:rPr>
                <w:rFonts w:cs="Arial"/>
                <w:lang w:val="en-US"/>
              </w:rPr>
              <w:t>p=0,0486</w:t>
            </w:r>
          </w:p>
        </w:tc>
      </w:tr>
      <w:tr w:rsidR="0054101C" w:rsidRPr="004E5B9A" w14:paraId="2826A570" w14:textId="77777777" w:rsidTr="0054101C">
        <w:tc>
          <w:tcPr>
            <w:tcW w:w="3116" w:type="dxa"/>
          </w:tcPr>
          <w:p w14:paraId="32E6597D" w14:textId="33C8C133" w:rsidR="0054101C" w:rsidRPr="004E5B9A" w:rsidRDefault="0054101C" w:rsidP="0054101C">
            <w:pPr>
              <w:rPr>
                <w:rFonts w:cs="Arial"/>
              </w:rPr>
            </w:pPr>
            <w:r w:rsidRPr="004E5B9A">
              <w:rPr>
                <w:rFonts w:cs="Arial"/>
                <w:lang w:eastAsia="bg-BG"/>
              </w:rPr>
              <w:t xml:space="preserve">Медиана на ПБП [месеци (95% </w:t>
            </w:r>
            <w:r w:rsidRPr="004E5B9A">
              <w:rPr>
                <w:rFonts w:cs="Arial"/>
              </w:rPr>
              <w:t>CI)]</w:t>
            </w:r>
          </w:p>
        </w:tc>
        <w:tc>
          <w:tcPr>
            <w:tcW w:w="3117" w:type="dxa"/>
          </w:tcPr>
          <w:p w14:paraId="4A03CD40" w14:textId="37A889C2" w:rsidR="0054101C" w:rsidRPr="004E5B9A" w:rsidRDefault="0054101C" w:rsidP="0054101C">
            <w:pPr>
              <w:rPr>
                <w:rFonts w:cs="Arial"/>
              </w:rPr>
            </w:pPr>
            <w:r w:rsidRPr="004E5B9A">
              <w:rPr>
                <w:rFonts w:cs="Arial"/>
              </w:rPr>
              <w:t>16,6 (13,8; 21,0)</w:t>
            </w:r>
          </w:p>
        </w:tc>
        <w:tc>
          <w:tcPr>
            <w:tcW w:w="3117" w:type="dxa"/>
          </w:tcPr>
          <w:p w14:paraId="0EE5FCF9" w14:textId="57B9B536" w:rsidR="0054101C" w:rsidRPr="004E5B9A" w:rsidRDefault="0054101C" w:rsidP="0054101C">
            <w:pPr>
              <w:rPr>
                <w:rFonts w:cs="Arial"/>
              </w:rPr>
            </w:pPr>
            <w:r w:rsidRPr="004E5B9A">
              <w:rPr>
                <w:rFonts w:cs="Arial"/>
              </w:rPr>
              <w:t>13,8(12,0; 16,6)</w:t>
            </w:r>
          </w:p>
        </w:tc>
      </w:tr>
      <w:tr w:rsidR="0054101C" w:rsidRPr="004E5B9A" w14:paraId="376A6CB9" w14:textId="77777777" w:rsidTr="0054101C">
        <w:tc>
          <w:tcPr>
            <w:tcW w:w="3116" w:type="dxa"/>
          </w:tcPr>
          <w:p w14:paraId="6DA59061" w14:textId="73F4B938" w:rsidR="0054101C" w:rsidRPr="004E5B9A" w:rsidRDefault="0054101C" w:rsidP="0054101C">
            <w:pPr>
              <w:rPr>
                <w:rFonts w:cs="Arial"/>
              </w:rPr>
            </w:pPr>
            <w:r w:rsidRPr="004E5B9A">
              <w:rPr>
                <w:rFonts w:cs="Arial"/>
                <w:lang w:eastAsia="bg-BG"/>
              </w:rPr>
              <w:t>Брой случаи на ОП*</w:t>
            </w:r>
          </w:p>
        </w:tc>
        <w:tc>
          <w:tcPr>
            <w:tcW w:w="3117" w:type="dxa"/>
          </w:tcPr>
          <w:p w14:paraId="03A0B927" w14:textId="0E729295" w:rsidR="0054101C" w:rsidRPr="004E5B9A" w:rsidRDefault="0054101C" w:rsidP="0054101C">
            <w:pPr>
              <w:rPr>
                <w:rFonts w:cs="Arial"/>
              </w:rPr>
            </w:pPr>
            <w:r w:rsidRPr="004E5B9A">
              <w:rPr>
                <w:rFonts w:cs="Arial"/>
              </w:rPr>
              <w:t>67 (29,1%)</w:t>
            </w:r>
          </w:p>
        </w:tc>
        <w:tc>
          <w:tcPr>
            <w:tcW w:w="3117" w:type="dxa"/>
          </w:tcPr>
          <w:p w14:paraId="47EBAD76" w14:textId="5C6E0DB5" w:rsidR="0054101C" w:rsidRPr="004E5B9A" w:rsidRDefault="0054101C" w:rsidP="0054101C">
            <w:pPr>
              <w:rPr>
                <w:rFonts w:cs="Arial"/>
              </w:rPr>
            </w:pPr>
            <w:r w:rsidRPr="004E5B9A">
              <w:rPr>
                <w:rFonts w:cs="Arial"/>
              </w:rPr>
              <w:t>75 (32,3%)</w:t>
            </w:r>
          </w:p>
        </w:tc>
      </w:tr>
      <w:tr w:rsidR="0054101C" w:rsidRPr="004E5B9A" w14:paraId="02F991B7" w14:textId="77777777" w:rsidTr="00540F7A">
        <w:tc>
          <w:tcPr>
            <w:tcW w:w="3116" w:type="dxa"/>
          </w:tcPr>
          <w:p w14:paraId="08D9BB6B" w14:textId="6516E8AD" w:rsidR="0054101C" w:rsidRPr="004E5B9A" w:rsidRDefault="0054101C" w:rsidP="0054101C">
            <w:pPr>
              <w:rPr>
                <w:rFonts w:cs="Arial"/>
              </w:rPr>
            </w:pPr>
            <w:r w:rsidRPr="004E5B9A">
              <w:rPr>
                <w:rFonts w:cs="Arial"/>
              </w:rPr>
              <w:t xml:space="preserve">Коефициент на риск за ОП (95% </w:t>
            </w:r>
            <w:r w:rsidRPr="004E5B9A">
              <w:rPr>
                <w:rFonts w:cs="Arial"/>
                <w:lang w:val="en-US"/>
              </w:rPr>
              <w:t xml:space="preserve">CI) </w:t>
            </w:r>
            <w:r w:rsidRPr="004E5B9A">
              <w:rPr>
                <w:rFonts w:cs="Arial"/>
              </w:rPr>
              <w:t>и р-стойност</w:t>
            </w:r>
          </w:p>
        </w:tc>
        <w:tc>
          <w:tcPr>
            <w:tcW w:w="6234" w:type="dxa"/>
            <w:gridSpan w:val="2"/>
          </w:tcPr>
          <w:p w14:paraId="709799F0" w14:textId="3AE91E92" w:rsidR="0054101C" w:rsidRPr="004E5B9A" w:rsidRDefault="0054101C" w:rsidP="0054101C">
            <w:pPr>
              <w:rPr>
                <w:rFonts w:cs="Arial"/>
              </w:rPr>
            </w:pPr>
            <w:r w:rsidRPr="004E5B9A">
              <w:rPr>
                <w:rFonts w:cs="Arial"/>
                <w:lang w:val="en-US"/>
              </w:rPr>
              <w:t>HR 0,875 (0,629-1,217) p=0,4277</w:t>
            </w:r>
          </w:p>
        </w:tc>
      </w:tr>
      <w:tr w:rsidR="0054101C" w:rsidRPr="004E5B9A" w14:paraId="74B2FC3D" w14:textId="77777777" w:rsidTr="0054101C">
        <w:tc>
          <w:tcPr>
            <w:tcW w:w="3116" w:type="dxa"/>
          </w:tcPr>
          <w:p w14:paraId="3B57C0F8" w14:textId="184EE700" w:rsidR="0054101C" w:rsidRPr="004E5B9A" w:rsidRDefault="0054101C" w:rsidP="0054101C">
            <w:pPr>
              <w:rPr>
                <w:rFonts w:cs="Arial"/>
              </w:rPr>
            </w:pPr>
            <w:r w:rsidRPr="004E5B9A">
              <w:rPr>
                <w:rFonts w:cs="Arial"/>
                <w:lang w:eastAsia="bg-BG"/>
              </w:rPr>
              <w:t>СОП**</w:t>
            </w:r>
          </w:p>
        </w:tc>
        <w:tc>
          <w:tcPr>
            <w:tcW w:w="3117" w:type="dxa"/>
          </w:tcPr>
          <w:p w14:paraId="3092B95F" w14:textId="26009BDB" w:rsidR="0054101C" w:rsidRPr="004E5B9A" w:rsidRDefault="0054101C" w:rsidP="0054101C">
            <w:pPr>
              <w:rPr>
                <w:rFonts w:cs="Arial"/>
              </w:rPr>
            </w:pPr>
            <w:r w:rsidRPr="004E5B9A">
              <w:rPr>
                <w:rFonts w:cs="Arial"/>
              </w:rPr>
              <w:t>89(46,1%)</w:t>
            </w:r>
          </w:p>
        </w:tc>
        <w:tc>
          <w:tcPr>
            <w:tcW w:w="3117" w:type="dxa"/>
          </w:tcPr>
          <w:p w14:paraId="07DE42BD" w14:textId="0067E486" w:rsidR="0054101C" w:rsidRPr="004E5B9A" w:rsidRDefault="0054101C" w:rsidP="0054101C">
            <w:pPr>
              <w:rPr>
                <w:rFonts w:cs="Arial"/>
              </w:rPr>
            </w:pPr>
            <w:r w:rsidRPr="004E5B9A">
              <w:rPr>
                <w:rFonts w:cs="Arial"/>
              </w:rPr>
              <w:t>88 (44,9%)</w:t>
            </w:r>
          </w:p>
        </w:tc>
      </w:tr>
      <w:tr w:rsidR="0054101C" w:rsidRPr="004E5B9A" w14:paraId="4D4694DE" w14:textId="77777777" w:rsidTr="004B7B1F">
        <w:tc>
          <w:tcPr>
            <w:tcW w:w="3116" w:type="dxa"/>
          </w:tcPr>
          <w:p w14:paraId="1183971D" w14:textId="71B0423F" w:rsidR="0054101C" w:rsidRPr="004E5B9A" w:rsidRDefault="0054101C" w:rsidP="0054101C">
            <w:pPr>
              <w:rPr>
                <w:rFonts w:cs="Arial"/>
              </w:rPr>
            </w:pPr>
            <w:r w:rsidRPr="004E5B9A">
              <w:rPr>
                <w:rFonts w:cs="Arial"/>
              </w:rPr>
              <w:t xml:space="preserve">Съотношение на шансовете за СОП (95% </w:t>
            </w:r>
            <w:r w:rsidRPr="004E5B9A">
              <w:rPr>
                <w:rFonts w:cs="Arial"/>
                <w:lang w:val="en-US"/>
              </w:rPr>
              <w:t xml:space="preserve">CI) </w:t>
            </w:r>
            <w:r w:rsidRPr="004E5B9A">
              <w:rPr>
                <w:rFonts w:cs="Arial"/>
              </w:rPr>
              <w:t>и р-стойност</w:t>
            </w:r>
          </w:p>
        </w:tc>
        <w:tc>
          <w:tcPr>
            <w:tcW w:w="6234" w:type="dxa"/>
            <w:gridSpan w:val="2"/>
          </w:tcPr>
          <w:p w14:paraId="0B26097C" w14:textId="11EA5849" w:rsidR="0054101C" w:rsidRPr="004E5B9A" w:rsidRDefault="0054101C" w:rsidP="0054101C">
            <w:pPr>
              <w:jc w:val="center"/>
              <w:rPr>
                <w:rFonts w:cs="Arial"/>
              </w:rPr>
            </w:pPr>
            <w:r w:rsidRPr="004E5B9A">
              <w:rPr>
                <w:rFonts w:cs="Arial"/>
                <w:lang w:val="en-US"/>
              </w:rPr>
              <w:t xml:space="preserve">OR </w:t>
            </w:r>
            <w:r w:rsidRPr="004E5B9A">
              <w:rPr>
                <w:rFonts w:cs="Arial"/>
              </w:rPr>
              <w:t>1,074 (0,716-1,614) р=0,7290</w:t>
            </w:r>
          </w:p>
        </w:tc>
      </w:tr>
      <w:tr w:rsidR="0054101C" w:rsidRPr="004E5B9A" w14:paraId="26A96A75" w14:textId="77777777" w:rsidTr="0054101C">
        <w:tc>
          <w:tcPr>
            <w:tcW w:w="3116" w:type="dxa"/>
          </w:tcPr>
          <w:p w14:paraId="27C9E10E" w14:textId="06F25B31" w:rsidR="0054101C" w:rsidRPr="004E5B9A" w:rsidRDefault="0054101C" w:rsidP="0054101C">
            <w:pPr>
              <w:rPr>
                <w:rFonts w:cs="Arial"/>
              </w:rPr>
            </w:pPr>
            <w:r w:rsidRPr="004E5B9A">
              <w:rPr>
                <w:rFonts w:cs="Arial"/>
              </w:rPr>
              <w:t>Медиана на ПП (месеци)</w:t>
            </w:r>
          </w:p>
        </w:tc>
        <w:tc>
          <w:tcPr>
            <w:tcW w:w="3117" w:type="dxa"/>
          </w:tcPr>
          <w:p w14:paraId="06CBAD88" w14:textId="1AA1187B" w:rsidR="0054101C" w:rsidRPr="004E5B9A" w:rsidRDefault="0054101C" w:rsidP="0054101C">
            <w:pPr>
              <w:rPr>
                <w:rFonts w:cs="Arial"/>
              </w:rPr>
            </w:pPr>
            <w:r w:rsidRPr="004E5B9A">
              <w:rPr>
                <w:rFonts w:cs="Arial"/>
              </w:rPr>
              <w:t>20,0</w:t>
            </w:r>
          </w:p>
        </w:tc>
        <w:tc>
          <w:tcPr>
            <w:tcW w:w="3117" w:type="dxa"/>
          </w:tcPr>
          <w:p w14:paraId="4ECCECE8" w14:textId="3134EA92" w:rsidR="0054101C" w:rsidRPr="004E5B9A" w:rsidRDefault="0054101C" w:rsidP="0054101C">
            <w:pPr>
              <w:rPr>
                <w:rFonts w:cs="Arial"/>
              </w:rPr>
            </w:pPr>
            <w:r w:rsidRPr="004E5B9A">
              <w:rPr>
                <w:rFonts w:cs="Arial"/>
              </w:rPr>
              <w:t>13,2</w:t>
            </w:r>
          </w:p>
        </w:tc>
      </w:tr>
      <w:tr w:rsidR="0054101C" w:rsidRPr="004E5B9A" w14:paraId="3430C199" w14:textId="77777777" w:rsidTr="0054101C">
        <w:tc>
          <w:tcPr>
            <w:tcW w:w="3116" w:type="dxa"/>
          </w:tcPr>
          <w:p w14:paraId="4C65CCBD" w14:textId="5617AC3E" w:rsidR="0054101C" w:rsidRPr="004E5B9A" w:rsidRDefault="0054101C" w:rsidP="0054101C">
            <w:pPr>
              <w:rPr>
                <w:rFonts w:cs="Arial"/>
              </w:rPr>
            </w:pPr>
            <w:r w:rsidRPr="004E5B9A">
              <w:rPr>
                <w:rFonts w:cs="Arial"/>
              </w:rPr>
              <w:t>СКП</w:t>
            </w:r>
          </w:p>
        </w:tc>
        <w:tc>
          <w:tcPr>
            <w:tcW w:w="3117" w:type="dxa"/>
          </w:tcPr>
          <w:p w14:paraId="786C5E60" w14:textId="6537B21E" w:rsidR="0054101C" w:rsidRPr="004E5B9A" w:rsidRDefault="0054101C" w:rsidP="0054101C">
            <w:pPr>
              <w:rPr>
                <w:rFonts w:cs="Arial"/>
              </w:rPr>
            </w:pPr>
            <w:r w:rsidRPr="004E5B9A">
              <w:rPr>
                <w:rFonts w:cs="Arial"/>
              </w:rPr>
              <w:t>180(78,3%)</w:t>
            </w:r>
          </w:p>
        </w:tc>
        <w:tc>
          <w:tcPr>
            <w:tcW w:w="3117" w:type="dxa"/>
          </w:tcPr>
          <w:p w14:paraId="706D8268" w14:textId="24B922CF" w:rsidR="0054101C" w:rsidRPr="004E5B9A" w:rsidRDefault="0054101C" w:rsidP="0054101C">
            <w:pPr>
              <w:rPr>
                <w:rFonts w:cs="Arial"/>
              </w:rPr>
            </w:pPr>
            <w:r w:rsidRPr="004E5B9A">
              <w:rPr>
                <w:rFonts w:cs="Arial"/>
              </w:rPr>
              <w:t>172 (74,1%)</w:t>
            </w:r>
          </w:p>
        </w:tc>
      </w:tr>
      <w:tr w:rsidR="0054101C" w:rsidRPr="004E5B9A" w14:paraId="080748CB" w14:textId="77777777" w:rsidTr="004A0E84">
        <w:tc>
          <w:tcPr>
            <w:tcW w:w="3116" w:type="dxa"/>
          </w:tcPr>
          <w:p w14:paraId="4D7FE120" w14:textId="6D92BDDF" w:rsidR="0054101C" w:rsidRPr="004E5B9A" w:rsidRDefault="0054101C" w:rsidP="0054101C">
            <w:pPr>
              <w:rPr>
                <w:rFonts w:cs="Arial"/>
              </w:rPr>
            </w:pPr>
            <w:r w:rsidRPr="004E5B9A">
              <w:rPr>
                <w:rFonts w:cs="Arial"/>
              </w:rPr>
              <w:t xml:space="preserve">Съотношение на шансоветеза СКП (95% </w:t>
            </w:r>
            <w:r w:rsidRPr="004E5B9A">
              <w:rPr>
                <w:rFonts w:cs="Arial"/>
                <w:lang w:val="en-US"/>
              </w:rPr>
              <w:t xml:space="preserve">CI) </w:t>
            </w:r>
            <w:r w:rsidRPr="004E5B9A">
              <w:rPr>
                <w:rFonts w:cs="Arial"/>
              </w:rPr>
              <w:t>и р-стойност</w:t>
            </w:r>
          </w:p>
        </w:tc>
        <w:tc>
          <w:tcPr>
            <w:tcW w:w="6234" w:type="dxa"/>
            <w:gridSpan w:val="2"/>
          </w:tcPr>
          <w:p w14:paraId="2F5C6E7C" w14:textId="318B0DEC" w:rsidR="0054101C" w:rsidRPr="004E5B9A" w:rsidRDefault="0054101C" w:rsidP="0054101C">
            <w:pPr>
              <w:jc w:val="center"/>
              <w:rPr>
                <w:rFonts w:cs="Arial"/>
              </w:rPr>
            </w:pPr>
            <w:r w:rsidRPr="004E5B9A">
              <w:rPr>
                <w:rFonts w:cs="Arial"/>
                <w:lang w:val="en-US"/>
              </w:rPr>
              <w:t xml:space="preserve">OR </w:t>
            </w:r>
            <w:r w:rsidRPr="004E5B9A">
              <w:rPr>
                <w:rFonts w:cs="Arial"/>
              </w:rPr>
              <w:t>1,253 (0,815-1,932) р=0,3045</w:t>
            </w:r>
          </w:p>
        </w:tc>
      </w:tr>
    </w:tbl>
    <w:p w14:paraId="7C4B472E" w14:textId="27B3E4E7" w:rsidR="0054101C" w:rsidRPr="004E5B9A" w:rsidRDefault="004E5B9A" w:rsidP="004E5B9A">
      <w:pPr>
        <w:spacing w:line="240" w:lineRule="auto"/>
        <w:rPr>
          <w:rFonts w:ascii="Times New Roman" w:eastAsia="Times New Roman" w:hAnsi="Times New Roman" w:cs="Times New Roman"/>
          <w:sz w:val="36"/>
          <w:szCs w:val="24"/>
          <w:lang w:eastAsia="bg-BG"/>
        </w:rPr>
      </w:pPr>
      <w:r w:rsidRPr="004E5B9A">
        <w:rPr>
          <w:rFonts w:eastAsia="Times New Roman" w:cs="Arial"/>
          <w:b/>
          <w:bCs/>
          <w:color w:val="000000"/>
          <w:sz w:val="20"/>
          <w:szCs w:val="15"/>
          <w:lang w:val="en-US" w:eastAsia="bg-BG"/>
        </w:rPr>
        <w:t xml:space="preserve">* </w:t>
      </w:r>
      <w:r w:rsidRPr="004E5B9A">
        <w:rPr>
          <w:rFonts w:eastAsia="Times New Roman" w:cs="Arial"/>
          <w:b/>
          <w:bCs/>
          <w:color w:val="000000"/>
          <w:sz w:val="20"/>
          <w:szCs w:val="15"/>
          <w:lang w:eastAsia="bg-BG"/>
        </w:rPr>
        <w:t>(31% от планираното време на проследяване) - неокончателен анализ на ОП</w:t>
      </w:r>
    </w:p>
    <w:p w14:paraId="12089D9A" w14:textId="6317B73D" w:rsidR="0054101C" w:rsidRPr="004E5B9A" w:rsidRDefault="004E5B9A" w:rsidP="004E5B9A">
      <w:pPr>
        <w:spacing w:line="240" w:lineRule="auto"/>
        <w:rPr>
          <w:rFonts w:ascii="Times New Roman" w:eastAsia="Times New Roman" w:hAnsi="Times New Roman" w:cs="Times New Roman"/>
          <w:sz w:val="36"/>
          <w:szCs w:val="24"/>
          <w:lang w:eastAsia="bg-BG"/>
        </w:rPr>
      </w:pPr>
      <w:r w:rsidRPr="004E5B9A">
        <w:rPr>
          <w:rFonts w:eastAsia="Times New Roman" w:cs="Arial"/>
          <w:b/>
          <w:bCs/>
          <w:color w:val="000000"/>
          <w:sz w:val="20"/>
          <w:szCs w:val="15"/>
          <w:lang w:val="en-US" w:eastAsia="bg-BG"/>
        </w:rPr>
        <w:t xml:space="preserve">** </w:t>
      </w:r>
      <w:proofErr w:type="gramStart"/>
      <w:r w:rsidR="0054101C" w:rsidRPr="0054101C">
        <w:rPr>
          <w:rFonts w:eastAsia="Times New Roman" w:cs="Arial"/>
          <w:b/>
          <w:bCs/>
          <w:color w:val="000000"/>
          <w:sz w:val="20"/>
          <w:szCs w:val="15"/>
          <w:lang w:eastAsia="bg-BG"/>
        </w:rPr>
        <w:t>при</w:t>
      </w:r>
      <w:proofErr w:type="gramEnd"/>
      <w:r w:rsidR="0054101C" w:rsidRPr="0054101C">
        <w:rPr>
          <w:rFonts w:eastAsia="Times New Roman" w:cs="Arial"/>
          <w:b/>
          <w:bCs/>
          <w:color w:val="000000"/>
          <w:sz w:val="20"/>
          <w:szCs w:val="15"/>
          <w:lang w:eastAsia="bg-BG"/>
        </w:rPr>
        <w:t xml:space="preserve"> пациентки с измеримо заболяване</w:t>
      </w:r>
    </w:p>
    <w:p w14:paraId="1FDD8DE8" w14:textId="77777777" w:rsidR="004E5B9A" w:rsidRPr="004E5B9A" w:rsidRDefault="004E5B9A" w:rsidP="004E5B9A">
      <w:pPr>
        <w:spacing w:line="240" w:lineRule="auto"/>
        <w:rPr>
          <w:rFonts w:ascii="Times New Roman" w:eastAsia="Times New Roman" w:hAnsi="Times New Roman" w:cs="Times New Roman"/>
          <w:sz w:val="24"/>
          <w:szCs w:val="24"/>
          <w:lang w:eastAsia="bg-BG"/>
        </w:rPr>
      </w:pPr>
    </w:p>
    <w:p w14:paraId="44563D1B" w14:textId="7A1286FB" w:rsidR="0054101C" w:rsidRPr="004E5B9A" w:rsidRDefault="0054101C" w:rsidP="0054101C">
      <w:pPr>
        <w:rPr>
          <w:rFonts w:eastAsia="Times New Roman" w:cs="Arial"/>
          <w:b/>
          <w:bCs/>
          <w:color w:val="000000"/>
          <w:szCs w:val="20"/>
          <w:lang w:val="en-US"/>
        </w:rPr>
      </w:pPr>
      <w:r w:rsidRPr="004E5B9A">
        <w:rPr>
          <w:rFonts w:eastAsia="Times New Roman" w:cs="Arial"/>
          <w:b/>
          <w:bCs/>
          <w:color w:val="000000"/>
          <w:szCs w:val="20"/>
          <w:lang w:eastAsia="bg-BG"/>
        </w:rPr>
        <w:t xml:space="preserve">Фигура 1 Криви на </w:t>
      </w:r>
      <w:r w:rsidRPr="004E5B9A">
        <w:rPr>
          <w:rFonts w:eastAsia="Times New Roman" w:cs="Arial"/>
          <w:b/>
          <w:bCs/>
          <w:color w:val="000000"/>
          <w:szCs w:val="20"/>
          <w:lang w:val="en-US"/>
        </w:rPr>
        <w:t xml:space="preserve">Kaplan-Meier </w:t>
      </w:r>
      <w:r w:rsidRPr="004E5B9A">
        <w:rPr>
          <w:rFonts w:eastAsia="Times New Roman" w:cs="Arial"/>
          <w:b/>
          <w:bCs/>
          <w:color w:val="000000"/>
          <w:szCs w:val="20"/>
          <w:lang w:eastAsia="bg-BG"/>
        </w:rPr>
        <w:t xml:space="preserve">за преживяемост без прогресия (оценка на изследователя, </w:t>
      </w:r>
      <w:r w:rsidRPr="004E5B9A">
        <w:rPr>
          <w:rFonts w:eastAsia="Times New Roman" w:cs="Arial"/>
          <w:b/>
          <w:bCs/>
          <w:color w:val="000000"/>
          <w:szCs w:val="20"/>
          <w:lang w:val="en-US"/>
        </w:rPr>
        <w:t xml:space="preserve">intent-to-treat </w:t>
      </w:r>
      <w:r w:rsidRPr="004E5B9A">
        <w:rPr>
          <w:rFonts w:eastAsia="Times New Roman" w:cs="Arial"/>
          <w:b/>
          <w:bCs/>
          <w:color w:val="000000"/>
          <w:szCs w:val="20"/>
          <w:lang w:eastAsia="bg-BG"/>
        </w:rPr>
        <w:t xml:space="preserve">популация) — проучване </w:t>
      </w:r>
      <w:r w:rsidRPr="004E5B9A">
        <w:rPr>
          <w:rFonts w:eastAsia="Times New Roman" w:cs="Arial"/>
          <w:b/>
          <w:bCs/>
          <w:color w:val="000000"/>
          <w:szCs w:val="20"/>
          <w:lang w:val="en-US"/>
        </w:rPr>
        <w:t>FALCON</w:t>
      </w:r>
    </w:p>
    <w:p w14:paraId="33D154D4" w14:textId="00B0166C" w:rsidR="0054101C" w:rsidRDefault="0054101C" w:rsidP="0054101C">
      <w:pPr>
        <w:rPr>
          <w:rFonts w:ascii="Times New Roman" w:eastAsia="Times New Roman" w:hAnsi="Times New Roman" w:cs="Times New Roman"/>
          <w:b/>
          <w:bCs/>
          <w:color w:val="000000"/>
          <w:sz w:val="20"/>
          <w:szCs w:val="20"/>
          <w:lang w:val="en-US"/>
        </w:rPr>
      </w:pPr>
    </w:p>
    <w:p w14:paraId="7E58D2B2" w14:textId="1ADCE37B" w:rsidR="0054101C" w:rsidRPr="0054101C" w:rsidRDefault="0054101C" w:rsidP="0054101C">
      <w:pPr>
        <w:rPr>
          <w:lang w:val="en-US"/>
        </w:rPr>
      </w:pPr>
      <w:r>
        <w:rPr>
          <w:noProof/>
          <w:lang w:eastAsia="bg-BG"/>
        </w:rPr>
        <w:drawing>
          <wp:inline distT="0" distB="0" distL="0" distR="0" wp14:anchorId="270FB7F5" wp14:editId="3D7304BD">
            <wp:extent cx="5058481" cy="33723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01010101010102030213.png"/>
                    <pic:cNvPicPr/>
                  </pic:nvPicPr>
                  <pic:blipFill>
                    <a:blip r:embed="rId5">
                      <a:extLst>
                        <a:ext uri="{28A0092B-C50C-407E-A947-70E740481C1C}">
                          <a14:useLocalDpi xmlns:a14="http://schemas.microsoft.com/office/drawing/2010/main" val="0"/>
                        </a:ext>
                      </a:extLst>
                    </a:blip>
                    <a:stretch>
                      <a:fillRect/>
                    </a:stretch>
                  </pic:blipFill>
                  <pic:spPr>
                    <a:xfrm>
                      <a:off x="0" y="0"/>
                      <a:ext cx="5058481" cy="3372321"/>
                    </a:xfrm>
                    <a:prstGeom prst="rect">
                      <a:avLst/>
                    </a:prstGeom>
                  </pic:spPr>
                </pic:pic>
              </a:graphicData>
            </a:graphic>
          </wp:inline>
        </w:drawing>
      </w:r>
    </w:p>
    <w:p w14:paraId="67A93128" w14:textId="00899CD5" w:rsidR="0054101C" w:rsidRDefault="0054101C" w:rsidP="0091385D"/>
    <w:p w14:paraId="3A524682" w14:textId="1A3F0030" w:rsidR="0054101C" w:rsidRPr="004E5B9A" w:rsidRDefault="0054101C" w:rsidP="0091385D">
      <w:pPr>
        <w:rPr>
          <w:rFonts w:cs="Arial"/>
          <w:szCs w:val="20"/>
        </w:rPr>
      </w:pPr>
      <w:r w:rsidRPr="004E5B9A">
        <w:rPr>
          <w:rFonts w:cs="Arial"/>
          <w:szCs w:val="20"/>
        </w:rPr>
        <w:lastRenderedPageBreak/>
        <w:t xml:space="preserve">Две клинични проучвания фаза 3 са приключили при общо 851 постменопаузални жени с авансирал рак на гърдата, които са имали рецидив на заболяването по време на или след адювантна ендокринна терапия, или при прогресия след ендокринна терапия за напреднало заболяване. Седемдесет и седем процента (77%) от изследваната популация са имали естроген- рецептор позитивен рак на гърдата. Проучванията сравняват безопасността и ефикасността на месечното прилагане на фулвестрант 250 </w:t>
      </w:r>
      <w:r w:rsidRPr="004E5B9A">
        <w:rPr>
          <w:rFonts w:cs="Arial"/>
          <w:szCs w:val="20"/>
          <w:lang w:val="en-US"/>
        </w:rPr>
        <w:t xml:space="preserve">mg </w:t>
      </w:r>
      <w:r w:rsidRPr="004E5B9A">
        <w:rPr>
          <w:rFonts w:cs="Arial"/>
          <w:szCs w:val="20"/>
        </w:rPr>
        <w:t xml:space="preserve">срещу ежедневното прилагане на 1 </w:t>
      </w:r>
      <w:r w:rsidRPr="004E5B9A">
        <w:rPr>
          <w:rFonts w:cs="Arial"/>
          <w:szCs w:val="20"/>
          <w:lang w:val="en-US"/>
        </w:rPr>
        <w:t xml:space="preserve">mg </w:t>
      </w:r>
      <w:r w:rsidRPr="004E5B9A">
        <w:rPr>
          <w:rFonts w:cs="Arial"/>
          <w:szCs w:val="20"/>
        </w:rPr>
        <w:t xml:space="preserve">анастрозол (ароматазен инхибитор). Като цяло, фулвестрант в доза 250 </w:t>
      </w:r>
      <w:r w:rsidRPr="004E5B9A">
        <w:rPr>
          <w:rFonts w:cs="Arial"/>
          <w:szCs w:val="20"/>
          <w:lang w:val="en-US"/>
        </w:rPr>
        <w:t xml:space="preserve">mg </w:t>
      </w:r>
      <w:r w:rsidRPr="004E5B9A">
        <w:rPr>
          <w:rFonts w:cs="Arial"/>
          <w:szCs w:val="20"/>
        </w:rPr>
        <w:t>месечно е толкова ефикасен, колкото анастрозол, по отношение на преживяемост без прогресия, обективен отговор и време на преживяване. Няма статистически значими разлики при всеки от тези крайни точки за оценка между двете терапевтични групи. Първичната крайна точка е преживяемост без прогресия.</w:t>
      </w:r>
    </w:p>
    <w:p w14:paraId="580FF9C1" w14:textId="77ED346E" w:rsidR="0054101C" w:rsidRPr="004E5B9A" w:rsidRDefault="0054101C" w:rsidP="0091385D">
      <w:pPr>
        <w:rPr>
          <w:rFonts w:cs="Arial"/>
          <w:sz w:val="24"/>
        </w:rPr>
      </w:pPr>
    </w:p>
    <w:p w14:paraId="3D635351" w14:textId="77777777" w:rsidR="0054101C" w:rsidRPr="0054101C" w:rsidRDefault="0054101C" w:rsidP="0054101C">
      <w:pPr>
        <w:spacing w:line="240" w:lineRule="auto"/>
        <w:rPr>
          <w:rFonts w:eastAsia="Times New Roman" w:cs="Arial"/>
          <w:sz w:val="28"/>
          <w:szCs w:val="24"/>
          <w:lang w:eastAsia="bg-BG"/>
        </w:rPr>
      </w:pPr>
      <w:r w:rsidRPr="0054101C">
        <w:rPr>
          <w:rFonts w:eastAsia="Times New Roman" w:cs="Arial"/>
          <w:color w:val="000000"/>
          <w:szCs w:val="20"/>
          <w:lang w:eastAsia="bg-BG"/>
        </w:rPr>
        <w:t xml:space="preserve">Комбинираният анализ на двете проучвания показва, че заболяването е прогресирало при 83% от получавалите фулвестрант пациенти, в сравнение с 85% от получавалите анастрозол пациенти. Комбинираният анализ на двете проучвания показва, че коефициентът на риск за преживяемост без прогресия при фулвестрант 250 </w:t>
      </w:r>
      <w:r w:rsidRPr="0054101C">
        <w:rPr>
          <w:rFonts w:eastAsia="Times New Roman" w:cs="Arial"/>
          <w:color w:val="000000"/>
          <w:szCs w:val="20"/>
          <w:lang w:val="en-US"/>
        </w:rPr>
        <w:t xml:space="preserve">mg </w:t>
      </w:r>
      <w:r w:rsidRPr="0054101C">
        <w:rPr>
          <w:rFonts w:eastAsia="Times New Roman" w:cs="Arial"/>
          <w:color w:val="000000"/>
          <w:szCs w:val="20"/>
          <w:lang w:eastAsia="bg-BG"/>
        </w:rPr>
        <w:t xml:space="preserve">спрямо анастрозол е 0,95 (95% </w:t>
      </w:r>
      <w:r w:rsidRPr="0054101C">
        <w:rPr>
          <w:rFonts w:eastAsia="Times New Roman" w:cs="Arial"/>
          <w:color w:val="000000"/>
          <w:szCs w:val="20"/>
          <w:lang w:val="en-US"/>
        </w:rPr>
        <w:t xml:space="preserve">CI </w:t>
      </w:r>
      <w:r w:rsidRPr="0054101C">
        <w:rPr>
          <w:rFonts w:eastAsia="Times New Roman" w:cs="Arial"/>
          <w:color w:val="000000"/>
          <w:szCs w:val="20"/>
          <w:lang w:eastAsia="bg-BG"/>
        </w:rPr>
        <w:t xml:space="preserve">0,82 до 1,10). При фулвестрант 250 </w:t>
      </w:r>
      <w:r w:rsidRPr="0054101C">
        <w:rPr>
          <w:rFonts w:eastAsia="Times New Roman" w:cs="Arial"/>
          <w:color w:val="000000"/>
          <w:szCs w:val="20"/>
          <w:lang w:val="en-US"/>
        </w:rPr>
        <w:t xml:space="preserve">mg </w:t>
      </w:r>
      <w:r w:rsidRPr="0054101C">
        <w:rPr>
          <w:rFonts w:eastAsia="Times New Roman" w:cs="Arial"/>
          <w:color w:val="000000"/>
          <w:szCs w:val="20"/>
          <w:lang w:eastAsia="bg-BG"/>
        </w:rPr>
        <w:t xml:space="preserve">обективното повлияване е 19,2%, в сравнение с 16,5% при анастрозол. Медианата на времето на преживяване е 27,4 месеца за лекуваните с фулвестрант пациенти и 27,6 месеца за лекуваните с анастрозол пациенти. Коефициентът на риск за фулвестрант 250 </w:t>
      </w:r>
      <w:r w:rsidRPr="0054101C">
        <w:rPr>
          <w:rFonts w:eastAsia="Times New Roman" w:cs="Arial"/>
          <w:color w:val="000000"/>
          <w:szCs w:val="20"/>
          <w:lang w:val="en-US"/>
        </w:rPr>
        <w:t xml:space="preserve">mg, </w:t>
      </w:r>
      <w:r w:rsidRPr="0054101C">
        <w:rPr>
          <w:rFonts w:eastAsia="Times New Roman" w:cs="Arial"/>
          <w:color w:val="000000"/>
          <w:szCs w:val="20"/>
          <w:lang w:eastAsia="bg-BG"/>
        </w:rPr>
        <w:t xml:space="preserve">спрямо анастрозол, по показателя време на преживяване е 1,01 (95 % </w:t>
      </w:r>
      <w:r w:rsidRPr="0054101C">
        <w:rPr>
          <w:rFonts w:eastAsia="Times New Roman" w:cs="Arial"/>
          <w:color w:val="000000"/>
          <w:szCs w:val="20"/>
          <w:lang w:val="en-US"/>
        </w:rPr>
        <w:t xml:space="preserve">CI </w:t>
      </w:r>
      <w:r w:rsidRPr="0054101C">
        <w:rPr>
          <w:rFonts w:eastAsia="Times New Roman" w:cs="Arial"/>
          <w:color w:val="000000"/>
          <w:szCs w:val="20"/>
          <w:lang w:eastAsia="bg-BG"/>
        </w:rPr>
        <w:t>0,86 до 1,19).</w:t>
      </w:r>
    </w:p>
    <w:p w14:paraId="591C8B9A" w14:textId="77777777" w:rsidR="0054101C" w:rsidRPr="004E5B9A" w:rsidRDefault="0054101C" w:rsidP="0054101C">
      <w:pPr>
        <w:spacing w:line="240" w:lineRule="auto"/>
        <w:rPr>
          <w:rFonts w:eastAsia="Times New Roman" w:cs="Arial"/>
          <w:i/>
          <w:iCs/>
          <w:color w:val="000000"/>
          <w:szCs w:val="20"/>
          <w:lang w:eastAsia="bg-BG"/>
        </w:rPr>
      </w:pPr>
    </w:p>
    <w:p w14:paraId="26802D68" w14:textId="3B0565BB" w:rsidR="0054101C" w:rsidRPr="0054101C" w:rsidRDefault="0054101C" w:rsidP="0054101C">
      <w:pPr>
        <w:spacing w:line="240" w:lineRule="auto"/>
        <w:rPr>
          <w:rFonts w:eastAsia="Times New Roman" w:cs="Arial"/>
          <w:sz w:val="28"/>
          <w:szCs w:val="24"/>
          <w:lang w:eastAsia="bg-BG"/>
        </w:rPr>
      </w:pPr>
      <w:r w:rsidRPr="0054101C">
        <w:rPr>
          <w:rFonts w:eastAsia="Times New Roman" w:cs="Arial"/>
          <w:i/>
          <w:iCs/>
          <w:color w:val="000000"/>
          <w:szCs w:val="20"/>
          <w:lang w:eastAsia="bg-BG"/>
        </w:rPr>
        <w:t>Комбинирана терапия с палбоциклиб</w:t>
      </w:r>
    </w:p>
    <w:p w14:paraId="1E5AC699" w14:textId="77777777" w:rsidR="0054101C" w:rsidRPr="0054101C" w:rsidRDefault="0054101C" w:rsidP="0054101C">
      <w:pPr>
        <w:spacing w:line="240" w:lineRule="auto"/>
        <w:rPr>
          <w:rFonts w:eastAsia="Times New Roman" w:cs="Arial"/>
          <w:sz w:val="28"/>
          <w:szCs w:val="24"/>
          <w:lang w:eastAsia="bg-BG"/>
        </w:rPr>
      </w:pPr>
      <w:r w:rsidRPr="0054101C">
        <w:rPr>
          <w:rFonts w:eastAsia="Times New Roman" w:cs="Arial"/>
          <w:color w:val="000000"/>
          <w:szCs w:val="20"/>
          <w:lang w:eastAsia="bg-BG"/>
        </w:rPr>
        <w:t xml:space="preserve">Едно фаза 3, международно, рандомизирано, двойносляпо, паралелно-групово, многоцентрово проучване на фулвестрант 500 </w:t>
      </w:r>
      <w:r w:rsidRPr="0054101C">
        <w:rPr>
          <w:rFonts w:eastAsia="Times New Roman" w:cs="Arial"/>
          <w:color w:val="000000"/>
          <w:szCs w:val="20"/>
          <w:lang w:val="en-US"/>
        </w:rPr>
        <w:t xml:space="preserve">mg </w:t>
      </w:r>
      <w:r w:rsidRPr="0054101C">
        <w:rPr>
          <w:rFonts w:eastAsia="Times New Roman" w:cs="Arial"/>
          <w:color w:val="000000"/>
          <w:szCs w:val="20"/>
          <w:lang w:eastAsia="bg-BG"/>
        </w:rPr>
        <w:t xml:space="preserve">плюс палбоциклиб 125 </w:t>
      </w:r>
      <w:r w:rsidRPr="0054101C">
        <w:rPr>
          <w:rFonts w:eastAsia="Times New Roman" w:cs="Arial"/>
          <w:color w:val="000000"/>
          <w:szCs w:val="20"/>
          <w:lang w:val="en-US"/>
        </w:rPr>
        <w:t xml:space="preserve">mg, </w:t>
      </w:r>
      <w:r w:rsidRPr="0054101C">
        <w:rPr>
          <w:rFonts w:eastAsia="Times New Roman" w:cs="Arial"/>
          <w:color w:val="000000"/>
          <w:szCs w:val="20"/>
          <w:lang w:eastAsia="bg-BG"/>
        </w:rPr>
        <w:t xml:space="preserve">спрямо фулвестрант 500 </w:t>
      </w:r>
      <w:r w:rsidRPr="0054101C">
        <w:rPr>
          <w:rFonts w:eastAsia="Times New Roman" w:cs="Arial"/>
          <w:color w:val="000000"/>
          <w:szCs w:val="20"/>
          <w:lang w:val="en-US"/>
        </w:rPr>
        <w:t xml:space="preserve">mg </w:t>
      </w:r>
      <w:r w:rsidRPr="0054101C">
        <w:rPr>
          <w:rFonts w:eastAsia="Times New Roman" w:cs="Arial"/>
          <w:color w:val="000000"/>
          <w:szCs w:val="20"/>
          <w:lang w:eastAsia="bg-BG"/>
        </w:rPr>
        <w:t xml:space="preserve">плюс плацебо, е проведено при жени с </w:t>
      </w:r>
      <w:r w:rsidRPr="0054101C">
        <w:rPr>
          <w:rFonts w:eastAsia="Times New Roman" w:cs="Arial"/>
          <w:color w:val="000000"/>
          <w:szCs w:val="20"/>
          <w:lang w:val="en-US"/>
        </w:rPr>
        <w:t>HR</w:t>
      </w:r>
      <w:r w:rsidRPr="0054101C">
        <w:rPr>
          <w:rFonts w:eastAsia="Times New Roman" w:cs="Arial"/>
          <w:color w:val="000000"/>
          <w:szCs w:val="20"/>
          <w:lang w:eastAsia="bg-BG"/>
        </w:rPr>
        <w:t>-положителен, НЕ</w:t>
      </w:r>
      <w:r w:rsidRPr="0054101C">
        <w:rPr>
          <w:rFonts w:eastAsia="Times New Roman" w:cs="Arial"/>
          <w:color w:val="000000"/>
          <w:szCs w:val="20"/>
          <w:lang w:val="en-US"/>
        </w:rPr>
        <w:t>R</w:t>
      </w:r>
      <w:r w:rsidRPr="0054101C">
        <w:rPr>
          <w:rFonts w:eastAsia="Times New Roman" w:cs="Arial"/>
          <w:color w:val="000000"/>
          <w:szCs w:val="20"/>
          <w:lang w:eastAsia="bg-BG"/>
        </w:rPr>
        <w:t>2-отрицателен локално авансирал рак на млечната жлеза, неподлежащ на резекция или лъчетерапия с лечебна цел или метастатичен рак на млечната жлеза, независимо от техния менопаузален статус, чието заболяване е прогресирало след предходна ендокринна терапия при (нео)адювантна терапия или метастатично заболяване.</w:t>
      </w:r>
    </w:p>
    <w:p w14:paraId="0CE3DBE2" w14:textId="77777777" w:rsidR="0054101C" w:rsidRPr="004E5B9A" w:rsidRDefault="0054101C" w:rsidP="0054101C">
      <w:pPr>
        <w:spacing w:line="240" w:lineRule="auto"/>
        <w:rPr>
          <w:rFonts w:eastAsia="Times New Roman" w:cs="Arial"/>
          <w:color w:val="000000"/>
          <w:szCs w:val="20"/>
          <w:lang w:eastAsia="bg-BG"/>
        </w:rPr>
      </w:pPr>
    </w:p>
    <w:p w14:paraId="1B81B0EE" w14:textId="37247687" w:rsidR="0054101C" w:rsidRPr="0054101C" w:rsidRDefault="0054101C" w:rsidP="0054101C">
      <w:pPr>
        <w:spacing w:line="240" w:lineRule="auto"/>
        <w:rPr>
          <w:rFonts w:eastAsia="Times New Roman" w:cs="Arial"/>
          <w:sz w:val="28"/>
          <w:szCs w:val="24"/>
          <w:lang w:eastAsia="bg-BG"/>
        </w:rPr>
      </w:pPr>
      <w:r w:rsidRPr="0054101C">
        <w:rPr>
          <w:rFonts w:eastAsia="Times New Roman" w:cs="Arial"/>
          <w:color w:val="000000"/>
          <w:szCs w:val="20"/>
          <w:lang w:eastAsia="bg-BG"/>
        </w:rPr>
        <w:t xml:space="preserve">Общо 521 пре-/пери- и постменопаузални жени, при които е настъпила прогресия по време на или в рамките на 12 месеца от завършването на адювантната ендокринна терапия, или по време на или в рамките на 1 месец от предходна ендокринна терапия за авансирало заболяване, са рандомизирани в съотношение 2:1 на фулвестрант плюс палбоциклиб, или фулвестрант плюс плацебо, и са стратифицирани по документирана чувствителност към предходна хормонална терапия, менопаузален статус при включване в проучването (пре-/пери- спрямо постменопаузални) и наличие на висцерални метастази. Пре-/перименопаузалните жени получават </w:t>
      </w:r>
      <w:r w:rsidRPr="0054101C">
        <w:rPr>
          <w:rFonts w:eastAsia="Times New Roman" w:cs="Arial"/>
          <w:color w:val="000000"/>
          <w:szCs w:val="20"/>
          <w:lang w:val="en-US"/>
        </w:rPr>
        <w:t xml:space="preserve">LHRH </w:t>
      </w:r>
      <w:r w:rsidRPr="0054101C">
        <w:rPr>
          <w:rFonts w:eastAsia="Times New Roman" w:cs="Arial"/>
          <w:color w:val="000000"/>
          <w:szCs w:val="20"/>
          <w:lang w:eastAsia="bg-BG"/>
        </w:rPr>
        <w:t>агониста гозерелин. Пациенти с авансирало/метастатично заболяване, симптоматични, с висцерално разпространение, изложени на риск от животозастрашаващи усложнения в краткосрочен план (включително пациенти с масивни неконтролирани изливи [плеврален, перикарден, перитонеален], белодробен лимфангит и над 50% чернодробно засягане), не са отговаряли на условията за включване в проучването.</w:t>
      </w:r>
    </w:p>
    <w:p w14:paraId="214C1DE3" w14:textId="77777777" w:rsidR="0054101C" w:rsidRPr="004E5B9A" w:rsidRDefault="0054101C" w:rsidP="0054101C">
      <w:pPr>
        <w:spacing w:line="240" w:lineRule="auto"/>
        <w:rPr>
          <w:rFonts w:eastAsia="Times New Roman" w:cs="Arial"/>
          <w:color w:val="000000"/>
          <w:szCs w:val="20"/>
          <w:lang w:eastAsia="bg-BG"/>
        </w:rPr>
      </w:pPr>
    </w:p>
    <w:p w14:paraId="596D49AA" w14:textId="1C77217B" w:rsidR="0054101C" w:rsidRPr="0054101C" w:rsidRDefault="0054101C" w:rsidP="0054101C">
      <w:pPr>
        <w:spacing w:line="240" w:lineRule="auto"/>
        <w:rPr>
          <w:rFonts w:eastAsia="Times New Roman" w:cs="Arial"/>
          <w:sz w:val="28"/>
          <w:szCs w:val="24"/>
          <w:lang w:eastAsia="bg-BG"/>
        </w:rPr>
      </w:pPr>
      <w:r w:rsidRPr="0054101C">
        <w:rPr>
          <w:rFonts w:eastAsia="Times New Roman" w:cs="Arial"/>
          <w:color w:val="000000"/>
          <w:szCs w:val="20"/>
          <w:lang w:eastAsia="bg-BG"/>
        </w:rPr>
        <w:t>Пациентите продължават да получават определеното лечение до обективна прогресия на заболяването, влошаване на симптомите, неприемлива токсичност, смърт или оттегляне на съгласието, което възникне първо. Не се допуска кръстосване между терапевтичните рамена.</w:t>
      </w:r>
    </w:p>
    <w:p w14:paraId="678440EC" w14:textId="77777777" w:rsidR="0054101C" w:rsidRPr="004E5B9A" w:rsidRDefault="0054101C" w:rsidP="0054101C">
      <w:pPr>
        <w:spacing w:line="240" w:lineRule="auto"/>
        <w:rPr>
          <w:rFonts w:eastAsia="Times New Roman" w:cs="Arial"/>
          <w:color w:val="000000"/>
          <w:szCs w:val="20"/>
          <w:lang w:eastAsia="bg-BG"/>
        </w:rPr>
      </w:pPr>
    </w:p>
    <w:p w14:paraId="50AFE93B" w14:textId="00235BC5" w:rsidR="0054101C" w:rsidRPr="0054101C" w:rsidRDefault="0054101C" w:rsidP="0054101C">
      <w:pPr>
        <w:spacing w:line="240" w:lineRule="auto"/>
        <w:rPr>
          <w:rFonts w:eastAsia="Times New Roman" w:cs="Arial"/>
          <w:sz w:val="28"/>
          <w:szCs w:val="24"/>
          <w:lang w:eastAsia="bg-BG"/>
        </w:rPr>
      </w:pPr>
      <w:r w:rsidRPr="0054101C">
        <w:rPr>
          <w:rFonts w:eastAsia="Times New Roman" w:cs="Arial"/>
          <w:color w:val="000000"/>
          <w:szCs w:val="20"/>
          <w:lang w:eastAsia="bg-BG"/>
        </w:rPr>
        <w:lastRenderedPageBreak/>
        <w:t xml:space="preserve">Изходните демографски и прогностични характеристики на пациентите в рамото на фулвестрант плюс палбоциклиб и рамото на фулвестрант плюс плацебо са сходни. Медианата на възрастта на пациентите, включени в това проучване, е 57 години (диапазон 29-88). Във всяко терапевтично рамо повечето от пациентите са от европеидната раса, имат документирана чувствителност към предходна хормонална терапия и са постменопаузални. Приблизително 20% от пациентите са пре- /перименопаузални. Всички пациенти са получавали предходна системна терапия и повечето пациенти във всяко терапевтично рамо са получавали предходен химиотерапевтичен режим за своята основна диагноза. Повече от половината (62%) имат функционален статус 0 по скалата на Източната кооперативна група по онкология </w:t>
      </w:r>
      <w:r w:rsidRPr="0054101C">
        <w:rPr>
          <w:rFonts w:eastAsia="Times New Roman" w:cs="Arial"/>
          <w:color w:val="000000"/>
          <w:szCs w:val="20"/>
          <w:lang w:val="en-US"/>
        </w:rPr>
        <w:t xml:space="preserve">(ECOG), </w:t>
      </w:r>
      <w:r w:rsidRPr="0054101C">
        <w:rPr>
          <w:rFonts w:eastAsia="Times New Roman" w:cs="Arial"/>
          <w:color w:val="000000"/>
          <w:szCs w:val="20"/>
          <w:lang w:eastAsia="bg-BG"/>
        </w:rPr>
        <w:t>60% имат висцерални метастази, а 60% са получавали повече от 1 предходен хормонален режим за своята основна диагноза.</w:t>
      </w:r>
    </w:p>
    <w:p w14:paraId="50F4FF48" w14:textId="77777777" w:rsidR="0054101C" w:rsidRPr="004E5B9A" w:rsidRDefault="0054101C" w:rsidP="0054101C">
      <w:pPr>
        <w:rPr>
          <w:rFonts w:eastAsia="Times New Roman" w:cs="Arial"/>
          <w:color w:val="000000"/>
          <w:szCs w:val="20"/>
          <w:lang w:eastAsia="bg-BG"/>
        </w:rPr>
      </w:pPr>
    </w:p>
    <w:p w14:paraId="090B428B" w14:textId="77777777" w:rsidR="0054101C" w:rsidRPr="004E5B9A" w:rsidRDefault="0054101C" w:rsidP="0054101C">
      <w:pPr>
        <w:rPr>
          <w:rFonts w:eastAsia="Times New Roman" w:cs="Arial"/>
          <w:sz w:val="28"/>
          <w:szCs w:val="24"/>
          <w:lang w:eastAsia="bg-BG"/>
        </w:rPr>
      </w:pPr>
      <w:r w:rsidRPr="004E5B9A">
        <w:rPr>
          <w:rFonts w:eastAsia="Times New Roman" w:cs="Arial"/>
          <w:color w:val="000000"/>
          <w:szCs w:val="20"/>
          <w:lang w:eastAsia="bg-BG"/>
        </w:rPr>
        <w:t xml:space="preserve">Първичната крайна точка на проучването е оценената от изследователя ПБП, оценена съгласно </w:t>
      </w:r>
      <w:r w:rsidRPr="004E5B9A">
        <w:rPr>
          <w:rFonts w:eastAsia="Times New Roman" w:cs="Arial"/>
          <w:color w:val="000000"/>
          <w:szCs w:val="20"/>
          <w:lang w:val="en-US"/>
        </w:rPr>
        <w:t xml:space="preserve">RECIST </w:t>
      </w:r>
      <w:r w:rsidRPr="004E5B9A">
        <w:rPr>
          <w:rFonts w:eastAsia="Times New Roman" w:cs="Arial"/>
          <w:color w:val="000000"/>
          <w:szCs w:val="20"/>
          <w:lang w:eastAsia="bg-BG"/>
        </w:rPr>
        <w:t>1.1. Поддържащите анализи на ПБП са базирани на независима централна оценка на</w:t>
      </w:r>
      <w:r w:rsidRPr="004E5B9A">
        <w:rPr>
          <w:rFonts w:eastAsia="Times New Roman" w:cs="Arial"/>
          <w:color w:val="000000"/>
          <w:szCs w:val="20"/>
          <w:lang w:val="en-US" w:eastAsia="bg-BG"/>
        </w:rPr>
        <w:t xml:space="preserve"> </w:t>
      </w:r>
      <w:r w:rsidRPr="004E5B9A">
        <w:rPr>
          <w:rFonts w:eastAsia="Times New Roman" w:cs="Arial"/>
          <w:color w:val="000000"/>
          <w:szCs w:val="20"/>
          <w:lang w:eastAsia="bg-BG"/>
        </w:rPr>
        <w:t xml:space="preserve">рентгеново изследване </w:t>
      </w:r>
      <w:r w:rsidRPr="004E5B9A">
        <w:rPr>
          <w:rFonts w:eastAsia="Times New Roman" w:cs="Arial"/>
          <w:color w:val="000000"/>
          <w:szCs w:val="20"/>
          <w:lang w:val="en-US"/>
        </w:rPr>
        <w:t xml:space="preserve">(Independent Central Radiology Review). </w:t>
      </w:r>
      <w:r w:rsidRPr="004E5B9A">
        <w:rPr>
          <w:rFonts w:eastAsia="Times New Roman" w:cs="Arial"/>
          <w:color w:val="000000"/>
          <w:szCs w:val="20"/>
          <w:lang w:eastAsia="bg-BG"/>
        </w:rPr>
        <w:t>Вторичните крайни точки включват обективен отговор, СКП, обща преживяемост (ОП), безопасност и време до влошаване при крайна точка болка.</w:t>
      </w:r>
    </w:p>
    <w:p w14:paraId="24F5D1EA" w14:textId="77777777" w:rsidR="0054101C" w:rsidRPr="004E5B9A" w:rsidRDefault="0054101C" w:rsidP="0054101C">
      <w:pPr>
        <w:spacing w:line="240" w:lineRule="auto"/>
        <w:rPr>
          <w:rFonts w:eastAsia="Times New Roman" w:cs="Arial"/>
          <w:color w:val="000000"/>
          <w:szCs w:val="20"/>
          <w:lang w:eastAsia="bg-BG"/>
        </w:rPr>
      </w:pPr>
    </w:p>
    <w:p w14:paraId="10048306" w14:textId="7A302B30" w:rsidR="0054101C" w:rsidRPr="0054101C" w:rsidRDefault="0054101C" w:rsidP="0054101C">
      <w:pPr>
        <w:spacing w:line="240" w:lineRule="auto"/>
        <w:rPr>
          <w:rFonts w:eastAsia="Times New Roman" w:cs="Arial"/>
          <w:sz w:val="28"/>
          <w:szCs w:val="24"/>
          <w:lang w:eastAsia="bg-BG"/>
        </w:rPr>
      </w:pPr>
      <w:r w:rsidRPr="0054101C">
        <w:rPr>
          <w:rFonts w:eastAsia="Times New Roman" w:cs="Arial"/>
          <w:color w:val="000000"/>
          <w:szCs w:val="20"/>
          <w:lang w:eastAsia="bg-BG"/>
        </w:rPr>
        <w:t xml:space="preserve">Проучването постига първичната крайна точка за удължаване на оценена от изследователя ПБП при междинния анализ, проведен при 82% от планираните ПБП събития; резултатите преминават предварително определената граница на ефикасност на </w:t>
      </w:r>
      <w:proofErr w:type="spellStart"/>
      <w:r w:rsidRPr="0054101C">
        <w:rPr>
          <w:rFonts w:eastAsia="Times New Roman" w:cs="Arial"/>
          <w:color w:val="000000"/>
          <w:szCs w:val="20"/>
          <w:lang w:val="en-US"/>
        </w:rPr>
        <w:t>Haybittle-Peto</w:t>
      </w:r>
      <w:proofErr w:type="spellEnd"/>
      <w:r w:rsidRPr="0054101C">
        <w:rPr>
          <w:rFonts w:eastAsia="Times New Roman" w:cs="Arial"/>
          <w:color w:val="000000"/>
          <w:szCs w:val="20"/>
          <w:lang w:val="en-US"/>
        </w:rPr>
        <w:t xml:space="preserve"> </w:t>
      </w:r>
      <w:r w:rsidRPr="0054101C">
        <w:rPr>
          <w:rFonts w:eastAsia="Times New Roman" w:cs="Arial"/>
          <w:color w:val="000000"/>
          <w:szCs w:val="20"/>
          <w:lang w:eastAsia="bg-BG"/>
        </w:rPr>
        <w:t>(α=0,00135), демонстрирайки статистически значимо удължаване на ПБП и клинично значим терапевтичен ефект. По-актуални данни за ефикасност са представени в таблица 5.</w:t>
      </w:r>
    </w:p>
    <w:p w14:paraId="06C622C2" w14:textId="77777777" w:rsidR="0054101C" w:rsidRPr="004E5B9A" w:rsidRDefault="0054101C" w:rsidP="0054101C">
      <w:pPr>
        <w:spacing w:line="240" w:lineRule="auto"/>
        <w:rPr>
          <w:rFonts w:eastAsia="Times New Roman" w:cs="Arial"/>
          <w:color w:val="000000"/>
          <w:szCs w:val="20"/>
          <w:lang w:eastAsia="bg-BG"/>
        </w:rPr>
      </w:pPr>
    </w:p>
    <w:p w14:paraId="18233D52" w14:textId="135D8BBA" w:rsidR="0054101C" w:rsidRPr="0054101C" w:rsidRDefault="0054101C" w:rsidP="0054101C">
      <w:pPr>
        <w:spacing w:line="240" w:lineRule="auto"/>
        <w:rPr>
          <w:rFonts w:eastAsia="Times New Roman" w:cs="Arial"/>
          <w:sz w:val="28"/>
          <w:szCs w:val="24"/>
          <w:lang w:eastAsia="bg-BG"/>
        </w:rPr>
      </w:pPr>
      <w:r w:rsidRPr="0054101C">
        <w:rPr>
          <w:rFonts w:eastAsia="Times New Roman" w:cs="Arial"/>
          <w:color w:val="000000"/>
          <w:szCs w:val="20"/>
          <w:lang w:eastAsia="bg-BG"/>
        </w:rPr>
        <w:t xml:space="preserve">След медиана на времето за проследяване 45 месеца окончателният анализ на ОП е извършен въз основа на 310 събития (60% от рандомизираните пациенти). Наблюдава се 6,9-месечна разлика в медианата на ОП в рамото на палбоциклиб плюс фулвестрант сравнено с плацебо плюс фулвестрант; този резултат не е статистически значим при предварително определеното ниво на значимост от 0,0235 (1-странно). В рамото на плацебо плюс фулвестрант 15,5% от рандомизираните пациенти получават палбоциклиб и други </w:t>
      </w:r>
      <w:r w:rsidRPr="0054101C">
        <w:rPr>
          <w:rFonts w:eastAsia="Times New Roman" w:cs="Arial"/>
          <w:color w:val="000000"/>
          <w:szCs w:val="20"/>
          <w:lang w:val="en-US"/>
        </w:rPr>
        <w:t xml:space="preserve">CDK </w:t>
      </w:r>
      <w:r w:rsidRPr="0054101C">
        <w:rPr>
          <w:rFonts w:eastAsia="Times New Roman" w:cs="Arial"/>
          <w:color w:val="000000"/>
          <w:szCs w:val="20"/>
          <w:lang w:eastAsia="bg-BG"/>
        </w:rPr>
        <w:t>инхибитори (циклин-зависими киназни инхибитори) като последващо лечение след прогресия.</w:t>
      </w:r>
    </w:p>
    <w:p w14:paraId="1AF438D9" w14:textId="77777777" w:rsidR="0054101C" w:rsidRPr="0054101C" w:rsidRDefault="0054101C" w:rsidP="0054101C">
      <w:pPr>
        <w:spacing w:line="240" w:lineRule="auto"/>
        <w:rPr>
          <w:rFonts w:eastAsia="Times New Roman" w:cs="Arial"/>
          <w:sz w:val="28"/>
          <w:szCs w:val="24"/>
          <w:lang w:eastAsia="bg-BG"/>
        </w:rPr>
      </w:pPr>
      <w:r w:rsidRPr="0054101C">
        <w:rPr>
          <w:rFonts w:eastAsia="Times New Roman" w:cs="Arial"/>
          <w:color w:val="000000"/>
          <w:szCs w:val="20"/>
          <w:lang w:eastAsia="bg-BG"/>
        </w:rPr>
        <w:t xml:space="preserve">Резултатите от оценените от изследователя данни за ПБП и крайната ОП от проучването </w:t>
      </w:r>
      <w:r w:rsidRPr="0054101C">
        <w:rPr>
          <w:rFonts w:eastAsia="Times New Roman" w:cs="Arial"/>
          <w:color w:val="000000"/>
          <w:szCs w:val="20"/>
          <w:lang w:val="en-US"/>
        </w:rPr>
        <w:t xml:space="preserve">PALOMA3 </w:t>
      </w:r>
      <w:r w:rsidRPr="0054101C">
        <w:rPr>
          <w:rFonts w:eastAsia="Times New Roman" w:cs="Arial"/>
          <w:color w:val="000000"/>
          <w:szCs w:val="20"/>
          <w:lang w:eastAsia="bg-BG"/>
        </w:rPr>
        <w:t xml:space="preserve">са представени в Таблица 5. Съответните криви на </w:t>
      </w:r>
      <w:r w:rsidRPr="0054101C">
        <w:rPr>
          <w:rFonts w:eastAsia="Times New Roman" w:cs="Arial"/>
          <w:color w:val="000000"/>
          <w:szCs w:val="20"/>
          <w:lang w:val="en-US"/>
        </w:rPr>
        <w:t xml:space="preserve">Kaplan-Meier </w:t>
      </w:r>
      <w:r w:rsidRPr="0054101C">
        <w:rPr>
          <w:rFonts w:eastAsia="Times New Roman" w:cs="Arial"/>
          <w:color w:val="000000"/>
          <w:szCs w:val="20"/>
          <w:lang w:eastAsia="bg-BG"/>
        </w:rPr>
        <w:t>са показани на Фигури 2 и 3.</w:t>
      </w:r>
    </w:p>
    <w:p w14:paraId="06D0CD38" w14:textId="77777777" w:rsidR="0054101C" w:rsidRPr="004E5B9A" w:rsidRDefault="0054101C" w:rsidP="0054101C">
      <w:pPr>
        <w:rPr>
          <w:rFonts w:eastAsia="Times New Roman" w:cs="Arial"/>
          <w:b/>
          <w:bCs/>
          <w:color w:val="000000"/>
          <w:szCs w:val="20"/>
          <w:lang w:eastAsia="bg-BG"/>
        </w:rPr>
      </w:pPr>
    </w:p>
    <w:p w14:paraId="06260FA2" w14:textId="0582D30E" w:rsidR="0054101C" w:rsidRPr="004E5B9A" w:rsidRDefault="0054101C" w:rsidP="0054101C">
      <w:pPr>
        <w:rPr>
          <w:rFonts w:eastAsia="Times New Roman" w:cs="Arial"/>
          <w:b/>
          <w:bCs/>
          <w:color w:val="000000"/>
          <w:szCs w:val="20"/>
          <w:lang w:eastAsia="bg-BG"/>
        </w:rPr>
      </w:pPr>
      <w:r w:rsidRPr="004E5B9A">
        <w:rPr>
          <w:rFonts w:eastAsia="Times New Roman" w:cs="Arial"/>
          <w:b/>
          <w:bCs/>
          <w:color w:val="000000"/>
          <w:szCs w:val="20"/>
          <w:lang w:eastAsia="bg-BG"/>
        </w:rPr>
        <w:t xml:space="preserve">Таблица 5 Резултати за ефикасност - проучване </w:t>
      </w:r>
      <w:r w:rsidRPr="004E5B9A">
        <w:rPr>
          <w:rFonts w:eastAsia="Times New Roman" w:cs="Arial"/>
          <w:b/>
          <w:bCs/>
          <w:color w:val="000000"/>
          <w:szCs w:val="20"/>
          <w:lang w:val="en-US"/>
        </w:rPr>
        <w:t xml:space="preserve">PALOMA3 </w:t>
      </w:r>
      <w:r w:rsidRPr="004E5B9A">
        <w:rPr>
          <w:rFonts w:eastAsia="Times New Roman" w:cs="Arial"/>
          <w:b/>
          <w:bCs/>
          <w:color w:val="000000"/>
          <w:szCs w:val="20"/>
          <w:lang w:eastAsia="bg-BG"/>
        </w:rPr>
        <w:t xml:space="preserve">(оценка на изследователя, </w:t>
      </w:r>
      <w:r w:rsidRPr="004E5B9A">
        <w:rPr>
          <w:rFonts w:eastAsia="Times New Roman" w:cs="Arial"/>
          <w:b/>
          <w:bCs/>
          <w:color w:val="000000"/>
          <w:szCs w:val="20"/>
          <w:lang w:val="en-US"/>
        </w:rPr>
        <w:t xml:space="preserve">intent- to-treat </w:t>
      </w:r>
      <w:r w:rsidRPr="004E5B9A">
        <w:rPr>
          <w:rFonts w:eastAsia="Times New Roman" w:cs="Arial"/>
          <w:b/>
          <w:bCs/>
          <w:color w:val="000000"/>
          <w:szCs w:val="20"/>
          <w:lang w:eastAsia="bg-BG"/>
        </w:rPr>
        <w:t>популация)</w:t>
      </w:r>
    </w:p>
    <w:p w14:paraId="06E779C9" w14:textId="7937C23F" w:rsidR="0054101C" w:rsidRDefault="0054101C" w:rsidP="0054101C">
      <w:pPr>
        <w:rPr>
          <w:rFonts w:ascii="Times New Roman" w:eastAsia="Times New Roman" w:hAnsi="Times New Roman" w:cs="Times New Roman"/>
          <w:b/>
          <w:bCs/>
          <w:color w:val="000000"/>
          <w:sz w:val="20"/>
          <w:szCs w:val="20"/>
          <w:lang w:eastAsia="bg-BG"/>
        </w:rPr>
      </w:pPr>
    </w:p>
    <w:tbl>
      <w:tblPr>
        <w:tblStyle w:val="TableGrid"/>
        <w:tblW w:w="0" w:type="auto"/>
        <w:tblLook w:val="04A0" w:firstRow="1" w:lastRow="0" w:firstColumn="1" w:lastColumn="0" w:noHBand="0" w:noVBand="1"/>
      </w:tblPr>
      <w:tblGrid>
        <w:gridCol w:w="3116"/>
        <w:gridCol w:w="3117"/>
        <w:gridCol w:w="3117"/>
      </w:tblGrid>
      <w:tr w:rsidR="004E5B9A" w14:paraId="1598D05B" w14:textId="77777777" w:rsidTr="00401041">
        <w:tc>
          <w:tcPr>
            <w:tcW w:w="3116" w:type="dxa"/>
            <w:vMerge w:val="restart"/>
          </w:tcPr>
          <w:p w14:paraId="06230806" w14:textId="77777777" w:rsidR="004E5B9A" w:rsidRPr="004E5B9A" w:rsidRDefault="004E5B9A" w:rsidP="0054101C">
            <w:pPr>
              <w:rPr>
                <w:lang w:val="en-US"/>
              </w:rPr>
            </w:pPr>
          </w:p>
        </w:tc>
        <w:tc>
          <w:tcPr>
            <w:tcW w:w="6234" w:type="dxa"/>
            <w:gridSpan w:val="2"/>
          </w:tcPr>
          <w:p w14:paraId="18EB4A94" w14:textId="4021D784" w:rsidR="004E5B9A" w:rsidRPr="004E5B9A" w:rsidRDefault="004E5B9A" w:rsidP="0054101C">
            <w:pPr>
              <w:jc w:val="center"/>
              <w:rPr>
                <w:lang w:val="en-US"/>
              </w:rPr>
            </w:pPr>
            <w:r w:rsidRPr="004E5B9A">
              <w:rPr>
                <w:b/>
                <w:bCs/>
                <w:szCs w:val="20"/>
              </w:rPr>
              <w:t>Актуализиран анализ (дата на заключване на базата данни 23 октомври 2015 г.)</w:t>
            </w:r>
          </w:p>
        </w:tc>
      </w:tr>
      <w:tr w:rsidR="004E5B9A" w14:paraId="174CDFE4" w14:textId="77777777" w:rsidTr="0054101C">
        <w:tc>
          <w:tcPr>
            <w:tcW w:w="3116" w:type="dxa"/>
            <w:vMerge/>
          </w:tcPr>
          <w:p w14:paraId="227DFC91" w14:textId="77777777" w:rsidR="004E5B9A" w:rsidRPr="004E5B9A" w:rsidRDefault="004E5B9A" w:rsidP="0054101C">
            <w:pPr>
              <w:rPr>
                <w:lang w:val="en-US"/>
              </w:rPr>
            </w:pPr>
          </w:p>
        </w:tc>
        <w:tc>
          <w:tcPr>
            <w:tcW w:w="3117" w:type="dxa"/>
          </w:tcPr>
          <w:p w14:paraId="564F016B" w14:textId="4CD52CCC" w:rsidR="004E5B9A" w:rsidRPr="004E5B9A" w:rsidRDefault="004E5B9A" w:rsidP="004E5B9A">
            <w:pPr>
              <w:jc w:val="center"/>
              <w:rPr>
                <w:lang w:val="en-US"/>
              </w:rPr>
            </w:pPr>
            <w:r w:rsidRPr="004E5B9A">
              <w:rPr>
                <w:szCs w:val="20"/>
              </w:rPr>
              <w:t xml:space="preserve">Fulvestrant </w:t>
            </w:r>
            <w:r w:rsidRPr="004E5B9A">
              <w:rPr>
                <w:szCs w:val="20"/>
                <w:lang w:eastAsia="bg-BG"/>
              </w:rPr>
              <w:t xml:space="preserve">+ палбоциклиб </w:t>
            </w:r>
            <w:r w:rsidRPr="004E5B9A">
              <w:rPr>
                <w:szCs w:val="20"/>
              </w:rPr>
              <w:t>(N=347)</w:t>
            </w:r>
          </w:p>
        </w:tc>
        <w:tc>
          <w:tcPr>
            <w:tcW w:w="3117" w:type="dxa"/>
          </w:tcPr>
          <w:p w14:paraId="1DDCAFBC" w14:textId="364E7CD0" w:rsidR="004E5B9A" w:rsidRPr="004E5B9A" w:rsidRDefault="004E5B9A" w:rsidP="004E5B9A">
            <w:pPr>
              <w:jc w:val="center"/>
              <w:rPr>
                <w:szCs w:val="20"/>
                <w:lang w:eastAsia="bg-BG"/>
              </w:rPr>
            </w:pPr>
            <w:r w:rsidRPr="004E5B9A">
              <w:rPr>
                <w:szCs w:val="20"/>
              </w:rPr>
              <w:t xml:space="preserve">Fulvestrant </w:t>
            </w:r>
            <w:r w:rsidRPr="004E5B9A">
              <w:rPr>
                <w:szCs w:val="20"/>
                <w:lang w:eastAsia="bg-BG"/>
              </w:rPr>
              <w:t>+ плацебо</w:t>
            </w:r>
          </w:p>
          <w:p w14:paraId="2FF64F4C" w14:textId="66C13A0B" w:rsidR="004E5B9A" w:rsidRPr="004E5B9A" w:rsidRDefault="004E5B9A" w:rsidP="004E5B9A">
            <w:pPr>
              <w:jc w:val="center"/>
              <w:rPr>
                <w:lang w:val="en-US"/>
              </w:rPr>
            </w:pPr>
            <w:r w:rsidRPr="004E5B9A">
              <w:rPr>
                <w:szCs w:val="20"/>
              </w:rPr>
              <w:t>(N=174)</w:t>
            </w:r>
          </w:p>
        </w:tc>
      </w:tr>
      <w:tr w:rsidR="004E5B9A" w14:paraId="71E8F509" w14:textId="77777777" w:rsidTr="009F3014">
        <w:tc>
          <w:tcPr>
            <w:tcW w:w="9350" w:type="dxa"/>
            <w:gridSpan w:val="3"/>
          </w:tcPr>
          <w:p w14:paraId="206F8909" w14:textId="1FB5B75E" w:rsidR="004E5B9A" w:rsidRPr="004E5B9A" w:rsidRDefault="004E5B9A" w:rsidP="0054101C">
            <w:pPr>
              <w:rPr>
                <w:lang w:val="en-US"/>
              </w:rPr>
            </w:pPr>
            <w:r w:rsidRPr="004E5B9A">
              <w:rPr>
                <w:b/>
                <w:bCs/>
                <w:szCs w:val="20"/>
              </w:rPr>
              <w:t>Преживяемост без прогресия</w:t>
            </w:r>
          </w:p>
        </w:tc>
      </w:tr>
      <w:tr w:rsidR="0054101C" w14:paraId="6B5E0D51" w14:textId="77777777" w:rsidTr="0054101C">
        <w:tc>
          <w:tcPr>
            <w:tcW w:w="3116" w:type="dxa"/>
          </w:tcPr>
          <w:p w14:paraId="110D4126" w14:textId="4D7B5221" w:rsidR="0054101C" w:rsidRPr="004E5B9A" w:rsidRDefault="0054101C" w:rsidP="0054101C">
            <w:pPr>
              <w:rPr>
                <w:lang w:val="en-US"/>
              </w:rPr>
            </w:pPr>
            <w:r w:rsidRPr="004E5B9A">
              <w:rPr>
                <w:szCs w:val="20"/>
              </w:rPr>
              <w:t xml:space="preserve">Медиана [месеци (95% </w:t>
            </w:r>
            <w:r w:rsidRPr="004E5B9A">
              <w:rPr>
                <w:szCs w:val="20"/>
                <w:lang w:val="en-US"/>
              </w:rPr>
              <w:t>CI)]</w:t>
            </w:r>
          </w:p>
        </w:tc>
        <w:tc>
          <w:tcPr>
            <w:tcW w:w="3117" w:type="dxa"/>
          </w:tcPr>
          <w:p w14:paraId="4489116A" w14:textId="0F0A9CE0" w:rsidR="0054101C" w:rsidRPr="004E5B9A" w:rsidRDefault="0054101C" w:rsidP="0054101C">
            <w:pPr>
              <w:rPr>
                <w:lang w:val="en-US"/>
              </w:rPr>
            </w:pPr>
            <w:r w:rsidRPr="004E5B9A">
              <w:rPr>
                <w:szCs w:val="20"/>
              </w:rPr>
              <w:t>11,2 (9,5; 12,9)</w:t>
            </w:r>
          </w:p>
        </w:tc>
        <w:tc>
          <w:tcPr>
            <w:tcW w:w="3117" w:type="dxa"/>
          </w:tcPr>
          <w:p w14:paraId="596DFBB4" w14:textId="2530EB88" w:rsidR="0054101C" w:rsidRPr="004E5B9A" w:rsidRDefault="0054101C" w:rsidP="0054101C">
            <w:pPr>
              <w:rPr>
                <w:lang w:val="en-US"/>
              </w:rPr>
            </w:pPr>
            <w:r w:rsidRPr="004E5B9A">
              <w:rPr>
                <w:szCs w:val="20"/>
              </w:rPr>
              <w:t>4,6 (3,5; 5,6)</w:t>
            </w:r>
          </w:p>
        </w:tc>
      </w:tr>
      <w:tr w:rsidR="0054101C" w14:paraId="39633442" w14:textId="77777777" w:rsidTr="003B45C3">
        <w:tc>
          <w:tcPr>
            <w:tcW w:w="3116" w:type="dxa"/>
          </w:tcPr>
          <w:p w14:paraId="1231CFF8" w14:textId="1DD76F10" w:rsidR="0054101C" w:rsidRPr="004E5B9A" w:rsidRDefault="0054101C" w:rsidP="0054101C">
            <w:pPr>
              <w:rPr>
                <w:lang w:val="en-US"/>
              </w:rPr>
            </w:pPr>
            <w:r w:rsidRPr="004E5B9A">
              <w:rPr>
                <w:szCs w:val="20"/>
              </w:rPr>
              <w:t xml:space="preserve">Коефициент на риск </w:t>
            </w:r>
            <w:r w:rsidRPr="004E5B9A">
              <w:rPr>
                <w:i/>
                <w:iCs/>
                <w:szCs w:val="20"/>
              </w:rPr>
              <w:t xml:space="preserve">(95% </w:t>
            </w:r>
            <w:r w:rsidRPr="004E5B9A">
              <w:rPr>
                <w:i/>
                <w:iCs/>
                <w:szCs w:val="20"/>
                <w:lang w:val="en-US"/>
              </w:rPr>
              <w:t>CI)</w:t>
            </w:r>
            <w:r w:rsidRPr="004E5B9A">
              <w:rPr>
                <w:szCs w:val="20"/>
                <w:lang w:val="en-US"/>
              </w:rPr>
              <w:t xml:space="preserve"> </w:t>
            </w:r>
            <w:r w:rsidRPr="004E5B9A">
              <w:rPr>
                <w:szCs w:val="20"/>
              </w:rPr>
              <w:t>и р-стойност</w:t>
            </w:r>
          </w:p>
        </w:tc>
        <w:tc>
          <w:tcPr>
            <w:tcW w:w="6234" w:type="dxa"/>
            <w:gridSpan w:val="2"/>
          </w:tcPr>
          <w:p w14:paraId="63867C80" w14:textId="6CCC7C52" w:rsidR="0054101C" w:rsidRPr="004E5B9A" w:rsidRDefault="0054101C" w:rsidP="0054101C">
            <w:pPr>
              <w:rPr>
                <w:lang w:val="en-US"/>
              </w:rPr>
            </w:pPr>
            <w:r w:rsidRPr="004E5B9A">
              <w:rPr>
                <w:szCs w:val="20"/>
              </w:rPr>
              <w:t>0,497 (0,398; 0,620), р&lt;0,000001</w:t>
            </w:r>
          </w:p>
        </w:tc>
      </w:tr>
      <w:tr w:rsidR="0054101C" w14:paraId="3D6D4E11" w14:textId="77777777" w:rsidTr="002B6FCB">
        <w:tc>
          <w:tcPr>
            <w:tcW w:w="9350" w:type="dxa"/>
            <w:gridSpan w:val="3"/>
          </w:tcPr>
          <w:p w14:paraId="31B30FAE" w14:textId="1DDA7953" w:rsidR="0054101C" w:rsidRPr="004E5B9A" w:rsidRDefault="0054101C" w:rsidP="0054101C">
            <w:pPr>
              <w:rPr>
                <w:lang w:val="en-US"/>
              </w:rPr>
            </w:pPr>
            <w:r w:rsidRPr="004E5B9A">
              <w:rPr>
                <w:b/>
                <w:bCs/>
                <w:szCs w:val="20"/>
              </w:rPr>
              <w:lastRenderedPageBreak/>
              <w:t>Вторични крайни точки*</w:t>
            </w:r>
          </w:p>
        </w:tc>
      </w:tr>
      <w:tr w:rsidR="0054101C" w14:paraId="519B0BC0" w14:textId="77777777" w:rsidTr="0054101C">
        <w:tc>
          <w:tcPr>
            <w:tcW w:w="3116" w:type="dxa"/>
          </w:tcPr>
          <w:p w14:paraId="2558C36F" w14:textId="631D2863" w:rsidR="0054101C" w:rsidRPr="004E5B9A" w:rsidRDefault="0054101C" w:rsidP="0054101C">
            <w:pPr>
              <w:rPr>
                <w:lang w:val="en-US"/>
              </w:rPr>
            </w:pPr>
            <w:r w:rsidRPr="004E5B9A">
              <w:rPr>
                <w:szCs w:val="20"/>
              </w:rPr>
              <w:t xml:space="preserve">Обективен отговор [% (95% </w:t>
            </w:r>
            <w:r w:rsidRPr="004E5B9A">
              <w:rPr>
                <w:szCs w:val="20"/>
                <w:lang w:val="en-US"/>
              </w:rPr>
              <w:t>CI)]</w:t>
            </w:r>
          </w:p>
        </w:tc>
        <w:tc>
          <w:tcPr>
            <w:tcW w:w="3117" w:type="dxa"/>
          </w:tcPr>
          <w:p w14:paraId="594E4A52" w14:textId="70A34AC2" w:rsidR="0054101C" w:rsidRPr="004E5B9A" w:rsidRDefault="0054101C" w:rsidP="0054101C">
            <w:pPr>
              <w:rPr>
                <w:lang w:val="en-US"/>
              </w:rPr>
            </w:pPr>
            <w:r w:rsidRPr="004E5B9A">
              <w:rPr>
                <w:szCs w:val="20"/>
              </w:rPr>
              <w:t>26,2 (21,7; 31,2)</w:t>
            </w:r>
          </w:p>
        </w:tc>
        <w:tc>
          <w:tcPr>
            <w:tcW w:w="3117" w:type="dxa"/>
          </w:tcPr>
          <w:p w14:paraId="2B861331" w14:textId="4377EACA" w:rsidR="0054101C" w:rsidRPr="004E5B9A" w:rsidRDefault="0054101C" w:rsidP="0054101C">
            <w:pPr>
              <w:rPr>
                <w:lang w:val="en-US"/>
              </w:rPr>
            </w:pPr>
            <w:r w:rsidRPr="004E5B9A">
              <w:rPr>
                <w:szCs w:val="20"/>
              </w:rPr>
              <w:t>13,8 (9,0; 19,8)</w:t>
            </w:r>
          </w:p>
        </w:tc>
      </w:tr>
      <w:tr w:rsidR="0054101C" w14:paraId="794CB51E" w14:textId="77777777" w:rsidTr="0054101C">
        <w:tc>
          <w:tcPr>
            <w:tcW w:w="3116" w:type="dxa"/>
          </w:tcPr>
          <w:p w14:paraId="441EB37E" w14:textId="6A771A07" w:rsidR="0054101C" w:rsidRPr="004E5B9A" w:rsidRDefault="0054101C" w:rsidP="0054101C">
            <w:pPr>
              <w:rPr>
                <w:lang w:val="en-US"/>
              </w:rPr>
            </w:pPr>
            <w:r w:rsidRPr="004E5B9A">
              <w:rPr>
                <w:szCs w:val="20"/>
              </w:rPr>
              <w:t xml:space="preserve">Обективен отговор (измеримо заболяване) [% (95% </w:t>
            </w:r>
            <w:r w:rsidRPr="004E5B9A">
              <w:rPr>
                <w:szCs w:val="20"/>
                <w:lang w:val="en-US"/>
              </w:rPr>
              <w:t>CI)]</w:t>
            </w:r>
          </w:p>
        </w:tc>
        <w:tc>
          <w:tcPr>
            <w:tcW w:w="3117" w:type="dxa"/>
          </w:tcPr>
          <w:p w14:paraId="68D8D471" w14:textId="762E65CB" w:rsidR="0054101C" w:rsidRPr="004E5B9A" w:rsidRDefault="0054101C" w:rsidP="0054101C">
            <w:pPr>
              <w:rPr>
                <w:lang w:val="en-US"/>
              </w:rPr>
            </w:pPr>
            <w:r w:rsidRPr="004E5B9A">
              <w:rPr>
                <w:szCs w:val="20"/>
              </w:rPr>
              <w:t>33,7 (28,1; 39,7)</w:t>
            </w:r>
          </w:p>
        </w:tc>
        <w:tc>
          <w:tcPr>
            <w:tcW w:w="3117" w:type="dxa"/>
          </w:tcPr>
          <w:p w14:paraId="615AF3ED" w14:textId="6D04021F" w:rsidR="0054101C" w:rsidRPr="004E5B9A" w:rsidRDefault="0054101C" w:rsidP="0054101C">
            <w:pPr>
              <w:rPr>
                <w:lang w:val="en-US"/>
              </w:rPr>
            </w:pPr>
            <w:r w:rsidRPr="004E5B9A">
              <w:rPr>
                <w:szCs w:val="20"/>
              </w:rPr>
              <w:t>17,4 (11,5; 24,8)</w:t>
            </w:r>
          </w:p>
        </w:tc>
      </w:tr>
      <w:tr w:rsidR="0054101C" w14:paraId="08861246" w14:textId="77777777" w:rsidTr="0054101C">
        <w:tc>
          <w:tcPr>
            <w:tcW w:w="3116" w:type="dxa"/>
          </w:tcPr>
          <w:p w14:paraId="0ECD40EE" w14:textId="4DD25652" w:rsidR="0054101C" w:rsidRPr="004E5B9A" w:rsidRDefault="0054101C" w:rsidP="0054101C">
            <w:pPr>
              <w:rPr>
                <w:lang w:val="en-US"/>
              </w:rPr>
            </w:pPr>
            <w:r w:rsidRPr="004E5B9A">
              <w:rPr>
                <w:szCs w:val="20"/>
              </w:rPr>
              <w:t xml:space="preserve">СКП [% (95% </w:t>
            </w:r>
            <w:r w:rsidRPr="004E5B9A">
              <w:rPr>
                <w:szCs w:val="20"/>
                <w:lang w:val="en-US"/>
              </w:rPr>
              <w:t>CI)]</w:t>
            </w:r>
          </w:p>
        </w:tc>
        <w:tc>
          <w:tcPr>
            <w:tcW w:w="3117" w:type="dxa"/>
          </w:tcPr>
          <w:p w14:paraId="734095D7" w14:textId="194679C2" w:rsidR="0054101C" w:rsidRPr="004E5B9A" w:rsidRDefault="0054101C" w:rsidP="0054101C">
            <w:pPr>
              <w:rPr>
                <w:lang w:val="en-US"/>
              </w:rPr>
            </w:pPr>
            <w:r w:rsidRPr="004E5B9A">
              <w:rPr>
                <w:szCs w:val="20"/>
              </w:rPr>
              <w:t>68,0 (62,8; 72,9)</w:t>
            </w:r>
          </w:p>
        </w:tc>
        <w:tc>
          <w:tcPr>
            <w:tcW w:w="3117" w:type="dxa"/>
          </w:tcPr>
          <w:p w14:paraId="0FC15FD4" w14:textId="3FB9C584" w:rsidR="0054101C" w:rsidRPr="004E5B9A" w:rsidRDefault="0054101C" w:rsidP="0054101C">
            <w:pPr>
              <w:rPr>
                <w:lang w:val="en-US"/>
              </w:rPr>
            </w:pPr>
            <w:r w:rsidRPr="004E5B9A">
              <w:rPr>
                <w:szCs w:val="20"/>
              </w:rPr>
              <w:t>39,7 (32,3; 47,3)</w:t>
            </w:r>
          </w:p>
        </w:tc>
      </w:tr>
      <w:tr w:rsidR="0054101C" w14:paraId="5BA612BD" w14:textId="77777777" w:rsidTr="0054101C">
        <w:tc>
          <w:tcPr>
            <w:tcW w:w="3116" w:type="dxa"/>
          </w:tcPr>
          <w:p w14:paraId="1A77BB22" w14:textId="54DB4214" w:rsidR="0054101C" w:rsidRPr="004E5B9A" w:rsidRDefault="0054101C" w:rsidP="0054101C">
            <w:pPr>
              <w:rPr>
                <w:lang w:val="en-US"/>
              </w:rPr>
            </w:pPr>
            <w:r w:rsidRPr="004E5B9A">
              <w:rPr>
                <w:szCs w:val="20"/>
              </w:rPr>
              <w:t>Крайна обща преживяемост (ОП) (дата на заключване на базата данни 13 април 2018 г.)</w:t>
            </w:r>
          </w:p>
        </w:tc>
        <w:tc>
          <w:tcPr>
            <w:tcW w:w="3117" w:type="dxa"/>
          </w:tcPr>
          <w:p w14:paraId="7E52C790" w14:textId="77777777" w:rsidR="0054101C" w:rsidRPr="004E5B9A" w:rsidRDefault="0054101C" w:rsidP="0054101C">
            <w:pPr>
              <w:rPr>
                <w:lang w:val="en-US"/>
              </w:rPr>
            </w:pPr>
          </w:p>
        </w:tc>
        <w:tc>
          <w:tcPr>
            <w:tcW w:w="3117" w:type="dxa"/>
          </w:tcPr>
          <w:p w14:paraId="48BED2B4" w14:textId="77777777" w:rsidR="0054101C" w:rsidRPr="004E5B9A" w:rsidRDefault="0054101C" w:rsidP="0054101C">
            <w:pPr>
              <w:rPr>
                <w:lang w:val="en-US"/>
              </w:rPr>
            </w:pPr>
          </w:p>
        </w:tc>
      </w:tr>
      <w:tr w:rsidR="0054101C" w14:paraId="759F2134" w14:textId="77777777" w:rsidTr="0054101C">
        <w:tc>
          <w:tcPr>
            <w:tcW w:w="3116" w:type="dxa"/>
          </w:tcPr>
          <w:p w14:paraId="0D29C437" w14:textId="7A82CD08" w:rsidR="0054101C" w:rsidRPr="004E5B9A" w:rsidRDefault="0054101C" w:rsidP="0054101C">
            <w:pPr>
              <w:rPr>
                <w:lang w:val="en-US"/>
              </w:rPr>
            </w:pPr>
            <w:r w:rsidRPr="004E5B9A">
              <w:rPr>
                <w:szCs w:val="20"/>
              </w:rPr>
              <w:t>Брой събития (%)</w:t>
            </w:r>
          </w:p>
        </w:tc>
        <w:tc>
          <w:tcPr>
            <w:tcW w:w="3117" w:type="dxa"/>
          </w:tcPr>
          <w:p w14:paraId="16592682" w14:textId="0700AEF6" w:rsidR="0054101C" w:rsidRPr="004E5B9A" w:rsidRDefault="0054101C" w:rsidP="0054101C">
            <w:pPr>
              <w:rPr>
                <w:lang w:val="en-US"/>
              </w:rPr>
            </w:pPr>
            <w:r w:rsidRPr="004E5B9A">
              <w:rPr>
                <w:szCs w:val="20"/>
              </w:rPr>
              <w:t>201 (57,9)</w:t>
            </w:r>
          </w:p>
        </w:tc>
        <w:tc>
          <w:tcPr>
            <w:tcW w:w="3117" w:type="dxa"/>
          </w:tcPr>
          <w:p w14:paraId="7527095D" w14:textId="4044BB01" w:rsidR="0054101C" w:rsidRPr="004E5B9A" w:rsidRDefault="0054101C" w:rsidP="0054101C">
            <w:pPr>
              <w:rPr>
                <w:lang w:val="en-US"/>
              </w:rPr>
            </w:pPr>
            <w:r w:rsidRPr="004E5B9A">
              <w:rPr>
                <w:szCs w:val="20"/>
              </w:rPr>
              <w:t>109 (62,6)</w:t>
            </w:r>
          </w:p>
        </w:tc>
      </w:tr>
      <w:tr w:rsidR="0054101C" w14:paraId="2777DCE0" w14:textId="77777777" w:rsidTr="0054101C">
        <w:tc>
          <w:tcPr>
            <w:tcW w:w="3116" w:type="dxa"/>
          </w:tcPr>
          <w:p w14:paraId="74C9C1CC" w14:textId="27C6F293" w:rsidR="0054101C" w:rsidRPr="004E5B9A" w:rsidRDefault="0054101C" w:rsidP="0054101C">
            <w:pPr>
              <w:rPr>
                <w:lang w:val="en-US"/>
              </w:rPr>
            </w:pPr>
            <w:r w:rsidRPr="004E5B9A">
              <w:rPr>
                <w:szCs w:val="20"/>
              </w:rPr>
              <w:t xml:space="preserve">Медиана [месеци (95% </w:t>
            </w:r>
            <w:r w:rsidRPr="004E5B9A">
              <w:rPr>
                <w:szCs w:val="20"/>
                <w:lang w:val="en-US"/>
              </w:rPr>
              <w:t>CI)]</w:t>
            </w:r>
          </w:p>
        </w:tc>
        <w:tc>
          <w:tcPr>
            <w:tcW w:w="3117" w:type="dxa"/>
          </w:tcPr>
          <w:p w14:paraId="7B1C9D53" w14:textId="1654C9BF" w:rsidR="0054101C" w:rsidRPr="004E5B9A" w:rsidRDefault="0054101C" w:rsidP="0054101C">
            <w:pPr>
              <w:rPr>
                <w:lang w:val="en-US"/>
              </w:rPr>
            </w:pPr>
            <w:r w:rsidRPr="004E5B9A">
              <w:rPr>
                <w:szCs w:val="20"/>
              </w:rPr>
              <w:t>34,9 (28,8,40,0)</w:t>
            </w:r>
          </w:p>
        </w:tc>
        <w:tc>
          <w:tcPr>
            <w:tcW w:w="3117" w:type="dxa"/>
          </w:tcPr>
          <w:p w14:paraId="13CC80DA" w14:textId="4DCC5DC8" w:rsidR="0054101C" w:rsidRPr="004E5B9A" w:rsidRDefault="0054101C" w:rsidP="0054101C">
            <w:pPr>
              <w:rPr>
                <w:lang w:val="en-US"/>
              </w:rPr>
            </w:pPr>
            <w:r w:rsidRPr="004E5B9A">
              <w:rPr>
                <w:szCs w:val="20"/>
              </w:rPr>
              <w:t>28,0 (23,6,</w:t>
            </w:r>
            <w:r w:rsidRPr="004E5B9A">
              <w:rPr>
                <w:szCs w:val="20"/>
                <w:lang w:val="en-US"/>
              </w:rPr>
              <w:t xml:space="preserve"> </w:t>
            </w:r>
            <w:r w:rsidRPr="004E5B9A">
              <w:rPr>
                <w:szCs w:val="20"/>
              </w:rPr>
              <w:t>34,6)</w:t>
            </w:r>
          </w:p>
        </w:tc>
      </w:tr>
      <w:tr w:rsidR="0054101C" w14:paraId="40341C44" w14:textId="77777777" w:rsidTr="00261930">
        <w:tc>
          <w:tcPr>
            <w:tcW w:w="3116" w:type="dxa"/>
          </w:tcPr>
          <w:p w14:paraId="3C614143" w14:textId="766E97C0" w:rsidR="0054101C" w:rsidRPr="004E5B9A" w:rsidRDefault="0054101C" w:rsidP="0054101C">
            <w:pPr>
              <w:rPr>
                <w:lang w:val="en-US"/>
              </w:rPr>
            </w:pPr>
            <w:r w:rsidRPr="004E5B9A">
              <w:rPr>
                <w:szCs w:val="20"/>
              </w:rPr>
              <w:t xml:space="preserve">Коефициент на риск (95% </w:t>
            </w:r>
            <w:r w:rsidRPr="004E5B9A">
              <w:rPr>
                <w:szCs w:val="20"/>
                <w:lang w:val="en-US"/>
              </w:rPr>
              <w:t xml:space="preserve">CI) </w:t>
            </w:r>
            <w:r w:rsidRPr="004E5B9A">
              <w:rPr>
                <w:szCs w:val="20"/>
              </w:rPr>
              <w:t>и р-стойност†</w:t>
            </w:r>
          </w:p>
        </w:tc>
        <w:tc>
          <w:tcPr>
            <w:tcW w:w="6234" w:type="dxa"/>
            <w:gridSpan w:val="2"/>
          </w:tcPr>
          <w:p w14:paraId="0A177019" w14:textId="0BC0A81D" w:rsidR="0054101C" w:rsidRPr="004E5B9A" w:rsidRDefault="0054101C" w:rsidP="0054101C">
            <w:pPr>
              <w:rPr>
                <w:lang w:val="en-US"/>
              </w:rPr>
            </w:pPr>
            <w:r w:rsidRPr="004E5B9A">
              <w:rPr>
                <w:szCs w:val="20"/>
              </w:rPr>
              <w:t>0,814(0,644, 1,029) р=0,04291*</w:t>
            </w:r>
          </w:p>
        </w:tc>
      </w:tr>
    </w:tbl>
    <w:p w14:paraId="6021A225" w14:textId="7D8A055E" w:rsidR="0054101C" w:rsidRPr="0054101C" w:rsidRDefault="0054101C" w:rsidP="0054101C">
      <w:pPr>
        <w:spacing w:line="240" w:lineRule="auto"/>
        <w:rPr>
          <w:rFonts w:eastAsia="Times New Roman" w:cs="Arial"/>
          <w:sz w:val="32"/>
          <w:szCs w:val="24"/>
          <w:lang w:eastAsia="bg-BG"/>
        </w:rPr>
      </w:pPr>
      <w:r w:rsidRPr="0054101C">
        <w:rPr>
          <w:rFonts w:eastAsia="Times New Roman" w:cs="Arial"/>
          <w:color w:val="000000"/>
          <w:sz w:val="20"/>
          <w:szCs w:val="17"/>
          <w:lang w:eastAsia="bg-BG"/>
        </w:rPr>
        <w:t xml:space="preserve">СКП=степен на клинична полза; </w:t>
      </w:r>
      <w:r w:rsidRPr="0054101C">
        <w:rPr>
          <w:rFonts w:eastAsia="Times New Roman" w:cs="Arial"/>
          <w:color w:val="000000"/>
          <w:sz w:val="20"/>
          <w:szCs w:val="17"/>
          <w:lang w:val="en-US"/>
        </w:rPr>
        <w:t>CI</w:t>
      </w:r>
      <w:r w:rsidRPr="0054101C">
        <w:rPr>
          <w:rFonts w:eastAsia="Times New Roman" w:cs="Arial"/>
          <w:color w:val="000000"/>
          <w:sz w:val="20"/>
          <w:szCs w:val="17"/>
          <w:lang w:eastAsia="bg-BG"/>
        </w:rPr>
        <w:t xml:space="preserve">=доверителен интервал; </w:t>
      </w:r>
      <w:r w:rsidRPr="0054101C">
        <w:rPr>
          <w:rFonts w:eastAsia="Times New Roman" w:cs="Arial"/>
          <w:color w:val="000000"/>
          <w:sz w:val="20"/>
          <w:szCs w:val="17"/>
          <w:lang w:val="en-US"/>
        </w:rPr>
        <w:t>N=</w:t>
      </w:r>
      <w:r w:rsidRPr="0054101C">
        <w:rPr>
          <w:rFonts w:eastAsia="Times New Roman" w:cs="Arial"/>
          <w:color w:val="000000"/>
          <w:sz w:val="20"/>
          <w:szCs w:val="17"/>
          <w:lang w:eastAsia="bg-BG"/>
        </w:rPr>
        <w:t>брой</w:t>
      </w:r>
      <w:r w:rsidRPr="0054101C">
        <w:rPr>
          <w:rFonts w:eastAsia="Times New Roman" w:cs="Arial"/>
          <w:color w:val="000000"/>
          <w:sz w:val="20"/>
          <w:szCs w:val="17"/>
          <w:lang w:val="en-US"/>
        </w:rPr>
        <w:t xml:space="preserve"> </w:t>
      </w:r>
      <w:r w:rsidRPr="0054101C">
        <w:rPr>
          <w:rFonts w:eastAsia="Times New Roman" w:cs="Arial"/>
          <w:color w:val="000000"/>
          <w:sz w:val="20"/>
          <w:szCs w:val="17"/>
          <w:lang w:eastAsia="bg-BG"/>
        </w:rPr>
        <w:t xml:space="preserve">пациенти; </w:t>
      </w:r>
      <w:r w:rsidRPr="0054101C">
        <w:rPr>
          <w:rFonts w:eastAsia="Times New Roman" w:cs="Arial"/>
          <w:color w:val="000000"/>
          <w:sz w:val="20"/>
          <w:szCs w:val="17"/>
          <w:lang w:val="en-US"/>
        </w:rPr>
        <w:t>OR=</w:t>
      </w:r>
      <w:r w:rsidRPr="0054101C">
        <w:rPr>
          <w:rFonts w:eastAsia="Times New Roman" w:cs="Arial"/>
          <w:color w:val="000000"/>
          <w:sz w:val="20"/>
          <w:szCs w:val="17"/>
          <w:lang w:eastAsia="bg-BG"/>
        </w:rPr>
        <w:t>обективен отговор Резултатите от</w:t>
      </w:r>
      <w:r w:rsidR="004E5B9A">
        <w:rPr>
          <w:rFonts w:eastAsia="Times New Roman" w:cs="Arial"/>
          <w:sz w:val="32"/>
          <w:szCs w:val="24"/>
          <w:lang w:val="en-US" w:eastAsia="bg-BG"/>
        </w:rPr>
        <w:t xml:space="preserve"> </w:t>
      </w:r>
      <w:r w:rsidRPr="0054101C">
        <w:rPr>
          <w:rFonts w:eastAsia="Times New Roman" w:cs="Arial"/>
          <w:color w:val="000000"/>
          <w:sz w:val="20"/>
          <w:szCs w:val="17"/>
          <w:lang w:eastAsia="bg-BG"/>
        </w:rPr>
        <w:t xml:space="preserve">вторичните крайни точки са въз основа на потвърдени и непотвърдени отговори съгласно </w:t>
      </w:r>
      <w:r w:rsidRPr="0054101C">
        <w:rPr>
          <w:rFonts w:eastAsia="Times New Roman" w:cs="Arial"/>
          <w:color w:val="000000"/>
          <w:sz w:val="20"/>
          <w:szCs w:val="17"/>
          <w:lang w:val="en-US"/>
        </w:rPr>
        <w:t xml:space="preserve">RECIST </w:t>
      </w:r>
      <w:r w:rsidRPr="0054101C">
        <w:rPr>
          <w:rFonts w:eastAsia="Times New Roman" w:cs="Arial"/>
          <w:color w:val="000000"/>
          <w:sz w:val="20"/>
          <w:szCs w:val="17"/>
          <w:lang w:eastAsia="bg-BG"/>
        </w:rPr>
        <w:t>1.1.</w:t>
      </w:r>
    </w:p>
    <w:p w14:paraId="6B23EDDC" w14:textId="05565E01" w:rsidR="0054101C" w:rsidRPr="004E5B9A" w:rsidRDefault="0054101C" w:rsidP="0054101C">
      <w:pPr>
        <w:rPr>
          <w:rFonts w:cs="Arial"/>
          <w:sz w:val="28"/>
          <w:lang w:val="en-US"/>
        </w:rPr>
      </w:pPr>
      <w:r w:rsidRPr="004E5B9A">
        <w:rPr>
          <w:rFonts w:eastAsia="Times New Roman" w:cs="Arial"/>
          <w:color w:val="000000"/>
          <w:sz w:val="20"/>
          <w:szCs w:val="17"/>
          <w:lang w:eastAsia="bg-BG"/>
        </w:rPr>
        <w:t>* Без статистическа значимост</w:t>
      </w:r>
    </w:p>
    <w:p w14:paraId="02893E92" w14:textId="419029D8" w:rsidR="004E5B9A" w:rsidRPr="004E5B9A" w:rsidRDefault="004E5B9A" w:rsidP="004E5B9A">
      <w:pPr>
        <w:spacing w:line="240" w:lineRule="auto"/>
        <w:rPr>
          <w:rFonts w:eastAsia="Times New Roman" w:cs="Arial"/>
          <w:sz w:val="32"/>
          <w:szCs w:val="24"/>
          <w:lang w:eastAsia="bg-BG"/>
        </w:rPr>
      </w:pPr>
      <w:r w:rsidRPr="004E5B9A">
        <w:rPr>
          <w:rFonts w:eastAsia="Times New Roman" w:cs="Arial"/>
          <w:color w:val="000000"/>
          <w:sz w:val="20"/>
          <w:szCs w:val="17"/>
          <w:lang w:val="en-US"/>
        </w:rPr>
        <w:t>† 1</w:t>
      </w:r>
      <w:r w:rsidRPr="004E5B9A">
        <w:rPr>
          <w:rFonts w:eastAsia="Times New Roman" w:cs="Arial"/>
          <w:color w:val="000000"/>
          <w:sz w:val="20"/>
          <w:szCs w:val="17"/>
          <w:lang w:eastAsia="bg-BG"/>
        </w:rPr>
        <w:t>-странна р-стойност от логаритмичния тест, стратифициран за наличие на висцерални метастази и чувствителност</w:t>
      </w:r>
    </w:p>
    <w:p w14:paraId="663206A8" w14:textId="77777777" w:rsidR="004E5B9A" w:rsidRPr="004E5B9A" w:rsidRDefault="004E5B9A" w:rsidP="004E5B9A">
      <w:pPr>
        <w:spacing w:line="240" w:lineRule="auto"/>
        <w:rPr>
          <w:rFonts w:eastAsia="Times New Roman" w:cs="Arial"/>
          <w:sz w:val="32"/>
          <w:szCs w:val="24"/>
          <w:lang w:eastAsia="bg-BG"/>
        </w:rPr>
      </w:pPr>
      <w:r w:rsidRPr="004E5B9A">
        <w:rPr>
          <w:rFonts w:eastAsia="Times New Roman" w:cs="Arial"/>
          <w:color w:val="000000"/>
          <w:sz w:val="20"/>
          <w:szCs w:val="17"/>
          <w:lang w:eastAsia="bg-BG"/>
        </w:rPr>
        <w:t>към предходна ендокринна терапия, по рандомизация.</w:t>
      </w:r>
    </w:p>
    <w:p w14:paraId="1E1E52BF" w14:textId="77777777" w:rsidR="004E5B9A" w:rsidRDefault="004E5B9A" w:rsidP="004E5B9A">
      <w:pPr>
        <w:rPr>
          <w:rFonts w:ascii="Times New Roman" w:eastAsia="Times New Roman" w:hAnsi="Times New Roman" w:cs="Times New Roman"/>
          <w:b/>
          <w:bCs/>
          <w:color w:val="000000"/>
          <w:sz w:val="20"/>
          <w:szCs w:val="20"/>
          <w:lang w:eastAsia="bg-BG"/>
        </w:rPr>
      </w:pPr>
    </w:p>
    <w:p w14:paraId="69BBFE09" w14:textId="46574C7E" w:rsidR="0054101C" w:rsidRPr="004E5B9A" w:rsidRDefault="004E5B9A" w:rsidP="004E5B9A">
      <w:pPr>
        <w:rPr>
          <w:rFonts w:cs="Arial"/>
          <w:sz w:val="24"/>
        </w:rPr>
      </w:pPr>
      <w:r w:rsidRPr="004E5B9A">
        <w:rPr>
          <w:rFonts w:eastAsia="Times New Roman" w:cs="Arial"/>
          <w:b/>
          <w:bCs/>
          <w:color w:val="000000"/>
          <w:szCs w:val="20"/>
          <w:lang w:eastAsia="bg-BG"/>
        </w:rPr>
        <w:t xml:space="preserve">Фигура 2 Криви на </w:t>
      </w:r>
      <w:r w:rsidRPr="004E5B9A">
        <w:rPr>
          <w:rFonts w:eastAsia="Times New Roman" w:cs="Arial"/>
          <w:b/>
          <w:bCs/>
          <w:color w:val="000000"/>
          <w:szCs w:val="20"/>
          <w:lang w:val="en-US"/>
        </w:rPr>
        <w:t xml:space="preserve">Kaplan-Meier </w:t>
      </w:r>
      <w:r w:rsidRPr="004E5B9A">
        <w:rPr>
          <w:rFonts w:eastAsia="Times New Roman" w:cs="Arial"/>
          <w:b/>
          <w:bCs/>
          <w:color w:val="000000"/>
          <w:szCs w:val="20"/>
          <w:lang w:eastAsia="bg-BG"/>
        </w:rPr>
        <w:t xml:space="preserve">за преживяемост без прогресия (оценка на изследователя, </w:t>
      </w:r>
      <w:r w:rsidRPr="004E5B9A">
        <w:rPr>
          <w:rFonts w:eastAsia="Times New Roman" w:cs="Arial"/>
          <w:b/>
          <w:bCs/>
          <w:color w:val="000000"/>
          <w:szCs w:val="20"/>
          <w:lang w:val="en-US"/>
        </w:rPr>
        <w:t xml:space="preserve">intent-to-treat </w:t>
      </w:r>
      <w:r w:rsidRPr="004E5B9A">
        <w:rPr>
          <w:rFonts w:eastAsia="Times New Roman" w:cs="Arial"/>
          <w:b/>
          <w:bCs/>
          <w:color w:val="000000"/>
          <w:szCs w:val="20"/>
          <w:lang w:eastAsia="bg-BG"/>
        </w:rPr>
        <w:t xml:space="preserve">популация) - проучване </w:t>
      </w:r>
      <w:r w:rsidRPr="004E5B9A">
        <w:rPr>
          <w:rFonts w:eastAsia="Times New Roman" w:cs="Arial"/>
          <w:b/>
          <w:bCs/>
          <w:color w:val="000000"/>
          <w:szCs w:val="20"/>
          <w:lang w:val="en-US"/>
        </w:rPr>
        <w:t xml:space="preserve">PALOMA3 </w:t>
      </w:r>
      <w:r w:rsidRPr="004E5B9A">
        <w:rPr>
          <w:rFonts w:eastAsia="Times New Roman" w:cs="Arial"/>
          <w:b/>
          <w:bCs/>
          <w:color w:val="000000"/>
          <w:szCs w:val="20"/>
          <w:lang w:eastAsia="bg-BG"/>
        </w:rPr>
        <w:t>(дата на заключване на базата данни 23 октомври 2015 г.)</w:t>
      </w:r>
    </w:p>
    <w:p w14:paraId="4D4D12D1" w14:textId="20D7B23F" w:rsidR="004E5B9A" w:rsidRDefault="004E5B9A" w:rsidP="0091385D"/>
    <w:p w14:paraId="0DDDD7F5" w14:textId="3A3171EC" w:rsidR="004E5B9A" w:rsidRPr="004E5B9A" w:rsidRDefault="004E5B9A" w:rsidP="0091385D">
      <w:pPr>
        <w:rPr>
          <w:rFonts w:cs="Arial"/>
        </w:rPr>
      </w:pPr>
      <w:r w:rsidRPr="004E5B9A">
        <w:rPr>
          <w:rFonts w:cs="Arial"/>
          <w:noProof/>
          <w:lang w:eastAsia="bg-BG"/>
        </w:rPr>
        <w:drawing>
          <wp:inline distT="0" distB="0" distL="0" distR="0" wp14:anchorId="15EC46C0" wp14:editId="019DEA20">
            <wp:extent cx="4001058" cy="28578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hfhfhfhfhhfhfhf.png"/>
                    <pic:cNvPicPr/>
                  </pic:nvPicPr>
                  <pic:blipFill>
                    <a:blip r:embed="rId6">
                      <a:extLst>
                        <a:ext uri="{28A0092B-C50C-407E-A947-70E740481C1C}">
                          <a14:useLocalDpi xmlns:a14="http://schemas.microsoft.com/office/drawing/2010/main" val="0"/>
                        </a:ext>
                      </a:extLst>
                    </a:blip>
                    <a:stretch>
                      <a:fillRect/>
                    </a:stretch>
                  </pic:blipFill>
                  <pic:spPr>
                    <a:xfrm>
                      <a:off x="0" y="0"/>
                      <a:ext cx="4001058" cy="2857899"/>
                    </a:xfrm>
                    <a:prstGeom prst="rect">
                      <a:avLst/>
                    </a:prstGeom>
                  </pic:spPr>
                </pic:pic>
              </a:graphicData>
            </a:graphic>
          </wp:inline>
        </w:drawing>
      </w:r>
    </w:p>
    <w:p w14:paraId="31D4FFA8" w14:textId="222B805B" w:rsidR="004E5B9A" w:rsidRPr="004E5B9A" w:rsidRDefault="004E5B9A" w:rsidP="0091385D">
      <w:pPr>
        <w:rPr>
          <w:rFonts w:cs="Arial"/>
        </w:rPr>
      </w:pPr>
    </w:p>
    <w:p w14:paraId="3529D95E" w14:textId="77777777" w:rsidR="004E5B9A" w:rsidRPr="004E5B9A" w:rsidRDefault="004E5B9A" w:rsidP="004E5B9A">
      <w:pPr>
        <w:spacing w:line="240" w:lineRule="auto"/>
        <w:rPr>
          <w:rFonts w:eastAsia="Times New Roman" w:cs="Arial"/>
          <w:lang w:eastAsia="bg-BG"/>
        </w:rPr>
      </w:pPr>
      <w:r w:rsidRPr="004E5B9A">
        <w:rPr>
          <w:rFonts w:eastAsia="Times New Roman" w:cs="Arial"/>
          <w:color w:val="000000"/>
          <w:lang w:eastAsia="bg-BG"/>
        </w:rPr>
        <w:t xml:space="preserve">Наблюдаван е намален риск от прогресия на заболяването или смърт в рамото на фулвестрант плюс палбоциклиб във всички отделни подгрупи пациенти, дефинирани по стратификационните фактори и изходните характеристики. Това е видно при пре-/перименопаузални жени </w:t>
      </w:r>
      <w:r w:rsidRPr="004E5B9A">
        <w:rPr>
          <w:rFonts w:eastAsia="Times New Roman" w:cs="Arial"/>
          <w:color w:val="000000"/>
          <w:lang w:val="en-US"/>
        </w:rPr>
        <w:t xml:space="preserve">(HR </w:t>
      </w:r>
      <w:r w:rsidRPr="004E5B9A">
        <w:rPr>
          <w:rFonts w:eastAsia="Times New Roman" w:cs="Arial"/>
          <w:color w:val="000000"/>
          <w:lang w:eastAsia="bg-BG"/>
        </w:rPr>
        <w:t xml:space="preserve">0,46 [95% </w:t>
      </w:r>
      <w:r w:rsidRPr="004E5B9A">
        <w:rPr>
          <w:rFonts w:eastAsia="Times New Roman" w:cs="Arial"/>
          <w:color w:val="000000"/>
          <w:lang w:val="en-US"/>
        </w:rPr>
        <w:t xml:space="preserve">CI: </w:t>
      </w:r>
      <w:r w:rsidRPr="004E5B9A">
        <w:rPr>
          <w:rFonts w:eastAsia="Times New Roman" w:cs="Arial"/>
          <w:color w:val="000000"/>
          <w:lang w:eastAsia="bg-BG"/>
        </w:rPr>
        <w:t xml:space="preserve">0,28; 0,75]) и постменопаузални жени </w:t>
      </w:r>
      <w:r w:rsidRPr="004E5B9A">
        <w:rPr>
          <w:rFonts w:eastAsia="Times New Roman" w:cs="Arial"/>
          <w:color w:val="000000"/>
          <w:lang w:val="en-US"/>
        </w:rPr>
        <w:t xml:space="preserve">(HR </w:t>
      </w:r>
      <w:r w:rsidRPr="004E5B9A">
        <w:rPr>
          <w:rFonts w:eastAsia="Times New Roman" w:cs="Arial"/>
          <w:color w:val="000000"/>
          <w:lang w:eastAsia="bg-BG"/>
        </w:rPr>
        <w:t xml:space="preserve">0,52 </w:t>
      </w:r>
      <w:r w:rsidRPr="004E5B9A">
        <w:rPr>
          <w:rFonts w:eastAsia="Times New Roman" w:cs="Arial"/>
          <w:color w:val="000000"/>
          <w:lang w:eastAsia="bg-BG"/>
        </w:rPr>
        <w:lastRenderedPageBreak/>
        <w:t xml:space="preserve">[95% </w:t>
      </w:r>
      <w:r w:rsidRPr="004E5B9A">
        <w:rPr>
          <w:rFonts w:eastAsia="Times New Roman" w:cs="Arial"/>
          <w:color w:val="000000"/>
          <w:lang w:val="en-US"/>
        </w:rPr>
        <w:t xml:space="preserve">CI: </w:t>
      </w:r>
      <w:r w:rsidRPr="004E5B9A">
        <w:rPr>
          <w:rFonts w:eastAsia="Times New Roman" w:cs="Arial"/>
          <w:color w:val="000000"/>
          <w:lang w:eastAsia="bg-BG"/>
        </w:rPr>
        <w:t xml:space="preserve">0,40; 0,66]), и пациенти с висцерално метастатично заболяване </w:t>
      </w:r>
      <w:r w:rsidRPr="004E5B9A">
        <w:rPr>
          <w:rFonts w:eastAsia="Times New Roman" w:cs="Arial"/>
          <w:color w:val="000000"/>
          <w:lang w:val="en-US"/>
        </w:rPr>
        <w:t xml:space="preserve">(HR </w:t>
      </w:r>
      <w:r w:rsidRPr="004E5B9A">
        <w:rPr>
          <w:rFonts w:eastAsia="Times New Roman" w:cs="Arial"/>
          <w:color w:val="000000"/>
          <w:lang w:eastAsia="bg-BG"/>
        </w:rPr>
        <w:t xml:space="preserve">0,50 [95% </w:t>
      </w:r>
      <w:r w:rsidRPr="004E5B9A">
        <w:rPr>
          <w:rFonts w:eastAsia="Times New Roman" w:cs="Arial"/>
          <w:color w:val="000000"/>
          <w:lang w:val="en-US"/>
        </w:rPr>
        <w:t xml:space="preserve">CI: </w:t>
      </w:r>
      <w:r w:rsidRPr="004E5B9A">
        <w:rPr>
          <w:rFonts w:eastAsia="Times New Roman" w:cs="Arial"/>
          <w:color w:val="000000"/>
          <w:lang w:eastAsia="bg-BG"/>
        </w:rPr>
        <w:t xml:space="preserve">0,38; 0,65]) и невисцерално метастатично заболяване </w:t>
      </w:r>
      <w:r w:rsidRPr="004E5B9A">
        <w:rPr>
          <w:rFonts w:eastAsia="Times New Roman" w:cs="Arial"/>
          <w:color w:val="000000"/>
          <w:lang w:val="en-US"/>
        </w:rPr>
        <w:t xml:space="preserve">(HR </w:t>
      </w:r>
      <w:r w:rsidRPr="004E5B9A">
        <w:rPr>
          <w:rFonts w:eastAsia="Times New Roman" w:cs="Arial"/>
          <w:color w:val="000000"/>
          <w:lang w:eastAsia="bg-BG"/>
        </w:rPr>
        <w:t xml:space="preserve">0,48 [95% </w:t>
      </w:r>
      <w:r w:rsidRPr="004E5B9A">
        <w:rPr>
          <w:rFonts w:eastAsia="Times New Roman" w:cs="Arial"/>
          <w:color w:val="000000"/>
          <w:lang w:val="en-US"/>
        </w:rPr>
        <w:t xml:space="preserve">CI: </w:t>
      </w:r>
      <w:r w:rsidRPr="004E5B9A">
        <w:rPr>
          <w:rFonts w:eastAsia="Times New Roman" w:cs="Arial"/>
          <w:color w:val="000000"/>
          <w:lang w:eastAsia="bg-BG"/>
        </w:rPr>
        <w:t xml:space="preserve">0,33; 0,71]). Полза също е установена независимо от линиите на предходна терапия в случай на метастази, независимо дали 0 </w:t>
      </w:r>
      <w:r w:rsidRPr="004E5B9A">
        <w:rPr>
          <w:rFonts w:eastAsia="Times New Roman" w:cs="Arial"/>
          <w:color w:val="000000"/>
          <w:lang w:val="en-US"/>
        </w:rPr>
        <w:t xml:space="preserve">(HR </w:t>
      </w:r>
      <w:r w:rsidRPr="004E5B9A">
        <w:rPr>
          <w:rFonts w:eastAsia="Times New Roman" w:cs="Arial"/>
          <w:color w:val="000000"/>
          <w:lang w:eastAsia="bg-BG"/>
        </w:rPr>
        <w:t xml:space="preserve">0,59 [95% </w:t>
      </w:r>
      <w:r w:rsidRPr="004E5B9A">
        <w:rPr>
          <w:rFonts w:eastAsia="Times New Roman" w:cs="Arial"/>
          <w:color w:val="000000"/>
          <w:lang w:val="en-US"/>
        </w:rPr>
        <w:t xml:space="preserve">CI: </w:t>
      </w:r>
      <w:r w:rsidRPr="004E5B9A">
        <w:rPr>
          <w:rFonts w:eastAsia="Times New Roman" w:cs="Arial"/>
          <w:color w:val="000000"/>
          <w:lang w:eastAsia="bg-BG"/>
        </w:rPr>
        <w:t xml:space="preserve">0,37; 0,93]), 1 </w:t>
      </w:r>
      <w:r w:rsidRPr="004E5B9A">
        <w:rPr>
          <w:rFonts w:eastAsia="Times New Roman" w:cs="Arial"/>
          <w:color w:val="000000"/>
          <w:lang w:val="en-US"/>
        </w:rPr>
        <w:t xml:space="preserve">(HR </w:t>
      </w:r>
      <w:r w:rsidRPr="004E5B9A">
        <w:rPr>
          <w:rFonts w:eastAsia="Times New Roman" w:cs="Arial"/>
          <w:color w:val="000000"/>
          <w:lang w:eastAsia="bg-BG"/>
        </w:rPr>
        <w:t xml:space="preserve">0,46 [95% </w:t>
      </w:r>
      <w:r w:rsidRPr="004E5B9A">
        <w:rPr>
          <w:rFonts w:eastAsia="Times New Roman" w:cs="Arial"/>
          <w:color w:val="000000"/>
          <w:lang w:val="en-US"/>
        </w:rPr>
        <w:t xml:space="preserve">CI: 0,32, 0,64]), 2 (HR 0,48 [95% CI: 0,30; 0,76]), </w:t>
      </w:r>
      <w:r w:rsidRPr="004E5B9A">
        <w:rPr>
          <w:rFonts w:eastAsia="Times New Roman" w:cs="Arial"/>
          <w:color w:val="000000"/>
          <w:lang w:eastAsia="bg-BG"/>
        </w:rPr>
        <w:t xml:space="preserve">или </w:t>
      </w:r>
      <w:r w:rsidRPr="004E5B9A">
        <w:rPr>
          <w:rFonts w:eastAsia="Times New Roman" w:cs="Arial"/>
          <w:color w:val="000000"/>
          <w:lang w:val="en-US"/>
        </w:rPr>
        <w:t xml:space="preserve">&gt;3 </w:t>
      </w:r>
      <w:r w:rsidRPr="004E5B9A">
        <w:rPr>
          <w:rFonts w:eastAsia="Times New Roman" w:cs="Arial"/>
          <w:color w:val="000000"/>
          <w:lang w:eastAsia="bg-BG"/>
        </w:rPr>
        <w:t xml:space="preserve">линии </w:t>
      </w:r>
      <w:r w:rsidRPr="004E5B9A">
        <w:rPr>
          <w:rFonts w:eastAsia="Times New Roman" w:cs="Arial"/>
          <w:color w:val="000000"/>
          <w:lang w:val="en-US"/>
        </w:rPr>
        <w:t>(HR 0,59 [95% CI: 0,28; 1,22]).</w:t>
      </w:r>
    </w:p>
    <w:p w14:paraId="489DFA2F" w14:textId="77777777" w:rsidR="004E5B9A" w:rsidRPr="004E5B9A" w:rsidRDefault="004E5B9A" w:rsidP="004E5B9A">
      <w:pPr>
        <w:spacing w:line="240" w:lineRule="auto"/>
        <w:rPr>
          <w:rFonts w:eastAsia="Times New Roman" w:cs="Arial"/>
          <w:b/>
          <w:bCs/>
          <w:color w:val="000000"/>
          <w:lang w:val="en-US"/>
        </w:rPr>
      </w:pPr>
    </w:p>
    <w:p w14:paraId="2184C417" w14:textId="6AF809D4" w:rsidR="004E5B9A" w:rsidRPr="004E5B9A" w:rsidRDefault="004E5B9A" w:rsidP="004E5B9A">
      <w:pPr>
        <w:spacing w:line="240" w:lineRule="auto"/>
        <w:jc w:val="center"/>
        <w:rPr>
          <w:rFonts w:eastAsia="Times New Roman" w:cs="Arial"/>
          <w:lang w:eastAsia="bg-BG"/>
        </w:rPr>
      </w:pPr>
      <w:r w:rsidRPr="004E5B9A">
        <w:rPr>
          <w:rFonts w:eastAsia="Times New Roman" w:cs="Arial"/>
          <w:b/>
          <w:bCs/>
          <w:color w:val="000000"/>
          <w:lang w:val="en-US"/>
        </w:rPr>
        <w:t>Figure 3.</w:t>
      </w:r>
      <w:r w:rsidRPr="004E5B9A">
        <w:rPr>
          <w:rFonts w:eastAsia="Times New Roman" w:cs="Arial"/>
          <w:b/>
          <w:bCs/>
          <w:color w:val="000000"/>
          <w:lang w:val="en-US"/>
        </w:rPr>
        <w:tab/>
      </w:r>
      <w:r w:rsidRPr="004E5B9A">
        <w:rPr>
          <w:rFonts w:eastAsia="Times New Roman" w:cs="Arial"/>
          <w:b/>
          <w:bCs/>
          <w:color w:val="000000"/>
          <w:lang w:eastAsia="bg-BG"/>
        </w:rPr>
        <w:t xml:space="preserve">Криви на </w:t>
      </w:r>
      <w:r w:rsidRPr="004E5B9A">
        <w:rPr>
          <w:rFonts w:eastAsia="Times New Roman" w:cs="Arial"/>
          <w:b/>
          <w:bCs/>
          <w:color w:val="000000"/>
          <w:lang w:val="en-US"/>
        </w:rPr>
        <w:t xml:space="preserve">Kaplan-Meier </w:t>
      </w:r>
      <w:r w:rsidRPr="004E5B9A">
        <w:rPr>
          <w:rFonts w:eastAsia="Times New Roman" w:cs="Arial"/>
          <w:b/>
          <w:bCs/>
          <w:color w:val="000000"/>
          <w:lang w:eastAsia="bg-BG"/>
        </w:rPr>
        <w:t xml:space="preserve">за обща преживяемост </w:t>
      </w:r>
      <w:r w:rsidRPr="004E5B9A">
        <w:rPr>
          <w:rFonts w:eastAsia="Times New Roman" w:cs="Arial"/>
          <w:b/>
          <w:bCs/>
          <w:color w:val="000000"/>
          <w:lang w:val="en-US"/>
        </w:rPr>
        <w:t xml:space="preserve">(intent-to-treat </w:t>
      </w:r>
      <w:r w:rsidRPr="004E5B9A">
        <w:rPr>
          <w:rFonts w:eastAsia="Times New Roman" w:cs="Arial"/>
          <w:b/>
          <w:bCs/>
          <w:color w:val="000000"/>
          <w:lang w:eastAsia="bg-BG"/>
        </w:rPr>
        <w:t>популация) -</w:t>
      </w:r>
    </w:p>
    <w:p w14:paraId="79E7D569" w14:textId="7D637121" w:rsidR="004E5B9A" w:rsidRPr="004E5B9A" w:rsidRDefault="004E5B9A" w:rsidP="004E5B9A">
      <w:pPr>
        <w:jc w:val="center"/>
        <w:rPr>
          <w:rFonts w:cs="Arial"/>
        </w:rPr>
      </w:pPr>
      <w:r w:rsidRPr="004E5B9A">
        <w:rPr>
          <w:rFonts w:eastAsia="Times New Roman" w:cs="Arial"/>
          <w:b/>
          <w:bCs/>
          <w:color w:val="000000"/>
          <w:lang w:eastAsia="bg-BG"/>
        </w:rPr>
        <w:t xml:space="preserve">проучване </w:t>
      </w:r>
      <w:r w:rsidRPr="004E5B9A">
        <w:rPr>
          <w:rFonts w:eastAsia="Times New Roman" w:cs="Arial"/>
          <w:b/>
          <w:bCs/>
          <w:color w:val="000000"/>
          <w:lang w:val="en-US"/>
        </w:rPr>
        <w:t xml:space="preserve">PALOMA3 </w:t>
      </w:r>
      <w:r w:rsidRPr="004E5B9A">
        <w:rPr>
          <w:rFonts w:eastAsia="Times New Roman" w:cs="Arial"/>
          <w:b/>
          <w:bCs/>
          <w:color w:val="000000"/>
          <w:lang w:eastAsia="bg-BG"/>
        </w:rPr>
        <w:t>(дата на заключване на базата данни 13 април 2018 г.)</w:t>
      </w:r>
    </w:p>
    <w:p w14:paraId="7F0F2B56" w14:textId="71E28D31" w:rsidR="004E5B9A" w:rsidRDefault="004E5B9A" w:rsidP="0091385D"/>
    <w:p w14:paraId="1B4F75A8" w14:textId="7FBAE94E" w:rsidR="004E5B9A" w:rsidRDefault="004E5B9A" w:rsidP="0091385D">
      <w:r>
        <w:rPr>
          <w:noProof/>
          <w:lang w:eastAsia="bg-BG"/>
        </w:rPr>
        <w:drawing>
          <wp:inline distT="0" distB="0" distL="0" distR="0" wp14:anchorId="40955264" wp14:editId="206AF8AC">
            <wp:extent cx="3343742" cy="2591162"/>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9399393993.png"/>
                    <pic:cNvPicPr/>
                  </pic:nvPicPr>
                  <pic:blipFill>
                    <a:blip r:embed="rId7">
                      <a:extLst>
                        <a:ext uri="{28A0092B-C50C-407E-A947-70E740481C1C}">
                          <a14:useLocalDpi xmlns:a14="http://schemas.microsoft.com/office/drawing/2010/main" val="0"/>
                        </a:ext>
                      </a:extLst>
                    </a:blip>
                    <a:stretch>
                      <a:fillRect/>
                    </a:stretch>
                  </pic:blipFill>
                  <pic:spPr>
                    <a:xfrm>
                      <a:off x="0" y="0"/>
                      <a:ext cx="3343742" cy="2591162"/>
                    </a:xfrm>
                    <a:prstGeom prst="rect">
                      <a:avLst/>
                    </a:prstGeom>
                  </pic:spPr>
                </pic:pic>
              </a:graphicData>
            </a:graphic>
          </wp:inline>
        </w:drawing>
      </w:r>
    </w:p>
    <w:p w14:paraId="1064461D" w14:textId="42D2A511" w:rsidR="004E5B9A" w:rsidRPr="004E5B9A" w:rsidRDefault="004E5B9A" w:rsidP="0091385D">
      <w:pPr>
        <w:rPr>
          <w:rFonts w:cs="Arial"/>
        </w:rPr>
      </w:pPr>
    </w:p>
    <w:p w14:paraId="17499E0F" w14:textId="77777777" w:rsidR="004E5B9A" w:rsidRPr="004E5B9A" w:rsidRDefault="004E5B9A" w:rsidP="004E5B9A">
      <w:pPr>
        <w:spacing w:line="240" w:lineRule="auto"/>
        <w:rPr>
          <w:rFonts w:eastAsia="Times New Roman" w:cs="Arial"/>
          <w:lang w:eastAsia="bg-BG"/>
        </w:rPr>
      </w:pPr>
      <w:r w:rsidRPr="004E5B9A">
        <w:rPr>
          <w:rFonts w:eastAsia="Times New Roman" w:cs="Arial"/>
          <w:color w:val="000000"/>
          <w:lang w:val="en-US"/>
        </w:rPr>
        <w:t>FUL</w:t>
      </w:r>
      <w:r w:rsidRPr="004E5B9A">
        <w:rPr>
          <w:rFonts w:eastAsia="Times New Roman" w:cs="Arial"/>
          <w:color w:val="000000"/>
          <w:lang w:eastAsia="bg-BG"/>
        </w:rPr>
        <w:t xml:space="preserve">=фулвестрант; </w:t>
      </w:r>
      <w:r w:rsidRPr="004E5B9A">
        <w:rPr>
          <w:rFonts w:eastAsia="Times New Roman" w:cs="Arial"/>
          <w:color w:val="000000"/>
          <w:lang w:val="en-US"/>
        </w:rPr>
        <w:t>PAL</w:t>
      </w:r>
      <w:r w:rsidRPr="004E5B9A">
        <w:rPr>
          <w:rFonts w:eastAsia="Times New Roman" w:cs="Arial"/>
          <w:color w:val="000000"/>
          <w:lang w:eastAsia="bg-BG"/>
        </w:rPr>
        <w:t>=палбоциклиб; РСВ=плацебо.</w:t>
      </w:r>
    </w:p>
    <w:p w14:paraId="5E8A2972" w14:textId="77777777" w:rsidR="004E5B9A" w:rsidRPr="004E5B9A" w:rsidRDefault="004E5B9A" w:rsidP="004E5B9A">
      <w:pPr>
        <w:spacing w:line="240" w:lineRule="auto"/>
        <w:rPr>
          <w:rFonts w:eastAsia="Times New Roman" w:cs="Arial"/>
          <w:color w:val="000000"/>
          <w:lang w:eastAsia="bg-BG"/>
        </w:rPr>
      </w:pPr>
    </w:p>
    <w:p w14:paraId="7E41624A" w14:textId="07FF0C5E" w:rsidR="004E5B9A" w:rsidRPr="004E5B9A" w:rsidRDefault="004E5B9A" w:rsidP="004E5B9A">
      <w:pPr>
        <w:spacing w:line="240" w:lineRule="auto"/>
        <w:rPr>
          <w:rFonts w:eastAsia="Times New Roman" w:cs="Arial"/>
          <w:lang w:eastAsia="bg-BG"/>
        </w:rPr>
      </w:pPr>
      <w:r w:rsidRPr="004E5B9A">
        <w:rPr>
          <w:rFonts w:eastAsia="Times New Roman" w:cs="Arial"/>
          <w:color w:val="000000"/>
          <w:lang w:eastAsia="bg-BG"/>
        </w:rPr>
        <w:t>Допълнителни измерители за ефикасност (обективен отговор и време до туморен отговор), оценени в подгрупата пациенти със или без висцерално заболяване, са показани в Таблица 6.</w:t>
      </w:r>
    </w:p>
    <w:p w14:paraId="387A4FEC" w14:textId="77777777" w:rsidR="004E5B9A" w:rsidRPr="004E5B9A" w:rsidRDefault="004E5B9A" w:rsidP="004E5B9A">
      <w:pPr>
        <w:rPr>
          <w:rFonts w:eastAsia="Times New Roman" w:cs="Arial"/>
          <w:b/>
          <w:bCs/>
          <w:color w:val="000000"/>
          <w:lang w:eastAsia="bg-BG"/>
        </w:rPr>
      </w:pPr>
    </w:p>
    <w:p w14:paraId="26135B10" w14:textId="4758F211" w:rsidR="004E5B9A" w:rsidRPr="004E5B9A" w:rsidRDefault="004E5B9A" w:rsidP="004E5B9A">
      <w:pPr>
        <w:jc w:val="center"/>
        <w:rPr>
          <w:rFonts w:eastAsia="Times New Roman" w:cs="Arial"/>
          <w:b/>
          <w:bCs/>
          <w:color w:val="000000"/>
          <w:lang w:eastAsia="bg-BG"/>
        </w:rPr>
      </w:pPr>
      <w:r w:rsidRPr="004E5B9A">
        <w:rPr>
          <w:rFonts w:eastAsia="Times New Roman" w:cs="Arial"/>
          <w:b/>
          <w:bCs/>
          <w:color w:val="000000"/>
          <w:lang w:eastAsia="bg-BG"/>
        </w:rPr>
        <w:t xml:space="preserve">Таблица 6 Резултати за ефикасност при висцерално и невисцерално заболяване от проучването </w:t>
      </w:r>
      <w:r w:rsidRPr="004E5B9A">
        <w:rPr>
          <w:rFonts w:eastAsia="Times New Roman" w:cs="Arial"/>
          <w:b/>
          <w:bCs/>
          <w:color w:val="000000"/>
          <w:lang w:val="en-US"/>
        </w:rPr>
        <w:t xml:space="preserve">PALOMA3 </w:t>
      </w:r>
      <w:r w:rsidRPr="004E5B9A">
        <w:rPr>
          <w:rFonts w:eastAsia="Times New Roman" w:cs="Arial"/>
          <w:b/>
          <w:bCs/>
          <w:i/>
          <w:iCs/>
          <w:color w:val="000000"/>
          <w:lang w:val="en-US"/>
        </w:rPr>
        <w:t>(intent-to-treat</w:t>
      </w:r>
      <w:r w:rsidRPr="004E5B9A">
        <w:rPr>
          <w:rFonts w:eastAsia="Times New Roman" w:cs="Arial"/>
          <w:b/>
          <w:bCs/>
          <w:color w:val="000000"/>
          <w:lang w:val="en-US"/>
        </w:rPr>
        <w:t xml:space="preserve"> </w:t>
      </w:r>
      <w:r w:rsidRPr="004E5B9A">
        <w:rPr>
          <w:rFonts w:eastAsia="Times New Roman" w:cs="Arial"/>
          <w:b/>
          <w:bCs/>
          <w:color w:val="000000"/>
          <w:lang w:eastAsia="bg-BG"/>
        </w:rPr>
        <w:t>популация)</w:t>
      </w:r>
    </w:p>
    <w:p w14:paraId="3A4B4E24" w14:textId="76019E5B" w:rsidR="004E5B9A" w:rsidRPr="004E5B9A" w:rsidRDefault="004E5B9A" w:rsidP="004E5B9A">
      <w:pPr>
        <w:rPr>
          <w:rFonts w:eastAsia="Times New Roman" w:cs="Arial"/>
          <w:b/>
          <w:bCs/>
          <w:color w:val="000000"/>
          <w:lang w:eastAsia="bg-BG"/>
        </w:rPr>
      </w:pPr>
    </w:p>
    <w:tbl>
      <w:tblPr>
        <w:tblStyle w:val="TableGrid"/>
        <w:tblW w:w="0" w:type="auto"/>
        <w:tblLook w:val="04A0" w:firstRow="1" w:lastRow="0" w:firstColumn="1" w:lastColumn="0" w:noHBand="0" w:noVBand="1"/>
      </w:tblPr>
      <w:tblGrid>
        <w:gridCol w:w="1870"/>
        <w:gridCol w:w="1870"/>
        <w:gridCol w:w="1870"/>
        <w:gridCol w:w="1870"/>
        <w:gridCol w:w="1870"/>
      </w:tblGrid>
      <w:tr w:rsidR="004E5B9A" w:rsidRPr="004E5B9A" w14:paraId="3007B42F" w14:textId="77777777" w:rsidTr="000E4E64">
        <w:tc>
          <w:tcPr>
            <w:tcW w:w="1870" w:type="dxa"/>
            <w:vMerge w:val="restart"/>
          </w:tcPr>
          <w:p w14:paraId="77474976" w14:textId="77777777" w:rsidR="004E5B9A" w:rsidRPr="004E5B9A" w:rsidRDefault="004E5B9A" w:rsidP="004E5B9A">
            <w:pPr>
              <w:rPr>
                <w:rFonts w:cs="Arial"/>
              </w:rPr>
            </w:pPr>
          </w:p>
        </w:tc>
        <w:tc>
          <w:tcPr>
            <w:tcW w:w="3740" w:type="dxa"/>
            <w:gridSpan w:val="2"/>
          </w:tcPr>
          <w:p w14:paraId="3FB0C372" w14:textId="1D3D1D47" w:rsidR="004E5B9A" w:rsidRPr="004E5B9A" w:rsidRDefault="004E5B9A" w:rsidP="004E5B9A">
            <w:pPr>
              <w:rPr>
                <w:rFonts w:cs="Arial"/>
              </w:rPr>
            </w:pPr>
            <w:r w:rsidRPr="004E5B9A">
              <w:rPr>
                <w:rFonts w:cs="Arial"/>
                <w:b/>
                <w:bCs/>
              </w:rPr>
              <w:t>Висцерално заболяване</w:t>
            </w:r>
          </w:p>
        </w:tc>
        <w:tc>
          <w:tcPr>
            <w:tcW w:w="3740" w:type="dxa"/>
            <w:gridSpan w:val="2"/>
          </w:tcPr>
          <w:p w14:paraId="63A0EF42" w14:textId="4C98E3A4" w:rsidR="004E5B9A" w:rsidRPr="004E5B9A" w:rsidRDefault="004E5B9A" w:rsidP="004E5B9A">
            <w:pPr>
              <w:rPr>
                <w:rFonts w:cs="Arial"/>
              </w:rPr>
            </w:pPr>
            <w:r w:rsidRPr="004E5B9A">
              <w:rPr>
                <w:rFonts w:cs="Arial"/>
                <w:b/>
                <w:bCs/>
              </w:rPr>
              <w:t>Невисцерално заболяване</w:t>
            </w:r>
          </w:p>
        </w:tc>
      </w:tr>
      <w:tr w:rsidR="004E5B9A" w:rsidRPr="004E5B9A" w14:paraId="3914256E" w14:textId="77777777" w:rsidTr="004E5B9A">
        <w:tc>
          <w:tcPr>
            <w:tcW w:w="1870" w:type="dxa"/>
            <w:vMerge/>
          </w:tcPr>
          <w:p w14:paraId="3298368F" w14:textId="77777777" w:rsidR="004E5B9A" w:rsidRPr="004E5B9A" w:rsidRDefault="004E5B9A" w:rsidP="004E5B9A">
            <w:pPr>
              <w:rPr>
                <w:rFonts w:cs="Arial"/>
              </w:rPr>
            </w:pPr>
          </w:p>
        </w:tc>
        <w:tc>
          <w:tcPr>
            <w:tcW w:w="1870" w:type="dxa"/>
          </w:tcPr>
          <w:p w14:paraId="1471CA5E" w14:textId="51021FD0" w:rsidR="004E5B9A" w:rsidRPr="004E5B9A" w:rsidRDefault="004E5B9A" w:rsidP="004E5B9A">
            <w:pPr>
              <w:rPr>
                <w:rFonts w:cs="Arial"/>
              </w:rPr>
            </w:pPr>
            <w:r w:rsidRPr="004E5B9A">
              <w:rPr>
                <w:rFonts w:cs="Arial"/>
                <w:b/>
                <w:bCs/>
              </w:rPr>
              <w:t xml:space="preserve">Фулвестрант плюс палбоциклиб </w:t>
            </w:r>
            <w:r w:rsidRPr="004E5B9A">
              <w:rPr>
                <w:rFonts w:cs="Arial"/>
                <w:b/>
                <w:bCs/>
                <w:lang w:val="en-US"/>
              </w:rPr>
              <w:t>(N=206)</w:t>
            </w:r>
          </w:p>
        </w:tc>
        <w:tc>
          <w:tcPr>
            <w:tcW w:w="1870" w:type="dxa"/>
          </w:tcPr>
          <w:p w14:paraId="6C6D3763" w14:textId="598B54EA" w:rsidR="004E5B9A" w:rsidRPr="004E5B9A" w:rsidRDefault="004E5B9A" w:rsidP="004E5B9A">
            <w:pPr>
              <w:rPr>
                <w:rFonts w:cs="Arial"/>
              </w:rPr>
            </w:pPr>
            <w:r w:rsidRPr="004E5B9A">
              <w:rPr>
                <w:rFonts w:cs="Arial"/>
                <w:b/>
                <w:bCs/>
              </w:rPr>
              <w:t xml:space="preserve">Фулвестрант плюс плацебо </w:t>
            </w:r>
            <w:r w:rsidRPr="004E5B9A">
              <w:rPr>
                <w:rFonts w:cs="Arial"/>
                <w:b/>
                <w:bCs/>
                <w:lang w:val="en-US"/>
              </w:rPr>
              <w:t>(N=105)</w:t>
            </w:r>
          </w:p>
        </w:tc>
        <w:tc>
          <w:tcPr>
            <w:tcW w:w="1870" w:type="dxa"/>
          </w:tcPr>
          <w:p w14:paraId="34F2B67E" w14:textId="5145737E" w:rsidR="004E5B9A" w:rsidRPr="004E5B9A" w:rsidRDefault="004E5B9A" w:rsidP="004E5B9A">
            <w:pPr>
              <w:rPr>
                <w:rFonts w:cs="Arial"/>
              </w:rPr>
            </w:pPr>
            <w:r w:rsidRPr="004E5B9A">
              <w:rPr>
                <w:rFonts w:cs="Arial"/>
                <w:b/>
                <w:bCs/>
              </w:rPr>
              <w:t xml:space="preserve">Фулвестрант плюс палбоциклиб </w:t>
            </w:r>
            <w:r w:rsidRPr="004E5B9A">
              <w:rPr>
                <w:rFonts w:cs="Arial"/>
                <w:b/>
                <w:bCs/>
                <w:lang w:val="en-US"/>
              </w:rPr>
              <w:t>(N=141)</w:t>
            </w:r>
          </w:p>
        </w:tc>
        <w:tc>
          <w:tcPr>
            <w:tcW w:w="1870" w:type="dxa"/>
          </w:tcPr>
          <w:p w14:paraId="5E4FDE68" w14:textId="706C847C" w:rsidR="004E5B9A" w:rsidRPr="004E5B9A" w:rsidRDefault="004E5B9A" w:rsidP="004E5B9A">
            <w:pPr>
              <w:rPr>
                <w:rFonts w:cs="Arial"/>
              </w:rPr>
            </w:pPr>
            <w:r w:rsidRPr="004E5B9A">
              <w:rPr>
                <w:rFonts w:cs="Arial"/>
                <w:b/>
                <w:bCs/>
              </w:rPr>
              <w:t xml:space="preserve">Фулвестрант плюс плацебо </w:t>
            </w:r>
            <w:r w:rsidRPr="004E5B9A">
              <w:rPr>
                <w:rFonts w:cs="Arial"/>
                <w:b/>
                <w:bCs/>
                <w:lang w:val="en-US"/>
              </w:rPr>
              <w:t>(N=69)</w:t>
            </w:r>
          </w:p>
        </w:tc>
      </w:tr>
      <w:tr w:rsidR="004E5B9A" w:rsidRPr="004E5B9A" w14:paraId="720FB55C" w14:textId="77777777" w:rsidTr="004E5B9A">
        <w:tc>
          <w:tcPr>
            <w:tcW w:w="1870" w:type="dxa"/>
          </w:tcPr>
          <w:p w14:paraId="54ECCB25" w14:textId="0E236F7A" w:rsidR="004E5B9A" w:rsidRPr="004E5B9A" w:rsidRDefault="004E5B9A" w:rsidP="004E5B9A">
            <w:pPr>
              <w:rPr>
                <w:rFonts w:cs="Arial"/>
              </w:rPr>
            </w:pPr>
            <w:r w:rsidRPr="004E5B9A">
              <w:rPr>
                <w:rFonts w:cs="Arial"/>
                <w:b/>
                <w:bCs/>
              </w:rPr>
              <w:t xml:space="preserve">Обективен отговор </w:t>
            </w:r>
            <w:r w:rsidRPr="004E5B9A">
              <w:rPr>
                <w:rFonts w:cs="Arial"/>
                <w:b/>
                <w:bCs/>
                <w:lang w:val="en-US"/>
              </w:rPr>
              <w:t>[% (95 % CI)]</w:t>
            </w:r>
          </w:p>
        </w:tc>
        <w:tc>
          <w:tcPr>
            <w:tcW w:w="1870" w:type="dxa"/>
          </w:tcPr>
          <w:p w14:paraId="1B3A30A5" w14:textId="00785A7D" w:rsidR="004E5B9A" w:rsidRPr="004E5B9A" w:rsidRDefault="004E5B9A" w:rsidP="004E5B9A">
            <w:pPr>
              <w:rPr>
                <w:rFonts w:cs="Arial"/>
              </w:rPr>
            </w:pPr>
            <w:r w:rsidRPr="004E5B9A">
              <w:rPr>
                <w:rFonts w:cs="Arial"/>
              </w:rPr>
              <w:t>35,0 (28,5; 41,9)</w:t>
            </w:r>
          </w:p>
        </w:tc>
        <w:tc>
          <w:tcPr>
            <w:tcW w:w="1870" w:type="dxa"/>
          </w:tcPr>
          <w:p w14:paraId="2268FA7E" w14:textId="2434259C" w:rsidR="004E5B9A" w:rsidRPr="004E5B9A" w:rsidRDefault="004E5B9A" w:rsidP="004E5B9A">
            <w:pPr>
              <w:rPr>
                <w:rFonts w:cs="Arial"/>
              </w:rPr>
            </w:pPr>
            <w:r w:rsidRPr="004E5B9A">
              <w:rPr>
                <w:rFonts w:cs="Arial"/>
              </w:rPr>
              <w:t>13,3 (7,5; 21,4)</w:t>
            </w:r>
          </w:p>
        </w:tc>
        <w:tc>
          <w:tcPr>
            <w:tcW w:w="1870" w:type="dxa"/>
          </w:tcPr>
          <w:p w14:paraId="305E715E" w14:textId="7F938DFD" w:rsidR="004E5B9A" w:rsidRPr="004E5B9A" w:rsidRDefault="004E5B9A" w:rsidP="004E5B9A">
            <w:pPr>
              <w:rPr>
                <w:rFonts w:cs="Arial"/>
              </w:rPr>
            </w:pPr>
            <w:r w:rsidRPr="004E5B9A">
              <w:rPr>
                <w:rFonts w:cs="Arial"/>
              </w:rPr>
              <w:t>13,5 (8,3; 20,2)</w:t>
            </w:r>
          </w:p>
        </w:tc>
        <w:tc>
          <w:tcPr>
            <w:tcW w:w="1870" w:type="dxa"/>
          </w:tcPr>
          <w:p w14:paraId="322FE277" w14:textId="5ABB10B7" w:rsidR="004E5B9A" w:rsidRPr="004E5B9A" w:rsidRDefault="004E5B9A" w:rsidP="004E5B9A">
            <w:pPr>
              <w:rPr>
                <w:rFonts w:cs="Arial"/>
              </w:rPr>
            </w:pPr>
            <w:r w:rsidRPr="004E5B9A">
              <w:rPr>
                <w:rFonts w:cs="Arial"/>
              </w:rPr>
              <w:t>14,5 (7,2; 25,0)</w:t>
            </w:r>
          </w:p>
        </w:tc>
      </w:tr>
      <w:tr w:rsidR="004E5B9A" w:rsidRPr="004E5B9A" w14:paraId="0565B9C1" w14:textId="77777777" w:rsidTr="004E5B9A">
        <w:tc>
          <w:tcPr>
            <w:tcW w:w="1870" w:type="dxa"/>
          </w:tcPr>
          <w:p w14:paraId="5FAD8B39" w14:textId="557D30FE" w:rsidR="004E5B9A" w:rsidRPr="004E5B9A" w:rsidRDefault="004E5B9A" w:rsidP="004E5B9A">
            <w:pPr>
              <w:rPr>
                <w:rFonts w:cs="Arial"/>
              </w:rPr>
            </w:pPr>
            <w:r w:rsidRPr="004E5B9A">
              <w:rPr>
                <w:rFonts w:cs="Arial"/>
                <w:b/>
                <w:bCs/>
              </w:rPr>
              <w:t xml:space="preserve">Време до туморен отговор, Медиана </w:t>
            </w:r>
            <w:r w:rsidRPr="004E5B9A">
              <w:rPr>
                <w:rFonts w:cs="Arial"/>
                <w:b/>
                <w:bCs/>
              </w:rPr>
              <w:lastRenderedPageBreak/>
              <w:t>[месеци (диапазон)]</w:t>
            </w:r>
          </w:p>
        </w:tc>
        <w:tc>
          <w:tcPr>
            <w:tcW w:w="1870" w:type="dxa"/>
          </w:tcPr>
          <w:p w14:paraId="1FC2ECD7" w14:textId="3ECD6B6C" w:rsidR="004E5B9A" w:rsidRPr="004E5B9A" w:rsidRDefault="004E5B9A" w:rsidP="004E5B9A">
            <w:pPr>
              <w:rPr>
                <w:rFonts w:cs="Arial"/>
              </w:rPr>
            </w:pPr>
            <w:r w:rsidRPr="004E5B9A">
              <w:rPr>
                <w:rFonts w:cs="Arial"/>
              </w:rPr>
              <w:lastRenderedPageBreak/>
              <w:t>3,8 (3,5; 16,7)</w:t>
            </w:r>
          </w:p>
        </w:tc>
        <w:tc>
          <w:tcPr>
            <w:tcW w:w="1870" w:type="dxa"/>
          </w:tcPr>
          <w:p w14:paraId="1404B37F" w14:textId="699EDE55" w:rsidR="004E5B9A" w:rsidRPr="004E5B9A" w:rsidRDefault="004E5B9A" w:rsidP="004E5B9A">
            <w:pPr>
              <w:rPr>
                <w:rFonts w:cs="Arial"/>
              </w:rPr>
            </w:pPr>
            <w:r w:rsidRPr="004E5B9A">
              <w:rPr>
                <w:rFonts w:cs="Arial"/>
              </w:rPr>
              <w:t>5,4 (3,5; 16,7)</w:t>
            </w:r>
          </w:p>
        </w:tc>
        <w:tc>
          <w:tcPr>
            <w:tcW w:w="1870" w:type="dxa"/>
          </w:tcPr>
          <w:p w14:paraId="1366DC3E" w14:textId="0EC44364" w:rsidR="004E5B9A" w:rsidRPr="004E5B9A" w:rsidRDefault="004E5B9A" w:rsidP="004E5B9A">
            <w:pPr>
              <w:rPr>
                <w:rFonts w:cs="Arial"/>
              </w:rPr>
            </w:pPr>
            <w:r w:rsidRPr="004E5B9A">
              <w:rPr>
                <w:rFonts w:cs="Arial"/>
              </w:rPr>
              <w:t>3,7 (1,9; 13,7)</w:t>
            </w:r>
          </w:p>
        </w:tc>
        <w:tc>
          <w:tcPr>
            <w:tcW w:w="1870" w:type="dxa"/>
          </w:tcPr>
          <w:p w14:paraId="6C1BE67A" w14:textId="1A5A0502" w:rsidR="004E5B9A" w:rsidRPr="004E5B9A" w:rsidRDefault="004E5B9A" w:rsidP="004E5B9A">
            <w:pPr>
              <w:rPr>
                <w:rFonts w:cs="Arial"/>
              </w:rPr>
            </w:pPr>
            <w:r w:rsidRPr="004E5B9A">
              <w:rPr>
                <w:rFonts w:cs="Arial"/>
              </w:rPr>
              <w:t>3,6 (3,4; 3,7)</w:t>
            </w:r>
          </w:p>
        </w:tc>
      </w:tr>
    </w:tbl>
    <w:p w14:paraId="109928DE" w14:textId="77777777" w:rsidR="004E5B9A" w:rsidRPr="004E5B9A" w:rsidRDefault="004E5B9A" w:rsidP="004E5B9A">
      <w:pPr>
        <w:spacing w:line="240" w:lineRule="auto"/>
        <w:rPr>
          <w:rFonts w:eastAsia="Times New Roman" w:cs="Arial"/>
          <w:sz w:val="32"/>
          <w:szCs w:val="24"/>
          <w:lang w:eastAsia="bg-BG"/>
        </w:rPr>
      </w:pPr>
      <w:r w:rsidRPr="004E5B9A">
        <w:rPr>
          <w:rFonts w:eastAsia="Times New Roman" w:cs="Arial"/>
          <w:color w:val="000000"/>
          <w:sz w:val="20"/>
          <w:szCs w:val="17"/>
          <w:lang w:eastAsia="bg-BG"/>
        </w:rPr>
        <w:t>*Резултати за отговор, основани на потвърдени и непотнърдени отговори.</w:t>
      </w:r>
    </w:p>
    <w:p w14:paraId="5EC17FBF" w14:textId="77777777" w:rsidR="004E5B9A" w:rsidRPr="004E5B9A" w:rsidRDefault="004E5B9A" w:rsidP="004E5B9A">
      <w:pPr>
        <w:spacing w:line="240" w:lineRule="auto"/>
        <w:rPr>
          <w:rFonts w:eastAsia="Times New Roman" w:cs="Arial"/>
          <w:sz w:val="32"/>
          <w:szCs w:val="24"/>
          <w:lang w:eastAsia="bg-BG"/>
        </w:rPr>
      </w:pPr>
      <w:r w:rsidRPr="004E5B9A">
        <w:rPr>
          <w:rFonts w:eastAsia="Times New Roman" w:cs="Arial"/>
          <w:color w:val="000000"/>
          <w:sz w:val="20"/>
          <w:szCs w:val="17"/>
          <w:lang w:val="en-US"/>
        </w:rPr>
        <w:t>N=6po</w:t>
      </w:r>
      <w:r w:rsidRPr="004E5B9A">
        <w:rPr>
          <w:rFonts w:eastAsia="Times New Roman" w:cs="Arial"/>
          <w:color w:val="000000"/>
          <w:sz w:val="20"/>
          <w:szCs w:val="17"/>
          <w:lang w:eastAsia="bg-BG"/>
        </w:rPr>
        <w:t>й</w:t>
      </w:r>
      <w:r w:rsidRPr="004E5B9A">
        <w:rPr>
          <w:rFonts w:eastAsia="Times New Roman" w:cs="Arial"/>
          <w:color w:val="000000"/>
          <w:sz w:val="20"/>
          <w:szCs w:val="17"/>
          <w:lang w:val="en-US"/>
        </w:rPr>
        <w:t xml:space="preserve"> </w:t>
      </w:r>
      <w:r w:rsidRPr="004E5B9A">
        <w:rPr>
          <w:rFonts w:eastAsia="Times New Roman" w:cs="Arial"/>
          <w:color w:val="000000"/>
          <w:sz w:val="20"/>
          <w:szCs w:val="17"/>
          <w:lang w:eastAsia="bg-BG"/>
        </w:rPr>
        <w:t>пациенти; С</w:t>
      </w:r>
      <w:r w:rsidRPr="004E5B9A">
        <w:rPr>
          <w:rFonts w:eastAsia="Times New Roman" w:cs="Arial"/>
          <w:color w:val="000000"/>
          <w:sz w:val="20"/>
          <w:szCs w:val="17"/>
          <w:lang w:val="en-US"/>
        </w:rPr>
        <w:t>I</w:t>
      </w:r>
      <w:r w:rsidRPr="004E5B9A">
        <w:rPr>
          <w:rFonts w:eastAsia="Times New Roman" w:cs="Arial"/>
          <w:color w:val="000000"/>
          <w:sz w:val="20"/>
          <w:szCs w:val="17"/>
          <w:lang w:eastAsia="bg-BG"/>
        </w:rPr>
        <w:t>=доверителен интервал.</w:t>
      </w:r>
    </w:p>
    <w:p w14:paraId="65F02B36" w14:textId="77777777" w:rsidR="004E5B9A" w:rsidRDefault="004E5B9A" w:rsidP="004E5B9A">
      <w:pPr>
        <w:rPr>
          <w:rFonts w:ascii="Times New Roman" w:eastAsia="Times New Roman" w:hAnsi="Times New Roman" w:cs="Times New Roman"/>
          <w:color w:val="000000"/>
          <w:sz w:val="20"/>
          <w:szCs w:val="20"/>
          <w:lang w:eastAsia="bg-BG"/>
        </w:rPr>
      </w:pPr>
    </w:p>
    <w:p w14:paraId="0C9E62DB" w14:textId="77777777" w:rsidR="004E5B9A" w:rsidRPr="004E5B9A" w:rsidRDefault="004E5B9A" w:rsidP="004E5B9A">
      <w:pPr>
        <w:rPr>
          <w:rFonts w:eastAsia="Times New Roman" w:cs="Arial"/>
          <w:sz w:val="28"/>
          <w:szCs w:val="24"/>
          <w:lang w:eastAsia="bg-BG"/>
        </w:rPr>
      </w:pPr>
      <w:r w:rsidRPr="004E5B9A">
        <w:rPr>
          <w:rFonts w:eastAsia="Times New Roman" w:cs="Arial"/>
          <w:color w:val="000000"/>
          <w:szCs w:val="20"/>
          <w:lang w:eastAsia="bg-BG"/>
        </w:rPr>
        <w:t xml:space="preserve">Съобщените от </w:t>
      </w:r>
      <w:r w:rsidRPr="004E5B9A">
        <w:rPr>
          <w:rFonts w:eastAsia="Times New Roman" w:cs="Arial"/>
          <w:i/>
          <w:iCs/>
          <w:color w:val="000000"/>
          <w:szCs w:val="20"/>
          <w:lang w:eastAsia="bg-BG"/>
        </w:rPr>
        <w:t>пациентите симптоми са</w:t>
      </w:r>
      <w:r w:rsidRPr="004E5B9A">
        <w:rPr>
          <w:rFonts w:eastAsia="Times New Roman" w:cs="Arial"/>
          <w:color w:val="000000"/>
          <w:szCs w:val="20"/>
          <w:lang w:eastAsia="bg-BG"/>
        </w:rPr>
        <w:t xml:space="preserve"> оценени чрез използване на въпросника на Европейска организация за изследване и лечение на рака </w:t>
      </w:r>
      <w:r w:rsidRPr="004E5B9A">
        <w:rPr>
          <w:rFonts w:eastAsia="Times New Roman" w:cs="Arial"/>
          <w:color w:val="000000"/>
          <w:szCs w:val="20"/>
          <w:lang w:val="en-US"/>
        </w:rPr>
        <w:t xml:space="preserve">(European Organization for Research and Treatment of Cancer, EORTC) </w:t>
      </w:r>
      <w:r w:rsidRPr="004E5B9A">
        <w:rPr>
          <w:rFonts w:eastAsia="Times New Roman" w:cs="Arial"/>
          <w:color w:val="000000"/>
          <w:szCs w:val="20"/>
          <w:lang w:eastAsia="bg-BG"/>
        </w:rPr>
        <w:t xml:space="preserve">за качество на живот </w:t>
      </w:r>
      <w:r w:rsidRPr="004E5B9A">
        <w:rPr>
          <w:rFonts w:eastAsia="Times New Roman" w:cs="Arial"/>
          <w:color w:val="000000"/>
          <w:szCs w:val="20"/>
          <w:lang w:val="en-US"/>
        </w:rPr>
        <w:t xml:space="preserve">(quality of life questionnaire, QLQ)-C30 </w:t>
      </w:r>
      <w:r w:rsidRPr="004E5B9A">
        <w:rPr>
          <w:rFonts w:eastAsia="Times New Roman" w:cs="Arial"/>
          <w:color w:val="000000"/>
          <w:szCs w:val="20"/>
          <w:lang w:eastAsia="bg-BG"/>
        </w:rPr>
        <w:t>и неговия модул за</w:t>
      </w:r>
      <w:r w:rsidRPr="004E5B9A">
        <w:rPr>
          <w:rFonts w:eastAsia="Times New Roman" w:cs="Arial"/>
          <w:color w:val="000000"/>
          <w:szCs w:val="20"/>
          <w:lang w:val="en-US" w:eastAsia="bg-BG"/>
        </w:rPr>
        <w:t xml:space="preserve"> </w:t>
      </w:r>
      <w:r w:rsidRPr="004E5B9A">
        <w:rPr>
          <w:rFonts w:eastAsia="Times New Roman" w:cs="Arial"/>
          <w:color w:val="000000"/>
          <w:szCs w:val="20"/>
          <w:lang w:eastAsia="bg-BG"/>
        </w:rPr>
        <w:t xml:space="preserve">рак на млечната жлеза </w:t>
      </w:r>
      <w:r w:rsidRPr="004E5B9A">
        <w:rPr>
          <w:rFonts w:eastAsia="Times New Roman" w:cs="Arial"/>
          <w:color w:val="000000"/>
          <w:szCs w:val="20"/>
          <w:lang w:val="en-US"/>
        </w:rPr>
        <w:t xml:space="preserve">(EORTC QLQ-BR23). </w:t>
      </w:r>
      <w:r w:rsidRPr="004E5B9A">
        <w:rPr>
          <w:rFonts w:eastAsia="Times New Roman" w:cs="Arial"/>
          <w:color w:val="000000"/>
          <w:szCs w:val="20"/>
          <w:lang w:eastAsia="bg-BG"/>
        </w:rPr>
        <w:t>Общо 335 пациенти в рамото на фулвестрант плюс палбоциклиб и 166 пациенти в рамото на фулвестрант плюс плацебо са попълнили въпросника на изходно ниво, и при поне едно посещение след изходно ниво.</w:t>
      </w:r>
    </w:p>
    <w:p w14:paraId="40000C6B" w14:textId="77777777" w:rsidR="004E5B9A" w:rsidRPr="004E5B9A" w:rsidRDefault="004E5B9A" w:rsidP="004E5B9A">
      <w:pPr>
        <w:spacing w:line="240" w:lineRule="auto"/>
        <w:rPr>
          <w:rFonts w:eastAsia="Times New Roman" w:cs="Arial"/>
          <w:color w:val="000000"/>
          <w:szCs w:val="20"/>
          <w:lang w:eastAsia="bg-BG"/>
        </w:rPr>
      </w:pPr>
    </w:p>
    <w:p w14:paraId="33432F5F" w14:textId="707B29D0" w:rsidR="004E5B9A" w:rsidRPr="004E5B9A" w:rsidRDefault="004E5B9A" w:rsidP="004E5B9A">
      <w:pPr>
        <w:spacing w:line="240" w:lineRule="auto"/>
        <w:rPr>
          <w:rFonts w:eastAsia="Times New Roman" w:cs="Arial"/>
          <w:sz w:val="28"/>
          <w:szCs w:val="24"/>
          <w:lang w:eastAsia="bg-BG"/>
        </w:rPr>
      </w:pPr>
      <w:r w:rsidRPr="004E5B9A">
        <w:rPr>
          <w:rFonts w:eastAsia="Times New Roman" w:cs="Arial"/>
          <w:color w:val="000000"/>
          <w:szCs w:val="20"/>
          <w:lang w:eastAsia="bg-BG"/>
        </w:rPr>
        <w:t>Времето до влошаване е предварително определено като времето между изходното ниво и първата поява на увеличение ≥ 10 точки спрямо изходното ниво в скоровете на симптома болка.</w:t>
      </w:r>
    </w:p>
    <w:p w14:paraId="337D11C0" w14:textId="77777777" w:rsidR="004E5B9A" w:rsidRPr="004E5B9A" w:rsidRDefault="004E5B9A" w:rsidP="004E5B9A">
      <w:pPr>
        <w:spacing w:line="240" w:lineRule="auto"/>
        <w:rPr>
          <w:rFonts w:eastAsia="Times New Roman" w:cs="Arial"/>
          <w:sz w:val="28"/>
          <w:szCs w:val="24"/>
          <w:lang w:eastAsia="bg-BG"/>
        </w:rPr>
      </w:pPr>
      <w:r w:rsidRPr="004E5B9A">
        <w:rPr>
          <w:rFonts w:eastAsia="Times New Roman" w:cs="Arial"/>
          <w:color w:val="000000"/>
          <w:szCs w:val="20"/>
          <w:lang w:eastAsia="bg-BG"/>
        </w:rPr>
        <w:t xml:space="preserve">Добавянето на палбоциклиб към фулвестрант води до полза по отношение на симптомите чрез значително удължаване на времето до влошаване на симптома болка в сравнение с фулвестрант плюс плацебо (медиана 8,0 месеца спрямо 2,8 месеца; </w:t>
      </w:r>
      <w:r w:rsidRPr="004E5B9A">
        <w:rPr>
          <w:rFonts w:eastAsia="Times New Roman" w:cs="Arial"/>
          <w:color w:val="000000"/>
          <w:szCs w:val="20"/>
          <w:lang w:val="en-US"/>
        </w:rPr>
        <w:t xml:space="preserve">HR </w:t>
      </w:r>
      <w:r w:rsidRPr="004E5B9A">
        <w:rPr>
          <w:rFonts w:eastAsia="Times New Roman" w:cs="Arial"/>
          <w:color w:val="000000"/>
          <w:szCs w:val="20"/>
          <w:lang w:eastAsia="bg-BG"/>
        </w:rPr>
        <w:t xml:space="preserve">0,64 [95% </w:t>
      </w:r>
      <w:r w:rsidRPr="004E5B9A">
        <w:rPr>
          <w:rFonts w:eastAsia="Times New Roman" w:cs="Arial"/>
          <w:color w:val="000000"/>
          <w:szCs w:val="20"/>
          <w:lang w:val="en-US"/>
        </w:rPr>
        <w:t xml:space="preserve">CI: </w:t>
      </w:r>
      <w:r w:rsidRPr="004E5B9A">
        <w:rPr>
          <w:rFonts w:eastAsia="Times New Roman" w:cs="Arial"/>
          <w:color w:val="000000"/>
          <w:szCs w:val="20"/>
          <w:lang w:eastAsia="bg-BG"/>
        </w:rPr>
        <w:t>0,49; 0,85]; р&lt;0,001).</w:t>
      </w:r>
    </w:p>
    <w:p w14:paraId="7C8D4CF9" w14:textId="77777777" w:rsidR="004E5B9A" w:rsidRPr="004E5B9A" w:rsidRDefault="004E5B9A" w:rsidP="004E5B9A">
      <w:pPr>
        <w:spacing w:line="240" w:lineRule="auto"/>
        <w:rPr>
          <w:rFonts w:eastAsia="Times New Roman" w:cs="Arial"/>
          <w:i/>
          <w:iCs/>
          <w:color w:val="000000"/>
          <w:szCs w:val="20"/>
          <w:lang w:eastAsia="bg-BG"/>
        </w:rPr>
      </w:pPr>
    </w:p>
    <w:p w14:paraId="601EBC1A" w14:textId="5CE94873" w:rsidR="004E5B9A" w:rsidRPr="004E5B9A" w:rsidRDefault="004E5B9A" w:rsidP="004E5B9A">
      <w:pPr>
        <w:spacing w:line="240" w:lineRule="auto"/>
        <w:rPr>
          <w:rFonts w:eastAsia="Times New Roman" w:cs="Arial"/>
          <w:sz w:val="28"/>
          <w:szCs w:val="24"/>
          <w:lang w:eastAsia="bg-BG"/>
        </w:rPr>
      </w:pPr>
      <w:r w:rsidRPr="004E5B9A">
        <w:rPr>
          <w:rFonts w:eastAsia="Times New Roman" w:cs="Arial"/>
          <w:i/>
          <w:iCs/>
          <w:color w:val="000000"/>
          <w:szCs w:val="20"/>
          <w:lang w:eastAsia="bg-BG"/>
        </w:rPr>
        <w:t>Ефекти върху постменопаузалния ендометриум</w:t>
      </w:r>
    </w:p>
    <w:p w14:paraId="16232AFB" w14:textId="77777777" w:rsidR="004E5B9A" w:rsidRPr="004E5B9A" w:rsidRDefault="004E5B9A" w:rsidP="004E5B9A">
      <w:pPr>
        <w:spacing w:line="240" w:lineRule="auto"/>
        <w:rPr>
          <w:rFonts w:eastAsia="Times New Roman" w:cs="Arial"/>
          <w:sz w:val="28"/>
          <w:szCs w:val="24"/>
          <w:lang w:eastAsia="bg-BG"/>
        </w:rPr>
      </w:pPr>
      <w:r w:rsidRPr="004E5B9A">
        <w:rPr>
          <w:rFonts w:eastAsia="Times New Roman" w:cs="Arial"/>
          <w:color w:val="000000"/>
          <w:szCs w:val="20"/>
          <w:lang w:eastAsia="bg-BG"/>
        </w:rPr>
        <w:t xml:space="preserve">Предклиничните данни не предполагат стимулиращ ефект на фулвестрант върху постменопаузалния ендометриум (вж. точка 5.3). Двуседмично проучване при здрави постменопаузални жени доброволци, лекувани с 20 </w:t>
      </w:r>
      <w:r w:rsidRPr="004E5B9A">
        <w:rPr>
          <w:rFonts w:eastAsia="Times New Roman" w:cs="Arial"/>
          <w:color w:val="000000"/>
          <w:szCs w:val="20"/>
          <w:lang w:val="en-US"/>
        </w:rPr>
        <w:t xml:space="preserve">micrograms </w:t>
      </w:r>
      <w:r w:rsidRPr="004E5B9A">
        <w:rPr>
          <w:rFonts w:eastAsia="Times New Roman" w:cs="Arial"/>
          <w:color w:val="000000"/>
          <w:szCs w:val="20"/>
          <w:lang w:eastAsia="bg-BG"/>
        </w:rPr>
        <w:t xml:space="preserve">етинилестрадиол дневно, показва, че предварителна терапия с фулвестрант 250 </w:t>
      </w:r>
      <w:r w:rsidRPr="004E5B9A">
        <w:rPr>
          <w:rFonts w:eastAsia="Times New Roman" w:cs="Arial"/>
          <w:color w:val="000000"/>
          <w:szCs w:val="20"/>
          <w:lang w:val="en-US"/>
        </w:rPr>
        <w:t xml:space="preserve">mg </w:t>
      </w:r>
      <w:r w:rsidRPr="004E5B9A">
        <w:rPr>
          <w:rFonts w:eastAsia="Times New Roman" w:cs="Arial"/>
          <w:color w:val="000000"/>
          <w:szCs w:val="20"/>
          <w:lang w:eastAsia="bg-BG"/>
        </w:rPr>
        <w:t>води до значително понижена стимулация на постменопаузалния ендометриум в сравнение с предварително третиране с плацебо, установено чрез ултразвуково измерване на дебелината на ендометриума.</w:t>
      </w:r>
    </w:p>
    <w:p w14:paraId="447C5F97" w14:textId="77777777" w:rsidR="004E5B9A" w:rsidRPr="004E5B9A" w:rsidRDefault="004E5B9A" w:rsidP="004E5B9A">
      <w:pPr>
        <w:spacing w:line="240" w:lineRule="auto"/>
        <w:rPr>
          <w:rFonts w:eastAsia="Times New Roman" w:cs="Arial"/>
          <w:color w:val="000000"/>
          <w:szCs w:val="20"/>
          <w:lang w:eastAsia="bg-BG"/>
        </w:rPr>
      </w:pPr>
    </w:p>
    <w:p w14:paraId="5E34AA7C" w14:textId="53CEED8F" w:rsidR="004E5B9A" w:rsidRPr="004E5B9A" w:rsidRDefault="004E5B9A" w:rsidP="004E5B9A">
      <w:pPr>
        <w:spacing w:line="240" w:lineRule="auto"/>
        <w:rPr>
          <w:rFonts w:eastAsia="Times New Roman" w:cs="Arial"/>
          <w:sz w:val="28"/>
          <w:szCs w:val="24"/>
          <w:lang w:eastAsia="bg-BG"/>
        </w:rPr>
      </w:pPr>
      <w:r w:rsidRPr="004E5B9A">
        <w:rPr>
          <w:rFonts w:eastAsia="Times New Roman" w:cs="Arial"/>
          <w:color w:val="000000"/>
          <w:szCs w:val="20"/>
          <w:lang w:eastAsia="bg-BG"/>
        </w:rPr>
        <w:t xml:space="preserve">Неоадювантното лечение с продължителност до 16 седмици, при пациентки с рак на гърдата с фулвестрант 500 </w:t>
      </w:r>
      <w:r w:rsidRPr="004E5B9A">
        <w:rPr>
          <w:rFonts w:eastAsia="Times New Roman" w:cs="Arial"/>
          <w:color w:val="000000"/>
          <w:szCs w:val="20"/>
          <w:lang w:val="en-US"/>
        </w:rPr>
        <w:t xml:space="preserve">mg </w:t>
      </w:r>
      <w:r w:rsidRPr="004E5B9A">
        <w:rPr>
          <w:rFonts w:eastAsia="Times New Roman" w:cs="Arial"/>
          <w:color w:val="000000"/>
          <w:szCs w:val="20"/>
          <w:lang w:eastAsia="bg-BG"/>
        </w:rPr>
        <w:t xml:space="preserve">или фулвестрант 250 </w:t>
      </w:r>
      <w:r w:rsidRPr="004E5B9A">
        <w:rPr>
          <w:rFonts w:eastAsia="Times New Roman" w:cs="Arial"/>
          <w:color w:val="000000"/>
          <w:szCs w:val="20"/>
          <w:lang w:val="en-US"/>
        </w:rPr>
        <w:t xml:space="preserve">mg, </w:t>
      </w:r>
      <w:r w:rsidRPr="004E5B9A">
        <w:rPr>
          <w:rFonts w:eastAsia="Times New Roman" w:cs="Arial"/>
          <w:color w:val="000000"/>
          <w:szCs w:val="20"/>
          <w:lang w:eastAsia="bg-BG"/>
        </w:rPr>
        <w:t>не води до значими промени в дебелината на ендометриума, което говори за липса на агонизъм. Няма данни за нежелани реакции по отношение на ендометриума, при проучваните пациенти с рак на гърдата. Няма данни по отношение на морфологията на ендометриума.</w:t>
      </w:r>
    </w:p>
    <w:p w14:paraId="33410F3A" w14:textId="77777777" w:rsidR="004E5B9A" w:rsidRPr="004E5B9A" w:rsidRDefault="004E5B9A" w:rsidP="004E5B9A">
      <w:pPr>
        <w:spacing w:line="240" w:lineRule="auto"/>
        <w:rPr>
          <w:rFonts w:eastAsia="Times New Roman" w:cs="Arial"/>
          <w:color w:val="000000"/>
          <w:szCs w:val="20"/>
          <w:lang w:eastAsia="bg-BG"/>
        </w:rPr>
      </w:pPr>
    </w:p>
    <w:p w14:paraId="257D45F1" w14:textId="726BF91F" w:rsidR="004E5B9A" w:rsidRPr="004E5B9A" w:rsidRDefault="004E5B9A" w:rsidP="004E5B9A">
      <w:pPr>
        <w:spacing w:line="240" w:lineRule="auto"/>
        <w:rPr>
          <w:rFonts w:eastAsia="Times New Roman" w:cs="Arial"/>
          <w:sz w:val="28"/>
          <w:szCs w:val="24"/>
          <w:lang w:eastAsia="bg-BG"/>
        </w:rPr>
      </w:pPr>
      <w:r w:rsidRPr="004E5B9A">
        <w:rPr>
          <w:rFonts w:eastAsia="Times New Roman" w:cs="Arial"/>
          <w:color w:val="000000"/>
          <w:szCs w:val="20"/>
          <w:lang w:eastAsia="bg-BG"/>
        </w:rPr>
        <w:t>При две краткосрочни проучвания (1 и 12 седмици) при пременопаузални пациентки с доброкачествено гинекологично заболяване, между групите на фулвестрант и плацебо не са наблюдавани значими разлики в ехографски измерената дебелина на ендометриума.</w:t>
      </w:r>
    </w:p>
    <w:p w14:paraId="19060395" w14:textId="77777777" w:rsidR="004E5B9A" w:rsidRPr="004E5B9A" w:rsidRDefault="004E5B9A" w:rsidP="004E5B9A">
      <w:pPr>
        <w:spacing w:line="240" w:lineRule="auto"/>
        <w:rPr>
          <w:rFonts w:eastAsia="Times New Roman" w:cs="Arial"/>
          <w:i/>
          <w:iCs/>
          <w:color w:val="000000"/>
          <w:szCs w:val="20"/>
          <w:lang w:eastAsia="bg-BG"/>
        </w:rPr>
      </w:pPr>
    </w:p>
    <w:p w14:paraId="51F101CC" w14:textId="61F1EC60" w:rsidR="004E5B9A" w:rsidRPr="004E5B9A" w:rsidRDefault="004E5B9A" w:rsidP="004E5B9A">
      <w:pPr>
        <w:spacing w:line="240" w:lineRule="auto"/>
        <w:rPr>
          <w:rFonts w:eastAsia="Times New Roman" w:cs="Arial"/>
          <w:sz w:val="28"/>
          <w:szCs w:val="24"/>
          <w:lang w:eastAsia="bg-BG"/>
        </w:rPr>
      </w:pPr>
      <w:r w:rsidRPr="004E5B9A">
        <w:rPr>
          <w:rFonts w:eastAsia="Times New Roman" w:cs="Arial"/>
          <w:i/>
          <w:iCs/>
          <w:color w:val="000000"/>
          <w:szCs w:val="20"/>
          <w:lang w:eastAsia="bg-BG"/>
        </w:rPr>
        <w:t>Ефекти върху костите</w:t>
      </w:r>
    </w:p>
    <w:p w14:paraId="25DEC162" w14:textId="77777777" w:rsidR="004E5B9A" w:rsidRPr="004E5B9A" w:rsidRDefault="004E5B9A" w:rsidP="004E5B9A">
      <w:pPr>
        <w:spacing w:line="240" w:lineRule="auto"/>
        <w:rPr>
          <w:rFonts w:eastAsia="Times New Roman" w:cs="Arial"/>
          <w:sz w:val="28"/>
          <w:szCs w:val="24"/>
          <w:lang w:eastAsia="bg-BG"/>
        </w:rPr>
      </w:pPr>
      <w:r w:rsidRPr="004E5B9A">
        <w:rPr>
          <w:rFonts w:eastAsia="Times New Roman" w:cs="Arial"/>
          <w:color w:val="000000"/>
          <w:szCs w:val="20"/>
          <w:lang w:eastAsia="bg-BG"/>
        </w:rPr>
        <w:t xml:space="preserve">Няма дългосрочни клинични данни за ефекта на фулвестрант върху костите. Неоадювантното лечение с продължителност до 16 седмици, при пациенти с рак на гърдата с фулвестрант 500 </w:t>
      </w:r>
      <w:r w:rsidRPr="004E5B9A">
        <w:rPr>
          <w:rFonts w:eastAsia="Times New Roman" w:cs="Arial"/>
          <w:color w:val="000000"/>
          <w:szCs w:val="20"/>
          <w:lang w:val="en-US"/>
        </w:rPr>
        <w:t xml:space="preserve">mg </w:t>
      </w:r>
      <w:r w:rsidRPr="004E5B9A">
        <w:rPr>
          <w:rFonts w:eastAsia="Times New Roman" w:cs="Arial"/>
          <w:color w:val="000000"/>
          <w:szCs w:val="20"/>
          <w:lang w:eastAsia="bg-BG"/>
        </w:rPr>
        <w:t xml:space="preserve">или фулвестрант 250 </w:t>
      </w:r>
      <w:r w:rsidRPr="004E5B9A">
        <w:rPr>
          <w:rFonts w:eastAsia="Times New Roman" w:cs="Arial"/>
          <w:color w:val="000000"/>
          <w:szCs w:val="20"/>
          <w:lang w:val="en-US"/>
        </w:rPr>
        <w:t xml:space="preserve">mg, </w:t>
      </w:r>
      <w:r w:rsidRPr="004E5B9A">
        <w:rPr>
          <w:rFonts w:eastAsia="Times New Roman" w:cs="Arial"/>
          <w:color w:val="000000"/>
          <w:szCs w:val="20"/>
          <w:lang w:eastAsia="bg-BG"/>
        </w:rPr>
        <w:t>не води до клинично значими промени в стойностите на серумните маркери на костния търновър.</w:t>
      </w:r>
    </w:p>
    <w:p w14:paraId="7D8EE9B3" w14:textId="77777777" w:rsidR="004E5B9A" w:rsidRPr="004E5B9A" w:rsidRDefault="004E5B9A" w:rsidP="004E5B9A">
      <w:pPr>
        <w:spacing w:line="240" w:lineRule="auto"/>
        <w:rPr>
          <w:rFonts w:eastAsia="Times New Roman" w:cs="Arial"/>
          <w:color w:val="000000"/>
          <w:szCs w:val="20"/>
          <w:u w:val="single"/>
          <w:lang w:eastAsia="bg-BG"/>
        </w:rPr>
      </w:pPr>
    </w:p>
    <w:p w14:paraId="6DAD9102" w14:textId="16C42367" w:rsidR="004E5B9A" w:rsidRPr="004E5B9A" w:rsidRDefault="004E5B9A" w:rsidP="004E5B9A">
      <w:pPr>
        <w:spacing w:line="240" w:lineRule="auto"/>
        <w:rPr>
          <w:rFonts w:eastAsia="Times New Roman" w:cs="Arial"/>
          <w:sz w:val="28"/>
          <w:szCs w:val="24"/>
          <w:lang w:eastAsia="bg-BG"/>
        </w:rPr>
      </w:pPr>
      <w:r w:rsidRPr="004E5B9A">
        <w:rPr>
          <w:rFonts w:eastAsia="Times New Roman" w:cs="Arial"/>
          <w:color w:val="000000"/>
          <w:szCs w:val="20"/>
          <w:u w:val="single"/>
          <w:lang w:eastAsia="bg-BG"/>
        </w:rPr>
        <w:t>Педиатрична популация</w:t>
      </w:r>
    </w:p>
    <w:p w14:paraId="36A0F3B6" w14:textId="77777777" w:rsidR="004E5B9A" w:rsidRPr="004E5B9A" w:rsidRDefault="004E5B9A" w:rsidP="004E5B9A">
      <w:pPr>
        <w:spacing w:line="240" w:lineRule="auto"/>
        <w:rPr>
          <w:rFonts w:eastAsia="Times New Roman" w:cs="Arial"/>
          <w:sz w:val="28"/>
          <w:szCs w:val="24"/>
          <w:lang w:eastAsia="bg-BG"/>
        </w:rPr>
      </w:pPr>
      <w:r w:rsidRPr="004E5B9A">
        <w:rPr>
          <w:rFonts w:eastAsia="Times New Roman" w:cs="Arial"/>
          <w:color w:val="000000"/>
          <w:szCs w:val="20"/>
          <w:lang w:eastAsia="bg-BG"/>
        </w:rPr>
        <w:t>Фулвестрант не е показан за употреба при деца. Европейската агенция по лекарствата освобождава от задължението за предоставяне на резултатите от проучванията с фулвестрант във всички подгрупи на педиатричната популация за рак на гърдата (вж. точка 4.2 за информация относно педиатричната употреба).</w:t>
      </w:r>
    </w:p>
    <w:p w14:paraId="50BFF9AE" w14:textId="77777777" w:rsidR="004E5B9A" w:rsidRPr="004E5B9A" w:rsidRDefault="004E5B9A" w:rsidP="004E5B9A">
      <w:pPr>
        <w:rPr>
          <w:rFonts w:eastAsia="Times New Roman" w:cs="Arial"/>
          <w:color w:val="000000"/>
          <w:szCs w:val="20"/>
          <w:lang w:eastAsia="bg-BG"/>
        </w:rPr>
      </w:pPr>
    </w:p>
    <w:p w14:paraId="3724FCC0" w14:textId="55A1F13D" w:rsidR="004E5B9A" w:rsidRPr="004E5B9A" w:rsidRDefault="004E5B9A" w:rsidP="004E5B9A">
      <w:pPr>
        <w:rPr>
          <w:rFonts w:cs="Arial"/>
          <w:sz w:val="24"/>
          <w:lang w:val="en-US"/>
        </w:rPr>
      </w:pPr>
      <w:r w:rsidRPr="004E5B9A">
        <w:rPr>
          <w:rFonts w:eastAsia="Times New Roman" w:cs="Arial"/>
          <w:color w:val="000000"/>
          <w:szCs w:val="20"/>
          <w:lang w:eastAsia="bg-BG"/>
        </w:rPr>
        <w:t xml:space="preserve">Открито проучване фаза 2 проследява безопасността, ефикасността и фармакокинетиката на фулвестрант, при 30 момичета на възраст от 1 до 8 години, с прогресивен преждевременен пубертет, свързан със синдром на </w:t>
      </w:r>
      <w:r w:rsidRPr="004E5B9A">
        <w:rPr>
          <w:rFonts w:eastAsia="Times New Roman" w:cs="Arial"/>
          <w:color w:val="000000"/>
          <w:szCs w:val="20"/>
          <w:lang w:val="en-US"/>
        </w:rPr>
        <w:t xml:space="preserve">McCune Albright (MAS). </w:t>
      </w:r>
      <w:r w:rsidRPr="004E5B9A">
        <w:rPr>
          <w:rFonts w:eastAsia="Times New Roman" w:cs="Arial"/>
          <w:color w:val="000000"/>
          <w:szCs w:val="20"/>
          <w:lang w:eastAsia="bg-BG"/>
        </w:rPr>
        <w:t xml:space="preserve">Педиатричните пациенти са получавали 4 </w:t>
      </w:r>
      <w:r w:rsidRPr="004E5B9A">
        <w:rPr>
          <w:rFonts w:eastAsia="Times New Roman" w:cs="Arial"/>
          <w:color w:val="000000"/>
          <w:szCs w:val="20"/>
          <w:lang w:val="en-US"/>
        </w:rPr>
        <w:t xml:space="preserve">mg/kg </w:t>
      </w:r>
      <w:r w:rsidRPr="004E5B9A">
        <w:rPr>
          <w:rFonts w:eastAsia="Times New Roman" w:cs="Arial"/>
          <w:color w:val="000000"/>
          <w:szCs w:val="20"/>
          <w:lang w:eastAsia="bg-BG"/>
        </w:rPr>
        <w:t xml:space="preserve">месечна интрамускулна доза фулвестрант. Това 12-месечно проучване е проследило набор от крайни точки на </w:t>
      </w:r>
      <w:r w:rsidRPr="004E5B9A">
        <w:rPr>
          <w:rFonts w:eastAsia="Times New Roman" w:cs="Arial"/>
          <w:color w:val="000000"/>
          <w:szCs w:val="20"/>
          <w:lang w:val="en-US"/>
        </w:rPr>
        <w:t xml:space="preserve">MAS </w:t>
      </w:r>
      <w:r w:rsidRPr="004E5B9A">
        <w:rPr>
          <w:rFonts w:eastAsia="Times New Roman" w:cs="Arial"/>
          <w:color w:val="000000"/>
          <w:szCs w:val="20"/>
          <w:lang w:eastAsia="bg-BG"/>
        </w:rPr>
        <w:t>и показва редуциране честотата на вагинално кървене, и редуциране</w:t>
      </w:r>
      <w:r w:rsidRPr="004E5B9A">
        <w:rPr>
          <w:rFonts w:eastAsia="Times New Roman" w:cs="Arial"/>
          <w:color w:val="000000"/>
          <w:szCs w:val="20"/>
          <w:u w:val="single"/>
          <w:lang w:eastAsia="bg-BG"/>
        </w:rPr>
        <w:t xml:space="preserve"> </w:t>
      </w:r>
      <w:r w:rsidRPr="004E5B9A">
        <w:rPr>
          <w:rFonts w:eastAsia="Times New Roman" w:cs="Arial"/>
          <w:color w:val="000000"/>
          <w:szCs w:val="20"/>
          <w:lang w:eastAsia="bg-BG"/>
        </w:rPr>
        <w:t>скоростта иа увеличаване на костната възраст. Най-ниските плазмени концентрации на</w:t>
      </w:r>
      <w:r w:rsidRPr="004E5B9A">
        <w:rPr>
          <w:rFonts w:eastAsia="Times New Roman" w:cs="Arial"/>
          <w:color w:val="000000"/>
          <w:szCs w:val="20"/>
          <w:vertAlign w:val="superscript"/>
          <w:lang w:eastAsia="bg-BG"/>
        </w:rPr>
        <w:t xml:space="preserve"> </w:t>
      </w:r>
      <w:r w:rsidRPr="004E5B9A">
        <w:rPr>
          <w:rFonts w:eastAsia="Times New Roman" w:cs="Arial"/>
          <w:color w:val="000000"/>
          <w:szCs w:val="20"/>
          <w:lang w:eastAsia="bg-BG"/>
        </w:rPr>
        <w:t>фулвестрант в стационарно състояние при деца в това проучване са съизмерими с тези при</w:t>
      </w:r>
      <w:r w:rsidRPr="004E5B9A">
        <w:rPr>
          <w:rFonts w:eastAsia="Times New Roman" w:cs="Arial"/>
          <w:color w:val="000000"/>
          <w:szCs w:val="20"/>
          <w:lang w:val="en-US" w:eastAsia="bg-BG"/>
        </w:rPr>
        <w:t xml:space="preserve"> </w:t>
      </w:r>
      <w:r w:rsidRPr="004E5B9A">
        <w:rPr>
          <w:rFonts w:cs="Arial"/>
          <w:szCs w:val="20"/>
        </w:rPr>
        <w:t xml:space="preserve">възрастни (вж. точка 5.2). Няма нови съображения за безопасността, възникнали в резултат на това малко проучване, но все още </w:t>
      </w:r>
      <w:r w:rsidRPr="004E5B9A">
        <w:rPr>
          <w:rFonts w:cs="Arial"/>
          <w:iCs/>
          <w:szCs w:val="20"/>
        </w:rPr>
        <w:t>не</w:t>
      </w:r>
      <w:r w:rsidRPr="004E5B9A">
        <w:rPr>
          <w:rFonts w:cs="Arial"/>
          <w:szCs w:val="20"/>
        </w:rPr>
        <w:t xml:space="preserve"> са налични 5-годишните данни.</w:t>
      </w:r>
    </w:p>
    <w:p w14:paraId="607A125B" w14:textId="3DC2B3BA" w:rsidR="004E5B9A" w:rsidRPr="0091385D" w:rsidRDefault="004E5B9A"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519F2F2D" w14:textId="77777777" w:rsidR="004B3221" w:rsidRPr="004B3221" w:rsidRDefault="004B3221" w:rsidP="004B3221">
      <w:pPr>
        <w:pStyle w:val="Heading3"/>
        <w:rPr>
          <w:rFonts w:eastAsia="Times New Roman"/>
          <w:sz w:val="28"/>
          <w:u w:val="single"/>
          <w:lang w:eastAsia="bg-BG"/>
        </w:rPr>
      </w:pPr>
      <w:r w:rsidRPr="004B3221">
        <w:rPr>
          <w:rFonts w:eastAsia="Times New Roman"/>
          <w:u w:val="single"/>
          <w:lang w:eastAsia="bg-BG"/>
        </w:rPr>
        <w:t>Абс</w:t>
      </w:r>
      <w:bookmarkStart w:id="2" w:name="_GoBack"/>
      <w:bookmarkEnd w:id="2"/>
      <w:r w:rsidRPr="004B3221">
        <w:rPr>
          <w:rFonts w:eastAsia="Times New Roman"/>
          <w:u w:val="single"/>
          <w:lang w:eastAsia="bg-BG"/>
        </w:rPr>
        <w:t>орбция</w:t>
      </w:r>
    </w:p>
    <w:p w14:paraId="62E1A5B7"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След приложение на дьлгодействащия фулвестрант като интрамускулна инжекция, фулвестрант се резорбира бавно, а максималните плазмени концентрации (С</w:t>
      </w:r>
      <w:r w:rsidRPr="004B3221">
        <w:rPr>
          <w:rFonts w:eastAsia="Times New Roman" w:cs="Arial"/>
          <w:color w:val="000000"/>
          <w:szCs w:val="20"/>
          <w:vertAlign w:val="subscript"/>
          <w:lang w:val="en-US"/>
        </w:rPr>
        <w:t>m</w:t>
      </w:r>
      <w:r w:rsidRPr="004B3221">
        <w:rPr>
          <w:rFonts w:eastAsia="Times New Roman" w:cs="Arial"/>
          <w:color w:val="000000"/>
          <w:szCs w:val="20"/>
          <w:vertAlign w:val="subscript"/>
          <w:lang w:eastAsia="bg-BG"/>
        </w:rPr>
        <w:t>ах</w:t>
      </w:r>
      <w:r w:rsidRPr="004B3221">
        <w:rPr>
          <w:rFonts w:eastAsia="Times New Roman" w:cs="Arial"/>
          <w:color w:val="000000"/>
          <w:szCs w:val="20"/>
          <w:lang w:eastAsia="bg-BG"/>
        </w:rPr>
        <w:t xml:space="preserve">) се достигат след около 5 дни. При приложение на фулвестрант 500 </w:t>
      </w:r>
      <w:r w:rsidRPr="004B3221">
        <w:rPr>
          <w:rFonts w:eastAsia="Times New Roman" w:cs="Arial"/>
          <w:color w:val="000000"/>
          <w:szCs w:val="20"/>
          <w:lang w:val="en-US"/>
        </w:rPr>
        <w:t xml:space="preserve">mg, </w:t>
      </w:r>
      <w:r w:rsidRPr="004B3221">
        <w:rPr>
          <w:rFonts w:eastAsia="Times New Roman" w:cs="Arial"/>
          <w:color w:val="000000"/>
          <w:szCs w:val="20"/>
          <w:lang w:eastAsia="bg-BG"/>
        </w:rPr>
        <w:t xml:space="preserve">още през първия месец се достигат експозиции, равни на или близки до тези, при стационарно състояние (средни </w:t>
      </w:r>
      <w:r w:rsidRPr="004B3221">
        <w:rPr>
          <w:rFonts w:eastAsia="Times New Roman" w:cs="Arial"/>
          <w:color w:val="000000"/>
          <w:szCs w:val="20"/>
          <w:lang w:val="en-US"/>
        </w:rPr>
        <w:t xml:space="preserve">[CV]: </w:t>
      </w:r>
      <w:r w:rsidRPr="004B3221">
        <w:rPr>
          <w:rFonts w:eastAsia="Times New Roman" w:cs="Arial"/>
          <w:color w:val="000000"/>
          <w:szCs w:val="20"/>
          <w:lang w:eastAsia="bg-BG"/>
        </w:rPr>
        <w:t xml:space="preserve">съответно </w:t>
      </w:r>
      <w:r w:rsidRPr="004B3221">
        <w:rPr>
          <w:rFonts w:eastAsia="Times New Roman" w:cs="Arial"/>
          <w:color w:val="000000"/>
          <w:szCs w:val="20"/>
          <w:lang w:val="en-US"/>
        </w:rPr>
        <w:t xml:space="preserve">AUC </w:t>
      </w:r>
      <w:r w:rsidRPr="004B3221">
        <w:rPr>
          <w:rFonts w:eastAsia="Times New Roman" w:cs="Arial"/>
          <w:color w:val="000000"/>
          <w:szCs w:val="20"/>
          <w:lang w:eastAsia="bg-BG"/>
        </w:rPr>
        <w:t xml:space="preserve">475 [33,4%] </w:t>
      </w:r>
      <w:r w:rsidRPr="004B3221">
        <w:rPr>
          <w:rFonts w:eastAsia="Times New Roman" w:cs="Arial"/>
          <w:color w:val="000000"/>
          <w:szCs w:val="20"/>
          <w:lang w:val="en-US"/>
        </w:rPr>
        <w:t xml:space="preserve">ng </w:t>
      </w:r>
      <w:r w:rsidRPr="004B3221">
        <w:rPr>
          <w:rFonts w:eastAsia="Times New Roman" w:cs="Arial"/>
          <w:color w:val="000000"/>
          <w:szCs w:val="20"/>
          <w:lang w:eastAsia="bg-BG"/>
        </w:rPr>
        <w:t>дни</w:t>
      </w:r>
      <w:r w:rsidRPr="004B3221">
        <w:rPr>
          <w:rFonts w:eastAsia="Times New Roman" w:cs="Arial"/>
          <w:color w:val="000000"/>
          <w:szCs w:val="20"/>
          <w:lang w:val="en-US"/>
        </w:rPr>
        <w:t xml:space="preserve">/ml, </w:t>
      </w:r>
      <w:r w:rsidRPr="004B3221">
        <w:rPr>
          <w:rFonts w:eastAsia="Times New Roman" w:cs="Arial"/>
          <w:color w:val="000000"/>
          <w:szCs w:val="20"/>
          <w:lang w:eastAsia="bg-BG"/>
        </w:rPr>
        <w:t>С</w:t>
      </w:r>
      <w:r w:rsidRPr="004B3221">
        <w:rPr>
          <w:rFonts w:eastAsia="Times New Roman" w:cs="Arial"/>
          <w:color w:val="000000"/>
          <w:szCs w:val="20"/>
          <w:vertAlign w:val="subscript"/>
          <w:lang w:val="en-US"/>
        </w:rPr>
        <w:t>m</w:t>
      </w:r>
      <w:r w:rsidRPr="004B3221">
        <w:rPr>
          <w:rFonts w:eastAsia="Times New Roman" w:cs="Arial"/>
          <w:color w:val="000000"/>
          <w:szCs w:val="20"/>
          <w:vertAlign w:val="subscript"/>
          <w:lang w:eastAsia="bg-BG"/>
        </w:rPr>
        <w:t>ах</w:t>
      </w:r>
      <w:r w:rsidRPr="004B3221">
        <w:rPr>
          <w:rFonts w:eastAsia="Times New Roman" w:cs="Arial"/>
          <w:color w:val="000000"/>
          <w:szCs w:val="20"/>
          <w:lang w:eastAsia="bg-BG"/>
        </w:rPr>
        <w:t xml:space="preserve"> 25,1 [35,3%] </w:t>
      </w:r>
      <w:r w:rsidRPr="004B3221">
        <w:rPr>
          <w:rFonts w:eastAsia="Times New Roman" w:cs="Arial"/>
          <w:color w:val="000000"/>
          <w:szCs w:val="20"/>
          <w:lang w:val="en-US"/>
        </w:rPr>
        <w:t xml:space="preserve">ng/ml, </w:t>
      </w:r>
      <w:proofErr w:type="spellStart"/>
      <w:r w:rsidRPr="004B3221">
        <w:rPr>
          <w:rFonts w:eastAsia="Times New Roman" w:cs="Arial"/>
          <w:color w:val="000000"/>
          <w:szCs w:val="20"/>
          <w:lang w:val="en-US"/>
        </w:rPr>
        <w:t>C</w:t>
      </w:r>
      <w:r w:rsidRPr="004B3221">
        <w:rPr>
          <w:rFonts w:eastAsia="Times New Roman" w:cs="Arial"/>
          <w:color w:val="000000"/>
          <w:szCs w:val="20"/>
          <w:vertAlign w:val="subscript"/>
          <w:lang w:val="en-US"/>
        </w:rPr>
        <w:t>min</w:t>
      </w:r>
      <w:proofErr w:type="spellEnd"/>
      <w:r w:rsidRPr="004B3221">
        <w:rPr>
          <w:rFonts w:eastAsia="Times New Roman" w:cs="Arial"/>
          <w:color w:val="000000"/>
          <w:szCs w:val="20"/>
          <w:lang w:val="en-US"/>
        </w:rPr>
        <w:t xml:space="preserve"> </w:t>
      </w:r>
      <w:r w:rsidRPr="004B3221">
        <w:rPr>
          <w:rFonts w:eastAsia="Times New Roman" w:cs="Arial"/>
          <w:color w:val="000000"/>
          <w:szCs w:val="20"/>
          <w:lang w:eastAsia="bg-BG"/>
        </w:rPr>
        <w:t xml:space="preserve">16,3 [25,9%] </w:t>
      </w:r>
      <w:r w:rsidRPr="004B3221">
        <w:rPr>
          <w:rFonts w:eastAsia="Times New Roman" w:cs="Arial"/>
          <w:color w:val="000000"/>
          <w:szCs w:val="20"/>
          <w:lang w:val="en-US"/>
        </w:rPr>
        <w:t xml:space="preserve">ng/ml). </w:t>
      </w:r>
      <w:r w:rsidRPr="004B3221">
        <w:rPr>
          <w:rFonts w:eastAsia="Times New Roman" w:cs="Arial"/>
          <w:color w:val="000000"/>
          <w:szCs w:val="20"/>
          <w:lang w:eastAsia="bg-BG"/>
        </w:rPr>
        <w:t xml:space="preserve">При стационарно състояние, плазмената концентрация на фулвестрант се поддържа в сравнително тесен диапазон, с приблизително до 3- кратна разлика между максималните и най-ниските концентрации. След интрамускулно приложение, експозицията е приблизително пропорционална на дозата в дозовия диапазон от 50 до 500 </w:t>
      </w:r>
      <w:r w:rsidRPr="004B3221">
        <w:rPr>
          <w:rFonts w:eastAsia="Times New Roman" w:cs="Arial"/>
          <w:color w:val="000000"/>
          <w:szCs w:val="20"/>
          <w:lang w:val="en-US"/>
        </w:rPr>
        <w:t>mg.</w:t>
      </w:r>
    </w:p>
    <w:p w14:paraId="2AB24F0E" w14:textId="77777777" w:rsidR="004B3221" w:rsidRPr="004B3221" w:rsidRDefault="004B3221" w:rsidP="004B3221">
      <w:pPr>
        <w:spacing w:line="240" w:lineRule="auto"/>
        <w:rPr>
          <w:rFonts w:eastAsia="Times New Roman" w:cs="Arial"/>
          <w:color w:val="000000"/>
          <w:szCs w:val="20"/>
          <w:u w:val="single"/>
          <w:lang w:eastAsia="bg-BG"/>
        </w:rPr>
      </w:pPr>
    </w:p>
    <w:p w14:paraId="059F4B8E" w14:textId="17CCE678" w:rsidR="004B3221" w:rsidRPr="004B3221" w:rsidRDefault="004B3221" w:rsidP="004B3221">
      <w:pPr>
        <w:pStyle w:val="Heading3"/>
        <w:rPr>
          <w:rFonts w:eastAsia="Times New Roman"/>
          <w:sz w:val="28"/>
          <w:u w:val="single"/>
          <w:lang w:eastAsia="bg-BG"/>
        </w:rPr>
      </w:pPr>
      <w:r w:rsidRPr="004B3221">
        <w:rPr>
          <w:rFonts w:eastAsia="Times New Roman"/>
          <w:u w:val="single"/>
          <w:lang w:eastAsia="bg-BG"/>
        </w:rPr>
        <w:t>Разпределение</w:t>
      </w:r>
    </w:p>
    <w:p w14:paraId="4B22338B"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Фулвестрант има бързо и широко разпределение. Големият привиден обем на разпределение (</w:t>
      </w:r>
      <w:proofErr w:type="spellStart"/>
      <w:r w:rsidRPr="004B3221">
        <w:rPr>
          <w:rFonts w:eastAsia="Times New Roman" w:cs="Arial"/>
          <w:color w:val="000000"/>
          <w:szCs w:val="20"/>
          <w:lang w:val="en-US"/>
        </w:rPr>
        <w:t>Vd</w:t>
      </w:r>
      <w:r w:rsidRPr="004B3221">
        <w:rPr>
          <w:rFonts w:eastAsia="Times New Roman" w:cs="Arial"/>
          <w:color w:val="000000"/>
          <w:szCs w:val="20"/>
          <w:vertAlign w:val="subscript"/>
          <w:lang w:val="en-US"/>
        </w:rPr>
        <w:t>ss</w:t>
      </w:r>
      <w:proofErr w:type="spellEnd"/>
      <w:r w:rsidRPr="004B3221">
        <w:rPr>
          <w:rFonts w:eastAsia="Times New Roman" w:cs="Arial"/>
          <w:color w:val="000000"/>
          <w:szCs w:val="20"/>
          <w:lang w:eastAsia="bg-BG"/>
        </w:rPr>
        <w:t xml:space="preserve">) при стационарно състояние - приблизително 3 до 5 </w:t>
      </w:r>
      <w:r w:rsidRPr="004B3221">
        <w:rPr>
          <w:rFonts w:eastAsia="Times New Roman" w:cs="Arial"/>
          <w:color w:val="000000"/>
          <w:szCs w:val="20"/>
          <w:lang w:val="en-US"/>
        </w:rPr>
        <w:t xml:space="preserve">l/kg, </w:t>
      </w:r>
      <w:r w:rsidRPr="004B3221">
        <w:rPr>
          <w:rFonts w:eastAsia="Times New Roman" w:cs="Arial"/>
          <w:color w:val="000000"/>
          <w:szCs w:val="20"/>
          <w:lang w:eastAsia="bg-BG"/>
        </w:rPr>
        <w:t>предполага, че разпределението е главно екстраваскуларно.</w:t>
      </w:r>
    </w:p>
    <w:p w14:paraId="7A2034BC"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 xml:space="preserve">Фулвестрант се свързва в голяма степен (99%) с плазмените протеини. Липопротеините с много ниска плътност </w:t>
      </w:r>
      <w:r w:rsidRPr="004B3221">
        <w:rPr>
          <w:rFonts w:eastAsia="Times New Roman" w:cs="Arial"/>
          <w:color w:val="000000"/>
          <w:szCs w:val="20"/>
          <w:lang w:val="en-US"/>
        </w:rPr>
        <w:t xml:space="preserve">(VLDL), </w:t>
      </w:r>
      <w:r w:rsidRPr="004B3221">
        <w:rPr>
          <w:rFonts w:eastAsia="Times New Roman" w:cs="Arial"/>
          <w:color w:val="000000"/>
          <w:szCs w:val="20"/>
          <w:lang w:eastAsia="bg-BG"/>
        </w:rPr>
        <w:t xml:space="preserve">липопротеините с ниска плътност </w:t>
      </w:r>
      <w:r w:rsidRPr="004B3221">
        <w:rPr>
          <w:rFonts w:eastAsia="Times New Roman" w:cs="Arial"/>
          <w:color w:val="000000"/>
          <w:szCs w:val="20"/>
          <w:lang w:val="en-US"/>
        </w:rPr>
        <w:t xml:space="preserve">(LDL) </w:t>
      </w:r>
      <w:r w:rsidRPr="004B3221">
        <w:rPr>
          <w:rFonts w:eastAsia="Times New Roman" w:cs="Arial"/>
          <w:color w:val="000000"/>
          <w:szCs w:val="20"/>
          <w:lang w:eastAsia="bg-BG"/>
        </w:rPr>
        <w:t xml:space="preserve">и липопротеините с висока плътност </w:t>
      </w:r>
      <w:r w:rsidRPr="004B3221">
        <w:rPr>
          <w:rFonts w:eastAsia="Times New Roman" w:cs="Arial"/>
          <w:color w:val="000000"/>
          <w:szCs w:val="20"/>
          <w:lang w:val="en-US"/>
        </w:rPr>
        <w:t xml:space="preserve">(HDL) </w:t>
      </w:r>
      <w:r w:rsidRPr="004B3221">
        <w:rPr>
          <w:rFonts w:eastAsia="Times New Roman" w:cs="Arial"/>
          <w:color w:val="000000"/>
          <w:szCs w:val="20"/>
          <w:lang w:eastAsia="bg-BG"/>
        </w:rPr>
        <w:t xml:space="preserve">са главните свързващи компоненти. Не са проведени проучвания за взаимодействия на конкурентно свързване към протеини. Не е определена ролята на свързващия половите хормони глобулин </w:t>
      </w:r>
      <w:r w:rsidRPr="004B3221">
        <w:rPr>
          <w:rFonts w:eastAsia="Times New Roman" w:cs="Arial"/>
          <w:color w:val="000000"/>
          <w:szCs w:val="20"/>
          <w:lang w:val="en-US"/>
        </w:rPr>
        <w:t>(SHBG).</w:t>
      </w:r>
    </w:p>
    <w:p w14:paraId="7455B9FC" w14:textId="77777777" w:rsidR="004B3221" w:rsidRPr="004B3221" w:rsidRDefault="004B3221" w:rsidP="004B3221">
      <w:pPr>
        <w:spacing w:line="240" w:lineRule="auto"/>
        <w:rPr>
          <w:rFonts w:eastAsia="Times New Roman" w:cs="Arial"/>
          <w:color w:val="000000"/>
          <w:szCs w:val="20"/>
          <w:u w:val="single"/>
          <w:lang w:eastAsia="bg-BG"/>
        </w:rPr>
      </w:pPr>
    </w:p>
    <w:p w14:paraId="4093F6F3" w14:textId="363CE953" w:rsidR="004B3221" w:rsidRPr="004B3221" w:rsidRDefault="004B3221" w:rsidP="004B3221">
      <w:pPr>
        <w:pStyle w:val="Heading3"/>
        <w:rPr>
          <w:rFonts w:eastAsia="Times New Roman"/>
          <w:sz w:val="28"/>
          <w:u w:val="single"/>
          <w:lang w:eastAsia="bg-BG"/>
        </w:rPr>
      </w:pPr>
      <w:r>
        <w:rPr>
          <w:rFonts w:eastAsia="Times New Roman"/>
          <w:u w:val="single"/>
          <w:lang w:eastAsia="bg-BG"/>
        </w:rPr>
        <w:t>Биотрансфор</w:t>
      </w:r>
      <w:r w:rsidRPr="004B3221">
        <w:rPr>
          <w:rFonts w:eastAsia="Times New Roman"/>
          <w:u w:val="single"/>
          <w:lang w:eastAsia="bg-BG"/>
        </w:rPr>
        <w:t>мация</w:t>
      </w:r>
    </w:p>
    <w:p w14:paraId="07759C6D" w14:textId="44970075"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Метаболизмът на фулвестрант не е установен напълно, но включва комбинации от няколко възможни пътища на биотрансформация, аналогични на тези при ендогенните стероиди. Идентифицираните метаболити</w:t>
      </w:r>
      <w:r>
        <w:rPr>
          <w:rFonts w:eastAsia="Times New Roman" w:cs="Arial"/>
          <w:color w:val="000000"/>
          <w:szCs w:val="20"/>
          <w:lang w:eastAsia="bg-BG"/>
        </w:rPr>
        <w:t xml:space="preserve"> (включително 17-кето, сулфон, 3</w:t>
      </w:r>
      <w:r w:rsidRPr="004B3221">
        <w:rPr>
          <w:rFonts w:eastAsia="Times New Roman" w:cs="Arial"/>
          <w:color w:val="000000"/>
          <w:szCs w:val="20"/>
          <w:lang w:eastAsia="bg-BG"/>
        </w:rPr>
        <w:t xml:space="preserve">-сулфат, 3- и 17-глюкоронидни метаболити) са или по-малко активни, или проявяват сходна на фулвестрант активност при антиестрогенните модели. Проучванията, използващи препарати от човешки черен дроб и рекомбинантни човешки ензими показват, че </w:t>
      </w:r>
      <w:r w:rsidRPr="004B3221">
        <w:rPr>
          <w:rFonts w:eastAsia="Times New Roman" w:cs="Arial"/>
          <w:color w:val="000000"/>
          <w:szCs w:val="20"/>
          <w:lang w:val="en-US"/>
        </w:rPr>
        <w:t xml:space="preserve">CYP3A4 </w:t>
      </w:r>
      <w:r w:rsidRPr="004B3221">
        <w:rPr>
          <w:rFonts w:eastAsia="Times New Roman" w:cs="Arial"/>
          <w:color w:val="000000"/>
          <w:szCs w:val="20"/>
          <w:lang w:eastAsia="bg-BG"/>
        </w:rPr>
        <w:t xml:space="preserve">е единственият Р450 изоензим, включен в оксидацията на фулвестрант. Все пак изглежда, че други пътища, които не са свързани с Р450, доминират повече </w:t>
      </w:r>
      <w:r w:rsidRPr="004B3221">
        <w:rPr>
          <w:rFonts w:eastAsia="Times New Roman" w:cs="Arial"/>
          <w:color w:val="000000"/>
          <w:szCs w:val="20"/>
          <w:lang w:val="en-US"/>
        </w:rPr>
        <w:t xml:space="preserve">in vivo. In vitro </w:t>
      </w:r>
      <w:r w:rsidRPr="004B3221">
        <w:rPr>
          <w:rFonts w:eastAsia="Times New Roman" w:cs="Arial"/>
          <w:color w:val="000000"/>
          <w:szCs w:val="20"/>
          <w:lang w:eastAsia="bg-BG"/>
        </w:rPr>
        <w:t xml:space="preserve">данните предполагат, че фулвестрант не инхибира </w:t>
      </w:r>
      <w:r w:rsidRPr="004B3221">
        <w:rPr>
          <w:rFonts w:eastAsia="Times New Roman" w:cs="Arial"/>
          <w:color w:val="000000"/>
          <w:szCs w:val="20"/>
          <w:lang w:val="en-US"/>
        </w:rPr>
        <w:t xml:space="preserve">CYP3A4 </w:t>
      </w:r>
      <w:r w:rsidRPr="004B3221">
        <w:rPr>
          <w:rFonts w:eastAsia="Times New Roman" w:cs="Arial"/>
          <w:color w:val="000000"/>
          <w:szCs w:val="20"/>
          <w:lang w:eastAsia="bg-BG"/>
        </w:rPr>
        <w:t>изоензимите.</w:t>
      </w:r>
    </w:p>
    <w:p w14:paraId="25FAE09A" w14:textId="77777777" w:rsidR="004B3221" w:rsidRPr="004B3221" w:rsidRDefault="004B3221" w:rsidP="004B3221">
      <w:pPr>
        <w:spacing w:line="240" w:lineRule="auto"/>
        <w:rPr>
          <w:rFonts w:eastAsia="Times New Roman" w:cs="Arial"/>
          <w:color w:val="000000"/>
          <w:szCs w:val="20"/>
          <w:u w:val="single"/>
          <w:lang w:eastAsia="bg-BG"/>
        </w:rPr>
      </w:pPr>
    </w:p>
    <w:p w14:paraId="45FEB466" w14:textId="463CCFC0" w:rsidR="004B3221" w:rsidRPr="004B3221" w:rsidRDefault="004B3221" w:rsidP="004B3221">
      <w:pPr>
        <w:pStyle w:val="Heading3"/>
        <w:rPr>
          <w:rFonts w:eastAsia="Times New Roman"/>
          <w:sz w:val="28"/>
          <w:u w:val="single"/>
          <w:lang w:eastAsia="bg-BG"/>
        </w:rPr>
      </w:pPr>
      <w:r w:rsidRPr="004B3221">
        <w:rPr>
          <w:rFonts w:eastAsia="Times New Roman"/>
          <w:u w:val="single"/>
          <w:lang w:eastAsia="bg-BG"/>
        </w:rPr>
        <w:lastRenderedPageBreak/>
        <w:t>Елиминиране</w:t>
      </w:r>
    </w:p>
    <w:p w14:paraId="575B8CBD"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 xml:space="preserve">Фулвестрант се елиминира главно под формата на метаболити. Основния път на екскреция е чрез фецеса, с по-малко от 1% екскреция в урината. Фулвестрант има висок клирънс, 11±1,7 </w:t>
      </w:r>
      <w:r w:rsidRPr="004B3221">
        <w:rPr>
          <w:rFonts w:eastAsia="Times New Roman" w:cs="Arial"/>
          <w:color w:val="000000"/>
          <w:szCs w:val="20"/>
          <w:lang w:val="en-US"/>
        </w:rPr>
        <w:t xml:space="preserve">ml/min/kg, </w:t>
      </w:r>
      <w:r w:rsidRPr="004B3221">
        <w:rPr>
          <w:rFonts w:eastAsia="Times New Roman" w:cs="Arial"/>
          <w:color w:val="000000"/>
          <w:szCs w:val="20"/>
          <w:lang w:eastAsia="bg-BG"/>
        </w:rPr>
        <w:t xml:space="preserve">предполагащ висока степен на чернодробна екскреция. Терминалният полуживот </w:t>
      </w:r>
      <w:r w:rsidRPr="004B3221">
        <w:rPr>
          <w:rFonts w:eastAsia="Times New Roman" w:cs="Arial"/>
          <w:color w:val="000000"/>
          <w:szCs w:val="20"/>
          <w:lang w:val="en-US"/>
        </w:rPr>
        <w:t>(t</w:t>
      </w:r>
      <w:r w:rsidRPr="004B3221">
        <w:rPr>
          <w:rFonts w:eastAsia="Times New Roman" w:cs="Arial"/>
          <w:color w:val="000000"/>
          <w:szCs w:val="20"/>
          <w:vertAlign w:val="subscript"/>
          <w:lang w:val="en-US"/>
        </w:rPr>
        <w:t>1/2</w:t>
      </w:r>
      <w:r w:rsidRPr="004B3221">
        <w:rPr>
          <w:rFonts w:eastAsia="Times New Roman" w:cs="Arial"/>
          <w:color w:val="000000"/>
          <w:szCs w:val="20"/>
          <w:lang w:eastAsia="bg-BG"/>
        </w:rPr>
        <w:t>), след интрамускулно приложение, се определя от скоростта на абсорбция и се оценява на 50 дни.</w:t>
      </w:r>
    </w:p>
    <w:p w14:paraId="1178114F" w14:textId="77777777" w:rsidR="004B3221" w:rsidRPr="004B3221" w:rsidRDefault="004B3221" w:rsidP="004B3221">
      <w:pPr>
        <w:spacing w:line="240" w:lineRule="auto"/>
        <w:rPr>
          <w:rFonts w:eastAsia="Times New Roman" w:cs="Arial"/>
          <w:color w:val="000000"/>
          <w:szCs w:val="20"/>
          <w:u w:val="single"/>
          <w:lang w:eastAsia="bg-BG"/>
        </w:rPr>
      </w:pPr>
    </w:p>
    <w:p w14:paraId="6E3306C6" w14:textId="785935F6"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u w:val="single"/>
          <w:lang w:eastAsia="bg-BG"/>
        </w:rPr>
        <w:t>Специални популации</w:t>
      </w:r>
    </w:p>
    <w:p w14:paraId="45551830" w14:textId="158F8E2D" w:rsidR="007A2185" w:rsidRPr="004B3221" w:rsidRDefault="004B3221" w:rsidP="004B3221">
      <w:pPr>
        <w:rPr>
          <w:rFonts w:eastAsia="Times New Roman" w:cs="Arial"/>
          <w:color w:val="000000"/>
          <w:szCs w:val="20"/>
          <w:lang w:eastAsia="bg-BG"/>
        </w:rPr>
      </w:pPr>
      <w:r w:rsidRPr="004B3221">
        <w:rPr>
          <w:rFonts w:eastAsia="Times New Roman" w:cs="Arial"/>
          <w:color w:val="000000"/>
          <w:szCs w:val="20"/>
          <w:lang w:eastAsia="bg-BG"/>
        </w:rPr>
        <w:t>При популационен фармакокинетичен анализ на данни от проучвания фаза 3 не са</w:t>
      </w:r>
      <w:r w:rsidRPr="004B3221">
        <w:rPr>
          <w:rFonts w:eastAsia="Times New Roman" w:cs="Arial"/>
          <w:color w:val="000000"/>
          <w:szCs w:val="20"/>
          <w:lang w:val="en-US"/>
        </w:rPr>
        <w:t xml:space="preserve"> </w:t>
      </w:r>
      <w:r w:rsidRPr="004B3221">
        <w:rPr>
          <w:rFonts w:eastAsia="Times New Roman" w:cs="Arial"/>
          <w:color w:val="000000"/>
          <w:szCs w:val="20"/>
          <w:lang w:eastAsia="bg-BG"/>
        </w:rPr>
        <w:t xml:space="preserve">установени разлики във фармакокинетичния профил на фулвестрант по отношение на възраст (диапазон 33 до 89 години), тегло (40-127 </w:t>
      </w:r>
      <w:r w:rsidRPr="004B3221">
        <w:rPr>
          <w:rFonts w:eastAsia="Times New Roman" w:cs="Arial"/>
          <w:color w:val="000000"/>
          <w:szCs w:val="20"/>
          <w:lang w:val="en-US"/>
        </w:rPr>
        <w:t xml:space="preserve">kg) </w:t>
      </w:r>
      <w:r w:rsidRPr="004B3221">
        <w:rPr>
          <w:rFonts w:eastAsia="Times New Roman" w:cs="Arial"/>
          <w:color w:val="000000"/>
          <w:szCs w:val="20"/>
          <w:lang w:eastAsia="bg-BG"/>
        </w:rPr>
        <w:t>или раса.</w:t>
      </w:r>
    </w:p>
    <w:p w14:paraId="3F4E0FC4" w14:textId="30BFAD9E" w:rsidR="004B3221" w:rsidRPr="004B3221" w:rsidRDefault="004B3221" w:rsidP="004B3221">
      <w:pPr>
        <w:rPr>
          <w:rFonts w:cs="Arial"/>
          <w:sz w:val="24"/>
        </w:rPr>
      </w:pPr>
    </w:p>
    <w:p w14:paraId="76B022A7"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i/>
          <w:iCs/>
          <w:color w:val="000000"/>
          <w:szCs w:val="20"/>
          <w:lang w:eastAsia="bg-BG"/>
        </w:rPr>
        <w:t>Бъбречно увреждане</w:t>
      </w:r>
    </w:p>
    <w:p w14:paraId="5E2E5568"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Лека до умерена степен на нарушение на бъбречната функция не повлиява фармакокинетиката на фулвестрант до клинично значима степен.</w:t>
      </w:r>
    </w:p>
    <w:p w14:paraId="16505C35" w14:textId="77777777" w:rsidR="004B3221" w:rsidRPr="004B3221" w:rsidRDefault="004B3221" w:rsidP="004B3221">
      <w:pPr>
        <w:spacing w:line="240" w:lineRule="auto"/>
        <w:rPr>
          <w:rFonts w:eastAsia="Times New Roman" w:cs="Arial"/>
          <w:i/>
          <w:iCs/>
          <w:color w:val="000000"/>
          <w:szCs w:val="20"/>
          <w:lang w:eastAsia="bg-BG"/>
        </w:rPr>
      </w:pPr>
    </w:p>
    <w:p w14:paraId="328F509F" w14:textId="5C251981" w:rsidR="004B3221" w:rsidRPr="004B3221" w:rsidRDefault="004B3221" w:rsidP="004B3221">
      <w:pPr>
        <w:spacing w:line="240" w:lineRule="auto"/>
        <w:rPr>
          <w:rFonts w:eastAsia="Times New Roman" w:cs="Arial"/>
          <w:sz w:val="28"/>
          <w:szCs w:val="24"/>
          <w:lang w:eastAsia="bg-BG"/>
        </w:rPr>
      </w:pPr>
      <w:r w:rsidRPr="004B3221">
        <w:rPr>
          <w:rFonts w:eastAsia="Times New Roman" w:cs="Arial"/>
          <w:i/>
          <w:iCs/>
          <w:color w:val="000000"/>
          <w:szCs w:val="20"/>
          <w:lang w:eastAsia="bg-BG"/>
        </w:rPr>
        <w:t>Чернодробно увреждане</w:t>
      </w:r>
    </w:p>
    <w:p w14:paraId="3F14B56F"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 xml:space="preserve">Фармакокинетиката на фулвестрант е оценена в клинично проучване с еднократна доза при жени с лека до умерена степен на чернодробно увреждане (клас А и В по </w:t>
      </w:r>
      <w:r w:rsidRPr="004B3221">
        <w:rPr>
          <w:rFonts w:eastAsia="Times New Roman" w:cs="Arial"/>
          <w:color w:val="000000"/>
          <w:szCs w:val="20"/>
          <w:lang w:val="en-US"/>
        </w:rPr>
        <w:t xml:space="preserve">Child Pugh). </w:t>
      </w:r>
      <w:r w:rsidRPr="004B3221">
        <w:rPr>
          <w:rFonts w:eastAsia="Times New Roman" w:cs="Arial"/>
          <w:color w:val="000000"/>
          <w:szCs w:val="20"/>
          <w:lang w:eastAsia="bg-BG"/>
        </w:rPr>
        <w:t xml:space="preserve">Приложена е интрамускулно висока доза с краткотрайно въвеждане. Наблюдавано е до 2,5 пъти повишение на </w:t>
      </w:r>
      <w:r w:rsidRPr="004B3221">
        <w:rPr>
          <w:rFonts w:eastAsia="Times New Roman" w:cs="Arial"/>
          <w:color w:val="000000"/>
          <w:szCs w:val="20"/>
          <w:lang w:val="en-US"/>
        </w:rPr>
        <w:t xml:space="preserve">AUC </w:t>
      </w:r>
      <w:r w:rsidRPr="004B3221">
        <w:rPr>
          <w:rFonts w:eastAsia="Times New Roman" w:cs="Arial"/>
          <w:color w:val="000000"/>
          <w:szCs w:val="20"/>
          <w:lang w:eastAsia="bg-BG"/>
        </w:rPr>
        <w:t xml:space="preserve">при жени с чернодробно увреждане, в сравнение със здрави лица. При пациенти, на които е приложен фулвестрант, подобно повишение на експозицията се очаква да бъде добре толерирано. Жени с тежка чернодробна недостатъчност (клас С по </w:t>
      </w:r>
      <w:r w:rsidRPr="004B3221">
        <w:rPr>
          <w:rFonts w:eastAsia="Times New Roman" w:cs="Arial"/>
          <w:color w:val="000000"/>
          <w:szCs w:val="20"/>
          <w:lang w:val="en-US"/>
        </w:rPr>
        <w:t xml:space="preserve">Child Pugh) </w:t>
      </w:r>
      <w:r w:rsidRPr="004B3221">
        <w:rPr>
          <w:rFonts w:eastAsia="Times New Roman" w:cs="Arial"/>
          <w:color w:val="000000"/>
          <w:szCs w:val="20"/>
          <w:lang w:eastAsia="bg-BG"/>
        </w:rPr>
        <w:t>не са оценявани.</w:t>
      </w:r>
    </w:p>
    <w:p w14:paraId="0012DB74" w14:textId="77777777" w:rsidR="004B3221" w:rsidRPr="004B3221" w:rsidRDefault="004B3221" w:rsidP="004B3221">
      <w:pPr>
        <w:spacing w:line="240" w:lineRule="auto"/>
        <w:rPr>
          <w:rFonts w:eastAsia="Times New Roman" w:cs="Arial"/>
          <w:i/>
          <w:iCs/>
          <w:color w:val="000000"/>
          <w:szCs w:val="20"/>
          <w:lang w:eastAsia="bg-BG"/>
        </w:rPr>
      </w:pPr>
    </w:p>
    <w:p w14:paraId="18813CB7" w14:textId="23EE17C6" w:rsidR="004B3221" w:rsidRPr="004B3221" w:rsidRDefault="004B3221" w:rsidP="004B3221">
      <w:pPr>
        <w:spacing w:line="240" w:lineRule="auto"/>
        <w:rPr>
          <w:rFonts w:eastAsia="Times New Roman" w:cs="Arial"/>
          <w:sz w:val="28"/>
          <w:szCs w:val="24"/>
          <w:lang w:eastAsia="bg-BG"/>
        </w:rPr>
      </w:pPr>
      <w:r w:rsidRPr="004B3221">
        <w:rPr>
          <w:rFonts w:eastAsia="Times New Roman" w:cs="Arial"/>
          <w:i/>
          <w:iCs/>
          <w:color w:val="000000"/>
          <w:szCs w:val="20"/>
          <w:lang w:eastAsia="bg-BG"/>
        </w:rPr>
        <w:t>Педиатрична популация</w:t>
      </w:r>
    </w:p>
    <w:p w14:paraId="447450F4" w14:textId="310306B5" w:rsidR="004B3221" w:rsidRPr="004B3221" w:rsidRDefault="004B3221" w:rsidP="004B3221">
      <w:pPr>
        <w:rPr>
          <w:rFonts w:cs="Arial"/>
          <w:sz w:val="24"/>
        </w:rPr>
      </w:pPr>
      <w:r w:rsidRPr="004B3221">
        <w:rPr>
          <w:rFonts w:eastAsia="Times New Roman" w:cs="Arial"/>
          <w:color w:val="000000"/>
          <w:szCs w:val="20"/>
          <w:lang w:eastAsia="bg-BG"/>
        </w:rPr>
        <w:t xml:space="preserve">Фармакокинетиката на фулвестрант е оценена в клинично проучване, проведено при 30 момичета с прогресивен преждевременен пубертет свързан със синдром на </w:t>
      </w:r>
      <w:r w:rsidRPr="004B3221">
        <w:rPr>
          <w:rFonts w:eastAsia="Times New Roman" w:cs="Arial"/>
          <w:color w:val="000000"/>
          <w:szCs w:val="20"/>
          <w:lang w:val="en-US"/>
        </w:rPr>
        <w:t xml:space="preserve">McCune Albright (MAS) </w:t>
      </w:r>
      <w:r w:rsidRPr="004B3221">
        <w:rPr>
          <w:rFonts w:eastAsia="Times New Roman" w:cs="Arial"/>
          <w:color w:val="000000"/>
          <w:szCs w:val="20"/>
          <w:lang w:eastAsia="bg-BG"/>
        </w:rPr>
        <w:t xml:space="preserve">(вж. точка 5.1). Педиатричните пациенти са били на възраст между 1 и 8 години, и са получавали 4 </w:t>
      </w:r>
      <w:r w:rsidRPr="004B3221">
        <w:rPr>
          <w:rFonts w:eastAsia="Times New Roman" w:cs="Arial"/>
          <w:color w:val="000000"/>
          <w:szCs w:val="20"/>
          <w:lang w:val="en-US"/>
        </w:rPr>
        <w:t xml:space="preserve">mg/kg </w:t>
      </w:r>
      <w:r w:rsidRPr="004B3221">
        <w:rPr>
          <w:rFonts w:eastAsia="Times New Roman" w:cs="Arial"/>
          <w:color w:val="000000"/>
          <w:szCs w:val="20"/>
          <w:lang w:eastAsia="bg-BG"/>
        </w:rPr>
        <w:t xml:space="preserve">месечна интрамускулна доза фулвестрант. Средната геометрична (стандартно отклонение) най-ниска концентрация </w:t>
      </w:r>
      <w:r w:rsidRPr="004B3221">
        <w:rPr>
          <w:rFonts w:eastAsia="Times New Roman" w:cs="Arial"/>
          <w:color w:val="000000"/>
          <w:szCs w:val="20"/>
          <w:lang w:val="en-US"/>
        </w:rPr>
        <w:t>(</w:t>
      </w:r>
      <w:proofErr w:type="spellStart"/>
      <w:r w:rsidRPr="004B3221">
        <w:rPr>
          <w:rFonts w:eastAsia="Times New Roman" w:cs="Arial"/>
          <w:color w:val="000000"/>
          <w:szCs w:val="20"/>
          <w:lang w:val="en-US"/>
        </w:rPr>
        <w:t>Cmin,ss</w:t>
      </w:r>
      <w:proofErr w:type="spellEnd"/>
      <w:r w:rsidRPr="004B3221">
        <w:rPr>
          <w:rFonts w:eastAsia="Times New Roman" w:cs="Arial"/>
          <w:color w:val="000000"/>
          <w:szCs w:val="20"/>
          <w:lang w:val="en-US"/>
        </w:rPr>
        <w:t xml:space="preserve">), </w:t>
      </w:r>
      <w:r w:rsidRPr="004B3221">
        <w:rPr>
          <w:rFonts w:eastAsia="Times New Roman" w:cs="Arial"/>
          <w:color w:val="000000"/>
          <w:szCs w:val="20"/>
          <w:lang w:eastAsia="bg-BG"/>
        </w:rPr>
        <w:t xml:space="preserve">в стационарно състояние и </w:t>
      </w:r>
      <w:proofErr w:type="spellStart"/>
      <w:r w:rsidRPr="004B3221">
        <w:rPr>
          <w:rFonts w:eastAsia="Times New Roman" w:cs="Arial"/>
          <w:color w:val="000000"/>
          <w:szCs w:val="20"/>
          <w:lang w:val="en-US"/>
        </w:rPr>
        <w:t>AUCss</w:t>
      </w:r>
      <w:proofErr w:type="spellEnd"/>
      <w:r w:rsidRPr="004B3221">
        <w:rPr>
          <w:rFonts w:eastAsia="Times New Roman" w:cs="Arial"/>
          <w:color w:val="000000"/>
          <w:szCs w:val="20"/>
          <w:lang w:val="en-US"/>
        </w:rPr>
        <w:t xml:space="preserve">, </w:t>
      </w:r>
      <w:r w:rsidRPr="004B3221">
        <w:rPr>
          <w:rFonts w:eastAsia="Times New Roman" w:cs="Arial"/>
          <w:color w:val="000000"/>
          <w:szCs w:val="20"/>
          <w:lang w:eastAsia="bg-BG"/>
        </w:rPr>
        <w:t xml:space="preserve">са били съответно 4,2 (0,9) </w:t>
      </w:r>
      <w:r w:rsidRPr="004B3221">
        <w:rPr>
          <w:rFonts w:eastAsia="Times New Roman" w:cs="Arial"/>
          <w:color w:val="000000"/>
          <w:szCs w:val="20"/>
          <w:lang w:val="en-US"/>
        </w:rPr>
        <w:t xml:space="preserve">ng/ml </w:t>
      </w:r>
      <w:r w:rsidRPr="004B3221">
        <w:rPr>
          <w:rFonts w:eastAsia="Times New Roman" w:cs="Arial"/>
          <w:color w:val="000000"/>
          <w:szCs w:val="20"/>
          <w:lang w:eastAsia="bg-BG"/>
        </w:rPr>
        <w:t xml:space="preserve">и 3 680 (1 020) </w:t>
      </w:r>
      <w:r w:rsidRPr="004B3221">
        <w:rPr>
          <w:rFonts w:eastAsia="Times New Roman" w:cs="Arial"/>
          <w:color w:val="000000"/>
          <w:szCs w:val="20"/>
          <w:lang w:val="en-US"/>
        </w:rPr>
        <w:t>ng*</w:t>
      </w:r>
      <w:proofErr w:type="spellStart"/>
      <w:r w:rsidRPr="004B3221">
        <w:rPr>
          <w:rFonts w:eastAsia="Times New Roman" w:cs="Arial"/>
          <w:color w:val="000000"/>
          <w:szCs w:val="20"/>
          <w:lang w:val="en-US"/>
        </w:rPr>
        <w:t>hr</w:t>
      </w:r>
      <w:proofErr w:type="spellEnd"/>
      <w:r w:rsidRPr="004B3221">
        <w:rPr>
          <w:rFonts w:eastAsia="Times New Roman" w:cs="Arial"/>
          <w:color w:val="000000"/>
          <w:szCs w:val="20"/>
          <w:lang w:val="en-US"/>
        </w:rPr>
        <w:t xml:space="preserve">/ml. </w:t>
      </w:r>
      <w:r w:rsidRPr="004B3221">
        <w:rPr>
          <w:rFonts w:eastAsia="Times New Roman" w:cs="Arial"/>
          <w:color w:val="000000"/>
          <w:szCs w:val="20"/>
          <w:lang w:eastAsia="bg-BG"/>
        </w:rPr>
        <w:t>Въпреки, че събраните данни са ограничени, най-ниските концентрации на фулвестрант в стационарно състояние при деца изглежда са съизмерими с тези при възрастни.</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6DF0C80A"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Острата токсичност на фулвестрант е ниска.</w:t>
      </w:r>
    </w:p>
    <w:p w14:paraId="0CCF732A" w14:textId="77777777" w:rsidR="004B3221" w:rsidRPr="004B3221" w:rsidRDefault="004B3221" w:rsidP="004B3221">
      <w:pPr>
        <w:spacing w:line="240" w:lineRule="auto"/>
        <w:rPr>
          <w:rFonts w:eastAsia="Times New Roman" w:cs="Arial"/>
          <w:color w:val="000000"/>
          <w:szCs w:val="20"/>
          <w:lang w:eastAsia="bg-BG"/>
        </w:rPr>
      </w:pPr>
    </w:p>
    <w:p w14:paraId="49371D6B" w14:textId="1DE24721"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Референтният лекарствен продукт и другите форми на фулвестрант се понасят добре при животински видове, използвани при проучвания с многократно прилагане. Счита се, че локалните реакции, включително миозит и образуване на грануломи на инжекционното място, се дължат на носителя, но тежестта на миозита при зайци нараства с фулвестрант, в сравнение с контролите на физиологичен разтвор. При проучванията за токсичност с многократни интрамускулни дози на фулвестрант при плъхове и кучета, антиестрогенната активност на фулвестрант е отговорна за повечето ефекти, особено върху женската репродуктивна система, но също и върху други чувствителни на половите хормони органи и при двата пола. При някои кучета, след дългосрочно приложение (12 месеца) в различни тъкани, е наблюдаван артериит.</w:t>
      </w:r>
    </w:p>
    <w:p w14:paraId="755A2249" w14:textId="77777777" w:rsidR="004B3221" w:rsidRPr="004B3221" w:rsidRDefault="004B3221" w:rsidP="004B3221">
      <w:pPr>
        <w:spacing w:line="240" w:lineRule="auto"/>
        <w:rPr>
          <w:rFonts w:eastAsia="Times New Roman" w:cs="Arial"/>
          <w:color w:val="000000"/>
          <w:szCs w:val="20"/>
          <w:lang w:eastAsia="bg-BG"/>
        </w:rPr>
      </w:pPr>
    </w:p>
    <w:p w14:paraId="62708063" w14:textId="7A930600"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 xml:space="preserve">При проучвания върху кучета, след перорално и интравенозно приложение, са установени ефекти върху сърдечно-съдовата система (лека елевация на </w:t>
      </w:r>
      <w:r w:rsidRPr="004B3221">
        <w:rPr>
          <w:rFonts w:eastAsia="Times New Roman" w:cs="Arial"/>
          <w:color w:val="000000"/>
          <w:szCs w:val="20"/>
          <w:lang w:val="en-US"/>
        </w:rPr>
        <w:t xml:space="preserve">S-T </w:t>
      </w:r>
      <w:r w:rsidRPr="004B3221">
        <w:rPr>
          <w:rFonts w:eastAsia="Times New Roman" w:cs="Arial"/>
          <w:color w:val="000000"/>
          <w:szCs w:val="20"/>
          <w:lang w:eastAsia="bg-BG"/>
        </w:rPr>
        <w:t>сегмента на ЕКГ [перорално приложение] и синусов арест при едно куче [интравенозно]). Те се наблюдават при експозиционни нива по- високи, отколкото при пациентите (С</w:t>
      </w:r>
      <w:r w:rsidRPr="004B3221">
        <w:rPr>
          <w:rFonts w:eastAsia="Times New Roman" w:cs="Arial"/>
          <w:color w:val="000000"/>
          <w:szCs w:val="20"/>
          <w:lang w:val="en-US"/>
        </w:rPr>
        <w:t>max</w:t>
      </w:r>
      <w:r w:rsidRPr="004B3221">
        <w:rPr>
          <w:rFonts w:eastAsia="Times New Roman" w:cs="Arial"/>
          <w:color w:val="000000"/>
          <w:szCs w:val="20"/>
          <w:lang w:eastAsia="bg-BG"/>
        </w:rPr>
        <w:t xml:space="preserve"> &gt;15 пъти), и вероятно са с ограничено значение за сигурността при хора, при прилагане на клинична доза.</w:t>
      </w:r>
    </w:p>
    <w:p w14:paraId="50417785" w14:textId="77777777" w:rsidR="004B3221" w:rsidRPr="004B3221" w:rsidRDefault="004B3221" w:rsidP="004B3221">
      <w:pPr>
        <w:spacing w:line="240" w:lineRule="auto"/>
        <w:rPr>
          <w:rFonts w:eastAsia="Times New Roman" w:cs="Arial"/>
          <w:color w:val="000000"/>
          <w:szCs w:val="20"/>
          <w:lang w:eastAsia="bg-BG"/>
        </w:rPr>
      </w:pPr>
    </w:p>
    <w:p w14:paraId="10FA5319" w14:textId="087D76C1"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Фулвестрант няма генотоксичен потенциал.</w:t>
      </w:r>
    </w:p>
    <w:p w14:paraId="409AAA20" w14:textId="77777777" w:rsidR="004B3221" w:rsidRPr="004B3221" w:rsidRDefault="004B3221" w:rsidP="004B3221">
      <w:pPr>
        <w:rPr>
          <w:rFonts w:eastAsia="Times New Roman" w:cs="Arial"/>
          <w:color w:val="000000"/>
          <w:szCs w:val="20"/>
          <w:lang w:eastAsia="bg-BG"/>
        </w:rPr>
      </w:pPr>
    </w:p>
    <w:p w14:paraId="18B28361" w14:textId="77777777" w:rsidR="004B3221" w:rsidRPr="004B3221" w:rsidRDefault="004B3221" w:rsidP="004B3221">
      <w:pPr>
        <w:rPr>
          <w:rFonts w:eastAsia="Times New Roman" w:cs="Arial"/>
          <w:sz w:val="28"/>
          <w:szCs w:val="24"/>
          <w:lang w:eastAsia="bg-BG"/>
        </w:rPr>
      </w:pPr>
      <w:r w:rsidRPr="004B3221">
        <w:rPr>
          <w:rFonts w:eastAsia="Times New Roman" w:cs="Arial"/>
          <w:color w:val="000000"/>
          <w:szCs w:val="20"/>
          <w:lang w:eastAsia="bg-BG"/>
        </w:rPr>
        <w:t>Фулвестрант показва ефекти върху репродукцията и ембрио/феталното развитие, които са в съответствие с неговата антиестрогенна активност, в дози сходни с клиничната. При плъхове са</w:t>
      </w:r>
      <w:r w:rsidRPr="004B3221">
        <w:rPr>
          <w:rFonts w:eastAsia="Times New Roman" w:cs="Arial"/>
          <w:color w:val="000000"/>
          <w:szCs w:val="20"/>
          <w:lang w:val="en-US" w:eastAsia="bg-BG"/>
        </w:rPr>
        <w:t xml:space="preserve"> </w:t>
      </w:r>
      <w:r w:rsidRPr="004B3221">
        <w:rPr>
          <w:rFonts w:eastAsia="Times New Roman" w:cs="Arial"/>
          <w:color w:val="000000"/>
          <w:szCs w:val="20"/>
          <w:lang w:eastAsia="bg-BG"/>
        </w:rPr>
        <w:t>наблюдавани обратимо понижение на женската фертилност и преживяемост на ембриона, дистокия и увеличен риск от фетални аномалии, включително на тарзалната става. Зайци, на които е даван фулвестрант, не задържат бременността. Забелязани са увеличение на теглото на плацентата и постимплантационна загуба на фетуса. Има увеличен риск от фетални вариации при зайци (изместване назад на тазовия пръстен и 27 пресакрален прешлен).</w:t>
      </w:r>
    </w:p>
    <w:p w14:paraId="3F1A730E" w14:textId="77777777" w:rsidR="004B3221" w:rsidRPr="004B3221" w:rsidRDefault="004B3221" w:rsidP="004B3221">
      <w:pPr>
        <w:spacing w:line="240" w:lineRule="auto"/>
        <w:rPr>
          <w:rFonts w:eastAsia="Times New Roman" w:cs="Arial"/>
          <w:color w:val="000000"/>
          <w:szCs w:val="20"/>
          <w:lang w:eastAsia="bg-BG"/>
        </w:rPr>
      </w:pPr>
    </w:p>
    <w:p w14:paraId="1366E33A" w14:textId="2CE3ED7C"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 xml:space="preserve">Двугодишно проучване за онкогенност при плъхове (интрамускулно приложение на фулвестрант), показва увеличена честота на доброкачествени яйчникови гранулозно-клетъчни тумори при женски плъхове, при високата доза 10 </w:t>
      </w:r>
      <w:r w:rsidRPr="004B3221">
        <w:rPr>
          <w:rFonts w:eastAsia="Times New Roman" w:cs="Arial"/>
          <w:color w:val="000000"/>
          <w:szCs w:val="20"/>
          <w:lang w:val="en-US"/>
        </w:rPr>
        <w:t>mg</w:t>
      </w:r>
      <w:r w:rsidRPr="004B3221">
        <w:rPr>
          <w:rFonts w:eastAsia="Times New Roman" w:cs="Arial"/>
          <w:color w:val="000000"/>
          <w:szCs w:val="20"/>
          <w:lang w:eastAsia="bg-BG"/>
        </w:rPr>
        <w:t xml:space="preserve">/плъх/! 5 дни и увеличена честота на тестикулни Лайдигови тумори при мъжките. В двугодишно проучване при мишки за онкогенност (с ежедневно перорално приложение) се установява повишена честота на овариални стромални тумори от полови върви (както доброкачествени, така и злокачествени), при дози от 150 и 500 </w:t>
      </w:r>
      <w:r w:rsidRPr="004B3221">
        <w:rPr>
          <w:rFonts w:eastAsia="Times New Roman" w:cs="Arial"/>
          <w:color w:val="000000"/>
          <w:szCs w:val="20"/>
          <w:lang w:val="en-US"/>
        </w:rPr>
        <w:t>mg/kg</w:t>
      </w:r>
      <w:r w:rsidRPr="004B3221">
        <w:rPr>
          <w:rFonts w:eastAsia="Times New Roman" w:cs="Arial"/>
          <w:color w:val="000000"/>
          <w:szCs w:val="20"/>
          <w:lang w:eastAsia="bg-BG"/>
        </w:rPr>
        <w:t xml:space="preserve">/дневно. На нивото, при което не се установява ефект за тези находки, нивата на системна експозиция </w:t>
      </w:r>
      <w:r w:rsidRPr="004B3221">
        <w:rPr>
          <w:rFonts w:eastAsia="Times New Roman" w:cs="Arial"/>
          <w:color w:val="000000"/>
          <w:szCs w:val="20"/>
          <w:lang w:val="en-US"/>
        </w:rPr>
        <w:t xml:space="preserve">(AUC) </w:t>
      </w:r>
      <w:r w:rsidRPr="004B3221">
        <w:rPr>
          <w:rFonts w:eastAsia="Times New Roman" w:cs="Arial"/>
          <w:color w:val="000000"/>
          <w:szCs w:val="20"/>
          <w:lang w:eastAsia="bg-BG"/>
        </w:rPr>
        <w:t>са приблизително 1,5 пъти от очакваните нива на експозиция при хора, при женските плъхове, и 0,8 пъти при мъжките плъхове, а при мишки - приблизително 0,8 пъти очакваните нива на експозиция при хора, и при женските, и при мъжките мишки. Индукцията на такива тумори се дължи на фармакологично обусловените ендокринни промени по механизма на обратната връзка на нивата на гонадотропините, дължащи се на антиестрогените при животните с еструс. Ето защо, се смята, че тези находки нямат отношение към приложението на фулвестрант при постменопаузални жени с напреднал рак на гърдата.</w:t>
      </w:r>
    </w:p>
    <w:p w14:paraId="4B203026" w14:textId="77777777" w:rsidR="004B3221" w:rsidRPr="004B3221" w:rsidRDefault="004B3221" w:rsidP="004B3221">
      <w:pPr>
        <w:rPr>
          <w:rFonts w:eastAsia="Times New Roman" w:cs="Arial"/>
          <w:color w:val="000000"/>
          <w:szCs w:val="20"/>
          <w:lang w:eastAsia="bg-BG"/>
        </w:rPr>
      </w:pPr>
    </w:p>
    <w:p w14:paraId="13A7B62A" w14:textId="2F5781ED" w:rsidR="007A2185" w:rsidRPr="004B3221" w:rsidRDefault="004B3221" w:rsidP="004B3221">
      <w:pPr>
        <w:rPr>
          <w:rFonts w:cs="Arial"/>
          <w:sz w:val="24"/>
          <w:lang w:val="en-US"/>
        </w:rPr>
      </w:pPr>
      <w:r w:rsidRPr="004B3221">
        <w:rPr>
          <w:rFonts w:eastAsia="Times New Roman" w:cs="Arial"/>
          <w:color w:val="000000"/>
          <w:szCs w:val="20"/>
          <w:lang w:eastAsia="bg-BG"/>
        </w:rPr>
        <w:t xml:space="preserve">Проучвания за оценка на риска за околната среда </w:t>
      </w:r>
      <w:r w:rsidRPr="004B3221">
        <w:rPr>
          <w:rFonts w:eastAsia="Times New Roman" w:cs="Arial"/>
          <w:color w:val="000000"/>
          <w:szCs w:val="20"/>
          <w:lang w:val="en-US"/>
        </w:rPr>
        <w:t xml:space="preserve">(ERA) </w:t>
      </w:r>
      <w:r w:rsidRPr="004B3221">
        <w:rPr>
          <w:rFonts w:eastAsia="Times New Roman" w:cs="Arial"/>
          <w:color w:val="000000"/>
          <w:szCs w:val="20"/>
          <w:lang w:eastAsia="bg-BG"/>
        </w:rPr>
        <w:t>демонстрират, че фулвестрант потенциално може да причини нежелани ефекти върху водите (вж. точка 6.6).</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21ADC122" w14:textId="77777777" w:rsidR="004B3221" w:rsidRPr="004B3221" w:rsidRDefault="004B3221" w:rsidP="004B3221">
      <w:pPr>
        <w:spacing w:line="240" w:lineRule="auto"/>
        <w:rPr>
          <w:rFonts w:eastAsia="Times New Roman" w:cs="Arial"/>
          <w:sz w:val="28"/>
          <w:szCs w:val="24"/>
          <w:lang w:val="en-US" w:eastAsia="bg-BG"/>
        </w:rPr>
      </w:pPr>
      <w:proofErr w:type="spellStart"/>
      <w:r w:rsidRPr="004B3221">
        <w:rPr>
          <w:rFonts w:eastAsia="Times New Roman" w:cs="Arial"/>
          <w:color w:val="000000"/>
          <w:szCs w:val="20"/>
          <w:lang w:val="en-US"/>
        </w:rPr>
        <w:t>Gedeon</w:t>
      </w:r>
      <w:proofErr w:type="spellEnd"/>
      <w:r w:rsidRPr="004B3221">
        <w:rPr>
          <w:rFonts w:eastAsia="Times New Roman" w:cs="Arial"/>
          <w:color w:val="000000"/>
          <w:szCs w:val="20"/>
          <w:lang w:val="en-US"/>
        </w:rPr>
        <w:t xml:space="preserve"> Richter Plc.</w:t>
      </w:r>
    </w:p>
    <w:p w14:paraId="21D6F63E" w14:textId="77777777" w:rsidR="004B3221" w:rsidRPr="004B3221" w:rsidRDefault="004B3221" w:rsidP="004B3221">
      <w:pPr>
        <w:spacing w:line="240" w:lineRule="auto"/>
        <w:rPr>
          <w:rFonts w:eastAsia="Times New Roman" w:cs="Arial"/>
          <w:sz w:val="28"/>
          <w:szCs w:val="24"/>
          <w:lang w:val="en-US" w:eastAsia="bg-BG"/>
        </w:rPr>
      </w:pPr>
      <w:r w:rsidRPr="004B3221">
        <w:rPr>
          <w:rFonts w:eastAsia="Times New Roman" w:cs="Arial"/>
          <w:color w:val="000000"/>
          <w:szCs w:val="20"/>
          <w:lang w:val="en-US"/>
        </w:rPr>
        <w:t>H-11</w:t>
      </w:r>
      <w:r w:rsidRPr="004B3221">
        <w:rPr>
          <w:rFonts w:eastAsia="Times New Roman" w:cs="Arial"/>
          <w:color w:val="000000"/>
          <w:szCs w:val="20"/>
          <w:lang w:eastAsia="bg-BG"/>
        </w:rPr>
        <w:t xml:space="preserve">03 </w:t>
      </w:r>
      <w:r w:rsidRPr="004B3221">
        <w:rPr>
          <w:rFonts w:eastAsia="Times New Roman" w:cs="Arial"/>
          <w:color w:val="000000"/>
          <w:szCs w:val="20"/>
          <w:lang w:val="en-US"/>
        </w:rPr>
        <w:t>Budapest</w:t>
      </w:r>
    </w:p>
    <w:p w14:paraId="4EB1678A" w14:textId="77777777" w:rsidR="004B3221" w:rsidRPr="004B3221" w:rsidRDefault="004B3221" w:rsidP="004B3221">
      <w:pPr>
        <w:spacing w:line="240" w:lineRule="auto"/>
        <w:rPr>
          <w:rFonts w:eastAsia="Times New Roman" w:cs="Arial"/>
          <w:sz w:val="28"/>
          <w:szCs w:val="24"/>
          <w:lang w:val="en-US" w:eastAsia="bg-BG"/>
        </w:rPr>
      </w:pPr>
      <w:r w:rsidRPr="004B3221">
        <w:rPr>
          <w:rFonts w:eastAsia="Times New Roman" w:cs="Arial"/>
          <w:color w:val="000000"/>
          <w:szCs w:val="20"/>
          <w:lang w:eastAsia="bg-BG"/>
        </w:rPr>
        <w:t>Gyömrői út</w:t>
      </w:r>
      <w:r w:rsidRPr="004B3221">
        <w:rPr>
          <w:rFonts w:eastAsia="Times New Roman" w:cs="Arial"/>
          <w:color w:val="000000"/>
          <w:szCs w:val="20"/>
          <w:lang w:val="en-US"/>
        </w:rPr>
        <w:t xml:space="preserve"> 19-21.</w:t>
      </w:r>
    </w:p>
    <w:p w14:paraId="4F02909F" w14:textId="06DDE9C2" w:rsidR="007A2185" w:rsidRPr="004B3221" w:rsidRDefault="004B3221" w:rsidP="004B3221">
      <w:pPr>
        <w:rPr>
          <w:rFonts w:cs="Arial"/>
          <w:sz w:val="24"/>
        </w:rPr>
      </w:pPr>
      <w:r w:rsidRPr="004B3221">
        <w:rPr>
          <w:rFonts w:eastAsia="Times New Roman" w:cs="Arial"/>
          <w:color w:val="000000"/>
          <w:szCs w:val="20"/>
          <w:lang w:eastAsia="bg-BG"/>
        </w:rPr>
        <w:t>Унгария</w:t>
      </w:r>
    </w:p>
    <w:p w14:paraId="129C7566" w14:textId="77777777" w:rsidR="0091385D" w:rsidRPr="0091385D" w:rsidRDefault="0091385D" w:rsidP="0091385D"/>
    <w:p w14:paraId="7BA1BA64" w14:textId="17509450" w:rsidR="00CF77F7" w:rsidRDefault="002C50EE" w:rsidP="004A448E">
      <w:pPr>
        <w:pStyle w:val="Heading1"/>
      </w:pPr>
      <w:r>
        <w:lastRenderedPageBreak/>
        <w:t>8. НОМЕР НА РАЗРЕШЕНИЕТО ЗА УПОТРЕБА</w:t>
      </w:r>
    </w:p>
    <w:p w14:paraId="095674C4" w14:textId="3072FB0E" w:rsidR="0091385D" w:rsidRDefault="0091385D" w:rsidP="0091385D"/>
    <w:p w14:paraId="46161304" w14:textId="6A98EF90" w:rsidR="007A2185" w:rsidRPr="004B3221" w:rsidRDefault="004B3221" w:rsidP="0091385D">
      <w:pPr>
        <w:rPr>
          <w:rFonts w:cs="Arial"/>
          <w:sz w:val="24"/>
        </w:rPr>
      </w:pPr>
      <w:r w:rsidRPr="004B3221">
        <w:rPr>
          <w:rFonts w:cs="Arial"/>
          <w:szCs w:val="20"/>
        </w:rPr>
        <w:t>Per. №20210035</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7C7590C3" w14:textId="77777777" w:rsidR="004B3221" w:rsidRPr="004B3221" w:rsidRDefault="004B3221" w:rsidP="004B3221">
      <w:pPr>
        <w:spacing w:line="240" w:lineRule="auto"/>
        <w:rPr>
          <w:rFonts w:eastAsia="Times New Roman" w:cs="Arial"/>
          <w:sz w:val="28"/>
          <w:szCs w:val="24"/>
          <w:lang w:eastAsia="bg-BG"/>
        </w:rPr>
      </w:pPr>
      <w:r w:rsidRPr="004B3221">
        <w:rPr>
          <w:rFonts w:eastAsia="Times New Roman" w:cs="Arial"/>
          <w:color w:val="000000"/>
          <w:szCs w:val="20"/>
          <w:lang w:eastAsia="bg-BG"/>
        </w:rPr>
        <w:t>Дата на първо разрешаване: 10.02.2021</w:t>
      </w:r>
    </w:p>
    <w:p w14:paraId="6C57D8B6" w14:textId="453F8572" w:rsidR="007A2185" w:rsidRPr="004B3221" w:rsidRDefault="004B3221" w:rsidP="004B3221">
      <w:pPr>
        <w:rPr>
          <w:rFonts w:cs="Arial"/>
          <w:sz w:val="24"/>
        </w:rPr>
      </w:pPr>
      <w:r w:rsidRPr="004B3221">
        <w:rPr>
          <w:rFonts w:eastAsia="Times New Roman" w:cs="Arial"/>
          <w:color w:val="000000"/>
          <w:szCs w:val="20"/>
          <w:lang w:eastAsia="bg-BG"/>
        </w:rPr>
        <w:t>Дата на последно подновяване:</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6136A31E" w:rsidR="007A2185" w:rsidRPr="004B3221" w:rsidRDefault="004B3221" w:rsidP="0091385D">
      <w:pPr>
        <w:rPr>
          <w:rFonts w:cs="Arial"/>
          <w:sz w:val="24"/>
        </w:rPr>
      </w:pPr>
      <w:r w:rsidRPr="004B3221">
        <w:rPr>
          <w:rFonts w:cs="Arial"/>
          <w:szCs w:val="20"/>
        </w:rPr>
        <w:t>16.03.2021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906B4B"/>
    <w:multiLevelType w:val="hybridMultilevel"/>
    <w:tmpl w:val="9F540106"/>
    <w:lvl w:ilvl="0" w:tplc="0F50AEE8">
      <w:start w:val="88"/>
      <w:numFmt w:val="bullet"/>
      <w:lvlText w:val=""/>
      <w:lvlJc w:val="left"/>
      <w:pPr>
        <w:ind w:left="720" w:hanging="360"/>
      </w:pPr>
      <w:rPr>
        <w:rFonts w:ascii="Symbol" w:eastAsia="Times New Roman" w:hAnsi="Symbol" w:cs="Arial" w:hint="default"/>
        <w:b/>
        <w:color w:val="000000"/>
        <w:sz w:val="1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D1D5C"/>
    <w:multiLevelType w:val="hybridMultilevel"/>
    <w:tmpl w:val="26865D5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A6EB9"/>
    <w:multiLevelType w:val="hybridMultilevel"/>
    <w:tmpl w:val="5D5E5852"/>
    <w:lvl w:ilvl="0" w:tplc="ECEA88C4">
      <w:start w:val="88"/>
      <w:numFmt w:val="bullet"/>
      <w:lvlText w:val=""/>
      <w:lvlJc w:val="left"/>
      <w:pPr>
        <w:ind w:left="720" w:hanging="360"/>
      </w:pPr>
      <w:rPr>
        <w:rFonts w:ascii="Symbol" w:eastAsia="Times New Roman" w:hAnsi="Symbol" w:cs="Arial" w:hint="default"/>
        <w:b/>
        <w:color w:val="000000"/>
        <w:sz w:val="1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A209A"/>
    <w:multiLevelType w:val="hybridMultilevel"/>
    <w:tmpl w:val="9F18F488"/>
    <w:lvl w:ilvl="0" w:tplc="49C69654">
      <w:start w:val="88"/>
      <w:numFmt w:val="bullet"/>
      <w:lvlText w:val=""/>
      <w:lvlJc w:val="left"/>
      <w:pPr>
        <w:ind w:left="720" w:hanging="360"/>
      </w:pPr>
      <w:rPr>
        <w:rFonts w:ascii="Symbol" w:eastAsia="Times New Roman" w:hAnsi="Symbol" w:cs="Arial" w:hint="default"/>
        <w:b/>
        <w:color w:val="000000"/>
        <w:sz w:val="1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9"/>
  </w:num>
  <w:num w:numId="7">
    <w:abstractNumId w:val="12"/>
  </w:num>
  <w:num w:numId="8">
    <w:abstractNumId w:val="18"/>
  </w:num>
  <w:num w:numId="9">
    <w:abstractNumId w:val="2"/>
  </w:num>
  <w:num w:numId="10">
    <w:abstractNumId w:val="5"/>
  </w:num>
  <w:num w:numId="11">
    <w:abstractNumId w:val="34"/>
  </w:num>
  <w:num w:numId="12">
    <w:abstractNumId w:val="16"/>
  </w:num>
  <w:num w:numId="13">
    <w:abstractNumId w:val="23"/>
  </w:num>
  <w:num w:numId="14">
    <w:abstractNumId w:val="13"/>
  </w:num>
  <w:num w:numId="15">
    <w:abstractNumId w:val="33"/>
  </w:num>
  <w:num w:numId="16">
    <w:abstractNumId w:val="11"/>
  </w:num>
  <w:num w:numId="17">
    <w:abstractNumId w:val="28"/>
  </w:num>
  <w:num w:numId="18">
    <w:abstractNumId w:val="8"/>
  </w:num>
  <w:num w:numId="19">
    <w:abstractNumId w:val="30"/>
  </w:num>
  <w:num w:numId="20">
    <w:abstractNumId w:val="27"/>
  </w:num>
  <w:num w:numId="21">
    <w:abstractNumId w:val="20"/>
  </w:num>
  <w:num w:numId="22">
    <w:abstractNumId w:val="29"/>
  </w:num>
  <w:num w:numId="23">
    <w:abstractNumId w:val="22"/>
  </w:num>
  <w:num w:numId="24">
    <w:abstractNumId w:val="9"/>
  </w:num>
  <w:num w:numId="25">
    <w:abstractNumId w:val="26"/>
  </w:num>
  <w:num w:numId="26">
    <w:abstractNumId w:val="25"/>
  </w:num>
  <w:num w:numId="27">
    <w:abstractNumId w:val="35"/>
  </w:num>
  <w:num w:numId="28">
    <w:abstractNumId w:val="7"/>
  </w:num>
  <w:num w:numId="29">
    <w:abstractNumId w:val="24"/>
  </w:num>
  <w:num w:numId="30">
    <w:abstractNumId w:val="38"/>
  </w:num>
  <w:num w:numId="31">
    <w:abstractNumId w:val="6"/>
  </w:num>
  <w:num w:numId="32">
    <w:abstractNumId w:val="37"/>
  </w:num>
  <w:num w:numId="33">
    <w:abstractNumId w:val="32"/>
  </w:num>
  <w:num w:numId="34">
    <w:abstractNumId w:val="36"/>
  </w:num>
  <w:num w:numId="35">
    <w:abstractNumId w:val="15"/>
  </w:num>
  <w:num w:numId="36">
    <w:abstractNumId w:val="10"/>
  </w:num>
  <w:num w:numId="37">
    <w:abstractNumId w:val="17"/>
  </w:num>
  <w:num w:numId="38">
    <w:abstractNumId w:val="2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54D99"/>
    <w:rsid w:val="00185A46"/>
    <w:rsid w:val="001915B6"/>
    <w:rsid w:val="001D1B23"/>
    <w:rsid w:val="002B3C38"/>
    <w:rsid w:val="002B4DBB"/>
    <w:rsid w:val="002C50EE"/>
    <w:rsid w:val="00340A0A"/>
    <w:rsid w:val="003765DC"/>
    <w:rsid w:val="00395555"/>
    <w:rsid w:val="003E3126"/>
    <w:rsid w:val="00426E5F"/>
    <w:rsid w:val="004A448E"/>
    <w:rsid w:val="004B3221"/>
    <w:rsid w:val="004D4D6B"/>
    <w:rsid w:val="004E5B9A"/>
    <w:rsid w:val="004F1CE7"/>
    <w:rsid w:val="004F498A"/>
    <w:rsid w:val="00517A5B"/>
    <w:rsid w:val="0054101C"/>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C543D"/>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02728"/>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7049</Words>
  <Characters>40184</Characters>
  <Application>Microsoft Office Word</Application>
  <DocSecurity>0</DocSecurity>
  <Lines>334</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2023-03-27T14:41:00Z</dcterms:created>
  <dcterms:modified xsi:type="dcterms:W3CDTF">2023-03-27T14:41:00Z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