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297B8625" w14:textId="77777777" w:rsidR="00675B2C" w:rsidRPr="00675B2C" w:rsidRDefault="00675B2C" w:rsidP="00675B2C">
      <w:pPr>
        <w:spacing w:line="240" w:lineRule="auto"/>
        <w:rPr>
          <w:rFonts w:eastAsia="Times New Roman" w:cs="Arial"/>
          <w:lang w:val="en-US" w:eastAsia="bg-BG"/>
        </w:rPr>
      </w:pPr>
      <w:r w:rsidRPr="00675B2C">
        <w:rPr>
          <w:rFonts w:eastAsia="Times New Roman" w:cs="Arial"/>
          <w:color w:val="000000"/>
          <w:lang w:eastAsia="bg-BG"/>
        </w:rPr>
        <w:t xml:space="preserve">Имигран 50 </w:t>
      </w:r>
      <w:r w:rsidRPr="00675B2C">
        <w:rPr>
          <w:rFonts w:eastAsia="Times New Roman" w:cs="Arial"/>
          <w:color w:val="000000"/>
          <w:lang w:val="en-US"/>
        </w:rPr>
        <w:t xml:space="preserve">mg </w:t>
      </w:r>
      <w:r w:rsidRPr="00675B2C">
        <w:rPr>
          <w:rFonts w:eastAsia="Times New Roman" w:cs="Arial"/>
          <w:color w:val="000000"/>
          <w:lang w:eastAsia="bg-BG"/>
        </w:rPr>
        <w:t>филмирани таблетки</w:t>
      </w:r>
    </w:p>
    <w:p w14:paraId="69AC8148" w14:textId="02D5EFD8" w:rsidR="00EC41ED" w:rsidRPr="00431283" w:rsidRDefault="00675B2C" w:rsidP="00675B2C">
      <w:pPr>
        <w:rPr>
          <w:rFonts w:cs="Arial"/>
        </w:rPr>
      </w:pPr>
      <w:proofErr w:type="spellStart"/>
      <w:r w:rsidRPr="00431283">
        <w:rPr>
          <w:rFonts w:eastAsia="Times New Roman" w:cs="Arial"/>
          <w:color w:val="000000"/>
          <w:lang w:val="en-US"/>
        </w:rPr>
        <w:t>Imigran</w:t>
      </w:r>
      <w:proofErr w:type="spellEnd"/>
      <w:r w:rsidRPr="00431283">
        <w:rPr>
          <w:rFonts w:eastAsia="Times New Roman" w:cs="Arial"/>
          <w:color w:val="000000"/>
          <w:lang w:val="en-US"/>
        </w:rPr>
        <w:t xml:space="preserve"> </w:t>
      </w:r>
      <w:r w:rsidRPr="00431283">
        <w:rPr>
          <w:rFonts w:eastAsia="Times New Roman" w:cs="Arial"/>
          <w:color w:val="000000"/>
          <w:lang w:eastAsia="bg-BG"/>
        </w:rPr>
        <w:t xml:space="preserve">50 </w:t>
      </w:r>
      <w:r w:rsidRPr="00431283">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2703D30D" w14:textId="7777777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 xml:space="preserve">Филмирани таблетки, съдържащи 50 </w:t>
      </w:r>
      <w:r w:rsidRPr="00675B2C">
        <w:rPr>
          <w:rFonts w:eastAsia="Times New Roman" w:cs="Arial"/>
          <w:color w:val="000000"/>
          <w:lang w:val="en-US"/>
        </w:rPr>
        <w:t xml:space="preserve">mg </w:t>
      </w:r>
      <w:r w:rsidRPr="00675B2C">
        <w:rPr>
          <w:rFonts w:eastAsia="Times New Roman" w:cs="Arial"/>
          <w:color w:val="000000"/>
          <w:lang w:eastAsia="bg-BG"/>
        </w:rPr>
        <w:t xml:space="preserve">суматриптан </w:t>
      </w:r>
      <w:r w:rsidRPr="00675B2C">
        <w:rPr>
          <w:rFonts w:eastAsia="Times New Roman" w:cs="Arial"/>
          <w:i/>
          <w:iCs/>
          <w:color w:val="000000"/>
          <w:lang w:val="en-US"/>
        </w:rPr>
        <w:t>(</w:t>
      </w:r>
      <w:proofErr w:type="spellStart"/>
      <w:r w:rsidRPr="00675B2C">
        <w:rPr>
          <w:rFonts w:eastAsia="Times New Roman" w:cs="Arial"/>
          <w:i/>
          <w:iCs/>
          <w:color w:val="000000"/>
          <w:lang w:val="en-US"/>
        </w:rPr>
        <w:t>sumatriptan</w:t>
      </w:r>
      <w:proofErr w:type="spellEnd"/>
      <w:r w:rsidRPr="00675B2C">
        <w:rPr>
          <w:rFonts w:eastAsia="Times New Roman" w:cs="Arial"/>
          <w:i/>
          <w:iCs/>
          <w:color w:val="000000"/>
          <w:lang w:val="en-US"/>
        </w:rPr>
        <w:t>),</w:t>
      </w:r>
      <w:r w:rsidRPr="00675B2C">
        <w:rPr>
          <w:rFonts w:eastAsia="Times New Roman" w:cs="Arial"/>
          <w:color w:val="000000"/>
          <w:lang w:val="en-US"/>
        </w:rPr>
        <w:t xml:space="preserve"> </w:t>
      </w:r>
      <w:r w:rsidRPr="00675B2C">
        <w:rPr>
          <w:rFonts w:eastAsia="Times New Roman" w:cs="Arial"/>
          <w:color w:val="000000"/>
          <w:lang w:eastAsia="bg-BG"/>
        </w:rPr>
        <w:t xml:space="preserve">под формата на сукцинатна сол </w:t>
      </w:r>
      <w:r w:rsidRPr="00675B2C">
        <w:rPr>
          <w:rFonts w:eastAsia="Times New Roman" w:cs="Arial"/>
          <w:i/>
          <w:iCs/>
          <w:color w:val="000000"/>
          <w:lang w:val="en-US"/>
        </w:rPr>
        <w:t>(</w:t>
      </w:r>
      <w:proofErr w:type="spellStart"/>
      <w:r w:rsidRPr="00675B2C">
        <w:rPr>
          <w:rFonts w:eastAsia="Times New Roman" w:cs="Arial"/>
          <w:i/>
          <w:iCs/>
          <w:color w:val="000000"/>
          <w:lang w:val="en-US"/>
        </w:rPr>
        <w:t>sumatriptan</w:t>
      </w:r>
      <w:proofErr w:type="spellEnd"/>
      <w:r w:rsidRPr="00675B2C">
        <w:rPr>
          <w:rFonts w:eastAsia="Times New Roman" w:cs="Arial"/>
          <w:i/>
          <w:iCs/>
          <w:color w:val="000000"/>
          <w:lang w:val="en-US"/>
        </w:rPr>
        <w:t xml:space="preserve"> succinate).</w:t>
      </w:r>
    </w:p>
    <w:p w14:paraId="60F92B96" w14:textId="77777777" w:rsidR="00675B2C" w:rsidRPr="00431283" w:rsidRDefault="00675B2C" w:rsidP="00675B2C">
      <w:pPr>
        <w:rPr>
          <w:rFonts w:eastAsia="Times New Roman" w:cs="Arial"/>
          <w:color w:val="000000"/>
          <w:lang w:eastAsia="bg-BG"/>
        </w:rPr>
      </w:pPr>
    </w:p>
    <w:p w14:paraId="54632B43" w14:textId="0210FE51" w:rsidR="00EC41ED" w:rsidRPr="00431283" w:rsidRDefault="00675B2C" w:rsidP="00675B2C">
      <w:pPr>
        <w:rPr>
          <w:rFonts w:cs="Arial"/>
        </w:rPr>
      </w:pPr>
      <w:r w:rsidRPr="00431283">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41B8C2E3" w14:textId="7777777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Филмирана таблетка.</w:t>
      </w:r>
    </w:p>
    <w:p w14:paraId="7C9A5FA2" w14:textId="77777777" w:rsidR="00675B2C" w:rsidRPr="00431283" w:rsidRDefault="00675B2C" w:rsidP="00675B2C">
      <w:pPr>
        <w:rPr>
          <w:rFonts w:eastAsia="Times New Roman" w:cs="Arial"/>
          <w:color w:val="000000"/>
          <w:lang w:eastAsia="bg-BG"/>
        </w:rPr>
      </w:pPr>
    </w:p>
    <w:p w14:paraId="743244F0" w14:textId="31434427" w:rsidR="00EC41ED" w:rsidRPr="00431283" w:rsidRDefault="00675B2C" w:rsidP="00675B2C">
      <w:pPr>
        <w:rPr>
          <w:rFonts w:cs="Arial"/>
        </w:rPr>
      </w:pPr>
      <w:r w:rsidRPr="00431283">
        <w:rPr>
          <w:rFonts w:eastAsia="Times New Roman" w:cs="Arial"/>
          <w:color w:val="000000"/>
          <w:lang w:eastAsia="bg-BG"/>
        </w:rPr>
        <w:t xml:space="preserve">Розови, двойноизпъкнали филмирани таблетки, с формата на капсула и с гравиран надпис </w:t>
      </w:r>
      <w:r w:rsidRPr="00431283">
        <w:rPr>
          <w:rFonts w:eastAsia="Times New Roman" w:cs="Arial"/>
          <w:color w:val="000000"/>
          <w:lang w:val="en-US"/>
        </w:rPr>
        <w:t xml:space="preserve">„GX ES3” </w:t>
      </w:r>
      <w:r w:rsidRPr="00431283">
        <w:rPr>
          <w:rFonts w:eastAsia="Times New Roman" w:cs="Arial"/>
          <w:color w:val="000000"/>
          <w:lang w:eastAsia="bg-BG"/>
        </w:rPr>
        <w:t>или „50” от едната страна и гладки от другата.</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6C7EF90F" w14:textId="7777777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Имигран таблетки е показан за лечение на мигренозен пристъп с прояви или липса на аура.</w:t>
      </w:r>
    </w:p>
    <w:p w14:paraId="6DFA4B9D" w14:textId="5E259721" w:rsidR="0091385D" w:rsidRPr="00431283" w:rsidRDefault="00675B2C" w:rsidP="00675B2C">
      <w:pPr>
        <w:rPr>
          <w:rFonts w:cs="Arial"/>
        </w:rPr>
      </w:pPr>
      <w:r w:rsidRPr="00431283">
        <w:rPr>
          <w:rFonts w:eastAsia="Times New Roman" w:cs="Arial"/>
          <w:color w:val="000000"/>
          <w:lang w:eastAsia="bg-BG"/>
        </w:rPr>
        <w:t>Имигран трябва да се използва само при поставена диагноза мигрена.</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0FC42764" w14:textId="77777777" w:rsidR="00675B2C" w:rsidRPr="00675B2C" w:rsidRDefault="00675B2C" w:rsidP="00675B2C">
      <w:pPr>
        <w:spacing w:line="240" w:lineRule="auto"/>
        <w:rPr>
          <w:rFonts w:eastAsia="Times New Roman" w:cs="Arial"/>
          <w:lang w:eastAsia="bg-BG"/>
        </w:rPr>
      </w:pPr>
      <w:bookmarkStart w:id="1" w:name="bookmark0"/>
      <w:r w:rsidRPr="00675B2C">
        <w:rPr>
          <w:rFonts w:eastAsia="Times New Roman" w:cs="Arial"/>
          <w:b/>
          <w:bCs/>
          <w:color w:val="000000"/>
          <w:u w:val="single"/>
          <w:lang w:eastAsia="bg-BG"/>
        </w:rPr>
        <w:t>Възрастни</w:t>
      </w:r>
      <w:bookmarkEnd w:id="1"/>
    </w:p>
    <w:p w14:paraId="799C4C61" w14:textId="77777777" w:rsidR="00675B2C" w:rsidRPr="00431283" w:rsidRDefault="00675B2C" w:rsidP="00675B2C">
      <w:pPr>
        <w:spacing w:line="240" w:lineRule="auto"/>
        <w:rPr>
          <w:rFonts w:eastAsia="Times New Roman" w:cs="Arial"/>
          <w:color w:val="000000"/>
          <w:lang w:eastAsia="bg-BG"/>
        </w:rPr>
      </w:pPr>
    </w:p>
    <w:p w14:paraId="7327E3F1" w14:textId="1962AD3A"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Имигран е показан за остро интермитентно лечение на мигрена. Имигран не е показан за профилактика на пристъпите. Препоръчваната доза суматриптан не трябва да се надвишава.</w:t>
      </w:r>
    </w:p>
    <w:p w14:paraId="3A0CD561" w14:textId="77777777" w:rsidR="00675B2C" w:rsidRPr="00431283" w:rsidRDefault="00675B2C" w:rsidP="00675B2C">
      <w:pPr>
        <w:spacing w:line="240" w:lineRule="auto"/>
        <w:rPr>
          <w:rFonts w:eastAsia="Times New Roman" w:cs="Arial"/>
          <w:color w:val="000000"/>
          <w:lang w:eastAsia="bg-BG"/>
        </w:rPr>
      </w:pPr>
    </w:p>
    <w:p w14:paraId="5C6092BB" w14:textId="0D4F661B"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Препоръчва се Имигран да бъде назначаван колкото се може по-рано след началото на мигренозния пристъп. Проявява своята ефективност при приложение във всеки етап на пристъпа.</w:t>
      </w:r>
    </w:p>
    <w:p w14:paraId="1B364DB2" w14:textId="77777777" w:rsidR="00675B2C" w:rsidRPr="00431283" w:rsidRDefault="00675B2C" w:rsidP="00675B2C">
      <w:pPr>
        <w:spacing w:line="240" w:lineRule="auto"/>
        <w:rPr>
          <w:rFonts w:eastAsia="Times New Roman" w:cs="Arial"/>
          <w:color w:val="000000"/>
          <w:lang w:eastAsia="bg-BG"/>
        </w:rPr>
      </w:pPr>
    </w:p>
    <w:p w14:paraId="7FE9E546" w14:textId="2D7C78E2"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lastRenderedPageBreak/>
        <w:t xml:space="preserve">При лечение на възрастни се препоръчва перорален прием на таблетка Имигран от 50 </w:t>
      </w:r>
      <w:r w:rsidRPr="00675B2C">
        <w:rPr>
          <w:rFonts w:eastAsia="Times New Roman" w:cs="Arial"/>
          <w:color w:val="000000"/>
          <w:lang w:val="en-US"/>
        </w:rPr>
        <w:t xml:space="preserve">mg. </w:t>
      </w:r>
      <w:r w:rsidRPr="00675B2C">
        <w:rPr>
          <w:rFonts w:eastAsia="Times New Roman" w:cs="Arial"/>
          <w:color w:val="000000"/>
          <w:lang w:eastAsia="bg-BG"/>
        </w:rPr>
        <w:t xml:space="preserve">При необходимост, при някои пациенти може да се приложи доза от 100 </w:t>
      </w:r>
      <w:r w:rsidRPr="00675B2C">
        <w:rPr>
          <w:rFonts w:eastAsia="Times New Roman" w:cs="Arial"/>
          <w:color w:val="000000"/>
          <w:lang w:val="en-US"/>
        </w:rPr>
        <w:t>mg.</w:t>
      </w:r>
    </w:p>
    <w:p w14:paraId="34BC0E47" w14:textId="77777777" w:rsidR="00675B2C" w:rsidRPr="00431283" w:rsidRDefault="00675B2C" w:rsidP="00675B2C">
      <w:pPr>
        <w:spacing w:line="240" w:lineRule="auto"/>
        <w:rPr>
          <w:rFonts w:eastAsia="Times New Roman" w:cs="Arial"/>
          <w:color w:val="000000"/>
          <w:lang w:eastAsia="bg-BG"/>
        </w:rPr>
      </w:pPr>
    </w:p>
    <w:p w14:paraId="4B0DAA5C" w14:textId="2AC077AE"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 xml:space="preserve">При овладяване на пристъпа и нова проява на симптомите след прием на първата доза може да се приеме втора доза, като минималният интервал между двете дози трябва да бъде два часа. Не трябва да се приемат повече от 300 </w:t>
      </w:r>
      <w:r w:rsidRPr="00675B2C">
        <w:rPr>
          <w:rFonts w:eastAsia="Times New Roman" w:cs="Arial"/>
          <w:color w:val="000000"/>
          <w:lang w:val="en-US"/>
        </w:rPr>
        <w:t xml:space="preserve">mg </w:t>
      </w:r>
      <w:r w:rsidRPr="00675B2C">
        <w:rPr>
          <w:rFonts w:eastAsia="Times New Roman" w:cs="Arial"/>
          <w:color w:val="000000"/>
          <w:lang w:eastAsia="bg-BG"/>
        </w:rPr>
        <w:t>за период от 24 часа.</w:t>
      </w:r>
    </w:p>
    <w:p w14:paraId="3D9F7E63" w14:textId="77777777" w:rsidR="00675B2C" w:rsidRPr="00431283" w:rsidRDefault="00675B2C" w:rsidP="00675B2C">
      <w:pPr>
        <w:spacing w:line="240" w:lineRule="auto"/>
        <w:rPr>
          <w:rFonts w:eastAsia="Times New Roman" w:cs="Arial"/>
          <w:color w:val="000000"/>
          <w:lang w:eastAsia="bg-BG"/>
        </w:rPr>
      </w:pPr>
    </w:p>
    <w:p w14:paraId="664D760B" w14:textId="19647314"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Ако симптомите персистират след прием на началната доза Имигран, не се препоръчва прием на втора доза за един пристъп. В тези случаи пристъпът може да се лекува с парацетамол,  ацетилсалицилова киселина или нестероидни противовъзпалителни лекарства.</w:t>
      </w:r>
    </w:p>
    <w:p w14:paraId="44B6700B" w14:textId="7777777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да се приема при настъпване на друг пристъп.</w:t>
      </w:r>
    </w:p>
    <w:p w14:paraId="27DE620E" w14:textId="77777777" w:rsidR="00675B2C" w:rsidRPr="00431283" w:rsidRDefault="00675B2C" w:rsidP="00675B2C">
      <w:pPr>
        <w:rPr>
          <w:rFonts w:eastAsia="Times New Roman" w:cs="Arial"/>
          <w:color w:val="000000"/>
          <w:lang w:eastAsia="bg-BG"/>
        </w:rPr>
      </w:pPr>
    </w:p>
    <w:p w14:paraId="2875378D" w14:textId="77777777" w:rsidR="00675B2C" w:rsidRPr="00431283" w:rsidRDefault="00675B2C" w:rsidP="00675B2C">
      <w:pPr>
        <w:rPr>
          <w:rFonts w:eastAsia="Times New Roman" w:cs="Arial"/>
          <w:lang w:eastAsia="bg-BG"/>
        </w:rPr>
      </w:pPr>
      <w:r w:rsidRPr="00431283">
        <w:rPr>
          <w:rFonts w:eastAsia="Times New Roman" w:cs="Arial"/>
          <w:color w:val="000000"/>
          <w:lang w:eastAsia="bg-BG"/>
        </w:rPr>
        <w:t>Имигран се препоръчва като монотерапия за остро лечение на мигрена и не бива</w:t>
      </w:r>
      <w:r w:rsidRPr="00431283">
        <w:rPr>
          <w:rFonts w:eastAsia="Times New Roman" w:cs="Arial"/>
          <w:color w:val="000000"/>
          <w:lang w:val="en-US"/>
        </w:rPr>
        <w:t xml:space="preserve"> </w:t>
      </w:r>
      <w:r w:rsidRPr="00431283">
        <w:rPr>
          <w:rFonts w:eastAsia="Times New Roman" w:cs="Arial"/>
          <w:color w:val="000000"/>
          <w:lang w:eastAsia="bg-BG"/>
        </w:rPr>
        <w:t>да се прилага едновременно с ерготамин и производни на ерготамина (включително метисергид) (вж.точка 4.3).</w:t>
      </w:r>
    </w:p>
    <w:p w14:paraId="493C0E7B" w14:textId="77777777" w:rsidR="00675B2C" w:rsidRPr="00431283" w:rsidRDefault="00675B2C" w:rsidP="00675B2C">
      <w:pPr>
        <w:spacing w:line="240" w:lineRule="auto"/>
        <w:rPr>
          <w:rFonts w:eastAsia="Times New Roman" w:cs="Arial"/>
          <w:color w:val="000000"/>
          <w:lang w:eastAsia="bg-BG"/>
        </w:rPr>
      </w:pPr>
    </w:p>
    <w:p w14:paraId="33E0F264" w14:textId="41C54D8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Таблетките трябва да се приемат цели с вода.</w:t>
      </w:r>
    </w:p>
    <w:p w14:paraId="640C9C71" w14:textId="77777777" w:rsidR="00675B2C" w:rsidRPr="00431283" w:rsidRDefault="00675B2C" w:rsidP="00675B2C">
      <w:pPr>
        <w:spacing w:line="240" w:lineRule="auto"/>
        <w:rPr>
          <w:rFonts w:eastAsia="Times New Roman" w:cs="Arial"/>
          <w:b/>
          <w:bCs/>
          <w:color w:val="000000"/>
          <w:u w:val="single"/>
          <w:lang w:eastAsia="bg-BG"/>
        </w:rPr>
      </w:pPr>
    </w:p>
    <w:p w14:paraId="57BFBBD2" w14:textId="200467BE" w:rsidR="00675B2C" w:rsidRPr="00675B2C" w:rsidRDefault="00675B2C" w:rsidP="00675B2C">
      <w:pPr>
        <w:spacing w:line="240" w:lineRule="auto"/>
        <w:rPr>
          <w:rFonts w:eastAsia="Times New Roman" w:cs="Arial"/>
          <w:lang w:eastAsia="bg-BG"/>
        </w:rPr>
      </w:pPr>
      <w:r w:rsidRPr="00675B2C">
        <w:rPr>
          <w:rFonts w:eastAsia="Times New Roman" w:cs="Arial"/>
          <w:b/>
          <w:bCs/>
          <w:color w:val="000000"/>
          <w:u w:val="single"/>
          <w:lang w:eastAsia="bg-BG"/>
        </w:rPr>
        <w:t>Педиатрична популация</w:t>
      </w:r>
    </w:p>
    <w:p w14:paraId="26384D29" w14:textId="77777777" w:rsidR="00675B2C" w:rsidRPr="00431283" w:rsidRDefault="00675B2C" w:rsidP="00675B2C">
      <w:pPr>
        <w:spacing w:line="240" w:lineRule="auto"/>
        <w:rPr>
          <w:rFonts w:eastAsia="Times New Roman" w:cs="Arial"/>
          <w:color w:val="000000"/>
          <w:lang w:eastAsia="bg-BG"/>
        </w:rPr>
      </w:pPr>
    </w:p>
    <w:p w14:paraId="71954ACB" w14:textId="52DA92A3"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Ефикасността и безопасността на Имигран филмирани таблетки при деца на възраст под 10 години не е установена. Не са налични клинични данни при тази възрастова група.</w:t>
      </w:r>
    </w:p>
    <w:p w14:paraId="4508048D" w14:textId="77777777" w:rsidR="00675B2C" w:rsidRPr="00431283" w:rsidRDefault="00675B2C" w:rsidP="00675B2C">
      <w:pPr>
        <w:spacing w:line="240" w:lineRule="auto"/>
        <w:rPr>
          <w:rFonts w:eastAsia="Times New Roman" w:cs="Arial"/>
          <w:color w:val="000000"/>
          <w:lang w:eastAsia="bg-BG"/>
        </w:rPr>
      </w:pPr>
    </w:p>
    <w:p w14:paraId="07632FFB" w14:textId="58F4DE7B"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Ефикасността и безопасността на Имигран филмирани таблетки при деца от 10 до 17 години не е доказана в клинични проучвания, проведени в тази възрастова група. По тази причина употребата на Имигран филмирани таблетки при деца от 10 до 17 години не се препоръчва (вж. точка 5.1).</w:t>
      </w:r>
    </w:p>
    <w:p w14:paraId="1CFF5DF1" w14:textId="77777777" w:rsidR="00675B2C" w:rsidRPr="00431283" w:rsidRDefault="00675B2C" w:rsidP="00675B2C">
      <w:pPr>
        <w:spacing w:line="240" w:lineRule="auto"/>
        <w:rPr>
          <w:rFonts w:eastAsia="Times New Roman" w:cs="Arial"/>
          <w:b/>
          <w:bCs/>
          <w:color w:val="000000"/>
          <w:u w:val="single"/>
          <w:lang w:eastAsia="bg-BG"/>
        </w:rPr>
      </w:pPr>
      <w:bookmarkStart w:id="2" w:name="bookmark2"/>
    </w:p>
    <w:p w14:paraId="033468C2" w14:textId="5FA37654" w:rsidR="00675B2C" w:rsidRPr="00675B2C" w:rsidRDefault="00675B2C" w:rsidP="00675B2C">
      <w:pPr>
        <w:spacing w:line="240" w:lineRule="auto"/>
        <w:rPr>
          <w:rFonts w:eastAsia="Times New Roman" w:cs="Arial"/>
          <w:lang w:eastAsia="bg-BG"/>
        </w:rPr>
      </w:pPr>
      <w:r w:rsidRPr="00675B2C">
        <w:rPr>
          <w:rFonts w:eastAsia="Times New Roman" w:cs="Arial"/>
          <w:b/>
          <w:bCs/>
          <w:color w:val="000000"/>
          <w:u w:val="single"/>
          <w:lang w:eastAsia="bg-BG"/>
        </w:rPr>
        <w:t>Пациенти в напреднала възраст (над 65 години)</w:t>
      </w:r>
      <w:bookmarkEnd w:id="2"/>
    </w:p>
    <w:p w14:paraId="6D3D4A94" w14:textId="77777777" w:rsidR="00675B2C" w:rsidRPr="00431283" w:rsidRDefault="00675B2C" w:rsidP="00675B2C">
      <w:pPr>
        <w:spacing w:line="240" w:lineRule="auto"/>
        <w:rPr>
          <w:rFonts w:eastAsia="Times New Roman" w:cs="Arial"/>
          <w:color w:val="000000"/>
          <w:lang w:eastAsia="bg-BG"/>
        </w:rPr>
      </w:pPr>
    </w:p>
    <w:p w14:paraId="0CA39347" w14:textId="0BC3AFD6"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Опитът от приложението на Имигран при пациенти над 65 години е ограничен.</w:t>
      </w:r>
    </w:p>
    <w:p w14:paraId="7FBF1BCE" w14:textId="7A55B221" w:rsidR="00EC41ED" w:rsidRPr="00431283" w:rsidRDefault="00675B2C" w:rsidP="00675B2C">
      <w:pPr>
        <w:rPr>
          <w:rFonts w:cs="Arial"/>
        </w:rPr>
      </w:pPr>
      <w:r w:rsidRPr="00431283">
        <w:rPr>
          <w:rFonts w:eastAsia="Times New Roman" w:cs="Arial"/>
          <w:color w:val="000000"/>
          <w:lang w:eastAsia="bg-BG"/>
        </w:rPr>
        <w:t>Фармакокинетиката на продукта е подобна на тази за възрастни. До получаването на подробни клинични данни не се препоръчва приложението му при пациенти над 65 години.</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40335FEC" w14:textId="7777777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Свръхчувствителност към суматриптан или към някое от помощните вещества, изброени в точка 6.1.</w:t>
      </w:r>
    </w:p>
    <w:p w14:paraId="2C6FA5B6" w14:textId="77777777" w:rsidR="00675B2C" w:rsidRPr="00431283" w:rsidRDefault="00675B2C" w:rsidP="00675B2C">
      <w:pPr>
        <w:spacing w:line="240" w:lineRule="auto"/>
        <w:rPr>
          <w:rFonts w:eastAsia="Times New Roman" w:cs="Arial"/>
          <w:color w:val="000000"/>
          <w:lang w:eastAsia="bg-BG"/>
        </w:rPr>
      </w:pPr>
    </w:p>
    <w:p w14:paraId="0DF3AA05" w14:textId="66ECFB40"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 xml:space="preserve">Суматриптан не трябва да се прилага при пациенти с анамнеза за исхемична болест на сърцето (ИБС) или миокарден инфаркт, коронарен вазоспазъм (нестабилна стенокардия тип </w:t>
      </w:r>
      <w:proofErr w:type="spellStart"/>
      <w:r w:rsidRPr="00675B2C">
        <w:rPr>
          <w:rFonts w:eastAsia="Times New Roman" w:cs="Arial"/>
          <w:color w:val="000000"/>
          <w:lang w:val="en-US"/>
        </w:rPr>
        <w:t>Prinzmetal</w:t>
      </w:r>
      <w:proofErr w:type="spellEnd"/>
      <w:r w:rsidRPr="00675B2C">
        <w:rPr>
          <w:rFonts w:eastAsia="Times New Roman" w:cs="Arial"/>
          <w:color w:val="000000"/>
          <w:lang w:val="en-US"/>
        </w:rPr>
        <w:t xml:space="preserve">), </w:t>
      </w:r>
      <w:r w:rsidRPr="00675B2C">
        <w:rPr>
          <w:rFonts w:eastAsia="Times New Roman" w:cs="Arial"/>
          <w:color w:val="000000"/>
          <w:lang w:eastAsia="bg-BG"/>
        </w:rPr>
        <w:t>периферна съдова болест или при симптоми, или прояви на ИБС.</w:t>
      </w:r>
    </w:p>
    <w:p w14:paraId="48C5CA41" w14:textId="77777777" w:rsidR="00675B2C" w:rsidRPr="00431283" w:rsidRDefault="00675B2C" w:rsidP="00675B2C">
      <w:pPr>
        <w:spacing w:line="240" w:lineRule="auto"/>
        <w:rPr>
          <w:rFonts w:eastAsia="Times New Roman" w:cs="Arial"/>
          <w:color w:val="000000"/>
          <w:lang w:eastAsia="bg-BG"/>
        </w:rPr>
      </w:pPr>
    </w:p>
    <w:p w14:paraId="57CE27A7" w14:textId="597DC39A"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Суматриптан да не се прилага за лечение при пациенти с анамнеза за мозъчно-съдов инцидент или транзиторни исхемични атаки.</w:t>
      </w:r>
    </w:p>
    <w:p w14:paraId="69115885" w14:textId="77777777" w:rsidR="00675B2C" w:rsidRPr="00431283" w:rsidRDefault="00675B2C" w:rsidP="00675B2C">
      <w:pPr>
        <w:spacing w:line="240" w:lineRule="auto"/>
        <w:rPr>
          <w:rFonts w:eastAsia="Times New Roman" w:cs="Arial"/>
          <w:color w:val="000000"/>
          <w:lang w:eastAsia="bg-BG"/>
        </w:rPr>
      </w:pPr>
    </w:p>
    <w:p w14:paraId="1AD42775" w14:textId="73D26248"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Да не се прилага при пациенти с тежко чернодробно увреждане.</w:t>
      </w:r>
    </w:p>
    <w:p w14:paraId="7FD6F06C" w14:textId="77777777" w:rsidR="00675B2C" w:rsidRPr="00431283" w:rsidRDefault="00675B2C" w:rsidP="00675B2C">
      <w:pPr>
        <w:spacing w:line="240" w:lineRule="auto"/>
        <w:rPr>
          <w:rFonts w:eastAsia="Times New Roman" w:cs="Arial"/>
          <w:color w:val="000000"/>
          <w:lang w:eastAsia="bg-BG"/>
        </w:rPr>
      </w:pPr>
    </w:p>
    <w:p w14:paraId="57FA7BA9" w14:textId="74A883D8"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lastRenderedPageBreak/>
        <w:t>Употребата на суматриптан при пациенти с умерена и тежка хипертония и с лека неконтролирана артериална хипертония е противопоказана.</w:t>
      </w:r>
    </w:p>
    <w:p w14:paraId="6DB93163" w14:textId="77777777" w:rsidR="00675B2C" w:rsidRPr="00431283" w:rsidRDefault="00675B2C" w:rsidP="00675B2C">
      <w:pPr>
        <w:spacing w:line="240" w:lineRule="auto"/>
        <w:rPr>
          <w:rFonts w:eastAsia="Times New Roman" w:cs="Arial"/>
          <w:color w:val="000000"/>
          <w:lang w:eastAsia="bg-BG"/>
        </w:rPr>
      </w:pPr>
    </w:p>
    <w:p w14:paraId="3F66D929" w14:textId="7BA7C18D"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 xml:space="preserve">Едновременният прием на продукта с ерготамин или негови производни (включително метисергид), или с триптан/5-хидрокситриптамиН] </w:t>
      </w:r>
      <w:r w:rsidRPr="00675B2C">
        <w:rPr>
          <w:rFonts w:eastAsia="Times New Roman" w:cs="Arial"/>
          <w:color w:val="000000"/>
          <w:lang w:val="en-US"/>
        </w:rPr>
        <w:t>(5-HT</w:t>
      </w:r>
      <w:r w:rsidRPr="00675B2C">
        <w:rPr>
          <w:rFonts w:eastAsia="Times New Roman" w:cs="Arial"/>
          <w:color w:val="000000"/>
          <w:vertAlign w:val="subscript"/>
          <w:lang w:val="en-US"/>
        </w:rPr>
        <w:t>1</w:t>
      </w:r>
      <w:r w:rsidRPr="00675B2C">
        <w:rPr>
          <w:rFonts w:eastAsia="Times New Roman" w:cs="Arial"/>
          <w:color w:val="000000"/>
          <w:lang w:val="en-US"/>
        </w:rPr>
        <w:t xml:space="preserve">) </w:t>
      </w:r>
      <w:r w:rsidRPr="00675B2C">
        <w:rPr>
          <w:rFonts w:eastAsia="Times New Roman" w:cs="Arial"/>
          <w:color w:val="000000"/>
          <w:lang w:eastAsia="bg-BG"/>
        </w:rPr>
        <w:t>рецепторен агонист е противопоказан (вж. точка 4.5).</w:t>
      </w:r>
    </w:p>
    <w:p w14:paraId="3D799076" w14:textId="77777777" w:rsidR="00675B2C" w:rsidRPr="00431283" w:rsidRDefault="00675B2C" w:rsidP="00675B2C">
      <w:pPr>
        <w:rPr>
          <w:rFonts w:eastAsia="Times New Roman" w:cs="Arial"/>
          <w:color w:val="000000"/>
          <w:lang w:eastAsia="bg-BG"/>
        </w:rPr>
      </w:pPr>
    </w:p>
    <w:p w14:paraId="030B6A4D" w14:textId="61ACCE77" w:rsidR="00EC41ED" w:rsidRPr="00431283" w:rsidRDefault="00675B2C" w:rsidP="00675B2C">
      <w:pPr>
        <w:rPr>
          <w:rFonts w:cs="Arial"/>
        </w:rPr>
      </w:pPr>
      <w:r w:rsidRPr="00431283">
        <w:rPr>
          <w:rFonts w:eastAsia="Times New Roman" w:cs="Arial"/>
          <w:color w:val="000000"/>
          <w:lang w:eastAsia="bg-BG"/>
        </w:rPr>
        <w:t>Противопоказано е едновремено приложение на суматриптан с МАО инхибитори. За период до две седмици след спиране приема на МАО инхибитори, не се препоръчва начало на лечение със суматриптан.</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11D3C381" w14:textId="7777777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Таблетките Имигран трябва да се прилагат само при уточнена диагноза за мигрена.</w:t>
      </w:r>
    </w:p>
    <w:p w14:paraId="1B92DB02" w14:textId="77777777" w:rsidR="00675B2C" w:rsidRPr="00431283" w:rsidRDefault="00675B2C" w:rsidP="00675B2C">
      <w:pPr>
        <w:spacing w:line="240" w:lineRule="auto"/>
        <w:rPr>
          <w:rFonts w:eastAsia="Times New Roman" w:cs="Arial"/>
          <w:color w:val="000000"/>
          <w:lang w:eastAsia="bg-BG"/>
        </w:rPr>
      </w:pPr>
    </w:p>
    <w:p w14:paraId="03FFE0D7" w14:textId="6F188AD4"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Суматриптан не е показан за приложение при пациенти с хемиплегична, офталмоплегична или базиларна мигрена.</w:t>
      </w:r>
    </w:p>
    <w:p w14:paraId="0560D6AE" w14:textId="77777777" w:rsidR="00675B2C" w:rsidRPr="00431283" w:rsidRDefault="00675B2C" w:rsidP="00675B2C">
      <w:pPr>
        <w:spacing w:line="240" w:lineRule="auto"/>
        <w:rPr>
          <w:rFonts w:eastAsia="Times New Roman" w:cs="Arial"/>
          <w:color w:val="000000"/>
          <w:lang w:eastAsia="bg-BG"/>
        </w:rPr>
      </w:pPr>
    </w:p>
    <w:p w14:paraId="0A615BB2" w14:textId="1A06791C"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Преди започване на лечение със суматриптан, трябва да бъдат изключени</w:t>
      </w:r>
      <w:r w:rsidRPr="00675B2C">
        <w:rPr>
          <w:rFonts w:eastAsia="Times New Roman" w:cs="Arial"/>
          <w:color w:val="000000"/>
          <w:lang w:val="en-US"/>
        </w:rPr>
        <w:t xml:space="preserve"> </w:t>
      </w:r>
      <w:r w:rsidRPr="00675B2C">
        <w:rPr>
          <w:rFonts w:eastAsia="Times New Roman" w:cs="Arial"/>
          <w:color w:val="000000"/>
          <w:lang w:eastAsia="bg-BG"/>
        </w:rPr>
        <w:t>потенциално</w:t>
      </w:r>
    </w:p>
    <w:p w14:paraId="0E28BBDE" w14:textId="33E85AFE" w:rsidR="007A2185" w:rsidRPr="00431283" w:rsidRDefault="00675B2C" w:rsidP="00431283">
      <w:pPr>
        <w:spacing w:line="240" w:lineRule="auto"/>
        <w:rPr>
          <w:rFonts w:eastAsia="Times New Roman" w:cs="Arial"/>
          <w:lang w:eastAsia="bg-BG"/>
        </w:rPr>
      </w:pPr>
      <w:r w:rsidRPr="00675B2C">
        <w:rPr>
          <w:rFonts w:eastAsia="Times New Roman" w:cs="Arial"/>
          <w:color w:val="000000"/>
          <w:lang w:eastAsia="bg-BG"/>
        </w:rPr>
        <w:t>сериозни неврологични състояния (например мозъчно-съдов инцидент, транзиторни исхемични атаки), ако пациентите имат атипични симптоми или ако не им е поставена правилна диагноза</w:t>
      </w:r>
      <w:r w:rsidR="00431283">
        <w:rPr>
          <w:rFonts w:eastAsia="Times New Roman" w:cs="Arial"/>
          <w:lang w:eastAsia="bg-BG"/>
        </w:rPr>
        <w:t xml:space="preserve"> </w:t>
      </w:r>
      <w:r w:rsidRPr="00431283">
        <w:rPr>
          <w:rFonts w:eastAsia="Times New Roman" w:cs="Arial"/>
          <w:color w:val="000000"/>
          <w:lang w:eastAsia="bg-BG"/>
        </w:rPr>
        <w:t>за употреба на суматриптан.</w:t>
      </w:r>
    </w:p>
    <w:p w14:paraId="54D303AA" w14:textId="3E406ECB" w:rsidR="00675B2C" w:rsidRPr="00431283" w:rsidRDefault="00675B2C" w:rsidP="00675B2C">
      <w:pPr>
        <w:rPr>
          <w:rFonts w:eastAsia="Times New Roman" w:cs="Arial"/>
          <w:color w:val="000000"/>
          <w:lang w:eastAsia="bg-BG"/>
        </w:rPr>
      </w:pPr>
    </w:p>
    <w:p w14:paraId="5499191F" w14:textId="7777777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След прием на суматриптан може да се появят преходни симптоми, включително стягане и болка в гърдите. Тези симптоми може да са силно проявени, в някои случаи с чувство за задух от страна на гърлото (вж. точка 4.8). При съмнение, че тези симптоми са белег на ИБС, не трябва да се приемат други дози суматриптан и трябва да се извърши съответен преглед/изследвания.</w:t>
      </w:r>
    </w:p>
    <w:p w14:paraId="496FC31A" w14:textId="77777777" w:rsidR="00675B2C" w:rsidRPr="00431283" w:rsidRDefault="00675B2C" w:rsidP="00675B2C">
      <w:pPr>
        <w:spacing w:line="240" w:lineRule="auto"/>
        <w:rPr>
          <w:rFonts w:eastAsia="Times New Roman" w:cs="Arial"/>
          <w:color w:val="000000"/>
          <w:lang w:eastAsia="bg-BG"/>
        </w:rPr>
      </w:pPr>
    </w:p>
    <w:p w14:paraId="1065947B" w14:textId="46FF410F"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Суматриптан не трябва да се прилага при пациенти с рискови фактори за развитие на исхемична болест на сърцето, включително пациенти, които пушат цигари тютюн в големи количества или са на никотин заместителни терапии, преди да е направена предварителна оценка на сърдечно-съдовия статус (вж. точка 4.3). Особено внимание да се обърне на жени след менопауза и на мъже на възраст над 40 години с риск за развитие на коронарна болест. При тази оценка, наличието на сърдечно заболяване не може да се установи при всеки изследван пациент. В много редки случаи, се описва развитието на тежки инциденти от страна на сърцето, при пациенти без данни за сърдечно-съдово заболяване.</w:t>
      </w:r>
    </w:p>
    <w:p w14:paraId="145E0A48" w14:textId="77777777" w:rsidR="00675B2C" w:rsidRPr="00431283" w:rsidRDefault="00675B2C" w:rsidP="00675B2C">
      <w:pPr>
        <w:spacing w:line="240" w:lineRule="auto"/>
        <w:rPr>
          <w:rFonts w:eastAsia="Times New Roman" w:cs="Arial"/>
          <w:color w:val="000000"/>
          <w:lang w:eastAsia="bg-BG"/>
        </w:rPr>
      </w:pPr>
    </w:p>
    <w:p w14:paraId="23FDDA79" w14:textId="5F9C9070"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Суматриптан трябва да се прилага с повишено внимание при пациенти с умерено контролирана хипертония, тъй като при малка част от пациентите е установено преходно повишаване на кръвното налягане и на периферното съдово съпротивление (вж. точка 4.3).</w:t>
      </w:r>
    </w:p>
    <w:p w14:paraId="528FC336" w14:textId="77777777" w:rsidR="00675B2C" w:rsidRPr="00431283" w:rsidRDefault="00675B2C" w:rsidP="00675B2C">
      <w:pPr>
        <w:spacing w:line="240" w:lineRule="auto"/>
        <w:rPr>
          <w:rFonts w:eastAsia="Times New Roman" w:cs="Arial"/>
          <w:color w:val="000000"/>
          <w:lang w:eastAsia="bg-BG"/>
        </w:rPr>
      </w:pPr>
    </w:p>
    <w:p w14:paraId="5CB318BD" w14:textId="76BD2DB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 xml:space="preserve">Налични са редки постмаркетингови съобщения за пациенти със серотонинов синдром (включително промени в психичния статус; нестабилност на вегетативната нервна система и невромускулни симптоми) след употреба на суматриптан и селективни инхибитори на обратното захващане на серотонин </w:t>
      </w:r>
      <w:r w:rsidRPr="00675B2C">
        <w:rPr>
          <w:rFonts w:eastAsia="Times New Roman" w:cs="Arial"/>
          <w:color w:val="000000"/>
          <w:lang w:val="en-US"/>
        </w:rPr>
        <w:t xml:space="preserve">(SSRI). </w:t>
      </w:r>
      <w:r w:rsidRPr="00675B2C">
        <w:rPr>
          <w:rFonts w:eastAsia="Times New Roman" w:cs="Arial"/>
          <w:color w:val="000000"/>
          <w:lang w:eastAsia="bg-BG"/>
        </w:rPr>
        <w:t xml:space="preserve">Серотонинов синдром е съобщаван след едновременно приложение на триптани и инхибитори на обратното захващане на серотонин и норадреналин </w:t>
      </w:r>
      <w:r w:rsidRPr="00675B2C">
        <w:rPr>
          <w:rFonts w:eastAsia="Times New Roman" w:cs="Arial"/>
          <w:color w:val="000000"/>
          <w:lang w:val="en-US"/>
        </w:rPr>
        <w:t>(SNRIs).</w:t>
      </w:r>
    </w:p>
    <w:p w14:paraId="7F2C0F9F" w14:textId="77777777" w:rsidR="00675B2C" w:rsidRPr="00431283" w:rsidRDefault="00675B2C" w:rsidP="00675B2C">
      <w:pPr>
        <w:spacing w:line="240" w:lineRule="auto"/>
        <w:rPr>
          <w:rFonts w:eastAsia="Times New Roman" w:cs="Arial"/>
          <w:color w:val="000000"/>
          <w:lang w:eastAsia="bg-BG"/>
        </w:rPr>
      </w:pPr>
    </w:p>
    <w:p w14:paraId="5DC9011F" w14:textId="7040C0A9"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 xml:space="preserve">Ако едновременното лечение със суматриптан и </w:t>
      </w:r>
      <w:r w:rsidRPr="00675B2C">
        <w:rPr>
          <w:rFonts w:eastAsia="Times New Roman" w:cs="Arial"/>
          <w:color w:val="000000"/>
          <w:lang w:val="en-US"/>
        </w:rPr>
        <w:t xml:space="preserve">SSRI/SNRI </w:t>
      </w:r>
      <w:r w:rsidRPr="00675B2C">
        <w:rPr>
          <w:rFonts w:eastAsia="Times New Roman" w:cs="Arial"/>
          <w:color w:val="000000"/>
          <w:lang w:eastAsia="bg-BG"/>
        </w:rPr>
        <w:t>е клинично оправдано, се препоръчва наблюдение на пациентите (вж.точка 4.5).</w:t>
      </w:r>
    </w:p>
    <w:p w14:paraId="0180B89E" w14:textId="77777777" w:rsidR="00675B2C" w:rsidRPr="00431283" w:rsidRDefault="00675B2C" w:rsidP="00675B2C">
      <w:pPr>
        <w:spacing w:line="240" w:lineRule="auto"/>
        <w:rPr>
          <w:rFonts w:eastAsia="Times New Roman" w:cs="Arial"/>
          <w:color w:val="000000"/>
          <w:lang w:eastAsia="bg-BG"/>
        </w:rPr>
      </w:pPr>
    </w:p>
    <w:p w14:paraId="033CE2C6" w14:textId="58604D42"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Едновременната употреба на триптани/5</w:t>
      </w:r>
      <w:r w:rsidRPr="00675B2C">
        <w:rPr>
          <w:rFonts w:eastAsia="Times New Roman" w:cs="Arial"/>
          <w:color w:val="000000"/>
          <w:lang w:val="en-US"/>
        </w:rPr>
        <w:t>-HT</w:t>
      </w:r>
      <w:r w:rsidRPr="00675B2C">
        <w:rPr>
          <w:rFonts w:eastAsia="Times New Roman" w:cs="Arial"/>
          <w:color w:val="000000"/>
          <w:vertAlign w:val="subscript"/>
          <w:lang w:val="en-US"/>
        </w:rPr>
        <w:t>1</w:t>
      </w:r>
      <w:r w:rsidRPr="00675B2C">
        <w:rPr>
          <w:rFonts w:eastAsia="Times New Roman" w:cs="Arial"/>
          <w:color w:val="000000"/>
          <w:lang w:val="en-US"/>
        </w:rPr>
        <w:t xml:space="preserve"> </w:t>
      </w:r>
      <w:r w:rsidRPr="00675B2C">
        <w:rPr>
          <w:rFonts w:eastAsia="Times New Roman" w:cs="Arial"/>
          <w:color w:val="000000"/>
          <w:lang w:eastAsia="bg-BG"/>
        </w:rPr>
        <w:t>агонисти със суматриптан не се препоръчва.</w:t>
      </w:r>
    </w:p>
    <w:p w14:paraId="5C655159" w14:textId="77777777" w:rsidR="00675B2C" w:rsidRPr="00431283" w:rsidRDefault="00675B2C" w:rsidP="00675B2C">
      <w:pPr>
        <w:spacing w:line="240" w:lineRule="auto"/>
        <w:rPr>
          <w:rFonts w:eastAsia="Times New Roman" w:cs="Arial"/>
          <w:color w:val="000000"/>
          <w:lang w:eastAsia="bg-BG"/>
        </w:rPr>
      </w:pPr>
    </w:p>
    <w:p w14:paraId="309CCA4E" w14:textId="77777777" w:rsidR="00431283" w:rsidRPr="00431283" w:rsidRDefault="00675B2C" w:rsidP="00675B2C">
      <w:pPr>
        <w:spacing w:line="240" w:lineRule="auto"/>
        <w:rPr>
          <w:rFonts w:eastAsia="Times New Roman" w:cs="Arial"/>
          <w:lang w:eastAsia="bg-BG"/>
        </w:rPr>
      </w:pPr>
      <w:r w:rsidRPr="00675B2C">
        <w:rPr>
          <w:rFonts w:eastAsia="Times New Roman" w:cs="Arial"/>
          <w:color w:val="000000"/>
          <w:lang w:eastAsia="bg-BG"/>
        </w:rPr>
        <w:t xml:space="preserve">Суматриптан трябва да се прилага с повишено внимание при пациенти със заболявания, които могат да доведат до нарушена резорбция, метаболизъм и елиминиране на продукта, т.е. при увредена чернодробна (степен А или В по </w:t>
      </w:r>
      <w:r w:rsidRPr="00675B2C">
        <w:rPr>
          <w:rFonts w:eastAsia="Times New Roman" w:cs="Arial"/>
          <w:color w:val="000000"/>
          <w:lang w:val="en-US"/>
        </w:rPr>
        <w:t xml:space="preserve">Child Pugh; </w:t>
      </w:r>
      <w:r w:rsidRPr="00675B2C">
        <w:rPr>
          <w:rFonts w:eastAsia="Times New Roman" w:cs="Arial"/>
          <w:color w:val="000000"/>
          <w:lang w:eastAsia="bg-BG"/>
        </w:rPr>
        <w:t>вж. точка 5.2 - Специални популации пациенти) или бъбречна функция (вж. точка 5.2).</w:t>
      </w:r>
    </w:p>
    <w:p w14:paraId="36049692" w14:textId="77777777" w:rsidR="00431283" w:rsidRPr="00431283" w:rsidRDefault="00431283" w:rsidP="00675B2C">
      <w:pPr>
        <w:spacing w:line="240" w:lineRule="auto"/>
        <w:rPr>
          <w:rFonts w:eastAsia="Times New Roman" w:cs="Arial"/>
          <w:lang w:eastAsia="bg-BG"/>
        </w:rPr>
      </w:pPr>
    </w:p>
    <w:p w14:paraId="5EFD5F8F" w14:textId="0A09D38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Суматриптан трябва да се прилага с повишено внимание при пациенти с анамнеза за гърчове или други рискови фактори, които понижават прага за проява на гърчове, тъй като са докладвани гърчове, свързани с употребата на суматриптан (вж. точка 4.8).</w:t>
      </w:r>
    </w:p>
    <w:p w14:paraId="1F63A366" w14:textId="77777777" w:rsidR="00675B2C" w:rsidRPr="00431283" w:rsidRDefault="00675B2C" w:rsidP="00675B2C">
      <w:pPr>
        <w:spacing w:line="240" w:lineRule="auto"/>
        <w:rPr>
          <w:rFonts w:eastAsia="Times New Roman" w:cs="Arial"/>
          <w:color w:val="000000"/>
          <w:lang w:eastAsia="bg-BG"/>
        </w:rPr>
      </w:pPr>
    </w:p>
    <w:p w14:paraId="3947D128" w14:textId="79E3C427"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При пациенти с известна свръхчувствителност към сулфо</w:t>
      </w:r>
      <w:r w:rsidR="00431283">
        <w:rPr>
          <w:rFonts w:eastAsia="Times New Roman" w:cs="Arial"/>
          <w:color w:val="000000"/>
          <w:lang w:eastAsia="bg-BG"/>
        </w:rPr>
        <w:t>на</w:t>
      </w:r>
      <w:r w:rsidRPr="00675B2C">
        <w:rPr>
          <w:rFonts w:eastAsia="Times New Roman" w:cs="Arial"/>
          <w:color w:val="000000"/>
          <w:lang w:eastAsia="bg-BG"/>
        </w:rPr>
        <w:t>миди, може да се развият алергични реакции след прием на суматриптан. Реакциите могат да бъдат проявени в различна степен, от кожни прояви на свръхчувствителност до анафилакгичен шок. Има ограничени данни за развитие на кръстосана чувствителност, по тази причина при тези пациенти суматриптан трябва да се прилага с повишено внимание.</w:t>
      </w:r>
    </w:p>
    <w:p w14:paraId="6F11A562" w14:textId="77777777" w:rsidR="00675B2C" w:rsidRPr="00431283" w:rsidRDefault="00675B2C" w:rsidP="00675B2C">
      <w:pPr>
        <w:spacing w:line="240" w:lineRule="auto"/>
        <w:rPr>
          <w:rFonts w:eastAsia="Times New Roman" w:cs="Arial"/>
          <w:color w:val="000000"/>
          <w:lang w:eastAsia="bg-BG"/>
        </w:rPr>
      </w:pPr>
    </w:p>
    <w:p w14:paraId="132FCE11" w14:textId="4C803F85"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 xml:space="preserve">При едновременно приложение на триптани и растителни препарати, съдържащи жълт кантарион </w:t>
      </w:r>
      <w:r w:rsidRPr="00675B2C">
        <w:rPr>
          <w:rFonts w:eastAsia="Times New Roman" w:cs="Arial"/>
          <w:color w:val="000000"/>
          <w:lang w:val="en-US"/>
        </w:rPr>
        <w:t>(</w:t>
      </w:r>
      <w:proofErr w:type="spellStart"/>
      <w:r w:rsidRPr="00675B2C">
        <w:rPr>
          <w:rFonts w:eastAsia="Times New Roman" w:cs="Arial"/>
          <w:color w:val="000000"/>
          <w:lang w:val="en-US"/>
        </w:rPr>
        <w:t>Hypericum</w:t>
      </w:r>
      <w:proofErr w:type="spellEnd"/>
      <w:r w:rsidRPr="00675B2C">
        <w:rPr>
          <w:rFonts w:eastAsia="Times New Roman" w:cs="Arial"/>
          <w:color w:val="000000"/>
          <w:lang w:val="en-US"/>
        </w:rPr>
        <w:t xml:space="preserve"> </w:t>
      </w:r>
      <w:proofErr w:type="spellStart"/>
      <w:r w:rsidRPr="00675B2C">
        <w:rPr>
          <w:rFonts w:eastAsia="Times New Roman" w:cs="Arial"/>
          <w:color w:val="000000"/>
          <w:lang w:val="en-US"/>
        </w:rPr>
        <w:t>perforatum</w:t>
      </w:r>
      <w:proofErr w:type="spellEnd"/>
      <w:r w:rsidRPr="00675B2C">
        <w:rPr>
          <w:rFonts w:eastAsia="Times New Roman" w:cs="Arial"/>
          <w:color w:val="000000"/>
          <w:lang w:val="en-US"/>
        </w:rPr>
        <w:t xml:space="preserve">) </w:t>
      </w:r>
      <w:r w:rsidRPr="00675B2C">
        <w:rPr>
          <w:rFonts w:eastAsia="Times New Roman" w:cs="Arial"/>
          <w:color w:val="000000"/>
          <w:lang w:eastAsia="bg-BG"/>
        </w:rPr>
        <w:t>нежеланите реакции може да са по-чести.</w:t>
      </w:r>
    </w:p>
    <w:p w14:paraId="50E5EDC5" w14:textId="77777777" w:rsidR="00431283" w:rsidRPr="00431283" w:rsidRDefault="00431283" w:rsidP="00675B2C">
      <w:pPr>
        <w:spacing w:line="240" w:lineRule="auto"/>
        <w:rPr>
          <w:rFonts w:eastAsia="Times New Roman" w:cs="Arial"/>
          <w:color w:val="000000"/>
          <w:lang w:eastAsia="bg-BG"/>
        </w:rPr>
      </w:pPr>
    </w:p>
    <w:p w14:paraId="2C01102F" w14:textId="69111F2D" w:rsidR="00675B2C" w:rsidRPr="00675B2C" w:rsidRDefault="00675B2C" w:rsidP="00675B2C">
      <w:pPr>
        <w:spacing w:line="240" w:lineRule="auto"/>
        <w:rPr>
          <w:rFonts w:eastAsia="Times New Roman" w:cs="Arial"/>
          <w:lang w:eastAsia="bg-BG"/>
        </w:rPr>
      </w:pPr>
      <w:r w:rsidRPr="00675B2C">
        <w:rPr>
          <w:rFonts w:eastAsia="Times New Roman" w:cs="Arial"/>
          <w:color w:val="000000"/>
          <w:lang w:eastAsia="bg-BG"/>
        </w:rPr>
        <w:t>Продължителната употреба на всякакъв вид болкоуспокояващи за главоболие, може да влоши главоболието. Ако такава ситуация настъпи или се подозира, трябва да се потърси лекарски съвет и лечението трябва да се преустанови. Диагноза главоболие, свързано със свръхупотребата на лекарства трябва да се подозира при пациенти, които често или ежедневно   са с главоболие въпреки (или поради) постоянната употреба на лекарства по повод главоболие</w:t>
      </w:r>
    </w:p>
    <w:p w14:paraId="3FD6A2C8" w14:textId="77777777" w:rsidR="00675B2C" w:rsidRPr="00675B2C" w:rsidRDefault="00675B2C" w:rsidP="00675B2C">
      <w:pPr>
        <w:spacing w:line="240" w:lineRule="auto"/>
        <w:rPr>
          <w:rFonts w:eastAsia="Times New Roman" w:cs="Arial"/>
          <w:lang w:eastAsia="bg-BG"/>
        </w:rPr>
      </w:pPr>
    </w:p>
    <w:p w14:paraId="48E73A03" w14:textId="282FA5FA" w:rsidR="00675B2C" w:rsidRPr="00431283" w:rsidRDefault="00675B2C" w:rsidP="00675B2C">
      <w:pPr>
        <w:rPr>
          <w:rFonts w:cs="Arial"/>
        </w:rPr>
      </w:pPr>
      <w:r w:rsidRPr="00431283">
        <w:rPr>
          <w:rFonts w:eastAsia="Times New Roman" w:cs="Arial"/>
          <w:color w:val="000000"/>
          <w:lang w:eastAsia="bg-BG"/>
        </w:rPr>
        <w:t>Препоръчваната доза суматриптан не трябва да се надвишава.</w:t>
      </w:r>
    </w:p>
    <w:p w14:paraId="24E3E82F" w14:textId="1FDF720A" w:rsidR="0091385D" w:rsidRPr="00431283" w:rsidRDefault="0091385D" w:rsidP="0091385D">
      <w:pPr>
        <w:rPr>
          <w:rFonts w:cs="Arial"/>
        </w:rPr>
      </w:pPr>
    </w:p>
    <w:p w14:paraId="4033D99E"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Пациентите с редките наследствени заболявания непоносимост към галактоза, </w:t>
      </w:r>
      <w:r w:rsidRPr="00431283">
        <w:rPr>
          <w:rFonts w:eastAsia="Times New Roman" w:cs="Arial"/>
          <w:color w:val="000000"/>
          <w:lang w:val="en-US"/>
        </w:rPr>
        <w:t xml:space="preserve">Lapp </w:t>
      </w:r>
      <w:r w:rsidRPr="00431283">
        <w:rPr>
          <w:rFonts w:eastAsia="Times New Roman" w:cs="Arial"/>
          <w:color w:val="000000"/>
          <w:lang w:eastAsia="bg-BG"/>
        </w:rPr>
        <w:t>лактазен дефицит или глюкозо-галактозна малабсорбция не трябва да приемат това лекарство, тъй като то съдържа лактоза.</w:t>
      </w:r>
    </w:p>
    <w:p w14:paraId="2F14F2A8" w14:textId="77777777" w:rsidR="00431283" w:rsidRPr="00431283" w:rsidRDefault="00431283" w:rsidP="00431283">
      <w:pPr>
        <w:rPr>
          <w:rFonts w:eastAsia="Times New Roman" w:cs="Arial"/>
          <w:color w:val="000000"/>
          <w:lang w:eastAsia="bg-BG"/>
        </w:rPr>
      </w:pPr>
    </w:p>
    <w:p w14:paraId="5A26AA72" w14:textId="799A49FA" w:rsidR="00431283" w:rsidRPr="00431283" w:rsidRDefault="00431283" w:rsidP="00431283">
      <w:pPr>
        <w:rPr>
          <w:rFonts w:cs="Arial"/>
        </w:rPr>
      </w:pPr>
      <w:r w:rsidRPr="00431283">
        <w:rPr>
          <w:rFonts w:eastAsia="Times New Roman" w:cs="Arial"/>
          <w:color w:val="000000"/>
          <w:lang w:eastAsia="bg-BG"/>
        </w:rPr>
        <w:t xml:space="preserve">Това лекарство съдържа по-малко от 1 </w:t>
      </w:r>
      <w:proofErr w:type="spellStart"/>
      <w:r w:rsidRPr="00431283">
        <w:rPr>
          <w:rFonts w:eastAsia="Times New Roman" w:cs="Arial"/>
          <w:color w:val="000000"/>
          <w:lang w:val="en-US"/>
        </w:rPr>
        <w:t>mmol</w:t>
      </w:r>
      <w:proofErr w:type="spellEnd"/>
      <w:r w:rsidRPr="00431283">
        <w:rPr>
          <w:rFonts w:eastAsia="Times New Roman" w:cs="Arial"/>
          <w:color w:val="000000"/>
          <w:lang w:val="en-US"/>
        </w:rPr>
        <w:t xml:space="preserve"> </w:t>
      </w:r>
      <w:r w:rsidRPr="00431283">
        <w:rPr>
          <w:rFonts w:eastAsia="Times New Roman" w:cs="Arial"/>
          <w:color w:val="000000"/>
          <w:lang w:eastAsia="bg-BG"/>
        </w:rPr>
        <w:t xml:space="preserve">натрий (23 </w:t>
      </w:r>
      <w:r w:rsidRPr="00431283">
        <w:rPr>
          <w:rFonts w:eastAsia="Times New Roman" w:cs="Arial"/>
          <w:color w:val="000000"/>
          <w:lang w:val="en-US"/>
        </w:rPr>
        <w:t xml:space="preserve">mg) </w:t>
      </w:r>
      <w:r w:rsidRPr="00431283">
        <w:rPr>
          <w:rFonts w:eastAsia="Times New Roman" w:cs="Arial"/>
          <w:color w:val="000000"/>
          <w:lang w:eastAsia="bg-BG"/>
        </w:rPr>
        <w:t>в една таблетка, т.е. може да се каже, че практически не съдържа натрий.</w:t>
      </w:r>
    </w:p>
    <w:p w14:paraId="10FD3466" w14:textId="77777777" w:rsidR="00431283" w:rsidRPr="0091385D" w:rsidRDefault="00431283"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58D1E561"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Няма установени лекарствени взаимодействия на суматриптан с пропранолол, флунаризин, пизотифен или алкохол.</w:t>
      </w:r>
    </w:p>
    <w:p w14:paraId="152A195D" w14:textId="77777777" w:rsidR="00431283" w:rsidRPr="00431283" w:rsidRDefault="00431283" w:rsidP="00431283">
      <w:pPr>
        <w:spacing w:line="240" w:lineRule="auto"/>
        <w:rPr>
          <w:rFonts w:eastAsia="Times New Roman" w:cs="Arial"/>
          <w:color w:val="000000"/>
          <w:lang w:eastAsia="bg-BG"/>
        </w:rPr>
      </w:pPr>
    </w:p>
    <w:p w14:paraId="0759A085" w14:textId="5582C771"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Има ограничени данни за взаимодействие с продукти, съдържащи ерготамин или друг триптан/5</w:t>
      </w:r>
      <w:r w:rsidRPr="00431283">
        <w:rPr>
          <w:rFonts w:eastAsia="Times New Roman" w:cs="Arial"/>
          <w:color w:val="000000"/>
          <w:lang w:val="en-US"/>
        </w:rPr>
        <w:t>-HT</w:t>
      </w:r>
      <w:r w:rsidRPr="00431283">
        <w:rPr>
          <w:rFonts w:eastAsia="Times New Roman" w:cs="Arial"/>
          <w:color w:val="000000"/>
          <w:vertAlign w:val="subscript"/>
          <w:lang w:val="en-US"/>
        </w:rPr>
        <w:t>1</w:t>
      </w:r>
      <w:r w:rsidRPr="00431283">
        <w:rPr>
          <w:rFonts w:eastAsia="Times New Roman" w:cs="Arial"/>
          <w:color w:val="000000"/>
          <w:lang w:eastAsia="bg-BG"/>
        </w:rPr>
        <w:t xml:space="preserve"> рецепторен агонист. Налице е теоретична вероятност за повишен риск от </w:t>
      </w:r>
      <w:r w:rsidRPr="00431283">
        <w:rPr>
          <w:rFonts w:eastAsia="Times New Roman" w:cs="Arial"/>
          <w:color w:val="000000"/>
          <w:lang w:eastAsia="bg-BG"/>
        </w:rPr>
        <w:lastRenderedPageBreak/>
        <w:t>коронарен вазоспазъм. Едновременното приложение на тези лекарства е противопоказано (вж. точка 4.3).</w:t>
      </w:r>
    </w:p>
    <w:p w14:paraId="146FBF79"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Интервалът от време между прилагането на суматриптан и ерготамин-съдържащи продукти или друг триптан/5</w:t>
      </w:r>
      <w:r w:rsidRPr="00431283">
        <w:rPr>
          <w:rFonts w:eastAsia="Times New Roman" w:cs="Arial"/>
          <w:color w:val="000000"/>
          <w:lang w:val="en-US"/>
        </w:rPr>
        <w:t>-HT</w:t>
      </w:r>
      <w:r w:rsidRPr="00431283">
        <w:rPr>
          <w:rFonts w:eastAsia="Times New Roman" w:cs="Arial"/>
          <w:color w:val="000000"/>
          <w:vertAlign w:val="subscript"/>
          <w:lang w:val="en-US"/>
        </w:rPr>
        <w:t>1</w:t>
      </w:r>
      <w:r w:rsidRPr="00431283">
        <w:rPr>
          <w:rFonts w:eastAsia="Times New Roman" w:cs="Arial"/>
          <w:color w:val="000000"/>
          <w:lang w:val="en-US"/>
        </w:rPr>
        <w:t xml:space="preserve"> </w:t>
      </w:r>
      <w:r w:rsidRPr="00431283">
        <w:rPr>
          <w:rFonts w:eastAsia="Times New Roman" w:cs="Arial"/>
          <w:color w:val="000000"/>
          <w:lang w:eastAsia="bg-BG"/>
        </w:rPr>
        <w:t>рецепторен агонист не е установен. Той зависи също и от дозите и вида на прилаганите продукти. Ефектите може да бъдат адитивни. Препоръчва се да се изчака най-малко 24 часа след употребата на ерготамин-съдържащи продукти или друг триптан/5</w:t>
      </w:r>
      <w:r w:rsidRPr="00431283">
        <w:rPr>
          <w:rFonts w:eastAsia="Times New Roman" w:cs="Arial"/>
          <w:color w:val="000000"/>
          <w:lang w:val="en-US"/>
        </w:rPr>
        <w:t>-HT</w:t>
      </w:r>
      <w:r w:rsidRPr="00431283">
        <w:rPr>
          <w:rFonts w:eastAsia="Times New Roman" w:cs="Arial"/>
          <w:color w:val="000000"/>
          <w:vertAlign w:val="subscript"/>
          <w:lang w:val="en-US"/>
        </w:rPr>
        <w:t>1</w:t>
      </w:r>
      <w:r w:rsidRPr="00431283">
        <w:rPr>
          <w:rFonts w:eastAsia="Times New Roman" w:cs="Arial"/>
          <w:color w:val="000000"/>
          <w:lang w:val="en-US"/>
        </w:rPr>
        <w:t xml:space="preserve"> </w:t>
      </w:r>
      <w:r w:rsidRPr="00431283">
        <w:rPr>
          <w:rFonts w:eastAsia="Times New Roman" w:cs="Arial"/>
          <w:color w:val="000000"/>
          <w:lang w:eastAsia="bg-BG"/>
        </w:rPr>
        <w:t>рецепторен агонист преди да се приеме суматриптан. Обратно, препоръчва се да се изчака най-малко 6 часа след прием на суматриптан преди да се приложи ерготамин-съдържащ продукт, и най-малко 24 часа преди прилагане на друг триптан/5</w:t>
      </w:r>
      <w:r w:rsidRPr="00431283">
        <w:rPr>
          <w:rFonts w:eastAsia="Times New Roman" w:cs="Arial"/>
          <w:color w:val="000000"/>
          <w:lang w:val="en-US"/>
        </w:rPr>
        <w:t>-HT</w:t>
      </w:r>
      <w:r w:rsidRPr="00431283">
        <w:rPr>
          <w:rFonts w:eastAsia="Times New Roman" w:cs="Arial"/>
          <w:color w:val="000000"/>
          <w:vertAlign w:val="subscript"/>
          <w:lang w:val="en-US"/>
        </w:rPr>
        <w:t>1</w:t>
      </w:r>
      <w:r w:rsidRPr="00431283">
        <w:rPr>
          <w:rFonts w:eastAsia="Times New Roman" w:cs="Arial"/>
          <w:color w:val="000000"/>
          <w:lang w:val="en-US"/>
        </w:rPr>
        <w:t xml:space="preserve"> </w:t>
      </w:r>
      <w:r w:rsidRPr="00431283">
        <w:rPr>
          <w:rFonts w:eastAsia="Times New Roman" w:cs="Arial"/>
          <w:color w:val="000000"/>
          <w:lang w:eastAsia="bg-BG"/>
        </w:rPr>
        <w:t>рецепторен агонист.</w:t>
      </w:r>
    </w:p>
    <w:p w14:paraId="0325A049" w14:textId="77777777" w:rsidR="00431283" w:rsidRPr="00431283" w:rsidRDefault="00431283" w:rsidP="00431283">
      <w:pPr>
        <w:spacing w:line="240" w:lineRule="auto"/>
        <w:rPr>
          <w:rFonts w:eastAsia="Times New Roman" w:cs="Arial"/>
          <w:color w:val="000000"/>
          <w:lang w:eastAsia="bg-BG"/>
        </w:rPr>
      </w:pPr>
    </w:p>
    <w:p w14:paraId="1E113E6E" w14:textId="59BB57D6"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Може да има взаимодействие между суматриптан и МАО инхибитори. Едновременното приложение на тези лекарства е противопоказано (вж. точка 4.3).</w:t>
      </w:r>
    </w:p>
    <w:p w14:paraId="1FF01DFE" w14:textId="77777777" w:rsidR="00431283" w:rsidRPr="00431283" w:rsidRDefault="00431283" w:rsidP="00431283">
      <w:pPr>
        <w:rPr>
          <w:rFonts w:eastAsia="Times New Roman" w:cs="Arial"/>
          <w:color w:val="000000"/>
          <w:lang w:eastAsia="bg-BG"/>
        </w:rPr>
      </w:pPr>
    </w:p>
    <w:p w14:paraId="5B2761C5" w14:textId="63D5E647" w:rsidR="0091385D" w:rsidRPr="00431283" w:rsidRDefault="00431283" w:rsidP="00431283">
      <w:pPr>
        <w:rPr>
          <w:rFonts w:cs="Arial"/>
        </w:rPr>
      </w:pPr>
      <w:r w:rsidRPr="00431283">
        <w:rPr>
          <w:rFonts w:eastAsia="Times New Roman" w:cs="Arial"/>
          <w:color w:val="000000"/>
          <w:lang w:eastAsia="bg-BG"/>
        </w:rPr>
        <w:t xml:space="preserve">Налични са редки постмаркетингови съобщения за пациенти със серотонинов синдром (включително промени в психичния статус; нестабилност на вегетативната нервна система и невромускулни симптоми) след употреба на суматриптан и селективни инхибитори на обратното захващане на серотонин </w:t>
      </w:r>
      <w:r w:rsidRPr="00431283">
        <w:rPr>
          <w:rFonts w:eastAsia="Times New Roman" w:cs="Arial"/>
          <w:color w:val="000000"/>
          <w:lang w:val="en-US"/>
        </w:rPr>
        <w:t xml:space="preserve">(SSRI). </w:t>
      </w:r>
      <w:r w:rsidRPr="00431283">
        <w:rPr>
          <w:rFonts w:eastAsia="Times New Roman" w:cs="Arial"/>
          <w:color w:val="000000"/>
          <w:lang w:eastAsia="bg-BG"/>
        </w:rPr>
        <w:t xml:space="preserve">Серотонинов синдром е съобщаван след едновременно приложение на триптани и инхибитори на обратното захващане на серотонин и норадреналин </w:t>
      </w:r>
      <w:r w:rsidRPr="00431283">
        <w:rPr>
          <w:rFonts w:eastAsia="Times New Roman" w:cs="Arial"/>
          <w:color w:val="000000"/>
          <w:lang w:val="en-US"/>
        </w:rPr>
        <w:t xml:space="preserve">(SNRIs) </w:t>
      </w:r>
      <w:r w:rsidRPr="00431283">
        <w:rPr>
          <w:rFonts w:eastAsia="Times New Roman" w:cs="Arial"/>
          <w:color w:val="000000"/>
          <w:lang w:eastAsia="bg-BG"/>
        </w:rPr>
        <w:t>(вж. точка 4.4).</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0BAEAD41" w14:textId="77777777" w:rsidR="00431283" w:rsidRPr="00431283" w:rsidRDefault="00431283" w:rsidP="00431283">
      <w:pPr>
        <w:pStyle w:val="Heading3"/>
        <w:rPr>
          <w:rFonts w:eastAsia="Times New Roman"/>
          <w:b/>
          <w:u w:val="single"/>
          <w:lang w:eastAsia="bg-BG"/>
        </w:rPr>
      </w:pPr>
      <w:r w:rsidRPr="00431283">
        <w:rPr>
          <w:rFonts w:eastAsia="Times New Roman"/>
          <w:b/>
          <w:u w:val="single"/>
          <w:lang w:eastAsia="bg-BG"/>
        </w:rPr>
        <w:t>Бременност</w:t>
      </w:r>
    </w:p>
    <w:p w14:paraId="47393E66"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Налични са постмаркетингови данни от приложението на суматриптан при 1 000 жени по време на първия триместьр от бременността. Независимо че тези данни са недостатъчни за да се направят окончателни заключения, те не показват повишен риск от вродени малформации. Опитът от приложението на суматриптан през втория и третия триместър от бременността е ограничен.</w:t>
      </w:r>
    </w:p>
    <w:p w14:paraId="6313D1A8" w14:textId="77777777" w:rsidR="00431283" w:rsidRPr="00431283" w:rsidRDefault="00431283" w:rsidP="00431283">
      <w:pPr>
        <w:spacing w:line="240" w:lineRule="auto"/>
        <w:rPr>
          <w:rFonts w:eastAsia="Times New Roman" w:cs="Arial"/>
          <w:color w:val="000000"/>
          <w:lang w:eastAsia="bg-BG"/>
        </w:rPr>
      </w:pPr>
    </w:p>
    <w:p w14:paraId="7A1BBA33" w14:textId="01382C9A"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Експерименталните проучвания при животни не показват преки тератогенни или вредни ефекти по отношение на пери- и постнаталното развитие. Обаче ембриофеталната жизнеспособност при зайци може да бъде засегната (вж. точка 5.3). Приложението на суматриптан по време на бременност може да се обмисля само ако очакваните ползи за майката надвишават възможните рискове за плода.</w:t>
      </w:r>
    </w:p>
    <w:p w14:paraId="626614C8" w14:textId="77777777" w:rsidR="00431283" w:rsidRPr="00431283" w:rsidRDefault="00431283" w:rsidP="00431283">
      <w:pPr>
        <w:spacing w:line="240" w:lineRule="auto"/>
        <w:rPr>
          <w:rFonts w:eastAsia="Times New Roman" w:cs="Arial"/>
          <w:b/>
          <w:bCs/>
          <w:color w:val="000000"/>
          <w:lang w:eastAsia="bg-BG"/>
        </w:rPr>
      </w:pPr>
    </w:p>
    <w:p w14:paraId="14C32CFE" w14:textId="3F48AEC8" w:rsidR="00431283" w:rsidRPr="00431283" w:rsidRDefault="00431283" w:rsidP="00431283">
      <w:pPr>
        <w:pStyle w:val="Heading3"/>
        <w:rPr>
          <w:rFonts w:eastAsia="Times New Roman"/>
          <w:b/>
          <w:u w:val="single"/>
          <w:lang w:eastAsia="bg-BG"/>
        </w:rPr>
      </w:pPr>
      <w:r w:rsidRPr="00431283">
        <w:rPr>
          <w:rFonts w:eastAsia="Times New Roman"/>
          <w:b/>
          <w:u w:val="single"/>
          <w:lang w:eastAsia="bg-BG"/>
        </w:rPr>
        <w:t>Кърмене</w:t>
      </w:r>
    </w:p>
    <w:p w14:paraId="102F0D07" w14:textId="1EA1C67F" w:rsidR="007A2185" w:rsidRPr="00431283" w:rsidRDefault="00431283" w:rsidP="00431283">
      <w:pPr>
        <w:rPr>
          <w:rFonts w:cs="Arial"/>
        </w:rPr>
      </w:pPr>
      <w:r w:rsidRPr="00431283">
        <w:rPr>
          <w:rFonts w:eastAsia="Times New Roman" w:cs="Arial"/>
          <w:color w:val="000000"/>
          <w:lang w:eastAsia="bg-BG"/>
        </w:rPr>
        <w:t>След подкожно приложение суматриптан се установява в млякото. Излагането на кърмачето на суматриптан може да се намали, ако детето не се кърми 12 часа след прием на лекарството, като изцеденото през това време мляко не се използва.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019F8EF" w14:textId="77777777" w:rsidR="00431283" w:rsidRPr="00431283" w:rsidRDefault="00431283" w:rsidP="00431283">
      <w:pPr>
        <w:rPr>
          <w:rFonts w:eastAsia="Times New Roman" w:cs="Arial"/>
          <w:lang w:eastAsia="bg-BG"/>
        </w:rPr>
      </w:pPr>
      <w:r w:rsidRPr="00431283">
        <w:rPr>
          <w:rFonts w:cs="Arial"/>
        </w:rPr>
        <w:t>Не са провеждани проучвания за ефектите върху способността за шофиране и работата с</w:t>
      </w:r>
      <w:r w:rsidRPr="00431283">
        <w:rPr>
          <w:rFonts w:cs="Arial"/>
        </w:rPr>
        <w:t xml:space="preserve"> </w:t>
      </w:r>
      <w:r w:rsidRPr="00431283">
        <w:rPr>
          <w:rFonts w:eastAsia="Times New Roman" w:cs="Arial"/>
          <w:color w:val="000000"/>
          <w:lang w:eastAsia="bg-BG"/>
        </w:rPr>
        <w:t>машини. Може да се появи сънливост, дължаща се на мигренозния пристъп или на лечението със суматриптан. Това може да повлияе способността за шофиране и работата с машини.</w:t>
      </w:r>
    </w:p>
    <w:p w14:paraId="7248A8C9" w14:textId="77777777" w:rsidR="00431283" w:rsidRDefault="00431283" w:rsidP="00431283">
      <w:pPr>
        <w:rPr>
          <w:rFonts w:ascii="Times New Roman" w:eastAsia="Times New Roman" w:hAnsi="Times New Roman" w:cs="Times New Roman"/>
          <w:color w:val="000000"/>
          <w:lang w:eastAsia="bg-BG"/>
        </w:rPr>
      </w:pPr>
    </w:p>
    <w:p w14:paraId="1C9ABB96" w14:textId="08925EBA" w:rsidR="007A2185" w:rsidRPr="00431283" w:rsidRDefault="00431283" w:rsidP="00431283">
      <w:pPr>
        <w:rPr>
          <w:rFonts w:cs="Arial"/>
        </w:rPr>
      </w:pPr>
      <w:r w:rsidRPr="00431283">
        <w:rPr>
          <w:rFonts w:eastAsia="Times New Roman" w:cs="Arial"/>
          <w:color w:val="000000"/>
          <w:lang w:eastAsia="bg-BG"/>
        </w:rPr>
        <w:lastRenderedPageBreak/>
        <w:t>Препоръчва се повишено внимание при шофиране или работа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066E69CC"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Нежеланите лекарствени реакции са изброени по-долу съгласно системо-органните класове и честотата. Честотите се дефинират както следва: много чести (≥ 1/10), чести (≥ 1/100 до &lt; 1/10), нечести (≥ 1/1 000 до &lt; 1/100), редки (≥ 1/10 000 до &lt; 1/1 000) и много редки {&lt; 1/10 000), с неизвестна честота (от наличните данни не може да бъде направена оценка). Някои от съобщаваните симптоми като нежелани реакции може да са симптоми, свързани с мигрената.</w:t>
      </w:r>
    </w:p>
    <w:p w14:paraId="48CCF499" w14:textId="77777777" w:rsidR="00431283" w:rsidRPr="00431283" w:rsidRDefault="00431283" w:rsidP="00431283">
      <w:pPr>
        <w:spacing w:line="240" w:lineRule="auto"/>
        <w:rPr>
          <w:rFonts w:eastAsia="Times New Roman" w:cs="Arial"/>
          <w:b/>
          <w:bCs/>
          <w:color w:val="000000"/>
          <w:lang w:eastAsia="bg-BG"/>
        </w:rPr>
      </w:pPr>
    </w:p>
    <w:p w14:paraId="54DD7AB2" w14:textId="38A5B992"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Нарушения на имунната система</w:t>
      </w:r>
    </w:p>
    <w:p w14:paraId="4FB8D25C"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С неизвестна честота:</w:t>
      </w:r>
      <w:r w:rsidRPr="00431283">
        <w:rPr>
          <w:rFonts w:eastAsia="Times New Roman" w:cs="Arial"/>
          <w:color w:val="000000"/>
          <w:lang w:eastAsia="bg-BG"/>
        </w:rPr>
        <w:t xml:space="preserve"> Реакции на свръхчувствителност, вариращи от кожни прояви на свръхчувствителност (като уртикария) до анафилаксия.</w:t>
      </w:r>
    </w:p>
    <w:p w14:paraId="5E2B27E1" w14:textId="77777777" w:rsidR="00431283" w:rsidRPr="00431283" w:rsidRDefault="00431283" w:rsidP="00431283">
      <w:pPr>
        <w:spacing w:line="240" w:lineRule="auto"/>
        <w:rPr>
          <w:rFonts w:eastAsia="Times New Roman" w:cs="Arial"/>
          <w:b/>
          <w:bCs/>
          <w:color w:val="000000"/>
          <w:lang w:eastAsia="bg-BG"/>
        </w:rPr>
      </w:pPr>
    </w:p>
    <w:p w14:paraId="006AE925" w14:textId="092B5366"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Нарушения на нервната система</w:t>
      </w:r>
    </w:p>
    <w:p w14:paraId="207EDC20"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Чести:</w:t>
      </w:r>
      <w:r w:rsidRPr="00431283">
        <w:rPr>
          <w:rFonts w:eastAsia="Times New Roman" w:cs="Arial"/>
          <w:color w:val="000000"/>
          <w:lang w:eastAsia="bg-BG"/>
        </w:rPr>
        <w:t xml:space="preserve"> Замайване, сънливост, сетивни нарушения, включително парестезия и хипестезия.</w:t>
      </w:r>
    </w:p>
    <w:p w14:paraId="3DCF8D7F"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С неизвестна честота:</w:t>
      </w:r>
      <w:r w:rsidRPr="00431283">
        <w:rPr>
          <w:rFonts w:eastAsia="Times New Roman" w:cs="Arial"/>
          <w:color w:val="000000"/>
          <w:lang w:eastAsia="bg-BG"/>
        </w:rPr>
        <w:t xml:space="preserve"> Припадъци. В някои случаи се установяват при пациенти с анамнеза за припадъци или други състояния, предразполагащи към припадъци. Припадъци се описват и при пациенти, при които не се установяват подобни предразполагащи фактори.</w:t>
      </w:r>
    </w:p>
    <w:p w14:paraId="5E740642"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Тремор, дистония, нистагъм, скотоми.</w:t>
      </w:r>
    </w:p>
    <w:p w14:paraId="024416CC" w14:textId="77777777" w:rsidR="00431283" w:rsidRPr="00431283" w:rsidRDefault="00431283" w:rsidP="00431283">
      <w:pPr>
        <w:spacing w:line="240" w:lineRule="auto"/>
        <w:rPr>
          <w:rFonts w:eastAsia="Times New Roman" w:cs="Arial"/>
          <w:b/>
          <w:bCs/>
          <w:color w:val="000000"/>
          <w:lang w:eastAsia="bg-BG"/>
        </w:rPr>
      </w:pPr>
      <w:bookmarkStart w:id="3" w:name="bookmark4"/>
    </w:p>
    <w:p w14:paraId="2420EE4A" w14:textId="1A5D243E"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Нарушения на очите</w:t>
      </w:r>
      <w:bookmarkEnd w:id="3"/>
    </w:p>
    <w:p w14:paraId="1E625E55"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С неизвестна честота:</w:t>
      </w:r>
      <w:r w:rsidRPr="00431283">
        <w:rPr>
          <w:rFonts w:eastAsia="Times New Roman" w:cs="Arial"/>
          <w:color w:val="000000"/>
          <w:lang w:eastAsia="bg-BG"/>
        </w:rPr>
        <w:t xml:space="preserve"> Проблясване, двойно виждане, отслабено зрение. Загуба на зрението включително съобщения за постоянни дефекти. Зрителните нарушения, обаче, могат също да се проявят и при мигренозен пристъп.</w:t>
      </w:r>
    </w:p>
    <w:p w14:paraId="610F131D" w14:textId="77777777" w:rsidR="00431283" w:rsidRPr="00431283" w:rsidRDefault="00431283" w:rsidP="00431283">
      <w:pPr>
        <w:spacing w:line="240" w:lineRule="auto"/>
        <w:rPr>
          <w:rFonts w:eastAsia="Times New Roman" w:cs="Arial"/>
          <w:b/>
          <w:bCs/>
          <w:color w:val="000000"/>
          <w:lang w:eastAsia="bg-BG"/>
        </w:rPr>
      </w:pPr>
      <w:bookmarkStart w:id="4" w:name="bookmark6"/>
    </w:p>
    <w:p w14:paraId="3EC9A75D" w14:textId="57B54B1A"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Сърдечни нарушения</w:t>
      </w:r>
      <w:bookmarkEnd w:id="4"/>
    </w:p>
    <w:p w14:paraId="5926755F"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С неизвестна честота:</w:t>
      </w:r>
      <w:r w:rsidRPr="00431283">
        <w:rPr>
          <w:rFonts w:eastAsia="Times New Roman" w:cs="Arial"/>
          <w:color w:val="000000"/>
          <w:lang w:eastAsia="bg-BG"/>
        </w:rPr>
        <w:t xml:space="preserve"> Брадикардия, тахикардия, палпитации, сърдечни аритмии, транзиторни промени в ЕКГ- белег за исхемия, вазоспазъм на коронарни артерии, ангина пекторис, миокарден инфаркт (вж. точки 4.3. и 4.4).</w:t>
      </w:r>
    </w:p>
    <w:p w14:paraId="64457563" w14:textId="77777777" w:rsidR="00431283" w:rsidRPr="00431283" w:rsidRDefault="00431283" w:rsidP="00431283">
      <w:pPr>
        <w:spacing w:line="240" w:lineRule="auto"/>
        <w:rPr>
          <w:rFonts w:eastAsia="Times New Roman" w:cs="Arial"/>
          <w:b/>
          <w:bCs/>
          <w:color w:val="000000"/>
          <w:lang w:eastAsia="bg-BG"/>
        </w:rPr>
      </w:pPr>
      <w:bookmarkStart w:id="5" w:name="bookmark8"/>
    </w:p>
    <w:p w14:paraId="3371AE81" w14:textId="3ADDA666"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Съдови нарушения</w:t>
      </w:r>
      <w:bookmarkEnd w:id="5"/>
    </w:p>
    <w:p w14:paraId="2B406168"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Чести:</w:t>
      </w:r>
      <w:r w:rsidRPr="00431283">
        <w:rPr>
          <w:rFonts w:eastAsia="Times New Roman" w:cs="Arial"/>
          <w:color w:val="000000"/>
          <w:lang w:eastAsia="bg-BG"/>
        </w:rPr>
        <w:t xml:space="preserve"> Преходно повишаване на кръвното налягане, скоро след приема на лекарството. Зачервяване на лицето.</w:t>
      </w:r>
    </w:p>
    <w:p w14:paraId="5FE5A4C0"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С неизвестна честота:</w:t>
      </w:r>
      <w:r w:rsidRPr="00431283">
        <w:rPr>
          <w:rFonts w:eastAsia="Times New Roman" w:cs="Arial"/>
          <w:color w:val="000000"/>
          <w:lang w:eastAsia="bg-BG"/>
        </w:rPr>
        <w:t xml:space="preserve"> Хипотония, феномен на Рейно.</w:t>
      </w:r>
    </w:p>
    <w:p w14:paraId="7F354D26" w14:textId="77777777" w:rsidR="00431283" w:rsidRPr="00431283" w:rsidRDefault="00431283" w:rsidP="00431283">
      <w:pPr>
        <w:spacing w:line="240" w:lineRule="auto"/>
        <w:rPr>
          <w:rFonts w:eastAsia="Times New Roman" w:cs="Arial"/>
          <w:b/>
          <w:bCs/>
          <w:color w:val="000000"/>
          <w:lang w:eastAsia="bg-BG"/>
        </w:rPr>
      </w:pPr>
      <w:bookmarkStart w:id="6" w:name="bookmark10"/>
    </w:p>
    <w:p w14:paraId="07EE4F04" w14:textId="15DA9FE8"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Респираторни, гръдни и медиастинални нарушения</w:t>
      </w:r>
      <w:bookmarkEnd w:id="6"/>
    </w:p>
    <w:p w14:paraId="5C5A0A31"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Чести:</w:t>
      </w:r>
      <w:r w:rsidRPr="00431283">
        <w:rPr>
          <w:rFonts w:eastAsia="Times New Roman" w:cs="Arial"/>
          <w:color w:val="000000"/>
          <w:lang w:eastAsia="bg-BG"/>
        </w:rPr>
        <w:t xml:space="preserve"> Диспнея.</w:t>
      </w:r>
    </w:p>
    <w:p w14:paraId="208E803E" w14:textId="77777777" w:rsidR="00431283" w:rsidRPr="00431283" w:rsidRDefault="00431283" w:rsidP="00431283">
      <w:pPr>
        <w:spacing w:line="240" w:lineRule="auto"/>
        <w:rPr>
          <w:rFonts w:eastAsia="Times New Roman" w:cs="Arial"/>
          <w:b/>
          <w:bCs/>
          <w:color w:val="000000"/>
          <w:lang w:eastAsia="bg-BG"/>
        </w:rPr>
      </w:pPr>
      <w:bookmarkStart w:id="7" w:name="bookmark12"/>
    </w:p>
    <w:p w14:paraId="0545ED6B" w14:textId="0E384A7E"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Стомашно-чревни нарушения</w:t>
      </w:r>
      <w:bookmarkEnd w:id="7"/>
    </w:p>
    <w:p w14:paraId="66B1DFC3"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Чести:</w:t>
      </w:r>
      <w:r w:rsidRPr="00431283">
        <w:rPr>
          <w:rFonts w:eastAsia="Times New Roman" w:cs="Arial"/>
          <w:color w:val="000000"/>
          <w:lang w:eastAsia="bg-BG"/>
        </w:rPr>
        <w:t xml:space="preserve"> При някои пациенти са докладвани гадене и повръщане, но е неясно дали това е свързано със суматриптан или със съпътстващото заболяване.</w:t>
      </w:r>
    </w:p>
    <w:p w14:paraId="50E21707"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С неизвестна честота:</w:t>
      </w:r>
      <w:r w:rsidRPr="00431283">
        <w:rPr>
          <w:rFonts w:eastAsia="Times New Roman" w:cs="Arial"/>
          <w:color w:val="000000"/>
          <w:lang w:eastAsia="bg-BG"/>
        </w:rPr>
        <w:t xml:space="preserve"> Исхемичен колит, диария, дисфагия.</w:t>
      </w:r>
    </w:p>
    <w:p w14:paraId="013CA2A5" w14:textId="77777777" w:rsidR="00431283" w:rsidRPr="00431283" w:rsidRDefault="00431283" w:rsidP="00431283">
      <w:pPr>
        <w:spacing w:line="240" w:lineRule="auto"/>
        <w:rPr>
          <w:rFonts w:eastAsia="Times New Roman" w:cs="Arial"/>
          <w:b/>
          <w:bCs/>
          <w:color w:val="000000"/>
          <w:lang w:eastAsia="bg-BG"/>
        </w:rPr>
      </w:pPr>
      <w:bookmarkStart w:id="8" w:name="bookmark14"/>
    </w:p>
    <w:p w14:paraId="0C9A438F" w14:textId="19D45138"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Нарушения на мускулно-скелетната система и съединителната тъкан</w:t>
      </w:r>
      <w:bookmarkEnd w:id="8"/>
    </w:p>
    <w:p w14:paraId="151E7A87"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Чести:</w:t>
      </w:r>
      <w:r w:rsidRPr="00431283">
        <w:rPr>
          <w:rFonts w:eastAsia="Times New Roman" w:cs="Arial"/>
          <w:color w:val="000000"/>
          <w:lang w:eastAsia="bg-BG"/>
        </w:rPr>
        <w:t xml:space="preserve"> Усещане за тежест (обикновено преходно, може да е силно и да засегне всяка част от тялото включително гръдния кош и гърлото). Миалгия.</w:t>
      </w:r>
    </w:p>
    <w:p w14:paraId="4D4F3BA6"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lastRenderedPageBreak/>
        <w:t xml:space="preserve">С </w:t>
      </w:r>
      <w:r w:rsidRPr="00431283">
        <w:rPr>
          <w:rFonts w:eastAsia="Times New Roman" w:cs="Arial"/>
          <w:i/>
          <w:iCs/>
          <w:color w:val="000000"/>
          <w:lang w:eastAsia="bg-BG"/>
        </w:rPr>
        <w:t>неизвестна честота:</w:t>
      </w:r>
      <w:r w:rsidRPr="00431283">
        <w:rPr>
          <w:rFonts w:eastAsia="Times New Roman" w:cs="Arial"/>
          <w:color w:val="000000"/>
          <w:lang w:eastAsia="bg-BG"/>
        </w:rPr>
        <w:t xml:space="preserve"> Скованост на врата, артралгия.</w:t>
      </w:r>
    </w:p>
    <w:p w14:paraId="3663482A" w14:textId="77777777" w:rsidR="00431283" w:rsidRPr="00431283" w:rsidRDefault="00431283" w:rsidP="00431283">
      <w:pPr>
        <w:spacing w:line="240" w:lineRule="auto"/>
        <w:rPr>
          <w:rFonts w:eastAsia="Times New Roman" w:cs="Arial"/>
          <w:b/>
          <w:bCs/>
          <w:color w:val="000000"/>
          <w:lang w:eastAsia="bg-BG"/>
        </w:rPr>
      </w:pPr>
      <w:bookmarkStart w:id="9" w:name="bookmark16"/>
    </w:p>
    <w:p w14:paraId="73B02864" w14:textId="2DC69588"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Общи нарушения и ефекти на мястото на приложение</w:t>
      </w:r>
      <w:bookmarkEnd w:id="9"/>
    </w:p>
    <w:p w14:paraId="480A8368"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Чести:</w:t>
      </w:r>
      <w:r w:rsidRPr="00431283">
        <w:rPr>
          <w:rFonts w:eastAsia="Times New Roman" w:cs="Arial"/>
          <w:color w:val="000000"/>
          <w:lang w:eastAsia="bg-BG"/>
        </w:rPr>
        <w:t xml:space="preserve"> Болка, усещане за топлина или студ, притискане или стягане в гърдите. Тези реакции обикновено са преходни, като в някои случаи са по-силно проявени. Могат да засегнат всяка  част от тялото, включително гръдния кош и гърлото.</w:t>
      </w:r>
    </w:p>
    <w:p w14:paraId="0254AACC" w14:textId="56600904" w:rsidR="007A2185" w:rsidRPr="00431283" w:rsidRDefault="00431283" w:rsidP="00431283">
      <w:pPr>
        <w:rPr>
          <w:rFonts w:cs="Arial"/>
        </w:rPr>
      </w:pPr>
      <w:r w:rsidRPr="00431283">
        <w:rPr>
          <w:rFonts w:eastAsia="Times New Roman" w:cs="Arial"/>
          <w:color w:val="000000"/>
          <w:lang w:eastAsia="bg-BG"/>
        </w:rPr>
        <w:t>Чувство за слабост, умора (двата симптома са преходни и слабо до умерено проявени).</w:t>
      </w:r>
    </w:p>
    <w:p w14:paraId="2A672C92"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С неизвестна честота:</w:t>
      </w:r>
    </w:p>
    <w:p w14:paraId="53259B74"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Активирана травматична болка</w:t>
      </w:r>
    </w:p>
    <w:p w14:paraId="64C996BE"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Активирана болка, свързана с възпаление.</w:t>
      </w:r>
    </w:p>
    <w:p w14:paraId="2F520BB5" w14:textId="77777777" w:rsidR="00431283" w:rsidRPr="00431283" w:rsidRDefault="00431283" w:rsidP="00431283">
      <w:pPr>
        <w:spacing w:line="240" w:lineRule="auto"/>
        <w:rPr>
          <w:rFonts w:eastAsia="Times New Roman" w:cs="Arial"/>
          <w:b/>
          <w:bCs/>
          <w:color w:val="000000"/>
          <w:lang w:eastAsia="bg-BG"/>
        </w:rPr>
      </w:pPr>
    </w:p>
    <w:p w14:paraId="24A8DC8E" w14:textId="03E97C4B"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Изследвания</w:t>
      </w:r>
    </w:p>
    <w:p w14:paraId="7D21EBC7"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Много редки:</w:t>
      </w:r>
      <w:r w:rsidRPr="00431283">
        <w:rPr>
          <w:rFonts w:eastAsia="Times New Roman" w:cs="Arial"/>
          <w:color w:val="000000"/>
          <w:lang w:eastAsia="bg-BG"/>
        </w:rPr>
        <w:t xml:space="preserve"> Понякога са установявани слаби отклонения в стойностите, получени от чернодробните функционални тестове.</w:t>
      </w:r>
    </w:p>
    <w:p w14:paraId="55178F83" w14:textId="77777777" w:rsidR="00431283" w:rsidRPr="00431283" w:rsidRDefault="00431283" w:rsidP="00431283">
      <w:pPr>
        <w:spacing w:line="240" w:lineRule="auto"/>
        <w:rPr>
          <w:rFonts w:eastAsia="Times New Roman" w:cs="Arial"/>
          <w:b/>
          <w:bCs/>
          <w:color w:val="000000"/>
          <w:lang w:eastAsia="bg-BG"/>
        </w:rPr>
      </w:pPr>
    </w:p>
    <w:p w14:paraId="195F3A57" w14:textId="1D6C0C10"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Психични нарушения</w:t>
      </w:r>
    </w:p>
    <w:p w14:paraId="754DD79F"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С неизвестна честота:</w:t>
      </w:r>
      <w:r w:rsidRPr="00431283">
        <w:rPr>
          <w:rFonts w:eastAsia="Times New Roman" w:cs="Arial"/>
          <w:color w:val="000000"/>
          <w:lang w:eastAsia="bg-BG"/>
        </w:rPr>
        <w:t xml:space="preserve"> Тревожност.</w:t>
      </w:r>
    </w:p>
    <w:p w14:paraId="4AE06413" w14:textId="77777777" w:rsidR="00431283" w:rsidRPr="00431283" w:rsidRDefault="00431283" w:rsidP="00431283">
      <w:pPr>
        <w:spacing w:line="240" w:lineRule="auto"/>
        <w:rPr>
          <w:rFonts w:eastAsia="Times New Roman" w:cs="Arial"/>
          <w:b/>
          <w:bCs/>
          <w:color w:val="000000"/>
          <w:lang w:eastAsia="bg-BG"/>
        </w:rPr>
      </w:pPr>
    </w:p>
    <w:p w14:paraId="4655DB8F" w14:textId="10027F75"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Нарушения на кожата и подкожната тъкан</w:t>
      </w:r>
    </w:p>
    <w:p w14:paraId="66D4CCE5"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С </w:t>
      </w:r>
      <w:r w:rsidRPr="00431283">
        <w:rPr>
          <w:rFonts w:eastAsia="Times New Roman" w:cs="Arial"/>
          <w:i/>
          <w:iCs/>
          <w:color w:val="000000"/>
          <w:lang w:eastAsia="bg-BG"/>
        </w:rPr>
        <w:t>неизвестна честота:</w:t>
      </w:r>
      <w:r w:rsidRPr="00431283">
        <w:rPr>
          <w:rFonts w:eastAsia="Times New Roman" w:cs="Arial"/>
          <w:color w:val="000000"/>
          <w:lang w:eastAsia="bg-BG"/>
        </w:rPr>
        <w:t xml:space="preserve"> Хиперхцдроза.</w:t>
      </w:r>
    </w:p>
    <w:p w14:paraId="1C58DE34" w14:textId="77777777" w:rsidR="00431283" w:rsidRPr="00431283" w:rsidRDefault="00431283" w:rsidP="00431283">
      <w:pPr>
        <w:spacing w:line="240" w:lineRule="auto"/>
        <w:rPr>
          <w:rFonts w:eastAsia="Times New Roman" w:cs="Arial"/>
          <w:color w:val="000000"/>
          <w:u w:val="single"/>
          <w:lang w:eastAsia="bg-BG"/>
        </w:rPr>
      </w:pPr>
    </w:p>
    <w:p w14:paraId="0CC56621" w14:textId="3306863F" w:rsidR="00431283" w:rsidRPr="00431283" w:rsidRDefault="00431283" w:rsidP="00431283">
      <w:pPr>
        <w:spacing w:line="240" w:lineRule="auto"/>
        <w:rPr>
          <w:rFonts w:eastAsia="Times New Roman" w:cs="Arial"/>
          <w:lang w:eastAsia="bg-BG"/>
        </w:rPr>
      </w:pPr>
      <w:r w:rsidRPr="00431283">
        <w:rPr>
          <w:rFonts w:eastAsia="Times New Roman" w:cs="Arial"/>
          <w:color w:val="000000"/>
          <w:u w:val="single"/>
          <w:lang w:eastAsia="bg-BG"/>
        </w:rPr>
        <w:t>Съобщаване на подозирани нежелани реакции</w:t>
      </w:r>
    </w:p>
    <w:p w14:paraId="0BEBB9E9"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7EB8BB9D" w14:textId="77777777" w:rsidR="00431283" w:rsidRPr="00431283" w:rsidRDefault="00431283" w:rsidP="00431283">
      <w:pPr>
        <w:spacing w:line="240" w:lineRule="auto"/>
        <w:rPr>
          <w:rFonts w:eastAsia="Times New Roman" w:cs="Arial"/>
          <w:color w:val="000000"/>
          <w:lang w:eastAsia="bg-BG"/>
        </w:rPr>
      </w:pPr>
    </w:p>
    <w:p w14:paraId="6D47E2C7" w14:textId="1851370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Изпълнителна агенция по лекарствата</w:t>
      </w:r>
    </w:p>
    <w:p w14:paraId="79D3E2E7"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ул. „Дамян Груев” № 8</w:t>
      </w:r>
    </w:p>
    <w:p w14:paraId="50B4A670"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1303 София</w:t>
      </w:r>
    </w:p>
    <w:p w14:paraId="3D61ED88"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тел.:+359 2 890 34 17</w:t>
      </w:r>
    </w:p>
    <w:p w14:paraId="443BC107" w14:textId="70E241E3" w:rsidR="005B0F27" w:rsidRPr="00431283" w:rsidRDefault="00431283" w:rsidP="00431283">
      <w:pPr>
        <w:rPr>
          <w:rFonts w:cs="Arial"/>
        </w:rPr>
      </w:pPr>
      <w:r w:rsidRPr="00431283">
        <w:rPr>
          <w:rFonts w:eastAsia="Times New Roman" w:cs="Arial"/>
          <w:color w:val="000000"/>
          <w:lang w:eastAsia="bg-BG"/>
        </w:rPr>
        <w:t xml:space="preserve">уебсайт: </w:t>
      </w:r>
      <w:hyperlink r:id="rId5" w:history="1">
        <w:r w:rsidRPr="00431283">
          <w:rPr>
            <w:rFonts w:eastAsia="Times New Roman" w:cs="Arial"/>
            <w:color w:val="000000"/>
            <w:lang w:val="en-US"/>
          </w:rPr>
          <w:t>www.bda.bg</w:t>
        </w:r>
      </w:hyperlink>
    </w:p>
    <w:p w14:paraId="4D0910A5" w14:textId="6FD06FC4" w:rsidR="00431283" w:rsidRDefault="00431283" w:rsidP="0091385D"/>
    <w:p w14:paraId="2A5CACA3" w14:textId="77777777" w:rsidR="00431283" w:rsidRPr="0091385D" w:rsidRDefault="00431283"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2848294E" w14:textId="77777777" w:rsidR="00431283" w:rsidRPr="00431283" w:rsidRDefault="00431283" w:rsidP="00431283">
      <w:pPr>
        <w:pStyle w:val="Heading3"/>
        <w:rPr>
          <w:rFonts w:eastAsia="Times New Roman"/>
          <w:b/>
          <w:u w:val="single"/>
          <w:lang w:eastAsia="bg-BG"/>
        </w:rPr>
      </w:pPr>
      <w:r w:rsidRPr="00431283">
        <w:rPr>
          <w:rFonts w:eastAsia="Times New Roman"/>
          <w:b/>
          <w:u w:val="single"/>
          <w:lang w:eastAsia="bg-BG"/>
        </w:rPr>
        <w:t>Симптоми в признаци</w:t>
      </w:r>
    </w:p>
    <w:p w14:paraId="736568CE"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При приложение на дози над 400 </w:t>
      </w:r>
      <w:r w:rsidRPr="00431283">
        <w:rPr>
          <w:rFonts w:eastAsia="Times New Roman" w:cs="Arial"/>
          <w:color w:val="000000"/>
          <w:lang w:val="en-US"/>
        </w:rPr>
        <w:t xml:space="preserve">mg </w:t>
      </w:r>
      <w:r w:rsidRPr="00431283">
        <w:rPr>
          <w:rFonts w:eastAsia="Times New Roman" w:cs="Arial"/>
          <w:color w:val="000000"/>
          <w:lang w:eastAsia="bg-BG"/>
        </w:rPr>
        <w:t>перорално не са наблюдавани нежелани реакции, различни от описаните.</w:t>
      </w:r>
    </w:p>
    <w:p w14:paraId="26D706E6" w14:textId="77777777" w:rsidR="00431283" w:rsidRPr="00431283" w:rsidRDefault="00431283" w:rsidP="00431283">
      <w:pPr>
        <w:spacing w:line="240" w:lineRule="auto"/>
        <w:rPr>
          <w:rFonts w:eastAsia="Times New Roman" w:cs="Arial"/>
          <w:b/>
          <w:bCs/>
          <w:color w:val="000000"/>
          <w:lang w:eastAsia="bg-BG"/>
        </w:rPr>
      </w:pPr>
    </w:p>
    <w:p w14:paraId="14728E04" w14:textId="14DE14F7" w:rsidR="00431283" w:rsidRPr="00431283" w:rsidRDefault="00431283" w:rsidP="00431283">
      <w:pPr>
        <w:pStyle w:val="Heading3"/>
        <w:rPr>
          <w:rFonts w:eastAsia="Times New Roman"/>
          <w:b/>
          <w:u w:val="single"/>
          <w:lang w:eastAsia="bg-BG"/>
        </w:rPr>
      </w:pPr>
      <w:r w:rsidRPr="00431283">
        <w:rPr>
          <w:rFonts w:eastAsia="Times New Roman"/>
          <w:b/>
          <w:u w:val="single"/>
          <w:lang w:eastAsia="bg-BG"/>
        </w:rPr>
        <w:t>Лечение</w:t>
      </w:r>
    </w:p>
    <w:p w14:paraId="09BEE794"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При предозиране пациентът трябва да се постави под наблюдение за не по-малко от 10 часа, като се приложи стандартно поддържащо лечение.</w:t>
      </w:r>
    </w:p>
    <w:p w14:paraId="6A43B8F3" w14:textId="7BC6CE1C" w:rsidR="007A2185" w:rsidRPr="00431283" w:rsidRDefault="00431283" w:rsidP="00431283">
      <w:pPr>
        <w:rPr>
          <w:rFonts w:cs="Arial"/>
        </w:rPr>
      </w:pPr>
      <w:r w:rsidRPr="00431283">
        <w:rPr>
          <w:rFonts w:eastAsia="Times New Roman" w:cs="Arial"/>
          <w:color w:val="000000"/>
          <w:lang w:eastAsia="bg-BG"/>
        </w:rPr>
        <w:t>Не е известен ефектът на хемодиализата или перитонеалната диализа върху плазмените концентрации на суматриптан.</w:t>
      </w:r>
    </w:p>
    <w:p w14:paraId="48FF1584" w14:textId="77777777" w:rsidR="0091385D" w:rsidRPr="0091385D" w:rsidRDefault="0091385D" w:rsidP="0091385D"/>
    <w:p w14:paraId="02081B24" w14:textId="7CE94171" w:rsidR="00395555" w:rsidRDefault="002C50EE" w:rsidP="008A6AF2">
      <w:pPr>
        <w:pStyle w:val="Heading1"/>
      </w:pPr>
      <w:r>
        <w:lastRenderedPageBreak/>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739F7D03"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Фармакотерапевтична група: Селективен 5НТ1 рецепторен агонист, АТС код: </w:t>
      </w:r>
      <w:r w:rsidRPr="00431283">
        <w:rPr>
          <w:rFonts w:eastAsia="Times New Roman" w:cs="Arial"/>
          <w:color w:val="000000"/>
          <w:lang w:val="en-US"/>
        </w:rPr>
        <w:t>N02CC01</w:t>
      </w:r>
    </w:p>
    <w:p w14:paraId="156A7C81" w14:textId="77777777" w:rsidR="00431283" w:rsidRPr="00431283" w:rsidRDefault="00431283" w:rsidP="00431283">
      <w:pPr>
        <w:spacing w:line="240" w:lineRule="auto"/>
        <w:rPr>
          <w:rFonts w:eastAsia="Times New Roman" w:cs="Arial"/>
          <w:color w:val="000000"/>
          <w:u w:val="single"/>
          <w:lang w:eastAsia="bg-BG"/>
        </w:rPr>
      </w:pPr>
    </w:p>
    <w:p w14:paraId="488BCEF4" w14:textId="6912E866" w:rsidR="00431283" w:rsidRPr="00431283" w:rsidRDefault="00431283" w:rsidP="00431283">
      <w:pPr>
        <w:spacing w:line="240" w:lineRule="auto"/>
        <w:rPr>
          <w:rFonts w:eastAsia="Times New Roman" w:cs="Arial"/>
          <w:lang w:eastAsia="bg-BG"/>
        </w:rPr>
      </w:pPr>
      <w:r w:rsidRPr="00431283">
        <w:rPr>
          <w:rFonts w:eastAsia="Times New Roman" w:cs="Arial"/>
          <w:color w:val="000000"/>
          <w:u w:val="single"/>
          <w:lang w:eastAsia="bg-BG"/>
        </w:rPr>
        <w:t>Механизъм на действие</w:t>
      </w:r>
    </w:p>
    <w:p w14:paraId="4F6822FB" w14:textId="77777777" w:rsidR="00431283" w:rsidRPr="00431283" w:rsidRDefault="00431283" w:rsidP="00431283">
      <w:pPr>
        <w:spacing w:line="240" w:lineRule="auto"/>
        <w:rPr>
          <w:rFonts w:eastAsia="Times New Roman" w:cs="Arial"/>
          <w:color w:val="000000"/>
          <w:lang w:eastAsia="bg-BG"/>
        </w:rPr>
      </w:pPr>
    </w:p>
    <w:p w14:paraId="368F5204" w14:textId="321E4C76"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Суматриптан е специфичен и селективен съдов 5-хидрокситриптамин-1-(5-НТ</w:t>
      </w:r>
      <w:r w:rsidRPr="00431283">
        <w:rPr>
          <w:rFonts w:eastAsia="Times New Roman" w:cs="Arial"/>
          <w:color w:val="000000"/>
          <w:vertAlign w:val="subscript"/>
          <w:lang w:eastAsia="bg-BG"/>
        </w:rPr>
        <w:t>1</w:t>
      </w:r>
      <w:r w:rsidRPr="00431283">
        <w:rPr>
          <w:rFonts w:eastAsia="Times New Roman" w:cs="Arial"/>
          <w:color w:val="000000"/>
          <w:lang w:val="en-US"/>
        </w:rPr>
        <w:t>D</w:t>
      </w:r>
      <w:r w:rsidRPr="00431283">
        <w:rPr>
          <w:rFonts w:eastAsia="Times New Roman" w:cs="Arial"/>
          <w:color w:val="000000"/>
          <w:lang w:eastAsia="bg-BG"/>
        </w:rPr>
        <w:t>) рецепторен агонист. Няма ефект върху другите 5-НТ рецепторни субтипове (5-НТ</w:t>
      </w:r>
      <w:r w:rsidRPr="00431283">
        <w:rPr>
          <w:rFonts w:eastAsia="Times New Roman" w:cs="Arial"/>
          <w:color w:val="000000"/>
          <w:vertAlign w:val="subscript"/>
          <w:lang w:eastAsia="bg-BG"/>
        </w:rPr>
        <w:t>2-7</w:t>
      </w:r>
      <w:r w:rsidRPr="00431283">
        <w:rPr>
          <w:rFonts w:eastAsia="Times New Roman" w:cs="Arial"/>
          <w:color w:val="000000"/>
          <w:lang w:eastAsia="bg-BG"/>
        </w:rPr>
        <w:t>)- Съдовите 5-НТ</w:t>
      </w:r>
      <w:r w:rsidRPr="00431283">
        <w:rPr>
          <w:rFonts w:eastAsia="Times New Roman" w:cs="Arial"/>
          <w:color w:val="000000"/>
          <w:vertAlign w:val="subscript"/>
          <w:lang w:eastAsia="bg-BG"/>
        </w:rPr>
        <w:t>1</w:t>
      </w:r>
      <w:r w:rsidRPr="00431283">
        <w:rPr>
          <w:rFonts w:eastAsia="Times New Roman" w:cs="Arial"/>
          <w:color w:val="000000"/>
          <w:lang w:val="en-US"/>
        </w:rPr>
        <w:t xml:space="preserve">D </w:t>
      </w:r>
      <w:r w:rsidRPr="00431283">
        <w:rPr>
          <w:rFonts w:eastAsia="Times New Roman" w:cs="Arial"/>
          <w:color w:val="000000"/>
          <w:lang w:eastAsia="bg-BG"/>
        </w:rPr>
        <w:t>рецептори се намират предимно в мозъчните кръвоносни съдове, като тяхното активиране води до вазоконстрикция.</w:t>
      </w:r>
    </w:p>
    <w:p w14:paraId="3E7BE573" w14:textId="77777777" w:rsidR="00431283" w:rsidRPr="00431283" w:rsidRDefault="00431283" w:rsidP="00431283">
      <w:pPr>
        <w:rPr>
          <w:rFonts w:eastAsia="Times New Roman" w:cs="Arial"/>
          <w:color w:val="000000"/>
          <w:lang w:eastAsia="bg-BG"/>
        </w:rPr>
      </w:pPr>
    </w:p>
    <w:p w14:paraId="038F692B" w14:textId="3E0AC6DD" w:rsidR="007A2185" w:rsidRPr="00431283" w:rsidRDefault="00431283" w:rsidP="00431283">
      <w:pPr>
        <w:rPr>
          <w:rFonts w:cs="Arial"/>
        </w:rPr>
      </w:pPr>
      <w:r w:rsidRPr="00431283">
        <w:rPr>
          <w:rFonts w:eastAsia="Times New Roman" w:cs="Arial"/>
          <w:color w:val="000000"/>
          <w:lang w:eastAsia="bg-BG"/>
        </w:rPr>
        <w:t>При животни суматриптан предизвиква селективна констрикция на артериит</w:t>
      </w:r>
      <w:r w:rsidRPr="00431283">
        <w:rPr>
          <w:rFonts w:eastAsia="Times New Roman" w:cs="Arial"/>
          <w:color w:val="000000"/>
          <w:lang w:val="en-US"/>
        </w:rPr>
        <w:t xml:space="preserve">e </w:t>
      </w:r>
      <w:r w:rsidRPr="00431283">
        <w:rPr>
          <w:rFonts w:eastAsia="Times New Roman" w:cs="Arial"/>
          <w:color w:val="000000"/>
          <w:lang w:eastAsia="bg-BG"/>
        </w:rPr>
        <w:t>от каротидната система, без да променя мозъчния кръвоток. Тази система кръвоснабдява екстра и  интракраниалните тъкани, включително меките мозъчни обвивки. Смята се, че разширенията и/или образуването на оток в тези съдове е в основата на мигренозния пристъп при хората.</w:t>
      </w:r>
    </w:p>
    <w:p w14:paraId="36152471" w14:textId="31372679" w:rsidR="0091385D" w:rsidRPr="00431283" w:rsidRDefault="0091385D" w:rsidP="0091385D">
      <w:pPr>
        <w:rPr>
          <w:rFonts w:cs="Arial"/>
        </w:rPr>
      </w:pPr>
    </w:p>
    <w:p w14:paraId="55BDD902"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Освен това, експериментални данни при животни показват, че суматриптан води до подтискане активността на </w:t>
      </w:r>
      <w:r w:rsidRPr="00431283">
        <w:rPr>
          <w:rFonts w:eastAsia="Times New Roman" w:cs="Arial"/>
          <w:color w:val="000000"/>
          <w:lang w:val="en-US"/>
        </w:rPr>
        <w:t xml:space="preserve">n. </w:t>
      </w:r>
      <w:proofErr w:type="gramStart"/>
      <w:r w:rsidRPr="00431283">
        <w:rPr>
          <w:rFonts w:eastAsia="Times New Roman" w:cs="Arial"/>
          <w:color w:val="000000"/>
          <w:lang w:val="en-US"/>
        </w:rPr>
        <w:t>trigeminus</w:t>
      </w:r>
      <w:proofErr w:type="gramEnd"/>
      <w:r w:rsidRPr="00431283">
        <w:rPr>
          <w:rFonts w:eastAsia="Times New Roman" w:cs="Arial"/>
          <w:color w:val="000000"/>
          <w:lang w:val="en-US"/>
        </w:rPr>
        <w:t xml:space="preserve">. </w:t>
      </w:r>
      <w:r w:rsidRPr="00431283">
        <w:rPr>
          <w:rFonts w:eastAsia="Times New Roman" w:cs="Arial"/>
          <w:color w:val="000000"/>
          <w:lang w:eastAsia="bg-BG"/>
        </w:rPr>
        <w:t xml:space="preserve">Описаните две реакции (краниалната вазоконстрикция и инхибирането на активността на </w:t>
      </w:r>
      <w:r w:rsidRPr="00431283">
        <w:rPr>
          <w:rFonts w:eastAsia="Times New Roman" w:cs="Arial"/>
          <w:color w:val="000000"/>
          <w:lang w:val="en-US"/>
        </w:rPr>
        <w:t xml:space="preserve">n. </w:t>
      </w:r>
      <w:proofErr w:type="gramStart"/>
      <w:r w:rsidRPr="00431283">
        <w:rPr>
          <w:rFonts w:eastAsia="Times New Roman" w:cs="Arial"/>
          <w:color w:val="000000"/>
          <w:lang w:val="en-US"/>
        </w:rPr>
        <w:t>trigeminus</w:t>
      </w:r>
      <w:proofErr w:type="gramEnd"/>
      <w:r w:rsidRPr="00431283">
        <w:rPr>
          <w:rFonts w:eastAsia="Times New Roman" w:cs="Arial"/>
          <w:color w:val="000000"/>
          <w:lang w:val="en-US"/>
        </w:rPr>
        <w:t xml:space="preserve">) </w:t>
      </w:r>
      <w:r w:rsidRPr="00431283">
        <w:rPr>
          <w:rFonts w:eastAsia="Times New Roman" w:cs="Arial"/>
          <w:color w:val="000000"/>
          <w:lang w:eastAsia="bg-BG"/>
        </w:rPr>
        <w:t>определят антимигренозния ефект на суматриптан при хората.</w:t>
      </w:r>
    </w:p>
    <w:p w14:paraId="6053D8AB" w14:textId="77777777" w:rsidR="00431283" w:rsidRPr="00431283" w:rsidRDefault="00431283" w:rsidP="00431283">
      <w:pPr>
        <w:spacing w:line="240" w:lineRule="auto"/>
        <w:rPr>
          <w:rFonts w:eastAsia="Times New Roman" w:cs="Arial"/>
          <w:color w:val="000000"/>
          <w:u w:val="single"/>
          <w:lang w:eastAsia="bg-BG"/>
        </w:rPr>
      </w:pPr>
    </w:p>
    <w:p w14:paraId="6F3B05FA" w14:textId="38D1B685" w:rsidR="00431283" w:rsidRPr="00431283" w:rsidRDefault="00431283" w:rsidP="00431283">
      <w:pPr>
        <w:spacing w:line="240" w:lineRule="auto"/>
        <w:rPr>
          <w:rFonts w:eastAsia="Times New Roman" w:cs="Arial"/>
          <w:lang w:eastAsia="bg-BG"/>
        </w:rPr>
      </w:pPr>
      <w:r w:rsidRPr="00431283">
        <w:rPr>
          <w:rFonts w:eastAsia="Times New Roman" w:cs="Arial"/>
          <w:color w:val="000000"/>
          <w:u w:val="single"/>
          <w:lang w:eastAsia="bg-BG"/>
        </w:rPr>
        <w:t>Фармакодинамични ефекти</w:t>
      </w:r>
    </w:p>
    <w:p w14:paraId="5EF555F6" w14:textId="77777777" w:rsidR="00431283" w:rsidRPr="00431283" w:rsidRDefault="00431283" w:rsidP="00431283">
      <w:pPr>
        <w:spacing w:line="240" w:lineRule="auto"/>
        <w:rPr>
          <w:rFonts w:eastAsia="Times New Roman" w:cs="Arial"/>
          <w:color w:val="000000"/>
          <w:lang w:eastAsia="bg-BG"/>
        </w:rPr>
      </w:pPr>
    </w:p>
    <w:p w14:paraId="4661495F" w14:textId="0BABF57C"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Клиничният ефект настъпва около 30 минути след перорален прием на 100 </w:t>
      </w:r>
      <w:r w:rsidRPr="00431283">
        <w:rPr>
          <w:rFonts w:eastAsia="Times New Roman" w:cs="Arial"/>
          <w:color w:val="000000"/>
          <w:lang w:val="en-US"/>
        </w:rPr>
        <w:t>mg.</w:t>
      </w:r>
    </w:p>
    <w:p w14:paraId="7655DEEF" w14:textId="77777777" w:rsidR="00431283" w:rsidRPr="00431283" w:rsidRDefault="00431283" w:rsidP="00431283">
      <w:pPr>
        <w:spacing w:line="240" w:lineRule="auto"/>
        <w:rPr>
          <w:rFonts w:eastAsia="Times New Roman" w:cs="Arial"/>
          <w:color w:val="000000"/>
          <w:lang w:eastAsia="bg-BG"/>
        </w:rPr>
      </w:pPr>
    </w:p>
    <w:p w14:paraId="1D489D9A" w14:textId="04EF95E3"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Препоръчаната доза за перорален прием на Имигран е 50 </w:t>
      </w:r>
      <w:r w:rsidRPr="00431283">
        <w:rPr>
          <w:rFonts w:eastAsia="Times New Roman" w:cs="Arial"/>
          <w:color w:val="000000"/>
          <w:lang w:val="en-US"/>
        </w:rPr>
        <w:t xml:space="preserve">mg. </w:t>
      </w:r>
      <w:r w:rsidRPr="00431283">
        <w:rPr>
          <w:rFonts w:eastAsia="Times New Roman" w:cs="Arial"/>
          <w:color w:val="000000"/>
          <w:lang w:eastAsia="bg-BG"/>
        </w:rPr>
        <w:t xml:space="preserve">Мигренозните пристъпи се проявени в различна степен и са различни при отделните пациенти. В клинични изпитвания по-голяма ефикасност в сравнение с плацебо, е установена при прием на дози от 25 </w:t>
      </w:r>
      <w:r w:rsidRPr="00431283">
        <w:rPr>
          <w:rFonts w:eastAsia="Times New Roman" w:cs="Arial"/>
          <w:color w:val="000000"/>
          <w:lang w:val="en-US"/>
        </w:rPr>
        <w:t xml:space="preserve">mg </w:t>
      </w:r>
      <w:r w:rsidRPr="00431283">
        <w:rPr>
          <w:rFonts w:eastAsia="Times New Roman" w:cs="Arial"/>
          <w:color w:val="000000"/>
          <w:lang w:eastAsia="bg-BG"/>
        </w:rPr>
        <w:t xml:space="preserve">до 100 </w:t>
      </w:r>
      <w:r w:rsidRPr="00431283">
        <w:rPr>
          <w:rFonts w:eastAsia="Times New Roman" w:cs="Arial"/>
          <w:color w:val="000000"/>
          <w:lang w:val="en-US"/>
        </w:rPr>
        <w:t xml:space="preserve">mg. </w:t>
      </w:r>
      <w:r w:rsidRPr="00431283">
        <w:rPr>
          <w:rFonts w:eastAsia="Times New Roman" w:cs="Arial"/>
          <w:color w:val="000000"/>
          <w:lang w:eastAsia="bg-BG"/>
        </w:rPr>
        <w:t xml:space="preserve">Статистически значимо по-слаба ефикасност е установена за дози от 25 </w:t>
      </w:r>
      <w:r w:rsidRPr="00431283">
        <w:rPr>
          <w:rFonts w:eastAsia="Times New Roman" w:cs="Arial"/>
          <w:color w:val="000000"/>
          <w:lang w:val="en-US"/>
        </w:rPr>
        <w:t xml:space="preserve">mg, </w:t>
      </w:r>
      <w:r w:rsidRPr="00431283">
        <w:rPr>
          <w:rFonts w:eastAsia="Times New Roman" w:cs="Arial"/>
          <w:color w:val="000000"/>
          <w:lang w:eastAsia="bg-BG"/>
        </w:rPr>
        <w:t xml:space="preserve">в сравнение с дози от 50 </w:t>
      </w:r>
      <w:r w:rsidRPr="00431283">
        <w:rPr>
          <w:rFonts w:eastAsia="Times New Roman" w:cs="Arial"/>
          <w:color w:val="000000"/>
          <w:lang w:val="en-US"/>
        </w:rPr>
        <w:t xml:space="preserve">mg </w:t>
      </w:r>
      <w:r w:rsidRPr="00431283">
        <w:rPr>
          <w:rFonts w:eastAsia="Times New Roman" w:cs="Arial"/>
          <w:color w:val="000000"/>
          <w:lang w:eastAsia="bg-BG"/>
        </w:rPr>
        <w:t xml:space="preserve">и 100 </w:t>
      </w:r>
      <w:r w:rsidRPr="00431283">
        <w:rPr>
          <w:rFonts w:eastAsia="Times New Roman" w:cs="Arial"/>
          <w:color w:val="000000"/>
          <w:lang w:val="en-US"/>
        </w:rPr>
        <w:t>mg.</w:t>
      </w:r>
    </w:p>
    <w:p w14:paraId="2735E680" w14:textId="77777777" w:rsidR="00431283" w:rsidRPr="00431283" w:rsidRDefault="00431283" w:rsidP="00431283">
      <w:pPr>
        <w:spacing w:line="240" w:lineRule="auto"/>
        <w:rPr>
          <w:rFonts w:eastAsia="Times New Roman" w:cs="Arial"/>
          <w:color w:val="000000"/>
          <w:lang w:eastAsia="bg-BG"/>
        </w:rPr>
      </w:pPr>
    </w:p>
    <w:p w14:paraId="05D2D97E" w14:textId="57565CE0"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Суматриптан е ефикасен при лечение на мигренозен пристъп, включително и на свързана с менструалния цикъл мигрена.</w:t>
      </w:r>
    </w:p>
    <w:p w14:paraId="642383C0" w14:textId="77777777" w:rsidR="00431283" w:rsidRPr="00431283" w:rsidRDefault="00431283" w:rsidP="00431283">
      <w:pPr>
        <w:spacing w:line="240" w:lineRule="auto"/>
        <w:rPr>
          <w:rFonts w:eastAsia="Times New Roman" w:cs="Arial"/>
          <w:color w:val="000000"/>
          <w:u w:val="single"/>
          <w:lang w:eastAsia="bg-BG"/>
        </w:rPr>
      </w:pPr>
    </w:p>
    <w:p w14:paraId="04EE6143" w14:textId="59D89045" w:rsidR="00431283" w:rsidRPr="00431283" w:rsidRDefault="00431283" w:rsidP="00431283">
      <w:pPr>
        <w:spacing w:line="240" w:lineRule="auto"/>
        <w:rPr>
          <w:rFonts w:eastAsia="Times New Roman" w:cs="Arial"/>
          <w:lang w:eastAsia="bg-BG"/>
        </w:rPr>
      </w:pPr>
      <w:r w:rsidRPr="00431283">
        <w:rPr>
          <w:rFonts w:eastAsia="Times New Roman" w:cs="Arial"/>
          <w:color w:val="000000"/>
          <w:u w:val="single"/>
          <w:lang w:eastAsia="bg-BG"/>
        </w:rPr>
        <w:t>Клинична ефикасност и безопасност</w:t>
      </w:r>
    </w:p>
    <w:p w14:paraId="3F6BC2E0" w14:textId="77777777" w:rsidR="00431283" w:rsidRPr="00431283" w:rsidRDefault="00431283" w:rsidP="00431283">
      <w:pPr>
        <w:spacing w:line="240" w:lineRule="auto"/>
        <w:rPr>
          <w:rFonts w:eastAsia="Times New Roman" w:cs="Arial"/>
          <w:i/>
          <w:iCs/>
          <w:color w:val="000000"/>
          <w:lang w:eastAsia="bg-BG"/>
        </w:rPr>
      </w:pPr>
    </w:p>
    <w:p w14:paraId="4815FA71" w14:textId="4182510A"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Педиатрична популация</w:t>
      </w:r>
    </w:p>
    <w:p w14:paraId="2BCBBFFB" w14:textId="0E35963F" w:rsidR="00431283" w:rsidRPr="00431283" w:rsidRDefault="00431283" w:rsidP="00431283">
      <w:pPr>
        <w:rPr>
          <w:rFonts w:cs="Arial"/>
        </w:rPr>
      </w:pPr>
      <w:r w:rsidRPr="00431283">
        <w:rPr>
          <w:rFonts w:eastAsia="Times New Roman" w:cs="Arial"/>
          <w:color w:val="000000"/>
          <w:lang w:eastAsia="bg-BG"/>
        </w:rPr>
        <w:t>В няколко плацебо контролирани клинични изпитвания е проучвана ефикасността и безопасността на перорално приложен суматриптан при над 650 деца и подрастващи с мигрена, на възраст от 10 до 17 години. В тези изпитвания не е установена статистически значима разлика в облекчаването на главоболието на 2-рия час, между плацебо и каквато и да е доза суматриптан. Профилът на нежеланите реакции на перорално приложения суматриптан при деца и подрастващи на възраст от 10 до 17 години е подобен на този при възрастни пациенти.</w:t>
      </w:r>
    </w:p>
    <w:p w14:paraId="49FD6A5E" w14:textId="77777777" w:rsidR="00431283" w:rsidRPr="0091385D" w:rsidRDefault="00431283" w:rsidP="0091385D"/>
    <w:p w14:paraId="5031193D" w14:textId="408B9A83" w:rsidR="0091385D" w:rsidRDefault="002C50EE" w:rsidP="007A2185">
      <w:pPr>
        <w:pStyle w:val="Heading2"/>
      </w:pPr>
      <w:r>
        <w:lastRenderedPageBreak/>
        <w:t>5.2. Фармакокинетични свойства</w:t>
      </w:r>
    </w:p>
    <w:p w14:paraId="46B35D05" w14:textId="6A0462F4" w:rsidR="007A2185" w:rsidRDefault="007A2185" w:rsidP="007A2185"/>
    <w:p w14:paraId="0203167F"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Фармакокинетичните свойства на суматриптан не се променят значително по време на пристъпите.</w:t>
      </w:r>
    </w:p>
    <w:p w14:paraId="6573F4B3" w14:textId="77777777" w:rsidR="00431283" w:rsidRPr="00431283" w:rsidRDefault="00431283" w:rsidP="00431283">
      <w:pPr>
        <w:spacing w:line="240" w:lineRule="auto"/>
        <w:rPr>
          <w:rFonts w:eastAsia="Times New Roman" w:cs="Arial"/>
          <w:b/>
          <w:bCs/>
          <w:color w:val="000000"/>
          <w:lang w:eastAsia="bg-BG"/>
        </w:rPr>
      </w:pPr>
    </w:p>
    <w:p w14:paraId="4B82C60D" w14:textId="14C50595" w:rsidR="00431283" w:rsidRPr="00431283" w:rsidRDefault="00431283" w:rsidP="00431283">
      <w:pPr>
        <w:pStyle w:val="Heading3"/>
        <w:rPr>
          <w:rFonts w:eastAsia="Times New Roman"/>
          <w:b/>
          <w:u w:val="single"/>
          <w:lang w:eastAsia="bg-BG"/>
        </w:rPr>
      </w:pPr>
      <w:r w:rsidRPr="00431283">
        <w:rPr>
          <w:rFonts w:eastAsia="Times New Roman"/>
          <w:b/>
          <w:u w:val="single"/>
          <w:lang w:eastAsia="bg-BG"/>
        </w:rPr>
        <w:t>Абсорбция</w:t>
      </w:r>
    </w:p>
    <w:p w14:paraId="72F4B83D"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Суматриптан се резорбира бързо след перорален прием. 70 % от върховите плазмени концентрации се достигат за 45 минути. След прием на доза от 100 </w:t>
      </w:r>
      <w:r w:rsidRPr="00431283">
        <w:rPr>
          <w:rFonts w:eastAsia="Times New Roman" w:cs="Arial"/>
          <w:color w:val="000000"/>
          <w:lang w:val="en-US"/>
        </w:rPr>
        <w:t xml:space="preserve">mg, </w:t>
      </w:r>
      <w:r w:rsidRPr="00431283">
        <w:rPr>
          <w:rFonts w:eastAsia="Times New Roman" w:cs="Arial"/>
          <w:color w:val="000000"/>
          <w:lang w:eastAsia="bg-BG"/>
        </w:rPr>
        <w:t xml:space="preserve">върховата плазмена концентрация е 54 </w:t>
      </w:r>
      <w:r w:rsidRPr="00431283">
        <w:rPr>
          <w:rFonts w:eastAsia="Times New Roman" w:cs="Arial"/>
          <w:color w:val="000000"/>
          <w:lang w:val="en-US"/>
        </w:rPr>
        <w:t>ng/ml.</w:t>
      </w:r>
    </w:p>
    <w:p w14:paraId="307E2A93" w14:textId="77777777" w:rsidR="00431283" w:rsidRPr="00431283" w:rsidRDefault="00431283" w:rsidP="00431283">
      <w:pPr>
        <w:spacing w:line="240" w:lineRule="auto"/>
        <w:rPr>
          <w:rFonts w:eastAsia="Times New Roman" w:cs="Arial"/>
          <w:color w:val="000000"/>
          <w:lang w:eastAsia="bg-BG"/>
        </w:rPr>
      </w:pPr>
    </w:p>
    <w:p w14:paraId="314CF2FF" w14:textId="2C7F737C"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Средната абсолютна перорална бионаличност е 14 %, което се </w:t>
      </w:r>
      <w:bookmarkStart w:id="10" w:name="_GoBack"/>
      <w:bookmarkEnd w:id="10"/>
      <w:r w:rsidRPr="00431283">
        <w:rPr>
          <w:rFonts w:eastAsia="Times New Roman" w:cs="Arial"/>
          <w:color w:val="000000"/>
          <w:lang w:eastAsia="bg-BG"/>
        </w:rPr>
        <w:t>дължи от една страна на прехепатален метаболизъм и от друга на непълната резорбция.</w:t>
      </w:r>
    </w:p>
    <w:p w14:paraId="2E6C88B3" w14:textId="77777777" w:rsidR="00431283" w:rsidRPr="00431283" w:rsidRDefault="00431283" w:rsidP="00431283">
      <w:pPr>
        <w:spacing w:line="240" w:lineRule="auto"/>
        <w:rPr>
          <w:rFonts w:eastAsia="Times New Roman" w:cs="Arial"/>
          <w:b/>
          <w:bCs/>
          <w:color w:val="000000"/>
          <w:lang w:eastAsia="bg-BG"/>
        </w:rPr>
      </w:pPr>
    </w:p>
    <w:p w14:paraId="7012FDC5" w14:textId="7827EAED" w:rsidR="00431283" w:rsidRPr="00431283" w:rsidRDefault="00431283" w:rsidP="00431283">
      <w:pPr>
        <w:pStyle w:val="Heading3"/>
        <w:rPr>
          <w:rFonts w:eastAsia="Times New Roman"/>
          <w:b/>
          <w:u w:val="single"/>
          <w:lang w:eastAsia="bg-BG"/>
        </w:rPr>
      </w:pPr>
      <w:r w:rsidRPr="00431283">
        <w:rPr>
          <w:rFonts w:eastAsia="Times New Roman"/>
          <w:b/>
          <w:u w:val="single"/>
          <w:lang w:eastAsia="bg-BG"/>
        </w:rPr>
        <w:t>Разпределение</w:t>
      </w:r>
    </w:p>
    <w:p w14:paraId="239E664E"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Лекарството се свързва в малка степен с плазмените протеини (14-21 %), като средният общ обем на разпределение е около 170 литра.</w:t>
      </w:r>
    </w:p>
    <w:p w14:paraId="50F8E9A3" w14:textId="77777777" w:rsidR="00431283" w:rsidRPr="00431283" w:rsidRDefault="00431283" w:rsidP="00431283">
      <w:pPr>
        <w:spacing w:line="240" w:lineRule="auto"/>
        <w:rPr>
          <w:rFonts w:eastAsia="Times New Roman" w:cs="Arial"/>
          <w:b/>
          <w:bCs/>
          <w:color w:val="000000"/>
          <w:lang w:eastAsia="bg-BG"/>
        </w:rPr>
      </w:pPr>
    </w:p>
    <w:p w14:paraId="0EC77C01" w14:textId="5440B1FC" w:rsidR="00431283" w:rsidRPr="00431283" w:rsidRDefault="00431283" w:rsidP="00431283">
      <w:pPr>
        <w:pStyle w:val="Heading3"/>
        <w:rPr>
          <w:rFonts w:eastAsia="Times New Roman"/>
          <w:b/>
          <w:u w:val="single"/>
          <w:lang w:eastAsia="bg-BG"/>
        </w:rPr>
      </w:pPr>
      <w:r w:rsidRPr="00431283">
        <w:rPr>
          <w:rFonts w:eastAsia="Times New Roman"/>
          <w:b/>
          <w:u w:val="single"/>
          <w:lang w:eastAsia="bg-BG"/>
        </w:rPr>
        <w:t>Биотрансформация</w:t>
      </w:r>
    </w:p>
    <w:p w14:paraId="15ECF8A6"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Главният метаболит на суматриптан, индолацегатен аналог, се екскретира предимно с урината, където се открива като свободна киселина или като глюкурониран конюгат. Няма установена 5НТ</w:t>
      </w:r>
      <w:r w:rsidRPr="00431283">
        <w:rPr>
          <w:rFonts w:eastAsia="Times New Roman" w:cs="Arial"/>
          <w:color w:val="000000"/>
          <w:vertAlign w:val="subscript"/>
          <w:lang w:eastAsia="bg-BG"/>
        </w:rPr>
        <w:t>1</w:t>
      </w:r>
      <w:r w:rsidRPr="00431283">
        <w:rPr>
          <w:rFonts w:eastAsia="Times New Roman" w:cs="Arial"/>
          <w:color w:val="000000"/>
          <w:lang w:eastAsia="bg-BG"/>
        </w:rPr>
        <w:t xml:space="preserve"> или 5НТ</w:t>
      </w:r>
      <w:r w:rsidRPr="00431283">
        <w:rPr>
          <w:rFonts w:eastAsia="Times New Roman" w:cs="Arial"/>
          <w:color w:val="000000"/>
          <w:vertAlign w:val="subscript"/>
          <w:lang w:eastAsia="bg-BG"/>
        </w:rPr>
        <w:t>2</w:t>
      </w:r>
      <w:r w:rsidRPr="00431283">
        <w:rPr>
          <w:rFonts w:eastAsia="Times New Roman" w:cs="Arial"/>
          <w:color w:val="000000"/>
          <w:lang w:eastAsia="bg-BG"/>
        </w:rPr>
        <w:t xml:space="preserve"> активност. Други метаболити не се установяват.</w:t>
      </w:r>
    </w:p>
    <w:p w14:paraId="6DC907E4" w14:textId="77777777" w:rsidR="00431283" w:rsidRPr="00431283" w:rsidRDefault="00431283" w:rsidP="00431283">
      <w:pPr>
        <w:spacing w:line="240" w:lineRule="auto"/>
        <w:rPr>
          <w:rFonts w:eastAsia="Times New Roman" w:cs="Arial"/>
          <w:b/>
          <w:bCs/>
          <w:color w:val="000000"/>
          <w:lang w:eastAsia="bg-BG"/>
        </w:rPr>
      </w:pPr>
    </w:p>
    <w:p w14:paraId="3F0BBA51" w14:textId="342AECBE" w:rsidR="00431283" w:rsidRPr="00431283" w:rsidRDefault="00431283" w:rsidP="00431283">
      <w:pPr>
        <w:pStyle w:val="Heading3"/>
        <w:rPr>
          <w:rFonts w:eastAsia="Times New Roman"/>
          <w:b/>
          <w:u w:val="single"/>
          <w:lang w:eastAsia="bg-BG"/>
        </w:rPr>
      </w:pPr>
      <w:r w:rsidRPr="00431283">
        <w:rPr>
          <w:rFonts w:eastAsia="Times New Roman"/>
          <w:b/>
          <w:u w:val="single"/>
          <w:lang w:eastAsia="bg-BG"/>
        </w:rPr>
        <w:t>Елиминиране</w:t>
      </w:r>
    </w:p>
    <w:p w14:paraId="3FF7903D"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Елиминационният полуживот е приблизително два часа. Средните общи стойности на клирънс на продукта от плазмата са приблизително 1160 </w:t>
      </w:r>
      <w:r w:rsidRPr="00431283">
        <w:rPr>
          <w:rFonts w:eastAsia="Times New Roman" w:cs="Arial"/>
          <w:color w:val="000000"/>
          <w:lang w:val="en-US"/>
        </w:rPr>
        <w:t xml:space="preserve">ml/min, </w:t>
      </w:r>
      <w:r w:rsidRPr="00431283">
        <w:rPr>
          <w:rFonts w:eastAsia="Times New Roman" w:cs="Arial"/>
          <w:color w:val="000000"/>
          <w:lang w:eastAsia="bg-BG"/>
        </w:rPr>
        <w:t xml:space="preserve">като стойностите на бъбречен клирънс са около 260 </w:t>
      </w:r>
      <w:r w:rsidRPr="00431283">
        <w:rPr>
          <w:rFonts w:eastAsia="Times New Roman" w:cs="Arial"/>
          <w:color w:val="000000"/>
          <w:lang w:val="en-US"/>
        </w:rPr>
        <w:t>ml/min.</w:t>
      </w:r>
    </w:p>
    <w:p w14:paraId="25489DD8" w14:textId="34BF9103" w:rsidR="00431283" w:rsidRPr="00431283" w:rsidRDefault="00431283" w:rsidP="00431283">
      <w:pPr>
        <w:spacing w:line="240" w:lineRule="auto"/>
        <w:rPr>
          <w:rFonts w:eastAsia="Times New Roman" w:cs="Arial"/>
          <w:lang w:eastAsia="bg-BG"/>
        </w:rPr>
      </w:pPr>
    </w:p>
    <w:p w14:paraId="45551830" w14:textId="6DDC3A90" w:rsidR="007A2185" w:rsidRPr="00431283" w:rsidRDefault="00431283" w:rsidP="00431283">
      <w:pPr>
        <w:rPr>
          <w:rFonts w:cs="Arial"/>
        </w:rPr>
      </w:pPr>
      <w:r w:rsidRPr="00431283">
        <w:rPr>
          <w:rFonts w:eastAsia="Times New Roman" w:cs="Arial"/>
          <w:color w:val="000000"/>
          <w:lang w:eastAsia="bg-BG"/>
        </w:rPr>
        <w:t>Екстрареналният клирънс е около 80 % от общия. Суматриптан се елиминира предимно чрез окисление, с участието на моноаминоксидаза А.</w:t>
      </w:r>
    </w:p>
    <w:p w14:paraId="4EE1BB0B" w14:textId="73340AA9" w:rsidR="0091385D" w:rsidRPr="00431283" w:rsidRDefault="0091385D" w:rsidP="0091385D">
      <w:pPr>
        <w:rPr>
          <w:rFonts w:cs="Arial"/>
        </w:rPr>
      </w:pPr>
    </w:p>
    <w:p w14:paraId="3C793426" w14:textId="77777777"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Специални популации пациенти</w:t>
      </w:r>
    </w:p>
    <w:p w14:paraId="10D260D0" w14:textId="77777777" w:rsidR="00431283" w:rsidRPr="00431283" w:rsidRDefault="00431283" w:rsidP="00431283">
      <w:pPr>
        <w:spacing w:line="240" w:lineRule="auto"/>
        <w:rPr>
          <w:rFonts w:eastAsia="Times New Roman" w:cs="Arial"/>
          <w:lang w:eastAsia="bg-BG"/>
        </w:rPr>
      </w:pPr>
      <w:r w:rsidRPr="00431283">
        <w:rPr>
          <w:rFonts w:eastAsia="Times New Roman" w:cs="Arial"/>
          <w:i/>
          <w:iCs/>
          <w:color w:val="000000"/>
          <w:lang w:eastAsia="bg-BG"/>
        </w:rPr>
        <w:t>Чернодробно увреждане</w:t>
      </w:r>
    </w:p>
    <w:p w14:paraId="2E89FD9E" w14:textId="71D8B838" w:rsidR="00431283" w:rsidRPr="00431283" w:rsidRDefault="00431283" w:rsidP="00431283">
      <w:pPr>
        <w:rPr>
          <w:rFonts w:cs="Arial"/>
        </w:rPr>
      </w:pPr>
      <w:r w:rsidRPr="00431283">
        <w:rPr>
          <w:rFonts w:eastAsia="Times New Roman" w:cs="Arial"/>
          <w:color w:val="000000"/>
          <w:lang w:eastAsia="bg-BG"/>
        </w:rPr>
        <w:t>След перорално приложение, пре-системният клирънс е намален при пациенти с чернодробно увреждане, което води до повишени плазмени нива на суматриптан (вж. точка 4.4).</w:t>
      </w:r>
    </w:p>
    <w:p w14:paraId="0C13590C" w14:textId="77777777" w:rsidR="00431283" w:rsidRPr="0091385D" w:rsidRDefault="00431283"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721FECC2" w14:textId="77777777"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Канцерогенност, мутагенност</w:t>
      </w:r>
    </w:p>
    <w:p w14:paraId="4DCAB966"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При изследвания на суматриптан при условия </w:t>
      </w:r>
      <w:r w:rsidRPr="00431283">
        <w:rPr>
          <w:rFonts w:eastAsia="Times New Roman" w:cs="Arial"/>
          <w:i/>
          <w:iCs/>
          <w:color w:val="000000"/>
          <w:lang w:val="en-US"/>
        </w:rPr>
        <w:t>in vitro</w:t>
      </w:r>
      <w:r w:rsidRPr="00431283">
        <w:rPr>
          <w:rFonts w:eastAsia="Times New Roman" w:cs="Arial"/>
          <w:color w:val="000000"/>
          <w:lang w:val="en-US"/>
        </w:rPr>
        <w:t xml:space="preserve"> </w:t>
      </w:r>
      <w:r w:rsidRPr="00431283">
        <w:rPr>
          <w:rFonts w:eastAsia="Times New Roman" w:cs="Arial"/>
          <w:color w:val="000000"/>
          <w:lang w:eastAsia="bg-BG"/>
        </w:rPr>
        <w:t>и при животни не се установява канцерогенност и генотоксичност.</w:t>
      </w:r>
    </w:p>
    <w:p w14:paraId="7952AAFE" w14:textId="77777777" w:rsidR="00431283" w:rsidRPr="00431283" w:rsidRDefault="00431283" w:rsidP="00431283">
      <w:pPr>
        <w:spacing w:line="240" w:lineRule="auto"/>
        <w:rPr>
          <w:rFonts w:eastAsia="Times New Roman" w:cs="Arial"/>
          <w:b/>
          <w:bCs/>
          <w:color w:val="000000"/>
          <w:lang w:eastAsia="bg-BG"/>
        </w:rPr>
      </w:pPr>
    </w:p>
    <w:p w14:paraId="75375FAF" w14:textId="1D55A2C9"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Репродуктивна токсичност</w:t>
      </w:r>
    </w:p>
    <w:p w14:paraId="685EB069"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 xml:space="preserve">При едно изследване на влиянието върху фертилитета при плъхове, се установява понижаване на оплодителните способности, като това се описва при перорално приложение на суматриптан в дози, при които се достига плазмена концентрация 200 пъти по-висока, от тази при човека след перорален прием на 100 </w:t>
      </w:r>
      <w:r w:rsidRPr="00431283">
        <w:rPr>
          <w:rFonts w:eastAsia="Times New Roman" w:cs="Arial"/>
          <w:color w:val="000000"/>
          <w:lang w:val="en-US"/>
        </w:rPr>
        <w:t>mg.</w:t>
      </w:r>
    </w:p>
    <w:p w14:paraId="7D861EB9" w14:textId="77777777" w:rsidR="00431283" w:rsidRPr="00431283" w:rsidRDefault="00431283" w:rsidP="00431283">
      <w:pPr>
        <w:spacing w:line="240" w:lineRule="auto"/>
        <w:rPr>
          <w:rFonts w:eastAsia="Times New Roman" w:cs="Arial"/>
          <w:color w:val="000000"/>
          <w:lang w:eastAsia="bg-BG"/>
        </w:rPr>
      </w:pPr>
    </w:p>
    <w:p w14:paraId="13A2A575" w14:textId="3A44D402"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lastRenderedPageBreak/>
        <w:t>Тези ефекти не се установяват при подкожно приложение на дози, които водят до максимални плазмени концентрации 150 пъти по-високи от установените при човека след перорален прием.</w:t>
      </w:r>
    </w:p>
    <w:p w14:paraId="494D6C69" w14:textId="77777777" w:rsidR="00431283" w:rsidRPr="00431283" w:rsidRDefault="00431283" w:rsidP="00431283">
      <w:pPr>
        <w:spacing w:line="240" w:lineRule="auto"/>
        <w:rPr>
          <w:rFonts w:eastAsia="Times New Roman" w:cs="Arial"/>
          <w:b/>
          <w:bCs/>
          <w:color w:val="000000"/>
          <w:lang w:eastAsia="bg-BG"/>
        </w:rPr>
      </w:pPr>
    </w:p>
    <w:p w14:paraId="61B22FE6" w14:textId="58EE4EAF" w:rsidR="00431283" w:rsidRPr="00431283" w:rsidRDefault="00431283" w:rsidP="00431283">
      <w:pPr>
        <w:spacing w:line="240" w:lineRule="auto"/>
        <w:rPr>
          <w:rFonts w:eastAsia="Times New Roman" w:cs="Arial"/>
          <w:lang w:eastAsia="bg-BG"/>
        </w:rPr>
      </w:pPr>
      <w:r w:rsidRPr="00431283">
        <w:rPr>
          <w:rFonts w:eastAsia="Times New Roman" w:cs="Arial"/>
          <w:b/>
          <w:bCs/>
          <w:color w:val="000000"/>
          <w:lang w:eastAsia="bg-BG"/>
        </w:rPr>
        <w:t>Бременност и кърмене</w:t>
      </w:r>
    </w:p>
    <w:p w14:paraId="13A7B62A" w14:textId="0BE485D1" w:rsidR="007A2185" w:rsidRPr="00431283" w:rsidRDefault="00431283" w:rsidP="00431283">
      <w:pPr>
        <w:rPr>
          <w:rFonts w:cs="Arial"/>
        </w:rPr>
      </w:pPr>
      <w:r w:rsidRPr="00431283">
        <w:rPr>
          <w:rFonts w:eastAsia="Times New Roman" w:cs="Arial"/>
          <w:color w:val="000000"/>
          <w:lang w:eastAsia="bg-BG"/>
        </w:rPr>
        <w:t>Не са наблюдавани тератогенни ефекти при плъхове и зайци, и суматриптан не е имал ефект върху постнаталното развитие при плъхове. При приложение при бременни зайци през целия период на органогенеза, суматриптан понякога е водил до ембрионален леталитет в дози, които са били достатъчно високи, за да предизвикат токсичност за майката.</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07B9105A" w14:textId="77777777" w:rsidR="00431283" w:rsidRPr="00431283" w:rsidRDefault="00431283" w:rsidP="00431283">
      <w:pPr>
        <w:spacing w:line="240" w:lineRule="auto"/>
        <w:rPr>
          <w:rFonts w:eastAsia="Times New Roman" w:cs="Arial"/>
          <w:lang w:val="en-US" w:eastAsia="bg-BG"/>
        </w:rPr>
      </w:pPr>
      <w:r w:rsidRPr="00431283">
        <w:rPr>
          <w:rFonts w:eastAsia="Times New Roman" w:cs="Arial"/>
          <w:color w:val="000000"/>
          <w:lang w:val="en-US"/>
        </w:rPr>
        <w:t>GlaxoSmithKline Trading Services Limited</w:t>
      </w:r>
    </w:p>
    <w:p w14:paraId="61B50AA9" w14:textId="77777777" w:rsidR="00431283" w:rsidRPr="00431283" w:rsidRDefault="00431283" w:rsidP="00431283">
      <w:pPr>
        <w:spacing w:line="240" w:lineRule="auto"/>
        <w:rPr>
          <w:rFonts w:eastAsia="Times New Roman" w:cs="Arial"/>
          <w:lang w:val="en-US" w:eastAsia="bg-BG"/>
        </w:rPr>
      </w:pPr>
      <w:r w:rsidRPr="00431283">
        <w:rPr>
          <w:rFonts w:eastAsia="Times New Roman" w:cs="Arial"/>
          <w:color w:val="000000"/>
          <w:lang w:val="en-US"/>
        </w:rPr>
        <w:t xml:space="preserve">12 </w:t>
      </w:r>
      <w:proofErr w:type="spellStart"/>
      <w:r w:rsidRPr="00431283">
        <w:rPr>
          <w:rFonts w:eastAsia="Times New Roman" w:cs="Arial"/>
          <w:color w:val="000000"/>
          <w:lang w:val="en-US"/>
        </w:rPr>
        <w:t>Riverwalk</w:t>
      </w:r>
      <w:proofErr w:type="spellEnd"/>
      <w:r w:rsidRPr="00431283">
        <w:rPr>
          <w:rFonts w:eastAsia="Times New Roman" w:cs="Arial"/>
          <w:color w:val="000000"/>
          <w:lang w:val="en-US"/>
        </w:rPr>
        <w:t>,</w:t>
      </w:r>
    </w:p>
    <w:p w14:paraId="7966D78C" w14:textId="77777777" w:rsidR="00431283" w:rsidRPr="00431283" w:rsidRDefault="00431283" w:rsidP="00431283">
      <w:pPr>
        <w:spacing w:line="240" w:lineRule="auto"/>
        <w:rPr>
          <w:rFonts w:eastAsia="Times New Roman" w:cs="Arial"/>
          <w:lang w:val="en-US" w:eastAsia="bg-BG"/>
        </w:rPr>
      </w:pPr>
      <w:proofErr w:type="spellStart"/>
      <w:r w:rsidRPr="00431283">
        <w:rPr>
          <w:rFonts w:eastAsia="Times New Roman" w:cs="Arial"/>
          <w:color w:val="000000"/>
          <w:lang w:val="en-US"/>
        </w:rPr>
        <w:t>Citywest</w:t>
      </w:r>
      <w:proofErr w:type="spellEnd"/>
      <w:r w:rsidRPr="00431283">
        <w:rPr>
          <w:rFonts w:eastAsia="Times New Roman" w:cs="Arial"/>
          <w:color w:val="000000"/>
          <w:lang w:val="en-US"/>
        </w:rPr>
        <w:t xml:space="preserve"> Business Campus,</w:t>
      </w:r>
    </w:p>
    <w:p w14:paraId="7968141C" w14:textId="77777777" w:rsidR="00431283" w:rsidRPr="00431283" w:rsidRDefault="00431283" w:rsidP="00431283">
      <w:pPr>
        <w:spacing w:line="240" w:lineRule="auto"/>
        <w:rPr>
          <w:rFonts w:eastAsia="Times New Roman" w:cs="Arial"/>
          <w:lang w:val="en-US" w:eastAsia="bg-BG"/>
        </w:rPr>
      </w:pPr>
      <w:r w:rsidRPr="00431283">
        <w:rPr>
          <w:rFonts w:eastAsia="Times New Roman" w:cs="Arial"/>
          <w:color w:val="000000"/>
          <w:lang w:val="en-US"/>
        </w:rPr>
        <w:t>Dublin 24,</w:t>
      </w:r>
    </w:p>
    <w:p w14:paraId="4F02909F" w14:textId="28D878EC" w:rsidR="007A2185" w:rsidRPr="00431283" w:rsidRDefault="00431283" w:rsidP="00431283">
      <w:pPr>
        <w:rPr>
          <w:rFonts w:cs="Arial"/>
        </w:rPr>
      </w:pPr>
      <w:r w:rsidRPr="00431283">
        <w:rPr>
          <w:rFonts w:eastAsia="Times New Roman" w:cs="Arial"/>
          <w:color w:val="000000"/>
          <w:lang w:eastAsia="bg-BG"/>
        </w:rPr>
        <w:t>Ирландия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0B0D0D4F" w:rsidR="007A2185" w:rsidRPr="00431283" w:rsidRDefault="00431283" w:rsidP="0091385D">
      <w:pPr>
        <w:rPr>
          <w:rFonts w:cs="Arial"/>
        </w:rPr>
      </w:pPr>
      <w:r w:rsidRPr="00431283">
        <w:rPr>
          <w:rFonts w:cs="Arial"/>
        </w:rPr>
        <w:t>№ 9600076</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41EA2E8D" w14:textId="77777777" w:rsidR="00431283" w:rsidRPr="00431283" w:rsidRDefault="00431283" w:rsidP="00431283">
      <w:pPr>
        <w:spacing w:line="240" w:lineRule="auto"/>
        <w:rPr>
          <w:rFonts w:eastAsia="Times New Roman" w:cs="Arial"/>
          <w:lang w:eastAsia="bg-BG"/>
        </w:rPr>
      </w:pPr>
      <w:r w:rsidRPr="00431283">
        <w:rPr>
          <w:rFonts w:eastAsia="Times New Roman" w:cs="Arial"/>
          <w:color w:val="000000"/>
          <w:lang w:eastAsia="bg-BG"/>
        </w:rPr>
        <w:t>Дата на първо разрешаване: 11 май 1992 г.</w:t>
      </w:r>
    </w:p>
    <w:p w14:paraId="6C57D8B6" w14:textId="5008B675" w:rsidR="007A2185" w:rsidRPr="00431283" w:rsidRDefault="00431283" w:rsidP="00431283">
      <w:pPr>
        <w:rPr>
          <w:rFonts w:cs="Arial"/>
        </w:rPr>
      </w:pPr>
      <w:r w:rsidRPr="00431283">
        <w:rPr>
          <w:rFonts w:eastAsia="Times New Roman" w:cs="Arial"/>
          <w:color w:val="000000"/>
          <w:lang w:eastAsia="bg-BG"/>
        </w:rPr>
        <w:t>Дата на последно подновяване: 04 юли 2012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77777777" w:rsidR="007A2185" w:rsidRDefault="007A2185"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31283"/>
    <w:rsid w:val="004A448E"/>
    <w:rsid w:val="004D4D6B"/>
    <w:rsid w:val="004F1CE7"/>
    <w:rsid w:val="004F498A"/>
    <w:rsid w:val="00517A5B"/>
    <w:rsid w:val="00593A00"/>
    <w:rsid w:val="005A66D9"/>
    <w:rsid w:val="005B0F27"/>
    <w:rsid w:val="00605BCA"/>
    <w:rsid w:val="006158A1"/>
    <w:rsid w:val="00617B1F"/>
    <w:rsid w:val="00672487"/>
    <w:rsid w:val="00672600"/>
    <w:rsid w:val="00675B2C"/>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17328</Characters>
  <Application>Microsoft Office Word</Application>
  <DocSecurity>0</DocSecurity>
  <Lines>144</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2023-03-04T02:26:00Z</dcterms:created>
  <dcterms:modified xsi:type="dcterms:W3CDTF">2023-03-04T02:26:00Z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