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68BF385" w:rsidR="007122AD" w:rsidRDefault="00DD466D" w:rsidP="00936AD0">
      <w:pPr>
        <w:pStyle w:val="Heading1"/>
      </w:pPr>
      <w:r>
        <w:t>1.ИМЕ НА ЛЕКАРСТВЕНИЯ ПРОДУКТ</w:t>
      </w:r>
    </w:p>
    <w:p w14:paraId="720A2AE0" w14:textId="0B1BD36E" w:rsidR="005B1671" w:rsidRDefault="005B1671" w:rsidP="005B1671"/>
    <w:p w14:paraId="403CA2ED" w14:textId="77777777" w:rsidR="005B1671" w:rsidRPr="005B1671" w:rsidRDefault="005B1671" w:rsidP="005B1671">
      <w:pPr>
        <w:rPr>
          <w:sz w:val="24"/>
          <w:szCs w:val="24"/>
          <w:lang w:val="ru-RU"/>
        </w:rPr>
      </w:pPr>
      <w:r w:rsidRPr="005B1671">
        <w:rPr>
          <w:lang w:eastAsia="bg-BG"/>
        </w:rPr>
        <w:t>ИМУНАЙН 600</w:t>
      </w:r>
      <w:r w:rsidRPr="005B1671">
        <w:rPr>
          <w:lang w:val="en-US"/>
        </w:rPr>
        <w:t>IU</w:t>
      </w:r>
      <w:r w:rsidRPr="005B1671">
        <w:rPr>
          <w:lang w:val="ru-RU"/>
        </w:rPr>
        <w:t xml:space="preserve"> </w:t>
      </w:r>
      <w:r w:rsidRPr="005B1671">
        <w:rPr>
          <w:lang w:eastAsia="bg-BG"/>
        </w:rPr>
        <w:t>прах и разтворител за инжекционен/инфузионен разтвор</w:t>
      </w:r>
    </w:p>
    <w:p w14:paraId="71432234" w14:textId="77777777" w:rsidR="005B1671" w:rsidRPr="005B1671" w:rsidRDefault="005B1671" w:rsidP="005B1671">
      <w:pPr>
        <w:rPr>
          <w:sz w:val="24"/>
          <w:szCs w:val="24"/>
          <w:lang w:val="en-US"/>
        </w:rPr>
      </w:pPr>
      <w:r w:rsidRPr="005B1671">
        <w:rPr>
          <w:lang w:val="en-US"/>
        </w:rPr>
        <w:t xml:space="preserve">IMMUNINE </w:t>
      </w:r>
      <w:r w:rsidRPr="005B1671">
        <w:rPr>
          <w:lang w:eastAsia="bg-BG"/>
        </w:rPr>
        <w:t xml:space="preserve">600 </w:t>
      </w:r>
      <w:r w:rsidRPr="005B1671">
        <w:rPr>
          <w:lang w:val="en-US"/>
        </w:rPr>
        <w:t>IU powder and solvent for solution for injection/infusion</w:t>
      </w:r>
    </w:p>
    <w:p w14:paraId="458AE6C5" w14:textId="77777777" w:rsidR="005B1671" w:rsidRPr="005B1671" w:rsidRDefault="005B1671" w:rsidP="005B1671"/>
    <w:p w14:paraId="6920A680" w14:textId="3784295D" w:rsidR="00C40420" w:rsidRDefault="00DD466D" w:rsidP="004A448E">
      <w:pPr>
        <w:pStyle w:val="Heading1"/>
      </w:pPr>
      <w:r>
        <w:t>2. КАЧЕСТВЕН И КОЛИЧЕСТВЕН СЪСТАВ</w:t>
      </w:r>
    </w:p>
    <w:p w14:paraId="6433B404" w14:textId="2E8DF87D" w:rsidR="005B1671" w:rsidRDefault="005B1671" w:rsidP="005B1671"/>
    <w:p w14:paraId="6BDB8824"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Лекарствено вещество: човешки коагулационен фактор IX</w:t>
      </w:r>
    </w:p>
    <w:p w14:paraId="1F15FF13" w14:textId="77777777" w:rsidR="005B1671" w:rsidRPr="005B1671" w:rsidRDefault="005B1671" w:rsidP="005B1671">
      <w:pPr>
        <w:spacing w:line="240" w:lineRule="auto"/>
        <w:rPr>
          <w:rFonts w:eastAsia="Times New Roman" w:cs="Arial"/>
          <w:color w:val="000000"/>
          <w:szCs w:val="20"/>
          <w:lang w:eastAsia="bg-BG"/>
        </w:rPr>
      </w:pPr>
    </w:p>
    <w:p w14:paraId="6002BF31" w14:textId="3E74BA25"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Всеки флакон с прах за инжекционен разтвор съдържа номинално 600 </w:t>
      </w:r>
      <w:r w:rsidRPr="005B1671">
        <w:rPr>
          <w:rFonts w:eastAsia="Times New Roman" w:cs="Arial"/>
          <w:color w:val="000000"/>
          <w:szCs w:val="20"/>
          <w:lang w:val="en-US"/>
        </w:rPr>
        <w:t>IU</w:t>
      </w:r>
      <w:r w:rsidRPr="005B1671">
        <w:rPr>
          <w:rFonts w:eastAsia="Times New Roman" w:cs="Arial"/>
          <w:color w:val="000000"/>
          <w:szCs w:val="20"/>
          <w:lang w:val="ru-RU"/>
        </w:rPr>
        <w:t xml:space="preserve"> </w:t>
      </w:r>
      <w:r w:rsidRPr="005B1671">
        <w:rPr>
          <w:rFonts w:eastAsia="Times New Roman" w:cs="Arial"/>
          <w:color w:val="000000"/>
          <w:szCs w:val="20"/>
          <w:lang w:eastAsia="bg-BG"/>
        </w:rPr>
        <w:t>човешки коагулационен фактор IX.</w:t>
      </w:r>
    </w:p>
    <w:p w14:paraId="28F6E109" w14:textId="77777777" w:rsidR="005B1671" w:rsidRPr="005B1671" w:rsidRDefault="005B1671" w:rsidP="005B1671">
      <w:pPr>
        <w:spacing w:line="240" w:lineRule="auto"/>
        <w:rPr>
          <w:rFonts w:eastAsia="Times New Roman" w:cs="Arial"/>
          <w:color w:val="000000"/>
          <w:szCs w:val="20"/>
          <w:lang w:eastAsia="bg-BG"/>
        </w:rPr>
      </w:pPr>
    </w:p>
    <w:p w14:paraId="646DAD37" w14:textId="29E74961"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След реконституиране с 5 </w:t>
      </w:r>
      <w:r w:rsidRPr="005B1671">
        <w:rPr>
          <w:rFonts w:eastAsia="Times New Roman" w:cs="Arial"/>
          <w:color w:val="000000"/>
          <w:szCs w:val="20"/>
          <w:lang w:val="en-US"/>
        </w:rPr>
        <w:t>ml</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стерилизирана вода за инжекции 1 </w:t>
      </w:r>
      <w:r w:rsidRPr="005B1671">
        <w:rPr>
          <w:rFonts w:eastAsia="Times New Roman" w:cs="Arial"/>
          <w:color w:val="000000"/>
          <w:szCs w:val="20"/>
          <w:lang w:val="en-US"/>
        </w:rPr>
        <w:t>ml</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разтвор на ИМУНАИН 600 Ш съдържа приблизително 120 </w:t>
      </w:r>
      <w:r w:rsidRPr="005B1671">
        <w:rPr>
          <w:rFonts w:eastAsia="Times New Roman" w:cs="Arial"/>
          <w:color w:val="000000"/>
          <w:szCs w:val="20"/>
          <w:lang w:val="en-US"/>
        </w:rPr>
        <w:t>IU</w:t>
      </w:r>
      <w:r w:rsidRPr="005B1671">
        <w:rPr>
          <w:rFonts w:eastAsia="Times New Roman" w:cs="Arial"/>
          <w:color w:val="000000"/>
          <w:szCs w:val="20"/>
          <w:lang w:val="ru-RU"/>
        </w:rPr>
        <w:t>/</w:t>
      </w:r>
      <w:r w:rsidRPr="005B1671">
        <w:rPr>
          <w:rFonts w:eastAsia="Times New Roman" w:cs="Arial"/>
          <w:color w:val="000000"/>
          <w:szCs w:val="20"/>
          <w:lang w:val="en-US"/>
        </w:rPr>
        <w:t>ml</w:t>
      </w:r>
      <w:r w:rsidRPr="005B1671">
        <w:rPr>
          <w:rFonts w:eastAsia="Times New Roman" w:cs="Arial"/>
          <w:color w:val="000000"/>
          <w:szCs w:val="20"/>
          <w:lang w:val="ru-RU"/>
        </w:rPr>
        <w:t xml:space="preserve"> </w:t>
      </w:r>
      <w:r w:rsidRPr="005B1671">
        <w:rPr>
          <w:rFonts w:eastAsia="Times New Roman" w:cs="Arial"/>
          <w:color w:val="000000"/>
          <w:szCs w:val="20"/>
          <w:lang w:eastAsia="bg-BG"/>
        </w:rPr>
        <w:t>човешки коагулационен фактор IX.</w:t>
      </w:r>
    </w:p>
    <w:p w14:paraId="5618A6DB" w14:textId="77777777" w:rsidR="005B1671" w:rsidRPr="005B1671" w:rsidRDefault="005B1671" w:rsidP="005B1671">
      <w:pPr>
        <w:spacing w:line="240" w:lineRule="auto"/>
        <w:rPr>
          <w:rFonts w:eastAsia="Times New Roman" w:cs="Arial"/>
          <w:color w:val="000000"/>
          <w:szCs w:val="20"/>
          <w:lang w:eastAsia="bg-BG"/>
        </w:rPr>
      </w:pPr>
    </w:p>
    <w:p w14:paraId="5E9AFED4" w14:textId="2223E519"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Активността на фактор IX </w:t>
      </w:r>
      <w:r w:rsidRPr="005B1671">
        <w:rPr>
          <w:rFonts w:eastAsia="Times New Roman" w:cs="Arial"/>
          <w:color w:val="000000"/>
          <w:szCs w:val="20"/>
          <w:lang w:val="ru-RU"/>
        </w:rPr>
        <w:t>(</w:t>
      </w:r>
      <w:r w:rsidRPr="005B1671">
        <w:rPr>
          <w:rFonts w:eastAsia="Times New Roman" w:cs="Arial"/>
          <w:color w:val="000000"/>
          <w:szCs w:val="20"/>
          <w:lang w:val="en-US"/>
        </w:rPr>
        <w:t>IU</w:t>
      </w:r>
      <w:r w:rsidRPr="005B1671">
        <w:rPr>
          <w:rFonts w:eastAsia="Times New Roman" w:cs="Arial"/>
          <w:color w:val="000000"/>
          <w:szCs w:val="20"/>
          <w:lang w:val="ru-RU"/>
        </w:rPr>
        <w:t xml:space="preserve">) </w:t>
      </w:r>
      <w:r w:rsidRPr="005B1671">
        <w:rPr>
          <w:rFonts w:eastAsia="Times New Roman" w:cs="Arial"/>
          <w:color w:val="000000"/>
          <w:szCs w:val="20"/>
          <w:lang w:eastAsia="bg-BG"/>
        </w:rPr>
        <w:t>е определена по Европейска фармакопея чрез едностьпков коагулационен метод.</w:t>
      </w:r>
    </w:p>
    <w:p w14:paraId="66B8BE57" w14:textId="77777777" w:rsidR="005B1671" w:rsidRPr="005B1671" w:rsidRDefault="005B1671" w:rsidP="005B1671">
      <w:pPr>
        <w:spacing w:line="240" w:lineRule="auto"/>
        <w:rPr>
          <w:rFonts w:eastAsia="Times New Roman" w:cs="Arial"/>
          <w:color w:val="000000"/>
          <w:szCs w:val="20"/>
          <w:lang w:eastAsia="bg-BG"/>
        </w:rPr>
      </w:pPr>
    </w:p>
    <w:p w14:paraId="7B2F01C6" w14:textId="0AC5F0EF"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Произведен от плазмата на човешки донори.</w:t>
      </w:r>
    </w:p>
    <w:p w14:paraId="194563AF" w14:textId="77777777" w:rsidR="005B1671" w:rsidRPr="005B1671" w:rsidRDefault="005B1671" w:rsidP="005B1671">
      <w:pPr>
        <w:spacing w:line="240" w:lineRule="auto"/>
        <w:rPr>
          <w:rFonts w:eastAsia="Times New Roman" w:cs="Arial"/>
          <w:color w:val="000000"/>
          <w:szCs w:val="20"/>
          <w:lang w:eastAsia="bg-BG"/>
        </w:rPr>
      </w:pPr>
    </w:p>
    <w:p w14:paraId="5564054F" w14:textId="586AEE50"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Специфичната активност на ИМУНАЙН е не по-малко от 50 </w:t>
      </w:r>
      <w:r w:rsidRPr="005B1671">
        <w:rPr>
          <w:rFonts w:eastAsia="Times New Roman" w:cs="Arial"/>
          <w:color w:val="000000"/>
          <w:szCs w:val="20"/>
          <w:lang w:val="en-US"/>
        </w:rPr>
        <w:t>IU</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фактор </w:t>
      </w:r>
      <w:r w:rsidRPr="005B1671">
        <w:rPr>
          <w:rFonts w:eastAsia="Times New Roman" w:cs="Arial"/>
          <w:color w:val="000000"/>
          <w:szCs w:val="20"/>
          <w:lang w:val="en-US"/>
        </w:rPr>
        <w:t>IX</w:t>
      </w:r>
      <w:r w:rsidRPr="005B1671">
        <w:rPr>
          <w:rFonts w:eastAsia="Times New Roman" w:cs="Arial"/>
          <w:color w:val="000000"/>
          <w:szCs w:val="20"/>
          <w:lang w:val="ru-RU"/>
        </w:rPr>
        <w:t>/</w:t>
      </w:r>
      <w:r w:rsidRPr="005B1671">
        <w:rPr>
          <w:rFonts w:eastAsia="Times New Roman" w:cs="Arial"/>
          <w:color w:val="000000"/>
          <w:szCs w:val="20"/>
          <w:lang w:val="en-US"/>
        </w:rPr>
        <w:t>mg</w:t>
      </w:r>
      <w:r w:rsidRPr="005B1671">
        <w:rPr>
          <w:rFonts w:eastAsia="Times New Roman" w:cs="Arial"/>
          <w:color w:val="000000"/>
          <w:szCs w:val="20"/>
          <w:lang w:val="ru-RU"/>
        </w:rPr>
        <w:t xml:space="preserve"> </w:t>
      </w:r>
      <w:r w:rsidRPr="005B1671">
        <w:rPr>
          <w:rFonts w:eastAsia="Times New Roman" w:cs="Arial"/>
          <w:color w:val="000000"/>
          <w:szCs w:val="20"/>
          <w:lang w:eastAsia="bg-BG"/>
        </w:rPr>
        <w:t>протеин.</w:t>
      </w:r>
    </w:p>
    <w:p w14:paraId="2DFB3802" w14:textId="77777777" w:rsidR="005B1671" w:rsidRPr="005B1671" w:rsidRDefault="005B1671" w:rsidP="005B1671">
      <w:pPr>
        <w:rPr>
          <w:rFonts w:eastAsia="Times New Roman" w:cs="Arial"/>
          <w:color w:val="000000"/>
          <w:szCs w:val="20"/>
          <w:lang w:eastAsia="bg-BG"/>
        </w:rPr>
      </w:pPr>
    </w:p>
    <w:p w14:paraId="178290A1" w14:textId="160DE447" w:rsidR="005B1671" w:rsidRPr="005B1671" w:rsidRDefault="005B1671" w:rsidP="005B1671">
      <w:pPr>
        <w:rPr>
          <w:rFonts w:cs="Arial"/>
          <w:sz w:val="24"/>
        </w:rPr>
      </w:pPr>
      <w:r w:rsidRPr="005B1671">
        <w:rPr>
          <w:rFonts w:eastAsia="Times New Roman" w:cs="Arial"/>
          <w:color w:val="000000"/>
          <w:szCs w:val="20"/>
          <w:lang w:eastAsia="bg-BG"/>
        </w:rPr>
        <w:t xml:space="preserve">Помощни вещества с известно действие: натрий (20 </w:t>
      </w:r>
      <w:r w:rsidRPr="005B1671">
        <w:rPr>
          <w:rFonts w:eastAsia="Times New Roman" w:cs="Arial"/>
          <w:color w:val="000000"/>
          <w:szCs w:val="20"/>
          <w:lang w:val="en-US"/>
        </w:rPr>
        <w:t>mg</w:t>
      </w:r>
      <w:r w:rsidRPr="005B1671">
        <w:rPr>
          <w:rFonts w:eastAsia="Times New Roman" w:cs="Arial"/>
          <w:color w:val="000000"/>
          <w:szCs w:val="20"/>
          <w:lang w:val="ru-RU"/>
        </w:rPr>
        <w:t xml:space="preserve"> </w:t>
      </w:r>
      <w:r w:rsidRPr="005B1671">
        <w:rPr>
          <w:rFonts w:eastAsia="Times New Roman" w:cs="Arial"/>
          <w:color w:val="000000"/>
          <w:szCs w:val="20"/>
          <w:lang w:eastAsia="bg-BG"/>
        </w:rPr>
        <w:t>в 1 флакон).</w:t>
      </w:r>
    </w:p>
    <w:p w14:paraId="614984C4" w14:textId="0C6F3E6C" w:rsidR="008A6AF2" w:rsidRDefault="00DD466D" w:rsidP="002C50EE">
      <w:pPr>
        <w:pStyle w:val="Heading1"/>
      </w:pPr>
      <w:r>
        <w:t>3. ЛЕКАРСТВЕНА ФОРМА</w:t>
      </w:r>
    </w:p>
    <w:p w14:paraId="22BA69C3" w14:textId="64781DFA" w:rsidR="005B1671" w:rsidRDefault="005B1671" w:rsidP="005B1671"/>
    <w:p w14:paraId="5A60CB1A" w14:textId="77777777" w:rsidR="005B1671" w:rsidRPr="005B1671" w:rsidRDefault="005B1671" w:rsidP="005B1671">
      <w:pPr>
        <w:rPr>
          <w:sz w:val="24"/>
          <w:szCs w:val="24"/>
        </w:rPr>
      </w:pPr>
      <w:r w:rsidRPr="005B1671">
        <w:rPr>
          <w:lang w:eastAsia="bg-BG"/>
        </w:rPr>
        <w:t>Прах и разтворител за инжекционен или инфузионен разтвор.</w:t>
      </w:r>
    </w:p>
    <w:p w14:paraId="3AF68FD3" w14:textId="77777777" w:rsidR="005B1671" w:rsidRDefault="005B1671" w:rsidP="005B1671">
      <w:pPr>
        <w:rPr>
          <w:lang w:eastAsia="bg-BG"/>
        </w:rPr>
      </w:pPr>
    </w:p>
    <w:p w14:paraId="6F22EC3D" w14:textId="50006A30" w:rsidR="005B1671" w:rsidRPr="005B1671" w:rsidRDefault="005B1671" w:rsidP="005B1671">
      <w:r w:rsidRPr="005B1671">
        <w:rPr>
          <w:lang w:eastAsia="bg-BG"/>
        </w:rPr>
        <w:t>Бял или леко жълтеникав лиофилизиран прах или рохкаво твърдо вещество.</w:t>
      </w:r>
    </w:p>
    <w:p w14:paraId="490FC2C4" w14:textId="0F4A4A75" w:rsidR="002C50EE" w:rsidRDefault="002C50EE" w:rsidP="002C50EE">
      <w:pPr>
        <w:pStyle w:val="Heading1"/>
      </w:pPr>
      <w:r>
        <w:t>4. КЛИНИЧНИ ДАННИ</w:t>
      </w:r>
    </w:p>
    <w:p w14:paraId="74330405" w14:textId="1FF86A12" w:rsidR="007122AD" w:rsidRDefault="002C50EE" w:rsidP="00936AD0">
      <w:pPr>
        <w:pStyle w:val="Heading2"/>
      </w:pPr>
      <w:r>
        <w:t>4.1. Терапевтични показания</w:t>
      </w:r>
    </w:p>
    <w:p w14:paraId="1809F4E8" w14:textId="51051CE1" w:rsidR="005B1671" w:rsidRDefault="005B1671" w:rsidP="005B1671"/>
    <w:p w14:paraId="403D160A" w14:textId="77777777" w:rsidR="005B1671" w:rsidRPr="005B1671" w:rsidRDefault="005B1671" w:rsidP="005B1671">
      <w:pPr>
        <w:rPr>
          <w:sz w:val="24"/>
          <w:szCs w:val="24"/>
        </w:rPr>
      </w:pPr>
      <w:r w:rsidRPr="005B1671">
        <w:rPr>
          <w:lang w:eastAsia="bg-BG"/>
        </w:rPr>
        <w:t>Лечение и профилактика на кръвоизливи при пациенти с хемофилия В (вроден дефицит на фактор IX)</w:t>
      </w:r>
    </w:p>
    <w:p w14:paraId="04FA6372" w14:textId="77777777" w:rsidR="005B1671" w:rsidRDefault="005B1671" w:rsidP="005B1671">
      <w:pPr>
        <w:rPr>
          <w:lang w:eastAsia="bg-BG"/>
        </w:rPr>
      </w:pPr>
    </w:p>
    <w:p w14:paraId="02836497" w14:textId="48F1F2BF" w:rsidR="005B1671" w:rsidRPr="005B1671" w:rsidRDefault="005B1671" w:rsidP="005B1671">
      <w:pPr>
        <w:rPr>
          <w:sz w:val="24"/>
          <w:szCs w:val="24"/>
        </w:rPr>
      </w:pPr>
      <w:r w:rsidRPr="005B1671">
        <w:rPr>
          <w:lang w:eastAsia="bg-BG"/>
        </w:rPr>
        <w:t>ИМУНАЙН е показан за всички възрастови групи, от деца над 6-годишна възраст до възрастни.</w:t>
      </w:r>
    </w:p>
    <w:p w14:paraId="05B69800" w14:textId="77777777" w:rsidR="005B1671" w:rsidRPr="005B1671" w:rsidRDefault="005B1671" w:rsidP="005B1671">
      <w:pPr>
        <w:rPr>
          <w:sz w:val="24"/>
          <w:szCs w:val="24"/>
        </w:rPr>
      </w:pPr>
      <w:r w:rsidRPr="005B1671">
        <w:rPr>
          <w:lang w:eastAsia="bg-BG"/>
        </w:rPr>
        <w:t>Няма достатъчно данни за употребата на ИМУНАЙН при деца под 6-годишна възраст.</w:t>
      </w:r>
    </w:p>
    <w:p w14:paraId="4C31D135" w14:textId="77777777" w:rsidR="005B1671" w:rsidRPr="005B1671" w:rsidRDefault="005B1671" w:rsidP="005B1671"/>
    <w:p w14:paraId="53F5B866" w14:textId="14C5BD58" w:rsidR="007122AD" w:rsidRDefault="002C50EE" w:rsidP="00936AD0">
      <w:pPr>
        <w:pStyle w:val="Heading2"/>
      </w:pPr>
      <w:r>
        <w:t>4.2. Дозировка и начин на приложение</w:t>
      </w:r>
    </w:p>
    <w:p w14:paraId="00FDA3E7" w14:textId="1D857A9C" w:rsidR="005B1671" w:rsidRDefault="005B1671" w:rsidP="005B1671"/>
    <w:p w14:paraId="7ED62D00"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lastRenderedPageBreak/>
        <w:t>Терапията трябва да се провежда под наблюдението на лекар-специалист в лечението на хемофилия.</w:t>
      </w:r>
    </w:p>
    <w:p w14:paraId="5F699135" w14:textId="77777777" w:rsidR="005B1671" w:rsidRPr="005B1671" w:rsidRDefault="005B1671" w:rsidP="005B1671">
      <w:pPr>
        <w:spacing w:line="240" w:lineRule="auto"/>
        <w:rPr>
          <w:rFonts w:eastAsia="Times New Roman" w:cs="Arial"/>
          <w:color w:val="000000"/>
          <w:szCs w:val="20"/>
          <w:u w:val="single"/>
          <w:lang w:eastAsia="bg-BG"/>
        </w:rPr>
      </w:pPr>
    </w:p>
    <w:p w14:paraId="79896842" w14:textId="1056723F" w:rsidR="005B1671" w:rsidRPr="005B1671" w:rsidRDefault="005B1671" w:rsidP="005B1671">
      <w:pPr>
        <w:pStyle w:val="Heading3"/>
        <w:rPr>
          <w:rFonts w:eastAsia="Times New Roman"/>
          <w:sz w:val="28"/>
          <w:u w:val="single"/>
        </w:rPr>
      </w:pPr>
      <w:r w:rsidRPr="005B1671">
        <w:rPr>
          <w:rFonts w:eastAsia="Times New Roman"/>
          <w:u w:val="single"/>
          <w:lang w:eastAsia="bg-BG"/>
        </w:rPr>
        <w:t>Дозировка</w:t>
      </w:r>
    </w:p>
    <w:p w14:paraId="2771B792"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Дозата и продължителността на заместителната терапия зависят от тежестта на фактор IX дефицита, локализацията и степента на кръвоизлива и клиничното състояние на пациента.</w:t>
      </w:r>
    </w:p>
    <w:p w14:paraId="14A6B4BE" w14:textId="77777777" w:rsidR="005B1671" w:rsidRPr="005B1671" w:rsidRDefault="005B1671" w:rsidP="005B1671">
      <w:pPr>
        <w:spacing w:line="240" w:lineRule="auto"/>
        <w:rPr>
          <w:rFonts w:eastAsia="Times New Roman" w:cs="Arial"/>
          <w:color w:val="000000"/>
          <w:szCs w:val="20"/>
          <w:lang w:eastAsia="bg-BG"/>
        </w:rPr>
      </w:pPr>
    </w:p>
    <w:p w14:paraId="509C1ECD" w14:textId="6FF4928A"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Броят единици на фактор IX, които трябва да се приложат, се изразяват в международни единици (</w:t>
      </w:r>
      <w:r w:rsidRPr="005B1671">
        <w:rPr>
          <w:rFonts w:eastAsia="Times New Roman" w:cs="Arial"/>
          <w:color w:val="000000"/>
          <w:szCs w:val="20"/>
          <w:lang w:val="en-US"/>
        </w:rPr>
        <w:t>IU</w:t>
      </w:r>
      <w:r w:rsidRPr="005B1671">
        <w:rPr>
          <w:rFonts w:eastAsia="Times New Roman" w:cs="Arial"/>
          <w:color w:val="000000"/>
          <w:szCs w:val="20"/>
          <w:lang w:eastAsia="bg-BG"/>
        </w:rPr>
        <w:t xml:space="preserve">), които са определени спрямо съвременен стандарт на СЗО за продукти, съдържащи фактори </w:t>
      </w:r>
      <w:r w:rsidRPr="005B1671">
        <w:rPr>
          <w:rFonts w:eastAsia="Times New Roman" w:cs="Arial"/>
          <w:color w:val="000000"/>
          <w:szCs w:val="20"/>
          <w:lang w:val="en-US"/>
        </w:rPr>
        <w:t>IX</w:t>
      </w:r>
    </w:p>
    <w:p w14:paraId="24BD742A" w14:textId="5A709332" w:rsidR="005B1671" w:rsidRPr="005B1671" w:rsidRDefault="005B1671" w:rsidP="005B1671">
      <w:pPr>
        <w:rPr>
          <w:rFonts w:cs="Arial"/>
          <w:sz w:val="24"/>
        </w:rPr>
      </w:pPr>
    </w:p>
    <w:p w14:paraId="57F1B09F"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Активността на фактор IX в плазмата се изразява или в проценти (по отношение на нормалната човешка плазма) или в международни единици Ш (по отношение на Международен стандарт за фактор IX концентрати в плазма).</w:t>
      </w:r>
    </w:p>
    <w:p w14:paraId="390C91DE" w14:textId="77777777" w:rsidR="005B1671" w:rsidRPr="005B1671" w:rsidRDefault="005B1671" w:rsidP="005B1671">
      <w:pPr>
        <w:spacing w:line="240" w:lineRule="auto"/>
        <w:rPr>
          <w:rFonts w:eastAsia="Times New Roman" w:cs="Arial"/>
          <w:color w:val="000000"/>
          <w:szCs w:val="20"/>
          <w:lang w:eastAsia="bg-BG"/>
        </w:rPr>
      </w:pPr>
    </w:p>
    <w:p w14:paraId="6E11B87F" w14:textId="4DEA856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Една международна единица (</w:t>
      </w:r>
      <w:r w:rsidRPr="005B1671">
        <w:rPr>
          <w:rFonts w:eastAsia="Times New Roman" w:cs="Arial"/>
          <w:color w:val="000000"/>
          <w:szCs w:val="20"/>
          <w:lang w:val="en-US"/>
        </w:rPr>
        <w:t>IU</w:t>
      </w:r>
      <w:r w:rsidRPr="005B1671">
        <w:rPr>
          <w:rFonts w:eastAsia="Times New Roman" w:cs="Arial"/>
          <w:color w:val="000000"/>
          <w:szCs w:val="20"/>
          <w:lang w:eastAsia="bg-BG"/>
        </w:rPr>
        <w:t xml:space="preserve">) активност на фактор IX е еквивалентна на количеството на фактор IX в 1 </w:t>
      </w:r>
      <w:r w:rsidRPr="005B1671">
        <w:rPr>
          <w:rFonts w:eastAsia="Times New Roman" w:cs="Arial"/>
          <w:color w:val="000000"/>
          <w:szCs w:val="20"/>
          <w:lang w:val="en-US"/>
        </w:rPr>
        <w:t>ml</w:t>
      </w:r>
      <w:r w:rsidRPr="005B1671">
        <w:rPr>
          <w:rFonts w:eastAsia="Times New Roman" w:cs="Arial"/>
          <w:color w:val="000000"/>
          <w:szCs w:val="20"/>
          <w:lang w:val="ru-RU"/>
        </w:rPr>
        <w:t xml:space="preserve"> </w:t>
      </w:r>
      <w:r w:rsidRPr="005B1671">
        <w:rPr>
          <w:rFonts w:eastAsia="Times New Roman" w:cs="Arial"/>
          <w:color w:val="000000"/>
          <w:szCs w:val="20"/>
          <w:lang w:eastAsia="bg-BG"/>
        </w:rPr>
        <w:t>нормална човешка плазма.</w:t>
      </w:r>
    </w:p>
    <w:p w14:paraId="110C10F1" w14:textId="77777777" w:rsidR="005B1671" w:rsidRPr="005B1671" w:rsidRDefault="005B1671" w:rsidP="005B1671">
      <w:pPr>
        <w:spacing w:line="240" w:lineRule="auto"/>
        <w:rPr>
          <w:rFonts w:eastAsia="Times New Roman" w:cs="Arial"/>
          <w:i/>
          <w:iCs/>
          <w:color w:val="000000"/>
          <w:szCs w:val="20"/>
          <w:u w:val="single"/>
          <w:lang w:eastAsia="bg-BG"/>
        </w:rPr>
      </w:pPr>
    </w:p>
    <w:p w14:paraId="38DFE031" w14:textId="3244B622" w:rsidR="005B1671" w:rsidRPr="005B1671" w:rsidRDefault="005B1671" w:rsidP="005B1671">
      <w:pPr>
        <w:spacing w:line="240" w:lineRule="auto"/>
        <w:rPr>
          <w:rFonts w:eastAsia="Times New Roman" w:cs="Arial"/>
          <w:sz w:val="28"/>
          <w:szCs w:val="24"/>
        </w:rPr>
      </w:pPr>
      <w:r w:rsidRPr="005B1671">
        <w:rPr>
          <w:rFonts w:eastAsia="Times New Roman" w:cs="Arial"/>
          <w:i/>
          <w:iCs/>
          <w:color w:val="000000"/>
          <w:szCs w:val="20"/>
          <w:u w:val="single"/>
          <w:lang w:eastAsia="bg-BG"/>
        </w:rPr>
        <w:t>Лечение при нужда</w:t>
      </w:r>
    </w:p>
    <w:p w14:paraId="7FA87B9B"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Изчисляването на необходимата доза на фактор IX се основава на емпирично установения факт, че 1 </w:t>
      </w:r>
      <w:r w:rsidRPr="005B1671">
        <w:rPr>
          <w:rFonts w:eastAsia="Times New Roman" w:cs="Arial"/>
          <w:color w:val="000000"/>
          <w:szCs w:val="20"/>
          <w:lang w:val="en-US"/>
        </w:rPr>
        <w:t>IU</w:t>
      </w:r>
      <w:r w:rsidRPr="005B1671">
        <w:rPr>
          <w:rFonts w:eastAsia="Times New Roman" w:cs="Arial"/>
          <w:color w:val="000000"/>
          <w:szCs w:val="20"/>
          <w:lang w:eastAsia="bg-BG"/>
        </w:rPr>
        <w:t xml:space="preserve"> фактор IX на килограм телесно тегло повишава активността на фактор IX в плазмата приблизително с 1,1% от нормалната активност при пациенти на възраст 12 и повече години.</w:t>
      </w:r>
    </w:p>
    <w:p w14:paraId="78909340" w14:textId="77777777" w:rsidR="005B1671" w:rsidRPr="005B1671" w:rsidRDefault="005B1671" w:rsidP="005B1671">
      <w:pPr>
        <w:spacing w:line="240" w:lineRule="auto"/>
        <w:rPr>
          <w:rFonts w:eastAsia="Times New Roman" w:cs="Arial"/>
          <w:color w:val="000000"/>
          <w:szCs w:val="20"/>
          <w:lang w:eastAsia="bg-BG"/>
        </w:rPr>
      </w:pPr>
    </w:p>
    <w:p w14:paraId="7D9AF845" w14:textId="16F2B82F"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Необходимата доза се определя като се използва следната формула:</w:t>
      </w:r>
    </w:p>
    <w:p w14:paraId="5E99A78A" w14:textId="77777777" w:rsidR="005B1671" w:rsidRPr="005B1671" w:rsidRDefault="005B1671" w:rsidP="005B1671">
      <w:pPr>
        <w:spacing w:line="240" w:lineRule="auto"/>
        <w:rPr>
          <w:rFonts w:eastAsia="Times New Roman" w:cs="Arial"/>
          <w:b/>
          <w:bCs/>
          <w:color w:val="000000"/>
          <w:szCs w:val="20"/>
          <w:lang w:eastAsia="bg-BG"/>
        </w:rPr>
      </w:pPr>
      <w:bookmarkStart w:id="1" w:name="bookmark0"/>
    </w:p>
    <w:p w14:paraId="3D335EC9" w14:textId="5D6DF695" w:rsidR="005B1671" w:rsidRPr="005B1671" w:rsidRDefault="005B1671" w:rsidP="005B1671">
      <w:pPr>
        <w:spacing w:line="240" w:lineRule="auto"/>
        <w:rPr>
          <w:rFonts w:eastAsia="Times New Roman" w:cs="Arial"/>
          <w:sz w:val="28"/>
          <w:szCs w:val="24"/>
        </w:rPr>
      </w:pPr>
      <w:r w:rsidRPr="005B1671">
        <w:rPr>
          <w:rFonts w:eastAsia="Times New Roman" w:cs="Arial"/>
          <w:b/>
          <w:bCs/>
          <w:color w:val="000000"/>
          <w:szCs w:val="20"/>
          <w:lang w:eastAsia="bg-BG"/>
        </w:rPr>
        <w:t xml:space="preserve">Необходими единици = телесно тегло </w:t>
      </w:r>
      <w:r w:rsidRPr="005B1671">
        <w:rPr>
          <w:rFonts w:eastAsia="Times New Roman" w:cs="Arial"/>
          <w:b/>
          <w:bCs/>
          <w:color w:val="000000"/>
          <w:szCs w:val="20"/>
          <w:lang w:val="ru-RU"/>
        </w:rPr>
        <w:t>(</w:t>
      </w:r>
      <w:r w:rsidRPr="005B1671">
        <w:rPr>
          <w:rFonts w:eastAsia="Times New Roman" w:cs="Arial"/>
          <w:b/>
          <w:bCs/>
          <w:color w:val="000000"/>
          <w:szCs w:val="20"/>
          <w:lang w:val="en-US"/>
        </w:rPr>
        <w:t>kg</w:t>
      </w:r>
      <w:r w:rsidRPr="005B1671">
        <w:rPr>
          <w:rFonts w:eastAsia="Times New Roman" w:cs="Arial"/>
          <w:b/>
          <w:bCs/>
          <w:color w:val="000000"/>
          <w:szCs w:val="20"/>
          <w:lang w:val="ru-RU"/>
        </w:rPr>
        <w:t xml:space="preserve">) </w:t>
      </w:r>
      <w:r w:rsidRPr="005B1671">
        <w:rPr>
          <w:rFonts w:eastAsia="Times New Roman" w:cs="Arial"/>
          <w:b/>
          <w:bCs/>
          <w:color w:val="000000"/>
          <w:szCs w:val="20"/>
          <w:lang w:eastAsia="bg-BG"/>
        </w:rPr>
        <w:t xml:space="preserve">х желано повишаване на фактор IX </w:t>
      </w:r>
      <w:r w:rsidRPr="005B1671">
        <w:rPr>
          <w:rFonts w:eastAsia="Times New Roman" w:cs="Arial"/>
          <w:b/>
          <w:bCs/>
          <w:color w:val="000000"/>
          <w:szCs w:val="20"/>
          <w:lang w:val="ru-RU"/>
        </w:rPr>
        <w:t>(%)(</w:t>
      </w:r>
      <w:r w:rsidRPr="005B1671">
        <w:rPr>
          <w:rFonts w:eastAsia="Times New Roman" w:cs="Arial"/>
          <w:b/>
          <w:bCs/>
          <w:color w:val="000000"/>
          <w:szCs w:val="20"/>
          <w:lang w:val="en-US"/>
        </w:rPr>
        <w:t>IU</w:t>
      </w:r>
      <w:r w:rsidRPr="005B1671">
        <w:rPr>
          <w:rFonts w:eastAsia="Times New Roman" w:cs="Arial"/>
          <w:b/>
          <w:bCs/>
          <w:color w:val="000000"/>
          <w:szCs w:val="20"/>
          <w:lang w:val="ru-RU"/>
        </w:rPr>
        <w:t>/</w:t>
      </w:r>
      <w:r w:rsidRPr="005B1671">
        <w:rPr>
          <w:rFonts w:eastAsia="Times New Roman" w:cs="Arial"/>
          <w:b/>
          <w:bCs/>
          <w:color w:val="000000"/>
          <w:szCs w:val="20"/>
          <w:lang w:val="en-US"/>
        </w:rPr>
        <w:t>dl</w:t>
      </w:r>
      <w:r w:rsidRPr="005B1671">
        <w:rPr>
          <w:rFonts w:eastAsia="Times New Roman" w:cs="Arial"/>
          <w:b/>
          <w:bCs/>
          <w:color w:val="000000"/>
          <w:szCs w:val="20"/>
          <w:lang w:val="ru-RU"/>
        </w:rPr>
        <w:t xml:space="preserve">) </w:t>
      </w:r>
      <w:r w:rsidRPr="005B1671">
        <w:rPr>
          <w:rFonts w:eastAsia="Times New Roman" w:cs="Arial"/>
          <w:b/>
          <w:bCs/>
          <w:color w:val="000000"/>
          <w:szCs w:val="20"/>
          <w:lang w:eastAsia="bg-BG"/>
        </w:rPr>
        <w:t>х 0,9</w:t>
      </w:r>
      <w:bookmarkEnd w:id="1"/>
    </w:p>
    <w:p w14:paraId="43F9C25B" w14:textId="77777777" w:rsidR="005B1671" w:rsidRPr="005B1671" w:rsidRDefault="005B1671" w:rsidP="005B1671">
      <w:pPr>
        <w:spacing w:line="240" w:lineRule="auto"/>
        <w:rPr>
          <w:rFonts w:eastAsia="Times New Roman" w:cs="Arial"/>
          <w:color w:val="000000"/>
          <w:szCs w:val="20"/>
          <w:lang w:eastAsia="bg-BG"/>
        </w:rPr>
      </w:pPr>
    </w:p>
    <w:p w14:paraId="76C81843" w14:textId="47BD4B2C"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Количеството, което трябва да се приложи, както и честотата на приложение, трябва винаги да бъдат съобразени с клиничната ефективност при всеки отделен случай. Обикновено продуктите, съдържащи фактор IX, рядко се налага да се прилагат повече от един път дневно.</w:t>
      </w:r>
    </w:p>
    <w:p w14:paraId="6535F3F4" w14:textId="77777777" w:rsidR="005B1671" w:rsidRPr="005B1671" w:rsidRDefault="005B1671" w:rsidP="005B1671">
      <w:pPr>
        <w:spacing w:line="240" w:lineRule="auto"/>
        <w:rPr>
          <w:rFonts w:eastAsia="Times New Roman" w:cs="Arial"/>
          <w:color w:val="000000"/>
          <w:szCs w:val="20"/>
          <w:lang w:eastAsia="bg-BG"/>
        </w:rPr>
      </w:pPr>
    </w:p>
    <w:p w14:paraId="7557BAF9" w14:textId="5FA2020F"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При следните видове кръвоизливи, активността на фактор IX не трябва да е по-ниска от определените нива на активност (в % от нормата или в </w:t>
      </w:r>
      <w:r w:rsidRPr="005B1671">
        <w:rPr>
          <w:rFonts w:eastAsia="Times New Roman" w:cs="Arial"/>
          <w:color w:val="000000"/>
          <w:szCs w:val="20"/>
          <w:lang w:val="en-US"/>
        </w:rPr>
        <w:t>IU</w:t>
      </w:r>
      <w:r w:rsidRPr="005B1671">
        <w:rPr>
          <w:rFonts w:eastAsia="Times New Roman" w:cs="Arial"/>
          <w:color w:val="000000"/>
          <w:szCs w:val="20"/>
          <w:lang w:val="ru-RU"/>
        </w:rPr>
        <w:t>/</w:t>
      </w:r>
      <w:r w:rsidRPr="005B1671">
        <w:rPr>
          <w:rFonts w:eastAsia="Times New Roman" w:cs="Arial"/>
          <w:color w:val="000000"/>
          <w:szCs w:val="20"/>
          <w:lang w:val="en-US"/>
        </w:rPr>
        <w:t>dl</w:t>
      </w:r>
      <w:r w:rsidRPr="005B1671">
        <w:rPr>
          <w:rFonts w:eastAsia="Times New Roman" w:cs="Arial"/>
          <w:color w:val="000000"/>
          <w:szCs w:val="20"/>
          <w:lang w:val="ru-RU"/>
        </w:rPr>
        <w:t xml:space="preserve">) </w:t>
      </w:r>
      <w:r w:rsidRPr="005B1671">
        <w:rPr>
          <w:rFonts w:eastAsia="Times New Roman" w:cs="Arial"/>
          <w:color w:val="000000"/>
          <w:szCs w:val="20"/>
          <w:lang w:eastAsia="bg-BG"/>
        </w:rPr>
        <w:t>за съответния период.</w:t>
      </w:r>
    </w:p>
    <w:p w14:paraId="70376C4D" w14:textId="77777777" w:rsidR="005B1671" w:rsidRPr="005B1671" w:rsidRDefault="005B1671" w:rsidP="005B1671">
      <w:pPr>
        <w:spacing w:line="240" w:lineRule="auto"/>
        <w:rPr>
          <w:rFonts w:eastAsia="Times New Roman" w:cs="Arial"/>
          <w:color w:val="000000"/>
          <w:szCs w:val="20"/>
          <w:lang w:eastAsia="bg-BG"/>
        </w:rPr>
      </w:pPr>
    </w:p>
    <w:p w14:paraId="41ACCD61" w14:textId="61DCD72B" w:rsidR="005B1671" w:rsidRPr="005B1671" w:rsidRDefault="005B1671" w:rsidP="005B1671">
      <w:pPr>
        <w:spacing w:line="240" w:lineRule="auto"/>
        <w:rPr>
          <w:rFonts w:ascii="Times New Roman" w:eastAsia="Times New Roman" w:hAnsi="Times New Roman" w:cs="Times New Roman"/>
          <w:sz w:val="24"/>
          <w:szCs w:val="24"/>
        </w:rPr>
      </w:pPr>
      <w:r w:rsidRPr="005B1671">
        <w:rPr>
          <w:rFonts w:eastAsia="Times New Roman" w:cs="Arial"/>
          <w:color w:val="000000"/>
          <w:szCs w:val="20"/>
          <w:lang w:eastAsia="bg-BG"/>
        </w:rPr>
        <w:t>Следната таблицата може да бъде използвана като препоръчителна за определяне на дозировката при кръвоизливи и хирургически операции:</w:t>
      </w:r>
    </w:p>
    <w:p w14:paraId="2BCBCB85" w14:textId="26E0AF17" w:rsidR="005B1671" w:rsidRDefault="005B1671" w:rsidP="005B1671"/>
    <w:tbl>
      <w:tblPr>
        <w:tblStyle w:val="TableGrid"/>
        <w:tblW w:w="0" w:type="auto"/>
        <w:tblLook w:val="04A0" w:firstRow="1" w:lastRow="0" w:firstColumn="1" w:lastColumn="0" w:noHBand="0" w:noVBand="1"/>
      </w:tblPr>
      <w:tblGrid>
        <w:gridCol w:w="3139"/>
        <w:gridCol w:w="3095"/>
        <w:gridCol w:w="3116"/>
      </w:tblGrid>
      <w:tr w:rsidR="005B1671" w14:paraId="2CAC4298" w14:textId="77777777" w:rsidTr="005B1671">
        <w:tc>
          <w:tcPr>
            <w:tcW w:w="3192" w:type="dxa"/>
          </w:tcPr>
          <w:p w14:paraId="191E9C69" w14:textId="5CEF3FA3" w:rsidR="005B1671" w:rsidRPr="005B1671" w:rsidRDefault="005B1671" w:rsidP="005B1671">
            <w:pPr>
              <w:rPr>
                <w:rFonts w:cs="Arial"/>
              </w:rPr>
            </w:pPr>
            <w:r w:rsidRPr="005B1671">
              <w:rPr>
                <w:rFonts w:cs="Arial"/>
                <w:b/>
                <w:bCs/>
              </w:rPr>
              <w:t>Вид на кръвоизлива / Тип хирургическа операция</w:t>
            </w:r>
          </w:p>
        </w:tc>
        <w:tc>
          <w:tcPr>
            <w:tcW w:w="3192" w:type="dxa"/>
          </w:tcPr>
          <w:p w14:paraId="4663249D" w14:textId="61692E06" w:rsidR="005B1671" w:rsidRPr="005B1671" w:rsidRDefault="005B1671" w:rsidP="005B1671">
            <w:pPr>
              <w:rPr>
                <w:rFonts w:cs="Arial"/>
              </w:rPr>
            </w:pPr>
            <w:r w:rsidRPr="005B1671">
              <w:rPr>
                <w:rFonts w:cs="Arial"/>
                <w:b/>
                <w:bCs/>
              </w:rPr>
              <w:t>Необходимо ниво на фактор IX (% от нормата)(</w:t>
            </w:r>
            <w:r w:rsidRPr="005B1671">
              <w:rPr>
                <w:rFonts w:cs="Arial"/>
                <w:b/>
                <w:bCs/>
                <w:lang w:val="en-US"/>
              </w:rPr>
              <w:t>IU</w:t>
            </w:r>
            <w:r w:rsidRPr="005B1671">
              <w:rPr>
                <w:rFonts w:cs="Arial"/>
                <w:b/>
                <w:bCs/>
              </w:rPr>
              <w:t>/</w:t>
            </w:r>
            <w:r w:rsidRPr="005B1671">
              <w:rPr>
                <w:rFonts w:cs="Arial"/>
                <w:b/>
                <w:bCs/>
                <w:lang w:val="en-US"/>
              </w:rPr>
              <w:t>dl</w:t>
            </w:r>
            <w:r w:rsidRPr="005B1671">
              <w:rPr>
                <w:rFonts w:cs="Arial"/>
                <w:b/>
                <w:bCs/>
              </w:rPr>
              <w:t>)</w:t>
            </w:r>
          </w:p>
        </w:tc>
        <w:tc>
          <w:tcPr>
            <w:tcW w:w="3192" w:type="dxa"/>
          </w:tcPr>
          <w:p w14:paraId="648064EA" w14:textId="1B1785E8" w:rsidR="005B1671" w:rsidRPr="005B1671" w:rsidRDefault="005B1671" w:rsidP="005B1671">
            <w:pPr>
              <w:rPr>
                <w:rFonts w:cs="Arial"/>
              </w:rPr>
            </w:pPr>
            <w:r w:rsidRPr="005B1671">
              <w:rPr>
                <w:rFonts w:cs="Arial"/>
                <w:b/>
                <w:bCs/>
              </w:rPr>
              <w:t>Честота на приложение (часове) / Продължителност на лечението (дни)</w:t>
            </w:r>
          </w:p>
        </w:tc>
      </w:tr>
      <w:tr w:rsidR="005B1671" w14:paraId="5146FD4F" w14:textId="77777777" w:rsidTr="00972172">
        <w:tc>
          <w:tcPr>
            <w:tcW w:w="9576" w:type="dxa"/>
            <w:gridSpan w:val="3"/>
          </w:tcPr>
          <w:p w14:paraId="6466A7FA" w14:textId="2720D436" w:rsidR="005B1671" w:rsidRPr="005B1671" w:rsidRDefault="005B1671" w:rsidP="005B1671">
            <w:pPr>
              <w:rPr>
                <w:rFonts w:cs="Arial"/>
              </w:rPr>
            </w:pPr>
            <w:r w:rsidRPr="005B1671">
              <w:rPr>
                <w:rFonts w:eastAsia="Times New Roman" w:cs="Arial"/>
                <w:b/>
                <w:bCs/>
                <w:color w:val="000000"/>
                <w:lang w:eastAsia="bg-BG"/>
              </w:rPr>
              <w:t>Кръвоизлив</w:t>
            </w:r>
          </w:p>
        </w:tc>
      </w:tr>
      <w:tr w:rsidR="005B1671" w14:paraId="3DFB44CA" w14:textId="77777777" w:rsidTr="005B1671">
        <w:tc>
          <w:tcPr>
            <w:tcW w:w="3192" w:type="dxa"/>
          </w:tcPr>
          <w:p w14:paraId="2B709139" w14:textId="7EA8BBBB" w:rsidR="005B1671" w:rsidRPr="005B1671" w:rsidRDefault="005B1671" w:rsidP="005B1671">
            <w:pPr>
              <w:rPr>
                <w:rFonts w:cs="Arial"/>
              </w:rPr>
            </w:pPr>
            <w:r w:rsidRPr="005B1671">
              <w:rPr>
                <w:rFonts w:cs="Arial"/>
              </w:rPr>
              <w:t xml:space="preserve">Начална хемартроза, мускулен кръвоизлив или </w:t>
            </w:r>
            <w:r w:rsidRPr="005B1671">
              <w:rPr>
                <w:rFonts w:cs="Arial"/>
              </w:rPr>
              <w:lastRenderedPageBreak/>
              <w:t>кръвоизлив в устната кухина</w:t>
            </w:r>
          </w:p>
        </w:tc>
        <w:tc>
          <w:tcPr>
            <w:tcW w:w="3192" w:type="dxa"/>
          </w:tcPr>
          <w:p w14:paraId="1880032A" w14:textId="2A370193" w:rsidR="005B1671" w:rsidRPr="005B1671" w:rsidRDefault="005B1671" w:rsidP="005B1671">
            <w:pPr>
              <w:rPr>
                <w:rFonts w:cs="Arial"/>
              </w:rPr>
            </w:pPr>
            <w:r w:rsidRPr="005B1671">
              <w:rPr>
                <w:rFonts w:cs="Arial"/>
              </w:rPr>
              <w:lastRenderedPageBreak/>
              <w:t>20-40</w:t>
            </w:r>
          </w:p>
        </w:tc>
        <w:tc>
          <w:tcPr>
            <w:tcW w:w="3192" w:type="dxa"/>
          </w:tcPr>
          <w:p w14:paraId="0206125E" w14:textId="1B443BFF" w:rsidR="005B1671" w:rsidRPr="005B1671" w:rsidRDefault="005B1671" w:rsidP="005B1671">
            <w:pPr>
              <w:rPr>
                <w:rFonts w:cs="Arial"/>
              </w:rPr>
            </w:pPr>
            <w:r w:rsidRPr="005B1671">
              <w:rPr>
                <w:rFonts w:cs="Arial"/>
              </w:rPr>
              <w:t xml:space="preserve">Прилага се на всеки 24 часа. Най-малко в продължение на 1 ден, </w:t>
            </w:r>
            <w:r w:rsidRPr="005B1671">
              <w:rPr>
                <w:rFonts w:cs="Arial"/>
              </w:rPr>
              <w:lastRenderedPageBreak/>
              <w:t>докато кръвоизливът и болката бъдат овладяни или се постигне адекватно заздравяване на раната.</w:t>
            </w:r>
          </w:p>
        </w:tc>
      </w:tr>
      <w:tr w:rsidR="005B1671" w14:paraId="3B391D70" w14:textId="77777777" w:rsidTr="005B1671">
        <w:tc>
          <w:tcPr>
            <w:tcW w:w="3192" w:type="dxa"/>
          </w:tcPr>
          <w:p w14:paraId="6B8ACC67" w14:textId="23BE6614" w:rsidR="005B1671" w:rsidRPr="005B1671" w:rsidRDefault="005B1671" w:rsidP="005B1671">
            <w:pPr>
              <w:rPr>
                <w:rFonts w:cs="Arial"/>
              </w:rPr>
            </w:pPr>
            <w:r w:rsidRPr="005B1671">
              <w:rPr>
                <w:rFonts w:cs="Arial"/>
              </w:rPr>
              <w:lastRenderedPageBreak/>
              <w:t>Голям кръвоизлив в става, мускулен кръвоизлив или хематом</w:t>
            </w:r>
          </w:p>
        </w:tc>
        <w:tc>
          <w:tcPr>
            <w:tcW w:w="3192" w:type="dxa"/>
          </w:tcPr>
          <w:p w14:paraId="46D08627" w14:textId="5A5EC8D5" w:rsidR="005B1671" w:rsidRPr="005B1671" w:rsidRDefault="005B1671" w:rsidP="005B1671">
            <w:pPr>
              <w:rPr>
                <w:rFonts w:cs="Arial"/>
              </w:rPr>
            </w:pPr>
            <w:r w:rsidRPr="005B1671">
              <w:rPr>
                <w:rFonts w:cs="Arial"/>
              </w:rPr>
              <w:t>30-60</w:t>
            </w:r>
          </w:p>
        </w:tc>
        <w:tc>
          <w:tcPr>
            <w:tcW w:w="3192" w:type="dxa"/>
          </w:tcPr>
          <w:p w14:paraId="48B74E06" w14:textId="014B7CBB" w:rsidR="005B1671" w:rsidRPr="005B1671" w:rsidRDefault="005B1671" w:rsidP="005B1671">
            <w:pPr>
              <w:rPr>
                <w:rFonts w:cs="Arial"/>
              </w:rPr>
            </w:pPr>
            <w:r w:rsidRPr="005B1671">
              <w:rPr>
                <w:rFonts w:cs="Arial"/>
              </w:rPr>
              <w:t>Инфузиите се прилагат на всеки 24 часа в продължение на 3-4 или повече дни, докато болката и острите симптоми бъдат овладени.</w:t>
            </w:r>
          </w:p>
        </w:tc>
      </w:tr>
      <w:tr w:rsidR="005B1671" w14:paraId="3D1E9550" w14:textId="77777777" w:rsidTr="005B1671">
        <w:tc>
          <w:tcPr>
            <w:tcW w:w="3192" w:type="dxa"/>
          </w:tcPr>
          <w:p w14:paraId="192B22B0" w14:textId="47FCD43F" w:rsidR="005B1671" w:rsidRPr="005B1671" w:rsidRDefault="005B1671" w:rsidP="005B1671">
            <w:pPr>
              <w:rPr>
                <w:rFonts w:cs="Arial"/>
              </w:rPr>
            </w:pPr>
            <w:r w:rsidRPr="005B1671">
              <w:rPr>
                <w:rFonts w:cs="Arial"/>
              </w:rPr>
              <w:t>Животозастрашаващи кръвоизливи</w:t>
            </w:r>
          </w:p>
        </w:tc>
        <w:tc>
          <w:tcPr>
            <w:tcW w:w="3192" w:type="dxa"/>
          </w:tcPr>
          <w:p w14:paraId="26DE7AFA" w14:textId="49674536" w:rsidR="005B1671" w:rsidRPr="005B1671" w:rsidRDefault="005B1671" w:rsidP="005B1671">
            <w:pPr>
              <w:rPr>
                <w:rFonts w:cs="Arial"/>
              </w:rPr>
            </w:pPr>
            <w:r w:rsidRPr="005B1671">
              <w:rPr>
                <w:rFonts w:cs="Arial"/>
              </w:rPr>
              <w:t>60-100</w:t>
            </w:r>
          </w:p>
        </w:tc>
        <w:tc>
          <w:tcPr>
            <w:tcW w:w="3192" w:type="dxa"/>
          </w:tcPr>
          <w:p w14:paraId="402095C6" w14:textId="19D70322" w:rsidR="005B1671" w:rsidRPr="005B1671" w:rsidRDefault="005B1671" w:rsidP="005B1671">
            <w:pPr>
              <w:rPr>
                <w:rFonts w:cs="Arial"/>
              </w:rPr>
            </w:pPr>
            <w:r w:rsidRPr="005B1671">
              <w:rPr>
                <w:rFonts w:cs="Arial"/>
              </w:rPr>
              <w:t>Инфузиите се повтарят на всеки 8 до 24 часа до овладяване на състоянието.</w:t>
            </w:r>
          </w:p>
        </w:tc>
      </w:tr>
      <w:tr w:rsidR="005B1671" w14:paraId="062FB38F" w14:textId="77777777" w:rsidTr="00A80749">
        <w:tc>
          <w:tcPr>
            <w:tcW w:w="9576" w:type="dxa"/>
            <w:gridSpan w:val="3"/>
          </w:tcPr>
          <w:p w14:paraId="29FA6634" w14:textId="2813E6D2" w:rsidR="005B1671" w:rsidRPr="005B1671" w:rsidRDefault="005B1671" w:rsidP="005B1671">
            <w:pPr>
              <w:rPr>
                <w:rFonts w:cs="Arial"/>
              </w:rPr>
            </w:pPr>
            <w:r w:rsidRPr="005B1671">
              <w:rPr>
                <w:rFonts w:cs="Arial"/>
                <w:b/>
                <w:bCs/>
              </w:rPr>
              <w:t>Хирургически операции</w:t>
            </w:r>
          </w:p>
        </w:tc>
      </w:tr>
      <w:tr w:rsidR="005B1671" w14:paraId="63F7B76C" w14:textId="77777777" w:rsidTr="005B1671">
        <w:tc>
          <w:tcPr>
            <w:tcW w:w="3192" w:type="dxa"/>
          </w:tcPr>
          <w:p w14:paraId="107E2453" w14:textId="77777777" w:rsidR="005B1671" w:rsidRPr="005B1671" w:rsidRDefault="005B1671" w:rsidP="005B1671">
            <w:pPr>
              <w:rPr>
                <w:rFonts w:cs="Arial"/>
              </w:rPr>
            </w:pPr>
            <w:r w:rsidRPr="005B1671">
              <w:rPr>
                <w:rFonts w:cs="Arial"/>
              </w:rPr>
              <w:t>Малки</w:t>
            </w:r>
          </w:p>
          <w:p w14:paraId="6F08202E" w14:textId="524433E2" w:rsidR="005B1671" w:rsidRPr="005B1671" w:rsidRDefault="005B1671" w:rsidP="005B1671">
            <w:pPr>
              <w:rPr>
                <w:rFonts w:cs="Arial"/>
              </w:rPr>
            </w:pPr>
            <w:r w:rsidRPr="005B1671">
              <w:rPr>
                <w:rFonts w:cs="Arial"/>
              </w:rPr>
              <w:t>включ. зъбна екстракция</w:t>
            </w:r>
          </w:p>
        </w:tc>
        <w:tc>
          <w:tcPr>
            <w:tcW w:w="3192" w:type="dxa"/>
          </w:tcPr>
          <w:p w14:paraId="25C77D7F" w14:textId="1D8733A1" w:rsidR="005B1671" w:rsidRPr="005B1671" w:rsidRDefault="005B1671" w:rsidP="005B1671">
            <w:pPr>
              <w:rPr>
                <w:rFonts w:cs="Arial"/>
              </w:rPr>
            </w:pPr>
            <w:r w:rsidRPr="005B1671">
              <w:rPr>
                <w:rFonts w:cs="Arial"/>
              </w:rPr>
              <w:t>30-60</w:t>
            </w:r>
          </w:p>
        </w:tc>
        <w:tc>
          <w:tcPr>
            <w:tcW w:w="3192" w:type="dxa"/>
          </w:tcPr>
          <w:p w14:paraId="7126437B" w14:textId="66D468C0" w:rsidR="005B1671" w:rsidRPr="005B1671" w:rsidRDefault="005B1671" w:rsidP="005B1671">
            <w:pPr>
              <w:rPr>
                <w:rFonts w:cs="Arial"/>
              </w:rPr>
            </w:pPr>
            <w:r w:rsidRPr="005B1671">
              <w:rPr>
                <w:rFonts w:cs="Arial"/>
              </w:rPr>
              <w:t>На всеки 24 часа, в продължение най- малко на 1 ден, докато се постигне адекватно заздравяване на раната.</w:t>
            </w:r>
          </w:p>
        </w:tc>
      </w:tr>
      <w:tr w:rsidR="005B1671" w14:paraId="6B717436" w14:textId="77777777" w:rsidTr="005B1671">
        <w:tc>
          <w:tcPr>
            <w:tcW w:w="3192" w:type="dxa"/>
          </w:tcPr>
          <w:p w14:paraId="3144A03F" w14:textId="7DC36F9A" w:rsidR="005B1671" w:rsidRPr="005B1671" w:rsidRDefault="005B1671" w:rsidP="005B1671">
            <w:pPr>
              <w:rPr>
                <w:rFonts w:cs="Arial"/>
              </w:rPr>
            </w:pPr>
            <w:r w:rsidRPr="005B1671">
              <w:rPr>
                <w:rFonts w:cs="Arial"/>
              </w:rPr>
              <w:t>Големи</w:t>
            </w:r>
          </w:p>
        </w:tc>
        <w:tc>
          <w:tcPr>
            <w:tcW w:w="3192" w:type="dxa"/>
          </w:tcPr>
          <w:p w14:paraId="30C46DF3" w14:textId="4D9D6FB0" w:rsidR="005B1671" w:rsidRPr="005B1671" w:rsidRDefault="005B1671" w:rsidP="005B1671">
            <w:pPr>
              <w:rPr>
                <w:rFonts w:cs="Arial"/>
              </w:rPr>
            </w:pPr>
            <w:r w:rsidRPr="005B1671">
              <w:rPr>
                <w:rFonts w:cs="Arial"/>
              </w:rPr>
              <w:t>80-100 (пред- и следоперативно)</w:t>
            </w:r>
          </w:p>
        </w:tc>
        <w:tc>
          <w:tcPr>
            <w:tcW w:w="3192" w:type="dxa"/>
          </w:tcPr>
          <w:p w14:paraId="7ABACDAE" w14:textId="2BD29FCF" w:rsidR="005B1671" w:rsidRPr="005B1671" w:rsidRDefault="005B1671" w:rsidP="005B1671">
            <w:pPr>
              <w:rPr>
                <w:rFonts w:cs="Arial"/>
              </w:rPr>
            </w:pPr>
            <w:r w:rsidRPr="005B1671">
              <w:rPr>
                <w:rFonts w:cs="Arial"/>
              </w:rPr>
              <w:t>Инфузиите се повтарят на всеки 8-24 часа до адекватно заздравяване на раната, след което се прилага допълнително за най- малко още 7 дни с цел поддържане на активността на фактор IX от 30% до 60%.</w:t>
            </w:r>
          </w:p>
        </w:tc>
      </w:tr>
    </w:tbl>
    <w:p w14:paraId="14A9C8DE" w14:textId="1A62CF79" w:rsidR="005B1671" w:rsidRDefault="005B1671" w:rsidP="005B1671"/>
    <w:p w14:paraId="2AC652A0" w14:textId="77777777" w:rsidR="005B1671" w:rsidRPr="005B1671" w:rsidRDefault="005B1671" w:rsidP="005B1671">
      <w:pPr>
        <w:spacing w:line="240" w:lineRule="auto"/>
        <w:rPr>
          <w:rFonts w:eastAsia="Times New Roman" w:cs="Arial"/>
          <w:sz w:val="28"/>
          <w:szCs w:val="24"/>
        </w:rPr>
      </w:pPr>
      <w:r w:rsidRPr="005B1671">
        <w:rPr>
          <w:rFonts w:eastAsia="Times New Roman" w:cs="Arial"/>
          <w:i/>
          <w:iCs/>
          <w:color w:val="000000"/>
          <w:szCs w:val="20"/>
          <w:u w:val="single"/>
          <w:lang w:eastAsia="bg-BG"/>
        </w:rPr>
        <w:t>Профилактика</w:t>
      </w:r>
    </w:p>
    <w:p w14:paraId="5BBE1EE9" w14:textId="252A6432" w:rsidR="005B1671" w:rsidRPr="005B1671" w:rsidRDefault="005B1671" w:rsidP="005B1671">
      <w:pPr>
        <w:rPr>
          <w:rFonts w:eastAsia="Times New Roman" w:cs="Arial"/>
          <w:color w:val="000000"/>
          <w:szCs w:val="20"/>
          <w:lang w:val="ru-RU" w:eastAsia="bg-BG"/>
        </w:rPr>
      </w:pPr>
      <w:r w:rsidRPr="005B1671">
        <w:rPr>
          <w:rFonts w:eastAsia="Times New Roman" w:cs="Arial"/>
          <w:color w:val="000000"/>
          <w:szCs w:val="20"/>
          <w:lang w:eastAsia="bg-BG"/>
        </w:rPr>
        <w:t>За профилактично поддържащо лечение срещу кръвоизливи при пациенти с</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тежка хемофилия В, обичайните дози са 20 до 40 </w:t>
      </w:r>
      <w:r w:rsidRPr="005B1671">
        <w:rPr>
          <w:rFonts w:eastAsia="Times New Roman" w:cs="Arial"/>
          <w:color w:val="000000"/>
          <w:szCs w:val="20"/>
          <w:lang w:val="en-US"/>
        </w:rPr>
        <w:t>IU</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фактор </w:t>
      </w:r>
      <w:r w:rsidRPr="005B1671">
        <w:rPr>
          <w:rFonts w:eastAsia="Times New Roman" w:cs="Arial"/>
          <w:color w:val="000000"/>
          <w:szCs w:val="20"/>
          <w:lang w:val="en-US"/>
        </w:rPr>
        <w:t>IX</w:t>
      </w:r>
      <w:r w:rsidRPr="005B1671">
        <w:rPr>
          <w:rFonts w:eastAsia="Times New Roman" w:cs="Arial"/>
          <w:color w:val="000000"/>
          <w:szCs w:val="20"/>
          <w:lang w:val="ru-RU"/>
        </w:rPr>
        <w:t>/</w:t>
      </w:r>
      <w:r w:rsidRPr="005B1671">
        <w:rPr>
          <w:rFonts w:eastAsia="Times New Roman" w:cs="Arial"/>
          <w:color w:val="000000"/>
          <w:szCs w:val="20"/>
          <w:lang w:val="en-US"/>
        </w:rPr>
        <w:t>kg</w:t>
      </w:r>
      <w:r w:rsidRPr="005B1671">
        <w:rPr>
          <w:rFonts w:eastAsia="Times New Roman" w:cs="Arial"/>
          <w:color w:val="000000"/>
          <w:szCs w:val="20"/>
          <w:lang w:val="ru-RU"/>
        </w:rPr>
        <w:t xml:space="preserve"> </w:t>
      </w:r>
      <w:r w:rsidRPr="005B1671">
        <w:rPr>
          <w:rFonts w:eastAsia="Times New Roman" w:cs="Arial"/>
          <w:color w:val="000000"/>
          <w:szCs w:val="20"/>
          <w:lang w:eastAsia="bg-BG"/>
        </w:rPr>
        <w:t>телесно тегло на интервали от 3 до 4 дни</w:t>
      </w:r>
      <w:r w:rsidRPr="005B1671">
        <w:rPr>
          <w:rFonts w:eastAsia="Times New Roman" w:cs="Arial"/>
          <w:color w:val="000000"/>
          <w:szCs w:val="20"/>
          <w:lang w:val="ru-RU" w:eastAsia="bg-BG"/>
        </w:rPr>
        <w:t>.</w:t>
      </w:r>
    </w:p>
    <w:p w14:paraId="4AB5E46F" w14:textId="3F094885" w:rsidR="005B1671" w:rsidRPr="005B1671" w:rsidRDefault="005B1671" w:rsidP="005B1671">
      <w:pPr>
        <w:rPr>
          <w:rFonts w:eastAsia="Times New Roman" w:cs="Arial"/>
          <w:color w:val="000000"/>
          <w:szCs w:val="20"/>
          <w:lang w:eastAsia="bg-BG"/>
        </w:rPr>
      </w:pPr>
    </w:p>
    <w:p w14:paraId="55B0C30D"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В някои случаи, специално при по-млади пациенти, може да са необходими по-кратки интервали на приложение или по-високи дози.</w:t>
      </w:r>
    </w:p>
    <w:p w14:paraId="088CE2DB" w14:textId="77777777" w:rsidR="005B1671" w:rsidRPr="005B1671" w:rsidRDefault="005B1671" w:rsidP="005B1671">
      <w:pPr>
        <w:spacing w:line="240" w:lineRule="auto"/>
        <w:rPr>
          <w:rFonts w:eastAsia="Times New Roman" w:cs="Arial"/>
          <w:color w:val="000000"/>
          <w:szCs w:val="20"/>
          <w:lang w:eastAsia="bg-BG"/>
        </w:rPr>
      </w:pPr>
    </w:p>
    <w:p w14:paraId="7937B8D7" w14:textId="665290E1"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По време на лечението се препоръчва да бъдат мониторирани нивата на фактор IX, за да се контролира прилаганата доза, както и честотата на повторните инфузии. При големи хирургически интервенции е задължително прецизно мониториране на заместителната терапия чрез коагулационен анализ (плазмената активност на фактор IX). Отговорите към фактор IX на отделните пациенти могат да варират, като на практика се постигат различни нива на </w:t>
      </w:r>
      <w:r w:rsidRPr="005B1671">
        <w:rPr>
          <w:rFonts w:eastAsia="Times New Roman" w:cs="Arial"/>
          <w:color w:val="000000"/>
          <w:szCs w:val="20"/>
          <w:lang w:val="en-US"/>
        </w:rPr>
        <w:t>in</w:t>
      </w:r>
      <w:r w:rsidRPr="005B1671">
        <w:rPr>
          <w:rFonts w:eastAsia="Times New Roman" w:cs="Arial"/>
          <w:color w:val="000000"/>
          <w:szCs w:val="20"/>
          <w:lang w:val="ru-RU"/>
        </w:rPr>
        <w:t xml:space="preserve"> </w:t>
      </w:r>
      <w:r w:rsidRPr="005B1671">
        <w:rPr>
          <w:rFonts w:eastAsia="Times New Roman" w:cs="Arial"/>
          <w:color w:val="000000"/>
          <w:szCs w:val="20"/>
          <w:lang w:val="en-US"/>
        </w:rPr>
        <w:t>vivo</w:t>
      </w:r>
      <w:r w:rsidRPr="005B1671">
        <w:rPr>
          <w:rFonts w:eastAsia="Times New Roman" w:cs="Arial"/>
          <w:color w:val="000000"/>
          <w:szCs w:val="20"/>
          <w:lang w:val="ru-RU"/>
        </w:rPr>
        <w:t xml:space="preserve"> </w:t>
      </w:r>
      <w:r w:rsidRPr="005B1671">
        <w:rPr>
          <w:rFonts w:eastAsia="Times New Roman" w:cs="Arial"/>
          <w:color w:val="000000"/>
          <w:szCs w:val="20"/>
          <w:lang w:eastAsia="bg-BG"/>
        </w:rPr>
        <w:t>възстановяване и се наблюдава различно време на полуживот.</w:t>
      </w:r>
    </w:p>
    <w:p w14:paraId="1314F639" w14:textId="77777777" w:rsidR="005B1671" w:rsidRPr="005B1671" w:rsidRDefault="005B1671" w:rsidP="005B1671">
      <w:pPr>
        <w:spacing w:line="240" w:lineRule="auto"/>
        <w:rPr>
          <w:rFonts w:eastAsia="Times New Roman" w:cs="Arial"/>
          <w:i/>
          <w:iCs/>
          <w:color w:val="000000"/>
          <w:szCs w:val="20"/>
          <w:lang w:eastAsia="bg-BG"/>
        </w:rPr>
      </w:pPr>
    </w:p>
    <w:p w14:paraId="69BAF841" w14:textId="1FE79A3E" w:rsidR="005B1671" w:rsidRPr="005B1671" w:rsidRDefault="005B1671" w:rsidP="005B1671">
      <w:pPr>
        <w:spacing w:line="240" w:lineRule="auto"/>
        <w:rPr>
          <w:rFonts w:eastAsia="Times New Roman" w:cs="Arial"/>
          <w:sz w:val="28"/>
          <w:szCs w:val="24"/>
        </w:rPr>
      </w:pPr>
      <w:r w:rsidRPr="005B1671">
        <w:rPr>
          <w:rFonts w:eastAsia="Times New Roman" w:cs="Arial"/>
          <w:i/>
          <w:iCs/>
          <w:color w:val="000000"/>
          <w:szCs w:val="20"/>
          <w:lang w:eastAsia="bg-BG"/>
        </w:rPr>
        <w:t>Педиатрична популация</w:t>
      </w:r>
    </w:p>
    <w:p w14:paraId="44D2C209"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Наличните клинични данни са описани в т. </w:t>
      </w:r>
      <w:r w:rsidRPr="005B1671">
        <w:rPr>
          <w:rFonts w:eastAsia="Times New Roman" w:cs="Arial"/>
          <w:b/>
          <w:bCs/>
          <w:color w:val="000000"/>
          <w:szCs w:val="20"/>
          <w:lang w:eastAsia="bg-BG"/>
        </w:rPr>
        <w:t xml:space="preserve">4.8 Нежелани лекарствени реакции, </w:t>
      </w:r>
      <w:r w:rsidRPr="005B1671">
        <w:rPr>
          <w:rFonts w:eastAsia="Times New Roman" w:cs="Arial"/>
          <w:color w:val="000000"/>
          <w:szCs w:val="20"/>
          <w:lang w:eastAsia="bg-BG"/>
        </w:rPr>
        <w:t xml:space="preserve">в подточка </w:t>
      </w:r>
      <w:r w:rsidRPr="005B1671">
        <w:rPr>
          <w:rFonts w:eastAsia="Times New Roman" w:cs="Arial"/>
          <w:color w:val="000000"/>
          <w:szCs w:val="20"/>
          <w:u w:val="single"/>
          <w:lang w:eastAsia="bg-BG"/>
        </w:rPr>
        <w:t>“Специални популации”</w:t>
      </w:r>
      <w:r w:rsidRPr="005B1671">
        <w:rPr>
          <w:rFonts w:eastAsia="Times New Roman" w:cs="Arial"/>
          <w:color w:val="000000"/>
          <w:szCs w:val="20"/>
          <w:lang w:eastAsia="bg-BG"/>
        </w:rPr>
        <w:t xml:space="preserve"> и в т. </w:t>
      </w:r>
      <w:r w:rsidRPr="005B1671">
        <w:rPr>
          <w:rFonts w:eastAsia="Times New Roman" w:cs="Arial"/>
          <w:b/>
          <w:bCs/>
          <w:color w:val="000000"/>
          <w:szCs w:val="20"/>
          <w:lang w:eastAsia="bg-BG"/>
        </w:rPr>
        <w:t>5.2 Фармакокинетични свойства.</w:t>
      </w:r>
    </w:p>
    <w:p w14:paraId="174951CD" w14:textId="77777777" w:rsidR="005B1671" w:rsidRPr="005B1671" w:rsidRDefault="005B1671" w:rsidP="005B1671">
      <w:pPr>
        <w:spacing w:line="240" w:lineRule="auto"/>
        <w:rPr>
          <w:rFonts w:eastAsia="Times New Roman" w:cs="Arial"/>
          <w:color w:val="000000"/>
          <w:szCs w:val="20"/>
          <w:lang w:eastAsia="bg-BG"/>
        </w:rPr>
      </w:pPr>
    </w:p>
    <w:p w14:paraId="646AA6BD" w14:textId="263696F1"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Въз основа на наличните клинични данни, може да се направи препоръка за дозировка при педиатрични пациенти на възраст </w:t>
      </w:r>
      <w:r w:rsidRPr="005B1671">
        <w:rPr>
          <w:rFonts w:eastAsia="Times New Roman" w:cs="Arial"/>
          <w:color w:val="000000"/>
          <w:szCs w:val="20"/>
          <w:u w:val="single"/>
          <w:lang w:eastAsia="bg-BG"/>
        </w:rPr>
        <w:t>над 12 години</w:t>
      </w:r>
      <w:r w:rsidRPr="005B1671">
        <w:rPr>
          <w:rFonts w:eastAsia="Times New Roman" w:cs="Arial"/>
          <w:color w:val="000000"/>
          <w:szCs w:val="20"/>
          <w:lang w:eastAsia="bg-BG"/>
        </w:rPr>
        <w:t>. При деца на възраст от 6 до 12 години, наличните клинични данни не са достатъчни, за да се направи препоръка за дозировка.</w:t>
      </w:r>
    </w:p>
    <w:p w14:paraId="47221253" w14:textId="77777777" w:rsidR="005B1671" w:rsidRPr="005B1671" w:rsidRDefault="005B1671" w:rsidP="005B1671">
      <w:pPr>
        <w:spacing w:line="240" w:lineRule="auto"/>
        <w:rPr>
          <w:rFonts w:eastAsia="Times New Roman" w:cs="Arial"/>
          <w:color w:val="000000"/>
          <w:szCs w:val="20"/>
          <w:u w:val="single"/>
          <w:lang w:eastAsia="bg-BG"/>
        </w:rPr>
      </w:pPr>
    </w:p>
    <w:p w14:paraId="6A8B87D6" w14:textId="72D3EC6D" w:rsidR="005B1671" w:rsidRPr="005B1671" w:rsidRDefault="005B1671" w:rsidP="005B1671">
      <w:pPr>
        <w:pStyle w:val="Heading3"/>
        <w:rPr>
          <w:rFonts w:eastAsia="Times New Roman"/>
          <w:sz w:val="28"/>
          <w:u w:val="single"/>
        </w:rPr>
      </w:pPr>
      <w:r w:rsidRPr="005B1671">
        <w:rPr>
          <w:rFonts w:eastAsia="Times New Roman"/>
          <w:u w:val="single"/>
          <w:lang w:eastAsia="bg-BG"/>
        </w:rPr>
        <w:t>Начин на приложение</w:t>
      </w:r>
    </w:p>
    <w:p w14:paraId="05E6FB28"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Продуктът се прилага интравенозно. Препоръчва се скоростта на приложение да не е по-висока от 2 </w:t>
      </w:r>
      <w:r w:rsidRPr="005B1671">
        <w:rPr>
          <w:rFonts w:eastAsia="Times New Roman" w:cs="Arial"/>
          <w:color w:val="000000"/>
          <w:szCs w:val="20"/>
          <w:lang w:val="en-US"/>
        </w:rPr>
        <w:t>ml</w:t>
      </w:r>
      <w:r w:rsidRPr="005B1671">
        <w:rPr>
          <w:rFonts w:eastAsia="Times New Roman" w:cs="Arial"/>
          <w:color w:val="000000"/>
          <w:szCs w:val="20"/>
          <w:lang w:val="ru-RU"/>
        </w:rPr>
        <w:t>/</w:t>
      </w:r>
      <w:r w:rsidRPr="005B1671">
        <w:rPr>
          <w:rFonts w:eastAsia="Times New Roman" w:cs="Arial"/>
          <w:color w:val="000000"/>
          <w:szCs w:val="20"/>
          <w:lang w:val="en-US"/>
        </w:rPr>
        <w:t>min</w:t>
      </w:r>
      <w:r w:rsidRPr="005B1671">
        <w:rPr>
          <w:rFonts w:eastAsia="Times New Roman" w:cs="Arial"/>
          <w:color w:val="000000"/>
          <w:szCs w:val="20"/>
          <w:lang w:val="ru-RU"/>
        </w:rPr>
        <w:t>.</w:t>
      </w:r>
    </w:p>
    <w:p w14:paraId="093DDBEA" w14:textId="77777777" w:rsidR="005B1671" w:rsidRPr="005B1671" w:rsidRDefault="005B1671" w:rsidP="005B1671">
      <w:pPr>
        <w:spacing w:line="240" w:lineRule="auto"/>
        <w:rPr>
          <w:rFonts w:ascii="Times New Roman" w:eastAsia="Times New Roman" w:hAnsi="Times New Roman" w:cs="Times New Roman"/>
          <w:sz w:val="24"/>
          <w:szCs w:val="24"/>
        </w:rPr>
      </w:pPr>
      <w:r w:rsidRPr="005B1671">
        <w:rPr>
          <w:rFonts w:eastAsia="Times New Roman" w:cs="Arial"/>
          <w:color w:val="000000"/>
          <w:szCs w:val="20"/>
          <w:lang w:eastAsia="bg-BG"/>
        </w:rPr>
        <w:t>За указания относно реконституирането на лекарствения продукт преди приложение вижте точка 6.6.</w:t>
      </w:r>
    </w:p>
    <w:p w14:paraId="622FFA1E" w14:textId="77777777" w:rsidR="005B1671" w:rsidRPr="005B1671" w:rsidRDefault="005B1671" w:rsidP="005B1671"/>
    <w:p w14:paraId="0F253247" w14:textId="134355A4" w:rsidR="007122AD" w:rsidRDefault="002C50EE" w:rsidP="00936AD0">
      <w:pPr>
        <w:pStyle w:val="Heading2"/>
      </w:pPr>
      <w:r>
        <w:t>4.3. Противопоказания</w:t>
      </w:r>
    </w:p>
    <w:p w14:paraId="19394295" w14:textId="44BC04FA" w:rsidR="005B1671" w:rsidRDefault="005B1671" w:rsidP="005B1671"/>
    <w:p w14:paraId="52D0C30C" w14:textId="77777777" w:rsidR="005B1671" w:rsidRDefault="005B1671" w:rsidP="005B1671">
      <w:pPr>
        <w:pStyle w:val="ListParagraph"/>
        <w:numPr>
          <w:ilvl w:val="0"/>
          <w:numId w:val="37"/>
        </w:numPr>
        <w:spacing w:line="240" w:lineRule="auto"/>
        <w:rPr>
          <w:rFonts w:eastAsia="Times New Roman" w:cs="Arial"/>
          <w:color w:val="000000"/>
          <w:szCs w:val="20"/>
          <w:lang w:eastAsia="bg-BG"/>
        </w:rPr>
      </w:pPr>
      <w:r w:rsidRPr="005B1671">
        <w:rPr>
          <w:rFonts w:eastAsia="Times New Roman" w:cs="Arial"/>
          <w:color w:val="000000"/>
          <w:szCs w:val="20"/>
          <w:lang w:eastAsia="bg-BG"/>
        </w:rPr>
        <w:t>Свръхчувствителност към активното вещество или към някое от помощните вещества, изброени в точка 6.1.</w:t>
      </w:r>
    </w:p>
    <w:p w14:paraId="5A5491DF" w14:textId="77777777" w:rsidR="005B1671" w:rsidRDefault="005B1671" w:rsidP="005B1671">
      <w:pPr>
        <w:pStyle w:val="ListParagraph"/>
        <w:numPr>
          <w:ilvl w:val="0"/>
          <w:numId w:val="37"/>
        </w:numPr>
        <w:spacing w:line="240" w:lineRule="auto"/>
        <w:rPr>
          <w:rFonts w:eastAsia="Times New Roman" w:cs="Arial"/>
          <w:color w:val="000000"/>
          <w:szCs w:val="20"/>
          <w:lang w:eastAsia="bg-BG"/>
        </w:rPr>
      </w:pPr>
      <w:r w:rsidRPr="005B1671">
        <w:rPr>
          <w:rFonts w:eastAsia="Times New Roman" w:cs="Arial"/>
          <w:color w:val="000000"/>
          <w:szCs w:val="20"/>
          <w:lang w:eastAsia="bg-BG"/>
        </w:rPr>
        <w:t>Дисеминирана интравазкуларна коагулация (ДИК) и/или хиперфибринолиза.</w:t>
      </w:r>
    </w:p>
    <w:p w14:paraId="5FC30A52" w14:textId="3113A959" w:rsidR="005B1671" w:rsidRPr="005B1671" w:rsidRDefault="005B1671" w:rsidP="005B1671">
      <w:pPr>
        <w:pStyle w:val="ListParagraph"/>
        <w:numPr>
          <w:ilvl w:val="0"/>
          <w:numId w:val="37"/>
        </w:numPr>
        <w:spacing w:line="240" w:lineRule="auto"/>
        <w:rPr>
          <w:rFonts w:eastAsia="Times New Roman" w:cs="Arial"/>
          <w:color w:val="000000"/>
          <w:szCs w:val="20"/>
          <w:lang w:eastAsia="bg-BG"/>
        </w:rPr>
      </w:pPr>
      <w:r w:rsidRPr="005B1671">
        <w:rPr>
          <w:rFonts w:eastAsia="Times New Roman" w:cs="Arial"/>
          <w:color w:val="000000"/>
          <w:szCs w:val="20"/>
          <w:lang w:eastAsia="bg-BG"/>
        </w:rPr>
        <w:t>Известна алергия към хепарин или причинена в миналото тромбоцитопения от хепарин.</w:t>
      </w:r>
    </w:p>
    <w:p w14:paraId="0942F819" w14:textId="77777777" w:rsidR="005B1671" w:rsidRPr="005B1671" w:rsidRDefault="005B1671" w:rsidP="005B1671">
      <w:pPr>
        <w:spacing w:line="240" w:lineRule="auto"/>
        <w:rPr>
          <w:rFonts w:eastAsia="Times New Roman" w:cs="Arial"/>
          <w:color w:val="000000"/>
          <w:szCs w:val="20"/>
          <w:lang w:eastAsia="bg-BG"/>
        </w:rPr>
      </w:pPr>
    </w:p>
    <w:p w14:paraId="586FE339" w14:textId="576CF013"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След овладяване на тези процеси с подходящи средства, ИМУНАЙН трябва да се прилага само за лечение на животозастрашаващи кръвоизливи.</w:t>
      </w:r>
    </w:p>
    <w:p w14:paraId="7C17C328" w14:textId="77777777" w:rsidR="005B1671" w:rsidRPr="005B1671" w:rsidRDefault="005B1671" w:rsidP="005B1671"/>
    <w:p w14:paraId="0E0BDCC7" w14:textId="796D1058" w:rsidR="007122AD" w:rsidRDefault="002C50EE" w:rsidP="00936AD0">
      <w:pPr>
        <w:pStyle w:val="Heading2"/>
      </w:pPr>
      <w:r>
        <w:t>4.4. Специални предупреждения и предпазни мерки при употреба</w:t>
      </w:r>
    </w:p>
    <w:p w14:paraId="6818F53B" w14:textId="2084BC9D" w:rsidR="005B1671" w:rsidRDefault="005B1671" w:rsidP="005B1671"/>
    <w:p w14:paraId="24690B83"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u w:val="single"/>
          <w:lang w:eastAsia="bg-BG"/>
        </w:rPr>
        <w:t>Проследимост</w:t>
      </w:r>
    </w:p>
    <w:p w14:paraId="6CEB60F3"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373DF456" w14:textId="77777777" w:rsidR="005B1671" w:rsidRPr="005B1671" w:rsidRDefault="005B1671" w:rsidP="005B1671">
      <w:pPr>
        <w:spacing w:line="240" w:lineRule="auto"/>
        <w:rPr>
          <w:rFonts w:eastAsia="Times New Roman" w:cs="Arial"/>
          <w:color w:val="000000"/>
          <w:szCs w:val="20"/>
          <w:u w:val="single"/>
          <w:lang w:eastAsia="bg-BG"/>
        </w:rPr>
      </w:pPr>
    </w:p>
    <w:p w14:paraId="1CF34B9B" w14:textId="1A75E0CE"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u w:val="single"/>
          <w:lang w:eastAsia="bg-BG"/>
        </w:rPr>
        <w:t>Свръхчувствителност</w:t>
      </w:r>
    </w:p>
    <w:p w14:paraId="3CA84091"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Възможни са алергичен тип реакции на свръхчувствителност с ИМУНАЙН. Продуктът съдържа освен фактор IX и следи от други човешки протеини.</w:t>
      </w:r>
    </w:p>
    <w:p w14:paraId="6C7A08BB" w14:textId="77777777" w:rsidR="005B1671" w:rsidRPr="005B1671" w:rsidRDefault="005B1671" w:rsidP="005B1671">
      <w:pPr>
        <w:spacing w:line="240" w:lineRule="auto"/>
        <w:rPr>
          <w:rFonts w:eastAsia="Times New Roman" w:cs="Arial"/>
          <w:color w:val="000000"/>
          <w:szCs w:val="20"/>
          <w:lang w:eastAsia="bg-BG"/>
        </w:rPr>
      </w:pPr>
    </w:p>
    <w:p w14:paraId="1DC1CA8D" w14:textId="5ED3553E"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При проява на симптоми на свръхчувствителност пациентите трябва да бъдат посъветвани да преустановят незабавно употребата на лекарствения продукт и да се свържат с лекаря си.</w:t>
      </w:r>
    </w:p>
    <w:p w14:paraId="4B5C090C" w14:textId="77777777" w:rsidR="005B1671" w:rsidRPr="005B1671" w:rsidRDefault="005B1671" w:rsidP="005B1671">
      <w:pPr>
        <w:spacing w:line="240" w:lineRule="auto"/>
        <w:rPr>
          <w:rFonts w:eastAsia="Times New Roman" w:cs="Arial"/>
          <w:color w:val="000000"/>
          <w:szCs w:val="20"/>
          <w:lang w:eastAsia="bg-BG"/>
        </w:rPr>
      </w:pPr>
    </w:p>
    <w:p w14:paraId="2E844ED4" w14:textId="20ADECA4"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Пациентите и/или техните близки трябва да бъдат информирани за възможните ранни симптоми на реакции на свръхчувствителност като обрив, генерализирана уртикария, чувство за стягане на гръдния кош, хрипове, хипотония и анафилаксия.</w:t>
      </w:r>
    </w:p>
    <w:p w14:paraId="24D0D90F" w14:textId="65BF4B18"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В случай на шок, трябва да се съблюдават настоящите медицински стандарти за лечение на шок.</w:t>
      </w:r>
    </w:p>
    <w:p w14:paraId="7541F97A" w14:textId="77777777" w:rsidR="005B1671" w:rsidRPr="005B1671" w:rsidRDefault="005B1671" w:rsidP="005B1671">
      <w:pPr>
        <w:spacing w:line="240" w:lineRule="auto"/>
        <w:rPr>
          <w:rFonts w:eastAsia="Times New Roman" w:cs="Arial"/>
          <w:color w:val="000000"/>
          <w:szCs w:val="20"/>
          <w:lang w:eastAsia="bg-BG"/>
        </w:rPr>
      </w:pPr>
    </w:p>
    <w:p w14:paraId="7B23D735" w14:textId="76B0BCA5" w:rsidR="005B1671" w:rsidRPr="005B1671" w:rsidRDefault="005B1671" w:rsidP="005B1671">
      <w:pPr>
        <w:spacing w:line="240" w:lineRule="auto"/>
        <w:rPr>
          <w:rFonts w:eastAsia="Times New Roman" w:cs="Arial"/>
          <w:sz w:val="28"/>
          <w:szCs w:val="24"/>
          <w:u w:val="single"/>
        </w:rPr>
      </w:pPr>
      <w:r w:rsidRPr="005B1671">
        <w:rPr>
          <w:rFonts w:eastAsia="Times New Roman" w:cs="Arial"/>
          <w:color w:val="000000"/>
          <w:szCs w:val="20"/>
          <w:u w:val="single"/>
          <w:lang w:eastAsia="bg-BG"/>
        </w:rPr>
        <w:t>Инхибитори</w:t>
      </w:r>
    </w:p>
    <w:p w14:paraId="1F44A742" w14:textId="7F0CC11E" w:rsidR="005B1671" w:rsidRPr="005B1671" w:rsidRDefault="005B1671" w:rsidP="005B1671">
      <w:pPr>
        <w:rPr>
          <w:rFonts w:eastAsia="Times New Roman" w:cs="Arial"/>
          <w:color w:val="000000"/>
          <w:szCs w:val="20"/>
          <w:lang w:eastAsia="bg-BG"/>
        </w:rPr>
      </w:pPr>
      <w:r w:rsidRPr="005B1671">
        <w:rPr>
          <w:rFonts w:eastAsia="Times New Roman" w:cs="Arial"/>
          <w:color w:val="000000"/>
          <w:szCs w:val="20"/>
          <w:lang w:eastAsia="bg-BG"/>
        </w:rPr>
        <w:t xml:space="preserve">При повторно приложение на продукти, съдържащи човешки коагулационен фактор </w:t>
      </w:r>
      <w:r w:rsidRPr="005B1671">
        <w:rPr>
          <w:rFonts w:eastAsia="Times New Roman" w:cs="Arial"/>
          <w:color w:val="000000"/>
          <w:szCs w:val="20"/>
          <w:lang w:val="en-US"/>
        </w:rPr>
        <w:t>IX</w:t>
      </w:r>
      <w:r w:rsidRPr="005B1671">
        <w:rPr>
          <w:rFonts w:eastAsia="Times New Roman" w:cs="Arial"/>
          <w:color w:val="000000"/>
          <w:szCs w:val="20"/>
          <w:lang w:val="ru-RU"/>
        </w:rPr>
        <w:t>,</w:t>
      </w:r>
      <w:r w:rsidRPr="005B1671">
        <w:rPr>
          <w:rFonts w:eastAsia="Times New Roman" w:cs="Arial"/>
          <w:color w:val="000000"/>
          <w:szCs w:val="20"/>
          <w:lang w:eastAsia="bg-BG"/>
        </w:rPr>
        <w:t xml:space="preserve"> пациентите трябва да бъдат мониторирани за образуване на неутрализиращи антитела (инхибитори), които се определят количествено в </w:t>
      </w:r>
      <w:r w:rsidRPr="005B1671">
        <w:rPr>
          <w:rFonts w:eastAsia="Times New Roman" w:cs="Arial"/>
          <w:color w:val="000000"/>
          <w:szCs w:val="20"/>
          <w:lang w:val="en-US"/>
        </w:rPr>
        <w:t>Bethesda</w:t>
      </w:r>
      <w:r w:rsidRPr="005B1671">
        <w:rPr>
          <w:rFonts w:eastAsia="Times New Roman" w:cs="Arial"/>
          <w:color w:val="000000"/>
          <w:szCs w:val="20"/>
          <w:lang w:val="ru-RU"/>
        </w:rPr>
        <w:t xml:space="preserve"> </w:t>
      </w:r>
      <w:r w:rsidRPr="005B1671">
        <w:rPr>
          <w:rFonts w:eastAsia="Times New Roman" w:cs="Arial"/>
          <w:color w:val="000000"/>
          <w:szCs w:val="20"/>
          <w:lang w:val="en-US"/>
        </w:rPr>
        <w:t>Units</w:t>
      </w:r>
      <w:r w:rsidRPr="005B1671">
        <w:rPr>
          <w:rFonts w:eastAsia="Times New Roman" w:cs="Arial"/>
          <w:color w:val="000000"/>
          <w:szCs w:val="20"/>
          <w:lang w:val="ru-RU"/>
        </w:rPr>
        <w:t xml:space="preserve"> (</w:t>
      </w:r>
      <w:r w:rsidRPr="005B1671">
        <w:rPr>
          <w:rFonts w:eastAsia="Times New Roman" w:cs="Arial"/>
          <w:color w:val="000000"/>
          <w:szCs w:val="20"/>
          <w:lang w:val="en-US"/>
        </w:rPr>
        <w:t>BU</w:t>
      </w:r>
      <w:r w:rsidRPr="005B1671">
        <w:rPr>
          <w:rFonts w:eastAsia="Times New Roman" w:cs="Arial"/>
          <w:color w:val="000000"/>
          <w:szCs w:val="20"/>
          <w:lang w:val="ru-RU"/>
        </w:rPr>
        <w:t xml:space="preserve">) </w:t>
      </w:r>
      <w:r w:rsidRPr="005B1671">
        <w:rPr>
          <w:rFonts w:eastAsia="Times New Roman" w:cs="Arial"/>
          <w:color w:val="000000"/>
          <w:szCs w:val="20"/>
          <w:lang w:eastAsia="bg-BG"/>
        </w:rPr>
        <w:t>като се използва съответен биологичен тест.</w:t>
      </w:r>
    </w:p>
    <w:p w14:paraId="27598938" w14:textId="30F203C9" w:rsidR="005B1671" w:rsidRPr="005B1671" w:rsidRDefault="005B1671" w:rsidP="005B1671">
      <w:pPr>
        <w:rPr>
          <w:rFonts w:eastAsia="Times New Roman" w:cs="Arial"/>
          <w:color w:val="000000"/>
          <w:szCs w:val="20"/>
          <w:lang w:eastAsia="bg-BG"/>
        </w:rPr>
      </w:pPr>
    </w:p>
    <w:p w14:paraId="0B869454"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lastRenderedPageBreak/>
        <w:t>Ако очакваното плазмено ниво на фактор IX активност не бъде постигнато, или ако кървенето не се контролира с подходящата доза, трябва да се направи оценка, за да се определи наличието на инхибитори на фактор IX. При пациенти с високи нива на инхибитори, терапията с фактор IX може да не е ефективна и следва да се обсъдят други терапевтични възможности. Лечението на такива пациенти трябва да се ръководи от лекари с опит в грижите за пациенти с хемофилия, поради което трябва да се осъществи връзка със специализиран център по хемофилия.</w:t>
      </w:r>
    </w:p>
    <w:p w14:paraId="7C5FEC1D" w14:textId="77777777" w:rsidR="005B1671" w:rsidRPr="005B1671" w:rsidRDefault="005B1671" w:rsidP="005B1671">
      <w:pPr>
        <w:spacing w:line="240" w:lineRule="auto"/>
        <w:rPr>
          <w:rFonts w:eastAsia="Times New Roman" w:cs="Arial"/>
          <w:color w:val="000000"/>
          <w:szCs w:val="20"/>
          <w:lang w:eastAsia="bg-BG"/>
        </w:rPr>
      </w:pPr>
    </w:p>
    <w:p w14:paraId="44F516FC" w14:textId="654AA9C6"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В литературата има съобщения, показващи връзка между образуването на инхибитор на фактор IX и алергичните реакции. Затова пациентите, получаващи алергични реакции, трябва да бъдат изследвани за наличие на инхибитор. Трябва да се отбележи, че пациентите с инхибитори на фактор IX могат да са изложени на повишен риск от възникване на анафилаксия при повторно приложение на фактор IX.</w:t>
      </w:r>
    </w:p>
    <w:p w14:paraId="6C87612B" w14:textId="77777777" w:rsidR="005B1671" w:rsidRPr="005B1671" w:rsidRDefault="005B1671" w:rsidP="005B1671">
      <w:pPr>
        <w:spacing w:line="240" w:lineRule="auto"/>
        <w:rPr>
          <w:rFonts w:eastAsia="Times New Roman" w:cs="Arial"/>
          <w:color w:val="000000"/>
          <w:szCs w:val="20"/>
          <w:lang w:eastAsia="bg-BG"/>
        </w:rPr>
      </w:pPr>
    </w:p>
    <w:p w14:paraId="097F8B6E" w14:textId="2B335D19"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Поради риск от възникване на алергични реакции при употреба на лекарствени продукти, съдържащи фактор IX, първоначалното приложение на фактор IX трябва, по преценката на лекуващия лекар, да се извърши под медицинско наблюдение, с възможност да бъде осигурено подходящо лечение в случай на алергични реакции.</w:t>
      </w:r>
    </w:p>
    <w:p w14:paraId="1065C496" w14:textId="77777777" w:rsidR="005B1671" w:rsidRPr="005B1671" w:rsidRDefault="005B1671" w:rsidP="005B1671">
      <w:pPr>
        <w:spacing w:line="240" w:lineRule="auto"/>
        <w:rPr>
          <w:rFonts w:eastAsia="Times New Roman" w:cs="Arial"/>
          <w:color w:val="000000"/>
          <w:szCs w:val="20"/>
          <w:u w:val="single"/>
          <w:lang w:eastAsia="bg-BG"/>
        </w:rPr>
      </w:pPr>
    </w:p>
    <w:p w14:paraId="7D14B22E" w14:textId="06F216EA"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u w:val="single"/>
          <w:lang w:eastAsia="bg-BG"/>
        </w:rPr>
        <w:t>Тромбоемболизъм. дисеминирана интравазална коагулация (ДИК). фибринолиза</w:t>
      </w:r>
    </w:p>
    <w:p w14:paraId="1E0489E5"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Приложението на фактор IX се свързва с риск от развитие на тромбоемболични усложнения, като рискът е по-висок при по-слабо пречистени продукти и при пациенти с фибринолиза и/или с дисеминирана интравазална коагулация (ДИК).</w:t>
      </w:r>
    </w:p>
    <w:p w14:paraId="5BBF8843" w14:textId="77777777" w:rsidR="005B1671" w:rsidRPr="005B1671" w:rsidRDefault="005B1671" w:rsidP="005B1671">
      <w:pPr>
        <w:spacing w:line="240" w:lineRule="auto"/>
        <w:rPr>
          <w:rFonts w:eastAsia="Times New Roman" w:cs="Arial"/>
          <w:color w:val="000000"/>
          <w:szCs w:val="20"/>
          <w:lang w:eastAsia="bg-BG"/>
        </w:rPr>
      </w:pPr>
    </w:p>
    <w:p w14:paraId="2F2AE159" w14:textId="20A7ADB4"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Поради потенциалния риск от тромбоемболични усложнения клиничното проследяване за ранни симптоми на тромбоза и консумативна коагулопатия трябва да бъде предшествано от подходящи биологични тестове, когато продуктът се прилага при пациенти с чернодробни заболявания, тромбофилия, в състояние на повишена съсирваемост, стенокардия, коронарно заболяване или остър инфаркт на миокарда, на пациенти след операция, недоносени новородени или новородени деца, или на пациенти, изложени на риск от тромботични събития или ДИК. При всеки от тези случаи ползата от лечението с ИМУНАЙН трябва да бъде преценявана спрямо риска от тези възможни усложнения.</w:t>
      </w:r>
    </w:p>
    <w:p w14:paraId="4478CAAE" w14:textId="77777777" w:rsidR="005B1671" w:rsidRPr="005B1671" w:rsidRDefault="005B1671" w:rsidP="005B1671">
      <w:pPr>
        <w:spacing w:line="240" w:lineRule="auto"/>
        <w:rPr>
          <w:rFonts w:eastAsia="Times New Roman" w:cs="Arial"/>
          <w:color w:val="000000"/>
          <w:szCs w:val="20"/>
          <w:lang w:eastAsia="bg-BG"/>
        </w:rPr>
      </w:pPr>
    </w:p>
    <w:p w14:paraId="1B13CDEE" w14:textId="5DDB632E"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При пациенти с подозрение за ДИК, заместването с ИМУНАЙН трябва незабавно да бъде преустановено.</w:t>
      </w:r>
    </w:p>
    <w:p w14:paraId="6567D6BF" w14:textId="77777777" w:rsidR="005B1671" w:rsidRPr="005B1671" w:rsidRDefault="005B1671" w:rsidP="005B1671">
      <w:pPr>
        <w:spacing w:line="240" w:lineRule="auto"/>
        <w:rPr>
          <w:rFonts w:eastAsia="Times New Roman" w:cs="Arial"/>
          <w:color w:val="000000"/>
          <w:szCs w:val="20"/>
          <w:u w:val="single"/>
          <w:lang w:eastAsia="bg-BG"/>
        </w:rPr>
      </w:pPr>
    </w:p>
    <w:p w14:paraId="61CFD895" w14:textId="69044F6C"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u w:val="single"/>
          <w:lang w:eastAsia="bg-BG"/>
        </w:rPr>
        <w:t>Вирусна безопасност</w:t>
      </w:r>
    </w:p>
    <w:p w14:paraId="6F9BF85A" w14:textId="77777777" w:rsidR="005B1671" w:rsidRPr="005B1671" w:rsidRDefault="005B1671" w:rsidP="005B1671">
      <w:pPr>
        <w:pStyle w:val="ListParagraph"/>
        <w:numPr>
          <w:ilvl w:val="0"/>
          <w:numId w:val="38"/>
        </w:numPr>
        <w:spacing w:line="240" w:lineRule="auto"/>
        <w:rPr>
          <w:rFonts w:eastAsia="Times New Roman" w:cs="Arial"/>
          <w:sz w:val="28"/>
          <w:szCs w:val="24"/>
        </w:rPr>
      </w:pPr>
      <w:r w:rsidRPr="005B1671">
        <w:rPr>
          <w:rFonts w:eastAsia="Times New Roman" w:cs="Arial"/>
          <w:color w:val="000000"/>
          <w:szCs w:val="20"/>
          <w:lang w:eastAsia="bg-BG"/>
        </w:rPr>
        <w:t xml:space="preserve">Стандартните мерки за предотвратяване на инфекциозни заболявания, причинени от употребата на лекарствени продукти, получени от човешка кръв или плазма, включват селекция на донорите, скрининг на индивидуалните дарявания и плазмените пулове за специфични маркери на инфекция, както и прилагане на ефективни производствени мерки за инактивиране/отстраняване на вируси. Въпреки това, когато се прилагат лекарствени продукти, получени от човешка кръв или плазма, възможността за предаване на инфекциозни причинители не може да бъде изключена напълно. Това важи </w:t>
      </w:r>
      <w:r w:rsidRPr="005B1671">
        <w:rPr>
          <w:rFonts w:eastAsia="Times New Roman" w:cs="Arial"/>
          <w:i/>
          <w:iCs/>
          <w:color w:val="000000"/>
          <w:szCs w:val="20"/>
          <w:lang w:eastAsia="bg-BG"/>
        </w:rPr>
        <w:t>и</w:t>
      </w:r>
      <w:r w:rsidRPr="005B1671">
        <w:rPr>
          <w:rFonts w:eastAsia="Times New Roman" w:cs="Arial"/>
          <w:color w:val="000000"/>
          <w:szCs w:val="20"/>
          <w:lang w:eastAsia="bg-BG"/>
        </w:rPr>
        <w:t xml:space="preserve"> за неизвестни или нови вируси или други причинители.</w:t>
      </w:r>
    </w:p>
    <w:p w14:paraId="0562732D" w14:textId="77777777" w:rsidR="005B1671" w:rsidRPr="005B1671" w:rsidRDefault="005B1671" w:rsidP="005B1671">
      <w:pPr>
        <w:pStyle w:val="ListParagraph"/>
        <w:numPr>
          <w:ilvl w:val="0"/>
          <w:numId w:val="38"/>
        </w:numPr>
        <w:spacing w:line="240" w:lineRule="auto"/>
        <w:rPr>
          <w:rFonts w:eastAsia="Times New Roman" w:cs="Arial"/>
          <w:sz w:val="28"/>
          <w:szCs w:val="24"/>
        </w:rPr>
      </w:pPr>
      <w:r w:rsidRPr="005B1671">
        <w:rPr>
          <w:rFonts w:eastAsia="Times New Roman" w:cs="Arial"/>
          <w:color w:val="000000"/>
          <w:szCs w:val="20"/>
          <w:lang w:eastAsia="bg-BG"/>
        </w:rPr>
        <w:t xml:space="preserve">Предприетите мерки се смятат за ефективни за обвитите вируси като човешкия имунодефицитен вирус </w:t>
      </w:r>
      <w:r w:rsidRPr="005B1671">
        <w:rPr>
          <w:rFonts w:eastAsia="Times New Roman" w:cs="Arial"/>
          <w:color w:val="000000"/>
          <w:szCs w:val="20"/>
          <w:lang w:val="ru-RU"/>
        </w:rPr>
        <w:t>(</w:t>
      </w:r>
      <w:r w:rsidRPr="005B1671">
        <w:rPr>
          <w:rFonts w:eastAsia="Times New Roman" w:cs="Arial"/>
          <w:color w:val="000000"/>
          <w:szCs w:val="20"/>
          <w:lang w:val="en-US"/>
        </w:rPr>
        <w:t>HIV</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вируса на хепатит В </w:t>
      </w:r>
      <w:r w:rsidRPr="005B1671">
        <w:rPr>
          <w:rFonts w:eastAsia="Times New Roman" w:cs="Arial"/>
          <w:color w:val="000000"/>
          <w:szCs w:val="20"/>
          <w:lang w:val="ru-RU"/>
        </w:rPr>
        <w:t>(</w:t>
      </w:r>
      <w:r w:rsidRPr="005B1671">
        <w:rPr>
          <w:rFonts w:eastAsia="Times New Roman" w:cs="Arial"/>
          <w:color w:val="000000"/>
          <w:szCs w:val="20"/>
          <w:lang w:val="en-US"/>
        </w:rPr>
        <w:t>HBV</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и вируса на хепатит С </w:t>
      </w:r>
      <w:r w:rsidRPr="005B1671">
        <w:rPr>
          <w:rFonts w:eastAsia="Times New Roman" w:cs="Arial"/>
          <w:color w:val="000000"/>
          <w:szCs w:val="20"/>
          <w:lang w:val="ru-RU"/>
        </w:rPr>
        <w:t>(</w:t>
      </w:r>
      <w:r w:rsidRPr="005B1671">
        <w:rPr>
          <w:rFonts w:eastAsia="Times New Roman" w:cs="Arial"/>
          <w:color w:val="000000"/>
          <w:szCs w:val="20"/>
          <w:lang w:val="en-US"/>
        </w:rPr>
        <w:t>HCV</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и за необвития вирус на хепатит </w:t>
      </w:r>
      <w:r w:rsidRPr="005B1671">
        <w:rPr>
          <w:rFonts w:eastAsia="Times New Roman" w:cs="Arial"/>
          <w:color w:val="000000"/>
          <w:szCs w:val="20"/>
          <w:lang w:val="en-US"/>
        </w:rPr>
        <w:t>A</w:t>
      </w:r>
      <w:r w:rsidRPr="005B1671">
        <w:rPr>
          <w:rFonts w:eastAsia="Times New Roman" w:cs="Arial"/>
          <w:color w:val="000000"/>
          <w:szCs w:val="20"/>
          <w:lang w:val="ru-RU"/>
        </w:rPr>
        <w:t xml:space="preserve"> (</w:t>
      </w:r>
      <w:r w:rsidRPr="005B1671">
        <w:rPr>
          <w:rFonts w:eastAsia="Times New Roman" w:cs="Arial"/>
          <w:color w:val="000000"/>
          <w:szCs w:val="20"/>
          <w:lang w:val="en-US"/>
        </w:rPr>
        <w:t>HAV</w:t>
      </w:r>
      <w:r w:rsidRPr="005B1671">
        <w:rPr>
          <w:rFonts w:eastAsia="Times New Roman" w:cs="Arial"/>
          <w:color w:val="000000"/>
          <w:szCs w:val="20"/>
          <w:lang w:val="ru-RU"/>
        </w:rPr>
        <w:t>).</w:t>
      </w:r>
    </w:p>
    <w:p w14:paraId="60AB9C97" w14:textId="77777777" w:rsidR="005B1671" w:rsidRPr="005B1671" w:rsidRDefault="005B1671" w:rsidP="005B1671">
      <w:pPr>
        <w:pStyle w:val="ListParagraph"/>
        <w:numPr>
          <w:ilvl w:val="0"/>
          <w:numId w:val="38"/>
        </w:numPr>
        <w:spacing w:line="240" w:lineRule="auto"/>
        <w:rPr>
          <w:rFonts w:eastAsia="Times New Roman" w:cs="Arial"/>
          <w:sz w:val="28"/>
          <w:szCs w:val="24"/>
        </w:rPr>
      </w:pPr>
      <w:r w:rsidRPr="005B1671">
        <w:rPr>
          <w:rFonts w:eastAsia="Times New Roman" w:cs="Arial"/>
          <w:color w:val="000000"/>
          <w:szCs w:val="20"/>
          <w:lang w:eastAsia="bg-BG"/>
        </w:rPr>
        <w:lastRenderedPageBreak/>
        <w:t>Предприетите мерки могат да имат ограничена ефективност при необвити вируси като парвовирус В19. Парвовирус В19 може да причини сериозна инфекция при бременни жени (увреждане на плода), както и при лица с имунодефицитни състояния или ускорена еритропоеза (напр. хемолитична анемия).</w:t>
      </w:r>
    </w:p>
    <w:p w14:paraId="0252BAA1" w14:textId="4266111F" w:rsidR="005B1671" w:rsidRPr="005B1671" w:rsidRDefault="005B1671" w:rsidP="005B1671">
      <w:pPr>
        <w:pStyle w:val="ListParagraph"/>
        <w:numPr>
          <w:ilvl w:val="0"/>
          <w:numId w:val="38"/>
        </w:numPr>
        <w:spacing w:line="240" w:lineRule="auto"/>
        <w:rPr>
          <w:rFonts w:eastAsia="Times New Roman" w:cs="Arial"/>
          <w:sz w:val="28"/>
          <w:szCs w:val="24"/>
        </w:rPr>
      </w:pPr>
      <w:r w:rsidRPr="005B1671">
        <w:rPr>
          <w:rFonts w:eastAsia="Times New Roman" w:cs="Arial"/>
          <w:color w:val="000000"/>
          <w:szCs w:val="20"/>
          <w:lang w:eastAsia="bg-BG"/>
        </w:rPr>
        <w:t>Препоръчва се подходяща имунизация (хепатит А и В) при пациенти, които получават редовно фактор IX концентрати, получени от човешка плазма.</w:t>
      </w:r>
    </w:p>
    <w:p w14:paraId="39243FEC" w14:textId="77777777" w:rsidR="005B1671" w:rsidRPr="005B1671" w:rsidRDefault="005B1671" w:rsidP="005B1671">
      <w:pPr>
        <w:spacing w:line="240" w:lineRule="auto"/>
        <w:rPr>
          <w:rFonts w:eastAsia="Times New Roman" w:cs="Arial"/>
          <w:b/>
          <w:bCs/>
          <w:color w:val="000000"/>
          <w:szCs w:val="20"/>
          <w:lang w:eastAsia="bg-BG"/>
        </w:rPr>
      </w:pPr>
    </w:p>
    <w:p w14:paraId="3ACE5B06" w14:textId="32A32DE4" w:rsidR="005B1671" w:rsidRPr="005B1671" w:rsidRDefault="005B1671" w:rsidP="005B1671">
      <w:pPr>
        <w:spacing w:line="240" w:lineRule="auto"/>
        <w:rPr>
          <w:rFonts w:eastAsia="Times New Roman" w:cs="Arial"/>
          <w:sz w:val="28"/>
          <w:szCs w:val="24"/>
        </w:rPr>
      </w:pPr>
      <w:r w:rsidRPr="005B1671">
        <w:rPr>
          <w:rFonts w:eastAsia="Times New Roman" w:cs="Arial"/>
          <w:b/>
          <w:bCs/>
          <w:color w:val="000000"/>
          <w:szCs w:val="20"/>
          <w:lang w:eastAsia="bg-BG"/>
        </w:rPr>
        <w:t>Предпазни мерки при употреба</w:t>
      </w:r>
    </w:p>
    <w:p w14:paraId="42EC208B" w14:textId="77777777" w:rsidR="005B1671" w:rsidRPr="005B1671" w:rsidRDefault="005B1671" w:rsidP="005B1671">
      <w:pPr>
        <w:spacing w:line="240" w:lineRule="auto"/>
        <w:rPr>
          <w:rFonts w:eastAsia="Times New Roman" w:cs="Arial"/>
          <w:color w:val="000000"/>
          <w:szCs w:val="20"/>
          <w:u w:val="single"/>
          <w:lang w:eastAsia="bg-BG"/>
        </w:rPr>
      </w:pPr>
    </w:p>
    <w:p w14:paraId="1986D94A" w14:textId="3EB50E23"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u w:val="single"/>
          <w:lang w:eastAsia="bg-BG"/>
        </w:rPr>
        <w:t>Съдържание на натрий</w:t>
      </w:r>
    </w:p>
    <w:p w14:paraId="4F87F2B6" w14:textId="77A94770" w:rsidR="005B1671" w:rsidRPr="005B1671" w:rsidRDefault="005B1671" w:rsidP="005B1671">
      <w:pPr>
        <w:rPr>
          <w:rFonts w:cs="Arial"/>
          <w:sz w:val="24"/>
        </w:rPr>
      </w:pPr>
    </w:p>
    <w:p w14:paraId="59E2CBF9"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Този лекарствен продукт съдържа 20 </w:t>
      </w:r>
      <w:r w:rsidRPr="005B1671">
        <w:rPr>
          <w:rFonts w:eastAsia="Times New Roman" w:cs="Arial"/>
          <w:color w:val="000000"/>
          <w:szCs w:val="20"/>
          <w:lang w:val="en-US"/>
        </w:rPr>
        <w:t>mg</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натрий на флакон, което се равнява на 1% от препоръчания от СЗО максимален дневен прием на 2 </w:t>
      </w:r>
      <w:r w:rsidRPr="005B1671">
        <w:rPr>
          <w:rFonts w:eastAsia="Times New Roman" w:cs="Arial"/>
          <w:color w:val="000000"/>
          <w:szCs w:val="20"/>
          <w:lang w:val="en-US"/>
        </w:rPr>
        <w:t>g</w:t>
      </w:r>
      <w:r w:rsidRPr="005B1671">
        <w:rPr>
          <w:rFonts w:eastAsia="Times New Roman" w:cs="Arial"/>
          <w:color w:val="000000"/>
          <w:szCs w:val="20"/>
          <w:lang w:val="ru-RU"/>
        </w:rPr>
        <w:t xml:space="preserve"> </w:t>
      </w:r>
      <w:r w:rsidRPr="005B1671">
        <w:rPr>
          <w:rFonts w:eastAsia="Times New Roman" w:cs="Arial"/>
          <w:color w:val="000000"/>
          <w:szCs w:val="20"/>
          <w:lang w:eastAsia="bg-BG"/>
        </w:rPr>
        <w:t>натрий за възрастен.</w:t>
      </w:r>
    </w:p>
    <w:p w14:paraId="342696D0" w14:textId="77777777" w:rsidR="005B1671" w:rsidRPr="005B1671" w:rsidRDefault="005B1671" w:rsidP="005B1671"/>
    <w:p w14:paraId="0734264C" w14:textId="2C8D9FBC"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035C191" w14:textId="394FC273" w:rsidR="005B1671" w:rsidRDefault="005B1671" w:rsidP="005B1671"/>
    <w:p w14:paraId="43E38966" w14:textId="171F6FEB" w:rsidR="005B1671" w:rsidRDefault="005B1671" w:rsidP="005B1671">
      <w:pPr>
        <w:rPr>
          <w:lang w:eastAsia="bg-BG"/>
        </w:rPr>
      </w:pPr>
      <w:r w:rsidRPr="005B1671">
        <w:rPr>
          <w:lang w:eastAsia="bg-BG"/>
        </w:rPr>
        <w:t>Досега не са провеждани проучвания за взаимодействия с ИМУНАЙН.</w:t>
      </w:r>
    </w:p>
    <w:p w14:paraId="2C155108" w14:textId="77777777" w:rsidR="005B1671" w:rsidRPr="005B1671" w:rsidRDefault="005B1671" w:rsidP="005B1671">
      <w:pPr>
        <w:rPr>
          <w:sz w:val="24"/>
          <w:szCs w:val="24"/>
        </w:rPr>
      </w:pPr>
    </w:p>
    <w:p w14:paraId="5D9F40EA" w14:textId="48D25E65" w:rsidR="007122AD" w:rsidRDefault="002C50EE" w:rsidP="00936AD0">
      <w:pPr>
        <w:pStyle w:val="Heading2"/>
      </w:pPr>
      <w:r>
        <w:t>4.6. Фертилитет, бременност и кърмене</w:t>
      </w:r>
    </w:p>
    <w:p w14:paraId="497C3543" w14:textId="3D142CBF" w:rsidR="005B1671" w:rsidRDefault="005B1671" w:rsidP="005B1671"/>
    <w:p w14:paraId="67883F2F"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Не са провеждани проучвания при животни с фактор IX относно въздействието върху репродуктивността. Поради редките случаи на хемофилия В при жени, няма достатъчно опит относно приложението на фактор IX по време на бременност и кърмене. Затова при бременни и кърмещи жени, фактор IX трябва да се прилага само ако е строго показано.</w:t>
      </w:r>
    </w:p>
    <w:p w14:paraId="012C1BBE" w14:textId="77777777" w:rsidR="005B1671" w:rsidRPr="005B1671" w:rsidRDefault="005B1671" w:rsidP="005B1671">
      <w:pPr>
        <w:spacing w:line="240" w:lineRule="auto"/>
        <w:rPr>
          <w:rFonts w:eastAsia="Times New Roman" w:cs="Arial"/>
          <w:color w:val="000000"/>
          <w:szCs w:val="20"/>
          <w:lang w:eastAsia="bg-BG"/>
        </w:rPr>
      </w:pPr>
    </w:p>
    <w:p w14:paraId="70ECDCD1" w14:textId="1FE3CC94"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Не са установени ефекти на ИМУНАЙН върху фертилитета.</w:t>
      </w:r>
    </w:p>
    <w:p w14:paraId="5D083B9D" w14:textId="77777777" w:rsidR="005B1671" w:rsidRPr="005B1671" w:rsidRDefault="005B1671" w:rsidP="005B1671">
      <w:pPr>
        <w:spacing w:line="240" w:lineRule="auto"/>
        <w:rPr>
          <w:rFonts w:eastAsia="Times New Roman" w:cs="Arial"/>
          <w:color w:val="000000"/>
          <w:szCs w:val="20"/>
          <w:lang w:eastAsia="bg-BG"/>
        </w:rPr>
      </w:pPr>
    </w:p>
    <w:p w14:paraId="49E02999" w14:textId="37A8AD2C"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По отношение на риска от инфектиране с парвовирус В19, вижте информацията под заглавие "Вирусна безопасност” в точка 4.4.</w:t>
      </w:r>
    </w:p>
    <w:p w14:paraId="4A057A52" w14:textId="77777777" w:rsidR="005B1671" w:rsidRPr="005B1671" w:rsidRDefault="005B1671" w:rsidP="005B1671"/>
    <w:p w14:paraId="5DD7A76D" w14:textId="58FFCC8A" w:rsidR="007122AD" w:rsidRDefault="002C50EE" w:rsidP="00936AD0">
      <w:pPr>
        <w:pStyle w:val="Heading2"/>
      </w:pPr>
      <w:r>
        <w:t>4.7. Ефекти върху способността за шофиране и работа с машини</w:t>
      </w:r>
    </w:p>
    <w:p w14:paraId="6856B953" w14:textId="62109445" w:rsidR="005B1671" w:rsidRDefault="005B1671" w:rsidP="005B1671"/>
    <w:p w14:paraId="31150338" w14:textId="3F2C5DDF" w:rsidR="005B1671" w:rsidRDefault="005B1671" w:rsidP="005B1671">
      <w:r>
        <w:t>ИМУНАЙН не повлиява способността за шофиране и работа с машини.</w:t>
      </w:r>
    </w:p>
    <w:p w14:paraId="2419F713" w14:textId="77777777" w:rsidR="005B1671" w:rsidRPr="005B1671" w:rsidRDefault="005B1671" w:rsidP="005B1671"/>
    <w:p w14:paraId="44CE30A3" w14:textId="67BDF93F" w:rsidR="007122AD" w:rsidRDefault="002C50EE" w:rsidP="00936AD0">
      <w:pPr>
        <w:pStyle w:val="Heading2"/>
      </w:pPr>
      <w:r>
        <w:t>4.8. Нежелани лекарствени реакции</w:t>
      </w:r>
    </w:p>
    <w:p w14:paraId="7E0FCCAF" w14:textId="13285D2F" w:rsidR="005B1671" w:rsidRDefault="005B1671" w:rsidP="005B1671"/>
    <w:p w14:paraId="5C1CCBF9"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u w:val="single"/>
          <w:lang w:eastAsia="bg-BG"/>
        </w:rPr>
        <w:t>Обобщение на профила на безопасност</w:t>
      </w:r>
    </w:p>
    <w:p w14:paraId="57C9EB9E"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При пациенти, лекувани с продукти съдържащи фактор IX са наблюдавани свръхчувствителност или алергични реакции, които могат да включват ангионевротичен оток, парене или смъдене на мястото на вливане, студени тръпки, зачервяване, генерализирана уртикария, главоболие, обрив, хипотония, летаргия, гадене, безпокойство, тахикардия, стягане в гърдите, изтръпване, повръщане, хрипове.</w:t>
      </w:r>
    </w:p>
    <w:p w14:paraId="7860F645"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В някои случаи тези реакции са прогресирали да тежка анафилаксия и са възниквали в тясна времева връзка с образуването на инхибитори на фактор IX (вижте също точка 4.4).</w:t>
      </w:r>
    </w:p>
    <w:p w14:paraId="0D855018" w14:textId="77777777" w:rsidR="005B1671" w:rsidRPr="005B1671" w:rsidRDefault="005B1671" w:rsidP="005B1671">
      <w:pPr>
        <w:spacing w:line="240" w:lineRule="auto"/>
        <w:rPr>
          <w:rFonts w:eastAsia="Times New Roman" w:cs="Arial"/>
          <w:color w:val="000000"/>
          <w:szCs w:val="20"/>
          <w:lang w:eastAsia="bg-BG"/>
        </w:rPr>
      </w:pPr>
    </w:p>
    <w:p w14:paraId="3AD4A828" w14:textId="311F0165"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lastRenderedPageBreak/>
        <w:t>Има съобщения за нефротичен синдром след опити за индуциране на имунна толерантност при пациенти, страдащи от хемофилия В с инхибитори на фактор IX и с анамнеза за алергична реакция.</w:t>
      </w:r>
    </w:p>
    <w:p w14:paraId="1471226F" w14:textId="77777777" w:rsidR="005B1671" w:rsidRPr="005B1671" w:rsidRDefault="005B1671" w:rsidP="005B1671">
      <w:pPr>
        <w:spacing w:line="240" w:lineRule="auto"/>
        <w:rPr>
          <w:rFonts w:eastAsia="Times New Roman" w:cs="Arial"/>
          <w:color w:val="000000"/>
          <w:szCs w:val="20"/>
          <w:lang w:eastAsia="bg-BG"/>
        </w:rPr>
      </w:pPr>
    </w:p>
    <w:p w14:paraId="0B43E060" w14:textId="4E5E585F"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В редки случаи е наблюдавана висока температура.</w:t>
      </w:r>
    </w:p>
    <w:p w14:paraId="430E1E3C" w14:textId="77777777" w:rsidR="005B1671" w:rsidRPr="005B1671" w:rsidRDefault="005B1671" w:rsidP="005B1671">
      <w:pPr>
        <w:spacing w:line="240" w:lineRule="auto"/>
        <w:rPr>
          <w:rFonts w:eastAsia="Times New Roman" w:cs="Arial"/>
          <w:color w:val="000000"/>
          <w:szCs w:val="20"/>
          <w:lang w:eastAsia="bg-BG"/>
        </w:rPr>
      </w:pPr>
    </w:p>
    <w:p w14:paraId="46036E2F" w14:textId="5342C1B5"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При пациенти, страдащи от хемофилия В, може да се образуват неутрализиращи антитела (инхибитори) към фактор IX (вижте точка 4.4). Образуването на такива инхибитори се проявява като недостатъчен клиничен отговор. В такива случаи се препоръчва да се осъществи връзка със специализиран център по хемофилия.</w:t>
      </w:r>
    </w:p>
    <w:p w14:paraId="2608B311" w14:textId="77777777" w:rsidR="005B1671" w:rsidRPr="005B1671" w:rsidRDefault="005B1671" w:rsidP="005B1671">
      <w:pPr>
        <w:spacing w:line="240" w:lineRule="auto"/>
        <w:rPr>
          <w:rFonts w:eastAsia="Times New Roman" w:cs="Arial"/>
          <w:color w:val="000000"/>
          <w:szCs w:val="20"/>
          <w:lang w:eastAsia="bg-BG"/>
        </w:rPr>
      </w:pPr>
    </w:p>
    <w:p w14:paraId="0CA6DA78" w14:textId="0FAAC9B4"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Съществува потенциален риск от възникване на тромбоемболични епизоди след прилагане на продукти с фактор IX, като рискът е по-висок при по-слабо пречистени продукти. Употребата на по- слабо пречистени продукти с фактор IX е свързана със случаи на инфаркт на миокарда, дисеминирана вътресъдова коагулация, венозна тромбоза и белодробен емболизъм. Употребата на продукти с фактор IX с висока чистота рядко е свързана с нежелани реакции.</w:t>
      </w:r>
    </w:p>
    <w:p w14:paraId="0D01B86F" w14:textId="77777777" w:rsidR="005B1671" w:rsidRPr="005B1671" w:rsidRDefault="005B1671" w:rsidP="005B1671">
      <w:pPr>
        <w:spacing w:line="240" w:lineRule="auto"/>
        <w:rPr>
          <w:rFonts w:eastAsia="Times New Roman" w:cs="Arial"/>
          <w:color w:val="000000"/>
          <w:szCs w:val="20"/>
          <w:lang w:eastAsia="bg-BG"/>
        </w:rPr>
      </w:pPr>
    </w:p>
    <w:p w14:paraId="7817D574" w14:textId="36CA6140"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За информация относно вирусната безопасност вижте точка 4.4.</w:t>
      </w:r>
    </w:p>
    <w:p w14:paraId="11CB4CD9" w14:textId="77777777" w:rsidR="005B1671" w:rsidRPr="005B1671" w:rsidRDefault="005B1671" w:rsidP="005B1671">
      <w:pPr>
        <w:spacing w:line="240" w:lineRule="auto"/>
        <w:rPr>
          <w:rFonts w:eastAsia="Times New Roman" w:cs="Arial"/>
          <w:color w:val="000000"/>
          <w:szCs w:val="20"/>
          <w:u w:val="single"/>
          <w:lang w:eastAsia="bg-BG"/>
        </w:rPr>
      </w:pPr>
    </w:p>
    <w:p w14:paraId="4564B542" w14:textId="160D282F"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u w:val="single"/>
          <w:lang w:eastAsia="bg-BG"/>
        </w:rPr>
        <w:t>Списък на нежеланите реакции в табличен вид</w:t>
      </w:r>
    </w:p>
    <w:p w14:paraId="74D2C965" w14:textId="77777777" w:rsidR="005B1671" w:rsidRPr="005B1671" w:rsidRDefault="005B1671" w:rsidP="005B1671">
      <w:pPr>
        <w:spacing w:line="240" w:lineRule="auto"/>
        <w:rPr>
          <w:rFonts w:eastAsia="Times New Roman" w:cs="Arial"/>
          <w:color w:val="000000"/>
          <w:szCs w:val="20"/>
          <w:lang w:eastAsia="bg-BG"/>
        </w:rPr>
      </w:pPr>
    </w:p>
    <w:p w14:paraId="438A7107" w14:textId="55851563" w:rsidR="005B1671" w:rsidRPr="005B1671" w:rsidRDefault="005B1671" w:rsidP="005B1671">
      <w:pPr>
        <w:spacing w:line="240" w:lineRule="auto"/>
        <w:rPr>
          <w:rFonts w:eastAsia="Times New Roman" w:cs="Arial"/>
          <w:color w:val="000000"/>
          <w:szCs w:val="20"/>
          <w:lang w:eastAsia="bg-BG"/>
        </w:rPr>
      </w:pPr>
      <w:r w:rsidRPr="005B1671">
        <w:rPr>
          <w:rFonts w:eastAsia="Times New Roman" w:cs="Arial"/>
          <w:color w:val="000000"/>
          <w:szCs w:val="20"/>
          <w:lang w:eastAsia="bg-BG"/>
        </w:rPr>
        <w:t xml:space="preserve">По-долната таблица е изготвена съгласно системо-органната класификация по </w:t>
      </w:r>
      <w:proofErr w:type="spellStart"/>
      <w:r w:rsidRPr="005B1671">
        <w:rPr>
          <w:rFonts w:eastAsia="Times New Roman" w:cs="Arial"/>
          <w:color w:val="000000"/>
          <w:szCs w:val="20"/>
          <w:lang w:val="en-US"/>
        </w:rPr>
        <w:t>MedDRA</w:t>
      </w:r>
      <w:proofErr w:type="spellEnd"/>
      <w:r w:rsidRPr="005B1671">
        <w:rPr>
          <w:rFonts w:eastAsia="Times New Roman" w:cs="Arial"/>
          <w:color w:val="000000"/>
          <w:szCs w:val="20"/>
          <w:lang w:val="ru-RU"/>
        </w:rPr>
        <w:t xml:space="preserve"> (</w:t>
      </w:r>
      <w:r w:rsidRPr="005B1671">
        <w:rPr>
          <w:rFonts w:eastAsia="Times New Roman" w:cs="Arial"/>
          <w:color w:val="000000"/>
          <w:szCs w:val="20"/>
          <w:lang w:eastAsia="bg-BG"/>
        </w:rPr>
        <w:t>СОК и предпочитан термин).</w:t>
      </w:r>
    </w:p>
    <w:p w14:paraId="6D924DCE" w14:textId="20BFC5AF" w:rsidR="005B1671" w:rsidRPr="005B1671" w:rsidRDefault="005B1671" w:rsidP="005B1671">
      <w:pPr>
        <w:spacing w:line="240" w:lineRule="auto"/>
        <w:rPr>
          <w:rFonts w:eastAsia="Times New Roman" w:cs="Arial"/>
          <w:color w:val="000000"/>
          <w:szCs w:val="20"/>
          <w:lang w:eastAsia="bg-BG"/>
        </w:rPr>
      </w:pPr>
    </w:p>
    <w:p w14:paraId="2EF107E5"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Нежеланите реакции, изброени по-долу, се основават на данните от клинични изпитвания, проведени с ИМУНАЙН при 197 души, както и на данните от наблюдението през постмаркетинговия период.</w:t>
      </w:r>
    </w:p>
    <w:p w14:paraId="07EBF3CF" w14:textId="77777777" w:rsidR="005B1671" w:rsidRPr="005B1671" w:rsidRDefault="005B1671" w:rsidP="005B1671">
      <w:pPr>
        <w:spacing w:line="240" w:lineRule="auto"/>
        <w:rPr>
          <w:rFonts w:eastAsia="Times New Roman" w:cs="Arial"/>
          <w:color w:val="000000"/>
          <w:szCs w:val="20"/>
          <w:lang w:eastAsia="bg-BG"/>
        </w:rPr>
      </w:pPr>
    </w:p>
    <w:p w14:paraId="6FC8ABFD" w14:textId="007AF3E9"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Честотите са определени съгласно следната конвенция: много чести (≥1/10), чести (≥ 1/100; &lt; 1/10), нечести (≥ 1/1,000; &lt; 1/100), редки (≥ 1/10,000; &lt; 1/1,000) и много редки (&lt;1/10,000), и с неизвестна честота (от наличните данни не може да бъде направена оценка).</w:t>
      </w:r>
    </w:p>
    <w:p w14:paraId="780F8923" w14:textId="77777777" w:rsidR="005B1671" w:rsidRPr="005B1671" w:rsidRDefault="005B1671" w:rsidP="005B1671">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30"/>
        <w:gridCol w:w="3143"/>
        <w:gridCol w:w="3077"/>
      </w:tblGrid>
      <w:tr w:rsidR="005B1671" w14:paraId="18AF4239" w14:textId="77777777" w:rsidTr="00DA5085">
        <w:tc>
          <w:tcPr>
            <w:tcW w:w="3192" w:type="dxa"/>
            <w:vAlign w:val="bottom"/>
          </w:tcPr>
          <w:p w14:paraId="5D964FAD" w14:textId="4AED137D" w:rsidR="005B1671" w:rsidRPr="005B1671" w:rsidRDefault="005B1671" w:rsidP="005B1671">
            <w:r w:rsidRPr="005B1671">
              <w:rPr>
                <w:b/>
                <w:bCs/>
                <w:szCs w:val="20"/>
              </w:rPr>
              <w:t xml:space="preserve">Системо-органен клас по </w:t>
            </w:r>
            <w:proofErr w:type="spellStart"/>
            <w:r w:rsidRPr="005B1671">
              <w:rPr>
                <w:b/>
                <w:bCs/>
                <w:szCs w:val="20"/>
                <w:lang w:val="en-US"/>
              </w:rPr>
              <w:t>MedDRA</w:t>
            </w:r>
            <w:proofErr w:type="spellEnd"/>
          </w:p>
        </w:tc>
        <w:tc>
          <w:tcPr>
            <w:tcW w:w="3192" w:type="dxa"/>
          </w:tcPr>
          <w:p w14:paraId="6A7B806E" w14:textId="0411876B" w:rsidR="005B1671" w:rsidRPr="005B1671" w:rsidRDefault="005B1671" w:rsidP="005B1671">
            <w:r w:rsidRPr="005B1671">
              <w:rPr>
                <w:b/>
                <w:bCs/>
                <w:szCs w:val="20"/>
              </w:rPr>
              <w:t>Нежелана реакция</w:t>
            </w:r>
          </w:p>
        </w:tc>
        <w:tc>
          <w:tcPr>
            <w:tcW w:w="3192" w:type="dxa"/>
          </w:tcPr>
          <w:p w14:paraId="1EFADAF9" w14:textId="2F84C1A7" w:rsidR="005B1671" w:rsidRPr="005B1671" w:rsidRDefault="005B1671" w:rsidP="005B1671">
            <w:r w:rsidRPr="005B1671">
              <w:rPr>
                <w:b/>
                <w:bCs/>
                <w:szCs w:val="20"/>
              </w:rPr>
              <w:t>Честота</w:t>
            </w:r>
          </w:p>
        </w:tc>
      </w:tr>
      <w:tr w:rsidR="005B1671" w14:paraId="227C7856" w14:textId="77777777" w:rsidTr="005B1671">
        <w:tc>
          <w:tcPr>
            <w:tcW w:w="3192" w:type="dxa"/>
            <w:vMerge w:val="restart"/>
          </w:tcPr>
          <w:p w14:paraId="168C4E4A" w14:textId="1305FCD6" w:rsidR="005B1671" w:rsidRPr="005B1671" w:rsidRDefault="005B1671" w:rsidP="005B1671">
            <w:r w:rsidRPr="005B1671">
              <w:rPr>
                <w:szCs w:val="20"/>
              </w:rPr>
              <w:t>НАРУШЕНИЯ НА КРЪВТА И ЛИМФНАТА СИСТЕМА</w:t>
            </w:r>
          </w:p>
        </w:tc>
        <w:tc>
          <w:tcPr>
            <w:tcW w:w="3192" w:type="dxa"/>
          </w:tcPr>
          <w:p w14:paraId="1FA42E99" w14:textId="67C1570F" w:rsidR="005B1671" w:rsidRPr="005B1671" w:rsidRDefault="005B1671" w:rsidP="005B1671">
            <w:r w:rsidRPr="005B1671">
              <w:rPr>
                <w:szCs w:val="20"/>
              </w:rPr>
              <w:t>Фактор IX инхибиране</w:t>
            </w:r>
          </w:p>
        </w:tc>
        <w:tc>
          <w:tcPr>
            <w:tcW w:w="3192" w:type="dxa"/>
          </w:tcPr>
          <w:p w14:paraId="789C6285" w14:textId="7F35D8ED" w:rsidR="005B1671" w:rsidRPr="005B1671" w:rsidRDefault="005B1671" w:rsidP="005B1671">
            <w:r w:rsidRPr="005B1671">
              <w:rPr>
                <w:szCs w:val="20"/>
              </w:rPr>
              <w:t>С неизвестна честота</w:t>
            </w:r>
          </w:p>
        </w:tc>
      </w:tr>
      <w:tr w:rsidR="005B1671" w14:paraId="19A3DEC8" w14:textId="77777777" w:rsidTr="00DA5085">
        <w:tc>
          <w:tcPr>
            <w:tcW w:w="3192" w:type="dxa"/>
            <w:vMerge/>
          </w:tcPr>
          <w:p w14:paraId="1C214400" w14:textId="77777777" w:rsidR="005B1671" w:rsidRPr="005B1671" w:rsidRDefault="005B1671" w:rsidP="005B1671"/>
        </w:tc>
        <w:tc>
          <w:tcPr>
            <w:tcW w:w="3192" w:type="dxa"/>
            <w:vAlign w:val="bottom"/>
          </w:tcPr>
          <w:p w14:paraId="433A75CA" w14:textId="4FCFED50" w:rsidR="005B1671" w:rsidRPr="005B1671" w:rsidRDefault="005B1671" w:rsidP="005B1671">
            <w:r w:rsidRPr="005B1671">
              <w:rPr>
                <w:szCs w:val="20"/>
              </w:rPr>
              <w:t>Дисеминирана вътресъдова коагулация</w:t>
            </w:r>
          </w:p>
        </w:tc>
        <w:tc>
          <w:tcPr>
            <w:tcW w:w="3192" w:type="dxa"/>
          </w:tcPr>
          <w:p w14:paraId="34C58C4B" w14:textId="76D00195" w:rsidR="005B1671" w:rsidRPr="005B1671" w:rsidRDefault="005B1671" w:rsidP="005B1671">
            <w:r w:rsidRPr="005B1671">
              <w:rPr>
                <w:szCs w:val="20"/>
              </w:rPr>
              <w:t>С неизвестна честота</w:t>
            </w:r>
          </w:p>
        </w:tc>
      </w:tr>
      <w:tr w:rsidR="005B1671" w14:paraId="7F77A0A8" w14:textId="77777777" w:rsidTr="00DA5085">
        <w:tc>
          <w:tcPr>
            <w:tcW w:w="3192" w:type="dxa"/>
            <w:vMerge w:val="restart"/>
          </w:tcPr>
          <w:p w14:paraId="3EA667B6" w14:textId="24D9A412" w:rsidR="005B1671" w:rsidRPr="005B1671" w:rsidRDefault="005B1671" w:rsidP="005B1671">
            <w:r w:rsidRPr="005B1671">
              <w:rPr>
                <w:szCs w:val="20"/>
              </w:rPr>
              <w:t>НАРУШЕНИЯ НА ИМУННАТА СИСТЕМА</w:t>
            </w:r>
          </w:p>
        </w:tc>
        <w:tc>
          <w:tcPr>
            <w:tcW w:w="3192" w:type="dxa"/>
            <w:vAlign w:val="bottom"/>
          </w:tcPr>
          <w:p w14:paraId="10E58EC8" w14:textId="4C781297" w:rsidR="005B1671" w:rsidRPr="005B1671" w:rsidRDefault="005B1671" w:rsidP="005B1671">
            <w:r w:rsidRPr="005B1671">
              <w:rPr>
                <w:szCs w:val="20"/>
              </w:rPr>
              <w:t>Алергична реакция</w:t>
            </w:r>
          </w:p>
        </w:tc>
        <w:tc>
          <w:tcPr>
            <w:tcW w:w="3192" w:type="dxa"/>
            <w:vAlign w:val="bottom"/>
          </w:tcPr>
          <w:p w14:paraId="51A34414" w14:textId="356E12B5" w:rsidR="005B1671" w:rsidRPr="005B1671" w:rsidRDefault="005B1671" w:rsidP="005B1671">
            <w:r w:rsidRPr="005B1671">
              <w:rPr>
                <w:szCs w:val="20"/>
              </w:rPr>
              <w:t>С неизвестна честота</w:t>
            </w:r>
          </w:p>
        </w:tc>
      </w:tr>
      <w:tr w:rsidR="005B1671" w14:paraId="33D65BF1" w14:textId="77777777" w:rsidTr="00DA5085">
        <w:tc>
          <w:tcPr>
            <w:tcW w:w="3192" w:type="dxa"/>
            <w:vMerge/>
          </w:tcPr>
          <w:p w14:paraId="2B5B54BA" w14:textId="77777777" w:rsidR="005B1671" w:rsidRPr="005B1671" w:rsidRDefault="005B1671" w:rsidP="005B1671"/>
        </w:tc>
        <w:tc>
          <w:tcPr>
            <w:tcW w:w="3192" w:type="dxa"/>
            <w:vAlign w:val="bottom"/>
          </w:tcPr>
          <w:p w14:paraId="69CE3B9C" w14:textId="5AD07A27" w:rsidR="005B1671" w:rsidRPr="005B1671" w:rsidRDefault="005B1671" w:rsidP="005B1671">
            <w:r w:rsidRPr="005B1671">
              <w:rPr>
                <w:szCs w:val="20"/>
              </w:rPr>
              <w:t>Анафилакгична реакция/ Анафилактоидна реакция</w:t>
            </w:r>
          </w:p>
        </w:tc>
        <w:tc>
          <w:tcPr>
            <w:tcW w:w="3192" w:type="dxa"/>
          </w:tcPr>
          <w:p w14:paraId="27D1B9EC" w14:textId="0AEB0030" w:rsidR="005B1671" w:rsidRPr="005B1671" w:rsidRDefault="005B1671" w:rsidP="005B1671">
            <w:r w:rsidRPr="005B1671">
              <w:rPr>
                <w:szCs w:val="20"/>
              </w:rPr>
              <w:t>С неизвестна честота</w:t>
            </w:r>
          </w:p>
        </w:tc>
      </w:tr>
      <w:tr w:rsidR="005B1671" w14:paraId="1C7753CC" w14:textId="77777777" w:rsidTr="005B1671">
        <w:tc>
          <w:tcPr>
            <w:tcW w:w="3192" w:type="dxa"/>
            <w:vMerge/>
          </w:tcPr>
          <w:p w14:paraId="4191F1C9" w14:textId="77777777" w:rsidR="005B1671" w:rsidRPr="005B1671" w:rsidRDefault="005B1671" w:rsidP="005B1671"/>
        </w:tc>
        <w:tc>
          <w:tcPr>
            <w:tcW w:w="3192" w:type="dxa"/>
          </w:tcPr>
          <w:p w14:paraId="16F57F91" w14:textId="7472F8FE" w:rsidR="005B1671" w:rsidRPr="005B1671" w:rsidRDefault="005B1671" w:rsidP="005B1671">
            <w:r w:rsidRPr="005B1671">
              <w:rPr>
                <w:szCs w:val="20"/>
              </w:rPr>
              <w:t>Ангиоедем</w:t>
            </w:r>
          </w:p>
        </w:tc>
        <w:tc>
          <w:tcPr>
            <w:tcW w:w="3192" w:type="dxa"/>
          </w:tcPr>
          <w:p w14:paraId="632BA575" w14:textId="79C71404" w:rsidR="005B1671" w:rsidRPr="005B1671" w:rsidRDefault="005B1671" w:rsidP="005B1671">
            <w:r w:rsidRPr="005B1671">
              <w:rPr>
                <w:szCs w:val="20"/>
              </w:rPr>
              <w:t>С неизвестна честота</w:t>
            </w:r>
          </w:p>
        </w:tc>
      </w:tr>
      <w:tr w:rsidR="005B1671" w14:paraId="5F0CCDC1" w14:textId="77777777" w:rsidTr="00DA5085">
        <w:tc>
          <w:tcPr>
            <w:tcW w:w="3192" w:type="dxa"/>
            <w:vMerge/>
          </w:tcPr>
          <w:p w14:paraId="28D667DE" w14:textId="77777777" w:rsidR="005B1671" w:rsidRPr="005B1671" w:rsidRDefault="005B1671" w:rsidP="005B1671"/>
        </w:tc>
        <w:tc>
          <w:tcPr>
            <w:tcW w:w="3192" w:type="dxa"/>
            <w:vAlign w:val="bottom"/>
          </w:tcPr>
          <w:p w14:paraId="445B7050" w14:textId="6557E572" w:rsidR="005B1671" w:rsidRPr="005B1671" w:rsidRDefault="005B1671" w:rsidP="005B1671">
            <w:r w:rsidRPr="005B1671">
              <w:rPr>
                <w:szCs w:val="20"/>
              </w:rPr>
              <w:t>Обрив</w:t>
            </w:r>
          </w:p>
        </w:tc>
        <w:tc>
          <w:tcPr>
            <w:tcW w:w="3192" w:type="dxa"/>
            <w:vAlign w:val="bottom"/>
          </w:tcPr>
          <w:p w14:paraId="02F07D8A" w14:textId="780A3A53" w:rsidR="005B1671" w:rsidRPr="005B1671" w:rsidRDefault="005B1671" w:rsidP="005B1671">
            <w:r w:rsidRPr="005B1671">
              <w:rPr>
                <w:szCs w:val="20"/>
              </w:rPr>
              <w:t>С неизвестна честота</w:t>
            </w:r>
          </w:p>
        </w:tc>
      </w:tr>
      <w:tr w:rsidR="005B1671" w14:paraId="759ECDFC" w14:textId="77777777" w:rsidTr="00DA5085">
        <w:tc>
          <w:tcPr>
            <w:tcW w:w="3192" w:type="dxa"/>
            <w:vMerge/>
          </w:tcPr>
          <w:p w14:paraId="093E4EEB" w14:textId="77777777" w:rsidR="005B1671" w:rsidRPr="005B1671" w:rsidRDefault="005B1671" w:rsidP="005B1671"/>
        </w:tc>
        <w:tc>
          <w:tcPr>
            <w:tcW w:w="3192" w:type="dxa"/>
            <w:vAlign w:val="bottom"/>
          </w:tcPr>
          <w:p w14:paraId="366643C5" w14:textId="3B6C8248" w:rsidR="005B1671" w:rsidRPr="005B1671" w:rsidRDefault="005B1671" w:rsidP="005B1671">
            <w:r w:rsidRPr="005B1671">
              <w:rPr>
                <w:szCs w:val="20"/>
                <w:u w:val="single"/>
              </w:rPr>
              <w:t xml:space="preserve">Възникнали при наличие на инхибитори: </w:t>
            </w:r>
            <w:r w:rsidRPr="005B1671">
              <w:rPr>
                <w:szCs w:val="20"/>
              </w:rPr>
              <w:t>серумна болест</w:t>
            </w:r>
          </w:p>
        </w:tc>
        <w:tc>
          <w:tcPr>
            <w:tcW w:w="3192" w:type="dxa"/>
            <w:vAlign w:val="bottom"/>
          </w:tcPr>
          <w:p w14:paraId="0C42B177" w14:textId="4CCECF02" w:rsidR="005B1671" w:rsidRPr="005B1671" w:rsidRDefault="005B1671" w:rsidP="005B1671">
            <w:r w:rsidRPr="005B1671">
              <w:rPr>
                <w:szCs w:val="20"/>
              </w:rPr>
              <w:t>С неизвестна честота</w:t>
            </w:r>
          </w:p>
        </w:tc>
      </w:tr>
      <w:tr w:rsidR="005B1671" w14:paraId="5BAC5D5A" w14:textId="77777777" w:rsidTr="00DA5085">
        <w:tc>
          <w:tcPr>
            <w:tcW w:w="3192" w:type="dxa"/>
            <w:vMerge/>
          </w:tcPr>
          <w:p w14:paraId="68513FBF" w14:textId="77777777" w:rsidR="005B1671" w:rsidRPr="005B1671" w:rsidRDefault="005B1671" w:rsidP="005B1671"/>
        </w:tc>
        <w:tc>
          <w:tcPr>
            <w:tcW w:w="3192" w:type="dxa"/>
            <w:vAlign w:val="bottom"/>
          </w:tcPr>
          <w:p w14:paraId="10075E54" w14:textId="34E86B2D" w:rsidR="005B1671" w:rsidRPr="005B1671" w:rsidRDefault="005B1671" w:rsidP="005B1671">
            <w:r w:rsidRPr="005B1671">
              <w:rPr>
                <w:szCs w:val="20"/>
              </w:rPr>
              <w:t>Реакция на свръхчувствителност</w:t>
            </w:r>
          </w:p>
        </w:tc>
        <w:tc>
          <w:tcPr>
            <w:tcW w:w="3192" w:type="dxa"/>
            <w:vAlign w:val="bottom"/>
          </w:tcPr>
          <w:p w14:paraId="05BA6B20" w14:textId="536462F5" w:rsidR="005B1671" w:rsidRPr="005B1671" w:rsidRDefault="005B1671" w:rsidP="005B1671">
            <w:r w:rsidRPr="005B1671">
              <w:rPr>
                <w:szCs w:val="20"/>
              </w:rPr>
              <w:t>С неизвестна честота</w:t>
            </w:r>
          </w:p>
        </w:tc>
      </w:tr>
      <w:tr w:rsidR="005B1671" w14:paraId="4FE40E2E" w14:textId="77777777" w:rsidTr="00DA5085">
        <w:tc>
          <w:tcPr>
            <w:tcW w:w="3192" w:type="dxa"/>
            <w:vMerge w:val="restart"/>
          </w:tcPr>
          <w:p w14:paraId="7E861E68" w14:textId="4D352107" w:rsidR="005B1671" w:rsidRPr="005B1671" w:rsidRDefault="005B1671" w:rsidP="005B1671">
            <w:r w:rsidRPr="005B1671">
              <w:rPr>
                <w:szCs w:val="20"/>
              </w:rPr>
              <w:lastRenderedPageBreak/>
              <w:t>НАРУШЕНИЯ НА НЕРВНАТА СИСТЕМА</w:t>
            </w:r>
          </w:p>
        </w:tc>
        <w:tc>
          <w:tcPr>
            <w:tcW w:w="3192" w:type="dxa"/>
            <w:vAlign w:val="bottom"/>
          </w:tcPr>
          <w:p w14:paraId="7A497E61" w14:textId="0A40E316" w:rsidR="005B1671" w:rsidRPr="005B1671" w:rsidRDefault="005B1671" w:rsidP="005B1671">
            <w:r w:rsidRPr="005B1671">
              <w:rPr>
                <w:szCs w:val="20"/>
              </w:rPr>
              <w:t>Главоболие</w:t>
            </w:r>
          </w:p>
        </w:tc>
        <w:tc>
          <w:tcPr>
            <w:tcW w:w="3192" w:type="dxa"/>
            <w:vAlign w:val="bottom"/>
          </w:tcPr>
          <w:p w14:paraId="70824027" w14:textId="765478CA" w:rsidR="005B1671" w:rsidRPr="005B1671" w:rsidRDefault="005B1671" w:rsidP="005B1671">
            <w:r w:rsidRPr="005B1671">
              <w:rPr>
                <w:szCs w:val="20"/>
              </w:rPr>
              <w:t>С неизвестна честота</w:t>
            </w:r>
          </w:p>
        </w:tc>
      </w:tr>
      <w:tr w:rsidR="005B1671" w14:paraId="409A1304" w14:textId="77777777" w:rsidTr="00DA5085">
        <w:tc>
          <w:tcPr>
            <w:tcW w:w="3192" w:type="dxa"/>
            <w:vMerge/>
          </w:tcPr>
          <w:p w14:paraId="7B00D7D8" w14:textId="77777777" w:rsidR="005B1671" w:rsidRPr="005B1671" w:rsidRDefault="005B1671" w:rsidP="005B1671"/>
        </w:tc>
        <w:tc>
          <w:tcPr>
            <w:tcW w:w="3192" w:type="dxa"/>
            <w:vAlign w:val="bottom"/>
          </w:tcPr>
          <w:p w14:paraId="6A657134" w14:textId="21AAC742" w:rsidR="005B1671" w:rsidRPr="005B1671" w:rsidRDefault="005B1671" w:rsidP="005B1671">
            <w:r w:rsidRPr="005B1671">
              <w:rPr>
                <w:szCs w:val="20"/>
              </w:rPr>
              <w:t>Безпокойство</w:t>
            </w:r>
          </w:p>
        </w:tc>
        <w:tc>
          <w:tcPr>
            <w:tcW w:w="3192" w:type="dxa"/>
            <w:vAlign w:val="bottom"/>
          </w:tcPr>
          <w:p w14:paraId="50B4BBEB" w14:textId="2FAAFBC8" w:rsidR="005B1671" w:rsidRPr="005B1671" w:rsidRDefault="005B1671" w:rsidP="005B1671">
            <w:r w:rsidRPr="005B1671">
              <w:rPr>
                <w:szCs w:val="20"/>
              </w:rPr>
              <w:t>С неизвестна честота</w:t>
            </w:r>
          </w:p>
        </w:tc>
      </w:tr>
      <w:tr w:rsidR="005B1671" w14:paraId="05975E68" w14:textId="77777777" w:rsidTr="00DA5085">
        <w:tc>
          <w:tcPr>
            <w:tcW w:w="3192" w:type="dxa"/>
            <w:vMerge/>
          </w:tcPr>
          <w:p w14:paraId="71D868D3" w14:textId="77777777" w:rsidR="005B1671" w:rsidRPr="005B1671" w:rsidRDefault="005B1671" w:rsidP="005B1671"/>
        </w:tc>
        <w:tc>
          <w:tcPr>
            <w:tcW w:w="3192" w:type="dxa"/>
            <w:vAlign w:val="bottom"/>
          </w:tcPr>
          <w:p w14:paraId="163A67D5" w14:textId="4D89E21A" w:rsidR="005B1671" w:rsidRPr="005B1671" w:rsidRDefault="005B1671" w:rsidP="005B1671">
            <w:r w:rsidRPr="005B1671">
              <w:rPr>
                <w:szCs w:val="20"/>
              </w:rPr>
              <w:t>Изтръпване</w:t>
            </w:r>
          </w:p>
        </w:tc>
        <w:tc>
          <w:tcPr>
            <w:tcW w:w="3192" w:type="dxa"/>
            <w:vAlign w:val="bottom"/>
          </w:tcPr>
          <w:p w14:paraId="59AE0F8C" w14:textId="3DB3CCFF" w:rsidR="005B1671" w:rsidRPr="005B1671" w:rsidRDefault="005B1671" w:rsidP="005B1671">
            <w:r w:rsidRPr="005B1671">
              <w:rPr>
                <w:szCs w:val="20"/>
              </w:rPr>
              <w:t>С неизвестна честота</w:t>
            </w:r>
          </w:p>
        </w:tc>
      </w:tr>
      <w:tr w:rsidR="005B1671" w14:paraId="7EEDC5B6" w14:textId="77777777" w:rsidTr="00045554">
        <w:tc>
          <w:tcPr>
            <w:tcW w:w="3192" w:type="dxa"/>
            <w:vMerge w:val="restart"/>
          </w:tcPr>
          <w:p w14:paraId="1B0D6884" w14:textId="31CA5D39" w:rsidR="005B1671" w:rsidRPr="005B1671" w:rsidRDefault="005B1671" w:rsidP="005B1671">
            <w:r w:rsidRPr="005B1671">
              <w:rPr>
                <w:szCs w:val="20"/>
              </w:rPr>
              <w:t>СЪРДЕЧНИ НАРУШЕНИЯ</w:t>
            </w:r>
          </w:p>
        </w:tc>
        <w:tc>
          <w:tcPr>
            <w:tcW w:w="3192" w:type="dxa"/>
            <w:vAlign w:val="bottom"/>
          </w:tcPr>
          <w:p w14:paraId="6C6F5449" w14:textId="3B671A97" w:rsidR="005B1671" w:rsidRPr="005B1671" w:rsidRDefault="005B1671" w:rsidP="005B1671">
            <w:r w:rsidRPr="005B1671">
              <w:rPr>
                <w:szCs w:val="20"/>
              </w:rPr>
              <w:t>Инфаркт на миокарда</w:t>
            </w:r>
          </w:p>
        </w:tc>
        <w:tc>
          <w:tcPr>
            <w:tcW w:w="3192" w:type="dxa"/>
          </w:tcPr>
          <w:p w14:paraId="0601678A" w14:textId="7D73E63F" w:rsidR="005B1671" w:rsidRPr="005B1671" w:rsidRDefault="005B1671" w:rsidP="005B1671">
            <w:r w:rsidRPr="005B1671">
              <w:rPr>
                <w:szCs w:val="20"/>
              </w:rPr>
              <w:t>С неизвестна честота</w:t>
            </w:r>
          </w:p>
        </w:tc>
      </w:tr>
      <w:tr w:rsidR="005B1671" w14:paraId="6A0AA2E4" w14:textId="77777777" w:rsidTr="00045554">
        <w:tc>
          <w:tcPr>
            <w:tcW w:w="3192" w:type="dxa"/>
            <w:vMerge/>
          </w:tcPr>
          <w:p w14:paraId="02C6DA3F" w14:textId="77777777" w:rsidR="005B1671" w:rsidRPr="005B1671" w:rsidRDefault="005B1671" w:rsidP="005B1671"/>
        </w:tc>
        <w:tc>
          <w:tcPr>
            <w:tcW w:w="3192" w:type="dxa"/>
            <w:vAlign w:val="bottom"/>
          </w:tcPr>
          <w:p w14:paraId="21AF5192" w14:textId="62550575" w:rsidR="005B1671" w:rsidRPr="005B1671" w:rsidRDefault="005B1671" w:rsidP="005B1671">
            <w:r w:rsidRPr="005B1671">
              <w:rPr>
                <w:szCs w:val="20"/>
              </w:rPr>
              <w:t>Тахикардия</w:t>
            </w:r>
          </w:p>
        </w:tc>
        <w:tc>
          <w:tcPr>
            <w:tcW w:w="3192" w:type="dxa"/>
          </w:tcPr>
          <w:p w14:paraId="5DD907BC" w14:textId="72BF3C08" w:rsidR="005B1671" w:rsidRPr="005B1671" w:rsidRDefault="005B1671" w:rsidP="005B1671">
            <w:r w:rsidRPr="005B1671">
              <w:rPr>
                <w:szCs w:val="20"/>
              </w:rPr>
              <w:t>С неизвестна честота</w:t>
            </w:r>
          </w:p>
        </w:tc>
      </w:tr>
      <w:tr w:rsidR="005B1671" w14:paraId="142143CD" w14:textId="77777777" w:rsidTr="005B1671">
        <w:tc>
          <w:tcPr>
            <w:tcW w:w="3192" w:type="dxa"/>
            <w:vMerge w:val="restart"/>
          </w:tcPr>
          <w:p w14:paraId="3517FEBD" w14:textId="2D6EF9A4" w:rsidR="005B1671" w:rsidRPr="005B1671" w:rsidRDefault="005B1671" w:rsidP="005B1671">
            <w:r w:rsidRPr="005B1671">
              <w:rPr>
                <w:szCs w:val="20"/>
              </w:rPr>
              <w:t>СЪДОВИ НАРУШЕНИЯ</w:t>
            </w:r>
          </w:p>
        </w:tc>
        <w:tc>
          <w:tcPr>
            <w:tcW w:w="3192" w:type="dxa"/>
          </w:tcPr>
          <w:p w14:paraId="74946070" w14:textId="156BD070" w:rsidR="005B1671" w:rsidRPr="005B1671" w:rsidRDefault="005B1671" w:rsidP="005B1671">
            <w:r w:rsidRPr="005B1671">
              <w:rPr>
                <w:szCs w:val="20"/>
              </w:rPr>
              <w:t>Хипотония</w:t>
            </w:r>
          </w:p>
        </w:tc>
        <w:tc>
          <w:tcPr>
            <w:tcW w:w="3192" w:type="dxa"/>
          </w:tcPr>
          <w:p w14:paraId="7B44A956" w14:textId="64281394" w:rsidR="005B1671" w:rsidRPr="005B1671" w:rsidRDefault="005B1671" w:rsidP="005B1671">
            <w:r w:rsidRPr="005B1671">
              <w:rPr>
                <w:szCs w:val="20"/>
              </w:rPr>
              <w:t>С неизвестна честота</w:t>
            </w:r>
          </w:p>
        </w:tc>
      </w:tr>
      <w:tr w:rsidR="005B1671" w14:paraId="533E7918" w14:textId="77777777" w:rsidTr="00045554">
        <w:tc>
          <w:tcPr>
            <w:tcW w:w="3192" w:type="dxa"/>
            <w:vMerge/>
          </w:tcPr>
          <w:p w14:paraId="5B32D72D" w14:textId="77777777" w:rsidR="005B1671" w:rsidRPr="005B1671" w:rsidRDefault="005B1671" w:rsidP="005B1671"/>
        </w:tc>
        <w:tc>
          <w:tcPr>
            <w:tcW w:w="3192" w:type="dxa"/>
            <w:vAlign w:val="bottom"/>
          </w:tcPr>
          <w:p w14:paraId="4875D308" w14:textId="70840C20" w:rsidR="005B1671" w:rsidRPr="005B1671" w:rsidRDefault="005B1671" w:rsidP="005B1671">
            <w:r w:rsidRPr="005B1671">
              <w:rPr>
                <w:szCs w:val="20"/>
              </w:rPr>
              <w:t>Тромбоемболични епизоди (напр. белодробен емболизъм, венозна тромбоза, артериална тромбоза, тромбоза на церебралната артерия)</w:t>
            </w:r>
          </w:p>
        </w:tc>
        <w:tc>
          <w:tcPr>
            <w:tcW w:w="3192" w:type="dxa"/>
            <w:vAlign w:val="center"/>
          </w:tcPr>
          <w:p w14:paraId="6B2DB325" w14:textId="14D20F07" w:rsidR="005B1671" w:rsidRPr="005B1671" w:rsidRDefault="005B1671" w:rsidP="005B1671">
            <w:r w:rsidRPr="005B1671">
              <w:rPr>
                <w:szCs w:val="20"/>
              </w:rPr>
              <w:t>С неизвестна честота</w:t>
            </w:r>
          </w:p>
        </w:tc>
      </w:tr>
      <w:tr w:rsidR="005B1671" w14:paraId="14E429FC" w14:textId="77777777" w:rsidTr="00045554">
        <w:tc>
          <w:tcPr>
            <w:tcW w:w="3192" w:type="dxa"/>
            <w:vMerge/>
          </w:tcPr>
          <w:p w14:paraId="1EB861DE" w14:textId="77777777" w:rsidR="005B1671" w:rsidRPr="005B1671" w:rsidRDefault="005B1671" w:rsidP="005B1671"/>
        </w:tc>
        <w:tc>
          <w:tcPr>
            <w:tcW w:w="3192" w:type="dxa"/>
            <w:vAlign w:val="bottom"/>
          </w:tcPr>
          <w:p w14:paraId="228F3474" w14:textId="59974C7E" w:rsidR="005B1671" w:rsidRPr="005B1671" w:rsidRDefault="005B1671" w:rsidP="005B1671">
            <w:r w:rsidRPr="005B1671">
              <w:rPr>
                <w:szCs w:val="20"/>
              </w:rPr>
              <w:t>Зачервяване</w:t>
            </w:r>
          </w:p>
        </w:tc>
        <w:tc>
          <w:tcPr>
            <w:tcW w:w="3192" w:type="dxa"/>
          </w:tcPr>
          <w:p w14:paraId="6ADBFF75" w14:textId="1C5E6C85" w:rsidR="005B1671" w:rsidRPr="005B1671" w:rsidRDefault="005B1671" w:rsidP="005B1671">
            <w:r w:rsidRPr="005B1671">
              <w:rPr>
                <w:szCs w:val="20"/>
              </w:rPr>
              <w:t>С неизвестна честота</w:t>
            </w:r>
          </w:p>
        </w:tc>
      </w:tr>
      <w:tr w:rsidR="005B1671" w14:paraId="2CDE770F" w14:textId="77777777" w:rsidTr="00045554">
        <w:tc>
          <w:tcPr>
            <w:tcW w:w="3192" w:type="dxa"/>
            <w:vMerge w:val="restart"/>
          </w:tcPr>
          <w:p w14:paraId="102B7367" w14:textId="6D75EF9F" w:rsidR="005B1671" w:rsidRPr="005B1671" w:rsidRDefault="005B1671" w:rsidP="005B1671">
            <w:r w:rsidRPr="005B1671">
              <w:rPr>
                <w:szCs w:val="20"/>
              </w:rPr>
              <w:t>РЕСПИРАТОРНИ, ГРЪДНИ И МЕДИАСТИНАЛНИ НАРУШЕНИЯ</w:t>
            </w:r>
          </w:p>
        </w:tc>
        <w:tc>
          <w:tcPr>
            <w:tcW w:w="3192" w:type="dxa"/>
            <w:vAlign w:val="bottom"/>
          </w:tcPr>
          <w:p w14:paraId="6DF6FB80" w14:textId="6076A7A3" w:rsidR="005B1671" w:rsidRPr="005B1671" w:rsidRDefault="005B1671" w:rsidP="005B1671">
            <w:r w:rsidRPr="005B1671">
              <w:rPr>
                <w:szCs w:val="20"/>
              </w:rPr>
              <w:t>Възпаление на гърлото</w:t>
            </w:r>
          </w:p>
        </w:tc>
        <w:tc>
          <w:tcPr>
            <w:tcW w:w="3192" w:type="dxa"/>
            <w:vAlign w:val="bottom"/>
          </w:tcPr>
          <w:p w14:paraId="371B4979" w14:textId="430A023D" w:rsidR="005B1671" w:rsidRPr="005B1671" w:rsidRDefault="005B1671" w:rsidP="005B1671">
            <w:r w:rsidRPr="005B1671">
              <w:rPr>
                <w:szCs w:val="20"/>
              </w:rPr>
              <w:t>Нечести</w:t>
            </w:r>
          </w:p>
        </w:tc>
      </w:tr>
      <w:tr w:rsidR="005B1671" w14:paraId="09A30B26" w14:textId="77777777" w:rsidTr="00045554">
        <w:tc>
          <w:tcPr>
            <w:tcW w:w="3192" w:type="dxa"/>
            <w:vMerge/>
          </w:tcPr>
          <w:p w14:paraId="6D8A3497" w14:textId="77777777" w:rsidR="005B1671" w:rsidRPr="005B1671" w:rsidRDefault="005B1671" w:rsidP="005B1671"/>
        </w:tc>
        <w:tc>
          <w:tcPr>
            <w:tcW w:w="3192" w:type="dxa"/>
            <w:vAlign w:val="bottom"/>
          </w:tcPr>
          <w:p w14:paraId="6A108342" w14:textId="7204B8D2" w:rsidR="005B1671" w:rsidRPr="005B1671" w:rsidRDefault="005B1671" w:rsidP="005B1671">
            <w:r w:rsidRPr="005B1671">
              <w:rPr>
                <w:szCs w:val="20"/>
              </w:rPr>
              <w:t>Орофарингеална болка</w:t>
            </w:r>
          </w:p>
        </w:tc>
        <w:tc>
          <w:tcPr>
            <w:tcW w:w="3192" w:type="dxa"/>
            <w:vAlign w:val="bottom"/>
          </w:tcPr>
          <w:p w14:paraId="1688654D" w14:textId="3A334840" w:rsidR="005B1671" w:rsidRPr="005B1671" w:rsidRDefault="005B1671" w:rsidP="005B1671">
            <w:r w:rsidRPr="005B1671">
              <w:rPr>
                <w:szCs w:val="20"/>
              </w:rPr>
              <w:t>Нечести</w:t>
            </w:r>
          </w:p>
        </w:tc>
      </w:tr>
      <w:tr w:rsidR="005B1671" w14:paraId="46CB75E9" w14:textId="77777777" w:rsidTr="00045554">
        <w:tc>
          <w:tcPr>
            <w:tcW w:w="3192" w:type="dxa"/>
            <w:vMerge/>
          </w:tcPr>
          <w:p w14:paraId="4EEF71EB" w14:textId="77777777" w:rsidR="005B1671" w:rsidRPr="005B1671" w:rsidRDefault="005B1671" w:rsidP="005B1671"/>
        </w:tc>
        <w:tc>
          <w:tcPr>
            <w:tcW w:w="3192" w:type="dxa"/>
            <w:vAlign w:val="bottom"/>
          </w:tcPr>
          <w:p w14:paraId="52F2184A" w14:textId="5C6791BF" w:rsidR="005B1671" w:rsidRPr="005B1671" w:rsidRDefault="005B1671" w:rsidP="005B1671">
            <w:r w:rsidRPr="005B1671">
              <w:rPr>
                <w:szCs w:val="20"/>
              </w:rPr>
              <w:t>Кашлица (суха)</w:t>
            </w:r>
          </w:p>
        </w:tc>
        <w:tc>
          <w:tcPr>
            <w:tcW w:w="3192" w:type="dxa"/>
            <w:vAlign w:val="bottom"/>
          </w:tcPr>
          <w:p w14:paraId="2C9AB982" w14:textId="0C4F25B4" w:rsidR="005B1671" w:rsidRPr="005B1671" w:rsidRDefault="005B1671" w:rsidP="005B1671">
            <w:r w:rsidRPr="005B1671">
              <w:rPr>
                <w:szCs w:val="20"/>
              </w:rPr>
              <w:t>Нечести</w:t>
            </w:r>
          </w:p>
        </w:tc>
      </w:tr>
      <w:tr w:rsidR="005B1671" w14:paraId="3CAA8F51" w14:textId="77777777" w:rsidTr="005B1671">
        <w:tc>
          <w:tcPr>
            <w:tcW w:w="3192" w:type="dxa"/>
            <w:vMerge/>
          </w:tcPr>
          <w:p w14:paraId="067742A4" w14:textId="77777777" w:rsidR="005B1671" w:rsidRPr="005B1671" w:rsidRDefault="005B1671" w:rsidP="005B1671"/>
        </w:tc>
        <w:tc>
          <w:tcPr>
            <w:tcW w:w="3192" w:type="dxa"/>
          </w:tcPr>
          <w:p w14:paraId="28443CA3" w14:textId="536631A6" w:rsidR="005B1671" w:rsidRPr="005B1671" w:rsidRDefault="005B1671" w:rsidP="005B1671">
            <w:r w:rsidRPr="005B1671">
              <w:rPr>
                <w:szCs w:val="20"/>
              </w:rPr>
              <w:t>Хрипове</w:t>
            </w:r>
          </w:p>
        </w:tc>
        <w:tc>
          <w:tcPr>
            <w:tcW w:w="3192" w:type="dxa"/>
          </w:tcPr>
          <w:p w14:paraId="5CD6EF63" w14:textId="128B7D2E" w:rsidR="005B1671" w:rsidRPr="005B1671" w:rsidRDefault="005B1671" w:rsidP="005B1671">
            <w:r w:rsidRPr="005B1671">
              <w:rPr>
                <w:szCs w:val="20"/>
              </w:rPr>
              <w:t>С неизвестна честота</w:t>
            </w:r>
          </w:p>
        </w:tc>
      </w:tr>
      <w:tr w:rsidR="005B1671" w14:paraId="25D67980" w14:textId="77777777" w:rsidTr="005B1671">
        <w:tc>
          <w:tcPr>
            <w:tcW w:w="3192" w:type="dxa"/>
            <w:vMerge/>
          </w:tcPr>
          <w:p w14:paraId="7648F4E8" w14:textId="77777777" w:rsidR="005B1671" w:rsidRPr="005B1671" w:rsidRDefault="005B1671" w:rsidP="005B1671"/>
        </w:tc>
        <w:tc>
          <w:tcPr>
            <w:tcW w:w="3192" w:type="dxa"/>
          </w:tcPr>
          <w:p w14:paraId="67E86A5B" w14:textId="0C4E1951" w:rsidR="005B1671" w:rsidRPr="005B1671" w:rsidRDefault="005B1671" w:rsidP="005B1671">
            <w:r w:rsidRPr="005B1671">
              <w:rPr>
                <w:szCs w:val="20"/>
              </w:rPr>
              <w:t>Задух</w:t>
            </w:r>
          </w:p>
        </w:tc>
        <w:tc>
          <w:tcPr>
            <w:tcW w:w="3192" w:type="dxa"/>
          </w:tcPr>
          <w:p w14:paraId="5A450B7C" w14:textId="2B2DF678" w:rsidR="005B1671" w:rsidRPr="005B1671" w:rsidRDefault="005B1671" w:rsidP="005B1671">
            <w:r w:rsidRPr="005B1671">
              <w:rPr>
                <w:szCs w:val="20"/>
              </w:rPr>
              <w:t>С неизвестна честота</w:t>
            </w:r>
          </w:p>
        </w:tc>
      </w:tr>
      <w:tr w:rsidR="005B1671" w14:paraId="43DCC037" w14:textId="77777777" w:rsidTr="005E7DB5">
        <w:trPr>
          <w:trHeight w:val="99"/>
        </w:trPr>
        <w:tc>
          <w:tcPr>
            <w:tcW w:w="3192" w:type="dxa"/>
            <w:vMerge w:val="restart"/>
          </w:tcPr>
          <w:p w14:paraId="2FFFFB18" w14:textId="5022B94B" w:rsidR="005B1671" w:rsidRPr="005B1671" w:rsidRDefault="005B1671" w:rsidP="005B1671">
            <w:r w:rsidRPr="005B1671">
              <w:rPr>
                <w:szCs w:val="20"/>
              </w:rPr>
              <w:t>СТОМАШНО-ЧРЕВНИ НАРУШЕНИЯ</w:t>
            </w:r>
          </w:p>
        </w:tc>
        <w:tc>
          <w:tcPr>
            <w:tcW w:w="3192" w:type="dxa"/>
            <w:vAlign w:val="bottom"/>
          </w:tcPr>
          <w:p w14:paraId="0A508829" w14:textId="5F2B64F6" w:rsidR="005B1671" w:rsidRPr="005B1671" w:rsidRDefault="005B1671" w:rsidP="005B1671">
            <w:r w:rsidRPr="005B1671">
              <w:rPr>
                <w:szCs w:val="20"/>
              </w:rPr>
              <w:t>Гадене</w:t>
            </w:r>
          </w:p>
        </w:tc>
        <w:tc>
          <w:tcPr>
            <w:tcW w:w="3192" w:type="dxa"/>
            <w:vAlign w:val="bottom"/>
          </w:tcPr>
          <w:p w14:paraId="4E844876" w14:textId="1ECD0EBB" w:rsidR="005B1671" w:rsidRPr="005B1671" w:rsidRDefault="005B1671" w:rsidP="005B1671">
            <w:r w:rsidRPr="005B1671">
              <w:rPr>
                <w:szCs w:val="20"/>
              </w:rPr>
              <w:t>С неизвестна честота</w:t>
            </w:r>
          </w:p>
        </w:tc>
      </w:tr>
      <w:tr w:rsidR="005B1671" w14:paraId="17C78ADA" w14:textId="77777777" w:rsidTr="005E7DB5">
        <w:tc>
          <w:tcPr>
            <w:tcW w:w="3192" w:type="dxa"/>
            <w:vMerge/>
          </w:tcPr>
          <w:p w14:paraId="06C6E6A9" w14:textId="77777777" w:rsidR="005B1671" w:rsidRPr="005B1671" w:rsidRDefault="005B1671" w:rsidP="005B1671"/>
        </w:tc>
        <w:tc>
          <w:tcPr>
            <w:tcW w:w="3192" w:type="dxa"/>
            <w:vAlign w:val="bottom"/>
          </w:tcPr>
          <w:p w14:paraId="178B8B5B" w14:textId="3BBADBD9" w:rsidR="005B1671" w:rsidRPr="005B1671" w:rsidRDefault="005B1671" w:rsidP="005B1671">
            <w:r w:rsidRPr="005B1671">
              <w:rPr>
                <w:szCs w:val="20"/>
              </w:rPr>
              <w:t>Повръщане</w:t>
            </w:r>
          </w:p>
        </w:tc>
        <w:tc>
          <w:tcPr>
            <w:tcW w:w="3192" w:type="dxa"/>
            <w:vAlign w:val="bottom"/>
          </w:tcPr>
          <w:p w14:paraId="5F6DF11B" w14:textId="0A90EB5A" w:rsidR="005B1671" w:rsidRPr="005B1671" w:rsidRDefault="005B1671" w:rsidP="005B1671">
            <w:r w:rsidRPr="005B1671">
              <w:rPr>
                <w:szCs w:val="20"/>
              </w:rPr>
              <w:t>С неизвестна честота</w:t>
            </w:r>
          </w:p>
        </w:tc>
      </w:tr>
      <w:tr w:rsidR="005B1671" w14:paraId="5DF96E68" w14:textId="77777777" w:rsidTr="005E7DB5">
        <w:tc>
          <w:tcPr>
            <w:tcW w:w="3192" w:type="dxa"/>
            <w:vMerge w:val="restart"/>
          </w:tcPr>
          <w:p w14:paraId="5D269234" w14:textId="74A1952A" w:rsidR="005B1671" w:rsidRPr="005B1671" w:rsidRDefault="005B1671" w:rsidP="005B1671">
            <w:r w:rsidRPr="005B1671">
              <w:rPr>
                <w:szCs w:val="20"/>
              </w:rPr>
              <w:t>НАРУШЕНИЯ НА КОЖАТА И ПОДКОЖНАТА ТЪКАН</w:t>
            </w:r>
          </w:p>
        </w:tc>
        <w:tc>
          <w:tcPr>
            <w:tcW w:w="3192" w:type="dxa"/>
            <w:vAlign w:val="bottom"/>
          </w:tcPr>
          <w:p w14:paraId="2BC3B9E5" w14:textId="75E4524F" w:rsidR="005B1671" w:rsidRPr="005B1671" w:rsidRDefault="005B1671" w:rsidP="005B1671">
            <w:r w:rsidRPr="005B1671">
              <w:rPr>
                <w:szCs w:val="20"/>
              </w:rPr>
              <w:t>Обрив</w:t>
            </w:r>
          </w:p>
        </w:tc>
        <w:tc>
          <w:tcPr>
            <w:tcW w:w="3192" w:type="dxa"/>
            <w:vAlign w:val="bottom"/>
          </w:tcPr>
          <w:p w14:paraId="0EBF5A57" w14:textId="533689D3" w:rsidR="005B1671" w:rsidRPr="005B1671" w:rsidRDefault="005B1671" w:rsidP="005B1671">
            <w:r w:rsidRPr="005B1671">
              <w:rPr>
                <w:szCs w:val="20"/>
              </w:rPr>
              <w:t>Нечести</w:t>
            </w:r>
          </w:p>
        </w:tc>
      </w:tr>
      <w:tr w:rsidR="005B1671" w14:paraId="5E21DF85" w14:textId="77777777" w:rsidTr="005E7DB5">
        <w:tc>
          <w:tcPr>
            <w:tcW w:w="3192" w:type="dxa"/>
            <w:vMerge/>
          </w:tcPr>
          <w:p w14:paraId="450D6B77" w14:textId="77777777" w:rsidR="005B1671" w:rsidRPr="005B1671" w:rsidRDefault="005B1671" w:rsidP="005B1671"/>
        </w:tc>
        <w:tc>
          <w:tcPr>
            <w:tcW w:w="3192" w:type="dxa"/>
            <w:vAlign w:val="bottom"/>
          </w:tcPr>
          <w:p w14:paraId="2EE08C59" w14:textId="6E52377F" w:rsidR="005B1671" w:rsidRPr="005B1671" w:rsidRDefault="005B1671" w:rsidP="005B1671">
            <w:r w:rsidRPr="005B1671">
              <w:rPr>
                <w:szCs w:val="20"/>
              </w:rPr>
              <w:t>Сърбеж</w:t>
            </w:r>
          </w:p>
        </w:tc>
        <w:tc>
          <w:tcPr>
            <w:tcW w:w="3192" w:type="dxa"/>
            <w:vAlign w:val="bottom"/>
          </w:tcPr>
          <w:p w14:paraId="7774FD2F" w14:textId="6327E6CA" w:rsidR="005B1671" w:rsidRPr="005B1671" w:rsidRDefault="005B1671" w:rsidP="005B1671">
            <w:r w:rsidRPr="005B1671">
              <w:rPr>
                <w:szCs w:val="20"/>
              </w:rPr>
              <w:t>Нечести</w:t>
            </w:r>
          </w:p>
        </w:tc>
      </w:tr>
      <w:tr w:rsidR="005B1671" w14:paraId="5244E4DB" w14:textId="77777777" w:rsidTr="005B1671">
        <w:tc>
          <w:tcPr>
            <w:tcW w:w="3192" w:type="dxa"/>
            <w:vMerge/>
          </w:tcPr>
          <w:p w14:paraId="5488DD70" w14:textId="77777777" w:rsidR="005B1671" w:rsidRPr="005B1671" w:rsidRDefault="005B1671" w:rsidP="005B1671"/>
        </w:tc>
        <w:tc>
          <w:tcPr>
            <w:tcW w:w="3192" w:type="dxa"/>
          </w:tcPr>
          <w:p w14:paraId="21A3EFA6" w14:textId="0CCDC3B4" w:rsidR="005B1671" w:rsidRPr="005B1671" w:rsidRDefault="005B1671" w:rsidP="005B1671">
            <w:r w:rsidRPr="005B1671">
              <w:rPr>
                <w:szCs w:val="20"/>
              </w:rPr>
              <w:t>Уртикария</w:t>
            </w:r>
          </w:p>
        </w:tc>
        <w:tc>
          <w:tcPr>
            <w:tcW w:w="3192" w:type="dxa"/>
          </w:tcPr>
          <w:p w14:paraId="292D849B" w14:textId="4CD98E95" w:rsidR="005B1671" w:rsidRPr="005B1671" w:rsidRDefault="005B1671" w:rsidP="005B1671">
            <w:r w:rsidRPr="005B1671">
              <w:rPr>
                <w:szCs w:val="20"/>
              </w:rPr>
              <w:t>С неизвестна честота</w:t>
            </w:r>
          </w:p>
        </w:tc>
      </w:tr>
      <w:tr w:rsidR="005B1671" w14:paraId="06CB00EE" w14:textId="77777777" w:rsidTr="005E7DB5">
        <w:tc>
          <w:tcPr>
            <w:tcW w:w="3192" w:type="dxa"/>
            <w:vAlign w:val="bottom"/>
          </w:tcPr>
          <w:p w14:paraId="380C8864" w14:textId="513FBAD3" w:rsidR="005B1671" w:rsidRPr="005B1671" w:rsidRDefault="005B1671" w:rsidP="005B1671">
            <w:r w:rsidRPr="005B1671">
              <w:rPr>
                <w:szCs w:val="20"/>
              </w:rPr>
              <w:t>НАРУШЕНИЯ НА БЪБРЕЦИТЕ И ПИКОЧНИТЕ ПЪТИЩА</w:t>
            </w:r>
          </w:p>
        </w:tc>
        <w:tc>
          <w:tcPr>
            <w:tcW w:w="3192" w:type="dxa"/>
          </w:tcPr>
          <w:p w14:paraId="53D92E35" w14:textId="14EF228C" w:rsidR="005B1671" w:rsidRPr="005B1671" w:rsidRDefault="005B1671" w:rsidP="005B1671">
            <w:r w:rsidRPr="005B1671">
              <w:rPr>
                <w:szCs w:val="20"/>
              </w:rPr>
              <w:t>Нефротичен синдром</w:t>
            </w:r>
            <w:r w:rsidRPr="005B1671">
              <w:rPr>
                <w:szCs w:val="20"/>
                <w:vertAlign w:val="superscript"/>
              </w:rPr>
              <w:t>1</w:t>
            </w:r>
          </w:p>
        </w:tc>
        <w:tc>
          <w:tcPr>
            <w:tcW w:w="3192" w:type="dxa"/>
          </w:tcPr>
          <w:p w14:paraId="4DCE84D7" w14:textId="350D0BEF" w:rsidR="005B1671" w:rsidRPr="005B1671" w:rsidRDefault="005B1671" w:rsidP="005B1671">
            <w:r w:rsidRPr="005B1671">
              <w:rPr>
                <w:szCs w:val="20"/>
              </w:rPr>
              <w:t>С неизвестна честота</w:t>
            </w:r>
          </w:p>
        </w:tc>
      </w:tr>
      <w:tr w:rsidR="005B1671" w14:paraId="06A0298D" w14:textId="77777777" w:rsidTr="005B1671">
        <w:tc>
          <w:tcPr>
            <w:tcW w:w="3192" w:type="dxa"/>
            <w:vMerge w:val="restart"/>
          </w:tcPr>
          <w:p w14:paraId="34EF4F40" w14:textId="508F96B5" w:rsidR="005B1671" w:rsidRPr="005B1671" w:rsidRDefault="005B1671" w:rsidP="005B1671">
            <w:r w:rsidRPr="005B1671">
              <w:rPr>
                <w:szCs w:val="20"/>
              </w:rPr>
              <w:t>ОБЩИ НАРУШЕНИЯ И ЕФЕКТИ НА МЯСТОТО НА ПРИЛОЖЕНИЕ</w:t>
            </w:r>
          </w:p>
        </w:tc>
        <w:tc>
          <w:tcPr>
            <w:tcW w:w="3192" w:type="dxa"/>
          </w:tcPr>
          <w:p w14:paraId="5BC02B35" w14:textId="2F957127" w:rsidR="005B1671" w:rsidRPr="005B1671" w:rsidRDefault="005B1671" w:rsidP="005B1671">
            <w:r w:rsidRPr="005B1671">
              <w:rPr>
                <w:szCs w:val="20"/>
              </w:rPr>
              <w:t>Повишена температура</w:t>
            </w:r>
          </w:p>
        </w:tc>
        <w:tc>
          <w:tcPr>
            <w:tcW w:w="3192" w:type="dxa"/>
          </w:tcPr>
          <w:p w14:paraId="76466BBD" w14:textId="13229F04" w:rsidR="005B1671" w:rsidRPr="005B1671" w:rsidRDefault="005B1671" w:rsidP="005B1671">
            <w:r w:rsidRPr="005B1671">
              <w:rPr>
                <w:szCs w:val="20"/>
              </w:rPr>
              <w:t>Нечести</w:t>
            </w:r>
          </w:p>
        </w:tc>
      </w:tr>
      <w:tr w:rsidR="005B1671" w14:paraId="7F8F8D2A" w14:textId="77777777" w:rsidTr="005B1671">
        <w:tc>
          <w:tcPr>
            <w:tcW w:w="3192" w:type="dxa"/>
            <w:vMerge/>
          </w:tcPr>
          <w:p w14:paraId="4966AB50" w14:textId="77777777" w:rsidR="005B1671" w:rsidRPr="005B1671" w:rsidRDefault="005B1671" w:rsidP="005B1671"/>
        </w:tc>
        <w:tc>
          <w:tcPr>
            <w:tcW w:w="3192" w:type="dxa"/>
          </w:tcPr>
          <w:p w14:paraId="02C6F289" w14:textId="323B189F" w:rsidR="005B1671" w:rsidRPr="005B1671" w:rsidRDefault="005B1671" w:rsidP="005B1671">
            <w:r w:rsidRPr="005B1671">
              <w:rPr>
                <w:szCs w:val="20"/>
              </w:rPr>
              <w:t>Студени тръпки</w:t>
            </w:r>
          </w:p>
        </w:tc>
        <w:tc>
          <w:tcPr>
            <w:tcW w:w="3192" w:type="dxa"/>
          </w:tcPr>
          <w:p w14:paraId="25531669" w14:textId="202C6022" w:rsidR="005B1671" w:rsidRPr="005B1671" w:rsidRDefault="005B1671" w:rsidP="005B1671">
            <w:r w:rsidRPr="005B1671">
              <w:rPr>
                <w:szCs w:val="20"/>
              </w:rPr>
              <w:t>С неизвестна честота</w:t>
            </w:r>
          </w:p>
        </w:tc>
      </w:tr>
      <w:tr w:rsidR="005B1671" w14:paraId="1C7AF6E3" w14:textId="77777777" w:rsidTr="005E7DB5">
        <w:tc>
          <w:tcPr>
            <w:tcW w:w="3192" w:type="dxa"/>
            <w:vMerge/>
          </w:tcPr>
          <w:p w14:paraId="41277EFE" w14:textId="77777777" w:rsidR="005B1671" w:rsidRPr="005B1671" w:rsidRDefault="005B1671" w:rsidP="005B1671"/>
        </w:tc>
        <w:tc>
          <w:tcPr>
            <w:tcW w:w="3192" w:type="dxa"/>
            <w:vAlign w:val="bottom"/>
          </w:tcPr>
          <w:p w14:paraId="233F9E22" w14:textId="6170C00E" w:rsidR="005B1671" w:rsidRPr="005B1671" w:rsidRDefault="005B1671" w:rsidP="005B1671">
            <w:r w:rsidRPr="005B1671">
              <w:rPr>
                <w:szCs w:val="20"/>
              </w:rPr>
              <w:t>Парене и сърбеж на мястото на вливане</w:t>
            </w:r>
          </w:p>
        </w:tc>
        <w:tc>
          <w:tcPr>
            <w:tcW w:w="3192" w:type="dxa"/>
          </w:tcPr>
          <w:p w14:paraId="5AA2393E" w14:textId="3D84D2C5" w:rsidR="005B1671" w:rsidRPr="005B1671" w:rsidRDefault="005B1671" w:rsidP="005B1671">
            <w:r w:rsidRPr="005B1671">
              <w:rPr>
                <w:szCs w:val="20"/>
              </w:rPr>
              <w:t>С неизвестна честота</w:t>
            </w:r>
          </w:p>
        </w:tc>
      </w:tr>
      <w:tr w:rsidR="005B1671" w14:paraId="13BFA603" w14:textId="77777777" w:rsidTr="005B1671">
        <w:tc>
          <w:tcPr>
            <w:tcW w:w="3192" w:type="dxa"/>
            <w:vMerge/>
          </w:tcPr>
          <w:p w14:paraId="345E2381" w14:textId="77777777" w:rsidR="005B1671" w:rsidRDefault="005B1671" w:rsidP="005B1671"/>
        </w:tc>
        <w:tc>
          <w:tcPr>
            <w:tcW w:w="3192" w:type="dxa"/>
          </w:tcPr>
          <w:p w14:paraId="1A84D8D1" w14:textId="7549F55D" w:rsidR="005B1671" w:rsidRPr="005B1671" w:rsidRDefault="005B1671" w:rsidP="005B1671">
            <w:r w:rsidRPr="005B1671">
              <w:rPr>
                <w:szCs w:val="20"/>
              </w:rPr>
              <w:t>Летаргия</w:t>
            </w:r>
          </w:p>
        </w:tc>
        <w:tc>
          <w:tcPr>
            <w:tcW w:w="3192" w:type="dxa"/>
          </w:tcPr>
          <w:p w14:paraId="757E924E" w14:textId="3156F3E9" w:rsidR="005B1671" w:rsidRPr="005B1671" w:rsidRDefault="005B1671" w:rsidP="005B1671">
            <w:r w:rsidRPr="005B1671">
              <w:rPr>
                <w:szCs w:val="20"/>
              </w:rPr>
              <w:t>С неизвестна честота</w:t>
            </w:r>
          </w:p>
        </w:tc>
      </w:tr>
      <w:tr w:rsidR="005B1671" w14:paraId="554EEC75" w14:textId="77777777" w:rsidTr="005B1671">
        <w:tc>
          <w:tcPr>
            <w:tcW w:w="3192" w:type="dxa"/>
            <w:vMerge/>
          </w:tcPr>
          <w:p w14:paraId="3A507551" w14:textId="77777777" w:rsidR="005B1671" w:rsidRDefault="005B1671" w:rsidP="005B1671"/>
        </w:tc>
        <w:tc>
          <w:tcPr>
            <w:tcW w:w="3192" w:type="dxa"/>
          </w:tcPr>
          <w:p w14:paraId="3BB16F0E" w14:textId="6FD806B0" w:rsidR="005B1671" w:rsidRPr="005B1671" w:rsidRDefault="005B1671" w:rsidP="005B1671">
            <w:r w:rsidRPr="005B1671">
              <w:rPr>
                <w:szCs w:val="20"/>
              </w:rPr>
              <w:t>Стягане в гърдите</w:t>
            </w:r>
          </w:p>
        </w:tc>
        <w:tc>
          <w:tcPr>
            <w:tcW w:w="3192" w:type="dxa"/>
          </w:tcPr>
          <w:p w14:paraId="20FE42A1" w14:textId="4D856DFF" w:rsidR="005B1671" w:rsidRPr="005B1671" w:rsidRDefault="005B1671" w:rsidP="005B1671">
            <w:r w:rsidRPr="005B1671">
              <w:rPr>
                <w:szCs w:val="20"/>
              </w:rPr>
              <w:t>С неизвестна честота</w:t>
            </w:r>
          </w:p>
        </w:tc>
      </w:tr>
    </w:tbl>
    <w:p w14:paraId="13FF16AA" w14:textId="6FA87595" w:rsidR="005B1671" w:rsidRPr="005B1671" w:rsidRDefault="005B1671" w:rsidP="005B1671">
      <w:pPr>
        <w:spacing w:line="240" w:lineRule="auto"/>
        <w:rPr>
          <w:rFonts w:eastAsia="Times New Roman" w:cs="Arial"/>
        </w:rPr>
      </w:pPr>
      <w:r w:rsidRPr="005B1671">
        <w:rPr>
          <w:rFonts w:eastAsia="Times New Roman" w:cs="Arial"/>
          <w:color w:val="000000"/>
          <w:vertAlign w:val="superscript"/>
          <w:lang w:eastAsia="bg-BG"/>
        </w:rPr>
        <w:t>1</w:t>
      </w:r>
      <w:r w:rsidRPr="005B1671">
        <w:rPr>
          <w:rFonts w:eastAsia="Times New Roman" w:cs="Arial"/>
          <w:color w:val="000000"/>
          <w:lang w:eastAsia="bg-BG"/>
        </w:rPr>
        <w:t>след опит за индуциране на имунен толеранс</w:t>
      </w:r>
    </w:p>
    <w:p w14:paraId="7445D4D2" w14:textId="77777777" w:rsidR="005B1671" w:rsidRPr="005B1671" w:rsidRDefault="005B1671" w:rsidP="005B1671">
      <w:pPr>
        <w:spacing w:line="240" w:lineRule="auto"/>
        <w:rPr>
          <w:rFonts w:eastAsia="Times New Roman" w:cs="Arial"/>
          <w:color w:val="000000"/>
          <w:u w:val="single"/>
          <w:lang w:eastAsia="bg-BG"/>
        </w:rPr>
      </w:pPr>
    </w:p>
    <w:p w14:paraId="3C153CC4" w14:textId="370274C1" w:rsidR="005B1671" w:rsidRPr="005B1671" w:rsidRDefault="005B1671" w:rsidP="005B1671">
      <w:pPr>
        <w:spacing w:line="240" w:lineRule="auto"/>
        <w:rPr>
          <w:rFonts w:eastAsia="Times New Roman" w:cs="Arial"/>
        </w:rPr>
      </w:pPr>
      <w:r w:rsidRPr="005B1671">
        <w:rPr>
          <w:rFonts w:eastAsia="Times New Roman" w:cs="Arial"/>
          <w:color w:val="000000"/>
          <w:u w:val="single"/>
          <w:lang w:eastAsia="bg-BG"/>
        </w:rPr>
        <w:t>Инхибитори към фактор IX</w:t>
      </w:r>
    </w:p>
    <w:p w14:paraId="15C91036" w14:textId="77777777" w:rsidR="005B1671" w:rsidRPr="005B1671" w:rsidRDefault="005B1671" w:rsidP="005B1671">
      <w:pPr>
        <w:spacing w:line="240" w:lineRule="auto"/>
        <w:rPr>
          <w:rFonts w:eastAsia="Times New Roman" w:cs="Arial"/>
        </w:rPr>
      </w:pPr>
      <w:r w:rsidRPr="005B1671">
        <w:rPr>
          <w:rFonts w:eastAsia="Times New Roman" w:cs="Arial"/>
          <w:color w:val="000000"/>
          <w:lang w:eastAsia="bg-BG"/>
        </w:rPr>
        <w:t xml:space="preserve">В клинични изпитвания с ИМУНАЙН не са установени инхибитори на фактор IX. Не са включвани в клиничните изпитвания с ИМУНАЙН предходно нелекувани пациенти </w:t>
      </w:r>
      <w:r w:rsidRPr="005B1671">
        <w:rPr>
          <w:rFonts w:eastAsia="Times New Roman" w:cs="Arial"/>
          <w:color w:val="000000"/>
          <w:lang w:val="ru-RU"/>
        </w:rPr>
        <w:t>(</w:t>
      </w:r>
      <w:r w:rsidRPr="005B1671">
        <w:rPr>
          <w:rFonts w:eastAsia="Times New Roman" w:cs="Arial"/>
          <w:color w:val="000000"/>
          <w:lang w:val="en-US"/>
        </w:rPr>
        <w:t>PUPs</w:t>
      </w:r>
      <w:r w:rsidRPr="005B1671">
        <w:rPr>
          <w:rFonts w:eastAsia="Times New Roman" w:cs="Arial"/>
          <w:color w:val="000000"/>
          <w:lang w:val="ru-RU"/>
        </w:rPr>
        <w:t>).</w:t>
      </w:r>
    </w:p>
    <w:p w14:paraId="15EDBC4A" w14:textId="77777777" w:rsidR="005B1671" w:rsidRPr="005B1671" w:rsidRDefault="005B1671" w:rsidP="005B1671">
      <w:pPr>
        <w:spacing w:line="240" w:lineRule="auto"/>
        <w:rPr>
          <w:rFonts w:eastAsia="Times New Roman" w:cs="Arial"/>
          <w:color w:val="000000"/>
          <w:u w:val="single"/>
          <w:lang w:eastAsia="bg-BG"/>
        </w:rPr>
      </w:pPr>
    </w:p>
    <w:p w14:paraId="5D7F9566" w14:textId="36026BC9" w:rsidR="005B1671" w:rsidRPr="005B1671" w:rsidRDefault="005B1671" w:rsidP="005B1671">
      <w:pPr>
        <w:spacing w:line="240" w:lineRule="auto"/>
        <w:rPr>
          <w:rFonts w:eastAsia="Times New Roman" w:cs="Arial"/>
        </w:rPr>
      </w:pPr>
      <w:r w:rsidRPr="005B1671">
        <w:rPr>
          <w:rFonts w:eastAsia="Times New Roman" w:cs="Arial"/>
          <w:color w:val="000000"/>
          <w:u w:val="single"/>
          <w:lang w:eastAsia="bg-BG"/>
        </w:rPr>
        <w:t>Специални популации</w:t>
      </w:r>
    </w:p>
    <w:p w14:paraId="02934339" w14:textId="77777777" w:rsidR="005B1671" w:rsidRPr="005B1671" w:rsidRDefault="005B1671" w:rsidP="005B1671">
      <w:pPr>
        <w:spacing w:line="240" w:lineRule="auto"/>
        <w:rPr>
          <w:rFonts w:eastAsia="Times New Roman" w:cs="Arial"/>
        </w:rPr>
      </w:pPr>
      <w:r w:rsidRPr="005B1671">
        <w:rPr>
          <w:rFonts w:eastAsia="Times New Roman" w:cs="Arial"/>
          <w:color w:val="000000"/>
          <w:lang w:eastAsia="bg-BG"/>
        </w:rPr>
        <w:t>Употребата на ИМУНАЙН е изследвана при педиатрични пациенти с хемофилия В на възраст от 6 до 12 години и над 12 години. Профилът на безопасност е бил сходен с този на възрастни пациенти на лечение с ИМУНАЙН.</w:t>
      </w:r>
    </w:p>
    <w:p w14:paraId="66869B06" w14:textId="77777777" w:rsidR="005B1671" w:rsidRPr="005B1671" w:rsidRDefault="005B1671" w:rsidP="005B1671">
      <w:pPr>
        <w:spacing w:line="240" w:lineRule="auto"/>
        <w:rPr>
          <w:rFonts w:eastAsia="Times New Roman" w:cs="Arial"/>
        </w:rPr>
      </w:pPr>
      <w:r w:rsidRPr="005B1671">
        <w:rPr>
          <w:rFonts w:eastAsia="Times New Roman" w:cs="Arial"/>
          <w:color w:val="000000"/>
          <w:lang w:eastAsia="bg-BG"/>
        </w:rPr>
        <w:t>Употребата на ИМУНАЙН е изследвана в две обзервационни проучвания при деца до 6-годишна възраст и съответно при пациенти на възраст от 0-64 години с хемофилия В. Профилът на безопасност при деца на възраст до 6 години е бил сходен с този на деца на възраст над 6 години и при възрастни пациенти на лечение с ИМУНАЙН.</w:t>
      </w:r>
    </w:p>
    <w:p w14:paraId="79DC3CD7" w14:textId="77777777" w:rsidR="005B1671" w:rsidRPr="005B1671" w:rsidRDefault="005B1671" w:rsidP="005B1671">
      <w:pPr>
        <w:spacing w:line="240" w:lineRule="auto"/>
        <w:rPr>
          <w:rFonts w:eastAsia="Times New Roman" w:cs="Arial"/>
          <w:b/>
          <w:bCs/>
          <w:color w:val="000000"/>
          <w:lang w:eastAsia="bg-BG"/>
        </w:rPr>
      </w:pPr>
    </w:p>
    <w:p w14:paraId="54F633A9" w14:textId="5C5D142F" w:rsidR="005B1671" w:rsidRPr="005B1671" w:rsidRDefault="005B1671" w:rsidP="005B1671">
      <w:pPr>
        <w:spacing w:line="240" w:lineRule="auto"/>
        <w:rPr>
          <w:rFonts w:eastAsia="Times New Roman" w:cs="Arial"/>
        </w:rPr>
      </w:pPr>
      <w:r w:rsidRPr="005B1671">
        <w:rPr>
          <w:rFonts w:eastAsia="Times New Roman" w:cs="Arial"/>
          <w:b/>
          <w:bCs/>
          <w:color w:val="000000"/>
          <w:lang w:eastAsia="bg-BG"/>
        </w:rPr>
        <w:lastRenderedPageBreak/>
        <w:t xml:space="preserve">Възможни нежелани реакции при употреба на концентрати на човешки коагулационен фактор IX: </w:t>
      </w:r>
      <w:r w:rsidRPr="005B1671">
        <w:rPr>
          <w:rFonts w:eastAsia="Times New Roman" w:cs="Arial"/>
          <w:color w:val="000000"/>
          <w:lang w:eastAsia="bg-BG"/>
        </w:rPr>
        <w:t>Парестезия</w:t>
      </w:r>
    </w:p>
    <w:p w14:paraId="3BA57584" w14:textId="77777777" w:rsidR="005B1671" w:rsidRPr="005B1671" w:rsidRDefault="005B1671" w:rsidP="005B1671">
      <w:pPr>
        <w:spacing w:line="240" w:lineRule="auto"/>
        <w:rPr>
          <w:rFonts w:eastAsia="Times New Roman" w:cs="Arial"/>
          <w:b/>
          <w:bCs/>
          <w:color w:val="000000"/>
          <w:u w:val="single"/>
          <w:lang w:eastAsia="bg-BG"/>
        </w:rPr>
      </w:pPr>
    </w:p>
    <w:p w14:paraId="0428BC41" w14:textId="11170848" w:rsidR="005B1671" w:rsidRPr="005B1671" w:rsidRDefault="005B1671" w:rsidP="005B1671">
      <w:pPr>
        <w:spacing w:line="240" w:lineRule="auto"/>
        <w:rPr>
          <w:rFonts w:eastAsia="Times New Roman" w:cs="Arial"/>
        </w:rPr>
      </w:pPr>
      <w:r w:rsidRPr="005B1671">
        <w:rPr>
          <w:rFonts w:eastAsia="Times New Roman" w:cs="Arial"/>
          <w:b/>
          <w:bCs/>
          <w:color w:val="000000"/>
          <w:u w:val="single"/>
          <w:lang w:eastAsia="bg-BG"/>
        </w:rPr>
        <w:t>Съобщаване на подозирани нежелани реакции</w:t>
      </w:r>
    </w:p>
    <w:p w14:paraId="29CAC5A2" w14:textId="77777777" w:rsidR="005B1671" w:rsidRPr="005B1671" w:rsidRDefault="005B1671" w:rsidP="005B1671">
      <w:pPr>
        <w:spacing w:line="240" w:lineRule="auto"/>
        <w:rPr>
          <w:rFonts w:eastAsia="Times New Roman" w:cs="Arial"/>
        </w:rPr>
      </w:pPr>
      <w:r w:rsidRPr="005B1671">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посочена в:</w:t>
      </w:r>
    </w:p>
    <w:p w14:paraId="16E7A3E4" w14:textId="77777777" w:rsidR="005B1671" w:rsidRPr="005B1671" w:rsidRDefault="005B1671" w:rsidP="005B1671">
      <w:pPr>
        <w:spacing w:line="240" w:lineRule="auto"/>
        <w:rPr>
          <w:rFonts w:eastAsia="Times New Roman" w:cs="Arial"/>
          <w:color w:val="000000"/>
          <w:lang w:eastAsia="bg-BG"/>
        </w:rPr>
      </w:pPr>
    </w:p>
    <w:p w14:paraId="630C9E48" w14:textId="559A2E1B" w:rsidR="005B1671" w:rsidRPr="005B1671" w:rsidRDefault="005B1671" w:rsidP="005B1671">
      <w:pPr>
        <w:spacing w:line="240" w:lineRule="auto"/>
        <w:rPr>
          <w:rFonts w:eastAsia="Times New Roman" w:cs="Arial"/>
        </w:rPr>
      </w:pPr>
      <w:r w:rsidRPr="005B1671">
        <w:rPr>
          <w:rFonts w:eastAsia="Times New Roman" w:cs="Arial"/>
          <w:color w:val="000000"/>
          <w:lang w:eastAsia="bg-BG"/>
        </w:rPr>
        <w:t>Изпълнителна агенция по лекарствата (ИАЛ)</w:t>
      </w:r>
    </w:p>
    <w:p w14:paraId="76212677" w14:textId="77777777" w:rsidR="005B1671" w:rsidRPr="005B1671" w:rsidRDefault="005B1671" w:rsidP="005B1671">
      <w:pPr>
        <w:spacing w:line="240" w:lineRule="auto"/>
        <w:rPr>
          <w:rFonts w:eastAsia="Times New Roman" w:cs="Arial"/>
        </w:rPr>
      </w:pPr>
      <w:r w:rsidRPr="005B1671">
        <w:rPr>
          <w:rFonts w:eastAsia="Times New Roman" w:cs="Arial"/>
          <w:color w:val="000000"/>
          <w:lang w:eastAsia="bg-BG"/>
        </w:rPr>
        <w:t>ул. Дамян Груев № 8</w:t>
      </w:r>
    </w:p>
    <w:p w14:paraId="70CD9C29" w14:textId="77777777" w:rsidR="005B1671" w:rsidRPr="005B1671" w:rsidRDefault="005B1671" w:rsidP="005B1671">
      <w:pPr>
        <w:spacing w:line="240" w:lineRule="auto"/>
        <w:rPr>
          <w:rFonts w:eastAsia="Times New Roman" w:cs="Arial"/>
        </w:rPr>
      </w:pPr>
      <w:r w:rsidRPr="005B1671">
        <w:rPr>
          <w:rFonts w:eastAsia="Times New Roman" w:cs="Arial"/>
          <w:color w:val="000000"/>
          <w:lang w:eastAsia="bg-BG"/>
        </w:rPr>
        <w:t>1303, гр. София, България</w:t>
      </w:r>
    </w:p>
    <w:p w14:paraId="1AECD7B1" w14:textId="77777777" w:rsidR="005B1671" w:rsidRPr="005B1671" w:rsidRDefault="005B1671" w:rsidP="005B1671">
      <w:pPr>
        <w:spacing w:line="240" w:lineRule="auto"/>
        <w:rPr>
          <w:rFonts w:eastAsia="Times New Roman" w:cs="Arial"/>
        </w:rPr>
      </w:pPr>
      <w:r w:rsidRPr="005B1671">
        <w:rPr>
          <w:rFonts w:eastAsia="Times New Roman" w:cs="Arial"/>
          <w:color w:val="000000"/>
          <w:lang w:eastAsia="bg-BG"/>
        </w:rPr>
        <w:t>тел.:+359 2 8903 417</w:t>
      </w:r>
    </w:p>
    <w:p w14:paraId="0B1B7274" w14:textId="77777777" w:rsidR="005B1671" w:rsidRPr="005B1671" w:rsidRDefault="005B1671" w:rsidP="005B1671">
      <w:pPr>
        <w:spacing w:line="240" w:lineRule="auto"/>
        <w:rPr>
          <w:rFonts w:eastAsia="Times New Roman" w:cs="Arial"/>
        </w:rPr>
      </w:pPr>
      <w:r w:rsidRPr="005B1671">
        <w:rPr>
          <w:rFonts w:eastAsia="Times New Roman" w:cs="Arial"/>
          <w:color w:val="000000"/>
          <w:lang w:eastAsia="bg-BG"/>
        </w:rPr>
        <w:t xml:space="preserve">факс: +359 2 8903 434, </w:t>
      </w:r>
      <w:r w:rsidRPr="005B1671">
        <w:rPr>
          <w:rFonts w:eastAsia="Times New Roman" w:cs="Arial"/>
          <w:color w:val="000000"/>
          <w:lang w:val="en-US"/>
        </w:rPr>
        <w:t xml:space="preserve">e-mail: </w:t>
      </w:r>
      <w:hyperlink r:id="rId5" w:history="1">
        <w:r w:rsidRPr="005B1671">
          <w:rPr>
            <w:rFonts w:eastAsia="Times New Roman" w:cs="Arial"/>
            <w:color w:val="000000"/>
            <w:lang w:val="en-US"/>
          </w:rPr>
          <w:t>bda@bda.bg</w:t>
        </w:r>
      </w:hyperlink>
      <w:r w:rsidRPr="005B1671">
        <w:rPr>
          <w:rFonts w:eastAsia="Times New Roman" w:cs="Arial"/>
          <w:color w:val="000000"/>
          <w:lang w:val="en-US"/>
        </w:rPr>
        <w:t>.</w:t>
      </w:r>
    </w:p>
    <w:p w14:paraId="0E8BA048" w14:textId="77777777" w:rsidR="005B1671" w:rsidRPr="005B1671" w:rsidRDefault="005B1671" w:rsidP="005B1671"/>
    <w:p w14:paraId="5A87DBA3" w14:textId="2CB3C107" w:rsidR="007122AD" w:rsidRDefault="002C50EE" w:rsidP="00936AD0">
      <w:pPr>
        <w:pStyle w:val="Heading2"/>
      </w:pPr>
      <w:r>
        <w:t>4.9. Предозиране</w:t>
      </w:r>
    </w:p>
    <w:p w14:paraId="0700F29A" w14:textId="4A67B53E" w:rsidR="005B1671" w:rsidRDefault="005B1671" w:rsidP="005B1671"/>
    <w:p w14:paraId="07A0E750" w14:textId="65F2257D" w:rsidR="005B1671" w:rsidRDefault="005B1671" w:rsidP="005B1671">
      <w:pPr>
        <w:rPr>
          <w:lang w:eastAsia="bg-BG"/>
        </w:rPr>
      </w:pPr>
      <w:r w:rsidRPr="005B1671">
        <w:rPr>
          <w:lang w:eastAsia="bg-BG"/>
        </w:rPr>
        <w:t>Досега не е съобщавано за предозиране с човешки кръвосъсирващ фактор IX.</w:t>
      </w:r>
    </w:p>
    <w:p w14:paraId="15950C3F" w14:textId="77777777" w:rsidR="005B1671" w:rsidRPr="005B1671" w:rsidRDefault="005B1671" w:rsidP="005B1671">
      <w:pPr>
        <w:rPr>
          <w:sz w:val="24"/>
          <w:szCs w:val="24"/>
        </w:rPr>
      </w:pPr>
    </w:p>
    <w:p w14:paraId="02081B24" w14:textId="1F46E296" w:rsidR="00395555" w:rsidRPr="00395555" w:rsidRDefault="002C50EE" w:rsidP="008A6AF2">
      <w:pPr>
        <w:pStyle w:val="Heading1"/>
      </w:pPr>
      <w:r>
        <w:t>5. ФАРМАКОЛОГИЧНИ СВОЙСТВА</w:t>
      </w:r>
    </w:p>
    <w:p w14:paraId="7DE36AC8" w14:textId="12038C94" w:rsidR="00B6672E" w:rsidRDefault="002C50EE" w:rsidP="00936AD0">
      <w:pPr>
        <w:pStyle w:val="Heading2"/>
      </w:pPr>
      <w:r>
        <w:t>5.1. Фармакодинамични свойства</w:t>
      </w:r>
    </w:p>
    <w:p w14:paraId="2D34CC61" w14:textId="5D916B12" w:rsidR="005B1671" w:rsidRDefault="005B1671" w:rsidP="005B1671"/>
    <w:p w14:paraId="7301975C"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Фармакотерапевтична група: Антихеморагични средства: кръвосъсирващ фактор IX.</w:t>
      </w:r>
    </w:p>
    <w:p w14:paraId="1F1890C5"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АТС код: </w:t>
      </w:r>
      <w:r w:rsidRPr="005B1671">
        <w:rPr>
          <w:rFonts w:eastAsia="Times New Roman" w:cs="Arial"/>
          <w:color w:val="000000"/>
          <w:szCs w:val="20"/>
          <w:lang w:val="en-US"/>
        </w:rPr>
        <w:t>B</w:t>
      </w:r>
      <w:r w:rsidRPr="005B1671">
        <w:rPr>
          <w:rFonts w:eastAsia="Times New Roman" w:cs="Arial"/>
          <w:color w:val="000000"/>
          <w:szCs w:val="20"/>
          <w:lang w:val="ru-RU"/>
        </w:rPr>
        <w:t>02</w:t>
      </w:r>
      <w:r w:rsidRPr="005B1671">
        <w:rPr>
          <w:rFonts w:eastAsia="Times New Roman" w:cs="Arial"/>
          <w:color w:val="000000"/>
          <w:szCs w:val="20"/>
          <w:lang w:val="en-US"/>
        </w:rPr>
        <w:t>BD</w:t>
      </w:r>
      <w:r w:rsidRPr="005B1671">
        <w:rPr>
          <w:rFonts w:eastAsia="Times New Roman" w:cs="Arial"/>
          <w:color w:val="000000"/>
          <w:szCs w:val="20"/>
          <w:lang w:val="ru-RU"/>
        </w:rPr>
        <w:t>04</w:t>
      </w:r>
    </w:p>
    <w:p w14:paraId="54B340C6" w14:textId="77777777" w:rsidR="005B1671" w:rsidRPr="005B1671" w:rsidRDefault="005B1671" w:rsidP="005B1671">
      <w:pPr>
        <w:spacing w:line="240" w:lineRule="auto"/>
        <w:rPr>
          <w:rFonts w:eastAsia="Times New Roman" w:cs="Arial"/>
          <w:color w:val="000000"/>
          <w:szCs w:val="20"/>
          <w:lang w:eastAsia="bg-BG"/>
        </w:rPr>
      </w:pPr>
    </w:p>
    <w:p w14:paraId="57EE9F16" w14:textId="77777777" w:rsidR="005B1671" w:rsidRPr="005B1671" w:rsidRDefault="005B1671" w:rsidP="005B1671">
      <w:pPr>
        <w:rPr>
          <w:rFonts w:eastAsia="Times New Roman" w:cs="Arial"/>
          <w:sz w:val="28"/>
          <w:szCs w:val="24"/>
        </w:rPr>
      </w:pPr>
      <w:r w:rsidRPr="005B1671">
        <w:rPr>
          <w:rFonts w:eastAsia="Times New Roman" w:cs="Arial"/>
          <w:color w:val="000000"/>
          <w:szCs w:val="20"/>
          <w:lang w:eastAsia="bg-BG"/>
        </w:rPr>
        <w:t xml:space="preserve">Фактор IX е едноверижен гликопротеин с молекулна маса 68,000 </w:t>
      </w:r>
      <w:r w:rsidRPr="005B1671">
        <w:rPr>
          <w:rFonts w:eastAsia="Times New Roman" w:cs="Arial"/>
          <w:color w:val="000000"/>
          <w:szCs w:val="20"/>
          <w:lang w:val="en-US"/>
        </w:rPr>
        <w:t>Dalton</w:t>
      </w:r>
      <w:r w:rsidRPr="005B1671">
        <w:rPr>
          <w:rFonts w:eastAsia="Times New Roman" w:cs="Arial"/>
          <w:color w:val="000000"/>
          <w:szCs w:val="20"/>
          <w:lang w:val="ru-RU"/>
        </w:rPr>
        <w:t xml:space="preserve">. </w:t>
      </w:r>
      <w:r w:rsidRPr="005B1671">
        <w:rPr>
          <w:rFonts w:eastAsia="Times New Roman" w:cs="Arial"/>
          <w:color w:val="000000"/>
          <w:szCs w:val="20"/>
          <w:lang w:eastAsia="bg-BG"/>
        </w:rPr>
        <w:t>Той е витамин К - зависим кръвосъсирващ фактор и се синтезира в черния дроб. Фактор IX се активира чрез фактор Х</w:t>
      </w:r>
      <w:r w:rsidRPr="005B1671">
        <w:rPr>
          <w:rFonts w:eastAsia="Times New Roman" w:cs="Arial"/>
          <w:color w:val="000000"/>
          <w:szCs w:val="20"/>
          <w:lang w:val="en-US"/>
        </w:rPr>
        <w:t>I</w:t>
      </w:r>
      <w:r w:rsidRPr="005B1671">
        <w:rPr>
          <w:rFonts w:eastAsia="Times New Roman" w:cs="Arial"/>
          <w:color w:val="000000"/>
          <w:szCs w:val="20"/>
          <w:lang w:eastAsia="bg-BG"/>
        </w:rPr>
        <w:t xml:space="preserve">а във вътрешния крьвосъсирващ път, и чрез фактор </w:t>
      </w:r>
      <w:r w:rsidRPr="005B1671">
        <w:rPr>
          <w:rFonts w:eastAsia="Times New Roman" w:cs="Arial"/>
          <w:color w:val="000000"/>
          <w:szCs w:val="20"/>
          <w:lang w:val="en-US"/>
        </w:rPr>
        <w:t>VII</w:t>
      </w:r>
      <w:r w:rsidRPr="005B1671">
        <w:rPr>
          <w:rFonts w:eastAsia="Times New Roman" w:cs="Arial"/>
          <w:color w:val="000000"/>
          <w:szCs w:val="20"/>
          <w:lang w:eastAsia="bg-BG"/>
        </w:rPr>
        <w:t xml:space="preserve">/тъканен фактор комплекс във външния кръвосъсирващ път. Активиран фактор IX, във комбинация с активиран фактор VIII, активира фактор X. Активираният фактор X превръща протромбина в тромбин. Тромбинът след това превръща фибриногена във фибрин и се образува кръвен съсирек. Хемофилия В е свързан с пола вроден дефект на кръвосъсирването, дължащ се на понижени нива на фактор IX </w:t>
      </w:r>
      <w:r w:rsidRPr="005B1671">
        <w:rPr>
          <w:rFonts w:eastAsia="Times New Roman" w:cs="Arial"/>
          <w:i/>
          <w:iCs/>
          <w:color w:val="000000"/>
          <w:szCs w:val="20"/>
          <w:lang w:eastAsia="bg-BG"/>
        </w:rPr>
        <w:t>и</w:t>
      </w:r>
      <w:r w:rsidRPr="005B1671">
        <w:rPr>
          <w:rFonts w:eastAsia="Times New Roman" w:cs="Arial"/>
          <w:color w:val="000000"/>
          <w:szCs w:val="20"/>
          <w:lang w:eastAsia="bg-BG"/>
        </w:rPr>
        <w:t xml:space="preserve"> водещ до обилни кръвоизливи в ставите, мускулите или вътрешните органи, които са спонтанни или</w:t>
      </w:r>
      <w:r w:rsidRPr="005B1671">
        <w:rPr>
          <w:rFonts w:eastAsia="Times New Roman" w:cs="Arial"/>
          <w:color w:val="000000"/>
          <w:szCs w:val="20"/>
          <w:lang w:val="ru-RU"/>
        </w:rPr>
        <w:t xml:space="preserve"> </w:t>
      </w:r>
      <w:r w:rsidRPr="005B1671">
        <w:rPr>
          <w:rFonts w:eastAsia="Times New Roman" w:cs="Arial"/>
          <w:color w:val="000000"/>
          <w:szCs w:val="20"/>
          <w:lang w:eastAsia="bg-BG"/>
        </w:rPr>
        <w:t>са резултат от инцидентна или хирургична травма. Чрез заместител на терапия се повишават плазмените нива на</w:t>
      </w:r>
      <w:r w:rsidRPr="005B1671">
        <w:rPr>
          <w:rFonts w:eastAsia="Times New Roman" w:cs="Arial"/>
          <w:color w:val="000000"/>
          <w:szCs w:val="20"/>
          <w:lang w:val="ru-RU" w:eastAsia="bg-BG"/>
        </w:rPr>
        <w:t xml:space="preserve"> </w:t>
      </w:r>
      <w:r w:rsidRPr="005B1671">
        <w:rPr>
          <w:rFonts w:eastAsia="Times New Roman" w:cs="Arial"/>
          <w:color w:val="000000"/>
          <w:szCs w:val="20"/>
          <w:lang w:eastAsia="bg-BG"/>
        </w:rPr>
        <w:t>фактор IX, което осигурява временна корекция на фактор IX дефицит и предотвратяване на опасност от кръвоизливи.</w:t>
      </w:r>
    </w:p>
    <w:p w14:paraId="153DFB6A" w14:textId="77777777" w:rsidR="005B1671" w:rsidRPr="005B1671" w:rsidRDefault="005B1671" w:rsidP="005B1671">
      <w:pPr>
        <w:spacing w:line="240" w:lineRule="auto"/>
        <w:rPr>
          <w:rFonts w:eastAsia="Times New Roman" w:cs="Arial"/>
          <w:color w:val="000000"/>
          <w:szCs w:val="20"/>
          <w:u w:val="single"/>
          <w:lang w:eastAsia="bg-BG"/>
        </w:rPr>
      </w:pPr>
    </w:p>
    <w:p w14:paraId="7859F318" w14:textId="18EB4836"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u w:val="single"/>
          <w:lang w:eastAsia="bg-BG"/>
        </w:rPr>
        <w:t>Педиатрична популация</w:t>
      </w:r>
    </w:p>
    <w:p w14:paraId="0C76A239" w14:textId="2DCFD356" w:rsidR="005B1671" w:rsidRPr="005B1671" w:rsidRDefault="005B1671" w:rsidP="005B1671">
      <w:pPr>
        <w:spacing w:line="240" w:lineRule="auto"/>
        <w:rPr>
          <w:rFonts w:eastAsia="Times New Roman" w:cs="Arial"/>
          <w:sz w:val="28"/>
          <w:szCs w:val="24"/>
          <w:lang w:val="ru-RU"/>
        </w:rPr>
      </w:pPr>
      <w:r w:rsidRPr="005B1671">
        <w:rPr>
          <w:rFonts w:eastAsia="Times New Roman" w:cs="Arial"/>
          <w:color w:val="000000"/>
          <w:szCs w:val="20"/>
          <w:lang w:eastAsia="bg-BG"/>
        </w:rPr>
        <w:t>Няма достатъчно данни за употребата на ИМУНАЙН при деца под 6 годишна възраст.</w:t>
      </w:r>
    </w:p>
    <w:p w14:paraId="2EC57678" w14:textId="77777777" w:rsidR="005B1671" w:rsidRPr="005B1671" w:rsidRDefault="005B1671" w:rsidP="005B1671"/>
    <w:p w14:paraId="78DD93AA" w14:textId="112C8194" w:rsidR="00B6672E" w:rsidRDefault="002C50EE" w:rsidP="00936AD0">
      <w:pPr>
        <w:pStyle w:val="Heading2"/>
      </w:pPr>
      <w:r>
        <w:t>5.2. Фармакокинетични свойства</w:t>
      </w:r>
    </w:p>
    <w:p w14:paraId="7373CF3F" w14:textId="3CE2A4D7" w:rsidR="005B1671" w:rsidRDefault="005B1671" w:rsidP="005B1671"/>
    <w:p w14:paraId="163C8A93" w14:textId="77777777"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 xml:space="preserve">Според проучване фаза 4, средното нарастващо възстановяване </w:t>
      </w:r>
      <w:r w:rsidRPr="005B1671">
        <w:rPr>
          <w:rFonts w:eastAsia="Times New Roman" w:cs="Arial"/>
          <w:color w:val="000000"/>
          <w:szCs w:val="20"/>
          <w:lang w:val="ru-RU"/>
        </w:rPr>
        <w:t>(</w:t>
      </w:r>
      <w:r w:rsidRPr="005B1671">
        <w:rPr>
          <w:rFonts w:eastAsia="Times New Roman" w:cs="Arial"/>
          <w:color w:val="000000"/>
          <w:szCs w:val="20"/>
          <w:lang w:val="en-US"/>
        </w:rPr>
        <w:t>IR</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на фактор IX при предходно лекувани пациенти </w:t>
      </w:r>
      <w:r w:rsidRPr="005B1671">
        <w:rPr>
          <w:rFonts w:eastAsia="Times New Roman" w:cs="Arial"/>
          <w:color w:val="000000"/>
          <w:szCs w:val="20"/>
          <w:lang w:val="ru-RU"/>
        </w:rPr>
        <w:t>(</w:t>
      </w:r>
      <w:r w:rsidRPr="005B1671">
        <w:rPr>
          <w:rFonts w:eastAsia="Times New Roman" w:cs="Arial"/>
          <w:color w:val="000000"/>
          <w:szCs w:val="20"/>
          <w:lang w:val="en-US"/>
        </w:rPr>
        <w:t>PTPs</w:t>
      </w:r>
      <w:r w:rsidRPr="005B1671">
        <w:rPr>
          <w:rFonts w:eastAsia="Times New Roman" w:cs="Arial"/>
          <w:color w:val="000000"/>
          <w:szCs w:val="20"/>
          <w:lang w:val="ru-RU"/>
        </w:rPr>
        <w:t xml:space="preserve">) </w:t>
      </w:r>
      <w:r w:rsidRPr="005B1671">
        <w:rPr>
          <w:rFonts w:eastAsia="Times New Roman" w:cs="Arial"/>
          <w:color w:val="000000"/>
          <w:szCs w:val="20"/>
          <w:lang w:eastAsia="bg-BG"/>
        </w:rPr>
        <w:t>на възраст 12 и повече години (</w:t>
      </w:r>
      <w:r w:rsidRPr="005B1671">
        <w:rPr>
          <w:rFonts w:eastAsia="Times New Roman" w:cs="Arial"/>
          <w:color w:val="000000"/>
          <w:szCs w:val="20"/>
          <w:lang w:val="en-US"/>
        </w:rPr>
        <w:t>n</w:t>
      </w:r>
      <w:r w:rsidRPr="005B1671">
        <w:rPr>
          <w:rFonts w:eastAsia="Times New Roman" w:cs="Arial"/>
          <w:color w:val="000000"/>
          <w:szCs w:val="20"/>
          <w:lang w:eastAsia="bg-BG"/>
        </w:rPr>
        <w:t xml:space="preserve">=27) е 1,1 (±0,27) в </w:t>
      </w:r>
      <w:r w:rsidRPr="005B1671">
        <w:rPr>
          <w:rFonts w:eastAsia="Times New Roman" w:cs="Arial"/>
          <w:color w:val="000000"/>
          <w:szCs w:val="20"/>
          <w:lang w:eastAsia="bg-BG"/>
        </w:rPr>
        <w:lastRenderedPageBreak/>
        <w:t xml:space="preserve">границите от 0,6 до 1,7 </w:t>
      </w:r>
      <w:r w:rsidRPr="005B1671">
        <w:rPr>
          <w:rFonts w:eastAsia="Times New Roman" w:cs="Arial"/>
          <w:color w:val="000000"/>
          <w:szCs w:val="20"/>
          <w:lang w:val="en-US"/>
        </w:rPr>
        <w:t>IU</w:t>
      </w:r>
      <w:r w:rsidRPr="005B1671">
        <w:rPr>
          <w:rFonts w:eastAsia="Times New Roman" w:cs="Arial"/>
          <w:color w:val="000000"/>
          <w:szCs w:val="20"/>
          <w:lang w:val="ru-RU"/>
        </w:rPr>
        <w:t>/</w:t>
      </w:r>
      <w:proofErr w:type="spellStart"/>
      <w:r w:rsidRPr="005B1671">
        <w:rPr>
          <w:rFonts w:eastAsia="Times New Roman" w:cs="Arial"/>
          <w:color w:val="000000"/>
          <w:szCs w:val="20"/>
          <w:lang w:val="en-US"/>
        </w:rPr>
        <w:t>dL</w:t>
      </w:r>
      <w:proofErr w:type="spellEnd"/>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на </w:t>
      </w:r>
      <w:r w:rsidRPr="005B1671">
        <w:rPr>
          <w:rFonts w:eastAsia="Times New Roman" w:cs="Arial"/>
          <w:color w:val="000000"/>
          <w:szCs w:val="20"/>
          <w:lang w:val="en-US"/>
        </w:rPr>
        <w:t>IU</w:t>
      </w:r>
      <w:r w:rsidRPr="005B1671">
        <w:rPr>
          <w:rFonts w:eastAsia="Times New Roman" w:cs="Arial"/>
          <w:color w:val="000000"/>
          <w:szCs w:val="20"/>
          <w:lang w:val="ru-RU"/>
        </w:rPr>
        <w:t>/</w:t>
      </w:r>
      <w:r w:rsidRPr="005B1671">
        <w:rPr>
          <w:rFonts w:eastAsia="Times New Roman" w:cs="Arial"/>
          <w:color w:val="000000"/>
          <w:szCs w:val="20"/>
          <w:lang w:val="en-US"/>
        </w:rPr>
        <w:t>kg</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В същото проучване средната стойност на </w:t>
      </w:r>
      <w:r w:rsidRPr="005B1671">
        <w:rPr>
          <w:rFonts w:eastAsia="Times New Roman" w:cs="Arial"/>
          <w:color w:val="000000"/>
          <w:szCs w:val="20"/>
          <w:lang w:val="en-US"/>
        </w:rPr>
        <w:t>IR</w:t>
      </w:r>
      <w:r w:rsidRPr="005B1671">
        <w:rPr>
          <w:rFonts w:eastAsia="Times New Roman" w:cs="Arial"/>
          <w:color w:val="000000"/>
          <w:szCs w:val="20"/>
          <w:lang w:val="ru-RU"/>
        </w:rPr>
        <w:t xml:space="preserve"> </w:t>
      </w:r>
      <w:r w:rsidRPr="005B1671">
        <w:rPr>
          <w:rFonts w:eastAsia="Times New Roman" w:cs="Arial"/>
          <w:color w:val="000000"/>
          <w:szCs w:val="20"/>
          <w:lang w:eastAsia="bg-BG"/>
        </w:rPr>
        <w:t xml:space="preserve">при </w:t>
      </w:r>
      <w:r w:rsidRPr="005B1671">
        <w:rPr>
          <w:rFonts w:eastAsia="Times New Roman" w:cs="Arial"/>
          <w:color w:val="000000"/>
          <w:szCs w:val="20"/>
          <w:lang w:val="en-US"/>
        </w:rPr>
        <w:t>PTPs</w:t>
      </w:r>
      <w:r w:rsidRPr="005B1671">
        <w:rPr>
          <w:rFonts w:eastAsia="Times New Roman" w:cs="Arial"/>
          <w:color w:val="000000"/>
          <w:szCs w:val="20"/>
          <w:lang w:val="ru-RU"/>
        </w:rPr>
        <w:t xml:space="preserve"> </w:t>
      </w:r>
      <w:r w:rsidRPr="005B1671">
        <w:rPr>
          <w:rFonts w:eastAsia="Times New Roman" w:cs="Arial"/>
          <w:color w:val="000000"/>
          <w:szCs w:val="20"/>
          <w:lang w:eastAsia="bg-BG"/>
        </w:rPr>
        <w:t>на възраст 11 и по-малко години (</w:t>
      </w:r>
      <w:r w:rsidRPr="005B1671">
        <w:rPr>
          <w:rFonts w:eastAsia="Times New Roman" w:cs="Arial"/>
          <w:color w:val="000000"/>
          <w:szCs w:val="20"/>
          <w:lang w:val="en-US"/>
        </w:rPr>
        <w:t>n</w:t>
      </w:r>
      <w:r w:rsidRPr="005B1671">
        <w:rPr>
          <w:rFonts w:eastAsia="Times New Roman" w:cs="Arial"/>
          <w:color w:val="000000"/>
          <w:szCs w:val="20"/>
          <w:lang w:eastAsia="bg-BG"/>
        </w:rPr>
        <w:t>=4) е 0,9 (±0,12) в границите от 0,8 до 1,1.</w:t>
      </w:r>
    </w:p>
    <w:p w14:paraId="7A3C98D8" w14:textId="77777777" w:rsidR="005B1671" w:rsidRPr="00BA5F0C" w:rsidRDefault="005B1671" w:rsidP="005B1671">
      <w:pPr>
        <w:spacing w:line="240" w:lineRule="auto"/>
        <w:rPr>
          <w:rFonts w:eastAsia="Times New Roman" w:cs="Arial"/>
          <w:color w:val="000000"/>
          <w:szCs w:val="20"/>
          <w:lang w:eastAsia="bg-BG"/>
        </w:rPr>
      </w:pPr>
    </w:p>
    <w:p w14:paraId="2B9CE0C7" w14:textId="3C67EEB0" w:rsidR="005B1671" w:rsidRPr="005B1671" w:rsidRDefault="005B1671" w:rsidP="005B1671">
      <w:pPr>
        <w:spacing w:line="240" w:lineRule="auto"/>
        <w:rPr>
          <w:rFonts w:eastAsia="Times New Roman" w:cs="Arial"/>
          <w:sz w:val="28"/>
          <w:szCs w:val="24"/>
        </w:rPr>
      </w:pPr>
      <w:r w:rsidRPr="005B1671">
        <w:rPr>
          <w:rFonts w:eastAsia="Times New Roman" w:cs="Arial"/>
          <w:color w:val="000000"/>
          <w:szCs w:val="20"/>
          <w:lang w:eastAsia="bg-BG"/>
        </w:rPr>
        <w:t>Фармакокинетично проучване с 26 пациенти е показало следните резултати;</w:t>
      </w:r>
    </w:p>
    <w:p w14:paraId="5DDA96CF" w14:textId="01C09E8B" w:rsidR="005B1671" w:rsidRDefault="005B1671" w:rsidP="005B1671"/>
    <w:tbl>
      <w:tblPr>
        <w:tblStyle w:val="TableGrid"/>
        <w:tblW w:w="0" w:type="auto"/>
        <w:tblLook w:val="04A0" w:firstRow="1" w:lastRow="0" w:firstColumn="1" w:lastColumn="0" w:noHBand="0" w:noVBand="1"/>
      </w:tblPr>
      <w:tblGrid>
        <w:gridCol w:w="3275"/>
        <w:gridCol w:w="1250"/>
        <w:gridCol w:w="2082"/>
        <w:gridCol w:w="1247"/>
        <w:gridCol w:w="1496"/>
      </w:tblGrid>
      <w:tr w:rsidR="005B1671" w14:paraId="7C9E8017" w14:textId="77777777" w:rsidTr="005B1671">
        <w:tc>
          <w:tcPr>
            <w:tcW w:w="3369" w:type="dxa"/>
          </w:tcPr>
          <w:p w14:paraId="5517897A" w14:textId="507E0762" w:rsidR="005B1671" w:rsidRPr="005B1671" w:rsidRDefault="005B1671" w:rsidP="005B1671">
            <w:r w:rsidRPr="005B1671">
              <w:rPr>
                <w:szCs w:val="20"/>
              </w:rPr>
              <w:t>Показател</w:t>
            </w:r>
          </w:p>
        </w:tc>
        <w:tc>
          <w:tcPr>
            <w:tcW w:w="1275" w:type="dxa"/>
          </w:tcPr>
          <w:p w14:paraId="0301DF5F" w14:textId="0DEE11D2" w:rsidR="005B1671" w:rsidRPr="005B1671" w:rsidRDefault="005B1671" w:rsidP="005B1671">
            <w:r w:rsidRPr="005B1671">
              <w:rPr>
                <w:szCs w:val="20"/>
              </w:rPr>
              <w:t>Брой</w:t>
            </w:r>
          </w:p>
        </w:tc>
        <w:tc>
          <w:tcPr>
            <w:tcW w:w="2127" w:type="dxa"/>
          </w:tcPr>
          <w:p w14:paraId="79E2EF03" w14:textId="012E6941" w:rsidR="005B1671" w:rsidRPr="005B1671" w:rsidRDefault="005B1671" w:rsidP="005B1671">
            <w:r w:rsidRPr="005B1671">
              <w:rPr>
                <w:szCs w:val="20"/>
              </w:rPr>
              <w:t>Средна стойност</w:t>
            </w:r>
          </w:p>
        </w:tc>
        <w:tc>
          <w:tcPr>
            <w:tcW w:w="1275" w:type="dxa"/>
          </w:tcPr>
          <w:p w14:paraId="11F84C71" w14:textId="6C888C6C" w:rsidR="005B1671" w:rsidRPr="005B1671" w:rsidRDefault="005B1671" w:rsidP="005B1671">
            <w:r w:rsidRPr="005B1671">
              <w:rPr>
                <w:szCs w:val="20"/>
                <w:lang w:val="en-US"/>
              </w:rPr>
              <w:t>SD</w:t>
            </w:r>
          </w:p>
        </w:tc>
        <w:tc>
          <w:tcPr>
            <w:tcW w:w="1530" w:type="dxa"/>
          </w:tcPr>
          <w:p w14:paraId="7D994950" w14:textId="4D7FF2B6" w:rsidR="005B1671" w:rsidRPr="005B1671" w:rsidRDefault="005B1671" w:rsidP="005B1671">
            <w:r w:rsidRPr="005B1671">
              <w:rPr>
                <w:szCs w:val="20"/>
              </w:rPr>
              <w:t>95% С1</w:t>
            </w:r>
          </w:p>
        </w:tc>
      </w:tr>
      <w:tr w:rsidR="005B1671" w14:paraId="248C9997" w14:textId="77777777" w:rsidTr="005B1671">
        <w:tc>
          <w:tcPr>
            <w:tcW w:w="3369" w:type="dxa"/>
          </w:tcPr>
          <w:p w14:paraId="67A4E046" w14:textId="408F0FA7" w:rsidR="005B1671" w:rsidRPr="005B1671" w:rsidRDefault="005B1671" w:rsidP="005B1671">
            <w:r w:rsidRPr="005B1671">
              <w:rPr>
                <w:szCs w:val="20"/>
              </w:rPr>
              <w:t xml:space="preserve">Клирънс </w:t>
            </w:r>
            <w:r w:rsidRPr="005B1671">
              <w:rPr>
                <w:szCs w:val="20"/>
                <w:lang w:val="en-US"/>
              </w:rPr>
              <w:t>(ml/h/kg)</w:t>
            </w:r>
          </w:p>
        </w:tc>
        <w:tc>
          <w:tcPr>
            <w:tcW w:w="1275" w:type="dxa"/>
          </w:tcPr>
          <w:p w14:paraId="3B3CC941" w14:textId="4B5843D9" w:rsidR="005B1671" w:rsidRPr="005B1671" w:rsidRDefault="005B1671" w:rsidP="005B1671">
            <w:r w:rsidRPr="005B1671">
              <w:rPr>
                <w:szCs w:val="20"/>
              </w:rPr>
              <w:t>26</w:t>
            </w:r>
          </w:p>
        </w:tc>
        <w:tc>
          <w:tcPr>
            <w:tcW w:w="2127" w:type="dxa"/>
          </w:tcPr>
          <w:p w14:paraId="260184B4" w14:textId="142FAEEE" w:rsidR="005B1671" w:rsidRPr="005B1671" w:rsidRDefault="005B1671" w:rsidP="005B1671">
            <w:r w:rsidRPr="005B1671">
              <w:rPr>
                <w:szCs w:val="20"/>
              </w:rPr>
              <w:t>8,89</w:t>
            </w:r>
          </w:p>
        </w:tc>
        <w:tc>
          <w:tcPr>
            <w:tcW w:w="1275" w:type="dxa"/>
          </w:tcPr>
          <w:p w14:paraId="234CA8D0" w14:textId="0456A4CD" w:rsidR="005B1671" w:rsidRPr="005B1671" w:rsidRDefault="005B1671" w:rsidP="005B1671">
            <w:r w:rsidRPr="005B1671">
              <w:rPr>
                <w:szCs w:val="20"/>
              </w:rPr>
              <w:t>2,91</w:t>
            </w:r>
          </w:p>
        </w:tc>
        <w:tc>
          <w:tcPr>
            <w:tcW w:w="1530" w:type="dxa"/>
          </w:tcPr>
          <w:p w14:paraId="4EF4E89C" w14:textId="0AFCF2C4" w:rsidR="005B1671" w:rsidRPr="005B1671" w:rsidRDefault="005B1671" w:rsidP="005B1671">
            <w:r w:rsidRPr="005B1671">
              <w:rPr>
                <w:szCs w:val="20"/>
              </w:rPr>
              <w:t>7.,72-10,06</w:t>
            </w:r>
          </w:p>
        </w:tc>
      </w:tr>
      <w:tr w:rsidR="005B1671" w14:paraId="2E9C7214" w14:textId="77777777" w:rsidTr="005B1671">
        <w:tc>
          <w:tcPr>
            <w:tcW w:w="3369" w:type="dxa"/>
          </w:tcPr>
          <w:p w14:paraId="40ED056E" w14:textId="24F9F5B6" w:rsidR="005B1671" w:rsidRPr="005B1671" w:rsidRDefault="005B1671" w:rsidP="005B1671">
            <w:r w:rsidRPr="005B1671">
              <w:rPr>
                <w:szCs w:val="20"/>
              </w:rPr>
              <w:t xml:space="preserve">Средно остатъчно време </w:t>
            </w:r>
            <w:r w:rsidRPr="005B1671">
              <w:rPr>
                <w:szCs w:val="20"/>
                <w:lang w:val="en-US"/>
              </w:rPr>
              <w:t>(h)</w:t>
            </w:r>
          </w:p>
        </w:tc>
        <w:tc>
          <w:tcPr>
            <w:tcW w:w="1275" w:type="dxa"/>
          </w:tcPr>
          <w:p w14:paraId="5FF6230D" w14:textId="24541CE9" w:rsidR="005B1671" w:rsidRPr="005B1671" w:rsidRDefault="005B1671" w:rsidP="005B1671">
            <w:r w:rsidRPr="005B1671">
              <w:rPr>
                <w:szCs w:val="20"/>
              </w:rPr>
              <w:t>26</w:t>
            </w:r>
          </w:p>
        </w:tc>
        <w:tc>
          <w:tcPr>
            <w:tcW w:w="2127" w:type="dxa"/>
          </w:tcPr>
          <w:p w14:paraId="00AB9E9D" w14:textId="49E5EFA9" w:rsidR="005B1671" w:rsidRPr="005B1671" w:rsidRDefault="005B1671" w:rsidP="005B1671">
            <w:r w:rsidRPr="005B1671">
              <w:rPr>
                <w:szCs w:val="20"/>
              </w:rPr>
              <w:t>23,86</w:t>
            </w:r>
          </w:p>
        </w:tc>
        <w:tc>
          <w:tcPr>
            <w:tcW w:w="1275" w:type="dxa"/>
          </w:tcPr>
          <w:p w14:paraId="52F0AE4C" w14:textId="1527F825" w:rsidR="005B1671" w:rsidRPr="005B1671" w:rsidRDefault="005B1671" w:rsidP="005B1671">
            <w:r w:rsidRPr="005B1671">
              <w:rPr>
                <w:szCs w:val="20"/>
              </w:rPr>
              <w:t>5,09</w:t>
            </w:r>
          </w:p>
        </w:tc>
        <w:tc>
          <w:tcPr>
            <w:tcW w:w="1530" w:type="dxa"/>
          </w:tcPr>
          <w:p w14:paraId="765B7B77" w14:textId="39675D70" w:rsidR="005B1671" w:rsidRPr="005B1671" w:rsidRDefault="005B1671" w:rsidP="005B1671">
            <w:r w:rsidRPr="005B1671">
              <w:rPr>
                <w:szCs w:val="20"/>
              </w:rPr>
              <w:t>1,85-25,88</w:t>
            </w:r>
          </w:p>
        </w:tc>
      </w:tr>
    </w:tbl>
    <w:p w14:paraId="558EE893" w14:textId="26F2786C" w:rsidR="005B1671" w:rsidRDefault="005B1671" w:rsidP="005B1671"/>
    <w:p w14:paraId="3F028D38" w14:textId="4FF33D0D" w:rsidR="00BA5F0C" w:rsidRDefault="00BA5F0C" w:rsidP="00BA5F0C">
      <w:r>
        <w:t>Биологичният полуживот е приблизително 17 часа.</w:t>
      </w:r>
    </w:p>
    <w:p w14:paraId="4179FEA1" w14:textId="77777777" w:rsidR="00BA5F0C" w:rsidRPr="005B1671" w:rsidRDefault="00BA5F0C" w:rsidP="00BA5F0C"/>
    <w:p w14:paraId="4FB791BE" w14:textId="1A296FF4" w:rsidR="00B6672E" w:rsidRDefault="002C50EE" w:rsidP="00936AD0">
      <w:pPr>
        <w:pStyle w:val="Heading2"/>
      </w:pPr>
      <w:r>
        <w:t>5.3. Предклинични данни за безопасност</w:t>
      </w:r>
    </w:p>
    <w:p w14:paraId="42B8935F" w14:textId="3DFA7209" w:rsidR="00BA5F0C" w:rsidRDefault="00BA5F0C" w:rsidP="00BA5F0C"/>
    <w:p w14:paraId="59A7F457" w14:textId="77777777" w:rsidR="00BA5F0C" w:rsidRPr="00BA5F0C" w:rsidRDefault="00BA5F0C" w:rsidP="00BA5F0C">
      <w:pPr>
        <w:spacing w:line="240" w:lineRule="auto"/>
        <w:rPr>
          <w:rFonts w:eastAsia="Times New Roman" w:cs="Arial"/>
          <w:sz w:val="28"/>
          <w:szCs w:val="24"/>
        </w:rPr>
      </w:pPr>
      <w:r w:rsidRPr="00BA5F0C">
        <w:rPr>
          <w:rFonts w:eastAsia="Times New Roman" w:cs="Arial"/>
          <w:color w:val="000000"/>
          <w:szCs w:val="20"/>
          <w:lang w:eastAsia="bg-BG"/>
        </w:rPr>
        <w:t>ИМУНАЙН е високо пречистен фактор IX концентрат, съдържащ само следи от други коагулационни фактори П, VII и X. Прилагането на единична доза ИМУНАИН на опитни животни не са дали доказателства за наличието на токсикологичен и тромбогенен потенциал.</w:t>
      </w:r>
    </w:p>
    <w:p w14:paraId="7B95D104" w14:textId="77777777" w:rsidR="00BA5F0C" w:rsidRPr="00BA5F0C" w:rsidRDefault="00BA5F0C" w:rsidP="00BA5F0C">
      <w:pPr>
        <w:spacing w:line="240" w:lineRule="auto"/>
        <w:rPr>
          <w:rFonts w:eastAsia="Times New Roman" w:cs="Arial"/>
          <w:color w:val="000000"/>
          <w:szCs w:val="20"/>
          <w:lang w:eastAsia="bg-BG"/>
        </w:rPr>
      </w:pPr>
    </w:p>
    <w:p w14:paraId="1B559648" w14:textId="524D53D4" w:rsidR="00BA5F0C" w:rsidRPr="00BA5F0C" w:rsidRDefault="00BA5F0C" w:rsidP="00BA5F0C">
      <w:pPr>
        <w:spacing w:line="240" w:lineRule="auto"/>
        <w:rPr>
          <w:rFonts w:eastAsia="Times New Roman" w:cs="Arial"/>
          <w:sz w:val="28"/>
          <w:szCs w:val="24"/>
        </w:rPr>
      </w:pPr>
      <w:r w:rsidRPr="00BA5F0C">
        <w:rPr>
          <w:rFonts w:eastAsia="Times New Roman" w:cs="Arial"/>
          <w:color w:val="000000"/>
          <w:szCs w:val="20"/>
          <w:lang w:eastAsia="bg-BG"/>
        </w:rPr>
        <w:t>Неклинични проучвания с прилагане на повтарящи се дози е необосновано да се провеждат, поради хетероложният характер на човешкия протеин в лабораторни животни.</w:t>
      </w:r>
    </w:p>
    <w:p w14:paraId="38A5F8FA" w14:textId="77777777" w:rsidR="00BA5F0C" w:rsidRPr="00BA5F0C" w:rsidRDefault="00BA5F0C" w:rsidP="00BA5F0C">
      <w:pPr>
        <w:spacing w:line="240" w:lineRule="auto"/>
        <w:rPr>
          <w:rFonts w:eastAsia="Times New Roman" w:cs="Arial"/>
          <w:color w:val="000000"/>
          <w:szCs w:val="20"/>
          <w:lang w:eastAsia="bg-BG"/>
        </w:rPr>
      </w:pPr>
    </w:p>
    <w:p w14:paraId="3D73187B" w14:textId="037EF5BD" w:rsidR="00BA5F0C" w:rsidRPr="00BA5F0C" w:rsidRDefault="00BA5F0C" w:rsidP="00BA5F0C">
      <w:pPr>
        <w:spacing w:line="240" w:lineRule="auto"/>
        <w:rPr>
          <w:rFonts w:eastAsia="Times New Roman" w:cs="Arial"/>
          <w:sz w:val="28"/>
          <w:szCs w:val="24"/>
        </w:rPr>
      </w:pPr>
      <w:r w:rsidRPr="00BA5F0C">
        <w:rPr>
          <w:rFonts w:eastAsia="Times New Roman" w:cs="Arial"/>
          <w:color w:val="000000"/>
          <w:szCs w:val="20"/>
          <w:lang w:eastAsia="bg-BG"/>
        </w:rPr>
        <w:t>Тъй като фактор IX е протеин от човешки произход, който нормално циркулира в човешката плазма, не се очакват токсични ефекти върху репродуктивната способност, нито мутагенни или канцерогенни ефекти.</w:t>
      </w:r>
    </w:p>
    <w:p w14:paraId="4BF5AAE5" w14:textId="77777777" w:rsidR="00BA5F0C" w:rsidRPr="00BA5F0C" w:rsidRDefault="00BA5F0C" w:rsidP="00BA5F0C"/>
    <w:p w14:paraId="1BA6531D" w14:textId="059BBEF7" w:rsidR="00B6672E" w:rsidRDefault="002C50EE" w:rsidP="00936AD0">
      <w:pPr>
        <w:pStyle w:val="Heading1"/>
      </w:pPr>
      <w:r>
        <w:t>7. ПРИТЕЖАТЕЛ НА РАЗРЕШЕНИЕТО ЗА УПОТРЕБА</w:t>
      </w:r>
    </w:p>
    <w:p w14:paraId="42F9B75D" w14:textId="00FC3604" w:rsidR="00BA5F0C" w:rsidRDefault="00BA5F0C" w:rsidP="00BA5F0C"/>
    <w:p w14:paraId="182F1CAC" w14:textId="77777777" w:rsidR="00BA5F0C" w:rsidRPr="00BA5F0C" w:rsidRDefault="00BA5F0C" w:rsidP="00BA5F0C">
      <w:pPr>
        <w:rPr>
          <w:sz w:val="24"/>
          <w:szCs w:val="24"/>
          <w:lang w:val="en-US"/>
        </w:rPr>
      </w:pPr>
      <w:proofErr w:type="spellStart"/>
      <w:r w:rsidRPr="00BA5F0C">
        <w:rPr>
          <w:lang w:val="en-US"/>
        </w:rPr>
        <w:t>Baxalta</w:t>
      </w:r>
      <w:proofErr w:type="spellEnd"/>
      <w:r w:rsidRPr="00BA5F0C">
        <w:rPr>
          <w:lang w:val="en-US"/>
        </w:rPr>
        <w:t xml:space="preserve"> Innovations GmbH</w:t>
      </w:r>
    </w:p>
    <w:p w14:paraId="626BA822" w14:textId="77777777" w:rsidR="00BA5F0C" w:rsidRPr="00BA5F0C" w:rsidRDefault="00BA5F0C" w:rsidP="00BA5F0C">
      <w:pPr>
        <w:rPr>
          <w:sz w:val="24"/>
          <w:szCs w:val="24"/>
          <w:lang w:val="en-US"/>
        </w:rPr>
      </w:pPr>
      <w:proofErr w:type="spellStart"/>
      <w:r w:rsidRPr="00BA5F0C">
        <w:rPr>
          <w:lang w:val="en-US"/>
        </w:rPr>
        <w:t>Industriestrasse</w:t>
      </w:r>
      <w:proofErr w:type="spellEnd"/>
      <w:r w:rsidRPr="00BA5F0C">
        <w:rPr>
          <w:lang w:val="en-US"/>
        </w:rPr>
        <w:t xml:space="preserve"> 67</w:t>
      </w:r>
    </w:p>
    <w:p w14:paraId="571DFC4A" w14:textId="77777777" w:rsidR="00BA5F0C" w:rsidRPr="00BA5F0C" w:rsidRDefault="00BA5F0C" w:rsidP="00BA5F0C">
      <w:pPr>
        <w:rPr>
          <w:sz w:val="24"/>
          <w:szCs w:val="24"/>
          <w:lang w:val="en-US"/>
        </w:rPr>
      </w:pPr>
      <w:r w:rsidRPr="00BA5F0C">
        <w:rPr>
          <w:lang w:val="en-US"/>
        </w:rPr>
        <w:t>A-1221 Vienna</w:t>
      </w:r>
    </w:p>
    <w:p w14:paraId="66B0F903" w14:textId="346477DA" w:rsidR="00BA5F0C" w:rsidRPr="00BA5F0C" w:rsidRDefault="00BA5F0C" w:rsidP="00BA5F0C">
      <w:r w:rsidRPr="00BA5F0C">
        <w:rPr>
          <w:lang w:eastAsia="bg-BG"/>
        </w:rPr>
        <w:t>Австрия</w:t>
      </w:r>
    </w:p>
    <w:p w14:paraId="508F3A54" w14:textId="0D56BF4A" w:rsidR="00B6672E" w:rsidRDefault="00936AD0" w:rsidP="00936AD0">
      <w:pPr>
        <w:pStyle w:val="Heading1"/>
      </w:pPr>
      <w:r>
        <w:t>8.</w:t>
      </w:r>
      <w:r w:rsidR="002C50EE">
        <w:t>НОМЕР НА РАЗРЕШЕНИЕТО ЗА УПОТРЕБА</w:t>
      </w:r>
    </w:p>
    <w:p w14:paraId="53F52C3C" w14:textId="7FAED608" w:rsidR="00BA5F0C" w:rsidRDefault="00BA5F0C" w:rsidP="00BA5F0C"/>
    <w:p w14:paraId="7155E1BF" w14:textId="3B54E9E3" w:rsidR="00BA5F0C" w:rsidRPr="00BA5F0C" w:rsidRDefault="00BA5F0C" w:rsidP="00BA5F0C">
      <w:r>
        <w:t>9800131</w:t>
      </w:r>
    </w:p>
    <w:p w14:paraId="2CCB5832" w14:textId="439D87F3" w:rsidR="007C605B" w:rsidRDefault="002C50EE" w:rsidP="007C605B">
      <w:pPr>
        <w:pStyle w:val="Heading1"/>
      </w:pPr>
      <w:r>
        <w:t>9. ДАТА НА ПЪРВО РАЗРЕШАВАНЕ/ПОДНОВЯВАНЕ НА РАЗРЕШЕНИЕТО ЗА УПОТРЕБА</w:t>
      </w:r>
    </w:p>
    <w:p w14:paraId="0D7550FE" w14:textId="68B0E056" w:rsidR="00BA5F0C" w:rsidRDefault="00BA5F0C" w:rsidP="00BA5F0C"/>
    <w:p w14:paraId="649B28B1" w14:textId="6CAEEF7D" w:rsidR="00BA5F0C" w:rsidRDefault="00BA5F0C" w:rsidP="00BA5F0C">
      <w:r>
        <w:t>Дата на първо разрешаване: 14.11.2007 г.</w:t>
      </w:r>
    </w:p>
    <w:p w14:paraId="0E267FA1" w14:textId="2834254E" w:rsidR="00BA5F0C" w:rsidRPr="00BA5F0C" w:rsidRDefault="00BA5F0C" w:rsidP="00BA5F0C">
      <w:pPr>
        <w:rPr>
          <w:sz w:val="24"/>
          <w:szCs w:val="24"/>
        </w:rPr>
      </w:pPr>
      <w:r w:rsidRPr="00BA5F0C">
        <w:rPr>
          <w:lang w:eastAsia="bg-BG"/>
        </w:rPr>
        <w:t>Дата на последно подновяване: 30.06.2011 г.</w:t>
      </w:r>
    </w:p>
    <w:p w14:paraId="0E9D0119" w14:textId="0245C6D7" w:rsidR="002C50EE" w:rsidRDefault="002C50EE" w:rsidP="002C50EE">
      <w:pPr>
        <w:pStyle w:val="Heading1"/>
      </w:pPr>
      <w:r>
        <w:t>10. ДАТА НА АКТУАЛИЗИРАНЕ НА ТЕКСТА</w:t>
      </w:r>
    </w:p>
    <w:bookmarkEnd w:id="0"/>
    <w:p w14:paraId="43FB38A2" w14:textId="24D3E70F" w:rsidR="007C605B" w:rsidRPr="003E3126" w:rsidRDefault="00BA5F0C" w:rsidP="00BA5F0C">
      <w:r>
        <w:t>01.2022</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B42A1"/>
    <w:multiLevelType w:val="hybridMultilevel"/>
    <w:tmpl w:val="BCFA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E00F9"/>
    <w:multiLevelType w:val="hybridMultilevel"/>
    <w:tmpl w:val="078E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4"/>
  </w:num>
  <w:num w:numId="4">
    <w:abstractNumId w:val="3"/>
  </w:num>
  <w:num w:numId="5">
    <w:abstractNumId w:val="1"/>
  </w:num>
  <w:num w:numId="6">
    <w:abstractNumId w:val="19"/>
  </w:num>
  <w:num w:numId="7">
    <w:abstractNumId w:val="12"/>
  </w:num>
  <w:num w:numId="8">
    <w:abstractNumId w:val="18"/>
  </w:num>
  <w:num w:numId="9">
    <w:abstractNumId w:val="2"/>
  </w:num>
  <w:num w:numId="10">
    <w:abstractNumId w:val="4"/>
  </w:num>
  <w:num w:numId="11">
    <w:abstractNumId w:val="33"/>
  </w:num>
  <w:num w:numId="12">
    <w:abstractNumId w:val="16"/>
  </w:num>
  <w:num w:numId="13">
    <w:abstractNumId w:val="22"/>
  </w:num>
  <w:num w:numId="14">
    <w:abstractNumId w:val="13"/>
  </w:num>
  <w:num w:numId="15">
    <w:abstractNumId w:val="32"/>
  </w:num>
  <w:num w:numId="16">
    <w:abstractNumId w:val="11"/>
  </w:num>
  <w:num w:numId="17">
    <w:abstractNumId w:val="27"/>
  </w:num>
  <w:num w:numId="18">
    <w:abstractNumId w:val="8"/>
  </w:num>
  <w:num w:numId="19">
    <w:abstractNumId w:val="29"/>
  </w:num>
  <w:num w:numId="20">
    <w:abstractNumId w:val="26"/>
  </w:num>
  <w:num w:numId="21">
    <w:abstractNumId w:val="20"/>
  </w:num>
  <w:num w:numId="22">
    <w:abstractNumId w:val="28"/>
  </w:num>
  <w:num w:numId="23">
    <w:abstractNumId w:val="21"/>
  </w:num>
  <w:num w:numId="24">
    <w:abstractNumId w:val="9"/>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0"/>
  </w:num>
  <w:num w:numId="37">
    <w:abstractNumId w:val="1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1671"/>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A5F0C"/>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da@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3019</Words>
  <Characters>17210</Characters>
  <Application>Microsoft Office Word</Application>
  <DocSecurity>0</DocSecurity>
  <Lines>143</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2022-08-28T16:37:00Z</dcterms:created>
  <dcterms:modified xsi:type="dcterms:W3CDTF">2022-08-28T16:37:00Z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