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7C7604DC" w:rsidR="00AA23EC" w:rsidRDefault="00DD466D" w:rsidP="00DD466D">
      <w:pPr>
        <w:pStyle w:val="Heading1"/>
      </w:pPr>
      <w:r>
        <w:t>1.ИМЕ НА ЛЕКАРСТВЕНИЯ ПРОДУКТ</w:t>
      </w:r>
    </w:p>
    <w:p w14:paraId="56A553D9" w14:textId="1F8E8347" w:rsidR="00FF476F" w:rsidRDefault="00FF476F" w:rsidP="00FF476F"/>
    <w:p w14:paraId="718BEB3B" w14:textId="77777777" w:rsidR="00FF476F" w:rsidRPr="00FF476F" w:rsidRDefault="00FF476F" w:rsidP="00FF476F">
      <w:pPr>
        <w:rPr>
          <w:sz w:val="24"/>
          <w:szCs w:val="24"/>
          <w:lang w:val="en-US"/>
        </w:rPr>
      </w:pPr>
      <w:r w:rsidRPr="00FF476F">
        <w:rPr>
          <w:lang w:eastAsia="bg-BG"/>
        </w:rPr>
        <w:t xml:space="preserve">ИМУРАН </w:t>
      </w:r>
      <w:r w:rsidRPr="00FF476F">
        <w:rPr>
          <w:lang w:val="en-US"/>
        </w:rPr>
        <w:t xml:space="preserve">50 mg </w:t>
      </w:r>
      <w:r w:rsidRPr="00FF476F">
        <w:rPr>
          <w:lang w:eastAsia="bg-BG"/>
        </w:rPr>
        <w:t>филмирани таблетки</w:t>
      </w:r>
    </w:p>
    <w:p w14:paraId="394EED4C" w14:textId="1FCC3CA2" w:rsidR="00FF476F" w:rsidRPr="00FF476F" w:rsidRDefault="00FF476F" w:rsidP="00FF476F">
      <w:r w:rsidRPr="00FF476F">
        <w:rPr>
          <w:lang w:val="en-US"/>
        </w:rPr>
        <w:t>IMURAN 50 mg film-coated tablets</w:t>
      </w:r>
    </w:p>
    <w:p w14:paraId="0A368469" w14:textId="793ED29D" w:rsidR="00C0049F" w:rsidRDefault="00DD466D" w:rsidP="009F1313">
      <w:pPr>
        <w:pStyle w:val="Heading1"/>
      </w:pPr>
      <w:r>
        <w:t>2. КАЧЕСТВЕН И КОЛИЧЕСТВЕН СЪСТАВ</w:t>
      </w:r>
    </w:p>
    <w:p w14:paraId="7A22C0FA" w14:textId="22521F0C" w:rsidR="00FF476F" w:rsidRDefault="00FF476F" w:rsidP="00FF476F"/>
    <w:p w14:paraId="185ED4D4"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Всяка таблетка съдържа 50 </w:t>
      </w:r>
      <w:r w:rsidRPr="00FF476F">
        <w:rPr>
          <w:rFonts w:eastAsia="Times New Roman" w:cs="Arial"/>
          <w:color w:val="000000"/>
          <w:lang w:val="en-US"/>
        </w:rPr>
        <w:t>mg</w:t>
      </w:r>
      <w:r w:rsidRPr="00FF476F">
        <w:rPr>
          <w:rFonts w:eastAsia="Times New Roman" w:cs="Arial"/>
          <w:color w:val="000000"/>
        </w:rPr>
        <w:t xml:space="preserve"> </w:t>
      </w:r>
      <w:r w:rsidRPr="00FF476F">
        <w:rPr>
          <w:rFonts w:eastAsia="Times New Roman" w:cs="Arial"/>
          <w:color w:val="000000"/>
          <w:lang w:eastAsia="bg-BG"/>
        </w:rPr>
        <w:t xml:space="preserve">азатиоприн </w:t>
      </w:r>
      <w:r w:rsidRPr="00FF476F">
        <w:rPr>
          <w:rFonts w:eastAsia="Times New Roman" w:cs="Arial"/>
          <w:i/>
          <w:iCs/>
          <w:color w:val="000000"/>
        </w:rPr>
        <w:t>(</w:t>
      </w:r>
      <w:r w:rsidRPr="00FF476F">
        <w:rPr>
          <w:rFonts w:eastAsia="Times New Roman" w:cs="Arial"/>
          <w:i/>
          <w:iCs/>
          <w:color w:val="000000"/>
          <w:lang w:val="en-US"/>
        </w:rPr>
        <w:t>azathioprine</w:t>
      </w:r>
      <w:r w:rsidRPr="00FF476F">
        <w:rPr>
          <w:rFonts w:eastAsia="Times New Roman" w:cs="Arial"/>
          <w:i/>
          <w:iCs/>
          <w:color w:val="000000"/>
        </w:rPr>
        <w:t>).</w:t>
      </w:r>
    </w:p>
    <w:p w14:paraId="0655157C" w14:textId="77777777" w:rsidR="00FF476F" w:rsidRDefault="00FF476F" w:rsidP="00FF476F">
      <w:pPr>
        <w:rPr>
          <w:rFonts w:eastAsia="Times New Roman" w:cs="Arial"/>
          <w:color w:val="000000"/>
          <w:u w:val="single"/>
          <w:lang w:eastAsia="bg-BG"/>
        </w:rPr>
      </w:pPr>
    </w:p>
    <w:p w14:paraId="437DDC50" w14:textId="542E1128" w:rsidR="00FF476F" w:rsidRPr="00FF476F" w:rsidRDefault="00FF476F" w:rsidP="00FF476F">
      <w:pPr>
        <w:rPr>
          <w:rFonts w:cs="Arial"/>
        </w:rPr>
      </w:pPr>
      <w:r w:rsidRPr="00FF476F">
        <w:rPr>
          <w:rFonts w:eastAsia="Times New Roman" w:cs="Arial"/>
          <w:color w:val="000000"/>
          <w:u w:val="single"/>
          <w:lang w:eastAsia="bg-BG"/>
        </w:rPr>
        <w:t>Помошно(и) вешество(а) с известно действие: л</w:t>
      </w:r>
      <w:r w:rsidRPr="00FF476F">
        <w:rPr>
          <w:rFonts w:eastAsia="Times New Roman" w:cs="Arial"/>
          <w:color w:val="000000"/>
          <w:lang w:eastAsia="bg-BG"/>
        </w:rPr>
        <w:t>актоза монохидрат.</w:t>
      </w:r>
    </w:p>
    <w:p w14:paraId="614984C4" w14:textId="0925E362" w:rsidR="008A6AF2" w:rsidRDefault="00DD466D" w:rsidP="002C50EE">
      <w:pPr>
        <w:pStyle w:val="Heading1"/>
      </w:pPr>
      <w:r>
        <w:t>3. ЛЕКАРСТВЕНА ФОРМА</w:t>
      </w:r>
    </w:p>
    <w:p w14:paraId="0D90D5F6" w14:textId="086CEA0E" w:rsidR="00FF476F" w:rsidRDefault="00FF476F" w:rsidP="00FF476F"/>
    <w:p w14:paraId="4158572F"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Филмирана таблетка</w:t>
      </w:r>
    </w:p>
    <w:p w14:paraId="09609612" w14:textId="77777777" w:rsidR="00FF476F" w:rsidRPr="00FF476F" w:rsidRDefault="00FF476F" w:rsidP="00FF476F">
      <w:pPr>
        <w:spacing w:line="240" w:lineRule="auto"/>
        <w:rPr>
          <w:rFonts w:eastAsia="Times New Roman" w:cs="Arial"/>
          <w:color w:val="000000"/>
          <w:lang w:eastAsia="bg-BG"/>
        </w:rPr>
      </w:pPr>
    </w:p>
    <w:p w14:paraId="7515775E" w14:textId="5391546C"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ИМУРАН 50 </w:t>
      </w:r>
      <w:r w:rsidRPr="00FF476F">
        <w:rPr>
          <w:rFonts w:eastAsia="Times New Roman" w:cs="Arial"/>
          <w:color w:val="000000"/>
          <w:lang w:val="en-US"/>
        </w:rPr>
        <w:t>mg</w:t>
      </w:r>
      <w:r w:rsidRPr="00FF476F">
        <w:rPr>
          <w:rFonts w:eastAsia="Times New Roman" w:cs="Arial"/>
          <w:color w:val="000000"/>
          <w:lang w:val="ru-RU"/>
        </w:rPr>
        <w:t xml:space="preserve"> </w:t>
      </w:r>
      <w:r w:rsidRPr="00FF476F">
        <w:rPr>
          <w:rFonts w:eastAsia="Times New Roman" w:cs="Arial"/>
          <w:color w:val="000000"/>
          <w:lang w:eastAsia="bg-BG"/>
        </w:rPr>
        <w:t>филмирани таблетки са жълти кръгли двойноизпъкнали филмирани таблетки с означение ,,</w:t>
      </w:r>
      <w:r w:rsidRPr="00FF476F">
        <w:rPr>
          <w:rFonts w:eastAsia="Times New Roman" w:cs="Arial"/>
          <w:color w:val="000000"/>
          <w:lang w:val="en-US"/>
        </w:rPr>
        <w:t>I</w:t>
      </w:r>
      <w:r w:rsidRPr="00FF476F">
        <w:rPr>
          <w:rFonts w:eastAsia="Times New Roman" w:cs="Arial"/>
          <w:color w:val="000000"/>
          <w:lang w:eastAsia="bg-BG"/>
        </w:rPr>
        <w:t>М 5“.</w:t>
      </w:r>
    </w:p>
    <w:p w14:paraId="555BCA97" w14:textId="77777777" w:rsidR="00FF476F" w:rsidRPr="00FF476F" w:rsidRDefault="00FF476F" w:rsidP="00FF476F"/>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1931E05F" w:rsidR="00395555" w:rsidRDefault="00395555" w:rsidP="00395555"/>
    <w:p w14:paraId="6EE9A044"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ИМУРАН се използва като имуносупресивен антиметаболит самостоятелно или, по-често, в комбинация с друга лекарства (обикновено кортикостероиди) и процедури за промяна на имунния отговор. Терапевтичният ефект се проявява след няколко седмици или месеца, като води до редуциране на необходимата доза кортикостероид. По този начин се намаляват токсичните прояви на кортикостсроидите при продължително прилагане и в големи дози.</w:t>
      </w:r>
    </w:p>
    <w:p w14:paraId="69DAF5D0" w14:textId="77777777" w:rsidR="00FF476F" w:rsidRPr="00FF476F" w:rsidRDefault="00FF476F" w:rsidP="00FF476F">
      <w:pPr>
        <w:spacing w:line="240" w:lineRule="auto"/>
        <w:rPr>
          <w:rFonts w:eastAsia="Times New Roman" w:cs="Arial"/>
          <w:color w:val="000000"/>
          <w:lang w:eastAsia="bg-BG"/>
        </w:rPr>
      </w:pPr>
    </w:p>
    <w:p w14:paraId="13B64718" w14:textId="6957D6DE"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ИМУРАН в комбинация с кортикостероиди и/или други имуносупресивни продукти и процедури е показан за потискане реакцията на отхвърляне на трансплантирани органи от организма, като бъбреци, черен дроб и сърце, също така да редуцира необходимата доза кортикостероиди при бъбречна трансплантация.</w:t>
      </w:r>
    </w:p>
    <w:p w14:paraId="3895E3FB" w14:textId="77777777" w:rsidR="00FF476F" w:rsidRPr="00FF476F" w:rsidRDefault="00FF476F" w:rsidP="00FF476F">
      <w:pPr>
        <w:spacing w:line="240" w:lineRule="auto"/>
        <w:rPr>
          <w:rFonts w:eastAsia="Times New Roman" w:cs="Arial"/>
          <w:color w:val="000000"/>
          <w:lang w:eastAsia="bg-BG"/>
        </w:rPr>
      </w:pPr>
    </w:p>
    <w:p w14:paraId="52D216E5" w14:textId="2EC78DC1"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ИМУРАН е показан за лечение на умерено тежки и тежки възпалителни заболявания на червата (болест на Крон и хроничен улцеро-хеморагичен колит), при пациенти с показана терапия с кортикостероиди, при пациенти с непоносимост към кортикостероиди или при рефрактерно на обичайното лечение заболяване.</w:t>
      </w:r>
    </w:p>
    <w:p w14:paraId="5E628D1E" w14:textId="77777777" w:rsidR="00FF476F" w:rsidRPr="00FF476F" w:rsidRDefault="00FF476F" w:rsidP="00FF476F">
      <w:pPr>
        <w:spacing w:line="240" w:lineRule="auto"/>
        <w:rPr>
          <w:rFonts w:eastAsia="Times New Roman" w:cs="Arial"/>
          <w:color w:val="000000"/>
          <w:lang w:eastAsia="bg-BG"/>
        </w:rPr>
      </w:pPr>
    </w:p>
    <w:p w14:paraId="60C52B5A" w14:textId="05CC8EAB" w:rsidR="00FF476F" w:rsidRPr="00FF476F" w:rsidRDefault="00FF476F" w:rsidP="00FF476F">
      <w:pPr>
        <w:spacing w:line="240" w:lineRule="auto"/>
        <w:rPr>
          <w:rFonts w:eastAsia="Times New Roman" w:cs="Arial"/>
          <w:color w:val="000000"/>
          <w:lang w:eastAsia="bg-BG"/>
        </w:rPr>
      </w:pPr>
      <w:r w:rsidRPr="00FF476F">
        <w:rPr>
          <w:rFonts w:eastAsia="Times New Roman" w:cs="Arial"/>
          <w:color w:val="000000"/>
          <w:lang w:eastAsia="bg-BG"/>
        </w:rPr>
        <w:t>При приложение на ИМУРАН самостоятелно или по-често в комбинация с кортикостероиди и/или други продукти и процедури се постига клинична полза (като намаляване на дозата или спиране приема на кортикостероиди) при някои пациенти, страдащи от следните заболявания:</w:t>
      </w:r>
    </w:p>
    <w:p w14:paraId="1389F6A3" w14:textId="77777777" w:rsidR="00FF476F" w:rsidRPr="00FF476F" w:rsidRDefault="00FF476F" w:rsidP="00FF476F">
      <w:pPr>
        <w:spacing w:line="240" w:lineRule="auto"/>
        <w:rPr>
          <w:rFonts w:eastAsia="Times New Roman" w:cs="Arial"/>
          <w:sz w:val="24"/>
          <w:szCs w:val="24"/>
        </w:rPr>
      </w:pPr>
    </w:p>
    <w:p w14:paraId="071D0593" w14:textId="77777777" w:rsidR="00FF476F" w:rsidRPr="00FF476F" w:rsidRDefault="00FF476F" w:rsidP="00FF476F">
      <w:pPr>
        <w:pStyle w:val="ListParagraph"/>
        <w:numPr>
          <w:ilvl w:val="0"/>
          <w:numId w:val="32"/>
        </w:numPr>
        <w:rPr>
          <w:lang w:eastAsia="bg-BG"/>
        </w:rPr>
      </w:pPr>
      <w:r w:rsidRPr="00FF476F">
        <w:rPr>
          <w:lang w:eastAsia="bg-BG"/>
        </w:rPr>
        <w:lastRenderedPageBreak/>
        <w:t>тежък ревматоиден артрит;</w:t>
      </w:r>
    </w:p>
    <w:p w14:paraId="7F6B7EC3" w14:textId="77777777" w:rsidR="00FF476F" w:rsidRPr="00FF476F" w:rsidRDefault="00FF476F" w:rsidP="00FF476F">
      <w:pPr>
        <w:pStyle w:val="ListParagraph"/>
        <w:numPr>
          <w:ilvl w:val="0"/>
          <w:numId w:val="32"/>
        </w:numPr>
        <w:rPr>
          <w:lang w:eastAsia="bg-BG"/>
        </w:rPr>
      </w:pPr>
      <w:r w:rsidRPr="00FF476F">
        <w:rPr>
          <w:lang w:eastAsia="bg-BG"/>
        </w:rPr>
        <w:t>системен лупус еритематодес;</w:t>
      </w:r>
    </w:p>
    <w:p w14:paraId="59EAFF0A" w14:textId="77777777" w:rsidR="00FF476F" w:rsidRPr="00FF476F" w:rsidRDefault="00FF476F" w:rsidP="00FF476F">
      <w:pPr>
        <w:pStyle w:val="ListParagraph"/>
        <w:numPr>
          <w:ilvl w:val="0"/>
          <w:numId w:val="32"/>
        </w:numPr>
        <w:rPr>
          <w:lang w:eastAsia="bg-BG"/>
        </w:rPr>
      </w:pPr>
      <w:r w:rsidRPr="00FF476F">
        <w:rPr>
          <w:lang w:eastAsia="bg-BG"/>
        </w:rPr>
        <w:t>дерматомнозит и полимиозит;</w:t>
      </w:r>
    </w:p>
    <w:p w14:paraId="27471ABF" w14:textId="77777777" w:rsidR="00FF476F" w:rsidRPr="00FF476F" w:rsidRDefault="00FF476F" w:rsidP="00FF476F">
      <w:pPr>
        <w:pStyle w:val="ListParagraph"/>
        <w:numPr>
          <w:ilvl w:val="0"/>
          <w:numId w:val="32"/>
        </w:numPr>
        <w:rPr>
          <w:lang w:eastAsia="bg-BG"/>
        </w:rPr>
      </w:pPr>
      <w:r w:rsidRPr="00FF476F">
        <w:rPr>
          <w:lang w:eastAsia="bg-BG"/>
        </w:rPr>
        <w:t>автоимунен хроничен активен хепатит;</w:t>
      </w:r>
    </w:p>
    <w:p w14:paraId="6DD9CB61" w14:textId="77777777" w:rsidR="00FF476F" w:rsidRPr="00FF476F" w:rsidRDefault="00FF476F" w:rsidP="00FF476F">
      <w:pPr>
        <w:pStyle w:val="ListParagraph"/>
        <w:numPr>
          <w:ilvl w:val="0"/>
          <w:numId w:val="32"/>
        </w:numPr>
        <w:rPr>
          <w:lang w:eastAsia="bg-BG"/>
        </w:rPr>
      </w:pPr>
      <w:r w:rsidRPr="00FF476F">
        <w:rPr>
          <w:lang w:eastAsia="bg-BG"/>
        </w:rPr>
        <w:t>пемфигус вулгарис;</w:t>
      </w:r>
    </w:p>
    <w:p w14:paraId="575C38B4" w14:textId="77777777" w:rsidR="00FF476F" w:rsidRPr="00FF476F" w:rsidRDefault="00FF476F" w:rsidP="00FF476F">
      <w:pPr>
        <w:pStyle w:val="ListParagraph"/>
        <w:numPr>
          <w:ilvl w:val="0"/>
          <w:numId w:val="32"/>
        </w:numPr>
        <w:rPr>
          <w:lang w:eastAsia="bg-BG"/>
        </w:rPr>
      </w:pPr>
      <w:r w:rsidRPr="00FF476F">
        <w:rPr>
          <w:lang w:eastAsia="bg-BG"/>
        </w:rPr>
        <w:t>възлест полиартериит;</w:t>
      </w:r>
    </w:p>
    <w:p w14:paraId="07F843F6" w14:textId="10150D60" w:rsidR="00FF476F" w:rsidRPr="00FF476F" w:rsidRDefault="00FF476F" w:rsidP="00FF476F">
      <w:pPr>
        <w:pStyle w:val="ListParagraph"/>
        <w:numPr>
          <w:ilvl w:val="0"/>
          <w:numId w:val="32"/>
        </w:numPr>
        <w:rPr>
          <w:lang w:eastAsia="bg-BG"/>
        </w:rPr>
      </w:pPr>
      <w:r w:rsidRPr="00FF476F">
        <w:rPr>
          <w:lang w:eastAsia="bg-BG"/>
        </w:rPr>
        <w:t>автоимунна хемолитична анемия;</w:t>
      </w:r>
    </w:p>
    <w:p w14:paraId="66625AE7" w14:textId="77777777" w:rsidR="00FF476F" w:rsidRPr="00FF476F" w:rsidRDefault="00FF476F" w:rsidP="00FF476F">
      <w:pPr>
        <w:pStyle w:val="ListParagraph"/>
        <w:numPr>
          <w:ilvl w:val="0"/>
          <w:numId w:val="32"/>
        </w:numPr>
        <w:rPr>
          <w:lang w:eastAsia="bg-BG"/>
        </w:rPr>
      </w:pPr>
      <w:r w:rsidRPr="00FF476F">
        <w:rPr>
          <w:lang w:eastAsia="bg-BG"/>
        </w:rPr>
        <w:t>хронична рецидивираща идиопатична тромбоцитопенична пурпура;</w:t>
      </w:r>
    </w:p>
    <w:p w14:paraId="664646FA" w14:textId="77777777" w:rsidR="00FF476F" w:rsidRPr="00FF476F" w:rsidRDefault="00FF476F" w:rsidP="00FF476F">
      <w:pPr>
        <w:pStyle w:val="ListParagraph"/>
        <w:numPr>
          <w:ilvl w:val="0"/>
          <w:numId w:val="32"/>
        </w:numPr>
        <w:rPr>
          <w:rFonts w:ascii="Times New Roman" w:hAnsi="Times New Roman" w:cs="Times New Roman"/>
          <w:lang w:eastAsia="bg-BG"/>
        </w:rPr>
      </w:pPr>
      <w:r w:rsidRPr="00FF476F">
        <w:rPr>
          <w:lang w:eastAsia="bg-BG"/>
        </w:rPr>
        <w:t>релапсиращо-ремитентна мултиплена склероза.</w:t>
      </w:r>
    </w:p>
    <w:p w14:paraId="12AEC311" w14:textId="77777777" w:rsidR="00FF476F" w:rsidRPr="00FF476F" w:rsidRDefault="00FF476F" w:rsidP="00FF476F">
      <w:pPr>
        <w:spacing w:line="240" w:lineRule="auto"/>
        <w:rPr>
          <w:rFonts w:ascii="Times New Roman" w:eastAsia="Times New Roman" w:hAnsi="Times New Roman" w:cs="Times New Roman"/>
          <w:color w:val="000000"/>
          <w:lang w:eastAsia="bg-BG"/>
        </w:rPr>
      </w:pPr>
    </w:p>
    <w:p w14:paraId="297951A3" w14:textId="77777777" w:rsidR="00FF476F" w:rsidRPr="00395555" w:rsidRDefault="00FF476F" w:rsidP="00395555"/>
    <w:p w14:paraId="7C0CA5EB" w14:textId="3DDEC2EC" w:rsidR="00C0049F" w:rsidRDefault="002C50EE" w:rsidP="009F1313">
      <w:pPr>
        <w:pStyle w:val="Heading2"/>
      </w:pPr>
      <w:r>
        <w:t>4.2. Дозировка и начин на приложение</w:t>
      </w:r>
    </w:p>
    <w:p w14:paraId="25E8B8B2" w14:textId="6C0239C9" w:rsidR="00FF476F" w:rsidRDefault="00FF476F" w:rsidP="00FF476F"/>
    <w:p w14:paraId="3E9498E7" w14:textId="77777777" w:rsidR="00FF476F" w:rsidRPr="00FF476F" w:rsidRDefault="00FF476F" w:rsidP="00FF476F">
      <w:pPr>
        <w:pStyle w:val="Heading3"/>
        <w:rPr>
          <w:rFonts w:eastAsia="Times New Roman"/>
          <w:b/>
        </w:rPr>
      </w:pPr>
      <w:bookmarkStart w:id="1" w:name="bookmark0"/>
      <w:r w:rsidRPr="00FF476F">
        <w:rPr>
          <w:rFonts w:eastAsia="Times New Roman"/>
          <w:b/>
          <w:lang w:eastAsia="bg-BG"/>
        </w:rPr>
        <w:t>Общи положения</w:t>
      </w:r>
      <w:bookmarkEnd w:id="1"/>
    </w:p>
    <w:p w14:paraId="3225DD96" w14:textId="77777777" w:rsidR="00FF476F" w:rsidRPr="00FF476F" w:rsidRDefault="00FF476F" w:rsidP="00FF476F">
      <w:pPr>
        <w:spacing w:line="240" w:lineRule="auto"/>
        <w:rPr>
          <w:rFonts w:eastAsia="Times New Roman" w:cs="Arial"/>
          <w:color w:val="000000"/>
          <w:lang w:eastAsia="bg-BG"/>
        </w:rPr>
      </w:pPr>
    </w:p>
    <w:p w14:paraId="65BAA5A4" w14:textId="63E70E8B" w:rsidR="00FF476F" w:rsidRPr="00FF476F" w:rsidRDefault="00FF476F" w:rsidP="00FF476F">
      <w:pPr>
        <w:spacing w:line="240" w:lineRule="auto"/>
        <w:rPr>
          <w:rFonts w:eastAsia="Times New Roman" w:cs="Arial"/>
        </w:rPr>
      </w:pPr>
      <w:r w:rsidRPr="00FF476F">
        <w:rPr>
          <w:rFonts w:eastAsia="Times New Roman" w:cs="Arial"/>
          <w:color w:val="000000"/>
          <w:lang w:eastAsia="bg-BG"/>
        </w:rPr>
        <w:t>Ако лекарството не може да се приема перорално, може да се приложи интравенозно инжекционната форма на ИМУРАН. При възможност за перорален прием интравенозното приложение трябва да спре.</w:t>
      </w:r>
    </w:p>
    <w:p w14:paraId="0999949D" w14:textId="77777777" w:rsidR="00FF476F" w:rsidRPr="00FF476F" w:rsidRDefault="00FF476F" w:rsidP="00FF476F">
      <w:pPr>
        <w:spacing w:line="240" w:lineRule="auto"/>
        <w:rPr>
          <w:rFonts w:eastAsia="Times New Roman" w:cs="Arial"/>
          <w:color w:val="000000"/>
          <w:lang w:eastAsia="bg-BG"/>
        </w:rPr>
      </w:pPr>
    </w:p>
    <w:p w14:paraId="4471689C" w14:textId="2DFACD0F" w:rsidR="00FF476F" w:rsidRPr="00FF476F" w:rsidRDefault="00FF476F" w:rsidP="00FF476F">
      <w:pPr>
        <w:spacing w:line="240" w:lineRule="auto"/>
        <w:rPr>
          <w:rFonts w:eastAsia="Times New Roman" w:cs="Arial"/>
        </w:rPr>
      </w:pPr>
      <w:r w:rsidRPr="00FF476F">
        <w:rPr>
          <w:rFonts w:eastAsia="Times New Roman" w:cs="Arial"/>
          <w:color w:val="000000"/>
          <w:lang w:eastAsia="bg-BG"/>
        </w:rPr>
        <w:t>Таблетките ИМУРАН трябва да се приемат поне 1 час преди или 3 часа след прием на храна или мляко (вижте точка 5.2).</w:t>
      </w:r>
    </w:p>
    <w:p w14:paraId="2FD8DF49" w14:textId="77777777" w:rsidR="00FF476F" w:rsidRPr="00FF476F" w:rsidRDefault="00FF476F" w:rsidP="00FF476F">
      <w:pPr>
        <w:spacing w:line="240" w:lineRule="auto"/>
        <w:rPr>
          <w:rFonts w:eastAsia="Times New Roman" w:cs="Arial"/>
          <w:color w:val="000000"/>
          <w:lang w:eastAsia="bg-BG"/>
        </w:rPr>
      </w:pPr>
    </w:p>
    <w:p w14:paraId="4DC6EEF4" w14:textId="335A721F" w:rsidR="00FF476F" w:rsidRPr="00FF476F" w:rsidRDefault="00FF476F" w:rsidP="00FF476F">
      <w:pPr>
        <w:spacing w:line="240" w:lineRule="auto"/>
        <w:rPr>
          <w:rFonts w:eastAsia="Times New Roman" w:cs="Arial"/>
        </w:rPr>
      </w:pPr>
      <w:r w:rsidRPr="00FF476F">
        <w:rPr>
          <w:rFonts w:eastAsia="Times New Roman" w:cs="Arial"/>
          <w:color w:val="000000"/>
          <w:lang w:eastAsia="bg-BG"/>
        </w:rPr>
        <w:t>В отделни специфични клинични случаи трябва да се ползва информация от специализираната медицинска литература.</w:t>
      </w:r>
    </w:p>
    <w:p w14:paraId="6866305E" w14:textId="77777777" w:rsidR="00FF476F" w:rsidRPr="00FF476F" w:rsidRDefault="00FF476F" w:rsidP="00FF476F">
      <w:pPr>
        <w:spacing w:line="240" w:lineRule="auto"/>
        <w:rPr>
          <w:rFonts w:eastAsia="Times New Roman" w:cs="Arial"/>
          <w:i/>
          <w:iCs/>
          <w:color w:val="000000"/>
          <w:lang w:eastAsia="bg-BG"/>
        </w:rPr>
      </w:pPr>
    </w:p>
    <w:p w14:paraId="63C9EF04" w14:textId="2E5AB1DD" w:rsidR="00FF476F" w:rsidRPr="00FF476F" w:rsidRDefault="00FF476F" w:rsidP="00FF476F">
      <w:pPr>
        <w:spacing w:line="240" w:lineRule="auto"/>
        <w:rPr>
          <w:rFonts w:eastAsia="Times New Roman" w:cs="Arial"/>
        </w:rPr>
      </w:pPr>
      <w:r w:rsidRPr="00FF476F">
        <w:rPr>
          <w:rFonts w:eastAsia="Times New Roman" w:cs="Arial"/>
          <w:i/>
          <w:iCs/>
          <w:color w:val="000000"/>
          <w:lang w:eastAsia="bg-BG"/>
        </w:rPr>
        <w:t>Приложение при възрастни</w:t>
      </w:r>
    </w:p>
    <w:p w14:paraId="68BCCEE9" w14:textId="77777777" w:rsidR="00FF476F" w:rsidRPr="00FF476F" w:rsidRDefault="00FF476F" w:rsidP="00FF476F">
      <w:pPr>
        <w:spacing w:line="240" w:lineRule="auto"/>
        <w:rPr>
          <w:rFonts w:eastAsia="Times New Roman" w:cs="Arial"/>
          <w:b/>
          <w:bCs/>
          <w:color w:val="000000"/>
          <w:lang w:eastAsia="bg-BG"/>
        </w:rPr>
      </w:pPr>
      <w:bookmarkStart w:id="2" w:name="bookmark2"/>
    </w:p>
    <w:p w14:paraId="54E34744" w14:textId="4EC14D3C"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Дозировка след трансплантация - възрастни</w:t>
      </w:r>
      <w:bookmarkEnd w:id="2"/>
    </w:p>
    <w:p w14:paraId="2E31DB3D"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В зависимост от типа на имуносупресивната терапия се прилага перорално доза до 5 </w:t>
      </w:r>
      <w:r w:rsidRPr="00FF476F">
        <w:rPr>
          <w:rFonts w:eastAsia="Times New Roman" w:cs="Arial"/>
          <w:color w:val="000000"/>
          <w:lang w:val="en-US"/>
        </w:rPr>
        <w:t>mg</w:t>
      </w:r>
      <w:r w:rsidRPr="00FF476F">
        <w:rPr>
          <w:rFonts w:eastAsia="Times New Roman" w:cs="Arial"/>
          <w:color w:val="000000"/>
          <w:lang w:val="ru-RU"/>
        </w:rPr>
        <w:t>/</w:t>
      </w:r>
      <w:r w:rsidRPr="00FF476F">
        <w:rPr>
          <w:rFonts w:eastAsia="Times New Roman" w:cs="Arial"/>
          <w:color w:val="000000"/>
          <w:lang w:val="en-US"/>
        </w:rPr>
        <w:t>kg</w:t>
      </w:r>
      <w:r w:rsidRPr="00FF476F">
        <w:rPr>
          <w:rFonts w:eastAsia="Times New Roman" w:cs="Arial"/>
          <w:color w:val="000000"/>
          <w:lang w:val="ru-RU"/>
        </w:rPr>
        <w:t xml:space="preserve"> </w:t>
      </w:r>
      <w:r w:rsidRPr="00FF476F">
        <w:rPr>
          <w:rFonts w:eastAsia="Times New Roman" w:cs="Arial"/>
          <w:color w:val="000000"/>
          <w:lang w:eastAsia="bg-BG"/>
        </w:rPr>
        <w:t>телесна маса (т.м.) през първия ден.</w:t>
      </w:r>
    </w:p>
    <w:p w14:paraId="3E2C90F1" w14:textId="77777777" w:rsidR="00FF476F" w:rsidRPr="00FF476F" w:rsidRDefault="00FF476F" w:rsidP="00FF476F">
      <w:pPr>
        <w:spacing w:line="240" w:lineRule="auto"/>
        <w:rPr>
          <w:rFonts w:eastAsia="Times New Roman" w:cs="Arial"/>
          <w:color w:val="000000"/>
          <w:lang w:eastAsia="bg-BG"/>
        </w:rPr>
      </w:pPr>
    </w:p>
    <w:p w14:paraId="49B47D57" w14:textId="09E8AC74"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Прилага се поддържаща доза от 1 до 4 </w:t>
      </w:r>
      <w:r w:rsidRPr="00FF476F">
        <w:rPr>
          <w:rFonts w:eastAsia="Times New Roman" w:cs="Arial"/>
          <w:color w:val="000000"/>
          <w:lang w:val="en-US"/>
        </w:rPr>
        <w:t>mg</w:t>
      </w:r>
      <w:r w:rsidRPr="00FF476F">
        <w:rPr>
          <w:rFonts w:eastAsia="Times New Roman" w:cs="Arial"/>
          <w:color w:val="000000"/>
          <w:lang w:val="ru-RU"/>
        </w:rPr>
        <w:t>/</w:t>
      </w:r>
      <w:r w:rsidRPr="00FF476F">
        <w:rPr>
          <w:rFonts w:eastAsia="Times New Roman" w:cs="Arial"/>
          <w:color w:val="000000"/>
          <w:lang w:val="en-US"/>
        </w:rPr>
        <w:t>kg</w:t>
      </w:r>
      <w:r w:rsidRPr="00FF476F">
        <w:rPr>
          <w:rFonts w:eastAsia="Times New Roman" w:cs="Arial"/>
          <w:color w:val="000000"/>
          <w:lang w:val="ru-RU"/>
        </w:rPr>
        <w:t xml:space="preserve"> </w:t>
      </w:r>
      <w:r w:rsidRPr="00FF476F">
        <w:rPr>
          <w:rFonts w:eastAsia="Times New Roman" w:cs="Arial"/>
          <w:color w:val="000000"/>
          <w:lang w:eastAsia="bg-BG"/>
        </w:rPr>
        <w:t>т.м. дневно, като дозата трябва да се определи в зависимост от клиничните нужди и хематологичната поносимост.</w:t>
      </w:r>
    </w:p>
    <w:p w14:paraId="48AF58A6" w14:textId="77777777" w:rsidR="00FF476F" w:rsidRPr="00FF476F" w:rsidRDefault="00FF476F" w:rsidP="00FF476F">
      <w:pPr>
        <w:spacing w:line="240" w:lineRule="auto"/>
        <w:rPr>
          <w:rFonts w:eastAsia="Times New Roman" w:cs="Arial"/>
          <w:color w:val="000000"/>
          <w:lang w:eastAsia="bg-BG"/>
        </w:rPr>
      </w:pPr>
    </w:p>
    <w:p w14:paraId="2C3945B4" w14:textId="0D531DEA" w:rsidR="00FF476F" w:rsidRPr="00FF476F" w:rsidRDefault="00FF476F" w:rsidP="00FF476F">
      <w:pPr>
        <w:spacing w:line="240" w:lineRule="auto"/>
        <w:rPr>
          <w:rFonts w:eastAsia="Times New Roman" w:cs="Arial"/>
        </w:rPr>
      </w:pPr>
      <w:r w:rsidRPr="00FF476F">
        <w:rPr>
          <w:rFonts w:eastAsia="Times New Roman" w:cs="Arial"/>
          <w:color w:val="000000"/>
          <w:lang w:eastAsia="bg-BG"/>
        </w:rPr>
        <w:t>Поради риск от отхвърляне на трансплантирания орган, дори при необходимост от прием на ниски дози, поддържащо лечение с ИМУРАН трябва да се прилага неопределено време.</w:t>
      </w:r>
    </w:p>
    <w:p w14:paraId="32BF71D6" w14:textId="77777777" w:rsidR="00FF476F" w:rsidRPr="00FF476F" w:rsidRDefault="00FF476F" w:rsidP="00FF476F">
      <w:pPr>
        <w:spacing w:line="240" w:lineRule="auto"/>
        <w:rPr>
          <w:rFonts w:eastAsia="Times New Roman" w:cs="Arial"/>
          <w:b/>
          <w:bCs/>
          <w:color w:val="000000"/>
          <w:lang w:eastAsia="bg-BG"/>
        </w:rPr>
      </w:pPr>
      <w:bookmarkStart w:id="3" w:name="bookmark4"/>
    </w:p>
    <w:p w14:paraId="2C33CEBA" w14:textId="31B2C86B"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Дозировка при мултиплена склероза</w:t>
      </w:r>
      <w:bookmarkEnd w:id="3"/>
    </w:p>
    <w:p w14:paraId="5A8E8238"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Препоръчаната дозировка за лечение на релапсираща ремитентна мултиплена склероза е 2-3 </w:t>
      </w:r>
      <w:r w:rsidRPr="00FF476F">
        <w:rPr>
          <w:rFonts w:eastAsia="Times New Roman" w:cs="Arial"/>
          <w:color w:val="000000"/>
          <w:lang w:val="en-US"/>
        </w:rPr>
        <w:t>mg</w:t>
      </w:r>
      <w:r w:rsidRPr="00FF476F">
        <w:rPr>
          <w:rFonts w:eastAsia="Times New Roman" w:cs="Arial"/>
          <w:color w:val="000000"/>
          <w:lang w:val="ru-RU"/>
        </w:rPr>
        <w:t>/</w:t>
      </w:r>
      <w:r w:rsidRPr="00FF476F">
        <w:rPr>
          <w:rFonts w:eastAsia="Times New Roman" w:cs="Arial"/>
          <w:color w:val="000000"/>
          <w:lang w:val="en-US"/>
        </w:rPr>
        <w:t>kg</w:t>
      </w:r>
      <w:r w:rsidRPr="00FF476F">
        <w:rPr>
          <w:rFonts w:eastAsia="Times New Roman" w:cs="Arial"/>
          <w:color w:val="000000"/>
          <w:lang w:val="ru-RU"/>
        </w:rPr>
        <w:t xml:space="preserve"> </w:t>
      </w:r>
      <w:r w:rsidRPr="00FF476F">
        <w:rPr>
          <w:rFonts w:eastAsia="Times New Roman" w:cs="Arial"/>
          <w:color w:val="000000"/>
          <w:lang w:eastAsia="bg-BG"/>
        </w:rPr>
        <w:t>т.м. дневно. За да бъде лечението ефикасно, може да се наложи то да продължи повече от една година. Контролът на прогресията на заболяването може да не е очевиден и до две години лечение.</w:t>
      </w:r>
    </w:p>
    <w:p w14:paraId="20198013" w14:textId="77777777" w:rsidR="00FF476F" w:rsidRPr="00FF476F" w:rsidRDefault="00FF476F" w:rsidP="00FF476F">
      <w:pPr>
        <w:spacing w:line="240" w:lineRule="auto"/>
        <w:rPr>
          <w:rFonts w:eastAsia="Times New Roman" w:cs="Arial"/>
          <w:b/>
          <w:bCs/>
          <w:color w:val="000000"/>
          <w:lang w:eastAsia="bg-BG"/>
        </w:rPr>
      </w:pPr>
      <w:bookmarkStart w:id="4" w:name="bookmark6"/>
    </w:p>
    <w:p w14:paraId="28269794" w14:textId="757EE4B9"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Дозировка при други състояния - възрастни</w:t>
      </w:r>
      <w:bookmarkEnd w:id="4"/>
    </w:p>
    <w:p w14:paraId="6B91DE8E"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В общия случай началната дозировка е между 1 и 3 </w:t>
      </w:r>
      <w:r w:rsidRPr="00FF476F">
        <w:rPr>
          <w:rFonts w:eastAsia="Times New Roman" w:cs="Arial"/>
          <w:color w:val="000000"/>
          <w:lang w:val="en-US"/>
        </w:rPr>
        <w:t>mg</w:t>
      </w:r>
      <w:r w:rsidRPr="00FF476F">
        <w:rPr>
          <w:rFonts w:eastAsia="Times New Roman" w:cs="Arial"/>
          <w:color w:val="000000"/>
          <w:lang w:val="ru-RU"/>
        </w:rPr>
        <w:t>/</w:t>
      </w:r>
      <w:r w:rsidRPr="00FF476F">
        <w:rPr>
          <w:rFonts w:eastAsia="Times New Roman" w:cs="Arial"/>
          <w:color w:val="000000"/>
          <w:lang w:val="en-US"/>
        </w:rPr>
        <w:t>kg</w:t>
      </w:r>
      <w:r w:rsidRPr="00FF476F">
        <w:rPr>
          <w:rFonts w:eastAsia="Times New Roman" w:cs="Arial"/>
          <w:color w:val="000000"/>
          <w:lang w:val="ru-RU"/>
        </w:rPr>
        <w:t xml:space="preserve"> </w:t>
      </w:r>
      <w:r w:rsidRPr="00FF476F">
        <w:rPr>
          <w:rFonts w:eastAsia="Times New Roman" w:cs="Arial"/>
          <w:color w:val="000000"/>
          <w:lang w:eastAsia="bg-BG"/>
        </w:rPr>
        <w:t>т.м. дневно, като в тези граници дозата може да се променя в зависимост от промяната на състоянието (може да се прояви след седмици или месеци) и хематологичната поносимост.</w:t>
      </w:r>
    </w:p>
    <w:p w14:paraId="764E3777" w14:textId="77777777" w:rsidR="00FF476F" w:rsidRPr="00FF476F" w:rsidRDefault="00FF476F" w:rsidP="00FF476F">
      <w:pPr>
        <w:spacing w:line="240" w:lineRule="auto"/>
        <w:rPr>
          <w:rFonts w:eastAsia="Times New Roman" w:cs="Arial"/>
          <w:color w:val="000000"/>
          <w:lang w:eastAsia="bg-BG"/>
        </w:rPr>
      </w:pPr>
    </w:p>
    <w:p w14:paraId="5613ECF7" w14:textId="073779F4" w:rsidR="00FF476F" w:rsidRPr="00FF476F" w:rsidRDefault="00FF476F" w:rsidP="00FF476F">
      <w:pPr>
        <w:spacing w:line="240" w:lineRule="auto"/>
        <w:rPr>
          <w:rFonts w:eastAsia="Times New Roman" w:cs="Arial"/>
        </w:rPr>
      </w:pPr>
      <w:r w:rsidRPr="00FF476F">
        <w:rPr>
          <w:rFonts w:eastAsia="Times New Roman" w:cs="Arial"/>
          <w:color w:val="000000"/>
          <w:lang w:eastAsia="bg-BG"/>
        </w:rPr>
        <w:lastRenderedPageBreak/>
        <w:t>При установена промяна на състоянието в резултат от терапията поддържащата доза може да се намали до най-ниското ниво, необходимо за поддържане на това състояние. Ако в продължение на три месеца не настъпи подобрение в състоянието на пациента, трябва да се обсъди прекъсване на лечението с ИМУРАН.</w:t>
      </w:r>
    </w:p>
    <w:p w14:paraId="10E04804" w14:textId="77777777" w:rsidR="00FF476F" w:rsidRPr="00FF476F" w:rsidRDefault="00FF476F" w:rsidP="00FF476F">
      <w:pPr>
        <w:spacing w:line="240" w:lineRule="auto"/>
        <w:rPr>
          <w:rFonts w:eastAsia="Times New Roman" w:cs="Arial"/>
          <w:color w:val="000000"/>
          <w:lang w:eastAsia="bg-BG"/>
        </w:rPr>
      </w:pPr>
    </w:p>
    <w:p w14:paraId="5576917A" w14:textId="0EF61069" w:rsidR="00FF476F" w:rsidRPr="00FF476F" w:rsidRDefault="00FF476F" w:rsidP="00FF476F">
      <w:pPr>
        <w:spacing w:line="240" w:lineRule="auto"/>
        <w:rPr>
          <w:rFonts w:eastAsia="Times New Roman" w:cs="Arial"/>
        </w:rPr>
      </w:pPr>
      <w:r w:rsidRPr="00FF476F">
        <w:rPr>
          <w:rFonts w:eastAsia="Times New Roman" w:cs="Arial"/>
          <w:color w:val="000000"/>
          <w:lang w:eastAsia="bg-BG"/>
        </w:rPr>
        <w:t>Въпреки това, при пациенти с възпалително заболяване на червата, лекарството трябва да се прилага най-малко 12 месеца, като промяна в клиничното състояние не се очаква по-рано от 3-4 месеца от началото на терапията.</w:t>
      </w:r>
    </w:p>
    <w:p w14:paraId="15F26414" w14:textId="77777777" w:rsidR="00FF476F" w:rsidRPr="00FF476F" w:rsidRDefault="00FF476F" w:rsidP="00FF476F">
      <w:pPr>
        <w:spacing w:line="240" w:lineRule="auto"/>
        <w:rPr>
          <w:rFonts w:eastAsia="Times New Roman" w:cs="Arial"/>
          <w:color w:val="000000"/>
          <w:lang w:eastAsia="bg-BG"/>
        </w:rPr>
      </w:pPr>
    </w:p>
    <w:p w14:paraId="40B7D5AE" w14:textId="69BD1598"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В зависимост от състоянието и </w:t>
      </w:r>
      <w:r w:rsidRPr="00FF476F">
        <w:rPr>
          <w:rFonts w:eastAsia="Times New Roman" w:cs="Arial"/>
          <w:color w:val="000000"/>
          <w:u w:val="single"/>
          <w:lang w:eastAsia="bg-BG"/>
        </w:rPr>
        <w:t>индивид</w:t>
      </w:r>
      <w:r w:rsidRPr="00FF476F">
        <w:rPr>
          <w:rFonts w:eastAsia="Times New Roman" w:cs="Arial"/>
          <w:color w:val="000000"/>
          <w:lang w:eastAsia="bg-BG"/>
        </w:rPr>
        <w:t xml:space="preserve">уалния отговор от страна на пациента, включително хематологичната поносимост, необходимите за поддържаща терапия дози трябва да са в интервала от по-ниски от 1 </w:t>
      </w:r>
      <w:r w:rsidRPr="00FF476F">
        <w:rPr>
          <w:rFonts w:eastAsia="Times New Roman" w:cs="Arial"/>
          <w:color w:val="000000"/>
          <w:lang w:val="en-US"/>
        </w:rPr>
        <w:t>mg</w:t>
      </w:r>
      <w:r w:rsidRPr="00FF476F">
        <w:rPr>
          <w:rFonts w:eastAsia="Times New Roman" w:cs="Arial"/>
          <w:color w:val="000000"/>
          <w:lang w:val="ru-RU"/>
        </w:rPr>
        <w:t>/</w:t>
      </w:r>
      <w:r w:rsidRPr="00FF476F">
        <w:rPr>
          <w:rFonts w:eastAsia="Times New Roman" w:cs="Arial"/>
          <w:color w:val="000000"/>
          <w:lang w:val="en-US"/>
        </w:rPr>
        <w:t>kg</w:t>
      </w:r>
      <w:r w:rsidRPr="00FF476F">
        <w:rPr>
          <w:rFonts w:eastAsia="Times New Roman" w:cs="Arial"/>
          <w:color w:val="000000"/>
          <w:lang w:val="ru-RU"/>
        </w:rPr>
        <w:t xml:space="preserve"> </w:t>
      </w:r>
      <w:r w:rsidRPr="00FF476F">
        <w:rPr>
          <w:rFonts w:eastAsia="Times New Roman" w:cs="Arial"/>
          <w:color w:val="000000"/>
          <w:lang w:eastAsia="bg-BG"/>
        </w:rPr>
        <w:t xml:space="preserve">т.м. до 3 </w:t>
      </w:r>
      <w:r w:rsidRPr="00FF476F">
        <w:rPr>
          <w:rFonts w:eastAsia="Times New Roman" w:cs="Arial"/>
          <w:color w:val="000000"/>
          <w:lang w:val="en-US"/>
        </w:rPr>
        <w:t>mg</w:t>
      </w:r>
      <w:r w:rsidRPr="00FF476F">
        <w:rPr>
          <w:rFonts w:eastAsia="Times New Roman" w:cs="Arial"/>
          <w:color w:val="000000"/>
          <w:lang w:val="ru-RU"/>
        </w:rPr>
        <w:t>/</w:t>
      </w:r>
      <w:r w:rsidRPr="00FF476F">
        <w:rPr>
          <w:rFonts w:eastAsia="Times New Roman" w:cs="Arial"/>
          <w:color w:val="000000"/>
          <w:lang w:val="en-US"/>
        </w:rPr>
        <w:t>kg</w:t>
      </w:r>
      <w:r w:rsidRPr="00FF476F">
        <w:rPr>
          <w:rFonts w:eastAsia="Times New Roman" w:cs="Arial"/>
          <w:color w:val="000000"/>
          <w:lang w:val="ru-RU"/>
        </w:rPr>
        <w:t xml:space="preserve"> </w:t>
      </w:r>
      <w:r w:rsidRPr="00FF476F">
        <w:rPr>
          <w:rFonts w:eastAsia="Times New Roman" w:cs="Arial"/>
          <w:color w:val="000000"/>
          <w:lang w:eastAsia="bg-BG"/>
        </w:rPr>
        <w:t>т.м. дневно.</w:t>
      </w:r>
    </w:p>
    <w:p w14:paraId="2C6FCBE8" w14:textId="71B29D54" w:rsidR="00FF476F" w:rsidRPr="00FF476F" w:rsidRDefault="00FF476F" w:rsidP="00FF476F">
      <w:pPr>
        <w:rPr>
          <w:rFonts w:cs="Arial"/>
        </w:rPr>
      </w:pPr>
    </w:p>
    <w:p w14:paraId="28C483ED" w14:textId="77777777" w:rsidR="00FF476F" w:rsidRPr="00FF476F" w:rsidRDefault="00FF476F" w:rsidP="00FF476F">
      <w:pPr>
        <w:spacing w:line="240" w:lineRule="auto"/>
        <w:rPr>
          <w:rFonts w:eastAsia="Times New Roman" w:cs="Arial"/>
        </w:rPr>
      </w:pPr>
      <w:r w:rsidRPr="00FF476F">
        <w:rPr>
          <w:rFonts w:eastAsia="Times New Roman" w:cs="Arial"/>
          <w:i/>
          <w:iCs/>
          <w:color w:val="000000"/>
          <w:lang w:eastAsia="bg-BG"/>
        </w:rPr>
        <w:t>Педиатрична популация</w:t>
      </w:r>
    </w:p>
    <w:p w14:paraId="20EEFADA" w14:textId="77777777" w:rsidR="00FF476F" w:rsidRPr="00FF476F" w:rsidRDefault="00FF476F" w:rsidP="00FF476F">
      <w:pPr>
        <w:spacing w:line="240" w:lineRule="auto"/>
        <w:rPr>
          <w:rFonts w:eastAsia="Times New Roman" w:cs="Arial"/>
          <w:b/>
          <w:bCs/>
          <w:color w:val="000000"/>
          <w:lang w:eastAsia="bg-BG"/>
        </w:rPr>
      </w:pPr>
    </w:p>
    <w:p w14:paraId="1605D34C" w14:textId="342F9835"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Дозировка след трансплантация</w:t>
      </w:r>
    </w:p>
    <w:p w14:paraId="7887C6EC"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Вж. Дозировка при възрастни след трансплантация.</w:t>
      </w:r>
    </w:p>
    <w:p w14:paraId="340B6507" w14:textId="77777777" w:rsidR="00FF476F" w:rsidRPr="00FF476F" w:rsidRDefault="00FF476F" w:rsidP="00FF476F">
      <w:pPr>
        <w:spacing w:line="240" w:lineRule="auto"/>
        <w:rPr>
          <w:rFonts w:eastAsia="Times New Roman" w:cs="Arial"/>
          <w:b/>
          <w:bCs/>
          <w:color w:val="000000"/>
          <w:lang w:eastAsia="bg-BG"/>
        </w:rPr>
      </w:pPr>
    </w:p>
    <w:p w14:paraId="0BE75468" w14:textId="0A9C94F6"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Дозировка при мултиплена склероза</w:t>
      </w:r>
    </w:p>
    <w:p w14:paraId="449DD93F"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Мултиплена склероза не се диагностицира често при деца. Не се препоръчва приложение на азатиоприн.</w:t>
      </w:r>
    </w:p>
    <w:p w14:paraId="2CB3D91A" w14:textId="77777777" w:rsidR="00FF476F" w:rsidRPr="00FF476F" w:rsidRDefault="00FF476F" w:rsidP="00FF476F">
      <w:pPr>
        <w:spacing w:line="240" w:lineRule="auto"/>
        <w:rPr>
          <w:rFonts w:eastAsia="Times New Roman" w:cs="Arial"/>
          <w:b/>
          <w:bCs/>
          <w:color w:val="000000"/>
          <w:lang w:eastAsia="bg-BG"/>
        </w:rPr>
      </w:pPr>
    </w:p>
    <w:p w14:paraId="76A419F4" w14:textId="57673046"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Дозировка при други състояния</w:t>
      </w:r>
    </w:p>
    <w:p w14:paraId="10849E34" w14:textId="77777777"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Деца с наднормено тегло</w:t>
      </w:r>
    </w:p>
    <w:p w14:paraId="5D7B1F28" w14:textId="77777777" w:rsidR="00FF476F" w:rsidRPr="00FF476F" w:rsidRDefault="00FF476F" w:rsidP="00FF476F">
      <w:pPr>
        <w:spacing w:line="240" w:lineRule="auto"/>
        <w:rPr>
          <w:rFonts w:eastAsia="Times New Roman" w:cs="Arial"/>
          <w:color w:val="000000"/>
          <w:lang w:eastAsia="bg-BG"/>
        </w:rPr>
      </w:pPr>
    </w:p>
    <w:p w14:paraId="4AB5EE68" w14:textId="51B66630" w:rsidR="00FF476F" w:rsidRPr="00FF476F" w:rsidRDefault="00FF476F" w:rsidP="00FF476F">
      <w:pPr>
        <w:spacing w:line="240" w:lineRule="auto"/>
        <w:rPr>
          <w:rFonts w:eastAsia="Times New Roman" w:cs="Arial"/>
        </w:rPr>
      </w:pPr>
      <w:r w:rsidRPr="00FF476F">
        <w:rPr>
          <w:rFonts w:eastAsia="Times New Roman" w:cs="Arial"/>
          <w:color w:val="000000"/>
          <w:lang w:eastAsia="bg-BG"/>
        </w:rPr>
        <w:t>Децата с наднормено тегло могат да имат нужда от дози в горната граница на дозовия интервал и по тази причина се препоръчва внимателно проследяване на отговора на лечението (вж. точка 5.2).</w:t>
      </w:r>
    </w:p>
    <w:p w14:paraId="24DD1D36" w14:textId="77777777" w:rsidR="00FF476F" w:rsidRPr="00FF476F" w:rsidRDefault="00FF476F" w:rsidP="00FF476F">
      <w:pPr>
        <w:spacing w:line="240" w:lineRule="auto"/>
        <w:rPr>
          <w:rFonts w:eastAsia="Times New Roman" w:cs="Arial"/>
          <w:i/>
          <w:iCs/>
          <w:color w:val="000000"/>
          <w:lang w:eastAsia="bg-BG"/>
        </w:rPr>
      </w:pPr>
    </w:p>
    <w:p w14:paraId="4087EA7E" w14:textId="1E9DC00B" w:rsidR="00FF476F" w:rsidRPr="00FF476F" w:rsidRDefault="00FF476F" w:rsidP="00FF476F">
      <w:pPr>
        <w:spacing w:line="240" w:lineRule="auto"/>
        <w:rPr>
          <w:rFonts w:eastAsia="Times New Roman" w:cs="Arial"/>
        </w:rPr>
      </w:pPr>
      <w:r w:rsidRPr="00FF476F">
        <w:rPr>
          <w:rFonts w:eastAsia="Times New Roman" w:cs="Arial"/>
          <w:i/>
          <w:iCs/>
          <w:color w:val="000000"/>
          <w:lang w:eastAsia="bg-BG"/>
        </w:rPr>
        <w:t>Приложение при пациенти в старческа възраст</w:t>
      </w:r>
    </w:p>
    <w:p w14:paraId="07FA0BA7" w14:textId="77777777" w:rsidR="00FF476F" w:rsidRPr="00FF476F" w:rsidRDefault="00FF476F" w:rsidP="00FF476F">
      <w:pPr>
        <w:spacing w:line="240" w:lineRule="auto"/>
        <w:rPr>
          <w:rFonts w:eastAsia="Times New Roman" w:cs="Arial"/>
          <w:color w:val="000000"/>
          <w:lang w:eastAsia="bg-BG"/>
        </w:rPr>
      </w:pPr>
    </w:p>
    <w:p w14:paraId="393BAE07" w14:textId="02DD89BF" w:rsidR="00FF476F" w:rsidRPr="00FF476F" w:rsidRDefault="00FF476F" w:rsidP="00FF476F">
      <w:pPr>
        <w:spacing w:line="240" w:lineRule="auto"/>
        <w:rPr>
          <w:rFonts w:eastAsia="Times New Roman" w:cs="Arial"/>
        </w:rPr>
      </w:pPr>
      <w:r w:rsidRPr="00FF476F">
        <w:rPr>
          <w:rFonts w:eastAsia="Times New Roman" w:cs="Arial"/>
          <w:color w:val="000000"/>
          <w:lang w:eastAsia="bg-BG"/>
        </w:rPr>
        <w:t>Опитът в приложението на ИМУРАН при пациенти в старческа възраст е ограничен. Въпреки че наличните данни не дават доказателства, че честотата на нежеланите реакции от ИМУРАН при пациенти в старческа възраст е по-висока от честотата при останалите пациенти, препоръчително е да се проследяват бъбречната и чернодробната функции и да се обмисли намаляване на дозата, ако тези функции са увредени (вж. точка 4.2).</w:t>
      </w:r>
    </w:p>
    <w:p w14:paraId="4003CB7A" w14:textId="77777777" w:rsidR="00FF476F" w:rsidRPr="00FF476F" w:rsidRDefault="00FF476F" w:rsidP="00FF476F">
      <w:pPr>
        <w:spacing w:line="240" w:lineRule="auto"/>
        <w:rPr>
          <w:rFonts w:eastAsia="Times New Roman" w:cs="Arial"/>
          <w:i/>
          <w:iCs/>
          <w:color w:val="000000"/>
          <w:lang w:eastAsia="bg-BG"/>
        </w:rPr>
      </w:pPr>
    </w:p>
    <w:p w14:paraId="41901C9B" w14:textId="5930CBB5" w:rsidR="00FF476F" w:rsidRPr="00FF476F" w:rsidRDefault="00FF476F" w:rsidP="00FF476F">
      <w:pPr>
        <w:spacing w:line="240" w:lineRule="auto"/>
        <w:rPr>
          <w:rFonts w:eastAsia="Times New Roman" w:cs="Arial"/>
        </w:rPr>
      </w:pPr>
      <w:r w:rsidRPr="00FF476F">
        <w:rPr>
          <w:rFonts w:eastAsia="Times New Roman" w:cs="Arial"/>
          <w:i/>
          <w:iCs/>
          <w:color w:val="000000"/>
          <w:lang w:eastAsia="bg-BG"/>
        </w:rPr>
        <w:t>Приложение при пациенти с бъбречно и/или чернодробно увреждане</w:t>
      </w:r>
    </w:p>
    <w:p w14:paraId="16C0F0AB" w14:textId="77777777" w:rsidR="00FF476F" w:rsidRPr="00FF476F" w:rsidRDefault="00FF476F" w:rsidP="00FF476F">
      <w:pPr>
        <w:spacing w:line="240" w:lineRule="auto"/>
        <w:rPr>
          <w:rFonts w:eastAsia="Times New Roman" w:cs="Arial"/>
          <w:color w:val="000000"/>
          <w:lang w:eastAsia="bg-BG"/>
        </w:rPr>
      </w:pPr>
    </w:p>
    <w:p w14:paraId="50A64CE2" w14:textId="6CA1D04C" w:rsidR="00FF476F" w:rsidRPr="00FF476F" w:rsidRDefault="00FF476F" w:rsidP="00FF476F">
      <w:pPr>
        <w:spacing w:line="240" w:lineRule="auto"/>
        <w:rPr>
          <w:rFonts w:eastAsia="Times New Roman" w:cs="Arial"/>
        </w:rPr>
      </w:pPr>
      <w:r w:rsidRPr="00FF476F">
        <w:rPr>
          <w:rFonts w:eastAsia="Times New Roman" w:cs="Arial"/>
          <w:color w:val="000000"/>
          <w:lang w:eastAsia="bg-BG"/>
        </w:rPr>
        <w:t>При пациенти с бъбречни и/или чернодробни увреждания се препоръчва намаляване на дозата (вж. точка 4.4.).</w:t>
      </w:r>
    </w:p>
    <w:p w14:paraId="2475E076" w14:textId="77777777" w:rsidR="00FF476F" w:rsidRPr="00FF476F" w:rsidRDefault="00FF476F" w:rsidP="00FF476F">
      <w:pPr>
        <w:spacing w:line="240" w:lineRule="auto"/>
        <w:rPr>
          <w:rFonts w:eastAsia="Times New Roman" w:cs="Arial"/>
          <w:b/>
          <w:bCs/>
          <w:color w:val="000000"/>
          <w:lang w:eastAsia="bg-BG"/>
        </w:rPr>
      </w:pPr>
      <w:bookmarkStart w:id="5" w:name="bookmark7"/>
    </w:p>
    <w:p w14:paraId="16E06D7E" w14:textId="5B6DF5A7" w:rsidR="00FF476F" w:rsidRPr="00FF476F" w:rsidRDefault="00FF476F" w:rsidP="00FF476F">
      <w:pPr>
        <w:pStyle w:val="Heading3"/>
        <w:rPr>
          <w:rFonts w:eastAsia="Times New Roman"/>
          <w:b/>
        </w:rPr>
      </w:pPr>
      <w:r w:rsidRPr="00FF476F">
        <w:rPr>
          <w:rFonts w:eastAsia="Times New Roman"/>
          <w:b/>
          <w:lang w:eastAsia="bg-BG"/>
        </w:rPr>
        <w:t>Взаимодействие с други лекарствени продукти</w:t>
      </w:r>
      <w:bookmarkEnd w:id="5"/>
    </w:p>
    <w:p w14:paraId="605296BF" w14:textId="77777777" w:rsidR="00FF476F" w:rsidRPr="00FF476F" w:rsidRDefault="00FF476F" w:rsidP="00FF476F">
      <w:pPr>
        <w:spacing w:line="240" w:lineRule="auto"/>
        <w:rPr>
          <w:rFonts w:eastAsia="Times New Roman" w:cs="Arial"/>
          <w:color w:val="000000"/>
          <w:lang w:eastAsia="bg-BG"/>
        </w:rPr>
      </w:pPr>
    </w:p>
    <w:p w14:paraId="3AD54A20" w14:textId="5624E42E" w:rsidR="00FF476F" w:rsidRPr="00FF476F" w:rsidRDefault="00FF476F" w:rsidP="00FF476F">
      <w:pPr>
        <w:spacing w:line="240" w:lineRule="auto"/>
        <w:rPr>
          <w:rFonts w:eastAsia="Times New Roman" w:cs="Arial"/>
        </w:rPr>
      </w:pPr>
      <w:r w:rsidRPr="00FF476F">
        <w:rPr>
          <w:rFonts w:eastAsia="Times New Roman" w:cs="Arial"/>
          <w:color w:val="000000"/>
          <w:lang w:eastAsia="bg-BG"/>
        </w:rPr>
        <w:t>Когато инхибиторите на ксантиноксидазата, като алопуринол, се прилагат едновременно с азатиоприн е от голямо значение да се прилага само 25 % от обичайната доза на азатиоприн, понеже алопуринол намалява степента на катаболизирането на азатиоприн (вж. точка 4.5).</w:t>
      </w:r>
    </w:p>
    <w:p w14:paraId="73B3B68A" w14:textId="77777777" w:rsidR="00FF476F" w:rsidRPr="00FF476F" w:rsidRDefault="00FF476F" w:rsidP="00FF476F">
      <w:pPr>
        <w:spacing w:line="240" w:lineRule="auto"/>
        <w:rPr>
          <w:rFonts w:eastAsia="Times New Roman" w:cs="Arial"/>
          <w:i/>
          <w:iCs/>
          <w:color w:val="000000"/>
          <w:lang w:eastAsia="bg-BG"/>
        </w:rPr>
      </w:pPr>
    </w:p>
    <w:p w14:paraId="23896ED1" w14:textId="00C07E23" w:rsidR="00FF476F" w:rsidRPr="00FF476F" w:rsidRDefault="00FF476F" w:rsidP="00FF476F">
      <w:pPr>
        <w:spacing w:line="240" w:lineRule="auto"/>
        <w:rPr>
          <w:rFonts w:eastAsia="Times New Roman" w:cs="Arial"/>
        </w:rPr>
      </w:pPr>
      <w:r w:rsidRPr="00FF476F">
        <w:rPr>
          <w:rFonts w:eastAsia="Times New Roman" w:cs="Arial"/>
          <w:i/>
          <w:iCs/>
          <w:color w:val="000000"/>
          <w:lang w:eastAsia="bg-BG"/>
        </w:rPr>
        <w:lastRenderedPageBreak/>
        <w:t>Пациенти с дефицит на ТРМТ</w:t>
      </w:r>
    </w:p>
    <w:p w14:paraId="446E4A4A" w14:textId="77777777" w:rsidR="00FF476F" w:rsidRPr="00FF476F" w:rsidRDefault="00FF476F" w:rsidP="00FF476F">
      <w:pPr>
        <w:spacing w:line="240" w:lineRule="auto"/>
        <w:rPr>
          <w:rFonts w:eastAsia="Times New Roman" w:cs="Arial"/>
          <w:color w:val="000000"/>
          <w:lang w:eastAsia="bg-BG"/>
        </w:rPr>
      </w:pPr>
    </w:p>
    <w:p w14:paraId="6A6CFC73" w14:textId="506EC451" w:rsidR="00FF476F" w:rsidRPr="00FF476F" w:rsidRDefault="00FF476F" w:rsidP="00FF476F">
      <w:pPr>
        <w:spacing w:line="240" w:lineRule="auto"/>
        <w:rPr>
          <w:rFonts w:eastAsia="Times New Roman" w:cs="Arial"/>
        </w:rPr>
      </w:pPr>
      <w:r w:rsidRPr="00FF476F">
        <w:rPr>
          <w:rFonts w:eastAsia="Times New Roman" w:cs="Arial"/>
          <w:color w:val="000000"/>
          <w:lang w:eastAsia="bg-BG"/>
        </w:rPr>
        <w:t>Пациентите с наследствена ниска или липсваща активност на тиопурин-</w:t>
      </w:r>
      <w:r w:rsidRPr="00FF476F">
        <w:rPr>
          <w:rFonts w:eastAsia="Times New Roman" w:cs="Arial"/>
          <w:color w:val="000000"/>
          <w:lang w:val="en-US"/>
        </w:rPr>
        <w:t>S</w:t>
      </w:r>
      <w:r w:rsidRPr="00FF476F">
        <w:rPr>
          <w:rFonts w:eastAsia="Times New Roman" w:cs="Arial"/>
          <w:color w:val="000000"/>
          <w:lang w:eastAsia="bg-BG"/>
        </w:rPr>
        <w:t>-метилтрансферазата (ТРМТ) са с повишен риск за тежки токсични прояви от азатиоприн в конвенционалните му дози и обикновено при тях се налага значително намаляване на дозата. Не е определена оптималната начална доза за пациенти с подобен хомозиготен дефицит (вж. точка 4.4. и точка 5.2).</w:t>
      </w:r>
    </w:p>
    <w:p w14:paraId="70C2EB0E" w14:textId="77777777" w:rsidR="00FF476F" w:rsidRPr="00FF476F" w:rsidRDefault="00FF476F" w:rsidP="00FF476F">
      <w:pPr>
        <w:spacing w:line="240" w:lineRule="auto"/>
        <w:rPr>
          <w:rFonts w:eastAsia="Times New Roman" w:cs="Arial"/>
          <w:color w:val="000000"/>
          <w:lang w:eastAsia="bg-BG"/>
        </w:rPr>
      </w:pPr>
    </w:p>
    <w:p w14:paraId="721DAE47" w14:textId="2DF6D129" w:rsidR="00FF476F" w:rsidRPr="00FF476F" w:rsidRDefault="00FF476F" w:rsidP="00FF476F">
      <w:pPr>
        <w:spacing w:line="240" w:lineRule="auto"/>
        <w:rPr>
          <w:rFonts w:eastAsia="Times New Roman" w:cs="Arial"/>
        </w:rPr>
      </w:pPr>
      <w:r w:rsidRPr="00FF476F">
        <w:rPr>
          <w:rFonts w:eastAsia="Times New Roman" w:cs="Arial"/>
          <w:color w:val="000000"/>
          <w:lang w:eastAsia="bg-BG"/>
        </w:rPr>
        <w:t>Повечето пациенти, които са хетерозиготи по отношение на ТРМТ-недостатьчност, могат да понасят препоръчителните дози азатиоприн, но при някои може да се наложи намаляване на дозата. Съществуват генотипни и фенотипни тестове за ТРМТ (вж. точки 4.4 и 5.2).</w:t>
      </w:r>
    </w:p>
    <w:p w14:paraId="45DF98D4" w14:textId="77777777" w:rsidR="00FF476F" w:rsidRPr="00FF476F" w:rsidRDefault="00FF476F" w:rsidP="00FF476F">
      <w:pPr>
        <w:spacing w:line="240" w:lineRule="auto"/>
        <w:rPr>
          <w:rFonts w:eastAsia="Times New Roman" w:cs="Arial"/>
          <w:i/>
          <w:iCs/>
          <w:color w:val="000000"/>
          <w:lang w:eastAsia="bg-BG"/>
        </w:rPr>
      </w:pPr>
    </w:p>
    <w:p w14:paraId="77B3C636" w14:textId="56563FEF" w:rsidR="00FF476F" w:rsidRPr="00FF476F" w:rsidRDefault="00FF476F" w:rsidP="00FF476F">
      <w:pPr>
        <w:spacing w:line="240" w:lineRule="auto"/>
        <w:rPr>
          <w:rFonts w:eastAsia="Times New Roman" w:cs="Arial"/>
        </w:rPr>
      </w:pPr>
      <w:r w:rsidRPr="00FF476F">
        <w:rPr>
          <w:rFonts w:eastAsia="Times New Roman" w:cs="Arial"/>
          <w:i/>
          <w:iCs/>
          <w:color w:val="000000"/>
          <w:lang w:eastAsia="bg-BG"/>
        </w:rPr>
        <w:t xml:space="preserve">Пациенти с вариант на </w:t>
      </w:r>
      <w:r w:rsidRPr="00FF476F">
        <w:rPr>
          <w:rFonts w:eastAsia="Times New Roman" w:cs="Arial"/>
          <w:i/>
          <w:iCs/>
          <w:color w:val="000000"/>
          <w:lang w:val="en-US"/>
        </w:rPr>
        <w:t>NUDT</w:t>
      </w:r>
      <w:r w:rsidRPr="00FF476F">
        <w:rPr>
          <w:rFonts w:eastAsia="Times New Roman" w:cs="Arial"/>
          <w:i/>
          <w:iCs/>
          <w:color w:val="000000"/>
          <w:lang w:val="ru-RU"/>
        </w:rPr>
        <w:t>15</w:t>
      </w:r>
    </w:p>
    <w:p w14:paraId="46C7FF87"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При пациенти с наследствен мутирал ген </w:t>
      </w:r>
      <w:r w:rsidRPr="00FF476F">
        <w:rPr>
          <w:rFonts w:eastAsia="Times New Roman" w:cs="Arial"/>
          <w:color w:val="000000"/>
          <w:lang w:val="en-US"/>
        </w:rPr>
        <w:t>NUDT</w:t>
      </w:r>
      <w:r w:rsidRPr="00FF476F">
        <w:rPr>
          <w:rFonts w:eastAsia="Times New Roman" w:cs="Arial"/>
          <w:color w:val="000000"/>
          <w:lang w:val="ru-RU"/>
        </w:rPr>
        <w:t xml:space="preserve">15 </w:t>
      </w:r>
      <w:r w:rsidRPr="00FF476F">
        <w:rPr>
          <w:rFonts w:eastAsia="Times New Roman" w:cs="Arial"/>
          <w:color w:val="000000"/>
          <w:lang w:eastAsia="bg-BG"/>
        </w:rPr>
        <w:t xml:space="preserve">има повишен риск от тежка токсичност от азатиоприн (вж. точка 4.4). При тези пациенти обикновено е необходимо намаляване на дозата, особено ако са с хомозиготен вариант на </w:t>
      </w:r>
      <w:r w:rsidRPr="00FF476F">
        <w:rPr>
          <w:rFonts w:eastAsia="Times New Roman" w:cs="Arial"/>
          <w:color w:val="000000"/>
          <w:lang w:val="en-US"/>
        </w:rPr>
        <w:t>NUDT</w:t>
      </w:r>
      <w:r w:rsidRPr="00FF476F">
        <w:rPr>
          <w:rFonts w:eastAsia="Times New Roman" w:cs="Arial"/>
          <w:color w:val="000000"/>
          <w:lang w:val="ru-RU"/>
        </w:rPr>
        <w:t xml:space="preserve">15 </w:t>
      </w:r>
      <w:r w:rsidRPr="00FF476F">
        <w:rPr>
          <w:rFonts w:eastAsia="Times New Roman" w:cs="Arial"/>
          <w:color w:val="000000"/>
          <w:lang w:eastAsia="bg-BG"/>
        </w:rPr>
        <w:t xml:space="preserve">(вж. точка 4.4). Преди започване на терапия с азатиоприн може да се обмисли изследване на генотипа за варианти на </w:t>
      </w:r>
      <w:r w:rsidRPr="00FF476F">
        <w:rPr>
          <w:rFonts w:eastAsia="Times New Roman" w:cs="Arial"/>
          <w:color w:val="000000"/>
          <w:lang w:val="en-US"/>
        </w:rPr>
        <w:t>NUDT</w:t>
      </w:r>
      <w:r w:rsidRPr="00FF476F">
        <w:rPr>
          <w:rFonts w:eastAsia="Times New Roman" w:cs="Arial"/>
          <w:color w:val="000000"/>
          <w:lang w:val="ru-RU"/>
        </w:rPr>
        <w:t xml:space="preserve">15. </w:t>
      </w:r>
      <w:r w:rsidRPr="00FF476F">
        <w:rPr>
          <w:rFonts w:eastAsia="Times New Roman" w:cs="Arial"/>
          <w:color w:val="000000"/>
          <w:lang w:eastAsia="bg-BG"/>
        </w:rPr>
        <w:t>При всички случаи е необходимо внимателно проследяване на броя кръвни клетки.</w:t>
      </w:r>
    </w:p>
    <w:p w14:paraId="6C4A978C" w14:textId="77777777" w:rsidR="00FF476F" w:rsidRPr="00FF476F" w:rsidRDefault="00FF476F" w:rsidP="00FF476F"/>
    <w:p w14:paraId="62B13D0B" w14:textId="6109F2B9" w:rsidR="00395555" w:rsidRDefault="002C50EE" w:rsidP="008A6AF2">
      <w:pPr>
        <w:pStyle w:val="Heading2"/>
      </w:pPr>
      <w:r>
        <w:t>4.3. Противопоказания</w:t>
      </w:r>
    </w:p>
    <w:p w14:paraId="55B18909" w14:textId="16E2F258" w:rsidR="00FF476F" w:rsidRDefault="00FF476F" w:rsidP="00FF476F"/>
    <w:p w14:paraId="21299FF9" w14:textId="1112AF1B" w:rsidR="00FF476F" w:rsidRPr="00FF476F" w:rsidRDefault="00FF476F" w:rsidP="00FF476F">
      <w:pPr>
        <w:rPr>
          <w:sz w:val="24"/>
          <w:szCs w:val="24"/>
        </w:rPr>
      </w:pPr>
      <w:r w:rsidRPr="00FF476F">
        <w:rPr>
          <w:lang w:eastAsia="bg-BG"/>
        </w:rPr>
        <w:t>ИМУРАН е противопоказан при пациенти с установена свръхчувствителност към азатиоприн или</w:t>
      </w:r>
      <w:r>
        <w:rPr>
          <w:sz w:val="24"/>
          <w:szCs w:val="24"/>
        </w:rPr>
        <w:t xml:space="preserve"> </w:t>
      </w:r>
      <w:r w:rsidRPr="00FF476F">
        <w:rPr>
          <w:lang w:eastAsia="bg-BG"/>
        </w:rPr>
        <w:t>към някоя от останалите съставки на лекарствения продукт. Установена свръхчувствителност към 6-меркаптопурин (6-МР) трябва да даде сигнал на предписващия лекар за възможна чувствителност към ИМУРАН.</w:t>
      </w:r>
    </w:p>
    <w:p w14:paraId="1B77C5CE" w14:textId="77777777" w:rsidR="00FF476F" w:rsidRPr="00FF476F" w:rsidRDefault="00FF476F" w:rsidP="00FF476F"/>
    <w:p w14:paraId="5A4AC413" w14:textId="14D464F2" w:rsidR="00395555" w:rsidRDefault="002C50EE" w:rsidP="008A6AF2">
      <w:pPr>
        <w:pStyle w:val="Heading2"/>
      </w:pPr>
      <w:r>
        <w:t>4.4. Специални предупреждения и предпазни мерки при употреба</w:t>
      </w:r>
    </w:p>
    <w:p w14:paraId="33314BFE" w14:textId="053D0BF8" w:rsidR="00FF476F" w:rsidRDefault="00FF476F" w:rsidP="00FF476F"/>
    <w:p w14:paraId="27633115"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Имунизирането с ваксина с живи организми би могло да предизвика инфекция при имунокомпрометирани приемници. Поради тази причина се препоръчва пациентите да не се имунизират с живи организми най-малко 3 месеца след края на тяхното лечение с азатиоприн (вж. точка 4.5).</w:t>
      </w:r>
    </w:p>
    <w:p w14:paraId="59D6C359" w14:textId="77777777" w:rsidR="00FF476F" w:rsidRPr="00FF476F" w:rsidRDefault="00FF476F" w:rsidP="00FF476F">
      <w:pPr>
        <w:spacing w:line="240" w:lineRule="auto"/>
        <w:rPr>
          <w:rFonts w:eastAsia="Times New Roman" w:cs="Arial"/>
          <w:color w:val="000000"/>
          <w:lang w:eastAsia="bg-BG"/>
        </w:rPr>
      </w:pPr>
    </w:p>
    <w:p w14:paraId="235EA941" w14:textId="20EDB21D" w:rsidR="00FF476F" w:rsidRPr="00FF476F" w:rsidRDefault="00FF476F" w:rsidP="00FF476F">
      <w:pPr>
        <w:spacing w:line="240" w:lineRule="auto"/>
        <w:rPr>
          <w:rFonts w:eastAsia="Times New Roman" w:cs="Arial"/>
        </w:rPr>
      </w:pPr>
      <w:r w:rsidRPr="00FF476F">
        <w:rPr>
          <w:rFonts w:eastAsia="Times New Roman" w:cs="Arial"/>
          <w:color w:val="000000"/>
          <w:lang w:eastAsia="bg-BG"/>
        </w:rPr>
        <w:t>Не се препоръчва едновременното приложение на рибавирин и азатиоприн. Рибавирин може да намали ефикасността и да засили токсичността на азатиоприн (вж. точка 4.5).</w:t>
      </w:r>
    </w:p>
    <w:p w14:paraId="7762B604" w14:textId="77777777" w:rsidR="00FF476F" w:rsidRPr="00FF476F" w:rsidRDefault="00FF476F" w:rsidP="00FF476F">
      <w:pPr>
        <w:spacing w:line="240" w:lineRule="auto"/>
        <w:rPr>
          <w:rFonts w:eastAsia="Times New Roman" w:cs="Arial"/>
          <w:b/>
          <w:bCs/>
          <w:color w:val="000000"/>
          <w:lang w:eastAsia="bg-BG"/>
        </w:rPr>
      </w:pPr>
    </w:p>
    <w:p w14:paraId="018FE60E" w14:textId="3A695EB2"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Лактоза монохидрат</w:t>
      </w:r>
    </w:p>
    <w:p w14:paraId="0879467C"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Този лекарствен продукт.съдържа лактоза монохидрат. Пациенти с редки наследствени проблеми на галактозна непоносимост, </w:t>
      </w:r>
      <w:r w:rsidRPr="00FF476F">
        <w:rPr>
          <w:rFonts w:eastAsia="Times New Roman" w:cs="Arial"/>
          <w:color w:val="000000"/>
          <w:lang w:val="en-US"/>
        </w:rPr>
        <w:t>Lapp</w:t>
      </w:r>
      <w:r w:rsidRPr="00FF476F">
        <w:rPr>
          <w:rFonts w:eastAsia="Times New Roman" w:cs="Arial"/>
          <w:color w:val="000000"/>
          <w:lang w:val="ru-RU"/>
        </w:rPr>
        <w:t xml:space="preserve"> </w:t>
      </w:r>
      <w:r w:rsidRPr="00FF476F">
        <w:rPr>
          <w:rFonts w:eastAsia="Times New Roman" w:cs="Arial"/>
          <w:color w:val="000000"/>
          <w:lang w:eastAsia="bg-BG"/>
        </w:rPr>
        <w:t>лактазен дефицит или глюкозо- галактозна малабсорбция не трябва да приемат това лекарство.</w:t>
      </w:r>
    </w:p>
    <w:p w14:paraId="4C20F0CC" w14:textId="77777777" w:rsidR="00FF476F" w:rsidRPr="00FF476F" w:rsidRDefault="00FF476F" w:rsidP="00FF476F">
      <w:pPr>
        <w:spacing w:line="240" w:lineRule="auto"/>
        <w:rPr>
          <w:rFonts w:eastAsia="Times New Roman" w:cs="Arial"/>
          <w:b/>
          <w:bCs/>
          <w:color w:val="000000"/>
          <w:lang w:eastAsia="bg-BG"/>
        </w:rPr>
      </w:pPr>
    </w:p>
    <w:p w14:paraId="2F91BAA5" w14:textId="13B2C449"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Мониториране</w:t>
      </w:r>
    </w:p>
    <w:p w14:paraId="04B228BE"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При употребата на ИМУРАН съществуват потенциални рискове. Лекарството трябва да се предписва, само ако по време на лечението пациентът може да бъде адекватно мониториран за токсични ефекти.</w:t>
      </w:r>
    </w:p>
    <w:p w14:paraId="126150E7" w14:textId="77777777" w:rsidR="00FF476F" w:rsidRPr="00FF476F" w:rsidRDefault="00FF476F" w:rsidP="00FF476F">
      <w:pPr>
        <w:spacing w:line="240" w:lineRule="auto"/>
        <w:rPr>
          <w:rFonts w:eastAsia="Times New Roman" w:cs="Arial"/>
          <w:color w:val="000000"/>
          <w:lang w:eastAsia="bg-BG"/>
        </w:rPr>
      </w:pPr>
    </w:p>
    <w:p w14:paraId="41D1C638" w14:textId="26C29881" w:rsidR="00FF476F" w:rsidRPr="00FF476F" w:rsidRDefault="00FF476F" w:rsidP="00FF476F">
      <w:pPr>
        <w:spacing w:line="240" w:lineRule="auto"/>
        <w:rPr>
          <w:rFonts w:eastAsia="Times New Roman" w:cs="Arial"/>
        </w:rPr>
      </w:pPr>
      <w:r w:rsidRPr="00FF476F">
        <w:rPr>
          <w:rFonts w:eastAsia="Times New Roman" w:cs="Arial"/>
          <w:color w:val="000000"/>
          <w:lang w:eastAsia="bg-BG"/>
        </w:rPr>
        <w:lastRenderedPageBreak/>
        <w:t>Особено важно е да се мониторира хематологичният отговор и да се намали поддържащата доза до минималната, необходима за клиничния отговор.</w:t>
      </w:r>
    </w:p>
    <w:p w14:paraId="529405E3" w14:textId="77777777" w:rsidR="00FF476F" w:rsidRPr="00FF476F" w:rsidRDefault="00FF476F" w:rsidP="00FF476F">
      <w:pPr>
        <w:spacing w:line="240" w:lineRule="auto"/>
        <w:rPr>
          <w:rFonts w:eastAsia="Times New Roman" w:cs="Arial"/>
          <w:color w:val="000000"/>
          <w:lang w:eastAsia="bg-BG"/>
        </w:rPr>
      </w:pPr>
    </w:p>
    <w:p w14:paraId="27AE3597" w14:textId="5EAA9E9E" w:rsidR="00FF476F" w:rsidRPr="00FF476F" w:rsidRDefault="00FF476F" w:rsidP="00FF476F">
      <w:pPr>
        <w:spacing w:line="240" w:lineRule="auto"/>
        <w:rPr>
          <w:rFonts w:eastAsia="Times New Roman" w:cs="Arial"/>
        </w:rPr>
      </w:pPr>
      <w:r w:rsidRPr="00FF476F">
        <w:rPr>
          <w:rFonts w:eastAsia="Times New Roman" w:cs="Arial"/>
          <w:color w:val="000000"/>
          <w:lang w:eastAsia="bg-BG"/>
        </w:rPr>
        <w:t>Предлага се през първите осем седмици на лечението веднъж седмично да се прави изследване на хематологичните показатели (пълна кръвна картина), включително на тромбоцитите. При приложение на високи дози или при тежко бъбречно и/или чернодробно увреждане тези показатели може да се изследват по-често. Честотата на изследванията на пълната кръвната картина може да се намали в течение на лечението, но се предлага пълна кръвна картина да се прави всеки месец, но не по-рядко от веднъж на три месеца.</w:t>
      </w:r>
    </w:p>
    <w:p w14:paraId="0A865655" w14:textId="77777777" w:rsidR="00FF476F" w:rsidRPr="00FF476F" w:rsidRDefault="00FF476F" w:rsidP="00FF476F">
      <w:pPr>
        <w:spacing w:line="240" w:lineRule="auto"/>
        <w:rPr>
          <w:rFonts w:eastAsia="Times New Roman" w:cs="Arial"/>
          <w:color w:val="000000"/>
          <w:lang w:eastAsia="bg-BG"/>
        </w:rPr>
      </w:pPr>
    </w:p>
    <w:p w14:paraId="5CE51ACF" w14:textId="7DE30D68" w:rsidR="00FF476F" w:rsidRPr="00FF476F" w:rsidRDefault="00FF476F" w:rsidP="00FF476F">
      <w:pPr>
        <w:spacing w:line="240" w:lineRule="auto"/>
        <w:rPr>
          <w:rFonts w:eastAsia="Times New Roman" w:cs="Arial"/>
          <w:color w:val="000000"/>
          <w:lang w:eastAsia="bg-BG"/>
        </w:rPr>
      </w:pPr>
      <w:r w:rsidRPr="00FF476F">
        <w:rPr>
          <w:rFonts w:eastAsia="Times New Roman" w:cs="Arial"/>
          <w:color w:val="000000"/>
          <w:lang w:eastAsia="bg-BG"/>
        </w:rPr>
        <w:t xml:space="preserve">При първите признаци на патологично спадане на броя на кръвните елементи лечението трябва да се преустанови незабавно, понеже е възможно левкоцитите и тромбоцитите да продължат да </w:t>
      </w:r>
    </w:p>
    <w:p w14:paraId="614A988D" w14:textId="0A5AEA8F" w:rsidR="00FF476F" w:rsidRPr="00FF476F" w:rsidRDefault="00FF476F" w:rsidP="00FF476F">
      <w:pPr>
        <w:spacing w:line="240" w:lineRule="auto"/>
        <w:rPr>
          <w:rFonts w:eastAsia="Times New Roman" w:cs="Arial"/>
        </w:rPr>
      </w:pPr>
      <w:r w:rsidRPr="00FF476F">
        <w:rPr>
          <w:rFonts w:eastAsia="Times New Roman" w:cs="Arial"/>
          <w:color w:val="000000"/>
          <w:lang w:eastAsia="bg-BG"/>
        </w:rPr>
        <w:t>спадат и след спирането на лечението.</w:t>
      </w:r>
    </w:p>
    <w:p w14:paraId="76964507" w14:textId="77777777" w:rsidR="00FF476F" w:rsidRPr="00FF476F" w:rsidRDefault="00FF476F" w:rsidP="00FF476F">
      <w:pPr>
        <w:spacing w:line="240" w:lineRule="auto"/>
        <w:rPr>
          <w:rFonts w:eastAsia="Times New Roman" w:cs="Arial"/>
          <w:color w:val="000000"/>
          <w:lang w:eastAsia="bg-BG"/>
        </w:rPr>
      </w:pPr>
    </w:p>
    <w:p w14:paraId="05CB49FE" w14:textId="5C424D24" w:rsidR="00FF476F" w:rsidRPr="00FF476F" w:rsidRDefault="00FF476F" w:rsidP="00FF476F">
      <w:pPr>
        <w:spacing w:line="240" w:lineRule="auto"/>
        <w:rPr>
          <w:rFonts w:eastAsia="Times New Roman" w:cs="Arial"/>
        </w:rPr>
      </w:pPr>
      <w:r w:rsidRPr="00FF476F">
        <w:rPr>
          <w:rFonts w:eastAsia="Times New Roman" w:cs="Arial"/>
          <w:color w:val="000000"/>
          <w:lang w:eastAsia="bg-BG"/>
        </w:rPr>
        <w:t>Пациентите, приемащи ИМУРАН, трябва незабавно да уведомят лекуващия лекар при развитие на инфекции, внезапна поява на кръвонасядания, кървене или други признаци за костномозъчна супресия. Костномозъчната супресия е обратима, ако азатиоприн се спре достатъчно рано.</w:t>
      </w:r>
    </w:p>
    <w:p w14:paraId="1CFF548A" w14:textId="77777777" w:rsidR="00FF476F" w:rsidRPr="00FF476F" w:rsidRDefault="00FF476F" w:rsidP="00FF476F">
      <w:pPr>
        <w:spacing w:line="240" w:lineRule="auto"/>
        <w:rPr>
          <w:rFonts w:eastAsia="Times New Roman" w:cs="Arial"/>
          <w:color w:val="000000"/>
          <w:lang w:eastAsia="bg-BG"/>
        </w:rPr>
      </w:pPr>
    </w:p>
    <w:p w14:paraId="62E256E9" w14:textId="4718C9B7" w:rsidR="00FF476F" w:rsidRPr="00FF476F" w:rsidRDefault="00FF476F" w:rsidP="00FF476F">
      <w:pPr>
        <w:spacing w:line="240" w:lineRule="auto"/>
        <w:rPr>
          <w:rFonts w:eastAsia="Times New Roman" w:cs="Arial"/>
        </w:rPr>
      </w:pPr>
      <w:r w:rsidRPr="00FF476F">
        <w:rPr>
          <w:rFonts w:eastAsia="Times New Roman" w:cs="Arial"/>
          <w:color w:val="000000"/>
          <w:lang w:eastAsia="bg-BG"/>
        </w:rPr>
        <w:t>Азатиоприн е хепатотоксичсн и в хода на лечението редовно трябва да се проследяват функционалните показатели за чернодробната функция. По-често проследяване може да се препоръча при пациенти с вече налично чернодробно заболяване или такива, получаващи други потенциално хепатотоксични терапии. Пациентът трябва да бъде инструктиран незабавно да спре приема на азатиоприн, ако се появи жълтеница.</w:t>
      </w:r>
    </w:p>
    <w:p w14:paraId="4315F443" w14:textId="77777777" w:rsidR="00FF476F" w:rsidRPr="00FF476F" w:rsidRDefault="00FF476F" w:rsidP="00FF476F">
      <w:pPr>
        <w:spacing w:line="240" w:lineRule="auto"/>
        <w:rPr>
          <w:rFonts w:eastAsia="Times New Roman" w:cs="Arial"/>
          <w:b/>
          <w:bCs/>
          <w:color w:val="000000"/>
          <w:lang w:eastAsia="bg-BG"/>
        </w:rPr>
      </w:pPr>
    </w:p>
    <w:p w14:paraId="202D06FB" w14:textId="7305DDAC"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Тиопуринметилтрансфераза</w:t>
      </w:r>
    </w:p>
    <w:p w14:paraId="476349F3" w14:textId="77777777" w:rsidR="00FF476F" w:rsidRPr="00FF476F" w:rsidRDefault="00FF476F" w:rsidP="00FF476F">
      <w:pPr>
        <w:spacing w:line="240" w:lineRule="auto"/>
        <w:rPr>
          <w:rFonts w:eastAsia="Times New Roman" w:cs="Arial"/>
          <w:color w:val="000000"/>
          <w:lang w:eastAsia="bg-BG"/>
        </w:rPr>
      </w:pPr>
    </w:p>
    <w:p w14:paraId="588017E5" w14:textId="77777777" w:rsidR="00FF476F" w:rsidRPr="00FF476F" w:rsidRDefault="00FF476F" w:rsidP="00FF476F">
      <w:pPr>
        <w:rPr>
          <w:rFonts w:eastAsia="Times New Roman" w:cs="Arial"/>
        </w:rPr>
      </w:pPr>
      <w:r w:rsidRPr="00FF476F">
        <w:rPr>
          <w:rFonts w:eastAsia="Times New Roman" w:cs="Arial"/>
          <w:color w:val="000000"/>
          <w:lang w:eastAsia="bg-BG"/>
        </w:rPr>
        <w:t xml:space="preserve">При някои пациенти има наследствен дефицит на ензима тиопуринметилтрансфераза (ТРМТ). Тези лица могат да проявяват повишена чувствителност към миелосупресивния ефект на азатиоприн и склонност към бързо развитие на костномозъчна супресия след започване на терапия с ИМУРАН. Това състояние се влошава при едновременно приложение с лекарства, които инхибират този ензим, като олсалазин, мезалазин или сулфасалазин. Съществуват данни, че при пациенти приемащи 6-меркаптопурин (активен метаболит на азатиоприн) в комбинация с други цитостатици също е възможна връзка между понижената активност на ТРМТ </w:t>
      </w:r>
      <w:r w:rsidRPr="00FF476F">
        <w:rPr>
          <w:rFonts w:eastAsia="Times New Roman" w:cs="Arial"/>
          <w:i/>
          <w:iCs/>
          <w:color w:val="000000"/>
          <w:lang w:eastAsia="bg-BG"/>
        </w:rPr>
        <w:t>и</w:t>
      </w:r>
      <w:r w:rsidRPr="00FF476F">
        <w:rPr>
          <w:rFonts w:eastAsia="Times New Roman" w:cs="Arial"/>
          <w:color w:val="000000"/>
          <w:lang w:eastAsia="bg-BG"/>
        </w:rPr>
        <w:t xml:space="preserve"> вторични левкози и миелоднсплазия (вж. точка 4.8). Може да бъде направено лабораторно изследване за откриване на наследствен дефицит на ензима ТРМТ. Установено е обаче, че с това изследване не могат да бъдат открити всички пациенти, при които има риск за развитие на тежка токсичност. Ето защо е необходимо редовно изследване и проследяване на кръвната картина.</w:t>
      </w:r>
    </w:p>
    <w:p w14:paraId="2EE75A35" w14:textId="77777777" w:rsidR="00FF476F" w:rsidRPr="00FF476F" w:rsidRDefault="00FF476F" w:rsidP="00FF476F">
      <w:pPr>
        <w:spacing w:line="240" w:lineRule="auto"/>
        <w:rPr>
          <w:rFonts w:eastAsia="Times New Roman" w:cs="Arial"/>
          <w:color w:val="000000"/>
          <w:lang w:eastAsia="bg-BG"/>
        </w:rPr>
      </w:pPr>
    </w:p>
    <w:p w14:paraId="452194B7" w14:textId="4A4AB3FA" w:rsidR="00FF476F" w:rsidRPr="00FF476F" w:rsidRDefault="00FF476F" w:rsidP="00FF476F">
      <w:pPr>
        <w:spacing w:line="240" w:lineRule="auto"/>
        <w:rPr>
          <w:rFonts w:eastAsia="Times New Roman" w:cs="Arial"/>
        </w:rPr>
      </w:pPr>
      <w:r w:rsidRPr="00FF476F">
        <w:rPr>
          <w:rFonts w:eastAsia="Times New Roman" w:cs="Arial"/>
          <w:color w:val="000000"/>
          <w:lang w:eastAsia="bg-BG"/>
        </w:rPr>
        <w:t>Може да се наложи намаляване на дозировката на азатиоприн, когато това лекарство се комбинира с други лекарства, които причиняват миелосупресия като първичен или вторичен токсичен ефект (вж. точка 4.5).</w:t>
      </w:r>
    </w:p>
    <w:p w14:paraId="51B28FFD" w14:textId="77777777" w:rsidR="00FF476F" w:rsidRPr="00FF476F" w:rsidRDefault="00FF476F" w:rsidP="00FF476F">
      <w:pPr>
        <w:spacing w:line="240" w:lineRule="auto"/>
        <w:rPr>
          <w:rFonts w:eastAsia="Times New Roman" w:cs="Arial"/>
          <w:b/>
          <w:bCs/>
          <w:color w:val="000000"/>
          <w:lang w:eastAsia="bg-BG"/>
        </w:rPr>
      </w:pPr>
    </w:p>
    <w:p w14:paraId="3453193B" w14:textId="2807E395"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 xml:space="preserve">Пациенти с вариант на </w:t>
      </w:r>
      <w:r w:rsidRPr="00FF476F">
        <w:rPr>
          <w:rFonts w:eastAsia="Times New Roman" w:cs="Arial"/>
          <w:b/>
          <w:bCs/>
          <w:color w:val="000000"/>
          <w:lang w:val="en-US"/>
        </w:rPr>
        <w:t>NUDT</w:t>
      </w:r>
      <w:r w:rsidRPr="00FF476F">
        <w:rPr>
          <w:rFonts w:eastAsia="Times New Roman" w:cs="Arial"/>
          <w:b/>
          <w:bCs/>
          <w:color w:val="000000"/>
          <w:lang w:val="ru-RU"/>
        </w:rPr>
        <w:t>15</w:t>
      </w:r>
    </w:p>
    <w:p w14:paraId="72FBC3B9"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При пациенти с наследствен мутирал ген </w:t>
      </w:r>
      <w:r w:rsidRPr="00FF476F">
        <w:rPr>
          <w:rFonts w:eastAsia="Times New Roman" w:cs="Arial"/>
          <w:color w:val="000000"/>
          <w:lang w:val="en-US"/>
        </w:rPr>
        <w:t>NUDT</w:t>
      </w:r>
      <w:r w:rsidRPr="00FF476F">
        <w:rPr>
          <w:rFonts w:eastAsia="Times New Roman" w:cs="Arial"/>
          <w:color w:val="000000"/>
          <w:lang w:val="ru-RU"/>
        </w:rPr>
        <w:t xml:space="preserve">15 </w:t>
      </w:r>
      <w:r w:rsidRPr="00FF476F">
        <w:rPr>
          <w:rFonts w:eastAsia="Times New Roman" w:cs="Arial"/>
          <w:color w:val="000000"/>
          <w:lang w:eastAsia="bg-BG"/>
        </w:rPr>
        <w:t xml:space="preserve">има повишен риск за тежка токсичност от азатиоприн, като ранна левкопения и алопеция, при лечение с конвенционални дози тиопурин. При тях обикновено е необходимо намаляване иа дозата, особено ако са с </w:t>
      </w:r>
      <w:r w:rsidRPr="00FF476F">
        <w:rPr>
          <w:rFonts w:eastAsia="Times New Roman" w:cs="Arial"/>
          <w:color w:val="000000"/>
          <w:lang w:eastAsia="bg-BG"/>
        </w:rPr>
        <w:lastRenderedPageBreak/>
        <w:t xml:space="preserve">хомозиготен вариант на </w:t>
      </w:r>
      <w:r w:rsidRPr="00FF476F">
        <w:rPr>
          <w:rFonts w:eastAsia="Times New Roman" w:cs="Arial"/>
          <w:color w:val="000000"/>
          <w:lang w:val="en-US"/>
        </w:rPr>
        <w:t>NUDT</w:t>
      </w:r>
      <w:r w:rsidRPr="00FF476F">
        <w:rPr>
          <w:rFonts w:eastAsia="Times New Roman" w:cs="Arial"/>
          <w:color w:val="000000"/>
          <w:lang w:val="ru-RU"/>
        </w:rPr>
        <w:t xml:space="preserve">15 </w:t>
      </w:r>
      <w:r w:rsidRPr="00FF476F">
        <w:rPr>
          <w:rFonts w:eastAsia="Times New Roman" w:cs="Arial"/>
          <w:color w:val="000000"/>
          <w:lang w:eastAsia="bg-BG"/>
        </w:rPr>
        <w:t xml:space="preserve">(вж. точка 4.2). По отношение на честотата на </w:t>
      </w:r>
      <w:r w:rsidRPr="00FF476F">
        <w:rPr>
          <w:rFonts w:eastAsia="Times New Roman" w:cs="Arial"/>
          <w:color w:val="000000"/>
          <w:lang w:val="en-US"/>
        </w:rPr>
        <w:t>NUDT</w:t>
      </w:r>
      <w:r w:rsidRPr="00FF476F">
        <w:rPr>
          <w:rFonts w:eastAsia="Times New Roman" w:cs="Arial"/>
          <w:color w:val="000000"/>
          <w:lang w:val="ru-RU"/>
        </w:rPr>
        <w:t xml:space="preserve">15 </w:t>
      </w:r>
      <w:r w:rsidRPr="00FF476F">
        <w:rPr>
          <w:rFonts w:eastAsia="Times New Roman" w:cs="Arial"/>
          <w:color w:val="000000"/>
          <w:lang w:eastAsia="bg-BG"/>
        </w:rPr>
        <w:t>с.415С&gt;Т има етническа вариабилност приблизително 10 % при източноазиатци, 4 % при латиноамериканци, 0,2 % при европейци и 0 % при африканци. При всички случаи е необходимо внимателно проследяване на броя кръвни клетки.</w:t>
      </w:r>
    </w:p>
    <w:p w14:paraId="50A36934" w14:textId="77777777" w:rsidR="00FF476F" w:rsidRPr="00FF476F" w:rsidRDefault="00FF476F" w:rsidP="00FF476F">
      <w:pPr>
        <w:spacing w:line="240" w:lineRule="auto"/>
        <w:rPr>
          <w:rFonts w:eastAsia="Times New Roman" w:cs="Arial"/>
          <w:b/>
          <w:bCs/>
          <w:color w:val="000000"/>
          <w:lang w:eastAsia="bg-BG"/>
        </w:rPr>
      </w:pPr>
    </w:p>
    <w:p w14:paraId="3F908180" w14:textId="46F8C4D1"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Свръхчувствителност</w:t>
      </w:r>
    </w:p>
    <w:p w14:paraId="25C4D78E"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На пациенти, за които се подозира, че преди са имали реакция на свръхчувствителност към 6- меркаптопурин, не трябва да се препоръчва да приемат неговото про-лекарство азатиоприн, и обратно, освен ако с алергологични тестове при пациента е било потвърдено, че има свръхчувствителност към причиняващото я лекарство, и има отрицателни резултати от тестовете за другото лекарство.</w:t>
      </w:r>
    </w:p>
    <w:p w14:paraId="0DDBDEA3" w14:textId="77777777" w:rsidR="00FF476F" w:rsidRPr="00FF476F" w:rsidRDefault="00FF476F" w:rsidP="00FF476F">
      <w:pPr>
        <w:spacing w:line="240" w:lineRule="auto"/>
        <w:rPr>
          <w:rFonts w:eastAsia="Times New Roman" w:cs="Arial"/>
          <w:b/>
          <w:bCs/>
          <w:color w:val="000000"/>
          <w:lang w:eastAsia="bg-BG"/>
        </w:rPr>
      </w:pPr>
    </w:p>
    <w:p w14:paraId="0B8E2414" w14:textId="2870E3B2"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Пациенти с бъбречни н/или чернодробни увреждания</w:t>
      </w:r>
    </w:p>
    <w:p w14:paraId="670ABD4C"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Необходимо е внимание при прилагане на азатиоприн при пациенти с бъбречно увреждане и/или чернодробно увреждане. Трябва да се обмисли намаляване на дозата при тези пациенти и трябва внимателно да се следи хематологичният отговор (вж. точка 4.2).</w:t>
      </w:r>
    </w:p>
    <w:p w14:paraId="391652BD" w14:textId="77777777" w:rsidR="00FF476F" w:rsidRPr="00FF476F" w:rsidRDefault="00FF476F" w:rsidP="00FF476F">
      <w:pPr>
        <w:spacing w:line="240" w:lineRule="auto"/>
        <w:rPr>
          <w:rFonts w:eastAsia="Times New Roman" w:cs="Arial"/>
          <w:b/>
          <w:bCs/>
          <w:color w:val="000000"/>
          <w:lang w:eastAsia="bg-BG"/>
        </w:rPr>
      </w:pPr>
    </w:p>
    <w:p w14:paraId="220D08FE" w14:textId="3F519D8F"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Синдром на Леш-Нихан</w:t>
      </w:r>
    </w:p>
    <w:p w14:paraId="691EBFD4"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Има ограничени данни за ефекта при приложение на ИМУРАН при пациенти с наследствен дефицит на ензима хипоксантингуанинфосфорибозилтрансфераза (синдром на Леш-Нихан). Установява се липса на ефект при тези пациенти в резултат от нарушения метаболизъм. По тази причина, при този тип пациенти не се препоръчва приложение на ИМУРАН.</w:t>
      </w:r>
    </w:p>
    <w:p w14:paraId="7712A094" w14:textId="77777777" w:rsidR="00FF476F" w:rsidRPr="00FF476F" w:rsidRDefault="00FF476F" w:rsidP="00FF476F">
      <w:pPr>
        <w:spacing w:line="240" w:lineRule="auto"/>
        <w:rPr>
          <w:rFonts w:eastAsia="Times New Roman" w:cs="Arial"/>
          <w:b/>
          <w:bCs/>
          <w:color w:val="000000"/>
          <w:lang w:eastAsia="bg-BG"/>
        </w:rPr>
      </w:pPr>
      <w:bookmarkStart w:id="6" w:name="bookmark8"/>
    </w:p>
    <w:p w14:paraId="5BB213C3" w14:textId="1A277726"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Мутагенност</w:t>
      </w:r>
      <w:bookmarkEnd w:id="6"/>
    </w:p>
    <w:p w14:paraId="59AD0152"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Хромозомни аберации се установяват при мъже и жени при прием на ИМУРАН. Трудно може да се определи влиянието на ИМУРАН за развитие на тези аномалии.</w:t>
      </w:r>
    </w:p>
    <w:p w14:paraId="4A9B351E" w14:textId="77777777" w:rsidR="00FF476F" w:rsidRPr="00FF476F" w:rsidRDefault="00FF476F" w:rsidP="00FF476F">
      <w:pPr>
        <w:spacing w:line="240" w:lineRule="auto"/>
        <w:rPr>
          <w:rFonts w:eastAsia="Times New Roman" w:cs="Arial"/>
          <w:color w:val="000000"/>
          <w:lang w:eastAsia="bg-BG"/>
        </w:rPr>
      </w:pPr>
    </w:p>
    <w:p w14:paraId="5D188CB1" w14:textId="20A73B50" w:rsidR="00FF476F" w:rsidRPr="00FF476F" w:rsidRDefault="00FF476F" w:rsidP="00FF476F">
      <w:pPr>
        <w:spacing w:line="240" w:lineRule="auto"/>
        <w:rPr>
          <w:rFonts w:eastAsia="Times New Roman" w:cs="Arial"/>
        </w:rPr>
      </w:pPr>
      <w:r w:rsidRPr="00FF476F">
        <w:rPr>
          <w:rFonts w:eastAsia="Times New Roman" w:cs="Arial"/>
          <w:color w:val="000000"/>
          <w:lang w:eastAsia="bg-BG"/>
        </w:rPr>
        <w:t>В поколението на пациенти на лечение с азатиоприн се установяват хромозомни аберации в лимфоцити, като след известен период от време тези промени не се установяват. Изключително рядко се установяват аномалии в поколението на пациенти след лечение с азатиоприн.</w:t>
      </w:r>
    </w:p>
    <w:p w14:paraId="11DA3D58"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Синергичен кластогенен ефект се установява за азатиоприн и дьлговълнови ултравиолетови лъчи при лечение на различни заболявалия с азатиоприн.</w:t>
      </w:r>
    </w:p>
    <w:p w14:paraId="09DBC41D" w14:textId="77777777" w:rsidR="00FF476F" w:rsidRPr="00FF476F" w:rsidRDefault="00FF476F" w:rsidP="00FF476F">
      <w:pPr>
        <w:spacing w:line="240" w:lineRule="auto"/>
        <w:rPr>
          <w:rFonts w:eastAsia="Times New Roman" w:cs="Arial"/>
          <w:b/>
          <w:bCs/>
          <w:color w:val="000000"/>
          <w:lang w:eastAsia="bg-BG"/>
        </w:rPr>
      </w:pPr>
      <w:bookmarkStart w:id="7" w:name="bookmark10"/>
    </w:p>
    <w:p w14:paraId="7C7000AD" w14:textId="276C894B"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Фертилитет</w:t>
      </w:r>
      <w:bookmarkEnd w:id="7"/>
    </w:p>
    <w:p w14:paraId="6FD6F763"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Специфичният ефект на лечението с азатиоприн върху фертилитета при хора не е известен, но има съобщения за оплождане/забременяване след лечение. Няколко проучвания съобщават, че азатиоприн в стандартни дози няма ефект върху мъжкия фертилитет.</w:t>
      </w:r>
    </w:p>
    <w:p w14:paraId="2F563B23" w14:textId="77777777" w:rsidR="00FF476F" w:rsidRPr="00FF476F" w:rsidRDefault="00FF476F" w:rsidP="00FF476F">
      <w:pPr>
        <w:spacing w:line="240" w:lineRule="auto"/>
        <w:rPr>
          <w:rFonts w:eastAsia="Times New Roman" w:cs="Arial"/>
          <w:color w:val="000000"/>
          <w:lang w:eastAsia="bg-BG"/>
        </w:rPr>
      </w:pPr>
    </w:p>
    <w:p w14:paraId="18EF97D6" w14:textId="77777777" w:rsidR="00FF476F" w:rsidRPr="00FF476F" w:rsidRDefault="00FF476F" w:rsidP="00FF476F">
      <w:pPr>
        <w:rPr>
          <w:rFonts w:eastAsia="Times New Roman" w:cs="Arial"/>
        </w:rPr>
      </w:pPr>
      <w:r w:rsidRPr="00FF476F">
        <w:rPr>
          <w:rFonts w:eastAsia="Times New Roman" w:cs="Arial"/>
          <w:color w:val="000000"/>
          <w:lang w:eastAsia="bg-BG"/>
        </w:rPr>
        <w:t>Облекчаването на хронична бъбречна недостатъчност чрез бъбречна трансплантация и приложение на ИМУРАН се придружава от повишаване на фертилит</w:t>
      </w:r>
      <w:r w:rsidRPr="00FF476F">
        <w:rPr>
          <w:rFonts w:eastAsia="Times New Roman" w:cs="Arial"/>
          <w:color w:val="000000"/>
          <w:lang w:val="en-US"/>
        </w:rPr>
        <w:t>e</w:t>
      </w:r>
      <w:r w:rsidRPr="00FF476F">
        <w:rPr>
          <w:rFonts w:eastAsia="Times New Roman" w:cs="Arial"/>
          <w:color w:val="000000"/>
          <w:lang w:eastAsia="bg-BG"/>
        </w:rPr>
        <w:t>та при мъже и жени реципиенти на трансплантация (вж. точка 4,6).</w:t>
      </w:r>
    </w:p>
    <w:p w14:paraId="55C6CA3F" w14:textId="77777777" w:rsidR="00FF476F" w:rsidRPr="00FF476F" w:rsidRDefault="00FF476F" w:rsidP="00FF476F">
      <w:pPr>
        <w:spacing w:line="240" w:lineRule="auto"/>
        <w:rPr>
          <w:rFonts w:eastAsia="Times New Roman" w:cs="Arial"/>
          <w:b/>
          <w:bCs/>
          <w:color w:val="000000"/>
          <w:lang w:eastAsia="bg-BG"/>
        </w:rPr>
      </w:pPr>
    </w:p>
    <w:p w14:paraId="3AA0B9B2" w14:textId="347A6022"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 xml:space="preserve">Мутагенност и канцерогенност </w:t>
      </w:r>
      <w:r w:rsidRPr="00FF476F">
        <w:rPr>
          <w:rFonts w:eastAsia="Times New Roman" w:cs="Arial"/>
          <w:color w:val="000000"/>
          <w:lang w:eastAsia="bg-BG"/>
        </w:rPr>
        <w:t>(вж. точка 4.8)</w:t>
      </w:r>
    </w:p>
    <w:p w14:paraId="4300AA0C"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Пациентите, които получават имуносупресивна терапия, включваща азатиоприн, са изложени на повишен риск от развитие на лимфопролиферативни заболявания и други злокачествени заболявания, особено кожни карциноми (меланомни и немеланомни), саркоми (сарком на Капоши и други) и </w:t>
      </w:r>
      <w:r w:rsidRPr="00FF476F">
        <w:rPr>
          <w:rFonts w:eastAsia="Times New Roman" w:cs="Arial"/>
          <w:i/>
          <w:iCs/>
          <w:color w:val="000000"/>
          <w:lang w:val="en-US"/>
        </w:rPr>
        <w:t>in</w:t>
      </w:r>
      <w:r w:rsidRPr="00FF476F">
        <w:rPr>
          <w:rFonts w:eastAsia="Times New Roman" w:cs="Arial"/>
          <w:i/>
          <w:iCs/>
          <w:color w:val="000000"/>
          <w:lang w:val="ru-RU"/>
        </w:rPr>
        <w:t xml:space="preserve"> </w:t>
      </w:r>
      <w:r w:rsidRPr="00FF476F">
        <w:rPr>
          <w:rFonts w:eastAsia="Times New Roman" w:cs="Arial"/>
          <w:i/>
          <w:iCs/>
          <w:color w:val="000000"/>
          <w:lang w:val="en-US"/>
        </w:rPr>
        <w:t>situ</w:t>
      </w:r>
      <w:r w:rsidRPr="00FF476F">
        <w:rPr>
          <w:rFonts w:eastAsia="Times New Roman" w:cs="Arial"/>
          <w:color w:val="000000"/>
          <w:lang w:val="ru-RU"/>
        </w:rPr>
        <w:t xml:space="preserve"> </w:t>
      </w:r>
      <w:r w:rsidRPr="00FF476F">
        <w:rPr>
          <w:rFonts w:eastAsia="Times New Roman" w:cs="Arial"/>
          <w:color w:val="000000"/>
          <w:lang w:eastAsia="bg-BG"/>
        </w:rPr>
        <w:t xml:space="preserve">карцином на шийката на матката. </w:t>
      </w:r>
      <w:r w:rsidRPr="00FF476F">
        <w:rPr>
          <w:rFonts w:eastAsia="Times New Roman" w:cs="Arial"/>
          <w:color w:val="000000"/>
          <w:lang w:eastAsia="bg-BG"/>
        </w:rPr>
        <w:lastRenderedPageBreak/>
        <w:t>Повишеният риск изглежда е свързан със степента и продължителността на имуносупресия. Съобщава се, че преустановяването на имуносупресивната терапия може да доведе до частично обратно развитие на лимфопролиферативното заболяване.</w:t>
      </w:r>
    </w:p>
    <w:p w14:paraId="25291794" w14:textId="77777777" w:rsidR="00FF476F" w:rsidRPr="00FF476F" w:rsidRDefault="00FF476F" w:rsidP="00FF476F">
      <w:pPr>
        <w:spacing w:line="240" w:lineRule="auto"/>
        <w:rPr>
          <w:rFonts w:eastAsia="Times New Roman" w:cs="Arial"/>
          <w:color w:val="000000"/>
          <w:lang w:eastAsia="bg-BG"/>
        </w:rPr>
      </w:pPr>
    </w:p>
    <w:p w14:paraId="0B8853AC" w14:textId="08E3C5D4"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Следователно терапевтична схема, която включва много имуносупресори (включително тиопурини), трябва да се прилага внимателно, тъй като това би могло да доведе до лимфопролиферативни заболявания, за някои от които се съобщава фатален изход. Комбинацията от няколко имуносупресора, прилагани едновременно, повишава риска от лимфопролиферативни заболявания, свързани с Епщайн-Бар вируса </w:t>
      </w:r>
      <w:r w:rsidRPr="00FF476F">
        <w:rPr>
          <w:rFonts w:eastAsia="Times New Roman" w:cs="Arial"/>
          <w:color w:val="000000"/>
          <w:lang w:val="ru-RU"/>
        </w:rPr>
        <w:t>(</w:t>
      </w:r>
      <w:r w:rsidRPr="00FF476F">
        <w:rPr>
          <w:rFonts w:eastAsia="Times New Roman" w:cs="Arial"/>
          <w:color w:val="000000"/>
          <w:lang w:val="en-US"/>
        </w:rPr>
        <w:t>EBV</w:t>
      </w:r>
      <w:r w:rsidRPr="00FF476F">
        <w:rPr>
          <w:rFonts w:eastAsia="Times New Roman" w:cs="Arial"/>
          <w:color w:val="000000"/>
          <w:lang w:val="ru-RU"/>
        </w:rPr>
        <w:t>).</w:t>
      </w:r>
    </w:p>
    <w:p w14:paraId="108CE96D" w14:textId="77777777" w:rsidR="00FF476F" w:rsidRPr="00FF476F" w:rsidRDefault="00FF476F" w:rsidP="00FF476F">
      <w:pPr>
        <w:spacing w:line="240" w:lineRule="auto"/>
        <w:rPr>
          <w:rFonts w:eastAsia="Times New Roman" w:cs="Arial"/>
          <w:color w:val="000000"/>
          <w:lang w:eastAsia="bg-BG"/>
        </w:rPr>
      </w:pPr>
    </w:p>
    <w:p w14:paraId="07FEA1A3" w14:textId="05C27847" w:rsidR="00FF476F" w:rsidRPr="00FF476F" w:rsidRDefault="00FF476F" w:rsidP="00FF476F">
      <w:pPr>
        <w:spacing w:line="240" w:lineRule="auto"/>
        <w:rPr>
          <w:rFonts w:eastAsia="Times New Roman" w:cs="Arial"/>
        </w:rPr>
      </w:pPr>
      <w:r w:rsidRPr="00FF476F">
        <w:rPr>
          <w:rFonts w:eastAsia="Times New Roman" w:cs="Arial"/>
          <w:color w:val="000000"/>
          <w:lang w:eastAsia="bg-BG"/>
        </w:rPr>
        <w:t>Получени са съобщения за хепатолиенален Т-клетъчен лимфом в популацията на пациентите с възпалително заболяване на червата при използване на азатиоприн в комбинация с други анти</w:t>
      </w:r>
      <w:r w:rsidRPr="00FF476F">
        <w:rPr>
          <w:rFonts w:eastAsia="Times New Roman" w:cs="Arial"/>
          <w:color w:val="000000"/>
          <w:lang w:val="ru-RU"/>
        </w:rPr>
        <w:t>-</w:t>
      </w:r>
      <w:r w:rsidRPr="00FF476F">
        <w:rPr>
          <w:rFonts w:eastAsia="Times New Roman" w:cs="Arial"/>
          <w:color w:val="000000"/>
          <w:lang w:val="en-US"/>
        </w:rPr>
        <w:t>TNF</w:t>
      </w:r>
      <w:r w:rsidRPr="00FF476F">
        <w:rPr>
          <w:rFonts w:eastAsia="Times New Roman" w:cs="Arial"/>
          <w:color w:val="000000"/>
          <w:lang w:val="ru-RU"/>
        </w:rPr>
        <w:t xml:space="preserve"> </w:t>
      </w:r>
      <w:r w:rsidRPr="00FF476F">
        <w:rPr>
          <w:rFonts w:eastAsia="Times New Roman" w:cs="Arial"/>
          <w:color w:val="000000"/>
          <w:lang w:eastAsia="bg-BG"/>
        </w:rPr>
        <w:t>средства.</w:t>
      </w:r>
    </w:p>
    <w:p w14:paraId="6839A02B" w14:textId="77777777" w:rsidR="00FF476F" w:rsidRPr="00FF476F" w:rsidRDefault="00FF476F" w:rsidP="00FF476F">
      <w:pPr>
        <w:spacing w:line="240" w:lineRule="auto"/>
        <w:rPr>
          <w:rFonts w:eastAsia="Times New Roman" w:cs="Arial"/>
          <w:color w:val="000000"/>
          <w:lang w:eastAsia="bg-BG"/>
        </w:rPr>
      </w:pPr>
    </w:p>
    <w:p w14:paraId="4E8BADE0" w14:textId="04C3D7C7" w:rsidR="00FF476F" w:rsidRPr="00FF476F" w:rsidRDefault="00FF476F" w:rsidP="00FF476F">
      <w:pPr>
        <w:spacing w:line="240" w:lineRule="auto"/>
        <w:rPr>
          <w:rFonts w:eastAsia="Times New Roman" w:cs="Arial"/>
        </w:rPr>
      </w:pPr>
      <w:r w:rsidRPr="00FF476F">
        <w:rPr>
          <w:rFonts w:eastAsia="Times New Roman" w:cs="Arial"/>
          <w:color w:val="000000"/>
          <w:lang w:eastAsia="bg-BG"/>
        </w:rPr>
        <w:t>Пациентите, на които се прилагат няколко имуносупресори, може да са изложени на риск от свръхимуносупресия, поради тази причина подобно лечение трябва да се провежда с най-ниската ефективна дозировка. Както обикновено, при пациентите с повишен риск от развитие на кожен рак излагането на слънчева и ултравиолетова светлина трябва да се ограничава и пациентите трябва да носят защитно облекло и да използват слънцезащитни продукти с висок защитен фактор (вж. също точка 4.8).</w:t>
      </w:r>
    </w:p>
    <w:p w14:paraId="30F36704" w14:textId="77777777" w:rsidR="00FF476F" w:rsidRPr="00FF476F" w:rsidRDefault="00FF476F" w:rsidP="00FF476F">
      <w:pPr>
        <w:spacing w:line="240" w:lineRule="auto"/>
        <w:rPr>
          <w:rFonts w:eastAsia="Times New Roman" w:cs="Arial"/>
          <w:b/>
          <w:bCs/>
          <w:color w:val="000000"/>
          <w:lang w:eastAsia="bg-BG"/>
        </w:rPr>
      </w:pPr>
    </w:p>
    <w:p w14:paraId="5F9A4509" w14:textId="2EACA99B"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Синдром на активиране на макрофагите</w:t>
      </w:r>
    </w:p>
    <w:p w14:paraId="3C57623B"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Синдромът на активиране на макрофагите </w:t>
      </w:r>
      <w:r w:rsidRPr="00FF476F">
        <w:rPr>
          <w:rFonts w:eastAsia="Times New Roman" w:cs="Arial"/>
          <w:color w:val="000000"/>
          <w:lang w:val="ru-RU"/>
        </w:rPr>
        <w:t>(</w:t>
      </w:r>
      <w:r w:rsidRPr="00FF476F">
        <w:rPr>
          <w:rFonts w:eastAsia="Times New Roman" w:cs="Arial"/>
          <w:color w:val="000000"/>
          <w:lang w:val="en-US"/>
        </w:rPr>
        <w:t>MAS</w:t>
      </w:r>
      <w:r w:rsidRPr="00FF476F">
        <w:rPr>
          <w:rFonts w:eastAsia="Times New Roman" w:cs="Arial"/>
          <w:color w:val="000000"/>
          <w:lang w:val="ru-RU"/>
        </w:rPr>
        <w:t xml:space="preserve">) </w:t>
      </w:r>
      <w:r w:rsidRPr="00FF476F">
        <w:rPr>
          <w:rFonts w:eastAsia="Times New Roman" w:cs="Arial"/>
          <w:color w:val="000000"/>
          <w:lang w:eastAsia="bg-BG"/>
        </w:rPr>
        <w:t xml:space="preserve">е известно животозастрашаващо усложнение, което може да се развие при пациенти с автоимунни заболявания, по-специално при възпалително заболяване на червата (ВЗЧ), и е възможно да има повишена предразположеност към развитието му при употребата на азатиоприн. Ако се развие или ако се подозира </w:t>
      </w:r>
      <w:r w:rsidRPr="00FF476F">
        <w:rPr>
          <w:rFonts w:eastAsia="Times New Roman" w:cs="Arial"/>
          <w:color w:val="000000"/>
          <w:lang w:val="en-US"/>
        </w:rPr>
        <w:t>MAS</w:t>
      </w:r>
      <w:r w:rsidRPr="00FF476F">
        <w:rPr>
          <w:rFonts w:eastAsia="Times New Roman" w:cs="Arial"/>
          <w:color w:val="000000"/>
          <w:lang w:val="ru-RU"/>
        </w:rPr>
        <w:t xml:space="preserve">, </w:t>
      </w:r>
      <w:r w:rsidRPr="00FF476F">
        <w:rPr>
          <w:rFonts w:eastAsia="Times New Roman" w:cs="Arial"/>
          <w:color w:val="000000"/>
          <w:lang w:eastAsia="bg-BG"/>
        </w:rPr>
        <w:t xml:space="preserve">трябва да се направи оценка и да се започне лечение колкото е </w:t>
      </w:r>
      <w:r w:rsidRPr="00FF476F">
        <w:rPr>
          <w:rFonts w:eastAsia="Times New Roman" w:cs="Arial"/>
          <w:i/>
          <w:iCs/>
          <w:color w:val="000000"/>
          <w:lang w:eastAsia="bg-BG"/>
        </w:rPr>
        <w:t>възможно по-рано, като</w:t>
      </w:r>
      <w:r w:rsidRPr="00FF476F">
        <w:rPr>
          <w:rFonts w:eastAsia="Times New Roman" w:cs="Arial"/>
          <w:color w:val="000000"/>
          <w:lang w:eastAsia="bg-BG"/>
        </w:rPr>
        <w:t xml:space="preserve"> лечението с азатиоприн трябва да бъде спряно. Лекарите трябва да внимават за поява на симптоми на инфекция с </w:t>
      </w:r>
      <w:r w:rsidRPr="00FF476F">
        <w:rPr>
          <w:rFonts w:eastAsia="Times New Roman" w:cs="Arial"/>
          <w:color w:val="000000"/>
          <w:lang w:val="en-US"/>
        </w:rPr>
        <w:t>EBV</w:t>
      </w:r>
      <w:r w:rsidRPr="00FF476F">
        <w:rPr>
          <w:rFonts w:eastAsia="Times New Roman" w:cs="Arial"/>
          <w:color w:val="000000"/>
          <w:lang w:val="ru-RU"/>
        </w:rPr>
        <w:t xml:space="preserve"> </w:t>
      </w:r>
      <w:r w:rsidRPr="00FF476F">
        <w:rPr>
          <w:rFonts w:eastAsia="Times New Roman" w:cs="Arial"/>
          <w:color w:val="000000"/>
          <w:lang w:eastAsia="bg-BG"/>
        </w:rPr>
        <w:t xml:space="preserve">и цитомегаловирус </w:t>
      </w:r>
      <w:r w:rsidRPr="00FF476F">
        <w:rPr>
          <w:rFonts w:eastAsia="Times New Roman" w:cs="Arial"/>
          <w:color w:val="000000"/>
          <w:lang w:val="ru-RU"/>
        </w:rPr>
        <w:t>(</w:t>
      </w:r>
      <w:r w:rsidRPr="00FF476F">
        <w:rPr>
          <w:rFonts w:eastAsia="Times New Roman" w:cs="Arial"/>
          <w:color w:val="000000"/>
          <w:lang w:val="en-US"/>
        </w:rPr>
        <w:t>CMV</w:t>
      </w:r>
      <w:r w:rsidRPr="00FF476F">
        <w:rPr>
          <w:rFonts w:eastAsia="Times New Roman" w:cs="Arial"/>
          <w:color w:val="000000"/>
          <w:lang w:val="ru-RU"/>
        </w:rPr>
        <w:t xml:space="preserve">), </w:t>
      </w:r>
      <w:r w:rsidRPr="00FF476F">
        <w:rPr>
          <w:rFonts w:eastAsia="Times New Roman" w:cs="Arial"/>
          <w:color w:val="000000"/>
          <w:lang w:eastAsia="bg-BG"/>
        </w:rPr>
        <w:t xml:space="preserve">тъй като се знае, че те отключват </w:t>
      </w:r>
      <w:r w:rsidRPr="00FF476F">
        <w:rPr>
          <w:rFonts w:eastAsia="Times New Roman" w:cs="Arial"/>
          <w:color w:val="000000"/>
          <w:lang w:val="en-US"/>
        </w:rPr>
        <w:t>MAS</w:t>
      </w:r>
      <w:r w:rsidRPr="00FF476F">
        <w:rPr>
          <w:rFonts w:eastAsia="Times New Roman" w:cs="Arial"/>
          <w:color w:val="000000"/>
          <w:lang w:val="ru-RU"/>
        </w:rPr>
        <w:t>.</w:t>
      </w:r>
    </w:p>
    <w:p w14:paraId="7D9DED7C" w14:textId="77777777" w:rsidR="00FF476F" w:rsidRPr="00FF476F" w:rsidRDefault="00FF476F" w:rsidP="00FF476F">
      <w:pPr>
        <w:spacing w:line="240" w:lineRule="auto"/>
        <w:rPr>
          <w:rFonts w:eastAsia="Times New Roman" w:cs="Arial"/>
          <w:b/>
          <w:bCs/>
          <w:color w:val="000000"/>
          <w:lang w:eastAsia="bg-BG"/>
        </w:rPr>
      </w:pPr>
    </w:p>
    <w:p w14:paraId="7F6043DA" w14:textId="1E6757BF"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 xml:space="preserve">Инфекция с варицела зостер вирус </w:t>
      </w:r>
      <w:r w:rsidRPr="00FF476F">
        <w:rPr>
          <w:rFonts w:eastAsia="Times New Roman" w:cs="Arial"/>
          <w:color w:val="000000"/>
          <w:lang w:val="ru-RU"/>
        </w:rPr>
        <w:t>(</w:t>
      </w:r>
      <w:r w:rsidRPr="00FF476F">
        <w:rPr>
          <w:rFonts w:eastAsia="Times New Roman" w:cs="Arial"/>
          <w:color w:val="000000"/>
          <w:lang w:val="en-US"/>
        </w:rPr>
        <w:t>Varicella</w:t>
      </w:r>
      <w:r w:rsidRPr="00FF476F">
        <w:rPr>
          <w:rFonts w:eastAsia="Times New Roman" w:cs="Arial"/>
          <w:color w:val="000000"/>
          <w:lang w:val="ru-RU"/>
        </w:rPr>
        <w:t xml:space="preserve"> </w:t>
      </w:r>
      <w:r w:rsidRPr="00FF476F">
        <w:rPr>
          <w:rFonts w:eastAsia="Times New Roman" w:cs="Arial"/>
          <w:color w:val="000000"/>
          <w:lang w:val="en-US"/>
        </w:rPr>
        <w:t>Zoster</w:t>
      </w:r>
      <w:r w:rsidRPr="00FF476F">
        <w:rPr>
          <w:rFonts w:eastAsia="Times New Roman" w:cs="Arial"/>
          <w:color w:val="000000"/>
          <w:lang w:val="ru-RU"/>
        </w:rPr>
        <w:t xml:space="preserve"> </w:t>
      </w:r>
      <w:r w:rsidRPr="00FF476F">
        <w:rPr>
          <w:rFonts w:eastAsia="Times New Roman" w:cs="Arial"/>
          <w:color w:val="000000"/>
          <w:lang w:val="en-US"/>
        </w:rPr>
        <w:t>Virus</w:t>
      </w:r>
      <w:r w:rsidRPr="00FF476F">
        <w:rPr>
          <w:rFonts w:eastAsia="Times New Roman" w:cs="Arial"/>
          <w:color w:val="000000"/>
          <w:lang w:val="ru-RU"/>
        </w:rPr>
        <w:t xml:space="preserve"> </w:t>
      </w:r>
      <w:r w:rsidRPr="00FF476F">
        <w:rPr>
          <w:rFonts w:eastAsia="Times New Roman" w:cs="Arial"/>
          <w:color w:val="000000"/>
          <w:lang w:eastAsia="bg-BG"/>
        </w:rPr>
        <w:t xml:space="preserve">- </w:t>
      </w:r>
      <w:r w:rsidRPr="00FF476F">
        <w:rPr>
          <w:rFonts w:eastAsia="Times New Roman" w:cs="Arial"/>
          <w:color w:val="000000"/>
          <w:lang w:val="en-US"/>
        </w:rPr>
        <w:t>VZV</w:t>
      </w:r>
      <w:r w:rsidRPr="00FF476F">
        <w:rPr>
          <w:rFonts w:eastAsia="Times New Roman" w:cs="Arial"/>
          <w:color w:val="000000"/>
          <w:lang w:val="ru-RU"/>
        </w:rPr>
        <w:t xml:space="preserve">; </w:t>
      </w:r>
      <w:r w:rsidRPr="00FF476F">
        <w:rPr>
          <w:rFonts w:eastAsia="Times New Roman" w:cs="Arial"/>
          <w:color w:val="000000"/>
          <w:lang w:eastAsia="bg-BG"/>
        </w:rPr>
        <w:t>вж. също точка 4.8) При пациенти, лекувани с имуносупресори, инфекциите, причинени от варицела зостер вирус (варицела и херпес зостер), може да протекат тежко. Особено внимание е необходимо по отношение на следното:</w:t>
      </w:r>
    </w:p>
    <w:p w14:paraId="2A5BCA29" w14:textId="77777777" w:rsidR="00FF476F" w:rsidRPr="00FF476F" w:rsidRDefault="00FF476F" w:rsidP="00FF476F">
      <w:pPr>
        <w:spacing w:line="240" w:lineRule="auto"/>
        <w:rPr>
          <w:rFonts w:eastAsia="Times New Roman" w:cs="Arial"/>
          <w:color w:val="000000"/>
          <w:lang w:eastAsia="bg-BG"/>
        </w:rPr>
      </w:pPr>
    </w:p>
    <w:p w14:paraId="2B17FAE8" w14:textId="741D7D46"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Преди започване приложението на имуносупресори лекуващият лекар трябва да провери дали пациентът има анамнеза за инфекции с </w:t>
      </w:r>
      <w:r w:rsidRPr="00FF476F">
        <w:rPr>
          <w:rFonts w:eastAsia="Times New Roman" w:cs="Arial"/>
          <w:color w:val="000000"/>
          <w:lang w:val="en-US"/>
        </w:rPr>
        <w:t>VZV</w:t>
      </w:r>
      <w:r w:rsidRPr="00FF476F">
        <w:rPr>
          <w:rFonts w:eastAsia="Times New Roman" w:cs="Arial"/>
          <w:color w:val="000000"/>
          <w:lang w:val="ru-RU"/>
        </w:rPr>
        <w:t xml:space="preserve">. </w:t>
      </w:r>
      <w:r w:rsidRPr="00FF476F">
        <w:rPr>
          <w:rFonts w:eastAsia="Times New Roman" w:cs="Arial"/>
          <w:color w:val="000000"/>
          <w:lang w:eastAsia="bg-BG"/>
        </w:rPr>
        <w:t xml:space="preserve">За тази цел полезно би било извършването на серологично изследване по отношение на варицела зостер вирус, с което може да се установи дали пациентът е имал контакт с </w:t>
      </w:r>
      <w:r w:rsidRPr="00FF476F">
        <w:rPr>
          <w:rFonts w:eastAsia="Times New Roman" w:cs="Arial"/>
          <w:color w:val="000000"/>
          <w:lang w:val="en-US"/>
        </w:rPr>
        <w:t>VZV</w:t>
      </w:r>
      <w:r w:rsidRPr="00FF476F">
        <w:rPr>
          <w:rFonts w:eastAsia="Times New Roman" w:cs="Arial"/>
          <w:color w:val="000000"/>
          <w:lang w:val="ru-RU"/>
        </w:rPr>
        <w:t xml:space="preserve"> </w:t>
      </w:r>
      <w:r w:rsidRPr="00FF476F">
        <w:rPr>
          <w:rFonts w:eastAsia="Times New Roman" w:cs="Arial"/>
          <w:color w:val="000000"/>
          <w:lang w:eastAsia="bg-BG"/>
        </w:rPr>
        <w:t xml:space="preserve">в миналото. Пациентите без минала анамнеза за излагане на </w:t>
      </w:r>
      <w:r w:rsidRPr="00FF476F">
        <w:rPr>
          <w:rFonts w:eastAsia="Times New Roman" w:cs="Arial"/>
          <w:color w:val="000000"/>
          <w:lang w:val="en-US"/>
        </w:rPr>
        <w:t>VZV</w:t>
      </w:r>
      <w:r w:rsidRPr="00FF476F">
        <w:rPr>
          <w:rFonts w:eastAsia="Times New Roman" w:cs="Arial"/>
          <w:color w:val="000000"/>
          <w:lang w:val="ru-RU"/>
        </w:rPr>
        <w:t xml:space="preserve"> </w:t>
      </w:r>
      <w:r w:rsidRPr="00FF476F">
        <w:rPr>
          <w:rFonts w:eastAsia="Times New Roman" w:cs="Arial"/>
          <w:color w:val="000000"/>
          <w:lang w:eastAsia="bg-BG"/>
        </w:rPr>
        <w:t xml:space="preserve">трябва да избягват контакт с лица с варицела или херпес зостер. Ако пациентът бъде изложен на </w:t>
      </w:r>
      <w:r w:rsidRPr="00FF476F">
        <w:rPr>
          <w:rFonts w:eastAsia="Times New Roman" w:cs="Arial"/>
          <w:color w:val="000000"/>
          <w:lang w:val="en-US"/>
        </w:rPr>
        <w:t>VZV</w:t>
      </w:r>
      <w:r w:rsidRPr="00FF476F">
        <w:rPr>
          <w:rFonts w:eastAsia="Times New Roman" w:cs="Arial"/>
          <w:color w:val="000000"/>
          <w:lang w:val="ru-RU"/>
        </w:rPr>
        <w:t xml:space="preserve">, </w:t>
      </w:r>
      <w:r w:rsidRPr="00FF476F">
        <w:rPr>
          <w:rFonts w:eastAsia="Times New Roman" w:cs="Arial"/>
          <w:color w:val="000000"/>
          <w:lang w:eastAsia="bg-BG"/>
        </w:rPr>
        <w:t>трябва да се вземат предпазни мерки за предотвратяване на развитието на варицела или херпес зостер и може да се обмисли пасивна имунизация със специфичен имуноглобулин срещу варицела зостер вирус.</w:t>
      </w:r>
    </w:p>
    <w:p w14:paraId="560E0D35" w14:textId="77777777" w:rsidR="00FF476F" w:rsidRPr="00FF476F" w:rsidRDefault="00FF476F" w:rsidP="00FF476F">
      <w:pPr>
        <w:spacing w:line="240" w:lineRule="auto"/>
        <w:rPr>
          <w:rFonts w:eastAsia="Times New Roman" w:cs="Arial"/>
          <w:color w:val="000000"/>
          <w:lang w:eastAsia="bg-BG"/>
        </w:rPr>
      </w:pPr>
    </w:p>
    <w:p w14:paraId="520161BC" w14:textId="1A0F3FC4"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В случай че пациентът е инфектиран с </w:t>
      </w:r>
      <w:r w:rsidRPr="00FF476F">
        <w:rPr>
          <w:rFonts w:eastAsia="Times New Roman" w:cs="Arial"/>
          <w:color w:val="000000"/>
          <w:lang w:val="en-US"/>
        </w:rPr>
        <w:t>VZV</w:t>
      </w:r>
      <w:r w:rsidRPr="00FF476F">
        <w:rPr>
          <w:rFonts w:eastAsia="Times New Roman" w:cs="Arial"/>
          <w:color w:val="000000"/>
          <w:lang w:val="ru-RU"/>
        </w:rPr>
        <w:t xml:space="preserve">, </w:t>
      </w:r>
      <w:r w:rsidRPr="00FF476F">
        <w:rPr>
          <w:rFonts w:eastAsia="Times New Roman" w:cs="Arial"/>
          <w:color w:val="000000"/>
          <w:lang w:eastAsia="bg-BG"/>
        </w:rPr>
        <w:t>трябва да бъдат предприети съответни мерки които могат да включват противовирусна терапия и поддържащо лечение.</w:t>
      </w:r>
    </w:p>
    <w:p w14:paraId="7A7198F5" w14:textId="7C7C7BAA" w:rsidR="00FF476F" w:rsidRPr="00FF476F" w:rsidRDefault="00FF476F" w:rsidP="00FF476F">
      <w:pPr>
        <w:spacing w:line="240" w:lineRule="auto"/>
        <w:rPr>
          <w:rFonts w:eastAsia="Times New Roman" w:cs="Arial"/>
        </w:rPr>
      </w:pPr>
    </w:p>
    <w:p w14:paraId="40931811" w14:textId="77777777"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Прогресивна мултифокална левкоенцефалопатия (ПМЛ)</w:t>
      </w:r>
    </w:p>
    <w:p w14:paraId="660F176B"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lastRenderedPageBreak/>
        <w:t xml:space="preserve">Има съобщения за ПМЛ (една опортюнистична инфекция, причинена от вирус </w:t>
      </w:r>
      <w:r w:rsidRPr="00FF476F">
        <w:rPr>
          <w:rFonts w:eastAsia="Times New Roman" w:cs="Arial"/>
          <w:color w:val="000000"/>
          <w:lang w:val="en-US"/>
        </w:rPr>
        <w:t>JC</w:t>
      </w:r>
      <w:r w:rsidRPr="00FF476F">
        <w:rPr>
          <w:rFonts w:eastAsia="Times New Roman" w:cs="Arial"/>
          <w:color w:val="000000"/>
          <w:lang w:val="ru-RU"/>
        </w:rPr>
        <w:t xml:space="preserve">) </w:t>
      </w:r>
      <w:r w:rsidRPr="00FF476F">
        <w:rPr>
          <w:rFonts w:eastAsia="Times New Roman" w:cs="Arial"/>
          <w:color w:val="000000"/>
          <w:lang w:eastAsia="bg-BG"/>
        </w:rPr>
        <w:t>при пациенти, приемащи азатиоприн заедно с други имуносупресивни средства.</w:t>
      </w:r>
    </w:p>
    <w:p w14:paraId="5ED163D3" w14:textId="77777777" w:rsidR="00FF476F" w:rsidRPr="00FF476F" w:rsidRDefault="00FF476F" w:rsidP="00FF476F">
      <w:pPr>
        <w:spacing w:line="240" w:lineRule="auto"/>
        <w:rPr>
          <w:rFonts w:eastAsia="Times New Roman" w:cs="Arial"/>
          <w:color w:val="000000"/>
          <w:lang w:eastAsia="bg-BG"/>
        </w:rPr>
      </w:pPr>
    </w:p>
    <w:p w14:paraId="6C025C81" w14:textId="49EB315C" w:rsidR="00FF476F" w:rsidRPr="00FF476F" w:rsidRDefault="00FF476F" w:rsidP="00FF476F">
      <w:pPr>
        <w:spacing w:line="240" w:lineRule="auto"/>
        <w:rPr>
          <w:rFonts w:eastAsia="Times New Roman" w:cs="Arial"/>
        </w:rPr>
      </w:pPr>
      <w:r w:rsidRPr="00FF476F">
        <w:rPr>
          <w:rFonts w:eastAsia="Times New Roman" w:cs="Arial"/>
          <w:color w:val="000000"/>
          <w:lang w:eastAsia="bg-BG"/>
        </w:rPr>
        <w:t>Имуноспуресивната терапия трябва да бъде спряна при първите симптоми, подсказващи за ПМЛ, и трябва да се предприемат подходящи изследвания за установяване на диагнозата (вж. точка 4.8).</w:t>
      </w:r>
    </w:p>
    <w:p w14:paraId="02E5EE14" w14:textId="77777777" w:rsidR="00FF476F" w:rsidRPr="00FF476F" w:rsidRDefault="00FF476F" w:rsidP="00FF476F">
      <w:pPr>
        <w:spacing w:line="240" w:lineRule="auto"/>
        <w:rPr>
          <w:rFonts w:eastAsia="Times New Roman" w:cs="Arial"/>
          <w:b/>
          <w:bCs/>
          <w:color w:val="000000"/>
          <w:lang w:eastAsia="bg-BG"/>
        </w:rPr>
      </w:pPr>
    </w:p>
    <w:p w14:paraId="31A3ABA3" w14:textId="4AA6FA87"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 xml:space="preserve">Хепатит В (вж. </w:t>
      </w:r>
      <w:r w:rsidRPr="00FF476F">
        <w:rPr>
          <w:rFonts w:eastAsia="Times New Roman" w:cs="Arial"/>
          <w:i/>
          <w:iCs/>
          <w:color w:val="000000"/>
          <w:lang w:eastAsia="bg-BG"/>
        </w:rPr>
        <w:t>точка 4.8)</w:t>
      </w:r>
    </w:p>
    <w:p w14:paraId="6EFC5FE8"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Носители на хепатит В (пациенти с положителен повърхностен антиген на хепатит В </w:t>
      </w:r>
      <w:r w:rsidRPr="00FF476F">
        <w:rPr>
          <w:rFonts w:eastAsia="Times New Roman" w:cs="Arial"/>
          <w:color w:val="000000"/>
          <w:lang w:val="ru-RU"/>
        </w:rPr>
        <w:t>[</w:t>
      </w:r>
      <w:proofErr w:type="spellStart"/>
      <w:r w:rsidRPr="00FF476F">
        <w:rPr>
          <w:rFonts w:eastAsia="Times New Roman" w:cs="Arial"/>
          <w:color w:val="000000"/>
          <w:lang w:val="en-US"/>
        </w:rPr>
        <w:t>HBsAg</w:t>
      </w:r>
      <w:proofErr w:type="spellEnd"/>
      <w:r w:rsidRPr="00FF476F">
        <w:rPr>
          <w:rFonts w:eastAsia="Times New Roman" w:cs="Arial"/>
          <w:color w:val="000000"/>
          <w:lang w:val="ru-RU"/>
        </w:rPr>
        <w:t xml:space="preserve">] </w:t>
      </w:r>
      <w:r w:rsidRPr="00FF476F">
        <w:rPr>
          <w:rFonts w:eastAsia="Times New Roman" w:cs="Arial"/>
          <w:color w:val="000000"/>
          <w:lang w:eastAsia="bg-BG"/>
        </w:rPr>
        <w:t xml:space="preserve">в продължение на повече от 6 месеца) или пациенти с документирана предишна </w:t>
      </w:r>
      <w:r w:rsidRPr="00FF476F">
        <w:rPr>
          <w:rFonts w:eastAsia="Times New Roman" w:cs="Arial"/>
          <w:color w:val="000000"/>
          <w:lang w:val="en-US"/>
        </w:rPr>
        <w:t>HBV</w:t>
      </w:r>
      <w:r w:rsidRPr="00FF476F">
        <w:rPr>
          <w:rFonts w:eastAsia="Times New Roman" w:cs="Arial"/>
          <w:color w:val="000000"/>
          <w:lang w:val="ru-RU"/>
        </w:rPr>
        <w:t xml:space="preserve"> </w:t>
      </w:r>
      <w:r w:rsidRPr="00FF476F">
        <w:rPr>
          <w:rFonts w:eastAsia="Times New Roman" w:cs="Arial"/>
          <w:color w:val="000000"/>
          <w:lang w:eastAsia="bg-BG"/>
        </w:rPr>
        <w:t xml:space="preserve">инфекция, приемащи имуносупресивни средства, са изложени на риск от повторно активиране на репликацията на </w:t>
      </w:r>
      <w:r w:rsidRPr="00FF476F">
        <w:rPr>
          <w:rFonts w:eastAsia="Times New Roman" w:cs="Arial"/>
          <w:color w:val="000000"/>
          <w:lang w:val="en-US"/>
        </w:rPr>
        <w:t>HBV</w:t>
      </w:r>
      <w:r w:rsidRPr="00FF476F">
        <w:rPr>
          <w:rFonts w:eastAsia="Times New Roman" w:cs="Arial"/>
          <w:color w:val="000000"/>
          <w:lang w:val="ru-RU"/>
        </w:rPr>
        <w:t xml:space="preserve"> </w:t>
      </w:r>
      <w:r w:rsidRPr="00FF476F">
        <w:rPr>
          <w:rFonts w:eastAsia="Times New Roman" w:cs="Arial"/>
          <w:color w:val="000000"/>
          <w:lang w:eastAsia="bg-BG"/>
        </w:rPr>
        <w:t xml:space="preserve">с асимптоматични повишения на серумните нива на НВV ДНК и АлАТ. Може да се приложат местните указания, включително профилактично лечение с перорални анти- </w:t>
      </w:r>
      <w:r w:rsidRPr="00FF476F">
        <w:rPr>
          <w:rFonts w:eastAsia="Times New Roman" w:cs="Arial"/>
          <w:color w:val="000000"/>
          <w:lang w:val="en-US"/>
        </w:rPr>
        <w:t>HBV</w:t>
      </w:r>
      <w:r w:rsidRPr="00FF476F">
        <w:rPr>
          <w:rFonts w:eastAsia="Times New Roman" w:cs="Arial"/>
          <w:color w:val="000000"/>
          <w:lang w:val="ru-RU"/>
        </w:rPr>
        <w:t xml:space="preserve"> </w:t>
      </w:r>
      <w:r w:rsidRPr="00FF476F">
        <w:rPr>
          <w:rFonts w:eastAsia="Times New Roman" w:cs="Arial"/>
          <w:color w:val="000000"/>
          <w:lang w:eastAsia="bg-BG"/>
        </w:rPr>
        <w:t>агенти.</w:t>
      </w:r>
    </w:p>
    <w:p w14:paraId="0FFF27CF" w14:textId="77777777" w:rsidR="00FF476F" w:rsidRPr="00FF476F" w:rsidRDefault="00FF476F" w:rsidP="00FF476F">
      <w:pPr>
        <w:spacing w:line="240" w:lineRule="auto"/>
        <w:rPr>
          <w:rFonts w:eastAsia="Times New Roman" w:cs="Arial"/>
          <w:b/>
          <w:bCs/>
          <w:color w:val="000000"/>
          <w:lang w:eastAsia="bg-BG"/>
        </w:rPr>
      </w:pPr>
    </w:p>
    <w:p w14:paraId="62F8435C" w14:textId="121D7ADD"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Инхибитори на ксантиноксндаза</w:t>
      </w:r>
    </w:p>
    <w:p w14:paraId="693D18D4"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Ако едновременно с азатиоприн се дават алопуринол, оксипуринол и/или тиопуринол, дозировката на азатиоприн трябва да се намали до четвърт от първоначалната доза (вж. точка 4.2 и 4.5).</w:t>
      </w:r>
    </w:p>
    <w:p w14:paraId="5604D2F2" w14:textId="77777777" w:rsidR="00FF476F" w:rsidRPr="00FF476F" w:rsidRDefault="00FF476F" w:rsidP="00FF476F">
      <w:pPr>
        <w:spacing w:line="240" w:lineRule="auto"/>
        <w:rPr>
          <w:rFonts w:eastAsia="Times New Roman" w:cs="Arial"/>
          <w:b/>
          <w:bCs/>
          <w:color w:val="000000"/>
          <w:lang w:eastAsia="bg-BG"/>
        </w:rPr>
      </w:pPr>
    </w:p>
    <w:p w14:paraId="67EE793F" w14:textId="32BB49A3"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Невромускулни блокери</w:t>
      </w:r>
    </w:p>
    <w:p w14:paraId="42AE45DF"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Необходимо е особено внимание, когато азатиоприн се прилага едновременно с невромускулни блокери като атракуриум, рокуроний, цисатракуриум или суксаметоний (известен също като сукцинилхолин) (вж. точка 4.5). Преди хирургическа намеса анестезиолозите трябва да проверят дали на пациентите им се прилага азатиоприн.</w:t>
      </w:r>
    </w:p>
    <w:p w14:paraId="1684E9F0" w14:textId="040F6911" w:rsidR="00FF476F" w:rsidRPr="00FF476F" w:rsidRDefault="00FF476F" w:rsidP="00FF476F"/>
    <w:p w14:paraId="1244F76A" w14:textId="04722D51" w:rsidR="00395555" w:rsidRDefault="002C50EE" w:rsidP="008A6AF2">
      <w:pPr>
        <w:pStyle w:val="Heading2"/>
      </w:pPr>
      <w:r>
        <w:t>4.5. Взаимодействие с други лекарствени продукти и други форми на взаимодействие</w:t>
      </w:r>
    </w:p>
    <w:p w14:paraId="0F396E6F" w14:textId="3EA467C7" w:rsidR="00FF476F" w:rsidRDefault="00FF476F" w:rsidP="00FF476F"/>
    <w:p w14:paraId="6E5378CE" w14:textId="77777777" w:rsidR="00FF476F" w:rsidRPr="00FF476F" w:rsidRDefault="00FF476F" w:rsidP="00FF476F">
      <w:pPr>
        <w:spacing w:line="240" w:lineRule="auto"/>
        <w:rPr>
          <w:rFonts w:eastAsia="Times New Roman" w:cs="Arial"/>
          <w:sz w:val="24"/>
          <w:szCs w:val="24"/>
        </w:rPr>
      </w:pPr>
      <w:r w:rsidRPr="00FF476F">
        <w:rPr>
          <w:rFonts w:eastAsia="Times New Roman" w:cs="Arial"/>
          <w:b/>
          <w:bCs/>
          <w:color w:val="000000"/>
          <w:lang w:eastAsia="bg-BG"/>
        </w:rPr>
        <w:t>Ваксини</w:t>
      </w:r>
    </w:p>
    <w:p w14:paraId="134E6895"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Имуносупресивната активност на азатиоприн може да доведе до нетипичен и потенциално неблагоприятен отговор към живи ваксини. Поради тази причина се препоръчва пациентите да не се имунизират с живи ваксини най-малко 3 месеца след края на тяхното лечение с азатиоприн (вж. точка 4.4).</w:t>
      </w:r>
    </w:p>
    <w:p w14:paraId="6733EAE0" w14:textId="77777777" w:rsidR="00FF476F" w:rsidRPr="00FF476F" w:rsidRDefault="00FF476F" w:rsidP="00FF476F">
      <w:pPr>
        <w:spacing w:line="240" w:lineRule="auto"/>
        <w:rPr>
          <w:rFonts w:eastAsia="Times New Roman" w:cs="Arial"/>
          <w:color w:val="000000"/>
          <w:lang w:eastAsia="bg-BG"/>
        </w:rPr>
      </w:pPr>
    </w:p>
    <w:p w14:paraId="420EC56A" w14:textId="656B79FE"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При приложение на убити ваксини е възможен по-слаб имунен отговор и подобен отговор е описан към ваксина за хепатит В при пациенти, които са на комбинирано лечение с азатиоприн и кортикостероиди.</w:t>
      </w:r>
    </w:p>
    <w:p w14:paraId="4DAC48A3" w14:textId="77777777" w:rsidR="00FF476F" w:rsidRPr="00FF476F" w:rsidRDefault="00FF476F" w:rsidP="00FF476F">
      <w:pPr>
        <w:spacing w:line="240" w:lineRule="auto"/>
        <w:rPr>
          <w:rFonts w:eastAsia="Times New Roman" w:cs="Arial"/>
          <w:color w:val="000000"/>
          <w:lang w:eastAsia="bg-BG"/>
        </w:rPr>
      </w:pPr>
    </w:p>
    <w:p w14:paraId="4BB85092" w14:textId="7E243258"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В проведено малко клинично изпитване е установено, че при прием на стандартни терапевтични дози азатиоприн имунният отговор към поливалентната пневмококова ваксина не се променя неблагоприятно. Това се установява при определяне средните стойности на концентрация на специфични антикапсулни антитела.</w:t>
      </w:r>
    </w:p>
    <w:p w14:paraId="24742961" w14:textId="77777777" w:rsidR="00FF476F" w:rsidRPr="00FF476F" w:rsidRDefault="00FF476F" w:rsidP="00FF476F">
      <w:pPr>
        <w:spacing w:line="240" w:lineRule="auto"/>
        <w:rPr>
          <w:rFonts w:eastAsia="Times New Roman" w:cs="Arial"/>
          <w:b/>
          <w:bCs/>
          <w:color w:val="000000"/>
          <w:lang w:eastAsia="bg-BG"/>
        </w:rPr>
      </w:pPr>
    </w:p>
    <w:p w14:paraId="78F7BB71" w14:textId="17642C95" w:rsidR="00FF476F" w:rsidRPr="00FF476F" w:rsidRDefault="00FF476F" w:rsidP="00FF476F">
      <w:pPr>
        <w:spacing w:line="240" w:lineRule="auto"/>
        <w:rPr>
          <w:rFonts w:eastAsia="Times New Roman" w:cs="Arial"/>
          <w:b/>
          <w:bCs/>
          <w:color w:val="000000"/>
          <w:lang w:eastAsia="bg-BG"/>
        </w:rPr>
      </w:pPr>
      <w:r w:rsidRPr="00FF476F">
        <w:rPr>
          <w:rFonts w:eastAsia="Times New Roman" w:cs="Arial"/>
          <w:b/>
          <w:bCs/>
          <w:color w:val="000000"/>
          <w:lang w:eastAsia="bg-BG"/>
        </w:rPr>
        <w:t>Ефекти от едновременно приеманите лекарства върху азатиоприн</w:t>
      </w:r>
    </w:p>
    <w:p w14:paraId="790F0866" w14:textId="77777777" w:rsidR="00FF476F" w:rsidRPr="00FF476F" w:rsidRDefault="00FF476F" w:rsidP="00FF476F">
      <w:pPr>
        <w:spacing w:line="240" w:lineRule="auto"/>
        <w:rPr>
          <w:rFonts w:eastAsia="Times New Roman" w:cs="Arial"/>
          <w:sz w:val="24"/>
          <w:szCs w:val="24"/>
        </w:rPr>
      </w:pPr>
    </w:p>
    <w:p w14:paraId="52DEC60D" w14:textId="0F2B5A96" w:rsidR="00FF476F" w:rsidRPr="00FF476F" w:rsidRDefault="00FF476F" w:rsidP="00FF476F">
      <w:pPr>
        <w:pStyle w:val="ListParagraph"/>
        <w:numPr>
          <w:ilvl w:val="0"/>
          <w:numId w:val="33"/>
        </w:numPr>
        <w:spacing w:line="240" w:lineRule="auto"/>
        <w:rPr>
          <w:rFonts w:eastAsia="Times New Roman" w:cs="Arial"/>
          <w:color w:val="000000"/>
          <w:lang w:eastAsia="bg-BG"/>
        </w:rPr>
      </w:pPr>
      <w:r w:rsidRPr="00FF476F">
        <w:rPr>
          <w:rFonts w:eastAsia="Times New Roman" w:cs="Arial"/>
          <w:color w:val="000000"/>
          <w:lang w:eastAsia="bg-BG"/>
        </w:rPr>
        <w:t>Рибавирин</w:t>
      </w:r>
    </w:p>
    <w:p w14:paraId="418749BA" w14:textId="77777777" w:rsidR="00FF476F" w:rsidRPr="00FF476F" w:rsidRDefault="00FF476F" w:rsidP="00FF476F">
      <w:pPr>
        <w:spacing w:line="240" w:lineRule="auto"/>
        <w:rPr>
          <w:rFonts w:eastAsia="Times New Roman" w:cs="Arial"/>
          <w:color w:val="000000"/>
          <w:lang w:eastAsia="bg-BG"/>
        </w:rPr>
      </w:pPr>
    </w:p>
    <w:p w14:paraId="4760BF0F"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Рибавирин инхибира ензима инозин монофосфат дехидрогеназа </w:t>
      </w:r>
      <w:r w:rsidRPr="00FF476F">
        <w:rPr>
          <w:rFonts w:eastAsia="Times New Roman" w:cs="Arial"/>
          <w:color w:val="000000"/>
        </w:rPr>
        <w:t>(</w:t>
      </w:r>
      <w:r w:rsidRPr="00FF476F">
        <w:rPr>
          <w:rFonts w:eastAsia="Times New Roman" w:cs="Arial"/>
          <w:color w:val="000000"/>
          <w:lang w:val="en-US"/>
        </w:rPr>
        <w:t>inosine</w:t>
      </w:r>
      <w:r w:rsidRPr="00FF476F">
        <w:rPr>
          <w:rFonts w:eastAsia="Times New Roman" w:cs="Arial"/>
          <w:color w:val="000000"/>
        </w:rPr>
        <w:t xml:space="preserve"> </w:t>
      </w:r>
      <w:r w:rsidRPr="00FF476F">
        <w:rPr>
          <w:rFonts w:eastAsia="Times New Roman" w:cs="Arial"/>
          <w:color w:val="000000"/>
          <w:lang w:val="en-US"/>
        </w:rPr>
        <w:t>monophosphate</w:t>
      </w:r>
      <w:r w:rsidRPr="00FF476F">
        <w:rPr>
          <w:rFonts w:eastAsia="Times New Roman" w:cs="Arial"/>
          <w:color w:val="000000"/>
        </w:rPr>
        <w:t xml:space="preserve"> </w:t>
      </w:r>
      <w:r w:rsidRPr="00FF476F">
        <w:rPr>
          <w:rFonts w:eastAsia="Times New Roman" w:cs="Arial"/>
          <w:color w:val="000000"/>
          <w:lang w:val="en-US"/>
        </w:rPr>
        <w:t>dehydrogenase</w:t>
      </w:r>
      <w:r w:rsidRPr="00FF476F">
        <w:rPr>
          <w:rFonts w:eastAsia="Times New Roman" w:cs="Arial"/>
          <w:color w:val="000000"/>
        </w:rPr>
        <w:t xml:space="preserve"> </w:t>
      </w:r>
      <w:r w:rsidRPr="00FF476F">
        <w:rPr>
          <w:rFonts w:eastAsia="Times New Roman" w:cs="Arial"/>
          <w:color w:val="000000"/>
          <w:lang w:eastAsia="bg-BG"/>
        </w:rPr>
        <w:t xml:space="preserve">- </w:t>
      </w:r>
      <w:r w:rsidRPr="00FF476F">
        <w:rPr>
          <w:rFonts w:eastAsia="Times New Roman" w:cs="Arial"/>
          <w:color w:val="000000"/>
          <w:lang w:val="en-US"/>
        </w:rPr>
        <w:t>IMPDH</w:t>
      </w:r>
      <w:r w:rsidRPr="00FF476F">
        <w:rPr>
          <w:rFonts w:eastAsia="Times New Roman" w:cs="Arial"/>
          <w:color w:val="000000"/>
        </w:rPr>
        <w:t xml:space="preserve">), </w:t>
      </w:r>
      <w:r w:rsidRPr="00FF476F">
        <w:rPr>
          <w:rFonts w:eastAsia="Times New Roman" w:cs="Arial"/>
          <w:color w:val="000000"/>
          <w:lang w:eastAsia="bg-BG"/>
        </w:rPr>
        <w:t xml:space="preserve">което води до по-ниска продукция на активните 6-тиогванин </w:t>
      </w:r>
      <w:r w:rsidRPr="00FF476F">
        <w:rPr>
          <w:rFonts w:eastAsia="Times New Roman" w:cs="Arial"/>
          <w:color w:val="000000"/>
          <w:lang w:eastAsia="bg-BG"/>
        </w:rPr>
        <w:lastRenderedPageBreak/>
        <w:t>нуклеотиди. Има съобщения за тежка миелосупресия след едновременно приложение на азатиоприн и рибавирин и по тази причина едновременното приложение на азатиоприн и рибавирин не се препоръчва (вж. точка 4.4 и точка 5.2).</w:t>
      </w:r>
    </w:p>
    <w:p w14:paraId="442E219F" w14:textId="59913C7F" w:rsidR="00FF476F" w:rsidRDefault="00FF476F" w:rsidP="00FF476F"/>
    <w:p w14:paraId="2561A678" w14:textId="7DF1CC7A" w:rsidR="00FF476F" w:rsidRPr="00FF476F" w:rsidRDefault="00FF476F" w:rsidP="00FF476F">
      <w:pPr>
        <w:pStyle w:val="ListParagraph"/>
        <w:numPr>
          <w:ilvl w:val="0"/>
          <w:numId w:val="33"/>
        </w:numPr>
        <w:spacing w:line="240" w:lineRule="auto"/>
        <w:rPr>
          <w:rFonts w:eastAsia="Times New Roman" w:cs="Arial"/>
          <w:sz w:val="24"/>
          <w:szCs w:val="24"/>
        </w:rPr>
      </w:pPr>
      <w:r w:rsidRPr="00FF476F">
        <w:rPr>
          <w:rFonts w:eastAsia="Times New Roman" w:cs="Arial"/>
          <w:color w:val="000000"/>
          <w:lang w:eastAsia="bg-BG"/>
        </w:rPr>
        <w:t>Цитостатици/миелосупресивни средства (вж. точка 4.4)</w:t>
      </w:r>
    </w:p>
    <w:p w14:paraId="63E61D26" w14:textId="77777777" w:rsidR="00FF476F" w:rsidRPr="00FF476F" w:rsidRDefault="00FF476F" w:rsidP="00FF476F">
      <w:pPr>
        <w:spacing w:line="240" w:lineRule="auto"/>
        <w:rPr>
          <w:rFonts w:eastAsia="Times New Roman" w:cs="Arial"/>
          <w:color w:val="000000"/>
          <w:lang w:eastAsia="bg-BG"/>
        </w:rPr>
      </w:pPr>
    </w:p>
    <w:p w14:paraId="2E3BFD98" w14:textId="3BD48B05"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Когато е възможно, трябва да се избягва едновременно приложение с цитостатици или лекарства, които могат да потиснат функцията на костния мозък, напр. пеницилинамин. Има противоречиви клинични съобщения за лекарствени взаимодействия между азатиоприн и триметоприм/сулфа- метоксазол, които водят до тежки хематологични отклонения.</w:t>
      </w:r>
    </w:p>
    <w:p w14:paraId="7A0563DA" w14:textId="77777777" w:rsidR="00FF476F" w:rsidRPr="00FF476F" w:rsidRDefault="00FF476F" w:rsidP="00FF476F">
      <w:pPr>
        <w:spacing w:line="240" w:lineRule="auto"/>
        <w:rPr>
          <w:rFonts w:eastAsia="Times New Roman" w:cs="Arial"/>
          <w:color w:val="000000"/>
          <w:lang w:eastAsia="bg-BG"/>
        </w:rPr>
      </w:pPr>
    </w:p>
    <w:p w14:paraId="4E7C8C4E" w14:textId="2A437C54"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Има описани случаи, показващи, че хематологичните отклонения могат да се развият в резултат от едновременно приложение на азатиоприн и АСЕ-инхибитори.</w:t>
      </w:r>
    </w:p>
    <w:p w14:paraId="1EB53F20" w14:textId="77777777" w:rsidR="00FF476F" w:rsidRPr="00FF476F" w:rsidRDefault="00FF476F" w:rsidP="00FF476F">
      <w:pPr>
        <w:spacing w:line="240" w:lineRule="auto"/>
        <w:rPr>
          <w:rFonts w:eastAsia="Times New Roman" w:cs="Arial"/>
          <w:color w:val="000000"/>
          <w:lang w:eastAsia="bg-BG"/>
        </w:rPr>
      </w:pPr>
    </w:p>
    <w:p w14:paraId="1B1F6F3E" w14:textId="48131263" w:rsidR="00FF476F" w:rsidRPr="00FF476F" w:rsidRDefault="00FF476F" w:rsidP="00FF476F">
      <w:pPr>
        <w:spacing w:line="240" w:lineRule="auto"/>
        <w:rPr>
          <w:rFonts w:eastAsia="Times New Roman" w:cs="Arial"/>
          <w:color w:val="000000"/>
          <w:lang w:eastAsia="bg-BG"/>
        </w:rPr>
      </w:pPr>
      <w:r w:rsidRPr="00FF476F">
        <w:rPr>
          <w:rFonts w:eastAsia="Times New Roman" w:cs="Arial"/>
          <w:color w:val="000000"/>
          <w:lang w:eastAsia="bg-BG"/>
        </w:rPr>
        <w:t>Предполага се, че циметидин и индометацин могат да имат миелосупресивни ефекти, които могат да се засилят при едновременно приложение на азатиоприн.</w:t>
      </w:r>
    </w:p>
    <w:p w14:paraId="7BBBB8AD" w14:textId="77777777" w:rsidR="00FF476F" w:rsidRPr="00FF476F" w:rsidRDefault="00FF476F" w:rsidP="00FF476F">
      <w:pPr>
        <w:spacing w:line="240" w:lineRule="auto"/>
        <w:rPr>
          <w:rFonts w:eastAsia="Times New Roman" w:cs="Arial"/>
          <w:sz w:val="24"/>
          <w:szCs w:val="24"/>
        </w:rPr>
      </w:pPr>
    </w:p>
    <w:p w14:paraId="1FFB6E60" w14:textId="219F9CE3" w:rsidR="00FF476F" w:rsidRPr="00FF476F" w:rsidRDefault="00FF476F" w:rsidP="00FF476F">
      <w:pPr>
        <w:pStyle w:val="ListParagraph"/>
        <w:numPr>
          <w:ilvl w:val="0"/>
          <w:numId w:val="33"/>
        </w:numPr>
        <w:spacing w:line="240" w:lineRule="auto"/>
        <w:rPr>
          <w:rFonts w:eastAsia="Times New Roman" w:cs="Arial"/>
          <w:color w:val="000000"/>
          <w:lang w:eastAsia="bg-BG"/>
        </w:rPr>
      </w:pPr>
      <w:r w:rsidRPr="00FF476F">
        <w:rPr>
          <w:rFonts w:eastAsia="Times New Roman" w:cs="Arial"/>
          <w:color w:val="000000"/>
          <w:lang w:eastAsia="bg-BG"/>
        </w:rPr>
        <w:t>Алопуринол/оксипуринол/тиопуринол и други ксантиноксидазни инхибитори</w:t>
      </w:r>
    </w:p>
    <w:p w14:paraId="464E6204" w14:textId="77777777" w:rsidR="00FF476F" w:rsidRPr="00FF476F" w:rsidRDefault="00FF476F" w:rsidP="00FF476F">
      <w:pPr>
        <w:spacing w:line="240" w:lineRule="auto"/>
        <w:rPr>
          <w:rFonts w:eastAsia="Times New Roman" w:cs="Arial"/>
          <w:sz w:val="24"/>
          <w:szCs w:val="24"/>
        </w:rPr>
      </w:pPr>
    </w:p>
    <w:p w14:paraId="0BC60BFB"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Активността на ксантиноксидазата се инхибира от алопуринол, оксипуринол и тиопуринол, което води до забавено превръщане на биологично активната 6-тиоинозинова киселина в биологично неактивна 6-тиопикочна киселина. При едновременно приложение на алопуринол, оксипуринол и/или тиопуринол с 6-меркаптопурин или азатиоприн, дозата на 6-меркаптопурина и азатиоприна трябва да се намалят до 25 % от обичайната доза (вж. точка 4.2).</w:t>
      </w:r>
    </w:p>
    <w:p w14:paraId="4290B3B2" w14:textId="77777777" w:rsidR="00FF476F" w:rsidRPr="00FF476F" w:rsidRDefault="00FF476F" w:rsidP="00FF476F">
      <w:pPr>
        <w:spacing w:line="240" w:lineRule="auto"/>
        <w:rPr>
          <w:rFonts w:eastAsia="Times New Roman" w:cs="Arial"/>
          <w:color w:val="000000"/>
          <w:lang w:eastAsia="bg-BG"/>
        </w:rPr>
      </w:pPr>
    </w:p>
    <w:p w14:paraId="47C64B03" w14:textId="5F4704D1" w:rsidR="00FF476F" w:rsidRPr="00FF476F" w:rsidRDefault="00FF476F" w:rsidP="00FF476F">
      <w:pPr>
        <w:spacing w:line="240" w:lineRule="auto"/>
        <w:rPr>
          <w:rFonts w:eastAsia="Times New Roman" w:cs="Arial"/>
          <w:color w:val="000000"/>
          <w:lang w:eastAsia="bg-BG"/>
        </w:rPr>
      </w:pPr>
      <w:r w:rsidRPr="00FF476F">
        <w:rPr>
          <w:rFonts w:eastAsia="Times New Roman" w:cs="Arial"/>
          <w:color w:val="000000"/>
          <w:lang w:eastAsia="bg-BG"/>
        </w:rPr>
        <w:t>Въз основа на неклинични данни други ксантиноксидазни инхибитори, като фебуксостат, могат да удължат действието на азатиоприн, което би могло да доведе до засилване на потискането на костния мозък. Съпътстващо приложение не се препоръчва, тъй като липсват достатъчно данни, за да се определи адекватно намаление на дозата азатиоприн.</w:t>
      </w:r>
    </w:p>
    <w:p w14:paraId="36F98E8D" w14:textId="77777777" w:rsidR="00FF476F" w:rsidRPr="00FF476F" w:rsidRDefault="00FF476F" w:rsidP="00FF476F">
      <w:pPr>
        <w:spacing w:line="240" w:lineRule="auto"/>
        <w:rPr>
          <w:rFonts w:eastAsia="Times New Roman" w:cs="Arial"/>
          <w:sz w:val="24"/>
          <w:szCs w:val="24"/>
        </w:rPr>
      </w:pPr>
    </w:p>
    <w:p w14:paraId="1D38A016" w14:textId="3165A3FE" w:rsidR="00FF476F" w:rsidRPr="00FF476F" w:rsidRDefault="00FF476F" w:rsidP="00FF476F">
      <w:pPr>
        <w:pStyle w:val="ListParagraph"/>
        <w:numPr>
          <w:ilvl w:val="0"/>
          <w:numId w:val="33"/>
        </w:numPr>
        <w:spacing w:line="240" w:lineRule="auto"/>
        <w:rPr>
          <w:rFonts w:eastAsia="Times New Roman" w:cs="Arial"/>
          <w:color w:val="000000"/>
          <w:lang w:eastAsia="bg-BG"/>
        </w:rPr>
      </w:pPr>
      <w:r w:rsidRPr="00FF476F">
        <w:rPr>
          <w:rFonts w:eastAsia="Times New Roman" w:cs="Arial"/>
          <w:color w:val="000000"/>
          <w:lang w:eastAsia="bg-BG"/>
        </w:rPr>
        <w:t>Аминосалицилова киселина</w:t>
      </w:r>
    </w:p>
    <w:p w14:paraId="58EEE153" w14:textId="77777777" w:rsidR="00FF476F" w:rsidRPr="00FF476F" w:rsidRDefault="00FF476F" w:rsidP="00FF476F">
      <w:pPr>
        <w:spacing w:line="240" w:lineRule="auto"/>
        <w:rPr>
          <w:rFonts w:eastAsia="Times New Roman" w:cs="Arial"/>
          <w:sz w:val="24"/>
          <w:szCs w:val="24"/>
        </w:rPr>
      </w:pPr>
    </w:p>
    <w:p w14:paraId="20623859" w14:textId="325FB92E" w:rsidR="00FF476F" w:rsidRPr="00FF476F" w:rsidRDefault="00FF476F" w:rsidP="00FF476F">
      <w:pPr>
        <w:spacing w:line="240" w:lineRule="auto"/>
        <w:rPr>
          <w:rFonts w:eastAsia="Times New Roman" w:cs="Arial"/>
          <w:color w:val="000000"/>
          <w:lang w:eastAsia="bg-BG"/>
        </w:rPr>
      </w:pPr>
      <w:r w:rsidRPr="00FF476F">
        <w:rPr>
          <w:rFonts w:eastAsia="Times New Roman" w:cs="Arial"/>
          <w:color w:val="000000"/>
          <w:lang w:eastAsia="bg-BG"/>
        </w:rPr>
        <w:t xml:space="preserve">Има </w:t>
      </w:r>
      <w:r w:rsidRPr="00FF476F">
        <w:rPr>
          <w:rFonts w:eastAsia="Times New Roman" w:cs="Arial"/>
          <w:i/>
          <w:iCs/>
          <w:color w:val="000000"/>
          <w:lang w:val="en-US"/>
        </w:rPr>
        <w:t>in</w:t>
      </w:r>
      <w:r w:rsidRPr="00FF476F">
        <w:rPr>
          <w:rFonts w:eastAsia="Times New Roman" w:cs="Arial"/>
          <w:i/>
          <w:iCs/>
          <w:color w:val="000000"/>
          <w:lang w:val="ru-RU"/>
        </w:rPr>
        <w:t xml:space="preserve"> </w:t>
      </w:r>
      <w:r w:rsidRPr="00FF476F">
        <w:rPr>
          <w:rFonts w:eastAsia="Times New Roman" w:cs="Arial"/>
          <w:i/>
          <w:iCs/>
          <w:color w:val="000000"/>
          <w:lang w:val="en-US"/>
        </w:rPr>
        <w:t>vitro</w:t>
      </w:r>
      <w:r w:rsidRPr="00FF476F">
        <w:rPr>
          <w:rFonts w:eastAsia="Times New Roman" w:cs="Arial"/>
          <w:color w:val="000000"/>
          <w:lang w:val="ru-RU"/>
        </w:rPr>
        <w:t xml:space="preserve"> </w:t>
      </w:r>
      <w:r w:rsidRPr="00FF476F">
        <w:rPr>
          <w:rFonts w:eastAsia="Times New Roman" w:cs="Arial"/>
          <w:color w:val="000000"/>
          <w:lang w:eastAsia="bg-BG"/>
        </w:rPr>
        <w:t xml:space="preserve">и </w:t>
      </w:r>
      <w:r w:rsidRPr="00FF476F">
        <w:rPr>
          <w:rFonts w:eastAsia="Times New Roman" w:cs="Arial"/>
          <w:i/>
          <w:iCs/>
          <w:color w:val="000000"/>
          <w:lang w:val="en-US"/>
        </w:rPr>
        <w:t>in</w:t>
      </w:r>
      <w:r w:rsidRPr="00FF476F">
        <w:rPr>
          <w:rFonts w:eastAsia="Times New Roman" w:cs="Arial"/>
          <w:i/>
          <w:iCs/>
          <w:color w:val="000000"/>
          <w:lang w:val="ru-RU"/>
        </w:rPr>
        <w:t xml:space="preserve"> </w:t>
      </w:r>
      <w:r w:rsidRPr="00FF476F">
        <w:rPr>
          <w:rFonts w:eastAsia="Times New Roman" w:cs="Arial"/>
          <w:i/>
          <w:iCs/>
          <w:color w:val="000000"/>
          <w:lang w:val="en-US"/>
        </w:rPr>
        <w:t>vivo</w:t>
      </w:r>
      <w:r w:rsidRPr="00FF476F">
        <w:rPr>
          <w:rFonts w:eastAsia="Times New Roman" w:cs="Arial"/>
          <w:color w:val="000000"/>
          <w:lang w:val="ru-RU"/>
        </w:rPr>
        <w:t xml:space="preserve"> </w:t>
      </w:r>
      <w:r w:rsidRPr="00FF476F">
        <w:rPr>
          <w:rFonts w:eastAsia="Times New Roman" w:cs="Arial"/>
          <w:color w:val="000000"/>
          <w:lang w:eastAsia="bg-BG"/>
        </w:rPr>
        <w:t>данни, че аминосалициловите производни (напр. олсалазин, мсзалазин или сулфасалазин) инхибират ТРМТ ензима. По тази причина може да се обмисли използване на по-ниски дози азатиоприн при едновременно прилагане с аминосалицилови производни (вж. точка 4.4).</w:t>
      </w:r>
    </w:p>
    <w:p w14:paraId="1D4FF3B4" w14:textId="77777777" w:rsidR="00FF476F" w:rsidRPr="00FF476F" w:rsidRDefault="00FF476F" w:rsidP="00FF476F">
      <w:pPr>
        <w:spacing w:line="240" w:lineRule="auto"/>
        <w:rPr>
          <w:rFonts w:eastAsia="Times New Roman" w:cs="Arial"/>
          <w:sz w:val="24"/>
          <w:szCs w:val="24"/>
        </w:rPr>
      </w:pPr>
    </w:p>
    <w:p w14:paraId="73186554" w14:textId="34819031" w:rsidR="00FF476F" w:rsidRPr="00FF476F" w:rsidRDefault="00FF476F" w:rsidP="00FF476F">
      <w:pPr>
        <w:pStyle w:val="ListParagraph"/>
        <w:numPr>
          <w:ilvl w:val="0"/>
          <w:numId w:val="33"/>
        </w:numPr>
        <w:spacing w:line="240" w:lineRule="auto"/>
        <w:rPr>
          <w:rFonts w:eastAsia="Times New Roman" w:cs="Arial"/>
          <w:color w:val="000000"/>
          <w:lang w:eastAsia="bg-BG"/>
        </w:rPr>
      </w:pPr>
      <w:r w:rsidRPr="00FF476F">
        <w:rPr>
          <w:rFonts w:eastAsia="Times New Roman" w:cs="Arial"/>
          <w:color w:val="000000"/>
          <w:lang w:eastAsia="bg-BG"/>
        </w:rPr>
        <w:t>Метотрексат</w:t>
      </w:r>
    </w:p>
    <w:p w14:paraId="3429B35D" w14:textId="77777777" w:rsidR="00FF476F" w:rsidRPr="00FF476F" w:rsidRDefault="00FF476F" w:rsidP="00FF476F">
      <w:pPr>
        <w:spacing w:line="240" w:lineRule="auto"/>
        <w:rPr>
          <w:rFonts w:eastAsia="Times New Roman" w:cs="Arial"/>
          <w:sz w:val="24"/>
          <w:szCs w:val="24"/>
        </w:rPr>
      </w:pPr>
    </w:p>
    <w:p w14:paraId="09F42DCC"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Метотрексат (20 </w:t>
      </w:r>
      <w:r w:rsidRPr="00FF476F">
        <w:rPr>
          <w:rFonts w:eastAsia="Times New Roman" w:cs="Arial"/>
          <w:color w:val="000000"/>
          <w:lang w:val="en-US"/>
        </w:rPr>
        <w:t>mg</w:t>
      </w:r>
      <w:r w:rsidRPr="00FF476F">
        <w:rPr>
          <w:rFonts w:eastAsia="Times New Roman" w:cs="Arial"/>
          <w:color w:val="000000"/>
          <w:lang w:val="ru-RU"/>
        </w:rPr>
        <w:t>/</w:t>
      </w:r>
      <w:r w:rsidRPr="00FF476F">
        <w:rPr>
          <w:rFonts w:eastAsia="Times New Roman" w:cs="Arial"/>
          <w:color w:val="000000"/>
          <w:lang w:val="en-US"/>
        </w:rPr>
        <w:t>m</w:t>
      </w:r>
      <w:r w:rsidRPr="00FF476F">
        <w:rPr>
          <w:rFonts w:eastAsia="Times New Roman" w:cs="Arial"/>
          <w:color w:val="000000"/>
          <w:vertAlign w:val="superscript"/>
          <w:lang w:val="ru-RU"/>
        </w:rPr>
        <w:t>2</w:t>
      </w:r>
      <w:r w:rsidRPr="00FF476F">
        <w:rPr>
          <w:rFonts w:eastAsia="Times New Roman" w:cs="Arial"/>
          <w:color w:val="000000"/>
          <w:lang w:val="ru-RU"/>
        </w:rPr>
        <w:t xml:space="preserve"> </w:t>
      </w:r>
      <w:r w:rsidRPr="00FF476F">
        <w:rPr>
          <w:rFonts w:eastAsia="Times New Roman" w:cs="Arial"/>
          <w:color w:val="000000"/>
          <w:lang w:eastAsia="bg-BG"/>
        </w:rPr>
        <w:t xml:space="preserve">перорално) повишава </w:t>
      </w:r>
      <w:r w:rsidRPr="00FF476F">
        <w:rPr>
          <w:rFonts w:eastAsia="Times New Roman" w:cs="Arial"/>
          <w:color w:val="000000"/>
          <w:lang w:val="en-US"/>
        </w:rPr>
        <w:t>AUC</w:t>
      </w:r>
      <w:r w:rsidRPr="00FF476F">
        <w:rPr>
          <w:rFonts w:eastAsia="Times New Roman" w:cs="Arial"/>
          <w:color w:val="000000"/>
          <w:lang w:val="ru-RU"/>
        </w:rPr>
        <w:t xml:space="preserve"> </w:t>
      </w:r>
      <w:r w:rsidRPr="00FF476F">
        <w:rPr>
          <w:rFonts w:eastAsia="Times New Roman" w:cs="Arial"/>
          <w:color w:val="000000"/>
          <w:lang w:eastAsia="bg-BG"/>
        </w:rPr>
        <w:t xml:space="preserve">на 6-меркаптопурин с около 31%, а метотрексат (2 или 5 </w:t>
      </w:r>
      <w:r w:rsidRPr="00FF476F">
        <w:rPr>
          <w:rFonts w:eastAsia="Times New Roman" w:cs="Arial"/>
          <w:color w:val="000000"/>
          <w:lang w:val="en-US"/>
        </w:rPr>
        <w:t>g</w:t>
      </w:r>
      <w:r w:rsidRPr="00FF476F">
        <w:rPr>
          <w:rFonts w:eastAsia="Times New Roman" w:cs="Arial"/>
          <w:color w:val="000000"/>
          <w:lang w:val="ru-RU"/>
        </w:rPr>
        <w:t>/</w:t>
      </w:r>
      <w:r w:rsidRPr="00FF476F">
        <w:rPr>
          <w:rFonts w:eastAsia="Times New Roman" w:cs="Arial"/>
          <w:color w:val="000000"/>
          <w:lang w:val="en-US"/>
        </w:rPr>
        <w:t>m</w:t>
      </w:r>
      <w:r w:rsidRPr="00FF476F">
        <w:rPr>
          <w:rFonts w:eastAsia="Times New Roman" w:cs="Arial"/>
          <w:color w:val="000000"/>
          <w:vertAlign w:val="superscript"/>
          <w:lang w:val="ru-RU"/>
        </w:rPr>
        <w:t>2</w:t>
      </w:r>
      <w:r w:rsidRPr="00FF476F">
        <w:rPr>
          <w:rFonts w:eastAsia="Times New Roman" w:cs="Arial"/>
          <w:color w:val="000000"/>
          <w:lang w:val="ru-RU"/>
        </w:rPr>
        <w:t xml:space="preserve"> </w:t>
      </w:r>
      <w:r w:rsidRPr="00FF476F">
        <w:rPr>
          <w:rFonts w:eastAsia="Times New Roman" w:cs="Arial"/>
          <w:color w:val="000000"/>
          <w:lang w:eastAsia="bg-BG"/>
        </w:rPr>
        <w:t xml:space="preserve">интавенозно) повишава </w:t>
      </w:r>
      <w:r w:rsidRPr="00FF476F">
        <w:rPr>
          <w:rFonts w:eastAsia="Times New Roman" w:cs="Arial"/>
          <w:color w:val="000000"/>
          <w:lang w:val="en-US"/>
        </w:rPr>
        <w:t>AUC</w:t>
      </w:r>
      <w:r w:rsidRPr="00FF476F">
        <w:rPr>
          <w:rFonts w:eastAsia="Times New Roman" w:cs="Arial"/>
          <w:color w:val="000000"/>
          <w:lang w:val="ru-RU"/>
        </w:rPr>
        <w:t xml:space="preserve"> </w:t>
      </w:r>
      <w:r w:rsidRPr="00FF476F">
        <w:rPr>
          <w:rFonts w:eastAsia="Times New Roman" w:cs="Arial"/>
          <w:color w:val="000000"/>
          <w:lang w:eastAsia="bg-BG"/>
        </w:rPr>
        <w:t>на 6-меркаптопурин съответно с 69% и 93%. По тази причина, когато азатиоприн се прилага едновременно с висока доза метотрексат, дозата трябва да се коригира, за да се поддържа подходящ брой на белите кръвни клетки.</w:t>
      </w:r>
    </w:p>
    <w:p w14:paraId="0ABB5A9C" w14:textId="77777777" w:rsidR="00FF476F" w:rsidRDefault="00FF476F" w:rsidP="00FF476F">
      <w:pPr>
        <w:spacing w:line="240" w:lineRule="auto"/>
        <w:rPr>
          <w:rFonts w:eastAsia="Times New Roman" w:cs="Arial"/>
          <w:color w:val="000000"/>
          <w:lang w:eastAsia="bg-BG"/>
        </w:rPr>
      </w:pPr>
    </w:p>
    <w:p w14:paraId="778D9C56" w14:textId="329CAEAF" w:rsidR="00FF476F" w:rsidRPr="00FF476F" w:rsidRDefault="00FF476F" w:rsidP="00FF476F">
      <w:pPr>
        <w:pStyle w:val="ListParagraph"/>
        <w:numPr>
          <w:ilvl w:val="0"/>
          <w:numId w:val="33"/>
        </w:numPr>
        <w:spacing w:line="240" w:lineRule="auto"/>
        <w:rPr>
          <w:rFonts w:eastAsia="Times New Roman" w:cs="Arial"/>
          <w:sz w:val="24"/>
          <w:szCs w:val="24"/>
        </w:rPr>
      </w:pPr>
      <w:r w:rsidRPr="00FF476F">
        <w:rPr>
          <w:rFonts w:eastAsia="Times New Roman" w:cs="Arial"/>
          <w:color w:val="000000"/>
          <w:lang w:eastAsia="bg-BG"/>
        </w:rPr>
        <w:t>Инфликсимаб</w:t>
      </w:r>
    </w:p>
    <w:p w14:paraId="0EB3760C" w14:textId="0D3002B3" w:rsidR="00FF476F" w:rsidRPr="00FF476F" w:rsidRDefault="00FF476F" w:rsidP="00FF476F">
      <w:pPr>
        <w:spacing w:line="240" w:lineRule="auto"/>
        <w:rPr>
          <w:rFonts w:eastAsia="Times New Roman" w:cs="Arial"/>
          <w:color w:val="000000"/>
          <w:lang w:eastAsia="bg-BG"/>
        </w:rPr>
      </w:pPr>
      <w:r w:rsidRPr="00FF476F">
        <w:rPr>
          <w:rFonts w:eastAsia="Times New Roman" w:cs="Arial"/>
          <w:color w:val="000000"/>
          <w:lang w:eastAsia="bg-BG"/>
        </w:rPr>
        <w:lastRenderedPageBreak/>
        <w:t xml:space="preserve">Наблюдавано е взаимодействие между азатиоприн и инфликсимаб. Пациентите, продължаващи лечението си с азатиоприн, са имали преходни повишения на нивата на </w:t>
      </w:r>
      <w:r w:rsidRPr="00FF476F">
        <w:rPr>
          <w:rFonts w:eastAsia="Times New Roman" w:cs="Arial"/>
          <w:color w:val="000000"/>
          <w:lang w:val="ru-RU"/>
        </w:rPr>
        <w:t>6-</w:t>
      </w:r>
      <w:r w:rsidRPr="00FF476F">
        <w:rPr>
          <w:rFonts w:eastAsia="Times New Roman" w:cs="Arial"/>
          <w:color w:val="000000"/>
          <w:lang w:val="en-US"/>
        </w:rPr>
        <w:t>TGN</w:t>
      </w:r>
      <w:r w:rsidRPr="00FF476F">
        <w:rPr>
          <w:rFonts w:eastAsia="Times New Roman" w:cs="Arial"/>
          <w:color w:val="000000"/>
          <w:lang w:val="ru-RU"/>
        </w:rPr>
        <w:t xml:space="preserve"> </w:t>
      </w:r>
      <w:r w:rsidRPr="00FF476F">
        <w:rPr>
          <w:rFonts w:eastAsia="Times New Roman" w:cs="Arial"/>
          <w:color w:val="000000"/>
          <w:lang w:eastAsia="bg-BG"/>
        </w:rPr>
        <w:t>(6-тиогуанин нуклеотид, активен метаболит на азатиоприн) и понижаване на средния брой левкоцити в началните седмици след инфузията на инфликсимаб, които се връщат към предходните нива след 3 месеца.</w:t>
      </w:r>
    </w:p>
    <w:p w14:paraId="05E4478D" w14:textId="77777777" w:rsidR="00FF476F" w:rsidRPr="00FF476F" w:rsidRDefault="00FF476F" w:rsidP="00FF476F">
      <w:pPr>
        <w:spacing w:line="240" w:lineRule="auto"/>
        <w:rPr>
          <w:rFonts w:eastAsia="Times New Roman" w:cs="Arial"/>
          <w:color w:val="000000"/>
          <w:lang w:eastAsia="bg-BG"/>
        </w:rPr>
      </w:pPr>
    </w:p>
    <w:p w14:paraId="15C465EE" w14:textId="5FBA5AA7" w:rsidR="00FF476F" w:rsidRPr="00FF476F" w:rsidRDefault="00FF476F" w:rsidP="00FF476F">
      <w:pPr>
        <w:pStyle w:val="ListParagraph"/>
        <w:numPr>
          <w:ilvl w:val="0"/>
          <w:numId w:val="33"/>
        </w:numPr>
        <w:spacing w:line="240" w:lineRule="auto"/>
        <w:rPr>
          <w:rFonts w:eastAsia="Times New Roman" w:cs="Arial"/>
          <w:color w:val="000000"/>
          <w:lang w:eastAsia="bg-BG"/>
        </w:rPr>
      </w:pPr>
      <w:r w:rsidRPr="00FF476F">
        <w:rPr>
          <w:rFonts w:eastAsia="Times New Roman" w:cs="Arial"/>
          <w:color w:val="000000"/>
          <w:lang w:eastAsia="bg-BG"/>
        </w:rPr>
        <w:t>Невромускулни блокери</w:t>
      </w:r>
    </w:p>
    <w:p w14:paraId="1CC450E2" w14:textId="77777777" w:rsidR="00FF476F" w:rsidRPr="00FF476F" w:rsidRDefault="00FF476F" w:rsidP="00FF476F">
      <w:pPr>
        <w:spacing w:line="240" w:lineRule="auto"/>
        <w:rPr>
          <w:rFonts w:eastAsia="Times New Roman" w:cs="Arial"/>
          <w:sz w:val="24"/>
          <w:szCs w:val="24"/>
        </w:rPr>
      </w:pPr>
    </w:p>
    <w:p w14:paraId="368816BD" w14:textId="026C4D99" w:rsidR="00FF476F" w:rsidRPr="00FF476F" w:rsidRDefault="00FF476F" w:rsidP="00FF476F">
      <w:pPr>
        <w:rPr>
          <w:rFonts w:eastAsia="Times New Roman" w:cs="Arial"/>
          <w:color w:val="000000"/>
          <w:lang w:eastAsia="bg-BG"/>
        </w:rPr>
      </w:pPr>
      <w:r w:rsidRPr="00FF476F">
        <w:rPr>
          <w:rFonts w:eastAsia="Times New Roman" w:cs="Arial"/>
          <w:color w:val="000000"/>
          <w:lang w:eastAsia="bg-BG"/>
        </w:rPr>
        <w:t>Налице са клинични доказателства, че азатиоприн антагонизира действието на недеполяризиращите миорелаксанти. Експерименталните данни потвърждават, че ацатиоприн реверсира невромускулната блокада, предизвикана от недеполяризиращи средства , и показват, че азатиоприн потенцира невромускулната блокада, предизвикана от дсполяризиращи средства (вж. точка 4.4).</w:t>
      </w:r>
    </w:p>
    <w:p w14:paraId="0FE9902C" w14:textId="77777777" w:rsidR="00FF476F" w:rsidRPr="00FF476F" w:rsidRDefault="00FF476F" w:rsidP="00FF476F">
      <w:pPr>
        <w:rPr>
          <w:rFonts w:eastAsia="Times New Roman" w:cs="Arial"/>
          <w:sz w:val="24"/>
          <w:szCs w:val="24"/>
        </w:rPr>
      </w:pPr>
    </w:p>
    <w:p w14:paraId="1DDD11ED" w14:textId="0E4C9433" w:rsidR="00FF476F" w:rsidRPr="00FF476F" w:rsidRDefault="00FF476F" w:rsidP="00FF476F">
      <w:pPr>
        <w:spacing w:line="240" w:lineRule="auto"/>
        <w:rPr>
          <w:rFonts w:eastAsia="Times New Roman" w:cs="Arial"/>
          <w:b/>
          <w:bCs/>
          <w:color w:val="000000"/>
          <w:lang w:eastAsia="bg-BG"/>
        </w:rPr>
      </w:pPr>
      <w:r w:rsidRPr="00FF476F">
        <w:rPr>
          <w:rFonts w:eastAsia="Times New Roman" w:cs="Arial"/>
          <w:b/>
          <w:bCs/>
          <w:color w:val="000000"/>
          <w:lang w:eastAsia="bg-BG"/>
        </w:rPr>
        <w:t>Ефект на азатиоприн върху други лекарства</w:t>
      </w:r>
    </w:p>
    <w:p w14:paraId="2ADE1317" w14:textId="77777777" w:rsidR="00FF476F" w:rsidRPr="00FF476F" w:rsidRDefault="00FF476F" w:rsidP="00FF476F">
      <w:pPr>
        <w:spacing w:line="240" w:lineRule="auto"/>
        <w:rPr>
          <w:rFonts w:eastAsia="Times New Roman" w:cs="Arial"/>
          <w:sz w:val="24"/>
          <w:szCs w:val="24"/>
        </w:rPr>
      </w:pPr>
    </w:p>
    <w:p w14:paraId="45056C97" w14:textId="1C3DD994" w:rsidR="00FF476F" w:rsidRPr="00FF476F" w:rsidRDefault="00FF476F" w:rsidP="00FF476F">
      <w:pPr>
        <w:pStyle w:val="ListParagraph"/>
        <w:numPr>
          <w:ilvl w:val="0"/>
          <w:numId w:val="33"/>
        </w:numPr>
        <w:spacing w:line="240" w:lineRule="auto"/>
        <w:rPr>
          <w:rFonts w:eastAsia="Times New Roman" w:cs="Arial"/>
          <w:color w:val="000000"/>
          <w:lang w:eastAsia="bg-BG"/>
        </w:rPr>
      </w:pPr>
      <w:r w:rsidRPr="00FF476F">
        <w:rPr>
          <w:rFonts w:eastAsia="Times New Roman" w:cs="Arial"/>
          <w:color w:val="000000"/>
          <w:lang w:eastAsia="bg-BG"/>
        </w:rPr>
        <w:t>Антикоагуланти</w:t>
      </w:r>
    </w:p>
    <w:p w14:paraId="1FE90DAC" w14:textId="77777777" w:rsidR="00FF476F" w:rsidRPr="00FF476F" w:rsidRDefault="00FF476F" w:rsidP="00FF476F">
      <w:pPr>
        <w:spacing w:line="240" w:lineRule="auto"/>
        <w:rPr>
          <w:rFonts w:eastAsia="Times New Roman" w:cs="Arial"/>
          <w:sz w:val="24"/>
          <w:szCs w:val="24"/>
        </w:rPr>
      </w:pPr>
    </w:p>
    <w:p w14:paraId="7C23BF3C"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Има съобщения за потискане на антикоагулантния ефект на варфарин и аценокумарол при едновременно приложение с азатиоприн; по тази причина може да са необходими по-високи дози антикоагуланти. Препоръчва се да се следят коагулационните показатели при едновременно приложение на антикоагуланти и азатиоприн.</w:t>
      </w:r>
    </w:p>
    <w:p w14:paraId="33CAB552" w14:textId="552B68D6" w:rsidR="00FF476F" w:rsidRPr="00FF476F" w:rsidRDefault="00FF476F" w:rsidP="00FF476F"/>
    <w:p w14:paraId="6EADE4D6" w14:textId="7D61B048" w:rsidR="00395555" w:rsidRDefault="002C50EE" w:rsidP="008A6AF2">
      <w:pPr>
        <w:pStyle w:val="Heading2"/>
      </w:pPr>
      <w:r>
        <w:t>4.6. Фертилитет, бременност и кърмене</w:t>
      </w:r>
    </w:p>
    <w:p w14:paraId="27B4B27E" w14:textId="5A305AD2" w:rsidR="00FF476F" w:rsidRDefault="00FF476F" w:rsidP="00FF476F"/>
    <w:p w14:paraId="473CA3F2" w14:textId="77777777" w:rsidR="00FF476F" w:rsidRPr="00FF476F" w:rsidRDefault="00FF476F" w:rsidP="00FF476F">
      <w:pPr>
        <w:pStyle w:val="Heading3"/>
        <w:rPr>
          <w:rFonts w:eastAsia="Times New Roman"/>
          <w:u w:val="single"/>
        </w:rPr>
      </w:pPr>
      <w:r w:rsidRPr="00FF476F">
        <w:rPr>
          <w:rFonts w:eastAsia="Times New Roman"/>
          <w:u w:val="single"/>
          <w:lang w:eastAsia="bg-BG"/>
        </w:rPr>
        <w:t>Бременност</w:t>
      </w:r>
    </w:p>
    <w:p w14:paraId="7C6A51C1"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Установено е значително трансплацентарно и трансамниотично предаване на азатиоприн и неговите метаболити от майката на плода.</w:t>
      </w:r>
    </w:p>
    <w:p w14:paraId="6F068CE2" w14:textId="77777777" w:rsidR="00FF476F" w:rsidRPr="00FF476F" w:rsidRDefault="00FF476F" w:rsidP="00FF476F">
      <w:pPr>
        <w:spacing w:line="240" w:lineRule="auto"/>
        <w:rPr>
          <w:rFonts w:eastAsia="Times New Roman" w:cs="Arial"/>
          <w:color w:val="000000"/>
          <w:lang w:eastAsia="bg-BG"/>
        </w:rPr>
      </w:pPr>
    </w:p>
    <w:p w14:paraId="15CF46F6" w14:textId="212A4E32"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ИМУРАН не трябва да се прилага на жени, които са бременни или има вероятност да забременеят в близко бъдеще, без внимателна преценка на потенциалните рискове спрямо потенциалните ползи.</w:t>
      </w:r>
    </w:p>
    <w:p w14:paraId="4F0F833B" w14:textId="77777777" w:rsidR="00FF476F" w:rsidRPr="00FF476F" w:rsidRDefault="00FF476F" w:rsidP="00FF476F">
      <w:pPr>
        <w:spacing w:line="240" w:lineRule="auto"/>
        <w:rPr>
          <w:rFonts w:eastAsia="Times New Roman" w:cs="Arial"/>
          <w:color w:val="000000"/>
          <w:lang w:eastAsia="bg-BG"/>
        </w:rPr>
      </w:pPr>
    </w:p>
    <w:p w14:paraId="4BE209EF" w14:textId="32786034"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Данните за тератогенния ефект на ИМУРАН при човека са нееднозначни. Както при прием на други цитостатици се препоръчва да се прилагат подходящи контрацептивни мерки, ако някой от партньорите приема ИМУРАН.</w:t>
      </w:r>
    </w:p>
    <w:p w14:paraId="6EE3C137" w14:textId="77777777" w:rsidR="00FF476F" w:rsidRPr="00FF476F" w:rsidRDefault="00FF476F" w:rsidP="00FF476F">
      <w:pPr>
        <w:spacing w:line="240" w:lineRule="auto"/>
        <w:rPr>
          <w:rFonts w:eastAsia="Times New Roman" w:cs="Arial"/>
          <w:color w:val="000000"/>
          <w:lang w:eastAsia="bg-BG"/>
        </w:rPr>
      </w:pPr>
    </w:p>
    <w:p w14:paraId="39A3E300" w14:textId="3E80D121"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Има съобщения за ретардация на вътреутробния растеж, преждевременно раждане и малко телесно тегло при раждане след експозиция на майката към азатиоприн, особено в комбинация с кортикостероиди. Има съобщения и за спонтанен аборт след експозиция на майката или бащата.</w:t>
      </w:r>
    </w:p>
    <w:p w14:paraId="3BB58A20" w14:textId="77777777" w:rsidR="00FF476F" w:rsidRPr="00FF476F" w:rsidRDefault="00FF476F" w:rsidP="00FF476F">
      <w:pPr>
        <w:spacing w:line="240" w:lineRule="auto"/>
        <w:rPr>
          <w:rFonts w:eastAsia="Times New Roman" w:cs="Arial"/>
          <w:color w:val="000000"/>
          <w:lang w:eastAsia="bg-BG"/>
        </w:rPr>
      </w:pPr>
    </w:p>
    <w:p w14:paraId="5F485449" w14:textId="2DC6B90A"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Левкопения и/или тромбоцитопения се описват при част от новородените, чиито майки са приемали азатиоприн по време на цялата бременност. Препоръчва се завишено внимание при мониторирането на хематологичните показатели по време на бременността.</w:t>
      </w:r>
    </w:p>
    <w:p w14:paraId="17BFA26C" w14:textId="77777777" w:rsidR="00FF476F" w:rsidRPr="00FF476F" w:rsidRDefault="00FF476F" w:rsidP="00FF476F">
      <w:pPr>
        <w:spacing w:line="240" w:lineRule="auto"/>
        <w:rPr>
          <w:rFonts w:eastAsia="Times New Roman" w:cs="Arial"/>
          <w:color w:val="000000"/>
          <w:u w:val="single"/>
          <w:lang w:eastAsia="bg-BG"/>
        </w:rPr>
      </w:pPr>
    </w:p>
    <w:p w14:paraId="74D653D3" w14:textId="322A31A7" w:rsidR="00FF476F" w:rsidRPr="00FF476F" w:rsidRDefault="00FF476F" w:rsidP="00FF476F">
      <w:pPr>
        <w:pStyle w:val="Heading3"/>
        <w:rPr>
          <w:rFonts w:eastAsia="Times New Roman"/>
          <w:u w:val="single"/>
        </w:rPr>
      </w:pPr>
      <w:r w:rsidRPr="00FF476F">
        <w:rPr>
          <w:rFonts w:eastAsia="Times New Roman"/>
          <w:u w:val="single"/>
          <w:lang w:eastAsia="bg-BG"/>
        </w:rPr>
        <w:lastRenderedPageBreak/>
        <w:t>Кърмене</w:t>
      </w:r>
    </w:p>
    <w:p w14:paraId="5D5AC7A7"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6-меркаптопурин е идентифициран в коластрата и кърмата на жени, лекувани с азатиоприн.</w:t>
      </w:r>
    </w:p>
    <w:p w14:paraId="7EAA3133"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Препоръчително е майки, които приемат азатиоприн, да не кърмят.</w:t>
      </w:r>
    </w:p>
    <w:p w14:paraId="364FE5A8" w14:textId="77777777" w:rsidR="00FF476F" w:rsidRPr="00FF476F" w:rsidRDefault="00FF476F" w:rsidP="00FF476F">
      <w:pPr>
        <w:spacing w:line="240" w:lineRule="auto"/>
        <w:rPr>
          <w:rFonts w:eastAsia="Times New Roman" w:cs="Arial"/>
          <w:color w:val="000000"/>
          <w:u w:val="single"/>
          <w:lang w:eastAsia="bg-BG"/>
        </w:rPr>
      </w:pPr>
    </w:p>
    <w:p w14:paraId="622E6211" w14:textId="3051344B" w:rsidR="00FF476F" w:rsidRPr="00FF476F" w:rsidRDefault="00FF476F" w:rsidP="00FF476F">
      <w:pPr>
        <w:pStyle w:val="Heading3"/>
        <w:rPr>
          <w:rFonts w:eastAsia="Times New Roman"/>
          <w:u w:val="single"/>
        </w:rPr>
      </w:pPr>
      <w:r w:rsidRPr="00FF476F">
        <w:rPr>
          <w:rFonts w:eastAsia="Times New Roman"/>
          <w:u w:val="single"/>
          <w:lang w:eastAsia="bg-BG"/>
        </w:rPr>
        <w:t>Фертилитет</w:t>
      </w:r>
    </w:p>
    <w:p w14:paraId="0C191C55" w14:textId="6957A732" w:rsidR="00FF476F" w:rsidRPr="00FF476F" w:rsidRDefault="00FF476F" w:rsidP="00FF476F">
      <w:pPr>
        <w:rPr>
          <w:rFonts w:eastAsia="Times New Roman" w:cs="Arial"/>
          <w:color w:val="000000"/>
          <w:lang w:eastAsia="bg-BG"/>
        </w:rPr>
      </w:pPr>
      <w:r w:rsidRPr="00FF476F">
        <w:rPr>
          <w:rFonts w:eastAsia="Times New Roman" w:cs="Arial"/>
          <w:color w:val="000000"/>
          <w:lang w:eastAsia="bg-BG"/>
        </w:rPr>
        <w:t>Специфичният ефект на лечението с азатиоприн върху фертилитета при хора не е известен, но има съобщения за оплождане/забременяванс след лечение. Няколко проучвания съобщават, че азатиоприн в стандартни дози няма ефект върху мъжкия фертилитет (вж. точка 4.4).</w:t>
      </w:r>
    </w:p>
    <w:p w14:paraId="62B614FC" w14:textId="77777777" w:rsidR="00FF476F" w:rsidRPr="00FF476F" w:rsidRDefault="00FF476F" w:rsidP="00FF476F"/>
    <w:p w14:paraId="5766770B" w14:textId="1372435D" w:rsidR="00395555" w:rsidRDefault="002C50EE" w:rsidP="008A6AF2">
      <w:pPr>
        <w:pStyle w:val="Heading2"/>
      </w:pPr>
      <w:r>
        <w:t>4.7. Ефекти върху способността за шофиране и работа с машини</w:t>
      </w:r>
    </w:p>
    <w:p w14:paraId="218EF1F2" w14:textId="03E49C5F" w:rsidR="00FF476F" w:rsidRDefault="00FF476F" w:rsidP="00FF476F"/>
    <w:p w14:paraId="440589D2" w14:textId="77777777" w:rsidR="00FF476F" w:rsidRPr="00FF476F" w:rsidRDefault="00FF476F" w:rsidP="00FF476F">
      <w:pPr>
        <w:rPr>
          <w:sz w:val="24"/>
          <w:szCs w:val="24"/>
        </w:rPr>
      </w:pPr>
      <w:r w:rsidRPr="00FF476F">
        <w:rPr>
          <w:lang w:eastAsia="bg-BG"/>
        </w:rPr>
        <w:t>Няма данни за ефекта на азатиоприн върху способността за шофиране или работа с машини. От фармакологичните свойства на продукта не може да се предскаже някакъв вреден ефект на лекарството върху тези дейности.</w:t>
      </w:r>
    </w:p>
    <w:p w14:paraId="744F989D" w14:textId="77777777" w:rsidR="00FF476F" w:rsidRPr="00FF476F" w:rsidRDefault="00FF476F" w:rsidP="00FF476F"/>
    <w:p w14:paraId="4FE16E21" w14:textId="23850D17" w:rsidR="00395555" w:rsidRDefault="002C50EE" w:rsidP="008A6AF2">
      <w:pPr>
        <w:pStyle w:val="Heading2"/>
      </w:pPr>
      <w:r>
        <w:t>4.8. Нежелани лекарствени реакции</w:t>
      </w:r>
    </w:p>
    <w:p w14:paraId="4253EFFD" w14:textId="292AA570" w:rsidR="00FF476F" w:rsidRDefault="00FF476F" w:rsidP="00FF476F"/>
    <w:p w14:paraId="2ADFF687"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u w:val="single"/>
          <w:lang w:eastAsia="bg-BG"/>
        </w:rPr>
        <w:t>Кратък профил на безопасност</w:t>
      </w:r>
    </w:p>
    <w:p w14:paraId="71AF3424" w14:textId="77777777" w:rsidR="00FF476F" w:rsidRPr="00FF476F" w:rsidRDefault="00FF476F" w:rsidP="00FF476F">
      <w:pPr>
        <w:spacing w:line="240" w:lineRule="auto"/>
        <w:rPr>
          <w:rFonts w:eastAsia="Times New Roman" w:cs="Arial"/>
          <w:color w:val="000000"/>
          <w:lang w:eastAsia="bg-BG"/>
        </w:rPr>
      </w:pPr>
    </w:p>
    <w:p w14:paraId="6D015BCD" w14:textId="682BC19B"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За този продукт не е налице съвременна клинична документация в подкрепа на определяне</w:t>
      </w:r>
    </w:p>
    <w:p w14:paraId="64197C12" w14:textId="7B62211F" w:rsidR="00FF476F" w:rsidRPr="00FF476F" w:rsidRDefault="00FF476F" w:rsidP="00FF476F">
      <w:pPr>
        <w:rPr>
          <w:rFonts w:cs="Arial"/>
        </w:rPr>
      </w:pPr>
    </w:p>
    <w:p w14:paraId="6E7FCE5A"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честотата на нежеланите реакции. Нежеланите реакции може да варират в зависимост от показанията, за които се прилага лекарственият продукт.</w:t>
      </w:r>
    </w:p>
    <w:p w14:paraId="64108FE5" w14:textId="77777777" w:rsidR="00FF476F" w:rsidRPr="00FF476F" w:rsidRDefault="00FF476F" w:rsidP="00FF476F">
      <w:pPr>
        <w:spacing w:line="240" w:lineRule="auto"/>
        <w:rPr>
          <w:rFonts w:eastAsia="Times New Roman" w:cs="Arial"/>
          <w:color w:val="000000"/>
          <w:lang w:eastAsia="bg-BG"/>
        </w:rPr>
      </w:pPr>
    </w:p>
    <w:p w14:paraId="381C41F7" w14:textId="6E08D642"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Нежеланите реакции се класифицират по честота по следния начин:</w:t>
      </w:r>
    </w:p>
    <w:p w14:paraId="2F1B7088"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много чести (≥1/10)</w:t>
      </w:r>
    </w:p>
    <w:p w14:paraId="4AB8D60A"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чести (≥1/100 и &lt;1/10)</w:t>
      </w:r>
    </w:p>
    <w:p w14:paraId="2FF82629"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нечести (≥1/1 000 и &lt;1/100)</w:t>
      </w:r>
    </w:p>
    <w:p w14:paraId="5DDCB548"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редки (≥1/10 000 и &lt;1/1000)</w:t>
      </w:r>
    </w:p>
    <w:p w14:paraId="77236272"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и много редки (&lt;1/10 000)</w:t>
      </w:r>
    </w:p>
    <w:p w14:paraId="2384A0B5"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с неизвестна честота (от наличните данни не може да бъде направена оценка)</w:t>
      </w:r>
    </w:p>
    <w:p w14:paraId="47DFC156" w14:textId="77777777" w:rsidR="00FF476F" w:rsidRPr="00FF476F" w:rsidRDefault="00FF476F" w:rsidP="00FF476F">
      <w:pPr>
        <w:rPr>
          <w:rFonts w:eastAsia="Times New Roman" w:cs="Arial"/>
          <w:color w:val="000000"/>
          <w:u w:val="single"/>
          <w:lang w:eastAsia="bg-BG"/>
        </w:rPr>
      </w:pPr>
    </w:p>
    <w:p w14:paraId="7E9D9499" w14:textId="264BD3A9" w:rsidR="00FF476F" w:rsidRDefault="00FF476F" w:rsidP="00FF476F">
      <w:pPr>
        <w:rPr>
          <w:rFonts w:eastAsia="Times New Roman" w:cs="Arial"/>
          <w:color w:val="000000"/>
          <w:u w:val="single"/>
          <w:lang w:eastAsia="bg-BG"/>
        </w:rPr>
      </w:pPr>
      <w:r w:rsidRPr="00FF476F">
        <w:rPr>
          <w:rFonts w:eastAsia="Times New Roman" w:cs="Arial"/>
          <w:color w:val="000000"/>
          <w:u w:val="single"/>
          <w:lang w:eastAsia="bg-BG"/>
        </w:rPr>
        <w:t>Табличен списък на нежеланите лекарствени реакции</w:t>
      </w:r>
    </w:p>
    <w:tbl>
      <w:tblPr>
        <w:tblStyle w:val="TableGrid"/>
        <w:tblW w:w="0" w:type="auto"/>
        <w:tblLook w:val="04A0" w:firstRow="1" w:lastRow="0" w:firstColumn="1" w:lastColumn="0" w:noHBand="0" w:noVBand="1"/>
      </w:tblPr>
      <w:tblGrid>
        <w:gridCol w:w="3118"/>
        <w:gridCol w:w="3074"/>
        <w:gridCol w:w="3158"/>
      </w:tblGrid>
      <w:tr w:rsidR="00FF476F" w14:paraId="2343D2FC" w14:textId="77777777" w:rsidTr="00FF476F">
        <w:tc>
          <w:tcPr>
            <w:tcW w:w="3192" w:type="dxa"/>
          </w:tcPr>
          <w:p w14:paraId="20B730D6" w14:textId="2B42C13A" w:rsidR="00FF476F" w:rsidRDefault="00FF476F" w:rsidP="00FF476F">
            <w:pPr>
              <w:rPr>
                <w:rFonts w:cs="Arial"/>
              </w:rPr>
            </w:pPr>
            <w:r>
              <w:t>Системо-органен клас</w:t>
            </w:r>
          </w:p>
        </w:tc>
        <w:tc>
          <w:tcPr>
            <w:tcW w:w="3192" w:type="dxa"/>
          </w:tcPr>
          <w:p w14:paraId="2ED95297" w14:textId="77777777" w:rsidR="00FF476F" w:rsidRDefault="00FF476F" w:rsidP="00FF476F">
            <w:pPr>
              <w:rPr>
                <w:rFonts w:cs="Arial"/>
              </w:rPr>
            </w:pPr>
          </w:p>
        </w:tc>
        <w:tc>
          <w:tcPr>
            <w:tcW w:w="3192" w:type="dxa"/>
          </w:tcPr>
          <w:p w14:paraId="62424451" w14:textId="3AFBA48A" w:rsidR="00FF476F" w:rsidRDefault="00FF476F" w:rsidP="00FF476F">
            <w:pPr>
              <w:rPr>
                <w:rFonts w:cs="Arial"/>
              </w:rPr>
            </w:pPr>
            <w:r>
              <w:t>Нежелани реакции</w:t>
            </w:r>
          </w:p>
        </w:tc>
      </w:tr>
      <w:tr w:rsidR="00FF476F" w14:paraId="7827D734" w14:textId="77777777" w:rsidTr="00FF476F">
        <w:tc>
          <w:tcPr>
            <w:tcW w:w="3192" w:type="dxa"/>
            <w:vMerge w:val="restart"/>
          </w:tcPr>
          <w:p w14:paraId="7C01D52D" w14:textId="36FE9279" w:rsidR="00FF476F" w:rsidRDefault="00FF476F" w:rsidP="00FF476F">
            <w:pPr>
              <w:rPr>
                <w:rFonts w:cs="Arial"/>
              </w:rPr>
            </w:pPr>
            <w:r>
              <w:t>Инфекции и инфестации</w:t>
            </w:r>
          </w:p>
        </w:tc>
        <w:tc>
          <w:tcPr>
            <w:tcW w:w="3192" w:type="dxa"/>
          </w:tcPr>
          <w:p w14:paraId="6D5C120F" w14:textId="5F45EB45" w:rsidR="00FF476F" w:rsidRDefault="00FF476F" w:rsidP="00FF476F">
            <w:pPr>
              <w:rPr>
                <w:rFonts w:cs="Arial"/>
              </w:rPr>
            </w:pPr>
            <w:r>
              <w:t>Много чести</w:t>
            </w:r>
          </w:p>
        </w:tc>
        <w:tc>
          <w:tcPr>
            <w:tcW w:w="3192" w:type="dxa"/>
          </w:tcPr>
          <w:p w14:paraId="002DCD41" w14:textId="185FA291" w:rsidR="00FF476F" w:rsidRDefault="00FF476F" w:rsidP="00FF476F">
            <w:pPr>
              <w:rPr>
                <w:rFonts w:cs="Arial"/>
              </w:rPr>
            </w:pPr>
            <w:r>
              <w:t>Вирусни, гъбични и бактериални инфекции при трансплантирани пациенти, приемащи азатиоприн в комбинация с други имуносупресори</w:t>
            </w:r>
          </w:p>
        </w:tc>
      </w:tr>
      <w:tr w:rsidR="00FF476F" w14:paraId="6CF5167E" w14:textId="77777777" w:rsidTr="00FF476F">
        <w:tc>
          <w:tcPr>
            <w:tcW w:w="3192" w:type="dxa"/>
            <w:vMerge/>
          </w:tcPr>
          <w:p w14:paraId="2B77E69F" w14:textId="77777777" w:rsidR="00FF476F" w:rsidRDefault="00FF476F" w:rsidP="00FF476F">
            <w:pPr>
              <w:rPr>
                <w:rFonts w:cs="Arial"/>
              </w:rPr>
            </w:pPr>
          </w:p>
        </w:tc>
        <w:tc>
          <w:tcPr>
            <w:tcW w:w="3192" w:type="dxa"/>
          </w:tcPr>
          <w:p w14:paraId="31D725DF" w14:textId="27EC48C1" w:rsidR="00FF476F" w:rsidRDefault="00FF476F" w:rsidP="00FF476F">
            <w:pPr>
              <w:rPr>
                <w:rFonts w:cs="Arial"/>
              </w:rPr>
            </w:pPr>
            <w:r>
              <w:t>Нечести</w:t>
            </w:r>
          </w:p>
        </w:tc>
        <w:tc>
          <w:tcPr>
            <w:tcW w:w="3192" w:type="dxa"/>
          </w:tcPr>
          <w:p w14:paraId="25D4BA20" w14:textId="2EAFD0CE" w:rsidR="00FF476F" w:rsidRDefault="00FF476F" w:rsidP="00FF476F">
            <w:pPr>
              <w:rPr>
                <w:rFonts w:cs="Arial"/>
              </w:rPr>
            </w:pPr>
            <w:r>
              <w:t>Вирусни, гъбични и бактериални инфекции при останалите групи пациенти</w:t>
            </w:r>
          </w:p>
        </w:tc>
      </w:tr>
      <w:tr w:rsidR="00FF476F" w14:paraId="08522147" w14:textId="77777777" w:rsidTr="00FF476F">
        <w:tc>
          <w:tcPr>
            <w:tcW w:w="3192" w:type="dxa"/>
            <w:vMerge/>
          </w:tcPr>
          <w:p w14:paraId="116CDACF" w14:textId="77777777" w:rsidR="00FF476F" w:rsidRDefault="00FF476F" w:rsidP="00FF476F">
            <w:pPr>
              <w:rPr>
                <w:rFonts w:cs="Arial"/>
              </w:rPr>
            </w:pPr>
          </w:p>
        </w:tc>
        <w:tc>
          <w:tcPr>
            <w:tcW w:w="3192" w:type="dxa"/>
          </w:tcPr>
          <w:p w14:paraId="1812F491" w14:textId="29EA4D9F" w:rsidR="00FF476F" w:rsidRDefault="00FF476F" w:rsidP="00FF476F">
            <w:pPr>
              <w:rPr>
                <w:rFonts w:cs="Arial"/>
              </w:rPr>
            </w:pPr>
            <w:r>
              <w:t>Много редки</w:t>
            </w:r>
          </w:p>
        </w:tc>
        <w:tc>
          <w:tcPr>
            <w:tcW w:w="3192" w:type="dxa"/>
          </w:tcPr>
          <w:p w14:paraId="2A3D2F73" w14:textId="1CB09DFD" w:rsidR="00FF476F" w:rsidRDefault="00FF476F" w:rsidP="00FF476F">
            <w:pPr>
              <w:rPr>
                <w:rFonts w:cs="Arial"/>
              </w:rPr>
            </w:pPr>
            <w:r>
              <w:t xml:space="preserve">Има съобщения за случаи на ПМЛ, причинена от вирус </w:t>
            </w:r>
            <w:r>
              <w:rPr>
                <w:lang w:val="en-US"/>
              </w:rPr>
              <w:t>JC</w:t>
            </w:r>
            <w:r w:rsidRPr="00FF476F">
              <w:rPr>
                <w:lang w:val="ru-RU"/>
              </w:rPr>
              <w:t xml:space="preserve">, </w:t>
            </w:r>
            <w:r>
              <w:t>след употреба на азатиоприн в комбинация с други имуносупресори (вж, точка 4.4)</w:t>
            </w:r>
          </w:p>
        </w:tc>
      </w:tr>
      <w:tr w:rsidR="00FF476F" w14:paraId="22EC9788" w14:textId="77777777" w:rsidTr="00FF476F">
        <w:tc>
          <w:tcPr>
            <w:tcW w:w="3192" w:type="dxa"/>
            <w:vMerge w:val="restart"/>
          </w:tcPr>
          <w:p w14:paraId="51D353BE" w14:textId="3EA9A27D" w:rsidR="00FF476F" w:rsidRDefault="00FF476F" w:rsidP="00FF476F">
            <w:pPr>
              <w:rPr>
                <w:rFonts w:cs="Arial"/>
              </w:rPr>
            </w:pPr>
            <w:r>
              <w:t>Неоплазми - доброкачествени, злокачествени и неопределени (вкл. кисти и полипи)</w:t>
            </w:r>
          </w:p>
        </w:tc>
        <w:tc>
          <w:tcPr>
            <w:tcW w:w="3192" w:type="dxa"/>
          </w:tcPr>
          <w:p w14:paraId="33408DA5" w14:textId="0CCB7C5D" w:rsidR="00FF476F" w:rsidRDefault="00FF476F" w:rsidP="00FF476F">
            <w:pPr>
              <w:rPr>
                <w:rFonts w:cs="Arial"/>
              </w:rPr>
            </w:pPr>
            <w:r>
              <w:t>Редки</w:t>
            </w:r>
          </w:p>
        </w:tc>
        <w:tc>
          <w:tcPr>
            <w:tcW w:w="3192" w:type="dxa"/>
          </w:tcPr>
          <w:p w14:paraId="4E86C2D0" w14:textId="756EC549" w:rsidR="00FF476F" w:rsidRDefault="00FF476F" w:rsidP="00FF476F">
            <w:pPr>
              <w:rPr>
                <w:rFonts w:cs="Arial"/>
              </w:rPr>
            </w:pPr>
            <w:r>
              <w:t xml:space="preserve">Неоплазми, включително лимфопролиферативни заболявания, карциноми на кожата (меланомни и немеланомни), саркоми (тип Капоши и други) и карцином на шийката на матката </w:t>
            </w:r>
            <w:r>
              <w:rPr>
                <w:i/>
                <w:iCs/>
                <w:lang w:val="en-US"/>
              </w:rPr>
              <w:t>in</w:t>
            </w:r>
            <w:r w:rsidRPr="00FF476F">
              <w:rPr>
                <w:i/>
                <w:iCs/>
                <w:lang w:val="ru-RU"/>
              </w:rPr>
              <w:t xml:space="preserve"> </w:t>
            </w:r>
            <w:r>
              <w:rPr>
                <w:i/>
                <w:iCs/>
                <w:lang w:val="en-US"/>
              </w:rPr>
              <w:t>situ</w:t>
            </w:r>
            <w:r w:rsidRPr="00FF476F">
              <w:rPr>
                <w:i/>
                <w:iCs/>
                <w:lang w:val="ru-RU"/>
              </w:rPr>
              <w:t xml:space="preserve">, </w:t>
            </w:r>
            <w:r>
              <w:t>остра миелоидна левкоза и миелодиснлазия (вж. точка 4.4)</w:t>
            </w:r>
          </w:p>
        </w:tc>
      </w:tr>
      <w:tr w:rsidR="00FF476F" w14:paraId="6959A79A" w14:textId="77777777" w:rsidTr="00FF476F">
        <w:tc>
          <w:tcPr>
            <w:tcW w:w="3192" w:type="dxa"/>
            <w:vMerge/>
          </w:tcPr>
          <w:p w14:paraId="697DFA72" w14:textId="77777777" w:rsidR="00FF476F" w:rsidRDefault="00FF476F" w:rsidP="00FF476F">
            <w:pPr>
              <w:rPr>
                <w:rFonts w:cs="Arial"/>
              </w:rPr>
            </w:pPr>
          </w:p>
        </w:tc>
        <w:tc>
          <w:tcPr>
            <w:tcW w:w="3192" w:type="dxa"/>
          </w:tcPr>
          <w:p w14:paraId="20FDD08A" w14:textId="359388FE" w:rsidR="00FF476F" w:rsidRDefault="00FF476F" w:rsidP="00FF476F">
            <w:pPr>
              <w:rPr>
                <w:rFonts w:cs="Arial"/>
              </w:rPr>
            </w:pPr>
            <w:r>
              <w:t>Много редки</w:t>
            </w:r>
          </w:p>
        </w:tc>
        <w:tc>
          <w:tcPr>
            <w:tcW w:w="3192" w:type="dxa"/>
          </w:tcPr>
          <w:p w14:paraId="443611E7" w14:textId="77FB3B55" w:rsidR="00FF476F" w:rsidRDefault="00FF476F" w:rsidP="00FF476F">
            <w:pPr>
              <w:rPr>
                <w:rFonts w:cs="Arial"/>
              </w:rPr>
            </w:pPr>
            <w:r>
              <w:t>Хепатолиенален Т-клетьчен лимфом</w:t>
            </w:r>
          </w:p>
        </w:tc>
      </w:tr>
      <w:tr w:rsidR="00FF476F" w14:paraId="58EDD71A" w14:textId="77777777" w:rsidTr="00FF476F">
        <w:tc>
          <w:tcPr>
            <w:tcW w:w="3192" w:type="dxa"/>
            <w:vMerge w:val="restart"/>
          </w:tcPr>
          <w:p w14:paraId="2F7FB33C" w14:textId="2525F462" w:rsidR="00FF476F" w:rsidRDefault="00FF476F" w:rsidP="00FF476F">
            <w:pPr>
              <w:rPr>
                <w:rFonts w:cs="Arial"/>
              </w:rPr>
            </w:pPr>
            <w:r>
              <w:t>Нарушения иа кръвта и лимфната система</w:t>
            </w:r>
          </w:p>
        </w:tc>
        <w:tc>
          <w:tcPr>
            <w:tcW w:w="3192" w:type="dxa"/>
          </w:tcPr>
          <w:p w14:paraId="510BDB0A" w14:textId="3C1D293F" w:rsidR="00FF476F" w:rsidRDefault="00FF476F" w:rsidP="00FF476F">
            <w:pPr>
              <w:rPr>
                <w:rFonts w:cs="Arial"/>
              </w:rPr>
            </w:pPr>
            <w:r>
              <w:t>Много чести</w:t>
            </w:r>
          </w:p>
        </w:tc>
        <w:tc>
          <w:tcPr>
            <w:tcW w:w="3192" w:type="dxa"/>
          </w:tcPr>
          <w:p w14:paraId="4EDEEB18" w14:textId="45C437F8" w:rsidR="00FF476F" w:rsidRDefault="00FF476F" w:rsidP="00FF476F">
            <w:pPr>
              <w:rPr>
                <w:rFonts w:cs="Arial"/>
              </w:rPr>
            </w:pPr>
            <w:r>
              <w:t>Левкопения</w:t>
            </w:r>
          </w:p>
        </w:tc>
      </w:tr>
      <w:tr w:rsidR="00FF476F" w14:paraId="35AB2EC0" w14:textId="77777777" w:rsidTr="00FF476F">
        <w:tc>
          <w:tcPr>
            <w:tcW w:w="3192" w:type="dxa"/>
            <w:vMerge/>
          </w:tcPr>
          <w:p w14:paraId="3761E30D" w14:textId="77777777" w:rsidR="00FF476F" w:rsidRDefault="00FF476F" w:rsidP="00FF476F">
            <w:pPr>
              <w:rPr>
                <w:rFonts w:cs="Arial"/>
              </w:rPr>
            </w:pPr>
          </w:p>
        </w:tc>
        <w:tc>
          <w:tcPr>
            <w:tcW w:w="3192" w:type="dxa"/>
          </w:tcPr>
          <w:p w14:paraId="4150450F" w14:textId="13A3F605" w:rsidR="00FF476F" w:rsidRDefault="00FF476F" w:rsidP="00FF476F">
            <w:pPr>
              <w:rPr>
                <w:rFonts w:cs="Arial"/>
              </w:rPr>
            </w:pPr>
            <w:r>
              <w:t>Чести</w:t>
            </w:r>
          </w:p>
        </w:tc>
        <w:tc>
          <w:tcPr>
            <w:tcW w:w="3192" w:type="dxa"/>
          </w:tcPr>
          <w:p w14:paraId="3F763A66" w14:textId="1421D7E4" w:rsidR="00FF476F" w:rsidRDefault="00FF476F" w:rsidP="00FF476F">
            <w:pPr>
              <w:rPr>
                <w:rFonts w:cs="Arial"/>
              </w:rPr>
            </w:pPr>
            <w:r>
              <w:t>Тромбоцитопения</w:t>
            </w:r>
          </w:p>
        </w:tc>
      </w:tr>
      <w:tr w:rsidR="00FF476F" w14:paraId="3AFDBB7A" w14:textId="77777777" w:rsidTr="00FF476F">
        <w:tc>
          <w:tcPr>
            <w:tcW w:w="3192" w:type="dxa"/>
            <w:vMerge/>
          </w:tcPr>
          <w:p w14:paraId="032D5179" w14:textId="77777777" w:rsidR="00FF476F" w:rsidRDefault="00FF476F" w:rsidP="00FF476F">
            <w:pPr>
              <w:rPr>
                <w:rFonts w:cs="Arial"/>
              </w:rPr>
            </w:pPr>
          </w:p>
        </w:tc>
        <w:tc>
          <w:tcPr>
            <w:tcW w:w="3192" w:type="dxa"/>
          </w:tcPr>
          <w:p w14:paraId="7C9B3AA3" w14:textId="7163F089" w:rsidR="00FF476F" w:rsidRDefault="00FF476F" w:rsidP="00FF476F">
            <w:pPr>
              <w:rPr>
                <w:rFonts w:cs="Arial"/>
              </w:rPr>
            </w:pPr>
            <w:r>
              <w:t>Нечести</w:t>
            </w:r>
          </w:p>
        </w:tc>
        <w:tc>
          <w:tcPr>
            <w:tcW w:w="3192" w:type="dxa"/>
          </w:tcPr>
          <w:p w14:paraId="6A257B72" w14:textId="220FA624" w:rsidR="00FF476F" w:rsidRDefault="00FF476F" w:rsidP="00FF476F">
            <w:pPr>
              <w:rPr>
                <w:rFonts w:cs="Arial"/>
              </w:rPr>
            </w:pPr>
            <w:r>
              <w:t>Анемия</w:t>
            </w:r>
          </w:p>
        </w:tc>
      </w:tr>
      <w:tr w:rsidR="00FF476F" w14:paraId="6DB6C2AC" w14:textId="77777777" w:rsidTr="00FF476F">
        <w:tc>
          <w:tcPr>
            <w:tcW w:w="3192" w:type="dxa"/>
            <w:vMerge/>
          </w:tcPr>
          <w:p w14:paraId="330E02D9" w14:textId="77777777" w:rsidR="00FF476F" w:rsidRDefault="00FF476F" w:rsidP="00FF476F">
            <w:pPr>
              <w:rPr>
                <w:rFonts w:cs="Arial"/>
              </w:rPr>
            </w:pPr>
          </w:p>
        </w:tc>
        <w:tc>
          <w:tcPr>
            <w:tcW w:w="3192" w:type="dxa"/>
          </w:tcPr>
          <w:p w14:paraId="3B901C45" w14:textId="4D657BFC" w:rsidR="00FF476F" w:rsidRDefault="00FF476F" w:rsidP="00FF476F">
            <w:pPr>
              <w:rPr>
                <w:rFonts w:cs="Arial"/>
              </w:rPr>
            </w:pPr>
            <w:r>
              <w:t>Редки</w:t>
            </w:r>
          </w:p>
        </w:tc>
        <w:tc>
          <w:tcPr>
            <w:tcW w:w="3192" w:type="dxa"/>
          </w:tcPr>
          <w:p w14:paraId="229949F3" w14:textId="49524245" w:rsidR="00FF476F" w:rsidRDefault="00FF476F" w:rsidP="00FF476F">
            <w:pPr>
              <w:rPr>
                <w:rFonts w:cs="Arial"/>
              </w:rPr>
            </w:pPr>
            <w:r>
              <w:t>Агранулоцитоза, панцитопения, апластична анемия, мегалобластна анемия, косгномозъчна недостатъчност</w:t>
            </w:r>
          </w:p>
        </w:tc>
      </w:tr>
      <w:tr w:rsidR="00FF476F" w14:paraId="06313876" w14:textId="77777777" w:rsidTr="00FF476F">
        <w:tc>
          <w:tcPr>
            <w:tcW w:w="3192" w:type="dxa"/>
            <w:vMerge w:val="restart"/>
          </w:tcPr>
          <w:p w14:paraId="175720B2" w14:textId="73C53518" w:rsidR="00FF476F" w:rsidRDefault="00FF476F" w:rsidP="00FF476F">
            <w:pPr>
              <w:rPr>
                <w:rFonts w:cs="Arial"/>
              </w:rPr>
            </w:pPr>
            <w:r>
              <w:t>Нарушения на имунната система</w:t>
            </w:r>
          </w:p>
        </w:tc>
        <w:tc>
          <w:tcPr>
            <w:tcW w:w="3192" w:type="dxa"/>
          </w:tcPr>
          <w:p w14:paraId="048E08D6" w14:textId="6F92C65D" w:rsidR="00FF476F" w:rsidRDefault="00FF476F" w:rsidP="00FF476F">
            <w:pPr>
              <w:rPr>
                <w:rFonts w:cs="Arial"/>
              </w:rPr>
            </w:pPr>
            <w:r>
              <w:t>Нечести</w:t>
            </w:r>
          </w:p>
        </w:tc>
        <w:tc>
          <w:tcPr>
            <w:tcW w:w="3192" w:type="dxa"/>
          </w:tcPr>
          <w:p w14:paraId="57F5A7BF" w14:textId="6CD0C64F" w:rsidR="00FF476F" w:rsidRDefault="00FF476F" w:rsidP="00FF476F">
            <w:pPr>
              <w:rPr>
                <w:rFonts w:cs="Arial"/>
              </w:rPr>
            </w:pPr>
            <w:r>
              <w:t>Свръхчувствителност</w:t>
            </w:r>
          </w:p>
        </w:tc>
      </w:tr>
      <w:tr w:rsidR="00FF476F" w14:paraId="05E95DD5" w14:textId="77777777" w:rsidTr="00FF476F">
        <w:tc>
          <w:tcPr>
            <w:tcW w:w="3192" w:type="dxa"/>
            <w:vMerge/>
          </w:tcPr>
          <w:p w14:paraId="294FB3D3" w14:textId="77777777" w:rsidR="00FF476F" w:rsidRDefault="00FF476F" w:rsidP="00FF476F">
            <w:pPr>
              <w:rPr>
                <w:rFonts w:cs="Arial"/>
              </w:rPr>
            </w:pPr>
          </w:p>
        </w:tc>
        <w:tc>
          <w:tcPr>
            <w:tcW w:w="3192" w:type="dxa"/>
          </w:tcPr>
          <w:p w14:paraId="71B27EE4" w14:textId="2054AD87" w:rsidR="00FF476F" w:rsidRDefault="00FF476F" w:rsidP="00FF476F">
            <w:pPr>
              <w:rPr>
                <w:rFonts w:cs="Arial"/>
              </w:rPr>
            </w:pPr>
            <w:r>
              <w:t>Много редки</w:t>
            </w:r>
          </w:p>
        </w:tc>
        <w:tc>
          <w:tcPr>
            <w:tcW w:w="3192" w:type="dxa"/>
          </w:tcPr>
          <w:p w14:paraId="67BAD77A" w14:textId="6B91CC03" w:rsidR="00FF476F" w:rsidRDefault="00FF476F" w:rsidP="00FF476F">
            <w:pPr>
              <w:rPr>
                <w:rFonts w:cs="Arial"/>
              </w:rPr>
            </w:pPr>
            <w:r>
              <w:t>Синдром на Стивънс-Джонсън и токсична епидермална некролиза</w:t>
            </w:r>
          </w:p>
        </w:tc>
      </w:tr>
      <w:tr w:rsidR="00FF476F" w14:paraId="26E9890E" w14:textId="77777777" w:rsidTr="00FF476F">
        <w:tc>
          <w:tcPr>
            <w:tcW w:w="3192" w:type="dxa"/>
          </w:tcPr>
          <w:p w14:paraId="64C1672E" w14:textId="534C833A" w:rsidR="00FF476F" w:rsidRDefault="00FF476F" w:rsidP="00FF476F">
            <w:pPr>
              <w:rPr>
                <w:rFonts w:cs="Arial"/>
              </w:rPr>
            </w:pPr>
            <w:r>
              <w:t>Респираторни, гръдни и медиастинални нарушения</w:t>
            </w:r>
          </w:p>
        </w:tc>
        <w:tc>
          <w:tcPr>
            <w:tcW w:w="3192" w:type="dxa"/>
          </w:tcPr>
          <w:p w14:paraId="6AA02F64" w14:textId="395336E4" w:rsidR="00FF476F" w:rsidRDefault="00FF476F" w:rsidP="00FF476F">
            <w:pPr>
              <w:rPr>
                <w:rFonts w:cs="Arial"/>
              </w:rPr>
            </w:pPr>
            <w:r>
              <w:t>Много редки</w:t>
            </w:r>
          </w:p>
        </w:tc>
        <w:tc>
          <w:tcPr>
            <w:tcW w:w="3192" w:type="dxa"/>
          </w:tcPr>
          <w:p w14:paraId="1E470DCF" w14:textId="486D951B" w:rsidR="00FF476F" w:rsidRDefault="00FF476F" w:rsidP="00FF476F">
            <w:pPr>
              <w:rPr>
                <w:rFonts w:cs="Arial"/>
              </w:rPr>
            </w:pPr>
            <w:r>
              <w:rPr>
                <w:u w:val="single"/>
              </w:rPr>
              <w:t>Обратим пневмонит</w:t>
            </w:r>
          </w:p>
        </w:tc>
      </w:tr>
      <w:tr w:rsidR="00FF476F" w14:paraId="29CD3310" w14:textId="77777777" w:rsidTr="00FF476F">
        <w:tc>
          <w:tcPr>
            <w:tcW w:w="3192" w:type="dxa"/>
            <w:vMerge w:val="restart"/>
          </w:tcPr>
          <w:p w14:paraId="683BA32B" w14:textId="00358330" w:rsidR="00FF476F" w:rsidRDefault="00FF476F" w:rsidP="00FF476F">
            <w:pPr>
              <w:rPr>
                <w:rFonts w:cs="Arial"/>
              </w:rPr>
            </w:pPr>
            <w:r>
              <w:t>Стомашно-чревни нарушения</w:t>
            </w:r>
          </w:p>
        </w:tc>
        <w:tc>
          <w:tcPr>
            <w:tcW w:w="3192" w:type="dxa"/>
          </w:tcPr>
          <w:p w14:paraId="52EF9498" w14:textId="1FF66C98" w:rsidR="00FF476F" w:rsidRDefault="00FF476F" w:rsidP="00FF476F">
            <w:pPr>
              <w:rPr>
                <w:rFonts w:cs="Arial"/>
              </w:rPr>
            </w:pPr>
            <w:r>
              <w:t>Чести</w:t>
            </w:r>
          </w:p>
        </w:tc>
        <w:tc>
          <w:tcPr>
            <w:tcW w:w="3192" w:type="dxa"/>
          </w:tcPr>
          <w:p w14:paraId="4C245B3E" w14:textId="4BB0BC21" w:rsidR="00FF476F" w:rsidRDefault="00FF476F" w:rsidP="00FF476F">
            <w:pPr>
              <w:rPr>
                <w:rFonts w:cs="Arial"/>
              </w:rPr>
            </w:pPr>
            <w:r>
              <w:t>Гадене</w:t>
            </w:r>
          </w:p>
        </w:tc>
      </w:tr>
      <w:tr w:rsidR="00FF476F" w14:paraId="08224B27" w14:textId="77777777" w:rsidTr="00FF476F">
        <w:tc>
          <w:tcPr>
            <w:tcW w:w="3192" w:type="dxa"/>
            <w:vMerge/>
          </w:tcPr>
          <w:p w14:paraId="402CC8FA" w14:textId="77777777" w:rsidR="00FF476F" w:rsidRDefault="00FF476F" w:rsidP="00FF476F">
            <w:pPr>
              <w:rPr>
                <w:rFonts w:cs="Arial"/>
              </w:rPr>
            </w:pPr>
          </w:p>
        </w:tc>
        <w:tc>
          <w:tcPr>
            <w:tcW w:w="3192" w:type="dxa"/>
          </w:tcPr>
          <w:p w14:paraId="1126E255" w14:textId="562E1158" w:rsidR="00FF476F" w:rsidRDefault="00FF476F" w:rsidP="00FF476F">
            <w:pPr>
              <w:rPr>
                <w:rFonts w:cs="Arial"/>
              </w:rPr>
            </w:pPr>
            <w:r>
              <w:t>Нечести</w:t>
            </w:r>
          </w:p>
        </w:tc>
        <w:tc>
          <w:tcPr>
            <w:tcW w:w="3192" w:type="dxa"/>
          </w:tcPr>
          <w:p w14:paraId="1BC5A39C" w14:textId="405C4CE9" w:rsidR="00FF476F" w:rsidRDefault="00FF476F" w:rsidP="00FF476F">
            <w:pPr>
              <w:rPr>
                <w:rFonts w:cs="Arial"/>
              </w:rPr>
            </w:pPr>
            <w:r>
              <w:t>Панкреатит</w:t>
            </w:r>
          </w:p>
        </w:tc>
      </w:tr>
      <w:tr w:rsidR="00FF476F" w14:paraId="184FF2B9" w14:textId="77777777" w:rsidTr="00FF476F">
        <w:tc>
          <w:tcPr>
            <w:tcW w:w="3192" w:type="dxa"/>
            <w:vMerge/>
          </w:tcPr>
          <w:p w14:paraId="26A9C27A" w14:textId="77777777" w:rsidR="00FF476F" w:rsidRDefault="00FF476F" w:rsidP="00FF476F">
            <w:pPr>
              <w:rPr>
                <w:rFonts w:cs="Arial"/>
              </w:rPr>
            </w:pPr>
          </w:p>
        </w:tc>
        <w:tc>
          <w:tcPr>
            <w:tcW w:w="3192" w:type="dxa"/>
          </w:tcPr>
          <w:p w14:paraId="59969BB5" w14:textId="2FFF6EB9" w:rsidR="00FF476F" w:rsidRDefault="00FF476F" w:rsidP="00FF476F">
            <w:pPr>
              <w:rPr>
                <w:rFonts w:cs="Arial"/>
              </w:rPr>
            </w:pPr>
            <w:r>
              <w:t>Много редки</w:t>
            </w:r>
          </w:p>
        </w:tc>
        <w:tc>
          <w:tcPr>
            <w:tcW w:w="3192" w:type="dxa"/>
          </w:tcPr>
          <w:p w14:paraId="01E06359" w14:textId="75476E25" w:rsidR="00FF476F" w:rsidRDefault="00FF476F" w:rsidP="00FF476F">
            <w:pPr>
              <w:rPr>
                <w:rFonts w:cs="Arial"/>
              </w:rPr>
            </w:pPr>
            <w:r>
              <w:t>Колит, дивертикулит и перфорация на червата при пациенти с трансплантация, тежка диария при пациенти с възпалително заболяване на червата</w:t>
            </w:r>
          </w:p>
        </w:tc>
      </w:tr>
      <w:tr w:rsidR="00FF476F" w14:paraId="73AB13C1" w14:textId="77777777" w:rsidTr="00FF476F">
        <w:tc>
          <w:tcPr>
            <w:tcW w:w="3192" w:type="dxa"/>
            <w:vMerge w:val="restart"/>
          </w:tcPr>
          <w:p w14:paraId="4E1F6F30" w14:textId="50597175" w:rsidR="00FF476F" w:rsidRDefault="00FF476F" w:rsidP="00FF476F">
            <w:pPr>
              <w:rPr>
                <w:rFonts w:cs="Arial"/>
              </w:rPr>
            </w:pPr>
            <w:r>
              <w:t>Хепатобилиарни нарушения</w:t>
            </w:r>
          </w:p>
        </w:tc>
        <w:tc>
          <w:tcPr>
            <w:tcW w:w="3192" w:type="dxa"/>
          </w:tcPr>
          <w:p w14:paraId="26F955F6" w14:textId="126284A0" w:rsidR="00FF476F" w:rsidRDefault="00FF476F" w:rsidP="00FF476F">
            <w:pPr>
              <w:rPr>
                <w:rFonts w:cs="Arial"/>
              </w:rPr>
            </w:pPr>
            <w:r>
              <w:t>Нечести</w:t>
            </w:r>
          </w:p>
        </w:tc>
        <w:tc>
          <w:tcPr>
            <w:tcW w:w="3192" w:type="dxa"/>
          </w:tcPr>
          <w:p w14:paraId="466389D2" w14:textId="6886AFE9" w:rsidR="00FF476F" w:rsidRDefault="00FF476F" w:rsidP="00FF476F">
            <w:pPr>
              <w:rPr>
                <w:rFonts w:cs="Arial"/>
              </w:rPr>
            </w:pPr>
            <w:r>
              <w:t>Холестаза</w:t>
            </w:r>
          </w:p>
        </w:tc>
      </w:tr>
      <w:tr w:rsidR="00FF476F" w14:paraId="35F105ED" w14:textId="77777777" w:rsidTr="00FF476F">
        <w:tc>
          <w:tcPr>
            <w:tcW w:w="3192" w:type="dxa"/>
            <w:vMerge/>
          </w:tcPr>
          <w:p w14:paraId="0521C47C" w14:textId="77777777" w:rsidR="00FF476F" w:rsidRDefault="00FF476F" w:rsidP="00FF476F">
            <w:pPr>
              <w:rPr>
                <w:rFonts w:cs="Arial"/>
              </w:rPr>
            </w:pPr>
          </w:p>
        </w:tc>
        <w:tc>
          <w:tcPr>
            <w:tcW w:w="3192" w:type="dxa"/>
          </w:tcPr>
          <w:p w14:paraId="7B7B75C7" w14:textId="121769EB" w:rsidR="00FF476F" w:rsidRDefault="00FF476F" w:rsidP="00FF476F">
            <w:pPr>
              <w:rPr>
                <w:rFonts w:cs="Arial"/>
              </w:rPr>
            </w:pPr>
            <w:r>
              <w:t>Редки</w:t>
            </w:r>
          </w:p>
        </w:tc>
        <w:tc>
          <w:tcPr>
            <w:tcW w:w="3192" w:type="dxa"/>
          </w:tcPr>
          <w:p w14:paraId="4A623DFE" w14:textId="274721E8" w:rsidR="00FF476F" w:rsidRDefault="00FF476F" w:rsidP="00FF476F">
            <w:pPr>
              <w:rPr>
                <w:rFonts w:cs="Arial"/>
              </w:rPr>
            </w:pPr>
            <w:r>
              <w:t>Животозастрашаващо чернодробно увреждане</w:t>
            </w:r>
          </w:p>
        </w:tc>
      </w:tr>
      <w:tr w:rsidR="00FF476F" w14:paraId="4464634D" w14:textId="77777777" w:rsidTr="00FF476F">
        <w:tc>
          <w:tcPr>
            <w:tcW w:w="3192" w:type="dxa"/>
          </w:tcPr>
          <w:p w14:paraId="7A7D27F7" w14:textId="3B914922" w:rsidR="00FF476F" w:rsidRDefault="00FF476F" w:rsidP="00FF476F">
            <w:pPr>
              <w:rPr>
                <w:rFonts w:cs="Arial"/>
              </w:rPr>
            </w:pPr>
            <w:r>
              <w:t>Изследвания</w:t>
            </w:r>
          </w:p>
        </w:tc>
        <w:tc>
          <w:tcPr>
            <w:tcW w:w="3192" w:type="dxa"/>
          </w:tcPr>
          <w:p w14:paraId="2E732AE3" w14:textId="4FAF62BC" w:rsidR="00FF476F" w:rsidRDefault="00FF476F" w:rsidP="00FF476F">
            <w:pPr>
              <w:rPr>
                <w:rFonts w:cs="Arial"/>
              </w:rPr>
            </w:pPr>
            <w:r>
              <w:t>С неизвестна честота</w:t>
            </w:r>
          </w:p>
        </w:tc>
        <w:tc>
          <w:tcPr>
            <w:tcW w:w="3192" w:type="dxa"/>
          </w:tcPr>
          <w:p w14:paraId="13411F8F" w14:textId="166BA7C8" w:rsidR="00FF476F" w:rsidRDefault="00FF476F" w:rsidP="00FF476F">
            <w:pPr>
              <w:rPr>
                <w:rFonts w:cs="Arial"/>
              </w:rPr>
            </w:pPr>
            <w:r>
              <w:t>Абнормни функционални чернодробни изследвания</w:t>
            </w:r>
          </w:p>
        </w:tc>
      </w:tr>
      <w:tr w:rsidR="00FF476F" w14:paraId="73658826" w14:textId="77777777" w:rsidTr="00FF476F">
        <w:tc>
          <w:tcPr>
            <w:tcW w:w="3192" w:type="dxa"/>
            <w:vMerge w:val="restart"/>
          </w:tcPr>
          <w:p w14:paraId="5A425D35" w14:textId="3B106332" w:rsidR="00FF476F" w:rsidRDefault="00FF476F" w:rsidP="00FF476F">
            <w:pPr>
              <w:rPr>
                <w:rFonts w:cs="Arial"/>
              </w:rPr>
            </w:pPr>
            <w:r>
              <w:t>Нарушения на кожата и подкожната тъкан</w:t>
            </w:r>
          </w:p>
        </w:tc>
        <w:tc>
          <w:tcPr>
            <w:tcW w:w="3192" w:type="dxa"/>
          </w:tcPr>
          <w:p w14:paraId="3EFEAB19" w14:textId="7EBA5033" w:rsidR="00FF476F" w:rsidRDefault="00FF476F" w:rsidP="00FF476F">
            <w:pPr>
              <w:rPr>
                <w:rFonts w:cs="Arial"/>
              </w:rPr>
            </w:pPr>
            <w:r>
              <w:t>Редки</w:t>
            </w:r>
          </w:p>
        </w:tc>
        <w:tc>
          <w:tcPr>
            <w:tcW w:w="3192" w:type="dxa"/>
          </w:tcPr>
          <w:p w14:paraId="4AF6A6B0" w14:textId="4CA3A8F7" w:rsidR="00FF476F" w:rsidRDefault="00FF476F" w:rsidP="00FF476F">
            <w:pPr>
              <w:rPr>
                <w:rFonts w:cs="Arial"/>
              </w:rPr>
            </w:pPr>
            <w:r>
              <w:t>Алопеция</w:t>
            </w:r>
          </w:p>
        </w:tc>
      </w:tr>
      <w:tr w:rsidR="00FF476F" w14:paraId="43A3D7E6" w14:textId="77777777" w:rsidTr="00FF476F">
        <w:tc>
          <w:tcPr>
            <w:tcW w:w="3192" w:type="dxa"/>
            <w:vMerge/>
          </w:tcPr>
          <w:p w14:paraId="19250E52" w14:textId="77777777" w:rsidR="00FF476F" w:rsidRDefault="00FF476F" w:rsidP="00FF476F">
            <w:pPr>
              <w:rPr>
                <w:rFonts w:cs="Arial"/>
              </w:rPr>
            </w:pPr>
          </w:p>
        </w:tc>
        <w:tc>
          <w:tcPr>
            <w:tcW w:w="3192" w:type="dxa"/>
          </w:tcPr>
          <w:p w14:paraId="3DA324A6" w14:textId="3D95F00F" w:rsidR="00FF476F" w:rsidRDefault="00FF476F" w:rsidP="00FF476F">
            <w:pPr>
              <w:rPr>
                <w:rFonts w:cs="Arial"/>
              </w:rPr>
            </w:pPr>
            <w:r>
              <w:t>С неизвестна честота</w:t>
            </w:r>
          </w:p>
        </w:tc>
        <w:tc>
          <w:tcPr>
            <w:tcW w:w="3192" w:type="dxa"/>
          </w:tcPr>
          <w:p w14:paraId="36C1CB5F" w14:textId="3C27519B" w:rsidR="00FF476F" w:rsidRDefault="00FF476F" w:rsidP="00FF476F">
            <w:pPr>
              <w:rPr>
                <w:rFonts w:cs="Arial"/>
              </w:rPr>
            </w:pPr>
            <w:r>
              <w:t xml:space="preserve">Остра фебрилна неутрофилна дерматоза (синдром на </w:t>
            </w:r>
            <w:r>
              <w:rPr>
                <w:lang w:val="en-US"/>
              </w:rPr>
              <w:t>Sweet</w:t>
            </w:r>
            <w:r w:rsidRPr="00FF476F">
              <w:rPr>
                <w:lang w:val="ru-RU"/>
              </w:rPr>
              <w:t xml:space="preserve">), </w:t>
            </w:r>
            <w:r>
              <w:t>реакция на фоточувствителност</w:t>
            </w:r>
          </w:p>
        </w:tc>
      </w:tr>
    </w:tbl>
    <w:p w14:paraId="4603C5D9" w14:textId="4B727F33" w:rsidR="00FF476F" w:rsidRDefault="00FF476F" w:rsidP="00FF476F">
      <w:pPr>
        <w:rPr>
          <w:rFonts w:cs="Arial"/>
        </w:rPr>
      </w:pPr>
    </w:p>
    <w:p w14:paraId="7E4368F0" w14:textId="77777777" w:rsidR="00FF476F" w:rsidRPr="00FF476F" w:rsidRDefault="00FF476F" w:rsidP="00FF476F">
      <w:pPr>
        <w:spacing w:line="240" w:lineRule="auto"/>
        <w:rPr>
          <w:rFonts w:eastAsia="Times New Roman" w:cs="Arial"/>
        </w:rPr>
      </w:pPr>
      <w:r w:rsidRPr="00FF476F">
        <w:rPr>
          <w:rFonts w:eastAsia="Times New Roman" w:cs="Arial"/>
          <w:color w:val="000000"/>
          <w:u w:val="single"/>
          <w:lang w:eastAsia="bg-BG"/>
        </w:rPr>
        <w:t>Описание на избрани нежелани лекарствени реакции</w:t>
      </w:r>
    </w:p>
    <w:p w14:paraId="2E2F775C" w14:textId="77777777" w:rsidR="00FF476F" w:rsidRPr="00FF476F" w:rsidRDefault="00FF476F" w:rsidP="00FF476F">
      <w:pPr>
        <w:spacing w:line="240" w:lineRule="auto"/>
        <w:rPr>
          <w:rFonts w:eastAsia="Times New Roman" w:cs="Arial"/>
          <w:b/>
          <w:bCs/>
          <w:color w:val="000000"/>
          <w:lang w:eastAsia="bg-BG"/>
        </w:rPr>
      </w:pPr>
    </w:p>
    <w:p w14:paraId="7B1DAA2F" w14:textId="148ADC3B"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Инфекции и ннфестации</w:t>
      </w:r>
    </w:p>
    <w:p w14:paraId="3C16B59A"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Пациентите, приемащи ИМУРАН като монотерапия или в комбинация с други имуносупресори, по-специално кортикостероиди, са показали повишена податливост на вирусни, гъбични и бактериални инфекции, включително тежки или атипични форми на инфекция с </w:t>
      </w:r>
      <w:r w:rsidRPr="00FF476F">
        <w:rPr>
          <w:rFonts w:eastAsia="Times New Roman" w:cs="Arial"/>
          <w:color w:val="000000"/>
          <w:lang w:val="en-US"/>
        </w:rPr>
        <w:t>VZV</w:t>
      </w:r>
      <w:r w:rsidRPr="00FF476F">
        <w:rPr>
          <w:rFonts w:eastAsia="Times New Roman" w:cs="Arial"/>
          <w:color w:val="000000"/>
          <w:lang w:val="ru-RU"/>
        </w:rPr>
        <w:t xml:space="preserve"> </w:t>
      </w:r>
      <w:r w:rsidRPr="00FF476F">
        <w:rPr>
          <w:rFonts w:eastAsia="Times New Roman" w:cs="Arial"/>
          <w:color w:val="000000"/>
          <w:lang w:eastAsia="bg-BG"/>
        </w:rPr>
        <w:t>(варицела, херпес зостер) и с други инфекциозни агенти (вж. точка 4.4).</w:t>
      </w:r>
    </w:p>
    <w:p w14:paraId="0B81FB1A" w14:textId="77777777" w:rsidR="00FF476F" w:rsidRPr="00FF476F" w:rsidRDefault="00FF476F" w:rsidP="00FF476F">
      <w:pPr>
        <w:spacing w:line="240" w:lineRule="auto"/>
        <w:rPr>
          <w:rFonts w:eastAsia="Times New Roman" w:cs="Arial"/>
          <w:b/>
          <w:bCs/>
          <w:color w:val="000000"/>
          <w:lang w:eastAsia="bg-BG"/>
        </w:rPr>
      </w:pPr>
    </w:p>
    <w:p w14:paraId="4E419768" w14:textId="111270E7"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 xml:space="preserve">Неоплазми - доброкачествени, злокачествени и неопределени (вкл. кисти и полипи) </w:t>
      </w:r>
      <w:r w:rsidRPr="00FF476F">
        <w:rPr>
          <w:rFonts w:eastAsia="Times New Roman" w:cs="Arial"/>
          <w:color w:val="000000"/>
          <w:lang w:eastAsia="bg-BG"/>
        </w:rPr>
        <w:t xml:space="preserve">Пациентите, които получават имуносупресивна терапия, включваща азатиоприн, са изложени на повишен риск от развитие на лимфопролиферативни заболявания и други злокачествени заболявалия, особено кожни карциноми (меланомни и немеланомни), саркоми (сарком на Капоши и други) и </w:t>
      </w:r>
      <w:r w:rsidRPr="00FF476F">
        <w:rPr>
          <w:rFonts w:eastAsia="Times New Roman" w:cs="Arial"/>
          <w:i/>
          <w:iCs/>
          <w:color w:val="000000"/>
          <w:lang w:val="en-US"/>
        </w:rPr>
        <w:t>in</w:t>
      </w:r>
      <w:r w:rsidRPr="00FF476F">
        <w:rPr>
          <w:rFonts w:eastAsia="Times New Roman" w:cs="Arial"/>
          <w:i/>
          <w:iCs/>
          <w:color w:val="000000"/>
          <w:lang w:val="ru-RU"/>
        </w:rPr>
        <w:t xml:space="preserve"> </w:t>
      </w:r>
      <w:r w:rsidRPr="00FF476F">
        <w:rPr>
          <w:rFonts w:eastAsia="Times New Roman" w:cs="Arial"/>
          <w:i/>
          <w:iCs/>
          <w:color w:val="000000"/>
          <w:lang w:val="en-US"/>
        </w:rPr>
        <w:t>situ</w:t>
      </w:r>
      <w:r w:rsidRPr="00FF476F">
        <w:rPr>
          <w:rFonts w:eastAsia="Times New Roman" w:cs="Arial"/>
          <w:color w:val="000000"/>
          <w:lang w:val="ru-RU"/>
        </w:rPr>
        <w:t xml:space="preserve"> </w:t>
      </w:r>
      <w:r w:rsidRPr="00FF476F">
        <w:rPr>
          <w:rFonts w:eastAsia="Times New Roman" w:cs="Arial"/>
          <w:color w:val="000000"/>
          <w:lang w:eastAsia="bg-BG"/>
        </w:rPr>
        <w:t>карцином на шийката на матката. Повишеният риск изглежда е свързан със степента и продължителността на имуносупресия. Съобщава се, че преустановяването на имуносупресивната терапия може да доведе до частично обратно развитие на лимфопролиферативното заболяване.</w:t>
      </w:r>
    </w:p>
    <w:p w14:paraId="455A4F0B"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Има редки съобщения за остра миелоидна левкоза и миелодисплазия (в някои случаи свързани с хромозомни аномалии).</w:t>
      </w:r>
    </w:p>
    <w:p w14:paraId="276339D6" w14:textId="77777777" w:rsidR="00FF476F" w:rsidRPr="00FF476F" w:rsidRDefault="00FF476F" w:rsidP="00FF476F">
      <w:pPr>
        <w:spacing w:line="240" w:lineRule="auto"/>
        <w:rPr>
          <w:rFonts w:eastAsia="Times New Roman" w:cs="Arial"/>
          <w:b/>
          <w:bCs/>
          <w:color w:val="000000"/>
          <w:lang w:eastAsia="bg-BG"/>
        </w:rPr>
      </w:pPr>
    </w:p>
    <w:p w14:paraId="34971FCE" w14:textId="2582D647"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Нарушения на кръвта и лимфната система</w:t>
      </w:r>
    </w:p>
    <w:p w14:paraId="57090BB1" w14:textId="77777777" w:rsidR="00FF476F" w:rsidRPr="00FF476F" w:rsidRDefault="00FF476F" w:rsidP="00FF476F">
      <w:pPr>
        <w:spacing w:line="240" w:lineRule="auto"/>
        <w:rPr>
          <w:rFonts w:eastAsia="Times New Roman" w:cs="Arial"/>
          <w:color w:val="000000"/>
          <w:lang w:eastAsia="bg-BG"/>
        </w:rPr>
      </w:pPr>
    </w:p>
    <w:p w14:paraId="24ABEE44" w14:textId="24AE8AA1" w:rsidR="00FF476F" w:rsidRPr="00FF476F" w:rsidRDefault="00FF476F" w:rsidP="00FF476F">
      <w:pPr>
        <w:spacing w:line="240" w:lineRule="auto"/>
        <w:rPr>
          <w:rFonts w:eastAsia="Times New Roman" w:cs="Arial"/>
        </w:rPr>
      </w:pPr>
      <w:r w:rsidRPr="00FF476F">
        <w:rPr>
          <w:rFonts w:eastAsia="Times New Roman" w:cs="Arial"/>
          <w:color w:val="000000"/>
          <w:lang w:eastAsia="bg-BG"/>
        </w:rPr>
        <w:t>Терапевтичната употреба на ИМУРАН може да бъде свързана със зависима от дозата, в общия случаи обратима костномозъчна супресия, най-често с прояви на левкопения, в някои случаи с анемия и тромбоцитопения и, рядко, с агранулоцитоза, панцитопения и апластична анемия. Тези реакции се проявяват по-специално при пациенти, предразположени към миелотоксичност като тези с дефицит на ТРМТ и бъбречна или чернодробна недостатъчност, както и при пациенти, на които дозата ИМУРАН не е намалена при едновременен прием е алопуринол.</w:t>
      </w:r>
    </w:p>
    <w:p w14:paraId="0286A3D8" w14:textId="6E02D98A" w:rsidR="00FF476F" w:rsidRPr="00FF476F" w:rsidRDefault="00FF476F" w:rsidP="00FF476F">
      <w:pPr>
        <w:rPr>
          <w:rFonts w:eastAsia="Times New Roman" w:cs="Arial"/>
          <w:color w:val="000000"/>
          <w:lang w:eastAsia="bg-BG"/>
        </w:rPr>
      </w:pPr>
      <w:r w:rsidRPr="00FF476F">
        <w:rPr>
          <w:rFonts w:eastAsia="Times New Roman" w:cs="Arial"/>
          <w:color w:val="000000"/>
          <w:lang w:eastAsia="bg-BG"/>
        </w:rPr>
        <w:t>Описва се обратимо, зависимо от дозата повишаване на средния обем и на средното хемоглобиново съдържание в еритроцитите в резултат от терапията с ИМУРАН. Установени са мегалобластни промени в костния мозък, въпреки това случаите на тежка мегалобластна анемия и еритроидна хипоплазия са редки.</w:t>
      </w:r>
    </w:p>
    <w:p w14:paraId="7E606A28" w14:textId="53D57771" w:rsidR="00FF476F" w:rsidRPr="00FF476F" w:rsidRDefault="00FF476F" w:rsidP="00FF476F">
      <w:pPr>
        <w:rPr>
          <w:rFonts w:eastAsia="Times New Roman" w:cs="Arial"/>
          <w:color w:val="000000"/>
          <w:lang w:eastAsia="bg-BG"/>
        </w:rPr>
      </w:pPr>
    </w:p>
    <w:p w14:paraId="5EED4552" w14:textId="77777777"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Нарушения на имунната система</w:t>
      </w:r>
    </w:p>
    <w:p w14:paraId="358D0394" w14:textId="77777777" w:rsidR="00FF476F" w:rsidRPr="00FF476F" w:rsidRDefault="00FF476F" w:rsidP="00FF476F">
      <w:pPr>
        <w:spacing w:line="240" w:lineRule="auto"/>
        <w:rPr>
          <w:rFonts w:eastAsia="Times New Roman" w:cs="Arial"/>
          <w:color w:val="000000"/>
          <w:lang w:eastAsia="bg-BG"/>
        </w:rPr>
      </w:pPr>
    </w:p>
    <w:p w14:paraId="4F89324E" w14:textId="29B23AF8" w:rsidR="00FF476F" w:rsidRPr="00FF476F" w:rsidRDefault="00FF476F" w:rsidP="00FF476F">
      <w:pPr>
        <w:spacing w:line="240" w:lineRule="auto"/>
        <w:rPr>
          <w:rFonts w:eastAsia="Times New Roman" w:cs="Arial"/>
        </w:rPr>
      </w:pPr>
      <w:r w:rsidRPr="00FF476F">
        <w:rPr>
          <w:rFonts w:eastAsia="Times New Roman" w:cs="Arial"/>
          <w:color w:val="000000"/>
          <w:lang w:eastAsia="bg-BG"/>
        </w:rPr>
        <w:t>Епизодично са описвани различни клинични синдроми с характер на идиосинкратични прояви на свръхчувствителност след приложение на ИМУРАН. Те включват общо неразположение, замаяност, гадене, повръщане, диария, фебрилитет, тръпки, екзантем, обриви, еритема нодозум, васкулит, миалгия, артралгия, хипотония, увредена бъбречна функция, увредена чернодробна функция и холестаза (вж. “Хепатобилиарни нарушения”).</w:t>
      </w:r>
    </w:p>
    <w:p w14:paraId="2BD872A0" w14:textId="77777777" w:rsidR="00FF476F" w:rsidRPr="00FF476F" w:rsidRDefault="00FF476F" w:rsidP="00FF476F">
      <w:pPr>
        <w:spacing w:line="240" w:lineRule="auto"/>
        <w:rPr>
          <w:rFonts w:eastAsia="Times New Roman" w:cs="Arial"/>
          <w:color w:val="000000"/>
          <w:lang w:eastAsia="bg-BG"/>
        </w:rPr>
      </w:pPr>
    </w:p>
    <w:p w14:paraId="5D5BBA2B" w14:textId="43B5ADC7" w:rsidR="00FF476F" w:rsidRPr="00FF476F" w:rsidRDefault="00FF476F" w:rsidP="00FF476F">
      <w:pPr>
        <w:spacing w:line="240" w:lineRule="auto"/>
        <w:rPr>
          <w:rFonts w:eastAsia="Times New Roman" w:cs="Arial"/>
        </w:rPr>
      </w:pPr>
      <w:r w:rsidRPr="00FF476F">
        <w:rPr>
          <w:rFonts w:eastAsia="Times New Roman" w:cs="Arial"/>
          <w:color w:val="000000"/>
          <w:lang w:eastAsia="bg-BG"/>
        </w:rPr>
        <w:t>В много случаи повторно развитие на симптомите при последващ прием потвърждава връзката с приема на ИМУРАН.</w:t>
      </w:r>
    </w:p>
    <w:p w14:paraId="49DD23DD" w14:textId="77777777" w:rsidR="00FF476F" w:rsidRPr="00FF476F" w:rsidRDefault="00FF476F" w:rsidP="00FF476F">
      <w:pPr>
        <w:spacing w:line="240" w:lineRule="auto"/>
        <w:rPr>
          <w:rFonts w:eastAsia="Times New Roman" w:cs="Arial"/>
          <w:color w:val="000000"/>
          <w:lang w:eastAsia="bg-BG"/>
        </w:rPr>
      </w:pPr>
    </w:p>
    <w:p w14:paraId="2301E9AD" w14:textId="1E6CAAB2" w:rsidR="00FF476F" w:rsidRPr="00FF476F" w:rsidRDefault="00FF476F" w:rsidP="00FF476F">
      <w:pPr>
        <w:spacing w:line="240" w:lineRule="auto"/>
        <w:rPr>
          <w:rFonts w:eastAsia="Times New Roman" w:cs="Arial"/>
        </w:rPr>
      </w:pPr>
      <w:r w:rsidRPr="00FF476F">
        <w:rPr>
          <w:rFonts w:eastAsia="Times New Roman" w:cs="Arial"/>
          <w:color w:val="000000"/>
          <w:lang w:eastAsia="bg-BG"/>
        </w:rPr>
        <w:lastRenderedPageBreak/>
        <w:t>В повечето случаи след незабавно спиране на приема на азатиоприн и интравенозно приложение на разтвори, при необходимост, се установява подобряване на състоянието.</w:t>
      </w:r>
    </w:p>
    <w:p w14:paraId="51394DDB" w14:textId="77777777" w:rsidR="00FF476F" w:rsidRPr="00FF476F" w:rsidRDefault="00FF476F" w:rsidP="00FF476F">
      <w:pPr>
        <w:spacing w:line="240" w:lineRule="auto"/>
        <w:rPr>
          <w:rFonts w:eastAsia="Times New Roman" w:cs="Arial"/>
          <w:color w:val="000000"/>
          <w:lang w:eastAsia="bg-BG"/>
        </w:rPr>
      </w:pPr>
    </w:p>
    <w:p w14:paraId="1B6E5476" w14:textId="7ED51FFE" w:rsidR="00FF476F" w:rsidRPr="00FF476F" w:rsidRDefault="00FF476F" w:rsidP="00FF476F">
      <w:pPr>
        <w:spacing w:line="240" w:lineRule="auto"/>
        <w:rPr>
          <w:rFonts w:eastAsia="Times New Roman" w:cs="Arial"/>
        </w:rPr>
      </w:pPr>
      <w:r w:rsidRPr="00FF476F">
        <w:rPr>
          <w:rFonts w:eastAsia="Times New Roman" w:cs="Arial"/>
          <w:color w:val="000000"/>
          <w:lang w:eastAsia="bg-BG"/>
        </w:rPr>
        <w:t>Наличието на други заболявания е допринесло за много редките случаи на летален изход.</w:t>
      </w:r>
    </w:p>
    <w:p w14:paraId="2FF5AC06" w14:textId="77777777" w:rsidR="00FF476F" w:rsidRPr="00FF476F" w:rsidRDefault="00FF476F" w:rsidP="00FF476F">
      <w:pPr>
        <w:spacing w:line="240" w:lineRule="auto"/>
        <w:rPr>
          <w:rFonts w:eastAsia="Times New Roman" w:cs="Arial"/>
          <w:color w:val="000000"/>
          <w:lang w:eastAsia="bg-BG"/>
        </w:rPr>
      </w:pPr>
    </w:p>
    <w:p w14:paraId="72AAF8B3" w14:textId="6EFE61AA" w:rsidR="00FF476F" w:rsidRPr="00FF476F" w:rsidRDefault="00FF476F" w:rsidP="00FF476F">
      <w:pPr>
        <w:spacing w:line="240" w:lineRule="auto"/>
        <w:rPr>
          <w:rFonts w:eastAsia="Times New Roman" w:cs="Arial"/>
        </w:rPr>
      </w:pPr>
      <w:r w:rsidRPr="00FF476F">
        <w:rPr>
          <w:rFonts w:eastAsia="Times New Roman" w:cs="Arial"/>
          <w:color w:val="000000"/>
          <w:lang w:eastAsia="bg-BG"/>
        </w:rPr>
        <w:t>При проявена свръхчувствителност към ИМУРАН за всеки индивидуален случаи трябва да се прецени необходимостта от продължаване на терапията с продукта.</w:t>
      </w:r>
    </w:p>
    <w:p w14:paraId="60AD2F59" w14:textId="77777777" w:rsidR="00FF476F" w:rsidRPr="00FF476F" w:rsidRDefault="00FF476F" w:rsidP="00FF476F">
      <w:pPr>
        <w:spacing w:line="240" w:lineRule="auto"/>
        <w:rPr>
          <w:rFonts w:eastAsia="Times New Roman" w:cs="Arial"/>
          <w:b/>
          <w:bCs/>
          <w:color w:val="000000"/>
          <w:lang w:eastAsia="bg-BG"/>
        </w:rPr>
      </w:pPr>
    </w:p>
    <w:p w14:paraId="2413CFF5" w14:textId="3A0EB11B"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Стомашно-чревни нарушения</w:t>
      </w:r>
    </w:p>
    <w:p w14:paraId="7002E4C1" w14:textId="77777777" w:rsidR="00FF476F" w:rsidRPr="00FF476F" w:rsidRDefault="00FF476F" w:rsidP="00FF476F">
      <w:pPr>
        <w:spacing w:line="240" w:lineRule="auto"/>
        <w:rPr>
          <w:rFonts w:eastAsia="Times New Roman" w:cs="Arial"/>
          <w:color w:val="000000"/>
          <w:lang w:eastAsia="bg-BG"/>
        </w:rPr>
      </w:pPr>
    </w:p>
    <w:p w14:paraId="271DB742" w14:textId="1709DA28" w:rsidR="00FF476F" w:rsidRPr="00FF476F" w:rsidRDefault="00FF476F" w:rsidP="00FF476F">
      <w:pPr>
        <w:spacing w:line="240" w:lineRule="auto"/>
        <w:rPr>
          <w:rFonts w:eastAsia="Times New Roman" w:cs="Arial"/>
        </w:rPr>
      </w:pPr>
      <w:r w:rsidRPr="00FF476F">
        <w:rPr>
          <w:rFonts w:eastAsia="Times New Roman" w:cs="Arial"/>
          <w:color w:val="000000"/>
          <w:lang w:eastAsia="bg-BG"/>
        </w:rPr>
        <w:t>Някои пациенти имат гадене при първия прием на азатиоприн. При перорално приложение гаденето изглежда се овладява с вземане на таблетките след хранене. Приложението на таблетките азатиоприн след хранене обаче може да намали пероралната абсорбция, така че при този начин трябва да се обсъди мониториране за терапевтичната ефикасност (вж. точка 5.2).</w:t>
      </w:r>
    </w:p>
    <w:p w14:paraId="21355BA7" w14:textId="77777777" w:rsidR="00FF476F" w:rsidRPr="00FF476F" w:rsidRDefault="00FF476F" w:rsidP="00FF476F">
      <w:pPr>
        <w:spacing w:line="240" w:lineRule="auto"/>
        <w:rPr>
          <w:rFonts w:eastAsia="Times New Roman" w:cs="Arial"/>
          <w:color w:val="000000"/>
          <w:lang w:eastAsia="bg-BG"/>
        </w:rPr>
      </w:pPr>
    </w:p>
    <w:p w14:paraId="3A0C1CDE" w14:textId="37CF27C4" w:rsidR="00FF476F" w:rsidRPr="00FF476F" w:rsidRDefault="00FF476F" w:rsidP="00FF476F">
      <w:pPr>
        <w:spacing w:line="240" w:lineRule="auto"/>
        <w:rPr>
          <w:rFonts w:eastAsia="Times New Roman" w:cs="Arial"/>
        </w:rPr>
      </w:pPr>
      <w:r w:rsidRPr="00FF476F">
        <w:rPr>
          <w:rFonts w:eastAsia="Times New Roman" w:cs="Arial"/>
          <w:color w:val="000000"/>
          <w:lang w:eastAsia="bg-BG"/>
        </w:rPr>
        <w:t>Описват се тежки усложнения, включително колит, дивертикулит и перфорация на червата при имуносупресивна терапия на пациенти с трансплантация. Не е установена точната етиология, като тези реакции може да се дължат и на високите дози кортикостероиди. При лечение на възпалително заболяване на червата с ИМУРАН се описва тежка диария, появяваща се отново при повторно излагане на лекарството. При тези пациенти трябва да се има предвид възможността обострянето на симптомите да е свързано с употребата на лекарствения продукт.</w:t>
      </w:r>
    </w:p>
    <w:p w14:paraId="7DBC4BD5"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При малка част от пациентите, които приемат ИМУРАН, обикновено при такива с трансплантиран бъбрек или при такива с възпалително заболяване на червата, се описва развитие на панкреатит. Като причина за развитие на панкреатит трудно може да се определи приемът на един продукт, въпреки това появата на симптомите отново при повторен прием на продукта насочва към зависимост от приема на ИМУРАН.</w:t>
      </w:r>
    </w:p>
    <w:p w14:paraId="4FF90547" w14:textId="77777777" w:rsidR="00FF476F" w:rsidRPr="00FF476F" w:rsidRDefault="00FF476F" w:rsidP="00FF476F">
      <w:pPr>
        <w:spacing w:line="240" w:lineRule="auto"/>
        <w:rPr>
          <w:rFonts w:eastAsia="Times New Roman" w:cs="Arial"/>
          <w:b/>
          <w:bCs/>
          <w:color w:val="000000"/>
          <w:lang w:eastAsia="bg-BG"/>
        </w:rPr>
      </w:pPr>
    </w:p>
    <w:p w14:paraId="3BB62CC1" w14:textId="6622613B"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Хепатобилиарни нарушения</w:t>
      </w:r>
    </w:p>
    <w:p w14:paraId="4C94187B" w14:textId="77777777" w:rsidR="00FF476F" w:rsidRPr="00FF476F" w:rsidRDefault="00FF476F" w:rsidP="00FF476F">
      <w:pPr>
        <w:spacing w:line="240" w:lineRule="auto"/>
        <w:rPr>
          <w:rFonts w:eastAsia="Times New Roman" w:cs="Arial"/>
          <w:color w:val="000000"/>
          <w:lang w:eastAsia="bg-BG"/>
        </w:rPr>
      </w:pPr>
    </w:p>
    <w:p w14:paraId="56DFC40D" w14:textId="1F4C48DD" w:rsidR="00FF476F" w:rsidRPr="00FF476F" w:rsidRDefault="00FF476F" w:rsidP="00FF476F">
      <w:pPr>
        <w:spacing w:line="240" w:lineRule="auto"/>
        <w:rPr>
          <w:rFonts w:eastAsia="Times New Roman" w:cs="Arial"/>
        </w:rPr>
      </w:pPr>
      <w:r w:rsidRPr="00FF476F">
        <w:rPr>
          <w:rFonts w:eastAsia="Times New Roman" w:cs="Arial"/>
          <w:color w:val="000000"/>
          <w:lang w:eastAsia="bg-BG"/>
        </w:rPr>
        <w:t>Рядко се описват случаи на развитие на холестаза и влошаване на чернодробната функция в резултат от приема на ИМУРАН, които обикновено са обратими при спиране на приема. Те могат да са съпроводени от симптоматика на реакция на свръхчувствителност (вж. „Нарушения на имунната система“).</w:t>
      </w:r>
    </w:p>
    <w:p w14:paraId="79AB3526" w14:textId="77777777" w:rsidR="00FF476F" w:rsidRPr="00FF476F" w:rsidRDefault="00FF476F" w:rsidP="00FF476F">
      <w:pPr>
        <w:spacing w:line="240" w:lineRule="auto"/>
        <w:rPr>
          <w:rFonts w:eastAsia="Times New Roman" w:cs="Arial"/>
          <w:color w:val="000000"/>
          <w:lang w:eastAsia="bg-BG"/>
        </w:rPr>
      </w:pPr>
    </w:p>
    <w:p w14:paraId="6170FBB1" w14:textId="687C0A7C" w:rsidR="00FF476F" w:rsidRPr="00FF476F" w:rsidRDefault="00FF476F" w:rsidP="00FF476F">
      <w:pPr>
        <w:spacing w:line="240" w:lineRule="auto"/>
        <w:rPr>
          <w:rFonts w:eastAsia="Times New Roman" w:cs="Arial"/>
        </w:rPr>
      </w:pPr>
      <w:r w:rsidRPr="00FF476F">
        <w:rPr>
          <w:rFonts w:eastAsia="Times New Roman" w:cs="Arial"/>
          <w:color w:val="000000"/>
          <w:lang w:eastAsia="bg-BG"/>
        </w:rPr>
        <w:t>Има редки съобщения за животозастрашаващо увреждане на чернодробната функция, асоциирано с продължителното приложение на азатиоприн, предимно у пациенти с трансплантация.</w:t>
      </w:r>
    </w:p>
    <w:p w14:paraId="46748E64"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Хистологичните находки включват синусоидна дилатация, чернодробна пелиоза, венооклузивна болест и нодуларна регенеративна хиперплазия.</w:t>
      </w:r>
    </w:p>
    <w:p w14:paraId="2E095A04" w14:textId="77777777" w:rsidR="00FF476F" w:rsidRPr="00FF476F" w:rsidRDefault="00FF476F" w:rsidP="00FF476F">
      <w:pPr>
        <w:rPr>
          <w:rFonts w:eastAsia="Times New Roman" w:cs="Arial"/>
          <w:color w:val="000000"/>
          <w:lang w:eastAsia="bg-BG"/>
        </w:rPr>
      </w:pPr>
    </w:p>
    <w:p w14:paraId="09B9E151" w14:textId="77777777" w:rsidR="00FF476F" w:rsidRPr="00FF476F" w:rsidRDefault="00FF476F" w:rsidP="00FF476F">
      <w:pPr>
        <w:rPr>
          <w:rFonts w:eastAsia="Times New Roman" w:cs="Arial"/>
          <w:color w:val="000000"/>
          <w:lang w:eastAsia="bg-BG"/>
        </w:rPr>
      </w:pPr>
      <w:r w:rsidRPr="00FF476F">
        <w:rPr>
          <w:rFonts w:eastAsia="Times New Roman" w:cs="Arial"/>
          <w:color w:val="000000"/>
          <w:lang w:eastAsia="bg-BG"/>
        </w:rPr>
        <w:t>В някои случаи при спиране на приема на азатиоприн се установява временно или трайно подобрение на симптомите и хистологичната картина на черния дроб.</w:t>
      </w:r>
    </w:p>
    <w:p w14:paraId="61C8426A" w14:textId="77777777" w:rsidR="00FF476F" w:rsidRPr="00FF476F" w:rsidRDefault="00FF476F" w:rsidP="00FF476F">
      <w:pPr>
        <w:rPr>
          <w:rFonts w:eastAsia="Times New Roman" w:cs="Arial"/>
          <w:color w:val="000000"/>
          <w:lang w:eastAsia="bg-BG"/>
        </w:rPr>
      </w:pPr>
    </w:p>
    <w:p w14:paraId="61CEEA7D"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Изследвания</w:t>
      </w:r>
    </w:p>
    <w:p w14:paraId="187B12FE" w14:textId="77777777" w:rsidR="00FF476F" w:rsidRPr="00FF476F" w:rsidRDefault="00FF476F" w:rsidP="00FF476F">
      <w:pPr>
        <w:spacing w:line="240" w:lineRule="auto"/>
        <w:rPr>
          <w:rFonts w:eastAsia="Times New Roman" w:cs="Arial"/>
          <w:color w:val="000000"/>
          <w:lang w:eastAsia="bg-BG"/>
        </w:rPr>
      </w:pPr>
    </w:p>
    <w:p w14:paraId="5A06AB8E" w14:textId="3CAEC9A8" w:rsidR="00FF476F" w:rsidRPr="00FF476F" w:rsidRDefault="00FF476F" w:rsidP="00FF476F">
      <w:pPr>
        <w:spacing w:line="240" w:lineRule="auto"/>
        <w:rPr>
          <w:rFonts w:eastAsia="Times New Roman" w:cs="Arial"/>
        </w:rPr>
      </w:pPr>
      <w:r w:rsidRPr="00FF476F">
        <w:rPr>
          <w:rFonts w:eastAsia="Times New Roman" w:cs="Arial"/>
          <w:color w:val="000000"/>
          <w:lang w:eastAsia="bg-BG"/>
        </w:rPr>
        <w:t>С неизвестна честота: абнормни функционални чернодробни изследвания.</w:t>
      </w:r>
    </w:p>
    <w:p w14:paraId="6586B890" w14:textId="77777777" w:rsidR="00FF476F" w:rsidRPr="00FF476F" w:rsidRDefault="00FF476F" w:rsidP="00FF476F">
      <w:pPr>
        <w:spacing w:line="240" w:lineRule="auto"/>
        <w:rPr>
          <w:rFonts w:eastAsia="Times New Roman" w:cs="Arial"/>
          <w:b/>
          <w:bCs/>
          <w:color w:val="000000"/>
          <w:lang w:eastAsia="bg-BG"/>
        </w:rPr>
      </w:pPr>
    </w:p>
    <w:p w14:paraId="4CF040E0" w14:textId="24C99C87"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lastRenderedPageBreak/>
        <w:t>Нарушения на кожата и подкожната тъкан</w:t>
      </w:r>
    </w:p>
    <w:p w14:paraId="37F5A67F"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Описани са няколко случая на алопеция при пациенти, лекувани с азатиоприн и други имуносупресори. В повечето случаи това състояние се подобрява, независимо от продължаването на терапията. Връзката между приема на азатиоприн и развитието на алопеция е несигурна.</w:t>
      </w:r>
    </w:p>
    <w:p w14:paraId="0B1EEE76" w14:textId="77777777" w:rsidR="00FF476F" w:rsidRPr="00FF476F" w:rsidRDefault="00FF476F" w:rsidP="00FF476F">
      <w:pPr>
        <w:spacing w:line="240" w:lineRule="auto"/>
        <w:rPr>
          <w:rFonts w:eastAsia="Times New Roman" w:cs="Arial"/>
          <w:color w:val="000000"/>
          <w:lang w:eastAsia="bg-BG"/>
        </w:rPr>
      </w:pPr>
    </w:p>
    <w:p w14:paraId="660116CC" w14:textId="7C635E20"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С неизвестна честота: синдром на </w:t>
      </w:r>
      <w:r w:rsidRPr="00FF476F">
        <w:rPr>
          <w:rFonts w:eastAsia="Times New Roman" w:cs="Arial"/>
          <w:color w:val="000000"/>
          <w:lang w:val="en-US"/>
        </w:rPr>
        <w:t>Sweet</w:t>
      </w:r>
      <w:r w:rsidRPr="00FF476F">
        <w:rPr>
          <w:rFonts w:eastAsia="Times New Roman" w:cs="Arial"/>
          <w:color w:val="000000"/>
          <w:lang w:val="ru-RU"/>
        </w:rPr>
        <w:t xml:space="preserve"> </w:t>
      </w:r>
      <w:r w:rsidRPr="00FF476F">
        <w:rPr>
          <w:rFonts w:eastAsia="Times New Roman" w:cs="Arial"/>
          <w:color w:val="000000"/>
          <w:lang w:eastAsia="bg-BG"/>
        </w:rPr>
        <w:t>(остра фебрилна неутрофилна дерматоза), реакция на фоточувствителност.</w:t>
      </w:r>
    </w:p>
    <w:p w14:paraId="3B6526E3" w14:textId="77777777" w:rsidR="00FF476F" w:rsidRPr="00FF476F" w:rsidRDefault="00FF476F" w:rsidP="00FF476F">
      <w:pPr>
        <w:spacing w:line="240" w:lineRule="auto"/>
        <w:rPr>
          <w:rFonts w:eastAsia="Times New Roman" w:cs="Arial"/>
          <w:b/>
          <w:bCs/>
          <w:color w:val="000000"/>
          <w:lang w:eastAsia="bg-BG"/>
        </w:rPr>
      </w:pPr>
    </w:p>
    <w:p w14:paraId="52D486F2" w14:textId="1ABF63D2" w:rsidR="00FF476F" w:rsidRPr="00FF476F" w:rsidRDefault="00FF476F" w:rsidP="00FF476F">
      <w:pPr>
        <w:spacing w:line="240" w:lineRule="auto"/>
        <w:rPr>
          <w:rFonts w:eastAsia="Times New Roman" w:cs="Arial"/>
        </w:rPr>
      </w:pPr>
      <w:r w:rsidRPr="00FF476F">
        <w:rPr>
          <w:rFonts w:eastAsia="Times New Roman" w:cs="Arial"/>
          <w:b/>
          <w:bCs/>
          <w:color w:val="000000"/>
          <w:lang w:eastAsia="bg-BG"/>
        </w:rPr>
        <w:t>Съобщаване на подозирани нежелани реакции</w:t>
      </w:r>
    </w:p>
    <w:p w14:paraId="3E49CEE7" w14:textId="77777777" w:rsidR="00FF476F" w:rsidRPr="00FF476F" w:rsidRDefault="00FF476F" w:rsidP="00FF476F">
      <w:pPr>
        <w:spacing w:line="240" w:lineRule="auto"/>
        <w:rPr>
          <w:rFonts w:eastAsia="Times New Roman" w:cs="Arial"/>
        </w:rPr>
      </w:pPr>
      <w:r w:rsidRPr="00FF476F">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на:</w:t>
      </w:r>
    </w:p>
    <w:p w14:paraId="18444CC1" w14:textId="77777777" w:rsidR="00FF476F" w:rsidRPr="00FF476F" w:rsidRDefault="00FF476F" w:rsidP="00FF476F">
      <w:pPr>
        <w:spacing w:line="240" w:lineRule="auto"/>
        <w:rPr>
          <w:rFonts w:eastAsia="Times New Roman" w:cs="Arial"/>
          <w:color w:val="000000"/>
          <w:lang w:eastAsia="bg-BG"/>
        </w:rPr>
      </w:pPr>
      <w:r w:rsidRPr="00FF476F">
        <w:rPr>
          <w:rFonts w:eastAsia="Times New Roman" w:cs="Arial"/>
          <w:color w:val="000000"/>
          <w:lang w:eastAsia="bg-BG"/>
        </w:rPr>
        <w:t xml:space="preserve">Изпълнителна агенция по лекарствата </w:t>
      </w:r>
    </w:p>
    <w:p w14:paraId="55F0D202" w14:textId="77777777" w:rsidR="00FF476F" w:rsidRPr="00FF476F" w:rsidRDefault="00FF476F" w:rsidP="00FF476F">
      <w:pPr>
        <w:spacing w:line="240" w:lineRule="auto"/>
        <w:rPr>
          <w:rFonts w:eastAsia="Times New Roman" w:cs="Arial"/>
          <w:color w:val="000000"/>
          <w:lang w:eastAsia="bg-BG"/>
        </w:rPr>
      </w:pPr>
      <w:r w:rsidRPr="00FF476F">
        <w:rPr>
          <w:rFonts w:eastAsia="Times New Roman" w:cs="Arial"/>
          <w:color w:val="000000"/>
          <w:lang w:eastAsia="bg-BG"/>
        </w:rPr>
        <w:t xml:space="preserve">ул.,Дамян Груев” № 8, </w:t>
      </w:r>
    </w:p>
    <w:p w14:paraId="563BF5E1" w14:textId="77777777" w:rsidR="00FF476F" w:rsidRPr="00FF476F" w:rsidRDefault="00FF476F" w:rsidP="00FF476F">
      <w:pPr>
        <w:spacing w:line="240" w:lineRule="auto"/>
        <w:rPr>
          <w:rFonts w:eastAsia="Times New Roman" w:cs="Arial"/>
          <w:color w:val="000000"/>
          <w:lang w:eastAsia="bg-BG"/>
        </w:rPr>
      </w:pPr>
      <w:r w:rsidRPr="00FF476F">
        <w:rPr>
          <w:rFonts w:eastAsia="Times New Roman" w:cs="Arial"/>
          <w:color w:val="000000"/>
          <w:lang w:eastAsia="bg-BG"/>
        </w:rPr>
        <w:t xml:space="preserve">1303 София, </w:t>
      </w:r>
    </w:p>
    <w:p w14:paraId="2C146092" w14:textId="77777777" w:rsidR="00FF476F" w:rsidRPr="00FF476F" w:rsidRDefault="00FF476F" w:rsidP="00FF476F">
      <w:pPr>
        <w:spacing w:line="240" w:lineRule="auto"/>
        <w:rPr>
          <w:rFonts w:eastAsia="Times New Roman" w:cs="Arial"/>
          <w:color w:val="000000"/>
          <w:lang w:eastAsia="bg-BG"/>
        </w:rPr>
      </w:pPr>
      <w:r w:rsidRPr="00FF476F">
        <w:rPr>
          <w:rFonts w:eastAsia="Times New Roman" w:cs="Arial"/>
          <w:color w:val="000000"/>
          <w:lang w:eastAsia="bg-BG"/>
        </w:rPr>
        <w:t xml:space="preserve">тел.: +359 2 8903417, </w:t>
      </w:r>
    </w:p>
    <w:p w14:paraId="3093375B" w14:textId="5554AA41" w:rsidR="00FF476F" w:rsidRPr="00FF476F" w:rsidRDefault="00FF476F" w:rsidP="00FF476F">
      <w:pPr>
        <w:spacing w:line="240" w:lineRule="auto"/>
        <w:rPr>
          <w:rFonts w:eastAsia="Times New Roman" w:cs="Arial"/>
        </w:rPr>
      </w:pPr>
      <w:r w:rsidRPr="00FF476F">
        <w:rPr>
          <w:rFonts w:eastAsia="Times New Roman" w:cs="Arial"/>
          <w:color w:val="000000"/>
          <w:lang w:eastAsia="bg-BG"/>
        </w:rPr>
        <w:t xml:space="preserve">уебсайт: </w:t>
      </w:r>
      <w:r w:rsidRPr="00FF476F">
        <w:rPr>
          <w:rFonts w:eastAsia="Times New Roman" w:cs="Arial"/>
        </w:rPr>
        <w:fldChar w:fldCharType="begin"/>
      </w:r>
      <w:r w:rsidRPr="00FF476F">
        <w:rPr>
          <w:rFonts w:eastAsia="Times New Roman" w:cs="Arial"/>
        </w:rPr>
        <w:instrText xml:space="preserve"> HYPERLINK "http://www.bda.bg" </w:instrText>
      </w:r>
      <w:r w:rsidRPr="00FF476F">
        <w:rPr>
          <w:rFonts w:eastAsia="Times New Roman" w:cs="Arial"/>
        </w:rPr>
      </w:r>
      <w:r w:rsidRPr="00FF476F">
        <w:rPr>
          <w:rFonts w:eastAsia="Times New Roman" w:cs="Arial"/>
        </w:rPr>
        <w:fldChar w:fldCharType="separate"/>
      </w:r>
      <w:r w:rsidRPr="00FF476F">
        <w:rPr>
          <w:rFonts w:eastAsia="Times New Roman" w:cs="Arial"/>
          <w:color w:val="000000"/>
          <w:u w:val="single"/>
          <w:lang w:val="en-US"/>
        </w:rPr>
        <w:t>www</w:t>
      </w:r>
      <w:r w:rsidRPr="00FF476F">
        <w:rPr>
          <w:rFonts w:eastAsia="Times New Roman" w:cs="Arial"/>
          <w:color w:val="000000"/>
          <w:u w:val="single"/>
          <w:lang w:val="ru-RU"/>
        </w:rPr>
        <w:t>.</w:t>
      </w:r>
      <w:proofErr w:type="spellStart"/>
      <w:r w:rsidRPr="00FF476F">
        <w:rPr>
          <w:rFonts w:eastAsia="Times New Roman" w:cs="Arial"/>
          <w:color w:val="000000"/>
          <w:u w:val="single"/>
          <w:lang w:val="en-US"/>
        </w:rPr>
        <w:t>bda</w:t>
      </w:r>
      <w:proofErr w:type="spellEnd"/>
      <w:r w:rsidRPr="00FF476F">
        <w:rPr>
          <w:rFonts w:eastAsia="Times New Roman" w:cs="Arial"/>
          <w:color w:val="000000"/>
          <w:u w:val="single"/>
          <w:lang w:val="ru-RU"/>
        </w:rPr>
        <w:t>.</w:t>
      </w:r>
      <w:proofErr w:type="spellStart"/>
      <w:r w:rsidRPr="00FF476F">
        <w:rPr>
          <w:rFonts w:eastAsia="Times New Roman" w:cs="Arial"/>
          <w:color w:val="000000"/>
          <w:u w:val="single"/>
          <w:lang w:val="en-US"/>
        </w:rPr>
        <w:t>bg</w:t>
      </w:r>
      <w:proofErr w:type="spellEnd"/>
      <w:r w:rsidRPr="00FF476F">
        <w:rPr>
          <w:rFonts w:eastAsia="Times New Roman" w:cs="Arial"/>
        </w:rPr>
        <w:fldChar w:fldCharType="end"/>
      </w:r>
    </w:p>
    <w:p w14:paraId="3F540E15" w14:textId="3B059F97" w:rsidR="00FF476F" w:rsidRPr="00FF476F" w:rsidRDefault="00FF476F" w:rsidP="00FF476F">
      <w:pPr>
        <w:rPr>
          <w:rFonts w:cs="Arial"/>
        </w:rPr>
      </w:pPr>
      <w:r w:rsidRPr="00FF476F">
        <w:rPr>
          <w:rFonts w:ascii="Times New Roman" w:eastAsia="Times New Roman" w:hAnsi="Times New Roman" w:cs="Times New Roman"/>
          <w:color w:val="000000"/>
          <w:lang w:eastAsia="bg-BG"/>
        </w:rPr>
        <w:tab/>
      </w:r>
    </w:p>
    <w:p w14:paraId="4ED30546" w14:textId="72828A90" w:rsidR="007C605B" w:rsidRDefault="002C50EE" w:rsidP="009F1313">
      <w:pPr>
        <w:pStyle w:val="Heading2"/>
      </w:pPr>
      <w:r>
        <w:t>4.9. Предозиране</w:t>
      </w:r>
    </w:p>
    <w:p w14:paraId="150AAFB3" w14:textId="56032365" w:rsidR="00FF476F" w:rsidRDefault="00FF476F" w:rsidP="00FF476F"/>
    <w:p w14:paraId="010542E6" w14:textId="77777777" w:rsidR="00FF476F" w:rsidRPr="00FF476F" w:rsidRDefault="00FF476F" w:rsidP="00FF476F">
      <w:pPr>
        <w:pStyle w:val="Heading3"/>
        <w:rPr>
          <w:rFonts w:eastAsia="Times New Roman"/>
          <w:b/>
        </w:rPr>
      </w:pPr>
      <w:r w:rsidRPr="00FF476F">
        <w:rPr>
          <w:rFonts w:eastAsia="Times New Roman"/>
          <w:b/>
          <w:lang w:eastAsia="bg-BG"/>
        </w:rPr>
        <w:t>Симптоми</w:t>
      </w:r>
    </w:p>
    <w:p w14:paraId="41E4149F"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Основните симптоми при предозиране с ИМУРАН са необясними прояви на възпаление, улцерации на лигавицата на гърлото, кръвонасядания и кървене. Те възникват в резултат на костномозъчна супресия, като най-силно са проявени след 9-14 дни. Тези признаци се проявяват по-често при систематично предозиране, като не се очакват при еднократен прием на много висока доза. Описано е предозиране при еднократен перорален прием на 7,5 </w:t>
      </w:r>
      <w:r w:rsidRPr="00FF476F">
        <w:rPr>
          <w:rFonts w:eastAsia="Times New Roman" w:cs="Arial"/>
          <w:color w:val="000000"/>
          <w:lang w:val="en-US"/>
        </w:rPr>
        <w:t>g</w:t>
      </w:r>
      <w:r w:rsidRPr="00FF476F">
        <w:rPr>
          <w:rFonts w:eastAsia="Times New Roman" w:cs="Arial"/>
          <w:color w:val="000000"/>
          <w:lang w:val="ru-RU"/>
        </w:rPr>
        <w:t xml:space="preserve"> </w:t>
      </w:r>
      <w:r w:rsidRPr="00FF476F">
        <w:rPr>
          <w:rFonts w:eastAsia="Times New Roman" w:cs="Arial"/>
          <w:color w:val="000000"/>
          <w:lang w:eastAsia="bg-BG"/>
        </w:rPr>
        <w:t>азатиоприн. В резултат се развиват реакции на токсичност като гадене, повръщане и диария, като по-късно се развиват слабо проявена левкопения и слаби нарушения на чернодробната функция. Възстановяването е без усложнения за организма.</w:t>
      </w:r>
    </w:p>
    <w:p w14:paraId="1E492F50" w14:textId="77777777" w:rsidR="00FF476F" w:rsidRPr="00FF476F" w:rsidRDefault="00FF476F" w:rsidP="00FF476F">
      <w:pPr>
        <w:spacing w:line="240" w:lineRule="auto"/>
        <w:rPr>
          <w:rFonts w:eastAsia="Times New Roman" w:cs="Arial"/>
          <w:b/>
          <w:bCs/>
          <w:color w:val="000000"/>
          <w:lang w:eastAsia="bg-BG"/>
        </w:rPr>
      </w:pPr>
    </w:p>
    <w:p w14:paraId="65F7F1E6" w14:textId="255A8FBE" w:rsidR="00FF476F" w:rsidRPr="00FF476F" w:rsidRDefault="00FF476F" w:rsidP="00FF476F">
      <w:pPr>
        <w:pStyle w:val="Heading3"/>
        <w:rPr>
          <w:rFonts w:eastAsia="Times New Roman"/>
          <w:b/>
        </w:rPr>
      </w:pPr>
      <w:r w:rsidRPr="00FF476F">
        <w:rPr>
          <w:rFonts w:eastAsia="Times New Roman"/>
          <w:b/>
          <w:lang w:eastAsia="bg-BG"/>
        </w:rPr>
        <w:t>Лечение</w:t>
      </w:r>
    </w:p>
    <w:p w14:paraId="7407FD90"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Понеже не съществува специфичен антидот, броят на кръвните елементи трябва да се проследява внимателно и ако е необходимо да се приложат общи поддържащи мерки, заедно с подходяща хемотрансфузия. Активните мерки (като употреба на активен въглен) може да се окажат без ефект при предозиране на азатиоприн, освен ако не са предприети в рамките на 60 минути от самото поглъщане.</w:t>
      </w:r>
    </w:p>
    <w:p w14:paraId="7E090F4D" w14:textId="77777777" w:rsidR="00FF476F" w:rsidRPr="00FF476F" w:rsidRDefault="00FF476F" w:rsidP="00FF476F">
      <w:pPr>
        <w:spacing w:line="240" w:lineRule="auto"/>
        <w:rPr>
          <w:rFonts w:eastAsia="Times New Roman" w:cs="Arial"/>
          <w:color w:val="000000"/>
          <w:lang w:eastAsia="bg-BG"/>
        </w:rPr>
      </w:pPr>
    </w:p>
    <w:p w14:paraId="71976490" w14:textId="78A8C7E2"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По-нататъшното поведение трябва да е в зависимост от клиничните показания или според препоръките на националния център по токсикология, където има такъв.</w:t>
      </w:r>
    </w:p>
    <w:p w14:paraId="3D308186" w14:textId="77777777" w:rsidR="00FF476F" w:rsidRPr="00FF476F" w:rsidRDefault="00FF476F" w:rsidP="00FF476F">
      <w:pPr>
        <w:spacing w:line="240" w:lineRule="auto"/>
        <w:rPr>
          <w:rFonts w:eastAsia="Times New Roman" w:cs="Arial"/>
          <w:color w:val="000000"/>
          <w:lang w:eastAsia="bg-BG"/>
        </w:rPr>
      </w:pPr>
    </w:p>
    <w:p w14:paraId="57F9CDD7" w14:textId="3A2F21CD"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Не е установен ефектът на диализата при предозиране на ИМУРАН, въпреки че азатиоприн може да бъде отчасти отстранен чрез диализа.</w:t>
      </w:r>
    </w:p>
    <w:p w14:paraId="5171AA77" w14:textId="77777777" w:rsidR="00FF476F" w:rsidRPr="00FF476F" w:rsidRDefault="00FF476F" w:rsidP="00FF476F"/>
    <w:p w14:paraId="02081B24" w14:textId="1F46E296" w:rsidR="00395555" w:rsidRPr="00395555" w:rsidRDefault="002C50EE" w:rsidP="008A6AF2">
      <w:pPr>
        <w:pStyle w:val="Heading1"/>
      </w:pPr>
      <w:r>
        <w:lastRenderedPageBreak/>
        <w:t>5. ФАРМАКОЛОГИЧНИ СВОЙСТВА</w:t>
      </w:r>
    </w:p>
    <w:p w14:paraId="5350637D" w14:textId="5B6F4B5B" w:rsidR="00395555" w:rsidRDefault="002C50EE" w:rsidP="008A6AF2">
      <w:pPr>
        <w:pStyle w:val="Heading2"/>
      </w:pPr>
      <w:r>
        <w:t>5.1. Фармакодинамични свойства</w:t>
      </w:r>
    </w:p>
    <w:p w14:paraId="57AACA95" w14:textId="4E2A9EE1" w:rsidR="00FF476F" w:rsidRDefault="00FF476F" w:rsidP="00FF476F"/>
    <w:p w14:paraId="02875818" w14:textId="1D4B343D" w:rsidR="00FF476F" w:rsidRPr="00FF476F" w:rsidRDefault="00FF476F" w:rsidP="00FF476F">
      <w:pPr>
        <w:spacing w:line="240" w:lineRule="auto"/>
        <w:rPr>
          <w:rFonts w:eastAsia="Times New Roman" w:cs="Arial"/>
          <w:color w:val="000000"/>
          <w:lang w:val="ru-RU"/>
        </w:rPr>
      </w:pPr>
      <w:r w:rsidRPr="00FF476F">
        <w:rPr>
          <w:rFonts w:eastAsia="Times New Roman" w:cs="Arial"/>
          <w:color w:val="000000"/>
          <w:lang w:eastAsia="bg-BG"/>
        </w:rPr>
        <w:t>Фармакотсрапевтична група: АНТИНЕОПЛАСТИЧНИ И ИМУ</w:t>
      </w:r>
      <w:r w:rsidRPr="00FF476F">
        <w:rPr>
          <w:rFonts w:eastAsia="Times New Roman" w:cs="Arial"/>
          <w:color w:val="000000"/>
          <w:lang w:val="en-US"/>
        </w:rPr>
        <w:t>HOMO</w:t>
      </w:r>
      <w:r w:rsidRPr="00FF476F">
        <w:rPr>
          <w:rFonts w:eastAsia="Times New Roman" w:cs="Arial"/>
          <w:color w:val="000000"/>
          <w:lang w:eastAsia="bg-BG"/>
        </w:rPr>
        <w:t xml:space="preserve">ДУЛИРАЦИ АГЕНТИ- Имуносупресанти - Други имуносупресанти, АТС код: </w:t>
      </w:r>
      <w:r w:rsidRPr="00FF476F">
        <w:rPr>
          <w:rFonts w:eastAsia="Times New Roman" w:cs="Arial"/>
          <w:color w:val="000000"/>
          <w:lang w:val="en-US"/>
        </w:rPr>
        <w:t>L</w:t>
      </w:r>
      <w:r w:rsidRPr="00FF476F">
        <w:rPr>
          <w:rFonts w:eastAsia="Times New Roman" w:cs="Arial"/>
          <w:color w:val="000000"/>
          <w:lang w:val="ru-RU"/>
        </w:rPr>
        <w:t>04</w:t>
      </w:r>
      <w:r w:rsidRPr="00FF476F">
        <w:rPr>
          <w:rFonts w:eastAsia="Times New Roman" w:cs="Arial"/>
          <w:color w:val="000000"/>
          <w:lang w:val="en-US"/>
        </w:rPr>
        <w:t>AX</w:t>
      </w:r>
      <w:r w:rsidRPr="00FF476F">
        <w:rPr>
          <w:rFonts w:eastAsia="Times New Roman" w:cs="Arial"/>
          <w:color w:val="000000"/>
          <w:lang w:val="ru-RU"/>
        </w:rPr>
        <w:t>01</w:t>
      </w:r>
    </w:p>
    <w:p w14:paraId="691FBF62" w14:textId="01FDFE6D" w:rsidR="00FF476F" w:rsidRPr="00FF476F" w:rsidRDefault="00FF476F" w:rsidP="00FF476F">
      <w:pPr>
        <w:spacing w:line="240" w:lineRule="auto"/>
        <w:rPr>
          <w:rFonts w:eastAsia="Times New Roman" w:cs="Arial"/>
          <w:color w:val="000000"/>
          <w:lang w:val="ru-RU"/>
        </w:rPr>
      </w:pPr>
    </w:p>
    <w:p w14:paraId="4FEA6599"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u w:val="single"/>
          <w:lang w:eastAsia="bg-BG"/>
        </w:rPr>
        <w:t>Механизъм на действие</w:t>
      </w:r>
    </w:p>
    <w:p w14:paraId="6E48812F"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Азатиоприн е про-лекарство на 6-меркаптопурин (6-МР). 6-МР не е активен, но действа като пуринов антагонист и има нужда от клетъчно каптиране и интрацелуларен анаболизъм до тиогуанинови нуклеотиди </w:t>
      </w:r>
      <w:r w:rsidRPr="00FF476F">
        <w:rPr>
          <w:rFonts w:eastAsia="Times New Roman" w:cs="Arial"/>
          <w:color w:val="000000"/>
          <w:lang w:val="ru-RU"/>
        </w:rPr>
        <w:t>(</w:t>
      </w:r>
      <w:r w:rsidRPr="00FF476F">
        <w:rPr>
          <w:rFonts w:eastAsia="Times New Roman" w:cs="Arial"/>
          <w:color w:val="000000"/>
          <w:lang w:val="en-US"/>
        </w:rPr>
        <w:t>TGN</w:t>
      </w:r>
      <w:r w:rsidRPr="00FF476F">
        <w:rPr>
          <w:rFonts w:eastAsia="Times New Roman" w:cs="Arial"/>
          <w:color w:val="000000"/>
          <w:lang w:val="ru-RU"/>
        </w:rPr>
        <w:t xml:space="preserve">) </w:t>
      </w:r>
      <w:r w:rsidRPr="00FF476F">
        <w:rPr>
          <w:rFonts w:eastAsia="Times New Roman" w:cs="Arial"/>
          <w:color w:val="000000"/>
          <w:lang w:eastAsia="bg-BG"/>
        </w:rPr>
        <w:t xml:space="preserve">за имуносупресия, </w:t>
      </w:r>
      <w:r w:rsidRPr="00FF476F">
        <w:rPr>
          <w:rFonts w:eastAsia="Times New Roman" w:cs="Arial"/>
          <w:color w:val="000000"/>
          <w:lang w:val="en-US"/>
        </w:rPr>
        <w:t>TGN</w:t>
      </w:r>
      <w:r w:rsidRPr="00FF476F">
        <w:rPr>
          <w:rFonts w:eastAsia="Times New Roman" w:cs="Arial"/>
          <w:color w:val="000000"/>
          <w:lang w:val="ru-RU"/>
        </w:rPr>
        <w:t xml:space="preserve"> </w:t>
      </w:r>
      <w:r w:rsidRPr="00FF476F">
        <w:rPr>
          <w:rFonts w:eastAsia="Times New Roman" w:cs="Arial"/>
          <w:color w:val="000000"/>
          <w:lang w:eastAsia="bg-BG"/>
        </w:rPr>
        <w:t xml:space="preserve">и другите метаболити (напр. 6-метилмсркаптопуринови рибонуклеотиди) инхибират </w:t>
      </w:r>
      <w:r w:rsidRPr="00FF476F">
        <w:rPr>
          <w:rFonts w:eastAsia="Times New Roman" w:cs="Arial"/>
          <w:i/>
          <w:iCs/>
          <w:color w:val="000000"/>
          <w:lang w:val="en-US"/>
        </w:rPr>
        <w:t>de</w:t>
      </w:r>
      <w:r w:rsidRPr="00FF476F">
        <w:rPr>
          <w:rFonts w:eastAsia="Times New Roman" w:cs="Arial"/>
          <w:i/>
          <w:iCs/>
          <w:color w:val="000000"/>
          <w:lang w:val="ru-RU"/>
        </w:rPr>
        <w:t xml:space="preserve"> </w:t>
      </w:r>
      <w:r w:rsidRPr="00FF476F">
        <w:rPr>
          <w:rFonts w:eastAsia="Times New Roman" w:cs="Arial"/>
          <w:i/>
          <w:iCs/>
          <w:color w:val="000000"/>
          <w:lang w:val="en-US"/>
        </w:rPr>
        <w:t>novo</w:t>
      </w:r>
      <w:r w:rsidRPr="00FF476F">
        <w:rPr>
          <w:rFonts w:eastAsia="Times New Roman" w:cs="Arial"/>
          <w:color w:val="000000"/>
          <w:lang w:val="ru-RU"/>
        </w:rPr>
        <w:t xml:space="preserve"> </w:t>
      </w:r>
      <w:r w:rsidRPr="00FF476F">
        <w:rPr>
          <w:rFonts w:eastAsia="Times New Roman" w:cs="Arial"/>
          <w:color w:val="000000"/>
          <w:lang w:eastAsia="bg-BG"/>
        </w:rPr>
        <w:t xml:space="preserve">синтезата на пурини и взаимното превръщане на пуриновите нуклеотиди. </w:t>
      </w:r>
      <w:r w:rsidRPr="00FF476F">
        <w:rPr>
          <w:rFonts w:eastAsia="Times New Roman" w:cs="Arial"/>
          <w:color w:val="000000"/>
          <w:lang w:val="en-US"/>
        </w:rPr>
        <w:t>TGN</w:t>
      </w:r>
      <w:r w:rsidRPr="00FF476F">
        <w:rPr>
          <w:rFonts w:eastAsia="Times New Roman" w:cs="Arial"/>
          <w:color w:val="000000"/>
          <w:lang w:val="ru-RU"/>
        </w:rPr>
        <w:t xml:space="preserve"> </w:t>
      </w:r>
      <w:r w:rsidRPr="00FF476F">
        <w:rPr>
          <w:rFonts w:eastAsia="Times New Roman" w:cs="Arial"/>
          <w:color w:val="000000"/>
          <w:lang w:eastAsia="bg-BG"/>
        </w:rPr>
        <w:t>се включват и в нуклеинови киселини и това спомага за имуносупресивния ефект на лекарството. Другите потенциални механизми на азатиоприн включват инхибиране на много от пътищата за биосинтеза на нуклеинова киселина, като по този начин се ограничава пролиферацията на клетките, участващи в разпознаването на антигените и активирането на имунния отговор.</w:t>
      </w:r>
    </w:p>
    <w:p w14:paraId="3D49442D" w14:textId="77777777" w:rsidR="00FF476F" w:rsidRPr="00FF476F" w:rsidRDefault="00FF476F" w:rsidP="00FF476F">
      <w:pPr>
        <w:spacing w:line="240" w:lineRule="auto"/>
        <w:rPr>
          <w:rFonts w:eastAsia="Times New Roman" w:cs="Arial"/>
          <w:color w:val="000000"/>
          <w:lang w:eastAsia="bg-BG"/>
        </w:rPr>
      </w:pPr>
    </w:p>
    <w:p w14:paraId="6E90E9C6" w14:textId="7C9A0F48"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Като се имат предвид описаните механизми на действие, терапевтичният ефект на ИМУРАН може да се прояви след няколко седмици или месеца.</w:t>
      </w:r>
    </w:p>
    <w:p w14:paraId="2B3DCACE" w14:textId="77777777" w:rsidR="00FF476F" w:rsidRPr="00FF476F" w:rsidRDefault="00FF476F" w:rsidP="00FF476F">
      <w:pPr>
        <w:spacing w:line="240" w:lineRule="auto"/>
        <w:rPr>
          <w:rFonts w:eastAsia="Times New Roman" w:cs="Arial"/>
          <w:color w:val="000000"/>
          <w:lang w:eastAsia="bg-BG"/>
        </w:rPr>
      </w:pPr>
    </w:p>
    <w:p w14:paraId="48653AF4" w14:textId="6E937D60"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Активността на метиднитроимидазоловия остатък, който е метаболит на азатиоприн, но не 6-МР, не е ясно установена. Въпреки това в някои системи явно причинява промяна в активността на азатиоприн в сравнение с тази за 6-МР.</w:t>
      </w:r>
    </w:p>
    <w:p w14:paraId="541DF507" w14:textId="3D5CCA67" w:rsidR="00FF476F" w:rsidRPr="00FF476F" w:rsidRDefault="00FF476F" w:rsidP="00FF476F">
      <w:pPr>
        <w:rPr>
          <w:rFonts w:cs="Arial"/>
        </w:rPr>
      </w:pPr>
    </w:p>
    <w:p w14:paraId="26535098" w14:textId="2BCD9A2D" w:rsidR="00395555" w:rsidRPr="00FF476F" w:rsidRDefault="002C50EE" w:rsidP="008A6AF2">
      <w:pPr>
        <w:pStyle w:val="Heading2"/>
        <w:rPr>
          <w:rFonts w:cs="Arial"/>
        </w:rPr>
      </w:pPr>
      <w:r w:rsidRPr="00FF476F">
        <w:rPr>
          <w:rFonts w:cs="Arial"/>
        </w:rPr>
        <w:t>5.2. Фармакокинетични свойства</w:t>
      </w:r>
    </w:p>
    <w:p w14:paraId="09A07223" w14:textId="6B476E9F" w:rsidR="00FF476F" w:rsidRPr="00FF476F" w:rsidRDefault="00FF476F" w:rsidP="00FF476F">
      <w:pPr>
        <w:rPr>
          <w:rFonts w:cs="Arial"/>
        </w:rPr>
      </w:pPr>
    </w:p>
    <w:p w14:paraId="1A991174" w14:textId="77777777" w:rsidR="00FF476F" w:rsidRPr="00FF476F" w:rsidRDefault="00FF476F" w:rsidP="00FF476F">
      <w:pPr>
        <w:pStyle w:val="Heading3"/>
        <w:rPr>
          <w:rFonts w:eastAsia="Times New Roman"/>
          <w:u w:val="single"/>
        </w:rPr>
      </w:pPr>
      <w:r w:rsidRPr="00FF476F">
        <w:rPr>
          <w:rFonts w:eastAsia="Times New Roman"/>
          <w:u w:val="single"/>
          <w:lang w:eastAsia="bg-BG"/>
        </w:rPr>
        <w:t>Абсорбция</w:t>
      </w:r>
    </w:p>
    <w:p w14:paraId="7D3F5575"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Абсорцията на азатиоприн е непълна и доста различна. Средната (интервал) абсолютна бионаличност на 6-МР след прилагане на азатиоприн 50 </w:t>
      </w:r>
      <w:r w:rsidRPr="00FF476F">
        <w:rPr>
          <w:rFonts w:eastAsia="Times New Roman" w:cs="Arial"/>
          <w:color w:val="000000"/>
          <w:lang w:val="en-US"/>
        </w:rPr>
        <w:t>mg</w:t>
      </w:r>
      <w:r w:rsidRPr="00FF476F">
        <w:rPr>
          <w:rFonts w:eastAsia="Times New Roman" w:cs="Arial"/>
          <w:color w:val="000000"/>
          <w:lang w:val="ru-RU"/>
        </w:rPr>
        <w:t xml:space="preserve"> </w:t>
      </w:r>
      <w:r w:rsidRPr="00FF476F">
        <w:rPr>
          <w:rFonts w:eastAsia="Times New Roman" w:cs="Arial"/>
          <w:color w:val="000000"/>
          <w:lang w:eastAsia="bg-BG"/>
        </w:rPr>
        <w:t>е 47% (27 - 80%). Степента на абсорбция на азатиоприн е сходна в различните отдели на храносмилателната система, включително стомаха, тънкото черво и цекума. Степента на абсорбция на 6-МР, обаче, след приложение на азатиоприн е вариабилна и се различава между местата на абсорбция, като най-голяма е абсорбцията в тънкото черво, следвана от тази в стомаха и цекума.</w:t>
      </w:r>
    </w:p>
    <w:p w14:paraId="15FE4190" w14:textId="77777777" w:rsidR="00FF476F" w:rsidRPr="00FF476F" w:rsidRDefault="00FF476F" w:rsidP="00FF476F">
      <w:pPr>
        <w:spacing w:line="240" w:lineRule="auto"/>
        <w:rPr>
          <w:rFonts w:eastAsia="Times New Roman" w:cs="Arial"/>
          <w:color w:val="000000"/>
          <w:lang w:eastAsia="bg-BG"/>
        </w:rPr>
      </w:pPr>
    </w:p>
    <w:p w14:paraId="01BE546E" w14:textId="128BBDD5"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Въпреки че няма проучвания за ефекта на храната с азатиоприн, има проведени фармакокинетични проучвания с 6-МР, които са релевантни и за азатиоприн. Средната относителна бионаличност на 6-МР е приблизително 26% по-ниска след прилагане заедно с храна и мляко, в сравнение с прием на гладно сутрин. 6-МР не е стабилен в мляко поради наличието на ксантиноксидаза (30% разпад в рамките на 30 минути) (вж. точка 5.2). Азатиоприн трябва да се прилага поне 1 час преди или 3 часа след прием на храна или мляко (вж. точка 4.2).</w:t>
      </w:r>
    </w:p>
    <w:p w14:paraId="78633F99" w14:textId="77777777" w:rsidR="00FF476F" w:rsidRPr="00FF476F" w:rsidRDefault="00FF476F" w:rsidP="00FF476F">
      <w:pPr>
        <w:spacing w:line="240" w:lineRule="auto"/>
        <w:rPr>
          <w:rFonts w:eastAsia="Times New Roman" w:cs="Arial"/>
          <w:color w:val="000000"/>
          <w:u w:val="single"/>
          <w:lang w:eastAsia="bg-BG"/>
        </w:rPr>
      </w:pPr>
    </w:p>
    <w:p w14:paraId="7DB9BB3A" w14:textId="4B543432" w:rsidR="00FF476F" w:rsidRPr="00FF476F" w:rsidRDefault="00FF476F" w:rsidP="00FF476F">
      <w:pPr>
        <w:pStyle w:val="Heading3"/>
        <w:rPr>
          <w:rFonts w:eastAsia="Times New Roman"/>
          <w:u w:val="single"/>
        </w:rPr>
      </w:pPr>
      <w:r w:rsidRPr="00FF476F">
        <w:rPr>
          <w:rFonts w:eastAsia="Times New Roman"/>
          <w:u w:val="single"/>
          <w:lang w:eastAsia="bg-BG"/>
        </w:rPr>
        <w:t>Разпределение</w:t>
      </w:r>
    </w:p>
    <w:p w14:paraId="595093E9"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Обемът на разпределение при достигане на равновесно състояние </w:t>
      </w:r>
      <w:r w:rsidRPr="00FF476F">
        <w:rPr>
          <w:rFonts w:eastAsia="Times New Roman" w:cs="Arial"/>
          <w:color w:val="000000"/>
          <w:lang w:val="ru-RU"/>
        </w:rPr>
        <w:t>(</w:t>
      </w:r>
      <w:proofErr w:type="spellStart"/>
      <w:r w:rsidRPr="00FF476F">
        <w:rPr>
          <w:rFonts w:eastAsia="Times New Roman" w:cs="Arial"/>
          <w:color w:val="000000"/>
          <w:lang w:val="en-US"/>
        </w:rPr>
        <w:t>V</w:t>
      </w:r>
      <w:r w:rsidRPr="00FF476F">
        <w:rPr>
          <w:rFonts w:eastAsia="Times New Roman" w:cs="Arial"/>
          <w:color w:val="000000"/>
          <w:vertAlign w:val="subscript"/>
          <w:lang w:val="en-US"/>
        </w:rPr>
        <w:t>dss</w:t>
      </w:r>
      <w:proofErr w:type="spellEnd"/>
      <w:r w:rsidRPr="00FF476F">
        <w:rPr>
          <w:rFonts w:eastAsia="Times New Roman" w:cs="Arial"/>
          <w:color w:val="000000"/>
          <w:lang w:val="ru-RU"/>
        </w:rPr>
        <w:t xml:space="preserve">) </w:t>
      </w:r>
      <w:r w:rsidRPr="00FF476F">
        <w:rPr>
          <w:rFonts w:eastAsia="Times New Roman" w:cs="Arial"/>
          <w:color w:val="000000"/>
          <w:lang w:eastAsia="bg-BG"/>
        </w:rPr>
        <w:t xml:space="preserve">на азатиоприн не е известен. Средният (± </w:t>
      </w:r>
      <w:r w:rsidRPr="00FF476F">
        <w:rPr>
          <w:rFonts w:eastAsia="Times New Roman" w:cs="Arial"/>
          <w:color w:val="000000"/>
          <w:lang w:val="en-US"/>
        </w:rPr>
        <w:t>CO</w:t>
      </w:r>
      <w:r w:rsidRPr="00FF476F">
        <w:rPr>
          <w:rFonts w:eastAsia="Times New Roman" w:cs="Arial"/>
          <w:color w:val="000000"/>
          <w:lang w:val="ru-RU"/>
        </w:rPr>
        <w:t xml:space="preserve">) </w:t>
      </w:r>
      <w:r w:rsidRPr="00FF476F">
        <w:rPr>
          <w:rFonts w:eastAsia="Times New Roman" w:cs="Arial"/>
          <w:color w:val="000000"/>
          <w:lang w:eastAsia="bg-BG"/>
        </w:rPr>
        <w:t xml:space="preserve">видим </w:t>
      </w:r>
      <w:proofErr w:type="spellStart"/>
      <w:r w:rsidRPr="00FF476F">
        <w:rPr>
          <w:rFonts w:eastAsia="Times New Roman" w:cs="Arial"/>
          <w:color w:val="000000"/>
          <w:lang w:val="en-US"/>
        </w:rPr>
        <w:t>V</w:t>
      </w:r>
      <w:r w:rsidRPr="00FF476F">
        <w:rPr>
          <w:rFonts w:eastAsia="Times New Roman" w:cs="Arial"/>
          <w:color w:val="000000"/>
          <w:vertAlign w:val="subscript"/>
          <w:lang w:val="en-US"/>
        </w:rPr>
        <w:t>dss</w:t>
      </w:r>
      <w:proofErr w:type="spellEnd"/>
      <w:r w:rsidRPr="00FF476F">
        <w:rPr>
          <w:rFonts w:eastAsia="Times New Roman" w:cs="Arial"/>
          <w:color w:val="000000"/>
          <w:lang w:val="ru-RU"/>
        </w:rPr>
        <w:t xml:space="preserve"> </w:t>
      </w:r>
      <w:r w:rsidRPr="00FF476F">
        <w:rPr>
          <w:rFonts w:eastAsia="Times New Roman" w:cs="Arial"/>
          <w:color w:val="000000"/>
          <w:lang w:eastAsia="bg-BG"/>
        </w:rPr>
        <w:t xml:space="preserve">на 6-МР е 0,9 (±0,8) </w:t>
      </w:r>
      <w:r w:rsidRPr="00FF476F">
        <w:rPr>
          <w:rFonts w:eastAsia="Times New Roman" w:cs="Arial"/>
          <w:color w:val="000000"/>
          <w:lang w:val="ru-RU"/>
        </w:rPr>
        <w:t>1/</w:t>
      </w:r>
      <w:r w:rsidRPr="00FF476F">
        <w:rPr>
          <w:rFonts w:eastAsia="Times New Roman" w:cs="Arial"/>
          <w:color w:val="000000"/>
          <w:lang w:val="en-US"/>
        </w:rPr>
        <w:t>kg</w:t>
      </w:r>
      <w:r w:rsidRPr="00FF476F">
        <w:rPr>
          <w:rFonts w:eastAsia="Times New Roman" w:cs="Arial"/>
          <w:color w:val="000000"/>
          <w:lang w:val="ru-RU"/>
        </w:rPr>
        <w:t xml:space="preserve">, </w:t>
      </w:r>
      <w:r w:rsidRPr="00FF476F">
        <w:rPr>
          <w:rFonts w:eastAsia="Times New Roman" w:cs="Arial"/>
          <w:color w:val="000000"/>
          <w:lang w:eastAsia="bg-BG"/>
        </w:rPr>
        <w:t xml:space="preserve">въпреки че това може </w:t>
      </w:r>
      <w:r w:rsidRPr="00FF476F">
        <w:rPr>
          <w:rFonts w:eastAsia="Times New Roman" w:cs="Arial"/>
          <w:color w:val="000000"/>
          <w:lang w:eastAsia="bg-BG"/>
        </w:rPr>
        <w:lastRenderedPageBreak/>
        <w:t>да бъде подценено, понеже 6-МР се отделя от целия организъм (и не само от черния дроб).</w:t>
      </w:r>
    </w:p>
    <w:p w14:paraId="6201EFA8" w14:textId="77777777" w:rsidR="00FF476F" w:rsidRPr="00FF476F" w:rsidRDefault="00FF476F" w:rsidP="00FF476F">
      <w:pPr>
        <w:spacing w:line="240" w:lineRule="auto"/>
        <w:rPr>
          <w:rFonts w:eastAsia="Times New Roman" w:cs="Arial"/>
          <w:color w:val="000000"/>
          <w:lang w:eastAsia="bg-BG"/>
        </w:rPr>
      </w:pPr>
    </w:p>
    <w:p w14:paraId="03473B86" w14:textId="26D55A9D"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Приблизително 30% от азатиоприн е свързан с белтък.</w:t>
      </w:r>
    </w:p>
    <w:p w14:paraId="27EF6A7F" w14:textId="77777777" w:rsidR="00FF476F" w:rsidRPr="00FF476F" w:rsidRDefault="00FF476F" w:rsidP="00FF476F">
      <w:pPr>
        <w:spacing w:line="240" w:lineRule="auto"/>
        <w:rPr>
          <w:rFonts w:eastAsia="Times New Roman" w:cs="Arial"/>
          <w:color w:val="000000"/>
          <w:lang w:eastAsia="bg-BG"/>
        </w:rPr>
      </w:pPr>
    </w:p>
    <w:p w14:paraId="5EC32A0B" w14:textId="54BE69D8"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Концентрациите на 6-МР в цереброспиналната течност (ЦСТ) са ниски или пренебрежими след интравенозно или перорално приложение на 6-МР.</w:t>
      </w:r>
    </w:p>
    <w:p w14:paraId="09D1E803" w14:textId="77777777" w:rsidR="00FF476F" w:rsidRPr="00FF476F" w:rsidRDefault="00FF476F" w:rsidP="00FF476F">
      <w:pPr>
        <w:spacing w:line="240" w:lineRule="auto"/>
        <w:rPr>
          <w:rFonts w:eastAsia="Times New Roman" w:cs="Arial"/>
          <w:color w:val="000000"/>
          <w:u w:val="single"/>
          <w:lang w:eastAsia="bg-BG"/>
        </w:rPr>
      </w:pPr>
    </w:p>
    <w:p w14:paraId="0030C1D7" w14:textId="5625F918" w:rsidR="00FF476F" w:rsidRPr="00FF476F" w:rsidRDefault="00FF476F" w:rsidP="00FF476F">
      <w:pPr>
        <w:pStyle w:val="Heading3"/>
        <w:rPr>
          <w:rFonts w:eastAsia="Times New Roman"/>
          <w:u w:val="single"/>
        </w:rPr>
      </w:pPr>
      <w:r w:rsidRPr="00FF476F">
        <w:rPr>
          <w:rFonts w:eastAsia="Times New Roman"/>
          <w:u w:val="single"/>
          <w:lang w:eastAsia="bg-BG"/>
        </w:rPr>
        <w:t>Биогрансформапия</w:t>
      </w:r>
    </w:p>
    <w:p w14:paraId="6923F790" w14:textId="77777777" w:rsidR="00FF476F" w:rsidRPr="00FF476F" w:rsidRDefault="00FF476F" w:rsidP="00FF476F">
      <w:pPr>
        <w:rPr>
          <w:rFonts w:eastAsia="Times New Roman" w:cs="Arial"/>
          <w:sz w:val="24"/>
          <w:szCs w:val="24"/>
        </w:rPr>
      </w:pPr>
      <w:r w:rsidRPr="00FF476F">
        <w:rPr>
          <w:rFonts w:eastAsia="Times New Roman" w:cs="Arial"/>
          <w:color w:val="000000"/>
          <w:lang w:eastAsia="bg-BG"/>
        </w:rPr>
        <w:t xml:space="preserve">Азатиоприн се разгражда бързо </w:t>
      </w:r>
      <w:r w:rsidRPr="00FF476F">
        <w:rPr>
          <w:rFonts w:eastAsia="Times New Roman" w:cs="Arial"/>
          <w:i/>
          <w:iCs/>
          <w:color w:val="000000"/>
          <w:lang w:val="en-US"/>
        </w:rPr>
        <w:t>in</w:t>
      </w:r>
      <w:r w:rsidRPr="00FF476F">
        <w:rPr>
          <w:rFonts w:eastAsia="Times New Roman" w:cs="Arial"/>
          <w:i/>
          <w:iCs/>
          <w:color w:val="000000"/>
          <w:lang w:val="ru-RU"/>
        </w:rPr>
        <w:t xml:space="preserve"> </w:t>
      </w:r>
      <w:r w:rsidRPr="00FF476F">
        <w:rPr>
          <w:rFonts w:eastAsia="Times New Roman" w:cs="Arial"/>
          <w:i/>
          <w:iCs/>
          <w:color w:val="000000"/>
          <w:lang w:val="en-US"/>
        </w:rPr>
        <w:t>vivo</w:t>
      </w:r>
      <w:r w:rsidRPr="00FF476F">
        <w:rPr>
          <w:rFonts w:eastAsia="Times New Roman" w:cs="Arial"/>
          <w:color w:val="000000"/>
          <w:lang w:val="ru-RU"/>
        </w:rPr>
        <w:t xml:space="preserve"> </w:t>
      </w:r>
      <w:r w:rsidRPr="00FF476F">
        <w:rPr>
          <w:rFonts w:eastAsia="Times New Roman" w:cs="Arial"/>
          <w:color w:val="000000"/>
          <w:lang w:eastAsia="bg-BG"/>
        </w:rPr>
        <w:t>от глутатион-трансферазата до 6-МР и метилнитро- имидазолов остатък. 6-МР лесно преминава през клетъчните мембрани и до голяма степен се метаболизира по множество многоетапни пътища до активни и неактивни метаболити, без да доминира един определен ензим. Поради комплексния метаболизъм, инхибирането на един ензим</w:t>
      </w:r>
      <w:r w:rsidRPr="00FF476F">
        <w:rPr>
          <w:rFonts w:eastAsia="Times New Roman" w:cs="Arial"/>
          <w:smallCaps/>
          <w:color w:val="000000"/>
          <w:lang w:eastAsia="bg-BG"/>
        </w:rPr>
        <w:t xml:space="preserve"> </w:t>
      </w:r>
      <w:r w:rsidRPr="00FF476F">
        <w:rPr>
          <w:rFonts w:eastAsia="Times New Roman" w:cs="Arial"/>
          <w:color w:val="000000"/>
          <w:lang w:eastAsia="bg-BG"/>
        </w:rPr>
        <w:t xml:space="preserve">не обяснява всички случаи на липса на ефикасност и/или изразена миелосупресия Преобладаващите ензими, отговорни за метаболизма на 6-МР или производните му метаболити са полиморфният ензим тиопурин-Б-метилтрансфераза (ТРМТ) (вж. точка 4.4), ксантин оксидаза (вж точка 4.5 и точка 5.2), инозинмонофосфатдехидрогеназа </w:t>
      </w:r>
      <w:r w:rsidRPr="00FF476F">
        <w:rPr>
          <w:rFonts w:eastAsia="Times New Roman" w:cs="Arial"/>
          <w:color w:val="000000"/>
          <w:lang w:val="ru-RU"/>
        </w:rPr>
        <w:t>(</w:t>
      </w:r>
      <w:r w:rsidRPr="00FF476F">
        <w:rPr>
          <w:rFonts w:eastAsia="Times New Roman" w:cs="Arial"/>
          <w:color w:val="000000"/>
          <w:lang w:val="en-US"/>
        </w:rPr>
        <w:t>IMPDH</w:t>
      </w:r>
      <w:r w:rsidRPr="00FF476F">
        <w:rPr>
          <w:rFonts w:eastAsia="Times New Roman" w:cs="Arial"/>
          <w:color w:val="000000"/>
          <w:lang w:val="ru-RU"/>
        </w:rPr>
        <w:t xml:space="preserve">) </w:t>
      </w:r>
      <w:r w:rsidRPr="00FF476F">
        <w:rPr>
          <w:rFonts w:eastAsia="Times New Roman" w:cs="Arial"/>
          <w:color w:val="000000"/>
          <w:lang w:eastAsia="bg-BG"/>
        </w:rPr>
        <w:t xml:space="preserve">(вж. точка 4.5) и хипоксантин- гуанинфосфорибозилтрансфераза </w:t>
      </w:r>
      <w:r w:rsidRPr="00FF476F">
        <w:rPr>
          <w:rFonts w:eastAsia="Times New Roman" w:cs="Arial"/>
          <w:color w:val="000000"/>
          <w:lang w:val="ru-RU"/>
        </w:rPr>
        <w:t>(</w:t>
      </w:r>
      <w:r w:rsidRPr="00FF476F">
        <w:rPr>
          <w:rFonts w:eastAsia="Times New Roman" w:cs="Arial"/>
          <w:color w:val="000000"/>
          <w:lang w:val="en-US"/>
        </w:rPr>
        <w:t>HPRT</w:t>
      </w:r>
      <w:r w:rsidRPr="00FF476F">
        <w:rPr>
          <w:rFonts w:eastAsia="Times New Roman" w:cs="Arial"/>
          <w:color w:val="000000"/>
          <w:lang w:val="ru-RU"/>
        </w:rPr>
        <w:t xml:space="preserve">). </w:t>
      </w:r>
      <w:r w:rsidRPr="00FF476F">
        <w:rPr>
          <w:rFonts w:eastAsia="Times New Roman" w:cs="Arial"/>
          <w:color w:val="000000"/>
          <w:lang w:eastAsia="bg-BG"/>
        </w:rPr>
        <w:t xml:space="preserve">Ензимите, допълнително включени в образуването на активни и неактивни метаболити, са: гуанозинмонофосфатсинтетаза </w:t>
      </w:r>
      <w:r w:rsidRPr="00FF476F">
        <w:rPr>
          <w:rFonts w:eastAsia="Times New Roman" w:cs="Arial"/>
          <w:color w:val="000000"/>
          <w:lang w:val="ru-RU"/>
        </w:rPr>
        <w:t>(</w:t>
      </w:r>
      <w:r w:rsidRPr="00FF476F">
        <w:rPr>
          <w:rFonts w:eastAsia="Times New Roman" w:cs="Arial"/>
          <w:color w:val="000000"/>
          <w:lang w:val="en-US"/>
        </w:rPr>
        <w:t>GMPS</w:t>
      </w:r>
      <w:r w:rsidRPr="00FF476F">
        <w:rPr>
          <w:rFonts w:eastAsia="Times New Roman" w:cs="Arial"/>
          <w:color w:val="000000"/>
          <w:lang w:val="ru-RU"/>
        </w:rPr>
        <w:t xml:space="preserve">, </w:t>
      </w:r>
      <w:r w:rsidRPr="00FF476F">
        <w:rPr>
          <w:rFonts w:eastAsia="Times New Roman" w:cs="Arial"/>
          <w:color w:val="000000"/>
          <w:lang w:eastAsia="bg-BG"/>
        </w:rPr>
        <w:t xml:space="preserve">която образува </w:t>
      </w:r>
      <w:r w:rsidRPr="00FF476F">
        <w:rPr>
          <w:rFonts w:eastAsia="Times New Roman" w:cs="Arial"/>
          <w:color w:val="000000"/>
          <w:lang w:val="en-US"/>
        </w:rPr>
        <w:t>TGN</w:t>
      </w:r>
      <w:r w:rsidRPr="00FF476F">
        <w:rPr>
          <w:rFonts w:eastAsia="Times New Roman" w:cs="Arial"/>
          <w:color w:val="000000"/>
          <w:lang w:val="ru-RU"/>
        </w:rPr>
        <w:t xml:space="preserve">) </w:t>
      </w:r>
      <w:r w:rsidRPr="00FF476F">
        <w:rPr>
          <w:rFonts w:eastAsia="Times New Roman" w:cs="Arial"/>
          <w:color w:val="000000"/>
          <w:lang w:eastAsia="bg-BG"/>
        </w:rPr>
        <w:t xml:space="preserve">и инозинтрифосфатпирофосфатаза </w:t>
      </w:r>
      <w:r w:rsidRPr="00FF476F">
        <w:rPr>
          <w:rFonts w:eastAsia="Times New Roman" w:cs="Arial"/>
          <w:color w:val="000000"/>
          <w:lang w:val="ru-RU"/>
        </w:rPr>
        <w:t>(</w:t>
      </w:r>
      <w:proofErr w:type="spellStart"/>
      <w:r w:rsidRPr="00FF476F">
        <w:rPr>
          <w:rFonts w:eastAsia="Times New Roman" w:cs="Arial"/>
          <w:color w:val="000000"/>
          <w:lang w:val="en-US"/>
        </w:rPr>
        <w:t>ITPase</w:t>
      </w:r>
      <w:proofErr w:type="spellEnd"/>
      <w:r w:rsidRPr="00FF476F">
        <w:rPr>
          <w:rFonts w:eastAsia="Times New Roman" w:cs="Arial"/>
          <w:color w:val="000000"/>
          <w:lang w:val="ru-RU"/>
        </w:rPr>
        <w:t xml:space="preserve">). </w:t>
      </w:r>
      <w:r w:rsidRPr="00FF476F">
        <w:rPr>
          <w:rFonts w:eastAsia="Times New Roman" w:cs="Arial"/>
          <w:color w:val="000000"/>
          <w:lang w:eastAsia="bg-BG"/>
        </w:rPr>
        <w:t>Самият азатиоприн също се метаболизира от алдехид- оксидаза до получаване на 8-хидроксиазатиоприн, който може да бъде активен. Има и множество неактивни метаболити, образувани по други пътища.</w:t>
      </w:r>
    </w:p>
    <w:p w14:paraId="7D6AC864" w14:textId="77777777" w:rsidR="00FF476F" w:rsidRPr="00FF476F" w:rsidRDefault="00FF476F" w:rsidP="00FF476F">
      <w:pPr>
        <w:spacing w:line="240" w:lineRule="auto"/>
        <w:rPr>
          <w:rFonts w:eastAsia="Times New Roman" w:cs="Arial"/>
          <w:color w:val="000000"/>
          <w:lang w:eastAsia="bg-BG"/>
        </w:rPr>
      </w:pPr>
    </w:p>
    <w:p w14:paraId="23DD48B3" w14:textId="29675D15"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Има данни, че полиморфизмът на гените, кодиращи различните ензимни системи, включени в метаболизма на азатиоприн, може да предскаже нежелани лекарствени реакции при лечението с азатиоприн.</w:t>
      </w:r>
    </w:p>
    <w:p w14:paraId="291BC528" w14:textId="77777777" w:rsidR="00FF476F" w:rsidRPr="00FF476F" w:rsidRDefault="00FF476F" w:rsidP="00FF476F">
      <w:pPr>
        <w:spacing w:line="240" w:lineRule="auto"/>
        <w:rPr>
          <w:rFonts w:eastAsia="Times New Roman" w:cs="Arial"/>
          <w:i/>
          <w:iCs/>
          <w:color w:val="000000"/>
          <w:lang w:val="ru-RU"/>
        </w:rPr>
      </w:pPr>
    </w:p>
    <w:p w14:paraId="7B3AB864" w14:textId="5C9A5E2D" w:rsidR="00FF476F" w:rsidRPr="00FF476F" w:rsidRDefault="00FF476F" w:rsidP="00FF476F">
      <w:pPr>
        <w:spacing w:line="240" w:lineRule="auto"/>
        <w:rPr>
          <w:rFonts w:eastAsia="Times New Roman" w:cs="Arial"/>
          <w:sz w:val="24"/>
          <w:szCs w:val="24"/>
        </w:rPr>
      </w:pPr>
      <w:proofErr w:type="spellStart"/>
      <w:r w:rsidRPr="00FF476F">
        <w:rPr>
          <w:rFonts w:eastAsia="Times New Roman" w:cs="Arial"/>
          <w:i/>
          <w:iCs/>
          <w:color w:val="000000"/>
          <w:lang w:val="en-US"/>
        </w:rPr>
        <w:t>Tuonypu</w:t>
      </w:r>
      <w:proofErr w:type="spellEnd"/>
      <w:r w:rsidRPr="00FF476F">
        <w:rPr>
          <w:rFonts w:eastAsia="Times New Roman" w:cs="Arial"/>
          <w:i/>
          <w:iCs/>
          <w:color w:val="000000"/>
          <w:lang w:eastAsia="bg-BG"/>
        </w:rPr>
        <w:t>н</w:t>
      </w:r>
      <w:r w:rsidRPr="00FF476F">
        <w:rPr>
          <w:rFonts w:eastAsia="Times New Roman" w:cs="Arial"/>
          <w:i/>
          <w:iCs/>
          <w:color w:val="000000"/>
          <w:lang w:val="ru-RU"/>
        </w:rPr>
        <w:t>-</w:t>
      </w:r>
      <w:r w:rsidRPr="00FF476F">
        <w:rPr>
          <w:rFonts w:eastAsia="Times New Roman" w:cs="Arial"/>
          <w:i/>
          <w:iCs/>
          <w:color w:val="000000"/>
          <w:lang w:val="en-US"/>
        </w:rPr>
        <w:t>S</w:t>
      </w:r>
      <w:r w:rsidRPr="00FF476F">
        <w:rPr>
          <w:rFonts w:eastAsia="Times New Roman" w:cs="Arial"/>
          <w:i/>
          <w:iCs/>
          <w:color w:val="000000"/>
          <w:lang w:eastAsia="bg-BG"/>
        </w:rPr>
        <w:t>-метилтрансфераза (ТРМТ)</w:t>
      </w:r>
    </w:p>
    <w:p w14:paraId="585C00DF" w14:textId="77777777" w:rsidR="00FF476F" w:rsidRPr="00FF476F" w:rsidRDefault="00FF476F" w:rsidP="00FF476F">
      <w:pPr>
        <w:spacing w:line="240" w:lineRule="auto"/>
        <w:rPr>
          <w:rFonts w:eastAsia="Times New Roman" w:cs="Arial"/>
          <w:color w:val="000000"/>
          <w:lang w:eastAsia="bg-BG"/>
        </w:rPr>
      </w:pPr>
    </w:p>
    <w:p w14:paraId="16C0CB78" w14:textId="4DB5F3EF"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Активността на ТРМТ е обратно свързана с 6-МР концентрацията на тиогуаниновите нуклеотиди, получена в еритроцитите, като по-високите концентрации на тиогуаниновите нуклеотиди водят до по-голям спад в броя на белите кръвни клетки и неутрофилите. Индивидите с дефицит на ТРМТ развиват много високи цитотоксични концентрации на тиогуаниновите нуклеотиди.</w:t>
      </w:r>
    </w:p>
    <w:p w14:paraId="0992543A" w14:textId="77777777" w:rsidR="00FF476F" w:rsidRPr="00FF476F" w:rsidRDefault="00FF476F" w:rsidP="00FF476F">
      <w:pPr>
        <w:spacing w:line="240" w:lineRule="auto"/>
        <w:rPr>
          <w:rFonts w:eastAsia="Times New Roman" w:cs="Arial"/>
          <w:color w:val="000000"/>
          <w:lang w:eastAsia="bg-BG"/>
        </w:rPr>
      </w:pPr>
    </w:p>
    <w:p w14:paraId="7D4A66DF" w14:textId="30495D70"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Изследвания на генотипа могат да определят типа алели на даден пациент. В настоящия момент на 3 алела -ТРМТ*2, ТРМТ*ЗА и ТРМТ*ЗС - се падат около 95% от всички индивиди с понижена активност на ТРМТ. Приблизително 0,3% (1:300) от пациентите имат два нефункциониращи алела (хомозиготен дефицит) на гена за ТРМТ и имат ниска или недоловима ензимна активност. Приблизително 10% от пациентите имат един нефункциониращ алел за ТРМТ (хетерозиготи), което води до ниска или средна активност на ТРМТ и 90% от индивидите имат нормална активност на ТРМТ с два функциониращи алела. Възможно е да има и група от приблизително 2%, които имат много висока ТРМТ активност. Фенотипните тестове определят нивото на тиопуриновите нуклеотиди или активността на ТРМТ в еритроцити и също могат да бъдат информативни (вж. точка 4.4).</w:t>
      </w:r>
    </w:p>
    <w:p w14:paraId="15E5E9DC" w14:textId="77777777" w:rsidR="00FF476F" w:rsidRPr="00FF476F" w:rsidRDefault="00FF476F" w:rsidP="00FF476F">
      <w:pPr>
        <w:spacing w:line="240" w:lineRule="auto"/>
        <w:rPr>
          <w:rFonts w:eastAsia="Times New Roman" w:cs="Arial"/>
          <w:color w:val="000000"/>
          <w:u w:val="single"/>
          <w:lang w:eastAsia="bg-BG"/>
        </w:rPr>
      </w:pPr>
    </w:p>
    <w:p w14:paraId="2A5986A1" w14:textId="33712003" w:rsidR="00FF476F" w:rsidRPr="00FF476F" w:rsidRDefault="00FF476F" w:rsidP="00FF476F">
      <w:pPr>
        <w:pStyle w:val="Heading3"/>
        <w:rPr>
          <w:rFonts w:eastAsia="Times New Roman"/>
          <w:u w:val="single"/>
        </w:rPr>
      </w:pPr>
      <w:r w:rsidRPr="00FF476F">
        <w:rPr>
          <w:rFonts w:eastAsia="Times New Roman"/>
          <w:u w:val="single"/>
          <w:lang w:eastAsia="bg-BG"/>
        </w:rPr>
        <w:lastRenderedPageBreak/>
        <w:t>Елиминиране</w:t>
      </w:r>
    </w:p>
    <w:p w14:paraId="478E8DA7"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След перорално приложение на 100 </w:t>
      </w:r>
      <w:r w:rsidRPr="00FF476F">
        <w:rPr>
          <w:rFonts w:eastAsia="Times New Roman" w:cs="Arial"/>
          <w:color w:val="000000"/>
          <w:lang w:val="en-US"/>
        </w:rPr>
        <w:t>mg</w:t>
      </w:r>
      <w:r w:rsidRPr="00FF476F">
        <w:rPr>
          <w:rFonts w:eastAsia="Times New Roman" w:cs="Arial"/>
          <w:color w:val="000000"/>
          <w:lang w:val="ru-RU"/>
        </w:rPr>
        <w:t xml:space="preserve"> </w:t>
      </w:r>
      <w:r w:rsidRPr="00FF476F">
        <w:rPr>
          <w:rFonts w:eastAsia="Times New Roman" w:cs="Arial"/>
          <w:color w:val="000000"/>
          <w:vertAlign w:val="superscript"/>
          <w:lang w:eastAsia="bg-BG"/>
        </w:rPr>
        <w:t>35</w:t>
      </w:r>
      <w:r w:rsidRPr="00FF476F">
        <w:rPr>
          <w:rFonts w:eastAsia="Times New Roman" w:cs="Arial"/>
          <w:color w:val="000000"/>
          <w:vertAlign w:val="superscript"/>
          <w:lang w:val="ru-RU"/>
        </w:rPr>
        <w:t xml:space="preserve"> </w:t>
      </w:r>
      <w:r w:rsidRPr="00FF476F">
        <w:rPr>
          <w:rFonts w:eastAsia="Times New Roman" w:cs="Arial"/>
          <w:color w:val="000000"/>
          <w:lang w:val="en-US"/>
        </w:rPr>
        <w:t>S</w:t>
      </w:r>
      <w:r w:rsidRPr="00FF476F">
        <w:rPr>
          <w:rFonts w:eastAsia="Times New Roman" w:cs="Arial"/>
          <w:color w:val="000000"/>
          <w:lang w:eastAsia="bg-BG"/>
        </w:rPr>
        <w:t xml:space="preserve">-азатиоприн, 50% от радиоактивността се екскретира в урината за 24 часа и 12% в изпражненията след 48 часа. В урината основното вещество е неактивният оксидиран метаболит тиопикочна киселина. По-малко от 2% се екскретират в урината като азатиоприн или 6-МР. Азатиоприн има висок дял на отделяне с общ клирънс над 3 </w:t>
      </w:r>
      <w:r w:rsidRPr="00FF476F">
        <w:rPr>
          <w:rFonts w:eastAsia="Times New Roman" w:cs="Arial"/>
          <w:color w:val="000000"/>
          <w:lang w:val="en-US"/>
        </w:rPr>
        <w:t>l</w:t>
      </w:r>
      <w:r w:rsidRPr="00FF476F">
        <w:rPr>
          <w:rFonts w:eastAsia="Times New Roman" w:cs="Arial"/>
          <w:color w:val="000000"/>
          <w:lang w:val="ru-RU"/>
        </w:rPr>
        <w:t>/</w:t>
      </w:r>
      <w:r w:rsidRPr="00FF476F">
        <w:rPr>
          <w:rFonts w:eastAsia="Times New Roman" w:cs="Arial"/>
          <w:color w:val="000000"/>
          <w:lang w:val="en-US"/>
        </w:rPr>
        <w:t>min</w:t>
      </w:r>
      <w:r w:rsidRPr="00FF476F">
        <w:rPr>
          <w:rFonts w:eastAsia="Times New Roman" w:cs="Arial"/>
          <w:color w:val="000000"/>
          <w:lang w:val="ru-RU"/>
        </w:rPr>
        <w:t xml:space="preserve"> </w:t>
      </w:r>
      <w:r w:rsidRPr="00FF476F">
        <w:rPr>
          <w:rFonts w:eastAsia="Times New Roman" w:cs="Arial"/>
          <w:color w:val="000000"/>
          <w:lang w:eastAsia="bg-BG"/>
        </w:rPr>
        <w:t xml:space="preserve">при здрави доброволци. Няма данни за реналния клирънс или полуживота на азатиоприн. Бъбречният клирънс на 6-МР и полуживотът на 6-МР са съответно 191 </w:t>
      </w:r>
      <w:r w:rsidRPr="00FF476F">
        <w:rPr>
          <w:rFonts w:eastAsia="Times New Roman" w:cs="Arial"/>
          <w:color w:val="000000"/>
          <w:lang w:val="en-US"/>
        </w:rPr>
        <w:t>ml</w:t>
      </w:r>
      <w:r w:rsidRPr="00FF476F">
        <w:rPr>
          <w:rFonts w:eastAsia="Times New Roman" w:cs="Arial"/>
          <w:color w:val="000000"/>
          <w:lang w:val="ru-RU"/>
        </w:rPr>
        <w:t>/</w:t>
      </w:r>
      <w:r w:rsidRPr="00FF476F">
        <w:rPr>
          <w:rFonts w:eastAsia="Times New Roman" w:cs="Arial"/>
          <w:color w:val="000000"/>
          <w:lang w:val="en-US"/>
        </w:rPr>
        <w:t>min</w:t>
      </w:r>
      <w:r w:rsidRPr="00FF476F">
        <w:rPr>
          <w:rFonts w:eastAsia="Times New Roman" w:cs="Arial"/>
          <w:color w:val="000000"/>
          <w:lang w:val="ru-RU"/>
        </w:rPr>
        <w:t>/</w:t>
      </w:r>
      <w:r w:rsidRPr="00FF476F">
        <w:rPr>
          <w:rFonts w:eastAsia="Times New Roman" w:cs="Arial"/>
          <w:color w:val="000000"/>
          <w:lang w:val="en-US"/>
        </w:rPr>
        <w:t>m</w:t>
      </w:r>
      <w:r w:rsidRPr="00FF476F">
        <w:rPr>
          <w:rFonts w:eastAsia="Times New Roman" w:cs="Arial"/>
          <w:color w:val="000000"/>
          <w:vertAlign w:val="superscript"/>
          <w:lang w:val="ru-RU"/>
        </w:rPr>
        <w:t>2</w:t>
      </w:r>
      <w:r w:rsidRPr="00FF476F">
        <w:rPr>
          <w:rFonts w:eastAsia="Times New Roman" w:cs="Arial"/>
          <w:color w:val="000000"/>
          <w:lang w:val="ru-RU"/>
        </w:rPr>
        <w:t xml:space="preserve"> </w:t>
      </w:r>
      <w:r w:rsidRPr="00FF476F">
        <w:rPr>
          <w:rFonts w:eastAsia="Times New Roman" w:cs="Arial"/>
          <w:color w:val="000000"/>
          <w:lang w:eastAsia="bg-BG"/>
        </w:rPr>
        <w:t>и 0,9 часа.</w:t>
      </w:r>
    </w:p>
    <w:p w14:paraId="305B2397" w14:textId="77777777" w:rsidR="00FF476F" w:rsidRPr="00FF476F" w:rsidRDefault="00FF476F" w:rsidP="00FF476F">
      <w:pPr>
        <w:spacing w:line="240" w:lineRule="auto"/>
        <w:rPr>
          <w:rFonts w:eastAsia="Times New Roman" w:cs="Arial"/>
          <w:color w:val="000000"/>
          <w:lang w:eastAsia="bg-BG"/>
        </w:rPr>
      </w:pPr>
    </w:p>
    <w:p w14:paraId="42DD1E3A" w14:textId="765EDD42"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Меркаптопурин - метаболит на азатиоприн, е установен в коластрата и млякото на жени, подложени на лечение с азатиоприн.</w:t>
      </w:r>
    </w:p>
    <w:p w14:paraId="1C40A0A0" w14:textId="77777777" w:rsidR="00FF476F" w:rsidRPr="00FF476F" w:rsidRDefault="00FF476F" w:rsidP="00FF476F">
      <w:pPr>
        <w:spacing w:line="240" w:lineRule="auto"/>
        <w:rPr>
          <w:rFonts w:eastAsia="Times New Roman" w:cs="Arial"/>
          <w:b/>
          <w:bCs/>
          <w:color w:val="000000"/>
          <w:lang w:eastAsia="bg-BG"/>
        </w:rPr>
      </w:pPr>
    </w:p>
    <w:p w14:paraId="37DD79C0" w14:textId="15092E44" w:rsidR="00FF476F" w:rsidRPr="00FF476F" w:rsidRDefault="00FF476F" w:rsidP="00FF476F">
      <w:pPr>
        <w:spacing w:line="240" w:lineRule="auto"/>
        <w:rPr>
          <w:rFonts w:eastAsia="Times New Roman" w:cs="Arial"/>
          <w:sz w:val="24"/>
          <w:szCs w:val="24"/>
        </w:rPr>
      </w:pPr>
      <w:r w:rsidRPr="00FF476F">
        <w:rPr>
          <w:rFonts w:eastAsia="Times New Roman" w:cs="Arial"/>
          <w:b/>
          <w:bCs/>
          <w:color w:val="000000"/>
          <w:lang w:eastAsia="bg-BG"/>
        </w:rPr>
        <w:t>Специални популации пациенти</w:t>
      </w:r>
    </w:p>
    <w:p w14:paraId="133C8D66" w14:textId="77777777" w:rsidR="00FF476F" w:rsidRPr="00FF476F" w:rsidRDefault="00FF476F" w:rsidP="00FF476F">
      <w:pPr>
        <w:spacing w:line="240" w:lineRule="auto"/>
        <w:rPr>
          <w:rFonts w:eastAsia="Times New Roman" w:cs="Arial"/>
          <w:color w:val="000000"/>
          <w:u w:val="single"/>
          <w:lang w:eastAsia="bg-BG"/>
        </w:rPr>
      </w:pPr>
    </w:p>
    <w:p w14:paraId="46949D0E" w14:textId="336DB81A" w:rsidR="00FF476F" w:rsidRPr="00FF476F" w:rsidRDefault="00FF476F" w:rsidP="00FF476F">
      <w:pPr>
        <w:spacing w:line="240" w:lineRule="auto"/>
        <w:rPr>
          <w:rFonts w:eastAsia="Times New Roman" w:cs="Arial"/>
          <w:sz w:val="24"/>
          <w:szCs w:val="24"/>
        </w:rPr>
      </w:pPr>
      <w:r w:rsidRPr="00FF476F">
        <w:rPr>
          <w:rFonts w:eastAsia="Times New Roman" w:cs="Arial"/>
          <w:color w:val="000000"/>
          <w:u w:val="single"/>
          <w:lang w:eastAsia="bg-BG"/>
        </w:rPr>
        <w:t>Пациенти в старческа възраст</w:t>
      </w:r>
    </w:p>
    <w:p w14:paraId="5DB2E7A6" w14:textId="77777777" w:rsidR="00FF476F" w:rsidRPr="00FF476F" w:rsidRDefault="00FF476F" w:rsidP="00FF476F">
      <w:pPr>
        <w:spacing w:line="240" w:lineRule="auto"/>
        <w:rPr>
          <w:rFonts w:eastAsia="Times New Roman" w:cs="Arial"/>
          <w:color w:val="000000"/>
          <w:lang w:eastAsia="bg-BG"/>
        </w:rPr>
      </w:pPr>
    </w:p>
    <w:p w14:paraId="4E5A07EA" w14:textId="1C149C0A"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Не са провеждани специални проучвания при пациенти в старческа възраст (вж. точка 4.2).</w:t>
      </w:r>
    </w:p>
    <w:p w14:paraId="11F27657" w14:textId="77777777" w:rsidR="00FF476F" w:rsidRPr="00FF476F" w:rsidRDefault="00FF476F" w:rsidP="00FF476F">
      <w:pPr>
        <w:spacing w:line="240" w:lineRule="auto"/>
        <w:rPr>
          <w:rFonts w:eastAsia="Times New Roman" w:cs="Arial"/>
          <w:color w:val="000000"/>
          <w:u w:val="single"/>
          <w:lang w:eastAsia="bg-BG"/>
        </w:rPr>
      </w:pPr>
    </w:p>
    <w:p w14:paraId="6EEE7013" w14:textId="6C0D0F08" w:rsidR="00FF476F" w:rsidRPr="00FF476F" w:rsidRDefault="00FF476F" w:rsidP="00FF476F">
      <w:pPr>
        <w:spacing w:line="240" w:lineRule="auto"/>
        <w:rPr>
          <w:rFonts w:eastAsia="Times New Roman" w:cs="Arial"/>
          <w:sz w:val="24"/>
          <w:szCs w:val="24"/>
        </w:rPr>
      </w:pPr>
      <w:r w:rsidRPr="00FF476F">
        <w:rPr>
          <w:rFonts w:eastAsia="Times New Roman" w:cs="Arial"/>
          <w:color w:val="000000"/>
          <w:u w:val="single"/>
          <w:lang w:eastAsia="bg-BG"/>
        </w:rPr>
        <w:t>Деца с наднормено тегло</w:t>
      </w:r>
    </w:p>
    <w:p w14:paraId="348CE406" w14:textId="77777777" w:rsidR="00FF476F" w:rsidRPr="00FF476F" w:rsidRDefault="00FF476F" w:rsidP="00FF476F">
      <w:pPr>
        <w:spacing w:line="240" w:lineRule="auto"/>
        <w:rPr>
          <w:rFonts w:eastAsia="Times New Roman" w:cs="Arial"/>
          <w:color w:val="000000"/>
          <w:lang w:eastAsia="bg-BG"/>
        </w:rPr>
      </w:pPr>
    </w:p>
    <w:p w14:paraId="4C4E8176" w14:textId="4C069B9E"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При едно клинично проучване в САЩ, 18 деца (на възраст 3 до 14 години) са били разпределени по равно в две групи; със съотношение на тегло към ръст над или под 75-ти персентил. Всяко дете е било на поддържащо лечение с 6-МР и дозата е била изчислена на база на тяхната телесна повърхност. Средната </w:t>
      </w:r>
      <w:r w:rsidRPr="00FF476F">
        <w:rPr>
          <w:rFonts w:eastAsia="Times New Roman" w:cs="Arial"/>
          <w:color w:val="000000"/>
          <w:lang w:val="en-US"/>
        </w:rPr>
        <w:t>AUC</w:t>
      </w:r>
      <w:r w:rsidRPr="00FF476F">
        <w:rPr>
          <w:rFonts w:eastAsia="Times New Roman" w:cs="Arial"/>
          <w:color w:val="000000"/>
          <w:vertAlign w:val="subscript"/>
          <w:lang w:val="ru-RU"/>
        </w:rPr>
        <w:t>0</w:t>
      </w:r>
      <w:r w:rsidRPr="00FF476F">
        <w:rPr>
          <w:rFonts w:eastAsia="Times New Roman" w:cs="Arial"/>
          <w:color w:val="000000"/>
          <w:vertAlign w:val="subscript"/>
          <w:lang w:eastAsia="bg-BG"/>
        </w:rPr>
        <w:t>→∞</w:t>
      </w:r>
      <w:r w:rsidRPr="00FF476F">
        <w:rPr>
          <w:rFonts w:eastAsia="Times New Roman" w:cs="Arial"/>
          <w:color w:val="000000"/>
          <w:lang w:eastAsia="bg-BG"/>
        </w:rPr>
        <w:t xml:space="preserve"> за 6-МР в групата над 75-ти персентил е била 2,4 пъти по-ниска от</w:t>
      </w:r>
    </w:p>
    <w:p w14:paraId="6989176A" w14:textId="04969566" w:rsidR="00FF476F" w:rsidRPr="00FF476F" w:rsidRDefault="00FF476F" w:rsidP="00FF476F">
      <w:pPr>
        <w:spacing w:line="240" w:lineRule="auto"/>
        <w:rPr>
          <w:rFonts w:eastAsia="Times New Roman" w:cs="Arial"/>
          <w:color w:val="000000"/>
          <w:lang w:eastAsia="bg-BG"/>
        </w:rPr>
      </w:pPr>
      <w:r w:rsidRPr="00FF476F">
        <w:rPr>
          <w:rFonts w:eastAsia="Times New Roman" w:cs="Arial"/>
          <w:color w:val="000000"/>
          <w:lang w:eastAsia="bg-BG"/>
        </w:rPr>
        <w:t>тази за групата под 75-ти персентил. По тази причина, децата, които са с наднормено тегло могат да имат нужда от дози в горната граница на дозовия интервал и по тази причина се препоръчва внимателно проследяване на отговора на лечението (вж. точка 4.2).</w:t>
      </w:r>
    </w:p>
    <w:p w14:paraId="1FEE2147" w14:textId="0D7F759D" w:rsidR="00FF476F" w:rsidRPr="00FF476F" w:rsidRDefault="00FF476F" w:rsidP="00FF476F">
      <w:pPr>
        <w:spacing w:line="240" w:lineRule="auto"/>
        <w:rPr>
          <w:rFonts w:eastAsia="Times New Roman" w:cs="Arial"/>
          <w:color w:val="000000"/>
          <w:lang w:eastAsia="bg-BG"/>
        </w:rPr>
      </w:pPr>
    </w:p>
    <w:p w14:paraId="2197B867"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u w:val="single"/>
          <w:lang w:eastAsia="bg-BG"/>
        </w:rPr>
        <w:t>Бъбречно увреждане</w:t>
      </w:r>
    </w:p>
    <w:p w14:paraId="6A65A9EA" w14:textId="77777777" w:rsidR="00FF476F" w:rsidRPr="00FF476F" w:rsidRDefault="00FF476F" w:rsidP="00FF476F">
      <w:pPr>
        <w:spacing w:line="240" w:lineRule="auto"/>
        <w:rPr>
          <w:rFonts w:eastAsia="Times New Roman" w:cs="Arial"/>
          <w:color w:val="000000"/>
          <w:lang w:eastAsia="bg-BG"/>
        </w:rPr>
      </w:pPr>
    </w:p>
    <w:p w14:paraId="5489FAF8" w14:textId="76AD1E05"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Проучванията с азатиоприн не показват разлика във фармакокинетиката на 6-МР при пациенти с уремия в сравнение с пациенти с бъбречна трансплантация. Понеже малко е известно за активните метаболити на азатиоприн в ситуация на бъбречно увреждане, трябва да се обмисли намаляване на дозировката при пациенти с нарушена бъбречна функция (вж. точка 4.2).</w:t>
      </w:r>
    </w:p>
    <w:p w14:paraId="4840F9FC" w14:textId="77777777" w:rsidR="00FF476F" w:rsidRPr="00FF476F" w:rsidRDefault="00FF476F" w:rsidP="00FF476F">
      <w:pPr>
        <w:spacing w:line="240" w:lineRule="auto"/>
        <w:rPr>
          <w:rFonts w:eastAsia="Times New Roman" w:cs="Arial"/>
          <w:color w:val="000000"/>
          <w:lang w:eastAsia="bg-BG"/>
        </w:rPr>
      </w:pPr>
    </w:p>
    <w:p w14:paraId="4C6DD4BC" w14:textId="593458D6"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Азатиоприн и/или неговите метаболити се елиминират чрез хемодиализа, като приблизително 45% от радиоактивните метаболити се елиминират при диализа с продължителност 8 часа.</w:t>
      </w:r>
    </w:p>
    <w:p w14:paraId="7A34EB2B" w14:textId="77777777" w:rsidR="00FF476F" w:rsidRPr="00FF476F" w:rsidRDefault="00FF476F" w:rsidP="00FF476F">
      <w:pPr>
        <w:spacing w:line="240" w:lineRule="auto"/>
        <w:rPr>
          <w:rFonts w:eastAsia="Times New Roman" w:cs="Arial"/>
          <w:color w:val="000000"/>
          <w:u w:val="single"/>
          <w:lang w:eastAsia="bg-BG"/>
        </w:rPr>
      </w:pPr>
    </w:p>
    <w:p w14:paraId="2C870591" w14:textId="7FC31621" w:rsidR="00FF476F" w:rsidRPr="00FF476F" w:rsidRDefault="00FF476F" w:rsidP="00FF476F">
      <w:pPr>
        <w:spacing w:line="240" w:lineRule="auto"/>
        <w:rPr>
          <w:rFonts w:eastAsia="Times New Roman" w:cs="Arial"/>
          <w:sz w:val="24"/>
          <w:szCs w:val="24"/>
        </w:rPr>
      </w:pPr>
      <w:r w:rsidRPr="00FF476F">
        <w:rPr>
          <w:rFonts w:eastAsia="Times New Roman" w:cs="Arial"/>
          <w:color w:val="000000"/>
          <w:u w:val="single"/>
          <w:lang w:eastAsia="bg-BG"/>
        </w:rPr>
        <w:t>Чернодробно увреждане</w:t>
      </w:r>
    </w:p>
    <w:p w14:paraId="2BDA99C0" w14:textId="77777777" w:rsidR="00FF476F" w:rsidRPr="00FF476F" w:rsidRDefault="00FF476F" w:rsidP="00FF476F">
      <w:pPr>
        <w:spacing w:line="240" w:lineRule="auto"/>
        <w:rPr>
          <w:rFonts w:eastAsia="Times New Roman" w:cs="Arial"/>
          <w:color w:val="000000"/>
          <w:lang w:eastAsia="bg-BG"/>
        </w:rPr>
      </w:pPr>
    </w:p>
    <w:p w14:paraId="52ED5A46" w14:textId="5B2EC223"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Проучване с азатиоприн е проведено при три групи пациенти след бъбречна трансплантация: без чернодробно заболяване, с чернодробно увреждане (но не цироза) и с чернодробно увреждане и цироза. Проучването показва, че експозицията на 6-меркаптопурин е 1,6 пъти по-висока при пациенти с чернодробно увреждане (но не цироза) и 6 пъти по-висока при пациенти с чернодробно увреждане и цироза в сравнение </w:t>
      </w:r>
      <w:r w:rsidRPr="00FF476F">
        <w:rPr>
          <w:rFonts w:eastAsia="Times New Roman" w:cs="Arial"/>
          <w:color w:val="000000"/>
          <w:lang w:eastAsia="bg-BG"/>
        </w:rPr>
        <w:lastRenderedPageBreak/>
        <w:t>с пациенти без чернодробно увреждане. По тази причина трябва да се обмисли да се намали дозата при пациенти с увредена чернодробна функция (вж. точка 4.2).</w:t>
      </w:r>
    </w:p>
    <w:p w14:paraId="2E6BB5A9" w14:textId="7C4916D7" w:rsidR="00FF476F" w:rsidRPr="00FF476F" w:rsidRDefault="00FF476F" w:rsidP="00FF476F"/>
    <w:p w14:paraId="028E658A" w14:textId="7DFDA5B9" w:rsidR="00395555" w:rsidRDefault="002C50EE" w:rsidP="008A6AF2">
      <w:pPr>
        <w:pStyle w:val="Heading2"/>
      </w:pPr>
      <w:r>
        <w:t>5.3. Предклинични данни за безопасност</w:t>
      </w:r>
    </w:p>
    <w:p w14:paraId="06CB9ECD" w14:textId="4C97C3DD" w:rsidR="00FF476F" w:rsidRDefault="00FF476F" w:rsidP="00FF476F"/>
    <w:p w14:paraId="576A20E2" w14:textId="77777777" w:rsidR="00FF476F" w:rsidRPr="00FF476F" w:rsidRDefault="00FF476F" w:rsidP="00FF476F">
      <w:pPr>
        <w:spacing w:line="240" w:lineRule="auto"/>
        <w:rPr>
          <w:rFonts w:eastAsia="Times New Roman" w:cs="Arial"/>
          <w:sz w:val="24"/>
          <w:szCs w:val="24"/>
        </w:rPr>
      </w:pPr>
      <w:r w:rsidRPr="00FF476F">
        <w:rPr>
          <w:rFonts w:eastAsia="Times New Roman" w:cs="Arial"/>
          <w:b/>
          <w:bCs/>
          <w:color w:val="000000"/>
          <w:lang w:eastAsia="bg-BG"/>
        </w:rPr>
        <w:t>Мутагениост</w:t>
      </w:r>
    </w:p>
    <w:p w14:paraId="1D7C6AAD"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В редица </w:t>
      </w:r>
      <w:r w:rsidRPr="00FF476F">
        <w:rPr>
          <w:rFonts w:eastAsia="Times New Roman" w:cs="Arial"/>
          <w:i/>
          <w:iCs/>
          <w:color w:val="000000"/>
          <w:lang w:val="en-US"/>
        </w:rPr>
        <w:t>in</w:t>
      </w:r>
      <w:r w:rsidRPr="00FF476F">
        <w:rPr>
          <w:rFonts w:eastAsia="Times New Roman" w:cs="Arial"/>
          <w:i/>
          <w:iCs/>
          <w:color w:val="000000"/>
          <w:lang w:val="ru-RU"/>
        </w:rPr>
        <w:t xml:space="preserve"> </w:t>
      </w:r>
      <w:r w:rsidRPr="00FF476F">
        <w:rPr>
          <w:rFonts w:eastAsia="Times New Roman" w:cs="Arial"/>
          <w:i/>
          <w:iCs/>
          <w:color w:val="000000"/>
          <w:lang w:val="en-US"/>
        </w:rPr>
        <w:t>vitro</w:t>
      </w:r>
      <w:r w:rsidRPr="00FF476F">
        <w:rPr>
          <w:rFonts w:eastAsia="Times New Roman" w:cs="Arial"/>
          <w:color w:val="000000"/>
          <w:lang w:val="ru-RU"/>
        </w:rPr>
        <w:t xml:space="preserve"> </w:t>
      </w:r>
      <w:r w:rsidRPr="00FF476F">
        <w:rPr>
          <w:rFonts w:eastAsia="Times New Roman" w:cs="Arial"/>
          <w:color w:val="000000"/>
          <w:lang w:eastAsia="bg-BG"/>
        </w:rPr>
        <w:t xml:space="preserve">и </w:t>
      </w:r>
      <w:r w:rsidRPr="00FF476F">
        <w:rPr>
          <w:rFonts w:eastAsia="Times New Roman" w:cs="Arial"/>
          <w:i/>
          <w:iCs/>
          <w:color w:val="000000"/>
          <w:lang w:val="en-US"/>
        </w:rPr>
        <w:t>in</w:t>
      </w:r>
      <w:r w:rsidRPr="00FF476F">
        <w:rPr>
          <w:rFonts w:eastAsia="Times New Roman" w:cs="Arial"/>
          <w:i/>
          <w:iCs/>
          <w:color w:val="000000"/>
          <w:lang w:val="ru-RU"/>
        </w:rPr>
        <w:t xml:space="preserve"> </w:t>
      </w:r>
      <w:r w:rsidRPr="00FF476F">
        <w:rPr>
          <w:rFonts w:eastAsia="Times New Roman" w:cs="Arial"/>
          <w:i/>
          <w:iCs/>
          <w:color w:val="000000"/>
          <w:lang w:val="en-US"/>
        </w:rPr>
        <w:t>vivo</w:t>
      </w:r>
      <w:r w:rsidRPr="00FF476F">
        <w:rPr>
          <w:rFonts w:eastAsia="Times New Roman" w:cs="Arial"/>
          <w:color w:val="000000"/>
          <w:lang w:val="ru-RU"/>
        </w:rPr>
        <w:t xml:space="preserve"> </w:t>
      </w:r>
      <w:r w:rsidRPr="00FF476F">
        <w:rPr>
          <w:rFonts w:eastAsia="Times New Roman" w:cs="Arial"/>
          <w:color w:val="000000"/>
          <w:lang w:eastAsia="bg-BG"/>
        </w:rPr>
        <w:t>анализи за генотоксичност е установено, че азатиоприн е мутагенен.</w:t>
      </w:r>
    </w:p>
    <w:p w14:paraId="2B846DA1" w14:textId="77777777" w:rsidR="00FF476F" w:rsidRPr="00FF476F" w:rsidRDefault="00FF476F" w:rsidP="00FF476F">
      <w:pPr>
        <w:spacing w:line="240" w:lineRule="auto"/>
        <w:rPr>
          <w:rFonts w:eastAsia="Times New Roman" w:cs="Arial"/>
          <w:b/>
          <w:bCs/>
          <w:color w:val="000000"/>
          <w:lang w:eastAsia="bg-BG"/>
        </w:rPr>
      </w:pPr>
    </w:p>
    <w:p w14:paraId="491529E4" w14:textId="47F8B6AA" w:rsidR="00FF476F" w:rsidRPr="00FF476F" w:rsidRDefault="00FF476F" w:rsidP="00FF476F">
      <w:pPr>
        <w:spacing w:line="240" w:lineRule="auto"/>
        <w:rPr>
          <w:rFonts w:eastAsia="Times New Roman" w:cs="Arial"/>
          <w:sz w:val="24"/>
          <w:szCs w:val="24"/>
        </w:rPr>
      </w:pPr>
      <w:r w:rsidRPr="00FF476F">
        <w:rPr>
          <w:rFonts w:eastAsia="Times New Roman" w:cs="Arial"/>
          <w:b/>
          <w:bCs/>
          <w:color w:val="000000"/>
          <w:lang w:eastAsia="bg-BG"/>
        </w:rPr>
        <w:t>Канцерогенност</w:t>
      </w:r>
    </w:p>
    <w:p w14:paraId="4BF4EEC3"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Дългосрочни изпитвания на канцерогенностга на азатиоприн показват повишено разпространение на лимфосаркоми, както и на епителни тумори и карциноми при мишки и плъхове, съответно при дозировки до двойно на терапевтичната доза при човека и при по-ниски дозировки при мишки с нарушена имунна реакция.</w:t>
      </w:r>
    </w:p>
    <w:p w14:paraId="0315A1F5" w14:textId="77777777" w:rsidR="00FF476F" w:rsidRPr="00FF476F" w:rsidRDefault="00FF476F" w:rsidP="00FF476F">
      <w:pPr>
        <w:spacing w:line="240" w:lineRule="auto"/>
        <w:rPr>
          <w:rFonts w:eastAsia="Times New Roman" w:cs="Arial"/>
          <w:color w:val="000000"/>
          <w:u w:val="single"/>
          <w:lang w:eastAsia="bg-BG"/>
        </w:rPr>
      </w:pPr>
    </w:p>
    <w:p w14:paraId="0E788E01" w14:textId="02E41566" w:rsidR="00FF476F" w:rsidRPr="00FF476F" w:rsidRDefault="00FF476F" w:rsidP="00FF476F">
      <w:pPr>
        <w:spacing w:line="240" w:lineRule="auto"/>
        <w:rPr>
          <w:rFonts w:eastAsia="Times New Roman" w:cs="Arial"/>
          <w:sz w:val="24"/>
          <w:szCs w:val="24"/>
        </w:rPr>
      </w:pPr>
      <w:r w:rsidRPr="00FF476F">
        <w:rPr>
          <w:rFonts w:eastAsia="Times New Roman" w:cs="Arial"/>
          <w:color w:val="000000"/>
          <w:u w:val="single"/>
          <w:lang w:eastAsia="bg-BG"/>
        </w:rPr>
        <w:t>Репродуктивна токсичност</w:t>
      </w:r>
    </w:p>
    <w:p w14:paraId="41EC63B3"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При проведени изпитвания на бременни плъхове, мишки и зайци с приложение на азатиоприн 5-15 </w:t>
      </w:r>
      <w:proofErr w:type="spellStart"/>
      <w:r w:rsidRPr="00FF476F">
        <w:rPr>
          <w:rFonts w:eastAsia="Times New Roman" w:cs="Arial"/>
          <w:color w:val="000000"/>
          <w:lang w:val="en-US"/>
        </w:rPr>
        <w:t>rng</w:t>
      </w:r>
      <w:proofErr w:type="spellEnd"/>
      <w:r w:rsidRPr="00FF476F">
        <w:rPr>
          <w:rFonts w:eastAsia="Times New Roman" w:cs="Arial"/>
          <w:color w:val="000000"/>
          <w:lang w:val="ru-RU"/>
        </w:rPr>
        <w:t>/</w:t>
      </w:r>
      <w:r w:rsidRPr="00FF476F">
        <w:rPr>
          <w:rFonts w:eastAsia="Times New Roman" w:cs="Arial"/>
          <w:color w:val="000000"/>
          <w:lang w:val="en-US"/>
        </w:rPr>
        <w:t>kg</w:t>
      </w:r>
      <w:r w:rsidRPr="00FF476F">
        <w:rPr>
          <w:rFonts w:eastAsia="Times New Roman" w:cs="Arial"/>
          <w:color w:val="000000"/>
          <w:lang w:val="ru-RU"/>
        </w:rPr>
        <w:t xml:space="preserve"> </w:t>
      </w:r>
      <w:r w:rsidRPr="00FF476F">
        <w:rPr>
          <w:rFonts w:eastAsia="Times New Roman" w:cs="Arial"/>
          <w:color w:val="000000"/>
          <w:lang w:eastAsia="bg-BG"/>
        </w:rPr>
        <w:t>т.м. дневно през периода на органогенезата се установяват фетални аномалии, проявени в различна степен.</w:t>
      </w:r>
    </w:p>
    <w:p w14:paraId="24B9B1BB" w14:textId="77777777" w:rsidR="00FF476F" w:rsidRPr="00FF476F" w:rsidRDefault="00FF476F" w:rsidP="00FF476F">
      <w:pPr>
        <w:spacing w:line="240" w:lineRule="auto"/>
        <w:rPr>
          <w:rFonts w:eastAsia="Times New Roman" w:cs="Arial"/>
          <w:sz w:val="24"/>
          <w:szCs w:val="24"/>
        </w:rPr>
      </w:pPr>
      <w:r w:rsidRPr="00FF476F">
        <w:rPr>
          <w:rFonts w:eastAsia="Times New Roman" w:cs="Arial"/>
          <w:color w:val="000000"/>
          <w:lang w:eastAsia="bg-BG"/>
        </w:rPr>
        <w:t xml:space="preserve">Установяват се тератогенни ефекти при зайци при прием на 10 </w:t>
      </w:r>
      <w:r w:rsidRPr="00FF476F">
        <w:rPr>
          <w:rFonts w:eastAsia="Times New Roman" w:cs="Arial"/>
          <w:color w:val="000000"/>
          <w:lang w:val="en-US"/>
        </w:rPr>
        <w:t>mg</w:t>
      </w:r>
      <w:r w:rsidRPr="00FF476F">
        <w:rPr>
          <w:rFonts w:eastAsia="Times New Roman" w:cs="Arial"/>
          <w:color w:val="000000"/>
          <w:lang w:val="ru-RU"/>
        </w:rPr>
        <w:t>/</w:t>
      </w:r>
      <w:r w:rsidRPr="00FF476F">
        <w:rPr>
          <w:rFonts w:eastAsia="Times New Roman" w:cs="Arial"/>
          <w:color w:val="000000"/>
          <w:lang w:val="en-US"/>
        </w:rPr>
        <w:t>kg</w:t>
      </w:r>
      <w:r w:rsidRPr="00FF476F">
        <w:rPr>
          <w:rFonts w:eastAsia="Times New Roman" w:cs="Arial"/>
          <w:color w:val="000000"/>
          <w:lang w:val="ru-RU"/>
        </w:rPr>
        <w:t xml:space="preserve"> </w:t>
      </w:r>
      <w:r w:rsidRPr="00FF476F">
        <w:rPr>
          <w:rFonts w:eastAsia="Times New Roman" w:cs="Arial"/>
          <w:color w:val="000000"/>
          <w:lang w:eastAsia="bg-BG"/>
        </w:rPr>
        <w:t>т..м. дневно.</w:t>
      </w:r>
    </w:p>
    <w:p w14:paraId="7541C142" w14:textId="77777777" w:rsidR="00FF476F" w:rsidRPr="00FF476F" w:rsidRDefault="00FF476F" w:rsidP="00FF476F"/>
    <w:p w14:paraId="6A7820AB" w14:textId="7C37A19B" w:rsidR="008A6AF2" w:rsidRDefault="002C50EE" w:rsidP="00395555">
      <w:pPr>
        <w:pStyle w:val="Heading1"/>
      </w:pPr>
      <w:r>
        <w:t>7. ПРИТЕЖАТЕЛ НА РАЗРЕШЕНИЕТО ЗА УПОТРЕБА</w:t>
      </w:r>
    </w:p>
    <w:p w14:paraId="7D3FA7FF" w14:textId="0E1CE909" w:rsidR="00FF476F" w:rsidRDefault="00FF476F" w:rsidP="00FF476F"/>
    <w:p w14:paraId="67B4E883" w14:textId="77777777" w:rsidR="00FF476F" w:rsidRPr="00FF476F" w:rsidRDefault="00FF476F" w:rsidP="00FF476F">
      <w:pPr>
        <w:rPr>
          <w:sz w:val="24"/>
          <w:szCs w:val="24"/>
          <w:lang w:val="en-US"/>
        </w:rPr>
      </w:pPr>
      <w:r w:rsidRPr="00FF476F">
        <w:rPr>
          <w:lang w:val="en-US"/>
        </w:rPr>
        <w:t>Aspen Pharma Trading Limited</w:t>
      </w:r>
    </w:p>
    <w:p w14:paraId="2248E2AD" w14:textId="77777777" w:rsidR="00FF476F" w:rsidRPr="00FF476F" w:rsidRDefault="00FF476F" w:rsidP="00FF476F">
      <w:pPr>
        <w:rPr>
          <w:sz w:val="24"/>
          <w:szCs w:val="24"/>
          <w:lang w:val="en-US"/>
        </w:rPr>
      </w:pPr>
      <w:r w:rsidRPr="00FF476F">
        <w:rPr>
          <w:lang w:val="en-US"/>
        </w:rPr>
        <w:t>3016 Lake Drive</w:t>
      </w:r>
    </w:p>
    <w:p w14:paraId="612CCEB4" w14:textId="77777777" w:rsidR="00FF476F" w:rsidRPr="00FF476F" w:rsidRDefault="00FF476F" w:rsidP="00FF476F">
      <w:pPr>
        <w:rPr>
          <w:sz w:val="24"/>
          <w:szCs w:val="24"/>
          <w:lang w:val="ru-RU"/>
        </w:rPr>
      </w:pPr>
      <w:proofErr w:type="spellStart"/>
      <w:r w:rsidRPr="00FF476F">
        <w:rPr>
          <w:lang w:val="en-US"/>
        </w:rPr>
        <w:t>Citywest</w:t>
      </w:r>
      <w:proofErr w:type="spellEnd"/>
      <w:r w:rsidRPr="00FF476F">
        <w:rPr>
          <w:lang w:val="ru-RU"/>
        </w:rPr>
        <w:t xml:space="preserve"> </w:t>
      </w:r>
      <w:r w:rsidRPr="00FF476F">
        <w:rPr>
          <w:lang w:val="en-US"/>
        </w:rPr>
        <w:t>Business</w:t>
      </w:r>
      <w:r w:rsidRPr="00FF476F">
        <w:rPr>
          <w:lang w:val="ru-RU"/>
        </w:rPr>
        <w:t xml:space="preserve"> </w:t>
      </w:r>
      <w:r w:rsidRPr="00FF476F">
        <w:rPr>
          <w:lang w:val="en-US"/>
        </w:rPr>
        <w:t>Campus</w:t>
      </w:r>
    </w:p>
    <w:p w14:paraId="0F02B0A7" w14:textId="77777777" w:rsidR="00FF476F" w:rsidRPr="00FF476F" w:rsidRDefault="00FF476F" w:rsidP="00FF476F">
      <w:pPr>
        <w:rPr>
          <w:sz w:val="24"/>
          <w:szCs w:val="24"/>
          <w:lang w:val="ru-RU"/>
        </w:rPr>
      </w:pPr>
      <w:r w:rsidRPr="00FF476F">
        <w:rPr>
          <w:lang w:val="en-US"/>
        </w:rPr>
        <w:t>Dublin</w:t>
      </w:r>
      <w:r w:rsidRPr="00FF476F">
        <w:rPr>
          <w:lang w:val="ru-RU"/>
        </w:rPr>
        <w:t xml:space="preserve"> 24</w:t>
      </w:r>
    </w:p>
    <w:p w14:paraId="0624BA71" w14:textId="753FA14D" w:rsidR="00FF476F" w:rsidRPr="00FF476F" w:rsidRDefault="00FF476F" w:rsidP="00FF476F">
      <w:r w:rsidRPr="00FF476F">
        <w:rPr>
          <w:lang w:eastAsia="bg-BG"/>
        </w:rPr>
        <w:t>Ирландия</w:t>
      </w:r>
    </w:p>
    <w:p w14:paraId="04840D59" w14:textId="251BEE60" w:rsidR="002C50EE" w:rsidRDefault="002C50EE" w:rsidP="00395555">
      <w:pPr>
        <w:pStyle w:val="Heading1"/>
      </w:pPr>
      <w:r>
        <w:t>8. НОМЕР НА РАЗРЕШЕНИЕТО ЗА УПОТРЕБА</w:t>
      </w:r>
    </w:p>
    <w:p w14:paraId="3B94A5D4" w14:textId="50AA7E65" w:rsidR="00FF476F" w:rsidRDefault="00FF476F" w:rsidP="00FF476F"/>
    <w:p w14:paraId="37BFD45D" w14:textId="156B8D6E" w:rsidR="00FF476F" w:rsidRPr="00FF476F" w:rsidRDefault="00FF476F" w:rsidP="00FF476F">
      <w:r>
        <w:rPr>
          <w:lang w:val="en-US"/>
        </w:rPr>
        <w:t>Per</w:t>
      </w:r>
      <w:r w:rsidRPr="00FF476F">
        <w:rPr>
          <w:lang w:val="ru-RU"/>
        </w:rPr>
        <w:t xml:space="preserve">. </w:t>
      </w:r>
      <w:r>
        <w:t>№ 20020842</w:t>
      </w:r>
    </w:p>
    <w:p w14:paraId="2CCB5832" w14:textId="5A1D698F" w:rsidR="007C605B" w:rsidRDefault="002C50EE" w:rsidP="007C605B">
      <w:pPr>
        <w:pStyle w:val="Heading1"/>
      </w:pPr>
      <w:r>
        <w:t>9. ДАТА НА ПЪРВО РАЗРЕШАВАНЕ/ПОДНОВЯВАНЕ НА РАЗРЕШЕНИЕТО ЗА УПОТРЕБА</w:t>
      </w:r>
    </w:p>
    <w:p w14:paraId="73A3899E" w14:textId="77777777" w:rsidR="00FF476F" w:rsidRDefault="00FF476F" w:rsidP="00FF476F">
      <w:pPr>
        <w:rPr>
          <w:lang w:eastAsia="bg-BG"/>
        </w:rPr>
      </w:pPr>
    </w:p>
    <w:p w14:paraId="7E51ACFC" w14:textId="53BF7976" w:rsidR="00FF476F" w:rsidRPr="00FF476F" w:rsidRDefault="00FF476F" w:rsidP="00FF476F">
      <w:pPr>
        <w:rPr>
          <w:sz w:val="24"/>
          <w:szCs w:val="24"/>
        </w:rPr>
      </w:pPr>
      <w:r w:rsidRPr="00FF476F">
        <w:rPr>
          <w:lang w:eastAsia="bg-BG"/>
        </w:rPr>
        <w:t>Дата на първо разрешаване: 13 декември 1971 г.</w:t>
      </w:r>
    </w:p>
    <w:p w14:paraId="3567806C" w14:textId="770D6BD2" w:rsidR="00FF476F" w:rsidRPr="00FF476F" w:rsidRDefault="00FF476F" w:rsidP="00FF476F">
      <w:pPr>
        <w:rPr>
          <w:sz w:val="24"/>
          <w:szCs w:val="24"/>
        </w:rPr>
      </w:pPr>
      <w:r w:rsidRPr="00FF476F">
        <w:rPr>
          <w:lang w:eastAsia="bg-BG"/>
        </w:rPr>
        <w:t>Дата на последно подновяване: 06 декември 2007 г.</w:t>
      </w:r>
    </w:p>
    <w:p w14:paraId="0E9D0119" w14:textId="0245C6D7" w:rsidR="002C50EE" w:rsidRDefault="002C50EE" w:rsidP="002C50EE">
      <w:pPr>
        <w:pStyle w:val="Heading1"/>
      </w:pPr>
      <w:r>
        <w:t>10. ДАТА НА АКТУАЛИЗИРАНЕ НА ТЕКСТА</w:t>
      </w:r>
    </w:p>
    <w:bookmarkEnd w:id="0"/>
    <w:p w14:paraId="43FB38A2" w14:textId="7FD867EC" w:rsidR="007C605B" w:rsidRPr="003E3126" w:rsidRDefault="00FF476F" w:rsidP="00FF476F">
      <w:r>
        <w:t>07/2021</w:t>
      </w:r>
      <w:bookmarkStart w:id="8" w:name="_GoBack"/>
      <w:bookmarkEnd w:id="8"/>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E4102"/>
    <w:multiLevelType w:val="hybridMultilevel"/>
    <w:tmpl w:val="123AB08A"/>
    <w:lvl w:ilvl="0" w:tplc="F98C1D8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33CB1"/>
    <w:multiLevelType w:val="hybridMultilevel"/>
    <w:tmpl w:val="0540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7"/>
  </w:num>
  <w:num w:numId="7">
    <w:abstractNumId w:val="11"/>
  </w:num>
  <w:num w:numId="8">
    <w:abstractNumId w:val="16"/>
  </w:num>
  <w:num w:numId="9">
    <w:abstractNumId w:val="2"/>
  </w:num>
  <w:num w:numId="10">
    <w:abstractNumId w:val="4"/>
  </w:num>
  <w:num w:numId="11">
    <w:abstractNumId w:val="30"/>
  </w:num>
  <w:num w:numId="12">
    <w:abstractNumId w:val="15"/>
  </w:num>
  <w:num w:numId="13">
    <w:abstractNumId w:val="20"/>
  </w:num>
  <w:num w:numId="14">
    <w:abstractNumId w:val="12"/>
  </w:num>
  <w:num w:numId="15">
    <w:abstractNumId w:val="29"/>
  </w:num>
  <w:num w:numId="16">
    <w:abstractNumId w:val="10"/>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1"/>
  </w:num>
  <w:num w:numId="28">
    <w:abstractNumId w:val="7"/>
  </w:num>
  <w:num w:numId="29">
    <w:abstractNumId w:val="21"/>
  </w:num>
  <w:num w:numId="30">
    <w:abstractNumId w:val="32"/>
  </w:num>
  <w:num w:numId="31">
    <w:abstractNumId w:val="5"/>
  </w:num>
  <w:num w:numId="32">
    <w:abstractNumId w:val="1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 w:val="00FF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6504</Words>
  <Characters>37073</Characters>
  <Application>Microsoft Office Word</Application>
  <DocSecurity>0</DocSecurity>
  <Lines>308</Lines>
  <Paragraphs>86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2022-01-05T23:45:00Z</dcterms:created>
  <dcterms:modified xsi:type="dcterms:W3CDTF">2022-01-05T23:45:00Z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