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3F4DBD4C" w14:textId="77777777" w:rsidR="00523D6F" w:rsidRPr="00523D6F" w:rsidRDefault="00523D6F" w:rsidP="00523D6F">
      <w:pPr>
        <w:spacing w:line="240" w:lineRule="auto"/>
        <w:rPr>
          <w:rFonts w:eastAsia="Times New Roman" w:cs="Arial"/>
          <w:lang w:val="en-US"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Индекстол 50 </w:t>
      </w:r>
      <w:r w:rsidRPr="00523D6F">
        <w:rPr>
          <w:rFonts w:eastAsia="Times New Roman" w:cs="Arial"/>
          <w:color w:val="000000"/>
          <w:lang w:val="en-US"/>
        </w:rPr>
        <w:t xml:space="preserve">mg/g </w:t>
      </w:r>
      <w:r w:rsidRPr="00523D6F">
        <w:rPr>
          <w:rFonts w:eastAsia="Times New Roman" w:cs="Arial"/>
          <w:color w:val="000000"/>
          <w:lang w:eastAsia="bg-BG"/>
        </w:rPr>
        <w:t xml:space="preserve">+10 </w:t>
      </w:r>
      <w:r w:rsidRPr="00523D6F">
        <w:rPr>
          <w:rFonts w:eastAsia="Times New Roman" w:cs="Arial"/>
          <w:color w:val="000000"/>
          <w:lang w:val="en-US"/>
        </w:rPr>
        <w:t xml:space="preserve">mg/g+50 mg/g </w:t>
      </w:r>
      <w:r w:rsidRPr="00523D6F">
        <w:rPr>
          <w:rFonts w:eastAsia="Times New Roman" w:cs="Arial"/>
          <w:color w:val="000000"/>
          <w:lang w:eastAsia="bg-BG"/>
        </w:rPr>
        <w:t>паста за устна лигавица</w:t>
      </w:r>
    </w:p>
    <w:p w14:paraId="69AC8148" w14:textId="2463DA3D" w:rsidR="00EC41ED" w:rsidRPr="00523D6F" w:rsidRDefault="00523D6F" w:rsidP="00523D6F">
      <w:pPr>
        <w:rPr>
          <w:rFonts w:cs="Arial"/>
        </w:rPr>
      </w:pPr>
      <w:proofErr w:type="spellStart"/>
      <w:r w:rsidRPr="00523D6F">
        <w:rPr>
          <w:rFonts w:eastAsia="Times New Roman" w:cs="Arial"/>
          <w:color w:val="000000"/>
          <w:lang w:val="en-US"/>
        </w:rPr>
        <w:t>Indextol</w:t>
      </w:r>
      <w:proofErr w:type="spellEnd"/>
      <w:r w:rsidRPr="00523D6F">
        <w:rPr>
          <w:rFonts w:eastAsia="Times New Roman" w:cs="Arial"/>
          <w:color w:val="000000"/>
          <w:lang w:val="en-US"/>
        </w:rPr>
        <w:t xml:space="preserve"> </w:t>
      </w:r>
      <w:r w:rsidRPr="00523D6F">
        <w:rPr>
          <w:rFonts w:eastAsia="Times New Roman" w:cs="Arial"/>
          <w:color w:val="000000"/>
          <w:lang w:eastAsia="bg-BG"/>
        </w:rPr>
        <w:t xml:space="preserve">50 </w:t>
      </w:r>
      <w:r w:rsidRPr="00523D6F">
        <w:rPr>
          <w:rFonts w:eastAsia="Times New Roman" w:cs="Arial"/>
          <w:color w:val="000000"/>
          <w:lang w:val="en-US"/>
        </w:rPr>
        <w:t xml:space="preserve">mg/g </w:t>
      </w:r>
      <w:r w:rsidRPr="00523D6F">
        <w:rPr>
          <w:rFonts w:eastAsia="Times New Roman" w:cs="Arial"/>
          <w:color w:val="000000"/>
          <w:lang w:eastAsia="bg-BG"/>
        </w:rPr>
        <w:t xml:space="preserve">+10 </w:t>
      </w:r>
      <w:r w:rsidRPr="00523D6F">
        <w:rPr>
          <w:rFonts w:eastAsia="Times New Roman" w:cs="Arial"/>
          <w:color w:val="000000"/>
          <w:lang w:val="en-US"/>
        </w:rPr>
        <w:t xml:space="preserve">mg/g+50 mg/g </w:t>
      </w:r>
      <w:proofErr w:type="spellStart"/>
      <w:r w:rsidRPr="00523D6F">
        <w:rPr>
          <w:rFonts w:eastAsia="Times New Roman" w:cs="Arial"/>
          <w:color w:val="000000"/>
          <w:lang w:val="en-US"/>
        </w:rPr>
        <w:t>oromucosal</w:t>
      </w:r>
      <w:proofErr w:type="spellEnd"/>
      <w:r w:rsidRPr="00523D6F">
        <w:rPr>
          <w:rFonts w:eastAsia="Times New Roman" w:cs="Arial"/>
          <w:color w:val="000000"/>
          <w:lang w:val="en-US"/>
        </w:rPr>
        <w:t xml:space="preserve"> paste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06C8C309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1 </w:t>
      </w:r>
      <w:r w:rsidRPr="00523D6F">
        <w:rPr>
          <w:rFonts w:eastAsia="Times New Roman" w:cs="Arial"/>
          <w:color w:val="000000"/>
          <w:lang w:val="en-US"/>
        </w:rPr>
        <w:t xml:space="preserve">g </w:t>
      </w:r>
      <w:r w:rsidRPr="00523D6F">
        <w:rPr>
          <w:rFonts w:eastAsia="Times New Roman" w:cs="Arial"/>
          <w:color w:val="000000"/>
          <w:lang w:eastAsia="bg-BG"/>
        </w:rPr>
        <w:t xml:space="preserve">паста за устна лигавица съдържа 57,1 </w:t>
      </w:r>
      <w:r w:rsidRPr="00523D6F">
        <w:rPr>
          <w:rFonts w:eastAsia="Times New Roman" w:cs="Arial"/>
          <w:color w:val="000000"/>
          <w:lang w:val="en-US"/>
        </w:rPr>
        <w:t xml:space="preserve">mg </w:t>
      </w:r>
      <w:r w:rsidRPr="00523D6F">
        <w:rPr>
          <w:rFonts w:eastAsia="Times New Roman" w:cs="Arial"/>
          <w:color w:val="000000"/>
          <w:lang w:eastAsia="bg-BG"/>
        </w:rPr>
        <w:t xml:space="preserve">олеандомицинов фосфат </w:t>
      </w:r>
      <w:r w:rsidRPr="00523D6F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523D6F">
        <w:rPr>
          <w:rFonts w:eastAsia="Times New Roman" w:cs="Arial"/>
          <w:i/>
          <w:iCs/>
          <w:color w:val="000000"/>
          <w:lang w:val="en-US"/>
        </w:rPr>
        <w:t>oleandomycinphosphate</w:t>
      </w:r>
      <w:proofErr w:type="spellEnd"/>
      <w:r w:rsidRPr="00523D6F">
        <w:rPr>
          <w:rFonts w:eastAsia="Times New Roman" w:cs="Arial"/>
          <w:i/>
          <w:iCs/>
          <w:color w:val="000000"/>
          <w:lang w:val="en-US"/>
        </w:rPr>
        <w:t xml:space="preserve">), </w:t>
      </w:r>
      <w:r w:rsidRPr="00523D6F">
        <w:rPr>
          <w:rFonts w:eastAsia="Times New Roman" w:cs="Arial"/>
          <w:color w:val="000000"/>
          <w:lang w:eastAsia="bg-BG"/>
        </w:rPr>
        <w:t xml:space="preserve">еквивалентен на 50 </w:t>
      </w:r>
      <w:r w:rsidRPr="00523D6F">
        <w:rPr>
          <w:rFonts w:eastAsia="Times New Roman" w:cs="Arial"/>
          <w:color w:val="000000"/>
          <w:lang w:val="en-US"/>
        </w:rPr>
        <w:t xml:space="preserve">mg </w:t>
      </w:r>
      <w:r w:rsidRPr="00523D6F">
        <w:rPr>
          <w:rFonts w:eastAsia="Times New Roman" w:cs="Arial"/>
          <w:color w:val="000000"/>
          <w:lang w:eastAsia="bg-BG"/>
        </w:rPr>
        <w:t xml:space="preserve">олеандомицин, 10 </w:t>
      </w:r>
      <w:r w:rsidRPr="00523D6F">
        <w:rPr>
          <w:rFonts w:eastAsia="Times New Roman" w:cs="Arial"/>
          <w:color w:val="000000"/>
          <w:lang w:val="en-US"/>
        </w:rPr>
        <w:t xml:space="preserve">mg </w:t>
      </w:r>
      <w:r w:rsidRPr="00523D6F">
        <w:rPr>
          <w:rFonts w:eastAsia="Times New Roman" w:cs="Arial"/>
          <w:color w:val="000000"/>
          <w:lang w:eastAsia="bg-BG"/>
        </w:rPr>
        <w:t xml:space="preserve">дексаметазон </w:t>
      </w:r>
      <w:r w:rsidRPr="00523D6F">
        <w:rPr>
          <w:rFonts w:eastAsia="Times New Roman" w:cs="Arial"/>
          <w:i/>
          <w:iCs/>
          <w:color w:val="000000"/>
          <w:lang w:val="en-US"/>
        </w:rPr>
        <w:t>(dexamethasone)</w:t>
      </w:r>
      <w:r w:rsidRPr="00523D6F">
        <w:rPr>
          <w:rFonts w:eastAsia="Times New Roman" w:cs="Arial"/>
          <w:color w:val="000000"/>
          <w:lang w:val="en-US"/>
        </w:rPr>
        <w:t xml:space="preserve"> </w:t>
      </w:r>
      <w:r w:rsidRPr="00523D6F">
        <w:rPr>
          <w:rFonts w:eastAsia="Times New Roman" w:cs="Arial"/>
          <w:color w:val="000000"/>
          <w:lang w:eastAsia="bg-BG"/>
        </w:rPr>
        <w:t xml:space="preserve">и 50 </w:t>
      </w:r>
      <w:r w:rsidRPr="00523D6F">
        <w:rPr>
          <w:rFonts w:eastAsia="Times New Roman" w:cs="Arial"/>
          <w:color w:val="000000"/>
          <w:lang w:val="en-US"/>
        </w:rPr>
        <w:t xml:space="preserve">mg </w:t>
      </w:r>
      <w:r w:rsidRPr="00523D6F">
        <w:rPr>
          <w:rFonts w:eastAsia="Times New Roman" w:cs="Arial"/>
          <w:color w:val="000000"/>
          <w:lang w:eastAsia="bg-BG"/>
        </w:rPr>
        <w:t xml:space="preserve">индометацин </w:t>
      </w:r>
      <w:r w:rsidRPr="00523D6F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523D6F">
        <w:rPr>
          <w:rFonts w:eastAsia="Times New Roman" w:cs="Arial"/>
          <w:i/>
          <w:iCs/>
          <w:color w:val="000000"/>
          <w:lang w:val="en-US"/>
        </w:rPr>
        <w:t>indometacin</w:t>
      </w:r>
      <w:proofErr w:type="spellEnd"/>
      <w:r w:rsidRPr="00523D6F">
        <w:rPr>
          <w:rFonts w:eastAsia="Times New Roman" w:cs="Arial"/>
          <w:i/>
          <w:iCs/>
          <w:color w:val="000000"/>
          <w:lang w:val="en-US"/>
        </w:rPr>
        <w:t>).</w:t>
      </w:r>
    </w:p>
    <w:p w14:paraId="43E02311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EEDCA0" w14:textId="77E91539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</w:t>
      </w:r>
      <w:r w:rsidRPr="00523D6F">
        <w:rPr>
          <w:rFonts w:eastAsia="Times New Roman" w:cs="Arial"/>
          <w:color w:val="000000"/>
          <w:lang w:eastAsia="bg-BG"/>
        </w:rPr>
        <w:t>: метилпарахидроксибензоат, пропилпарахидроксибензоат, цетостеарилов алкохол.</w:t>
      </w:r>
    </w:p>
    <w:p w14:paraId="54632B43" w14:textId="0C92D459" w:rsidR="00EC41ED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7444FC6B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Паста за устна лигавица</w:t>
      </w:r>
    </w:p>
    <w:p w14:paraId="743244F0" w14:textId="15949035" w:rsidR="00EC41ED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Хомогенна маса с бял до кремав цвят, без мирис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59BB2B17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Индекстол се използва за лечение на:</w:t>
      </w:r>
    </w:p>
    <w:p w14:paraId="7AE93431" w14:textId="77777777" w:rsidR="00523D6F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остро или хронично протичащи периодонтити;</w:t>
      </w:r>
    </w:p>
    <w:p w14:paraId="6180F277" w14:textId="77777777" w:rsidR="00523D6F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обострени пародонтални джобове;</w:t>
      </w:r>
    </w:p>
    <w:p w14:paraId="6B55C2C2" w14:textId="77777777" w:rsidR="00523D6F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парадонтитни алвеолити;</w:t>
      </w:r>
    </w:p>
    <w:p w14:paraId="57B28CA2" w14:textId="77777777" w:rsidR="00523D6F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плака-индуцирани и алергични гингивити;</w:t>
      </w:r>
    </w:p>
    <w:p w14:paraId="114C1BA9" w14:textId="77777777" w:rsidR="00523D6F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афтозни и улцерозни стоматити;</w:t>
      </w:r>
    </w:p>
    <w:p w14:paraId="6DFA4B9D" w14:textId="0BCEA2E6" w:rsidR="0091385D" w:rsidRPr="00523D6F" w:rsidRDefault="00523D6F" w:rsidP="00523D6F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затруднен пробив на мъдреци и перикорнити.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168417EF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Продуктът е предназначен за локално приложение в устната кухина. Дозата и продължителността на лечение се определят от лекуващия лекар.</w:t>
      </w:r>
    </w:p>
    <w:p w14:paraId="6496F387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Количеството активни вещества в стълбче паста за устна лигавица с дължина 1 </w:t>
      </w:r>
      <w:r w:rsidRPr="00523D6F">
        <w:rPr>
          <w:rFonts w:eastAsia="Times New Roman" w:cs="Arial"/>
          <w:color w:val="000000"/>
          <w:lang w:val="en-US"/>
        </w:rPr>
        <w:t xml:space="preserve">cm </w:t>
      </w:r>
      <w:r w:rsidRPr="00523D6F">
        <w:rPr>
          <w:rFonts w:eastAsia="Times New Roman" w:cs="Arial"/>
          <w:color w:val="000000"/>
          <w:lang w:eastAsia="bg-BG"/>
        </w:rPr>
        <w:t>е както следва:</w:t>
      </w:r>
    </w:p>
    <w:p w14:paraId="2FF3D517" w14:textId="77777777" w:rsidR="00523D6F" w:rsidRPr="00523D6F" w:rsidRDefault="00523D6F" w:rsidP="00523D6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олеандомицин ≈ 0,67 </w:t>
      </w:r>
      <w:r w:rsidRPr="00523D6F">
        <w:rPr>
          <w:rFonts w:eastAsia="Times New Roman" w:cs="Arial"/>
          <w:color w:val="000000"/>
          <w:lang w:val="en-US"/>
        </w:rPr>
        <w:t>mg</w:t>
      </w:r>
    </w:p>
    <w:p w14:paraId="2562EF08" w14:textId="77777777" w:rsidR="00523D6F" w:rsidRPr="00523D6F" w:rsidRDefault="00523D6F" w:rsidP="00523D6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lastRenderedPageBreak/>
        <w:t xml:space="preserve">дексаметазон ≈ 0,13 </w:t>
      </w:r>
      <w:r w:rsidRPr="00523D6F">
        <w:rPr>
          <w:rFonts w:eastAsia="Times New Roman" w:cs="Arial"/>
          <w:color w:val="000000"/>
          <w:lang w:val="en-US"/>
        </w:rPr>
        <w:t>mg</w:t>
      </w:r>
    </w:p>
    <w:p w14:paraId="4E8756DA" w14:textId="3804A60C" w:rsidR="00523D6F" w:rsidRPr="00523D6F" w:rsidRDefault="00523D6F" w:rsidP="00523D6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индометацин ≈ 0,65 </w:t>
      </w:r>
      <w:r w:rsidRPr="00523D6F">
        <w:rPr>
          <w:rFonts w:eastAsia="Times New Roman" w:cs="Arial"/>
          <w:color w:val="000000"/>
          <w:lang w:val="en-US"/>
        </w:rPr>
        <w:t>mg</w:t>
      </w:r>
    </w:p>
    <w:p w14:paraId="7FBF1BCE" w14:textId="391BBD31" w:rsidR="00EC41ED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След приложението на продукта се препоръчва да се избягва консумацията на храна и напитки поне в продължение на един час с оглед осигуряване на достатъчно време, през което продуктът може да окаже своя ефект.</w:t>
      </w:r>
    </w:p>
    <w:p w14:paraId="132F3111" w14:textId="5F78C31F" w:rsidR="005B0F27" w:rsidRPr="00523D6F" w:rsidRDefault="005B0F27" w:rsidP="0091385D">
      <w:pPr>
        <w:rPr>
          <w:rFonts w:cs="Arial"/>
        </w:rPr>
      </w:pPr>
    </w:p>
    <w:p w14:paraId="3090B548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bookmarkStart w:id="1" w:name="bookmark0"/>
      <w:r w:rsidRPr="00523D6F">
        <w:rPr>
          <w:rFonts w:eastAsia="Times New Roman" w:cs="Arial"/>
          <w:b/>
          <w:bCs/>
          <w:color w:val="000000"/>
          <w:lang w:eastAsia="bg-BG"/>
        </w:rPr>
        <w:t>Възрастни</w:t>
      </w:r>
      <w:bookmarkEnd w:id="1"/>
    </w:p>
    <w:p w14:paraId="3A874650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Остро и хронично протичащи периодонтити</w:t>
      </w:r>
    </w:p>
    <w:p w14:paraId="72A14144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След рутинна обработка на кореновия канал продуктът се въвежда чрез каналопълнител до излаз в периапекса. При повторна манипулация (24-48 ч.) каналът на зъба се почиства механично от останалата паста и се запълва с коренопълнежно средство по индикация.</w:t>
      </w:r>
    </w:p>
    <w:p w14:paraId="537D61DB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51B9E7" w14:textId="3CA650FA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Пародонтални джобове</w:t>
      </w:r>
    </w:p>
    <w:p w14:paraId="6D55917B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Пародонталните джобове са запълват с паста след необходимата подготовка. Манипулацията се повтаря до гранулиране на здрава съединителна тъкан и свиване на джоба.</w:t>
      </w:r>
    </w:p>
    <w:p w14:paraId="5DF5E02F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BB0F3A" w14:textId="65112644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Алвеолити</w:t>
      </w:r>
    </w:p>
    <w:p w14:paraId="5143DB24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Въвеждането на продукта в алвеолата води до бързо отстраняване на отока, секрецията и болката.</w:t>
      </w:r>
    </w:p>
    <w:p w14:paraId="0A75D24A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3AE153" w14:textId="31D9C560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Плака-индуцирани и алергични гингивити</w:t>
      </w:r>
    </w:p>
    <w:p w14:paraId="74E3008B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Засегнатият участък се масажира с неголямо количество от продукта.</w:t>
      </w:r>
    </w:p>
    <w:p w14:paraId="01B5ADD0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98DB11" w14:textId="1F8D1043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Афтозни и улцерозни стоматити</w:t>
      </w:r>
    </w:p>
    <w:p w14:paraId="5A18FDB5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Неголямо количество от продукта се нанася върху лезиите след предварително почистване.</w:t>
      </w:r>
    </w:p>
    <w:p w14:paraId="2289E7C4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C9DD20" w14:textId="699C0C1F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Затруднен пробив на мъдрец, перикорнити</w:t>
      </w:r>
    </w:p>
    <w:p w14:paraId="5A34DC55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Въвеждането на пастата бързо намалява отока, ексудацията и болката.</w:t>
      </w:r>
    </w:p>
    <w:p w14:paraId="0646EA6D" w14:textId="77777777" w:rsidR="00523D6F" w:rsidRPr="00523D6F" w:rsidRDefault="00523D6F" w:rsidP="00523D6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F57C33" w14:textId="5AB253D5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3CAA89C4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Ефективността и безопасността не са установени.</w:t>
      </w:r>
    </w:p>
    <w:p w14:paraId="02D90570" w14:textId="77777777" w:rsidR="00523D6F" w:rsidRPr="00523D6F" w:rsidRDefault="00523D6F" w:rsidP="00523D6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75740ADA" w14:textId="6310494D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b/>
          <w:bCs/>
          <w:color w:val="000000"/>
          <w:lang w:eastAsia="bg-BG"/>
        </w:rPr>
        <w:t>Употреба при пациенти с чернодробни и бъбречни увреждания</w:t>
      </w:r>
      <w:bookmarkEnd w:id="2"/>
    </w:p>
    <w:p w14:paraId="36E26576" w14:textId="7FD1478D" w:rsidR="00523D6F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Няма данни от приложението на продукта при пациенти с чернодробни и бъбречни увреждания. Поради ниската системна абсорбция на активните вещества след локално приложение на лекарствения продукт, не е необходимо специално адаптиране на дозата.</w:t>
      </w:r>
    </w:p>
    <w:p w14:paraId="14E424E0" w14:textId="77777777" w:rsidR="00523D6F" w:rsidRPr="0091385D" w:rsidRDefault="00523D6F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7509EE67" w14:textId="77777777" w:rsidR="00523D6F" w:rsidRPr="00523D6F" w:rsidRDefault="00523D6F" w:rsidP="00523D6F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Свръхчувствителност към активните вещества или към някое от помощните вещества, изброени в точка 6.1;</w:t>
      </w:r>
    </w:p>
    <w:p w14:paraId="34FA5EE9" w14:textId="77777777" w:rsidR="00523D6F" w:rsidRPr="00523D6F" w:rsidRDefault="00523D6F" w:rsidP="00523D6F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Микотични, вирусни или други специфични заболявания на устната кухина;</w:t>
      </w:r>
    </w:p>
    <w:p w14:paraId="030B6A4D" w14:textId="1AA131A6" w:rsidR="00EC41ED" w:rsidRPr="00523D6F" w:rsidRDefault="00523D6F" w:rsidP="00523D6F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Кърмачета и деца.</w:t>
      </w:r>
    </w:p>
    <w:p w14:paraId="31B39DC6" w14:textId="77777777" w:rsidR="0091385D" w:rsidRPr="0091385D" w:rsidRDefault="0091385D" w:rsidP="0091385D">
      <w:bookmarkStart w:id="3" w:name="_GoBack"/>
      <w:bookmarkEnd w:id="3"/>
    </w:p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21931A5E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lastRenderedPageBreak/>
        <w:t>Локалното приложение на продукта може да предизвика реакция на свръхчувствителност при някои пациенти. В случай на такава реакция, лечението с продукта трябва да се преустанови незабавно.</w:t>
      </w:r>
    </w:p>
    <w:p w14:paraId="72D2075A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675135" w14:textId="0D82ED30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Продължителността на лечението не трябва да надвишава 7 дни. При липса на клинично подобрение, трябва да се има предвид, че продължителната употреба на кортикостероиди може да замаскира продължаващо развитие и/или генерализиране на инфекциозния процес.</w:t>
      </w:r>
    </w:p>
    <w:p w14:paraId="4DA3158D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Продължителната употреба може да потисне защитния отговор на организма и по този начин да увеличи риска от развитие на вторични локални инфекции, вкл. гъбички.</w:t>
      </w:r>
    </w:p>
    <w:p w14:paraId="498BA698" w14:textId="77777777" w:rsidR="00523D6F" w:rsidRPr="00523D6F" w:rsidRDefault="00523D6F" w:rsidP="00523D6F">
      <w:pPr>
        <w:rPr>
          <w:rFonts w:eastAsia="Times New Roman" w:cs="Arial"/>
          <w:color w:val="000000"/>
          <w:lang w:eastAsia="bg-BG"/>
        </w:rPr>
      </w:pPr>
    </w:p>
    <w:p w14:paraId="0E28BBDE" w14:textId="7D4FA3A6" w:rsidR="007A2185" w:rsidRDefault="00523D6F" w:rsidP="00523D6F">
      <w:pPr>
        <w:rPr>
          <w:rFonts w:eastAsia="Times New Roman" w:cs="Arial"/>
          <w:color w:val="000000"/>
          <w:lang w:val="en-US"/>
        </w:rPr>
      </w:pPr>
      <w:r w:rsidRPr="00523D6F">
        <w:rPr>
          <w:rFonts w:eastAsia="Times New Roman" w:cs="Arial"/>
          <w:color w:val="000000"/>
          <w:lang w:eastAsia="bg-BG"/>
        </w:rPr>
        <w:t xml:space="preserve">При продължителна употреба е възможно да се наблюдават нежелани лекарствени реакции свързани със системното действие на кортикостероидите, поради което е необходимо е да се има пред вид количеството дексаметазон, съдържащо се в стълбче от пастата с дължина 1 </w:t>
      </w:r>
      <w:r w:rsidRPr="00523D6F">
        <w:rPr>
          <w:rFonts w:eastAsia="Times New Roman" w:cs="Arial"/>
          <w:color w:val="000000"/>
          <w:lang w:val="en-US"/>
        </w:rPr>
        <w:t>cm.</w:t>
      </w:r>
    </w:p>
    <w:p w14:paraId="73461E66" w14:textId="64091C13" w:rsidR="00523D6F" w:rsidRDefault="00523D6F" w:rsidP="00523D6F">
      <w:pPr>
        <w:rPr>
          <w:rFonts w:eastAsia="Times New Roman" w:cs="Arial"/>
          <w:color w:val="000000"/>
          <w:lang w:val="en-US"/>
        </w:rPr>
      </w:pPr>
    </w:p>
    <w:p w14:paraId="3CFD0B68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При предразположени пациенти, включително деца и пациенти, лекувани с инхибитори на </w:t>
      </w:r>
      <w:r w:rsidRPr="00523D6F">
        <w:rPr>
          <w:rFonts w:eastAsia="Times New Roman" w:cs="Arial"/>
          <w:color w:val="000000"/>
          <w:lang w:val="en-US"/>
        </w:rPr>
        <w:t xml:space="preserve">CYP3A4 </w:t>
      </w:r>
      <w:r w:rsidRPr="00523D6F">
        <w:rPr>
          <w:rFonts w:eastAsia="Times New Roman" w:cs="Arial"/>
          <w:color w:val="000000"/>
          <w:lang w:eastAsia="bg-BG"/>
        </w:rPr>
        <w:t>(включително ритонавир и кобицистат) след интензивна или продължителна непрекъсната терапия е възможна появата на синдром на Кушинг и/или адренална супресия, свързани със системната абсорбция на дексаметазон. В тези случаи лечението трябва да се преустанови постепенно.</w:t>
      </w:r>
    </w:p>
    <w:p w14:paraId="06770F45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AB6627" w14:textId="2DB7FD24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Локалното приложение на кортикостероиди може да забави заздравяването на лигавични увреждания и разранявания.</w:t>
      </w:r>
    </w:p>
    <w:p w14:paraId="08B24D5C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7ACA0D" w14:textId="20917E98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Продължителното приложение на индометацин-съдържащи продукти, особено върху големи участъци, трябва да се избягва при пациенти с активна язвена болест, тежки чернодробни и бъбречни заболявалия, поради възможна системна абсорбция.</w:t>
      </w:r>
    </w:p>
    <w:p w14:paraId="4ED6AA27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A60D12" w14:textId="3B4E887B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Продуктът не трябва да се поставя в очите и областите около тях.</w:t>
      </w:r>
    </w:p>
    <w:p w14:paraId="7150EB60" w14:textId="77777777" w:rsidR="00523D6F" w:rsidRPr="00523D6F" w:rsidRDefault="00523D6F" w:rsidP="00523D6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E5035CC" w14:textId="1C4A8159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i/>
          <w:iCs/>
          <w:color w:val="000000"/>
          <w:lang w:eastAsia="bg-BG"/>
        </w:rPr>
        <w:t>Зрителни смущения</w:t>
      </w:r>
    </w:p>
    <w:p w14:paraId="362C86D0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При системно и локално приложение на кортикостероиди са възможни съобщения за зрителни смущения. Ако при пациент са налице симптоми като замъглено зрение или други зрителни смущения, пациентът трябва да бъде насочен за консултация с офталмолог за оценка на възможните причини, които могат да включват катаракта, глаукома или редки заболявалия като централна серозна хориоретинопатия (ЦСХ), за които се съобщава след системно и локално използване на кортикостероиди.</w:t>
      </w:r>
    </w:p>
    <w:p w14:paraId="0EF8D3CF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3C99C6" w14:textId="4862BCFB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Този лекарствен продукт съдържа, като помощни вещества, т. нар. парабени. Те могат да предизвикат алергични реакции (възможно е да са от забавен тип).</w:t>
      </w:r>
    </w:p>
    <w:p w14:paraId="5C37C218" w14:textId="77777777" w:rsidR="00523D6F" w:rsidRPr="00523D6F" w:rsidRDefault="00523D6F" w:rsidP="00523D6F">
      <w:pPr>
        <w:rPr>
          <w:rFonts w:eastAsia="Times New Roman" w:cs="Arial"/>
          <w:color w:val="000000"/>
          <w:lang w:eastAsia="bg-BG"/>
        </w:rPr>
      </w:pPr>
    </w:p>
    <w:p w14:paraId="4C86E9D5" w14:textId="7AE271E1" w:rsidR="00523D6F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Цетостеариловият алкохол в състава на продукта може да причини локални кожни реакции (напр. контактен дерматит).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2CDCD1D6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lastRenderedPageBreak/>
        <w:t>Следните лекарствени взаимодействия на активните вещества на продукта не могат да бъдат изключени, но при локално приложение е малко вероятно да имат релевантно клинично значение:</w:t>
      </w:r>
    </w:p>
    <w:p w14:paraId="75AA698B" w14:textId="77777777" w:rsidR="00523D6F" w:rsidRPr="00523D6F" w:rsidRDefault="00523D6F" w:rsidP="00523D6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терапевтичният ефект на дексаметазон може да се редуцира при едновременна употреба на ензимните индуктори фенитоин, фенобарбитал, ефедрин и рифампицин;</w:t>
      </w:r>
    </w:p>
    <w:p w14:paraId="61B5C529" w14:textId="77777777" w:rsidR="00523D6F" w:rsidRPr="00523D6F" w:rsidRDefault="00523D6F" w:rsidP="00523D6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глюкокортикоидите могат да наложат повишаване дозата на салицилатите, тъй като увеличават плазмения им клирънс;</w:t>
      </w:r>
    </w:p>
    <w:p w14:paraId="5758E4EA" w14:textId="77777777" w:rsidR="00523D6F" w:rsidRPr="00523D6F" w:rsidRDefault="00523D6F" w:rsidP="00523D6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при едновременното прилагане на олеандомицин с линкомицин или еритромицин може да се намали антибактериалният ефект на комбинацията;</w:t>
      </w:r>
    </w:p>
    <w:p w14:paraId="5B2761C5" w14:textId="50D6B133" w:rsidR="0091385D" w:rsidRPr="00523D6F" w:rsidRDefault="00523D6F" w:rsidP="00523D6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 xml:space="preserve">продължителното едновременно приложение на индометацин с кортикостероиди може да потенцира техния улцерогенен ефект; инхибиторите на </w:t>
      </w:r>
      <w:r w:rsidRPr="00523D6F">
        <w:rPr>
          <w:rFonts w:eastAsia="Times New Roman" w:cs="Arial"/>
          <w:color w:val="000000"/>
          <w:lang w:val="en-US"/>
        </w:rPr>
        <w:t xml:space="preserve">CYP3A4 </w:t>
      </w:r>
      <w:r w:rsidRPr="00523D6F">
        <w:rPr>
          <w:rFonts w:eastAsia="Times New Roman" w:cs="Arial"/>
          <w:color w:val="000000"/>
          <w:lang w:eastAsia="bg-BG"/>
        </w:rPr>
        <w:t>(включително ритонавир и кобицистат) могат да понижат клирънса на дексаметазон, което да доведе до засилени ефекти и адренална супресия/синдром на Кушинг. Комбинацията трябва да се избягва, освен ако ползата надвишава повишения риск от системни кортикостероидни нежелани лекарствени реакции; при такъв случай пациентите трябва да се проследяват за поява на системни кортикостероидни ефекти.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7EBE3FA9" w14:textId="77777777" w:rsidR="00523D6F" w:rsidRPr="00523D6F" w:rsidRDefault="00523D6F" w:rsidP="00523D6F">
      <w:pPr>
        <w:pStyle w:val="Heading3"/>
        <w:rPr>
          <w:rFonts w:eastAsia="Times New Roman"/>
          <w:u w:val="single"/>
          <w:lang w:eastAsia="bg-BG"/>
        </w:rPr>
      </w:pPr>
      <w:r w:rsidRPr="00523D6F">
        <w:rPr>
          <w:rFonts w:eastAsia="Times New Roman"/>
          <w:u w:val="single"/>
          <w:lang w:eastAsia="bg-BG"/>
        </w:rPr>
        <w:t>Бременност</w:t>
      </w:r>
    </w:p>
    <w:p w14:paraId="102F0D07" w14:textId="20E581AC" w:rsidR="007A2185" w:rsidRPr="00523D6F" w:rsidRDefault="00523D6F" w:rsidP="00523D6F">
      <w:pPr>
        <w:rPr>
          <w:rFonts w:eastAsia="Times New Roman" w:cs="Arial"/>
          <w:color w:val="000000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Липсва клиничен опит, доказващ безопасността на продукта при употребата му</w:t>
      </w:r>
      <w:r w:rsidRPr="00523D6F">
        <w:rPr>
          <w:rFonts w:eastAsia="Times New Roman" w:cs="Arial"/>
          <w:color w:val="000000"/>
          <w:lang w:val="en-US"/>
        </w:rPr>
        <w:t xml:space="preserve"> </w:t>
      </w:r>
      <w:r w:rsidRPr="00523D6F">
        <w:rPr>
          <w:rFonts w:eastAsia="Times New Roman" w:cs="Arial"/>
          <w:color w:val="000000"/>
          <w:lang w:eastAsia="bg-BG"/>
        </w:rPr>
        <w:t>по време на бременност.</w:t>
      </w:r>
    </w:p>
    <w:p w14:paraId="1FAC795B" w14:textId="36B851AE" w:rsidR="00523D6F" w:rsidRPr="00523D6F" w:rsidRDefault="00523D6F" w:rsidP="00523D6F">
      <w:pPr>
        <w:rPr>
          <w:rFonts w:eastAsia="Times New Roman" w:cs="Arial"/>
          <w:color w:val="000000"/>
          <w:lang w:eastAsia="bg-BG"/>
        </w:rPr>
      </w:pPr>
    </w:p>
    <w:p w14:paraId="38BF7D2E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Установено е, че локалното приложение на кортикостероиди при бременни животни може да предизвика нарушение във феталното развитие, включително непълно затваряне на твърдото небце и забавен интраутеринен растеж.</w:t>
      </w:r>
    </w:p>
    <w:p w14:paraId="25322DEC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Поради това употребата на продукта при бременни жени трябва да става само при категорична необходимост, ако потенциалната полза от лечението за майката надвишава риска за плода.</w:t>
      </w:r>
    </w:p>
    <w:p w14:paraId="5AA33575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1872E8" w14:textId="4FB7D640" w:rsidR="00523D6F" w:rsidRPr="00523D6F" w:rsidRDefault="00523D6F" w:rsidP="00523D6F">
      <w:pPr>
        <w:pStyle w:val="Heading3"/>
        <w:rPr>
          <w:rFonts w:eastAsia="Times New Roman"/>
          <w:u w:val="single"/>
          <w:lang w:eastAsia="bg-BG"/>
        </w:rPr>
      </w:pPr>
      <w:r w:rsidRPr="00523D6F">
        <w:rPr>
          <w:rFonts w:eastAsia="Times New Roman"/>
          <w:u w:val="single"/>
          <w:lang w:eastAsia="bg-BG"/>
        </w:rPr>
        <w:t>Кърмене</w:t>
      </w:r>
    </w:p>
    <w:p w14:paraId="71FCDC49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Системно прилаганите кортикостероиди преминават в кърмата при хора и могат да потиснат растежа, да попречат на ендогенната продукция на кортикостероиди или да окажат други неблагоприятни въздействия.</w:t>
      </w:r>
    </w:p>
    <w:p w14:paraId="58224DD6" w14:textId="0C9BCA98" w:rsidR="00523D6F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Липсват данни, дали локалното приложение на продукта води до системна абсорбция на дексаметазон, която да е причина за неговото излъчване в човешкото мляко. Тъй като съществува потенциална опасност от преминаване на лекарствените вещества в майчиното млякото, се препоръчва прекратяване на кърменето за времето на лечение с продукта или използването на друго алтернативно лечение.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53C47BF9" w:rsidR="007A2185" w:rsidRPr="00523D6F" w:rsidRDefault="00523D6F" w:rsidP="0091385D">
      <w:pPr>
        <w:rPr>
          <w:rFonts w:cs="Arial"/>
        </w:rPr>
      </w:pPr>
      <w:r w:rsidRPr="00523D6F">
        <w:rPr>
          <w:rFonts w:cs="Arial"/>
        </w:rPr>
        <w:t>Няма данни за неблагоприятни ефекти върху способността за шофиране или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lastRenderedPageBreak/>
        <w:t>4.8. Нежелани лекарствени реакции</w:t>
      </w:r>
    </w:p>
    <w:p w14:paraId="76E0B7A2" w14:textId="5BBD2581" w:rsidR="005B0F27" w:rsidRDefault="005B0F27" w:rsidP="0091385D"/>
    <w:p w14:paraId="12841907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Нежеланите лекарствени реакции могат да се дължат на антибактериалната, стероидната или нестероидната противовъзпалителна съставка или на действието на самата комбинация.</w:t>
      </w:r>
    </w:p>
    <w:p w14:paraId="2CAB45C9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C0E055" w14:textId="5F2BC180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Могат да се наблюдават следните нежелани реакции, предизвикани от отделните компоненти на продукта:</w:t>
      </w:r>
    </w:p>
    <w:p w14:paraId="56C833D7" w14:textId="77777777" w:rsidR="00523D6F" w:rsidRPr="00523D6F" w:rsidRDefault="00523D6F" w:rsidP="00523D6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26AFEF6" w14:textId="41A0F448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b/>
          <w:bCs/>
          <w:color w:val="000000"/>
          <w:lang w:eastAsia="bg-BG"/>
        </w:rPr>
        <w:t>Олеандомицин</w:t>
      </w:r>
    </w:p>
    <w:p w14:paraId="28801281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C3F45D" w14:textId="59799619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Нарушения на имунната система</w:t>
      </w:r>
    </w:p>
    <w:p w14:paraId="71827B2F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Реакции на свръхчувствителност (локални или системни алергични реакции) - най-често локално дразнене, парене, уртикария и сърбеж, рядко по-тежки алергични реакции (анафилаксия, ангиоедем).</w:t>
      </w:r>
    </w:p>
    <w:p w14:paraId="38E5B3B4" w14:textId="77777777" w:rsidR="00523D6F" w:rsidRPr="00523D6F" w:rsidRDefault="00523D6F" w:rsidP="00523D6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5BCAD64" w14:textId="0BA44B34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b/>
          <w:bCs/>
          <w:color w:val="000000"/>
          <w:lang w:eastAsia="bg-BG"/>
        </w:rPr>
        <w:t>Дексаметазон</w:t>
      </w:r>
    </w:p>
    <w:p w14:paraId="34611661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549DC9" w14:textId="7FDBF55E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Инфекции и инфестации</w:t>
      </w:r>
    </w:p>
    <w:p w14:paraId="2335F44C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При продължителна употреба е възможно развитието на вторична инфекция. Лигавиците, третирани продължително с локални кортикостероиди са предразположени към поява на гъбични инфекции. Възможно е вторичната инфекция да е резултат от потисната защитна реакция на организма.</w:t>
      </w:r>
    </w:p>
    <w:p w14:paraId="7F2C609E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E9DE00" w14:textId="54529509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Нарушения на очите</w:t>
      </w:r>
    </w:p>
    <w:p w14:paraId="11F69067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 неизвестна честота - замъглено зрение (вж. също точка 4.4)</w:t>
      </w:r>
    </w:p>
    <w:p w14:paraId="268E56AD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B0E7032" w14:textId="6483923F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Ендокринни нарушения</w:t>
      </w:r>
    </w:p>
    <w:p w14:paraId="33F31185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 неизвестна честота се съобщава за поява на синдром на Кушинг и адренална супресия (вж. точка 4.4)</w:t>
      </w:r>
    </w:p>
    <w:p w14:paraId="3C0F2612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F3EF9D" w14:textId="3D9FF1E1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Общи нарушения</w:t>
      </w:r>
    </w:p>
    <w:p w14:paraId="0254AACC" w14:textId="3F3C1AC6" w:rsidR="007A2185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>При продължителна употреба е възможна поява на системни ефекти.</w:t>
      </w:r>
    </w:p>
    <w:p w14:paraId="443BC107" w14:textId="2C345882" w:rsidR="005B0F27" w:rsidRPr="00523D6F" w:rsidRDefault="005B0F27" w:rsidP="0091385D">
      <w:pPr>
        <w:rPr>
          <w:rFonts w:cs="Arial"/>
        </w:rPr>
      </w:pPr>
    </w:p>
    <w:p w14:paraId="32216A87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b/>
          <w:bCs/>
          <w:color w:val="000000"/>
          <w:lang w:eastAsia="bg-BG"/>
        </w:rPr>
        <w:t>Индометацин</w:t>
      </w:r>
    </w:p>
    <w:p w14:paraId="47009AA1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7D38E74E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Контактно дразнене, чувство на затопляне и парене в мястото на приложението.</w:t>
      </w:r>
    </w:p>
    <w:p w14:paraId="41E66307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0E8CDB" w14:textId="7B1724A9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Системни реакции</w:t>
      </w:r>
    </w:p>
    <w:p w14:paraId="483E683A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В изключителни случаи, при продължително приложение върху обширни участъци е възможна поява на нежелани лекарствени реакции, които възникват при перорално приложение.</w:t>
      </w:r>
    </w:p>
    <w:p w14:paraId="10C1EFBF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315B87" w14:textId="6579E7E4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09911773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В изключителни случаи, при продължително приложение върху обширни участъци е възможна поява на гадене, диспепсия, коремни болки, повишаване на чернодробните ензими.</w:t>
      </w:r>
    </w:p>
    <w:p w14:paraId="0BF23222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E3D3C3E" w14:textId="0C21E8F2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2E3CE978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Пруритус, еритем, кожни обриви</w:t>
      </w:r>
    </w:p>
    <w:p w14:paraId="43E6E667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D57D5A" w14:textId="739C07DF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Нарушения на имунната система</w:t>
      </w:r>
    </w:p>
    <w:p w14:paraId="2636E0F4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Симптоми на свръхчувствителност (анафилаксия, астматичен пристъп, ангиоедем).</w:t>
      </w:r>
    </w:p>
    <w:p w14:paraId="39F7D465" w14:textId="77777777" w:rsidR="00523D6F" w:rsidRPr="00523D6F" w:rsidRDefault="00523D6F" w:rsidP="00523D6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260C2D7" w14:textId="20E63123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b/>
          <w:bCs/>
          <w:color w:val="000000"/>
          <w:lang w:eastAsia="bg-BG"/>
        </w:rPr>
        <w:t>Нежелани реакции, свързани с действието на комбинирания продукт</w:t>
      </w:r>
    </w:p>
    <w:p w14:paraId="1B8037B7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1F6F8B" w14:textId="75CB837D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5207259A" w14:textId="77777777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lang w:eastAsia="bg-BG"/>
        </w:rPr>
        <w:t>Контактно дразнене, чувство на затопляне, парене, болезненост в мястото на приложението, повишено слюноотделяне.</w:t>
      </w:r>
    </w:p>
    <w:p w14:paraId="5ABF3E72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3A5364" w14:textId="35CB7E76" w:rsidR="00523D6F" w:rsidRPr="00523D6F" w:rsidRDefault="00523D6F" w:rsidP="00523D6F">
      <w:pPr>
        <w:spacing w:line="240" w:lineRule="auto"/>
        <w:rPr>
          <w:rFonts w:eastAsia="Times New Roman" w:cs="Arial"/>
          <w:lang w:eastAsia="bg-BG"/>
        </w:rPr>
      </w:pPr>
      <w:r w:rsidRPr="00523D6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F343024" w14:textId="139E2A5A" w:rsidR="00523D6F" w:rsidRPr="00523D6F" w:rsidRDefault="00523D6F" w:rsidP="00523D6F">
      <w:pPr>
        <w:rPr>
          <w:rFonts w:cs="Arial"/>
        </w:rPr>
      </w:pPr>
      <w:r w:rsidRPr="00523D6F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02 8903417, уебсайт: </w:t>
      </w:r>
      <w:r w:rsidRPr="00523D6F">
        <w:rPr>
          <w:rFonts w:eastAsia="Times New Roman" w:cs="Arial"/>
          <w:lang w:eastAsia="bg-BG"/>
        </w:rPr>
        <w:fldChar w:fldCharType="begin"/>
      </w:r>
      <w:r w:rsidRPr="00523D6F">
        <w:rPr>
          <w:rFonts w:eastAsia="Times New Roman" w:cs="Arial"/>
          <w:lang w:eastAsia="bg-BG"/>
        </w:rPr>
        <w:instrText xml:space="preserve"> HYPERLINK "http://www.bda.bg" </w:instrText>
      </w:r>
      <w:r w:rsidRPr="00523D6F">
        <w:rPr>
          <w:rFonts w:eastAsia="Times New Roman" w:cs="Arial"/>
          <w:lang w:eastAsia="bg-BG"/>
        </w:rPr>
      </w:r>
      <w:r w:rsidRPr="00523D6F">
        <w:rPr>
          <w:rFonts w:eastAsia="Times New Roman" w:cs="Arial"/>
          <w:lang w:eastAsia="bg-BG"/>
        </w:rPr>
        <w:fldChar w:fldCharType="separate"/>
      </w:r>
      <w:r w:rsidRPr="00523D6F">
        <w:rPr>
          <w:rFonts w:eastAsia="Times New Roman" w:cs="Arial"/>
          <w:color w:val="000000"/>
          <w:lang w:val="en-US"/>
        </w:rPr>
        <w:t>www.bda.bg</w:t>
      </w:r>
      <w:r w:rsidRPr="00523D6F">
        <w:rPr>
          <w:rFonts w:eastAsia="Times New Roman" w:cs="Arial"/>
          <w:lang w:eastAsia="bg-BG"/>
        </w:rPr>
        <w:fldChar w:fldCharType="end"/>
      </w:r>
      <w:r w:rsidRPr="00523D6F">
        <w:rPr>
          <w:rFonts w:eastAsia="Times New Roman" w:cs="Arial"/>
          <w:color w:val="000000"/>
          <w:lang w:val="en-US"/>
        </w:rPr>
        <w:t>.</w:t>
      </w:r>
    </w:p>
    <w:p w14:paraId="514DF26D" w14:textId="77777777" w:rsidR="00523D6F" w:rsidRPr="0091385D" w:rsidRDefault="00523D6F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A43B8F3" w14:textId="14FB20B2" w:rsidR="007A2185" w:rsidRPr="00523D6F" w:rsidRDefault="00523D6F" w:rsidP="0091385D">
      <w:pPr>
        <w:rPr>
          <w:rFonts w:cs="Arial"/>
          <w:sz w:val="24"/>
        </w:rPr>
      </w:pPr>
      <w:r w:rsidRPr="00523D6F">
        <w:rPr>
          <w:rFonts w:cs="Arial"/>
          <w:szCs w:val="20"/>
        </w:rPr>
        <w:t>При точно спазване на инструкциите за употреба на продукта не се наблюдава предозиране и токсичност при локалното му приложение.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0506BBD7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Фармакотерапевтична група: стоматологични продукти; други средства за локално перорално лечение, АТС код: А01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AD </w:t>
      </w:r>
      <w:r w:rsidRPr="00523D6F">
        <w:rPr>
          <w:rFonts w:eastAsia="Times New Roman" w:cs="Arial"/>
          <w:color w:val="000000"/>
          <w:szCs w:val="20"/>
          <w:lang w:eastAsia="bg-BG"/>
        </w:rPr>
        <w:t>11</w:t>
      </w:r>
    </w:p>
    <w:p w14:paraId="21881A38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E60CE24" w14:textId="7E2D0E3C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Индекстол паста за устна лигавица е комбиниран продукт за локално приложение с комплексно антибактериално и противовъзпалително действие при остри или хронично протичащи възпалителни процеси в устната кухина.</w:t>
      </w:r>
    </w:p>
    <w:p w14:paraId="2A28E6DA" w14:textId="77777777" w:rsidR="00523D6F" w:rsidRPr="00523D6F" w:rsidRDefault="00523D6F" w:rsidP="00523D6F">
      <w:pPr>
        <w:rPr>
          <w:rFonts w:eastAsia="Times New Roman" w:cs="Arial"/>
          <w:color w:val="000000"/>
          <w:szCs w:val="20"/>
          <w:lang w:eastAsia="bg-BG"/>
        </w:rPr>
      </w:pPr>
    </w:p>
    <w:p w14:paraId="038F692B" w14:textId="7DC28302" w:rsidR="007A2185" w:rsidRPr="00523D6F" w:rsidRDefault="00523D6F" w:rsidP="00523D6F">
      <w:pPr>
        <w:rPr>
          <w:rFonts w:cs="Arial"/>
          <w:sz w:val="24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Олеандомицин е антибиотик от групата на макролидите и проявява бактериостатично действие предимно върху Грам-положителни микроорганизми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(Streptococcus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/α и β-хемолитични щамове/,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Pneumococcus,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някои щамове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Staphylococcus)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и Грам-отрицателни микроорганизми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(Neisseria </w:t>
      </w:r>
      <w:proofErr w:type="spellStart"/>
      <w:r w:rsidRPr="00523D6F">
        <w:rPr>
          <w:rFonts w:eastAsia="Times New Roman" w:cs="Arial"/>
          <w:color w:val="000000"/>
          <w:szCs w:val="20"/>
          <w:lang w:val="en-US"/>
        </w:rPr>
        <w:t>gonorrhoeae</w:t>
      </w:r>
      <w:proofErr w:type="spellEnd"/>
      <w:r w:rsidRPr="00523D6F">
        <w:rPr>
          <w:rFonts w:eastAsia="Times New Roman" w:cs="Arial"/>
          <w:color w:val="000000"/>
          <w:szCs w:val="20"/>
          <w:lang w:val="en-US"/>
        </w:rPr>
        <w:t xml:space="preserve">, Clostridium </w:t>
      </w:r>
      <w:r w:rsidRPr="00523D6F">
        <w:rPr>
          <w:rFonts w:eastAsia="Times New Roman" w:cs="Arial"/>
          <w:color w:val="000000"/>
          <w:szCs w:val="20"/>
          <w:lang w:eastAsia="bg-BG"/>
        </w:rPr>
        <w:t>и др). Олеандомицин се прилага в стоматологията за лечение на пародонтоза II и III степен, гингивити, периодонтити, остри одонтогенни инфекции улцерозни и афтозни стоматити.</w:t>
      </w:r>
    </w:p>
    <w:p w14:paraId="4BE4A525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Дексаметазон е синтетичен глюкокортикоид. Фармакологичната му активност превишава 5-6 пъти тази на преднизон. Действа противовъзпалително (антиексудативно и антипролиферативно) и противоалергично.</w:t>
      </w:r>
    </w:p>
    <w:p w14:paraId="1E58F10A" w14:textId="77777777" w:rsidR="00523D6F" w:rsidRPr="00523D6F" w:rsidRDefault="00523D6F" w:rsidP="00523D6F">
      <w:pPr>
        <w:rPr>
          <w:rFonts w:eastAsia="Times New Roman" w:cs="Arial"/>
          <w:color w:val="000000"/>
          <w:szCs w:val="20"/>
          <w:lang w:eastAsia="bg-BG"/>
        </w:rPr>
      </w:pPr>
    </w:p>
    <w:p w14:paraId="36152471" w14:textId="2CFDC41A" w:rsidR="0091385D" w:rsidRPr="00523D6F" w:rsidRDefault="00523D6F" w:rsidP="00523D6F">
      <w:pPr>
        <w:rPr>
          <w:rFonts w:cs="Arial"/>
          <w:sz w:val="24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Индометацин е нестероидно противовъзпалително средство, производно на индолоцетната киселина. Притежава изразено противовъзпалително действие, свързано с потискане на простагландиновата синтеза. Приложен локално проявява по-силен </w:t>
      </w:r>
      <w:r w:rsidRPr="00523D6F">
        <w:rPr>
          <w:rFonts w:eastAsia="Times New Roman" w:cs="Arial"/>
          <w:color w:val="000000"/>
          <w:szCs w:val="20"/>
          <w:lang w:eastAsia="bg-BG"/>
        </w:rPr>
        <w:lastRenderedPageBreak/>
        <w:t>противовъзпалителен ефект от салицилатите и фенилбутазона, като повлиява ексудативната и пролиферативната фаза на възпалителния процес.</w:t>
      </w:r>
    </w:p>
    <w:p w14:paraId="4D4A558A" w14:textId="77777777" w:rsidR="00523D6F" w:rsidRPr="0091385D" w:rsidRDefault="00523D6F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4CB0BF53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След локално приложение на Индекстол паста за устна лигавица, активните съставки бързо се освобождават от лекарствената форма и оказват своето терапевтично действие. Няма данни за степента на системна резорбция на активните вещества при локално приложение върху лигавицата в устната кухина.</w:t>
      </w:r>
    </w:p>
    <w:p w14:paraId="45551830" w14:textId="33A8A1E7" w:rsidR="007A2185" w:rsidRPr="00523D6F" w:rsidRDefault="00523D6F" w:rsidP="00523D6F">
      <w:pPr>
        <w:rPr>
          <w:rFonts w:cs="Arial"/>
          <w:sz w:val="24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Необходимо е да се отчита възможността от трансмукозна резорбция на активните вещества при локално приложение на продукта.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3A7FEA9D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u w:val="single"/>
          <w:lang w:eastAsia="bg-BG"/>
        </w:rPr>
        <w:t>Токсичност</w:t>
      </w:r>
    </w:p>
    <w:p w14:paraId="585860A0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Олеандомицин може да бъде определен като вещество с много ниска токсичност и висока биологична поносимост - </w:t>
      </w:r>
      <w:r w:rsidRPr="00523D6F">
        <w:rPr>
          <w:rFonts w:eastAsia="Times New Roman" w:cs="Arial"/>
          <w:color w:val="000000"/>
          <w:szCs w:val="20"/>
          <w:lang w:val="en-US"/>
        </w:rPr>
        <w:t>LD</w:t>
      </w:r>
      <w:r w:rsidRPr="00523D6F">
        <w:rPr>
          <w:rFonts w:eastAsia="Times New Roman" w:cs="Arial"/>
          <w:color w:val="000000"/>
          <w:szCs w:val="20"/>
          <w:vertAlign w:val="subscript"/>
          <w:lang w:val="en-US"/>
        </w:rPr>
        <w:t>50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при перорално приложение върху плъхове е 6 700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mg/kg. </w:t>
      </w:r>
      <w:r w:rsidRPr="00523D6F">
        <w:rPr>
          <w:rFonts w:eastAsia="Times New Roman" w:cs="Arial"/>
          <w:color w:val="000000"/>
          <w:szCs w:val="20"/>
          <w:lang w:eastAsia="bg-BG"/>
        </w:rPr>
        <w:t>Установено е, че фосфорната сол на олеандомицин е по-слабо токсична от хидрохлорида. Острата интоксикация се проявява с некоординирани движения, дихателни нарушения и изразени клонично-тонични гърчове.</w:t>
      </w:r>
    </w:p>
    <w:p w14:paraId="517FC0ED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Клиничната картина на острата интоксикация с индометацин се характеризира с прогресивна адинамия, анорексия, диария с кървави изпражнения, кахексия и кома. Патологоанатомично се установява съдържание на кръв в стомаха и червата, плаки и ерозии в гастроинтестиналната мукоза, чернодробни увреждания, веностаза. Близките стойности на </w:t>
      </w:r>
      <w:r w:rsidRPr="00523D6F">
        <w:rPr>
          <w:rFonts w:eastAsia="Times New Roman" w:cs="Arial"/>
          <w:color w:val="000000"/>
          <w:szCs w:val="20"/>
          <w:lang w:val="en-US"/>
        </w:rPr>
        <w:t>LD</w:t>
      </w:r>
      <w:r w:rsidRPr="00523D6F">
        <w:rPr>
          <w:rFonts w:eastAsia="Times New Roman" w:cs="Arial"/>
          <w:color w:val="000000"/>
          <w:szCs w:val="20"/>
          <w:vertAlign w:val="subscript"/>
          <w:lang w:val="en-US"/>
        </w:rPr>
        <w:t>50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при интраперитонеално (24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mg/kg)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и перорално въвеждане (19,4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mg/kg) </w:t>
      </w:r>
      <w:r w:rsidRPr="00523D6F">
        <w:rPr>
          <w:rFonts w:eastAsia="Times New Roman" w:cs="Arial"/>
          <w:color w:val="000000"/>
          <w:szCs w:val="20"/>
          <w:lang w:eastAsia="bg-BG"/>
        </w:rPr>
        <w:t>при плъхове показват наличие на много добра резорбция при перорално приложение.</w:t>
      </w:r>
    </w:p>
    <w:p w14:paraId="2D192608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Стойността на </w:t>
      </w:r>
      <w:r w:rsidRPr="00523D6F">
        <w:rPr>
          <w:rFonts w:eastAsia="Times New Roman" w:cs="Arial"/>
          <w:color w:val="000000"/>
          <w:szCs w:val="20"/>
          <w:lang w:val="en-US"/>
        </w:rPr>
        <w:t>LD</w:t>
      </w:r>
      <w:r w:rsidRPr="00523D6F">
        <w:rPr>
          <w:rFonts w:eastAsia="Times New Roman" w:cs="Arial"/>
          <w:color w:val="000000"/>
          <w:szCs w:val="20"/>
          <w:vertAlign w:val="subscript"/>
          <w:lang w:val="en-US"/>
        </w:rPr>
        <w:t>50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за дексаметазон след перорално приложение при мишки е 1 800 </w:t>
      </w:r>
      <w:r w:rsidRPr="00523D6F">
        <w:rPr>
          <w:rFonts w:eastAsia="Times New Roman" w:cs="Arial"/>
          <w:color w:val="000000"/>
          <w:szCs w:val="20"/>
          <w:lang w:val="en-US"/>
        </w:rPr>
        <w:t xml:space="preserve">mg/kg. </w:t>
      </w:r>
      <w:r w:rsidRPr="00523D6F">
        <w:rPr>
          <w:rFonts w:eastAsia="Times New Roman" w:cs="Arial"/>
          <w:color w:val="000000"/>
          <w:szCs w:val="20"/>
          <w:lang w:eastAsia="bg-BG"/>
        </w:rPr>
        <w:t>Клиничната картина на острата интоксикация няма специфични клинични прояви и органни изменения.</w:t>
      </w:r>
    </w:p>
    <w:p w14:paraId="63DD2616" w14:textId="77777777" w:rsidR="00523D6F" w:rsidRPr="00523D6F" w:rsidRDefault="00523D6F" w:rsidP="00523D6F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8D4C3E5" w14:textId="0EBC2B7D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u w:val="single"/>
          <w:lang w:eastAsia="bg-BG"/>
        </w:rPr>
        <w:t>Ембриотоксичност и тератогенност</w:t>
      </w:r>
    </w:p>
    <w:p w14:paraId="556BEA81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Приложен през първото тримесечие на бременността индометацин не води до повишена честота на феталните малформации. В следващите периоди на бременността (след З2</w:t>
      </w:r>
      <w:r w:rsidRPr="00523D6F">
        <w:rPr>
          <w:rFonts w:eastAsia="Times New Roman" w:cs="Arial"/>
          <w:color w:val="000000"/>
          <w:szCs w:val="20"/>
          <w:vertAlign w:val="superscript"/>
          <w:lang w:eastAsia="bg-BG"/>
        </w:rPr>
        <w:t xml:space="preserve">-ра </w:t>
      </w:r>
      <w:r w:rsidRPr="00523D6F">
        <w:rPr>
          <w:rFonts w:eastAsia="Times New Roman" w:cs="Arial"/>
          <w:color w:val="000000"/>
          <w:szCs w:val="20"/>
          <w:lang w:eastAsia="bg-BG"/>
        </w:rPr>
        <w:t xml:space="preserve">гестационна седмица), приложението на индометацин повишава риска от фетални и/или неонатални усложнения. Рискът за фетуса включва констрикция на </w:t>
      </w:r>
      <w:proofErr w:type="spellStart"/>
      <w:r w:rsidRPr="00523D6F">
        <w:rPr>
          <w:rFonts w:eastAsia="Times New Roman" w:cs="Arial"/>
          <w:color w:val="000000"/>
          <w:szCs w:val="20"/>
          <w:lang w:val="en-US"/>
        </w:rPr>
        <w:t>d.arteriosus</w:t>
      </w:r>
      <w:proofErr w:type="spellEnd"/>
      <w:r w:rsidRPr="00523D6F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23D6F">
        <w:rPr>
          <w:rFonts w:eastAsia="Times New Roman" w:cs="Arial"/>
          <w:color w:val="000000"/>
          <w:szCs w:val="20"/>
          <w:lang w:eastAsia="bg-BG"/>
        </w:rPr>
        <w:t>и трикуспидална регургитация, потенциално водеща до сърдечна недостатъчност, хидропс и смърт.</w:t>
      </w:r>
    </w:p>
    <w:p w14:paraId="13A7B62A" w14:textId="28102730" w:rsidR="007A2185" w:rsidRPr="00523D6F" w:rsidRDefault="00523D6F" w:rsidP="00523D6F">
      <w:pPr>
        <w:rPr>
          <w:rFonts w:cs="Arial"/>
          <w:sz w:val="24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 xml:space="preserve">Усложненията, които могат да се развият при фетуса, изложен на интраутеринна експозиция на индометацин, включват белодробна хипертония, персистиращ </w:t>
      </w:r>
      <w:proofErr w:type="spellStart"/>
      <w:r w:rsidRPr="00523D6F">
        <w:rPr>
          <w:rFonts w:eastAsia="Times New Roman" w:cs="Arial"/>
          <w:color w:val="000000"/>
          <w:szCs w:val="20"/>
          <w:lang w:val="en-US"/>
        </w:rPr>
        <w:t>d.arteriosus</w:t>
      </w:r>
      <w:proofErr w:type="spellEnd"/>
      <w:r w:rsidRPr="00523D6F">
        <w:rPr>
          <w:rFonts w:eastAsia="Times New Roman" w:cs="Arial"/>
          <w:color w:val="000000"/>
          <w:szCs w:val="20"/>
          <w:lang w:val="en-US"/>
        </w:rPr>
        <w:t xml:space="preserve">, </w:t>
      </w:r>
      <w:r w:rsidRPr="00523D6F">
        <w:rPr>
          <w:rFonts w:eastAsia="Times New Roman" w:cs="Arial"/>
          <w:color w:val="000000"/>
          <w:szCs w:val="20"/>
          <w:lang w:eastAsia="bg-BG"/>
        </w:rPr>
        <w:t>бъбречна дисфункция, некротизиращ ентероколит, чревни перфорации, интракраниални хеморагии. Проучвания върху животни показват, че кортикостероидите оказват тератогенен ефект. При хронично приложение на дексаметазон при плъхове е наблюдавано забавяне на растежа на плода и повишаване на смъртността.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43B46650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Тева Фарма ЕАД</w:t>
      </w:r>
    </w:p>
    <w:p w14:paraId="7AC5DFA7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lastRenderedPageBreak/>
        <w:t>ул. „Люба Величкова“ № 9, 1407 София</w:t>
      </w:r>
    </w:p>
    <w:p w14:paraId="4F02909F" w14:textId="14220CA5" w:rsidR="007A2185" w:rsidRPr="00523D6F" w:rsidRDefault="00523D6F" w:rsidP="00523D6F">
      <w:pPr>
        <w:rPr>
          <w:rFonts w:cs="Arial"/>
          <w:sz w:val="24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България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50912182" w:rsidR="007A2185" w:rsidRPr="00523D6F" w:rsidRDefault="00523D6F" w:rsidP="0091385D">
      <w:pPr>
        <w:rPr>
          <w:rFonts w:cs="Arial"/>
          <w:sz w:val="24"/>
        </w:rPr>
      </w:pPr>
      <w:proofErr w:type="spellStart"/>
      <w:r w:rsidRPr="00523D6F">
        <w:rPr>
          <w:rFonts w:cs="Arial"/>
          <w:szCs w:val="20"/>
          <w:lang w:val="en-US"/>
        </w:rPr>
        <w:t>Pe</w:t>
      </w:r>
      <w:proofErr w:type="spellEnd"/>
      <w:r w:rsidRPr="00523D6F">
        <w:rPr>
          <w:rFonts w:cs="Arial"/>
          <w:szCs w:val="20"/>
        </w:rPr>
        <w:t>г</w:t>
      </w:r>
      <w:r w:rsidRPr="00523D6F">
        <w:rPr>
          <w:rFonts w:cs="Arial"/>
          <w:szCs w:val="20"/>
          <w:lang w:val="en-US"/>
        </w:rPr>
        <w:t xml:space="preserve">. </w:t>
      </w:r>
      <w:r w:rsidRPr="00523D6F">
        <w:rPr>
          <w:rFonts w:cs="Arial"/>
          <w:szCs w:val="20"/>
        </w:rPr>
        <w:t>№ 20020552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3D38579F" w14:textId="77777777" w:rsidR="00523D6F" w:rsidRPr="00523D6F" w:rsidRDefault="00523D6F" w:rsidP="00523D6F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23D6F">
        <w:rPr>
          <w:rFonts w:eastAsia="Times New Roman" w:cs="Arial"/>
          <w:color w:val="000000"/>
          <w:szCs w:val="20"/>
          <w:lang w:eastAsia="bg-BG"/>
        </w:rPr>
        <w:t>Дата на първо разрешаване: 04.07.2002 г.</w:t>
      </w:r>
    </w:p>
    <w:p w14:paraId="6C57D8B6" w14:textId="3586429C" w:rsidR="007A2185" w:rsidRDefault="00523D6F" w:rsidP="00523D6F">
      <w:r w:rsidRPr="00523D6F">
        <w:rPr>
          <w:rFonts w:eastAsia="Times New Roman" w:cs="Arial"/>
          <w:color w:val="000000"/>
          <w:szCs w:val="20"/>
          <w:lang w:eastAsia="bg-BG"/>
        </w:rPr>
        <w:t>Дата на последно подновяване: 09.12.2009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31511F41" w:rsidR="007A2185" w:rsidRPr="00523D6F" w:rsidRDefault="00523D6F" w:rsidP="0091385D">
      <w:pPr>
        <w:rPr>
          <w:rFonts w:cs="Arial"/>
          <w:sz w:val="24"/>
        </w:rPr>
      </w:pPr>
      <w:r w:rsidRPr="00523D6F">
        <w:rPr>
          <w:rFonts w:cs="Arial"/>
          <w:szCs w:val="20"/>
        </w:rPr>
        <w:t>05.01.2021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1456AF"/>
    <w:multiLevelType w:val="hybridMultilevel"/>
    <w:tmpl w:val="A1E8C612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518"/>
    <w:multiLevelType w:val="hybridMultilevel"/>
    <w:tmpl w:val="BDB09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1B68"/>
    <w:multiLevelType w:val="hybridMultilevel"/>
    <w:tmpl w:val="3AC4C5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3877"/>
    <w:multiLevelType w:val="hybridMultilevel"/>
    <w:tmpl w:val="E5C09FD0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255E6"/>
    <w:multiLevelType w:val="hybridMultilevel"/>
    <w:tmpl w:val="3314E722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8"/>
  </w:num>
  <w:num w:numId="7">
    <w:abstractNumId w:val="10"/>
  </w:num>
  <w:num w:numId="8">
    <w:abstractNumId w:val="17"/>
  </w:num>
  <w:num w:numId="9">
    <w:abstractNumId w:val="2"/>
  </w:num>
  <w:num w:numId="10">
    <w:abstractNumId w:val="4"/>
  </w:num>
  <w:num w:numId="11">
    <w:abstractNumId w:val="34"/>
  </w:num>
  <w:num w:numId="12">
    <w:abstractNumId w:val="15"/>
  </w:num>
  <w:num w:numId="13">
    <w:abstractNumId w:val="21"/>
  </w:num>
  <w:num w:numId="14">
    <w:abstractNumId w:val="12"/>
  </w:num>
  <w:num w:numId="15">
    <w:abstractNumId w:val="33"/>
  </w:num>
  <w:num w:numId="16">
    <w:abstractNumId w:val="9"/>
  </w:num>
  <w:num w:numId="17">
    <w:abstractNumId w:val="27"/>
  </w:num>
  <w:num w:numId="18">
    <w:abstractNumId w:val="7"/>
  </w:num>
  <w:num w:numId="19">
    <w:abstractNumId w:val="29"/>
  </w:num>
  <w:num w:numId="20">
    <w:abstractNumId w:val="25"/>
  </w:num>
  <w:num w:numId="21">
    <w:abstractNumId w:val="19"/>
  </w:num>
  <w:num w:numId="22">
    <w:abstractNumId w:val="28"/>
  </w:num>
  <w:num w:numId="23">
    <w:abstractNumId w:val="20"/>
  </w:num>
  <w:num w:numId="24">
    <w:abstractNumId w:val="8"/>
  </w:num>
  <w:num w:numId="25">
    <w:abstractNumId w:val="24"/>
  </w:num>
  <w:num w:numId="26">
    <w:abstractNumId w:val="23"/>
  </w:num>
  <w:num w:numId="27">
    <w:abstractNumId w:val="36"/>
  </w:num>
  <w:num w:numId="28">
    <w:abstractNumId w:val="6"/>
  </w:num>
  <w:num w:numId="29">
    <w:abstractNumId w:val="22"/>
  </w:num>
  <w:num w:numId="30">
    <w:abstractNumId w:val="39"/>
  </w:num>
  <w:num w:numId="31">
    <w:abstractNumId w:val="5"/>
  </w:num>
  <w:num w:numId="32">
    <w:abstractNumId w:val="38"/>
  </w:num>
  <w:num w:numId="33">
    <w:abstractNumId w:val="31"/>
  </w:num>
  <w:num w:numId="34">
    <w:abstractNumId w:val="37"/>
  </w:num>
  <w:num w:numId="35">
    <w:abstractNumId w:val="14"/>
  </w:num>
  <w:num w:numId="36">
    <w:abstractNumId w:val="16"/>
  </w:num>
  <w:num w:numId="37">
    <w:abstractNumId w:val="32"/>
  </w:num>
  <w:num w:numId="38">
    <w:abstractNumId w:val="35"/>
  </w:num>
  <w:num w:numId="39">
    <w:abstractNumId w:val="2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23D6F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77B68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2023-03-02T13:41:00Z</dcterms:created>
  <dcterms:modified xsi:type="dcterms:W3CDTF">2023-03-02T13:41:00Z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