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041C9A5" w:rsidR="007122AD" w:rsidRDefault="00DD466D" w:rsidP="00936AD0">
      <w:pPr>
        <w:pStyle w:val="Heading1"/>
      </w:pPr>
      <w:r>
        <w:t>1.ИМЕ НА ЛЕКАРСТВЕНИЯ ПРОДУКТ</w:t>
      </w:r>
    </w:p>
    <w:p w14:paraId="46E17CD5" w14:textId="537ED291" w:rsidR="00D142EA" w:rsidRDefault="00D142EA" w:rsidP="00D142EA"/>
    <w:p w14:paraId="6D589936" w14:textId="77777777" w:rsidR="00D142EA" w:rsidRPr="00D142EA" w:rsidRDefault="00D142EA" w:rsidP="00D142EA">
      <w:pPr>
        <w:rPr>
          <w:sz w:val="24"/>
          <w:szCs w:val="24"/>
        </w:rPr>
      </w:pPr>
      <w:r w:rsidRPr="00D142EA">
        <w:rPr>
          <w:lang w:eastAsia="bg-BG"/>
        </w:rPr>
        <w:t xml:space="preserve">Индипам </w:t>
      </w:r>
      <w:r w:rsidRPr="00D142EA">
        <w:rPr>
          <w:lang w:val="en-US"/>
        </w:rPr>
        <w:t>SR</w:t>
      </w:r>
      <w:r w:rsidRPr="00D142EA">
        <w:rPr>
          <w:lang w:val="ru-RU"/>
        </w:rPr>
        <w:t xml:space="preserve"> </w:t>
      </w:r>
      <w:r w:rsidRPr="00D142EA">
        <w:rPr>
          <w:lang w:eastAsia="bg-BG"/>
        </w:rPr>
        <w:t xml:space="preserve">1,5 </w:t>
      </w:r>
      <w:r w:rsidRPr="00D142EA">
        <w:rPr>
          <w:lang w:val="en-US"/>
        </w:rPr>
        <w:t>mg</w:t>
      </w:r>
      <w:r w:rsidRPr="00D142EA">
        <w:rPr>
          <w:lang w:val="ru-RU"/>
        </w:rPr>
        <w:t xml:space="preserve"> </w:t>
      </w:r>
      <w:r w:rsidRPr="00D142EA">
        <w:rPr>
          <w:lang w:eastAsia="bg-BG"/>
        </w:rPr>
        <w:t>таблетки с удължено освобождаване</w:t>
      </w:r>
    </w:p>
    <w:p w14:paraId="4360E0B0" w14:textId="7AFA8ED8" w:rsidR="00D142EA" w:rsidRPr="00D142EA" w:rsidRDefault="00D142EA" w:rsidP="00D142EA">
      <w:proofErr w:type="spellStart"/>
      <w:r w:rsidRPr="00D142EA">
        <w:rPr>
          <w:lang w:val="en-US"/>
        </w:rPr>
        <w:t>Indipam</w:t>
      </w:r>
      <w:proofErr w:type="spellEnd"/>
      <w:r w:rsidRPr="00D142EA">
        <w:rPr>
          <w:lang w:val="en-US"/>
        </w:rPr>
        <w:t xml:space="preserve"> SR </w:t>
      </w:r>
      <w:r w:rsidRPr="00D142EA">
        <w:rPr>
          <w:lang w:eastAsia="bg-BG"/>
        </w:rPr>
        <w:t>1</w:t>
      </w:r>
      <w:proofErr w:type="gramStart"/>
      <w:r w:rsidRPr="00D142EA">
        <w:rPr>
          <w:lang w:eastAsia="bg-BG"/>
        </w:rPr>
        <w:t>,5</w:t>
      </w:r>
      <w:proofErr w:type="gramEnd"/>
      <w:r w:rsidRPr="00D142EA">
        <w:rPr>
          <w:lang w:eastAsia="bg-BG"/>
        </w:rPr>
        <w:t xml:space="preserve"> </w:t>
      </w:r>
      <w:r w:rsidRPr="00D142EA">
        <w:rPr>
          <w:lang w:val="en-US"/>
        </w:rPr>
        <w:t>mg prolonged-release tablets</w:t>
      </w:r>
    </w:p>
    <w:p w14:paraId="6920A680" w14:textId="7946F9C3" w:rsidR="00C40420" w:rsidRDefault="00DD466D" w:rsidP="004A448E">
      <w:pPr>
        <w:pStyle w:val="Heading1"/>
      </w:pPr>
      <w:r>
        <w:t>2. КАЧЕСТВЕН И КОЛИЧЕСТВЕН СЪСТАВ</w:t>
      </w:r>
    </w:p>
    <w:p w14:paraId="32E8B370" w14:textId="2438A46F" w:rsidR="00D142EA" w:rsidRDefault="00D142EA" w:rsidP="00D142EA"/>
    <w:p w14:paraId="277C1D6E"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 xml:space="preserve">Всяка таблетка с удължено освобождаване съдържа 1,5 </w:t>
      </w:r>
      <w:r w:rsidRPr="00D142EA">
        <w:rPr>
          <w:rFonts w:eastAsia="Times New Roman" w:cs="Arial"/>
          <w:color w:val="000000"/>
          <w:szCs w:val="20"/>
          <w:lang w:val="en-US"/>
        </w:rPr>
        <w:t>mg</w:t>
      </w:r>
      <w:r w:rsidRPr="00D142EA">
        <w:rPr>
          <w:rFonts w:eastAsia="Times New Roman" w:cs="Arial"/>
          <w:color w:val="000000"/>
          <w:szCs w:val="20"/>
          <w:lang w:val="ru-RU"/>
        </w:rPr>
        <w:t xml:space="preserve"> </w:t>
      </w:r>
      <w:r w:rsidRPr="00D142EA">
        <w:rPr>
          <w:rFonts w:eastAsia="Times New Roman" w:cs="Arial"/>
          <w:color w:val="000000"/>
          <w:szCs w:val="20"/>
          <w:lang w:eastAsia="bg-BG"/>
        </w:rPr>
        <w:t xml:space="preserve">индапамид </w:t>
      </w:r>
      <w:r w:rsidRPr="00D142EA">
        <w:rPr>
          <w:rFonts w:eastAsia="Times New Roman" w:cs="Arial"/>
          <w:color w:val="000000"/>
          <w:szCs w:val="20"/>
          <w:lang w:val="ru-RU"/>
        </w:rPr>
        <w:t>(</w:t>
      </w:r>
      <w:proofErr w:type="spellStart"/>
      <w:r w:rsidRPr="00D142EA">
        <w:rPr>
          <w:rFonts w:eastAsia="Times New Roman" w:cs="Arial"/>
          <w:color w:val="000000"/>
          <w:szCs w:val="20"/>
          <w:lang w:val="en-US"/>
        </w:rPr>
        <w:t>indapamide</w:t>
      </w:r>
      <w:proofErr w:type="spellEnd"/>
      <w:r w:rsidRPr="00D142EA">
        <w:rPr>
          <w:rFonts w:eastAsia="Times New Roman" w:cs="Arial"/>
          <w:color w:val="000000"/>
          <w:szCs w:val="20"/>
          <w:lang w:val="ru-RU"/>
        </w:rPr>
        <w:t>).</w:t>
      </w:r>
    </w:p>
    <w:p w14:paraId="6184E54A" w14:textId="77777777" w:rsidR="00D142EA" w:rsidRPr="00D142EA" w:rsidRDefault="00D142EA" w:rsidP="00D142EA">
      <w:pPr>
        <w:spacing w:line="240" w:lineRule="auto"/>
        <w:rPr>
          <w:rFonts w:eastAsia="Times New Roman" w:cs="Arial"/>
          <w:color w:val="000000"/>
          <w:szCs w:val="20"/>
          <w:u w:val="single"/>
          <w:lang w:eastAsia="bg-BG"/>
        </w:rPr>
      </w:pPr>
    </w:p>
    <w:p w14:paraId="5F81DBBA" w14:textId="46F5DF50"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u w:val="single"/>
          <w:lang w:eastAsia="bg-BG"/>
        </w:rPr>
        <w:t>Помощно с известно действие</w:t>
      </w:r>
      <w:r w:rsidRPr="00D142EA">
        <w:rPr>
          <w:rFonts w:eastAsia="Times New Roman" w:cs="Arial"/>
          <w:color w:val="000000"/>
          <w:szCs w:val="20"/>
          <w:lang w:eastAsia="bg-BG"/>
        </w:rPr>
        <w:t>: лактоза монохидрат.</w:t>
      </w:r>
    </w:p>
    <w:p w14:paraId="13D75573"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 xml:space="preserve">Всяка таблетка съдържа 144,22 </w:t>
      </w:r>
      <w:r w:rsidRPr="00D142EA">
        <w:rPr>
          <w:rFonts w:eastAsia="Times New Roman" w:cs="Arial"/>
          <w:color w:val="000000"/>
          <w:szCs w:val="20"/>
          <w:lang w:val="en-US"/>
        </w:rPr>
        <w:t>mg</w:t>
      </w:r>
      <w:r w:rsidRPr="00D142EA">
        <w:rPr>
          <w:rFonts w:eastAsia="Times New Roman" w:cs="Arial"/>
          <w:color w:val="000000"/>
          <w:szCs w:val="20"/>
          <w:lang w:val="ru-RU"/>
        </w:rPr>
        <w:t xml:space="preserve"> </w:t>
      </w:r>
      <w:r w:rsidRPr="00D142EA">
        <w:rPr>
          <w:rFonts w:eastAsia="Times New Roman" w:cs="Arial"/>
          <w:color w:val="000000"/>
          <w:szCs w:val="20"/>
          <w:lang w:eastAsia="bg-BG"/>
        </w:rPr>
        <w:t>лактоза монохидрат.</w:t>
      </w:r>
    </w:p>
    <w:p w14:paraId="2C08FA83" w14:textId="77777777" w:rsidR="00D142EA" w:rsidRPr="00D142EA" w:rsidRDefault="00D142EA" w:rsidP="00D142EA"/>
    <w:p w14:paraId="614984C4" w14:textId="6AB693EE" w:rsidR="008A6AF2" w:rsidRDefault="00DD466D" w:rsidP="002C50EE">
      <w:pPr>
        <w:pStyle w:val="Heading1"/>
      </w:pPr>
      <w:r>
        <w:t>3. ЛЕКАРСТВЕНА ФОРМА</w:t>
      </w:r>
    </w:p>
    <w:p w14:paraId="7956055F" w14:textId="74190DA3" w:rsidR="00D142EA" w:rsidRDefault="00D142EA" w:rsidP="00D142EA"/>
    <w:p w14:paraId="3AD13E89" w14:textId="77777777" w:rsidR="00D142EA" w:rsidRPr="00D142EA" w:rsidRDefault="00D142EA" w:rsidP="00D142EA">
      <w:pPr>
        <w:rPr>
          <w:sz w:val="24"/>
          <w:szCs w:val="24"/>
        </w:rPr>
      </w:pPr>
      <w:r w:rsidRPr="00D142EA">
        <w:rPr>
          <w:lang w:eastAsia="bg-BG"/>
        </w:rPr>
        <w:t>Таблетка с удължено освобождаване</w:t>
      </w:r>
    </w:p>
    <w:p w14:paraId="002D1770" w14:textId="0858EFDB" w:rsidR="00D142EA" w:rsidRPr="00D142EA" w:rsidRDefault="00D142EA" w:rsidP="00D142EA">
      <w:r w:rsidRPr="00D142EA">
        <w:rPr>
          <w:lang w:eastAsia="bg-BG"/>
        </w:rPr>
        <w:t>Бели до почти бели, кръгли, двойноизпъкнали филмирани таблетки</w:t>
      </w:r>
    </w:p>
    <w:p w14:paraId="490FC2C4" w14:textId="0F4A4A75" w:rsidR="002C50EE" w:rsidRDefault="002C50EE" w:rsidP="002C50EE">
      <w:pPr>
        <w:pStyle w:val="Heading1"/>
      </w:pPr>
      <w:r>
        <w:t>4. КЛИНИЧНИ ДАННИ</w:t>
      </w:r>
    </w:p>
    <w:p w14:paraId="74330405" w14:textId="56F64F1E" w:rsidR="007122AD" w:rsidRDefault="002C50EE" w:rsidP="00936AD0">
      <w:pPr>
        <w:pStyle w:val="Heading2"/>
      </w:pPr>
      <w:r>
        <w:t>4.1. Терапевтични показания</w:t>
      </w:r>
    </w:p>
    <w:p w14:paraId="42461255" w14:textId="153A17F4" w:rsidR="00D142EA" w:rsidRDefault="00D142EA" w:rsidP="00D142EA"/>
    <w:p w14:paraId="70B5B3A5" w14:textId="5016117F" w:rsidR="00D142EA" w:rsidRDefault="00D142EA" w:rsidP="00D142EA">
      <w:r>
        <w:t>Лечение на есенциална хипертония.</w:t>
      </w:r>
    </w:p>
    <w:p w14:paraId="79AA1FE8" w14:textId="77777777" w:rsidR="00D142EA" w:rsidRPr="00D142EA" w:rsidRDefault="00D142EA" w:rsidP="00D142EA"/>
    <w:p w14:paraId="53F5B866" w14:textId="396CFEB9" w:rsidR="007122AD" w:rsidRDefault="002C50EE" w:rsidP="00936AD0">
      <w:pPr>
        <w:pStyle w:val="Heading2"/>
      </w:pPr>
      <w:r>
        <w:t>4.2. Дозировка и начин на приложение</w:t>
      </w:r>
    </w:p>
    <w:p w14:paraId="2574CA83" w14:textId="0C89CC20" w:rsidR="00D142EA" w:rsidRDefault="00D142EA" w:rsidP="00D142EA"/>
    <w:p w14:paraId="3F2677D8" w14:textId="77777777" w:rsidR="00D142EA" w:rsidRPr="00D142EA" w:rsidRDefault="00D142EA" w:rsidP="00D142EA">
      <w:pPr>
        <w:pStyle w:val="Heading3"/>
        <w:rPr>
          <w:rFonts w:eastAsia="Times New Roman"/>
          <w:u w:val="single"/>
        </w:rPr>
      </w:pPr>
      <w:r w:rsidRPr="00D142EA">
        <w:rPr>
          <w:rFonts w:eastAsia="Times New Roman"/>
          <w:u w:val="single"/>
          <w:lang w:eastAsia="bg-BG"/>
        </w:rPr>
        <w:t>Дозировка</w:t>
      </w:r>
    </w:p>
    <w:p w14:paraId="41D06632"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По една таблетка за 24 часа, за предпочитане сутрин, да се приема цяла, без да се сдъвква.</w:t>
      </w:r>
    </w:p>
    <w:p w14:paraId="72ED6600"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При по-високи дози антихипертензивното действие на индапамид не се усилва, но се повишава салуретичният ефект.</w:t>
      </w:r>
    </w:p>
    <w:p w14:paraId="46506027" w14:textId="77777777" w:rsidR="00D142EA" w:rsidRPr="00D142EA" w:rsidRDefault="00D142EA" w:rsidP="00D142EA">
      <w:pPr>
        <w:spacing w:line="240" w:lineRule="auto"/>
        <w:rPr>
          <w:rFonts w:eastAsia="Times New Roman" w:cs="Arial"/>
          <w:i/>
          <w:iCs/>
          <w:color w:val="000000"/>
          <w:lang w:eastAsia="bg-BG"/>
        </w:rPr>
      </w:pPr>
    </w:p>
    <w:p w14:paraId="186F060A" w14:textId="03509AD4" w:rsidR="00D142EA" w:rsidRPr="00D142EA" w:rsidRDefault="00D142EA" w:rsidP="00D142EA">
      <w:pPr>
        <w:spacing w:line="240" w:lineRule="auto"/>
        <w:rPr>
          <w:rFonts w:eastAsia="Times New Roman" w:cs="Arial"/>
        </w:rPr>
      </w:pPr>
      <w:r w:rsidRPr="00D142EA">
        <w:rPr>
          <w:rFonts w:eastAsia="Times New Roman" w:cs="Arial"/>
          <w:i/>
          <w:iCs/>
          <w:color w:val="000000"/>
          <w:lang w:eastAsia="bg-BG"/>
        </w:rPr>
        <w:t>Бъбречна недостатъчност (вж. точка 4.3 и 4.4)</w:t>
      </w:r>
    </w:p>
    <w:p w14:paraId="764760CE"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 xml:space="preserve">При тежка бъбречна недостатъчност (клирънс на креатинина под 30 </w:t>
      </w:r>
      <w:r w:rsidRPr="00D142EA">
        <w:rPr>
          <w:rFonts w:eastAsia="Times New Roman" w:cs="Arial"/>
          <w:color w:val="000000"/>
          <w:lang w:val="en-US"/>
        </w:rPr>
        <w:t>ml</w:t>
      </w:r>
      <w:r w:rsidRPr="00D142EA">
        <w:rPr>
          <w:rFonts w:eastAsia="Times New Roman" w:cs="Arial"/>
          <w:color w:val="000000"/>
          <w:lang w:val="ru-RU"/>
        </w:rPr>
        <w:t>/</w:t>
      </w:r>
      <w:r w:rsidRPr="00D142EA">
        <w:rPr>
          <w:rFonts w:eastAsia="Times New Roman" w:cs="Arial"/>
          <w:color w:val="000000"/>
          <w:lang w:val="en-US"/>
        </w:rPr>
        <w:t>min</w:t>
      </w:r>
      <w:r w:rsidRPr="00D142EA">
        <w:rPr>
          <w:rFonts w:eastAsia="Times New Roman" w:cs="Arial"/>
          <w:color w:val="000000"/>
          <w:lang w:val="ru-RU"/>
        </w:rPr>
        <w:t xml:space="preserve">) </w:t>
      </w:r>
      <w:r w:rsidRPr="00D142EA">
        <w:rPr>
          <w:rFonts w:eastAsia="Times New Roman" w:cs="Arial"/>
          <w:color w:val="000000"/>
          <w:lang w:eastAsia="bg-BG"/>
        </w:rPr>
        <w:t>лечението е противопоказано.</w:t>
      </w:r>
    </w:p>
    <w:p w14:paraId="2B59C15D"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Тиазидите и тиазид-подобните диуретици са напълно ефективни само, когато бъбречната функция е нормална или само минимално нарушена.</w:t>
      </w:r>
    </w:p>
    <w:p w14:paraId="61A431E5" w14:textId="77777777" w:rsidR="00D142EA" w:rsidRPr="00D142EA" w:rsidRDefault="00D142EA" w:rsidP="00D142EA">
      <w:pPr>
        <w:spacing w:line="240" w:lineRule="auto"/>
        <w:rPr>
          <w:rFonts w:eastAsia="Times New Roman" w:cs="Arial"/>
          <w:i/>
          <w:iCs/>
          <w:color w:val="000000"/>
          <w:lang w:eastAsia="bg-BG"/>
        </w:rPr>
      </w:pPr>
    </w:p>
    <w:p w14:paraId="2D5BD072" w14:textId="1485874C" w:rsidR="00D142EA" w:rsidRPr="00D142EA" w:rsidRDefault="00D142EA" w:rsidP="00D142EA">
      <w:pPr>
        <w:spacing w:line="240" w:lineRule="auto"/>
        <w:rPr>
          <w:rFonts w:eastAsia="Times New Roman" w:cs="Arial"/>
        </w:rPr>
      </w:pPr>
      <w:r w:rsidRPr="00D142EA">
        <w:rPr>
          <w:rFonts w:eastAsia="Times New Roman" w:cs="Arial"/>
          <w:i/>
          <w:iCs/>
          <w:color w:val="000000"/>
          <w:lang w:eastAsia="bg-BG"/>
        </w:rPr>
        <w:t>Пациенти</w:t>
      </w:r>
      <w:r w:rsidRPr="00D142EA">
        <w:rPr>
          <w:rFonts w:eastAsia="Times New Roman" w:cs="Arial"/>
          <w:color w:val="000000"/>
          <w:lang w:eastAsia="bg-BG"/>
        </w:rPr>
        <w:t xml:space="preserve"> в </w:t>
      </w:r>
      <w:r w:rsidRPr="00D142EA">
        <w:rPr>
          <w:rFonts w:eastAsia="Times New Roman" w:cs="Arial"/>
          <w:i/>
          <w:iCs/>
          <w:color w:val="000000"/>
          <w:lang w:eastAsia="bg-BG"/>
        </w:rPr>
        <w:t>старческа възраст (вж. точка 4.4)</w:t>
      </w:r>
    </w:p>
    <w:p w14:paraId="36588014"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При пациенти в старческа възраст преди лечението е необходимо да се определи клирънса на креатинина в зависимост от възрастта, телесното тегло и пола.</w:t>
      </w:r>
    </w:p>
    <w:p w14:paraId="7C3650DC"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Пациенти в старческа възраст могат да се лекуват с този продукт, когато бъбречната функция е нормална или минимално нарушена.</w:t>
      </w:r>
    </w:p>
    <w:p w14:paraId="6D50D513" w14:textId="77777777" w:rsidR="00D142EA" w:rsidRPr="00D142EA" w:rsidRDefault="00D142EA" w:rsidP="00D142EA">
      <w:pPr>
        <w:spacing w:line="240" w:lineRule="auto"/>
        <w:rPr>
          <w:rFonts w:eastAsia="Times New Roman" w:cs="Arial"/>
          <w:i/>
          <w:iCs/>
          <w:color w:val="000000"/>
          <w:lang w:eastAsia="bg-BG"/>
        </w:rPr>
      </w:pPr>
    </w:p>
    <w:p w14:paraId="4AC900B5" w14:textId="731AFC60" w:rsidR="00D142EA" w:rsidRPr="00D142EA" w:rsidRDefault="00D142EA" w:rsidP="00D142EA">
      <w:pPr>
        <w:spacing w:line="240" w:lineRule="auto"/>
        <w:rPr>
          <w:rFonts w:eastAsia="Times New Roman" w:cs="Arial"/>
        </w:rPr>
      </w:pPr>
      <w:r w:rsidRPr="00D142EA">
        <w:rPr>
          <w:rFonts w:eastAsia="Times New Roman" w:cs="Arial"/>
          <w:i/>
          <w:iCs/>
          <w:color w:val="000000"/>
          <w:lang w:eastAsia="bg-BG"/>
        </w:rPr>
        <w:lastRenderedPageBreak/>
        <w:t>Чернодробни нарушения (вж. точка 4.3 и 4.4)</w:t>
      </w:r>
    </w:p>
    <w:p w14:paraId="1D689482" w14:textId="510B30D0" w:rsidR="00D142EA" w:rsidRPr="00D142EA" w:rsidRDefault="00D142EA" w:rsidP="00D142EA">
      <w:pPr>
        <w:rPr>
          <w:rFonts w:eastAsia="Times New Roman" w:cs="Arial"/>
          <w:color w:val="000000"/>
          <w:lang w:eastAsia="bg-BG"/>
        </w:rPr>
      </w:pPr>
      <w:r w:rsidRPr="00D142EA">
        <w:rPr>
          <w:rFonts w:eastAsia="Times New Roman" w:cs="Arial"/>
          <w:color w:val="000000"/>
          <w:lang w:eastAsia="bg-BG"/>
        </w:rPr>
        <w:t>При тежко чернодробно нарушение лечението с този продукт е противопоказано.</w:t>
      </w:r>
    </w:p>
    <w:p w14:paraId="355C7F98" w14:textId="3897B081" w:rsidR="00D142EA" w:rsidRPr="00D142EA" w:rsidRDefault="00D142EA" w:rsidP="00D142EA">
      <w:pPr>
        <w:rPr>
          <w:rFonts w:eastAsia="Times New Roman" w:cs="Arial"/>
          <w:color w:val="000000"/>
          <w:lang w:eastAsia="bg-BG"/>
        </w:rPr>
      </w:pPr>
    </w:p>
    <w:p w14:paraId="5D65E43B" w14:textId="77777777" w:rsidR="00D142EA" w:rsidRPr="00D142EA" w:rsidRDefault="00D142EA" w:rsidP="00D142EA">
      <w:pPr>
        <w:spacing w:line="240" w:lineRule="auto"/>
        <w:rPr>
          <w:rFonts w:eastAsia="Times New Roman" w:cs="Arial"/>
        </w:rPr>
      </w:pPr>
      <w:r w:rsidRPr="00D142EA">
        <w:rPr>
          <w:rFonts w:eastAsia="Times New Roman" w:cs="Arial"/>
          <w:i/>
          <w:iCs/>
          <w:color w:val="000000"/>
          <w:lang w:eastAsia="bg-BG"/>
        </w:rPr>
        <w:t>Педиатрична популация:</w:t>
      </w:r>
    </w:p>
    <w:p w14:paraId="28F193E3"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Продуктът не се препоръчва за употреба при деца и юноши поради липса на данни за безопасност и ефективност.</w:t>
      </w:r>
    </w:p>
    <w:p w14:paraId="226553CD" w14:textId="77777777" w:rsidR="00D142EA" w:rsidRPr="00D142EA" w:rsidRDefault="00D142EA" w:rsidP="00D142EA">
      <w:pPr>
        <w:spacing w:line="240" w:lineRule="auto"/>
        <w:rPr>
          <w:rFonts w:eastAsia="Times New Roman" w:cs="Arial"/>
          <w:color w:val="000000"/>
          <w:u w:val="single"/>
          <w:lang w:eastAsia="bg-BG"/>
        </w:rPr>
      </w:pPr>
    </w:p>
    <w:p w14:paraId="56C326E2" w14:textId="76D69D81" w:rsidR="00D142EA" w:rsidRPr="00D142EA" w:rsidRDefault="00D142EA" w:rsidP="00D142EA">
      <w:pPr>
        <w:pStyle w:val="Heading3"/>
        <w:rPr>
          <w:rFonts w:eastAsia="Times New Roman"/>
          <w:u w:val="single"/>
        </w:rPr>
      </w:pPr>
      <w:r w:rsidRPr="00D142EA">
        <w:rPr>
          <w:rFonts w:eastAsia="Times New Roman"/>
          <w:u w:val="single"/>
          <w:lang w:eastAsia="bg-BG"/>
        </w:rPr>
        <w:t>Начин на приложение</w:t>
      </w:r>
    </w:p>
    <w:p w14:paraId="17B78784" w14:textId="77777777" w:rsidR="00D142EA" w:rsidRPr="00D142EA" w:rsidRDefault="00D142EA" w:rsidP="00D142EA">
      <w:pPr>
        <w:spacing w:line="240" w:lineRule="auto"/>
        <w:rPr>
          <w:rFonts w:ascii="Times New Roman" w:eastAsia="Times New Roman" w:hAnsi="Times New Roman" w:cs="Times New Roman"/>
          <w:sz w:val="24"/>
          <w:szCs w:val="24"/>
        </w:rPr>
      </w:pPr>
      <w:r w:rsidRPr="00D142EA">
        <w:rPr>
          <w:rFonts w:eastAsia="Times New Roman" w:cs="Arial"/>
          <w:color w:val="000000"/>
          <w:lang w:eastAsia="bg-BG"/>
        </w:rPr>
        <w:t>По лекарско предписание. Приема се перорално. Таблетките се приемат цели, без да се дъвчат, с достатъчно вода след хранене.</w:t>
      </w:r>
    </w:p>
    <w:p w14:paraId="2E5B06E0" w14:textId="77777777" w:rsidR="00D142EA" w:rsidRPr="00D142EA" w:rsidRDefault="00D142EA" w:rsidP="00D142EA"/>
    <w:p w14:paraId="0F253247" w14:textId="355E674D" w:rsidR="007122AD" w:rsidRDefault="002C50EE" w:rsidP="00936AD0">
      <w:pPr>
        <w:pStyle w:val="Heading2"/>
      </w:pPr>
      <w:r>
        <w:t>4.3. Противопоказания</w:t>
      </w:r>
    </w:p>
    <w:p w14:paraId="01ADB890" w14:textId="008E19A6" w:rsidR="00D142EA" w:rsidRDefault="00D142EA" w:rsidP="00D142EA"/>
    <w:p w14:paraId="54D047C2" w14:textId="77777777" w:rsidR="00D142EA" w:rsidRPr="00D142EA" w:rsidRDefault="00D142EA" w:rsidP="00D142EA">
      <w:pPr>
        <w:pStyle w:val="ListParagraph"/>
        <w:numPr>
          <w:ilvl w:val="0"/>
          <w:numId w:val="38"/>
        </w:numPr>
        <w:rPr>
          <w:lang w:eastAsia="bg-BG"/>
        </w:rPr>
      </w:pPr>
      <w:r w:rsidRPr="00D142EA">
        <w:rPr>
          <w:lang w:eastAsia="bg-BG"/>
        </w:rPr>
        <w:t>Свръхчувствителност към активното вещество, към други сулфонамиди или към някое от помощните вещества, изброени в точка</w:t>
      </w:r>
      <w:r w:rsidRPr="00D142EA">
        <w:rPr>
          <w:lang w:eastAsia="bg-BG"/>
        </w:rPr>
        <w:tab/>
        <w:t>6.1.</w:t>
      </w:r>
    </w:p>
    <w:p w14:paraId="555DC913" w14:textId="77777777" w:rsidR="00D142EA" w:rsidRPr="00D142EA" w:rsidRDefault="00D142EA" w:rsidP="00D142EA">
      <w:pPr>
        <w:pStyle w:val="ListParagraph"/>
        <w:numPr>
          <w:ilvl w:val="0"/>
          <w:numId w:val="38"/>
        </w:numPr>
        <w:rPr>
          <w:lang w:eastAsia="bg-BG"/>
        </w:rPr>
      </w:pPr>
      <w:r w:rsidRPr="00D142EA">
        <w:rPr>
          <w:lang w:eastAsia="bg-BG"/>
        </w:rPr>
        <w:t>Тежка бъбречна недостатъчност.</w:t>
      </w:r>
    </w:p>
    <w:p w14:paraId="09F7B173" w14:textId="77777777" w:rsidR="00D142EA" w:rsidRPr="00D142EA" w:rsidRDefault="00D142EA" w:rsidP="00D142EA">
      <w:pPr>
        <w:pStyle w:val="ListParagraph"/>
        <w:numPr>
          <w:ilvl w:val="0"/>
          <w:numId w:val="38"/>
        </w:numPr>
        <w:rPr>
          <w:lang w:eastAsia="bg-BG"/>
        </w:rPr>
      </w:pPr>
      <w:r w:rsidRPr="00D142EA">
        <w:rPr>
          <w:lang w:eastAsia="bg-BG"/>
        </w:rPr>
        <w:t>Чернодробна енцефалопатия или тежки</w:t>
      </w:r>
      <w:r w:rsidRPr="00D142EA">
        <w:rPr>
          <w:lang w:eastAsia="bg-BG"/>
        </w:rPr>
        <w:tab/>
        <w:t>нарушения на чернодробната функция.</w:t>
      </w:r>
    </w:p>
    <w:p w14:paraId="7E5F508E" w14:textId="77777777" w:rsidR="00D142EA" w:rsidRPr="00D142EA" w:rsidRDefault="00D142EA" w:rsidP="00D142EA">
      <w:pPr>
        <w:pStyle w:val="ListParagraph"/>
        <w:numPr>
          <w:ilvl w:val="0"/>
          <w:numId w:val="38"/>
        </w:numPr>
        <w:rPr>
          <w:lang w:eastAsia="bg-BG"/>
        </w:rPr>
      </w:pPr>
      <w:r w:rsidRPr="00D142EA">
        <w:rPr>
          <w:lang w:eastAsia="bg-BG"/>
        </w:rPr>
        <w:t>Хипокалиемия.</w:t>
      </w:r>
    </w:p>
    <w:p w14:paraId="667AA4A9" w14:textId="77777777" w:rsidR="00D142EA" w:rsidRPr="00D142EA" w:rsidRDefault="00D142EA" w:rsidP="00D142EA"/>
    <w:p w14:paraId="0E0BDCC7" w14:textId="235763F9" w:rsidR="007122AD" w:rsidRDefault="002C50EE" w:rsidP="00936AD0">
      <w:pPr>
        <w:pStyle w:val="Heading2"/>
      </w:pPr>
      <w:r>
        <w:t>4.4. Специални предупреждения и предпазни мерки при употреба</w:t>
      </w:r>
    </w:p>
    <w:p w14:paraId="6AA2FE14" w14:textId="09FA2F11" w:rsidR="00D142EA" w:rsidRDefault="00D142EA" w:rsidP="00D142EA"/>
    <w:p w14:paraId="5AB979E3"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При нарушена чернодробна функция тиазидните и тиазид-подобните диуретици могат да причинят чернодробна енцефалопатия, особено в случай на електролитен дисбаланс. Ако това се случи прилагането на диуретика трябва да се преустанови незабавно.</w:t>
      </w:r>
    </w:p>
    <w:p w14:paraId="569E8FDF" w14:textId="77777777" w:rsidR="00D142EA" w:rsidRPr="00D142EA" w:rsidRDefault="00D142EA" w:rsidP="00D142EA">
      <w:pPr>
        <w:spacing w:line="240" w:lineRule="auto"/>
        <w:rPr>
          <w:rFonts w:eastAsia="Times New Roman" w:cs="Arial"/>
          <w:i/>
          <w:iCs/>
          <w:color w:val="000000"/>
          <w:szCs w:val="20"/>
          <w:u w:val="single"/>
          <w:lang w:eastAsia="bg-BG"/>
        </w:rPr>
      </w:pPr>
    </w:p>
    <w:p w14:paraId="1885F194" w14:textId="4C32DEEA"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Фоточувствителност</w:t>
      </w:r>
    </w:p>
    <w:p w14:paraId="659174C2"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 xml:space="preserve">Съществуват съобщения за случаи на реакции на фоточувствителност с тизиди и тизид- подобни диуретици (вж. точка 4.8). Ако по време на лечението се наблюдава реакция на фоточувствителност се препоръчва преустановяване на лечението. При необходимост от повторен прием на продукта се препоръчва да се предпазват изложените на слънце или на изкуствена </w:t>
      </w:r>
      <w:r w:rsidRPr="00D142EA">
        <w:rPr>
          <w:rFonts w:eastAsia="Times New Roman" w:cs="Arial"/>
          <w:color w:val="000000"/>
          <w:szCs w:val="20"/>
          <w:lang w:val="en-US"/>
        </w:rPr>
        <w:t>UVA</w:t>
      </w:r>
      <w:r w:rsidRPr="00D142EA">
        <w:rPr>
          <w:rFonts w:eastAsia="Times New Roman" w:cs="Arial"/>
          <w:color w:val="000000"/>
          <w:szCs w:val="20"/>
          <w:lang w:val="ru-RU"/>
        </w:rPr>
        <w:t xml:space="preserve"> </w:t>
      </w:r>
      <w:r w:rsidRPr="00D142EA">
        <w:rPr>
          <w:rFonts w:eastAsia="Times New Roman" w:cs="Arial"/>
          <w:color w:val="000000"/>
          <w:szCs w:val="20"/>
          <w:lang w:eastAsia="bg-BG"/>
        </w:rPr>
        <w:t>светлина части на тялото.</w:t>
      </w:r>
    </w:p>
    <w:p w14:paraId="1E981BAD" w14:textId="77777777" w:rsidR="00D142EA" w:rsidRPr="00D142EA" w:rsidRDefault="00D142EA" w:rsidP="00D142EA">
      <w:pPr>
        <w:spacing w:line="240" w:lineRule="auto"/>
        <w:rPr>
          <w:rFonts w:eastAsia="Times New Roman" w:cs="Arial"/>
          <w:b/>
          <w:bCs/>
          <w:color w:val="000000"/>
          <w:szCs w:val="20"/>
          <w:lang w:eastAsia="bg-BG"/>
        </w:rPr>
      </w:pPr>
      <w:bookmarkStart w:id="1" w:name="bookmark0"/>
    </w:p>
    <w:p w14:paraId="183926F2" w14:textId="1C024830" w:rsidR="00D142EA" w:rsidRPr="00D142EA" w:rsidRDefault="00D142EA" w:rsidP="00D142EA">
      <w:pPr>
        <w:spacing w:line="240" w:lineRule="auto"/>
        <w:rPr>
          <w:rFonts w:eastAsia="Times New Roman" w:cs="Arial"/>
          <w:sz w:val="28"/>
          <w:szCs w:val="24"/>
        </w:rPr>
      </w:pPr>
      <w:r w:rsidRPr="00D142EA">
        <w:rPr>
          <w:rFonts w:eastAsia="Times New Roman" w:cs="Arial"/>
          <w:b/>
          <w:bCs/>
          <w:color w:val="000000"/>
          <w:szCs w:val="20"/>
          <w:lang w:eastAsia="bg-BG"/>
        </w:rPr>
        <w:t>Водно-електролитен баланс:</w:t>
      </w:r>
      <w:bookmarkEnd w:id="1"/>
    </w:p>
    <w:p w14:paraId="6397DE0A"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u w:val="single"/>
          <w:lang w:eastAsia="bg-BG"/>
        </w:rPr>
        <w:t xml:space="preserve">Серумен </w:t>
      </w:r>
      <w:r w:rsidRPr="00D142EA">
        <w:rPr>
          <w:rFonts w:eastAsia="Times New Roman" w:cs="Arial"/>
          <w:i/>
          <w:iCs/>
          <w:color w:val="000000"/>
          <w:szCs w:val="20"/>
          <w:u w:val="single"/>
          <w:lang w:eastAsia="bg-BG"/>
        </w:rPr>
        <w:t>натрий</w:t>
      </w:r>
    </w:p>
    <w:p w14:paraId="542E1473"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Той трябва да се определи преди започване на лечението и на регулярни интервали след това. Всяко диуретично лечение може да предизвика хипонатриемия, понякога с много сериозни последици. Понижаването на плазмените концентрации на натрий отначало може да бъде асимптоматично, поради което редовното му наблюдение е от съществено значение и трябва да се провежда по-често при пациенти в старческа възраст и пациенти с цироза (вж. точки 4.8 и 4.9). Хипонатриемия с хиповолемия може да са причините за дехидратация и ортостатична хипотония. Едновременната загуба на хлоридни йони може да доведе до вторична компенсаторна метаболитна алкалоза: честотата и степента на този ефект са слаби.</w:t>
      </w:r>
    </w:p>
    <w:p w14:paraId="2D84EF10" w14:textId="77777777" w:rsidR="00D142EA" w:rsidRPr="00D142EA" w:rsidRDefault="00D142EA" w:rsidP="00D142EA">
      <w:pPr>
        <w:spacing w:line="240" w:lineRule="auto"/>
        <w:rPr>
          <w:rFonts w:eastAsia="Times New Roman" w:cs="Arial"/>
          <w:i/>
          <w:iCs/>
          <w:color w:val="000000"/>
          <w:szCs w:val="20"/>
          <w:u w:val="single"/>
          <w:lang w:eastAsia="bg-BG"/>
        </w:rPr>
      </w:pPr>
    </w:p>
    <w:p w14:paraId="06D3726C" w14:textId="4C6A8534"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Серумен калий</w:t>
      </w:r>
    </w:p>
    <w:p w14:paraId="78D94943"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 xml:space="preserve">Загубата на калий и появата на хипокалиемия са основен риск при използването на тиазидни и сродни диуретици. Рискът от настъпване на хипокалиемия (&lt; 3,4 </w:t>
      </w:r>
      <w:proofErr w:type="spellStart"/>
      <w:r w:rsidRPr="00D142EA">
        <w:rPr>
          <w:rFonts w:eastAsia="Times New Roman" w:cs="Arial"/>
          <w:color w:val="000000"/>
          <w:szCs w:val="20"/>
          <w:lang w:val="en-US"/>
        </w:rPr>
        <w:t>mmol</w:t>
      </w:r>
      <w:proofErr w:type="spellEnd"/>
      <w:r w:rsidRPr="00D142EA">
        <w:rPr>
          <w:rFonts w:eastAsia="Times New Roman" w:cs="Arial"/>
          <w:color w:val="000000"/>
          <w:szCs w:val="20"/>
          <w:lang w:val="ru-RU"/>
        </w:rPr>
        <w:t xml:space="preserve">/1) </w:t>
      </w:r>
      <w:r w:rsidRPr="00D142EA">
        <w:rPr>
          <w:rFonts w:eastAsia="Times New Roman" w:cs="Arial"/>
          <w:color w:val="000000"/>
          <w:szCs w:val="20"/>
          <w:lang w:eastAsia="bg-BG"/>
        </w:rPr>
        <w:t xml:space="preserve">трябва да бъде предотвратен при високо рисковите популации, например при пациенти в </w:t>
      </w:r>
      <w:r w:rsidRPr="00D142EA">
        <w:rPr>
          <w:rFonts w:eastAsia="Times New Roman" w:cs="Arial"/>
          <w:color w:val="000000"/>
          <w:szCs w:val="20"/>
          <w:lang w:eastAsia="bg-BG"/>
        </w:rPr>
        <w:lastRenderedPageBreak/>
        <w:t>старческа възраст, недохранени, третирани с много лекарства, пациенти с едем и асцит, с коронарна болест на сърцето и пациенти със сърдечна недостатъчност. При тези ситуации хипокалиемията повишава сърдечната токсичност на дигиталисовите продукти и риска от аритмии.</w:t>
      </w:r>
    </w:p>
    <w:p w14:paraId="55952BB5" w14:textId="77777777" w:rsidR="00D142EA" w:rsidRPr="00D142EA" w:rsidRDefault="00D142EA" w:rsidP="00D142EA">
      <w:pPr>
        <w:rPr>
          <w:rFonts w:eastAsia="Times New Roman" w:cs="Arial"/>
          <w:sz w:val="28"/>
          <w:szCs w:val="24"/>
        </w:rPr>
      </w:pPr>
      <w:r w:rsidRPr="00D142EA">
        <w:rPr>
          <w:rFonts w:eastAsia="Times New Roman" w:cs="Arial"/>
          <w:color w:val="000000"/>
          <w:szCs w:val="20"/>
          <w:lang w:eastAsia="bg-BG"/>
        </w:rPr>
        <w:t xml:space="preserve">Индивиди с удължен </w:t>
      </w:r>
      <w:r w:rsidRPr="00D142EA">
        <w:rPr>
          <w:rFonts w:eastAsia="Times New Roman" w:cs="Arial"/>
          <w:color w:val="000000"/>
          <w:szCs w:val="20"/>
          <w:lang w:val="en-US"/>
        </w:rPr>
        <w:t>QT</w:t>
      </w:r>
      <w:r w:rsidRPr="00D142EA">
        <w:rPr>
          <w:rFonts w:eastAsia="Times New Roman" w:cs="Arial"/>
          <w:color w:val="000000"/>
          <w:szCs w:val="20"/>
          <w:lang w:val="ru-RU"/>
        </w:rPr>
        <w:t xml:space="preserve"> </w:t>
      </w:r>
      <w:r w:rsidRPr="00D142EA">
        <w:rPr>
          <w:rFonts w:eastAsia="Times New Roman" w:cs="Arial"/>
          <w:color w:val="000000"/>
          <w:szCs w:val="20"/>
          <w:lang w:eastAsia="bg-BG"/>
        </w:rPr>
        <w:t xml:space="preserve">интервал са също рискови, независимо дали произходът е конгенитален или ятрогенен. Хипокалиемията, така както и брадикардията при тази група пациенти са предразполагащи фактори за поява на тежки аритмии, по-специално на фаталните </w:t>
      </w:r>
      <w:proofErr w:type="spellStart"/>
      <w:r w:rsidRPr="00D142EA">
        <w:rPr>
          <w:rFonts w:eastAsia="Times New Roman" w:cs="Arial"/>
          <w:color w:val="000000"/>
          <w:szCs w:val="20"/>
          <w:lang w:val="en-US"/>
        </w:rPr>
        <w:t>torsades</w:t>
      </w:r>
      <w:proofErr w:type="spellEnd"/>
      <w:r w:rsidRPr="00D142EA">
        <w:rPr>
          <w:rFonts w:eastAsia="Times New Roman" w:cs="Arial"/>
          <w:color w:val="000000"/>
          <w:szCs w:val="20"/>
          <w:lang w:val="ru-RU"/>
        </w:rPr>
        <w:t xml:space="preserve"> </w:t>
      </w:r>
      <w:r w:rsidRPr="00D142EA">
        <w:rPr>
          <w:rFonts w:eastAsia="Times New Roman" w:cs="Arial"/>
          <w:color w:val="000000"/>
          <w:szCs w:val="20"/>
          <w:lang w:val="en-US"/>
        </w:rPr>
        <w:t>de</w:t>
      </w:r>
      <w:r w:rsidRPr="00D142EA">
        <w:rPr>
          <w:rFonts w:eastAsia="Times New Roman" w:cs="Arial"/>
          <w:color w:val="000000"/>
          <w:szCs w:val="20"/>
          <w:lang w:val="ru-RU"/>
        </w:rPr>
        <w:t xml:space="preserve"> </w:t>
      </w:r>
      <w:r w:rsidRPr="00D142EA">
        <w:rPr>
          <w:rFonts w:eastAsia="Times New Roman" w:cs="Arial"/>
          <w:color w:val="000000"/>
          <w:szCs w:val="20"/>
          <w:lang w:val="en-US"/>
        </w:rPr>
        <w:t>pointes</w:t>
      </w:r>
      <w:r w:rsidRPr="00D142EA">
        <w:rPr>
          <w:rFonts w:eastAsia="Times New Roman" w:cs="Arial"/>
          <w:color w:val="000000"/>
          <w:szCs w:val="20"/>
          <w:lang w:val="ru-RU"/>
        </w:rPr>
        <w:t xml:space="preserve">. </w:t>
      </w:r>
      <w:r w:rsidRPr="00D142EA">
        <w:rPr>
          <w:rFonts w:eastAsia="Times New Roman" w:cs="Arial"/>
          <w:color w:val="000000"/>
          <w:szCs w:val="20"/>
          <w:lang w:eastAsia="bg-BG"/>
        </w:rPr>
        <w:t>Във всички ситуации, отбелязани по-горе се изисква по-редовно мониториране на калия в серума. Първото определяне на серумния калий трябва да се извърши</w:t>
      </w:r>
      <w:r w:rsidRPr="00D142EA">
        <w:rPr>
          <w:rFonts w:eastAsia="Times New Roman" w:cs="Arial"/>
          <w:b/>
          <w:bCs/>
          <w:color w:val="000000"/>
          <w:szCs w:val="20"/>
          <w:lang w:eastAsia="bg-BG"/>
        </w:rPr>
        <w:t xml:space="preserve"> </w:t>
      </w:r>
      <w:r w:rsidRPr="00D142EA">
        <w:rPr>
          <w:rFonts w:eastAsia="Times New Roman" w:cs="Arial"/>
          <w:color w:val="000000"/>
          <w:szCs w:val="20"/>
          <w:lang w:eastAsia="bg-BG"/>
        </w:rPr>
        <w:t xml:space="preserve">през първата седмица от началото на лечението. При установяване на хипокалуемия е необходимо тя да се коригира. Хипокалиемия, установена заедно с ниска </w:t>
      </w:r>
      <w:r w:rsidRPr="00D142EA">
        <w:rPr>
          <w:rFonts w:eastAsia="Times New Roman" w:cs="Arial"/>
          <w:color w:val="000000"/>
          <w:szCs w:val="20"/>
          <w:lang w:val="en-US"/>
        </w:rPr>
        <w:t>cep</w:t>
      </w:r>
      <w:r w:rsidRPr="00D142EA">
        <w:rPr>
          <w:rFonts w:eastAsia="Times New Roman" w:cs="Arial"/>
          <w:color w:val="000000"/>
          <w:szCs w:val="20"/>
          <w:lang w:eastAsia="bg-BG"/>
        </w:rPr>
        <w:t>умна концентрация на магнезий, може да не се повлияе от лечението, освен ако серумният магнезий не бъде коригиран.</w:t>
      </w:r>
    </w:p>
    <w:p w14:paraId="6B7D1AA6" w14:textId="77777777" w:rsidR="00D142EA" w:rsidRPr="00D142EA" w:rsidRDefault="00D142EA" w:rsidP="00D142EA">
      <w:pPr>
        <w:spacing w:line="240" w:lineRule="auto"/>
        <w:rPr>
          <w:rFonts w:eastAsia="Times New Roman" w:cs="Arial"/>
          <w:i/>
          <w:iCs/>
          <w:color w:val="000000"/>
          <w:szCs w:val="20"/>
          <w:u w:val="single"/>
          <w:lang w:eastAsia="bg-BG"/>
        </w:rPr>
      </w:pPr>
    </w:p>
    <w:p w14:paraId="56BAA27B" w14:textId="2E5AC67B"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Плазмен магнезий</w:t>
      </w:r>
    </w:p>
    <w:p w14:paraId="50F83FD2"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Доказано е, че тиазидите и техните аналози, включително индапамид, повишават екскрецията на магнезий с урината, което може да доведе до хипомагнезиемия (вж. точки 4.5 и 4.8).</w:t>
      </w:r>
    </w:p>
    <w:p w14:paraId="3A0D6AE9" w14:textId="77777777" w:rsidR="00D142EA" w:rsidRPr="00D142EA" w:rsidRDefault="00D142EA" w:rsidP="00D142EA">
      <w:pPr>
        <w:spacing w:line="240" w:lineRule="auto"/>
        <w:rPr>
          <w:rFonts w:eastAsia="Times New Roman" w:cs="Arial"/>
          <w:i/>
          <w:iCs/>
          <w:color w:val="000000"/>
          <w:szCs w:val="20"/>
          <w:u w:val="single"/>
          <w:lang w:eastAsia="bg-BG"/>
        </w:rPr>
      </w:pPr>
    </w:p>
    <w:p w14:paraId="5EB52DC9" w14:textId="39743476"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Плазмен калиий</w:t>
      </w:r>
    </w:p>
    <w:p w14:paraId="67AA5155"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Тиазидните и сродните диуретици могат да понижат екскрецията на калций с урината и да предизвикат леко и транзиторно повишение на плазмения калций. Установената хиперкалциемия може да се дължи на предхождащ недиагностициран хиперпаратиреоидизъм. Преди изследване на паратиреоидната функция лечението трябва да се преустановява.</w:t>
      </w:r>
    </w:p>
    <w:p w14:paraId="21119A9D" w14:textId="77777777" w:rsidR="00D142EA" w:rsidRPr="00D142EA" w:rsidRDefault="00D142EA" w:rsidP="00D142EA">
      <w:pPr>
        <w:spacing w:line="240" w:lineRule="auto"/>
        <w:rPr>
          <w:rFonts w:eastAsia="Times New Roman" w:cs="Arial"/>
          <w:i/>
          <w:iCs/>
          <w:color w:val="000000"/>
          <w:szCs w:val="20"/>
          <w:u w:val="single"/>
          <w:lang w:eastAsia="bg-BG"/>
        </w:rPr>
      </w:pPr>
    </w:p>
    <w:p w14:paraId="0BFF1781" w14:textId="2FCB3088"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Глюкоза в кръвта</w:t>
      </w:r>
    </w:p>
    <w:p w14:paraId="5435595F"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При диабетици, особено при наличие на хипокалиемия е важно да се наблюдава глюкозата в кръвта.</w:t>
      </w:r>
    </w:p>
    <w:p w14:paraId="3612B09D" w14:textId="77777777" w:rsidR="00D142EA" w:rsidRPr="00D142EA" w:rsidRDefault="00D142EA" w:rsidP="00D142EA">
      <w:pPr>
        <w:spacing w:line="240" w:lineRule="auto"/>
        <w:rPr>
          <w:rFonts w:eastAsia="Times New Roman" w:cs="Arial"/>
          <w:i/>
          <w:iCs/>
          <w:color w:val="000000"/>
          <w:szCs w:val="20"/>
          <w:u w:val="single"/>
          <w:lang w:eastAsia="bg-BG"/>
        </w:rPr>
      </w:pPr>
    </w:p>
    <w:p w14:paraId="1DB2837B" w14:textId="3B653E45"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Пикочна киселина</w:t>
      </w:r>
    </w:p>
    <w:p w14:paraId="646AC3B9" w14:textId="77777777"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lang w:eastAsia="bg-BG"/>
        </w:rPr>
        <w:t>При</w:t>
      </w:r>
      <w:r w:rsidRPr="00D142EA">
        <w:rPr>
          <w:rFonts w:eastAsia="Times New Roman" w:cs="Arial"/>
          <w:color w:val="000000"/>
          <w:szCs w:val="20"/>
          <w:lang w:eastAsia="bg-BG"/>
        </w:rPr>
        <w:t xml:space="preserve"> хиперурикемични пациенти тенденцията към пристъпи на подагра може да се повиши.</w:t>
      </w:r>
    </w:p>
    <w:p w14:paraId="6B8CB236" w14:textId="77777777" w:rsidR="00D142EA" w:rsidRPr="00D142EA" w:rsidRDefault="00D142EA" w:rsidP="00D142EA">
      <w:pPr>
        <w:spacing w:line="240" w:lineRule="auto"/>
        <w:rPr>
          <w:rFonts w:eastAsia="Times New Roman" w:cs="Arial"/>
          <w:i/>
          <w:iCs/>
          <w:color w:val="000000"/>
          <w:szCs w:val="20"/>
          <w:u w:val="single"/>
          <w:lang w:eastAsia="bg-BG"/>
        </w:rPr>
      </w:pPr>
    </w:p>
    <w:p w14:paraId="6EE37954" w14:textId="060E3ED2"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Бъбречна функиия и диуретици</w:t>
      </w:r>
    </w:p>
    <w:p w14:paraId="27B285A7"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 xml:space="preserve">Тиазидните и сродните диуретици са напълно ефективни само когато бъбречната функция е нормална или минимално увредена (плазмен креатинин под 25 </w:t>
      </w:r>
      <w:r w:rsidRPr="00D142EA">
        <w:rPr>
          <w:rFonts w:eastAsia="Times New Roman" w:cs="Arial"/>
          <w:color w:val="000000"/>
          <w:szCs w:val="20"/>
          <w:lang w:val="en-US"/>
        </w:rPr>
        <w:t>mg</w:t>
      </w:r>
      <w:r w:rsidRPr="00D142EA">
        <w:rPr>
          <w:rFonts w:eastAsia="Times New Roman" w:cs="Arial"/>
          <w:color w:val="000000"/>
          <w:szCs w:val="20"/>
          <w:lang w:val="ru-RU"/>
        </w:rPr>
        <w:t>/</w:t>
      </w:r>
      <w:r w:rsidRPr="00D142EA">
        <w:rPr>
          <w:rFonts w:eastAsia="Times New Roman" w:cs="Arial"/>
          <w:color w:val="000000"/>
          <w:szCs w:val="20"/>
          <w:lang w:val="en-US"/>
        </w:rPr>
        <w:t>l</w:t>
      </w:r>
      <w:r w:rsidRPr="00D142EA">
        <w:rPr>
          <w:rFonts w:eastAsia="Times New Roman" w:cs="Arial"/>
          <w:color w:val="000000"/>
          <w:szCs w:val="20"/>
          <w:lang w:val="ru-RU"/>
        </w:rPr>
        <w:t xml:space="preserve">, </w:t>
      </w:r>
      <w:r w:rsidRPr="00D142EA">
        <w:rPr>
          <w:rFonts w:eastAsia="Times New Roman" w:cs="Arial"/>
          <w:color w:val="000000"/>
          <w:szCs w:val="20"/>
          <w:lang w:eastAsia="bg-BG"/>
        </w:rPr>
        <w:t>т.е. 220 μ</w:t>
      </w:r>
      <w:proofErr w:type="spellStart"/>
      <w:r w:rsidRPr="00D142EA">
        <w:rPr>
          <w:rFonts w:eastAsia="Times New Roman" w:cs="Arial"/>
          <w:color w:val="000000"/>
          <w:szCs w:val="20"/>
          <w:lang w:val="en-US"/>
        </w:rPr>
        <w:t>mol</w:t>
      </w:r>
      <w:proofErr w:type="spellEnd"/>
      <w:r w:rsidRPr="00D142EA">
        <w:rPr>
          <w:rFonts w:eastAsia="Times New Roman" w:cs="Arial"/>
          <w:color w:val="000000"/>
          <w:szCs w:val="20"/>
          <w:lang w:val="ru-RU"/>
        </w:rPr>
        <w:t>/</w:t>
      </w:r>
      <w:r w:rsidRPr="00D142EA">
        <w:rPr>
          <w:rFonts w:eastAsia="Times New Roman" w:cs="Arial"/>
          <w:color w:val="000000"/>
          <w:szCs w:val="20"/>
          <w:lang w:val="en-US"/>
        </w:rPr>
        <w:t>l</w:t>
      </w:r>
      <w:r w:rsidRPr="00D142EA">
        <w:rPr>
          <w:rFonts w:eastAsia="Times New Roman" w:cs="Arial"/>
          <w:color w:val="000000"/>
          <w:szCs w:val="20"/>
          <w:lang w:eastAsia="bg-BG"/>
        </w:rPr>
        <w:t xml:space="preserve"> при възрастни). При пациенти в старческа възраст плазменият креатинин трябва да бъде коригиран в зависимост от възрастта, теглото и пола.</w:t>
      </w:r>
    </w:p>
    <w:p w14:paraId="06BE0E25"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Хиповолемията, която е вторична поради загубата на вода и натрий, индуцирани от диуретика в началото на лечението, предизвиква намаление на гломерулната филтрация. Това може да доведе до повишаване на уреята в кръвта и плазмения креатинин. Тази транзиторна бъбречна недостатъчност няма последствия при индивиди с нормална бъбречна функция, но може да влоши съществуваща бъбречна недостатъчност.</w:t>
      </w:r>
    </w:p>
    <w:p w14:paraId="316C4F1C" w14:textId="77777777" w:rsidR="00D142EA" w:rsidRPr="00D142EA" w:rsidRDefault="00D142EA" w:rsidP="00D142EA">
      <w:pPr>
        <w:spacing w:line="240" w:lineRule="auto"/>
        <w:rPr>
          <w:rFonts w:eastAsia="Times New Roman" w:cs="Arial"/>
          <w:i/>
          <w:iCs/>
          <w:color w:val="000000"/>
          <w:szCs w:val="20"/>
          <w:u w:val="single"/>
          <w:lang w:eastAsia="bg-BG"/>
        </w:rPr>
      </w:pPr>
    </w:p>
    <w:p w14:paraId="443156F1" w14:textId="0F9DBD1A"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Спортисти</w:t>
      </w:r>
    </w:p>
    <w:p w14:paraId="33E1298D"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Вниманието на спортистите трябва да се насочи към факта, че този лекарствен продукт съдържа активно вещество, което може да даде положителна реакция при допинг теста.</w:t>
      </w:r>
    </w:p>
    <w:p w14:paraId="2BFC57EE" w14:textId="77777777" w:rsidR="00D142EA" w:rsidRPr="00D142EA" w:rsidRDefault="00D142EA" w:rsidP="00D142EA">
      <w:pPr>
        <w:spacing w:line="240" w:lineRule="auto"/>
        <w:rPr>
          <w:rFonts w:eastAsia="Times New Roman" w:cs="Arial"/>
          <w:b/>
          <w:bCs/>
          <w:color w:val="000000"/>
          <w:szCs w:val="20"/>
          <w:lang w:eastAsia="bg-BG"/>
        </w:rPr>
      </w:pPr>
    </w:p>
    <w:p w14:paraId="6003E36F" w14:textId="2323B5A6" w:rsidR="00D142EA" w:rsidRPr="00D142EA" w:rsidRDefault="00D142EA" w:rsidP="00D142EA">
      <w:pPr>
        <w:spacing w:line="240" w:lineRule="auto"/>
        <w:rPr>
          <w:rFonts w:eastAsia="Times New Roman" w:cs="Arial"/>
          <w:sz w:val="28"/>
          <w:szCs w:val="24"/>
        </w:rPr>
      </w:pPr>
      <w:r w:rsidRPr="00D142EA">
        <w:rPr>
          <w:rFonts w:eastAsia="Times New Roman" w:cs="Arial"/>
          <w:b/>
          <w:bCs/>
          <w:color w:val="000000"/>
          <w:szCs w:val="20"/>
          <w:lang w:eastAsia="bg-BG"/>
        </w:rPr>
        <w:lastRenderedPageBreak/>
        <w:t>Хороидален излив, остра миопия и вторична закритоьгьлна глаукома:</w:t>
      </w:r>
    </w:p>
    <w:p w14:paraId="1038F1AB"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закритоьгьлна глаукома. Симптомите включват внезапно начало на намаление на зрителната острота или болка в окото, които обикновено се появяват в рамките на часове до седмици от започване на лекарството. Нелекуваната остра закритоъгьлна глаукома може да доведе до трайна загуба на зрение. Първоначалното лечение е да се прекрати приемът на лекарството възможно най 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закритоьгьлна глаукома могат да включват анамнеза за алергия към сулфонамиди или пеницилини.</w:t>
      </w:r>
    </w:p>
    <w:p w14:paraId="6A502550" w14:textId="77777777" w:rsidR="00D142EA" w:rsidRPr="00D142EA" w:rsidRDefault="00D142EA" w:rsidP="00D142EA">
      <w:pPr>
        <w:spacing w:line="240" w:lineRule="auto"/>
        <w:rPr>
          <w:rFonts w:eastAsia="Times New Roman" w:cs="Arial"/>
          <w:i/>
          <w:iCs/>
          <w:color w:val="000000"/>
          <w:szCs w:val="20"/>
          <w:u w:val="single"/>
          <w:lang w:eastAsia="bg-BG"/>
        </w:rPr>
      </w:pPr>
    </w:p>
    <w:p w14:paraId="739BE683" w14:textId="0AC608E6"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u w:val="single"/>
          <w:lang w:eastAsia="bg-BG"/>
        </w:rPr>
        <w:t>Помощни вещества</w:t>
      </w:r>
    </w:p>
    <w:p w14:paraId="3EE7350A" w14:textId="77777777"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lang w:eastAsia="bg-BG"/>
        </w:rPr>
        <w:t>Лактоза монохидрат</w:t>
      </w:r>
    </w:p>
    <w:p w14:paraId="46EA8771"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5DEC64EF" w14:textId="5FD4041D" w:rsidR="00D142EA" w:rsidRPr="00D142EA" w:rsidRDefault="00D142EA" w:rsidP="00D142EA"/>
    <w:p w14:paraId="0734264C" w14:textId="2F5B4395"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B3C869D" w14:textId="3C052CEC" w:rsidR="00D142EA" w:rsidRDefault="00D142EA" w:rsidP="00D142EA"/>
    <w:p w14:paraId="64E5D503" w14:textId="77777777" w:rsidR="00D142EA" w:rsidRPr="00D142EA" w:rsidRDefault="00D142EA" w:rsidP="00D142EA">
      <w:pPr>
        <w:spacing w:line="240" w:lineRule="auto"/>
        <w:rPr>
          <w:rFonts w:eastAsia="Times New Roman" w:cs="Arial"/>
        </w:rPr>
      </w:pPr>
      <w:r w:rsidRPr="00D142EA">
        <w:rPr>
          <w:rFonts w:eastAsia="Times New Roman" w:cs="Arial"/>
          <w:color w:val="000000"/>
          <w:u w:val="single"/>
          <w:lang w:eastAsia="bg-BG"/>
        </w:rPr>
        <w:t>Комбинации, които не се препоръчват</w:t>
      </w:r>
    </w:p>
    <w:p w14:paraId="1C04125F" w14:textId="77777777" w:rsidR="00D142EA" w:rsidRPr="00D142EA" w:rsidRDefault="00D142EA" w:rsidP="00D142EA">
      <w:pPr>
        <w:spacing w:line="240" w:lineRule="auto"/>
        <w:rPr>
          <w:rFonts w:eastAsia="Times New Roman" w:cs="Arial"/>
          <w:b/>
          <w:bCs/>
          <w:color w:val="000000"/>
          <w:lang w:eastAsia="bg-BG"/>
        </w:rPr>
      </w:pPr>
    </w:p>
    <w:p w14:paraId="6029C4B5" w14:textId="3B0DD07D"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Литий:</w:t>
      </w:r>
    </w:p>
    <w:p w14:paraId="3D6C2DD1"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Повишават се стойностите на литий в плазмата с признаци на предозиране, като при безсолна диета (намалена екскреция на литий в урината). Въпреки това, при необходимост от употреба на диуретици се изисква внимателно наблюдение на концентрациите на литий в плазмата и коригиране на дозировката.</w:t>
      </w:r>
    </w:p>
    <w:p w14:paraId="6205CFAD" w14:textId="77777777" w:rsidR="00D142EA" w:rsidRPr="00D142EA" w:rsidRDefault="00D142EA" w:rsidP="00D142EA">
      <w:pPr>
        <w:spacing w:line="240" w:lineRule="auto"/>
        <w:rPr>
          <w:rFonts w:eastAsia="Times New Roman" w:cs="Arial"/>
          <w:b/>
          <w:bCs/>
          <w:color w:val="000000"/>
          <w:lang w:eastAsia="bg-BG"/>
        </w:rPr>
      </w:pPr>
    </w:p>
    <w:p w14:paraId="7A269180" w14:textId="63417A83"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Диуретици:</w:t>
      </w:r>
    </w:p>
    <w:p w14:paraId="34A8CEE4"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Не се препоръчва едновременната употреба на индапамид с диуретици, които могат да причинят хипокалиемия (буметанид. фуроземид, пиретанид, тиазиди и ксипамид).</w:t>
      </w:r>
    </w:p>
    <w:p w14:paraId="785184B8" w14:textId="77777777" w:rsidR="00D142EA" w:rsidRPr="00D142EA" w:rsidRDefault="00D142EA" w:rsidP="00D142EA">
      <w:pPr>
        <w:spacing w:line="240" w:lineRule="auto"/>
        <w:rPr>
          <w:rFonts w:eastAsia="Times New Roman" w:cs="Arial"/>
          <w:color w:val="000000"/>
          <w:u w:val="single"/>
          <w:lang w:eastAsia="bg-BG"/>
        </w:rPr>
      </w:pPr>
    </w:p>
    <w:p w14:paraId="4B15D02D" w14:textId="256394D5" w:rsidR="00D142EA" w:rsidRPr="00D142EA" w:rsidRDefault="00D142EA" w:rsidP="00D142EA">
      <w:pPr>
        <w:spacing w:line="240" w:lineRule="auto"/>
        <w:rPr>
          <w:rFonts w:eastAsia="Times New Roman" w:cs="Arial"/>
        </w:rPr>
      </w:pPr>
      <w:r w:rsidRPr="00D142EA">
        <w:rPr>
          <w:rFonts w:eastAsia="Times New Roman" w:cs="Arial"/>
          <w:color w:val="000000"/>
          <w:u w:val="single"/>
          <w:lang w:eastAsia="bg-BG"/>
        </w:rPr>
        <w:t>Комбинации, които изискват предпазни мерки при употреба</w:t>
      </w:r>
    </w:p>
    <w:p w14:paraId="6C5F76F5" w14:textId="77777777" w:rsidR="00D142EA" w:rsidRPr="00D142EA" w:rsidRDefault="00D142EA" w:rsidP="00D142EA">
      <w:pPr>
        <w:spacing w:line="240" w:lineRule="auto"/>
        <w:rPr>
          <w:rFonts w:eastAsia="Times New Roman" w:cs="Arial"/>
          <w:b/>
          <w:bCs/>
          <w:color w:val="000000"/>
          <w:lang w:eastAsia="bg-BG"/>
        </w:rPr>
      </w:pPr>
    </w:p>
    <w:p w14:paraId="1EE035E7" w14:textId="13FD02C2"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 xml:space="preserve">Лекарства, причиняващи </w:t>
      </w:r>
      <w:proofErr w:type="spellStart"/>
      <w:r w:rsidRPr="00D142EA">
        <w:rPr>
          <w:rFonts w:eastAsia="Times New Roman" w:cs="Arial"/>
          <w:b/>
          <w:bCs/>
          <w:color w:val="000000"/>
          <w:lang w:val="en-US"/>
        </w:rPr>
        <w:t>torsades</w:t>
      </w:r>
      <w:proofErr w:type="spellEnd"/>
      <w:r w:rsidRPr="00D142EA">
        <w:rPr>
          <w:rFonts w:eastAsia="Times New Roman" w:cs="Arial"/>
          <w:b/>
          <w:bCs/>
          <w:color w:val="000000"/>
        </w:rPr>
        <w:t xml:space="preserve"> </w:t>
      </w:r>
      <w:r w:rsidRPr="00D142EA">
        <w:rPr>
          <w:rFonts w:eastAsia="Times New Roman" w:cs="Arial"/>
          <w:b/>
          <w:bCs/>
          <w:color w:val="000000"/>
          <w:lang w:val="en-US"/>
        </w:rPr>
        <w:t>de</w:t>
      </w:r>
      <w:r w:rsidRPr="00D142EA">
        <w:rPr>
          <w:rFonts w:eastAsia="Times New Roman" w:cs="Arial"/>
          <w:b/>
          <w:bCs/>
          <w:color w:val="000000"/>
        </w:rPr>
        <w:t xml:space="preserve"> </w:t>
      </w:r>
      <w:r w:rsidRPr="00D142EA">
        <w:rPr>
          <w:rFonts w:eastAsia="Times New Roman" w:cs="Arial"/>
          <w:b/>
          <w:bCs/>
          <w:color w:val="000000"/>
          <w:lang w:val="en-US"/>
        </w:rPr>
        <w:t>pointes</w:t>
      </w:r>
    </w:p>
    <w:p w14:paraId="14A4F03D" w14:textId="77777777" w:rsidR="00D142EA" w:rsidRPr="00D142EA" w:rsidRDefault="00D142EA" w:rsidP="00D142EA">
      <w:pPr>
        <w:pStyle w:val="ListParagraph"/>
        <w:numPr>
          <w:ilvl w:val="0"/>
          <w:numId w:val="39"/>
        </w:numPr>
        <w:spacing w:line="240" w:lineRule="auto"/>
        <w:rPr>
          <w:rFonts w:eastAsia="Times New Roman" w:cs="Arial"/>
        </w:rPr>
      </w:pPr>
      <w:r w:rsidRPr="00D142EA">
        <w:rPr>
          <w:rFonts w:eastAsia="Times New Roman" w:cs="Arial"/>
          <w:color w:val="000000"/>
          <w:lang w:eastAsia="bg-BG"/>
        </w:rPr>
        <w:t xml:space="preserve">антиаритмици клас </w:t>
      </w:r>
      <w:proofErr w:type="spellStart"/>
      <w:r w:rsidRPr="00D142EA">
        <w:rPr>
          <w:rFonts w:eastAsia="Times New Roman" w:cs="Arial"/>
          <w:color w:val="000000"/>
          <w:lang w:val="en-US"/>
        </w:rPr>
        <w:t>Ia</w:t>
      </w:r>
      <w:proofErr w:type="spellEnd"/>
      <w:r w:rsidRPr="00D142EA">
        <w:rPr>
          <w:rFonts w:eastAsia="Times New Roman" w:cs="Arial"/>
          <w:color w:val="000000"/>
        </w:rPr>
        <w:t xml:space="preserve"> </w:t>
      </w:r>
      <w:r w:rsidRPr="00D142EA">
        <w:rPr>
          <w:rFonts w:eastAsia="Times New Roman" w:cs="Arial"/>
          <w:color w:val="000000"/>
          <w:lang w:eastAsia="bg-BG"/>
        </w:rPr>
        <w:t>(хинидин, хидрохинидин, дизопирамид);</w:t>
      </w:r>
    </w:p>
    <w:p w14:paraId="2FB56E91" w14:textId="77777777" w:rsidR="00D142EA" w:rsidRPr="00D142EA" w:rsidRDefault="00D142EA" w:rsidP="00D142EA">
      <w:pPr>
        <w:pStyle w:val="ListParagraph"/>
        <w:numPr>
          <w:ilvl w:val="0"/>
          <w:numId w:val="39"/>
        </w:numPr>
        <w:spacing w:line="240" w:lineRule="auto"/>
        <w:rPr>
          <w:rFonts w:eastAsia="Times New Roman" w:cs="Arial"/>
        </w:rPr>
      </w:pPr>
      <w:r w:rsidRPr="00D142EA">
        <w:rPr>
          <w:rFonts w:eastAsia="Times New Roman" w:cs="Arial"/>
          <w:color w:val="000000"/>
          <w:lang w:eastAsia="bg-BG"/>
        </w:rPr>
        <w:t>антиаритмици клас III (амиодарон, соталол, дофетилид, ибутилид, бретилиум);</w:t>
      </w:r>
    </w:p>
    <w:p w14:paraId="4B10D9A5" w14:textId="033552C8" w:rsidR="00D142EA" w:rsidRPr="00D142EA" w:rsidRDefault="00D142EA" w:rsidP="00D142EA">
      <w:pPr>
        <w:pStyle w:val="ListParagraph"/>
        <w:numPr>
          <w:ilvl w:val="0"/>
          <w:numId w:val="39"/>
        </w:numPr>
        <w:spacing w:line="240" w:lineRule="auto"/>
        <w:rPr>
          <w:rFonts w:eastAsia="Times New Roman" w:cs="Arial"/>
        </w:rPr>
      </w:pPr>
      <w:r w:rsidRPr="00D142EA">
        <w:rPr>
          <w:rFonts w:eastAsia="Times New Roman" w:cs="Arial"/>
          <w:color w:val="000000"/>
          <w:lang w:eastAsia="bg-BG"/>
        </w:rPr>
        <w:t>някои антипсихотици:</w:t>
      </w:r>
    </w:p>
    <w:p w14:paraId="607A6269"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фенотиазини (хлорпромазин, циамемазин, левомепромазин, тиоридазин, трифлуоперазин), бензамиди (амисулприд, сулпирид, султоприд, тиаприд), бутирофенони (дроперидол, халоперидол);</w:t>
      </w:r>
    </w:p>
    <w:p w14:paraId="521E3D52"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други антипсихотици (напр. пимозид).</w:t>
      </w:r>
    </w:p>
    <w:p w14:paraId="0F1BB79E" w14:textId="77777777" w:rsidR="00D142EA" w:rsidRPr="00D142EA" w:rsidRDefault="00D142EA" w:rsidP="00D142EA">
      <w:pPr>
        <w:spacing w:line="240" w:lineRule="auto"/>
        <w:rPr>
          <w:rFonts w:eastAsia="Times New Roman" w:cs="Arial"/>
          <w:color w:val="000000"/>
          <w:lang w:eastAsia="bg-BG"/>
        </w:rPr>
      </w:pPr>
    </w:p>
    <w:p w14:paraId="6D235132" w14:textId="5E5F7516" w:rsidR="00D142EA" w:rsidRPr="00D142EA" w:rsidRDefault="00D142EA" w:rsidP="00D142EA">
      <w:pPr>
        <w:spacing w:line="240" w:lineRule="auto"/>
        <w:rPr>
          <w:rFonts w:eastAsia="Times New Roman" w:cs="Arial"/>
        </w:rPr>
      </w:pPr>
      <w:r w:rsidRPr="00D142EA">
        <w:rPr>
          <w:rFonts w:eastAsia="Times New Roman" w:cs="Arial"/>
          <w:color w:val="000000"/>
          <w:lang w:eastAsia="bg-BG"/>
        </w:rPr>
        <w:t xml:space="preserve">Други вещества (напр. бепридил, цизаприд, дифеманил, еритромицин </w:t>
      </w:r>
      <w:proofErr w:type="spellStart"/>
      <w:r w:rsidRPr="00D142EA">
        <w:rPr>
          <w:rFonts w:eastAsia="Times New Roman" w:cs="Arial"/>
          <w:color w:val="000000"/>
          <w:lang w:val="en-US"/>
        </w:rPr>
        <w:t>i</w:t>
      </w:r>
      <w:proofErr w:type="spellEnd"/>
      <w:r w:rsidRPr="00D142EA">
        <w:rPr>
          <w:rFonts w:eastAsia="Times New Roman" w:cs="Arial"/>
          <w:color w:val="000000"/>
        </w:rPr>
        <w:t>.</w:t>
      </w:r>
      <w:r w:rsidRPr="00D142EA">
        <w:rPr>
          <w:rFonts w:eastAsia="Times New Roman" w:cs="Arial"/>
          <w:color w:val="000000"/>
          <w:lang w:val="en-US"/>
        </w:rPr>
        <w:t>v</w:t>
      </w:r>
      <w:r w:rsidRPr="00D142EA">
        <w:rPr>
          <w:rFonts w:eastAsia="Times New Roman" w:cs="Arial"/>
          <w:color w:val="000000"/>
        </w:rPr>
        <w:t xml:space="preserve">., </w:t>
      </w:r>
      <w:r w:rsidRPr="00D142EA">
        <w:rPr>
          <w:rFonts w:eastAsia="Times New Roman" w:cs="Arial"/>
          <w:color w:val="000000"/>
          <w:lang w:eastAsia="bg-BG"/>
        </w:rPr>
        <w:t xml:space="preserve">халофантрин, мизоластин, пентамидин, спарфлоксацин, моксифлоксацин, винкамин </w:t>
      </w:r>
      <w:proofErr w:type="spellStart"/>
      <w:r w:rsidRPr="00D142EA">
        <w:rPr>
          <w:rFonts w:eastAsia="Times New Roman" w:cs="Arial"/>
          <w:color w:val="000000"/>
          <w:lang w:val="en-US"/>
        </w:rPr>
        <w:t>i</w:t>
      </w:r>
      <w:proofErr w:type="spellEnd"/>
      <w:r w:rsidRPr="00D142EA">
        <w:rPr>
          <w:rFonts w:eastAsia="Times New Roman" w:cs="Arial"/>
          <w:color w:val="000000"/>
        </w:rPr>
        <w:t>.</w:t>
      </w:r>
      <w:r w:rsidRPr="00D142EA">
        <w:rPr>
          <w:rFonts w:eastAsia="Times New Roman" w:cs="Arial"/>
          <w:color w:val="000000"/>
          <w:lang w:val="en-US"/>
        </w:rPr>
        <w:t>v</w:t>
      </w:r>
      <w:r w:rsidRPr="00D142EA">
        <w:rPr>
          <w:rFonts w:eastAsia="Times New Roman" w:cs="Arial"/>
          <w:color w:val="000000"/>
        </w:rPr>
        <w:t xml:space="preserve">., </w:t>
      </w:r>
      <w:r w:rsidRPr="00D142EA">
        <w:rPr>
          <w:rFonts w:eastAsia="Times New Roman" w:cs="Arial"/>
          <w:color w:val="000000"/>
          <w:lang w:eastAsia="bg-BG"/>
        </w:rPr>
        <w:t>метадон, астемизол, терфенадин).</w:t>
      </w:r>
    </w:p>
    <w:p w14:paraId="7EEEE645"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 xml:space="preserve">Съществува повишен риск от вентрикулни аритмии, особено </w:t>
      </w:r>
      <w:proofErr w:type="spellStart"/>
      <w:r w:rsidRPr="00D142EA">
        <w:rPr>
          <w:rFonts w:eastAsia="Times New Roman" w:cs="Arial"/>
          <w:color w:val="000000"/>
          <w:lang w:val="en-US"/>
        </w:rPr>
        <w:t>torsades</w:t>
      </w:r>
      <w:proofErr w:type="spellEnd"/>
      <w:r w:rsidRPr="00D142EA">
        <w:rPr>
          <w:rFonts w:eastAsia="Times New Roman" w:cs="Arial"/>
          <w:color w:val="000000"/>
          <w:lang w:val="ru-RU"/>
        </w:rPr>
        <w:t xml:space="preserve"> </w:t>
      </w:r>
      <w:r w:rsidRPr="00D142EA">
        <w:rPr>
          <w:rFonts w:eastAsia="Times New Roman" w:cs="Arial"/>
          <w:color w:val="000000"/>
          <w:lang w:val="en-US"/>
        </w:rPr>
        <w:t>de</w:t>
      </w:r>
      <w:r w:rsidRPr="00D142EA">
        <w:rPr>
          <w:rFonts w:eastAsia="Times New Roman" w:cs="Arial"/>
          <w:color w:val="000000"/>
          <w:lang w:val="ru-RU"/>
        </w:rPr>
        <w:t xml:space="preserve"> </w:t>
      </w:r>
      <w:r w:rsidRPr="00D142EA">
        <w:rPr>
          <w:rFonts w:eastAsia="Times New Roman" w:cs="Arial"/>
          <w:color w:val="000000"/>
          <w:lang w:val="en-US"/>
        </w:rPr>
        <w:t>pointes</w:t>
      </w:r>
      <w:r w:rsidRPr="00D142EA">
        <w:rPr>
          <w:rFonts w:eastAsia="Times New Roman" w:cs="Arial"/>
          <w:color w:val="000000"/>
          <w:lang w:val="ru-RU"/>
        </w:rPr>
        <w:t xml:space="preserve"> </w:t>
      </w:r>
      <w:r w:rsidRPr="00D142EA">
        <w:rPr>
          <w:rFonts w:eastAsia="Times New Roman" w:cs="Arial"/>
          <w:color w:val="000000"/>
          <w:lang w:eastAsia="bg-BG"/>
        </w:rPr>
        <w:t>(хипокалиемията е рисков фактор).</w:t>
      </w:r>
    </w:p>
    <w:p w14:paraId="2E04CFB1"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lastRenderedPageBreak/>
        <w:t>Ако е необходимо, преди прилагането на тази комбинация се извършва мониториране за хипокалиемия и нейното коригиране. Провежда се клинично мониториране и мониториране на плазмените електролити и ЕКГ.</w:t>
      </w:r>
    </w:p>
    <w:p w14:paraId="09A07F10" w14:textId="77777777" w:rsidR="00D142EA" w:rsidRPr="00D142EA" w:rsidRDefault="00D142EA" w:rsidP="00D142EA">
      <w:pPr>
        <w:spacing w:line="240" w:lineRule="auto"/>
        <w:rPr>
          <w:rFonts w:eastAsia="Times New Roman" w:cs="Arial"/>
        </w:rPr>
      </w:pPr>
      <w:r w:rsidRPr="00D142EA">
        <w:rPr>
          <w:rFonts w:eastAsia="Times New Roman" w:cs="Arial"/>
          <w:i/>
          <w:iCs/>
          <w:color w:val="000000"/>
          <w:lang w:eastAsia="bg-BG"/>
        </w:rPr>
        <w:t xml:space="preserve">Трябва да се използват вещества, които нямат недостатъка да предизвикват </w:t>
      </w:r>
      <w:proofErr w:type="spellStart"/>
      <w:r w:rsidRPr="00D142EA">
        <w:rPr>
          <w:rFonts w:eastAsia="Times New Roman" w:cs="Arial"/>
          <w:i/>
          <w:iCs/>
          <w:color w:val="000000"/>
          <w:lang w:val="en-US"/>
        </w:rPr>
        <w:t>torsades</w:t>
      </w:r>
      <w:proofErr w:type="spellEnd"/>
      <w:r w:rsidRPr="00D142EA">
        <w:rPr>
          <w:rFonts w:eastAsia="Times New Roman" w:cs="Arial"/>
          <w:i/>
          <w:iCs/>
          <w:color w:val="000000"/>
          <w:lang w:val="ru-RU"/>
        </w:rPr>
        <w:t xml:space="preserve"> </w:t>
      </w:r>
      <w:r w:rsidRPr="00D142EA">
        <w:rPr>
          <w:rFonts w:eastAsia="Times New Roman" w:cs="Arial"/>
          <w:i/>
          <w:iCs/>
          <w:color w:val="000000"/>
          <w:lang w:val="en-US"/>
        </w:rPr>
        <w:t>de</w:t>
      </w:r>
      <w:r w:rsidRPr="00D142EA">
        <w:rPr>
          <w:rFonts w:eastAsia="Times New Roman" w:cs="Arial"/>
          <w:i/>
          <w:iCs/>
          <w:color w:val="000000"/>
          <w:lang w:val="ru-RU"/>
        </w:rPr>
        <w:t xml:space="preserve"> </w:t>
      </w:r>
      <w:r w:rsidRPr="00D142EA">
        <w:rPr>
          <w:rFonts w:eastAsia="Times New Roman" w:cs="Arial"/>
          <w:i/>
          <w:iCs/>
          <w:color w:val="000000"/>
          <w:lang w:val="en-US"/>
        </w:rPr>
        <w:t>pointes</w:t>
      </w:r>
      <w:r w:rsidRPr="00D142EA">
        <w:rPr>
          <w:rFonts w:eastAsia="Times New Roman" w:cs="Arial"/>
          <w:i/>
          <w:iCs/>
          <w:color w:val="000000"/>
          <w:lang w:val="ru-RU"/>
        </w:rPr>
        <w:t xml:space="preserve"> </w:t>
      </w:r>
      <w:r w:rsidRPr="00D142EA">
        <w:rPr>
          <w:rFonts w:eastAsia="Times New Roman" w:cs="Arial"/>
          <w:i/>
          <w:iCs/>
          <w:color w:val="000000"/>
          <w:lang w:eastAsia="bg-BG"/>
        </w:rPr>
        <w:t>при наличие на хипокалиемия.</w:t>
      </w:r>
    </w:p>
    <w:p w14:paraId="3C3D729F" w14:textId="77777777" w:rsidR="00D142EA" w:rsidRPr="00D142EA" w:rsidRDefault="00D142EA" w:rsidP="00D142EA">
      <w:pPr>
        <w:spacing w:line="240" w:lineRule="auto"/>
        <w:rPr>
          <w:rFonts w:eastAsia="Times New Roman" w:cs="Arial"/>
          <w:b/>
          <w:bCs/>
          <w:color w:val="000000"/>
          <w:lang w:eastAsia="bg-BG"/>
        </w:rPr>
      </w:pPr>
    </w:p>
    <w:p w14:paraId="6D374068" w14:textId="355FEE15"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 xml:space="preserve">Нестероидни противовъзпалителни средства (НСПВС) (системно приложение), включително СОХ-2 селективни инхибитори, салицилати във високи дози (≥3 </w:t>
      </w:r>
      <w:r w:rsidRPr="00D142EA">
        <w:rPr>
          <w:rFonts w:eastAsia="Times New Roman" w:cs="Arial"/>
          <w:b/>
          <w:bCs/>
          <w:color w:val="000000"/>
          <w:lang w:val="en-US"/>
        </w:rPr>
        <w:t>g</w:t>
      </w:r>
      <w:r w:rsidRPr="00D142EA">
        <w:rPr>
          <w:rFonts w:eastAsia="Times New Roman" w:cs="Arial"/>
          <w:b/>
          <w:bCs/>
          <w:color w:val="000000"/>
          <w:lang w:eastAsia="bg-BG"/>
        </w:rPr>
        <w:t>/ден):</w:t>
      </w:r>
    </w:p>
    <w:p w14:paraId="7BAECD70"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Възможно е намаление на антихипертензивния ефект на индапамид.</w:t>
      </w:r>
    </w:p>
    <w:p w14:paraId="7C0C4509"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Съществува риск от остра бъбречна недостатъчност при дехидратирани пациенти (намалена гломерулна филтрация). Необходимо е адекватно хидратиране на пациента и мониториране на бъбречната функция в началото на лечението.</w:t>
      </w:r>
    </w:p>
    <w:p w14:paraId="1FE3A840" w14:textId="77777777" w:rsidR="00D142EA" w:rsidRPr="00D142EA" w:rsidRDefault="00D142EA" w:rsidP="00D142EA">
      <w:pPr>
        <w:spacing w:line="240" w:lineRule="auto"/>
        <w:rPr>
          <w:rFonts w:eastAsia="Times New Roman" w:cs="Arial"/>
          <w:b/>
          <w:bCs/>
          <w:color w:val="000000"/>
          <w:lang w:eastAsia="bg-BG"/>
        </w:rPr>
      </w:pPr>
    </w:p>
    <w:p w14:paraId="7DC15424" w14:textId="1C63132F"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Инхибитори на ангиотензин-конвертиращия ензим (АСЕ):</w:t>
      </w:r>
    </w:p>
    <w:p w14:paraId="7CC5DC3D"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В началото на терапията с индапамид и АСЕ инхибитори при наличието на предварително съществуваща загуба на натрий (особено при пациенти със стеноза на бъбречната артерия) съществува риск от внезапна хипотония и/или остра бъбречна недостатъчност.</w:t>
      </w:r>
    </w:p>
    <w:p w14:paraId="37E485A5" w14:textId="77777777" w:rsidR="00D142EA" w:rsidRPr="00D142EA" w:rsidRDefault="00D142EA" w:rsidP="00D142EA">
      <w:pPr>
        <w:spacing w:line="240" w:lineRule="auto"/>
        <w:rPr>
          <w:rFonts w:eastAsia="Times New Roman" w:cs="Arial"/>
          <w:i/>
          <w:iCs/>
          <w:color w:val="000000"/>
          <w:lang w:eastAsia="bg-BG"/>
        </w:rPr>
      </w:pPr>
    </w:p>
    <w:p w14:paraId="0F3D0EB7" w14:textId="77777777" w:rsidR="00D142EA" w:rsidRPr="00D142EA" w:rsidRDefault="00D142EA" w:rsidP="00D142EA">
      <w:pPr>
        <w:spacing w:line="240" w:lineRule="auto"/>
        <w:rPr>
          <w:rFonts w:eastAsia="Times New Roman" w:cs="Arial"/>
        </w:rPr>
      </w:pPr>
      <w:r w:rsidRPr="00D142EA">
        <w:rPr>
          <w:rFonts w:eastAsia="Times New Roman" w:cs="Arial"/>
          <w:i/>
          <w:iCs/>
          <w:color w:val="000000"/>
          <w:lang w:eastAsia="bg-BG"/>
        </w:rPr>
        <w:t>При хипертония,</w:t>
      </w:r>
      <w:r w:rsidRPr="00D142EA">
        <w:rPr>
          <w:rFonts w:eastAsia="Times New Roman" w:cs="Arial"/>
          <w:color w:val="000000"/>
          <w:lang w:eastAsia="bg-BG"/>
        </w:rPr>
        <w:t xml:space="preserve"> когато предишно лечение с диуретици е довело до загубата на натрий, е необходимо:</w:t>
      </w:r>
    </w:p>
    <w:p w14:paraId="25B0D28D" w14:textId="77777777" w:rsidR="00D142EA" w:rsidRPr="00D142EA" w:rsidRDefault="00D142EA" w:rsidP="00D142EA">
      <w:pPr>
        <w:pStyle w:val="ListParagraph"/>
        <w:numPr>
          <w:ilvl w:val="0"/>
          <w:numId w:val="40"/>
        </w:numPr>
        <w:spacing w:line="240" w:lineRule="auto"/>
        <w:rPr>
          <w:rFonts w:eastAsia="Times New Roman" w:cs="Arial"/>
        </w:rPr>
      </w:pPr>
      <w:r w:rsidRPr="00D142EA">
        <w:rPr>
          <w:rFonts w:eastAsia="Times New Roman" w:cs="Arial"/>
          <w:color w:val="000000"/>
          <w:lang w:eastAsia="bg-BG"/>
        </w:rPr>
        <w:t>или да се преустанови лечението с диуретика 3 дни преди започване на лечечението с АСЕ инхибитора и, ако е необходимо, да се започне отново хипокалиемичнич диуретик</w:t>
      </w:r>
    </w:p>
    <w:p w14:paraId="27C0B311" w14:textId="72E3BC04" w:rsidR="00D142EA" w:rsidRPr="00D142EA" w:rsidRDefault="00D142EA" w:rsidP="00D142EA">
      <w:pPr>
        <w:pStyle w:val="ListParagraph"/>
        <w:numPr>
          <w:ilvl w:val="0"/>
          <w:numId w:val="40"/>
        </w:numPr>
        <w:spacing w:line="240" w:lineRule="auto"/>
        <w:rPr>
          <w:rFonts w:eastAsia="Times New Roman" w:cs="Arial"/>
        </w:rPr>
      </w:pPr>
      <w:r w:rsidRPr="00D142EA">
        <w:rPr>
          <w:rFonts w:eastAsia="Times New Roman" w:cs="Arial"/>
          <w:color w:val="000000"/>
          <w:lang w:eastAsia="bg-BG"/>
        </w:rPr>
        <w:t>или да се дадат ниски начални дози на АСЕ инхибитора и дозата да се повишава постепенно.</w:t>
      </w:r>
    </w:p>
    <w:p w14:paraId="4F7A6BA9" w14:textId="77777777" w:rsidR="00D142EA" w:rsidRPr="00D142EA" w:rsidRDefault="00D142EA" w:rsidP="00D142EA">
      <w:pPr>
        <w:spacing w:line="240" w:lineRule="auto"/>
        <w:rPr>
          <w:rFonts w:eastAsia="Times New Roman" w:cs="Arial"/>
          <w:i/>
          <w:iCs/>
          <w:color w:val="000000"/>
          <w:lang w:eastAsia="bg-BG"/>
        </w:rPr>
      </w:pPr>
    </w:p>
    <w:p w14:paraId="26A26A9E" w14:textId="0B8A30AF" w:rsidR="00D142EA" w:rsidRPr="00D142EA" w:rsidRDefault="00D142EA" w:rsidP="00D142EA">
      <w:pPr>
        <w:spacing w:line="240" w:lineRule="auto"/>
        <w:rPr>
          <w:rFonts w:eastAsia="Times New Roman" w:cs="Arial"/>
        </w:rPr>
      </w:pPr>
      <w:r w:rsidRPr="00D142EA">
        <w:rPr>
          <w:rFonts w:eastAsia="Times New Roman" w:cs="Arial"/>
          <w:i/>
          <w:iCs/>
          <w:color w:val="000000"/>
          <w:lang w:eastAsia="bg-BG"/>
        </w:rPr>
        <w:t>При конгестивна сърдечна недостатъчност</w:t>
      </w:r>
      <w:r w:rsidRPr="00D142EA">
        <w:rPr>
          <w:rFonts w:eastAsia="Times New Roman" w:cs="Arial"/>
          <w:color w:val="000000"/>
          <w:lang w:eastAsia="bg-BG"/>
        </w:rPr>
        <w:t xml:space="preserve"> да се започне с много ниска доза на АСЕ инхибитора, по възможност след понижаване на дозата на съпътстващия хипокалиемичен диуретик.</w:t>
      </w:r>
    </w:p>
    <w:p w14:paraId="2B4E8E44" w14:textId="77777777" w:rsidR="00D142EA" w:rsidRPr="00D142EA" w:rsidRDefault="00D142EA" w:rsidP="00D142EA">
      <w:pPr>
        <w:spacing w:line="240" w:lineRule="auto"/>
        <w:rPr>
          <w:rFonts w:eastAsia="Times New Roman" w:cs="Arial"/>
          <w:color w:val="000000"/>
          <w:lang w:eastAsia="bg-BG"/>
        </w:rPr>
      </w:pPr>
    </w:p>
    <w:p w14:paraId="3FE10844" w14:textId="4D1B4C65" w:rsidR="00D142EA" w:rsidRPr="00D142EA" w:rsidRDefault="00D142EA" w:rsidP="00D142EA">
      <w:pPr>
        <w:spacing w:line="240" w:lineRule="auto"/>
        <w:rPr>
          <w:rFonts w:eastAsia="Times New Roman" w:cs="Arial"/>
        </w:rPr>
      </w:pPr>
      <w:r w:rsidRPr="00D142EA">
        <w:rPr>
          <w:rFonts w:eastAsia="Times New Roman" w:cs="Arial"/>
          <w:color w:val="000000"/>
          <w:lang w:eastAsia="bg-BG"/>
        </w:rPr>
        <w:t>Във всички случаи е необходимо да се наблюдава бъбречната функция (плазменият креатинин) по време на първите седмици от лечението с АСЕ инхибитори.</w:t>
      </w:r>
    </w:p>
    <w:p w14:paraId="40EFDDC3" w14:textId="77777777" w:rsidR="00D142EA" w:rsidRPr="00D142EA" w:rsidRDefault="00D142EA" w:rsidP="00D142EA">
      <w:pPr>
        <w:spacing w:line="240" w:lineRule="auto"/>
        <w:rPr>
          <w:rFonts w:eastAsia="Times New Roman" w:cs="Arial"/>
          <w:b/>
          <w:bCs/>
          <w:color w:val="000000"/>
          <w:lang w:eastAsia="bg-BG"/>
        </w:rPr>
      </w:pPr>
    </w:p>
    <w:p w14:paraId="3706DC84" w14:textId="2681142E"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 xml:space="preserve">Други продукти, предизвикващи хипокалиемия: амфотерицин В </w:t>
      </w:r>
      <w:r w:rsidRPr="00D142EA">
        <w:rPr>
          <w:rFonts w:eastAsia="Times New Roman" w:cs="Arial"/>
          <w:b/>
          <w:bCs/>
          <w:color w:val="000000"/>
          <w:lang w:val="ru-RU"/>
        </w:rPr>
        <w:t>(</w:t>
      </w:r>
      <w:proofErr w:type="spellStart"/>
      <w:r w:rsidRPr="00D142EA">
        <w:rPr>
          <w:rFonts w:eastAsia="Times New Roman" w:cs="Arial"/>
          <w:b/>
          <w:bCs/>
          <w:color w:val="000000"/>
          <w:lang w:val="en-US"/>
        </w:rPr>
        <w:t>i</w:t>
      </w:r>
      <w:proofErr w:type="spellEnd"/>
      <w:r w:rsidRPr="00D142EA">
        <w:rPr>
          <w:rFonts w:eastAsia="Times New Roman" w:cs="Arial"/>
          <w:b/>
          <w:bCs/>
          <w:color w:val="000000"/>
          <w:lang w:val="ru-RU"/>
        </w:rPr>
        <w:t>.</w:t>
      </w:r>
      <w:r w:rsidRPr="00D142EA">
        <w:rPr>
          <w:rFonts w:eastAsia="Times New Roman" w:cs="Arial"/>
          <w:b/>
          <w:bCs/>
          <w:color w:val="000000"/>
          <w:lang w:val="en-US"/>
        </w:rPr>
        <w:t>v</w:t>
      </w:r>
      <w:r w:rsidRPr="00D142EA">
        <w:rPr>
          <w:rFonts w:eastAsia="Times New Roman" w:cs="Arial"/>
          <w:b/>
          <w:bCs/>
          <w:color w:val="000000"/>
          <w:lang w:val="ru-RU"/>
        </w:rPr>
        <w:t xml:space="preserve">.), </w:t>
      </w:r>
      <w:r w:rsidRPr="00D142EA">
        <w:rPr>
          <w:rFonts w:eastAsia="Times New Roman" w:cs="Arial"/>
          <w:b/>
          <w:bCs/>
          <w:color w:val="000000"/>
          <w:lang w:eastAsia="bg-BG"/>
        </w:rPr>
        <w:t>глюко- и минералкортикоиди (системни), тетракозактид, стимулиращи лаксативи:</w:t>
      </w:r>
    </w:p>
    <w:p w14:paraId="1D467631"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Повишава се рискът от хипокалиемия (адитивен ефект).</w:t>
      </w:r>
    </w:p>
    <w:p w14:paraId="23CA4C2E" w14:textId="77777777" w:rsidR="00D142EA" w:rsidRPr="00D142EA" w:rsidRDefault="00D142EA" w:rsidP="00D142EA">
      <w:pPr>
        <w:spacing w:line="240" w:lineRule="auto"/>
        <w:rPr>
          <w:rFonts w:eastAsia="Times New Roman" w:cs="Arial"/>
          <w:color w:val="000000"/>
          <w:lang w:eastAsia="bg-BG"/>
        </w:rPr>
      </w:pPr>
    </w:p>
    <w:p w14:paraId="3330FF28" w14:textId="6A218A7A" w:rsidR="00D142EA" w:rsidRPr="00D142EA" w:rsidRDefault="00D142EA" w:rsidP="00D142EA">
      <w:pPr>
        <w:spacing w:line="240" w:lineRule="auto"/>
        <w:rPr>
          <w:rFonts w:eastAsia="Times New Roman" w:cs="Arial"/>
        </w:rPr>
      </w:pPr>
      <w:r w:rsidRPr="00D142EA">
        <w:rPr>
          <w:rFonts w:eastAsia="Times New Roman" w:cs="Arial"/>
          <w:color w:val="000000"/>
          <w:lang w:eastAsia="bg-BG"/>
        </w:rPr>
        <w:t>Серумният калий се наблюдава и ако се налага се коригира. Това трябва да се има предвид при съпътстващо дигиталисово лечение. Да се използват нестимулиращи лаксативи.</w:t>
      </w:r>
    </w:p>
    <w:p w14:paraId="4EF00CA2" w14:textId="77777777" w:rsidR="00D142EA" w:rsidRPr="00D142EA" w:rsidRDefault="00D142EA" w:rsidP="00D142EA">
      <w:pPr>
        <w:spacing w:line="240" w:lineRule="auto"/>
        <w:rPr>
          <w:rFonts w:eastAsia="Times New Roman" w:cs="Arial"/>
          <w:b/>
          <w:bCs/>
          <w:color w:val="000000"/>
          <w:lang w:eastAsia="bg-BG"/>
        </w:rPr>
      </w:pPr>
    </w:p>
    <w:p w14:paraId="79B974B3" w14:textId="7FB49CCB"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Баклофен:</w:t>
      </w:r>
    </w:p>
    <w:p w14:paraId="5ABEE8B1"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Повишава се антихипертензивният ефект.</w:t>
      </w:r>
    </w:p>
    <w:p w14:paraId="68F1BD44"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Преди началото на лечението е необходимо адекватно хидратиране на пациента и мониториране на бъбречната функция.</w:t>
      </w:r>
    </w:p>
    <w:p w14:paraId="02FB985F" w14:textId="77777777" w:rsidR="00D142EA" w:rsidRPr="00D142EA" w:rsidRDefault="00D142EA" w:rsidP="00D142EA">
      <w:pPr>
        <w:spacing w:line="240" w:lineRule="auto"/>
        <w:rPr>
          <w:rFonts w:eastAsia="Times New Roman" w:cs="Arial"/>
          <w:b/>
          <w:bCs/>
          <w:color w:val="000000"/>
          <w:lang w:eastAsia="bg-BG"/>
        </w:rPr>
      </w:pPr>
    </w:p>
    <w:p w14:paraId="1CF6DA48" w14:textId="22D93CBB"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Дигиталисови продукти:</w:t>
      </w:r>
    </w:p>
    <w:p w14:paraId="4520CA4E"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 xml:space="preserve">Хипокалиемията </w:t>
      </w:r>
      <w:r w:rsidRPr="00D142EA">
        <w:rPr>
          <w:rFonts w:eastAsia="Times New Roman" w:cs="Arial"/>
          <w:b/>
          <w:bCs/>
          <w:color w:val="000000"/>
          <w:u w:val="single"/>
          <w:lang w:eastAsia="bg-BG"/>
        </w:rPr>
        <w:t>и/или хипомагнезиемията</w:t>
      </w:r>
      <w:r w:rsidRPr="00D142EA">
        <w:rPr>
          <w:rFonts w:eastAsia="Times New Roman" w:cs="Arial"/>
          <w:b/>
          <w:bCs/>
          <w:color w:val="000000"/>
          <w:lang w:eastAsia="bg-BG"/>
        </w:rPr>
        <w:t xml:space="preserve"> </w:t>
      </w:r>
      <w:r w:rsidRPr="00D142EA">
        <w:rPr>
          <w:rFonts w:eastAsia="Times New Roman" w:cs="Arial"/>
          <w:color w:val="000000"/>
          <w:lang w:eastAsia="bg-BG"/>
        </w:rPr>
        <w:t>предразполагат към дигиталисова токсичност.</w:t>
      </w:r>
    </w:p>
    <w:p w14:paraId="15FDFD7C"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lastRenderedPageBreak/>
        <w:t>Препоръчва се да се проследяват плазмения калий, магнезий и ЕКГ и, ако е необходимо, лечението да бъде коригирано.</w:t>
      </w:r>
    </w:p>
    <w:p w14:paraId="70BC77A7" w14:textId="77777777" w:rsidR="00D142EA" w:rsidRPr="00D142EA" w:rsidRDefault="00D142EA" w:rsidP="00D142EA">
      <w:pPr>
        <w:spacing w:line="240" w:lineRule="auto"/>
        <w:rPr>
          <w:rFonts w:eastAsia="Times New Roman" w:cs="Arial"/>
          <w:color w:val="000000"/>
          <w:u w:val="single"/>
          <w:lang w:eastAsia="bg-BG"/>
        </w:rPr>
      </w:pPr>
    </w:p>
    <w:p w14:paraId="4BF24E25" w14:textId="09111E1A" w:rsidR="00D142EA" w:rsidRPr="00D142EA" w:rsidRDefault="00D142EA" w:rsidP="00D142EA">
      <w:pPr>
        <w:spacing w:line="240" w:lineRule="auto"/>
        <w:rPr>
          <w:rFonts w:eastAsia="Times New Roman" w:cs="Arial"/>
        </w:rPr>
      </w:pPr>
      <w:r w:rsidRPr="00D142EA">
        <w:rPr>
          <w:rFonts w:eastAsia="Times New Roman" w:cs="Arial"/>
          <w:color w:val="000000"/>
          <w:u w:val="single"/>
          <w:lang w:eastAsia="bg-BG"/>
        </w:rPr>
        <w:t>Комбинации, изискващи специално внимание:</w:t>
      </w:r>
    </w:p>
    <w:p w14:paraId="0C606D37" w14:textId="77777777" w:rsidR="00D142EA" w:rsidRPr="00D142EA" w:rsidRDefault="00D142EA" w:rsidP="00D142EA">
      <w:pPr>
        <w:spacing w:line="240" w:lineRule="auto"/>
        <w:rPr>
          <w:rFonts w:eastAsia="Times New Roman" w:cs="Arial"/>
          <w:b/>
          <w:bCs/>
          <w:color w:val="000000"/>
          <w:lang w:eastAsia="bg-BG"/>
        </w:rPr>
      </w:pPr>
    </w:p>
    <w:p w14:paraId="29ACC1F3" w14:textId="094738F3"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Алопуринол</w:t>
      </w:r>
    </w:p>
    <w:p w14:paraId="63995F51"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Едновременното лечение с индапамид може да увеличи случаите на реакции на свръхчувствителност към алопуринол.</w:t>
      </w:r>
    </w:p>
    <w:p w14:paraId="492456E0" w14:textId="77777777" w:rsidR="00D142EA" w:rsidRPr="00D142EA" w:rsidRDefault="00D142EA" w:rsidP="00D142EA">
      <w:pPr>
        <w:spacing w:line="240" w:lineRule="auto"/>
        <w:rPr>
          <w:rFonts w:eastAsia="Times New Roman" w:cs="Arial"/>
          <w:color w:val="000000"/>
          <w:u w:val="single"/>
          <w:lang w:eastAsia="bg-BG"/>
        </w:rPr>
      </w:pPr>
    </w:p>
    <w:p w14:paraId="0DEA90AD" w14:textId="75C6E958" w:rsidR="00D142EA" w:rsidRPr="00D142EA" w:rsidRDefault="00D142EA" w:rsidP="00D142EA">
      <w:pPr>
        <w:spacing w:line="240" w:lineRule="auto"/>
        <w:rPr>
          <w:rFonts w:eastAsia="Times New Roman" w:cs="Arial"/>
        </w:rPr>
      </w:pPr>
      <w:r w:rsidRPr="00D142EA">
        <w:rPr>
          <w:rFonts w:eastAsia="Times New Roman" w:cs="Arial"/>
          <w:color w:val="000000"/>
          <w:u w:val="single"/>
          <w:lang w:eastAsia="bg-BG"/>
        </w:rPr>
        <w:t>Комбинации, които трябва да се вземат под внимание:</w:t>
      </w:r>
    </w:p>
    <w:p w14:paraId="7EB56413" w14:textId="77777777" w:rsidR="00D142EA" w:rsidRPr="00D142EA" w:rsidRDefault="00D142EA" w:rsidP="00D142EA">
      <w:pPr>
        <w:spacing w:line="240" w:lineRule="auto"/>
        <w:rPr>
          <w:rFonts w:eastAsia="Times New Roman" w:cs="Arial"/>
          <w:b/>
          <w:bCs/>
          <w:color w:val="000000"/>
          <w:lang w:eastAsia="bg-BG"/>
        </w:rPr>
      </w:pPr>
    </w:p>
    <w:p w14:paraId="7ABD060D" w14:textId="6AF2C67C"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Калий-съхраняващи диуретици (амилорид, спироноляктон, триамтерен):</w:t>
      </w:r>
    </w:p>
    <w:p w14:paraId="409E0C52"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Въпреки, че подобни рационални комбинации са полезни при някои пациенти, хипокалиемия (особено при пациенти с диабет или с бъбречна недостатъчност) или хиперкалиемия все пак могат да настъпят. Трябва да се наблюдават серумния калий и ЕКГ и при необходимост да се преразгледа лечението.</w:t>
      </w:r>
    </w:p>
    <w:p w14:paraId="4E95A78E" w14:textId="77777777" w:rsidR="00D142EA" w:rsidRPr="00D142EA" w:rsidRDefault="00D142EA" w:rsidP="00D142EA">
      <w:pPr>
        <w:spacing w:line="240" w:lineRule="auto"/>
        <w:rPr>
          <w:rFonts w:eastAsia="Times New Roman" w:cs="Arial"/>
          <w:b/>
          <w:bCs/>
          <w:color w:val="000000"/>
          <w:lang w:eastAsia="bg-BG"/>
        </w:rPr>
      </w:pPr>
    </w:p>
    <w:p w14:paraId="0A4B7956" w14:textId="0FCD35CD"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Метформин:</w:t>
      </w:r>
    </w:p>
    <w:p w14:paraId="0C7AA007"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 xml:space="preserve">Съществува повишен риск от метформин предизвикана лактатна ацидоза, поради възможна функционална бъбречна недостатъчност, свързана с диуретиците и по-специално с бримковите диуретици. Да не се използва метформин, когато плазменият креатинин превишава 15 </w:t>
      </w:r>
      <w:r w:rsidRPr="00D142EA">
        <w:rPr>
          <w:rFonts w:eastAsia="Times New Roman" w:cs="Arial"/>
          <w:color w:val="000000"/>
          <w:lang w:val="en-US"/>
        </w:rPr>
        <w:t>mg</w:t>
      </w:r>
      <w:r w:rsidRPr="00D142EA">
        <w:rPr>
          <w:rFonts w:eastAsia="Times New Roman" w:cs="Arial"/>
          <w:color w:val="000000"/>
          <w:lang w:val="ru-RU"/>
        </w:rPr>
        <w:t xml:space="preserve">/1 </w:t>
      </w:r>
      <w:r w:rsidRPr="00D142EA">
        <w:rPr>
          <w:rFonts w:eastAsia="Times New Roman" w:cs="Arial"/>
          <w:color w:val="000000"/>
          <w:lang w:eastAsia="bg-BG"/>
        </w:rPr>
        <w:t>(135 μ</w:t>
      </w:r>
      <w:r w:rsidRPr="00D142EA">
        <w:rPr>
          <w:rFonts w:eastAsia="Times New Roman" w:cs="Arial"/>
          <w:color w:val="000000"/>
          <w:lang w:val="en-US"/>
        </w:rPr>
        <w:t>m</w:t>
      </w:r>
      <w:r w:rsidRPr="00D142EA">
        <w:rPr>
          <w:rFonts w:eastAsia="Times New Roman" w:cs="Arial"/>
          <w:color w:val="000000"/>
          <w:lang w:eastAsia="bg-BG"/>
        </w:rPr>
        <w:t>о</w:t>
      </w:r>
      <w:r w:rsidRPr="00D142EA">
        <w:rPr>
          <w:rFonts w:eastAsia="Times New Roman" w:cs="Arial"/>
          <w:color w:val="000000"/>
          <w:lang w:val="en-US"/>
        </w:rPr>
        <w:t>l</w:t>
      </w:r>
      <w:r w:rsidRPr="00D142EA">
        <w:rPr>
          <w:rFonts w:eastAsia="Times New Roman" w:cs="Arial"/>
          <w:color w:val="000000"/>
          <w:lang w:val="ru-RU"/>
        </w:rPr>
        <w:t>/</w:t>
      </w:r>
      <w:r w:rsidRPr="00D142EA">
        <w:rPr>
          <w:rFonts w:eastAsia="Times New Roman" w:cs="Arial"/>
          <w:color w:val="000000"/>
          <w:lang w:val="en-US"/>
        </w:rPr>
        <w:t>l</w:t>
      </w:r>
      <w:r w:rsidRPr="00D142EA">
        <w:rPr>
          <w:rFonts w:eastAsia="Times New Roman" w:cs="Arial"/>
          <w:color w:val="000000"/>
          <w:lang w:eastAsia="bg-BG"/>
        </w:rPr>
        <w:t xml:space="preserve">) при мъже и 12 </w:t>
      </w:r>
      <w:r w:rsidRPr="00D142EA">
        <w:rPr>
          <w:rFonts w:eastAsia="Times New Roman" w:cs="Arial"/>
          <w:color w:val="000000"/>
          <w:lang w:val="en-US"/>
        </w:rPr>
        <w:t>mg</w:t>
      </w:r>
      <w:r w:rsidRPr="00D142EA">
        <w:rPr>
          <w:rFonts w:eastAsia="Times New Roman" w:cs="Arial"/>
          <w:color w:val="000000"/>
          <w:lang w:val="ru-RU"/>
        </w:rPr>
        <w:t xml:space="preserve">/1 </w:t>
      </w:r>
      <w:r w:rsidRPr="00D142EA">
        <w:rPr>
          <w:rFonts w:eastAsia="Times New Roman" w:cs="Arial"/>
          <w:color w:val="000000"/>
          <w:lang w:eastAsia="bg-BG"/>
        </w:rPr>
        <w:t>(110 μ</w:t>
      </w:r>
      <w:proofErr w:type="spellStart"/>
      <w:r w:rsidRPr="00D142EA">
        <w:rPr>
          <w:rFonts w:eastAsia="Times New Roman" w:cs="Arial"/>
          <w:color w:val="000000"/>
          <w:lang w:val="en-US"/>
        </w:rPr>
        <w:t>mol</w:t>
      </w:r>
      <w:proofErr w:type="spellEnd"/>
      <w:r w:rsidRPr="00D142EA">
        <w:rPr>
          <w:rFonts w:eastAsia="Times New Roman" w:cs="Arial"/>
          <w:color w:val="000000"/>
          <w:lang w:val="ru-RU"/>
        </w:rPr>
        <w:t>/</w:t>
      </w:r>
      <w:r w:rsidRPr="00D142EA">
        <w:rPr>
          <w:rFonts w:eastAsia="Times New Roman" w:cs="Arial"/>
          <w:color w:val="000000"/>
          <w:lang w:val="en-US"/>
        </w:rPr>
        <w:t>l</w:t>
      </w:r>
      <w:r w:rsidRPr="00D142EA">
        <w:rPr>
          <w:rFonts w:eastAsia="Times New Roman" w:cs="Arial"/>
          <w:color w:val="000000"/>
          <w:lang w:val="ru-RU"/>
        </w:rPr>
        <w:t xml:space="preserve">) </w:t>
      </w:r>
      <w:r w:rsidRPr="00D142EA">
        <w:rPr>
          <w:rFonts w:eastAsia="Times New Roman" w:cs="Arial"/>
          <w:color w:val="000000"/>
          <w:lang w:eastAsia="bg-BG"/>
        </w:rPr>
        <w:t>при жени.</w:t>
      </w:r>
    </w:p>
    <w:p w14:paraId="4E87F68A" w14:textId="77777777" w:rsidR="00D142EA" w:rsidRPr="00D142EA" w:rsidRDefault="00D142EA" w:rsidP="00D142EA">
      <w:pPr>
        <w:spacing w:line="240" w:lineRule="auto"/>
        <w:rPr>
          <w:rFonts w:eastAsia="Times New Roman" w:cs="Arial"/>
          <w:b/>
          <w:bCs/>
          <w:color w:val="000000"/>
          <w:lang w:eastAsia="bg-BG"/>
        </w:rPr>
      </w:pPr>
    </w:p>
    <w:p w14:paraId="5759E078" w14:textId="5E49C142"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Йодирани контрастни вещества:</w:t>
      </w:r>
    </w:p>
    <w:p w14:paraId="2E0530B7" w14:textId="5109E5BF" w:rsidR="00D142EA" w:rsidRPr="00D142EA" w:rsidRDefault="00D142EA" w:rsidP="00D142EA">
      <w:pPr>
        <w:spacing w:line="240" w:lineRule="auto"/>
        <w:rPr>
          <w:rFonts w:eastAsia="Times New Roman" w:cs="Arial"/>
          <w:color w:val="000000"/>
          <w:lang w:eastAsia="bg-BG"/>
        </w:rPr>
      </w:pPr>
      <w:r w:rsidRPr="00D142EA">
        <w:rPr>
          <w:rFonts w:eastAsia="Times New Roman" w:cs="Arial"/>
          <w:color w:val="000000"/>
          <w:lang w:eastAsia="bg-BG"/>
        </w:rPr>
        <w:t>При наличието на дехидратация, причинена от диуретици, съществува повишен риск от остра бъбречна недостатъчност, особено когато се използват високи дози йодирани контрастни вещества. Преди въвеждането на йодирани съединения е необходима рехидратация.</w:t>
      </w:r>
    </w:p>
    <w:p w14:paraId="03BFB385" w14:textId="6C56B4B4" w:rsidR="00D142EA" w:rsidRPr="00D142EA" w:rsidRDefault="00D142EA" w:rsidP="00D142EA">
      <w:pPr>
        <w:spacing w:line="240" w:lineRule="auto"/>
        <w:rPr>
          <w:rFonts w:eastAsia="Times New Roman" w:cs="Arial"/>
          <w:color w:val="000000"/>
          <w:lang w:eastAsia="bg-BG"/>
        </w:rPr>
      </w:pPr>
    </w:p>
    <w:p w14:paraId="17D6729A" w14:textId="77777777"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Имипр</w:t>
      </w:r>
      <w:r w:rsidRPr="00D142EA">
        <w:rPr>
          <w:rFonts w:eastAsia="Times New Roman" w:cs="Arial"/>
          <w:b/>
          <w:bCs/>
          <w:color w:val="000000"/>
          <w:lang w:val="en-US"/>
        </w:rPr>
        <w:t>a</w:t>
      </w:r>
      <w:r w:rsidRPr="00D142EA">
        <w:rPr>
          <w:rFonts w:eastAsia="Times New Roman" w:cs="Arial"/>
          <w:b/>
          <w:bCs/>
          <w:color w:val="000000"/>
          <w:lang w:eastAsia="bg-BG"/>
        </w:rPr>
        <w:t>мин-подобни антидепресанти, невролептици:</w:t>
      </w:r>
    </w:p>
    <w:p w14:paraId="18F74BFC"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Вследствие на адитивно действие антихипертензивният ефект може да се повиши значимо и съществува риск от ортостатична хипотония.</w:t>
      </w:r>
    </w:p>
    <w:p w14:paraId="0E310F3A" w14:textId="77777777" w:rsidR="00D142EA" w:rsidRPr="00D142EA" w:rsidRDefault="00D142EA" w:rsidP="00D142EA">
      <w:pPr>
        <w:spacing w:line="240" w:lineRule="auto"/>
        <w:rPr>
          <w:rFonts w:eastAsia="Times New Roman" w:cs="Arial"/>
          <w:b/>
          <w:bCs/>
          <w:color w:val="000000"/>
          <w:lang w:eastAsia="bg-BG"/>
        </w:rPr>
      </w:pPr>
    </w:p>
    <w:p w14:paraId="622AD00F" w14:textId="5E5C18D2"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Калций (вкл. соли):</w:t>
      </w:r>
    </w:p>
    <w:p w14:paraId="1F7CB8EA"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Поради намалено елиминиране на калций с урината е възможна поява на хиперкалциемия.</w:t>
      </w:r>
    </w:p>
    <w:p w14:paraId="2D22FE5A" w14:textId="77777777" w:rsidR="00D142EA" w:rsidRPr="00D142EA" w:rsidRDefault="00D142EA" w:rsidP="00D142EA">
      <w:pPr>
        <w:spacing w:line="240" w:lineRule="auto"/>
        <w:rPr>
          <w:rFonts w:eastAsia="Times New Roman" w:cs="Arial"/>
          <w:b/>
          <w:bCs/>
          <w:color w:val="000000"/>
          <w:lang w:eastAsia="bg-BG"/>
        </w:rPr>
      </w:pPr>
    </w:p>
    <w:p w14:paraId="0ECEA28E" w14:textId="0B21DCDF"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Циклоспорин, такролимус:</w:t>
      </w:r>
    </w:p>
    <w:p w14:paraId="283EE83F"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Съществува риск от повишени стойности на креатинин в плазмата, без никакви промени в стойностите на циклоспорин, независимо от наличните загуби на вода/електролити.</w:t>
      </w:r>
    </w:p>
    <w:p w14:paraId="20CA0FBC" w14:textId="77777777" w:rsidR="00D142EA" w:rsidRPr="00D142EA" w:rsidRDefault="00D142EA" w:rsidP="00D142EA">
      <w:pPr>
        <w:spacing w:line="240" w:lineRule="auto"/>
        <w:rPr>
          <w:rFonts w:eastAsia="Times New Roman" w:cs="Arial"/>
          <w:b/>
          <w:bCs/>
          <w:color w:val="000000"/>
          <w:lang w:eastAsia="bg-BG"/>
        </w:rPr>
      </w:pPr>
    </w:p>
    <w:p w14:paraId="10607761" w14:textId="32848409"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Кортикостероиди, тетракозактид (системно приложение):</w:t>
      </w:r>
    </w:p>
    <w:p w14:paraId="5FD08A72"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Може да се наблюдава понижен антихипертензивен ефект вследствие на задържане на вода и натрий поради действието на кортикостероидите.</w:t>
      </w:r>
    </w:p>
    <w:p w14:paraId="43D8E350" w14:textId="72955ED5" w:rsidR="00D142EA" w:rsidRPr="00D142EA" w:rsidRDefault="00D142EA" w:rsidP="00D142EA">
      <w:pPr>
        <w:spacing w:line="240" w:lineRule="auto"/>
        <w:rPr>
          <w:rFonts w:ascii="Times New Roman" w:eastAsia="Times New Roman" w:hAnsi="Times New Roman" w:cs="Times New Roman"/>
          <w:sz w:val="24"/>
          <w:szCs w:val="24"/>
        </w:rPr>
      </w:pPr>
    </w:p>
    <w:p w14:paraId="5D9F40EA" w14:textId="7E1025F6" w:rsidR="007122AD" w:rsidRDefault="002C50EE" w:rsidP="00936AD0">
      <w:pPr>
        <w:pStyle w:val="Heading2"/>
      </w:pPr>
      <w:r>
        <w:t>4.6. Фертилитет, бременност и кърмене</w:t>
      </w:r>
    </w:p>
    <w:p w14:paraId="4C8D48BA" w14:textId="632BD2DF" w:rsidR="00D142EA" w:rsidRDefault="00D142EA" w:rsidP="00D142EA"/>
    <w:p w14:paraId="1577F0BA" w14:textId="77777777" w:rsidR="00D142EA" w:rsidRPr="00D142EA" w:rsidRDefault="00D142EA" w:rsidP="00D142EA">
      <w:pPr>
        <w:pStyle w:val="Heading3"/>
        <w:rPr>
          <w:rFonts w:eastAsia="Times New Roman"/>
          <w:sz w:val="28"/>
          <w:u w:val="single"/>
        </w:rPr>
      </w:pPr>
      <w:r w:rsidRPr="00D142EA">
        <w:rPr>
          <w:rFonts w:eastAsia="Times New Roman"/>
          <w:u w:val="single"/>
          <w:lang w:eastAsia="bg-BG"/>
        </w:rPr>
        <w:t>Бременност</w:t>
      </w:r>
    </w:p>
    <w:p w14:paraId="355ADE65"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При бременни жени трябва да се избягва прилагането на диуретици и те не трябва да се използват за лечение на физиологичен едем на бременността.</w:t>
      </w:r>
    </w:p>
    <w:p w14:paraId="4376EFD9" w14:textId="77777777" w:rsidR="00D142EA" w:rsidRPr="00D142EA" w:rsidRDefault="00D142EA" w:rsidP="00D142EA">
      <w:pPr>
        <w:spacing w:line="240" w:lineRule="auto"/>
        <w:rPr>
          <w:rFonts w:eastAsia="Times New Roman" w:cs="Arial"/>
          <w:color w:val="000000"/>
          <w:szCs w:val="20"/>
          <w:lang w:eastAsia="bg-BG"/>
        </w:rPr>
      </w:pPr>
    </w:p>
    <w:p w14:paraId="7A12A5D3" w14:textId="0C4EBB5F"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Липсват или има ограничени данни (за изхода при по-малко от 300 случая на бременност) за употреба на индапамид при бременни жени. Продължителната експозиция на тиазиди през третия триместър от бременността може да намали обема на плазмата в майчиния организъм, както и утероплацентарното кръвообращение, което може да причини фетоплацентарна исхемия и забавяне на феталния растеж.</w:t>
      </w:r>
    </w:p>
    <w:p w14:paraId="38708763"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Като предпазна мярка се препоръчва употребата на индапамид по време на бременност да се избягва.</w:t>
      </w:r>
    </w:p>
    <w:p w14:paraId="4C707BEB" w14:textId="77777777" w:rsidR="00D142EA" w:rsidRPr="00D142EA" w:rsidRDefault="00D142EA" w:rsidP="00D142EA">
      <w:pPr>
        <w:spacing w:line="240" w:lineRule="auto"/>
        <w:rPr>
          <w:rFonts w:eastAsia="Times New Roman" w:cs="Arial"/>
          <w:color w:val="000000"/>
          <w:szCs w:val="20"/>
          <w:u w:val="single"/>
          <w:lang w:eastAsia="bg-BG"/>
        </w:rPr>
      </w:pPr>
    </w:p>
    <w:p w14:paraId="5006C4FE" w14:textId="44DC247C" w:rsidR="00D142EA" w:rsidRPr="00D142EA" w:rsidRDefault="00D142EA" w:rsidP="00D142EA">
      <w:pPr>
        <w:pStyle w:val="Heading3"/>
        <w:rPr>
          <w:rFonts w:eastAsia="Times New Roman"/>
          <w:sz w:val="28"/>
          <w:u w:val="single"/>
        </w:rPr>
      </w:pPr>
      <w:r w:rsidRPr="00D142EA">
        <w:rPr>
          <w:rFonts w:eastAsia="Times New Roman"/>
          <w:u w:val="single"/>
          <w:lang w:eastAsia="bg-BG"/>
        </w:rPr>
        <w:t>Кърмене</w:t>
      </w:r>
    </w:p>
    <w:p w14:paraId="2EC030EC"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Има недостатъчна информация за екскрецията на индапамид/метаболитите в кърмата. Могат да се появят свръхчувствителност към сулфонамид производните и хипокалиемия.</w:t>
      </w:r>
    </w:p>
    <w:p w14:paraId="1E218FC0"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Не може да се изключи риск за новороденото/кърмачето, поради което употребата на индапамид по време на кърмене не се препоръчва.</w:t>
      </w:r>
    </w:p>
    <w:p w14:paraId="71957045" w14:textId="77777777" w:rsidR="00D142EA" w:rsidRPr="00D142EA" w:rsidRDefault="00D142EA" w:rsidP="00D142EA">
      <w:pPr>
        <w:spacing w:line="240" w:lineRule="auto"/>
        <w:rPr>
          <w:rFonts w:eastAsia="Times New Roman" w:cs="Arial"/>
          <w:color w:val="000000"/>
          <w:szCs w:val="20"/>
          <w:lang w:eastAsia="bg-BG"/>
        </w:rPr>
      </w:pPr>
    </w:p>
    <w:p w14:paraId="08946D34" w14:textId="124EBC2B"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Индапамид има голямо сходство с тиазидните диуретици, които по време на кърменето се асоциират с намаляване или дори преустановяване на отделянето на кърма.</w:t>
      </w:r>
    </w:p>
    <w:p w14:paraId="7A4A41C7" w14:textId="77777777" w:rsidR="00D142EA" w:rsidRPr="00D142EA" w:rsidRDefault="00D142EA" w:rsidP="00D142EA">
      <w:pPr>
        <w:spacing w:line="240" w:lineRule="auto"/>
        <w:rPr>
          <w:rFonts w:eastAsia="Times New Roman" w:cs="Arial"/>
          <w:color w:val="000000"/>
          <w:szCs w:val="20"/>
          <w:u w:val="single"/>
          <w:lang w:eastAsia="bg-BG"/>
        </w:rPr>
      </w:pPr>
    </w:p>
    <w:p w14:paraId="412E1D10" w14:textId="0D00FF2E" w:rsidR="00D142EA" w:rsidRPr="00D142EA" w:rsidRDefault="00D142EA" w:rsidP="00D142EA">
      <w:pPr>
        <w:pStyle w:val="Heading3"/>
        <w:rPr>
          <w:rFonts w:eastAsia="Times New Roman"/>
          <w:sz w:val="28"/>
          <w:u w:val="single"/>
        </w:rPr>
      </w:pPr>
      <w:r w:rsidRPr="00D142EA">
        <w:rPr>
          <w:rFonts w:eastAsia="Times New Roman"/>
          <w:u w:val="single"/>
          <w:lang w:eastAsia="bg-BG"/>
        </w:rPr>
        <w:t>Фертилитет</w:t>
      </w:r>
    </w:p>
    <w:p w14:paraId="0414BD8A" w14:textId="0DCA66BB" w:rsidR="00D142EA" w:rsidRPr="00D142EA" w:rsidRDefault="00D142EA" w:rsidP="00D142EA">
      <w:pPr>
        <w:rPr>
          <w:rFonts w:eastAsia="Times New Roman" w:cs="Arial"/>
          <w:color w:val="000000"/>
          <w:szCs w:val="20"/>
          <w:lang w:eastAsia="bg-BG"/>
        </w:rPr>
      </w:pPr>
      <w:r w:rsidRPr="00D142EA">
        <w:rPr>
          <w:rFonts w:eastAsia="Times New Roman" w:cs="Arial"/>
          <w:color w:val="000000"/>
          <w:szCs w:val="20"/>
          <w:lang w:eastAsia="bg-BG"/>
        </w:rPr>
        <w:t>Проучванията за репродуктивна токсичност не показват ефект върху фертилитета при мъжки и женски плъхове (вж. точка 5.3). Не се очакват ефекти върху фертилитета при хора.</w:t>
      </w:r>
    </w:p>
    <w:p w14:paraId="28D3DC17" w14:textId="77777777" w:rsidR="00D142EA" w:rsidRPr="00D142EA" w:rsidRDefault="00D142EA" w:rsidP="00D142EA"/>
    <w:p w14:paraId="5DD7A76D" w14:textId="6BEBA09D" w:rsidR="007122AD" w:rsidRDefault="002C50EE" w:rsidP="00936AD0">
      <w:pPr>
        <w:pStyle w:val="Heading2"/>
      </w:pPr>
      <w:r>
        <w:t>4.7. Ефекти върху способността за шофиране и работа с машини</w:t>
      </w:r>
    </w:p>
    <w:p w14:paraId="497D8C43" w14:textId="707ACF76" w:rsidR="00D142EA" w:rsidRDefault="00D142EA" w:rsidP="00D142EA"/>
    <w:p w14:paraId="22432C93" w14:textId="77777777" w:rsidR="00D142EA" w:rsidRPr="00D142EA" w:rsidRDefault="00D142EA" w:rsidP="00D142EA">
      <w:pPr>
        <w:rPr>
          <w:sz w:val="24"/>
          <w:szCs w:val="24"/>
        </w:rPr>
      </w:pPr>
      <w:r w:rsidRPr="00D142EA">
        <w:rPr>
          <w:lang w:eastAsia="bg-BG"/>
        </w:rPr>
        <w:t>Индапамид оказва незначително или умерено влияние върху способността за шофиране и работа с машини. Индапамид не засяга бдителност. Въпреки това, в отделни случаи хипотензивният ефект може да окаже влияние върху способността на пациента да шофира и да работи с машини, особено в началото на лечението или когато се добавя друго а</w:t>
      </w:r>
      <w:r w:rsidRPr="00D142EA">
        <w:rPr>
          <w:lang w:val="en-US"/>
        </w:rPr>
        <w:t>n</w:t>
      </w:r>
      <w:r w:rsidRPr="00D142EA">
        <w:rPr>
          <w:lang w:eastAsia="bg-BG"/>
        </w:rPr>
        <w:t>тихипертензивно средство.</w:t>
      </w:r>
    </w:p>
    <w:p w14:paraId="3275DC00" w14:textId="77777777" w:rsidR="00D142EA" w:rsidRPr="00D142EA" w:rsidRDefault="00D142EA" w:rsidP="00D142EA"/>
    <w:p w14:paraId="44CE30A3" w14:textId="0611BE4D" w:rsidR="007122AD" w:rsidRDefault="002C50EE" w:rsidP="00936AD0">
      <w:pPr>
        <w:pStyle w:val="Heading2"/>
      </w:pPr>
      <w:r>
        <w:t>4.8. Нежелани лекарствени реакции</w:t>
      </w:r>
    </w:p>
    <w:p w14:paraId="71BE3A9B" w14:textId="29DB33B6" w:rsidR="00D142EA" w:rsidRDefault="00D142EA" w:rsidP="00D142EA"/>
    <w:p w14:paraId="520CFA7D" w14:textId="77777777" w:rsidR="00D142EA" w:rsidRPr="00D142EA" w:rsidRDefault="00D142EA" w:rsidP="00D142EA">
      <w:pPr>
        <w:spacing w:line="240" w:lineRule="auto"/>
        <w:rPr>
          <w:rFonts w:eastAsia="Times New Roman" w:cs="Arial"/>
          <w:sz w:val="28"/>
          <w:szCs w:val="24"/>
        </w:rPr>
      </w:pPr>
      <w:r w:rsidRPr="00D142EA">
        <w:rPr>
          <w:rFonts w:eastAsia="Times New Roman" w:cs="Arial"/>
          <w:b/>
          <w:bCs/>
          <w:color w:val="000000"/>
          <w:szCs w:val="20"/>
          <w:lang w:eastAsia="bg-BG"/>
        </w:rPr>
        <w:t>Обобщен профил на безопасност</w:t>
      </w:r>
    </w:p>
    <w:p w14:paraId="56F272F0"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Най-често съобщаваните нежелани реакции са хипокалиемия, реакции на свръхчувствителност, главно дерматологични, при лица, предразположени към алергични и астматични реакции и макулопапуларни обриви.</w:t>
      </w:r>
    </w:p>
    <w:p w14:paraId="217A9C02" w14:textId="77777777" w:rsidR="00D142EA" w:rsidRPr="00D142EA" w:rsidRDefault="00D142EA" w:rsidP="00D142EA">
      <w:pPr>
        <w:spacing w:line="240" w:lineRule="auto"/>
        <w:rPr>
          <w:rFonts w:eastAsia="Times New Roman" w:cs="Arial"/>
          <w:b/>
          <w:bCs/>
          <w:color w:val="000000"/>
          <w:szCs w:val="20"/>
          <w:lang w:eastAsia="bg-BG"/>
        </w:rPr>
      </w:pPr>
      <w:bookmarkStart w:id="2" w:name="bookmark2"/>
    </w:p>
    <w:p w14:paraId="2E303FC0" w14:textId="673CC5BC" w:rsidR="00D142EA" w:rsidRPr="00D142EA" w:rsidRDefault="00D142EA" w:rsidP="00D142EA">
      <w:pPr>
        <w:spacing w:line="240" w:lineRule="auto"/>
        <w:rPr>
          <w:rFonts w:eastAsia="Times New Roman" w:cs="Arial"/>
          <w:sz w:val="28"/>
          <w:szCs w:val="24"/>
        </w:rPr>
      </w:pPr>
      <w:r w:rsidRPr="00D142EA">
        <w:rPr>
          <w:rFonts w:eastAsia="Times New Roman" w:cs="Arial"/>
          <w:b/>
          <w:bCs/>
          <w:color w:val="000000"/>
          <w:szCs w:val="20"/>
          <w:lang w:eastAsia="bg-BG"/>
        </w:rPr>
        <w:t>Списък на нежеланите реакции в табличен вид</w:t>
      </w:r>
      <w:bookmarkEnd w:id="2"/>
    </w:p>
    <w:p w14:paraId="0C0A6512" w14:textId="365EF704" w:rsidR="00D142EA" w:rsidRDefault="00D142EA" w:rsidP="00D142EA">
      <w:pPr>
        <w:spacing w:line="240" w:lineRule="auto"/>
        <w:rPr>
          <w:rFonts w:eastAsia="Times New Roman" w:cs="Arial"/>
          <w:color w:val="000000"/>
          <w:szCs w:val="20"/>
          <w:lang w:eastAsia="bg-BG"/>
        </w:rPr>
      </w:pPr>
      <w:r w:rsidRPr="00D142EA">
        <w:rPr>
          <w:rFonts w:eastAsia="Times New Roman" w:cs="Arial"/>
          <w:color w:val="000000"/>
          <w:szCs w:val="20"/>
          <w:lang w:eastAsia="bg-BG"/>
        </w:rPr>
        <w:t>Нежеланите лекарствени реакции са изброени по-долу по системо-органни класове и честота. Честотата е дефинирана като: много чести (&gt;1/10), чести (&gt;1/100, &lt;1/10), нечести (&gt; 1/1 000, &lt;1/100), редки (&gt;1/10 000, &lt;1/1 000), много редки (&lt;1/10 000), с неизвестна честота (от наличните данни не може да бъде направена оценка).</w:t>
      </w:r>
    </w:p>
    <w:p w14:paraId="7437381B" w14:textId="057053FB" w:rsidR="00D142EA" w:rsidRDefault="00D142EA" w:rsidP="00D142EA">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24"/>
        <w:gridCol w:w="3147"/>
        <w:gridCol w:w="3079"/>
      </w:tblGrid>
      <w:tr w:rsidR="00D142EA" w14:paraId="442766E8" w14:textId="77777777" w:rsidTr="00D142EA">
        <w:tc>
          <w:tcPr>
            <w:tcW w:w="3192" w:type="dxa"/>
          </w:tcPr>
          <w:p w14:paraId="2E09A953" w14:textId="759306F5" w:rsidR="00D142EA" w:rsidRPr="00D142EA" w:rsidRDefault="00D142EA" w:rsidP="00D142EA">
            <w:pPr>
              <w:spacing w:line="240" w:lineRule="auto"/>
              <w:rPr>
                <w:rFonts w:eastAsia="Times New Roman" w:cs="Arial"/>
                <w:szCs w:val="24"/>
              </w:rPr>
            </w:pPr>
            <w:r w:rsidRPr="00D142EA">
              <w:rPr>
                <w:b/>
                <w:bCs/>
                <w:szCs w:val="20"/>
              </w:rPr>
              <w:t xml:space="preserve">Системо-органни класове по </w:t>
            </w:r>
            <w:proofErr w:type="spellStart"/>
            <w:r w:rsidRPr="00D142EA">
              <w:rPr>
                <w:b/>
                <w:bCs/>
                <w:szCs w:val="20"/>
                <w:lang w:val="en-US"/>
              </w:rPr>
              <w:t>MedDra</w:t>
            </w:r>
            <w:proofErr w:type="spellEnd"/>
          </w:p>
        </w:tc>
        <w:tc>
          <w:tcPr>
            <w:tcW w:w="3192" w:type="dxa"/>
          </w:tcPr>
          <w:p w14:paraId="43B19E22" w14:textId="247EDB9E" w:rsidR="00D142EA" w:rsidRPr="00D142EA" w:rsidRDefault="00D142EA" w:rsidP="00D142EA">
            <w:pPr>
              <w:spacing w:line="240" w:lineRule="auto"/>
              <w:rPr>
                <w:rFonts w:eastAsia="Times New Roman" w:cs="Arial"/>
                <w:szCs w:val="24"/>
              </w:rPr>
            </w:pPr>
            <w:r w:rsidRPr="00D142EA">
              <w:rPr>
                <w:b/>
                <w:bCs/>
                <w:szCs w:val="20"/>
              </w:rPr>
              <w:t>Нежелани реакции</w:t>
            </w:r>
          </w:p>
        </w:tc>
        <w:tc>
          <w:tcPr>
            <w:tcW w:w="3192" w:type="dxa"/>
          </w:tcPr>
          <w:p w14:paraId="100C550C" w14:textId="31BC048E" w:rsidR="00D142EA" w:rsidRPr="00D142EA" w:rsidRDefault="00D142EA" w:rsidP="00D142EA">
            <w:pPr>
              <w:spacing w:line="240" w:lineRule="auto"/>
              <w:rPr>
                <w:rFonts w:eastAsia="Times New Roman" w:cs="Arial"/>
                <w:szCs w:val="24"/>
              </w:rPr>
            </w:pPr>
            <w:r w:rsidRPr="00D142EA">
              <w:rPr>
                <w:b/>
                <w:bCs/>
                <w:szCs w:val="20"/>
              </w:rPr>
              <w:t>Честота</w:t>
            </w:r>
          </w:p>
        </w:tc>
      </w:tr>
      <w:tr w:rsidR="00D142EA" w14:paraId="4B149C4C" w14:textId="77777777" w:rsidTr="00D142EA">
        <w:tc>
          <w:tcPr>
            <w:tcW w:w="3192" w:type="dxa"/>
            <w:vMerge w:val="restart"/>
          </w:tcPr>
          <w:p w14:paraId="36A398F1" w14:textId="1507925B" w:rsidR="00D142EA" w:rsidRPr="00D142EA" w:rsidRDefault="00D142EA" w:rsidP="00D142EA">
            <w:pPr>
              <w:spacing w:line="240" w:lineRule="auto"/>
              <w:rPr>
                <w:rFonts w:eastAsia="Times New Roman" w:cs="Arial"/>
                <w:szCs w:val="24"/>
              </w:rPr>
            </w:pPr>
            <w:r w:rsidRPr="00D142EA">
              <w:rPr>
                <w:b/>
                <w:bCs/>
                <w:szCs w:val="20"/>
              </w:rPr>
              <w:t>Нарушения на кръвта и лимфната система</w:t>
            </w:r>
          </w:p>
        </w:tc>
        <w:tc>
          <w:tcPr>
            <w:tcW w:w="3192" w:type="dxa"/>
          </w:tcPr>
          <w:p w14:paraId="3D2F140B" w14:textId="5E866D92" w:rsidR="00D142EA" w:rsidRPr="00D142EA" w:rsidRDefault="00D142EA" w:rsidP="00D142EA">
            <w:pPr>
              <w:spacing w:line="240" w:lineRule="auto"/>
              <w:rPr>
                <w:rFonts w:eastAsia="Times New Roman" w:cs="Arial"/>
                <w:szCs w:val="24"/>
              </w:rPr>
            </w:pPr>
            <w:r w:rsidRPr="00D142EA">
              <w:rPr>
                <w:szCs w:val="20"/>
              </w:rPr>
              <w:t>Агранулоцитоза</w:t>
            </w:r>
          </w:p>
        </w:tc>
        <w:tc>
          <w:tcPr>
            <w:tcW w:w="3192" w:type="dxa"/>
          </w:tcPr>
          <w:p w14:paraId="5220B034" w14:textId="662662F0"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4E53B060" w14:textId="77777777" w:rsidTr="00D142EA">
        <w:tc>
          <w:tcPr>
            <w:tcW w:w="3192" w:type="dxa"/>
            <w:vMerge/>
          </w:tcPr>
          <w:p w14:paraId="70BCEE8A" w14:textId="77777777" w:rsidR="00D142EA" w:rsidRPr="00D142EA" w:rsidRDefault="00D142EA" w:rsidP="00D142EA">
            <w:pPr>
              <w:spacing w:line="240" w:lineRule="auto"/>
              <w:rPr>
                <w:rFonts w:eastAsia="Times New Roman" w:cs="Arial"/>
                <w:szCs w:val="24"/>
              </w:rPr>
            </w:pPr>
          </w:p>
        </w:tc>
        <w:tc>
          <w:tcPr>
            <w:tcW w:w="3192" w:type="dxa"/>
          </w:tcPr>
          <w:p w14:paraId="1B1829A8" w14:textId="69AE766A" w:rsidR="00D142EA" w:rsidRPr="00D142EA" w:rsidRDefault="00D142EA" w:rsidP="00D142EA">
            <w:pPr>
              <w:spacing w:line="240" w:lineRule="auto"/>
              <w:rPr>
                <w:rFonts w:eastAsia="Times New Roman" w:cs="Arial"/>
                <w:szCs w:val="24"/>
              </w:rPr>
            </w:pPr>
            <w:r w:rsidRPr="00D142EA">
              <w:rPr>
                <w:szCs w:val="20"/>
              </w:rPr>
              <w:t>Апластична анемия</w:t>
            </w:r>
          </w:p>
        </w:tc>
        <w:tc>
          <w:tcPr>
            <w:tcW w:w="3192" w:type="dxa"/>
          </w:tcPr>
          <w:p w14:paraId="0902DFE3" w14:textId="6501A98E"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0AF0456D" w14:textId="77777777" w:rsidTr="00D142EA">
        <w:tc>
          <w:tcPr>
            <w:tcW w:w="3192" w:type="dxa"/>
            <w:vMerge/>
          </w:tcPr>
          <w:p w14:paraId="7BA23374" w14:textId="77777777" w:rsidR="00D142EA" w:rsidRPr="00D142EA" w:rsidRDefault="00D142EA" w:rsidP="00D142EA">
            <w:pPr>
              <w:spacing w:line="240" w:lineRule="auto"/>
              <w:rPr>
                <w:rFonts w:eastAsia="Times New Roman" w:cs="Arial"/>
                <w:szCs w:val="24"/>
              </w:rPr>
            </w:pPr>
          </w:p>
        </w:tc>
        <w:tc>
          <w:tcPr>
            <w:tcW w:w="3192" w:type="dxa"/>
          </w:tcPr>
          <w:p w14:paraId="189CEE84" w14:textId="0BD29FC1" w:rsidR="00D142EA" w:rsidRPr="00D142EA" w:rsidRDefault="00D142EA" w:rsidP="00D142EA">
            <w:pPr>
              <w:spacing w:line="240" w:lineRule="auto"/>
              <w:rPr>
                <w:rFonts w:eastAsia="Times New Roman" w:cs="Arial"/>
                <w:szCs w:val="24"/>
              </w:rPr>
            </w:pPr>
            <w:r w:rsidRPr="00D142EA">
              <w:rPr>
                <w:szCs w:val="20"/>
              </w:rPr>
              <w:t>Хемолитична анемия</w:t>
            </w:r>
          </w:p>
        </w:tc>
        <w:tc>
          <w:tcPr>
            <w:tcW w:w="3192" w:type="dxa"/>
          </w:tcPr>
          <w:p w14:paraId="5776FDB7" w14:textId="2A47698F"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180D1C80" w14:textId="77777777" w:rsidTr="00D142EA">
        <w:tc>
          <w:tcPr>
            <w:tcW w:w="3192" w:type="dxa"/>
            <w:vMerge/>
          </w:tcPr>
          <w:p w14:paraId="3EA4284F" w14:textId="77777777" w:rsidR="00D142EA" w:rsidRPr="00D142EA" w:rsidRDefault="00D142EA" w:rsidP="00D142EA">
            <w:pPr>
              <w:spacing w:line="240" w:lineRule="auto"/>
              <w:rPr>
                <w:rFonts w:eastAsia="Times New Roman" w:cs="Arial"/>
                <w:szCs w:val="24"/>
              </w:rPr>
            </w:pPr>
          </w:p>
        </w:tc>
        <w:tc>
          <w:tcPr>
            <w:tcW w:w="3192" w:type="dxa"/>
          </w:tcPr>
          <w:p w14:paraId="3AAB4401" w14:textId="10A96081" w:rsidR="00D142EA" w:rsidRPr="00D142EA" w:rsidRDefault="00D142EA" w:rsidP="00D142EA">
            <w:pPr>
              <w:spacing w:line="240" w:lineRule="auto"/>
              <w:rPr>
                <w:rFonts w:eastAsia="Times New Roman" w:cs="Arial"/>
                <w:szCs w:val="24"/>
              </w:rPr>
            </w:pPr>
            <w:r w:rsidRPr="00D142EA">
              <w:rPr>
                <w:szCs w:val="20"/>
              </w:rPr>
              <w:t>Левкопения</w:t>
            </w:r>
          </w:p>
        </w:tc>
        <w:tc>
          <w:tcPr>
            <w:tcW w:w="3192" w:type="dxa"/>
          </w:tcPr>
          <w:p w14:paraId="575CA404" w14:textId="4CE7E843"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6B94855A" w14:textId="77777777" w:rsidTr="00D142EA">
        <w:tc>
          <w:tcPr>
            <w:tcW w:w="3192" w:type="dxa"/>
            <w:vMerge/>
          </w:tcPr>
          <w:p w14:paraId="4A0B1552" w14:textId="77777777" w:rsidR="00D142EA" w:rsidRPr="00D142EA" w:rsidRDefault="00D142EA" w:rsidP="00D142EA">
            <w:pPr>
              <w:spacing w:line="240" w:lineRule="auto"/>
              <w:rPr>
                <w:rFonts w:eastAsia="Times New Roman" w:cs="Arial"/>
                <w:szCs w:val="24"/>
              </w:rPr>
            </w:pPr>
          </w:p>
        </w:tc>
        <w:tc>
          <w:tcPr>
            <w:tcW w:w="3192" w:type="dxa"/>
          </w:tcPr>
          <w:p w14:paraId="263DB4D2" w14:textId="77C64367" w:rsidR="00D142EA" w:rsidRPr="00D142EA" w:rsidRDefault="00D142EA" w:rsidP="00D142EA">
            <w:pPr>
              <w:spacing w:line="240" w:lineRule="auto"/>
              <w:rPr>
                <w:rFonts w:eastAsia="Times New Roman" w:cs="Arial"/>
                <w:szCs w:val="24"/>
              </w:rPr>
            </w:pPr>
            <w:r w:rsidRPr="00D142EA">
              <w:rPr>
                <w:szCs w:val="20"/>
              </w:rPr>
              <w:t>Тромбоцитопения</w:t>
            </w:r>
          </w:p>
        </w:tc>
        <w:tc>
          <w:tcPr>
            <w:tcW w:w="3192" w:type="dxa"/>
          </w:tcPr>
          <w:p w14:paraId="284EA173" w14:textId="0C14CA4C"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076F1546" w14:textId="77777777" w:rsidTr="00D142EA">
        <w:tc>
          <w:tcPr>
            <w:tcW w:w="3192" w:type="dxa"/>
            <w:vMerge w:val="restart"/>
          </w:tcPr>
          <w:p w14:paraId="3BCCBFF6" w14:textId="14A16D19" w:rsidR="00D142EA" w:rsidRPr="00D142EA" w:rsidRDefault="00D142EA" w:rsidP="00D142EA">
            <w:pPr>
              <w:spacing w:line="240" w:lineRule="auto"/>
              <w:rPr>
                <w:rFonts w:eastAsia="Times New Roman" w:cs="Arial"/>
                <w:szCs w:val="24"/>
              </w:rPr>
            </w:pPr>
            <w:r w:rsidRPr="00D142EA">
              <w:rPr>
                <w:b/>
                <w:bCs/>
                <w:szCs w:val="20"/>
              </w:rPr>
              <w:t>Нарушения на метаболизма и храненето</w:t>
            </w:r>
          </w:p>
        </w:tc>
        <w:tc>
          <w:tcPr>
            <w:tcW w:w="3192" w:type="dxa"/>
          </w:tcPr>
          <w:p w14:paraId="38ED1A5B" w14:textId="0FE3275C" w:rsidR="00D142EA" w:rsidRPr="00D142EA" w:rsidRDefault="00D142EA" w:rsidP="00D142EA">
            <w:pPr>
              <w:spacing w:line="240" w:lineRule="auto"/>
              <w:rPr>
                <w:rFonts w:eastAsia="Times New Roman" w:cs="Arial"/>
                <w:szCs w:val="24"/>
              </w:rPr>
            </w:pPr>
            <w:r w:rsidRPr="00D142EA">
              <w:rPr>
                <w:szCs w:val="20"/>
              </w:rPr>
              <w:t>Хипокалиемия (вж. точка 4.4)</w:t>
            </w:r>
          </w:p>
        </w:tc>
        <w:tc>
          <w:tcPr>
            <w:tcW w:w="3192" w:type="dxa"/>
          </w:tcPr>
          <w:p w14:paraId="7B18F4AA" w14:textId="1869AEA5" w:rsidR="00D142EA" w:rsidRPr="00D142EA" w:rsidRDefault="00D142EA" w:rsidP="00D142EA">
            <w:pPr>
              <w:spacing w:line="240" w:lineRule="auto"/>
              <w:rPr>
                <w:rFonts w:eastAsia="Times New Roman" w:cs="Arial"/>
                <w:szCs w:val="24"/>
              </w:rPr>
            </w:pPr>
            <w:r w:rsidRPr="00D142EA">
              <w:rPr>
                <w:szCs w:val="20"/>
              </w:rPr>
              <w:t>Чести</w:t>
            </w:r>
          </w:p>
        </w:tc>
      </w:tr>
      <w:tr w:rsidR="00D142EA" w14:paraId="334477EF" w14:textId="77777777" w:rsidTr="00D142EA">
        <w:tc>
          <w:tcPr>
            <w:tcW w:w="3192" w:type="dxa"/>
            <w:vMerge/>
          </w:tcPr>
          <w:p w14:paraId="4B8FC71E" w14:textId="77777777" w:rsidR="00D142EA" w:rsidRPr="00D142EA" w:rsidRDefault="00D142EA" w:rsidP="00D142EA">
            <w:pPr>
              <w:spacing w:line="240" w:lineRule="auto"/>
              <w:rPr>
                <w:rFonts w:eastAsia="Times New Roman" w:cs="Arial"/>
                <w:szCs w:val="24"/>
              </w:rPr>
            </w:pPr>
          </w:p>
        </w:tc>
        <w:tc>
          <w:tcPr>
            <w:tcW w:w="3192" w:type="dxa"/>
          </w:tcPr>
          <w:p w14:paraId="65D69593" w14:textId="295DA897" w:rsidR="00D142EA" w:rsidRPr="00D142EA" w:rsidRDefault="00D142EA" w:rsidP="00D142EA">
            <w:pPr>
              <w:spacing w:line="240" w:lineRule="auto"/>
              <w:rPr>
                <w:rFonts w:eastAsia="Times New Roman" w:cs="Arial"/>
                <w:szCs w:val="24"/>
              </w:rPr>
            </w:pPr>
            <w:r w:rsidRPr="00D142EA">
              <w:rPr>
                <w:szCs w:val="20"/>
              </w:rPr>
              <w:t>Хипохлоремия</w:t>
            </w:r>
          </w:p>
        </w:tc>
        <w:tc>
          <w:tcPr>
            <w:tcW w:w="3192" w:type="dxa"/>
          </w:tcPr>
          <w:p w14:paraId="743513C6" w14:textId="091968A0" w:rsidR="00D142EA" w:rsidRPr="00D142EA" w:rsidRDefault="00D142EA" w:rsidP="00D142EA">
            <w:pPr>
              <w:spacing w:line="240" w:lineRule="auto"/>
              <w:rPr>
                <w:rFonts w:eastAsia="Times New Roman" w:cs="Arial"/>
                <w:szCs w:val="24"/>
              </w:rPr>
            </w:pPr>
            <w:r w:rsidRPr="00D142EA">
              <w:rPr>
                <w:szCs w:val="20"/>
              </w:rPr>
              <w:t>Редки</w:t>
            </w:r>
          </w:p>
        </w:tc>
      </w:tr>
      <w:tr w:rsidR="00D142EA" w14:paraId="51B1B882" w14:textId="77777777" w:rsidTr="00D142EA">
        <w:tc>
          <w:tcPr>
            <w:tcW w:w="3192" w:type="dxa"/>
            <w:vMerge/>
          </w:tcPr>
          <w:p w14:paraId="64B9DFF7" w14:textId="77777777" w:rsidR="00D142EA" w:rsidRPr="00D142EA" w:rsidRDefault="00D142EA" w:rsidP="00D142EA">
            <w:pPr>
              <w:spacing w:line="240" w:lineRule="auto"/>
              <w:rPr>
                <w:rFonts w:eastAsia="Times New Roman" w:cs="Arial"/>
                <w:szCs w:val="24"/>
              </w:rPr>
            </w:pPr>
          </w:p>
        </w:tc>
        <w:tc>
          <w:tcPr>
            <w:tcW w:w="3192" w:type="dxa"/>
          </w:tcPr>
          <w:p w14:paraId="49D20642" w14:textId="2ECF6558" w:rsidR="00D142EA" w:rsidRPr="00D142EA" w:rsidRDefault="00D142EA" w:rsidP="00D142EA">
            <w:pPr>
              <w:spacing w:line="240" w:lineRule="auto"/>
              <w:rPr>
                <w:rFonts w:eastAsia="Times New Roman" w:cs="Arial"/>
                <w:szCs w:val="24"/>
              </w:rPr>
            </w:pPr>
            <w:r w:rsidRPr="00D142EA">
              <w:rPr>
                <w:szCs w:val="20"/>
              </w:rPr>
              <w:t>Хипомагнезиемия (вж. точка 4.4)</w:t>
            </w:r>
          </w:p>
        </w:tc>
        <w:tc>
          <w:tcPr>
            <w:tcW w:w="3192" w:type="dxa"/>
          </w:tcPr>
          <w:p w14:paraId="1946F1AA" w14:textId="656FA2AE" w:rsidR="00D142EA" w:rsidRPr="00D142EA" w:rsidRDefault="00D142EA" w:rsidP="00D142EA">
            <w:pPr>
              <w:spacing w:line="240" w:lineRule="auto"/>
              <w:rPr>
                <w:rFonts w:eastAsia="Times New Roman" w:cs="Arial"/>
                <w:szCs w:val="24"/>
              </w:rPr>
            </w:pPr>
            <w:r w:rsidRPr="00D142EA">
              <w:rPr>
                <w:szCs w:val="20"/>
              </w:rPr>
              <w:t>Редки</w:t>
            </w:r>
          </w:p>
        </w:tc>
      </w:tr>
      <w:tr w:rsidR="00D142EA" w14:paraId="41682432" w14:textId="77777777" w:rsidTr="00D142EA">
        <w:tc>
          <w:tcPr>
            <w:tcW w:w="3192" w:type="dxa"/>
            <w:vMerge/>
          </w:tcPr>
          <w:p w14:paraId="2A004472" w14:textId="77777777" w:rsidR="00D142EA" w:rsidRPr="00D142EA" w:rsidRDefault="00D142EA" w:rsidP="00D142EA">
            <w:pPr>
              <w:spacing w:line="240" w:lineRule="auto"/>
              <w:rPr>
                <w:rFonts w:eastAsia="Times New Roman" w:cs="Arial"/>
                <w:szCs w:val="24"/>
              </w:rPr>
            </w:pPr>
          </w:p>
        </w:tc>
        <w:tc>
          <w:tcPr>
            <w:tcW w:w="3192" w:type="dxa"/>
          </w:tcPr>
          <w:p w14:paraId="674E8E7F" w14:textId="06C0D285" w:rsidR="00D142EA" w:rsidRPr="00D142EA" w:rsidRDefault="00D142EA" w:rsidP="00D142EA">
            <w:pPr>
              <w:spacing w:line="240" w:lineRule="auto"/>
              <w:rPr>
                <w:rFonts w:eastAsia="Times New Roman" w:cs="Arial"/>
                <w:szCs w:val="24"/>
              </w:rPr>
            </w:pPr>
            <w:r w:rsidRPr="00D142EA">
              <w:rPr>
                <w:szCs w:val="20"/>
              </w:rPr>
              <w:t>Хипонатриемия (вж. точка 4.4)</w:t>
            </w:r>
          </w:p>
        </w:tc>
        <w:tc>
          <w:tcPr>
            <w:tcW w:w="3192" w:type="dxa"/>
          </w:tcPr>
          <w:p w14:paraId="4BBD8A1C" w14:textId="2E58DB9C" w:rsidR="00D142EA" w:rsidRPr="00D142EA" w:rsidRDefault="00D142EA" w:rsidP="00D142EA">
            <w:pPr>
              <w:spacing w:line="240" w:lineRule="auto"/>
              <w:rPr>
                <w:rFonts w:eastAsia="Times New Roman" w:cs="Arial"/>
                <w:szCs w:val="24"/>
              </w:rPr>
            </w:pPr>
            <w:r w:rsidRPr="00D142EA">
              <w:rPr>
                <w:szCs w:val="20"/>
              </w:rPr>
              <w:t>Нечести</w:t>
            </w:r>
          </w:p>
        </w:tc>
      </w:tr>
      <w:tr w:rsidR="00D142EA" w14:paraId="1676DED0" w14:textId="77777777" w:rsidTr="00D142EA">
        <w:tc>
          <w:tcPr>
            <w:tcW w:w="3192" w:type="dxa"/>
            <w:vMerge/>
          </w:tcPr>
          <w:p w14:paraId="53416BB4" w14:textId="77777777" w:rsidR="00D142EA" w:rsidRPr="00D142EA" w:rsidRDefault="00D142EA" w:rsidP="00D142EA">
            <w:pPr>
              <w:spacing w:line="240" w:lineRule="auto"/>
              <w:rPr>
                <w:rFonts w:eastAsia="Times New Roman" w:cs="Arial"/>
                <w:szCs w:val="24"/>
              </w:rPr>
            </w:pPr>
          </w:p>
        </w:tc>
        <w:tc>
          <w:tcPr>
            <w:tcW w:w="3192" w:type="dxa"/>
          </w:tcPr>
          <w:p w14:paraId="0FCDB48E" w14:textId="21EDB85B" w:rsidR="00D142EA" w:rsidRPr="00D142EA" w:rsidRDefault="00D142EA" w:rsidP="00D142EA">
            <w:pPr>
              <w:spacing w:line="240" w:lineRule="auto"/>
              <w:rPr>
                <w:rFonts w:eastAsia="Times New Roman" w:cs="Arial"/>
                <w:szCs w:val="24"/>
              </w:rPr>
            </w:pPr>
            <w:r w:rsidRPr="00D142EA">
              <w:rPr>
                <w:szCs w:val="20"/>
              </w:rPr>
              <w:t>Хиперкалциемия (вж. точка 4.4)</w:t>
            </w:r>
          </w:p>
        </w:tc>
        <w:tc>
          <w:tcPr>
            <w:tcW w:w="3192" w:type="dxa"/>
          </w:tcPr>
          <w:p w14:paraId="61946F18" w14:textId="37C635E1"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5BE3A4CB" w14:textId="77777777" w:rsidTr="00D142EA">
        <w:tc>
          <w:tcPr>
            <w:tcW w:w="3192" w:type="dxa"/>
            <w:vMerge w:val="restart"/>
          </w:tcPr>
          <w:p w14:paraId="694E8509" w14:textId="7DCA2CF2" w:rsidR="00D142EA" w:rsidRPr="00D142EA" w:rsidRDefault="00D142EA" w:rsidP="00D142EA">
            <w:pPr>
              <w:spacing w:line="240" w:lineRule="auto"/>
              <w:rPr>
                <w:rFonts w:eastAsia="Times New Roman" w:cs="Arial"/>
                <w:szCs w:val="24"/>
              </w:rPr>
            </w:pPr>
            <w:r w:rsidRPr="00D142EA">
              <w:rPr>
                <w:b/>
                <w:bCs/>
                <w:szCs w:val="20"/>
              </w:rPr>
              <w:t>Нарушения на нервната система</w:t>
            </w:r>
          </w:p>
        </w:tc>
        <w:tc>
          <w:tcPr>
            <w:tcW w:w="3192" w:type="dxa"/>
          </w:tcPr>
          <w:p w14:paraId="0452A24F" w14:textId="502B3241" w:rsidR="00D142EA" w:rsidRPr="00D142EA" w:rsidRDefault="00D142EA" w:rsidP="00D142EA">
            <w:pPr>
              <w:spacing w:line="240" w:lineRule="auto"/>
              <w:rPr>
                <w:rFonts w:eastAsia="Times New Roman" w:cs="Arial"/>
                <w:szCs w:val="24"/>
              </w:rPr>
            </w:pPr>
            <w:r w:rsidRPr="00D142EA">
              <w:rPr>
                <w:szCs w:val="20"/>
              </w:rPr>
              <w:t>Световъртеж</w:t>
            </w:r>
          </w:p>
        </w:tc>
        <w:tc>
          <w:tcPr>
            <w:tcW w:w="3192" w:type="dxa"/>
          </w:tcPr>
          <w:p w14:paraId="712963B9" w14:textId="2433C8A6" w:rsidR="00D142EA" w:rsidRPr="00D142EA" w:rsidRDefault="00D142EA" w:rsidP="00D142EA">
            <w:pPr>
              <w:spacing w:line="240" w:lineRule="auto"/>
              <w:rPr>
                <w:rFonts w:eastAsia="Times New Roman" w:cs="Arial"/>
                <w:szCs w:val="24"/>
              </w:rPr>
            </w:pPr>
            <w:r w:rsidRPr="00D142EA">
              <w:rPr>
                <w:szCs w:val="20"/>
              </w:rPr>
              <w:t>Редки</w:t>
            </w:r>
          </w:p>
        </w:tc>
      </w:tr>
      <w:tr w:rsidR="00D142EA" w14:paraId="576F2D4D" w14:textId="77777777" w:rsidTr="00D142EA">
        <w:tc>
          <w:tcPr>
            <w:tcW w:w="3192" w:type="dxa"/>
            <w:vMerge/>
          </w:tcPr>
          <w:p w14:paraId="4735F1DD" w14:textId="77777777" w:rsidR="00D142EA" w:rsidRPr="00D142EA" w:rsidRDefault="00D142EA" w:rsidP="00D142EA">
            <w:pPr>
              <w:spacing w:line="240" w:lineRule="auto"/>
              <w:rPr>
                <w:rFonts w:eastAsia="Times New Roman" w:cs="Arial"/>
                <w:szCs w:val="24"/>
              </w:rPr>
            </w:pPr>
          </w:p>
        </w:tc>
        <w:tc>
          <w:tcPr>
            <w:tcW w:w="3192" w:type="dxa"/>
          </w:tcPr>
          <w:p w14:paraId="7B8C7742" w14:textId="71A54465" w:rsidR="00D142EA" w:rsidRPr="00D142EA" w:rsidRDefault="00D142EA" w:rsidP="00D142EA">
            <w:pPr>
              <w:spacing w:line="240" w:lineRule="auto"/>
              <w:rPr>
                <w:rFonts w:eastAsia="Times New Roman" w:cs="Arial"/>
                <w:szCs w:val="24"/>
              </w:rPr>
            </w:pPr>
            <w:r w:rsidRPr="00D142EA">
              <w:rPr>
                <w:szCs w:val="20"/>
              </w:rPr>
              <w:t>Умора</w:t>
            </w:r>
          </w:p>
        </w:tc>
        <w:tc>
          <w:tcPr>
            <w:tcW w:w="3192" w:type="dxa"/>
          </w:tcPr>
          <w:p w14:paraId="56C82639" w14:textId="6C3DCA74" w:rsidR="00D142EA" w:rsidRPr="00D142EA" w:rsidRDefault="00D142EA" w:rsidP="00D142EA">
            <w:pPr>
              <w:spacing w:line="240" w:lineRule="auto"/>
              <w:rPr>
                <w:rFonts w:eastAsia="Times New Roman" w:cs="Arial"/>
                <w:szCs w:val="24"/>
              </w:rPr>
            </w:pPr>
            <w:r w:rsidRPr="00D142EA">
              <w:rPr>
                <w:szCs w:val="20"/>
              </w:rPr>
              <w:t>Редки</w:t>
            </w:r>
          </w:p>
        </w:tc>
      </w:tr>
      <w:tr w:rsidR="00D142EA" w14:paraId="26F8032B" w14:textId="77777777" w:rsidTr="00D142EA">
        <w:tc>
          <w:tcPr>
            <w:tcW w:w="3192" w:type="dxa"/>
            <w:vMerge/>
          </w:tcPr>
          <w:p w14:paraId="5F29BF95" w14:textId="77777777" w:rsidR="00D142EA" w:rsidRPr="00D142EA" w:rsidRDefault="00D142EA" w:rsidP="00D142EA">
            <w:pPr>
              <w:spacing w:line="240" w:lineRule="auto"/>
              <w:rPr>
                <w:rFonts w:eastAsia="Times New Roman" w:cs="Arial"/>
                <w:szCs w:val="24"/>
              </w:rPr>
            </w:pPr>
          </w:p>
        </w:tc>
        <w:tc>
          <w:tcPr>
            <w:tcW w:w="3192" w:type="dxa"/>
          </w:tcPr>
          <w:p w14:paraId="5FA7A473" w14:textId="198CB669" w:rsidR="00D142EA" w:rsidRPr="00D142EA" w:rsidRDefault="00D142EA" w:rsidP="00D142EA">
            <w:pPr>
              <w:spacing w:line="240" w:lineRule="auto"/>
              <w:rPr>
                <w:rFonts w:eastAsia="Times New Roman" w:cs="Arial"/>
                <w:szCs w:val="24"/>
              </w:rPr>
            </w:pPr>
            <w:r w:rsidRPr="00D142EA">
              <w:rPr>
                <w:szCs w:val="20"/>
              </w:rPr>
              <w:t>Главоболие</w:t>
            </w:r>
          </w:p>
        </w:tc>
        <w:tc>
          <w:tcPr>
            <w:tcW w:w="3192" w:type="dxa"/>
          </w:tcPr>
          <w:p w14:paraId="3D5CAA24" w14:textId="463E8DC5" w:rsidR="00D142EA" w:rsidRPr="00D142EA" w:rsidRDefault="00D142EA" w:rsidP="00D142EA">
            <w:pPr>
              <w:spacing w:line="240" w:lineRule="auto"/>
              <w:rPr>
                <w:rFonts w:eastAsia="Times New Roman" w:cs="Arial"/>
                <w:szCs w:val="24"/>
              </w:rPr>
            </w:pPr>
            <w:r w:rsidRPr="00D142EA">
              <w:rPr>
                <w:szCs w:val="20"/>
              </w:rPr>
              <w:t>Редки</w:t>
            </w:r>
          </w:p>
        </w:tc>
      </w:tr>
      <w:tr w:rsidR="00D142EA" w14:paraId="1AE4D8A0" w14:textId="77777777" w:rsidTr="00D142EA">
        <w:tc>
          <w:tcPr>
            <w:tcW w:w="3192" w:type="dxa"/>
            <w:vMerge/>
          </w:tcPr>
          <w:p w14:paraId="139E452B" w14:textId="77777777" w:rsidR="00D142EA" w:rsidRPr="00D142EA" w:rsidRDefault="00D142EA" w:rsidP="00D142EA">
            <w:pPr>
              <w:spacing w:line="240" w:lineRule="auto"/>
              <w:rPr>
                <w:rFonts w:eastAsia="Times New Roman" w:cs="Arial"/>
                <w:szCs w:val="24"/>
              </w:rPr>
            </w:pPr>
          </w:p>
        </w:tc>
        <w:tc>
          <w:tcPr>
            <w:tcW w:w="3192" w:type="dxa"/>
          </w:tcPr>
          <w:p w14:paraId="39D02D1B" w14:textId="68D19E2C" w:rsidR="00D142EA" w:rsidRPr="00D142EA" w:rsidRDefault="00D142EA" w:rsidP="00D142EA">
            <w:pPr>
              <w:spacing w:line="240" w:lineRule="auto"/>
              <w:rPr>
                <w:rFonts w:eastAsia="Times New Roman" w:cs="Arial"/>
                <w:szCs w:val="24"/>
              </w:rPr>
            </w:pPr>
            <w:r w:rsidRPr="00D142EA">
              <w:rPr>
                <w:szCs w:val="20"/>
              </w:rPr>
              <w:t>Парестезии</w:t>
            </w:r>
          </w:p>
        </w:tc>
        <w:tc>
          <w:tcPr>
            <w:tcW w:w="3192" w:type="dxa"/>
          </w:tcPr>
          <w:p w14:paraId="025F3E47" w14:textId="4CADF57F" w:rsidR="00D142EA" w:rsidRPr="00D142EA" w:rsidRDefault="00D142EA" w:rsidP="00D142EA">
            <w:pPr>
              <w:spacing w:line="240" w:lineRule="auto"/>
              <w:rPr>
                <w:rFonts w:eastAsia="Times New Roman" w:cs="Arial"/>
                <w:szCs w:val="24"/>
              </w:rPr>
            </w:pPr>
            <w:r w:rsidRPr="00D142EA">
              <w:rPr>
                <w:szCs w:val="20"/>
              </w:rPr>
              <w:t>Редки</w:t>
            </w:r>
          </w:p>
        </w:tc>
      </w:tr>
      <w:tr w:rsidR="00D142EA" w14:paraId="10D08A97" w14:textId="77777777" w:rsidTr="00D142EA">
        <w:tc>
          <w:tcPr>
            <w:tcW w:w="3192" w:type="dxa"/>
            <w:vMerge/>
          </w:tcPr>
          <w:p w14:paraId="585739C2" w14:textId="77777777" w:rsidR="00D142EA" w:rsidRPr="00D142EA" w:rsidRDefault="00D142EA" w:rsidP="00D142EA">
            <w:pPr>
              <w:spacing w:line="240" w:lineRule="auto"/>
              <w:rPr>
                <w:rFonts w:eastAsia="Times New Roman" w:cs="Arial"/>
                <w:szCs w:val="24"/>
              </w:rPr>
            </w:pPr>
          </w:p>
        </w:tc>
        <w:tc>
          <w:tcPr>
            <w:tcW w:w="3192" w:type="dxa"/>
          </w:tcPr>
          <w:p w14:paraId="254FAAD5" w14:textId="48AFD81C" w:rsidR="00D142EA" w:rsidRPr="00D142EA" w:rsidRDefault="00D142EA" w:rsidP="00D142EA">
            <w:pPr>
              <w:spacing w:line="240" w:lineRule="auto"/>
              <w:rPr>
                <w:rFonts w:eastAsia="Times New Roman" w:cs="Arial"/>
                <w:szCs w:val="24"/>
              </w:rPr>
            </w:pPr>
            <w:r w:rsidRPr="00D142EA">
              <w:rPr>
                <w:szCs w:val="20"/>
              </w:rPr>
              <w:t>Синкоп</w:t>
            </w:r>
          </w:p>
        </w:tc>
        <w:tc>
          <w:tcPr>
            <w:tcW w:w="3192" w:type="dxa"/>
          </w:tcPr>
          <w:p w14:paraId="7C5981AB" w14:textId="1D02953F"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6E0BECC5" w14:textId="77777777" w:rsidTr="00D142EA">
        <w:tc>
          <w:tcPr>
            <w:tcW w:w="3192" w:type="dxa"/>
            <w:vMerge w:val="restart"/>
          </w:tcPr>
          <w:p w14:paraId="2B6173EF" w14:textId="07245B05" w:rsidR="00D142EA" w:rsidRPr="00D142EA" w:rsidRDefault="00D142EA" w:rsidP="00D142EA">
            <w:pPr>
              <w:spacing w:line="240" w:lineRule="auto"/>
              <w:rPr>
                <w:rFonts w:eastAsia="Times New Roman" w:cs="Arial"/>
                <w:szCs w:val="24"/>
              </w:rPr>
            </w:pPr>
            <w:r w:rsidRPr="00D142EA">
              <w:rPr>
                <w:b/>
                <w:bCs/>
                <w:szCs w:val="20"/>
              </w:rPr>
              <w:t>Нарушения на очите</w:t>
            </w:r>
          </w:p>
        </w:tc>
        <w:tc>
          <w:tcPr>
            <w:tcW w:w="3192" w:type="dxa"/>
          </w:tcPr>
          <w:p w14:paraId="54A970B0" w14:textId="18C48D16" w:rsidR="00D142EA" w:rsidRPr="00D142EA" w:rsidRDefault="00D142EA" w:rsidP="00D142EA">
            <w:pPr>
              <w:spacing w:line="240" w:lineRule="auto"/>
              <w:rPr>
                <w:rFonts w:eastAsia="Times New Roman" w:cs="Arial"/>
                <w:szCs w:val="24"/>
              </w:rPr>
            </w:pPr>
            <w:r w:rsidRPr="00D142EA">
              <w:rPr>
                <w:szCs w:val="20"/>
              </w:rPr>
              <w:t>Късогледство</w:t>
            </w:r>
          </w:p>
        </w:tc>
        <w:tc>
          <w:tcPr>
            <w:tcW w:w="3192" w:type="dxa"/>
          </w:tcPr>
          <w:p w14:paraId="0354FA1D" w14:textId="4765364B"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206E7C46" w14:textId="77777777" w:rsidTr="00D142EA">
        <w:tc>
          <w:tcPr>
            <w:tcW w:w="3192" w:type="dxa"/>
            <w:vMerge/>
          </w:tcPr>
          <w:p w14:paraId="5A873149" w14:textId="77777777" w:rsidR="00D142EA" w:rsidRPr="00D142EA" w:rsidRDefault="00D142EA" w:rsidP="00D142EA">
            <w:pPr>
              <w:spacing w:line="240" w:lineRule="auto"/>
              <w:rPr>
                <w:rFonts w:eastAsia="Times New Roman" w:cs="Arial"/>
                <w:szCs w:val="24"/>
              </w:rPr>
            </w:pPr>
          </w:p>
        </w:tc>
        <w:tc>
          <w:tcPr>
            <w:tcW w:w="3192" w:type="dxa"/>
          </w:tcPr>
          <w:p w14:paraId="0F7AA7B2" w14:textId="10E0C905" w:rsidR="00D142EA" w:rsidRPr="00D142EA" w:rsidRDefault="00D142EA" w:rsidP="00D142EA">
            <w:pPr>
              <w:spacing w:line="240" w:lineRule="auto"/>
              <w:rPr>
                <w:rFonts w:eastAsia="Times New Roman" w:cs="Arial"/>
                <w:szCs w:val="24"/>
              </w:rPr>
            </w:pPr>
            <w:r w:rsidRPr="00D142EA">
              <w:rPr>
                <w:szCs w:val="20"/>
              </w:rPr>
              <w:t>Замъглено виждане</w:t>
            </w:r>
          </w:p>
        </w:tc>
        <w:tc>
          <w:tcPr>
            <w:tcW w:w="3192" w:type="dxa"/>
          </w:tcPr>
          <w:p w14:paraId="6F8019E6" w14:textId="1A8C7C44"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0F8A822F" w14:textId="77777777" w:rsidTr="00D142EA">
        <w:tc>
          <w:tcPr>
            <w:tcW w:w="3192" w:type="dxa"/>
            <w:vMerge/>
          </w:tcPr>
          <w:p w14:paraId="49A25CAD" w14:textId="77777777" w:rsidR="00D142EA" w:rsidRPr="00D142EA" w:rsidRDefault="00D142EA" w:rsidP="00D142EA">
            <w:pPr>
              <w:spacing w:line="240" w:lineRule="auto"/>
              <w:rPr>
                <w:rFonts w:eastAsia="Times New Roman" w:cs="Arial"/>
                <w:szCs w:val="24"/>
              </w:rPr>
            </w:pPr>
          </w:p>
        </w:tc>
        <w:tc>
          <w:tcPr>
            <w:tcW w:w="3192" w:type="dxa"/>
          </w:tcPr>
          <w:p w14:paraId="74CA2B1E" w14:textId="1A880011" w:rsidR="00D142EA" w:rsidRPr="00D142EA" w:rsidRDefault="00D142EA" w:rsidP="00D142EA">
            <w:pPr>
              <w:spacing w:line="240" w:lineRule="auto"/>
              <w:rPr>
                <w:rFonts w:eastAsia="Times New Roman" w:cs="Arial"/>
                <w:szCs w:val="24"/>
              </w:rPr>
            </w:pPr>
            <w:r w:rsidRPr="00D142EA">
              <w:rPr>
                <w:szCs w:val="20"/>
              </w:rPr>
              <w:t>Нарушено зрение</w:t>
            </w:r>
          </w:p>
        </w:tc>
        <w:tc>
          <w:tcPr>
            <w:tcW w:w="3192" w:type="dxa"/>
          </w:tcPr>
          <w:p w14:paraId="0AE508AD" w14:textId="6E774AF7"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69A20333" w14:textId="77777777" w:rsidTr="00D142EA">
        <w:tc>
          <w:tcPr>
            <w:tcW w:w="3192" w:type="dxa"/>
            <w:vMerge/>
          </w:tcPr>
          <w:p w14:paraId="4FB0F46E" w14:textId="77777777" w:rsidR="00D142EA" w:rsidRPr="00D142EA" w:rsidRDefault="00D142EA" w:rsidP="00D142EA">
            <w:pPr>
              <w:spacing w:line="240" w:lineRule="auto"/>
              <w:rPr>
                <w:rFonts w:eastAsia="Times New Roman" w:cs="Arial"/>
                <w:szCs w:val="24"/>
              </w:rPr>
            </w:pPr>
          </w:p>
        </w:tc>
        <w:tc>
          <w:tcPr>
            <w:tcW w:w="3192" w:type="dxa"/>
          </w:tcPr>
          <w:p w14:paraId="529DF202" w14:textId="7183C7CF" w:rsidR="00D142EA" w:rsidRPr="00D142EA" w:rsidRDefault="00D142EA" w:rsidP="00D142EA">
            <w:pPr>
              <w:spacing w:line="240" w:lineRule="auto"/>
              <w:rPr>
                <w:rFonts w:eastAsia="Times New Roman" w:cs="Arial"/>
                <w:szCs w:val="24"/>
              </w:rPr>
            </w:pPr>
            <w:r w:rsidRPr="00D142EA">
              <w:rPr>
                <w:szCs w:val="20"/>
              </w:rPr>
              <w:t>Остра закритоъгьлна глаукома</w:t>
            </w:r>
          </w:p>
        </w:tc>
        <w:tc>
          <w:tcPr>
            <w:tcW w:w="3192" w:type="dxa"/>
          </w:tcPr>
          <w:p w14:paraId="105A0C99" w14:textId="6795478F"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3B49ED34" w14:textId="77777777" w:rsidTr="00D142EA">
        <w:tc>
          <w:tcPr>
            <w:tcW w:w="3192" w:type="dxa"/>
            <w:vMerge/>
          </w:tcPr>
          <w:p w14:paraId="0761AF85" w14:textId="77777777" w:rsidR="00D142EA" w:rsidRPr="00D142EA" w:rsidRDefault="00D142EA" w:rsidP="00D142EA">
            <w:pPr>
              <w:spacing w:line="240" w:lineRule="auto"/>
              <w:rPr>
                <w:rFonts w:eastAsia="Times New Roman" w:cs="Arial"/>
                <w:szCs w:val="24"/>
              </w:rPr>
            </w:pPr>
          </w:p>
        </w:tc>
        <w:tc>
          <w:tcPr>
            <w:tcW w:w="3192" w:type="dxa"/>
          </w:tcPr>
          <w:p w14:paraId="49973BAF" w14:textId="64E7206C" w:rsidR="00D142EA" w:rsidRPr="00D142EA" w:rsidRDefault="00D142EA" w:rsidP="00D142EA">
            <w:pPr>
              <w:spacing w:line="240" w:lineRule="auto"/>
              <w:rPr>
                <w:rFonts w:eastAsia="Times New Roman" w:cs="Arial"/>
                <w:szCs w:val="24"/>
              </w:rPr>
            </w:pPr>
            <w:r w:rsidRPr="00D142EA">
              <w:rPr>
                <w:szCs w:val="20"/>
              </w:rPr>
              <w:t xml:space="preserve">Хорондален </w:t>
            </w:r>
            <w:r w:rsidRPr="00D142EA">
              <w:rPr>
                <w:b/>
                <w:bCs/>
                <w:i/>
                <w:iCs/>
                <w:szCs w:val="20"/>
              </w:rPr>
              <w:t>излив</w:t>
            </w:r>
          </w:p>
        </w:tc>
        <w:tc>
          <w:tcPr>
            <w:tcW w:w="3192" w:type="dxa"/>
          </w:tcPr>
          <w:p w14:paraId="49D99585" w14:textId="11D3C985"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23682E6F" w14:textId="77777777" w:rsidTr="00D142EA">
        <w:tc>
          <w:tcPr>
            <w:tcW w:w="3192" w:type="dxa"/>
            <w:vMerge w:val="restart"/>
          </w:tcPr>
          <w:p w14:paraId="1E1DAE39" w14:textId="04E6B794" w:rsidR="00D142EA" w:rsidRPr="00D142EA" w:rsidRDefault="00D142EA" w:rsidP="00D142EA">
            <w:pPr>
              <w:spacing w:line="240" w:lineRule="auto"/>
              <w:rPr>
                <w:rFonts w:eastAsia="Times New Roman" w:cs="Arial"/>
                <w:szCs w:val="24"/>
              </w:rPr>
            </w:pPr>
            <w:r w:rsidRPr="00D142EA">
              <w:rPr>
                <w:b/>
                <w:bCs/>
                <w:szCs w:val="20"/>
              </w:rPr>
              <w:t>Сърдечни нарушения</w:t>
            </w:r>
          </w:p>
        </w:tc>
        <w:tc>
          <w:tcPr>
            <w:tcW w:w="3192" w:type="dxa"/>
          </w:tcPr>
          <w:p w14:paraId="73B17B60" w14:textId="221D6E73" w:rsidR="00D142EA" w:rsidRPr="00D142EA" w:rsidRDefault="00D142EA" w:rsidP="00D142EA">
            <w:pPr>
              <w:spacing w:line="240" w:lineRule="auto"/>
              <w:rPr>
                <w:rFonts w:eastAsia="Times New Roman" w:cs="Arial"/>
                <w:szCs w:val="24"/>
              </w:rPr>
            </w:pPr>
            <w:r w:rsidRPr="00D142EA">
              <w:rPr>
                <w:szCs w:val="20"/>
              </w:rPr>
              <w:t>Аритмия</w:t>
            </w:r>
          </w:p>
        </w:tc>
        <w:tc>
          <w:tcPr>
            <w:tcW w:w="3192" w:type="dxa"/>
          </w:tcPr>
          <w:p w14:paraId="7AD6F454" w14:textId="5E2308C4"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2F545E59" w14:textId="77777777" w:rsidTr="00D142EA">
        <w:tc>
          <w:tcPr>
            <w:tcW w:w="3192" w:type="dxa"/>
            <w:vMerge/>
          </w:tcPr>
          <w:p w14:paraId="6ECA0BCC" w14:textId="77777777" w:rsidR="00D142EA" w:rsidRPr="00D142EA" w:rsidRDefault="00D142EA" w:rsidP="00D142EA">
            <w:pPr>
              <w:spacing w:line="240" w:lineRule="auto"/>
              <w:rPr>
                <w:rFonts w:eastAsia="Times New Roman" w:cs="Arial"/>
                <w:szCs w:val="24"/>
              </w:rPr>
            </w:pPr>
          </w:p>
        </w:tc>
        <w:tc>
          <w:tcPr>
            <w:tcW w:w="3192" w:type="dxa"/>
          </w:tcPr>
          <w:p w14:paraId="58338925" w14:textId="011442FD" w:rsidR="00D142EA" w:rsidRPr="00D142EA" w:rsidRDefault="00D142EA" w:rsidP="00D142EA">
            <w:pPr>
              <w:spacing w:line="240" w:lineRule="auto"/>
              <w:rPr>
                <w:rFonts w:eastAsia="Times New Roman" w:cs="Arial"/>
                <w:szCs w:val="24"/>
              </w:rPr>
            </w:pPr>
            <w:r w:rsidRPr="00D142EA">
              <w:rPr>
                <w:szCs w:val="20"/>
                <w:lang w:val="en-US"/>
              </w:rPr>
              <w:t>Torsade</w:t>
            </w:r>
            <w:r w:rsidRPr="00D142EA">
              <w:rPr>
                <w:szCs w:val="20"/>
                <w:lang w:val="ru-RU"/>
              </w:rPr>
              <w:t xml:space="preserve"> </w:t>
            </w:r>
            <w:r w:rsidRPr="00D142EA">
              <w:rPr>
                <w:szCs w:val="20"/>
                <w:lang w:val="en-US"/>
              </w:rPr>
              <w:t>de</w:t>
            </w:r>
            <w:r w:rsidRPr="00D142EA">
              <w:rPr>
                <w:szCs w:val="20"/>
                <w:lang w:val="ru-RU"/>
              </w:rPr>
              <w:t xml:space="preserve"> </w:t>
            </w:r>
            <w:r w:rsidRPr="00D142EA">
              <w:rPr>
                <w:szCs w:val="20"/>
                <w:lang w:val="en-US"/>
              </w:rPr>
              <w:t>pointes</w:t>
            </w:r>
            <w:r w:rsidRPr="00D142EA">
              <w:rPr>
                <w:szCs w:val="20"/>
                <w:lang w:val="ru-RU"/>
              </w:rPr>
              <w:t xml:space="preserve"> </w:t>
            </w:r>
            <w:r w:rsidRPr="00D142EA">
              <w:rPr>
                <w:szCs w:val="20"/>
              </w:rPr>
              <w:t>(потенциално фатални) (вж. точки 4.4. и 4.5)</w:t>
            </w:r>
          </w:p>
        </w:tc>
        <w:tc>
          <w:tcPr>
            <w:tcW w:w="3192" w:type="dxa"/>
          </w:tcPr>
          <w:p w14:paraId="4C2129FB" w14:textId="015A9A16"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1673EE0A" w14:textId="77777777" w:rsidTr="00D142EA">
        <w:tc>
          <w:tcPr>
            <w:tcW w:w="3192" w:type="dxa"/>
          </w:tcPr>
          <w:p w14:paraId="52B43FD7" w14:textId="6207C2A1" w:rsidR="00D142EA" w:rsidRPr="00D142EA" w:rsidRDefault="00D142EA" w:rsidP="00D142EA">
            <w:pPr>
              <w:spacing w:line="240" w:lineRule="auto"/>
              <w:rPr>
                <w:rFonts w:eastAsia="Times New Roman" w:cs="Arial"/>
                <w:szCs w:val="24"/>
              </w:rPr>
            </w:pPr>
            <w:r w:rsidRPr="00D142EA">
              <w:rPr>
                <w:b/>
                <w:bCs/>
                <w:szCs w:val="20"/>
              </w:rPr>
              <w:t>Съдови нарушения</w:t>
            </w:r>
          </w:p>
        </w:tc>
        <w:tc>
          <w:tcPr>
            <w:tcW w:w="3192" w:type="dxa"/>
          </w:tcPr>
          <w:p w14:paraId="68020E31" w14:textId="5EC27D9E" w:rsidR="00D142EA" w:rsidRPr="00D142EA" w:rsidRDefault="00D142EA" w:rsidP="00D142EA">
            <w:pPr>
              <w:spacing w:line="240" w:lineRule="auto"/>
              <w:rPr>
                <w:rFonts w:eastAsia="Times New Roman" w:cs="Arial"/>
                <w:szCs w:val="24"/>
              </w:rPr>
            </w:pPr>
            <w:r w:rsidRPr="00D142EA">
              <w:rPr>
                <w:szCs w:val="20"/>
              </w:rPr>
              <w:t>Хипотония</w:t>
            </w:r>
          </w:p>
        </w:tc>
        <w:tc>
          <w:tcPr>
            <w:tcW w:w="3192" w:type="dxa"/>
          </w:tcPr>
          <w:p w14:paraId="31E76E01" w14:textId="6659FC26"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0B1387EF" w14:textId="77777777" w:rsidTr="00D142EA">
        <w:tc>
          <w:tcPr>
            <w:tcW w:w="3192" w:type="dxa"/>
            <w:vMerge w:val="restart"/>
          </w:tcPr>
          <w:p w14:paraId="787FA8A8" w14:textId="252B3145" w:rsidR="00D142EA" w:rsidRPr="00D142EA" w:rsidRDefault="00D142EA" w:rsidP="00D142EA">
            <w:pPr>
              <w:spacing w:line="240" w:lineRule="auto"/>
              <w:rPr>
                <w:rFonts w:eastAsia="Times New Roman" w:cs="Arial"/>
                <w:szCs w:val="24"/>
              </w:rPr>
            </w:pPr>
            <w:r w:rsidRPr="00D142EA">
              <w:rPr>
                <w:b/>
                <w:bCs/>
                <w:szCs w:val="20"/>
              </w:rPr>
              <w:t>Стомашно-чревни нарушения</w:t>
            </w:r>
          </w:p>
        </w:tc>
        <w:tc>
          <w:tcPr>
            <w:tcW w:w="3192" w:type="dxa"/>
          </w:tcPr>
          <w:p w14:paraId="5476299E" w14:textId="050DFA63" w:rsidR="00D142EA" w:rsidRPr="00D142EA" w:rsidRDefault="00D142EA" w:rsidP="00D142EA">
            <w:pPr>
              <w:spacing w:line="240" w:lineRule="auto"/>
              <w:rPr>
                <w:rFonts w:eastAsia="Times New Roman" w:cs="Arial"/>
                <w:szCs w:val="24"/>
              </w:rPr>
            </w:pPr>
            <w:r w:rsidRPr="00D142EA">
              <w:rPr>
                <w:szCs w:val="20"/>
              </w:rPr>
              <w:t>Повръщане</w:t>
            </w:r>
          </w:p>
        </w:tc>
        <w:tc>
          <w:tcPr>
            <w:tcW w:w="3192" w:type="dxa"/>
          </w:tcPr>
          <w:p w14:paraId="54278483" w14:textId="044B6509" w:rsidR="00D142EA" w:rsidRPr="00D142EA" w:rsidRDefault="00D142EA" w:rsidP="00D142EA">
            <w:pPr>
              <w:spacing w:line="240" w:lineRule="auto"/>
              <w:rPr>
                <w:rFonts w:eastAsia="Times New Roman" w:cs="Arial"/>
                <w:szCs w:val="24"/>
              </w:rPr>
            </w:pPr>
            <w:r w:rsidRPr="00D142EA">
              <w:rPr>
                <w:szCs w:val="20"/>
              </w:rPr>
              <w:t>Нечести</w:t>
            </w:r>
          </w:p>
        </w:tc>
      </w:tr>
      <w:tr w:rsidR="00D142EA" w14:paraId="693AA329" w14:textId="77777777" w:rsidTr="00D142EA">
        <w:tc>
          <w:tcPr>
            <w:tcW w:w="3192" w:type="dxa"/>
            <w:vMerge/>
          </w:tcPr>
          <w:p w14:paraId="07529659" w14:textId="77777777" w:rsidR="00D142EA" w:rsidRPr="00D142EA" w:rsidRDefault="00D142EA" w:rsidP="00D142EA">
            <w:pPr>
              <w:spacing w:line="240" w:lineRule="auto"/>
              <w:rPr>
                <w:rFonts w:eastAsia="Times New Roman" w:cs="Arial"/>
                <w:szCs w:val="24"/>
              </w:rPr>
            </w:pPr>
          </w:p>
        </w:tc>
        <w:tc>
          <w:tcPr>
            <w:tcW w:w="3192" w:type="dxa"/>
          </w:tcPr>
          <w:p w14:paraId="065E827E" w14:textId="5B6FBF2B" w:rsidR="00D142EA" w:rsidRPr="00D142EA" w:rsidRDefault="00D142EA" w:rsidP="00D142EA">
            <w:pPr>
              <w:spacing w:line="240" w:lineRule="auto"/>
              <w:rPr>
                <w:rFonts w:eastAsia="Times New Roman" w:cs="Arial"/>
                <w:szCs w:val="24"/>
              </w:rPr>
            </w:pPr>
            <w:r w:rsidRPr="00D142EA">
              <w:rPr>
                <w:szCs w:val="20"/>
              </w:rPr>
              <w:t>Гадене</w:t>
            </w:r>
          </w:p>
        </w:tc>
        <w:tc>
          <w:tcPr>
            <w:tcW w:w="3192" w:type="dxa"/>
          </w:tcPr>
          <w:p w14:paraId="72C0CB0D" w14:textId="6905B799" w:rsidR="00D142EA" w:rsidRPr="00D142EA" w:rsidRDefault="00D142EA" w:rsidP="00D142EA">
            <w:pPr>
              <w:spacing w:line="240" w:lineRule="auto"/>
              <w:rPr>
                <w:rFonts w:eastAsia="Times New Roman" w:cs="Arial"/>
                <w:szCs w:val="24"/>
              </w:rPr>
            </w:pPr>
            <w:r w:rsidRPr="00D142EA">
              <w:rPr>
                <w:szCs w:val="20"/>
              </w:rPr>
              <w:t>Редки</w:t>
            </w:r>
          </w:p>
        </w:tc>
      </w:tr>
      <w:tr w:rsidR="00D142EA" w14:paraId="7FC8D0E5" w14:textId="77777777" w:rsidTr="00D142EA">
        <w:tc>
          <w:tcPr>
            <w:tcW w:w="3192" w:type="dxa"/>
            <w:vMerge/>
          </w:tcPr>
          <w:p w14:paraId="09925C66" w14:textId="77777777" w:rsidR="00D142EA" w:rsidRPr="00D142EA" w:rsidRDefault="00D142EA" w:rsidP="00D142EA">
            <w:pPr>
              <w:spacing w:line="240" w:lineRule="auto"/>
              <w:rPr>
                <w:rFonts w:eastAsia="Times New Roman" w:cs="Arial"/>
                <w:szCs w:val="24"/>
              </w:rPr>
            </w:pPr>
          </w:p>
        </w:tc>
        <w:tc>
          <w:tcPr>
            <w:tcW w:w="3192" w:type="dxa"/>
          </w:tcPr>
          <w:p w14:paraId="4EEF7C3C" w14:textId="1B6166C4" w:rsidR="00D142EA" w:rsidRPr="00D142EA" w:rsidRDefault="00D142EA" w:rsidP="00D142EA">
            <w:pPr>
              <w:spacing w:line="240" w:lineRule="auto"/>
              <w:rPr>
                <w:rFonts w:eastAsia="Times New Roman" w:cs="Arial"/>
                <w:szCs w:val="24"/>
              </w:rPr>
            </w:pPr>
            <w:r w:rsidRPr="00D142EA">
              <w:rPr>
                <w:szCs w:val="20"/>
              </w:rPr>
              <w:t>Запек</w:t>
            </w:r>
          </w:p>
        </w:tc>
        <w:tc>
          <w:tcPr>
            <w:tcW w:w="3192" w:type="dxa"/>
          </w:tcPr>
          <w:p w14:paraId="547DF911" w14:textId="02B01C30" w:rsidR="00D142EA" w:rsidRPr="00D142EA" w:rsidRDefault="00D142EA" w:rsidP="00D142EA">
            <w:pPr>
              <w:spacing w:line="240" w:lineRule="auto"/>
              <w:rPr>
                <w:rFonts w:eastAsia="Times New Roman" w:cs="Arial"/>
                <w:szCs w:val="24"/>
              </w:rPr>
            </w:pPr>
            <w:r w:rsidRPr="00D142EA">
              <w:rPr>
                <w:szCs w:val="20"/>
              </w:rPr>
              <w:t>Редки</w:t>
            </w:r>
          </w:p>
        </w:tc>
      </w:tr>
      <w:tr w:rsidR="00D142EA" w14:paraId="75629009" w14:textId="77777777" w:rsidTr="00D142EA">
        <w:tc>
          <w:tcPr>
            <w:tcW w:w="3192" w:type="dxa"/>
            <w:vMerge/>
          </w:tcPr>
          <w:p w14:paraId="5602EB95" w14:textId="77777777" w:rsidR="00D142EA" w:rsidRPr="00D142EA" w:rsidRDefault="00D142EA" w:rsidP="00D142EA">
            <w:pPr>
              <w:spacing w:line="240" w:lineRule="auto"/>
              <w:rPr>
                <w:rFonts w:eastAsia="Times New Roman" w:cs="Arial"/>
                <w:szCs w:val="24"/>
              </w:rPr>
            </w:pPr>
          </w:p>
        </w:tc>
        <w:tc>
          <w:tcPr>
            <w:tcW w:w="3192" w:type="dxa"/>
          </w:tcPr>
          <w:p w14:paraId="49149FDA" w14:textId="39360CA5" w:rsidR="00D142EA" w:rsidRPr="00D142EA" w:rsidRDefault="00D142EA" w:rsidP="00D142EA">
            <w:pPr>
              <w:spacing w:line="240" w:lineRule="auto"/>
              <w:rPr>
                <w:rFonts w:eastAsia="Times New Roman" w:cs="Arial"/>
                <w:szCs w:val="24"/>
              </w:rPr>
            </w:pPr>
            <w:r w:rsidRPr="00D142EA">
              <w:rPr>
                <w:szCs w:val="20"/>
              </w:rPr>
              <w:t>Сухота в устата</w:t>
            </w:r>
          </w:p>
        </w:tc>
        <w:tc>
          <w:tcPr>
            <w:tcW w:w="3192" w:type="dxa"/>
          </w:tcPr>
          <w:p w14:paraId="3745372D" w14:textId="698FDA0D" w:rsidR="00D142EA" w:rsidRPr="00D142EA" w:rsidRDefault="00D142EA" w:rsidP="00D142EA">
            <w:pPr>
              <w:spacing w:line="240" w:lineRule="auto"/>
              <w:rPr>
                <w:rFonts w:eastAsia="Times New Roman" w:cs="Arial"/>
                <w:szCs w:val="24"/>
              </w:rPr>
            </w:pPr>
            <w:r w:rsidRPr="00D142EA">
              <w:rPr>
                <w:szCs w:val="20"/>
              </w:rPr>
              <w:t>Редки</w:t>
            </w:r>
          </w:p>
        </w:tc>
      </w:tr>
      <w:tr w:rsidR="00D142EA" w14:paraId="06A3738B" w14:textId="77777777" w:rsidTr="00D142EA">
        <w:tc>
          <w:tcPr>
            <w:tcW w:w="3192" w:type="dxa"/>
            <w:vMerge/>
          </w:tcPr>
          <w:p w14:paraId="613CAF8A" w14:textId="77777777" w:rsidR="00D142EA" w:rsidRPr="00D142EA" w:rsidRDefault="00D142EA" w:rsidP="00D142EA">
            <w:pPr>
              <w:spacing w:line="240" w:lineRule="auto"/>
              <w:rPr>
                <w:rFonts w:eastAsia="Times New Roman" w:cs="Arial"/>
                <w:szCs w:val="24"/>
              </w:rPr>
            </w:pPr>
          </w:p>
        </w:tc>
        <w:tc>
          <w:tcPr>
            <w:tcW w:w="3192" w:type="dxa"/>
          </w:tcPr>
          <w:p w14:paraId="70272E27" w14:textId="4EAD19D6" w:rsidR="00D142EA" w:rsidRPr="00D142EA" w:rsidRDefault="00D142EA" w:rsidP="00D142EA">
            <w:pPr>
              <w:spacing w:line="240" w:lineRule="auto"/>
              <w:rPr>
                <w:rFonts w:eastAsia="Times New Roman" w:cs="Arial"/>
                <w:szCs w:val="24"/>
              </w:rPr>
            </w:pPr>
            <w:r w:rsidRPr="00D142EA">
              <w:rPr>
                <w:szCs w:val="20"/>
              </w:rPr>
              <w:t>Панкреатит</w:t>
            </w:r>
          </w:p>
        </w:tc>
        <w:tc>
          <w:tcPr>
            <w:tcW w:w="3192" w:type="dxa"/>
          </w:tcPr>
          <w:p w14:paraId="2A227306" w14:textId="61C4FCE8"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76EDD0D7" w14:textId="77777777" w:rsidTr="00D142EA">
        <w:tc>
          <w:tcPr>
            <w:tcW w:w="3192" w:type="dxa"/>
            <w:vMerge w:val="restart"/>
          </w:tcPr>
          <w:p w14:paraId="47943E1D" w14:textId="5D274C23" w:rsidR="00D142EA" w:rsidRPr="00D142EA" w:rsidRDefault="00D142EA" w:rsidP="00D142EA">
            <w:pPr>
              <w:spacing w:line="240" w:lineRule="auto"/>
              <w:rPr>
                <w:rFonts w:eastAsia="Times New Roman" w:cs="Arial"/>
                <w:szCs w:val="24"/>
              </w:rPr>
            </w:pPr>
            <w:r w:rsidRPr="00D142EA">
              <w:rPr>
                <w:b/>
                <w:bCs/>
                <w:szCs w:val="20"/>
              </w:rPr>
              <w:t>Хепатобилиарни нарушения</w:t>
            </w:r>
          </w:p>
        </w:tc>
        <w:tc>
          <w:tcPr>
            <w:tcW w:w="3192" w:type="dxa"/>
          </w:tcPr>
          <w:p w14:paraId="1D1FB53B" w14:textId="47A0BE38" w:rsidR="00D142EA" w:rsidRPr="00D142EA" w:rsidRDefault="00D142EA" w:rsidP="00D142EA">
            <w:pPr>
              <w:spacing w:line="240" w:lineRule="auto"/>
              <w:rPr>
                <w:rFonts w:eastAsia="Times New Roman" w:cs="Arial"/>
                <w:szCs w:val="24"/>
              </w:rPr>
            </w:pPr>
            <w:r w:rsidRPr="00D142EA">
              <w:rPr>
                <w:szCs w:val="20"/>
              </w:rPr>
              <w:t>Абнормна чернодробна функция</w:t>
            </w:r>
          </w:p>
        </w:tc>
        <w:tc>
          <w:tcPr>
            <w:tcW w:w="3192" w:type="dxa"/>
          </w:tcPr>
          <w:p w14:paraId="647851FA" w14:textId="7CAE4C92"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3EBF56EA" w14:textId="77777777" w:rsidTr="00D142EA">
        <w:tc>
          <w:tcPr>
            <w:tcW w:w="3192" w:type="dxa"/>
            <w:vMerge/>
          </w:tcPr>
          <w:p w14:paraId="1C71ACF6" w14:textId="77777777" w:rsidR="00D142EA" w:rsidRPr="00D142EA" w:rsidRDefault="00D142EA" w:rsidP="00D142EA">
            <w:pPr>
              <w:spacing w:line="240" w:lineRule="auto"/>
              <w:rPr>
                <w:rFonts w:eastAsia="Times New Roman" w:cs="Arial"/>
                <w:szCs w:val="24"/>
              </w:rPr>
            </w:pPr>
          </w:p>
        </w:tc>
        <w:tc>
          <w:tcPr>
            <w:tcW w:w="3192" w:type="dxa"/>
          </w:tcPr>
          <w:p w14:paraId="50051FB9" w14:textId="45BC8243" w:rsidR="00D142EA" w:rsidRPr="00D142EA" w:rsidRDefault="00D142EA" w:rsidP="00D142EA">
            <w:pPr>
              <w:spacing w:line="240" w:lineRule="auto"/>
              <w:rPr>
                <w:rFonts w:eastAsia="Times New Roman" w:cs="Arial"/>
                <w:szCs w:val="24"/>
              </w:rPr>
            </w:pPr>
            <w:r w:rsidRPr="00D142EA">
              <w:rPr>
                <w:szCs w:val="20"/>
              </w:rPr>
              <w:t>При наличие на чернодробна недостатъчност може да се наблюдава чернодробна енцефалопатия (вж. точки 4.3 и 4.4).</w:t>
            </w:r>
          </w:p>
        </w:tc>
        <w:tc>
          <w:tcPr>
            <w:tcW w:w="3192" w:type="dxa"/>
          </w:tcPr>
          <w:p w14:paraId="6F9EEB8C" w14:textId="6BDE1CAE"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0EB24078" w14:textId="77777777" w:rsidTr="00D142EA">
        <w:tc>
          <w:tcPr>
            <w:tcW w:w="3192" w:type="dxa"/>
            <w:vMerge/>
          </w:tcPr>
          <w:p w14:paraId="4D762EFE" w14:textId="77777777" w:rsidR="00D142EA" w:rsidRPr="00D142EA" w:rsidRDefault="00D142EA" w:rsidP="00D142EA">
            <w:pPr>
              <w:spacing w:line="240" w:lineRule="auto"/>
              <w:rPr>
                <w:rFonts w:eastAsia="Times New Roman" w:cs="Arial"/>
                <w:szCs w:val="24"/>
              </w:rPr>
            </w:pPr>
          </w:p>
        </w:tc>
        <w:tc>
          <w:tcPr>
            <w:tcW w:w="3192" w:type="dxa"/>
          </w:tcPr>
          <w:p w14:paraId="49F593E6" w14:textId="42FF1EF8" w:rsidR="00D142EA" w:rsidRPr="00D142EA" w:rsidRDefault="00D142EA" w:rsidP="00D142EA">
            <w:pPr>
              <w:spacing w:line="240" w:lineRule="auto"/>
              <w:rPr>
                <w:rFonts w:eastAsia="Times New Roman" w:cs="Arial"/>
                <w:szCs w:val="24"/>
              </w:rPr>
            </w:pPr>
            <w:r w:rsidRPr="00D142EA">
              <w:rPr>
                <w:szCs w:val="20"/>
              </w:rPr>
              <w:t>Хепатит</w:t>
            </w:r>
          </w:p>
        </w:tc>
        <w:tc>
          <w:tcPr>
            <w:tcW w:w="3192" w:type="dxa"/>
          </w:tcPr>
          <w:p w14:paraId="6D37BF49" w14:textId="5053EF54"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6A5A824E" w14:textId="77777777" w:rsidTr="00D142EA">
        <w:tc>
          <w:tcPr>
            <w:tcW w:w="3192" w:type="dxa"/>
          </w:tcPr>
          <w:p w14:paraId="675FF343" w14:textId="3F113E2F" w:rsidR="00D142EA" w:rsidRPr="00D142EA" w:rsidRDefault="00D142EA" w:rsidP="00D142EA">
            <w:pPr>
              <w:spacing w:line="240" w:lineRule="auto"/>
              <w:rPr>
                <w:rFonts w:eastAsia="Times New Roman" w:cs="Arial"/>
                <w:szCs w:val="24"/>
              </w:rPr>
            </w:pPr>
            <w:r w:rsidRPr="00D142EA">
              <w:rPr>
                <w:b/>
                <w:bCs/>
                <w:szCs w:val="20"/>
              </w:rPr>
              <w:t>Нарушения на кожата и подкожната тъкан</w:t>
            </w:r>
          </w:p>
        </w:tc>
        <w:tc>
          <w:tcPr>
            <w:tcW w:w="3192" w:type="dxa"/>
          </w:tcPr>
          <w:p w14:paraId="67044FF7" w14:textId="1AF99104" w:rsidR="00D142EA" w:rsidRPr="00D142EA" w:rsidRDefault="00D142EA" w:rsidP="00D142EA">
            <w:pPr>
              <w:rPr>
                <w:rFonts w:ascii="Times New Roman" w:eastAsia="Times New Roman" w:hAnsi="Times New Roman" w:cs="Times New Roman"/>
                <w:sz w:val="24"/>
                <w:szCs w:val="24"/>
              </w:rPr>
            </w:pPr>
            <w:r w:rsidRPr="00D142EA">
              <w:t>Реакции на свръхчувствителност, предимно дерматологични, при пациенти</w:t>
            </w:r>
            <w:r>
              <w:t xml:space="preserve"> </w:t>
            </w:r>
            <w:r w:rsidRPr="00D142EA">
              <w:t>с предразположеност към алергични и астматични реакции</w:t>
            </w:r>
          </w:p>
        </w:tc>
        <w:tc>
          <w:tcPr>
            <w:tcW w:w="3192" w:type="dxa"/>
          </w:tcPr>
          <w:p w14:paraId="2B7CB5E3" w14:textId="680713DD" w:rsidR="00D142EA" w:rsidRPr="00D142EA" w:rsidRDefault="00D142EA" w:rsidP="00D142EA">
            <w:pPr>
              <w:spacing w:line="240" w:lineRule="auto"/>
              <w:rPr>
                <w:rFonts w:eastAsia="Times New Roman" w:cs="Arial"/>
                <w:szCs w:val="24"/>
              </w:rPr>
            </w:pPr>
            <w:r w:rsidRPr="00D142EA">
              <w:rPr>
                <w:szCs w:val="20"/>
              </w:rPr>
              <w:t>Чести</w:t>
            </w:r>
          </w:p>
        </w:tc>
      </w:tr>
      <w:tr w:rsidR="00D142EA" w14:paraId="46032BA7" w14:textId="77777777" w:rsidTr="00D142EA">
        <w:tc>
          <w:tcPr>
            <w:tcW w:w="3192" w:type="dxa"/>
          </w:tcPr>
          <w:p w14:paraId="2D45D70F" w14:textId="77777777" w:rsidR="00D142EA" w:rsidRDefault="00D142EA" w:rsidP="00D142EA">
            <w:pPr>
              <w:spacing w:line="240" w:lineRule="auto"/>
              <w:rPr>
                <w:rFonts w:eastAsia="Times New Roman" w:cs="Arial"/>
                <w:sz w:val="28"/>
                <w:szCs w:val="24"/>
              </w:rPr>
            </w:pPr>
          </w:p>
        </w:tc>
        <w:tc>
          <w:tcPr>
            <w:tcW w:w="3192" w:type="dxa"/>
          </w:tcPr>
          <w:p w14:paraId="6B58236D" w14:textId="2B86C5F0" w:rsidR="00D142EA" w:rsidRPr="00D142EA" w:rsidRDefault="00D142EA" w:rsidP="00D142EA">
            <w:pPr>
              <w:spacing w:line="240" w:lineRule="auto"/>
              <w:rPr>
                <w:rFonts w:eastAsia="Times New Roman" w:cs="Arial"/>
                <w:szCs w:val="24"/>
              </w:rPr>
            </w:pPr>
            <w:r w:rsidRPr="00D142EA">
              <w:rPr>
                <w:szCs w:val="20"/>
              </w:rPr>
              <w:t>Макулопапуларни обриви</w:t>
            </w:r>
          </w:p>
        </w:tc>
        <w:tc>
          <w:tcPr>
            <w:tcW w:w="3192" w:type="dxa"/>
          </w:tcPr>
          <w:p w14:paraId="2F5409A8" w14:textId="6C644D45" w:rsidR="00D142EA" w:rsidRPr="00D142EA" w:rsidRDefault="00D142EA" w:rsidP="00D142EA">
            <w:pPr>
              <w:spacing w:line="240" w:lineRule="auto"/>
              <w:rPr>
                <w:rFonts w:eastAsia="Times New Roman" w:cs="Arial"/>
                <w:szCs w:val="24"/>
              </w:rPr>
            </w:pPr>
            <w:r w:rsidRPr="00D142EA">
              <w:rPr>
                <w:szCs w:val="20"/>
              </w:rPr>
              <w:t>Чести</w:t>
            </w:r>
          </w:p>
        </w:tc>
      </w:tr>
      <w:tr w:rsidR="00D142EA" w14:paraId="4DC24F2A" w14:textId="77777777" w:rsidTr="00D142EA">
        <w:tc>
          <w:tcPr>
            <w:tcW w:w="3192" w:type="dxa"/>
          </w:tcPr>
          <w:p w14:paraId="02AE734C" w14:textId="77777777" w:rsidR="00D142EA" w:rsidRDefault="00D142EA" w:rsidP="00D142EA">
            <w:pPr>
              <w:spacing w:line="240" w:lineRule="auto"/>
              <w:rPr>
                <w:rFonts w:eastAsia="Times New Roman" w:cs="Arial"/>
                <w:sz w:val="28"/>
                <w:szCs w:val="24"/>
              </w:rPr>
            </w:pPr>
          </w:p>
        </w:tc>
        <w:tc>
          <w:tcPr>
            <w:tcW w:w="3192" w:type="dxa"/>
          </w:tcPr>
          <w:p w14:paraId="7989E4FA" w14:textId="5EF53C09" w:rsidR="00D142EA" w:rsidRPr="00D142EA" w:rsidRDefault="00D142EA" w:rsidP="00D142EA">
            <w:pPr>
              <w:spacing w:line="240" w:lineRule="auto"/>
              <w:rPr>
                <w:rFonts w:eastAsia="Times New Roman" w:cs="Arial"/>
                <w:szCs w:val="24"/>
              </w:rPr>
            </w:pPr>
            <w:r w:rsidRPr="00D142EA">
              <w:rPr>
                <w:szCs w:val="20"/>
              </w:rPr>
              <w:t>Пурпура</w:t>
            </w:r>
          </w:p>
        </w:tc>
        <w:tc>
          <w:tcPr>
            <w:tcW w:w="3192" w:type="dxa"/>
          </w:tcPr>
          <w:p w14:paraId="3A2237C5" w14:textId="010D1BBC" w:rsidR="00D142EA" w:rsidRPr="00D142EA" w:rsidRDefault="00D142EA" w:rsidP="00D142EA">
            <w:pPr>
              <w:spacing w:line="240" w:lineRule="auto"/>
              <w:rPr>
                <w:rFonts w:eastAsia="Times New Roman" w:cs="Arial"/>
                <w:szCs w:val="24"/>
              </w:rPr>
            </w:pPr>
            <w:r w:rsidRPr="00D142EA">
              <w:rPr>
                <w:szCs w:val="20"/>
              </w:rPr>
              <w:t>Нечести</w:t>
            </w:r>
          </w:p>
        </w:tc>
      </w:tr>
      <w:tr w:rsidR="00D142EA" w14:paraId="2D21C442" w14:textId="77777777" w:rsidTr="00D142EA">
        <w:tc>
          <w:tcPr>
            <w:tcW w:w="3192" w:type="dxa"/>
          </w:tcPr>
          <w:p w14:paraId="3263ECDA" w14:textId="77777777" w:rsidR="00D142EA" w:rsidRDefault="00D142EA" w:rsidP="00D142EA">
            <w:pPr>
              <w:spacing w:line="240" w:lineRule="auto"/>
              <w:rPr>
                <w:rFonts w:eastAsia="Times New Roman" w:cs="Arial"/>
                <w:sz w:val="28"/>
                <w:szCs w:val="24"/>
              </w:rPr>
            </w:pPr>
          </w:p>
        </w:tc>
        <w:tc>
          <w:tcPr>
            <w:tcW w:w="3192" w:type="dxa"/>
          </w:tcPr>
          <w:p w14:paraId="3E8244EE" w14:textId="6EEDB570" w:rsidR="00D142EA" w:rsidRPr="00D142EA" w:rsidRDefault="00D142EA" w:rsidP="00D142EA">
            <w:pPr>
              <w:spacing w:line="240" w:lineRule="auto"/>
              <w:rPr>
                <w:rFonts w:eastAsia="Times New Roman" w:cs="Arial"/>
                <w:szCs w:val="24"/>
              </w:rPr>
            </w:pPr>
            <w:r w:rsidRPr="00D142EA">
              <w:rPr>
                <w:szCs w:val="20"/>
              </w:rPr>
              <w:t>Ангионевротичен едем</w:t>
            </w:r>
          </w:p>
        </w:tc>
        <w:tc>
          <w:tcPr>
            <w:tcW w:w="3192" w:type="dxa"/>
          </w:tcPr>
          <w:p w14:paraId="269B4138" w14:textId="30568818"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1146BA29" w14:textId="77777777" w:rsidTr="00D142EA">
        <w:tc>
          <w:tcPr>
            <w:tcW w:w="3192" w:type="dxa"/>
          </w:tcPr>
          <w:p w14:paraId="0372D353" w14:textId="77777777" w:rsidR="00D142EA" w:rsidRDefault="00D142EA" w:rsidP="00D142EA">
            <w:pPr>
              <w:spacing w:line="240" w:lineRule="auto"/>
              <w:rPr>
                <w:rFonts w:eastAsia="Times New Roman" w:cs="Arial"/>
                <w:sz w:val="28"/>
                <w:szCs w:val="24"/>
              </w:rPr>
            </w:pPr>
          </w:p>
        </w:tc>
        <w:tc>
          <w:tcPr>
            <w:tcW w:w="3192" w:type="dxa"/>
          </w:tcPr>
          <w:p w14:paraId="6721C53B" w14:textId="02AFD039" w:rsidR="00D142EA" w:rsidRPr="00D142EA" w:rsidRDefault="00D142EA" w:rsidP="00D142EA">
            <w:pPr>
              <w:spacing w:line="240" w:lineRule="auto"/>
              <w:rPr>
                <w:rFonts w:eastAsia="Times New Roman" w:cs="Arial"/>
                <w:szCs w:val="24"/>
              </w:rPr>
            </w:pPr>
            <w:r w:rsidRPr="00D142EA">
              <w:rPr>
                <w:szCs w:val="20"/>
              </w:rPr>
              <w:t>Уртикария</w:t>
            </w:r>
          </w:p>
        </w:tc>
        <w:tc>
          <w:tcPr>
            <w:tcW w:w="3192" w:type="dxa"/>
          </w:tcPr>
          <w:p w14:paraId="15985D79" w14:textId="2DD3C378"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269196D9" w14:textId="77777777" w:rsidTr="00D142EA">
        <w:tc>
          <w:tcPr>
            <w:tcW w:w="3192" w:type="dxa"/>
          </w:tcPr>
          <w:p w14:paraId="61606A25" w14:textId="77777777" w:rsidR="00D142EA" w:rsidRDefault="00D142EA" w:rsidP="00D142EA">
            <w:pPr>
              <w:spacing w:line="240" w:lineRule="auto"/>
              <w:rPr>
                <w:rFonts w:eastAsia="Times New Roman" w:cs="Arial"/>
                <w:sz w:val="28"/>
                <w:szCs w:val="24"/>
              </w:rPr>
            </w:pPr>
          </w:p>
        </w:tc>
        <w:tc>
          <w:tcPr>
            <w:tcW w:w="3192" w:type="dxa"/>
          </w:tcPr>
          <w:p w14:paraId="4AD4F092" w14:textId="2FFEA53E" w:rsidR="00D142EA" w:rsidRPr="00D142EA" w:rsidRDefault="00D142EA" w:rsidP="00D142EA">
            <w:pPr>
              <w:spacing w:line="240" w:lineRule="auto"/>
              <w:rPr>
                <w:rFonts w:eastAsia="Times New Roman" w:cs="Arial"/>
                <w:szCs w:val="24"/>
              </w:rPr>
            </w:pPr>
            <w:r w:rsidRPr="00D142EA">
              <w:rPr>
                <w:szCs w:val="20"/>
              </w:rPr>
              <w:t>Токсична епидермална некролиза</w:t>
            </w:r>
          </w:p>
        </w:tc>
        <w:tc>
          <w:tcPr>
            <w:tcW w:w="3192" w:type="dxa"/>
          </w:tcPr>
          <w:p w14:paraId="661DF6CA" w14:textId="5716136A"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1CFD316F" w14:textId="77777777" w:rsidTr="00D142EA">
        <w:tc>
          <w:tcPr>
            <w:tcW w:w="3192" w:type="dxa"/>
          </w:tcPr>
          <w:p w14:paraId="3A54D926" w14:textId="77777777" w:rsidR="00D142EA" w:rsidRDefault="00D142EA" w:rsidP="00D142EA">
            <w:pPr>
              <w:spacing w:line="240" w:lineRule="auto"/>
              <w:rPr>
                <w:rFonts w:eastAsia="Times New Roman" w:cs="Arial"/>
                <w:sz w:val="28"/>
                <w:szCs w:val="24"/>
              </w:rPr>
            </w:pPr>
          </w:p>
        </w:tc>
        <w:tc>
          <w:tcPr>
            <w:tcW w:w="3192" w:type="dxa"/>
          </w:tcPr>
          <w:p w14:paraId="641B6A3C" w14:textId="04F3A5D3" w:rsidR="00D142EA" w:rsidRPr="00D142EA" w:rsidRDefault="00D142EA" w:rsidP="00D142EA">
            <w:pPr>
              <w:spacing w:line="240" w:lineRule="auto"/>
              <w:rPr>
                <w:rFonts w:eastAsia="Times New Roman" w:cs="Arial"/>
                <w:szCs w:val="24"/>
              </w:rPr>
            </w:pPr>
            <w:r w:rsidRPr="00D142EA">
              <w:rPr>
                <w:szCs w:val="20"/>
              </w:rPr>
              <w:t xml:space="preserve">Синдром на </w:t>
            </w:r>
            <w:r w:rsidRPr="00D142EA">
              <w:rPr>
                <w:szCs w:val="20"/>
                <w:lang w:val="en-US"/>
              </w:rPr>
              <w:t>Stevens-Johnson</w:t>
            </w:r>
          </w:p>
        </w:tc>
        <w:tc>
          <w:tcPr>
            <w:tcW w:w="3192" w:type="dxa"/>
          </w:tcPr>
          <w:p w14:paraId="0AC75B10" w14:textId="122D3ABD"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6D1E9C20" w14:textId="77777777" w:rsidTr="00D142EA">
        <w:tc>
          <w:tcPr>
            <w:tcW w:w="3192" w:type="dxa"/>
          </w:tcPr>
          <w:p w14:paraId="385E20C7" w14:textId="77777777" w:rsidR="00D142EA" w:rsidRDefault="00D142EA" w:rsidP="00D142EA">
            <w:pPr>
              <w:spacing w:line="240" w:lineRule="auto"/>
              <w:rPr>
                <w:rFonts w:eastAsia="Times New Roman" w:cs="Arial"/>
                <w:sz w:val="28"/>
                <w:szCs w:val="24"/>
              </w:rPr>
            </w:pPr>
          </w:p>
        </w:tc>
        <w:tc>
          <w:tcPr>
            <w:tcW w:w="3192" w:type="dxa"/>
          </w:tcPr>
          <w:p w14:paraId="0E1C47A4" w14:textId="6C332924" w:rsidR="00D142EA" w:rsidRPr="00D142EA" w:rsidRDefault="00D142EA" w:rsidP="00D142EA">
            <w:pPr>
              <w:spacing w:line="240" w:lineRule="auto"/>
              <w:rPr>
                <w:rFonts w:eastAsia="Times New Roman" w:cs="Arial"/>
                <w:szCs w:val="24"/>
              </w:rPr>
            </w:pPr>
            <w:r w:rsidRPr="00D142EA">
              <w:rPr>
                <w:szCs w:val="20"/>
              </w:rPr>
              <w:t>Възможно влошаване на предварително съществуващ остър дисеминиран лупус еритематодес</w:t>
            </w:r>
          </w:p>
        </w:tc>
        <w:tc>
          <w:tcPr>
            <w:tcW w:w="3192" w:type="dxa"/>
          </w:tcPr>
          <w:p w14:paraId="6DF50DC8" w14:textId="01BE4B09"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48D1C864" w14:textId="77777777" w:rsidTr="00D142EA">
        <w:tc>
          <w:tcPr>
            <w:tcW w:w="3192" w:type="dxa"/>
          </w:tcPr>
          <w:p w14:paraId="4A587C2C" w14:textId="77777777" w:rsidR="00D142EA" w:rsidRDefault="00D142EA" w:rsidP="00D142EA">
            <w:pPr>
              <w:spacing w:line="240" w:lineRule="auto"/>
              <w:rPr>
                <w:rFonts w:eastAsia="Times New Roman" w:cs="Arial"/>
                <w:sz w:val="28"/>
                <w:szCs w:val="24"/>
              </w:rPr>
            </w:pPr>
          </w:p>
        </w:tc>
        <w:tc>
          <w:tcPr>
            <w:tcW w:w="3192" w:type="dxa"/>
          </w:tcPr>
          <w:p w14:paraId="3FA08A43" w14:textId="7C513C9B" w:rsidR="00D142EA" w:rsidRPr="00D142EA" w:rsidRDefault="00D142EA" w:rsidP="00D142EA">
            <w:pPr>
              <w:spacing w:line="240" w:lineRule="auto"/>
              <w:rPr>
                <w:rFonts w:eastAsia="Times New Roman" w:cs="Arial"/>
                <w:szCs w:val="24"/>
              </w:rPr>
            </w:pPr>
            <w:r w:rsidRPr="00D142EA">
              <w:rPr>
                <w:szCs w:val="20"/>
              </w:rPr>
              <w:t>Реакции на фотосенсибилизация (вж. точка 4.4)</w:t>
            </w:r>
          </w:p>
        </w:tc>
        <w:tc>
          <w:tcPr>
            <w:tcW w:w="3192" w:type="dxa"/>
          </w:tcPr>
          <w:p w14:paraId="0CE503DC" w14:textId="538F0A2F"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1ACE5B7E" w14:textId="77777777" w:rsidTr="00D142EA">
        <w:tc>
          <w:tcPr>
            <w:tcW w:w="3192" w:type="dxa"/>
          </w:tcPr>
          <w:p w14:paraId="33018A62" w14:textId="62F489F0" w:rsidR="00D142EA" w:rsidRPr="00D142EA" w:rsidRDefault="00D142EA" w:rsidP="00D142EA">
            <w:pPr>
              <w:spacing w:line="240" w:lineRule="auto"/>
              <w:rPr>
                <w:rFonts w:eastAsia="Times New Roman" w:cs="Arial"/>
                <w:szCs w:val="24"/>
              </w:rPr>
            </w:pPr>
            <w:r w:rsidRPr="00D142EA">
              <w:rPr>
                <w:b/>
                <w:bCs/>
                <w:szCs w:val="20"/>
              </w:rPr>
              <w:t>Нарушения на бъбреците и пикочните пътища</w:t>
            </w:r>
          </w:p>
        </w:tc>
        <w:tc>
          <w:tcPr>
            <w:tcW w:w="3192" w:type="dxa"/>
          </w:tcPr>
          <w:p w14:paraId="5D269436" w14:textId="5A5CAD54" w:rsidR="00D142EA" w:rsidRPr="00D142EA" w:rsidRDefault="00D142EA" w:rsidP="00D142EA">
            <w:pPr>
              <w:spacing w:line="240" w:lineRule="auto"/>
              <w:rPr>
                <w:rFonts w:eastAsia="Times New Roman" w:cs="Arial"/>
                <w:szCs w:val="24"/>
              </w:rPr>
            </w:pPr>
            <w:r w:rsidRPr="00D142EA">
              <w:rPr>
                <w:szCs w:val="20"/>
              </w:rPr>
              <w:t>Бъбречна недостатъчност</w:t>
            </w:r>
          </w:p>
        </w:tc>
        <w:tc>
          <w:tcPr>
            <w:tcW w:w="3192" w:type="dxa"/>
          </w:tcPr>
          <w:p w14:paraId="2C10C7D1" w14:textId="307253FF" w:rsidR="00D142EA" w:rsidRPr="00D142EA" w:rsidRDefault="00D142EA" w:rsidP="00D142EA">
            <w:pPr>
              <w:spacing w:line="240" w:lineRule="auto"/>
              <w:rPr>
                <w:rFonts w:eastAsia="Times New Roman" w:cs="Arial"/>
                <w:szCs w:val="24"/>
              </w:rPr>
            </w:pPr>
            <w:r w:rsidRPr="00D142EA">
              <w:rPr>
                <w:szCs w:val="20"/>
              </w:rPr>
              <w:t>Много редки</w:t>
            </w:r>
          </w:p>
        </w:tc>
      </w:tr>
      <w:tr w:rsidR="00D142EA" w14:paraId="427CC658" w14:textId="77777777" w:rsidTr="00D142EA">
        <w:tc>
          <w:tcPr>
            <w:tcW w:w="3192" w:type="dxa"/>
            <w:vMerge w:val="restart"/>
          </w:tcPr>
          <w:p w14:paraId="7998BDF2" w14:textId="2D0D275E" w:rsidR="00D142EA" w:rsidRPr="00D142EA" w:rsidRDefault="00D142EA" w:rsidP="00D142EA">
            <w:pPr>
              <w:spacing w:line="240" w:lineRule="auto"/>
              <w:rPr>
                <w:rFonts w:eastAsia="Times New Roman" w:cs="Arial"/>
                <w:szCs w:val="24"/>
              </w:rPr>
            </w:pPr>
            <w:r w:rsidRPr="00D142EA">
              <w:rPr>
                <w:b/>
                <w:bCs/>
                <w:szCs w:val="20"/>
              </w:rPr>
              <w:t>Нарушения на мускулно-скелетната система и съединителната тъкан</w:t>
            </w:r>
          </w:p>
        </w:tc>
        <w:tc>
          <w:tcPr>
            <w:tcW w:w="3192" w:type="dxa"/>
          </w:tcPr>
          <w:p w14:paraId="73BBF08F" w14:textId="6CAC10CB" w:rsidR="00D142EA" w:rsidRPr="00D142EA" w:rsidRDefault="00D142EA" w:rsidP="00D142EA">
            <w:pPr>
              <w:spacing w:line="240" w:lineRule="auto"/>
              <w:rPr>
                <w:rFonts w:eastAsia="Times New Roman" w:cs="Arial"/>
                <w:szCs w:val="24"/>
              </w:rPr>
            </w:pPr>
            <w:r w:rsidRPr="00D142EA">
              <w:rPr>
                <w:szCs w:val="20"/>
              </w:rPr>
              <w:t>Мускулни спазми</w:t>
            </w:r>
          </w:p>
        </w:tc>
        <w:tc>
          <w:tcPr>
            <w:tcW w:w="3192" w:type="dxa"/>
          </w:tcPr>
          <w:p w14:paraId="0C08A3B3" w14:textId="200D3F2C"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2F2D318F" w14:textId="77777777" w:rsidTr="00D142EA">
        <w:tc>
          <w:tcPr>
            <w:tcW w:w="3192" w:type="dxa"/>
            <w:vMerge/>
          </w:tcPr>
          <w:p w14:paraId="47D20046" w14:textId="77777777" w:rsidR="00D142EA" w:rsidRPr="00D142EA" w:rsidRDefault="00D142EA" w:rsidP="00D142EA">
            <w:pPr>
              <w:spacing w:line="240" w:lineRule="auto"/>
              <w:rPr>
                <w:rFonts w:eastAsia="Times New Roman" w:cs="Arial"/>
                <w:szCs w:val="24"/>
              </w:rPr>
            </w:pPr>
          </w:p>
        </w:tc>
        <w:tc>
          <w:tcPr>
            <w:tcW w:w="3192" w:type="dxa"/>
          </w:tcPr>
          <w:p w14:paraId="5E616341" w14:textId="373D458A" w:rsidR="00D142EA" w:rsidRPr="00D142EA" w:rsidRDefault="00D142EA" w:rsidP="00D142EA">
            <w:pPr>
              <w:spacing w:line="240" w:lineRule="auto"/>
              <w:rPr>
                <w:rFonts w:eastAsia="Times New Roman" w:cs="Arial"/>
                <w:szCs w:val="24"/>
              </w:rPr>
            </w:pPr>
            <w:r w:rsidRPr="00D142EA">
              <w:rPr>
                <w:szCs w:val="20"/>
              </w:rPr>
              <w:t>Мускулна слабост</w:t>
            </w:r>
          </w:p>
        </w:tc>
        <w:tc>
          <w:tcPr>
            <w:tcW w:w="3192" w:type="dxa"/>
          </w:tcPr>
          <w:p w14:paraId="5929AF0B" w14:textId="44A18EB5"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3A1096A5" w14:textId="77777777" w:rsidTr="00D142EA">
        <w:tc>
          <w:tcPr>
            <w:tcW w:w="3192" w:type="dxa"/>
            <w:vMerge/>
          </w:tcPr>
          <w:p w14:paraId="73D2F863" w14:textId="77777777" w:rsidR="00D142EA" w:rsidRPr="00D142EA" w:rsidRDefault="00D142EA" w:rsidP="00D142EA">
            <w:pPr>
              <w:spacing w:line="240" w:lineRule="auto"/>
              <w:rPr>
                <w:rFonts w:eastAsia="Times New Roman" w:cs="Arial"/>
                <w:szCs w:val="24"/>
              </w:rPr>
            </w:pPr>
          </w:p>
        </w:tc>
        <w:tc>
          <w:tcPr>
            <w:tcW w:w="3192" w:type="dxa"/>
          </w:tcPr>
          <w:p w14:paraId="7F8FEC11" w14:textId="04EC8BDA" w:rsidR="00D142EA" w:rsidRPr="00D142EA" w:rsidRDefault="00D142EA" w:rsidP="00D142EA">
            <w:pPr>
              <w:spacing w:line="240" w:lineRule="auto"/>
              <w:rPr>
                <w:rFonts w:eastAsia="Times New Roman" w:cs="Arial"/>
                <w:szCs w:val="24"/>
              </w:rPr>
            </w:pPr>
            <w:r w:rsidRPr="00D142EA">
              <w:rPr>
                <w:szCs w:val="20"/>
              </w:rPr>
              <w:t>Миалгия</w:t>
            </w:r>
          </w:p>
        </w:tc>
        <w:tc>
          <w:tcPr>
            <w:tcW w:w="3192" w:type="dxa"/>
          </w:tcPr>
          <w:p w14:paraId="4F603CFD" w14:textId="01BDD25C"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6B7D5065" w14:textId="77777777" w:rsidTr="00D142EA">
        <w:tc>
          <w:tcPr>
            <w:tcW w:w="3192" w:type="dxa"/>
            <w:vMerge/>
          </w:tcPr>
          <w:p w14:paraId="296FFE87" w14:textId="77777777" w:rsidR="00D142EA" w:rsidRPr="00D142EA" w:rsidRDefault="00D142EA" w:rsidP="00D142EA">
            <w:pPr>
              <w:spacing w:line="240" w:lineRule="auto"/>
              <w:rPr>
                <w:rFonts w:eastAsia="Times New Roman" w:cs="Arial"/>
                <w:szCs w:val="24"/>
              </w:rPr>
            </w:pPr>
          </w:p>
        </w:tc>
        <w:tc>
          <w:tcPr>
            <w:tcW w:w="3192" w:type="dxa"/>
          </w:tcPr>
          <w:p w14:paraId="48843891" w14:textId="6A3BD4AF" w:rsidR="00D142EA" w:rsidRPr="00D142EA" w:rsidRDefault="00D142EA" w:rsidP="00D142EA">
            <w:pPr>
              <w:spacing w:line="240" w:lineRule="auto"/>
              <w:rPr>
                <w:rFonts w:eastAsia="Times New Roman" w:cs="Arial"/>
                <w:szCs w:val="24"/>
              </w:rPr>
            </w:pPr>
            <w:r w:rsidRPr="00D142EA">
              <w:rPr>
                <w:szCs w:val="20"/>
              </w:rPr>
              <w:t>Рабдомиолиза</w:t>
            </w:r>
          </w:p>
        </w:tc>
        <w:tc>
          <w:tcPr>
            <w:tcW w:w="3192" w:type="dxa"/>
          </w:tcPr>
          <w:p w14:paraId="137ADD02" w14:textId="145B1F70"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436E955B" w14:textId="77777777" w:rsidTr="00D142EA">
        <w:tc>
          <w:tcPr>
            <w:tcW w:w="3192" w:type="dxa"/>
          </w:tcPr>
          <w:p w14:paraId="41821526" w14:textId="06D1B859" w:rsidR="00D142EA" w:rsidRPr="00D142EA" w:rsidRDefault="00D142EA" w:rsidP="00D142EA">
            <w:pPr>
              <w:spacing w:line="240" w:lineRule="auto"/>
              <w:rPr>
                <w:rFonts w:eastAsia="Times New Roman" w:cs="Arial"/>
                <w:szCs w:val="24"/>
              </w:rPr>
            </w:pPr>
            <w:r w:rsidRPr="00D142EA">
              <w:rPr>
                <w:b/>
                <w:bCs/>
                <w:szCs w:val="20"/>
              </w:rPr>
              <w:t>Нарушения на репродуктивната система и гърдата</w:t>
            </w:r>
          </w:p>
        </w:tc>
        <w:tc>
          <w:tcPr>
            <w:tcW w:w="3192" w:type="dxa"/>
          </w:tcPr>
          <w:p w14:paraId="3672205B" w14:textId="3699EBB3" w:rsidR="00D142EA" w:rsidRPr="00D142EA" w:rsidRDefault="00D142EA" w:rsidP="00D142EA">
            <w:pPr>
              <w:spacing w:line="240" w:lineRule="auto"/>
              <w:rPr>
                <w:rFonts w:eastAsia="Times New Roman" w:cs="Arial"/>
                <w:szCs w:val="24"/>
              </w:rPr>
            </w:pPr>
            <w:r w:rsidRPr="00D142EA">
              <w:rPr>
                <w:szCs w:val="20"/>
              </w:rPr>
              <w:t>Еректилна дисфункция</w:t>
            </w:r>
          </w:p>
        </w:tc>
        <w:tc>
          <w:tcPr>
            <w:tcW w:w="3192" w:type="dxa"/>
          </w:tcPr>
          <w:p w14:paraId="53501CD2" w14:textId="49F402CD" w:rsidR="00D142EA" w:rsidRPr="00D142EA" w:rsidRDefault="00D142EA" w:rsidP="00D142EA">
            <w:pPr>
              <w:spacing w:line="240" w:lineRule="auto"/>
              <w:rPr>
                <w:rFonts w:eastAsia="Times New Roman" w:cs="Arial"/>
                <w:szCs w:val="24"/>
              </w:rPr>
            </w:pPr>
            <w:r w:rsidRPr="00D142EA">
              <w:rPr>
                <w:szCs w:val="20"/>
              </w:rPr>
              <w:t>Нечести</w:t>
            </w:r>
          </w:p>
        </w:tc>
      </w:tr>
      <w:tr w:rsidR="00D142EA" w14:paraId="15AD5B08" w14:textId="77777777" w:rsidTr="00D142EA">
        <w:tc>
          <w:tcPr>
            <w:tcW w:w="3192" w:type="dxa"/>
            <w:vMerge w:val="restart"/>
          </w:tcPr>
          <w:p w14:paraId="0464A193" w14:textId="311C44F8" w:rsidR="00D142EA" w:rsidRPr="00D142EA" w:rsidRDefault="00D142EA" w:rsidP="00D142EA">
            <w:pPr>
              <w:spacing w:line="240" w:lineRule="auto"/>
              <w:rPr>
                <w:rFonts w:eastAsia="Times New Roman" w:cs="Arial"/>
                <w:szCs w:val="24"/>
              </w:rPr>
            </w:pPr>
            <w:r w:rsidRPr="00D142EA">
              <w:rPr>
                <w:b/>
                <w:bCs/>
                <w:szCs w:val="20"/>
              </w:rPr>
              <w:t>Изследвания</w:t>
            </w:r>
          </w:p>
        </w:tc>
        <w:tc>
          <w:tcPr>
            <w:tcW w:w="3192" w:type="dxa"/>
          </w:tcPr>
          <w:p w14:paraId="23972BE4" w14:textId="248EB769" w:rsidR="00D142EA" w:rsidRPr="00D142EA" w:rsidRDefault="00D142EA" w:rsidP="00D142EA">
            <w:pPr>
              <w:spacing w:line="240" w:lineRule="auto"/>
              <w:rPr>
                <w:rFonts w:eastAsia="Times New Roman" w:cs="Arial"/>
                <w:szCs w:val="24"/>
              </w:rPr>
            </w:pPr>
            <w:r w:rsidRPr="00D142EA">
              <w:rPr>
                <w:szCs w:val="20"/>
              </w:rPr>
              <w:t xml:space="preserve">ЕКГ удължен </w:t>
            </w:r>
            <w:r w:rsidRPr="00D142EA">
              <w:rPr>
                <w:szCs w:val="20"/>
                <w:lang w:val="en-US"/>
              </w:rPr>
              <w:t>QT</w:t>
            </w:r>
            <w:r w:rsidRPr="00D142EA">
              <w:rPr>
                <w:szCs w:val="20"/>
                <w:lang w:val="ru-RU"/>
              </w:rPr>
              <w:t xml:space="preserve"> </w:t>
            </w:r>
            <w:r w:rsidRPr="00D142EA">
              <w:rPr>
                <w:szCs w:val="20"/>
              </w:rPr>
              <w:t>интервал (вж. точка 4.4 и 4.5)</w:t>
            </w:r>
          </w:p>
        </w:tc>
        <w:tc>
          <w:tcPr>
            <w:tcW w:w="3192" w:type="dxa"/>
          </w:tcPr>
          <w:p w14:paraId="797B9919" w14:textId="121EFE68"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6D3784B5" w14:textId="77777777" w:rsidTr="00D142EA">
        <w:tc>
          <w:tcPr>
            <w:tcW w:w="3192" w:type="dxa"/>
            <w:vMerge/>
          </w:tcPr>
          <w:p w14:paraId="3689FAA1" w14:textId="77777777" w:rsidR="00D142EA" w:rsidRPr="00D142EA" w:rsidRDefault="00D142EA" w:rsidP="00D142EA">
            <w:pPr>
              <w:spacing w:line="240" w:lineRule="auto"/>
              <w:rPr>
                <w:rFonts w:eastAsia="Times New Roman" w:cs="Arial"/>
                <w:szCs w:val="24"/>
              </w:rPr>
            </w:pPr>
          </w:p>
        </w:tc>
        <w:tc>
          <w:tcPr>
            <w:tcW w:w="3192" w:type="dxa"/>
          </w:tcPr>
          <w:p w14:paraId="6660B938" w14:textId="4A12854B" w:rsidR="00D142EA" w:rsidRPr="00D142EA" w:rsidRDefault="00D142EA" w:rsidP="00D142EA">
            <w:pPr>
              <w:spacing w:line="240" w:lineRule="auto"/>
              <w:rPr>
                <w:rFonts w:eastAsia="Times New Roman" w:cs="Arial"/>
                <w:szCs w:val="24"/>
              </w:rPr>
            </w:pPr>
            <w:r w:rsidRPr="00D142EA">
              <w:rPr>
                <w:szCs w:val="20"/>
              </w:rPr>
              <w:t>Повишени стойности на глюкозата в кръвта</w:t>
            </w:r>
          </w:p>
        </w:tc>
        <w:tc>
          <w:tcPr>
            <w:tcW w:w="3192" w:type="dxa"/>
          </w:tcPr>
          <w:p w14:paraId="27AE852B" w14:textId="439059D9"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3D8A3EF4" w14:textId="77777777" w:rsidTr="00D142EA">
        <w:tc>
          <w:tcPr>
            <w:tcW w:w="3192" w:type="dxa"/>
            <w:vMerge/>
          </w:tcPr>
          <w:p w14:paraId="05EAF58A" w14:textId="77777777" w:rsidR="00D142EA" w:rsidRPr="00D142EA" w:rsidRDefault="00D142EA" w:rsidP="00D142EA">
            <w:pPr>
              <w:spacing w:line="240" w:lineRule="auto"/>
              <w:rPr>
                <w:rFonts w:eastAsia="Times New Roman" w:cs="Arial"/>
                <w:szCs w:val="24"/>
              </w:rPr>
            </w:pPr>
          </w:p>
        </w:tc>
        <w:tc>
          <w:tcPr>
            <w:tcW w:w="3192" w:type="dxa"/>
          </w:tcPr>
          <w:p w14:paraId="21DA6442" w14:textId="13D3BE3D" w:rsidR="00D142EA" w:rsidRPr="00D142EA" w:rsidRDefault="00D142EA" w:rsidP="00D142EA">
            <w:pPr>
              <w:spacing w:line="240" w:lineRule="auto"/>
              <w:rPr>
                <w:rFonts w:eastAsia="Times New Roman" w:cs="Arial"/>
                <w:szCs w:val="24"/>
              </w:rPr>
            </w:pPr>
            <w:r w:rsidRPr="00D142EA">
              <w:rPr>
                <w:szCs w:val="20"/>
              </w:rPr>
              <w:t>Повишени стойности на пикочната киселина в кръвта</w:t>
            </w:r>
          </w:p>
        </w:tc>
        <w:tc>
          <w:tcPr>
            <w:tcW w:w="3192" w:type="dxa"/>
          </w:tcPr>
          <w:p w14:paraId="5245097F" w14:textId="3D35ECEC" w:rsidR="00D142EA" w:rsidRPr="00D142EA" w:rsidRDefault="00D142EA" w:rsidP="00D142EA">
            <w:pPr>
              <w:spacing w:line="240" w:lineRule="auto"/>
              <w:rPr>
                <w:rFonts w:eastAsia="Times New Roman" w:cs="Arial"/>
                <w:szCs w:val="24"/>
              </w:rPr>
            </w:pPr>
            <w:r w:rsidRPr="00D142EA">
              <w:rPr>
                <w:szCs w:val="20"/>
              </w:rPr>
              <w:t>С неизвестна честота</w:t>
            </w:r>
          </w:p>
        </w:tc>
      </w:tr>
      <w:tr w:rsidR="00D142EA" w14:paraId="091CCCD4" w14:textId="77777777" w:rsidTr="00D142EA">
        <w:tc>
          <w:tcPr>
            <w:tcW w:w="3192" w:type="dxa"/>
            <w:vMerge/>
          </w:tcPr>
          <w:p w14:paraId="7B9DED1B" w14:textId="77777777" w:rsidR="00D142EA" w:rsidRPr="00D142EA" w:rsidRDefault="00D142EA" w:rsidP="00D142EA">
            <w:pPr>
              <w:spacing w:line="240" w:lineRule="auto"/>
              <w:rPr>
                <w:rFonts w:eastAsia="Times New Roman" w:cs="Arial"/>
                <w:szCs w:val="24"/>
              </w:rPr>
            </w:pPr>
          </w:p>
        </w:tc>
        <w:tc>
          <w:tcPr>
            <w:tcW w:w="3192" w:type="dxa"/>
          </w:tcPr>
          <w:p w14:paraId="749E162C" w14:textId="58CEED81" w:rsidR="00D142EA" w:rsidRPr="00D142EA" w:rsidRDefault="00D142EA" w:rsidP="00D142EA">
            <w:pPr>
              <w:spacing w:line="240" w:lineRule="auto"/>
              <w:rPr>
                <w:rFonts w:eastAsia="Times New Roman" w:cs="Arial"/>
                <w:szCs w:val="24"/>
              </w:rPr>
            </w:pPr>
            <w:r w:rsidRPr="00D142EA">
              <w:rPr>
                <w:szCs w:val="20"/>
              </w:rPr>
              <w:t>Повишаване на чернодробните ензими</w:t>
            </w:r>
          </w:p>
        </w:tc>
        <w:tc>
          <w:tcPr>
            <w:tcW w:w="3192" w:type="dxa"/>
          </w:tcPr>
          <w:p w14:paraId="6FC58F71" w14:textId="157A4A8D" w:rsidR="00D142EA" w:rsidRPr="00D142EA" w:rsidRDefault="00D142EA" w:rsidP="00D142EA">
            <w:pPr>
              <w:spacing w:line="240" w:lineRule="auto"/>
              <w:rPr>
                <w:rFonts w:eastAsia="Times New Roman" w:cs="Arial"/>
                <w:szCs w:val="24"/>
              </w:rPr>
            </w:pPr>
            <w:r w:rsidRPr="00D142EA">
              <w:rPr>
                <w:szCs w:val="20"/>
              </w:rPr>
              <w:t>С неизвестна честота</w:t>
            </w:r>
          </w:p>
        </w:tc>
      </w:tr>
    </w:tbl>
    <w:p w14:paraId="41527483" w14:textId="77777777" w:rsidR="00D142EA" w:rsidRPr="00D142EA" w:rsidRDefault="00D142EA" w:rsidP="00D142EA">
      <w:pPr>
        <w:spacing w:line="240" w:lineRule="auto"/>
        <w:rPr>
          <w:rFonts w:eastAsia="Times New Roman" w:cs="Arial"/>
          <w:sz w:val="28"/>
          <w:szCs w:val="24"/>
        </w:rPr>
      </w:pPr>
    </w:p>
    <w:p w14:paraId="0A244E22" w14:textId="77777777" w:rsidR="00D142EA" w:rsidRPr="00D142EA" w:rsidRDefault="00D142EA" w:rsidP="00D142EA">
      <w:pPr>
        <w:spacing w:line="240" w:lineRule="auto"/>
        <w:rPr>
          <w:rFonts w:eastAsia="Times New Roman" w:cs="Arial"/>
        </w:rPr>
      </w:pPr>
      <w:r w:rsidRPr="00D142EA">
        <w:rPr>
          <w:rFonts w:eastAsia="Times New Roman" w:cs="Arial"/>
          <w:b/>
          <w:bCs/>
          <w:color w:val="000000"/>
          <w:lang w:eastAsia="bg-BG"/>
        </w:rPr>
        <w:t>Описание на избрани нежелани реакции</w:t>
      </w:r>
    </w:p>
    <w:p w14:paraId="2DD6274C"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t xml:space="preserve">По време на проучванията фаза II и III, сравняващи индапамид 1,5 </w:t>
      </w:r>
      <w:r w:rsidRPr="00D142EA">
        <w:rPr>
          <w:rFonts w:eastAsia="Times New Roman" w:cs="Arial"/>
          <w:color w:val="000000"/>
          <w:lang w:val="en-US"/>
        </w:rPr>
        <w:t>mg</w:t>
      </w:r>
      <w:r w:rsidRPr="00D142EA">
        <w:rPr>
          <w:rFonts w:eastAsia="Times New Roman" w:cs="Arial"/>
          <w:color w:val="000000"/>
          <w:lang w:val="ru-RU"/>
        </w:rPr>
        <w:t xml:space="preserve"> </w:t>
      </w:r>
      <w:r w:rsidRPr="00D142EA">
        <w:rPr>
          <w:rFonts w:eastAsia="Times New Roman" w:cs="Arial"/>
          <w:color w:val="000000"/>
          <w:lang w:eastAsia="bg-BG"/>
        </w:rPr>
        <w:t xml:space="preserve">с 2,5 </w:t>
      </w:r>
      <w:r w:rsidRPr="00D142EA">
        <w:rPr>
          <w:rFonts w:eastAsia="Times New Roman" w:cs="Arial"/>
          <w:color w:val="000000"/>
          <w:lang w:val="en-US"/>
        </w:rPr>
        <w:t>mg</w:t>
      </w:r>
      <w:r w:rsidRPr="00D142EA">
        <w:rPr>
          <w:rFonts w:eastAsia="Times New Roman" w:cs="Arial"/>
          <w:color w:val="000000"/>
          <w:lang w:val="ru-RU"/>
        </w:rPr>
        <w:t xml:space="preserve">, </w:t>
      </w:r>
      <w:r w:rsidRPr="00D142EA">
        <w:rPr>
          <w:rFonts w:eastAsia="Times New Roman" w:cs="Arial"/>
          <w:color w:val="000000"/>
          <w:lang w:eastAsia="bg-BG"/>
        </w:rPr>
        <w:t>анализите на плазмения калий са показали дозозависим ефект от индапамид:</w:t>
      </w:r>
    </w:p>
    <w:p w14:paraId="0751DCC5" w14:textId="77777777" w:rsidR="00D142EA" w:rsidRPr="00D142EA" w:rsidRDefault="00D142EA" w:rsidP="00D142EA">
      <w:pPr>
        <w:pStyle w:val="ListParagraph"/>
        <w:numPr>
          <w:ilvl w:val="0"/>
          <w:numId w:val="40"/>
        </w:numPr>
        <w:spacing w:line="240" w:lineRule="auto"/>
        <w:rPr>
          <w:rFonts w:eastAsia="Times New Roman" w:cs="Arial"/>
        </w:rPr>
      </w:pPr>
      <w:r w:rsidRPr="00D142EA">
        <w:rPr>
          <w:rFonts w:eastAsia="Times New Roman" w:cs="Arial"/>
          <w:color w:val="000000"/>
          <w:lang w:eastAsia="bg-BG"/>
        </w:rPr>
        <w:t xml:space="preserve">Индапамид 1,5 </w:t>
      </w:r>
      <w:r w:rsidRPr="00D142EA">
        <w:rPr>
          <w:rFonts w:eastAsia="Times New Roman" w:cs="Arial"/>
          <w:color w:val="000000"/>
          <w:lang w:val="en-US"/>
        </w:rPr>
        <w:t>mg</w:t>
      </w:r>
      <w:r w:rsidRPr="00D142EA">
        <w:rPr>
          <w:rFonts w:eastAsia="Times New Roman" w:cs="Arial"/>
          <w:color w:val="000000"/>
          <w:lang w:val="ru-RU"/>
        </w:rPr>
        <w:t xml:space="preserve">: </w:t>
      </w:r>
      <w:r w:rsidRPr="00D142EA">
        <w:rPr>
          <w:rFonts w:eastAsia="Times New Roman" w:cs="Arial"/>
          <w:color w:val="000000"/>
          <w:lang w:eastAsia="bg-BG"/>
        </w:rPr>
        <w:t xml:space="preserve">плазмен калий &lt;3,4 </w:t>
      </w:r>
      <w:proofErr w:type="spellStart"/>
      <w:r w:rsidRPr="00D142EA">
        <w:rPr>
          <w:rFonts w:eastAsia="Times New Roman" w:cs="Arial"/>
          <w:color w:val="000000"/>
          <w:lang w:val="en-US"/>
        </w:rPr>
        <w:t>mmol</w:t>
      </w:r>
      <w:proofErr w:type="spellEnd"/>
      <w:r w:rsidRPr="00D142EA">
        <w:rPr>
          <w:rFonts w:eastAsia="Times New Roman" w:cs="Arial"/>
          <w:color w:val="000000"/>
          <w:lang w:val="ru-RU"/>
        </w:rPr>
        <w:t xml:space="preserve">/1 </w:t>
      </w:r>
      <w:r w:rsidRPr="00D142EA">
        <w:rPr>
          <w:rFonts w:eastAsia="Times New Roman" w:cs="Arial"/>
          <w:color w:val="000000"/>
          <w:lang w:eastAsia="bg-BG"/>
        </w:rPr>
        <w:t xml:space="preserve">е наблюдаван при 10% от пациентите и &lt;3,2 </w:t>
      </w:r>
      <w:proofErr w:type="spellStart"/>
      <w:r w:rsidRPr="00D142EA">
        <w:rPr>
          <w:rFonts w:eastAsia="Times New Roman" w:cs="Arial"/>
          <w:color w:val="000000"/>
          <w:lang w:val="en-US"/>
        </w:rPr>
        <w:t>mmol</w:t>
      </w:r>
      <w:proofErr w:type="spellEnd"/>
      <w:r w:rsidRPr="00D142EA">
        <w:rPr>
          <w:rFonts w:eastAsia="Times New Roman" w:cs="Arial"/>
          <w:color w:val="000000"/>
          <w:lang w:val="ru-RU"/>
        </w:rPr>
        <w:t xml:space="preserve">/1 </w:t>
      </w:r>
      <w:r w:rsidRPr="00D142EA">
        <w:rPr>
          <w:rFonts w:eastAsia="Times New Roman" w:cs="Arial"/>
          <w:color w:val="000000"/>
          <w:lang w:eastAsia="bg-BG"/>
        </w:rPr>
        <w:t xml:space="preserve">при 4% от пациентите след 4 до 6 седмици лечение. След 12-седмично лечение, средното понижение на плазмения калий е било 0,23 </w:t>
      </w:r>
      <w:proofErr w:type="spellStart"/>
      <w:r w:rsidRPr="00D142EA">
        <w:rPr>
          <w:rFonts w:eastAsia="Times New Roman" w:cs="Arial"/>
          <w:color w:val="000000"/>
          <w:lang w:val="en-US"/>
        </w:rPr>
        <w:t>mmol</w:t>
      </w:r>
      <w:proofErr w:type="spellEnd"/>
      <w:r w:rsidRPr="00D142EA">
        <w:rPr>
          <w:rFonts w:eastAsia="Times New Roman" w:cs="Arial"/>
          <w:color w:val="000000"/>
          <w:lang w:val="ru-RU"/>
        </w:rPr>
        <w:t>/1.</w:t>
      </w:r>
    </w:p>
    <w:p w14:paraId="3D2ED259" w14:textId="655BA18F" w:rsidR="00D142EA" w:rsidRPr="00D142EA" w:rsidRDefault="00D142EA" w:rsidP="00D142EA">
      <w:pPr>
        <w:pStyle w:val="ListParagraph"/>
        <w:numPr>
          <w:ilvl w:val="0"/>
          <w:numId w:val="40"/>
        </w:numPr>
        <w:spacing w:line="240" w:lineRule="auto"/>
        <w:rPr>
          <w:rFonts w:eastAsia="Times New Roman" w:cs="Arial"/>
        </w:rPr>
      </w:pPr>
      <w:r w:rsidRPr="00D142EA">
        <w:rPr>
          <w:rFonts w:eastAsia="Times New Roman" w:cs="Arial"/>
          <w:color w:val="000000"/>
          <w:lang w:eastAsia="bg-BG"/>
        </w:rPr>
        <w:t xml:space="preserve">Индапамид 2,5 </w:t>
      </w:r>
      <w:r w:rsidRPr="00D142EA">
        <w:rPr>
          <w:rFonts w:eastAsia="Times New Roman" w:cs="Arial"/>
          <w:color w:val="000000"/>
          <w:lang w:val="en-US"/>
        </w:rPr>
        <w:t>mg</w:t>
      </w:r>
      <w:r w:rsidRPr="00D142EA">
        <w:rPr>
          <w:rFonts w:eastAsia="Times New Roman" w:cs="Arial"/>
          <w:color w:val="000000"/>
          <w:lang w:val="ru-RU"/>
        </w:rPr>
        <w:t xml:space="preserve">: </w:t>
      </w:r>
      <w:r w:rsidRPr="00D142EA">
        <w:rPr>
          <w:rFonts w:eastAsia="Times New Roman" w:cs="Arial"/>
          <w:color w:val="000000"/>
          <w:lang w:eastAsia="bg-BG"/>
        </w:rPr>
        <w:t xml:space="preserve">плазмен калий &lt;3,4 </w:t>
      </w:r>
      <w:proofErr w:type="spellStart"/>
      <w:r w:rsidRPr="00D142EA">
        <w:rPr>
          <w:rFonts w:eastAsia="Times New Roman" w:cs="Arial"/>
          <w:color w:val="000000"/>
          <w:lang w:val="en-US"/>
        </w:rPr>
        <w:t>mmol</w:t>
      </w:r>
      <w:proofErr w:type="spellEnd"/>
      <w:r w:rsidRPr="00D142EA">
        <w:rPr>
          <w:rFonts w:eastAsia="Times New Roman" w:cs="Arial"/>
          <w:color w:val="000000"/>
          <w:lang w:val="ru-RU"/>
        </w:rPr>
        <w:t>/</w:t>
      </w:r>
      <w:r w:rsidRPr="00D142EA">
        <w:rPr>
          <w:rFonts w:eastAsia="Times New Roman" w:cs="Arial"/>
          <w:color w:val="000000"/>
          <w:lang w:val="en-US"/>
        </w:rPr>
        <w:t>l</w:t>
      </w:r>
      <w:r w:rsidRPr="00D142EA">
        <w:rPr>
          <w:rFonts w:eastAsia="Times New Roman" w:cs="Arial"/>
          <w:color w:val="000000"/>
          <w:lang w:val="ru-RU"/>
        </w:rPr>
        <w:t xml:space="preserve"> </w:t>
      </w:r>
      <w:r w:rsidRPr="00D142EA">
        <w:rPr>
          <w:rFonts w:eastAsia="Times New Roman" w:cs="Arial"/>
          <w:color w:val="000000"/>
          <w:lang w:eastAsia="bg-BG"/>
        </w:rPr>
        <w:t xml:space="preserve">е наблюдаван при 25% от пациентите и &lt;3,2 </w:t>
      </w:r>
      <w:proofErr w:type="spellStart"/>
      <w:r w:rsidRPr="00D142EA">
        <w:rPr>
          <w:rFonts w:eastAsia="Times New Roman" w:cs="Arial"/>
          <w:color w:val="000000"/>
          <w:lang w:val="en-US"/>
        </w:rPr>
        <w:t>mmol</w:t>
      </w:r>
      <w:proofErr w:type="spellEnd"/>
      <w:r w:rsidRPr="00D142EA">
        <w:rPr>
          <w:rFonts w:eastAsia="Times New Roman" w:cs="Arial"/>
          <w:color w:val="000000"/>
          <w:lang w:val="ru-RU"/>
        </w:rPr>
        <w:t>/</w:t>
      </w:r>
      <w:r w:rsidRPr="00D142EA">
        <w:rPr>
          <w:rFonts w:eastAsia="Times New Roman" w:cs="Arial"/>
          <w:color w:val="000000"/>
          <w:lang w:val="en-US"/>
        </w:rPr>
        <w:t>l</w:t>
      </w:r>
      <w:r w:rsidRPr="00D142EA">
        <w:rPr>
          <w:rFonts w:eastAsia="Times New Roman" w:cs="Arial"/>
          <w:color w:val="000000"/>
          <w:lang w:val="ru-RU"/>
        </w:rPr>
        <w:t xml:space="preserve"> </w:t>
      </w:r>
      <w:r w:rsidRPr="00D142EA">
        <w:rPr>
          <w:rFonts w:eastAsia="Times New Roman" w:cs="Arial"/>
          <w:color w:val="000000"/>
          <w:lang w:eastAsia="bg-BG"/>
        </w:rPr>
        <w:t xml:space="preserve">при 10% от пациентите след 4 до 6 седмици лечение. След 12-седмично лечение, средното понижение на плазмения калий е било 0,41 </w:t>
      </w:r>
      <w:proofErr w:type="spellStart"/>
      <w:r w:rsidRPr="00D142EA">
        <w:rPr>
          <w:rFonts w:eastAsia="Times New Roman" w:cs="Arial"/>
          <w:color w:val="000000"/>
          <w:lang w:val="en-US"/>
        </w:rPr>
        <w:t>mmol</w:t>
      </w:r>
      <w:proofErr w:type="spellEnd"/>
      <w:r w:rsidRPr="00D142EA">
        <w:rPr>
          <w:rFonts w:eastAsia="Times New Roman" w:cs="Arial"/>
          <w:color w:val="000000"/>
          <w:lang w:val="ru-RU"/>
        </w:rPr>
        <w:t>/1.</w:t>
      </w:r>
    </w:p>
    <w:p w14:paraId="100B8E7E" w14:textId="77777777" w:rsidR="00D142EA" w:rsidRPr="00D142EA" w:rsidRDefault="00D142EA" w:rsidP="00D142EA">
      <w:pPr>
        <w:spacing w:line="240" w:lineRule="auto"/>
        <w:rPr>
          <w:rFonts w:eastAsia="Times New Roman" w:cs="Arial"/>
          <w:color w:val="000000"/>
          <w:u w:val="single"/>
          <w:lang w:eastAsia="bg-BG"/>
        </w:rPr>
      </w:pPr>
    </w:p>
    <w:p w14:paraId="4848638B" w14:textId="6A8F21AB" w:rsidR="00D142EA" w:rsidRPr="00D142EA" w:rsidRDefault="00D142EA" w:rsidP="00D142EA">
      <w:pPr>
        <w:spacing w:line="240" w:lineRule="auto"/>
        <w:rPr>
          <w:rFonts w:eastAsia="Times New Roman" w:cs="Arial"/>
        </w:rPr>
      </w:pPr>
      <w:r w:rsidRPr="00D142EA">
        <w:rPr>
          <w:rFonts w:eastAsia="Times New Roman" w:cs="Arial"/>
          <w:color w:val="000000"/>
          <w:u w:val="single"/>
          <w:lang w:eastAsia="bg-BG"/>
        </w:rPr>
        <w:t>Съобщаване на подозирани нежелани реакции</w:t>
      </w:r>
    </w:p>
    <w:p w14:paraId="1C1FA2B7" w14:textId="77777777" w:rsidR="00D142EA" w:rsidRPr="00D142EA" w:rsidRDefault="00D142EA" w:rsidP="00D142EA">
      <w:pPr>
        <w:spacing w:line="240" w:lineRule="auto"/>
        <w:rPr>
          <w:rFonts w:eastAsia="Times New Roman" w:cs="Arial"/>
        </w:rPr>
      </w:pPr>
      <w:r w:rsidRPr="00D142EA">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02 8903417, уебсайт: </w:t>
      </w:r>
      <w:r w:rsidRPr="00D142EA">
        <w:rPr>
          <w:rFonts w:eastAsia="Times New Roman" w:cs="Arial"/>
        </w:rPr>
        <w:fldChar w:fldCharType="begin"/>
      </w:r>
      <w:r w:rsidRPr="00D142EA">
        <w:rPr>
          <w:rFonts w:eastAsia="Times New Roman" w:cs="Arial"/>
        </w:rPr>
        <w:instrText xml:space="preserve"> HYPERLINK "http://www.bda.bg" </w:instrText>
      </w:r>
      <w:r w:rsidRPr="00D142EA">
        <w:rPr>
          <w:rFonts w:eastAsia="Times New Roman" w:cs="Arial"/>
        </w:rPr>
      </w:r>
      <w:r w:rsidRPr="00D142EA">
        <w:rPr>
          <w:rFonts w:eastAsia="Times New Roman" w:cs="Arial"/>
        </w:rPr>
        <w:fldChar w:fldCharType="separate"/>
      </w:r>
      <w:r w:rsidRPr="00D142EA">
        <w:rPr>
          <w:rFonts w:eastAsia="Times New Roman" w:cs="Arial"/>
          <w:color w:val="000000"/>
          <w:lang w:val="en-US"/>
        </w:rPr>
        <w:t>www</w:t>
      </w:r>
      <w:r w:rsidRPr="00D142EA">
        <w:rPr>
          <w:rFonts w:eastAsia="Times New Roman" w:cs="Arial"/>
          <w:color w:val="000000"/>
          <w:lang w:val="ru-RU"/>
        </w:rPr>
        <w:t>.</w:t>
      </w:r>
      <w:proofErr w:type="spellStart"/>
      <w:r w:rsidRPr="00D142EA">
        <w:rPr>
          <w:rFonts w:eastAsia="Times New Roman" w:cs="Arial"/>
          <w:color w:val="000000"/>
          <w:lang w:val="en-US"/>
        </w:rPr>
        <w:t>bda</w:t>
      </w:r>
      <w:proofErr w:type="spellEnd"/>
      <w:r w:rsidRPr="00D142EA">
        <w:rPr>
          <w:rFonts w:eastAsia="Times New Roman" w:cs="Arial"/>
          <w:color w:val="000000"/>
          <w:lang w:val="ru-RU"/>
        </w:rPr>
        <w:t>.</w:t>
      </w:r>
      <w:proofErr w:type="spellStart"/>
      <w:r w:rsidRPr="00D142EA">
        <w:rPr>
          <w:rFonts w:eastAsia="Times New Roman" w:cs="Arial"/>
          <w:color w:val="000000"/>
          <w:lang w:val="en-US"/>
        </w:rPr>
        <w:t>bg</w:t>
      </w:r>
      <w:proofErr w:type="spellEnd"/>
      <w:r w:rsidRPr="00D142EA">
        <w:rPr>
          <w:rFonts w:eastAsia="Times New Roman" w:cs="Arial"/>
        </w:rPr>
        <w:fldChar w:fldCharType="end"/>
      </w:r>
      <w:r w:rsidRPr="00D142EA">
        <w:rPr>
          <w:rFonts w:eastAsia="Times New Roman" w:cs="Arial"/>
          <w:color w:val="000000"/>
          <w:lang w:val="ru-RU"/>
        </w:rPr>
        <w:t>.</w:t>
      </w:r>
    </w:p>
    <w:p w14:paraId="595B9A11" w14:textId="77777777" w:rsidR="00D142EA" w:rsidRPr="00D142EA" w:rsidRDefault="00D142EA" w:rsidP="00D142EA"/>
    <w:p w14:paraId="5A87DBA3" w14:textId="69044812" w:rsidR="007122AD" w:rsidRDefault="002C50EE" w:rsidP="00936AD0">
      <w:pPr>
        <w:pStyle w:val="Heading2"/>
      </w:pPr>
      <w:r>
        <w:t>4.9. Предозиране</w:t>
      </w:r>
    </w:p>
    <w:p w14:paraId="644DC3A9" w14:textId="16582488" w:rsidR="00D142EA" w:rsidRDefault="00D142EA" w:rsidP="00D142EA"/>
    <w:p w14:paraId="2DB56CDE" w14:textId="77777777" w:rsidR="00D142EA" w:rsidRPr="00D142EA" w:rsidRDefault="00D142EA" w:rsidP="00D142EA">
      <w:pPr>
        <w:pStyle w:val="Heading3"/>
        <w:rPr>
          <w:rFonts w:eastAsia="Times New Roman"/>
          <w:u w:val="single"/>
        </w:rPr>
      </w:pPr>
      <w:r w:rsidRPr="00D142EA">
        <w:rPr>
          <w:rFonts w:eastAsia="Times New Roman"/>
          <w:u w:val="single"/>
          <w:lang w:eastAsia="bg-BG"/>
        </w:rPr>
        <w:t>Симптоми:</w:t>
      </w:r>
    </w:p>
    <w:p w14:paraId="7220F6A4" w14:textId="77777777" w:rsidR="00D142EA" w:rsidRPr="00D142EA" w:rsidRDefault="00D142EA" w:rsidP="00D142EA">
      <w:pPr>
        <w:rPr>
          <w:sz w:val="24"/>
          <w:szCs w:val="24"/>
        </w:rPr>
      </w:pPr>
      <w:r w:rsidRPr="00D142EA">
        <w:rPr>
          <w:lang w:eastAsia="bg-BG"/>
        </w:rPr>
        <w:t xml:space="preserve">Индапамид не е токсичен в дози до 40 </w:t>
      </w:r>
      <w:r w:rsidRPr="00D142EA">
        <w:rPr>
          <w:lang w:val="en-US"/>
        </w:rPr>
        <w:t>mg</w:t>
      </w:r>
      <w:r w:rsidRPr="00D142EA">
        <w:rPr>
          <w:lang w:val="ru-RU"/>
        </w:rPr>
        <w:t xml:space="preserve">, </w:t>
      </w:r>
      <w:r w:rsidRPr="00D142EA">
        <w:rPr>
          <w:lang w:eastAsia="bg-BG"/>
        </w:rPr>
        <w:t>т.е. надвишаваща 27 пъти терапевтичната</w:t>
      </w:r>
      <w:r w:rsidRPr="00D142EA">
        <w:rPr>
          <w:lang w:val="ru-RU"/>
        </w:rPr>
        <w:t xml:space="preserve"> </w:t>
      </w:r>
      <w:r w:rsidRPr="00D142EA">
        <w:rPr>
          <w:lang w:eastAsia="bg-BG"/>
        </w:rPr>
        <w:t>доза Симптомите на остро отравяне преди всичко са под формата на нарушения във водно- електролитния баланс (хипонатриемия, хипокалиемия). Клинично е възможно да се наблюдават</w:t>
      </w:r>
      <w:r>
        <w:rPr>
          <w:lang w:eastAsia="bg-BG"/>
        </w:rPr>
        <w:t xml:space="preserve"> </w:t>
      </w:r>
      <w:r w:rsidRPr="00D142EA">
        <w:rPr>
          <w:lang w:eastAsia="bg-BG"/>
        </w:rPr>
        <w:t>гадене, повръщане, хипотония, крампи, световъртеж, сънливост, обърканост, полиурия или олигурия, възможно достигащи до анурия (чрез хиповолемия).</w:t>
      </w:r>
    </w:p>
    <w:p w14:paraId="01708B71" w14:textId="77777777" w:rsidR="00D142EA" w:rsidRDefault="00D142EA" w:rsidP="00D142EA">
      <w:pPr>
        <w:rPr>
          <w:lang w:eastAsia="bg-BG"/>
        </w:rPr>
      </w:pPr>
    </w:p>
    <w:p w14:paraId="75A2E890" w14:textId="4FA82A6E" w:rsidR="00D142EA" w:rsidRPr="00D142EA" w:rsidRDefault="00D142EA" w:rsidP="00D142EA">
      <w:pPr>
        <w:pStyle w:val="Heading3"/>
        <w:rPr>
          <w:rFonts w:eastAsia="Times New Roman"/>
          <w:u w:val="single"/>
        </w:rPr>
      </w:pPr>
      <w:r w:rsidRPr="00D142EA">
        <w:rPr>
          <w:rFonts w:eastAsia="Times New Roman"/>
          <w:u w:val="single"/>
          <w:lang w:eastAsia="bg-BG"/>
        </w:rPr>
        <w:t>Лечение</w:t>
      </w:r>
    </w:p>
    <w:p w14:paraId="05C0C73D" w14:textId="77777777" w:rsidR="00D142EA" w:rsidRPr="00D142EA" w:rsidRDefault="00D142EA" w:rsidP="00D142EA">
      <w:pPr>
        <w:rPr>
          <w:sz w:val="24"/>
          <w:szCs w:val="24"/>
        </w:rPr>
      </w:pPr>
      <w:r w:rsidRPr="00D142EA">
        <w:rPr>
          <w:lang w:eastAsia="bg-BG"/>
        </w:rPr>
        <w:t>Началните мерки включват бързо елиминиране на поетата субстанция чрез стомашна промивка и/или въвеждане на активен въглен, последвани от възстановяване на водно-електролитния баланс до нормален в специализирано заведение.</w:t>
      </w:r>
    </w:p>
    <w:p w14:paraId="4E7E2BBB" w14:textId="55A21A7B" w:rsidR="00D142EA" w:rsidRPr="00D142EA" w:rsidRDefault="00D142EA" w:rsidP="00D142EA"/>
    <w:p w14:paraId="02081B24" w14:textId="1F46E296" w:rsidR="00395555" w:rsidRPr="00395555" w:rsidRDefault="002C50EE" w:rsidP="008A6AF2">
      <w:pPr>
        <w:pStyle w:val="Heading1"/>
      </w:pPr>
      <w:r>
        <w:t>5. ФАРМАКОЛОГИЧНИ СВОЙСТВА</w:t>
      </w:r>
    </w:p>
    <w:p w14:paraId="7DE36AC8" w14:textId="46DED5DF" w:rsidR="00B6672E" w:rsidRDefault="002C50EE" w:rsidP="00936AD0">
      <w:pPr>
        <w:pStyle w:val="Heading2"/>
      </w:pPr>
      <w:r>
        <w:t>5.1. Фармакодинамични свойства</w:t>
      </w:r>
    </w:p>
    <w:p w14:paraId="6DBFB49C" w14:textId="6E80B463" w:rsidR="00D142EA" w:rsidRDefault="00D142EA" w:rsidP="00D142EA"/>
    <w:p w14:paraId="7E4463DC"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Фармакотерапевтична група: Диуретици. Диуретици с умерено действие с изключение на тиазидите. Сулфонамиди, самостоятелно, АТС код: С03ВА11</w:t>
      </w:r>
    </w:p>
    <w:p w14:paraId="624317F7" w14:textId="77777777" w:rsidR="00D142EA" w:rsidRPr="00D142EA" w:rsidRDefault="00D142EA" w:rsidP="00D142EA">
      <w:pPr>
        <w:spacing w:line="240" w:lineRule="auto"/>
        <w:rPr>
          <w:rFonts w:eastAsia="Times New Roman" w:cs="Arial"/>
          <w:color w:val="000000"/>
          <w:szCs w:val="20"/>
          <w:u w:val="single"/>
          <w:lang w:eastAsia="bg-BG"/>
        </w:rPr>
      </w:pPr>
    </w:p>
    <w:p w14:paraId="20B7EF34" w14:textId="4024E3C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u w:val="single"/>
          <w:lang w:eastAsia="bg-BG"/>
        </w:rPr>
        <w:t>Механизъм на действие</w:t>
      </w:r>
    </w:p>
    <w:p w14:paraId="4B60502B"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Индапамид е сулфонамидно производно с индолов пръстен, фармакологично свързан с тиазидните диуретици, които действат чрез потискане на реабсорбцията на натрия в проксималната част на дисталния тубул. Той повишава уринната екскреция на натрий и хлориди и в по-малка степен - екскрецията на калий и магнезий, като по този начин увеличава отделянето на урина и осъществява антихипертензивно действие.</w:t>
      </w:r>
    </w:p>
    <w:p w14:paraId="48F056E4"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В проучванията фаза II и III при използването на монотерапия се проявява антихипертензивен ефект, който продължава 24 часа. Това се е проявило и при дози със слаб диуретичен ефект.</w:t>
      </w:r>
    </w:p>
    <w:p w14:paraId="3EDD9ADC" w14:textId="77777777" w:rsidR="00D142EA" w:rsidRPr="00D142EA" w:rsidRDefault="00D142EA" w:rsidP="00D142EA">
      <w:pPr>
        <w:spacing w:line="240" w:lineRule="auto"/>
        <w:rPr>
          <w:rFonts w:eastAsia="Times New Roman" w:cs="Arial"/>
          <w:color w:val="000000"/>
          <w:szCs w:val="20"/>
          <w:lang w:eastAsia="bg-BG"/>
        </w:rPr>
      </w:pPr>
    </w:p>
    <w:p w14:paraId="4742376E" w14:textId="42FB544B"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Антихипертензивната активност на индапамид е свързана с подобряване на комплайънса на артериите и намаляване на артериоларната и периферната резистентност.</w:t>
      </w:r>
    </w:p>
    <w:p w14:paraId="25E9517A" w14:textId="77777777" w:rsidR="00D142EA" w:rsidRPr="00D142EA" w:rsidRDefault="00D142EA" w:rsidP="00D142EA">
      <w:pPr>
        <w:spacing w:line="240" w:lineRule="auto"/>
        <w:rPr>
          <w:rFonts w:eastAsia="Times New Roman" w:cs="Arial"/>
          <w:color w:val="000000"/>
          <w:szCs w:val="20"/>
          <w:lang w:eastAsia="bg-BG"/>
        </w:rPr>
      </w:pPr>
    </w:p>
    <w:p w14:paraId="52553F31" w14:textId="568ACD0D"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Индапамид намалява левовентрикулната хипертрофия.</w:t>
      </w:r>
    </w:p>
    <w:p w14:paraId="06833F8E" w14:textId="77777777" w:rsidR="00D142EA" w:rsidRPr="00D142EA" w:rsidRDefault="00D142EA" w:rsidP="00D142EA">
      <w:pPr>
        <w:spacing w:line="240" w:lineRule="auto"/>
        <w:rPr>
          <w:rFonts w:eastAsia="Times New Roman" w:cs="Arial"/>
          <w:color w:val="000000"/>
          <w:szCs w:val="20"/>
          <w:lang w:eastAsia="bg-BG"/>
        </w:rPr>
      </w:pPr>
    </w:p>
    <w:p w14:paraId="2B66188A" w14:textId="02E7826D"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Терапевтичният ефект на тиазидните и сродните диуретици над определена доза придобива формата на плато, докато нежеланите лекарствени реакции продължават да се повишават. Дозата не трябва да се увеличава, ако лечението е неефективно.</w:t>
      </w:r>
    </w:p>
    <w:p w14:paraId="06C82287"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Установено е също, че в краткосрочно, със средна продължителност и продължително лечение на пациенти с хипертония индапамид:</w:t>
      </w:r>
    </w:p>
    <w:p w14:paraId="2B6560DF" w14:textId="77777777" w:rsidR="00D142EA" w:rsidRPr="00D142EA" w:rsidRDefault="00D142EA" w:rsidP="00D142EA">
      <w:pPr>
        <w:pStyle w:val="ListParagraph"/>
        <w:numPr>
          <w:ilvl w:val="0"/>
          <w:numId w:val="40"/>
        </w:numPr>
        <w:spacing w:line="240" w:lineRule="auto"/>
        <w:rPr>
          <w:rFonts w:eastAsia="Times New Roman" w:cs="Arial"/>
          <w:sz w:val="28"/>
          <w:szCs w:val="24"/>
        </w:rPr>
      </w:pPr>
      <w:r w:rsidRPr="00D142EA">
        <w:rPr>
          <w:rFonts w:eastAsia="Times New Roman" w:cs="Arial"/>
          <w:color w:val="000000"/>
          <w:szCs w:val="20"/>
          <w:lang w:eastAsia="bg-BG"/>
        </w:rPr>
        <w:lastRenderedPageBreak/>
        <w:t xml:space="preserve">не оказва влияние върху липидния метаболизъм: триглицериди, </w:t>
      </w:r>
      <w:r w:rsidRPr="00D142EA">
        <w:rPr>
          <w:rFonts w:eastAsia="Times New Roman" w:cs="Arial"/>
          <w:color w:val="000000"/>
          <w:szCs w:val="20"/>
          <w:lang w:val="en-US"/>
        </w:rPr>
        <w:t>LDL</w:t>
      </w:r>
      <w:r w:rsidRPr="00D142EA">
        <w:rPr>
          <w:rFonts w:eastAsia="Times New Roman" w:cs="Arial"/>
          <w:color w:val="000000"/>
          <w:szCs w:val="20"/>
          <w:lang w:eastAsia="bg-BG"/>
        </w:rPr>
        <w:t xml:space="preserve">-холестерол (с ниска плътност) и </w:t>
      </w:r>
      <w:r w:rsidRPr="00D142EA">
        <w:rPr>
          <w:rFonts w:eastAsia="Times New Roman" w:cs="Arial"/>
          <w:color w:val="000000"/>
          <w:szCs w:val="20"/>
          <w:lang w:val="en-US"/>
        </w:rPr>
        <w:t>HDL</w:t>
      </w:r>
      <w:r w:rsidRPr="00D142EA">
        <w:rPr>
          <w:rFonts w:eastAsia="Times New Roman" w:cs="Arial"/>
          <w:color w:val="000000"/>
          <w:szCs w:val="20"/>
          <w:lang w:eastAsia="bg-BG"/>
        </w:rPr>
        <w:t>-холестерол (с висока плътност);</w:t>
      </w:r>
    </w:p>
    <w:p w14:paraId="5A953392" w14:textId="4A898066" w:rsidR="00D142EA" w:rsidRPr="00D142EA" w:rsidRDefault="00D142EA" w:rsidP="00D142EA">
      <w:pPr>
        <w:pStyle w:val="ListParagraph"/>
        <w:numPr>
          <w:ilvl w:val="0"/>
          <w:numId w:val="40"/>
        </w:numPr>
        <w:spacing w:line="240" w:lineRule="auto"/>
        <w:rPr>
          <w:rFonts w:eastAsia="Times New Roman" w:cs="Arial"/>
          <w:sz w:val="28"/>
          <w:szCs w:val="24"/>
        </w:rPr>
      </w:pPr>
      <w:r w:rsidRPr="00D142EA">
        <w:rPr>
          <w:rFonts w:eastAsia="Times New Roman" w:cs="Arial"/>
          <w:color w:val="000000"/>
          <w:szCs w:val="20"/>
          <w:lang w:eastAsia="bg-BG"/>
        </w:rPr>
        <w:t>не оказва влияние върху въглехидратния метаболизъм, дори при пациенти с диабет и хипертония.</w:t>
      </w:r>
    </w:p>
    <w:p w14:paraId="712999A3" w14:textId="63F7F920" w:rsidR="00D142EA" w:rsidRPr="00D142EA" w:rsidRDefault="00D142EA" w:rsidP="00D142EA">
      <w:pPr>
        <w:spacing w:line="240" w:lineRule="auto"/>
        <w:rPr>
          <w:rFonts w:eastAsia="Times New Roman" w:cs="Arial"/>
          <w:sz w:val="28"/>
          <w:szCs w:val="24"/>
        </w:rPr>
      </w:pPr>
    </w:p>
    <w:p w14:paraId="78DD93AA" w14:textId="3B1D24A8" w:rsidR="00B6672E" w:rsidRDefault="002C50EE" w:rsidP="00936AD0">
      <w:pPr>
        <w:pStyle w:val="Heading2"/>
      </w:pPr>
      <w:r>
        <w:t>5.2. Фармакокинетични свойства</w:t>
      </w:r>
    </w:p>
    <w:p w14:paraId="68140750" w14:textId="63697070" w:rsidR="00D142EA" w:rsidRDefault="00D142EA" w:rsidP="00D142EA"/>
    <w:p w14:paraId="5C2570B3"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 xml:space="preserve">Индипам </w:t>
      </w:r>
      <w:r w:rsidRPr="00D142EA">
        <w:rPr>
          <w:rFonts w:eastAsia="Times New Roman" w:cs="Arial"/>
          <w:color w:val="000000"/>
          <w:szCs w:val="20"/>
          <w:lang w:val="en-US"/>
        </w:rPr>
        <w:t>SR</w:t>
      </w:r>
      <w:r w:rsidRPr="00D142EA">
        <w:rPr>
          <w:rFonts w:eastAsia="Times New Roman" w:cs="Arial"/>
          <w:color w:val="000000"/>
          <w:szCs w:val="20"/>
          <w:lang w:val="ru-RU"/>
        </w:rPr>
        <w:t xml:space="preserve"> </w:t>
      </w:r>
      <w:r w:rsidRPr="00D142EA">
        <w:rPr>
          <w:rFonts w:eastAsia="Times New Roman" w:cs="Arial"/>
          <w:color w:val="000000"/>
          <w:szCs w:val="20"/>
          <w:lang w:eastAsia="bg-BG"/>
        </w:rPr>
        <w:t xml:space="preserve">1,5 </w:t>
      </w:r>
      <w:r w:rsidRPr="00D142EA">
        <w:rPr>
          <w:rFonts w:eastAsia="Times New Roman" w:cs="Arial"/>
          <w:color w:val="000000"/>
          <w:szCs w:val="20"/>
          <w:lang w:val="en-US"/>
        </w:rPr>
        <w:t>mg</w:t>
      </w:r>
      <w:r w:rsidRPr="00D142EA">
        <w:rPr>
          <w:rFonts w:eastAsia="Times New Roman" w:cs="Arial"/>
          <w:color w:val="000000"/>
          <w:szCs w:val="20"/>
          <w:lang w:val="ru-RU"/>
        </w:rPr>
        <w:t xml:space="preserve"> </w:t>
      </w:r>
      <w:r w:rsidRPr="00D142EA">
        <w:rPr>
          <w:rFonts w:eastAsia="Times New Roman" w:cs="Arial"/>
          <w:color w:val="000000"/>
          <w:szCs w:val="20"/>
          <w:lang w:eastAsia="bg-BG"/>
        </w:rPr>
        <w:t>се предлага като лекарствена форма с удължено освобождаване, основана на матрична система, в която активната съставка е диспергирана в носител, който подпомага удълженото освобождаване на индапамид.</w:t>
      </w:r>
    </w:p>
    <w:p w14:paraId="592D765E" w14:textId="77777777" w:rsidR="00D142EA" w:rsidRPr="00D142EA" w:rsidRDefault="00D142EA" w:rsidP="00D142EA">
      <w:pPr>
        <w:spacing w:line="240" w:lineRule="auto"/>
        <w:rPr>
          <w:rFonts w:eastAsia="Times New Roman" w:cs="Arial"/>
          <w:color w:val="000000"/>
          <w:szCs w:val="20"/>
          <w:u w:val="single"/>
          <w:lang w:eastAsia="bg-BG"/>
        </w:rPr>
      </w:pPr>
    </w:p>
    <w:p w14:paraId="23615B12" w14:textId="51FFB0C6" w:rsidR="00D142EA" w:rsidRPr="00D142EA" w:rsidRDefault="00D142EA" w:rsidP="00D142EA">
      <w:pPr>
        <w:pStyle w:val="Heading3"/>
        <w:rPr>
          <w:rFonts w:eastAsia="Times New Roman"/>
          <w:sz w:val="28"/>
          <w:u w:val="single"/>
        </w:rPr>
      </w:pPr>
      <w:r w:rsidRPr="00D142EA">
        <w:rPr>
          <w:rFonts w:eastAsia="Times New Roman"/>
          <w:u w:val="single"/>
          <w:lang w:eastAsia="bg-BG"/>
        </w:rPr>
        <w:t>Абсорбция</w:t>
      </w:r>
    </w:p>
    <w:p w14:paraId="68EF856C"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Фракцията от индапамид, която се освобождава, се абсорбира бързо и напълно през гастроинтестиналния тракт. Храненето слабо повишава скоростта на абсорбцията, но не оказва влияние на количеството абсорбирано вещество.</w:t>
      </w:r>
    </w:p>
    <w:p w14:paraId="47DE6FCD"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След приложение на еднократна доза максимални плазмени концентрации се наблюдават</w:t>
      </w:r>
    </w:p>
    <w:p w14:paraId="3B73F712"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около 12 часа след приема, повторното прилагане намалява вариациите на платмените</w:t>
      </w:r>
    </w:p>
    <w:p w14:paraId="5F0B5380" w14:textId="13A6C4AE" w:rsidR="00D142EA" w:rsidRPr="00D142EA" w:rsidRDefault="00D142EA" w:rsidP="00D142EA">
      <w:pPr>
        <w:rPr>
          <w:rFonts w:eastAsia="Times New Roman" w:cs="Arial"/>
          <w:color w:val="000000"/>
          <w:szCs w:val="20"/>
          <w:lang w:eastAsia="bg-BG"/>
        </w:rPr>
      </w:pPr>
      <w:r w:rsidRPr="00D142EA">
        <w:rPr>
          <w:rFonts w:eastAsia="Times New Roman" w:cs="Arial"/>
          <w:color w:val="000000"/>
          <w:szCs w:val="20"/>
          <w:lang w:eastAsia="bg-BG"/>
        </w:rPr>
        <w:t>концентрации между двете дози. Стационарно състояние се постига след 7 дни.</w:t>
      </w:r>
    </w:p>
    <w:p w14:paraId="7FD3F211" w14:textId="00FA727C" w:rsidR="00D142EA" w:rsidRPr="00D142EA" w:rsidRDefault="00D142EA" w:rsidP="00D142EA">
      <w:pPr>
        <w:rPr>
          <w:rFonts w:eastAsia="Times New Roman" w:cs="Arial"/>
          <w:color w:val="000000"/>
          <w:szCs w:val="20"/>
          <w:lang w:eastAsia="bg-BG"/>
        </w:rPr>
      </w:pPr>
    </w:p>
    <w:p w14:paraId="09D838CC"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Съществува интраиндивидуална вариабилност.</w:t>
      </w:r>
    </w:p>
    <w:p w14:paraId="604797FD" w14:textId="77777777" w:rsidR="00D142EA" w:rsidRPr="00D142EA" w:rsidRDefault="00D142EA" w:rsidP="00D142EA">
      <w:pPr>
        <w:spacing w:line="240" w:lineRule="auto"/>
        <w:rPr>
          <w:rFonts w:eastAsia="Times New Roman" w:cs="Arial"/>
          <w:color w:val="000000"/>
          <w:szCs w:val="20"/>
          <w:u w:val="single"/>
          <w:lang w:eastAsia="bg-BG"/>
        </w:rPr>
      </w:pPr>
    </w:p>
    <w:p w14:paraId="470796B1" w14:textId="30163DA4" w:rsidR="00D142EA" w:rsidRPr="00D142EA" w:rsidRDefault="00D142EA" w:rsidP="00D142EA">
      <w:pPr>
        <w:pStyle w:val="Heading3"/>
        <w:rPr>
          <w:rFonts w:eastAsia="Times New Roman"/>
          <w:sz w:val="28"/>
          <w:u w:val="single"/>
        </w:rPr>
      </w:pPr>
      <w:r w:rsidRPr="00D142EA">
        <w:rPr>
          <w:rFonts w:eastAsia="Times New Roman"/>
          <w:u w:val="single"/>
          <w:lang w:eastAsia="bg-BG"/>
        </w:rPr>
        <w:t>Разпределение</w:t>
      </w:r>
    </w:p>
    <w:p w14:paraId="092CE111"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Свързването на индапамид с плазмените протеини е 79%.</w:t>
      </w:r>
    </w:p>
    <w:p w14:paraId="19C2F7B5"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Повторното въвеждане не води до кумулиране.</w:t>
      </w:r>
    </w:p>
    <w:p w14:paraId="469DD58C" w14:textId="77777777" w:rsidR="00D142EA" w:rsidRPr="00D142EA" w:rsidRDefault="00D142EA" w:rsidP="00D142EA">
      <w:pPr>
        <w:spacing w:line="240" w:lineRule="auto"/>
        <w:rPr>
          <w:rFonts w:eastAsia="Times New Roman" w:cs="Arial"/>
          <w:color w:val="000000"/>
          <w:szCs w:val="20"/>
          <w:u w:val="single"/>
          <w:lang w:eastAsia="bg-BG"/>
        </w:rPr>
      </w:pPr>
    </w:p>
    <w:p w14:paraId="67A5ACE0" w14:textId="4C5A7DED" w:rsidR="00D142EA" w:rsidRPr="00D142EA" w:rsidRDefault="00D142EA" w:rsidP="00D142EA">
      <w:pPr>
        <w:pStyle w:val="Heading3"/>
        <w:rPr>
          <w:rFonts w:eastAsia="Times New Roman"/>
          <w:sz w:val="28"/>
          <w:u w:val="single"/>
        </w:rPr>
      </w:pPr>
      <w:r w:rsidRPr="00D142EA">
        <w:rPr>
          <w:rFonts w:eastAsia="Times New Roman"/>
          <w:u w:val="single"/>
          <w:lang w:eastAsia="bg-BG"/>
        </w:rPr>
        <w:t>Биотрансформация</w:t>
      </w:r>
    </w:p>
    <w:p w14:paraId="59E5EA36"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Индапамид се метаболизира екстензивно в черния дроб чрез дехидрогениране, хидроксилиране и окислителни пътища до глюкуронид (14%) и сулфатни конюгати (4%). Има над 19 известни метаболити на индапамид. След хидролиза на индоловото ядро се получава основният метаболит на индапамид.</w:t>
      </w:r>
    </w:p>
    <w:p w14:paraId="511922D7" w14:textId="77777777" w:rsidR="00D142EA" w:rsidRPr="00D142EA" w:rsidRDefault="00D142EA" w:rsidP="00D142EA">
      <w:pPr>
        <w:spacing w:line="240" w:lineRule="auto"/>
        <w:rPr>
          <w:rFonts w:eastAsia="Times New Roman" w:cs="Arial"/>
          <w:color w:val="000000"/>
          <w:szCs w:val="20"/>
          <w:u w:val="single"/>
          <w:lang w:eastAsia="bg-BG"/>
        </w:rPr>
      </w:pPr>
    </w:p>
    <w:p w14:paraId="6456F57A" w14:textId="6DF452CB" w:rsidR="00D142EA" w:rsidRPr="00D142EA" w:rsidRDefault="00D142EA" w:rsidP="00D142EA">
      <w:pPr>
        <w:pStyle w:val="Heading3"/>
        <w:rPr>
          <w:rFonts w:eastAsia="Times New Roman"/>
          <w:sz w:val="28"/>
          <w:u w:val="single"/>
        </w:rPr>
      </w:pPr>
      <w:r w:rsidRPr="00D142EA">
        <w:rPr>
          <w:rFonts w:eastAsia="Times New Roman"/>
          <w:u w:val="single"/>
          <w:lang w:eastAsia="bg-BG"/>
        </w:rPr>
        <w:t>Елиминиране</w:t>
      </w:r>
    </w:p>
    <w:p w14:paraId="77143DAE"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Елиминирането е предимно чрез урината (70% от дозата) и с фекалиите (22%) под формата на неактивни метаболити.</w:t>
      </w:r>
    </w:p>
    <w:p w14:paraId="5E8F3FC9"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 xml:space="preserve">Бъбречният клирънс на индапамид (като непроменено лекарство) е приблизително 5 </w:t>
      </w:r>
      <w:r w:rsidRPr="00D142EA">
        <w:rPr>
          <w:rFonts w:eastAsia="Times New Roman" w:cs="Arial"/>
          <w:color w:val="000000"/>
          <w:szCs w:val="20"/>
          <w:lang w:val="en-US"/>
        </w:rPr>
        <w:t>ml</w:t>
      </w:r>
      <w:r w:rsidRPr="00D142EA">
        <w:rPr>
          <w:rFonts w:eastAsia="Times New Roman" w:cs="Arial"/>
          <w:color w:val="000000"/>
          <w:szCs w:val="20"/>
          <w:lang w:val="ru-RU"/>
        </w:rPr>
        <w:t>/</w:t>
      </w:r>
      <w:r w:rsidRPr="00D142EA">
        <w:rPr>
          <w:rFonts w:eastAsia="Times New Roman" w:cs="Arial"/>
          <w:color w:val="000000"/>
          <w:szCs w:val="20"/>
          <w:lang w:val="en-US"/>
        </w:rPr>
        <w:t>min</w:t>
      </w:r>
      <w:r w:rsidRPr="00D142EA">
        <w:rPr>
          <w:rFonts w:eastAsia="Times New Roman" w:cs="Arial"/>
          <w:color w:val="000000"/>
          <w:szCs w:val="20"/>
          <w:lang w:val="ru-RU"/>
        </w:rPr>
        <w:t xml:space="preserve">, </w:t>
      </w:r>
      <w:r w:rsidRPr="00D142EA">
        <w:rPr>
          <w:rFonts w:eastAsia="Times New Roman" w:cs="Arial"/>
          <w:color w:val="000000"/>
          <w:szCs w:val="20"/>
          <w:lang w:eastAsia="bg-BG"/>
        </w:rPr>
        <w:t>представляващи по-малко от 10% от системния клирънс. Елиминационният плазмен полуживот е 14 до 24 часа (средно 18 часа), и не са наблюдавани промени при пациенти с нарушена бъбречна функция.</w:t>
      </w:r>
    </w:p>
    <w:p w14:paraId="24B25597" w14:textId="77777777" w:rsidR="00D142EA" w:rsidRPr="00D142EA" w:rsidRDefault="00D142EA" w:rsidP="00D142EA">
      <w:pPr>
        <w:spacing w:line="240" w:lineRule="auto"/>
        <w:rPr>
          <w:rFonts w:eastAsia="Times New Roman" w:cs="Arial"/>
          <w:i/>
          <w:iCs/>
          <w:color w:val="000000"/>
          <w:szCs w:val="20"/>
          <w:lang w:eastAsia="bg-BG"/>
        </w:rPr>
      </w:pPr>
    </w:p>
    <w:p w14:paraId="388EDA5C" w14:textId="359EB5D4" w:rsidR="00D142EA" w:rsidRPr="00D142EA" w:rsidRDefault="00D142EA" w:rsidP="00D142EA">
      <w:pPr>
        <w:spacing w:line="240" w:lineRule="auto"/>
        <w:rPr>
          <w:rFonts w:eastAsia="Times New Roman" w:cs="Arial"/>
          <w:sz w:val="28"/>
          <w:szCs w:val="24"/>
        </w:rPr>
      </w:pPr>
      <w:r w:rsidRPr="00D142EA">
        <w:rPr>
          <w:rFonts w:eastAsia="Times New Roman" w:cs="Arial"/>
          <w:i/>
          <w:iCs/>
          <w:color w:val="000000"/>
          <w:szCs w:val="20"/>
          <w:lang w:eastAsia="bg-BG"/>
        </w:rPr>
        <w:t>Индивиди с висок риск</w:t>
      </w:r>
    </w:p>
    <w:p w14:paraId="5B5BDB2E" w14:textId="77777777" w:rsidR="00D142EA" w:rsidRPr="00D142EA" w:rsidRDefault="00D142EA" w:rsidP="00D142EA">
      <w:pPr>
        <w:spacing w:line="240" w:lineRule="auto"/>
        <w:rPr>
          <w:rFonts w:eastAsia="Times New Roman" w:cs="Arial"/>
          <w:sz w:val="28"/>
          <w:szCs w:val="24"/>
        </w:rPr>
      </w:pPr>
      <w:r w:rsidRPr="00D142EA">
        <w:rPr>
          <w:rFonts w:eastAsia="Times New Roman" w:cs="Arial"/>
          <w:color w:val="000000"/>
          <w:szCs w:val="20"/>
          <w:lang w:eastAsia="bg-BG"/>
        </w:rPr>
        <w:t>Фармакокинетичните параметри не са променени при пациенти с бъбречна недостатъчност.</w:t>
      </w:r>
    </w:p>
    <w:p w14:paraId="2306BFB6" w14:textId="77777777" w:rsidR="00D142EA" w:rsidRPr="00D142EA" w:rsidRDefault="00D142EA" w:rsidP="00D142EA"/>
    <w:p w14:paraId="240491AC" w14:textId="77777777" w:rsidR="00D142EA" w:rsidRPr="00D142EA" w:rsidRDefault="00D142EA" w:rsidP="00D142EA"/>
    <w:p w14:paraId="4FB791BE" w14:textId="1729BD7B" w:rsidR="00B6672E" w:rsidRDefault="002C50EE" w:rsidP="00936AD0">
      <w:pPr>
        <w:pStyle w:val="Heading2"/>
      </w:pPr>
      <w:r>
        <w:t>5.3. Предклинични данни за безопасност</w:t>
      </w:r>
    </w:p>
    <w:p w14:paraId="3756DAD2" w14:textId="1A157A8A" w:rsidR="00D142EA" w:rsidRDefault="00D142EA" w:rsidP="00D142EA"/>
    <w:p w14:paraId="00572E3C" w14:textId="77777777" w:rsidR="00D142EA" w:rsidRPr="00D142EA" w:rsidRDefault="00D142EA" w:rsidP="00D142EA">
      <w:pPr>
        <w:rPr>
          <w:sz w:val="24"/>
          <w:szCs w:val="24"/>
        </w:rPr>
      </w:pPr>
      <w:r w:rsidRPr="00D142EA">
        <w:rPr>
          <w:lang w:eastAsia="bg-BG"/>
        </w:rPr>
        <w:lastRenderedPageBreak/>
        <w:t>При перорално прилагане на най-високите дози върху различни животински видове (40 до 8 000 пъти над терапевтичната доза) се наблюдава усилване на диуретичния ефект на индапамид.</w:t>
      </w:r>
    </w:p>
    <w:p w14:paraId="2B956B18" w14:textId="77777777" w:rsidR="00D142EA" w:rsidRPr="00D142EA" w:rsidRDefault="00D142EA" w:rsidP="00D142EA">
      <w:pPr>
        <w:rPr>
          <w:sz w:val="24"/>
          <w:szCs w:val="24"/>
        </w:rPr>
      </w:pPr>
      <w:r w:rsidRPr="00D142EA">
        <w:rPr>
          <w:lang w:eastAsia="bg-BG"/>
        </w:rPr>
        <w:t>По време на проучвания за остра токсичност с индапамид основните симптоми на отравяне след интравенозно или интраперитонеално въвеждане са свързани с фармакологичното действие на индапамид, т.е. брадипнея и периферна вазодилатация.</w:t>
      </w:r>
    </w:p>
    <w:p w14:paraId="1E3A5382" w14:textId="77777777" w:rsidR="00D142EA" w:rsidRPr="00D142EA" w:rsidRDefault="00D142EA" w:rsidP="00D142EA">
      <w:pPr>
        <w:rPr>
          <w:sz w:val="24"/>
          <w:szCs w:val="24"/>
        </w:rPr>
      </w:pPr>
      <w:r w:rsidRPr="00D142EA">
        <w:rPr>
          <w:lang w:eastAsia="bg-BG"/>
        </w:rPr>
        <w:t>При проведените изпитвания на индапамид няма данни за мутагенен и карциногенен потенциал.</w:t>
      </w:r>
    </w:p>
    <w:p w14:paraId="450AC837" w14:textId="77777777" w:rsidR="00D142EA" w:rsidRPr="00D142EA" w:rsidRDefault="00D142EA" w:rsidP="00D142EA"/>
    <w:p w14:paraId="1BA6531D" w14:textId="3EA277A5" w:rsidR="00B6672E" w:rsidRDefault="002C50EE" w:rsidP="00936AD0">
      <w:pPr>
        <w:pStyle w:val="Heading1"/>
      </w:pPr>
      <w:r>
        <w:t>7. ПРИТЕЖАТЕЛ НА РАЗРЕШЕНИЕТО ЗА УПОТРЕБА</w:t>
      </w:r>
    </w:p>
    <w:p w14:paraId="79D4D17A" w14:textId="74751BAB" w:rsidR="00D142EA" w:rsidRDefault="00D142EA" w:rsidP="00D142EA"/>
    <w:p w14:paraId="140F6666" w14:textId="77777777" w:rsidR="00D142EA" w:rsidRPr="00D142EA" w:rsidRDefault="00D142EA" w:rsidP="00D142EA">
      <w:pPr>
        <w:rPr>
          <w:sz w:val="24"/>
          <w:szCs w:val="24"/>
        </w:rPr>
      </w:pPr>
      <w:r w:rsidRPr="00D142EA">
        <w:rPr>
          <w:lang w:eastAsia="bg-BG"/>
        </w:rPr>
        <w:t>Тева Фарма ЕАД</w:t>
      </w:r>
    </w:p>
    <w:p w14:paraId="2DD80B0E" w14:textId="77777777" w:rsidR="00D142EA" w:rsidRPr="00D142EA" w:rsidRDefault="00D142EA" w:rsidP="00D142EA">
      <w:pPr>
        <w:rPr>
          <w:sz w:val="24"/>
          <w:szCs w:val="24"/>
        </w:rPr>
      </w:pPr>
      <w:r w:rsidRPr="00D142EA">
        <w:rPr>
          <w:lang w:eastAsia="bg-BG"/>
        </w:rPr>
        <w:t>ул. „Люба Величкова“ № 9,1407 София</w:t>
      </w:r>
    </w:p>
    <w:p w14:paraId="4BB3741E" w14:textId="542CF42C" w:rsidR="00D142EA" w:rsidRPr="00D142EA" w:rsidRDefault="00D142EA" w:rsidP="00D142EA">
      <w:r w:rsidRPr="00D142EA">
        <w:rPr>
          <w:lang w:eastAsia="bg-BG"/>
        </w:rPr>
        <w:t>България</w:t>
      </w:r>
    </w:p>
    <w:p w14:paraId="508F3A54" w14:textId="5BA01EE3" w:rsidR="00B6672E" w:rsidRDefault="00936AD0" w:rsidP="00936AD0">
      <w:pPr>
        <w:pStyle w:val="Heading1"/>
      </w:pPr>
      <w:r>
        <w:t>8.</w:t>
      </w:r>
      <w:r w:rsidR="002C50EE">
        <w:t>НОМЕР НА РАЗРЕШЕНИЕТО ЗА УПОТРЕБА</w:t>
      </w:r>
    </w:p>
    <w:p w14:paraId="28CDE1AD" w14:textId="7D57834F" w:rsidR="00D142EA" w:rsidRDefault="00D142EA" w:rsidP="00D142EA"/>
    <w:p w14:paraId="2BE90FC1" w14:textId="097A3552" w:rsidR="00D142EA" w:rsidRPr="00D142EA" w:rsidRDefault="00D142EA" w:rsidP="00D142EA">
      <w:pPr>
        <w:rPr>
          <w:sz w:val="24"/>
          <w:szCs w:val="24"/>
        </w:rPr>
      </w:pPr>
      <w:proofErr w:type="spellStart"/>
      <w:r>
        <w:rPr>
          <w:lang w:val="en-US"/>
        </w:rPr>
        <w:t>Peг</w:t>
      </w:r>
      <w:proofErr w:type="spellEnd"/>
      <w:r w:rsidRPr="00D142EA">
        <w:rPr>
          <w:lang w:val="ru-RU"/>
        </w:rPr>
        <w:t xml:space="preserve">. </w:t>
      </w:r>
      <w:r w:rsidRPr="00D142EA">
        <w:rPr>
          <w:lang w:eastAsia="bg-BG"/>
        </w:rPr>
        <w:t>№ 20080001</w:t>
      </w:r>
    </w:p>
    <w:p w14:paraId="21556942" w14:textId="77777777" w:rsidR="00D142EA" w:rsidRPr="00D142EA" w:rsidRDefault="00D142EA" w:rsidP="00D142EA"/>
    <w:p w14:paraId="2CCB5832" w14:textId="305C42D6" w:rsidR="007C605B" w:rsidRDefault="002C50EE" w:rsidP="007C605B">
      <w:pPr>
        <w:pStyle w:val="Heading1"/>
      </w:pPr>
      <w:r>
        <w:t>9. ДАТА НА ПЪРВО РАЗРЕШАВАНЕ/ПОДНОВЯВАНЕ НА РАЗРЕШЕНИЕТО ЗА УПОТРЕБА</w:t>
      </w:r>
    </w:p>
    <w:p w14:paraId="5E7CE07C" w14:textId="77BCDF98" w:rsidR="00D142EA" w:rsidRDefault="00D142EA" w:rsidP="00D142EA"/>
    <w:p w14:paraId="46F538D0" w14:textId="77777777" w:rsidR="00D142EA" w:rsidRPr="00D142EA" w:rsidRDefault="00D142EA" w:rsidP="00D142EA">
      <w:pPr>
        <w:rPr>
          <w:sz w:val="24"/>
          <w:szCs w:val="24"/>
        </w:rPr>
      </w:pPr>
      <w:r w:rsidRPr="00D142EA">
        <w:rPr>
          <w:lang w:eastAsia="bg-BG"/>
        </w:rPr>
        <w:t>Дата на първо разрешаване: 07.01.2008 г.</w:t>
      </w:r>
    </w:p>
    <w:p w14:paraId="23DAAF4D" w14:textId="489154DC" w:rsidR="00D142EA" w:rsidRPr="00D142EA" w:rsidRDefault="00D142EA" w:rsidP="00D142EA">
      <w:r w:rsidRPr="00D142EA">
        <w:rPr>
          <w:lang w:eastAsia="bg-BG"/>
        </w:rPr>
        <w:t>Дата на последно подновяване: 18.03.2013 г.</w:t>
      </w:r>
    </w:p>
    <w:p w14:paraId="0E9D0119" w14:textId="0245C6D7" w:rsidR="002C50EE" w:rsidRDefault="002C50EE" w:rsidP="002C50EE">
      <w:pPr>
        <w:pStyle w:val="Heading1"/>
      </w:pPr>
      <w:r>
        <w:t>10. ДАТА НА АКТУАЛИЗИРАНЕ НА ТЕКСТА</w:t>
      </w:r>
    </w:p>
    <w:p w14:paraId="43FB38A2" w14:textId="689F8F04" w:rsidR="007C605B" w:rsidRPr="003E3126" w:rsidRDefault="007C605B" w:rsidP="00B6672E">
      <w:bookmarkStart w:id="3" w:name="_GoBack"/>
      <w:bookmarkEnd w:id="0"/>
      <w:bookmarkEnd w:id="3"/>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C7725"/>
    <w:multiLevelType w:val="hybridMultilevel"/>
    <w:tmpl w:val="0C5A40A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65088"/>
    <w:multiLevelType w:val="hybridMultilevel"/>
    <w:tmpl w:val="691E2E7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82DF1"/>
    <w:multiLevelType w:val="hybridMultilevel"/>
    <w:tmpl w:val="5FB4E9C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721F4"/>
    <w:multiLevelType w:val="hybridMultilevel"/>
    <w:tmpl w:val="326A836A"/>
    <w:lvl w:ilvl="0" w:tplc="05BE9492">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5"/>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4"/>
  </w:num>
  <w:num w:numId="12">
    <w:abstractNumId w:val="16"/>
  </w:num>
  <w:num w:numId="13">
    <w:abstractNumId w:val="22"/>
  </w:num>
  <w:num w:numId="14">
    <w:abstractNumId w:val="14"/>
  </w:num>
  <w:num w:numId="15">
    <w:abstractNumId w:val="33"/>
  </w:num>
  <w:num w:numId="16">
    <w:abstractNumId w:val="12"/>
  </w:num>
  <w:num w:numId="17">
    <w:abstractNumId w:val="28"/>
  </w:num>
  <w:num w:numId="18">
    <w:abstractNumId w:val="9"/>
  </w:num>
  <w:num w:numId="19">
    <w:abstractNumId w:val="30"/>
  </w:num>
  <w:num w:numId="20">
    <w:abstractNumId w:val="27"/>
  </w:num>
  <w:num w:numId="21">
    <w:abstractNumId w:val="20"/>
  </w:num>
  <w:num w:numId="22">
    <w:abstractNumId w:val="29"/>
  </w:num>
  <w:num w:numId="23">
    <w:abstractNumId w:val="21"/>
  </w:num>
  <w:num w:numId="24">
    <w:abstractNumId w:val="10"/>
  </w:num>
  <w:num w:numId="25">
    <w:abstractNumId w:val="26"/>
  </w:num>
  <w:num w:numId="26">
    <w:abstractNumId w:val="25"/>
  </w:num>
  <w:num w:numId="27">
    <w:abstractNumId w:val="36"/>
  </w:num>
  <w:num w:numId="28">
    <w:abstractNumId w:val="6"/>
  </w:num>
  <w:num w:numId="29">
    <w:abstractNumId w:val="24"/>
  </w:num>
  <w:num w:numId="30">
    <w:abstractNumId w:val="39"/>
  </w:num>
  <w:num w:numId="31">
    <w:abstractNumId w:val="5"/>
  </w:num>
  <w:num w:numId="32">
    <w:abstractNumId w:val="38"/>
  </w:num>
  <w:num w:numId="33">
    <w:abstractNumId w:val="32"/>
  </w:num>
  <w:num w:numId="34">
    <w:abstractNumId w:val="37"/>
  </w:num>
  <w:num w:numId="35">
    <w:abstractNumId w:val="8"/>
  </w:num>
  <w:num w:numId="36">
    <w:abstractNumId w:val="11"/>
  </w:num>
  <w:num w:numId="37">
    <w:abstractNumId w:val="23"/>
  </w:num>
  <w:num w:numId="38">
    <w:abstractNumId w:val="7"/>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142EA"/>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3586</Words>
  <Characters>20443</Characters>
  <Application>Microsoft Office Word</Application>
  <DocSecurity>0</DocSecurity>
  <Lines>170</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2022-08-29T17:49:00Z</dcterms:created>
  <dcterms:modified xsi:type="dcterms:W3CDTF">2022-08-29T17:49:00Z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