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4FBB6512" w14:textId="77777777" w:rsidR="00895FF0" w:rsidRPr="00895FF0" w:rsidRDefault="00895FF0" w:rsidP="00895FF0">
      <w:pPr>
        <w:rPr>
          <w:rFonts w:cs="Arial"/>
        </w:rPr>
      </w:pPr>
      <w:r w:rsidRPr="00895FF0">
        <w:rPr>
          <w:rFonts w:cs="Arial"/>
        </w:rPr>
        <w:t xml:space="preserve">Индометацин Софарма 25 </w:t>
      </w:r>
      <w:r w:rsidRPr="00895FF0">
        <w:rPr>
          <w:rFonts w:cs="Arial"/>
          <w:lang w:val="en-US"/>
        </w:rPr>
        <w:t xml:space="preserve">mg </w:t>
      </w:r>
      <w:r w:rsidRPr="00895FF0">
        <w:rPr>
          <w:rFonts w:cs="Arial"/>
        </w:rPr>
        <w:t>стомашно-устойчиви таблетки</w:t>
      </w:r>
    </w:p>
    <w:p w14:paraId="69AC8148" w14:textId="63213E5A" w:rsidR="00EC41ED" w:rsidRPr="00895FF0" w:rsidRDefault="00895FF0" w:rsidP="00895FF0">
      <w:pPr>
        <w:rPr>
          <w:rFonts w:cs="Arial"/>
        </w:rPr>
      </w:pPr>
      <w:proofErr w:type="spellStart"/>
      <w:r w:rsidRPr="00895FF0">
        <w:rPr>
          <w:rFonts w:cs="Arial"/>
          <w:lang w:val="en-US"/>
        </w:rPr>
        <w:t>Indometacin</w:t>
      </w:r>
      <w:proofErr w:type="spellEnd"/>
      <w:r w:rsidRPr="00895FF0">
        <w:rPr>
          <w:rFonts w:cs="Arial"/>
          <w:lang w:val="en-US"/>
        </w:rPr>
        <w:t xml:space="preserve"> </w:t>
      </w:r>
      <w:proofErr w:type="spellStart"/>
      <w:r w:rsidRPr="00895FF0">
        <w:rPr>
          <w:rFonts w:cs="Arial"/>
          <w:lang w:val="en-US"/>
        </w:rPr>
        <w:t>Sopharma</w:t>
      </w:r>
      <w:proofErr w:type="spellEnd"/>
      <w:r w:rsidRPr="00895FF0">
        <w:rPr>
          <w:rFonts w:cs="Arial"/>
          <w:lang w:val="en-US"/>
        </w:rPr>
        <w:t xml:space="preserve"> </w:t>
      </w:r>
      <w:r w:rsidRPr="00895FF0">
        <w:rPr>
          <w:rFonts w:cs="Arial"/>
        </w:rPr>
        <w:t xml:space="preserve">25 </w:t>
      </w:r>
      <w:r w:rsidRPr="00895FF0">
        <w:rPr>
          <w:rFonts w:cs="Arial"/>
          <w:lang w:val="en-US"/>
        </w:rPr>
        <w:t>mg gastro-resistant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3DF4C0C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Всяка таблетка съдържа активно вещество индометацин </w:t>
      </w:r>
      <w:r w:rsidRPr="00895FF0">
        <w:rPr>
          <w:rFonts w:eastAsia="Times New Roman" w:cs="Arial"/>
          <w:color w:val="000000"/>
          <w:lang w:val="en-US"/>
        </w:rPr>
        <w:t>(</w:t>
      </w:r>
      <w:proofErr w:type="spellStart"/>
      <w:r w:rsidRPr="00895FF0">
        <w:rPr>
          <w:rFonts w:eastAsia="Times New Roman" w:cs="Arial"/>
          <w:color w:val="000000"/>
          <w:lang w:val="en-US"/>
        </w:rPr>
        <w:t>indometacin</w:t>
      </w:r>
      <w:proofErr w:type="spellEnd"/>
      <w:r w:rsidRPr="00895FF0">
        <w:rPr>
          <w:rFonts w:eastAsia="Times New Roman" w:cs="Arial"/>
          <w:color w:val="000000"/>
          <w:lang w:val="en-US"/>
        </w:rPr>
        <w:t xml:space="preserve">) </w:t>
      </w:r>
      <w:r w:rsidRPr="00895FF0">
        <w:rPr>
          <w:rFonts w:eastAsia="Times New Roman" w:cs="Arial"/>
          <w:color w:val="000000"/>
          <w:lang w:eastAsia="bg-BG"/>
        </w:rPr>
        <w:t xml:space="preserve">25 </w:t>
      </w:r>
      <w:r w:rsidRPr="00895FF0">
        <w:rPr>
          <w:rFonts w:eastAsia="Times New Roman" w:cs="Arial"/>
          <w:color w:val="000000"/>
          <w:lang w:val="en-US"/>
        </w:rPr>
        <w:t>mg.</w:t>
      </w:r>
    </w:p>
    <w:p w14:paraId="71947A9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u w:val="single"/>
          <w:lang w:eastAsia="bg-BG"/>
        </w:rPr>
        <w:t>Помощни вещества с известно действие</w:t>
      </w:r>
      <w:r w:rsidRPr="00895FF0">
        <w:rPr>
          <w:rFonts w:eastAsia="Times New Roman" w:cs="Arial"/>
          <w:color w:val="000000"/>
          <w:lang w:eastAsia="bg-BG"/>
        </w:rPr>
        <w:t>: лактоза, пшенично нишесте.</w:t>
      </w:r>
    </w:p>
    <w:p w14:paraId="54632B43" w14:textId="682FED10" w:rsidR="00EC41ED" w:rsidRPr="00895FF0" w:rsidRDefault="00895FF0" w:rsidP="00895FF0">
      <w:pPr>
        <w:rPr>
          <w:rFonts w:cs="Arial"/>
        </w:rPr>
      </w:pPr>
      <w:r w:rsidRPr="00895FF0">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227E5D88"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Стомашно-устойчива таблетка.</w:t>
      </w:r>
    </w:p>
    <w:p w14:paraId="743244F0" w14:textId="64D701B2" w:rsidR="00EC41ED" w:rsidRPr="00895FF0" w:rsidRDefault="00895FF0" w:rsidP="00895FF0">
      <w:pPr>
        <w:rPr>
          <w:rFonts w:cs="Arial"/>
        </w:rPr>
      </w:pPr>
      <w:r w:rsidRPr="00895FF0">
        <w:rPr>
          <w:rFonts w:eastAsia="Times New Roman" w:cs="Arial"/>
          <w:color w:val="000000"/>
          <w:lang w:eastAsia="bg-BG"/>
        </w:rPr>
        <w:t xml:space="preserve">Оранжевокафяви, кръгли, двойноизпъкнали филмирани таблетки, със стомашно-устойчива обвивка и диаметър 7 </w:t>
      </w:r>
      <w:r w:rsidRPr="00895FF0">
        <w:rPr>
          <w:rFonts w:eastAsia="Times New Roman" w:cs="Arial"/>
          <w:color w:val="000000"/>
          <w:lang w:val="en-US"/>
        </w:rPr>
        <w:t>mm.</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2FD11990"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Краткотрайно симптоматично лечение на:</w:t>
      </w:r>
    </w:p>
    <w:p w14:paraId="7B07D2DE" w14:textId="77777777" w:rsidR="00895FF0" w:rsidRPr="00895FF0" w:rsidRDefault="00895FF0" w:rsidP="00895FF0">
      <w:pPr>
        <w:pStyle w:val="ListParagraph"/>
        <w:numPr>
          <w:ilvl w:val="0"/>
          <w:numId w:val="36"/>
        </w:numPr>
        <w:spacing w:line="240" w:lineRule="auto"/>
        <w:rPr>
          <w:rFonts w:eastAsia="Times New Roman" w:cs="Arial"/>
          <w:sz w:val="24"/>
          <w:szCs w:val="24"/>
          <w:lang w:eastAsia="bg-BG"/>
        </w:rPr>
      </w:pPr>
      <w:r w:rsidRPr="00895FF0">
        <w:rPr>
          <w:rFonts w:eastAsia="Times New Roman" w:cs="Arial"/>
          <w:color w:val="000000"/>
          <w:lang w:eastAsia="bg-BG"/>
        </w:rPr>
        <w:t>Остри и хронични болки при възпалителни и дегенеративни заболявания на опорно- двигателния апарат: ревматоиден артрит, остър и обострен ювенилен артрит, остър и обострен хроничен анкилозиращ спондилоаргрит (болест на Бехтерев), пристъп от подагра и подагрозен артрит, псориатичен артрит, болест на Райтер;</w:t>
      </w:r>
    </w:p>
    <w:p w14:paraId="4FAD5AE4" w14:textId="77777777" w:rsidR="00895FF0" w:rsidRPr="00895FF0" w:rsidRDefault="00895FF0" w:rsidP="00895FF0">
      <w:pPr>
        <w:pStyle w:val="ListParagraph"/>
        <w:numPr>
          <w:ilvl w:val="0"/>
          <w:numId w:val="36"/>
        </w:numPr>
        <w:spacing w:line="240" w:lineRule="auto"/>
        <w:rPr>
          <w:rFonts w:eastAsia="Times New Roman" w:cs="Arial"/>
          <w:sz w:val="24"/>
          <w:szCs w:val="24"/>
          <w:lang w:eastAsia="bg-BG"/>
        </w:rPr>
      </w:pPr>
      <w:r w:rsidRPr="00895FF0">
        <w:rPr>
          <w:rFonts w:eastAsia="Times New Roman" w:cs="Arial"/>
          <w:color w:val="000000"/>
          <w:lang w:eastAsia="bg-BG"/>
        </w:rPr>
        <w:t>Околоставни заболявания: тендинити, бурсити, тендобурсити, тендовагинити, травми при спортисти;</w:t>
      </w:r>
    </w:p>
    <w:p w14:paraId="376CE253" w14:textId="77777777" w:rsidR="00895FF0" w:rsidRPr="00895FF0" w:rsidRDefault="00895FF0" w:rsidP="00895FF0">
      <w:pPr>
        <w:pStyle w:val="ListParagraph"/>
        <w:numPr>
          <w:ilvl w:val="0"/>
          <w:numId w:val="36"/>
        </w:numPr>
        <w:spacing w:line="240" w:lineRule="auto"/>
        <w:rPr>
          <w:rFonts w:eastAsia="Times New Roman" w:cs="Arial"/>
          <w:sz w:val="24"/>
          <w:szCs w:val="24"/>
          <w:lang w:eastAsia="bg-BG"/>
        </w:rPr>
      </w:pPr>
      <w:r w:rsidRPr="00895FF0">
        <w:rPr>
          <w:rFonts w:eastAsia="Times New Roman" w:cs="Arial"/>
          <w:color w:val="000000"/>
          <w:lang w:eastAsia="bg-BG"/>
        </w:rPr>
        <w:t>Дископатии, плексити, радикулоневрити;</w:t>
      </w:r>
    </w:p>
    <w:p w14:paraId="6DFA4B9D" w14:textId="13B23A22" w:rsidR="0091385D" w:rsidRPr="00895FF0" w:rsidRDefault="00895FF0" w:rsidP="00895FF0">
      <w:pPr>
        <w:pStyle w:val="ListParagraph"/>
        <w:numPr>
          <w:ilvl w:val="0"/>
          <w:numId w:val="36"/>
        </w:numPr>
        <w:spacing w:line="240" w:lineRule="auto"/>
        <w:rPr>
          <w:rFonts w:eastAsia="Times New Roman" w:cs="Arial"/>
          <w:sz w:val="24"/>
          <w:szCs w:val="24"/>
          <w:lang w:eastAsia="bg-BG"/>
        </w:rPr>
      </w:pPr>
      <w:r w:rsidRPr="00895FF0">
        <w:rPr>
          <w:rFonts w:eastAsia="Times New Roman" w:cs="Arial"/>
          <w:color w:val="000000"/>
          <w:lang w:eastAsia="bg-BG"/>
        </w:rPr>
        <w:t>Дисменорея.</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4BC94838"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Дози</w:t>
      </w:r>
      <w:bookmarkStart w:id="1" w:name="_GoBack"/>
      <w:bookmarkEnd w:id="1"/>
      <w:r w:rsidRPr="00895FF0">
        <w:rPr>
          <w:rFonts w:eastAsia="Times New Roman"/>
          <w:u w:val="single"/>
          <w:lang w:eastAsia="bg-BG"/>
        </w:rPr>
        <w:t>ровка</w:t>
      </w:r>
    </w:p>
    <w:p w14:paraId="03E460A4" w14:textId="37C10DC4"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Възрастни и деиа над 14 години</w:t>
      </w:r>
    </w:p>
    <w:p w14:paraId="6B5C3450"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Начална доза 25-50 </w:t>
      </w:r>
      <w:r w:rsidRPr="00895FF0">
        <w:rPr>
          <w:rFonts w:eastAsia="Times New Roman" w:cs="Arial"/>
          <w:color w:val="000000"/>
          <w:lang w:val="en-US"/>
        </w:rPr>
        <w:t xml:space="preserve">mg </w:t>
      </w:r>
      <w:r w:rsidRPr="00895FF0">
        <w:rPr>
          <w:rFonts w:eastAsia="Times New Roman" w:cs="Arial"/>
          <w:color w:val="000000"/>
          <w:lang w:eastAsia="bg-BG"/>
        </w:rPr>
        <w:t xml:space="preserve">(1-2 таблетки) 2-4 пъти дневно. При недостатъчен терапевтичен ефект дозата се увеличава до 150 </w:t>
      </w:r>
      <w:r w:rsidRPr="00895FF0">
        <w:rPr>
          <w:rFonts w:eastAsia="Times New Roman" w:cs="Arial"/>
          <w:color w:val="000000"/>
          <w:lang w:val="en-US"/>
        </w:rPr>
        <w:t xml:space="preserve">mg </w:t>
      </w:r>
      <w:r w:rsidRPr="00895FF0">
        <w:rPr>
          <w:rFonts w:eastAsia="Times New Roman" w:cs="Arial"/>
          <w:color w:val="000000"/>
          <w:lang w:eastAsia="bg-BG"/>
        </w:rPr>
        <w:t xml:space="preserve">дневно, разделена на 3 приема. Максимална </w:t>
      </w:r>
      <w:r w:rsidRPr="00895FF0">
        <w:rPr>
          <w:rFonts w:eastAsia="Times New Roman" w:cs="Arial"/>
          <w:color w:val="000000"/>
          <w:lang w:eastAsia="bg-BG"/>
        </w:rPr>
        <w:lastRenderedPageBreak/>
        <w:t xml:space="preserve">дневна доза 200 </w:t>
      </w:r>
      <w:r w:rsidRPr="00895FF0">
        <w:rPr>
          <w:rFonts w:eastAsia="Times New Roman" w:cs="Arial"/>
          <w:color w:val="000000"/>
          <w:lang w:val="en-US"/>
        </w:rPr>
        <w:t xml:space="preserve">mg. </w:t>
      </w:r>
      <w:r w:rsidRPr="00895FF0">
        <w:rPr>
          <w:rFonts w:eastAsia="Times New Roman" w:cs="Arial"/>
          <w:color w:val="000000"/>
          <w:lang w:eastAsia="bg-BG"/>
        </w:rPr>
        <w:t xml:space="preserve">При продължително лечение дневната доза не трябва да превишава 75 </w:t>
      </w:r>
      <w:r w:rsidRPr="00895FF0">
        <w:rPr>
          <w:rFonts w:eastAsia="Times New Roman" w:cs="Arial"/>
          <w:color w:val="000000"/>
          <w:lang w:val="en-US"/>
        </w:rPr>
        <w:t>mg.</w:t>
      </w:r>
    </w:p>
    <w:p w14:paraId="4B4FDEDE" w14:textId="673357ED"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Подагра</w:t>
      </w:r>
    </w:p>
    <w:p w14:paraId="5225C396"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За купиране на остър подагрозен пристъп началната доза е 100 </w:t>
      </w:r>
      <w:r w:rsidRPr="00895FF0">
        <w:rPr>
          <w:rFonts w:eastAsia="Times New Roman" w:cs="Arial"/>
          <w:color w:val="000000"/>
          <w:lang w:val="en-US"/>
        </w:rPr>
        <w:t xml:space="preserve">mg, </w:t>
      </w:r>
      <w:r w:rsidRPr="00895FF0">
        <w:rPr>
          <w:rFonts w:eastAsia="Times New Roman" w:cs="Arial"/>
          <w:color w:val="000000"/>
          <w:lang w:eastAsia="bg-BG"/>
        </w:rPr>
        <w:t xml:space="preserve">след което се прилага 3 пъти дневно по 50 </w:t>
      </w:r>
      <w:r w:rsidRPr="00895FF0">
        <w:rPr>
          <w:rFonts w:eastAsia="Times New Roman" w:cs="Arial"/>
          <w:color w:val="000000"/>
          <w:lang w:val="en-US"/>
        </w:rPr>
        <w:t xml:space="preserve">mg </w:t>
      </w:r>
      <w:r w:rsidRPr="00895FF0">
        <w:rPr>
          <w:rFonts w:eastAsia="Times New Roman" w:cs="Arial"/>
          <w:color w:val="000000"/>
          <w:lang w:eastAsia="bg-BG"/>
        </w:rPr>
        <w:t>до стихване на болката.</w:t>
      </w:r>
    </w:p>
    <w:p w14:paraId="6532345A" w14:textId="77777777" w:rsidR="00895FF0" w:rsidRPr="00895FF0" w:rsidRDefault="00895FF0" w:rsidP="00895FF0">
      <w:pPr>
        <w:spacing w:line="240" w:lineRule="auto"/>
        <w:rPr>
          <w:rFonts w:eastAsia="Times New Roman" w:cs="Arial"/>
          <w:i/>
          <w:iCs/>
          <w:color w:val="000000"/>
          <w:u w:val="single"/>
          <w:lang w:eastAsia="bg-BG"/>
        </w:rPr>
      </w:pPr>
    </w:p>
    <w:p w14:paraId="0DCD42A3" w14:textId="3935EF83"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Паииенти в старческа възраст (над 65 години)</w:t>
      </w:r>
    </w:p>
    <w:p w14:paraId="16822555"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Съществува повишен риск от нежелани реакции. Препоръчва се най-ниската ефективна доза за възможно най-кратък период от време. Необходимо е наблюдение на пациентите за кървене от стомашно-чревния тракт.</w:t>
      </w:r>
    </w:p>
    <w:p w14:paraId="19DEF79C"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lang w:eastAsia="bg-BG"/>
        </w:rPr>
        <w:t>Педиатрична популация</w:t>
      </w:r>
    </w:p>
    <w:p w14:paraId="510B4A80" w14:textId="77777777" w:rsidR="00895FF0" w:rsidRPr="00895FF0" w:rsidRDefault="00895FF0" w:rsidP="00895FF0">
      <w:pPr>
        <w:spacing w:line="240" w:lineRule="auto"/>
        <w:rPr>
          <w:rFonts w:eastAsia="Times New Roman" w:cs="Arial"/>
          <w:i/>
          <w:iCs/>
          <w:color w:val="000000"/>
          <w:u w:val="single"/>
          <w:lang w:eastAsia="bg-BG"/>
        </w:rPr>
      </w:pPr>
    </w:p>
    <w:p w14:paraId="19CDEB53" w14:textId="16763CE8"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Деца под 14 години</w:t>
      </w:r>
    </w:p>
    <w:p w14:paraId="0BC985DA"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Безопасността и ефикасността на индометацин при деца под 14 години не е установена.</w:t>
      </w:r>
    </w:p>
    <w:p w14:paraId="2D0AE815" w14:textId="77777777" w:rsidR="00895FF0" w:rsidRPr="00895FF0" w:rsidRDefault="00895FF0" w:rsidP="00895FF0">
      <w:pPr>
        <w:spacing w:line="240" w:lineRule="auto"/>
        <w:rPr>
          <w:rFonts w:eastAsia="Times New Roman" w:cs="Arial"/>
          <w:color w:val="000000"/>
          <w:u w:val="single"/>
          <w:lang w:eastAsia="bg-BG"/>
        </w:rPr>
      </w:pPr>
    </w:p>
    <w:p w14:paraId="4D20C699" w14:textId="43AF09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Начин на приложение</w:t>
      </w:r>
    </w:p>
    <w:p w14:paraId="7FBF1BCE" w14:textId="7D6FC394" w:rsidR="00EC41ED" w:rsidRPr="00895FF0" w:rsidRDefault="00895FF0" w:rsidP="00895FF0">
      <w:pPr>
        <w:rPr>
          <w:rFonts w:cs="Arial"/>
        </w:rPr>
      </w:pPr>
      <w:r w:rsidRPr="00895FF0">
        <w:rPr>
          <w:rFonts w:eastAsia="Times New Roman" w:cs="Arial"/>
          <w:color w:val="000000"/>
          <w:lang w:eastAsia="bg-BG"/>
        </w:rPr>
        <w:t>Прилага се перорално след хранене. Таблетките се поглъщат цели, с достатъчно количество вода.</w:t>
      </w:r>
    </w:p>
    <w:p w14:paraId="132F3111" w14:textId="0439FCE9" w:rsidR="005B0F27" w:rsidRPr="00895FF0" w:rsidRDefault="005B0F27" w:rsidP="0091385D">
      <w:pPr>
        <w:rPr>
          <w:rFonts w:cs="Arial"/>
        </w:rPr>
      </w:pPr>
    </w:p>
    <w:p w14:paraId="3FA82EEB" w14:textId="6A702B29" w:rsidR="00895FF0" w:rsidRPr="00895FF0" w:rsidRDefault="00895FF0" w:rsidP="0091385D">
      <w:pPr>
        <w:rPr>
          <w:rFonts w:cs="Arial"/>
        </w:rPr>
      </w:pPr>
      <w:r w:rsidRPr="00895FF0">
        <w:rPr>
          <w:rFonts w:cs="Arial"/>
        </w:rPr>
        <w:t>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(вж. точка 4.4).</w:t>
      </w:r>
    </w:p>
    <w:p w14:paraId="11B1FB38" w14:textId="77777777" w:rsidR="00895FF0" w:rsidRPr="0091385D" w:rsidRDefault="00895FF0"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49010519"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Свръхчувствителност към индометацин или някое от помощните вещества, изброени в точка 6.1;</w:t>
      </w:r>
    </w:p>
    <w:p w14:paraId="34524C69"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Свръхчувствителност към ацегилсалицилова киселина или други нестероидни противовъзпалителни средства с клинична проява на астматичен пристъп, уртикария или ринит;</w:t>
      </w:r>
    </w:p>
    <w:p w14:paraId="5590DC7A"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Минала анамнеза за стомашно-чревни кръвоизливи или перфорации, предизвикани от употреба на НСПВС;</w:t>
      </w:r>
    </w:p>
    <w:p w14:paraId="69CC92C1"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Активна или рекурентна пептична язва/кръвоизлив на стомаха и дванадесетопръстника (два или повече епизода на доказана язва или кръвоизлив), улцерозен колит и/или ентероколит;</w:t>
      </w:r>
    </w:p>
    <w:p w14:paraId="5B88E8F6"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Тежка сърдечна недостатъчност;</w:t>
      </w:r>
    </w:p>
    <w:p w14:paraId="2B7943E0"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Тежка чернодробна и бъбречна недостатъчност;</w:t>
      </w:r>
    </w:p>
    <w:p w14:paraId="036F75F1" w14:textId="77777777" w:rsidR="00895FF0"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 xml:space="preserve">По време на последния триместър на бременността и през периода на кърмене (вж. точка 4.6); </w:t>
      </w:r>
    </w:p>
    <w:p w14:paraId="030B6A4D" w14:textId="662DBB18" w:rsidR="00EC41ED" w:rsidRPr="00895FF0" w:rsidRDefault="00895FF0" w:rsidP="00895FF0">
      <w:pPr>
        <w:pStyle w:val="ListParagraph"/>
        <w:numPr>
          <w:ilvl w:val="0"/>
          <w:numId w:val="37"/>
        </w:numPr>
        <w:spacing w:line="240" w:lineRule="auto"/>
        <w:rPr>
          <w:rFonts w:eastAsia="Times New Roman" w:cs="Arial"/>
          <w:sz w:val="24"/>
          <w:szCs w:val="24"/>
          <w:lang w:eastAsia="bg-BG"/>
        </w:rPr>
      </w:pPr>
      <w:r w:rsidRPr="00895FF0">
        <w:rPr>
          <w:rFonts w:eastAsia="Times New Roman" w:cs="Arial"/>
          <w:color w:val="000000"/>
          <w:lang w:eastAsia="bg-BG"/>
        </w:rPr>
        <w:t>Деца под 14-годишна възраст.</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0A797F58"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Общи</w:t>
      </w:r>
    </w:p>
    <w:p w14:paraId="4F291B23" w14:textId="77777777" w:rsidR="00895FF0" w:rsidRPr="00895FF0" w:rsidRDefault="00895FF0" w:rsidP="00895FF0">
      <w:pPr>
        <w:pStyle w:val="ListParagraph"/>
        <w:numPr>
          <w:ilvl w:val="0"/>
          <w:numId w:val="38"/>
        </w:numPr>
        <w:spacing w:line="240" w:lineRule="auto"/>
        <w:rPr>
          <w:rFonts w:eastAsia="Times New Roman" w:cs="Arial"/>
          <w:sz w:val="24"/>
          <w:szCs w:val="24"/>
          <w:lang w:eastAsia="bg-BG"/>
        </w:rPr>
      </w:pPr>
      <w:r w:rsidRPr="00895FF0">
        <w:rPr>
          <w:rFonts w:eastAsia="Times New Roman" w:cs="Arial"/>
          <w:color w:val="000000"/>
          <w:lang w:eastAsia="bg-BG"/>
        </w:rPr>
        <w:t>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(вж. точка 4.2 и посочените по-долу гастро-интестинални и сърдечно-съдови рискове).</w:t>
      </w:r>
    </w:p>
    <w:p w14:paraId="11994D35" w14:textId="77777777" w:rsidR="00895FF0" w:rsidRPr="00895FF0" w:rsidRDefault="00895FF0" w:rsidP="00895FF0">
      <w:pPr>
        <w:pStyle w:val="ListParagraph"/>
        <w:numPr>
          <w:ilvl w:val="0"/>
          <w:numId w:val="38"/>
        </w:numPr>
        <w:spacing w:line="240" w:lineRule="auto"/>
        <w:rPr>
          <w:rFonts w:eastAsia="Times New Roman" w:cs="Arial"/>
          <w:sz w:val="24"/>
          <w:szCs w:val="24"/>
          <w:lang w:eastAsia="bg-BG"/>
        </w:rPr>
      </w:pPr>
      <w:r w:rsidRPr="00895FF0">
        <w:rPr>
          <w:rFonts w:eastAsia="Times New Roman" w:cs="Arial"/>
          <w:color w:val="000000"/>
          <w:lang w:eastAsia="bg-BG"/>
        </w:rPr>
        <w:lastRenderedPageBreak/>
        <w:t>Едновременната употреба на индометацин с друго лекарство от групата на НСПВС, включително селективни СОХ-2 инхибитори, трябва да се избягва.</w:t>
      </w:r>
    </w:p>
    <w:p w14:paraId="1831ADD8" w14:textId="77777777" w:rsidR="00895FF0" w:rsidRPr="00895FF0" w:rsidRDefault="00895FF0" w:rsidP="00895FF0">
      <w:pPr>
        <w:pStyle w:val="ListParagraph"/>
        <w:numPr>
          <w:ilvl w:val="0"/>
          <w:numId w:val="38"/>
        </w:numPr>
        <w:spacing w:line="240" w:lineRule="auto"/>
        <w:rPr>
          <w:rFonts w:eastAsia="Times New Roman" w:cs="Arial"/>
          <w:sz w:val="24"/>
          <w:szCs w:val="24"/>
          <w:lang w:eastAsia="bg-BG"/>
        </w:rPr>
      </w:pPr>
      <w:r w:rsidRPr="00895FF0">
        <w:rPr>
          <w:rFonts w:eastAsia="Times New Roman" w:cs="Arial"/>
          <w:color w:val="000000"/>
          <w:lang w:eastAsia="bg-BG"/>
        </w:rPr>
        <w:t>При приемане на лекарствени продукти от групата на НСПВС съществува риск от развитие на хиперкалиемия, особено при пациенти над 65 години, пациенти с бъбречна недостатъчност, пациенти, които са на лечение с β-блокери, АСЕ-инхибитори и калий-съхраняващи диуретици. При такива пациенти се налага проследяване на серумния калий.</w:t>
      </w:r>
    </w:p>
    <w:p w14:paraId="7A72C0A7" w14:textId="459C4C8E" w:rsidR="00895FF0" w:rsidRPr="00895FF0" w:rsidRDefault="00895FF0" w:rsidP="00895FF0">
      <w:pPr>
        <w:pStyle w:val="ListParagraph"/>
        <w:numPr>
          <w:ilvl w:val="0"/>
          <w:numId w:val="38"/>
        </w:numPr>
        <w:spacing w:line="240" w:lineRule="auto"/>
        <w:rPr>
          <w:rFonts w:eastAsia="Times New Roman" w:cs="Arial"/>
          <w:sz w:val="24"/>
          <w:szCs w:val="24"/>
          <w:lang w:eastAsia="bg-BG"/>
        </w:rPr>
      </w:pPr>
      <w:r w:rsidRPr="00895FF0">
        <w:rPr>
          <w:rFonts w:eastAsia="Times New Roman" w:cs="Arial"/>
          <w:color w:val="000000"/>
          <w:lang w:eastAsia="bg-BG"/>
        </w:rPr>
        <w:t>Индометацин се прилага с повишено внимание при пациенти с данни за свръхчувствителност към лекарства и храни, болни с алергични заболявания - сенна хрема, бронхиална астма, назална полипоза.</w:t>
      </w:r>
    </w:p>
    <w:p w14:paraId="27D1198D" w14:textId="77777777" w:rsidR="00895FF0" w:rsidRPr="00895FF0" w:rsidRDefault="00895FF0" w:rsidP="00895FF0">
      <w:pPr>
        <w:spacing w:line="240" w:lineRule="auto"/>
        <w:rPr>
          <w:rFonts w:eastAsia="Times New Roman" w:cs="Arial"/>
          <w:i/>
          <w:iCs/>
          <w:color w:val="000000"/>
          <w:u w:val="single"/>
          <w:lang w:eastAsia="bg-BG"/>
        </w:rPr>
      </w:pPr>
    </w:p>
    <w:p w14:paraId="1F55C932" w14:textId="30B4EC11"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Пациенти в напреднала възраст (над 65 години)</w:t>
      </w:r>
    </w:p>
    <w:p w14:paraId="391446D3"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Употребата на НСПВС при пациенти над 65 години по-често предизвиква нежелани лекарствени реакции, предимно гастроинтестинално кървене или перфорация, понякога фатални (вж. точка 4.2).</w:t>
      </w:r>
    </w:p>
    <w:p w14:paraId="17E7BFC7" w14:textId="77777777" w:rsidR="00895FF0" w:rsidRPr="00895FF0" w:rsidRDefault="00895FF0" w:rsidP="00895FF0">
      <w:pPr>
        <w:spacing w:line="240" w:lineRule="auto"/>
        <w:rPr>
          <w:rFonts w:eastAsia="Times New Roman" w:cs="Arial"/>
          <w:i/>
          <w:iCs/>
          <w:color w:val="000000"/>
          <w:u w:val="single"/>
          <w:lang w:eastAsia="bg-BG"/>
        </w:rPr>
      </w:pPr>
    </w:p>
    <w:p w14:paraId="59EDE750" w14:textId="6AF36E9F"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Стомашно-чревни кръвоизливи, улцерации и перфорации</w:t>
      </w:r>
    </w:p>
    <w:p w14:paraId="79EE861D" w14:textId="77777777"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Стомашно-чревни кръвоизливи, улцерации и перфорации (понякога с фатален изход) са наблюдавани при употребата на всички НСПВС по всяко време в хода на лечението, с или без предупредителни симптоми или данни за предшестващи сериозни инциденти от страна на стомашно- чревния тракт.</w:t>
      </w:r>
    </w:p>
    <w:p w14:paraId="324319B3" w14:textId="77777777"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Рискът от поява на нежелани реакции от страна на стомашно-чревния тракт е по-висок при употреба на високи дози НСПВС, при пациенти с минала анамнеза за язва, особено усложнена с кръвоизлив или перфорация и при пациенти в напреднала възраст. Такива пациенти трябва да започват лечението с НСПВС в най-ниската възможна доза, като се обмисля необходимостта от добавяне на протективни агенти (напр. мизопростол или инхибитори на протонната помпа). Това поведение е препоръчително и в случаите на едновременно приложение в ниски дози на ацетилсалицилова киселина или други лекарства, които увеличават риска от стомашно-чревни</w:t>
      </w:r>
      <w:r w:rsidRPr="00895FF0">
        <w:rPr>
          <w:rFonts w:eastAsia="Times New Roman" w:cs="Arial"/>
          <w:color w:val="000000"/>
          <w:u w:val="single"/>
          <w:lang w:eastAsia="bg-BG"/>
        </w:rPr>
        <w:t xml:space="preserve"> </w:t>
      </w:r>
      <w:r w:rsidRPr="00895FF0">
        <w:rPr>
          <w:rFonts w:eastAsia="Times New Roman" w:cs="Arial"/>
          <w:color w:val="000000"/>
          <w:lang w:eastAsia="bg-BG"/>
        </w:rPr>
        <w:t>усложнения (кортикостероиди, антикоагуланти, антиагреганти, селективни инхибитори на обратното захващане на серотонина).</w:t>
      </w:r>
    </w:p>
    <w:p w14:paraId="13A6B333" w14:textId="77777777"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Повишено внимание се изисква и при лечението на пациенти с други стомашно-чревни заболявания (улцерозен колит, болест на Крон), които могат да се обострят при употреба на НСПВС.</w:t>
      </w:r>
    </w:p>
    <w:p w14:paraId="6412E0B3" w14:textId="77777777"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Повишен риск от поява на усложнения от страна на гастроинтестиналния тракт съществува при пациенти, които злоупотребяват е алкохол или при пушачи, поради което лечението трябва да се провежда с особено внимание.</w:t>
      </w:r>
    </w:p>
    <w:p w14:paraId="616AD8E6" w14:textId="77777777"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Пациенти с анамнеза за гастроинтестинални проблеми (особено тези в напреднала възраст) трябва да бъдат посъветвани да съобщават за необичайни коремни симптоми (специално гастроинтестинални кръвоизливи), особено в началото на лечението.</w:t>
      </w:r>
    </w:p>
    <w:p w14:paraId="753AB5DE" w14:textId="77777777"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Внимателна употреба при пациенти на лечение с лекарствени продукти, които могат да повишат риска от улцерации или кървене (перорални кортикостероиди, антикоагуланти като варфарин, селективни инхибитори на обратното захващане на серотонин или антиагреганти като ацетилсалицилова киселина (вж. точка 4.5).</w:t>
      </w:r>
    </w:p>
    <w:p w14:paraId="3C32E13F" w14:textId="0BFC9DB4" w:rsidR="00895FF0" w:rsidRPr="00895FF0" w:rsidRDefault="00895FF0" w:rsidP="00895FF0">
      <w:pPr>
        <w:pStyle w:val="ListParagraph"/>
        <w:numPr>
          <w:ilvl w:val="0"/>
          <w:numId w:val="39"/>
        </w:numPr>
        <w:spacing w:line="240" w:lineRule="auto"/>
        <w:rPr>
          <w:rFonts w:eastAsia="Times New Roman" w:cs="Arial"/>
          <w:sz w:val="24"/>
          <w:szCs w:val="24"/>
          <w:lang w:eastAsia="bg-BG"/>
        </w:rPr>
      </w:pPr>
      <w:r w:rsidRPr="00895FF0">
        <w:rPr>
          <w:rFonts w:eastAsia="Times New Roman" w:cs="Arial"/>
          <w:color w:val="000000"/>
          <w:lang w:eastAsia="bg-BG"/>
        </w:rPr>
        <w:t>При поява на улцерации и кървене от стомашно-чревния тракт лечението с индометацин трябва да бъде преустановено.</w:t>
      </w:r>
    </w:p>
    <w:p w14:paraId="203F4430" w14:textId="77777777" w:rsidR="00895FF0" w:rsidRPr="00895FF0" w:rsidRDefault="00895FF0" w:rsidP="00895FF0">
      <w:pPr>
        <w:spacing w:line="240" w:lineRule="auto"/>
        <w:rPr>
          <w:rFonts w:eastAsia="Times New Roman" w:cs="Arial"/>
          <w:i/>
          <w:iCs/>
          <w:color w:val="000000"/>
          <w:u w:val="single"/>
          <w:lang w:eastAsia="bg-BG"/>
        </w:rPr>
      </w:pPr>
    </w:p>
    <w:p w14:paraId="06F80003" w14:textId="2C5050FA"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Нарушения на сърдечно-съдовата система и мозъчното кръвообращение</w:t>
      </w:r>
    </w:p>
    <w:p w14:paraId="678832D0" w14:textId="77777777" w:rsidR="00895FF0" w:rsidRPr="00895FF0" w:rsidRDefault="00895FF0" w:rsidP="00895FF0">
      <w:pPr>
        <w:pStyle w:val="ListParagraph"/>
        <w:numPr>
          <w:ilvl w:val="0"/>
          <w:numId w:val="40"/>
        </w:numPr>
        <w:spacing w:line="240" w:lineRule="auto"/>
        <w:rPr>
          <w:rFonts w:eastAsia="Times New Roman" w:cs="Arial"/>
          <w:sz w:val="24"/>
          <w:szCs w:val="24"/>
          <w:lang w:eastAsia="bg-BG"/>
        </w:rPr>
      </w:pPr>
      <w:r w:rsidRPr="00895FF0">
        <w:rPr>
          <w:rFonts w:eastAsia="Times New Roman" w:cs="Arial"/>
          <w:color w:val="000000"/>
          <w:lang w:eastAsia="bg-BG"/>
        </w:rPr>
        <w:lastRenderedPageBreak/>
        <w:t>Необходимо е да се осигурят подходящо наблюдение и съвет за пациенти с анамнеза за хипертония и/или лека до умерена конгестивна сърдечна недостатъчност, тъй като има съобщения за отоци и задръжка на течности, свързани с лечението с НСПВС.</w:t>
      </w:r>
    </w:p>
    <w:p w14:paraId="164B5A84" w14:textId="77777777" w:rsidR="00895FF0" w:rsidRPr="00895FF0" w:rsidRDefault="00895FF0" w:rsidP="00895FF0">
      <w:pPr>
        <w:pStyle w:val="ListParagraph"/>
        <w:numPr>
          <w:ilvl w:val="0"/>
          <w:numId w:val="40"/>
        </w:numPr>
        <w:spacing w:line="240" w:lineRule="auto"/>
        <w:rPr>
          <w:rFonts w:eastAsia="Times New Roman" w:cs="Arial"/>
          <w:sz w:val="24"/>
          <w:szCs w:val="24"/>
          <w:lang w:eastAsia="bg-BG"/>
        </w:rPr>
      </w:pPr>
      <w:r w:rsidRPr="00895FF0">
        <w:rPr>
          <w:rFonts w:eastAsia="Times New Roman" w:cs="Arial"/>
          <w:color w:val="000000"/>
          <w:lang w:eastAsia="bg-BG"/>
        </w:rPr>
        <w:t>Клинични проучвания и епидемиологични данни показват, че употребата на някои НСПВС (особено във високи дози и при продължително приложение) може да бъде свързана с леко повишен риск от артериални тромботични събития (например миокарден инфаркт или инсулт). Няма достатъчно данни, за да се изключи такъв риск при индометацин.</w:t>
      </w:r>
    </w:p>
    <w:p w14:paraId="70421A3C" w14:textId="77777777" w:rsidR="00895FF0" w:rsidRPr="00895FF0" w:rsidRDefault="00895FF0" w:rsidP="00895FF0">
      <w:pPr>
        <w:pStyle w:val="ListParagraph"/>
        <w:numPr>
          <w:ilvl w:val="0"/>
          <w:numId w:val="40"/>
        </w:numPr>
        <w:spacing w:line="240" w:lineRule="auto"/>
        <w:rPr>
          <w:rFonts w:eastAsia="Times New Roman" w:cs="Arial"/>
          <w:sz w:val="24"/>
          <w:szCs w:val="24"/>
          <w:lang w:eastAsia="bg-BG"/>
        </w:rPr>
      </w:pPr>
      <w:r w:rsidRPr="00895FF0">
        <w:rPr>
          <w:rFonts w:eastAsia="Times New Roman" w:cs="Arial"/>
          <w:color w:val="000000"/>
          <w:lang w:eastAsia="bg-BG"/>
        </w:rPr>
        <w:t>Пациенти с неконтролирана хипертония, конгестивна сърдечна недостатъчност, установена исхемична болест на сърцето, заболяване на периферните артерии и/или мозъчно-съдова болест трябва да се лекуват с индометацин само след внимателна преценка на съотношението полза/риск.</w:t>
      </w:r>
    </w:p>
    <w:p w14:paraId="357D8C5C" w14:textId="727792A8" w:rsidR="00895FF0" w:rsidRPr="00895FF0" w:rsidRDefault="00895FF0" w:rsidP="00895FF0">
      <w:pPr>
        <w:pStyle w:val="ListParagraph"/>
        <w:numPr>
          <w:ilvl w:val="0"/>
          <w:numId w:val="40"/>
        </w:numPr>
        <w:spacing w:line="240" w:lineRule="auto"/>
        <w:rPr>
          <w:rFonts w:eastAsia="Times New Roman" w:cs="Arial"/>
          <w:sz w:val="24"/>
          <w:szCs w:val="24"/>
          <w:lang w:eastAsia="bg-BG"/>
        </w:rPr>
      </w:pPr>
      <w:r w:rsidRPr="00895FF0">
        <w:rPr>
          <w:rFonts w:eastAsia="Times New Roman" w:cs="Arial"/>
          <w:color w:val="000000"/>
          <w:lang w:eastAsia="bg-BG"/>
        </w:rPr>
        <w:t>Такава преценка трябва да се прави преди започване на дългосрочно лечение на пациенти с рискови фактори за сърдечно-съдови събития (напр. хипертония, хиперлипидемия, захарен диабет, тютюнопушене).</w:t>
      </w:r>
    </w:p>
    <w:p w14:paraId="759D3D94" w14:textId="77777777" w:rsidR="00895FF0" w:rsidRPr="00895FF0" w:rsidRDefault="00895FF0" w:rsidP="00895FF0">
      <w:pPr>
        <w:spacing w:line="240" w:lineRule="auto"/>
        <w:rPr>
          <w:rFonts w:eastAsia="Times New Roman" w:cs="Arial"/>
          <w:i/>
          <w:iCs/>
          <w:color w:val="000000"/>
          <w:u w:val="single"/>
          <w:lang w:eastAsia="bg-BG"/>
        </w:rPr>
      </w:pPr>
    </w:p>
    <w:p w14:paraId="2C7E7C7E" w14:textId="6EDED4F9"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Кожни ефекти</w:t>
      </w:r>
    </w:p>
    <w:p w14:paraId="0B7AAF44"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Сериозните кожни реакции, включително с летален изход, наблюдавани много рядко при употребата на НСПВС, се отнасят до случаи на ексфолиативен дерматит, синдром на </w:t>
      </w:r>
      <w:r w:rsidRPr="00895FF0">
        <w:rPr>
          <w:rFonts w:eastAsia="Times New Roman" w:cs="Arial"/>
          <w:i/>
          <w:iCs/>
          <w:color w:val="000000"/>
          <w:lang w:val="en-US"/>
        </w:rPr>
        <w:t>Stevens-Johnson,</w:t>
      </w:r>
      <w:r w:rsidRPr="00895FF0">
        <w:rPr>
          <w:rFonts w:eastAsia="Times New Roman" w:cs="Arial"/>
          <w:color w:val="000000"/>
          <w:lang w:val="en-US"/>
        </w:rPr>
        <w:t xml:space="preserve"> </w:t>
      </w:r>
      <w:r w:rsidRPr="00895FF0">
        <w:rPr>
          <w:rFonts w:eastAsia="Times New Roman" w:cs="Arial"/>
          <w:color w:val="000000"/>
          <w:lang w:eastAsia="bg-BG"/>
        </w:rPr>
        <w:t>токсична епидермална некролиза. Най-висок е рискът в началото на лечението (през първия месец). Приемът на лекарството трябва да бъде преустановен още при първите кожни или други признаци на свръхчувствителност.</w:t>
      </w:r>
    </w:p>
    <w:p w14:paraId="70866508" w14:textId="77777777" w:rsidR="00895FF0" w:rsidRPr="00895FF0" w:rsidRDefault="00895FF0" w:rsidP="00895FF0">
      <w:pPr>
        <w:spacing w:line="240" w:lineRule="auto"/>
        <w:rPr>
          <w:rFonts w:eastAsia="Times New Roman" w:cs="Arial"/>
          <w:i/>
          <w:iCs/>
          <w:color w:val="000000"/>
          <w:u w:val="single"/>
          <w:lang w:eastAsia="bg-BG"/>
        </w:rPr>
      </w:pPr>
    </w:p>
    <w:p w14:paraId="7CA26DBC" w14:textId="0131DA0A"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Бъбречни ефекти</w:t>
      </w:r>
    </w:p>
    <w:p w14:paraId="7E58C1AD"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Индометацин се прилага с внимание при болни с бъбречни заболявания (креатининов клирънс &lt; 30 </w:t>
      </w:r>
      <w:r w:rsidRPr="00895FF0">
        <w:rPr>
          <w:rFonts w:eastAsia="Times New Roman" w:cs="Arial"/>
          <w:color w:val="000000"/>
          <w:lang w:val="en-US"/>
        </w:rPr>
        <w:t xml:space="preserve">ml/min) </w:t>
      </w:r>
      <w:r w:rsidRPr="00895FF0">
        <w:rPr>
          <w:rFonts w:eastAsia="Times New Roman" w:cs="Arial"/>
          <w:color w:val="000000"/>
          <w:lang w:eastAsia="bg-BG"/>
        </w:rPr>
        <w:t>поради възможно бъбречно увреждане.</w:t>
      </w:r>
    </w:p>
    <w:p w14:paraId="6A37FEAB" w14:textId="77777777" w:rsidR="00895FF0" w:rsidRPr="00895FF0" w:rsidRDefault="00895FF0" w:rsidP="00895FF0">
      <w:pPr>
        <w:spacing w:line="240" w:lineRule="auto"/>
        <w:rPr>
          <w:rFonts w:eastAsia="Times New Roman" w:cs="Arial"/>
          <w:i/>
          <w:iCs/>
          <w:color w:val="000000"/>
          <w:u w:val="single"/>
          <w:lang w:eastAsia="bg-BG"/>
        </w:rPr>
      </w:pPr>
    </w:p>
    <w:p w14:paraId="2E0AF7C5" w14:textId="63485D81"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Хематологични ефекти</w:t>
      </w:r>
    </w:p>
    <w:p w14:paraId="75D00606"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Необходимо е да се назначава внимателно на пациенти с анамнеза за нарушена коагулация, тъй като лекарственият продукт инхибира биосинтезата на простагландините и повлиява функцията на тромбоцитите.</w:t>
      </w:r>
    </w:p>
    <w:p w14:paraId="1720E044" w14:textId="77777777" w:rsidR="00895FF0" w:rsidRPr="00895FF0" w:rsidRDefault="00895FF0" w:rsidP="00895FF0">
      <w:pPr>
        <w:spacing w:line="240" w:lineRule="auto"/>
        <w:rPr>
          <w:rFonts w:eastAsia="Times New Roman" w:cs="Arial"/>
          <w:i/>
          <w:iCs/>
          <w:color w:val="000000"/>
          <w:u w:val="single"/>
          <w:lang w:eastAsia="bg-BG"/>
        </w:rPr>
      </w:pPr>
    </w:p>
    <w:p w14:paraId="4883FCA1" w14:textId="74B321B4"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Чернодробни ефекти</w:t>
      </w:r>
    </w:p>
    <w:p w14:paraId="0A7F8E6C"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Лечението с индометацин, както и другите лекарствени продукти от групата на НСПВС, може да предизвика промени в чернодробната функция при продължително лечение, което налага периодичен контрол на чернодробните ензими.</w:t>
      </w:r>
    </w:p>
    <w:p w14:paraId="06548D08" w14:textId="77777777" w:rsidR="00895FF0" w:rsidRPr="00895FF0" w:rsidRDefault="00895FF0" w:rsidP="00895FF0">
      <w:pPr>
        <w:spacing w:line="240" w:lineRule="auto"/>
        <w:rPr>
          <w:rFonts w:eastAsia="Times New Roman" w:cs="Arial"/>
          <w:i/>
          <w:iCs/>
          <w:color w:val="000000"/>
          <w:u w:val="single"/>
          <w:lang w:eastAsia="bg-BG"/>
        </w:rPr>
      </w:pPr>
    </w:p>
    <w:p w14:paraId="5A878838" w14:textId="596EAFA1"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Инфекции</w:t>
      </w:r>
    </w:p>
    <w:p w14:paraId="1C81B505"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Поради противовъзпалителното си действие лекарственият продукт може да маскира симптомите на остро възпаление, което налага изключването на бактериална инфекция при назначаването му.</w:t>
      </w:r>
    </w:p>
    <w:p w14:paraId="79EECE56" w14:textId="77777777" w:rsidR="00895FF0" w:rsidRPr="00895FF0" w:rsidRDefault="00895FF0" w:rsidP="00895FF0">
      <w:pPr>
        <w:spacing w:line="240" w:lineRule="auto"/>
        <w:rPr>
          <w:rFonts w:eastAsia="Times New Roman" w:cs="Arial"/>
          <w:i/>
          <w:iCs/>
          <w:color w:val="000000"/>
          <w:u w:val="single"/>
          <w:lang w:eastAsia="bg-BG"/>
        </w:rPr>
      </w:pPr>
    </w:p>
    <w:p w14:paraId="370A5124" w14:textId="3D36C9F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Влияние върху фертилитета</w:t>
      </w:r>
    </w:p>
    <w:p w14:paraId="21D7A121"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При жени в репродуктивна възраст съществува риск от обратимо потискане на фертилитета при употребата на продукта.</w:t>
      </w:r>
    </w:p>
    <w:p w14:paraId="014F09D4" w14:textId="793D60C5" w:rsidR="00895FF0" w:rsidRDefault="00895FF0" w:rsidP="00895FF0">
      <w:pPr>
        <w:spacing w:line="240" w:lineRule="auto"/>
        <w:rPr>
          <w:rFonts w:eastAsia="Times New Roman" w:cs="Arial"/>
          <w:i/>
          <w:iCs/>
          <w:color w:val="000000"/>
          <w:u w:val="single"/>
          <w:lang w:eastAsia="bg-BG"/>
        </w:rPr>
      </w:pPr>
      <w:r w:rsidRPr="00895FF0">
        <w:rPr>
          <w:rFonts w:eastAsia="Times New Roman" w:cs="Arial"/>
          <w:i/>
          <w:iCs/>
          <w:color w:val="000000"/>
          <w:u w:val="single"/>
          <w:lang w:eastAsia="bg-BG"/>
        </w:rPr>
        <w:t>Психични ефекти</w:t>
      </w:r>
    </w:p>
    <w:p w14:paraId="7018475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Прилага се внимателно при болни с психични нарушения, депресия, епилепсия, паркинсонизъм, тъй като може да доведе до влошаване на основното заболяване.</w:t>
      </w:r>
    </w:p>
    <w:p w14:paraId="378C10E1" w14:textId="77777777" w:rsidR="00895FF0" w:rsidRPr="00895FF0" w:rsidRDefault="00895FF0" w:rsidP="00895FF0">
      <w:pPr>
        <w:spacing w:line="240" w:lineRule="auto"/>
        <w:rPr>
          <w:rFonts w:eastAsia="Times New Roman" w:cs="Arial"/>
          <w:sz w:val="24"/>
          <w:szCs w:val="24"/>
          <w:lang w:eastAsia="bg-BG"/>
        </w:rPr>
      </w:pPr>
    </w:p>
    <w:p w14:paraId="0C82838B" w14:textId="77777777" w:rsidR="00895FF0" w:rsidRPr="00895FF0" w:rsidRDefault="00895FF0" w:rsidP="00895FF0">
      <w:pPr>
        <w:spacing w:line="240" w:lineRule="auto"/>
        <w:rPr>
          <w:rFonts w:eastAsia="Times New Roman" w:cs="Arial"/>
          <w:i/>
          <w:iCs/>
          <w:color w:val="000000"/>
          <w:lang w:eastAsia="bg-BG"/>
        </w:rPr>
      </w:pPr>
      <w:r w:rsidRPr="00895FF0">
        <w:rPr>
          <w:rFonts w:eastAsia="Times New Roman" w:cs="Arial"/>
          <w:i/>
          <w:iCs/>
          <w:color w:val="000000"/>
          <w:u w:val="single"/>
          <w:lang w:eastAsia="bg-BG"/>
        </w:rPr>
        <w:lastRenderedPageBreak/>
        <w:t>Помощни вещества</w:t>
      </w:r>
      <w:r w:rsidRPr="00895FF0">
        <w:rPr>
          <w:rFonts w:eastAsia="Times New Roman" w:cs="Arial"/>
          <w:i/>
          <w:iCs/>
          <w:color w:val="000000"/>
          <w:lang w:eastAsia="bg-BG"/>
        </w:rPr>
        <w:t xml:space="preserve"> </w:t>
      </w:r>
    </w:p>
    <w:p w14:paraId="1ADF1DC6" w14:textId="77777777" w:rsidR="00895FF0" w:rsidRPr="00895FF0" w:rsidRDefault="00895FF0" w:rsidP="00895FF0">
      <w:pPr>
        <w:pStyle w:val="ListParagraph"/>
        <w:numPr>
          <w:ilvl w:val="0"/>
          <w:numId w:val="41"/>
        </w:numPr>
        <w:spacing w:line="240" w:lineRule="auto"/>
        <w:rPr>
          <w:rFonts w:eastAsia="Times New Roman" w:cs="Arial"/>
          <w:sz w:val="24"/>
          <w:szCs w:val="24"/>
          <w:lang w:eastAsia="bg-BG"/>
        </w:rPr>
      </w:pPr>
      <w:r w:rsidRPr="00895FF0">
        <w:rPr>
          <w:rFonts w:eastAsia="Times New Roman" w:cs="Arial"/>
          <w:color w:val="000000"/>
          <w:lang w:eastAsia="bg-BG"/>
        </w:rPr>
        <w:t>Като помощно вещество в състава на таблетките е включена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42B652F6" w14:textId="44F8E111" w:rsidR="00895FF0" w:rsidRPr="00895FF0" w:rsidRDefault="00895FF0" w:rsidP="00895FF0">
      <w:pPr>
        <w:pStyle w:val="ListParagraph"/>
        <w:numPr>
          <w:ilvl w:val="0"/>
          <w:numId w:val="41"/>
        </w:numPr>
        <w:spacing w:line="240" w:lineRule="auto"/>
        <w:rPr>
          <w:rFonts w:eastAsia="Times New Roman" w:cs="Arial"/>
          <w:sz w:val="24"/>
          <w:szCs w:val="24"/>
          <w:lang w:eastAsia="bg-BG"/>
        </w:rPr>
      </w:pPr>
      <w:r w:rsidRPr="00895FF0">
        <w:rPr>
          <w:rFonts w:eastAsia="Times New Roman" w:cs="Arial"/>
          <w:color w:val="000000"/>
          <w:lang w:eastAsia="bg-BG"/>
        </w:rPr>
        <w:t>Лекарственият продукт съдържа пшенично нишесте. Пшеничното нишесте може да съдържа само следи от глутен (не повече от 3,5 микрограма в една таблетка) и се счита за безопасно при хора с цьолиакия. Пациенти с алергия към пшеница (състояние, различно от цьолиакия), не трябва да приемат това лекарство.</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7E82D7BB"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Други НСПВС, алкохол</w:t>
      </w:r>
    </w:p>
    <w:p w14:paraId="7C9B0E2D"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Едновременното приложение на индометацин с други нестероидни противовъзпалителни средства и алкохол повишава риска от гастроинтестинални нежелани лекарствени реакции.</w:t>
      </w:r>
    </w:p>
    <w:p w14:paraId="637BCE41"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Дифлунизал</w:t>
      </w:r>
    </w:p>
    <w:p w14:paraId="1FA481D6"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Повишава плазменото ниво и понижава бъбречния клирънс на индометацин. Възможно е провокиране на фатални гастроинтестинални кръвоизливи. Тази комбинация не се препоръчва. </w:t>
      </w:r>
      <w:r w:rsidRPr="00895FF0">
        <w:rPr>
          <w:rFonts w:eastAsia="Times New Roman" w:cs="Arial"/>
          <w:i/>
          <w:iCs/>
          <w:color w:val="000000"/>
          <w:u w:val="single"/>
          <w:lang w:eastAsia="bg-BG"/>
        </w:rPr>
        <w:t>Дигоксин</w:t>
      </w:r>
    </w:p>
    <w:p w14:paraId="0515A9A4"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Индометацин може да повиши плазмената концентрация на дигоксин (намалява отделянето му чрез бъбреците), което изисква корекция на дозата и следене нивото на дигоксин.</w:t>
      </w:r>
    </w:p>
    <w:p w14:paraId="2B19A33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Литиеви соли</w:t>
      </w:r>
    </w:p>
    <w:p w14:paraId="11973605"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Индометацин удължава и потенцира действието на литиевите соли и повишава литиевата токсичност. Необходимо е следене нивото на лития.</w:t>
      </w:r>
    </w:p>
    <w:p w14:paraId="71002AC4"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Имуносупресори</w:t>
      </w:r>
    </w:p>
    <w:p w14:paraId="2E758FF3"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Едновременната употреба на индометацин и имуносупресори, като метотрексат и циклоспорин, води до засилване на токсичността им.</w:t>
      </w:r>
    </w:p>
    <w:p w14:paraId="6F2022BC"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Диуретици</w:t>
      </w:r>
    </w:p>
    <w:p w14:paraId="3EE16EBF"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НСПВС понижават терапевтичната ефективност на диуретици (поради намаляване на тубулната им секреция). Възможно е повишаване риска от поява на хиперкалиемия при съвместна употреба с калий съхраняващи диуретици и намаляване на бъбречните функции с повишен риск от остра бъбречна недостатъчност при комбинирана употреба с тиазидни диуретици (триамтерен).</w:t>
      </w:r>
    </w:p>
    <w:p w14:paraId="69627751"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Диуретиците могат да повишат нефротоксичността на индометацин.</w:t>
      </w:r>
    </w:p>
    <w:p w14:paraId="018847C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Антихипертензивни средства</w:t>
      </w:r>
    </w:p>
    <w:p w14:paraId="64365F9A"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Индометацин може да намали антихипертензивния ефект на АСЕ инхибитори и β-блокери при едновременна употреба.</w:t>
      </w:r>
    </w:p>
    <w:p w14:paraId="14FE8DA3"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Кортикостероиди</w:t>
      </w:r>
    </w:p>
    <w:p w14:paraId="048C5A5E"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Повишен риск от гастроинтестинални улцерации и кървене (вж. точка 4.4).</w:t>
      </w:r>
    </w:p>
    <w:p w14:paraId="17738BD0"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А нтикоагуланти</w:t>
      </w:r>
    </w:p>
    <w:p w14:paraId="46C75EDD"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Повишен риск от улцерации и хеморагии, дължащи се на потискане на тромбоцитната функция и агресивен ефект върху стомашно-чревната лигавица. Необходимо е контролиране на времето на кървене и протромбиновото време. Индометацин конкурентно взаимодейства с кумариновите антикоагуланти (например варфарин) на местата на свързване с плазмените протеини и повишава плазмените им нива. В случаите на едновременното им приложение индометацин се назначава в най- ниската </w:t>
      </w:r>
      <w:r w:rsidRPr="00895FF0">
        <w:rPr>
          <w:rFonts w:eastAsia="Times New Roman" w:cs="Arial"/>
          <w:color w:val="000000"/>
          <w:lang w:eastAsia="bg-BG"/>
        </w:rPr>
        <w:lastRenderedPageBreak/>
        <w:t>ефективна доза и се обмисля възможността за добавяне на протективни агенти (вж. точка 4.4).</w:t>
      </w:r>
    </w:p>
    <w:p w14:paraId="698F15E1"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 xml:space="preserve">Антиагреганти и селективни инхибитори на обратното захващане на серотонина </w:t>
      </w:r>
      <w:r w:rsidRPr="00895FF0">
        <w:rPr>
          <w:rFonts w:eastAsia="Times New Roman" w:cs="Arial"/>
          <w:i/>
          <w:iCs/>
          <w:color w:val="000000"/>
          <w:u w:val="single"/>
          <w:lang w:val="en-US"/>
        </w:rPr>
        <w:t xml:space="preserve">(SSRIs) </w:t>
      </w:r>
      <w:r w:rsidRPr="00895FF0">
        <w:rPr>
          <w:rFonts w:eastAsia="Times New Roman" w:cs="Arial"/>
          <w:color w:val="000000"/>
          <w:lang w:eastAsia="bg-BG"/>
        </w:rPr>
        <w:t>Повишен риск от гастроинтестинално кървене (вж. точка 4.4).</w:t>
      </w:r>
    </w:p>
    <w:p w14:paraId="31475186"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Хинолони</w:t>
      </w:r>
    </w:p>
    <w:p w14:paraId="180F540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Едновременното приложение на хинолони и индометацин може да повиши риска от поява на гърчове при пациенти с или без анамнеза за епилепсия или гърчове.</w:t>
      </w:r>
    </w:p>
    <w:p w14:paraId="1F175BEC"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Пробенеиид</w:t>
      </w:r>
    </w:p>
    <w:p w14:paraId="5E2E3C3B"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Забавя екскрецията и повишава токсичността на индометацин.</w:t>
      </w:r>
    </w:p>
    <w:p w14:paraId="2EC998EC"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u w:val="single"/>
          <w:lang w:eastAsia="bg-BG"/>
        </w:rPr>
        <w:t>Антидиабетни средства</w:t>
      </w:r>
    </w:p>
    <w:p w14:paraId="5B2761C5" w14:textId="06FC6862" w:rsidR="0091385D" w:rsidRPr="00895FF0" w:rsidRDefault="00895FF0" w:rsidP="00895FF0">
      <w:pPr>
        <w:rPr>
          <w:rFonts w:cs="Arial"/>
        </w:rPr>
      </w:pPr>
      <w:r w:rsidRPr="00895FF0">
        <w:rPr>
          <w:rFonts w:eastAsia="Times New Roman" w:cs="Arial"/>
          <w:color w:val="000000"/>
          <w:lang w:eastAsia="bg-BG"/>
        </w:rPr>
        <w:t>Индометацин не променя терапевтичната ефективност на оралните антидиабетни свойства и инсулин, въпреки че има наблюдения за хипо- или хипергликемичен ефект при едновременната им употреба.</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28F212CF"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Бременност</w:t>
      </w:r>
    </w:p>
    <w:p w14:paraId="69C84FA3"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Употребата на НСПВС, както всички инхибитори на простагландиновата синтеза през първите месеци на бременността, е свързана с повишен риск от спонтанен аборт и малформации (бъбречни увреждания, сърдечни малформации). Рискът е по-голям при високи дози, прилагани за продължителен период от време.</w:t>
      </w:r>
    </w:p>
    <w:p w14:paraId="44A40225"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От 20-та седмица на бременността нататък, употребата на индометацин може да причини олигохидрамнион в резултат на нарушение на бъбречната функция на фетуса. Това може да се случи скоро след започване на лечението и обикновено е обратимо при прекратяването му.</w:t>
      </w:r>
    </w:p>
    <w:p w14:paraId="62F32ECA"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По време на първия и втория триместър на бременността индометацин не трябва да се дава, освен ако не е абсолютно необходимо. Ако Индометацин Софарма се използва от жена, която се опитва да забременее, или през първия и втория триместър на бременността, дозата трябва да се поддържа възможно най-ниска, а продължителността на лечението е възможно най-кратка. След експозиция на Индометацин Софарма в продължение на няколко дни от 20-та гестационна седмица нататък трябва да се обмисли антенатално проследяване за олигохидрамнион. Индометацин Софарма трябва да се преустанови, ако се установи олигохидрамнион.</w:t>
      </w:r>
    </w:p>
    <w:p w14:paraId="2656E40F"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По време на третия триместър на бременността всички инхибитори на синтезата на простагландини може да изложат </w:t>
      </w:r>
      <w:r w:rsidRPr="00895FF0">
        <w:rPr>
          <w:rFonts w:eastAsia="Times New Roman" w:cs="Arial"/>
          <w:i/>
          <w:iCs/>
          <w:color w:val="000000"/>
          <w:lang w:eastAsia="bg-BG"/>
        </w:rPr>
        <w:t>фетуса</w:t>
      </w:r>
      <w:r w:rsidRPr="00895FF0">
        <w:rPr>
          <w:rFonts w:eastAsia="Times New Roman" w:cs="Arial"/>
          <w:color w:val="000000"/>
          <w:lang w:eastAsia="bg-BG"/>
        </w:rPr>
        <w:t xml:space="preserve"> на:</w:t>
      </w:r>
    </w:p>
    <w:p w14:paraId="6E77E3C5"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w:t>
      </w:r>
      <w:r w:rsidRPr="00895FF0">
        <w:rPr>
          <w:rFonts w:eastAsia="Times New Roman" w:cs="Arial"/>
          <w:color w:val="000000"/>
          <w:lang w:eastAsia="bg-BG"/>
        </w:rPr>
        <w:tab/>
        <w:t xml:space="preserve">кардиопулмонална токсичност (с преждевременно затваряне на </w:t>
      </w:r>
      <w:r w:rsidRPr="00895FF0">
        <w:rPr>
          <w:rFonts w:eastAsia="Times New Roman" w:cs="Arial"/>
          <w:color w:val="000000"/>
          <w:lang w:val="en-US"/>
        </w:rPr>
        <w:t xml:space="preserve">ductus arteriosus </w:t>
      </w:r>
      <w:r w:rsidRPr="00895FF0">
        <w:rPr>
          <w:rFonts w:eastAsia="Times New Roman" w:cs="Arial"/>
          <w:color w:val="000000"/>
          <w:lang w:eastAsia="bg-BG"/>
        </w:rPr>
        <w:t>и пулмонална хипертония);</w:t>
      </w:r>
    </w:p>
    <w:p w14:paraId="0869F1FC"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w:t>
      </w:r>
      <w:r w:rsidRPr="00895FF0">
        <w:rPr>
          <w:rFonts w:eastAsia="Times New Roman" w:cs="Arial"/>
          <w:color w:val="000000"/>
          <w:lang w:eastAsia="bg-BG"/>
        </w:rPr>
        <w:tab/>
        <w:t>бъбречна дисфункция (вж. по-горе);</w:t>
      </w:r>
    </w:p>
    <w:p w14:paraId="6374F5EF"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i/>
          <w:iCs/>
          <w:color w:val="000000"/>
          <w:lang w:eastAsia="bg-BG"/>
        </w:rPr>
        <w:t>майката и новороденото</w:t>
      </w:r>
      <w:r w:rsidRPr="00895FF0">
        <w:rPr>
          <w:rFonts w:eastAsia="Times New Roman" w:cs="Arial"/>
          <w:color w:val="000000"/>
          <w:lang w:eastAsia="bg-BG"/>
        </w:rPr>
        <w:t xml:space="preserve"> в края на бременността на:</w:t>
      </w:r>
    </w:p>
    <w:p w14:paraId="190BC42B"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w:t>
      </w:r>
      <w:r w:rsidRPr="00895FF0">
        <w:rPr>
          <w:rFonts w:eastAsia="Times New Roman" w:cs="Arial"/>
          <w:color w:val="000000"/>
          <w:lang w:eastAsia="bg-BG"/>
        </w:rPr>
        <w:tab/>
        <w:t xml:space="preserve">вероятно удължаване на времето на кървене, антиагрегиращ ефект, който може да се </w:t>
      </w:r>
      <w:r w:rsidRPr="00895FF0">
        <w:rPr>
          <w:rFonts w:eastAsia="Times New Roman" w:cs="Arial"/>
          <w:i/>
          <w:iCs/>
          <w:color w:val="000000"/>
          <w:lang w:eastAsia="bg-BG"/>
        </w:rPr>
        <w:t>получи</w:t>
      </w:r>
      <w:r w:rsidRPr="00895FF0">
        <w:rPr>
          <w:rFonts w:eastAsia="Times New Roman" w:cs="Arial"/>
          <w:color w:val="000000"/>
          <w:lang w:eastAsia="bg-BG"/>
        </w:rPr>
        <w:t xml:space="preserve"> дори при много ниски дози;</w:t>
      </w:r>
    </w:p>
    <w:p w14:paraId="73716023"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w:t>
      </w:r>
      <w:r w:rsidRPr="00895FF0">
        <w:rPr>
          <w:rFonts w:eastAsia="Times New Roman" w:cs="Arial"/>
          <w:color w:val="000000"/>
          <w:lang w:eastAsia="bg-BG"/>
        </w:rPr>
        <w:tab/>
        <w:t>инхибиране на маточните контракции, водещо до забавяне или удължаване на раждането. Следователно, индометацин е противопоказан по време на третия триместър на бременността (вижте точки 4.3. и 5.3).</w:t>
      </w:r>
    </w:p>
    <w:p w14:paraId="5F821998"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Кърмене</w:t>
      </w:r>
    </w:p>
    <w:p w14:paraId="102F0D07" w14:textId="1D1CD83A" w:rsidR="007A2185" w:rsidRPr="00895FF0" w:rsidRDefault="00895FF0" w:rsidP="00895FF0">
      <w:pPr>
        <w:rPr>
          <w:rFonts w:cs="Arial"/>
        </w:rPr>
      </w:pPr>
      <w:r w:rsidRPr="00895FF0">
        <w:rPr>
          <w:rFonts w:eastAsia="Times New Roman" w:cs="Arial"/>
          <w:color w:val="000000"/>
          <w:lang w:eastAsia="bg-BG"/>
        </w:rPr>
        <w:t>Поради екскреция в майчиното мляко, приложението му в периода на кърмене е противопоказано или изисква преустановяване на кърменето за периода на лечение.</w:t>
      </w:r>
    </w:p>
    <w:p w14:paraId="3E8789C3" w14:textId="77777777" w:rsidR="0091385D" w:rsidRPr="0091385D" w:rsidRDefault="0091385D" w:rsidP="0091385D"/>
    <w:p w14:paraId="064DF1DE" w14:textId="70BCC16C" w:rsidR="00CF77F7" w:rsidRDefault="002C50EE" w:rsidP="004A448E">
      <w:pPr>
        <w:pStyle w:val="Heading2"/>
      </w:pPr>
      <w:r>
        <w:lastRenderedPageBreak/>
        <w:t>4.7. Ефекти върху способността за шофиране и работа с машини</w:t>
      </w:r>
    </w:p>
    <w:p w14:paraId="1455464C" w14:textId="78136F1E" w:rsidR="0091385D" w:rsidRDefault="0091385D" w:rsidP="0091385D"/>
    <w:p w14:paraId="1C9ABB96" w14:textId="52AFC6A9" w:rsidR="007A2185" w:rsidRDefault="00895FF0" w:rsidP="0091385D">
      <w:r>
        <w:t>Индометацин Софарма може да предизвика нежелани ефекти (шум в ушите, световъртеж, сънливост, слухови и зрителни нарушения), които могат да нарушат активното внимание и рефлексите и да повлияят способността за шофиране 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7939A062"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lang w:eastAsia="bg-BG"/>
        </w:rPr>
        <w:t xml:space="preserve">Нежеланите лекарствени реакции са класифицирани по честота и по система орган-клас. Честотата по </w:t>
      </w:r>
      <w:proofErr w:type="spellStart"/>
      <w:r w:rsidRPr="00895FF0">
        <w:rPr>
          <w:rFonts w:eastAsia="Times New Roman" w:cs="Arial"/>
          <w:color w:val="000000"/>
          <w:lang w:val="en-US"/>
        </w:rPr>
        <w:t>MedDRA</w:t>
      </w:r>
      <w:proofErr w:type="spellEnd"/>
      <w:r w:rsidRPr="00895FF0">
        <w:rPr>
          <w:rFonts w:eastAsia="Times New Roman" w:cs="Arial"/>
          <w:color w:val="000000"/>
          <w:lang w:val="en-US"/>
        </w:rPr>
        <w:t xml:space="preserve"> </w:t>
      </w:r>
      <w:r w:rsidRPr="00895FF0">
        <w:rPr>
          <w:rFonts w:eastAsia="Times New Roman" w:cs="Arial"/>
          <w:color w:val="000000"/>
          <w:lang w:eastAsia="bg-BG"/>
        </w:rPr>
        <w:t>отговаря на: много чести (&gt;1/10), чести (&gt;1/100 до &lt;1/10), нечести (&gt;1/1 000 до &lt;1/100), редки (&gt;1/10 000 до &lt; 1/1 000), много редки (&lt;1/10 000), с неизвестна честота (от наличните данни не може да бъде направена оценка).</w:t>
      </w:r>
    </w:p>
    <w:p w14:paraId="32CAD234"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lang w:eastAsia="bg-BG"/>
        </w:rPr>
        <w:t>Най-честите нежелани ефекти са от страна на гастро-интестиналния тракт. Възможна е поява на пептична язва, перфорация или кървене от гастро-интестиналния тракт (понякога с фатален изход), предимно при пациенти в напреднала възраст (вж. точка 4.4).</w:t>
      </w:r>
    </w:p>
    <w:p w14:paraId="5CBE2925" w14:textId="77777777" w:rsidR="00895FF0" w:rsidRPr="00895FF0" w:rsidRDefault="00895FF0" w:rsidP="00895FF0">
      <w:pPr>
        <w:spacing w:line="240" w:lineRule="auto"/>
        <w:rPr>
          <w:rFonts w:eastAsia="Times New Roman" w:cs="Arial"/>
          <w:color w:val="000000"/>
          <w:u w:val="single"/>
          <w:lang w:eastAsia="bg-BG"/>
        </w:rPr>
      </w:pPr>
    </w:p>
    <w:p w14:paraId="29EEDF72" w14:textId="337CFB3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кръвта и лимфната система</w:t>
      </w:r>
    </w:p>
    <w:p w14:paraId="7D45650D" w14:textId="77777777" w:rsidR="00895FF0" w:rsidRPr="00895FF0" w:rsidRDefault="00895FF0" w:rsidP="00895FF0">
      <w:pPr>
        <w:spacing w:line="240" w:lineRule="auto"/>
        <w:rPr>
          <w:rFonts w:eastAsia="Times New Roman" w:cs="Arial"/>
          <w:color w:val="000000"/>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левкопения, тромбоцитопения, агранулоцитоза, хемолитична анемия, апластична анемия. </w:t>
      </w:r>
    </w:p>
    <w:p w14:paraId="4BFEE7FD" w14:textId="063D6B2E"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имунната система</w:t>
      </w:r>
    </w:p>
    <w:p w14:paraId="0D16AB02"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Много редки:</w:t>
      </w:r>
      <w:r w:rsidRPr="00895FF0">
        <w:rPr>
          <w:rFonts w:eastAsia="Times New Roman" w:cs="Arial"/>
          <w:color w:val="000000"/>
          <w:lang w:eastAsia="bg-BG"/>
        </w:rPr>
        <w:t xml:space="preserve"> бронхоспазъм, астматични пристъпи, анафилактични или анафилактоидни реакции при алергични пациенти.</w:t>
      </w:r>
    </w:p>
    <w:p w14:paraId="39AB13E4"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метаболизма и храненето</w:t>
      </w:r>
    </w:p>
    <w:p w14:paraId="189D7806" w14:textId="77777777" w:rsidR="00895FF0" w:rsidRPr="00895FF0" w:rsidRDefault="00895FF0" w:rsidP="00895FF0">
      <w:pPr>
        <w:rPr>
          <w:rFonts w:eastAsia="Times New Roman" w:cs="Arial"/>
          <w:color w:val="000000"/>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задръжка на течности, хипергликемия, глюкозурия, хиперкалиемия. </w:t>
      </w:r>
    </w:p>
    <w:p w14:paraId="0254AACC" w14:textId="6A429D67" w:rsidR="007A2185" w:rsidRPr="00895FF0" w:rsidRDefault="00895FF0" w:rsidP="00895FF0">
      <w:pPr>
        <w:rPr>
          <w:rFonts w:cs="Arial"/>
        </w:rPr>
      </w:pPr>
      <w:r w:rsidRPr="00895FF0">
        <w:rPr>
          <w:rFonts w:eastAsia="Times New Roman" w:cs="Arial"/>
          <w:color w:val="000000"/>
          <w:u w:val="single"/>
          <w:lang w:eastAsia="bg-BG"/>
        </w:rPr>
        <w:t>Нарушения на нервната система</w:t>
      </w:r>
    </w:p>
    <w:p w14:paraId="0CCA6719"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Чести:</w:t>
      </w:r>
      <w:r w:rsidRPr="00895FF0">
        <w:rPr>
          <w:rFonts w:eastAsia="Times New Roman" w:cs="Arial"/>
          <w:color w:val="000000"/>
          <w:lang w:eastAsia="bg-BG"/>
        </w:rPr>
        <w:t xml:space="preserve"> замайване, световъртеж, главоболие, сомнолентност, депресия, отпадналост.</w:t>
      </w:r>
    </w:p>
    <w:p w14:paraId="4BE1ECC5"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тревожност, слабост, нарушена концентрация, умора, сетивни нарушения, включващи парестезия, дезориентация, безсъние, раздразнителност, периферна невропатия, паметови разстройства, психотични реакции.</w:t>
      </w:r>
    </w:p>
    <w:p w14:paraId="35450E5E"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очите</w:t>
      </w:r>
    </w:p>
    <w:p w14:paraId="35450CF5"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диплопия, неясно виждане.</w:t>
      </w:r>
    </w:p>
    <w:p w14:paraId="350EE08E"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ухото и лабиринта</w:t>
      </w:r>
    </w:p>
    <w:p w14:paraId="16C9815A"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Много редки:</w:t>
      </w:r>
      <w:r w:rsidRPr="00895FF0">
        <w:rPr>
          <w:rFonts w:eastAsia="Times New Roman" w:cs="Arial"/>
          <w:color w:val="000000"/>
          <w:lang w:eastAsia="bg-BG"/>
        </w:rPr>
        <w:t xml:space="preserve"> нарушения на слуха, шум в ушите.</w:t>
      </w:r>
    </w:p>
    <w:p w14:paraId="4B742466"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Сърдечни нарушения</w:t>
      </w:r>
    </w:p>
    <w:p w14:paraId="41A53A91"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тахикардия, стенокардия, палпитации, аритмии, отоци.</w:t>
      </w:r>
    </w:p>
    <w:p w14:paraId="7AC49A86"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Много редки:</w:t>
      </w:r>
      <w:r w:rsidRPr="00895FF0">
        <w:rPr>
          <w:rFonts w:eastAsia="Times New Roman" w:cs="Arial"/>
          <w:color w:val="000000"/>
          <w:lang w:eastAsia="bg-BG"/>
        </w:rPr>
        <w:t xml:space="preserve"> сърдечна недостатъчност, свързана с употребата на НСПВС.</w:t>
      </w:r>
    </w:p>
    <w:p w14:paraId="6368FC51"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lang w:eastAsia="bg-BG"/>
        </w:rPr>
        <w:t>Клинични проучвания и епидемиологични данни показват, че употребата на някои НСПВС (особено във високи дози и при продължително приложение) може да се свърже с леко повишен риск от артериални тромботични събития (например миокарден инфаркт или инсулт) (вж. точка 4.4).</w:t>
      </w:r>
    </w:p>
    <w:p w14:paraId="4DA49028"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Съдови нарушения</w:t>
      </w:r>
    </w:p>
    <w:p w14:paraId="3D3B3B7A"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артериална хипертония, хипотония.</w:t>
      </w:r>
    </w:p>
    <w:p w14:paraId="24659535"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Стомашно-чревни нарушения</w:t>
      </w:r>
    </w:p>
    <w:p w14:paraId="6819DC95"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Чести:</w:t>
      </w:r>
      <w:r w:rsidRPr="00895FF0">
        <w:rPr>
          <w:rFonts w:eastAsia="Times New Roman" w:cs="Arial"/>
          <w:color w:val="000000"/>
          <w:lang w:eastAsia="bg-BG"/>
        </w:rPr>
        <w:t xml:space="preserve"> гадене, повръщане, диспепсия, диария, констипация, коремни болки.</w:t>
      </w:r>
    </w:p>
    <w:p w14:paraId="43302129"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метеоризъм, мелена, хематемезис, улцерозен стоматит, обостряне на улцерозен колит, болест на Крон, обостряне на съществуваща язва.</w:t>
      </w:r>
    </w:p>
    <w:p w14:paraId="2875045A"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Хепатобилиарни нарушения</w:t>
      </w:r>
    </w:p>
    <w:p w14:paraId="2C34BE19"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Редки:</w:t>
      </w:r>
      <w:r w:rsidRPr="00895FF0">
        <w:rPr>
          <w:rFonts w:eastAsia="Times New Roman" w:cs="Arial"/>
          <w:color w:val="000000"/>
          <w:lang w:eastAsia="bg-BG"/>
        </w:rPr>
        <w:t xml:space="preserve"> токсичен хепатит с или без иктер.</w:t>
      </w:r>
    </w:p>
    <w:p w14:paraId="7E6D90E8"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lastRenderedPageBreak/>
        <w:t>Много редки:</w:t>
      </w:r>
      <w:r w:rsidRPr="00895FF0">
        <w:rPr>
          <w:rFonts w:eastAsia="Times New Roman" w:cs="Arial"/>
          <w:color w:val="000000"/>
          <w:lang w:eastAsia="bg-BG"/>
        </w:rPr>
        <w:t xml:space="preserve"> фулминантен хепатит.</w:t>
      </w:r>
    </w:p>
    <w:p w14:paraId="4C5D0D97"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кожата и подкожната тъкан</w:t>
      </w:r>
    </w:p>
    <w:p w14:paraId="28DF36B2"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сърбеж с или без обриви, уртикария, петехии, екхимози.</w:t>
      </w:r>
    </w:p>
    <w:p w14:paraId="1642002A"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Много редки:</w:t>
      </w:r>
      <w:r w:rsidRPr="00895FF0">
        <w:rPr>
          <w:rFonts w:eastAsia="Times New Roman" w:cs="Arial"/>
          <w:color w:val="000000"/>
          <w:lang w:eastAsia="bg-BG"/>
        </w:rPr>
        <w:t xml:space="preserve"> ексфолиативен дерматит, пурпура, еритема нодозум, еритема мултиформе, булозни ерупции, включително синдром на </w:t>
      </w:r>
      <w:r w:rsidRPr="00895FF0">
        <w:rPr>
          <w:rFonts w:eastAsia="Times New Roman" w:cs="Arial"/>
          <w:color w:val="000000"/>
          <w:lang w:val="en-US"/>
        </w:rPr>
        <w:t xml:space="preserve">Stevens-Johnson </w:t>
      </w:r>
      <w:r w:rsidRPr="00895FF0">
        <w:rPr>
          <w:rFonts w:eastAsia="Times New Roman" w:cs="Arial"/>
          <w:color w:val="000000"/>
          <w:lang w:eastAsia="bg-BG"/>
        </w:rPr>
        <w:t>и токсична епидермална некролиза.</w:t>
      </w:r>
    </w:p>
    <w:p w14:paraId="7D0D1941"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Нарушения на бъбреците и пикочните пътища</w:t>
      </w:r>
    </w:p>
    <w:p w14:paraId="7A8ED62F" w14:textId="77777777" w:rsidR="00895FF0" w:rsidRPr="00895FF0" w:rsidRDefault="00895FF0" w:rsidP="00895FF0">
      <w:pPr>
        <w:spacing w:line="240" w:lineRule="auto"/>
        <w:rPr>
          <w:rFonts w:eastAsia="Times New Roman" w:cs="Arial"/>
          <w:lang w:eastAsia="bg-BG"/>
        </w:rPr>
      </w:pPr>
      <w:r w:rsidRPr="00895FF0">
        <w:rPr>
          <w:rFonts w:eastAsia="Times New Roman" w:cs="Arial"/>
          <w:i/>
          <w:iCs/>
          <w:color w:val="000000"/>
          <w:lang w:eastAsia="bg-BG"/>
        </w:rPr>
        <w:t>Нечести:</w:t>
      </w:r>
      <w:r w:rsidRPr="00895FF0">
        <w:rPr>
          <w:rFonts w:eastAsia="Times New Roman" w:cs="Arial"/>
          <w:color w:val="000000"/>
          <w:lang w:eastAsia="bg-BG"/>
        </w:rPr>
        <w:t xml:space="preserve"> протеинурия, хематурия, нефротичен синдром, интерстициален нефрит, остра бъбречна недостатъчност, папиларна некроза.</w:t>
      </w:r>
    </w:p>
    <w:p w14:paraId="54BBC7C7"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Изследвания</w:t>
      </w:r>
    </w:p>
    <w:p w14:paraId="42EBFD20" w14:textId="77777777" w:rsidR="00895FF0" w:rsidRPr="00895FF0" w:rsidRDefault="00895FF0" w:rsidP="00895FF0">
      <w:pPr>
        <w:spacing w:line="240" w:lineRule="auto"/>
        <w:rPr>
          <w:rFonts w:eastAsia="Times New Roman" w:cs="Arial"/>
          <w:lang w:eastAsia="bg-BG"/>
        </w:rPr>
      </w:pPr>
      <w:r w:rsidRPr="00895FF0">
        <w:rPr>
          <w:rFonts w:eastAsia="Times New Roman" w:cs="Arial"/>
          <w:color w:val="000000"/>
          <w:lang w:eastAsia="bg-BG"/>
        </w:rPr>
        <w:t xml:space="preserve">Повишаване на серумните аминотрансферази </w:t>
      </w:r>
      <w:r w:rsidRPr="00895FF0">
        <w:rPr>
          <w:rFonts w:eastAsia="Times New Roman" w:cs="Arial"/>
          <w:color w:val="000000"/>
          <w:lang w:val="en-US"/>
        </w:rPr>
        <w:t xml:space="preserve">(ALAT, ASAT), </w:t>
      </w:r>
      <w:r w:rsidRPr="00895FF0">
        <w:rPr>
          <w:rFonts w:eastAsia="Times New Roman" w:cs="Arial"/>
          <w:color w:val="000000"/>
          <w:lang w:eastAsia="bg-BG"/>
        </w:rPr>
        <w:t>преходно повишаване на билирубина.</w:t>
      </w:r>
    </w:p>
    <w:p w14:paraId="6AEDECD8" w14:textId="77777777" w:rsidR="00895FF0" w:rsidRPr="00895FF0" w:rsidRDefault="00895FF0" w:rsidP="00895FF0">
      <w:pPr>
        <w:spacing w:line="240" w:lineRule="auto"/>
        <w:rPr>
          <w:rFonts w:eastAsia="Times New Roman" w:cs="Arial"/>
          <w:color w:val="000000"/>
          <w:u w:val="single"/>
          <w:lang w:eastAsia="bg-BG"/>
        </w:rPr>
      </w:pPr>
    </w:p>
    <w:p w14:paraId="725A9AAD" w14:textId="4EBAAF8F" w:rsidR="00895FF0" w:rsidRPr="00895FF0" w:rsidRDefault="00895FF0" w:rsidP="00895FF0">
      <w:pPr>
        <w:spacing w:line="240" w:lineRule="auto"/>
        <w:rPr>
          <w:rFonts w:eastAsia="Times New Roman" w:cs="Arial"/>
          <w:lang w:eastAsia="bg-BG"/>
        </w:rPr>
      </w:pPr>
      <w:r w:rsidRPr="00895FF0">
        <w:rPr>
          <w:rFonts w:eastAsia="Times New Roman" w:cs="Arial"/>
          <w:color w:val="000000"/>
          <w:u w:val="single"/>
          <w:lang w:eastAsia="bg-BG"/>
        </w:rPr>
        <w:t>Съобщаване на подозирани нежелани реакции</w:t>
      </w:r>
    </w:p>
    <w:p w14:paraId="443BC107" w14:textId="18ECC7D3" w:rsidR="005B0F27" w:rsidRPr="00895FF0" w:rsidRDefault="00895FF0" w:rsidP="00895FF0">
      <w:pPr>
        <w:rPr>
          <w:rFonts w:cs="Arial"/>
        </w:rPr>
      </w:pPr>
      <w:r w:rsidRPr="00895FF0">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28903417, уебсайт: </w:t>
      </w:r>
      <w:hyperlink r:id="rId5" w:history="1">
        <w:r w:rsidRPr="00895FF0">
          <w:rPr>
            <w:rFonts w:eastAsia="Times New Roman" w:cs="Arial"/>
            <w:color w:val="000000"/>
            <w:u w:val="single"/>
            <w:lang w:val="en-US"/>
          </w:rPr>
          <w:t>www.bda.bg</w:t>
        </w:r>
      </w:hyperlink>
    </w:p>
    <w:p w14:paraId="12F35597" w14:textId="77777777" w:rsidR="00895FF0" w:rsidRPr="0091385D" w:rsidRDefault="00895FF0"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35FEC41B"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Симптоми</w:t>
      </w:r>
    </w:p>
    <w:p w14:paraId="09B622F1"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Клиничната картина на свръхдозиране включва следните симптоми: гадене, повръщане, коремни болки, силно главоболие, световъртеж, паметови нарушения и дезориентация. В по-тежките случаи се наблюдават парестезии и конвулсии.</w:t>
      </w:r>
    </w:p>
    <w:p w14:paraId="2B6736F1"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Лечение</w:t>
      </w:r>
    </w:p>
    <w:p w14:paraId="6A43B8F3" w14:textId="31B388A7" w:rsidR="007A2185" w:rsidRPr="00895FF0" w:rsidRDefault="00895FF0" w:rsidP="00895FF0">
      <w:pPr>
        <w:rPr>
          <w:rFonts w:cs="Arial"/>
        </w:rPr>
      </w:pPr>
      <w:r w:rsidRPr="00895FF0">
        <w:rPr>
          <w:rFonts w:eastAsia="Times New Roman" w:cs="Arial"/>
          <w:color w:val="000000"/>
          <w:lang w:eastAsia="bg-BG"/>
        </w:rPr>
        <w:t>Предизвикване на повръщане, промивка на стомаха, приемане на активен въглен. Лечението е симптоматично и поддържащо. Индометацин не може да бъде отстранен от организма чрез хемодиализа.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712FE167"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Фармакотерапевтична група: Противовъзпалителни и антиревматични лекарствени продукти - нестероидни; производни на индолоцетната киселина. АТС код: М01АВ01</w:t>
      </w:r>
    </w:p>
    <w:p w14:paraId="4CA712DA" w14:textId="77777777" w:rsidR="00895FF0" w:rsidRPr="00895FF0" w:rsidRDefault="00895FF0" w:rsidP="00895FF0">
      <w:pPr>
        <w:rPr>
          <w:rFonts w:eastAsia="Times New Roman" w:cs="Arial"/>
          <w:color w:val="000000"/>
          <w:lang w:eastAsia="bg-BG"/>
        </w:rPr>
      </w:pPr>
    </w:p>
    <w:p w14:paraId="038F692B" w14:textId="3FB98EC6" w:rsidR="007A2185" w:rsidRPr="00895FF0" w:rsidRDefault="00895FF0" w:rsidP="00895FF0">
      <w:pPr>
        <w:rPr>
          <w:rFonts w:cs="Arial"/>
        </w:rPr>
      </w:pPr>
      <w:r w:rsidRPr="00895FF0">
        <w:rPr>
          <w:rFonts w:eastAsia="Times New Roman" w:cs="Arial"/>
          <w:color w:val="000000"/>
          <w:lang w:eastAsia="bg-BG"/>
        </w:rPr>
        <w:t xml:space="preserve">Индометацин е производно на индолоцетната киселина и принадлежи към групата на нестероидните противовъзпалителни лекарствени средства. Притежава изразено противовъзпалително действие, превишаващо значително това на фенилбутазон и ацетилсалицилова кислина. Аналгетичната му активност е съизмерима с тази на метамизол. Притежава антипиретично действие. Индометацин оказва мощно потискащо действие върху простагландиновата синтеза по пътя на инхибиране на циклооксигеназата. Освен това намалява и тромбоцитната агрегация и липоксигеназната </w:t>
      </w:r>
      <w:r w:rsidRPr="00895FF0">
        <w:rPr>
          <w:rFonts w:eastAsia="Times New Roman" w:cs="Arial"/>
          <w:color w:val="000000"/>
          <w:lang w:eastAsia="bg-BG"/>
        </w:rPr>
        <w:lastRenderedPageBreak/>
        <w:t>активност във възпаления участък, съответно и левкотриените, също така понижава освобождаването на ендогенни пирогени, инактивира лизозомните ензими, потиска активността на неутралните протеази. Значение имат и други негови ефекти, като декупелуване на окислителното фосфорилиране и потискане обратното залавяне на катехоламини, засилване обмяната на норадреналина и известно ганглиоблокиращо действие.</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205AB9C3"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Абсорбция</w:t>
      </w:r>
    </w:p>
    <w:p w14:paraId="614D74FB" w14:textId="77777777" w:rsidR="00895FF0" w:rsidRPr="00895FF0" w:rsidRDefault="00895FF0" w:rsidP="00895FF0">
      <w:pPr>
        <w:spacing w:line="240" w:lineRule="auto"/>
        <w:rPr>
          <w:rFonts w:eastAsia="Times New Roman" w:cs="Arial"/>
          <w:color w:val="000000"/>
          <w:lang w:eastAsia="bg-BG"/>
        </w:rPr>
      </w:pPr>
      <w:r w:rsidRPr="00895FF0">
        <w:rPr>
          <w:rFonts w:eastAsia="Times New Roman" w:cs="Arial"/>
          <w:color w:val="000000"/>
          <w:lang w:eastAsia="bg-BG"/>
        </w:rPr>
        <w:t xml:space="preserve">При перорално приложение 80-90% от приложената доза се резорбира през тънкочревната и в много по-слаба степен през стомашната лигавица и достига максимална плазмена концентрация за 1-2 часа. </w:t>
      </w:r>
    </w:p>
    <w:p w14:paraId="53953CAA" w14:textId="58201188" w:rsidR="00895FF0" w:rsidRPr="00895FF0" w:rsidRDefault="00895FF0" w:rsidP="00895FF0">
      <w:pPr>
        <w:pStyle w:val="Heading3"/>
        <w:rPr>
          <w:rFonts w:eastAsia="Times New Roman"/>
          <w:u w:val="single"/>
          <w:lang w:eastAsia="bg-BG"/>
        </w:rPr>
      </w:pPr>
      <w:r w:rsidRPr="00895FF0">
        <w:rPr>
          <w:rFonts w:eastAsia="Times New Roman"/>
          <w:u w:val="single"/>
          <w:lang w:eastAsia="bg-BG"/>
        </w:rPr>
        <w:t>Разпределение</w:t>
      </w:r>
    </w:p>
    <w:p w14:paraId="1F4522E5"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Разпределя се във всички тъкани и органи. Преминава плацентарната и хемато-енцефалната бариера. През синовиалната мембрана прониква в ставата, като концентрацията му в синовиалната течност се повишава. С плазмените белтъци се свързва в 90-98% и може да измести други лекарства и да усили терапевтичния им ефект при едновременно приемане.</w:t>
      </w:r>
    </w:p>
    <w:p w14:paraId="3A587C90"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Биотрансформация</w:t>
      </w:r>
    </w:p>
    <w:p w14:paraId="6FAF8430"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Метаболизира се в черния дроб чрез окисление и конюгиране.</w:t>
      </w:r>
    </w:p>
    <w:p w14:paraId="3B6F2A83" w14:textId="77777777" w:rsidR="00895FF0" w:rsidRPr="00895FF0" w:rsidRDefault="00895FF0" w:rsidP="00895FF0">
      <w:pPr>
        <w:pStyle w:val="Heading3"/>
        <w:rPr>
          <w:rFonts w:eastAsia="Times New Roman"/>
          <w:u w:val="single"/>
          <w:lang w:eastAsia="bg-BG"/>
        </w:rPr>
      </w:pPr>
      <w:r w:rsidRPr="00895FF0">
        <w:rPr>
          <w:rFonts w:eastAsia="Times New Roman"/>
          <w:u w:val="single"/>
          <w:lang w:eastAsia="bg-BG"/>
        </w:rPr>
        <w:t>Елиминиране</w:t>
      </w:r>
    </w:p>
    <w:p w14:paraId="45551830" w14:textId="32BEADD8" w:rsidR="007A2185" w:rsidRPr="00895FF0" w:rsidRDefault="00895FF0" w:rsidP="00895FF0">
      <w:pPr>
        <w:rPr>
          <w:rFonts w:cs="Arial"/>
        </w:rPr>
      </w:pPr>
      <w:r w:rsidRPr="00895FF0">
        <w:rPr>
          <w:rFonts w:eastAsia="Times New Roman" w:cs="Arial"/>
          <w:color w:val="000000"/>
          <w:lang w:eastAsia="bg-BG"/>
        </w:rPr>
        <w:t>Елиминационният полуживот на индометацин варира между 2,6 и 11,2 часа или средно 5,8 часа. Излъчва се чрез бъбреците до 60-75%, 10-20% от които в непроменен вид, а останалото количество се отделя с жлъчката и фекалиите. Екскретира се и с майчиното мляко.</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2F54A929"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 xml:space="preserve">При проучвания на острата и хронична токсичност върху експериментални животни се установява улцерогенен ефект върху стомашната лигавица, без да се засягат другите вътрешни органи. Улцерогенният му ефект се проявява в дози над 1 </w:t>
      </w:r>
      <w:r w:rsidRPr="00895FF0">
        <w:rPr>
          <w:rFonts w:eastAsia="Times New Roman" w:cs="Arial"/>
          <w:color w:val="000000"/>
          <w:lang w:val="en-US"/>
        </w:rPr>
        <w:t>mg/</w:t>
      </w:r>
      <w:r w:rsidRPr="00895FF0">
        <w:rPr>
          <w:rFonts w:eastAsia="Times New Roman" w:cs="Arial"/>
          <w:color w:val="000000"/>
          <w:lang w:eastAsia="bg-BG"/>
        </w:rPr>
        <w:t>к</w:t>
      </w:r>
      <w:r w:rsidRPr="00895FF0">
        <w:rPr>
          <w:rFonts w:eastAsia="Times New Roman" w:cs="Arial"/>
          <w:color w:val="000000"/>
          <w:lang w:val="en-US"/>
        </w:rPr>
        <w:t xml:space="preserve">g </w:t>
      </w:r>
      <w:r w:rsidRPr="00895FF0">
        <w:rPr>
          <w:rFonts w:eastAsia="Times New Roman" w:cs="Arial"/>
          <w:color w:val="000000"/>
          <w:lang w:eastAsia="bg-BG"/>
        </w:rPr>
        <w:t>телесно тегло.</w:t>
      </w:r>
    </w:p>
    <w:p w14:paraId="5DEA6096"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Резултатите от проведените изследвания показват, че индометацин преминава през плацентарната бариера и притежава фетотоксичен и тератогенен ефект.</w:t>
      </w:r>
    </w:p>
    <w:p w14:paraId="13A7B62A" w14:textId="03883A68" w:rsidR="007A2185" w:rsidRPr="00895FF0" w:rsidRDefault="00895FF0" w:rsidP="00895FF0">
      <w:pPr>
        <w:rPr>
          <w:rFonts w:cs="Arial"/>
        </w:rPr>
      </w:pPr>
      <w:r w:rsidRPr="00895FF0">
        <w:rPr>
          <w:rFonts w:eastAsia="Times New Roman" w:cs="Arial"/>
          <w:color w:val="000000"/>
          <w:lang w:eastAsia="bg-BG"/>
        </w:rPr>
        <w:t>Няма данни за мутагенно/канцерогенно действие.</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79438D81" w14:textId="77777777" w:rsidR="00895FF0" w:rsidRPr="00895FF0" w:rsidRDefault="00895FF0" w:rsidP="00895FF0">
      <w:pPr>
        <w:spacing w:line="240" w:lineRule="auto"/>
        <w:rPr>
          <w:rFonts w:eastAsia="Times New Roman" w:cs="Arial"/>
          <w:sz w:val="24"/>
          <w:szCs w:val="24"/>
          <w:lang w:eastAsia="bg-BG"/>
        </w:rPr>
      </w:pPr>
      <w:r w:rsidRPr="00895FF0">
        <w:rPr>
          <w:rFonts w:eastAsia="Times New Roman" w:cs="Arial"/>
          <w:color w:val="000000"/>
          <w:lang w:eastAsia="bg-BG"/>
        </w:rPr>
        <w:t>СОФАРМА АД</w:t>
      </w:r>
    </w:p>
    <w:p w14:paraId="4F02909F" w14:textId="2F9877E3" w:rsidR="007A2185" w:rsidRPr="00895FF0" w:rsidRDefault="00895FF0" w:rsidP="00895FF0">
      <w:pPr>
        <w:rPr>
          <w:rFonts w:cs="Arial"/>
        </w:rPr>
      </w:pPr>
      <w:r w:rsidRPr="00895FF0">
        <w:rPr>
          <w:rFonts w:eastAsia="Times New Roman" w:cs="Arial"/>
          <w:color w:val="000000"/>
          <w:lang w:eastAsia="bg-BG"/>
        </w:rPr>
        <w:t>ул. Илиенско шосе 16, 1220 София, България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55E099E0" w:rsidR="007A2185" w:rsidRPr="00895FF0" w:rsidRDefault="00895FF0" w:rsidP="0091385D">
      <w:pPr>
        <w:rPr>
          <w:rFonts w:cs="Arial"/>
        </w:rPr>
      </w:pPr>
      <w:r w:rsidRPr="00895FF0">
        <w:rPr>
          <w:rFonts w:cs="Arial"/>
        </w:rPr>
        <w:t>20010025</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6C57D8B6" w14:textId="58CC8864" w:rsidR="007A2185" w:rsidRPr="00895FF0" w:rsidRDefault="00895FF0" w:rsidP="0091385D">
      <w:pPr>
        <w:rPr>
          <w:rFonts w:cs="Arial"/>
        </w:rPr>
      </w:pPr>
      <w:r w:rsidRPr="00895FF0">
        <w:rPr>
          <w:rFonts w:cs="Arial"/>
        </w:rPr>
        <w:t>03.01.2001/07.03.2007</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507861C8" w:rsidR="007A2185" w:rsidRPr="00895FF0" w:rsidRDefault="00895FF0" w:rsidP="0091385D">
      <w:pPr>
        <w:rPr>
          <w:rFonts w:cs="Arial"/>
        </w:rPr>
      </w:pPr>
      <w:r w:rsidRPr="00895FF0">
        <w:rPr>
          <w:rFonts w:cs="Arial"/>
        </w:rPr>
        <w:t>Октомври, 2022</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FD5A8A"/>
    <w:multiLevelType w:val="hybridMultilevel"/>
    <w:tmpl w:val="75ACAE1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E2D96"/>
    <w:multiLevelType w:val="hybridMultilevel"/>
    <w:tmpl w:val="1348228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DCD1789"/>
    <w:multiLevelType w:val="hybridMultilevel"/>
    <w:tmpl w:val="22E6224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669D7"/>
    <w:multiLevelType w:val="hybridMultilevel"/>
    <w:tmpl w:val="73F03B2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B5835"/>
    <w:multiLevelType w:val="hybridMultilevel"/>
    <w:tmpl w:val="428C88C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8B5D60"/>
    <w:multiLevelType w:val="hybridMultilevel"/>
    <w:tmpl w:val="CE82E05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9"/>
  </w:num>
  <w:num w:numId="7">
    <w:abstractNumId w:val="12"/>
  </w:num>
  <w:num w:numId="8">
    <w:abstractNumId w:val="17"/>
  </w:num>
  <w:num w:numId="9">
    <w:abstractNumId w:val="2"/>
  </w:num>
  <w:num w:numId="10">
    <w:abstractNumId w:val="4"/>
  </w:num>
  <w:num w:numId="11">
    <w:abstractNumId w:val="34"/>
  </w:num>
  <w:num w:numId="12">
    <w:abstractNumId w:val="16"/>
  </w:num>
  <w:num w:numId="13">
    <w:abstractNumId w:val="22"/>
  </w:num>
  <w:num w:numId="14">
    <w:abstractNumId w:val="13"/>
  </w:num>
  <w:num w:numId="15">
    <w:abstractNumId w:val="33"/>
  </w:num>
  <w:num w:numId="16">
    <w:abstractNumId w:val="11"/>
  </w:num>
  <w:num w:numId="17">
    <w:abstractNumId w:val="28"/>
  </w:num>
  <w:num w:numId="18">
    <w:abstractNumId w:val="8"/>
  </w:num>
  <w:num w:numId="19">
    <w:abstractNumId w:val="30"/>
  </w:num>
  <w:num w:numId="20">
    <w:abstractNumId w:val="27"/>
  </w:num>
  <w:num w:numId="21">
    <w:abstractNumId w:val="20"/>
  </w:num>
  <w:num w:numId="22">
    <w:abstractNumId w:val="29"/>
  </w:num>
  <w:num w:numId="23">
    <w:abstractNumId w:val="21"/>
  </w:num>
  <w:num w:numId="24">
    <w:abstractNumId w:val="9"/>
  </w:num>
  <w:num w:numId="25">
    <w:abstractNumId w:val="26"/>
  </w:num>
  <w:num w:numId="26">
    <w:abstractNumId w:val="25"/>
  </w:num>
  <w:num w:numId="27">
    <w:abstractNumId w:val="35"/>
  </w:num>
  <w:num w:numId="28">
    <w:abstractNumId w:val="7"/>
  </w:num>
  <w:num w:numId="29">
    <w:abstractNumId w:val="24"/>
  </w:num>
  <w:num w:numId="30">
    <w:abstractNumId w:val="40"/>
  </w:num>
  <w:num w:numId="31">
    <w:abstractNumId w:val="6"/>
  </w:num>
  <w:num w:numId="32">
    <w:abstractNumId w:val="37"/>
  </w:num>
  <w:num w:numId="33">
    <w:abstractNumId w:val="32"/>
  </w:num>
  <w:num w:numId="34">
    <w:abstractNumId w:val="36"/>
  </w:num>
  <w:num w:numId="35">
    <w:abstractNumId w:val="15"/>
  </w:num>
  <w:num w:numId="36">
    <w:abstractNumId w:val="10"/>
  </w:num>
  <w:num w:numId="37">
    <w:abstractNumId w:val="39"/>
  </w:num>
  <w:num w:numId="38">
    <w:abstractNumId w:val="18"/>
  </w:num>
  <w:num w:numId="39">
    <w:abstractNumId w:val="23"/>
  </w:num>
  <w:num w:numId="40">
    <w:abstractNumId w:val="3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95FF0"/>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771F1"/>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3155</Words>
  <Characters>17988</Characters>
  <Application>Microsoft Office Word</Application>
  <DocSecurity>0</DocSecurity>
  <Lines>149</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2023-03-02T14:13:00Z</dcterms:created>
  <dcterms:modified xsi:type="dcterms:W3CDTF">2023-03-02T14:13:00Z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