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040E9F1F" w:rsidR="007122AD" w:rsidRDefault="00DD466D" w:rsidP="00936AD0">
      <w:pPr>
        <w:pStyle w:val="Heading1"/>
      </w:pPr>
      <w:r>
        <w:t>1.ИМЕ НА ЛЕКАРСТВЕНИЯ ПРОДУКТ</w:t>
      </w:r>
    </w:p>
    <w:p w14:paraId="3FFB245B" w14:textId="20AE8476" w:rsidR="00F40F0A" w:rsidRDefault="00F40F0A" w:rsidP="00F40F0A"/>
    <w:p w14:paraId="6DF2B259" w14:textId="77777777" w:rsidR="00F40F0A" w:rsidRDefault="00F40F0A" w:rsidP="00F40F0A">
      <w:pPr>
        <w:rPr>
          <w:lang w:eastAsia="bg-BG"/>
        </w:rPr>
      </w:pPr>
      <w:r w:rsidRPr="00F40F0A">
        <w:rPr>
          <w:lang w:eastAsia="bg-BG"/>
        </w:rPr>
        <w:t xml:space="preserve">Ипертазин 125 </w:t>
      </w:r>
      <w:r w:rsidRPr="00F40F0A">
        <w:rPr>
          <w:lang w:val="en-US"/>
        </w:rPr>
        <w:t>mg</w:t>
      </w:r>
      <w:r w:rsidRPr="00F40F0A">
        <w:t xml:space="preserve"> </w:t>
      </w:r>
      <w:r w:rsidRPr="00F40F0A">
        <w:rPr>
          <w:lang w:eastAsia="bg-BG"/>
        </w:rPr>
        <w:t xml:space="preserve">филмирани таблетки </w:t>
      </w:r>
    </w:p>
    <w:p w14:paraId="3B229636" w14:textId="38E96C76" w:rsidR="00F40F0A" w:rsidRPr="00F40F0A" w:rsidRDefault="00F40F0A" w:rsidP="00F40F0A">
      <w:pPr>
        <w:rPr>
          <w:sz w:val="24"/>
          <w:szCs w:val="24"/>
        </w:rPr>
      </w:pPr>
      <w:r w:rsidRPr="00F40F0A">
        <w:rPr>
          <w:lang w:val="en-US"/>
        </w:rPr>
        <w:t>Ipertazin</w:t>
      </w:r>
      <w:r w:rsidRPr="00F40F0A">
        <w:t xml:space="preserve"> </w:t>
      </w:r>
      <w:r w:rsidRPr="00F40F0A">
        <w:rPr>
          <w:lang w:eastAsia="bg-BG"/>
        </w:rPr>
        <w:t xml:space="preserve">125 </w:t>
      </w:r>
      <w:r w:rsidRPr="00F40F0A">
        <w:rPr>
          <w:lang w:val="en-US"/>
        </w:rPr>
        <w:t>mg</w:t>
      </w:r>
      <w:r w:rsidRPr="00F40F0A">
        <w:t xml:space="preserve"> </w:t>
      </w:r>
      <w:r w:rsidRPr="00F40F0A">
        <w:rPr>
          <w:lang w:val="en-US"/>
        </w:rPr>
        <w:t>film</w:t>
      </w:r>
      <w:r w:rsidRPr="00F40F0A">
        <w:t>-</w:t>
      </w:r>
      <w:r w:rsidRPr="00F40F0A">
        <w:rPr>
          <w:lang w:val="en-US"/>
        </w:rPr>
        <w:t>coated</w:t>
      </w:r>
      <w:r w:rsidRPr="00F40F0A">
        <w:t xml:space="preserve"> </w:t>
      </w:r>
      <w:r w:rsidRPr="00F40F0A">
        <w:rPr>
          <w:lang w:val="en-US"/>
        </w:rPr>
        <w:t>tablets</w:t>
      </w:r>
    </w:p>
    <w:p w14:paraId="621C6EB1" w14:textId="77777777" w:rsidR="00F40F0A" w:rsidRPr="00F40F0A" w:rsidRDefault="00F40F0A" w:rsidP="00F40F0A"/>
    <w:p w14:paraId="6920A680" w14:textId="12B0E51D" w:rsidR="00C40420" w:rsidRDefault="00DD466D" w:rsidP="004A448E">
      <w:pPr>
        <w:pStyle w:val="Heading1"/>
      </w:pPr>
      <w:r>
        <w:t>2. КАЧЕСТВЕН И КОЛИЧЕСТВЕН СЪСТАВ</w:t>
      </w:r>
    </w:p>
    <w:p w14:paraId="275248DA" w14:textId="1AC19955" w:rsidR="00F40F0A" w:rsidRDefault="00F40F0A" w:rsidP="00F40F0A"/>
    <w:p w14:paraId="102405F5" w14:textId="31889288" w:rsidR="00F40F0A" w:rsidRPr="00F40F0A" w:rsidRDefault="00F40F0A" w:rsidP="00F40F0A">
      <w:pPr>
        <w:rPr>
          <w:sz w:val="24"/>
          <w:szCs w:val="24"/>
        </w:rPr>
      </w:pPr>
      <w:r w:rsidRPr="00F40F0A">
        <w:rPr>
          <w:lang w:eastAsia="bg-BG"/>
        </w:rPr>
        <w:t xml:space="preserve">Всяка филмирана таблетка съдържа 125 </w:t>
      </w:r>
      <w:r w:rsidRPr="00F40F0A">
        <w:rPr>
          <w:lang w:val="en-US"/>
        </w:rPr>
        <w:t>mg</w:t>
      </w:r>
      <w:r w:rsidRPr="00F40F0A">
        <w:t xml:space="preserve"> </w:t>
      </w:r>
      <w:r w:rsidRPr="00F40F0A">
        <w:rPr>
          <w:lang w:eastAsia="bg-BG"/>
        </w:rPr>
        <w:t xml:space="preserve">бозентан (като монохидрат) </w:t>
      </w:r>
      <w:r w:rsidRPr="00F40F0A">
        <w:t>(</w:t>
      </w:r>
      <w:r w:rsidRPr="00F40F0A">
        <w:rPr>
          <w:lang w:val="en-US"/>
        </w:rPr>
        <w:t>bosentan</w:t>
      </w:r>
      <w:r w:rsidRPr="00F40F0A">
        <w:t xml:space="preserve"> (</w:t>
      </w:r>
      <w:r w:rsidRPr="00F40F0A">
        <w:rPr>
          <w:lang w:val="en-US"/>
        </w:rPr>
        <w:t>as</w:t>
      </w:r>
      <w:r w:rsidRPr="00F40F0A">
        <w:t xml:space="preserve"> </w:t>
      </w:r>
      <w:r w:rsidRPr="00F40F0A">
        <w:rPr>
          <w:lang w:val="en-US"/>
        </w:rPr>
        <w:t>monohydrate</w:t>
      </w:r>
      <w:r w:rsidRPr="00F40F0A">
        <w:t>)).</w:t>
      </w:r>
    </w:p>
    <w:p w14:paraId="614984C4" w14:textId="5F6A44F2" w:rsidR="008A6AF2" w:rsidRDefault="00DD466D" w:rsidP="002C50EE">
      <w:pPr>
        <w:pStyle w:val="Heading1"/>
      </w:pPr>
      <w:r>
        <w:t>3. ЛЕКАРСТВЕНА ФОРМА</w:t>
      </w:r>
    </w:p>
    <w:p w14:paraId="0AE3D414" w14:textId="614BC6C6" w:rsidR="00F40F0A" w:rsidRDefault="00F40F0A" w:rsidP="00F40F0A"/>
    <w:p w14:paraId="3570F039" w14:textId="77777777" w:rsidR="00F40F0A" w:rsidRPr="00F40F0A" w:rsidRDefault="00F40F0A" w:rsidP="00F40F0A">
      <w:pPr>
        <w:rPr>
          <w:sz w:val="24"/>
          <w:szCs w:val="24"/>
        </w:rPr>
      </w:pPr>
      <w:r w:rsidRPr="00F40F0A">
        <w:rPr>
          <w:lang w:eastAsia="bg-BG"/>
        </w:rPr>
        <w:t>Филмирана таблетка (таблетка).</w:t>
      </w:r>
    </w:p>
    <w:p w14:paraId="69B4D9F9" w14:textId="77777777" w:rsidR="00F40F0A" w:rsidRDefault="00F40F0A" w:rsidP="00F40F0A">
      <w:pPr>
        <w:rPr>
          <w:lang w:eastAsia="bg-BG"/>
        </w:rPr>
      </w:pPr>
    </w:p>
    <w:p w14:paraId="48BC84A9" w14:textId="033A2BF4" w:rsidR="00F40F0A" w:rsidRPr="00F40F0A" w:rsidRDefault="00F40F0A" w:rsidP="00F40F0A">
      <w:pPr>
        <w:rPr>
          <w:sz w:val="24"/>
          <w:szCs w:val="24"/>
        </w:rPr>
      </w:pPr>
      <w:r w:rsidRPr="00F40F0A">
        <w:rPr>
          <w:lang w:eastAsia="bg-BG"/>
        </w:rPr>
        <w:t xml:space="preserve">Оранжево-бели, елипсовидни, филмирани таблетки, приблизително 11 </w:t>
      </w:r>
      <w:r w:rsidRPr="00F40F0A">
        <w:rPr>
          <w:lang w:val="en-US"/>
        </w:rPr>
        <w:t>mm</w:t>
      </w:r>
      <w:r w:rsidRPr="00F40F0A">
        <w:rPr>
          <w:lang w:val="ru-RU"/>
        </w:rPr>
        <w:t xml:space="preserve"> </w:t>
      </w:r>
      <w:r w:rsidRPr="00F40F0A">
        <w:rPr>
          <w:lang w:eastAsia="bg-BG"/>
        </w:rPr>
        <w:t xml:space="preserve">дължина, 5,1 </w:t>
      </w:r>
      <w:r w:rsidRPr="00F40F0A">
        <w:rPr>
          <w:lang w:val="en-US"/>
        </w:rPr>
        <w:t>mm</w:t>
      </w:r>
      <w:r w:rsidRPr="00F40F0A">
        <w:rPr>
          <w:lang w:val="ru-RU"/>
        </w:rPr>
        <w:t xml:space="preserve"> </w:t>
      </w:r>
      <w:r w:rsidRPr="00F40F0A">
        <w:rPr>
          <w:lang w:eastAsia="bg-BG"/>
        </w:rPr>
        <w:t xml:space="preserve">ширина и 4,2 </w:t>
      </w:r>
      <w:r w:rsidRPr="00F40F0A">
        <w:rPr>
          <w:lang w:val="en-US"/>
        </w:rPr>
        <w:t>mm</w:t>
      </w:r>
      <w:r w:rsidRPr="00F40F0A">
        <w:rPr>
          <w:lang w:val="ru-RU"/>
        </w:rPr>
        <w:t xml:space="preserve"> </w:t>
      </w:r>
      <w:r w:rsidRPr="00F40F0A">
        <w:rPr>
          <w:lang w:eastAsia="bg-BG"/>
        </w:rPr>
        <w:t>дебелина.</w:t>
      </w:r>
    </w:p>
    <w:p w14:paraId="33158D05" w14:textId="77777777" w:rsidR="00F40F0A" w:rsidRPr="00F40F0A" w:rsidRDefault="00F40F0A" w:rsidP="00F40F0A"/>
    <w:p w14:paraId="490FC2C4" w14:textId="0F4A4A75" w:rsidR="002C50EE" w:rsidRDefault="002C50EE" w:rsidP="002C50EE">
      <w:pPr>
        <w:pStyle w:val="Heading1"/>
      </w:pPr>
      <w:r>
        <w:t>4. КЛИНИЧНИ ДАННИ</w:t>
      </w:r>
    </w:p>
    <w:p w14:paraId="74330405" w14:textId="5A1B1759" w:rsidR="007122AD" w:rsidRDefault="002C50EE" w:rsidP="00936AD0">
      <w:pPr>
        <w:pStyle w:val="Heading2"/>
      </w:pPr>
      <w:r>
        <w:t>4.1. Терапевтични показания</w:t>
      </w:r>
    </w:p>
    <w:p w14:paraId="5C5BA5C5" w14:textId="42F35ABF" w:rsidR="00F40F0A" w:rsidRDefault="00F40F0A" w:rsidP="00F40F0A"/>
    <w:p w14:paraId="10DA6955" w14:textId="77777777"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lang w:eastAsia="bg-BG"/>
        </w:rPr>
        <w:t xml:space="preserve">Лечение на белодробна артериална хипертония (БАХ) за подобряване на физическия капацитет и симптоматиката при пациенти с функционален клас </w:t>
      </w:r>
      <w:r w:rsidRPr="00F40F0A">
        <w:rPr>
          <w:rFonts w:eastAsia="Times New Roman" w:cs="Arial"/>
          <w:color w:val="000000"/>
          <w:szCs w:val="20"/>
          <w:lang w:val="en-US"/>
        </w:rPr>
        <w:t>III</w:t>
      </w:r>
      <w:r w:rsidRPr="00F40F0A">
        <w:rPr>
          <w:rFonts w:eastAsia="Times New Roman" w:cs="Arial"/>
          <w:color w:val="000000"/>
          <w:szCs w:val="20"/>
          <w:lang w:val="ru-RU"/>
        </w:rPr>
        <w:t xml:space="preserve"> </w:t>
      </w:r>
      <w:r w:rsidRPr="00F40F0A">
        <w:rPr>
          <w:rFonts w:eastAsia="Times New Roman" w:cs="Arial"/>
          <w:color w:val="000000"/>
          <w:szCs w:val="20"/>
          <w:lang w:eastAsia="bg-BG"/>
        </w:rPr>
        <w:t>по СЗО. Ефективността е доказана при:</w:t>
      </w:r>
    </w:p>
    <w:p w14:paraId="375D9A16" w14:textId="77777777" w:rsidR="00F40F0A" w:rsidRPr="00F40F0A" w:rsidRDefault="00F40F0A" w:rsidP="00F40F0A">
      <w:pPr>
        <w:pStyle w:val="ListParagraph"/>
        <w:numPr>
          <w:ilvl w:val="0"/>
          <w:numId w:val="37"/>
        </w:numPr>
        <w:spacing w:line="240" w:lineRule="auto"/>
        <w:rPr>
          <w:rFonts w:eastAsia="Times New Roman" w:cs="Arial"/>
          <w:color w:val="000000"/>
          <w:szCs w:val="20"/>
          <w:lang w:eastAsia="bg-BG"/>
        </w:rPr>
      </w:pPr>
      <w:r w:rsidRPr="00F40F0A">
        <w:rPr>
          <w:rFonts w:eastAsia="Times New Roman" w:cs="Arial"/>
          <w:color w:val="000000"/>
          <w:szCs w:val="20"/>
          <w:lang w:eastAsia="bg-BG"/>
        </w:rPr>
        <w:t>Първична (идиопатична и наследствена) белодробна артериална хипертония</w:t>
      </w:r>
    </w:p>
    <w:p w14:paraId="0BD362DC" w14:textId="77777777" w:rsidR="00F40F0A" w:rsidRPr="00F40F0A" w:rsidRDefault="00F40F0A" w:rsidP="00F40F0A">
      <w:pPr>
        <w:pStyle w:val="ListParagraph"/>
        <w:numPr>
          <w:ilvl w:val="0"/>
          <w:numId w:val="37"/>
        </w:numPr>
        <w:spacing w:line="240" w:lineRule="auto"/>
        <w:rPr>
          <w:rFonts w:eastAsia="Times New Roman" w:cs="Arial"/>
          <w:color w:val="000000"/>
          <w:szCs w:val="20"/>
          <w:lang w:eastAsia="bg-BG"/>
        </w:rPr>
      </w:pPr>
      <w:r w:rsidRPr="00F40F0A">
        <w:rPr>
          <w:rFonts w:eastAsia="Times New Roman" w:cs="Arial"/>
          <w:color w:val="000000"/>
          <w:szCs w:val="20"/>
          <w:lang w:eastAsia="bg-BG"/>
        </w:rPr>
        <w:t>Белодробна артериална хипертония вторична на склеродермия без значимо интерстициално белодробно заболяване</w:t>
      </w:r>
    </w:p>
    <w:p w14:paraId="51D74182" w14:textId="61DA3941" w:rsidR="00F40F0A" w:rsidRPr="00F40F0A" w:rsidRDefault="00F40F0A" w:rsidP="00F40F0A">
      <w:pPr>
        <w:pStyle w:val="ListParagraph"/>
        <w:numPr>
          <w:ilvl w:val="0"/>
          <w:numId w:val="37"/>
        </w:numPr>
        <w:spacing w:line="240" w:lineRule="auto"/>
        <w:rPr>
          <w:rFonts w:eastAsia="Times New Roman" w:cs="Arial"/>
          <w:color w:val="000000"/>
          <w:szCs w:val="20"/>
          <w:lang w:eastAsia="bg-BG"/>
        </w:rPr>
      </w:pPr>
      <w:r w:rsidRPr="00F40F0A">
        <w:rPr>
          <w:rFonts w:eastAsia="Times New Roman" w:cs="Arial"/>
          <w:color w:val="000000"/>
          <w:szCs w:val="20"/>
          <w:lang w:eastAsia="bg-BG"/>
        </w:rPr>
        <w:t>Белодробна артериална хипертония, свързана с вродени системно-белодробни шънтове и физиология на Айзенменгер</w:t>
      </w:r>
    </w:p>
    <w:p w14:paraId="38F6E543" w14:textId="77777777" w:rsidR="00F40F0A" w:rsidRPr="00F40F0A" w:rsidRDefault="00F40F0A" w:rsidP="00F40F0A">
      <w:pPr>
        <w:spacing w:line="240" w:lineRule="auto"/>
        <w:rPr>
          <w:rFonts w:eastAsia="Times New Roman" w:cs="Arial"/>
          <w:color w:val="000000"/>
          <w:szCs w:val="20"/>
          <w:lang w:eastAsia="bg-BG"/>
        </w:rPr>
      </w:pPr>
    </w:p>
    <w:p w14:paraId="49F8ED58" w14:textId="47844925"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lang w:eastAsia="bg-BG"/>
        </w:rPr>
        <w:t>Наблюдавани са и някои подобрения при пациенти с белодробна артериална хипертония, функционален клас по СЗО II (вж. точка 5.1).</w:t>
      </w:r>
    </w:p>
    <w:p w14:paraId="31F3F0BB" w14:textId="77777777" w:rsidR="00F40F0A" w:rsidRPr="00F40F0A" w:rsidRDefault="00F40F0A" w:rsidP="00F40F0A">
      <w:pPr>
        <w:spacing w:line="240" w:lineRule="auto"/>
        <w:rPr>
          <w:rFonts w:eastAsia="Times New Roman" w:cs="Arial"/>
          <w:color w:val="000000"/>
          <w:szCs w:val="20"/>
          <w:lang w:eastAsia="bg-BG"/>
        </w:rPr>
      </w:pPr>
    </w:p>
    <w:p w14:paraId="0CED259C" w14:textId="359FDDC4" w:rsidR="00F40F0A" w:rsidRDefault="00F40F0A" w:rsidP="00F40F0A">
      <w:pPr>
        <w:spacing w:line="240" w:lineRule="auto"/>
        <w:rPr>
          <w:rFonts w:eastAsia="Times New Roman" w:cs="Arial"/>
          <w:color w:val="000000"/>
          <w:szCs w:val="20"/>
          <w:lang w:eastAsia="bg-BG"/>
        </w:rPr>
      </w:pPr>
      <w:r w:rsidRPr="00F40F0A">
        <w:rPr>
          <w:rFonts w:eastAsia="Times New Roman" w:cs="Arial"/>
          <w:color w:val="000000"/>
          <w:szCs w:val="20"/>
          <w:lang w:eastAsia="bg-BG"/>
        </w:rPr>
        <w:t>Ипертазин е показен също за намаляване на броя на новопоявили се дигитални язви при пациенти със системна склероза, както и в хода на заболяването от дактилна язвена болест (вж. точка 5.1).</w:t>
      </w:r>
    </w:p>
    <w:p w14:paraId="510B85B7" w14:textId="77777777" w:rsidR="00F40F0A" w:rsidRPr="00F40F0A" w:rsidRDefault="00F40F0A" w:rsidP="00F40F0A">
      <w:pPr>
        <w:spacing w:line="240" w:lineRule="auto"/>
        <w:rPr>
          <w:rFonts w:eastAsia="Times New Roman" w:cs="Arial"/>
          <w:sz w:val="28"/>
          <w:szCs w:val="24"/>
        </w:rPr>
      </w:pPr>
    </w:p>
    <w:p w14:paraId="53F5B866" w14:textId="182825FD" w:rsidR="007122AD" w:rsidRDefault="002C50EE" w:rsidP="00936AD0">
      <w:pPr>
        <w:pStyle w:val="Heading2"/>
      </w:pPr>
      <w:r>
        <w:t>4.2. Дозировка и начин на приложение</w:t>
      </w:r>
    </w:p>
    <w:p w14:paraId="57460E4F" w14:textId="42158B55" w:rsidR="00F40F0A" w:rsidRDefault="00F40F0A" w:rsidP="00F40F0A"/>
    <w:p w14:paraId="66F7F958" w14:textId="77777777" w:rsidR="00F40F0A" w:rsidRPr="00F40F0A" w:rsidRDefault="00F40F0A" w:rsidP="00F40F0A">
      <w:pPr>
        <w:pStyle w:val="Heading3"/>
        <w:rPr>
          <w:rFonts w:eastAsia="Times New Roman"/>
          <w:u w:val="single"/>
        </w:rPr>
      </w:pPr>
      <w:r w:rsidRPr="00F40F0A">
        <w:rPr>
          <w:rFonts w:eastAsia="Times New Roman"/>
          <w:u w:val="single"/>
          <w:lang w:eastAsia="bg-BG"/>
        </w:rPr>
        <w:lastRenderedPageBreak/>
        <w:t>Начин на приложение</w:t>
      </w:r>
    </w:p>
    <w:p w14:paraId="5225857A" w14:textId="77777777" w:rsidR="00F40F0A" w:rsidRPr="00F40F0A" w:rsidRDefault="00F40F0A" w:rsidP="00F40F0A">
      <w:pPr>
        <w:spacing w:line="240" w:lineRule="auto"/>
        <w:rPr>
          <w:rFonts w:eastAsia="Times New Roman" w:cs="Arial"/>
        </w:rPr>
      </w:pPr>
      <w:r w:rsidRPr="00F40F0A">
        <w:rPr>
          <w:rFonts w:eastAsia="Times New Roman" w:cs="Arial"/>
          <w:color w:val="000000"/>
          <w:lang w:eastAsia="bg-BG"/>
        </w:rPr>
        <w:t>Таблетките се приемат през устата сутрин и вечер, със или без храна. Филмираните таблетки трябва да се погълнат с вода,</w:t>
      </w:r>
    </w:p>
    <w:p w14:paraId="5E71B851" w14:textId="77777777" w:rsidR="00F40F0A" w:rsidRPr="00F40F0A" w:rsidRDefault="00F40F0A" w:rsidP="00F40F0A">
      <w:pPr>
        <w:spacing w:line="240" w:lineRule="auto"/>
        <w:rPr>
          <w:rFonts w:eastAsia="Times New Roman" w:cs="Arial"/>
          <w:color w:val="000000"/>
          <w:u w:val="single"/>
          <w:lang w:eastAsia="bg-BG"/>
        </w:rPr>
      </w:pPr>
    </w:p>
    <w:p w14:paraId="047E715D" w14:textId="3E40FE8A" w:rsidR="00F40F0A" w:rsidRPr="00F40F0A" w:rsidRDefault="00F40F0A" w:rsidP="00F40F0A">
      <w:pPr>
        <w:pStyle w:val="Heading3"/>
        <w:rPr>
          <w:rFonts w:eastAsia="Times New Roman"/>
          <w:u w:val="single"/>
        </w:rPr>
      </w:pPr>
      <w:r w:rsidRPr="00F40F0A">
        <w:rPr>
          <w:rFonts w:eastAsia="Times New Roman"/>
          <w:u w:val="single"/>
          <w:lang w:eastAsia="bg-BG"/>
        </w:rPr>
        <w:t>Дозировка</w:t>
      </w:r>
    </w:p>
    <w:p w14:paraId="0E898FFB" w14:textId="77777777" w:rsidR="00F40F0A" w:rsidRPr="00F40F0A" w:rsidRDefault="00F40F0A" w:rsidP="00F40F0A">
      <w:pPr>
        <w:spacing w:line="240" w:lineRule="auto"/>
        <w:rPr>
          <w:rFonts w:eastAsia="Times New Roman" w:cs="Arial"/>
          <w:color w:val="000000"/>
          <w:u w:val="single"/>
          <w:lang w:eastAsia="bg-BG"/>
        </w:rPr>
      </w:pPr>
    </w:p>
    <w:p w14:paraId="01CFC0AD" w14:textId="4BB8E081" w:rsidR="00F40F0A" w:rsidRPr="00F40F0A" w:rsidRDefault="00F40F0A" w:rsidP="00F40F0A">
      <w:pPr>
        <w:spacing w:line="240" w:lineRule="auto"/>
        <w:rPr>
          <w:rFonts w:eastAsia="Times New Roman" w:cs="Arial"/>
        </w:rPr>
      </w:pPr>
      <w:r w:rsidRPr="00F40F0A">
        <w:rPr>
          <w:rFonts w:eastAsia="Times New Roman" w:cs="Arial"/>
          <w:color w:val="000000"/>
          <w:u w:val="single"/>
          <w:lang w:eastAsia="bg-BG"/>
        </w:rPr>
        <w:t>Белодробна артериална хипертония</w:t>
      </w:r>
    </w:p>
    <w:p w14:paraId="28735A04" w14:textId="77777777" w:rsidR="00F40F0A" w:rsidRPr="00F40F0A" w:rsidRDefault="00F40F0A" w:rsidP="00F40F0A">
      <w:pPr>
        <w:rPr>
          <w:rFonts w:eastAsia="Times New Roman" w:cs="Arial"/>
        </w:rPr>
      </w:pPr>
      <w:r w:rsidRPr="00F40F0A">
        <w:rPr>
          <w:rFonts w:eastAsia="Times New Roman" w:cs="Arial"/>
          <w:color w:val="000000"/>
          <w:lang w:eastAsia="bg-BG"/>
        </w:rPr>
        <w:t>Лечението трябва да бъде назначавано и проследявано единствено от лекар с опит в лечението на БАХ. В опаковката е включен сигнална карта за пациента, предоставяща важна информация за безопасността, с която пациентите трябва да бъдат запознати преди и по време на лечението с бозентан.</w:t>
      </w:r>
    </w:p>
    <w:p w14:paraId="6A502360" w14:textId="77777777" w:rsidR="00F40F0A" w:rsidRPr="00F40F0A" w:rsidRDefault="00F40F0A" w:rsidP="00F40F0A">
      <w:pPr>
        <w:spacing w:line="240" w:lineRule="auto"/>
        <w:rPr>
          <w:rFonts w:eastAsia="Times New Roman" w:cs="Arial"/>
          <w:i/>
          <w:iCs/>
          <w:color w:val="000000"/>
          <w:u w:val="single"/>
          <w:lang w:eastAsia="bg-BG"/>
        </w:rPr>
      </w:pPr>
    </w:p>
    <w:p w14:paraId="6C51187A" w14:textId="4428BFBA" w:rsidR="00F40F0A" w:rsidRPr="00F40F0A" w:rsidRDefault="00F40F0A" w:rsidP="00F40F0A">
      <w:pPr>
        <w:spacing w:line="240" w:lineRule="auto"/>
        <w:rPr>
          <w:rFonts w:eastAsia="Times New Roman" w:cs="Arial"/>
        </w:rPr>
      </w:pPr>
      <w:r w:rsidRPr="00F40F0A">
        <w:rPr>
          <w:rFonts w:eastAsia="Times New Roman" w:cs="Arial"/>
          <w:i/>
          <w:iCs/>
          <w:color w:val="000000"/>
          <w:u w:val="single"/>
          <w:lang w:eastAsia="bg-BG"/>
        </w:rPr>
        <w:t>Възрастни</w:t>
      </w:r>
    </w:p>
    <w:p w14:paraId="7E24F607" w14:textId="77777777" w:rsidR="00F40F0A" w:rsidRPr="00F40F0A" w:rsidRDefault="00F40F0A" w:rsidP="00F40F0A">
      <w:pPr>
        <w:spacing w:line="240" w:lineRule="auto"/>
        <w:rPr>
          <w:rFonts w:eastAsia="Times New Roman" w:cs="Arial"/>
        </w:rPr>
      </w:pPr>
      <w:r w:rsidRPr="00F40F0A">
        <w:rPr>
          <w:rFonts w:eastAsia="Times New Roman" w:cs="Arial"/>
          <w:color w:val="000000"/>
          <w:lang w:eastAsia="bg-BG"/>
        </w:rPr>
        <w:t xml:space="preserve">При възрастни пациенти, лечението с Иперетазин трябва да се започне с доза от 62,5 </w:t>
      </w:r>
      <w:r w:rsidRPr="00F40F0A">
        <w:rPr>
          <w:rFonts w:eastAsia="Times New Roman" w:cs="Arial"/>
          <w:color w:val="000000"/>
          <w:lang w:val="en-US"/>
        </w:rPr>
        <w:t>mg</w:t>
      </w:r>
      <w:r w:rsidRPr="00F40F0A">
        <w:rPr>
          <w:rFonts w:eastAsia="Times New Roman" w:cs="Arial"/>
          <w:color w:val="000000"/>
          <w:lang w:val="ru-RU"/>
        </w:rPr>
        <w:t xml:space="preserve"> </w:t>
      </w:r>
      <w:r w:rsidRPr="00F40F0A">
        <w:rPr>
          <w:rFonts w:eastAsia="Times New Roman" w:cs="Arial"/>
          <w:color w:val="000000"/>
          <w:lang w:eastAsia="bg-BG"/>
        </w:rPr>
        <w:t xml:space="preserve">два пъти дневно в продължение на 4 седмици, която след това се повишава до поддържаща доза от 125 </w:t>
      </w:r>
      <w:r w:rsidRPr="00F40F0A">
        <w:rPr>
          <w:rFonts w:eastAsia="Times New Roman" w:cs="Arial"/>
          <w:color w:val="000000"/>
          <w:lang w:val="en-US"/>
        </w:rPr>
        <w:t>mg</w:t>
      </w:r>
      <w:r w:rsidRPr="00F40F0A">
        <w:rPr>
          <w:rFonts w:eastAsia="Times New Roman" w:cs="Arial"/>
          <w:color w:val="000000"/>
          <w:lang w:val="ru-RU"/>
        </w:rPr>
        <w:t xml:space="preserve"> </w:t>
      </w:r>
      <w:r w:rsidRPr="00F40F0A">
        <w:rPr>
          <w:rFonts w:eastAsia="Times New Roman" w:cs="Arial"/>
          <w:color w:val="000000"/>
          <w:lang w:eastAsia="bg-BG"/>
        </w:rPr>
        <w:t>два пъти дневно. Същите препоръки се отнасят за повторното включване на Ипертазин след прекъсване на лечението (вж. точка 4.4).</w:t>
      </w:r>
    </w:p>
    <w:p w14:paraId="429FD826" w14:textId="77777777" w:rsidR="00F40F0A" w:rsidRPr="00F40F0A" w:rsidRDefault="00F40F0A" w:rsidP="00F40F0A">
      <w:pPr>
        <w:spacing w:line="240" w:lineRule="auto"/>
        <w:rPr>
          <w:rFonts w:eastAsia="Times New Roman" w:cs="Arial"/>
          <w:i/>
          <w:iCs/>
          <w:color w:val="000000"/>
          <w:u w:val="single"/>
          <w:lang w:eastAsia="bg-BG"/>
        </w:rPr>
      </w:pPr>
    </w:p>
    <w:p w14:paraId="6AFF7888" w14:textId="1F6A0DCB" w:rsidR="00F40F0A" w:rsidRPr="00F40F0A" w:rsidRDefault="00F40F0A" w:rsidP="00F40F0A">
      <w:pPr>
        <w:spacing w:line="240" w:lineRule="auto"/>
        <w:rPr>
          <w:rFonts w:eastAsia="Times New Roman" w:cs="Arial"/>
        </w:rPr>
      </w:pPr>
      <w:r w:rsidRPr="00F40F0A">
        <w:rPr>
          <w:rFonts w:eastAsia="Times New Roman" w:cs="Arial"/>
          <w:i/>
          <w:iCs/>
          <w:color w:val="000000"/>
          <w:u w:val="single"/>
          <w:lang w:eastAsia="bg-BG"/>
        </w:rPr>
        <w:t>Педиатрична популация</w:t>
      </w:r>
    </w:p>
    <w:p w14:paraId="65BFDB56" w14:textId="77777777" w:rsidR="00F40F0A" w:rsidRPr="00F40F0A" w:rsidRDefault="00F40F0A" w:rsidP="00F40F0A">
      <w:pPr>
        <w:spacing w:line="240" w:lineRule="auto"/>
        <w:rPr>
          <w:rFonts w:eastAsia="Times New Roman" w:cs="Arial"/>
        </w:rPr>
      </w:pPr>
      <w:r w:rsidRPr="00F40F0A">
        <w:rPr>
          <w:rFonts w:eastAsia="Times New Roman" w:cs="Arial"/>
          <w:color w:val="000000"/>
          <w:lang w:eastAsia="bg-BG"/>
        </w:rPr>
        <w:t xml:space="preserve">Педиатричните фармакокинетични данни показват, че плазмените концентрации бозентан при деца с белодробна артериална хипертония на възраст от 1 години до 15 години са били средно по-ниски, отколкото при възрастни пациенти и не са се повишили с повишаване на дозата на Ипертазин над 2 </w:t>
      </w:r>
      <w:r w:rsidRPr="00F40F0A">
        <w:rPr>
          <w:rFonts w:eastAsia="Times New Roman" w:cs="Arial"/>
          <w:color w:val="000000"/>
          <w:lang w:val="en-US"/>
        </w:rPr>
        <w:t>mg</w:t>
      </w:r>
      <w:r w:rsidRPr="00F40F0A">
        <w:rPr>
          <w:rFonts w:eastAsia="Times New Roman" w:cs="Arial"/>
          <w:color w:val="000000"/>
          <w:lang w:val="ru-RU"/>
        </w:rPr>
        <w:t>/</w:t>
      </w:r>
      <w:r w:rsidRPr="00F40F0A">
        <w:rPr>
          <w:rFonts w:eastAsia="Times New Roman" w:cs="Arial"/>
          <w:color w:val="000000"/>
          <w:lang w:val="en-US"/>
        </w:rPr>
        <w:t>kg</w:t>
      </w:r>
      <w:r w:rsidRPr="00F40F0A">
        <w:rPr>
          <w:rFonts w:eastAsia="Times New Roman" w:cs="Arial"/>
          <w:color w:val="000000"/>
          <w:lang w:val="ru-RU"/>
        </w:rPr>
        <w:t xml:space="preserve"> </w:t>
      </w:r>
      <w:r w:rsidRPr="00F40F0A">
        <w:rPr>
          <w:rFonts w:eastAsia="Times New Roman" w:cs="Arial"/>
          <w:color w:val="000000"/>
          <w:lang w:eastAsia="bg-BG"/>
        </w:rPr>
        <w:t>телесно тегло или при увеличаване на честота на дозата от два пъти дневно до три пъти дневно (вж. точка 5.2), Повишаването на дозата или честотата на прием на дозата вероятно няма да доведе до допълнителни клинични ползи.</w:t>
      </w:r>
    </w:p>
    <w:p w14:paraId="0C4E5BAB" w14:textId="77777777" w:rsidR="00F40F0A" w:rsidRPr="00F40F0A" w:rsidRDefault="00F40F0A" w:rsidP="00F40F0A">
      <w:pPr>
        <w:spacing w:line="240" w:lineRule="auto"/>
        <w:rPr>
          <w:rFonts w:eastAsia="Times New Roman" w:cs="Arial"/>
        </w:rPr>
      </w:pPr>
      <w:r w:rsidRPr="00F40F0A">
        <w:rPr>
          <w:rFonts w:eastAsia="Times New Roman" w:cs="Arial"/>
          <w:color w:val="000000"/>
          <w:lang w:eastAsia="bg-BG"/>
        </w:rPr>
        <w:t xml:space="preserve">Въз основа на тези фармакокинетични резултати, когато се прилага при деца с белодробна артериална хипертония на възраст 1 година и по-големи, препоръчваната начална и поддържаща доза е 2 </w:t>
      </w:r>
      <w:r w:rsidRPr="00F40F0A">
        <w:rPr>
          <w:rFonts w:eastAsia="Times New Roman" w:cs="Arial"/>
          <w:color w:val="000000"/>
          <w:lang w:val="en-US"/>
        </w:rPr>
        <w:t>mg</w:t>
      </w:r>
      <w:r w:rsidRPr="00F40F0A">
        <w:rPr>
          <w:rFonts w:eastAsia="Times New Roman" w:cs="Arial"/>
          <w:color w:val="000000"/>
          <w:lang w:val="ru-RU"/>
        </w:rPr>
        <w:t>/</w:t>
      </w:r>
      <w:r w:rsidRPr="00F40F0A">
        <w:rPr>
          <w:rFonts w:eastAsia="Times New Roman" w:cs="Arial"/>
          <w:color w:val="000000"/>
          <w:lang w:val="en-US"/>
        </w:rPr>
        <w:t>kg</w:t>
      </w:r>
      <w:r w:rsidRPr="00F40F0A">
        <w:rPr>
          <w:rFonts w:eastAsia="Times New Roman" w:cs="Arial"/>
          <w:color w:val="000000"/>
          <w:lang w:val="ru-RU"/>
        </w:rPr>
        <w:t xml:space="preserve"> </w:t>
      </w:r>
      <w:r w:rsidRPr="00F40F0A">
        <w:rPr>
          <w:rFonts w:eastAsia="Times New Roman" w:cs="Arial"/>
          <w:color w:val="000000"/>
          <w:lang w:eastAsia="bg-BG"/>
        </w:rPr>
        <w:t>сутрин и вечер.</w:t>
      </w:r>
    </w:p>
    <w:p w14:paraId="351F7867" w14:textId="77777777" w:rsidR="00F40F0A" w:rsidRPr="00F40F0A" w:rsidRDefault="00F40F0A" w:rsidP="00F40F0A">
      <w:pPr>
        <w:spacing w:line="240" w:lineRule="auto"/>
        <w:rPr>
          <w:rFonts w:eastAsia="Times New Roman" w:cs="Arial"/>
        </w:rPr>
      </w:pPr>
      <w:r w:rsidRPr="00F40F0A">
        <w:rPr>
          <w:rFonts w:eastAsia="Times New Roman" w:cs="Arial"/>
          <w:color w:val="000000"/>
          <w:lang w:eastAsia="bg-BG"/>
        </w:rPr>
        <w:t xml:space="preserve">При новородени с персистираща белодробна хипертония на новороденото </w:t>
      </w:r>
      <w:r w:rsidRPr="00F40F0A">
        <w:rPr>
          <w:rFonts w:eastAsia="Times New Roman" w:cs="Arial"/>
          <w:color w:val="000000"/>
          <w:lang w:val="ru-RU"/>
        </w:rPr>
        <w:t>(</w:t>
      </w:r>
      <w:r w:rsidRPr="00F40F0A">
        <w:rPr>
          <w:rFonts w:eastAsia="Times New Roman" w:cs="Arial"/>
          <w:color w:val="000000"/>
          <w:lang w:val="en-US"/>
        </w:rPr>
        <w:t>PPHN</w:t>
      </w:r>
      <w:r w:rsidRPr="00F40F0A">
        <w:rPr>
          <w:rFonts w:eastAsia="Times New Roman" w:cs="Arial"/>
          <w:color w:val="000000"/>
          <w:lang w:val="ru-RU"/>
        </w:rPr>
        <w:t xml:space="preserve">), </w:t>
      </w:r>
      <w:r w:rsidRPr="00F40F0A">
        <w:rPr>
          <w:rFonts w:eastAsia="Times New Roman" w:cs="Arial"/>
          <w:color w:val="000000"/>
          <w:lang w:eastAsia="bg-BG"/>
        </w:rPr>
        <w:t>ефектът от бозентан не е доказан при стандартно полагане на медицински грижи. Не могат да се направят препоръки за дозировката (вж. точки 5.1 и 5.2),</w:t>
      </w:r>
    </w:p>
    <w:p w14:paraId="2937FCBD" w14:textId="77777777" w:rsidR="00F40F0A" w:rsidRPr="00F40F0A" w:rsidRDefault="00F40F0A" w:rsidP="00F40F0A">
      <w:pPr>
        <w:spacing w:line="240" w:lineRule="auto"/>
        <w:rPr>
          <w:rFonts w:eastAsia="Times New Roman" w:cs="Arial"/>
          <w:i/>
          <w:iCs/>
          <w:color w:val="000000"/>
          <w:lang w:eastAsia="bg-BG"/>
        </w:rPr>
      </w:pPr>
    </w:p>
    <w:p w14:paraId="135AD3A0" w14:textId="0933F483" w:rsidR="00F40F0A" w:rsidRPr="00F40F0A" w:rsidRDefault="00F40F0A" w:rsidP="00F40F0A">
      <w:pPr>
        <w:spacing w:line="240" w:lineRule="auto"/>
        <w:rPr>
          <w:rFonts w:eastAsia="Times New Roman" w:cs="Arial"/>
        </w:rPr>
      </w:pPr>
      <w:r w:rsidRPr="00F40F0A">
        <w:rPr>
          <w:rFonts w:eastAsia="Times New Roman" w:cs="Arial"/>
          <w:i/>
          <w:iCs/>
          <w:color w:val="000000"/>
          <w:lang w:eastAsia="bg-BG"/>
        </w:rPr>
        <w:t>Лечение в случай на клинично влошаване на БАХ</w:t>
      </w:r>
    </w:p>
    <w:p w14:paraId="49D1ECDD" w14:textId="77777777" w:rsidR="00F40F0A" w:rsidRPr="00F40F0A" w:rsidRDefault="00F40F0A" w:rsidP="00F40F0A">
      <w:pPr>
        <w:spacing w:line="240" w:lineRule="auto"/>
        <w:rPr>
          <w:rFonts w:eastAsia="Times New Roman" w:cs="Arial"/>
          <w:color w:val="000000"/>
          <w:lang w:eastAsia="bg-BG"/>
        </w:rPr>
      </w:pPr>
    </w:p>
    <w:p w14:paraId="1E754A30" w14:textId="63E7AC82" w:rsidR="00F40F0A" w:rsidRPr="00F40F0A" w:rsidRDefault="00F40F0A" w:rsidP="00F40F0A">
      <w:pPr>
        <w:spacing w:line="240" w:lineRule="auto"/>
        <w:rPr>
          <w:rFonts w:eastAsia="Times New Roman" w:cs="Arial"/>
        </w:rPr>
      </w:pPr>
      <w:r w:rsidRPr="00F40F0A">
        <w:rPr>
          <w:rFonts w:eastAsia="Times New Roman" w:cs="Arial"/>
          <w:color w:val="000000"/>
          <w:lang w:eastAsia="bg-BG"/>
        </w:rPr>
        <w:t>В случай на клинично влошаване (например, намаляване на разстоянието поне с 10% при 6- минутния тест с ходене, в сравнение с изследването преди лечението), въпреки поне 8- седмичното лечение с Ипертазин (таргетна доза най-малко 4 седмици), трябва да се мисли за алтернативна терапия. Все пак, някои пациенти, които след 8-седмично лечение с Ипертазин не са показали отговор, могат да се повлияят благоприятно след още 4 до 8 седмици лечение,</w:t>
      </w:r>
    </w:p>
    <w:p w14:paraId="53A5B5A8" w14:textId="77777777" w:rsidR="00F40F0A" w:rsidRPr="00F40F0A" w:rsidRDefault="00F40F0A" w:rsidP="00F40F0A">
      <w:pPr>
        <w:spacing w:line="240" w:lineRule="auto"/>
        <w:rPr>
          <w:rFonts w:eastAsia="Times New Roman" w:cs="Arial"/>
          <w:color w:val="000000"/>
          <w:lang w:eastAsia="bg-BG"/>
        </w:rPr>
      </w:pPr>
    </w:p>
    <w:p w14:paraId="14ABDB99" w14:textId="1578BADF" w:rsidR="00F40F0A" w:rsidRPr="00F40F0A" w:rsidRDefault="00F40F0A" w:rsidP="00F40F0A">
      <w:pPr>
        <w:spacing w:line="240" w:lineRule="auto"/>
        <w:rPr>
          <w:rFonts w:eastAsia="Times New Roman" w:cs="Arial"/>
        </w:rPr>
      </w:pPr>
      <w:r w:rsidRPr="00F40F0A">
        <w:rPr>
          <w:rFonts w:eastAsia="Times New Roman" w:cs="Arial"/>
          <w:color w:val="000000"/>
          <w:lang w:eastAsia="bg-BG"/>
        </w:rPr>
        <w:t xml:space="preserve">В случай на късно клинично влошаване, въпреки лечението с Ипертазин (т.е., след няколко месечно лечение), трябва да се направи преоценка на лечението. Някои пациенти с незадоволителен отговор на 125 </w:t>
      </w:r>
      <w:r w:rsidRPr="00F40F0A">
        <w:rPr>
          <w:rFonts w:eastAsia="Times New Roman" w:cs="Arial"/>
          <w:color w:val="000000"/>
          <w:lang w:val="en-US"/>
        </w:rPr>
        <w:t>mg</w:t>
      </w:r>
      <w:r w:rsidRPr="00F40F0A">
        <w:rPr>
          <w:rFonts w:eastAsia="Times New Roman" w:cs="Arial"/>
          <w:color w:val="000000"/>
          <w:lang w:val="ru-RU"/>
        </w:rPr>
        <w:t xml:space="preserve"> </w:t>
      </w:r>
      <w:r w:rsidRPr="00F40F0A">
        <w:rPr>
          <w:rFonts w:eastAsia="Times New Roman" w:cs="Arial"/>
          <w:color w:val="000000"/>
          <w:lang w:eastAsia="bg-BG"/>
        </w:rPr>
        <w:t xml:space="preserve">Ипертазин два пъти дневно могат леко да подобрят своя физически капацитет при повишаване на дозата до 250 </w:t>
      </w:r>
      <w:r w:rsidRPr="00F40F0A">
        <w:rPr>
          <w:rFonts w:eastAsia="Times New Roman" w:cs="Arial"/>
          <w:color w:val="000000"/>
          <w:lang w:val="en-US"/>
        </w:rPr>
        <w:t>mg</w:t>
      </w:r>
      <w:r w:rsidRPr="00F40F0A">
        <w:rPr>
          <w:rFonts w:eastAsia="Times New Roman" w:cs="Arial"/>
          <w:color w:val="000000"/>
          <w:lang w:val="ru-RU"/>
        </w:rPr>
        <w:t xml:space="preserve"> </w:t>
      </w:r>
      <w:r w:rsidRPr="00F40F0A">
        <w:rPr>
          <w:rFonts w:eastAsia="Times New Roman" w:cs="Arial"/>
          <w:color w:val="000000"/>
          <w:lang w:eastAsia="bg-BG"/>
        </w:rPr>
        <w:t>два пъти дневно. Трябва да се направи внимателна оценка на полза/риск, като се има предвид, че чернодробната токсичност е дозозависима (вж. точки 4.4 и 5.1).</w:t>
      </w:r>
    </w:p>
    <w:p w14:paraId="6415BC35" w14:textId="77777777" w:rsidR="00F40F0A" w:rsidRPr="00F40F0A" w:rsidRDefault="00F40F0A" w:rsidP="00F40F0A">
      <w:pPr>
        <w:spacing w:line="240" w:lineRule="auto"/>
        <w:rPr>
          <w:rFonts w:eastAsia="Times New Roman" w:cs="Arial"/>
          <w:i/>
          <w:iCs/>
          <w:color w:val="000000"/>
          <w:lang w:eastAsia="bg-BG"/>
        </w:rPr>
      </w:pPr>
    </w:p>
    <w:p w14:paraId="20142CFD" w14:textId="20E3F409" w:rsidR="00F40F0A" w:rsidRPr="00F40F0A" w:rsidRDefault="00F40F0A" w:rsidP="00F40F0A">
      <w:pPr>
        <w:spacing w:line="240" w:lineRule="auto"/>
        <w:rPr>
          <w:rFonts w:eastAsia="Times New Roman" w:cs="Arial"/>
        </w:rPr>
      </w:pPr>
      <w:r w:rsidRPr="00F40F0A">
        <w:rPr>
          <w:rFonts w:eastAsia="Times New Roman" w:cs="Arial"/>
          <w:i/>
          <w:iCs/>
          <w:color w:val="000000"/>
          <w:lang w:eastAsia="bg-BG"/>
        </w:rPr>
        <w:t>Прекратяване на лечението</w:t>
      </w:r>
    </w:p>
    <w:p w14:paraId="2D75F27A" w14:textId="77777777" w:rsidR="00F40F0A" w:rsidRPr="00F40F0A" w:rsidRDefault="00F40F0A" w:rsidP="00F40F0A">
      <w:pPr>
        <w:spacing w:line="240" w:lineRule="auto"/>
        <w:rPr>
          <w:rFonts w:eastAsia="Times New Roman" w:cs="Arial"/>
          <w:color w:val="000000"/>
          <w:lang w:eastAsia="bg-BG"/>
        </w:rPr>
      </w:pPr>
    </w:p>
    <w:p w14:paraId="410EA66C" w14:textId="1736D429" w:rsidR="00F40F0A" w:rsidRPr="00F40F0A" w:rsidRDefault="00F40F0A" w:rsidP="00F40F0A">
      <w:pPr>
        <w:spacing w:line="240" w:lineRule="auto"/>
        <w:rPr>
          <w:rFonts w:eastAsia="Times New Roman" w:cs="Arial"/>
        </w:rPr>
      </w:pPr>
      <w:r w:rsidRPr="00F40F0A">
        <w:rPr>
          <w:rFonts w:eastAsia="Times New Roman" w:cs="Arial"/>
          <w:color w:val="000000"/>
          <w:lang w:eastAsia="bg-BG"/>
        </w:rPr>
        <w:t>Опитът с рязкото спиране на Ипертазин при пациенти с БАХ е ограничен. Не са наблюдавани доказателства за остър ребаунд. Все пак, за да се предотврати възможната поява на увреждащо клинично влошаване поради потенциалния ребаунд ефект, трябва да се мисли за постепенно намаляване на дозата (намаляване дозата наполовина за 3 до 7 дни). За периода на спиране на лечението се препоръчва интензивно проследяване. Ако е взето решение да се прекрати лечението с Ипертазин, това трябва да стане постепенно, докато се въвежда алтернативната терапия.</w:t>
      </w:r>
    </w:p>
    <w:p w14:paraId="6FEF9F1C" w14:textId="77777777" w:rsidR="00F40F0A" w:rsidRPr="00F40F0A" w:rsidRDefault="00F40F0A" w:rsidP="00F40F0A">
      <w:pPr>
        <w:spacing w:line="240" w:lineRule="auto"/>
        <w:rPr>
          <w:rFonts w:eastAsia="Times New Roman" w:cs="Arial"/>
          <w:color w:val="000000"/>
          <w:u w:val="single"/>
          <w:lang w:eastAsia="bg-BG"/>
        </w:rPr>
      </w:pPr>
    </w:p>
    <w:p w14:paraId="6A136622" w14:textId="30E22D46" w:rsidR="00F40F0A" w:rsidRPr="00F40F0A" w:rsidRDefault="00F40F0A" w:rsidP="00F40F0A">
      <w:pPr>
        <w:spacing w:line="240" w:lineRule="auto"/>
        <w:rPr>
          <w:rFonts w:eastAsia="Times New Roman" w:cs="Arial"/>
        </w:rPr>
      </w:pPr>
      <w:r w:rsidRPr="00F40F0A">
        <w:rPr>
          <w:rFonts w:eastAsia="Times New Roman" w:cs="Arial"/>
          <w:color w:val="000000"/>
          <w:u w:val="single"/>
          <w:lang w:eastAsia="bg-BG"/>
        </w:rPr>
        <w:t>Системна склероза при персистираща дактилна язвена болест</w:t>
      </w:r>
    </w:p>
    <w:p w14:paraId="65A72B29" w14:textId="77777777" w:rsidR="00F40F0A" w:rsidRPr="00F40F0A" w:rsidRDefault="00F40F0A" w:rsidP="00F40F0A">
      <w:pPr>
        <w:spacing w:line="240" w:lineRule="auto"/>
        <w:rPr>
          <w:rFonts w:eastAsia="Times New Roman" w:cs="Arial"/>
          <w:color w:val="000000"/>
          <w:lang w:eastAsia="bg-BG"/>
        </w:rPr>
      </w:pPr>
    </w:p>
    <w:p w14:paraId="05420B95" w14:textId="56B7D65A" w:rsidR="00F40F0A" w:rsidRPr="00F40F0A" w:rsidRDefault="00F40F0A" w:rsidP="00F40F0A">
      <w:pPr>
        <w:spacing w:line="240" w:lineRule="auto"/>
        <w:rPr>
          <w:rFonts w:eastAsia="Times New Roman" w:cs="Arial"/>
        </w:rPr>
      </w:pPr>
      <w:r w:rsidRPr="00F40F0A">
        <w:rPr>
          <w:rFonts w:eastAsia="Times New Roman" w:cs="Arial"/>
          <w:color w:val="000000"/>
          <w:lang w:eastAsia="bg-BG"/>
        </w:rPr>
        <w:t>Лечението трябва да бъде започнато и наблюдавано само от лекар с опит в лечението на системна склероза.</w:t>
      </w:r>
    </w:p>
    <w:p w14:paraId="1A1F4FB1" w14:textId="592FB662" w:rsidR="00F40F0A" w:rsidRPr="00F40F0A" w:rsidRDefault="00F40F0A" w:rsidP="00F40F0A">
      <w:pPr>
        <w:spacing w:line="240" w:lineRule="auto"/>
        <w:rPr>
          <w:rFonts w:eastAsia="Times New Roman" w:cs="Arial"/>
          <w:color w:val="000000"/>
          <w:lang w:eastAsia="bg-BG"/>
        </w:rPr>
      </w:pPr>
      <w:r w:rsidRPr="00F40F0A">
        <w:rPr>
          <w:rFonts w:eastAsia="Times New Roman" w:cs="Arial"/>
          <w:color w:val="000000"/>
          <w:lang w:eastAsia="bg-BG"/>
        </w:rPr>
        <w:t>В опаковката е включен сигнална карта за пациента, предоставяща важна информация за безопасността, с която пациентите трябва да бъдат запознати преди и по време на лечението с бозентан.</w:t>
      </w:r>
    </w:p>
    <w:p w14:paraId="1674BC6C" w14:textId="176D4784" w:rsidR="00F40F0A" w:rsidRPr="00F40F0A" w:rsidRDefault="00F40F0A" w:rsidP="00F40F0A">
      <w:pPr>
        <w:spacing w:line="240" w:lineRule="auto"/>
        <w:rPr>
          <w:rFonts w:eastAsia="Times New Roman" w:cs="Arial"/>
          <w:color w:val="000000"/>
          <w:lang w:eastAsia="bg-BG"/>
        </w:rPr>
      </w:pPr>
    </w:p>
    <w:p w14:paraId="59957052" w14:textId="77777777" w:rsidR="00F40F0A" w:rsidRPr="00F40F0A" w:rsidRDefault="00F40F0A" w:rsidP="00F40F0A">
      <w:pPr>
        <w:spacing w:line="240" w:lineRule="auto"/>
        <w:rPr>
          <w:rFonts w:eastAsia="Times New Roman" w:cs="Arial"/>
        </w:rPr>
      </w:pPr>
      <w:r w:rsidRPr="00F40F0A">
        <w:rPr>
          <w:rFonts w:eastAsia="Times New Roman" w:cs="Arial"/>
          <w:i/>
          <w:iCs/>
          <w:color w:val="000000"/>
          <w:u w:val="single"/>
          <w:lang w:eastAsia="bg-BG"/>
        </w:rPr>
        <w:t>Възрастни</w:t>
      </w:r>
    </w:p>
    <w:p w14:paraId="5502EE00" w14:textId="77777777" w:rsidR="00F40F0A" w:rsidRPr="00F40F0A" w:rsidRDefault="00F40F0A" w:rsidP="00F40F0A">
      <w:pPr>
        <w:spacing w:line="240" w:lineRule="auto"/>
        <w:rPr>
          <w:rFonts w:eastAsia="Times New Roman" w:cs="Arial"/>
        </w:rPr>
      </w:pPr>
      <w:r w:rsidRPr="00F40F0A">
        <w:rPr>
          <w:rFonts w:eastAsia="Times New Roman" w:cs="Arial"/>
          <w:color w:val="000000"/>
          <w:lang w:eastAsia="bg-BG"/>
        </w:rPr>
        <w:t xml:space="preserve">Лечението с Ипертазин трябва да се започне с доза от 62,5 </w:t>
      </w:r>
      <w:r w:rsidRPr="00F40F0A">
        <w:rPr>
          <w:rFonts w:eastAsia="Times New Roman" w:cs="Arial"/>
          <w:color w:val="000000"/>
          <w:lang w:val="en-US"/>
        </w:rPr>
        <w:t>mg</w:t>
      </w:r>
      <w:r w:rsidRPr="00F40F0A">
        <w:rPr>
          <w:rFonts w:eastAsia="Times New Roman" w:cs="Arial"/>
          <w:color w:val="000000"/>
          <w:lang w:val="ru-RU"/>
        </w:rPr>
        <w:t xml:space="preserve"> </w:t>
      </w:r>
      <w:r w:rsidRPr="00F40F0A">
        <w:rPr>
          <w:rFonts w:eastAsia="Times New Roman" w:cs="Arial"/>
          <w:color w:val="000000"/>
          <w:lang w:eastAsia="bg-BG"/>
        </w:rPr>
        <w:t xml:space="preserve">два пъти дневно в продължение на 4 седмици и след това се увеличава до достигане на поддържаща доза от 125 </w:t>
      </w:r>
      <w:r w:rsidRPr="00F40F0A">
        <w:rPr>
          <w:rFonts w:eastAsia="Times New Roman" w:cs="Arial"/>
          <w:color w:val="000000"/>
          <w:lang w:val="en-US"/>
        </w:rPr>
        <w:t>mg</w:t>
      </w:r>
      <w:r w:rsidRPr="00F40F0A">
        <w:rPr>
          <w:rFonts w:eastAsia="Times New Roman" w:cs="Arial"/>
          <w:color w:val="000000"/>
          <w:lang w:val="ru-RU"/>
        </w:rPr>
        <w:t xml:space="preserve"> </w:t>
      </w:r>
      <w:r w:rsidRPr="00F40F0A">
        <w:rPr>
          <w:rFonts w:eastAsia="Times New Roman" w:cs="Arial"/>
          <w:color w:val="000000"/>
          <w:lang w:eastAsia="bg-BG"/>
        </w:rPr>
        <w:t>два пъти дневно. Същите препоръки се отнасят за повторното включване на Ипертазин след прекъсване на лечението (вж. точка 4.4).</w:t>
      </w:r>
    </w:p>
    <w:p w14:paraId="7E4DECEE" w14:textId="77777777" w:rsidR="00F40F0A" w:rsidRPr="00F40F0A" w:rsidRDefault="00F40F0A" w:rsidP="00F40F0A">
      <w:pPr>
        <w:spacing w:line="240" w:lineRule="auto"/>
        <w:rPr>
          <w:rFonts w:eastAsia="Times New Roman" w:cs="Arial"/>
          <w:color w:val="000000"/>
          <w:lang w:eastAsia="bg-BG"/>
        </w:rPr>
      </w:pPr>
    </w:p>
    <w:p w14:paraId="6C716BA3" w14:textId="663E479B" w:rsidR="00F40F0A" w:rsidRPr="00F40F0A" w:rsidRDefault="00F40F0A" w:rsidP="00F40F0A">
      <w:pPr>
        <w:spacing w:line="240" w:lineRule="auto"/>
        <w:rPr>
          <w:rFonts w:eastAsia="Times New Roman" w:cs="Arial"/>
        </w:rPr>
      </w:pPr>
      <w:r w:rsidRPr="00F40F0A">
        <w:rPr>
          <w:rFonts w:eastAsia="Times New Roman" w:cs="Arial"/>
          <w:color w:val="000000"/>
          <w:lang w:eastAsia="bg-BG"/>
        </w:rPr>
        <w:t>Опитът от контролирани клинични проучвания при тези показания е ограничен до продължителност от 6 месеца (вж. точка 5.1).</w:t>
      </w:r>
    </w:p>
    <w:p w14:paraId="7CADEBBD" w14:textId="77777777" w:rsidR="00F40F0A" w:rsidRPr="00F40F0A" w:rsidRDefault="00F40F0A" w:rsidP="00F40F0A">
      <w:pPr>
        <w:spacing w:line="240" w:lineRule="auto"/>
        <w:rPr>
          <w:rFonts w:eastAsia="Times New Roman" w:cs="Arial"/>
          <w:color w:val="000000"/>
          <w:lang w:eastAsia="bg-BG"/>
        </w:rPr>
      </w:pPr>
    </w:p>
    <w:p w14:paraId="563B2CCC" w14:textId="0E876EAF" w:rsidR="00F40F0A" w:rsidRPr="00F40F0A" w:rsidRDefault="00F40F0A" w:rsidP="00F40F0A">
      <w:pPr>
        <w:spacing w:line="240" w:lineRule="auto"/>
        <w:rPr>
          <w:rFonts w:eastAsia="Times New Roman" w:cs="Arial"/>
        </w:rPr>
      </w:pPr>
      <w:r w:rsidRPr="00F40F0A">
        <w:rPr>
          <w:rFonts w:eastAsia="Times New Roman" w:cs="Arial"/>
          <w:color w:val="000000"/>
          <w:lang w:eastAsia="bg-BG"/>
        </w:rPr>
        <w:t xml:space="preserve">Реакцията на повлияване на пациента от лечението и необходимостта от продължаване </w:t>
      </w:r>
      <w:r w:rsidRPr="00F40F0A">
        <w:rPr>
          <w:rFonts w:eastAsia="Times New Roman" w:cs="Arial"/>
          <w:i/>
          <w:iCs/>
          <w:color w:val="000000"/>
          <w:lang w:eastAsia="bg-BG"/>
        </w:rPr>
        <w:t xml:space="preserve">на </w:t>
      </w:r>
      <w:r w:rsidRPr="00F40F0A">
        <w:rPr>
          <w:rFonts w:eastAsia="Times New Roman" w:cs="Arial"/>
          <w:color w:val="000000"/>
          <w:lang w:eastAsia="bg-BG"/>
        </w:rPr>
        <w:t>терапията трябва редовно да се подлагат на преценка. Трябва да се прави внимателна оценка на съотношението полза/риск, като се отчита чернодробната токсичност на бозентана (вж. точки 4.4 и 4.8).</w:t>
      </w:r>
    </w:p>
    <w:p w14:paraId="3A97668C" w14:textId="77777777" w:rsidR="00F40F0A" w:rsidRPr="00F40F0A" w:rsidRDefault="00F40F0A" w:rsidP="00F40F0A">
      <w:pPr>
        <w:spacing w:line="240" w:lineRule="auto"/>
        <w:rPr>
          <w:rFonts w:eastAsia="Times New Roman" w:cs="Arial"/>
          <w:i/>
          <w:iCs/>
          <w:color w:val="000000"/>
          <w:u w:val="single"/>
          <w:lang w:eastAsia="bg-BG"/>
        </w:rPr>
      </w:pPr>
    </w:p>
    <w:p w14:paraId="37326D32" w14:textId="3739AC65" w:rsidR="00F40F0A" w:rsidRPr="00F40F0A" w:rsidRDefault="00F40F0A" w:rsidP="00F40F0A">
      <w:pPr>
        <w:spacing w:line="240" w:lineRule="auto"/>
        <w:rPr>
          <w:rFonts w:eastAsia="Times New Roman" w:cs="Arial"/>
        </w:rPr>
      </w:pPr>
      <w:r w:rsidRPr="00F40F0A">
        <w:rPr>
          <w:rFonts w:eastAsia="Times New Roman" w:cs="Arial"/>
          <w:i/>
          <w:iCs/>
          <w:color w:val="000000"/>
          <w:u w:val="single"/>
          <w:lang w:eastAsia="bg-BG"/>
        </w:rPr>
        <w:t>Педиатрична популация</w:t>
      </w:r>
    </w:p>
    <w:p w14:paraId="2493DDE6" w14:textId="77777777" w:rsidR="00F40F0A" w:rsidRPr="00F40F0A" w:rsidRDefault="00F40F0A" w:rsidP="00F40F0A">
      <w:pPr>
        <w:spacing w:line="240" w:lineRule="auto"/>
        <w:rPr>
          <w:rFonts w:eastAsia="Times New Roman" w:cs="Arial"/>
        </w:rPr>
      </w:pPr>
      <w:r w:rsidRPr="00F40F0A">
        <w:rPr>
          <w:rFonts w:eastAsia="Times New Roman" w:cs="Arial"/>
          <w:color w:val="000000"/>
          <w:lang w:eastAsia="bg-BG"/>
        </w:rPr>
        <w:t>Няма данни за безопасността и ефективността на лечението при пациенти на възраст под 18 години. Няма налични фармакокинетични данни за Ипертазин при малки деца с това заболяване.</w:t>
      </w:r>
    </w:p>
    <w:p w14:paraId="11C30855" w14:textId="77777777" w:rsidR="00F40F0A" w:rsidRPr="00F40F0A" w:rsidRDefault="00F40F0A" w:rsidP="00F40F0A">
      <w:pPr>
        <w:spacing w:line="240" w:lineRule="auto"/>
        <w:rPr>
          <w:rFonts w:eastAsia="Times New Roman" w:cs="Arial"/>
          <w:color w:val="000000"/>
          <w:u w:val="single"/>
          <w:lang w:eastAsia="bg-BG"/>
        </w:rPr>
      </w:pPr>
    </w:p>
    <w:p w14:paraId="57B48603" w14:textId="6CABB170" w:rsidR="00F40F0A" w:rsidRPr="00F40F0A" w:rsidRDefault="00F40F0A" w:rsidP="00F40F0A">
      <w:pPr>
        <w:spacing w:line="240" w:lineRule="auto"/>
        <w:rPr>
          <w:rFonts w:eastAsia="Times New Roman" w:cs="Arial"/>
        </w:rPr>
      </w:pPr>
      <w:r w:rsidRPr="00F40F0A">
        <w:rPr>
          <w:rFonts w:eastAsia="Times New Roman" w:cs="Arial"/>
          <w:color w:val="000000"/>
          <w:u w:val="single"/>
          <w:lang w:eastAsia="bg-BG"/>
        </w:rPr>
        <w:t>Специални популации</w:t>
      </w:r>
    </w:p>
    <w:p w14:paraId="2082F26C" w14:textId="77777777" w:rsidR="00F40F0A" w:rsidRPr="00F40F0A" w:rsidRDefault="00F40F0A" w:rsidP="00F40F0A">
      <w:pPr>
        <w:spacing w:line="240" w:lineRule="auto"/>
        <w:rPr>
          <w:rFonts w:eastAsia="Times New Roman" w:cs="Arial"/>
          <w:i/>
          <w:iCs/>
          <w:color w:val="000000"/>
          <w:lang w:eastAsia="bg-BG"/>
        </w:rPr>
      </w:pPr>
    </w:p>
    <w:p w14:paraId="4386098A" w14:textId="02235510" w:rsidR="00F40F0A" w:rsidRPr="00F40F0A" w:rsidRDefault="00F40F0A" w:rsidP="00F40F0A">
      <w:pPr>
        <w:spacing w:line="240" w:lineRule="auto"/>
        <w:rPr>
          <w:rFonts w:eastAsia="Times New Roman" w:cs="Arial"/>
        </w:rPr>
      </w:pPr>
      <w:r w:rsidRPr="00F40F0A">
        <w:rPr>
          <w:rFonts w:eastAsia="Times New Roman" w:cs="Arial"/>
          <w:i/>
          <w:iCs/>
          <w:color w:val="000000"/>
          <w:lang w:eastAsia="bg-BG"/>
        </w:rPr>
        <w:t>Чернодробно увреждане</w:t>
      </w:r>
    </w:p>
    <w:p w14:paraId="03C85B76" w14:textId="77777777" w:rsidR="00F40F0A" w:rsidRPr="00F40F0A" w:rsidRDefault="00F40F0A" w:rsidP="00F40F0A">
      <w:pPr>
        <w:spacing w:line="240" w:lineRule="auto"/>
        <w:rPr>
          <w:rFonts w:eastAsia="Times New Roman" w:cs="Arial"/>
          <w:color w:val="000000"/>
          <w:lang w:eastAsia="bg-BG"/>
        </w:rPr>
      </w:pPr>
    </w:p>
    <w:p w14:paraId="0828D4EB" w14:textId="5A9AE823" w:rsidR="00F40F0A" w:rsidRPr="00F40F0A" w:rsidRDefault="00F40F0A" w:rsidP="00F40F0A">
      <w:pPr>
        <w:spacing w:line="240" w:lineRule="auto"/>
        <w:rPr>
          <w:rFonts w:eastAsia="Times New Roman" w:cs="Arial"/>
        </w:rPr>
      </w:pPr>
      <w:r w:rsidRPr="00F40F0A">
        <w:rPr>
          <w:rFonts w:eastAsia="Times New Roman" w:cs="Arial"/>
          <w:color w:val="000000"/>
          <w:lang w:eastAsia="bg-BG"/>
        </w:rPr>
        <w:t xml:space="preserve">Ипертазин е противопоказан при пациенти с умерена до тежка чернодробна дисфункция (виж точки 4.3, 4.4 и 5.2). При пациенти с леко чернодробно увреждане (т.е. </w:t>
      </w:r>
      <w:r w:rsidRPr="00F40F0A">
        <w:rPr>
          <w:rFonts w:eastAsia="Times New Roman" w:cs="Arial"/>
          <w:color w:val="000000"/>
          <w:lang w:val="en-US"/>
        </w:rPr>
        <w:t>Child</w:t>
      </w:r>
      <w:r w:rsidRPr="00F40F0A">
        <w:rPr>
          <w:rFonts w:eastAsia="Times New Roman" w:cs="Arial"/>
          <w:color w:val="000000"/>
          <w:lang w:val="ru-RU"/>
        </w:rPr>
        <w:t>-</w:t>
      </w:r>
      <w:r w:rsidRPr="00F40F0A">
        <w:rPr>
          <w:rFonts w:eastAsia="Times New Roman" w:cs="Arial"/>
          <w:color w:val="000000"/>
          <w:lang w:val="en-US"/>
        </w:rPr>
        <w:t>Pugh</w:t>
      </w:r>
      <w:r w:rsidRPr="00F40F0A">
        <w:rPr>
          <w:rFonts w:eastAsia="Times New Roman" w:cs="Arial"/>
          <w:color w:val="000000"/>
          <w:lang w:val="ru-RU"/>
        </w:rPr>
        <w:t xml:space="preserve"> </w:t>
      </w:r>
      <w:r w:rsidRPr="00F40F0A">
        <w:rPr>
          <w:rFonts w:eastAsia="Times New Roman" w:cs="Arial"/>
          <w:color w:val="000000"/>
          <w:lang w:eastAsia="bg-BG"/>
        </w:rPr>
        <w:t>клас А) не е необходимо коригиране на дозата (вж. точка 5.2).</w:t>
      </w:r>
    </w:p>
    <w:p w14:paraId="42AF11CD" w14:textId="77777777" w:rsidR="00F40F0A" w:rsidRPr="00F40F0A" w:rsidRDefault="00F40F0A" w:rsidP="00F40F0A">
      <w:pPr>
        <w:spacing w:line="240" w:lineRule="auto"/>
        <w:rPr>
          <w:rFonts w:eastAsia="Times New Roman" w:cs="Arial"/>
          <w:i/>
          <w:iCs/>
          <w:color w:val="000000"/>
          <w:lang w:eastAsia="bg-BG"/>
        </w:rPr>
      </w:pPr>
    </w:p>
    <w:p w14:paraId="217CF06C" w14:textId="3869820D" w:rsidR="00F40F0A" w:rsidRPr="00F40F0A" w:rsidRDefault="00F40F0A" w:rsidP="00F40F0A">
      <w:pPr>
        <w:spacing w:line="240" w:lineRule="auto"/>
        <w:rPr>
          <w:rFonts w:eastAsia="Times New Roman" w:cs="Arial"/>
        </w:rPr>
      </w:pPr>
      <w:r w:rsidRPr="00F40F0A">
        <w:rPr>
          <w:rFonts w:eastAsia="Times New Roman" w:cs="Arial"/>
          <w:i/>
          <w:iCs/>
          <w:color w:val="000000"/>
          <w:lang w:eastAsia="bg-BG"/>
        </w:rPr>
        <w:t>Бъбречно увреждане</w:t>
      </w:r>
    </w:p>
    <w:p w14:paraId="3BCB0F89" w14:textId="77777777" w:rsidR="00F40F0A" w:rsidRPr="00F40F0A" w:rsidRDefault="00F40F0A" w:rsidP="00F40F0A">
      <w:pPr>
        <w:spacing w:line="240" w:lineRule="auto"/>
        <w:rPr>
          <w:rFonts w:eastAsia="Times New Roman" w:cs="Arial"/>
          <w:color w:val="000000"/>
          <w:lang w:eastAsia="bg-BG"/>
        </w:rPr>
      </w:pPr>
    </w:p>
    <w:p w14:paraId="512029CA" w14:textId="514AC096" w:rsidR="00F40F0A" w:rsidRPr="00F40F0A" w:rsidRDefault="00F40F0A" w:rsidP="00F40F0A">
      <w:pPr>
        <w:spacing w:line="240" w:lineRule="auto"/>
        <w:rPr>
          <w:rFonts w:eastAsia="Times New Roman" w:cs="Arial"/>
        </w:rPr>
      </w:pPr>
      <w:r w:rsidRPr="00F40F0A">
        <w:rPr>
          <w:rFonts w:eastAsia="Times New Roman" w:cs="Arial"/>
          <w:color w:val="000000"/>
          <w:lang w:eastAsia="bg-BG"/>
        </w:rPr>
        <w:t>При пациенти с бъбречно увреждане не се налага коригиране на дозата. Не се налага коригиране на дозата при пациенти, подлежащи на диализа (вж. точка 5.2).</w:t>
      </w:r>
    </w:p>
    <w:p w14:paraId="791ACB9B" w14:textId="77777777" w:rsidR="00F40F0A" w:rsidRPr="00F40F0A" w:rsidRDefault="00F40F0A" w:rsidP="00F40F0A">
      <w:pPr>
        <w:spacing w:line="240" w:lineRule="auto"/>
        <w:rPr>
          <w:rFonts w:eastAsia="Times New Roman" w:cs="Arial"/>
          <w:i/>
          <w:iCs/>
          <w:color w:val="000000"/>
          <w:lang w:eastAsia="bg-BG"/>
        </w:rPr>
      </w:pPr>
    </w:p>
    <w:p w14:paraId="59EFF9F5" w14:textId="781FDAD3" w:rsidR="00F40F0A" w:rsidRPr="00F40F0A" w:rsidRDefault="00F40F0A" w:rsidP="00F40F0A">
      <w:pPr>
        <w:spacing w:line="240" w:lineRule="auto"/>
        <w:rPr>
          <w:rFonts w:eastAsia="Times New Roman" w:cs="Arial"/>
        </w:rPr>
      </w:pPr>
      <w:r w:rsidRPr="00F40F0A">
        <w:rPr>
          <w:rFonts w:eastAsia="Times New Roman" w:cs="Arial"/>
          <w:i/>
          <w:iCs/>
          <w:color w:val="000000"/>
          <w:lang w:eastAsia="bg-BG"/>
        </w:rPr>
        <w:t>Старческа възраст</w:t>
      </w:r>
    </w:p>
    <w:p w14:paraId="2B3B236C" w14:textId="77777777" w:rsidR="00F40F0A" w:rsidRPr="00F40F0A" w:rsidRDefault="00F40F0A" w:rsidP="00F40F0A">
      <w:pPr>
        <w:spacing w:line="240" w:lineRule="auto"/>
        <w:rPr>
          <w:rFonts w:eastAsia="Times New Roman" w:cs="Arial"/>
          <w:i/>
          <w:iCs/>
          <w:color w:val="000000"/>
          <w:lang w:eastAsia="bg-BG"/>
        </w:rPr>
      </w:pPr>
    </w:p>
    <w:p w14:paraId="66550218" w14:textId="7A60FFDE" w:rsidR="00F40F0A" w:rsidRPr="00F40F0A" w:rsidRDefault="00F40F0A" w:rsidP="00F40F0A">
      <w:pPr>
        <w:spacing w:line="240" w:lineRule="auto"/>
        <w:rPr>
          <w:rFonts w:eastAsia="Times New Roman" w:cs="Arial"/>
        </w:rPr>
      </w:pPr>
      <w:r w:rsidRPr="00F40F0A">
        <w:rPr>
          <w:rFonts w:eastAsia="Times New Roman" w:cs="Arial"/>
          <w:i/>
          <w:iCs/>
          <w:color w:val="000000"/>
          <w:lang w:eastAsia="bg-BG"/>
        </w:rPr>
        <w:lastRenderedPageBreak/>
        <w:t>Не</w:t>
      </w:r>
      <w:r w:rsidRPr="00F40F0A">
        <w:rPr>
          <w:rFonts w:eastAsia="Times New Roman" w:cs="Arial"/>
          <w:color w:val="000000"/>
          <w:lang w:eastAsia="bg-BG"/>
        </w:rPr>
        <w:t xml:space="preserve"> се налага корекция на дозата при пациенти на възраст над 65 години.</w:t>
      </w:r>
    </w:p>
    <w:p w14:paraId="4F8F0B27" w14:textId="5291311C" w:rsidR="00F40F0A" w:rsidRPr="00F40F0A" w:rsidRDefault="00F40F0A" w:rsidP="00F40F0A"/>
    <w:p w14:paraId="0F253247" w14:textId="2715EB38" w:rsidR="007122AD" w:rsidRDefault="002C50EE" w:rsidP="00936AD0">
      <w:pPr>
        <w:pStyle w:val="Heading2"/>
      </w:pPr>
      <w:r>
        <w:t>4.3. Противопоказания</w:t>
      </w:r>
    </w:p>
    <w:p w14:paraId="0EED9A57" w14:textId="4C46AAA9" w:rsidR="00F40F0A" w:rsidRDefault="00F40F0A" w:rsidP="00F40F0A"/>
    <w:p w14:paraId="5696B41C" w14:textId="77777777" w:rsidR="00F40F0A" w:rsidRPr="00F40F0A" w:rsidRDefault="00F40F0A" w:rsidP="00F40F0A">
      <w:pPr>
        <w:pStyle w:val="ListParagraph"/>
        <w:numPr>
          <w:ilvl w:val="0"/>
          <w:numId w:val="38"/>
        </w:numPr>
        <w:rPr>
          <w:lang w:eastAsia="bg-BG"/>
        </w:rPr>
      </w:pPr>
      <w:r w:rsidRPr="00F40F0A">
        <w:rPr>
          <w:lang w:eastAsia="bg-BG"/>
        </w:rPr>
        <w:t>Свръхчувствителност към активното вещество или към някое от помощните вещества, изброени в точка 6.1</w:t>
      </w:r>
    </w:p>
    <w:p w14:paraId="6E8882E4" w14:textId="77777777" w:rsidR="00F40F0A" w:rsidRPr="00F40F0A" w:rsidRDefault="00F40F0A" w:rsidP="00F40F0A">
      <w:pPr>
        <w:pStyle w:val="ListParagraph"/>
        <w:numPr>
          <w:ilvl w:val="0"/>
          <w:numId w:val="38"/>
        </w:numPr>
        <w:rPr>
          <w:lang w:eastAsia="bg-BG"/>
        </w:rPr>
      </w:pPr>
      <w:r w:rsidRPr="00F40F0A">
        <w:rPr>
          <w:lang w:eastAsia="bg-BG"/>
        </w:rPr>
        <w:t xml:space="preserve">Умерено до тежко чернодробно увреждане, т.е. </w:t>
      </w:r>
      <w:r w:rsidRPr="00F40F0A">
        <w:rPr>
          <w:lang w:val="en-US"/>
        </w:rPr>
        <w:t>Child</w:t>
      </w:r>
      <w:r w:rsidRPr="00F40F0A">
        <w:rPr>
          <w:lang w:val="ru-RU"/>
        </w:rPr>
        <w:t>-</w:t>
      </w:r>
      <w:r w:rsidRPr="00F40F0A">
        <w:rPr>
          <w:lang w:val="en-US"/>
        </w:rPr>
        <w:t>Pugh</w:t>
      </w:r>
      <w:r w:rsidRPr="00F40F0A">
        <w:rPr>
          <w:lang w:val="ru-RU"/>
        </w:rPr>
        <w:t xml:space="preserve"> </w:t>
      </w:r>
      <w:r w:rsidRPr="00F40F0A">
        <w:rPr>
          <w:lang w:eastAsia="bg-BG"/>
        </w:rPr>
        <w:t>клас В или С (вж. точка 5.2)</w:t>
      </w:r>
    </w:p>
    <w:p w14:paraId="0612542D" w14:textId="77777777" w:rsidR="00F40F0A" w:rsidRPr="00F40F0A" w:rsidRDefault="00F40F0A" w:rsidP="00F40F0A">
      <w:pPr>
        <w:pStyle w:val="ListParagraph"/>
        <w:numPr>
          <w:ilvl w:val="0"/>
          <w:numId w:val="38"/>
        </w:numPr>
        <w:rPr>
          <w:lang w:eastAsia="bg-BG"/>
        </w:rPr>
      </w:pPr>
      <w:r w:rsidRPr="00F40F0A">
        <w:rPr>
          <w:lang w:eastAsia="bg-BG"/>
        </w:rPr>
        <w:t xml:space="preserve">Базови стойности на чернодробните аминотрансферази, т.е., аспартат аминотрансфераза </w:t>
      </w:r>
      <w:r w:rsidRPr="00F40F0A">
        <w:rPr>
          <w:lang w:val="ru-RU"/>
        </w:rPr>
        <w:t>(</w:t>
      </w:r>
      <w:r w:rsidRPr="00F40F0A">
        <w:rPr>
          <w:lang w:val="en-US"/>
        </w:rPr>
        <w:t>AST</w:t>
      </w:r>
      <w:r w:rsidRPr="00F40F0A">
        <w:rPr>
          <w:lang w:val="ru-RU"/>
        </w:rPr>
        <w:t xml:space="preserve">) </w:t>
      </w:r>
      <w:r w:rsidRPr="00F40F0A">
        <w:rPr>
          <w:lang w:eastAsia="bg-BG"/>
        </w:rPr>
        <w:t xml:space="preserve">и / или аланин аминотрансфераза </w:t>
      </w:r>
      <w:r w:rsidRPr="00F40F0A">
        <w:rPr>
          <w:lang w:val="ru-RU"/>
        </w:rPr>
        <w:t>(</w:t>
      </w:r>
      <w:r w:rsidRPr="00F40F0A">
        <w:rPr>
          <w:lang w:val="en-US"/>
        </w:rPr>
        <w:t>ALT</w:t>
      </w:r>
      <w:r w:rsidRPr="00F40F0A">
        <w:rPr>
          <w:lang w:val="ru-RU"/>
        </w:rPr>
        <w:t xml:space="preserve">), </w:t>
      </w:r>
      <w:r w:rsidRPr="00F40F0A">
        <w:rPr>
          <w:lang w:eastAsia="bg-BG"/>
        </w:rPr>
        <w:t>по-голямо от 3 х над горната нормална граница (ГГН; вж. точка 4.4)</w:t>
      </w:r>
    </w:p>
    <w:p w14:paraId="0833F2D4" w14:textId="77777777" w:rsidR="00F40F0A" w:rsidRPr="00F40F0A" w:rsidRDefault="00F40F0A" w:rsidP="00F40F0A">
      <w:pPr>
        <w:pStyle w:val="ListParagraph"/>
        <w:numPr>
          <w:ilvl w:val="0"/>
          <w:numId w:val="38"/>
        </w:numPr>
        <w:rPr>
          <w:lang w:eastAsia="bg-BG"/>
        </w:rPr>
      </w:pPr>
      <w:r w:rsidRPr="00F40F0A">
        <w:rPr>
          <w:lang w:eastAsia="bg-BG"/>
        </w:rPr>
        <w:t>Едновременен прием на циклоспорин А (виж точка 4.5)</w:t>
      </w:r>
    </w:p>
    <w:p w14:paraId="4BF7767F" w14:textId="77777777" w:rsidR="00F40F0A" w:rsidRPr="00F40F0A" w:rsidRDefault="00F40F0A" w:rsidP="00F40F0A">
      <w:pPr>
        <w:pStyle w:val="ListParagraph"/>
        <w:numPr>
          <w:ilvl w:val="0"/>
          <w:numId w:val="38"/>
        </w:numPr>
        <w:rPr>
          <w:lang w:eastAsia="bg-BG"/>
        </w:rPr>
      </w:pPr>
      <w:r w:rsidRPr="00F40F0A">
        <w:rPr>
          <w:lang w:eastAsia="bg-BG"/>
        </w:rPr>
        <w:t>Бременност (вж. точки 4.4 и 4.6).</w:t>
      </w:r>
    </w:p>
    <w:p w14:paraId="6F89CAEA" w14:textId="77777777" w:rsidR="00F40F0A" w:rsidRPr="00F40F0A" w:rsidRDefault="00F40F0A" w:rsidP="00F40F0A">
      <w:pPr>
        <w:pStyle w:val="ListParagraph"/>
        <w:numPr>
          <w:ilvl w:val="0"/>
          <w:numId w:val="38"/>
        </w:numPr>
        <w:rPr>
          <w:lang w:eastAsia="bg-BG"/>
        </w:rPr>
      </w:pPr>
      <w:r w:rsidRPr="00F40F0A">
        <w:rPr>
          <w:lang w:eastAsia="bg-BG"/>
        </w:rPr>
        <w:t>Жени с детероден потенциал, които не използват надеждни методи за контрацепция (вж. точки 4.4, 4.5 и 4.6)</w:t>
      </w:r>
    </w:p>
    <w:p w14:paraId="4E0DF1EE" w14:textId="77777777" w:rsidR="00F40F0A" w:rsidRPr="00F40F0A" w:rsidRDefault="00F40F0A" w:rsidP="00F40F0A"/>
    <w:p w14:paraId="0E0BDCC7" w14:textId="638580CE" w:rsidR="007122AD" w:rsidRDefault="002C50EE" w:rsidP="00936AD0">
      <w:pPr>
        <w:pStyle w:val="Heading2"/>
      </w:pPr>
      <w:r>
        <w:t>4.4. Специални предупреждения и предпазни мерки при употреба</w:t>
      </w:r>
    </w:p>
    <w:p w14:paraId="13AB4EA2" w14:textId="2DF450A1" w:rsidR="00F40F0A" w:rsidRDefault="00F40F0A" w:rsidP="00F40F0A"/>
    <w:p w14:paraId="67094647" w14:textId="77777777"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lang w:eastAsia="bg-BG"/>
        </w:rPr>
        <w:t>Ефикасността на Ипертазин при пациенти с тежка БАХ не е доказана. Ако клиничното състояние се влошава (вж. точка 4.2), трябва да се обсъди преминаване към терапия, препоръчвана за тежката фаза на заболяването (например, епопростенол).</w:t>
      </w:r>
    </w:p>
    <w:p w14:paraId="7247B8D1" w14:textId="77777777" w:rsidR="00F40F0A" w:rsidRPr="00F40F0A" w:rsidRDefault="00F40F0A" w:rsidP="00F40F0A">
      <w:pPr>
        <w:spacing w:line="240" w:lineRule="auto"/>
        <w:rPr>
          <w:rFonts w:eastAsia="Times New Roman" w:cs="Arial"/>
          <w:color w:val="000000"/>
          <w:szCs w:val="20"/>
          <w:lang w:eastAsia="bg-BG"/>
        </w:rPr>
      </w:pPr>
    </w:p>
    <w:p w14:paraId="69DA0974" w14:textId="2C8480A3"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lang w:eastAsia="bg-BG"/>
        </w:rPr>
        <w:t>Не е установен балансът полза/риск от бозентан при пациенти с БАХ I функционален клас, според класификацията на СЗО.</w:t>
      </w:r>
    </w:p>
    <w:p w14:paraId="7F5495A3" w14:textId="77777777" w:rsidR="00F40F0A" w:rsidRPr="00F40F0A" w:rsidRDefault="00F40F0A" w:rsidP="00F40F0A">
      <w:pPr>
        <w:spacing w:line="240" w:lineRule="auto"/>
        <w:rPr>
          <w:rFonts w:eastAsia="Times New Roman" w:cs="Arial"/>
          <w:color w:val="000000"/>
          <w:szCs w:val="20"/>
          <w:lang w:eastAsia="bg-BG"/>
        </w:rPr>
      </w:pPr>
    </w:p>
    <w:p w14:paraId="6CA9840D" w14:textId="448A0E54"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lang w:eastAsia="bg-BG"/>
        </w:rPr>
        <w:t xml:space="preserve">Ипертазин трябва да се приема само ако системното систолично кръвно налягане е по-високо от 85 </w:t>
      </w:r>
      <w:r w:rsidRPr="00F40F0A">
        <w:rPr>
          <w:rFonts w:eastAsia="Times New Roman" w:cs="Arial"/>
          <w:color w:val="000000"/>
          <w:szCs w:val="20"/>
          <w:lang w:val="en-US"/>
        </w:rPr>
        <w:t>mmHg</w:t>
      </w:r>
      <w:r w:rsidRPr="00F40F0A">
        <w:rPr>
          <w:rFonts w:eastAsia="Times New Roman" w:cs="Arial"/>
          <w:color w:val="000000"/>
          <w:szCs w:val="20"/>
          <w:lang w:val="ru-RU"/>
        </w:rPr>
        <w:t>.</w:t>
      </w:r>
    </w:p>
    <w:p w14:paraId="1B649B2C" w14:textId="77777777" w:rsidR="00F40F0A" w:rsidRPr="00F40F0A" w:rsidRDefault="00F40F0A" w:rsidP="00F40F0A">
      <w:pPr>
        <w:spacing w:line="240" w:lineRule="auto"/>
        <w:rPr>
          <w:rFonts w:eastAsia="Times New Roman" w:cs="Arial"/>
          <w:color w:val="000000"/>
          <w:szCs w:val="20"/>
          <w:lang w:eastAsia="bg-BG"/>
        </w:rPr>
      </w:pPr>
    </w:p>
    <w:p w14:paraId="3E3BC98E" w14:textId="6AFD8858"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lang w:eastAsia="bg-BG"/>
        </w:rPr>
        <w:t>Не е доказано, че Ипертазин има благоприятен оздравителен ефект върху съществуващи дактилни язви.</w:t>
      </w:r>
    </w:p>
    <w:p w14:paraId="3BFFEEEB" w14:textId="77777777" w:rsidR="00F40F0A" w:rsidRPr="00F40F0A" w:rsidRDefault="00F40F0A" w:rsidP="00F40F0A">
      <w:pPr>
        <w:spacing w:line="240" w:lineRule="auto"/>
        <w:rPr>
          <w:rFonts w:eastAsia="Times New Roman" w:cs="Arial"/>
          <w:color w:val="000000"/>
          <w:szCs w:val="20"/>
          <w:u w:val="single"/>
          <w:lang w:eastAsia="bg-BG"/>
        </w:rPr>
      </w:pPr>
    </w:p>
    <w:p w14:paraId="16B0168B" w14:textId="7DA19C8E"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u w:val="single"/>
          <w:lang w:eastAsia="bg-BG"/>
        </w:rPr>
        <w:t>Чернодробна функция</w:t>
      </w:r>
    </w:p>
    <w:p w14:paraId="3EA1F553" w14:textId="77777777" w:rsidR="00F40F0A" w:rsidRPr="00F40F0A" w:rsidRDefault="00F40F0A" w:rsidP="00F40F0A">
      <w:pPr>
        <w:spacing w:line="240" w:lineRule="auto"/>
        <w:rPr>
          <w:rFonts w:eastAsia="Times New Roman" w:cs="Arial"/>
          <w:color w:val="000000"/>
          <w:szCs w:val="20"/>
          <w:lang w:eastAsia="bg-BG"/>
        </w:rPr>
      </w:pPr>
    </w:p>
    <w:p w14:paraId="7C5D90AF" w14:textId="647D869C"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lang w:eastAsia="bg-BG"/>
        </w:rPr>
        <w:t xml:space="preserve">Свързаното с бозентан повишаване на чернодробните аминотрансферази, т.е., аспартат и аланин аминотрансферази </w:t>
      </w:r>
      <w:r w:rsidRPr="00F40F0A">
        <w:rPr>
          <w:rFonts w:eastAsia="Times New Roman" w:cs="Arial"/>
          <w:color w:val="000000"/>
          <w:szCs w:val="20"/>
          <w:lang w:val="ru-RU"/>
        </w:rPr>
        <w:t>(</w:t>
      </w:r>
      <w:r w:rsidRPr="00F40F0A">
        <w:rPr>
          <w:rFonts w:eastAsia="Times New Roman" w:cs="Arial"/>
          <w:color w:val="000000"/>
          <w:szCs w:val="20"/>
          <w:lang w:val="en-US"/>
        </w:rPr>
        <w:t>AST</w:t>
      </w:r>
      <w:r w:rsidRPr="00F40F0A">
        <w:rPr>
          <w:rFonts w:eastAsia="Times New Roman" w:cs="Arial"/>
          <w:color w:val="000000"/>
          <w:szCs w:val="20"/>
          <w:lang w:val="ru-RU"/>
        </w:rPr>
        <w:t xml:space="preserve"> </w:t>
      </w:r>
      <w:r w:rsidRPr="00F40F0A">
        <w:rPr>
          <w:rFonts w:eastAsia="Times New Roman" w:cs="Arial"/>
          <w:color w:val="000000"/>
          <w:szCs w:val="20"/>
          <w:lang w:eastAsia="bg-BG"/>
        </w:rPr>
        <w:t xml:space="preserve">и/или </w:t>
      </w:r>
      <w:r w:rsidRPr="00F40F0A">
        <w:rPr>
          <w:rFonts w:eastAsia="Times New Roman" w:cs="Arial"/>
          <w:color w:val="000000"/>
          <w:szCs w:val="20"/>
          <w:lang w:val="en-US"/>
        </w:rPr>
        <w:t>ALT</w:t>
      </w:r>
      <w:r w:rsidRPr="00F40F0A">
        <w:rPr>
          <w:rFonts w:eastAsia="Times New Roman" w:cs="Arial"/>
          <w:color w:val="000000"/>
          <w:szCs w:val="20"/>
          <w:lang w:val="ru-RU"/>
        </w:rPr>
        <w:t xml:space="preserve">), </w:t>
      </w:r>
      <w:r w:rsidRPr="00F40F0A">
        <w:rPr>
          <w:rFonts w:eastAsia="Times New Roman" w:cs="Arial"/>
          <w:color w:val="000000"/>
          <w:szCs w:val="20"/>
          <w:lang w:eastAsia="bg-BG"/>
        </w:rPr>
        <w:t>е дозозависимо. Промените в чернодробните ензими обикновено възникват през първите 16 седмици от лечението (вж. точка 4.8). Тези покачвания може да се дължат частично на конкурентното потискане на елиминацията на жлъчните соли от хепатоцитите, но вероятно във възникването на чернодробната дисфункция са включени и други механизми, които не са напълно установени. Не е изключена акумулацията на бозентан в хепатоцитите, водеща до цитолиза с възможно тежко увреждане на черния дроб, както и имунологичен механизъм. Рискът от чернодробна дисфункция може да се повиши и при едновременното приемане с бозентан на лекарствени продукти, които са инхибитори на експортната помпа за жлъчни соли, например, рифампицин, глибенкламцд и циклоспорин А (вж. точки 4.3 и 4.5), но данните за това са ограничени.</w:t>
      </w:r>
    </w:p>
    <w:p w14:paraId="10C5F7AC" w14:textId="68591B48" w:rsidR="00F40F0A" w:rsidRDefault="00F40F0A" w:rsidP="00F40F0A"/>
    <w:tbl>
      <w:tblPr>
        <w:tblStyle w:val="TableGrid"/>
        <w:tblW w:w="0" w:type="auto"/>
        <w:tblLook w:val="04A0" w:firstRow="1" w:lastRow="0" w:firstColumn="1" w:lastColumn="0" w:noHBand="0" w:noVBand="1"/>
      </w:tblPr>
      <w:tblGrid>
        <w:gridCol w:w="4651"/>
        <w:gridCol w:w="4699"/>
      </w:tblGrid>
      <w:tr w:rsidR="00F40F0A" w14:paraId="7FA839E1" w14:textId="77777777" w:rsidTr="00BF5B0D">
        <w:tc>
          <w:tcPr>
            <w:tcW w:w="9576" w:type="dxa"/>
            <w:gridSpan w:val="2"/>
            <w:vAlign w:val="bottom"/>
          </w:tcPr>
          <w:p w14:paraId="3279A47E" w14:textId="5C9F5888" w:rsidR="00F40F0A" w:rsidRPr="00F40F0A" w:rsidRDefault="00F40F0A" w:rsidP="00F40F0A">
            <w:pPr>
              <w:rPr>
                <w:rFonts w:cs="Arial"/>
              </w:rPr>
            </w:pPr>
            <w:r w:rsidRPr="00F40F0A">
              <w:rPr>
                <w:rFonts w:cs="Arial"/>
                <w:bCs/>
              </w:rPr>
              <w:t xml:space="preserve">Нивата на чернодробните трансаминази трябва да се измерват преди започване на лечението, а след това на всеки един месец, за срока на лечението с Ипертазин. Освен </w:t>
            </w:r>
            <w:r w:rsidRPr="00F40F0A">
              <w:rPr>
                <w:rFonts w:cs="Arial"/>
                <w:bCs/>
              </w:rPr>
              <w:lastRenderedPageBreak/>
              <w:t>това, нивата на чернодробните трансаминази трябва да се измерват 2 седмици след всяко увеличение на дозата.</w:t>
            </w:r>
          </w:p>
        </w:tc>
      </w:tr>
      <w:tr w:rsidR="00F40F0A" w14:paraId="109D96F1" w14:textId="77777777" w:rsidTr="00BF5B0D">
        <w:tc>
          <w:tcPr>
            <w:tcW w:w="9576" w:type="dxa"/>
            <w:gridSpan w:val="2"/>
            <w:vAlign w:val="center"/>
          </w:tcPr>
          <w:p w14:paraId="5F2103D9" w14:textId="6814303F" w:rsidR="00F40F0A" w:rsidRPr="00F40F0A" w:rsidRDefault="00F40F0A" w:rsidP="00F40F0A">
            <w:pPr>
              <w:rPr>
                <w:rFonts w:cs="Arial"/>
              </w:rPr>
            </w:pPr>
            <w:r w:rsidRPr="00F40F0A">
              <w:rPr>
                <w:rFonts w:cs="Arial"/>
                <w:bCs/>
                <w:u w:val="single"/>
              </w:rPr>
              <w:lastRenderedPageBreak/>
              <w:t xml:space="preserve">Препоръки в случай на повишаване на </w:t>
            </w:r>
            <w:r w:rsidRPr="00F40F0A">
              <w:rPr>
                <w:rFonts w:cs="Arial"/>
                <w:bCs/>
                <w:u w:val="single"/>
                <w:lang w:val="en-US"/>
              </w:rPr>
              <w:t>ALT</w:t>
            </w:r>
            <w:r w:rsidRPr="00F40F0A">
              <w:rPr>
                <w:rFonts w:cs="Arial"/>
                <w:bCs/>
                <w:u w:val="single"/>
                <w:lang w:val="ru-RU"/>
              </w:rPr>
              <w:t xml:space="preserve"> </w:t>
            </w:r>
            <w:r w:rsidRPr="00F40F0A">
              <w:rPr>
                <w:rFonts w:cs="Arial"/>
                <w:bCs/>
                <w:u w:val="single"/>
              </w:rPr>
              <w:t>/ АСАТ</w:t>
            </w:r>
          </w:p>
        </w:tc>
      </w:tr>
      <w:tr w:rsidR="00F40F0A" w14:paraId="724E01FC" w14:textId="77777777" w:rsidTr="00BF5B0D">
        <w:tc>
          <w:tcPr>
            <w:tcW w:w="4788" w:type="dxa"/>
            <w:vAlign w:val="bottom"/>
          </w:tcPr>
          <w:p w14:paraId="08B45FBD" w14:textId="59182FD8" w:rsidR="00F40F0A" w:rsidRPr="00F40F0A" w:rsidRDefault="00F40F0A" w:rsidP="00F40F0A">
            <w:pPr>
              <w:rPr>
                <w:rFonts w:cs="Arial"/>
              </w:rPr>
            </w:pPr>
            <w:r w:rsidRPr="00F40F0A">
              <w:rPr>
                <w:rFonts w:cs="Arial"/>
                <w:b/>
                <w:bCs/>
              </w:rPr>
              <w:t xml:space="preserve">Нива на </w:t>
            </w:r>
            <w:r w:rsidRPr="00F40F0A">
              <w:rPr>
                <w:rFonts w:cs="Arial"/>
                <w:b/>
                <w:bCs/>
                <w:lang w:val="en-US"/>
              </w:rPr>
              <w:t>ALT/AST</w:t>
            </w:r>
          </w:p>
        </w:tc>
        <w:tc>
          <w:tcPr>
            <w:tcW w:w="4788" w:type="dxa"/>
            <w:vAlign w:val="bottom"/>
          </w:tcPr>
          <w:p w14:paraId="0AC99461" w14:textId="0FF051AE" w:rsidR="00F40F0A" w:rsidRPr="00F40F0A" w:rsidRDefault="00F40F0A" w:rsidP="00F40F0A">
            <w:pPr>
              <w:rPr>
                <w:rFonts w:cs="Arial"/>
              </w:rPr>
            </w:pPr>
            <w:r w:rsidRPr="00F40F0A">
              <w:rPr>
                <w:rFonts w:cs="Arial"/>
                <w:b/>
                <w:bCs/>
              </w:rPr>
              <w:t xml:space="preserve">Препоръки за лечение </w:t>
            </w:r>
            <w:r w:rsidRPr="00F40F0A">
              <w:rPr>
                <w:rFonts w:cs="Arial"/>
                <w:b/>
                <w:bCs/>
                <w:i/>
                <w:iCs/>
              </w:rPr>
              <w:t>и</w:t>
            </w:r>
            <w:r w:rsidRPr="00F40F0A">
              <w:rPr>
                <w:rFonts w:cs="Arial"/>
                <w:b/>
                <w:bCs/>
              </w:rPr>
              <w:t xml:space="preserve"> проследяване</w:t>
            </w:r>
          </w:p>
        </w:tc>
      </w:tr>
      <w:tr w:rsidR="00F40F0A" w14:paraId="652B6A7D" w14:textId="77777777" w:rsidTr="00BF5B0D">
        <w:tc>
          <w:tcPr>
            <w:tcW w:w="4788" w:type="dxa"/>
          </w:tcPr>
          <w:p w14:paraId="35AF1BF4" w14:textId="117A3C62" w:rsidR="00F40F0A" w:rsidRPr="00F40F0A" w:rsidRDefault="00F40F0A" w:rsidP="00F40F0A">
            <w:pPr>
              <w:rPr>
                <w:rFonts w:cs="Arial"/>
              </w:rPr>
            </w:pPr>
            <w:r w:rsidRPr="00F40F0A">
              <w:rPr>
                <w:rFonts w:cs="Arial"/>
              </w:rPr>
              <w:t xml:space="preserve">&gt; 3 и &lt; 5 х </w:t>
            </w:r>
            <w:r w:rsidRPr="00F40F0A">
              <w:rPr>
                <w:rFonts w:cs="Arial"/>
                <w:lang w:val="en-US"/>
              </w:rPr>
              <w:t>ULN</w:t>
            </w:r>
          </w:p>
        </w:tc>
        <w:tc>
          <w:tcPr>
            <w:tcW w:w="4788" w:type="dxa"/>
            <w:vAlign w:val="bottom"/>
          </w:tcPr>
          <w:p w14:paraId="19D03FC7" w14:textId="196B299C" w:rsidR="00F40F0A" w:rsidRPr="00F40F0A" w:rsidRDefault="00F40F0A" w:rsidP="00F40F0A">
            <w:pPr>
              <w:rPr>
                <w:rFonts w:cs="Arial"/>
              </w:rPr>
            </w:pPr>
            <w:r w:rsidRPr="00F40F0A">
              <w:rPr>
                <w:rFonts w:cs="Arial"/>
              </w:rPr>
              <w:t>Резултатът трябва да бъде потвърден с второ чернодробно изследване; ако е потвърдено, трябва да се реши, на индивидуална база, дали да се продължи по възможност с намалена доза Ипертазин или да се спре прилагането на Ипертазин (вж. точка 4.2). Проследяването на нивата на аминотрансферазите трябва да продължи най-малко на всеки 2 седмици. Ако нивата на аминотрансферазите се върнат до стойностите преди лечението, трябва да се обсъди продължаването или повторното включване на Ипертазин, според описаните по-долу условия.</w:t>
            </w:r>
          </w:p>
        </w:tc>
      </w:tr>
      <w:tr w:rsidR="00F40F0A" w14:paraId="1C1A641D" w14:textId="77777777" w:rsidTr="00BF5B0D">
        <w:tc>
          <w:tcPr>
            <w:tcW w:w="4788" w:type="dxa"/>
          </w:tcPr>
          <w:p w14:paraId="4DA13C43" w14:textId="3F280D61" w:rsidR="00F40F0A" w:rsidRPr="00F40F0A" w:rsidRDefault="00F40F0A" w:rsidP="00F40F0A">
            <w:pPr>
              <w:rPr>
                <w:rFonts w:cs="Arial"/>
              </w:rPr>
            </w:pPr>
            <w:r w:rsidRPr="00F40F0A">
              <w:rPr>
                <w:rFonts w:cs="Arial"/>
              </w:rPr>
              <w:t xml:space="preserve">&gt; 5 </w:t>
            </w:r>
            <w:r w:rsidRPr="00F40F0A">
              <w:rPr>
                <w:rFonts w:cs="Arial"/>
                <w:lang w:val="en-US"/>
              </w:rPr>
              <w:t xml:space="preserve">and </w:t>
            </w:r>
            <w:r w:rsidRPr="00F40F0A">
              <w:rPr>
                <w:rFonts w:cs="Arial"/>
              </w:rPr>
              <w:t xml:space="preserve">≤ 8 х </w:t>
            </w:r>
            <w:r w:rsidRPr="00F40F0A">
              <w:rPr>
                <w:rFonts w:cs="Arial"/>
                <w:lang w:val="en-US"/>
              </w:rPr>
              <w:t>(JLN</w:t>
            </w:r>
          </w:p>
        </w:tc>
        <w:tc>
          <w:tcPr>
            <w:tcW w:w="4788" w:type="dxa"/>
            <w:vAlign w:val="bottom"/>
          </w:tcPr>
          <w:p w14:paraId="3D91C409" w14:textId="7E96158E" w:rsidR="00F40F0A" w:rsidRPr="00F40F0A" w:rsidRDefault="00F40F0A" w:rsidP="00F40F0A">
            <w:pPr>
              <w:rPr>
                <w:rFonts w:cs="Arial"/>
              </w:rPr>
            </w:pPr>
            <w:r w:rsidRPr="00F40F0A">
              <w:rPr>
                <w:rFonts w:cs="Arial"/>
              </w:rPr>
              <w:t>Резултатът трябва да бъде потвърден с второ чернодробно изследване; ако е потвърдено, лечението трябва да се спре и нивата на аминотрансферазите да се проследяват най-малко на всеки 2 седмици. Ако нивата на аминотрансферазите се върнат до стойностите преди лечението, трябва да се обсъди повторното включване на Ипертазин, според описаните по-долу условия.</w:t>
            </w:r>
          </w:p>
        </w:tc>
      </w:tr>
      <w:tr w:rsidR="00F40F0A" w14:paraId="4B669709" w14:textId="77777777" w:rsidTr="00F40F0A">
        <w:tc>
          <w:tcPr>
            <w:tcW w:w="4788" w:type="dxa"/>
          </w:tcPr>
          <w:p w14:paraId="3B7F7404" w14:textId="5EC5E830" w:rsidR="00F40F0A" w:rsidRPr="00F40F0A" w:rsidRDefault="00F40F0A" w:rsidP="00F40F0A">
            <w:pPr>
              <w:rPr>
                <w:rFonts w:cs="Arial"/>
              </w:rPr>
            </w:pPr>
            <w:r w:rsidRPr="00F40F0A">
              <w:rPr>
                <w:rFonts w:cs="Arial"/>
              </w:rPr>
              <w:t xml:space="preserve">&gt; 8 х </w:t>
            </w:r>
            <w:r w:rsidRPr="00F40F0A">
              <w:rPr>
                <w:rFonts w:cs="Arial"/>
                <w:lang w:val="en-US"/>
              </w:rPr>
              <w:t>ULN</w:t>
            </w:r>
          </w:p>
        </w:tc>
        <w:tc>
          <w:tcPr>
            <w:tcW w:w="4788" w:type="dxa"/>
          </w:tcPr>
          <w:p w14:paraId="2392A23C" w14:textId="69696029" w:rsidR="00F40F0A" w:rsidRPr="00F40F0A" w:rsidRDefault="00F40F0A" w:rsidP="00F40F0A">
            <w:pPr>
              <w:rPr>
                <w:rFonts w:cs="Arial"/>
              </w:rPr>
            </w:pPr>
            <w:r w:rsidRPr="00F40F0A">
              <w:rPr>
                <w:rFonts w:cs="Arial"/>
              </w:rPr>
              <w:t>Лечението трябва да бъде прекратено без да се обсъжда повторно включване на Ипертазин.</w:t>
            </w:r>
          </w:p>
        </w:tc>
      </w:tr>
      <w:tr w:rsidR="00F40F0A" w14:paraId="047BD3CE" w14:textId="77777777" w:rsidTr="00BF5B0D">
        <w:tc>
          <w:tcPr>
            <w:tcW w:w="9576" w:type="dxa"/>
            <w:gridSpan w:val="2"/>
          </w:tcPr>
          <w:p w14:paraId="269385AC" w14:textId="0ED09A83" w:rsidR="00F40F0A" w:rsidRPr="00F40F0A" w:rsidRDefault="00F40F0A" w:rsidP="00F40F0A">
            <w:pPr>
              <w:rPr>
                <w:rFonts w:cs="Arial"/>
              </w:rPr>
            </w:pPr>
            <w:r w:rsidRPr="00F40F0A">
              <w:rPr>
                <w:rFonts w:cs="Arial"/>
                <w:b/>
                <w:bCs/>
              </w:rPr>
              <w:t xml:space="preserve">В случаи на свързана с лечението клинична симптоматика на чернодробно увреждане т.е. </w:t>
            </w:r>
            <w:r w:rsidRPr="00F40F0A">
              <w:rPr>
                <w:rFonts w:cs="Arial"/>
              </w:rPr>
              <w:t xml:space="preserve">гадене, повръщане, температура, болка в корема, жълтеница, необичайна отпуснатост или </w:t>
            </w:r>
            <w:r w:rsidRPr="00F40F0A">
              <w:rPr>
                <w:rFonts w:eastAsia="Times New Roman" w:cs="Arial"/>
                <w:color w:val="000000"/>
                <w:lang w:eastAsia="bg-BG"/>
              </w:rPr>
              <w:t xml:space="preserve">уморяемост, грипоподобен синдром (артралгия, миалгия, температура), </w:t>
            </w:r>
            <w:r w:rsidRPr="00F40F0A">
              <w:rPr>
                <w:rFonts w:eastAsia="Times New Roman" w:cs="Arial"/>
                <w:b/>
                <w:bCs/>
                <w:color w:val="000000"/>
                <w:lang w:eastAsia="bg-BG"/>
              </w:rPr>
              <w:t>лечението трябва да бъде спряно и да не се обсъжда повторно включване на Ипертазин.</w:t>
            </w:r>
          </w:p>
        </w:tc>
      </w:tr>
      <w:tr w:rsidR="00F40F0A" w14:paraId="79175A54" w14:textId="77777777" w:rsidTr="00BF5B0D">
        <w:tc>
          <w:tcPr>
            <w:tcW w:w="9576" w:type="dxa"/>
            <w:gridSpan w:val="2"/>
          </w:tcPr>
          <w:p w14:paraId="1BBD7523" w14:textId="77777777" w:rsidR="00F40F0A" w:rsidRPr="00F40F0A" w:rsidRDefault="00F40F0A" w:rsidP="00F40F0A">
            <w:pPr>
              <w:spacing w:line="240" w:lineRule="auto"/>
              <w:rPr>
                <w:rFonts w:eastAsia="Times New Roman" w:cs="Arial"/>
              </w:rPr>
            </w:pPr>
            <w:r w:rsidRPr="00F40F0A">
              <w:rPr>
                <w:rFonts w:eastAsia="Times New Roman" w:cs="Arial"/>
                <w:i/>
                <w:iCs/>
                <w:color w:val="000000"/>
                <w:u w:val="single"/>
                <w:lang w:eastAsia="bg-BG"/>
              </w:rPr>
              <w:t>Повторно включване на лечението</w:t>
            </w:r>
          </w:p>
          <w:p w14:paraId="4E436F4B" w14:textId="77777777" w:rsidR="00F40F0A" w:rsidRPr="00F40F0A" w:rsidRDefault="00F40F0A" w:rsidP="00F40F0A">
            <w:pPr>
              <w:spacing w:line="240" w:lineRule="auto"/>
              <w:rPr>
                <w:rFonts w:eastAsia="Times New Roman" w:cs="Arial"/>
              </w:rPr>
            </w:pPr>
            <w:r w:rsidRPr="00F40F0A">
              <w:rPr>
                <w:rFonts w:eastAsia="Times New Roman" w:cs="Arial"/>
                <w:color w:val="000000"/>
                <w:lang w:eastAsia="bg-BG"/>
              </w:rPr>
              <w:t>Повторно включване на лечението с Ипертазин трябва да се обсъжда, само ако потенциалните ползи от чернодробните аминотрансферази са в рамките на стойностите преди лечението. Препоръчително е мнението на хепатолог. Повторното включване трябва да следва указанията, изброени в точка 4.2.</w:t>
            </w:r>
          </w:p>
          <w:p w14:paraId="4FDD551F" w14:textId="0C117733" w:rsidR="00F40F0A" w:rsidRPr="00F40F0A" w:rsidRDefault="00F40F0A" w:rsidP="00F40F0A">
            <w:pPr>
              <w:rPr>
                <w:rFonts w:cs="Arial"/>
              </w:rPr>
            </w:pPr>
            <w:r w:rsidRPr="00F40F0A">
              <w:rPr>
                <w:rFonts w:eastAsia="Times New Roman" w:cs="Arial"/>
                <w:b/>
                <w:bCs/>
                <w:color w:val="000000"/>
                <w:lang w:eastAsia="bg-BG"/>
              </w:rPr>
              <w:t>В този случай нивата на аминотрансферазите трябва да бъдат изследвани до 3 дни след повторното включване, след това отново след още 2 седмици и по-нагагьк според горните препоръки.</w:t>
            </w:r>
          </w:p>
        </w:tc>
      </w:tr>
    </w:tbl>
    <w:p w14:paraId="2DF9E2D2" w14:textId="77777777"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lang w:eastAsia="bg-BG"/>
        </w:rPr>
        <w:t>(ГТН) =Горна граница на норма</w:t>
      </w:r>
    </w:p>
    <w:p w14:paraId="5A13C6BE" w14:textId="77777777" w:rsidR="00F40F0A" w:rsidRPr="00F40F0A" w:rsidRDefault="00F40F0A" w:rsidP="00F40F0A">
      <w:pPr>
        <w:spacing w:line="240" w:lineRule="auto"/>
        <w:rPr>
          <w:rFonts w:eastAsia="Times New Roman" w:cs="Arial"/>
          <w:color w:val="000000"/>
          <w:szCs w:val="20"/>
          <w:u w:val="single"/>
          <w:lang w:eastAsia="bg-BG"/>
        </w:rPr>
      </w:pPr>
    </w:p>
    <w:p w14:paraId="667F4FCE" w14:textId="6279147C"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u w:val="single"/>
          <w:lang w:eastAsia="bg-BG"/>
        </w:rPr>
        <w:t>Концентрации на хемоглобин</w:t>
      </w:r>
    </w:p>
    <w:p w14:paraId="327F8E0B" w14:textId="77777777" w:rsidR="00F40F0A" w:rsidRDefault="00F40F0A" w:rsidP="00F40F0A">
      <w:pPr>
        <w:spacing w:line="240" w:lineRule="auto"/>
        <w:rPr>
          <w:rFonts w:ascii="Times New Roman" w:eastAsia="Times New Roman" w:hAnsi="Times New Roman" w:cs="Times New Roman"/>
          <w:color w:val="000000"/>
          <w:sz w:val="20"/>
          <w:szCs w:val="20"/>
          <w:lang w:eastAsia="bg-BG"/>
        </w:rPr>
      </w:pPr>
    </w:p>
    <w:p w14:paraId="3D25708C" w14:textId="33F3FEB7"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lang w:eastAsia="bg-BG"/>
        </w:rPr>
        <w:t>Лечението с бозентан е било свързано с дозозависимо понижение на концентрацията на хемоглобина (вж. точка 4.8). При плацебо контролирани проучвания, свързаното с бозентан понижение на концентрацията на хемоглобина не се е задълбочавало, а се е стабилизирало след първите 4-12 седмици от лечението. Препоръчва се концентрацията на хемоглобина да се изследва преди започване на лечението, всеки месец през първите 4 месеца, след което веднъж на три месеца. Ако възникне клинично значимо понижение на хемоглобиновата концентрация, трябва да се направи допълнителна оценка и изследване за установяване на причината и необходимостта от специфично лечение. В периода след пускане на пазара, се съобщава за случаи на анемия, която изисква вливане на червени кръвни клетки (вж. точка 4.8).</w:t>
      </w:r>
    </w:p>
    <w:p w14:paraId="279E3522" w14:textId="77777777" w:rsidR="00F40F0A" w:rsidRPr="00F40F0A" w:rsidRDefault="00F40F0A" w:rsidP="00F40F0A">
      <w:pPr>
        <w:spacing w:line="240" w:lineRule="auto"/>
        <w:rPr>
          <w:rFonts w:eastAsia="Times New Roman" w:cs="Arial"/>
          <w:color w:val="000000"/>
          <w:szCs w:val="20"/>
          <w:u w:val="single"/>
          <w:lang w:eastAsia="bg-BG"/>
        </w:rPr>
      </w:pPr>
    </w:p>
    <w:p w14:paraId="605B751D" w14:textId="43BC3DDE"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u w:val="single"/>
          <w:lang w:eastAsia="bg-BG"/>
        </w:rPr>
        <w:t>Жени с детероден потенциал</w:t>
      </w:r>
    </w:p>
    <w:p w14:paraId="3581D958" w14:textId="77777777" w:rsidR="00F40F0A" w:rsidRPr="00F40F0A" w:rsidRDefault="00F40F0A" w:rsidP="00F40F0A">
      <w:pPr>
        <w:spacing w:line="240" w:lineRule="auto"/>
        <w:rPr>
          <w:rFonts w:eastAsia="Times New Roman" w:cs="Arial"/>
          <w:color w:val="000000"/>
          <w:szCs w:val="20"/>
          <w:lang w:eastAsia="bg-BG"/>
        </w:rPr>
      </w:pPr>
    </w:p>
    <w:p w14:paraId="09C19FCF" w14:textId="641C875D" w:rsidR="00F40F0A" w:rsidRPr="00F40F0A" w:rsidRDefault="00F40F0A" w:rsidP="00F40F0A">
      <w:pPr>
        <w:spacing w:line="240" w:lineRule="auto"/>
        <w:rPr>
          <w:rFonts w:eastAsia="Times New Roman" w:cs="Arial"/>
          <w:color w:val="000000"/>
          <w:szCs w:val="20"/>
          <w:lang w:eastAsia="bg-BG"/>
        </w:rPr>
      </w:pPr>
      <w:r w:rsidRPr="00F40F0A">
        <w:rPr>
          <w:rFonts w:eastAsia="Times New Roman" w:cs="Arial"/>
          <w:color w:val="000000"/>
          <w:szCs w:val="20"/>
          <w:lang w:eastAsia="bg-BG"/>
        </w:rPr>
        <w:t xml:space="preserve">Тъй като Ипертазин може да направи хормоналните контрацептиви неефективни, освен това съществува </w:t>
      </w:r>
    </w:p>
    <w:p w14:paraId="2FA8B39A" w14:textId="7B6917C3"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lang w:eastAsia="bg-BG"/>
        </w:rPr>
        <w:t>риск от влошаване на белодробната хипертония при бременност, както и тератогенните ефекти, наблюдавани при животни:</w:t>
      </w:r>
    </w:p>
    <w:p w14:paraId="5F8DD186" w14:textId="77777777" w:rsidR="00F40F0A" w:rsidRPr="00F40F0A" w:rsidRDefault="00F40F0A" w:rsidP="00F40F0A">
      <w:pPr>
        <w:pStyle w:val="ListParagraph"/>
        <w:numPr>
          <w:ilvl w:val="0"/>
          <w:numId w:val="39"/>
        </w:numPr>
        <w:spacing w:line="240" w:lineRule="auto"/>
        <w:rPr>
          <w:rFonts w:eastAsia="Times New Roman" w:cs="Arial"/>
          <w:color w:val="000000"/>
          <w:szCs w:val="20"/>
          <w:lang w:eastAsia="bg-BG"/>
        </w:rPr>
      </w:pPr>
      <w:r w:rsidRPr="00F40F0A">
        <w:rPr>
          <w:rFonts w:eastAsia="Times New Roman" w:cs="Arial"/>
          <w:color w:val="000000"/>
          <w:szCs w:val="20"/>
          <w:lang w:eastAsia="bg-BG"/>
        </w:rPr>
        <w:t>Лечението с Ипертазин не трябва да бъде започвано при жени с детероден потенциал, освен ако те не използват надеждна контрацепция и резултатът от теста за бременност преди лечението не е отрицателен.</w:t>
      </w:r>
    </w:p>
    <w:p w14:paraId="75E0476B" w14:textId="77777777" w:rsidR="00F40F0A" w:rsidRPr="00F40F0A" w:rsidRDefault="00F40F0A" w:rsidP="00F40F0A">
      <w:pPr>
        <w:pStyle w:val="ListParagraph"/>
        <w:numPr>
          <w:ilvl w:val="0"/>
          <w:numId w:val="39"/>
        </w:numPr>
        <w:spacing w:line="240" w:lineRule="auto"/>
        <w:rPr>
          <w:rFonts w:eastAsia="Times New Roman" w:cs="Arial"/>
          <w:color w:val="000000"/>
          <w:szCs w:val="20"/>
          <w:lang w:eastAsia="bg-BG"/>
        </w:rPr>
      </w:pPr>
      <w:r w:rsidRPr="00F40F0A">
        <w:rPr>
          <w:rFonts w:eastAsia="Times New Roman" w:cs="Arial"/>
          <w:color w:val="000000"/>
          <w:szCs w:val="20"/>
          <w:lang w:eastAsia="bg-BG"/>
        </w:rPr>
        <w:t>Хормоналните контрацептиви не могат да бъдат единствен контрацептивен метод по време на лечение с Ипертазин.</w:t>
      </w:r>
    </w:p>
    <w:p w14:paraId="72A0AD15" w14:textId="77684306" w:rsidR="00F40F0A" w:rsidRPr="00F40F0A" w:rsidRDefault="00F40F0A" w:rsidP="00F40F0A">
      <w:pPr>
        <w:pStyle w:val="ListParagraph"/>
        <w:numPr>
          <w:ilvl w:val="0"/>
          <w:numId w:val="39"/>
        </w:numPr>
        <w:spacing w:line="240" w:lineRule="auto"/>
        <w:rPr>
          <w:rFonts w:eastAsia="Times New Roman" w:cs="Arial"/>
          <w:color w:val="000000"/>
          <w:szCs w:val="20"/>
          <w:lang w:eastAsia="bg-BG"/>
        </w:rPr>
      </w:pPr>
      <w:r w:rsidRPr="00F40F0A">
        <w:rPr>
          <w:rFonts w:eastAsia="Times New Roman" w:cs="Arial"/>
          <w:color w:val="000000"/>
          <w:szCs w:val="20"/>
          <w:lang w:eastAsia="bg-BG"/>
        </w:rPr>
        <w:t>По време на лечение се препоръчва да се правят ежемесечни тестове за бременност с цел ранно откриване на бременността.</w:t>
      </w:r>
    </w:p>
    <w:p w14:paraId="5F32661D" w14:textId="77777777" w:rsidR="00F40F0A" w:rsidRPr="00F40F0A" w:rsidRDefault="00F40F0A" w:rsidP="00F40F0A">
      <w:pPr>
        <w:spacing w:line="240" w:lineRule="auto"/>
        <w:rPr>
          <w:rFonts w:eastAsia="Times New Roman" w:cs="Arial"/>
          <w:color w:val="000000"/>
          <w:szCs w:val="20"/>
          <w:lang w:eastAsia="bg-BG"/>
        </w:rPr>
      </w:pPr>
    </w:p>
    <w:p w14:paraId="191CE62F" w14:textId="3820D905"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lang w:eastAsia="bg-BG"/>
        </w:rPr>
        <w:t>За допълнителна информация вижте точки 4.5 и 4.6.</w:t>
      </w:r>
    </w:p>
    <w:p w14:paraId="0C1C4F3F" w14:textId="77777777" w:rsidR="00F40F0A" w:rsidRPr="00F40F0A" w:rsidRDefault="00F40F0A" w:rsidP="00F40F0A">
      <w:pPr>
        <w:spacing w:line="240" w:lineRule="auto"/>
        <w:rPr>
          <w:rFonts w:eastAsia="Times New Roman" w:cs="Arial"/>
          <w:color w:val="000000"/>
          <w:szCs w:val="20"/>
          <w:u w:val="single"/>
          <w:lang w:eastAsia="bg-BG"/>
        </w:rPr>
      </w:pPr>
    </w:p>
    <w:p w14:paraId="04B74DC1" w14:textId="2B844373"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u w:val="single"/>
          <w:lang w:eastAsia="bg-BG"/>
        </w:rPr>
        <w:t>Белодробна венооклузивна болест</w:t>
      </w:r>
    </w:p>
    <w:p w14:paraId="7FB2C50A" w14:textId="77777777" w:rsidR="00F40F0A" w:rsidRPr="00F40F0A" w:rsidRDefault="00F40F0A" w:rsidP="00F40F0A">
      <w:pPr>
        <w:spacing w:line="240" w:lineRule="auto"/>
        <w:rPr>
          <w:rFonts w:eastAsia="Times New Roman" w:cs="Arial"/>
          <w:color w:val="000000"/>
          <w:szCs w:val="20"/>
          <w:lang w:eastAsia="bg-BG"/>
        </w:rPr>
      </w:pPr>
    </w:p>
    <w:p w14:paraId="186655CB" w14:textId="28F5FB34" w:rsidR="00F40F0A" w:rsidRPr="00F40F0A" w:rsidRDefault="00F40F0A" w:rsidP="00F40F0A">
      <w:pPr>
        <w:spacing w:line="240" w:lineRule="auto"/>
        <w:rPr>
          <w:rFonts w:eastAsia="Times New Roman" w:cs="Arial"/>
          <w:color w:val="000000"/>
          <w:szCs w:val="20"/>
          <w:lang w:eastAsia="bg-BG"/>
        </w:rPr>
      </w:pPr>
      <w:r w:rsidRPr="00F40F0A">
        <w:rPr>
          <w:rFonts w:eastAsia="Times New Roman" w:cs="Arial"/>
          <w:color w:val="000000"/>
          <w:szCs w:val="20"/>
          <w:lang w:eastAsia="bg-BG"/>
        </w:rPr>
        <w:t xml:space="preserve">Има съобщения за случаи на белодробен оток при употребата на вазодилататори (главно простациклини) от </w:t>
      </w:r>
    </w:p>
    <w:p w14:paraId="072E8CD4" w14:textId="3518EDC4"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lang w:eastAsia="bg-BG"/>
        </w:rPr>
        <w:t xml:space="preserve">пациенти с белодробна венооклузивна болест. Следователно, ако при лечението с Ипертазин на пациенти с белодробна артериална хипертония се появят признаци на белодробен оток, трябва да </w:t>
      </w:r>
      <w:r w:rsidRPr="00F40F0A">
        <w:rPr>
          <w:rFonts w:eastAsia="Times New Roman" w:cs="Arial"/>
          <w:i/>
          <w:iCs/>
          <w:color w:val="000000"/>
          <w:szCs w:val="20"/>
          <w:lang w:eastAsia="bg-BG"/>
        </w:rPr>
        <w:t>се</w:t>
      </w:r>
      <w:r w:rsidRPr="00F40F0A">
        <w:rPr>
          <w:rFonts w:eastAsia="Times New Roman" w:cs="Arial"/>
          <w:color w:val="000000"/>
          <w:szCs w:val="20"/>
          <w:lang w:eastAsia="bg-BG"/>
        </w:rPr>
        <w:t xml:space="preserve"> има предвид възможността за свързана венооклузивна болест. В постмаркетинговия период е имало редки съобщения за белодробен оток при пациенти, лекувани с Ипертазин, при които е имало съмнения за белодробна венооклузивна болест.</w:t>
      </w:r>
    </w:p>
    <w:p w14:paraId="5129C747" w14:textId="77777777" w:rsidR="00F40F0A" w:rsidRPr="00F40F0A" w:rsidRDefault="00F40F0A" w:rsidP="00F40F0A">
      <w:pPr>
        <w:spacing w:line="240" w:lineRule="auto"/>
        <w:rPr>
          <w:rFonts w:eastAsia="Times New Roman" w:cs="Arial"/>
          <w:color w:val="000000"/>
          <w:szCs w:val="20"/>
          <w:u w:val="single"/>
          <w:lang w:eastAsia="bg-BG"/>
        </w:rPr>
      </w:pPr>
    </w:p>
    <w:p w14:paraId="1FDD5ED5" w14:textId="083E17F5"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u w:val="single"/>
          <w:lang w:eastAsia="bg-BG"/>
        </w:rPr>
        <w:t>Пациенти с белодробна артериална хипертония със съпътстваща левокамерна недостатъчност</w:t>
      </w:r>
    </w:p>
    <w:p w14:paraId="7ACB56D2" w14:textId="77777777" w:rsidR="00F40F0A" w:rsidRPr="00F40F0A" w:rsidRDefault="00F40F0A" w:rsidP="00F40F0A">
      <w:pPr>
        <w:spacing w:line="240" w:lineRule="auto"/>
        <w:rPr>
          <w:rFonts w:eastAsia="Times New Roman" w:cs="Arial"/>
          <w:color w:val="000000"/>
          <w:szCs w:val="20"/>
          <w:lang w:eastAsia="bg-BG"/>
        </w:rPr>
      </w:pPr>
    </w:p>
    <w:p w14:paraId="55403E27" w14:textId="77777777" w:rsidR="00F40F0A" w:rsidRPr="00F40F0A" w:rsidRDefault="00F40F0A" w:rsidP="00F40F0A">
      <w:pPr>
        <w:rPr>
          <w:rFonts w:eastAsia="Times New Roman" w:cs="Arial"/>
          <w:sz w:val="28"/>
          <w:szCs w:val="24"/>
        </w:rPr>
      </w:pPr>
      <w:r w:rsidRPr="00F40F0A">
        <w:rPr>
          <w:rFonts w:eastAsia="Times New Roman" w:cs="Arial"/>
          <w:color w:val="000000"/>
          <w:szCs w:val="20"/>
          <w:lang w:eastAsia="bg-BG"/>
        </w:rPr>
        <w:t xml:space="preserve">Не е провеждано специфично проучване при пациенти с белодробна хипертония и съпътстваща левокамерна дисфункция. Обаче 1611 пациенти (от които 804 са получавали бозентан и 807 са получавали плацебо) с тежка хронична сърдечна недостатъчност (ХСН) са лекувани със средна продължителност от 1,5 години в плацебо контролирано проучване (проучване АС-052-301/302 </w:t>
      </w:r>
      <w:r w:rsidRPr="00F40F0A">
        <w:rPr>
          <w:rFonts w:eastAsia="Times New Roman" w:cs="Arial"/>
          <w:color w:val="000000"/>
          <w:szCs w:val="20"/>
          <w:lang w:val="ru-RU"/>
        </w:rPr>
        <w:t>[</w:t>
      </w:r>
      <w:r w:rsidRPr="00F40F0A">
        <w:rPr>
          <w:rFonts w:eastAsia="Times New Roman" w:cs="Arial"/>
          <w:color w:val="000000"/>
          <w:szCs w:val="20"/>
          <w:lang w:val="en-US"/>
        </w:rPr>
        <w:t>ENABLE</w:t>
      </w:r>
      <w:r w:rsidRPr="00F40F0A">
        <w:rPr>
          <w:rFonts w:eastAsia="Times New Roman" w:cs="Arial"/>
          <w:color w:val="000000"/>
          <w:szCs w:val="20"/>
          <w:lang w:val="ru-RU"/>
        </w:rPr>
        <w:t xml:space="preserve"> 1 &amp; 2]). </w:t>
      </w:r>
      <w:r w:rsidRPr="00F40F0A">
        <w:rPr>
          <w:rFonts w:eastAsia="Times New Roman" w:cs="Arial"/>
          <w:color w:val="000000"/>
          <w:szCs w:val="20"/>
          <w:lang w:eastAsia="bg-BG"/>
        </w:rPr>
        <w:t xml:space="preserve">В това проучване има повишена честота на хоспитализациите, дължащи се на хроничната сърдечна недостатъчност, през първите 4-8 седмици от лечението с бозентан, което може да е в резултат от задръжката на течности. В това проучване задръжката на течности се </w:t>
      </w:r>
      <w:r w:rsidRPr="00F40F0A">
        <w:rPr>
          <w:rFonts w:eastAsia="Times New Roman" w:cs="Arial"/>
          <w:color w:val="000000"/>
          <w:szCs w:val="20"/>
          <w:lang w:eastAsia="bg-BG"/>
        </w:rPr>
        <w:lastRenderedPageBreak/>
        <w:t xml:space="preserve">проявява </w:t>
      </w:r>
      <w:r w:rsidRPr="00F40F0A">
        <w:rPr>
          <w:rFonts w:eastAsia="Times New Roman" w:cs="Arial"/>
          <w:i/>
          <w:iCs/>
          <w:color w:val="000000"/>
          <w:szCs w:val="20"/>
          <w:lang w:eastAsia="bg-BG"/>
        </w:rPr>
        <w:t>с</w:t>
      </w:r>
      <w:r w:rsidRPr="00F40F0A">
        <w:rPr>
          <w:rFonts w:eastAsia="Times New Roman" w:cs="Arial"/>
          <w:color w:val="000000"/>
          <w:szCs w:val="20"/>
          <w:lang w:eastAsia="bg-BG"/>
        </w:rPr>
        <w:t xml:space="preserve"> ранно наддаване на тегло, понижена концентрация на хемоглобина и по- честата поява на отоци по краката. В края на проучването не е установена разлика в честотата на хоспитализациите във връзка със сърдечната недостатъчност, нито в смъртността между пациентите, приемали бозентан или плацебо. Следователно, препоръчва се пациентите да бъдат проследявани за признаци за задръжка на течности (например наддаване на тегло), особено ако страдат от съпътстваща тежка систолна дисфункция. Ако такива признаци се появят, се препоръчва да се започне лечение с диуретици или да се повиши дозата на приеманите диуретици. При пациенти с данни за задръжка на течности, лечението с диуретици трябва да се обсъди преди започване на лечението с Ипертазин.</w:t>
      </w:r>
    </w:p>
    <w:p w14:paraId="079E4907" w14:textId="77777777" w:rsidR="00F40F0A" w:rsidRPr="00F40F0A" w:rsidRDefault="00F40F0A" w:rsidP="00F40F0A">
      <w:pPr>
        <w:spacing w:line="240" w:lineRule="auto"/>
        <w:rPr>
          <w:rFonts w:eastAsia="Times New Roman" w:cs="Arial"/>
          <w:color w:val="000000"/>
          <w:szCs w:val="20"/>
          <w:u w:val="single"/>
          <w:lang w:eastAsia="bg-BG"/>
        </w:rPr>
      </w:pPr>
    </w:p>
    <w:p w14:paraId="1C9D3DB4" w14:textId="09BF3699"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u w:val="single"/>
          <w:lang w:eastAsia="bg-BG"/>
        </w:rPr>
        <w:t xml:space="preserve">Белодробна артериална хипертония, свързана с </w:t>
      </w:r>
      <w:r w:rsidRPr="00F40F0A">
        <w:rPr>
          <w:rFonts w:eastAsia="Times New Roman" w:cs="Arial"/>
          <w:color w:val="000000"/>
          <w:szCs w:val="20"/>
          <w:u w:val="single"/>
          <w:lang w:val="en-US"/>
        </w:rPr>
        <w:t>HIV</w:t>
      </w:r>
      <w:r w:rsidRPr="00F40F0A">
        <w:rPr>
          <w:rFonts w:eastAsia="Times New Roman" w:cs="Arial"/>
          <w:color w:val="000000"/>
          <w:szCs w:val="20"/>
          <w:u w:val="single"/>
          <w:lang w:val="ru-RU"/>
        </w:rPr>
        <w:t xml:space="preserve"> </w:t>
      </w:r>
      <w:r w:rsidRPr="00F40F0A">
        <w:rPr>
          <w:rFonts w:eastAsia="Times New Roman" w:cs="Arial"/>
          <w:color w:val="000000"/>
          <w:szCs w:val="20"/>
          <w:u w:val="single"/>
          <w:lang w:eastAsia="bg-BG"/>
        </w:rPr>
        <w:t>инфекция</w:t>
      </w:r>
    </w:p>
    <w:p w14:paraId="4768261C" w14:textId="77777777" w:rsidR="00F40F0A" w:rsidRPr="00F40F0A" w:rsidRDefault="00F40F0A" w:rsidP="00F40F0A">
      <w:pPr>
        <w:spacing w:line="240" w:lineRule="auto"/>
        <w:rPr>
          <w:rFonts w:eastAsia="Times New Roman" w:cs="Arial"/>
          <w:color w:val="000000"/>
          <w:szCs w:val="20"/>
          <w:lang w:eastAsia="bg-BG"/>
        </w:rPr>
      </w:pPr>
    </w:p>
    <w:p w14:paraId="5754EC92" w14:textId="5E6442EB"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lang w:eastAsia="bg-BG"/>
        </w:rPr>
        <w:t xml:space="preserve">Опитът от клиничните проучвания с употреба на Ипертазин при пациенти с белодробна артериална хипертония, свързана с </w:t>
      </w:r>
      <w:r w:rsidRPr="00F40F0A">
        <w:rPr>
          <w:rFonts w:eastAsia="Times New Roman" w:cs="Arial"/>
          <w:color w:val="000000"/>
          <w:szCs w:val="20"/>
          <w:lang w:val="en-US"/>
        </w:rPr>
        <w:t>HIV</w:t>
      </w:r>
      <w:r w:rsidRPr="00F40F0A">
        <w:rPr>
          <w:rFonts w:eastAsia="Times New Roman" w:cs="Arial"/>
          <w:color w:val="000000"/>
          <w:szCs w:val="20"/>
          <w:lang w:val="ru-RU"/>
        </w:rPr>
        <w:t xml:space="preserve"> </w:t>
      </w:r>
      <w:r w:rsidRPr="00F40F0A">
        <w:rPr>
          <w:rFonts w:eastAsia="Times New Roman" w:cs="Arial"/>
          <w:color w:val="000000"/>
          <w:szCs w:val="20"/>
          <w:lang w:eastAsia="bg-BG"/>
        </w:rPr>
        <w:t xml:space="preserve">инфекция, лекувани с антиретровирусни лекарствени продукти, е ограничен (вж. точка 5.1). Проучване </w:t>
      </w:r>
      <w:r w:rsidRPr="00F40F0A">
        <w:rPr>
          <w:rFonts w:eastAsia="Times New Roman" w:cs="Arial"/>
          <w:i/>
          <w:iCs/>
          <w:color w:val="000000"/>
          <w:szCs w:val="20"/>
          <w:lang w:eastAsia="bg-BG"/>
        </w:rPr>
        <w:t>върху</w:t>
      </w:r>
      <w:r w:rsidRPr="00F40F0A">
        <w:rPr>
          <w:rFonts w:eastAsia="Times New Roman" w:cs="Arial"/>
          <w:color w:val="000000"/>
          <w:szCs w:val="20"/>
          <w:lang w:eastAsia="bg-BG"/>
        </w:rPr>
        <w:t xml:space="preserve"> взаимодействията между бозентан и лопинавир+ритонавир при здрави хора показва повишени плазмени концентрации на бозентан, с максимални нива през първите 4 дни на лечение ( вж. точка 4.5). При започване на лечение с Ипертазин при пациенти, които се нуждаят от ритонавир-активирани протеазни инхибитори, поносимостта на пациента към Ипертазин трябва внимателно да се следи, като се обърне особено внимание, в началото на въвеждащата фаза, на риска от хипотония и на чернодробните функционални тестове. Повишеният риск от чернодробна токсичност и хематологичните странични ефекти не могат да бъдат изключени при комбинирана употреба на бозентан с антиретровирусни лекарства. Поради потенциала за такива взаимодействия, свързани с индуциращия ефект на бозентана върху </w:t>
      </w:r>
      <w:r w:rsidRPr="00F40F0A">
        <w:rPr>
          <w:rFonts w:eastAsia="Times New Roman" w:cs="Arial"/>
          <w:color w:val="000000"/>
          <w:szCs w:val="20"/>
          <w:lang w:val="en-US"/>
        </w:rPr>
        <w:t>CYP</w:t>
      </w:r>
      <w:r w:rsidRPr="00F40F0A">
        <w:rPr>
          <w:rFonts w:eastAsia="Times New Roman" w:cs="Arial"/>
          <w:color w:val="000000"/>
          <w:szCs w:val="20"/>
          <w:lang w:val="ru-RU"/>
        </w:rPr>
        <w:t xml:space="preserve">450 </w:t>
      </w:r>
      <w:r w:rsidRPr="00F40F0A">
        <w:rPr>
          <w:rFonts w:eastAsia="Times New Roman" w:cs="Arial"/>
          <w:color w:val="000000"/>
          <w:szCs w:val="20"/>
          <w:lang w:eastAsia="bg-BG"/>
        </w:rPr>
        <w:t xml:space="preserve">(вж. точка 4.5), който може да окаже ефект върху ефикасността на антиретровирусната терапия, тези пациенти също трябва да бъдат проследявани внимателно по отношение на </w:t>
      </w:r>
      <w:r w:rsidRPr="00F40F0A">
        <w:rPr>
          <w:rFonts w:eastAsia="Times New Roman" w:cs="Arial"/>
          <w:color w:val="000000"/>
          <w:szCs w:val="20"/>
          <w:lang w:val="en-US"/>
        </w:rPr>
        <w:t>HIV</w:t>
      </w:r>
      <w:r w:rsidRPr="00F40F0A">
        <w:rPr>
          <w:rFonts w:eastAsia="Times New Roman" w:cs="Arial"/>
          <w:color w:val="000000"/>
          <w:szCs w:val="20"/>
          <w:lang w:val="ru-RU"/>
        </w:rPr>
        <w:t xml:space="preserve"> </w:t>
      </w:r>
      <w:r w:rsidRPr="00F40F0A">
        <w:rPr>
          <w:rFonts w:eastAsia="Times New Roman" w:cs="Arial"/>
          <w:color w:val="000000"/>
          <w:szCs w:val="20"/>
          <w:lang w:eastAsia="bg-BG"/>
        </w:rPr>
        <w:t>инфекцията.</w:t>
      </w:r>
    </w:p>
    <w:p w14:paraId="46D4B705" w14:textId="77777777" w:rsidR="00F40F0A" w:rsidRPr="00F40F0A" w:rsidRDefault="00F40F0A" w:rsidP="00F40F0A">
      <w:pPr>
        <w:spacing w:line="240" w:lineRule="auto"/>
        <w:rPr>
          <w:rFonts w:eastAsia="Times New Roman" w:cs="Arial"/>
          <w:color w:val="000000"/>
          <w:szCs w:val="20"/>
          <w:u w:val="single"/>
          <w:lang w:eastAsia="bg-BG"/>
        </w:rPr>
      </w:pPr>
    </w:p>
    <w:p w14:paraId="70047022" w14:textId="018AD9DD"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u w:val="single"/>
          <w:lang w:eastAsia="bg-BG"/>
        </w:rPr>
        <w:t>Белодробна хипертония вследствие на хронична обструктивна белодробна болест (ХОББ)</w:t>
      </w:r>
    </w:p>
    <w:p w14:paraId="261640B8" w14:textId="77777777" w:rsidR="00F40F0A" w:rsidRPr="00F40F0A" w:rsidRDefault="00F40F0A" w:rsidP="00F40F0A">
      <w:pPr>
        <w:spacing w:line="240" w:lineRule="auto"/>
        <w:rPr>
          <w:rFonts w:eastAsia="Times New Roman" w:cs="Arial"/>
          <w:color w:val="000000"/>
          <w:szCs w:val="20"/>
          <w:lang w:eastAsia="bg-BG"/>
        </w:rPr>
      </w:pPr>
    </w:p>
    <w:p w14:paraId="754EB30C" w14:textId="697E1C72"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lang w:eastAsia="bg-BG"/>
        </w:rPr>
        <w:t xml:space="preserve">Безопасността и поносимостта на бозентан са проучени при експлораторно, неконтролирано 12-седмично проучване при 11 пациенти с белодробна хипертония вследствие на тежка ХОББ (III степен по класификацията </w:t>
      </w:r>
      <w:r w:rsidRPr="00F40F0A">
        <w:rPr>
          <w:rFonts w:eastAsia="Times New Roman" w:cs="Arial"/>
          <w:color w:val="000000"/>
          <w:szCs w:val="20"/>
          <w:lang w:val="en-US"/>
        </w:rPr>
        <w:t>GOLD</w:t>
      </w:r>
      <w:r w:rsidRPr="00F40F0A">
        <w:rPr>
          <w:rFonts w:eastAsia="Times New Roman" w:cs="Arial"/>
          <w:color w:val="000000"/>
          <w:szCs w:val="20"/>
          <w:lang w:val="ru-RU"/>
        </w:rPr>
        <w:t xml:space="preserve">), </w:t>
      </w:r>
      <w:r w:rsidRPr="00F40F0A">
        <w:rPr>
          <w:rFonts w:eastAsia="Times New Roman" w:cs="Arial"/>
          <w:color w:val="000000"/>
          <w:szCs w:val="20"/>
          <w:lang w:eastAsia="bg-BG"/>
        </w:rPr>
        <w:t>Наблюдавани са повишена минутна вентилация и понижено кислородно насищане, като най-честото нежелано събитие е била диспнея, която е отзвучавала след спирането на бозентан.</w:t>
      </w:r>
    </w:p>
    <w:p w14:paraId="0B54C13E" w14:textId="77777777" w:rsidR="00F40F0A" w:rsidRPr="00F40F0A" w:rsidRDefault="00F40F0A" w:rsidP="00F40F0A">
      <w:pPr>
        <w:spacing w:line="240" w:lineRule="auto"/>
        <w:rPr>
          <w:rFonts w:eastAsia="Times New Roman" w:cs="Arial"/>
          <w:color w:val="000000"/>
          <w:szCs w:val="20"/>
          <w:u w:val="single"/>
          <w:lang w:eastAsia="bg-BG"/>
        </w:rPr>
      </w:pPr>
    </w:p>
    <w:p w14:paraId="6737C65F" w14:textId="3EBD9D9F"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u w:val="single"/>
          <w:lang w:eastAsia="bg-BG"/>
        </w:rPr>
        <w:t>Едновременна употреба с други лекарствени продукти</w:t>
      </w:r>
    </w:p>
    <w:p w14:paraId="301C5A43" w14:textId="77777777" w:rsidR="00F40F0A" w:rsidRPr="00F40F0A" w:rsidRDefault="00F40F0A" w:rsidP="00F40F0A">
      <w:pPr>
        <w:spacing w:line="240" w:lineRule="auto"/>
        <w:rPr>
          <w:rFonts w:eastAsia="Times New Roman" w:cs="Arial"/>
          <w:color w:val="000000"/>
          <w:szCs w:val="20"/>
          <w:lang w:eastAsia="bg-BG"/>
        </w:rPr>
      </w:pPr>
    </w:p>
    <w:p w14:paraId="61C223D2" w14:textId="4D863141"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lang w:eastAsia="bg-BG"/>
        </w:rPr>
        <w:t>Едновременната употреба на Ипертазин и циклоспорин А е противопоказана (вж. точки 4.3 и 4.5).</w:t>
      </w:r>
    </w:p>
    <w:p w14:paraId="6FE50C0C" w14:textId="77777777"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lang w:eastAsia="bg-BG"/>
        </w:rPr>
        <w:t>Едновременната употреба на Ипертазин с глибенкламид, флуконазол и рифампицин не се препоръчва. За повече подробности виж точка 4.5.</w:t>
      </w:r>
    </w:p>
    <w:p w14:paraId="336CCED3" w14:textId="77777777" w:rsidR="00F40F0A" w:rsidRPr="00F40F0A" w:rsidRDefault="00F40F0A" w:rsidP="00F40F0A">
      <w:pPr>
        <w:spacing w:line="240" w:lineRule="auto"/>
        <w:rPr>
          <w:rFonts w:eastAsia="Times New Roman" w:cs="Arial"/>
          <w:color w:val="000000"/>
          <w:szCs w:val="20"/>
          <w:lang w:eastAsia="bg-BG"/>
        </w:rPr>
      </w:pPr>
    </w:p>
    <w:p w14:paraId="410C239E" w14:textId="4ABF9967"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lang w:eastAsia="bg-BG"/>
        </w:rPr>
        <w:t>Едновременното прилагане на Ипертазин, както с инхибитор на С</w:t>
      </w:r>
      <w:r w:rsidRPr="00F40F0A">
        <w:rPr>
          <w:rFonts w:eastAsia="Times New Roman" w:cs="Arial"/>
          <w:color w:val="000000"/>
          <w:szCs w:val="20"/>
          <w:lang w:val="en-US"/>
        </w:rPr>
        <w:t>YP</w:t>
      </w:r>
      <w:r w:rsidRPr="00F40F0A">
        <w:rPr>
          <w:rFonts w:eastAsia="Times New Roman" w:cs="Arial"/>
          <w:color w:val="000000"/>
          <w:szCs w:val="20"/>
          <w:lang w:val="ru-RU"/>
        </w:rPr>
        <w:t>3</w:t>
      </w:r>
      <w:r w:rsidRPr="00F40F0A">
        <w:rPr>
          <w:rFonts w:eastAsia="Times New Roman" w:cs="Arial"/>
          <w:color w:val="000000"/>
          <w:szCs w:val="20"/>
          <w:lang w:eastAsia="bg-BG"/>
        </w:rPr>
        <w:t xml:space="preserve">А4, така и с инхибитор на </w:t>
      </w:r>
      <w:r w:rsidRPr="00F40F0A">
        <w:rPr>
          <w:rFonts w:eastAsia="Times New Roman" w:cs="Arial"/>
          <w:color w:val="000000"/>
          <w:szCs w:val="20"/>
          <w:lang w:val="en-US"/>
        </w:rPr>
        <w:t>CYP</w:t>
      </w:r>
      <w:r w:rsidRPr="00F40F0A">
        <w:rPr>
          <w:rFonts w:eastAsia="Times New Roman" w:cs="Arial"/>
          <w:color w:val="000000"/>
          <w:szCs w:val="20"/>
          <w:lang w:val="ru-RU"/>
        </w:rPr>
        <w:t>2</w:t>
      </w:r>
      <w:r w:rsidRPr="00F40F0A">
        <w:rPr>
          <w:rFonts w:eastAsia="Times New Roman" w:cs="Arial"/>
          <w:color w:val="000000"/>
          <w:szCs w:val="20"/>
          <w:lang w:val="en-US"/>
        </w:rPr>
        <w:t>C</w:t>
      </w:r>
      <w:r w:rsidRPr="00F40F0A">
        <w:rPr>
          <w:rFonts w:eastAsia="Times New Roman" w:cs="Arial"/>
          <w:color w:val="000000"/>
          <w:szCs w:val="20"/>
          <w:lang w:val="ru-RU"/>
        </w:rPr>
        <w:t xml:space="preserve">9 </w:t>
      </w:r>
      <w:r w:rsidRPr="00F40F0A">
        <w:rPr>
          <w:rFonts w:eastAsia="Times New Roman" w:cs="Arial"/>
          <w:color w:val="000000"/>
          <w:szCs w:val="20"/>
          <w:lang w:eastAsia="bg-BG"/>
        </w:rPr>
        <w:t>трябва да се избягва (вж, точка 4.5).</w:t>
      </w:r>
    </w:p>
    <w:p w14:paraId="0A8BE59A" w14:textId="65CEB3DE" w:rsidR="00F40F0A" w:rsidRPr="00F40F0A" w:rsidRDefault="00F40F0A" w:rsidP="00F40F0A">
      <w:pPr>
        <w:spacing w:line="240" w:lineRule="auto"/>
        <w:rPr>
          <w:rFonts w:ascii="Times New Roman" w:eastAsia="Times New Roman" w:hAnsi="Times New Roman" w:cs="Times New Roman"/>
          <w:sz w:val="24"/>
          <w:szCs w:val="24"/>
        </w:rPr>
      </w:pPr>
    </w:p>
    <w:p w14:paraId="3D788787" w14:textId="77777777" w:rsidR="00F40F0A" w:rsidRPr="00F40F0A" w:rsidRDefault="00F40F0A" w:rsidP="00F40F0A"/>
    <w:p w14:paraId="0734264C" w14:textId="00C4C850" w:rsidR="007122AD" w:rsidRDefault="002C50EE" w:rsidP="00936AD0">
      <w:pPr>
        <w:pStyle w:val="Heading2"/>
      </w:pPr>
      <w:r>
        <w:lastRenderedPageBreak/>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18454BBA" w14:textId="3576EDEC" w:rsidR="00F40F0A" w:rsidRDefault="00F40F0A" w:rsidP="00F40F0A"/>
    <w:p w14:paraId="514C5ED0" w14:textId="77777777"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lang w:eastAsia="bg-BG"/>
        </w:rPr>
        <w:t xml:space="preserve">Бозентан е индуктор на цитохром Р450 </w:t>
      </w:r>
      <w:r w:rsidRPr="00F40F0A">
        <w:rPr>
          <w:rFonts w:eastAsia="Times New Roman" w:cs="Arial"/>
          <w:color w:val="000000"/>
          <w:szCs w:val="20"/>
          <w:lang w:val="ru-RU"/>
        </w:rPr>
        <w:t>(</w:t>
      </w:r>
      <w:r w:rsidRPr="00F40F0A">
        <w:rPr>
          <w:rFonts w:eastAsia="Times New Roman" w:cs="Arial"/>
          <w:color w:val="000000"/>
          <w:szCs w:val="20"/>
          <w:lang w:val="en-US"/>
        </w:rPr>
        <w:t>CYP</w:t>
      </w:r>
      <w:r w:rsidRPr="00F40F0A">
        <w:rPr>
          <w:rFonts w:eastAsia="Times New Roman" w:cs="Arial"/>
          <w:color w:val="000000"/>
          <w:szCs w:val="20"/>
          <w:lang w:val="ru-RU"/>
        </w:rPr>
        <w:t xml:space="preserve">) </w:t>
      </w:r>
      <w:r w:rsidRPr="00F40F0A">
        <w:rPr>
          <w:rFonts w:eastAsia="Times New Roman" w:cs="Arial"/>
          <w:color w:val="000000"/>
          <w:szCs w:val="20"/>
          <w:lang w:eastAsia="bg-BG"/>
        </w:rPr>
        <w:t xml:space="preserve">изоензимите </w:t>
      </w:r>
      <w:r w:rsidRPr="00F40F0A">
        <w:rPr>
          <w:rFonts w:eastAsia="Times New Roman" w:cs="Arial"/>
          <w:color w:val="000000"/>
          <w:szCs w:val="20"/>
          <w:lang w:val="en-US"/>
        </w:rPr>
        <w:t>CYP</w:t>
      </w:r>
      <w:r w:rsidRPr="00F40F0A">
        <w:rPr>
          <w:rFonts w:eastAsia="Times New Roman" w:cs="Arial"/>
          <w:color w:val="000000"/>
          <w:szCs w:val="20"/>
          <w:lang w:val="ru-RU"/>
        </w:rPr>
        <w:t>2</w:t>
      </w:r>
      <w:r w:rsidRPr="00F40F0A">
        <w:rPr>
          <w:rFonts w:eastAsia="Times New Roman" w:cs="Arial"/>
          <w:color w:val="000000"/>
          <w:szCs w:val="20"/>
          <w:lang w:val="en-US"/>
        </w:rPr>
        <w:t>C</w:t>
      </w:r>
      <w:r w:rsidRPr="00F40F0A">
        <w:rPr>
          <w:rFonts w:eastAsia="Times New Roman" w:cs="Arial"/>
          <w:color w:val="000000"/>
          <w:szCs w:val="20"/>
          <w:lang w:val="ru-RU"/>
        </w:rPr>
        <w:t xml:space="preserve">9 </w:t>
      </w:r>
      <w:r w:rsidRPr="00F40F0A">
        <w:rPr>
          <w:rFonts w:eastAsia="Times New Roman" w:cs="Arial"/>
          <w:color w:val="000000"/>
          <w:szCs w:val="20"/>
          <w:lang w:eastAsia="bg-BG"/>
        </w:rPr>
        <w:t xml:space="preserve">и </w:t>
      </w:r>
      <w:r w:rsidRPr="00F40F0A">
        <w:rPr>
          <w:rFonts w:eastAsia="Times New Roman" w:cs="Arial"/>
          <w:color w:val="000000"/>
          <w:szCs w:val="20"/>
          <w:lang w:val="en-US"/>
        </w:rPr>
        <w:t>CYP</w:t>
      </w:r>
      <w:r w:rsidRPr="00F40F0A">
        <w:rPr>
          <w:rFonts w:eastAsia="Times New Roman" w:cs="Arial"/>
          <w:color w:val="000000"/>
          <w:szCs w:val="20"/>
          <w:lang w:val="ru-RU"/>
        </w:rPr>
        <w:t>3</w:t>
      </w:r>
      <w:r w:rsidRPr="00F40F0A">
        <w:rPr>
          <w:rFonts w:eastAsia="Times New Roman" w:cs="Arial"/>
          <w:color w:val="000000"/>
          <w:szCs w:val="20"/>
          <w:lang w:val="en-US"/>
        </w:rPr>
        <w:t>A</w:t>
      </w:r>
      <w:r w:rsidRPr="00F40F0A">
        <w:rPr>
          <w:rFonts w:eastAsia="Times New Roman" w:cs="Arial"/>
          <w:color w:val="000000"/>
          <w:szCs w:val="20"/>
          <w:lang w:val="ru-RU"/>
        </w:rPr>
        <w:t xml:space="preserve">4. </w:t>
      </w:r>
      <w:r w:rsidRPr="00F40F0A">
        <w:rPr>
          <w:rFonts w:eastAsia="Times New Roman" w:cs="Arial"/>
          <w:color w:val="000000"/>
          <w:szCs w:val="20"/>
          <w:lang w:eastAsia="bg-BG"/>
        </w:rPr>
        <w:t xml:space="preserve">Данните </w:t>
      </w:r>
      <w:r w:rsidRPr="00F40F0A">
        <w:rPr>
          <w:rFonts w:eastAsia="Times New Roman" w:cs="Arial"/>
          <w:i/>
          <w:iCs/>
          <w:color w:val="000000"/>
          <w:szCs w:val="20"/>
          <w:lang w:eastAsia="bg-BG"/>
        </w:rPr>
        <w:t>ин витро</w:t>
      </w:r>
      <w:r w:rsidRPr="00F40F0A">
        <w:rPr>
          <w:rFonts w:eastAsia="Times New Roman" w:cs="Arial"/>
          <w:color w:val="000000"/>
          <w:szCs w:val="20"/>
          <w:lang w:eastAsia="bg-BG"/>
        </w:rPr>
        <w:t xml:space="preserve"> предполагат и индукция на </w:t>
      </w:r>
      <w:r w:rsidRPr="00F40F0A">
        <w:rPr>
          <w:rFonts w:eastAsia="Times New Roman" w:cs="Arial"/>
          <w:color w:val="000000"/>
          <w:szCs w:val="20"/>
          <w:lang w:val="en-US"/>
        </w:rPr>
        <w:t>CYP</w:t>
      </w:r>
      <w:r w:rsidRPr="00F40F0A">
        <w:rPr>
          <w:rFonts w:eastAsia="Times New Roman" w:cs="Arial"/>
          <w:color w:val="000000"/>
          <w:szCs w:val="20"/>
          <w:lang w:val="ru-RU"/>
        </w:rPr>
        <w:t>2</w:t>
      </w:r>
      <w:r w:rsidRPr="00F40F0A">
        <w:rPr>
          <w:rFonts w:eastAsia="Times New Roman" w:cs="Arial"/>
          <w:color w:val="000000"/>
          <w:szCs w:val="20"/>
          <w:lang w:val="en-US"/>
        </w:rPr>
        <w:t>C</w:t>
      </w:r>
      <w:r w:rsidRPr="00F40F0A">
        <w:rPr>
          <w:rFonts w:eastAsia="Times New Roman" w:cs="Arial"/>
          <w:color w:val="000000"/>
          <w:szCs w:val="20"/>
          <w:lang w:val="ru-RU"/>
        </w:rPr>
        <w:t xml:space="preserve">19. </w:t>
      </w:r>
      <w:r w:rsidRPr="00F40F0A">
        <w:rPr>
          <w:rFonts w:eastAsia="Times New Roman" w:cs="Arial"/>
          <w:color w:val="000000"/>
          <w:szCs w:val="20"/>
          <w:lang w:eastAsia="bg-BG"/>
        </w:rPr>
        <w:t>Следователно, плазмените концентрации на веществата, които се метаболизират от тези изоензими, ще бъдат понижени при</w:t>
      </w:r>
    </w:p>
    <w:p w14:paraId="285E326D" w14:textId="77777777" w:rsidR="00F40F0A" w:rsidRPr="00F40F0A" w:rsidRDefault="00F40F0A" w:rsidP="00F40F0A">
      <w:pPr>
        <w:rPr>
          <w:rFonts w:eastAsia="Times New Roman" w:cs="Arial"/>
          <w:sz w:val="28"/>
          <w:szCs w:val="24"/>
        </w:rPr>
      </w:pPr>
      <w:r w:rsidRPr="00F40F0A">
        <w:rPr>
          <w:rFonts w:eastAsia="Times New Roman" w:cs="Arial"/>
          <w:color w:val="000000"/>
          <w:szCs w:val="20"/>
          <w:lang w:eastAsia="bg-BG"/>
        </w:rPr>
        <w:t>едновременното прилагане на Ипертазин. Трябва да се има предвид възможността да се промени ефективността на лекарствените продукти, които се метаболизират от тези изоензим и Може да се наложи коригиране на дозата на тези продукти след започване, промяна на дозата или спиране на съпътстващото лечение с Ипертазин.</w:t>
      </w:r>
    </w:p>
    <w:p w14:paraId="7E49544A" w14:textId="77777777" w:rsidR="00F40F0A" w:rsidRPr="00F40F0A" w:rsidRDefault="00F40F0A" w:rsidP="00F40F0A">
      <w:pPr>
        <w:spacing w:line="240" w:lineRule="auto"/>
        <w:rPr>
          <w:rFonts w:eastAsia="Times New Roman" w:cs="Arial"/>
          <w:color w:val="000000"/>
          <w:szCs w:val="20"/>
          <w:lang w:eastAsia="bg-BG"/>
        </w:rPr>
      </w:pPr>
    </w:p>
    <w:p w14:paraId="40C14881" w14:textId="3F280B61"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lang w:eastAsia="bg-BG"/>
        </w:rPr>
        <w:t xml:space="preserve">Бозентан се метаболизира от </w:t>
      </w:r>
      <w:r w:rsidRPr="00F40F0A">
        <w:rPr>
          <w:rFonts w:eastAsia="Times New Roman" w:cs="Arial"/>
          <w:color w:val="000000"/>
          <w:szCs w:val="20"/>
          <w:lang w:val="en-US"/>
        </w:rPr>
        <w:t>CYP</w:t>
      </w:r>
      <w:r w:rsidRPr="00F40F0A">
        <w:rPr>
          <w:rFonts w:eastAsia="Times New Roman" w:cs="Arial"/>
          <w:color w:val="000000"/>
          <w:szCs w:val="20"/>
          <w:lang w:val="ru-RU"/>
        </w:rPr>
        <w:t>2</w:t>
      </w:r>
      <w:r w:rsidRPr="00F40F0A">
        <w:rPr>
          <w:rFonts w:eastAsia="Times New Roman" w:cs="Arial"/>
          <w:color w:val="000000"/>
          <w:szCs w:val="20"/>
          <w:lang w:val="en-US"/>
        </w:rPr>
        <w:t>C</w:t>
      </w:r>
      <w:r w:rsidRPr="00F40F0A">
        <w:rPr>
          <w:rFonts w:eastAsia="Times New Roman" w:cs="Arial"/>
          <w:color w:val="000000"/>
          <w:szCs w:val="20"/>
          <w:lang w:val="ru-RU"/>
        </w:rPr>
        <w:t xml:space="preserve">9 </w:t>
      </w:r>
      <w:r w:rsidRPr="00F40F0A">
        <w:rPr>
          <w:rFonts w:eastAsia="Times New Roman" w:cs="Arial"/>
          <w:color w:val="000000"/>
          <w:szCs w:val="20"/>
          <w:lang w:eastAsia="bg-BG"/>
        </w:rPr>
        <w:t xml:space="preserve">и </w:t>
      </w:r>
      <w:r w:rsidRPr="00F40F0A">
        <w:rPr>
          <w:rFonts w:eastAsia="Times New Roman" w:cs="Arial"/>
          <w:color w:val="000000"/>
          <w:szCs w:val="20"/>
          <w:lang w:val="en-US"/>
        </w:rPr>
        <w:t>CYP</w:t>
      </w:r>
      <w:r w:rsidRPr="00F40F0A">
        <w:rPr>
          <w:rFonts w:eastAsia="Times New Roman" w:cs="Arial"/>
          <w:color w:val="000000"/>
          <w:szCs w:val="20"/>
          <w:lang w:val="ru-RU"/>
        </w:rPr>
        <w:t xml:space="preserve">3 </w:t>
      </w:r>
      <w:r w:rsidRPr="00F40F0A">
        <w:rPr>
          <w:rFonts w:eastAsia="Times New Roman" w:cs="Arial"/>
          <w:color w:val="000000"/>
          <w:szCs w:val="20"/>
          <w:lang w:eastAsia="bg-BG"/>
        </w:rPr>
        <w:t xml:space="preserve">А4. Инхибирането на тези изоензими може да увеличи концентрацията на бозентан в плазмата (виж кетоконазол). Влиянието на </w:t>
      </w:r>
      <w:r w:rsidRPr="00F40F0A">
        <w:rPr>
          <w:rFonts w:eastAsia="Times New Roman" w:cs="Arial"/>
          <w:color w:val="000000"/>
          <w:szCs w:val="20"/>
          <w:lang w:val="en-US"/>
        </w:rPr>
        <w:t>CYP</w:t>
      </w:r>
      <w:r w:rsidRPr="00F40F0A">
        <w:rPr>
          <w:rFonts w:eastAsia="Times New Roman" w:cs="Arial"/>
          <w:color w:val="000000"/>
          <w:szCs w:val="20"/>
          <w:lang w:val="ru-RU"/>
        </w:rPr>
        <w:t>2</w:t>
      </w:r>
      <w:r w:rsidRPr="00F40F0A">
        <w:rPr>
          <w:rFonts w:eastAsia="Times New Roman" w:cs="Arial"/>
          <w:color w:val="000000"/>
          <w:szCs w:val="20"/>
          <w:lang w:val="en-US"/>
        </w:rPr>
        <w:t>C</w:t>
      </w:r>
      <w:r w:rsidRPr="00F40F0A">
        <w:rPr>
          <w:rFonts w:eastAsia="Times New Roman" w:cs="Arial"/>
          <w:color w:val="000000"/>
          <w:szCs w:val="20"/>
          <w:lang w:val="ru-RU"/>
        </w:rPr>
        <w:t xml:space="preserve">9 </w:t>
      </w:r>
      <w:r w:rsidRPr="00F40F0A">
        <w:rPr>
          <w:rFonts w:eastAsia="Times New Roman" w:cs="Arial"/>
          <w:color w:val="000000"/>
          <w:szCs w:val="20"/>
          <w:lang w:eastAsia="bg-BG"/>
        </w:rPr>
        <w:t>инхибитори върху концентрацията на бозентан не е проучено. Тази комбинация трябва да се използва с повишено внимание.</w:t>
      </w:r>
    </w:p>
    <w:p w14:paraId="7C9DAF10" w14:textId="77777777" w:rsidR="00F40F0A" w:rsidRPr="00F40F0A" w:rsidRDefault="00F40F0A" w:rsidP="00F40F0A">
      <w:pPr>
        <w:spacing w:line="240" w:lineRule="auto"/>
        <w:rPr>
          <w:rFonts w:eastAsia="Times New Roman" w:cs="Arial"/>
          <w:i/>
          <w:iCs/>
          <w:color w:val="000000"/>
          <w:szCs w:val="20"/>
          <w:lang w:eastAsia="bg-BG"/>
        </w:rPr>
      </w:pPr>
    </w:p>
    <w:p w14:paraId="52074C96" w14:textId="5E3399BC" w:rsidR="00F40F0A" w:rsidRPr="00F40F0A" w:rsidRDefault="00F40F0A" w:rsidP="00F40F0A">
      <w:pPr>
        <w:spacing w:line="240" w:lineRule="auto"/>
        <w:rPr>
          <w:rFonts w:eastAsia="Times New Roman" w:cs="Arial"/>
          <w:sz w:val="28"/>
          <w:szCs w:val="24"/>
        </w:rPr>
      </w:pPr>
      <w:r w:rsidRPr="00F40F0A">
        <w:rPr>
          <w:rFonts w:eastAsia="Times New Roman" w:cs="Arial"/>
          <w:i/>
          <w:iCs/>
          <w:color w:val="000000"/>
          <w:szCs w:val="20"/>
          <w:lang w:eastAsia="bg-BG"/>
        </w:rPr>
        <w:t xml:space="preserve">Флуконазол и други инхибитори на </w:t>
      </w:r>
      <w:r w:rsidRPr="00F40F0A">
        <w:rPr>
          <w:rFonts w:eastAsia="Times New Roman" w:cs="Arial"/>
          <w:i/>
          <w:iCs/>
          <w:color w:val="000000"/>
          <w:szCs w:val="20"/>
          <w:lang w:val="en-US"/>
        </w:rPr>
        <w:t>CYP</w:t>
      </w:r>
      <w:r w:rsidRPr="00F40F0A">
        <w:rPr>
          <w:rFonts w:eastAsia="Times New Roman" w:cs="Arial"/>
          <w:i/>
          <w:iCs/>
          <w:color w:val="000000"/>
          <w:szCs w:val="20"/>
          <w:lang w:val="ru-RU"/>
        </w:rPr>
        <w:t>2</w:t>
      </w:r>
      <w:r w:rsidRPr="00F40F0A">
        <w:rPr>
          <w:rFonts w:eastAsia="Times New Roman" w:cs="Arial"/>
          <w:i/>
          <w:iCs/>
          <w:color w:val="000000"/>
          <w:szCs w:val="20"/>
          <w:lang w:val="en-US"/>
        </w:rPr>
        <w:t>C</w:t>
      </w:r>
      <w:r w:rsidRPr="00F40F0A">
        <w:rPr>
          <w:rFonts w:eastAsia="Times New Roman" w:cs="Arial"/>
          <w:i/>
          <w:iCs/>
          <w:color w:val="000000"/>
          <w:szCs w:val="20"/>
          <w:lang w:val="ru-RU"/>
        </w:rPr>
        <w:t xml:space="preserve">9 </w:t>
      </w:r>
      <w:r w:rsidRPr="00F40F0A">
        <w:rPr>
          <w:rFonts w:eastAsia="Times New Roman" w:cs="Arial"/>
          <w:i/>
          <w:iCs/>
          <w:color w:val="000000"/>
          <w:szCs w:val="20"/>
          <w:lang w:eastAsia="bg-BG"/>
        </w:rPr>
        <w:t xml:space="preserve">и </w:t>
      </w:r>
      <w:r w:rsidRPr="00F40F0A">
        <w:rPr>
          <w:rFonts w:eastAsia="Times New Roman" w:cs="Arial"/>
          <w:i/>
          <w:iCs/>
          <w:color w:val="000000"/>
          <w:szCs w:val="20"/>
          <w:lang w:val="en-US"/>
        </w:rPr>
        <w:t>CYP</w:t>
      </w:r>
      <w:r w:rsidRPr="00F40F0A">
        <w:rPr>
          <w:rFonts w:eastAsia="Times New Roman" w:cs="Arial"/>
          <w:i/>
          <w:iCs/>
          <w:color w:val="000000"/>
          <w:szCs w:val="20"/>
          <w:lang w:val="ru-RU"/>
        </w:rPr>
        <w:t>3</w:t>
      </w:r>
      <w:r w:rsidRPr="00F40F0A">
        <w:rPr>
          <w:rFonts w:eastAsia="Times New Roman" w:cs="Arial"/>
          <w:i/>
          <w:iCs/>
          <w:color w:val="000000"/>
          <w:szCs w:val="20"/>
          <w:lang w:val="en-US"/>
        </w:rPr>
        <w:t>A</w:t>
      </w:r>
      <w:r w:rsidRPr="00F40F0A">
        <w:rPr>
          <w:rFonts w:eastAsia="Times New Roman" w:cs="Arial"/>
          <w:i/>
          <w:iCs/>
          <w:color w:val="000000"/>
          <w:szCs w:val="20"/>
          <w:lang w:val="ru-RU"/>
        </w:rPr>
        <w:t>4:</w:t>
      </w:r>
      <w:r w:rsidRPr="00F40F0A">
        <w:rPr>
          <w:rFonts w:eastAsia="Times New Roman" w:cs="Arial"/>
          <w:color w:val="000000"/>
          <w:szCs w:val="20"/>
          <w:lang w:val="ru-RU"/>
        </w:rPr>
        <w:t xml:space="preserve"> </w:t>
      </w:r>
      <w:r w:rsidRPr="00F40F0A">
        <w:rPr>
          <w:rFonts w:eastAsia="Times New Roman" w:cs="Arial"/>
          <w:color w:val="000000"/>
          <w:szCs w:val="20"/>
          <w:lang w:eastAsia="bg-BG"/>
        </w:rPr>
        <w:t xml:space="preserve">Едновременното прилагане с флуконазол, който потиска главно </w:t>
      </w:r>
      <w:r w:rsidRPr="00F40F0A">
        <w:rPr>
          <w:rFonts w:eastAsia="Times New Roman" w:cs="Arial"/>
          <w:color w:val="000000"/>
          <w:szCs w:val="20"/>
          <w:lang w:val="en-US"/>
        </w:rPr>
        <w:t>CYP</w:t>
      </w:r>
      <w:r w:rsidRPr="00F40F0A">
        <w:rPr>
          <w:rFonts w:eastAsia="Times New Roman" w:cs="Arial"/>
          <w:color w:val="000000"/>
          <w:szCs w:val="20"/>
          <w:lang w:val="ru-RU"/>
        </w:rPr>
        <w:t>2</w:t>
      </w:r>
      <w:r w:rsidRPr="00F40F0A">
        <w:rPr>
          <w:rFonts w:eastAsia="Times New Roman" w:cs="Arial"/>
          <w:color w:val="000000"/>
          <w:szCs w:val="20"/>
          <w:lang w:val="en-US"/>
        </w:rPr>
        <w:t>C</w:t>
      </w:r>
      <w:r w:rsidRPr="00F40F0A">
        <w:rPr>
          <w:rFonts w:eastAsia="Times New Roman" w:cs="Arial"/>
          <w:color w:val="000000"/>
          <w:szCs w:val="20"/>
          <w:lang w:val="ru-RU"/>
        </w:rPr>
        <w:t xml:space="preserve">9, </w:t>
      </w:r>
      <w:r w:rsidRPr="00F40F0A">
        <w:rPr>
          <w:rFonts w:eastAsia="Times New Roman" w:cs="Arial"/>
          <w:color w:val="000000"/>
          <w:szCs w:val="20"/>
          <w:lang w:eastAsia="bg-BG"/>
        </w:rPr>
        <w:t xml:space="preserve">но до известна степен и </w:t>
      </w:r>
      <w:r w:rsidRPr="00F40F0A">
        <w:rPr>
          <w:rFonts w:eastAsia="Times New Roman" w:cs="Arial"/>
          <w:color w:val="000000"/>
          <w:szCs w:val="20"/>
          <w:lang w:val="en-US"/>
        </w:rPr>
        <w:t>CYP</w:t>
      </w:r>
      <w:r w:rsidRPr="00F40F0A">
        <w:rPr>
          <w:rFonts w:eastAsia="Times New Roman" w:cs="Arial"/>
          <w:color w:val="000000"/>
          <w:szCs w:val="20"/>
          <w:lang w:val="ru-RU"/>
        </w:rPr>
        <w:t>3</w:t>
      </w:r>
      <w:r w:rsidRPr="00F40F0A">
        <w:rPr>
          <w:rFonts w:eastAsia="Times New Roman" w:cs="Arial"/>
          <w:color w:val="000000"/>
          <w:szCs w:val="20"/>
          <w:lang w:eastAsia="bg-BG"/>
        </w:rPr>
        <w:t xml:space="preserve">А4, може да доведе до голямо повишаване на плазмените концентрации на бозентан. Комбинацията не се препоръчва. По същата причина не се препоръчва едновременното прилагане на Ипертазин както с мощен инхибитор на </w:t>
      </w:r>
      <w:r w:rsidRPr="00F40F0A">
        <w:rPr>
          <w:rFonts w:eastAsia="Times New Roman" w:cs="Arial"/>
          <w:color w:val="000000"/>
          <w:szCs w:val="20"/>
          <w:lang w:val="en-US"/>
        </w:rPr>
        <w:t>CYP</w:t>
      </w:r>
      <w:r w:rsidRPr="00F40F0A">
        <w:rPr>
          <w:rFonts w:eastAsia="Times New Roman" w:cs="Arial"/>
          <w:color w:val="000000"/>
          <w:szCs w:val="20"/>
          <w:lang w:val="ru-RU"/>
        </w:rPr>
        <w:t>3</w:t>
      </w:r>
      <w:r w:rsidRPr="00F40F0A">
        <w:rPr>
          <w:rFonts w:eastAsia="Times New Roman" w:cs="Arial"/>
          <w:color w:val="000000"/>
          <w:szCs w:val="20"/>
          <w:lang w:val="en-US"/>
        </w:rPr>
        <w:t>A</w:t>
      </w:r>
      <w:r w:rsidRPr="00F40F0A">
        <w:rPr>
          <w:rFonts w:eastAsia="Times New Roman" w:cs="Arial"/>
          <w:color w:val="000000"/>
          <w:szCs w:val="20"/>
          <w:lang w:val="ru-RU"/>
        </w:rPr>
        <w:t xml:space="preserve">4 </w:t>
      </w:r>
      <w:r w:rsidRPr="00F40F0A">
        <w:rPr>
          <w:rFonts w:eastAsia="Times New Roman" w:cs="Arial"/>
          <w:color w:val="000000"/>
          <w:szCs w:val="20"/>
          <w:lang w:eastAsia="bg-BG"/>
        </w:rPr>
        <w:t xml:space="preserve">(като кетоконазол, итраконазол или ритонавир), така и с инхибитор на </w:t>
      </w:r>
      <w:r w:rsidRPr="00F40F0A">
        <w:rPr>
          <w:rFonts w:eastAsia="Times New Roman" w:cs="Arial"/>
          <w:color w:val="000000"/>
          <w:szCs w:val="20"/>
          <w:lang w:val="en-US"/>
        </w:rPr>
        <w:t>CYP</w:t>
      </w:r>
      <w:r w:rsidRPr="00F40F0A">
        <w:rPr>
          <w:rFonts w:eastAsia="Times New Roman" w:cs="Arial"/>
          <w:color w:val="000000"/>
          <w:szCs w:val="20"/>
          <w:lang w:val="ru-RU"/>
        </w:rPr>
        <w:t>2</w:t>
      </w:r>
      <w:r w:rsidRPr="00F40F0A">
        <w:rPr>
          <w:rFonts w:eastAsia="Times New Roman" w:cs="Arial"/>
          <w:color w:val="000000"/>
          <w:szCs w:val="20"/>
          <w:lang w:val="en-US"/>
        </w:rPr>
        <w:t>C</w:t>
      </w:r>
      <w:r w:rsidRPr="00F40F0A">
        <w:rPr>
          <w:rFonts w:eastAsia="Times New Roman" w:cs="Arial"/>
          <w:color w:val="000000"/>
          <w:szCs w:val="20"/>
          <w:lang w:val="ru-RU"/>
        </w:rPr>
        <w:t xml:space="preserve">9 </w:t>
      </w:r>
      <w:r w:rsidRPr="00F40F0A">
        <w:rPr>
          <w:rFonts w:eastAsia="Times New Roman" w:cs="Arial"/>
          <w:color w:val="000000"/>
          <w:szCs w:val="20"/>
          <w:lang w:eastAsia="bg-BG"/>
        </w:rPr>
        <w:t>(като вориконазол).</w:t>
      </w:r>
    </w:p>
    <w:p w14:paraId="0C633946" w14:textId="77777777" w:rsidR="00F40F0A" w:rsidRPr="00F40F0A" w:rsidRDefault="00F40F0A" w:rsidP="00F40F0A">
      <w:pPr>
        <w:spacing w:line="240" w:lineRule="auto"/>
        <w:rPr>
          <w:rFonts w:eastAsia="Times New Roman" w:cs="Arial"/>
          <w:i/>
          <w:iCs/>
          <w:color w:val="000000"/>
          <w:szCs w:val="20"/>
          <w:lang w:eastAsia="bg-BG"/>
        </w:rPr>
      </w:pPr>
    </w:p>
    <w:p w14:paraId="7D11FA85" w14:textId="4851FCFC" w:rsidR="00F40F0A" w:rsidRPr="00F40F0A" w:rsidRDefault="00F40F0A" w:rsidP="00F40F0A">
      <w:pPr>
        <w:spacing w:line="240" w:lineRule="auto"/>
        <w:rPr>
          <w:rFonts w:eastAsia="Times New Roman" w:cs="Arial"/>
          <w:sz w:val="28"/>
          <w:szCs w:val="24"/>
        </w:rPr>
      </w:pPr>
      <w:r w:rsidRPr="00F40F0A">
        <w:rPr>
          <w:rFonts w:eastAsia="Times New Roman" w:cs="Arial"/>
          <w:i/>
          <w:iCs/>
          <w:color w:val="000000"/>
          <w:szCs w:val="20"/>
          <w:lang w:eastAsia="bg-BG"/>
        </w:rPr>
        <w:t>Циклоспорин А:</w:t>
      </w:r>
      <w:r w:rsidRPr="00F40F0A">
        <w:rPr>
          <w:rFonts w:eastAsia="Times New Roman" w:cs="Arial"/>
          <w:color w:val="000000"/>
          <w:szCs w:val="20"/>
          <w:lang w:eastAsia="bg-BG"/>
        </w:rPr>
        <w:t xml:space="preserve"> Едновременното прилагане на Ипертазин с циклоспорин А (инхибитор на калциневрин) е противопоказано (вж. точка 4.3). При едновременното прилагане, началните плазмени концентрации на бозентан са приблизително 30-пъти по-високи от тези, измерени след бозентан, приложен самостоятелно. При стационарно състояние, плазмените концентрации на бозентан са 3- до 4-пъти по-високи от тези, измерени след бозентан, приложен самостоятелно. Механизмът на това взаимодействие е най-вероятно инхибиране от страна на циклоспорина на медиираното от транспортните протеини поемане на бозентан от хепатоцитите. Концентрациите на циклоспорин А (субстрат на </w:t>
      </w:r>
      <w:r w:rsidRPr="00F40F0A">
        <w:rPr>
          <w:rFonts w:eastAsia="Times New Roman" w:cs="Arial"/>
          <w:color w:val="000000"/>
          <w:szCs w:val="20"/>
          <w:lang w:val="en-US"/>
        </w:rPr>
        <w:t>CYP</w:t>
      </w:r>
      <w:r w:rsidRPr="00F40F0A">
        <w:rPr>
          <w:rFonts w:eastAsia="Times New Roman" w:cs="Arial"/>
          <w:color w:val="000000"/>
          <w:szCs w:val="20"/>
          <w:lang w:val="ru-RU"/>
        </w:rPr>
        <w:t>3</w:t>
      </w:r>
      <w:r w:rsidRPr="00F40F0A">
        <w:rPr>
          <w:rFonts w:eastAsia="Times New Roman" w:cs="Arial"/>
          <w:color w:val="000000"/>
          <w:szCs w:val="20"/>
          <w:lang w:val="en-US"/>
        </w:rPr>
        <w:t>A</w:t>
      </w:r>
      <w:r w:rsidRPr="00F40F0A">
        <w:rPr>
          <w:rFonts w:eastAsia="Times New Roman" w:cs="Arial"/>
          <w:color w:val="000000"/>
          <w:szCs w:val="20"/>
          <w:lang w:val="ru-RU"/>
        </w:rPr>
        <w:t xml:space="preserve">4) </w:t>
      </w:r>
      <w:r w:rsidRPr="00F40F0A">
        <w:rPr>
          <w:rFonts w:eastAsia="Times New Roman" w:cs="Arial"/>
          <w:color w:val="000000"/>
          <w:szCs w:val="20"/>
          <w:lang w:eastAsia="bg-BG"/>
        </w:rPr>
        <w:t xml:space="preserve">в кръвта намаляват приблизително с 50%. Това най-вероятно се дължи на индукцията на </w:t>
      </w:r>
      <w:r w:rsidRPr="00F40F0A">
        <w:rPr>
          <w:rFonts w:eastAsia="Times New Roman" w:cs="Arial"/>
          <w:color w:val="000000"/>
          <w:szCs w:val="20"/>
          <w:lang w:val="en-US"/>
        </w:rPr>
        <w:t>CYP</w:t>
      </w:r>
      <w:r w:rsidRPr="00F40F0A">
        <w:rPr>
          <w:rFonts w:eastAsia="Times New Roman" w:cs="Arial"/>
          <w:color w:val="000000"/>
          <w:szCs w:val="20"/>
          <w:lang w:val="ru-RU"/>
        </w:rPr>
        <w:t>3</w:t>
      </w:r>
      <w:r w:rsidRPr="00F40F0A">
        <w:rPr>
          <w:rFonts w:eastAsia="Times New Roman" w:cs="Arial"/>
          <w:color w:val="000000"/>
          <w:szCs w:val="20"/>
          <w:lang w:val="en-US"/>
        </w:rPr>
        <w:t>A</w:t>
      </w:r>
      <w:r w:rsidRPr="00F40F0A">
        <w:rPr>
          <w:rFonts w:eastAsia="Times New Roman" w:cs="Arial"/>
          <w:color w:val="000000"/>
          <w:szCs w:val="20"/>
          <w:lang w:val="ru-RU"/>
        </w:rPr>
        <w:t xml:space="preserve">4 </w:t>
      </w:r>
      <w:r w:rsidRPr="00F40F0A">
        <w:rPr>
          <w:rFonts w:eastAsia="Times New Roman" w:cs="Arial"/>
          <w:color w:val="000000"/>
          <w:szCs w:val="20"/>
          <w:lang w:eastAsia="bg-BG"/>
        </w:rPr>
        <w:t>от страна на бозентан.</w:t>
      </w:r>
    </w:p>
    <w:p w14:paraId="676AD36C" w14:textId="77777777" w:rsidR="00F40F0A" w:rsidRPr="00F40F0A" w:rsidRDefault="00F40F0A" w:rsidP="00F40F0A">
      <w:pPr>
        <w:spacing w:line="240" w:lineRule="auto"/>
        <w:rPr>
          <w:rFonts w:eastAsia="Times New Roman" w:cs="Arial"/>
          <w:i/>
          <w:iCs/>
          <w:color w:val="000000"/>
          <w:szCs w:val="20"/>
          <w:lang w:eastAsia="bg-BG"/>
        </w:rPr>
      </w:pPr>
    </w:p>
    <w:p w14:paraId="35C4ACF7" w14:textId="5598F138" w:rsidR="00F40F0A" w:rsidRPr="00F40F0A" w:rsidRDefault="00F40F0A" w:rsidP="00F40F0A">
      <w:pPr>
        <w:spacing w:line="240" w:lineRule="auto"/>
        <w:rPr>
          <w:rFonts w:eastAsia="Times New Roman" w:cs="Arial"/>
          <w:sz w:val="28"/>
          <w:szCs w:val="24"/>
        </w:rPr>
      </w:pPr>
      <w:r w:rsidRPr="00F40F0A">
        <w:rPr>
          <w:rFonts w:eastAsia="Times New Roman" w:cs="Arial"/>
          <w:i/>
          <w:iCs/>
          <w:color w:val="000000"/>
          <w:szCs w:val="20"/>
          <w:lang w:eastAsia="bg-BG"/>
        </w:rPr>
        <w:t>Такролимус, сиролимус:</w:t>
      </w:r>
      <w:r w:rsidRPr="00F40F0A">
        <w:rPr>
          <w:rFonts w:eastAsia="Times New Roman" w:cs="Arial"/>
          <w:color w:val="000000"/>
          <w:szCs w:val="20"/>
          <w:lang w:eastAsia="bg-BG"/>
        </w:rPr>
        <w:t xml:space="preserve"> Едновременното прилагане на такролимус или сиролимус с Ипертазин не е изследвано при хора, но по аналогия с едновременното прилагане с циклоспорин А, едновременното прилагане на такролимус или сиролимус с Ипертазин може да доведе до повишаване на плазмените концентрации на бозентан. Съпътстващото лечение с Ипертазин може да намали плазмените концентрации на такролимус и сиролимус. Поради това, едновременната употреба на Ипертазин и такролимус или сиролимус не се препоръчва. Пациентите, при които комбинацията е наложителна, трябва да бъдат проследявани внимателно за нежелани реакции, свързани с Ипертазин, и за плазмените концентрации на такролимус и сиролимус.</w:t>
      </w:r>
    </w:p>
    <w:p w14:paraId="460247C0" w14:textId="77777777" w:rsidR="00F40F0A" w:rsidRPr="00F40F0A" w:rsidRDefault="00F40F0A" w:rsidP="00F40F0A">
      <w:pPr>
        <w:spacing w:line="240" w:lineRule="auto"/>
        <w:rPr>
          <w:rFonts w:eastAsia="Times New Roman" w:cs="Arial"/>
          <w:i/>
          <w:iCs/>
          <w:color w:val="000000"/>
          <w:szCs w:val="20"/>
          <w:lang w:eastAsia="bg-BG"/>
        </w:rPr>
      </w:pPr>
    </w:p>
    <w:p w14:paraId="552C41E4" w14:textId="083DCD86" w:rsidR="00F40F0A" w:rsidRPr="00F40F0A" w:rsidRDefault="00F40F0A" w:rsidP="00F40F0A">
      <w:pPr>
        <w:spacing w:line="240" w:lineRule="auto"/>
        <w:rPr>
          <w:rFonts w:eastAsia="Times New Roman" w:cs="Arial"/>
          <w:sz w:val="28"/>
          <w:szCs w:val="24"/>
        </w:rPr>
      </w:pPr>
      <w:r w:rsidRPr="00F40F0A">
        <w:rPr>
          <w:rFonts w:eastAsia="Times New Roman" w:cs="Arial"/>
          <w:i/>
          <w:iCs/>
          <w:color w:val="000000"/>
          <w:szCs w:val="20"/>
          <w:lang w:eastAsia="bg-BG"/>
        </w:rPr>
        <w:t>Глибенкламид:</w:t>
      </w:r>
      <w:r w:rsidRPr="00F40F0A">
        <w:rPr>
          <w:rFonts w:eastAsia="Times New Roman" w:cs="Arial"/>
          <w:color w:val="000000"/>
          <w:szCs w:val="20"/>
          <w:lang w:eastAsia="bg-BG"/>
        </w:rPr>
        <w:t xml:space="preserve"> Едновременното прилагане с бозентан 125 </w:t>
      </w:r>
      <w:r w:rsidRPr="00F40F0A">
        <w:rPr>
          <w:rFonts w:eastAsia="Times New Roman" w:cs="Arial"/>
          <w:color w:val="000000"/>
          <w:szCs w:val="20"/>
          <w:lang w:val="en-US"/>
        </w:rPr>
        <w:t>mg</w:t>
      </w:r>
      <w:r w:rsidRPr="00F40F0A">
        <w:rPr>
          <w:rFonts w:eastAsia="Times New Roman" w:cs="Arial"/>
          <w:color w:val="000000"/>
          <w:szCs w:val="20"/>
          <w:lang w:val="ru-RU"/>
        </w:rPr>
        <w:t xml:space="preserve"> </w:t>
      </w:r>
      <w:r w:rsidRPr="00F40F0A">
        <w:rPr>
          <w:rFonts w:eastAsia="Times New Roman" w:cs="Arial"/>
          <w:color w:val="000000"/>
          <w:szCs w:val="20"/>
          <w:lang w:eastAsia="bg-BG"/>
        </w:rPr>
        <w:t xml:space="preserve">два пъти дневно в продължение на 5 дни понижава плазмените концентрации на глибенкламид (субстрат на </w:t>
      </w:r>
      <w:r w:rsidRPr="00F40F0A">
        <w:rPr>
          <w:rFonts w:eastAsia="Times New Roman" w:cs="Arial"/>
          <w:color w:val="000000"/>
          <w:szCs w:val="20"/>
          <w:lang w:val="en-US"/>
        </w:rPr>
        <w:t>CYP</w:t>
      </w:r>
      <w:r w:rsidRPr="00F40F0A">
        <w:rPr>
          <w:rFonts w:eastAsia="Times New Roman" w:cs="Arial"/>
          <w:color w:val="000000"/>
          <w:szCs w:val="20"/>
          <w:lang w:val="ru-RU"/>
        </w:rPr>
        <w:t>3</w:t>
      </w:r>
      <w:r w:rsidRPr="00F40F0A">
        <w:rPr>
          <w:rFonts w:eastAsia="Times New Roman" w:cs="Arial"/>
          <w:color w:val="000000"/>
          <w:szCs w:val="20"/>
          <w:lang w:val="en-US"/>
        </w:rPr>
        <w:t>A</w:t>
      </w:r>
      <w:r w:rsidRPr="00F40F0A">
        <w:rPr>
          <w:rFonts w:eastAsia="Times New Roman" w:cs="Arial"/>
          <w:color w:val="000000"/>
          <w:szCs w:val="20"/>
          <w:lang w:val="ru-RU"/>
        </w:rPr>
        <w:t xml:space="preserve">4) </w:t>
      </w:r>
      <w:r w:rsidRPr="00F40F0A">
        <w:rPr>
          <w:rFonts w:eastAsia="Times New Roman" w:cs="Arial"/>
          <w:color w:val="000000"/>
          <w:szCs w:val="20"/>
          <w:lang w:eastAsia="bg-BG"/>
        </w:rPr>
        <w:t xml:space="preserve">с 40%, с възможно значително намаляване на хипогликемичния ефект. Плазмените концентрации на бозентан също се понижават с 29%. Освен това при пациентите, получаващи комбинирана терапия, се наблюдава по-голяма честота на повишаване на аминотрансферазите. Както глибенкламидът, така и бозентанът потискат </w:t>
      </w:r>
      <w:r w:rsidRPr="00F40F0A">
        <w:rPr>
          <w:rFonts w:eastAsia="Times New Roman" w:cs="Arial"/>
          <w:color w:val="000000"/>
          <w:szCs w:val="20"/>
          <w:lang w:eastAsia="bg-BG"/>
        </w:rPr>
        <w:lastRenderedPageBreak/>
        <w:t>експортната помпа на жлъчните соли, което би могло да обясни повишените аминотрансферази. Тази комбинация не трябва да се използва. Няма налични данни за лекарствените взаимодействия с другите сулфанилурейни препарати.</w:t>
      </w:r>
    </w:p>
    <w:p w14:paraId="44C0A3A9" w14:textId="77777777" w:rsidR="00F40F0A" w:rsidRPr="00F40F0A" w:rsidRDefault="00F40F0A" w:rsidP="00F40F0A">
      <w:pPr>
        <w:spacing w:line="240" w:lineRule="auto"/>
        <w:rPr>
          <w:rFonts w:eastAsia="Times New Roman" w:cs="Arial"/>
          <w:i/>
          <w:iCs/>
          <w:color w:val="000000"/>
          <w:szCs w:val="20"/>
          <w:lang w:eastAsia="bg-BG"/>
        </w:rPr>
      </w:pPr>
    </w:p>
    <w:p w14:paraId="2E92436D" w14:textId="5FE5F2E4" w:rsidR="00F40F0A" w:rsidRPr="00F40F0A" w:rsidRDefault="00F40F0A" w:rsidP="00F40F0A">
      <w:pPr>
        <w:spacing w:line="240" w:lineRule="auto"/>
        <w:rPr>
          <w:rFonts w:eastAsia="Times New Roman" w:cs="Arial"/>
          <w:color w:val="000000"/>
          <w:szCs w:val="20"/>
          <w:lang w:eastAsia="bg-BG"/>
        </w:rPr>
      </w:pPr>
      <w:r w:rsidRPr="00F40F0A">
        <w:rPr>
          <w:rFonts w:eastAsia="Times New Roman" w:cs="Arial"/>
          <w:i/>
          <w:iCs/>
          <w:color w:val="000000"/>
          <w:szCs w:val="20"/>
          <w:lang w:eastAsia="bg-BG"/>
        </w:rPr>
        <w:t>Рифампицин:</w:t>
      </w:r>
      <w:r w:rsidRPr="00F40F0A">
        <w:rPr>
          <w:rFonts w:eastAsia="Times New Roman" w:cs="Arial"/>
          <w:color w:val="000000"/>
          <w:szCs w:val="20"/>
          <w:lang w:eastAsia="bg-BG"/>
        </w:rPr>
        <w:t xml:space="preserve"> при 9 здрави пациенти едновременното прилагане в продължение на 7 дни на бозентан 125 </w:t>
      </w:r>
      <w:r w:rsidRPr="00F40F0A">
        <w:rPr>
          <w:rFonts w:eastAsia="Times New Roman" w:cs="Arial"/>
          <w:color w:val="000000"/>
          <w:szCs w:val="20"/>
          <w:lang w:val="en-US"/>
        </w:rPr>
        <w:t>mg</w:t>
      </w:r>
      <w:r w:rsidRPr="00F40F0A">
        <w:rPr>
          <w:rFonts w:eastAsia="Times New Roman" w:cs="Arial"/>
          <w:color w:val="000000"/>
          <w:szCs w:val="20"/>
          <w:lang w:val="ru-RU"/>
        </w:rPr>
        <w:t xml:space="preserve"> </w:t>
      </w:r>
      <w:r w:rsidRPr="00F40F0A">
        <w:rPr>
          <w:rFonts w:eastAsia="Times New Roman" w:cs="Arial"/>
          <w:color w:val="000000"/>
          <w:szCs w:val="20"/>
          <w:lang w:eastAsia="bg-BG"/>
        </w:rPr>
        <w:t xml:space="preserve">два пъти дневно с рифампицин, мощен индуктор на </w:t>
      </w:r>
      <w:r w:rsidRPr="00F40F0A">
        <w:rPr>
          <w:rFonts w:eastAsia="Times New Roman" w:cs="Arial"/>
          <w:color w:val="000000"/>
          <w:szCs w:val="20"/>
          <w:lang w:val="en-US"/>
        </w:rPr>
        <w:t>CYP</w:t>
      </w:r>
      <w:r w:rsidRPr="00F40F0A">
        <w:rPr>
          <w:rFonts w:eastAsia="Times New Roman" w:cs="Arial"/>
          <w:color w:val="000000"/>
          <w:szCs w:val="20"/>
          <w:lang w:val="ru-RU"/>
        </w:rPr>
        <w:t>2</w:t>
      </w:r>
      <w:r w:rsidRPr="00F40F0A">
        <w:rPr>
          <w:rFonts w:eastAsia="Times New Roman" w:cs="Arial"/>
          <w:color w:val="000000"/>
          <w:szCs w:val="20"/>
          <w:lang w:val="en-US"/>
        </w:rPr>
        <w:t>C</w:t>
      </w:r>
      <w:r w:rsidRPr="00F40F0A">
        <w:rPr>
          <w:rFonts w:eastAsia="Times New Roman" w:cs="Arial"/>
          <w:color w:val="000000"/>
          <w:szCs w:val="20"/>
          <w:lang w:val="ru-RU"/>
        </w:rPr>
        <w:t xml:space="preserve">9 </w:t>
      </w:r>
      <w:r w:rsidRPr="00F40F0A">
        <w:rPr>
          <w:rFonts w:eastAsia="Times New Roman" w:cs="Arial"/>
          <w:color w:val="000000"/>
          <w:szCs w:val="20"/>
          <w:lang w:eastAsia="bg-BG"/>
        </w:rPr>
        <w:t xml:space="preserve">и </w:t>
      </w:r>
      <w:r w:rsidRPr="00F40F0A">
        <w:rPr>
          <w:rFonts w:eastAsia="Times New Roman" w:cs="Arial"/>
          <w:color w:val="000000"/>
          <w:szCs w:val="20"/>
          <w:lang w:val="en-US"/>
        </w:rPr>
        <w:t>CYP</w:t>
      </w:r>
      <w:r w:rsidRPr="00F40F0A">
        <w:rPr>
          <w:rFonts w:eastAsia="Times New Roman" w:cs="Arial"/>
          <w:color w:val="000000"/>
          <w:szCs w:val="20"/>
          <w:lang w:val="ru-RU"/>
        </w:rPr>
        <w:t>3</w:t>
      </w:r>
      <w:r w:rsidRPr="00F40F0A">
        <w:rPr>
          <w:rFonts w:eastAsia="Times New Roman" w:cs="Arial"/>
          <w:color w:val="000000"/>
          <w:szCs w:val="20"/>
          <w:lang w:val="en-US"/>
        </w:rPr>
        <w:t>A</w:t>
      </w:r>
      <w:r w:rsidRPr="00F40F0A">
        <w:rPr>
          <w:rFonts w:eastAsia="Times New Roman" w:cs="Arial"/>
          <w:color w:val="000000"/>
          <w:szCs w:val="20"/>
          <w:lang w:val="ru-RU"/>
        </w:rPr>
        <w:t xml:space="preserve">4, </w:t>
      </w:r>
      <w:r w:rsidRPr="00F40F0A">
        <w:rPr>
          <w:rFonts w:eastAsia="Times New Roman" w:cs="Arial"/>
          <w:color w:val="000000"/>
          <w:szCs w:val="20"/>
          <w:lang w:eastAsia="bg-BG"/>
        </w:rPr>
        <w:t xml:space="preserve">понижава плазмените концентрации на бозентан с 58%, като в отделен случай това понижаване би могло да достигне почти 90%. В резултат на това се очаква значително намален ефект на бозентан при едновременното му прилагане с рифампицин. Едновременното прилагане на рифампицин и Ипертазин не се препоръчва. Липсват данни за другите индуктори на </w:t>
      </w:r>
      <w:r w:rsidRPr="00F40F0A">
        <w:rPr>
          <w:rFonts w:eastAsia="Times New Roman" w:cs="Arial"/>
          <w:color w:val="000000"/>
          <w:szCs w:val="20"/>
          <w:lang w:val="en-US"/>
        </w:rPr>
        <w:t>CYP</w:t>
      </w:r>
      <w:r w:rsidRPr="00F40F0A">
        <w:rPr>
          <w:rFonts w:eastAsia="Times New Roman" w:cs="Arial"/>
          <w:color w:val="000000"/>
          <w:szCs w:val="20"/>
          <w:lang w:val="ru-RU"/>
        </w:rPr>
        <w:t>3</w:t>
      </w:r>
      <w:r w:rsidRPr="00F40F0A">
        <w:rPr>
          <w:rFonts w:eastAsia="Times New Roman" w:cs="Arial"/>
          <w:color w:val="000000"/>
          <w:szCs w:val="20"/>
          <w:lang w:eastAsia="bg-BG"/>
        </w:rPr>
        <w:t>А4 например карбамазепин, фенобарбитал, фенитоин и жълт кантарион, но тяхното едновременно прилагане се очаква да доведе до намаляване на системната експозиция на бозентан. Не може</w:t>
      </w:r>
      <w:r w:rsidRPr="00F40F0A">
        <w:rPr>
          <w:rFonts w:eastAsia="Times New Roman" w:cs="Arial"/>
          <w:sz w:val="28"/>
          <w:szCs w:val="24"/>
        </w:rPr>
        <w:t xml:space="preserve"> </w:t>
      </w:r>
      <w:r w:rsidRPr="00F40F0A">
        <w:rPr>
          <w:rFonts w:eastAsia="Times New Roman" w:cs="Arial"/>
          <w:color w:val="000000"/>
          <w:szCs w:val="20"/>
          <w:lang w:eastAsia="bg-BG"/>
        </w:rPr>
        <w:t>да бъде изключено клинично значимо намаляване на ефикасността.</w:t>
      </w:r>
    </w:p>
    <w:p w14:paraId="13A40EAA" w14:textId="17D35093" w:rsidR="00F40F0A" w:rsidRPr="00F40F0A" w:rsidRDefault="00F40F0A" w:rsidP="00F40F0A">
      <w:pPr>
        <w:spacing w:line="240" w:lineRule="auto"/>
        <w:rPr>
          <w:rFonts w:eastAsia="Times New Roman" w:cs="Arial"/>
          <w:color w:val="000000"/>
          <w:szCs w:val="20"/>
          <w:lang w:eastAsia="bg-BG"/>
        </w:rPr>
      </w:pPr>
    </w:p>
    <w:p w14:paraId="2D4A436F" w14:textId="77777777" w:rsidR="00F40F0A" w:rsidRPr="00F40F0A" w:rsidRDefault="00F40F0A" w:rsidP="00F40F0A">
      <w:pPr>
        <w:spacing w:line="240" w:lineRule="auto"/>
        <w:rPr>
          <w:rFonts w:eastAsia="Times New Roman" w:cs="Arial"/>
          <w:sz w:val="28"/>
          <w:szCs w:val="24"/>
        </w:rPr>
      </w:pPr>
      <w:r w:rsidRPr="00F40F0A">
        <w:rPr>
          <w:rFonts w:eastAsia="Times New Roman" w:cs="Arial"/>
          <w:i/>
          <w:iCs/>
          <w:color w:val="000000"/>
          <w:szCs w:val="20"/>
          <w:lang w:eastAsia="bg-BG"/>
        </w:rPr>
        <w:t xml:space="preserve">Лопинавир + ритонавир (и други усилени с ритонавир протеазни инхибитори): </w:t>
      </w:r>
      <w:r w:rsidRPr="00F40F0A">
        <w:rPr>
          <w:rFonts w:eastAsia="Times New Roman" w:cs="Arial"/>
          <w:color w:val="000000"/>
          <w:szCs w:val="20"/>
          <w:lang w:eastAsia="bg-BG"/>
        </w:rPr>
        <w:t xml:space="preserve">Едновременното прилагане на бозентан 125 </w:t>
      </w:r>
      <w:r w:rsidRPr="00F40F0A">
        <w:rPr>
          <w:rFonts w:eastAsia="Times New Roman" w:cs="Arial"/>
          <w:color w:val="000000"/>
          <w:szCs w:val="20"/>
          <w:lang w:val="en-US"/>
        </w:rPr>
        <w:t>mg</w:t>
      </w:r>
      <w:r w:rsidRPr="00F40F0A">
        <w:rPr>
          <w:rFonts w:eastAsia="Times New Roman" w:cs="Arial"/>
          <w:color w:val="000000"/>
          <w:szCs w:val="20"/>
          <w:lang w:val="ru-RU"/>
        </w:rPr>
        <w:t xml:space="preserve"> </w:t>
      </w:r>
      <w:r w:rsidRPr="00F40F0A">
        <w:rPr>
          <w:rFonts w:eastAsia="Times New Roman" w:cs="Arial"/>
          <w:color w:val="000000"/>
          <w:szCs w:val="20"/>
          <w:lang w:eastAsia="bg-BG"/>
        </w:rPr>
        <w:t xml:space="preserve">два пъти дневно и лопинавир + ритонавир 400 + 100 </w:t>
      </w:r>
      <w:r w:rsidRPr="00F40F0A">
        <w:rPr>
          <w:rFonts w:eastAsia="Times New Roman" w:cs="Arial"/>
          <w:color w:val="000000"/>
          <w:szCs w:val="20"/>
          <w:lang w:val="en-US"/>
        </w:rPr>
        <w:t>mg</w:t>
      </w:r>
      <w:r w:rsidRPr="00F40F0A">
        <w:rPr>
          <w:rFonts w:eastAsia="Times New Roman" w:cs="Arial"/>
          <w:color w:val="000000"/>
          <w:szCs w:val="20"/>
          <w:lang w:val="ru-RU"/>
        </w:rPr>
        <w:t xml:space="preserve"> </w:t>
      </w:r>
      <w:r w:rsidRPr="00F40F0A">
        <w:rPr>
          <w:rFonts w:eastAsia="Times New Roman" w:cs="Arial"/>
          <w:color w:val="000000"/>
          <w:szCs w:val="20"/>
          <w:lang w:eastAsia="bg-BG"/>
        </w:rPr>
        <w:t xml:space="preserve">два пъти дневно за 9,5 дни при здрави доброволци води до начални плазмени концентрации на бозентан, които са приблизително 48-пъти по-високи от измерените след самостоятелно приложение на бозентан. В ден 9 плазмените концентрации на бозентан са приблизително 5 пъти по-високи от тези при самостоятелно приложение на бозентан. Инхибирането от страна на ритонавир на медиираното от транспортните протеини проникване на бозентан в хепатоцитите и на </w:t>
      </w:r>
      <w:r w:rsidRPr="00F40F0A">
        <w:rPr>
          <w:rFonts w:eastAsia="Times New Roman" w:cs="Arial"/>
          <w:color w:val="000000"/>
          <w:szCs w:val="20"/>
          <w:lang w:val="en-US"/>
        </w:rPr>
        <w:t>CYP</w:t>
      </w:r>
      <w:r w:rsidRPr="00F40F0A">
        <w:rPr>
          <w:rFonts w:eastAsia="Times New Roman" w:cs="Arial"/>
          <w:color w:val="000000"/>
          <w:szCs w:val="20"/>
          <w:lang w:val="ru-RU"/>
        </w:rPr>
        <w:t>3</w:t>
      </w:r>
      <w:r w:rsidRPr="00F40F0A">
        <w:rPr>
          <w:rFonts w:eastAsia="Times New Roman" w:cs="Arial"/>
          <w:color w:val="000000"/>
          <w:szCs w:val="20"/>
          <w:lang w:val="en-US"/>
        </w:rPr>
        <w:t>A</w:t>
      </w:r>
      <w:r w:rsidRPr="00F40F0A">
        <w:rPr>
          <w:rFonts w:eastAsia="Times New Roman" w:cs="Arial"/>
          <w:color w:val="000000"/>
          <w:szCs w:val="20"/>
          <w:lang w:val="ru-RU"/>
        </w:rPr>
        <w:t xml:space="preserve">4, </w:t>
      </w:r>
      <w:r w:rsidRPr="00F40F0A">
        <w:rPr>
          <w:rFonts w:eastAsia="Times New Roman" w:cs="Arial"/>
          <w:color w:val="000000"/>
          <w:szCs w:val="20"/>
          <w:lang w:eastAsia="bg-BG"/>
        </w:rPr>
        <w:t>водещо до редуциране на клирънса на бозентан, най- вероятно причинява това взаимодействие. Когато се прилага едновременно с лопинавир + ритонавир или други ритонавир-подсилени протеазни инхибитори, поносимостта на пациента към Ипертазин трябва да се следи.</w:t>
      </w:r>
    </w:p>
    <w:p w14:paraId="0436BD3D" w14:textId="77777777" w:rsidR="00F40F0A" w:rsidRPr="00F40F0A" w:rsidRDefault="00F40F0A" w:rsidP="00F40F0A">
      <w:pPr>
        <w:spacing w:line="240" w:lineRule="auto"/>
        <w:rPr>
          <w:rFonts w:eastAsia="Times New Roman" w:cs="Arial"/>
          <w:color w:val="000000"/>
          <w:szCs w:val="20"/>
          <w:lang w:eastAsia="bg-BG"/>
        </w:rPr>
      </w:pPr>
    </w:p>
    <w:p w14:paraId="1509CFDF" w14:textId="3A9BC08D"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lang w:eastAsia="bg-BG"/>
        </w:rPr>
        <w:t xml:space="preserve">След едновременното прилагане на бозентан за 9,5 дни плазмените експозиции на лопинавир и ритонавир намаляват до клинично незначима степен (с приблизително 14% и 17%, съответно). Независимо от това пълна индукция на бозентан може да не бъде достигната и последващо понижаване на протеазните инхибитори не може да се изключи. Препоръчва се подходящо проследяване на </w:t>
      </w:r>
      <w:r w:rsidRPr="00F40F0A">
        <w:rPr>
          <w:rFonts w:eastAsia="Times New Roman" w:cs="Arial"/>
          <w:color w:val="000000"/>
          <w:szCs w:val="20"/>
          <w:lang w:val="en-US"/>
        </w:rPr>
        <w:t>HIV</w:t>
      </w:r>
      <w:r w:rsidRPr="00F40F0A">
        <w:rPr>
          <w:rFonts w:eastAsia="Times New Roman" w:cs="Arial"/>
          <w:color w:val="000000"/>
          <w:szCs w:val="20"/>
          <w:lang w:val="ru-RU"/>
        </w:rPr>
        <w:t xml:space="preserve"> </w:t>
      </w:r>
      <w:r w:rsidRPr="00F40F0A">
        <w:rPr>
          <w:rFonts w:eastAsia="Times New Roman" w:cs="Arial"/>
          <w:color w:val="000000"/>
          <w:szCs w:val="20"/>
          <w:lang w:eastAsia="bg-BG"/>
        </w:rPr>
        <w:t>терапията. Подобни ефекти могат да се очакват и при други ритонавир- подсилени протеазни инхибитори (вж. точка 4.4).</w:t>
      </w:r>
    </w:p>
    <w:p w14:paraId="6BD23B43" w14:textId="77777777" w:rsidR="00F40F0A" w:rsidRPr="00F40F0A" w:rsidRDefault="00F40F0A" w:rsidP="00F40F0A">
      <w:pPr>
        <w:spacing w:line="240" w:lineRule="auto"/>
        <w:rPr>
          <w:rFonts w:eastAsia="Times New Roman" w:cs="Arial"/>
          <w:i/>
          <w:iCs/>
          <w:color w:val="000000"/>
          <w:szCs w:val="20"/>
          <w:lang w:eastAsia="bg-BG"/>
        </w:rPr>
      </w:pPr>
    </w:p>
    <w:p w14:paraId="3478499F" w14:textId="430682BC" w:rsidR="00F40F0A" w:rsidRPr="00F40F0A" w:rsidRDefault="00F40F0A" w:rsidP="00F40F0A">
      <w:pPr>
        <w:spacing w:line="240" w:lineRule="auto"/>
        <w:rPr>
          <w:rFonts w:eastAsia="Times New Roman" w:cs="Arial"/>
          <w:sz w:val="28"/>
          <w:szCs w:val="24"/>
        </w:rPr>
      </w:pPr>
      <w:r w:rsidRPr="00F40F0A">
        <w:rPr>
          <w:rFonts w:eastAsia="Times New Roman" w:cs="Arial"/>
          <w:i/>
          <w:iCs/>
          <w:color w:val="000000"/>
          <w:szCs w:val="20"/>
          <w:lang w:eastAsia="bg-BG"/>
        </w:rPr>
        <w:t>Други антиретровируснилекарства:</w:t>
      </w:r>
      <w:r w:rsidRPr="00F40F0A">
        <w:rPr>
          <w:rFonts w:eastAsia="Times New Roman" w:cs="Arial"/>
          <w:color w:val="000000"/>
          <w:szCs w:val="20"/>
          <w:lang w:eastAsia="bg-BG"/>
        </w:rPr>
        <w:t xml:space="preserve"> не могат да се направят специфични препоръки по отношение на други налични антиретровирусни лекарства, поради липса на данни. Поради подчертаната хепатотоксичност на невирапян, която може да се акумулира с хепатотоксичността на бозентан, тази комбинация не се препоръчва.</w:t>
      </w:r>
    </w:p>
    <w:p w14:paraId="407EDC89" w14:textId="77777777" w:rsidR="00F40F0A" w:rsidRPr="00F40F0A" w:rsidRDefault="00F40F0A" w:rsidP="00F40F0A">
      <w:pPr>
        <w:spacing w:line="240" w:lineRule="auto"/>
        <w:rPr>
          <w:rFonts w:eastAsia="Times New Roman" w:cs="Arial"/>
          <w:i/>
          <w:iCs/>
          <w:color w:val="000000"/>
          <w:szCs w:val="20"/>
          <w:lang w:eastAsia="bg-BG"/>
        </w:rPr>
      </w:pPr>
    </w:p>
    <w:p w14:paraId="05AD27AA" w14:textId="7B3878CA" w:rsidR="00F40F0A" w:rsidRPr="00F40F0A" w:rsidRDefault="00F40F0A" w:rsidP="00F40F0A">
      <w:pPr>
        <w:spacing w:line="240" w:lineRule="auto"/>
        <w:rPr>
          <w:rFonts w:eastAsia="Times New Roman" w:cs="Arial"/>
          <w:sz w:val="28"/>
          <w:szCs w:val="24"/>
        </w:rPr>
      </w:pPr>
      <w:r w:rsidRPr="00F40F0A">
        <w:rPr>
          <w:rFonts w:eastAsia="Times New Roman" w:cs="Arial"/>
          <w:i/>
          <w:iCs/>
          <w:color w:val="000000"/>
          <w:szCs w:val="20"/>
          <w:lang w:eastAsia="bg-BG"/>
        </w:rPr>
        <w:t>Хормонални контрацептиви:</w:t>
      </w:r>
      <w:r w:rsidRPr="00F40F0A">
        <w:rPr>
          <w:rFonts w:eastAsia="Times New Roman" w:cs="Arial"/>
          <w:color w:val="000000"/>
          <w:szCs w:val="20"/>
          <w:lang w:eastAsia="bg-BG"/>
        </w:rPr>
        <w:t xml:space="preserve"> Едновременното прилагане на бозентан 125 </w:t>
      </w:r>
      <w:r w:rsidRPr="00F40F0A">
        <w:rPr>
          <w:rFonts w:eastAsia="Times New Roman" w:cs="Arial"/>
          <w:color w:val="000000"/>
          <w:szCs w:val="20"/>
          <w:lang w:val="en-US"/>
        </w:rPr>
        <w:t>mg</w:t>
      </w:r>
      <w:r w:rsidRPr="00F40F0A">
        <w:rPr>
          <w:rFonts w:eastAsia="Times New Roman" w:cs="Arial"/>
          <w:color w:val="000000"/>
          <w:szCs w:val="20"/>
          <w:lang w:val="ru-RU"/>
        </w:rPr>
        <w:t xml:space="preserve"> </w:t>
      </w:r>
      <w:r w:rsidRPr="00F40F0A">
        <w:rPr>
          <w:rFonts w:eastAsia="Times New Roman" w:cs="Arial"/>
          <w:color w:val="000000"/>
          <w:szCs w:val="20"/>
          <w:lang w:eastAsia="bg-BG"/>
        </w:rPr>
        <w:t xml:space="preserve">два пъти дневно в продължение на 7 дни с единична доза перорален контрацептиив, съдържащ норетистерон 1 </w:t>
      </w:r>
      <w:r w:rsidRPr="00F40F0A">
        <w:rPr>
          <w:rFonts w:eastAsia="Times New Roman" w:cs="Arial"/>
          <w:color w:val="000000"/>
          <w:szCs w:val="20"/>
          <w:lang w:val="en-US"/>
        </w:rPr>
        <w:t>mg</w:t>
      </w:r>
      <w:r w:rsidRPr="00F40F0A">
        <w:rPr>
          <w:rFonts w:eastAsia="Times New Roman" w:cs="Arial"/>
          <w:color w:val="000000"/>
          <w:szCs w:val="20"/>
          <w:lang w:val="ru-RU"/>
        </w:rPr>
        <w:t xml:space="preserve"> </w:t>
      </w:r>
      <w:r w:rsidRPr="00F40F0A">
        <w:rPr>
          <w:rFonts w:eastAsia="Times New Roman" w:cs="Arial"/>
          <w:color w:val="000000"/>
          <w:szCs w:val="20"/>
          <w:lang w:eastAsia="bg-BG"/>
        </w:rPr>
        <w:t>+ етинил естрадиол 35 μ</w:t>
      </w:r>
      <w:r w:rsidRPr="00F40F0A">
        <w:rPr>
          <w:rFonts w:eastAsia="Times New Roman" w:cs="Arial"/>
          <w:color w:val="000000"/>
          <w:szCs w:val="20"/>
          <w:lang w:val="en-US"/>
        </w:rPr>
        <w:t>g</w:t>
      </w:r>
      <w:r w:rsidRPr="00F40F0A">
        <w:rPr>
          <w:rFonts w:eastAsia="Times New Roman" w:cs="Arial"/>
          <w:color w:val="000000"/>
          <w:szCs w:val="20"/>
          <w:lang w:val="ru-RU"/>
        </w:rPr>
        <w:t xml:space="preserve">, </w:t>
      </w:r>
      <w:r w:rsidRPr="00F40F0A">
        <w:rPr>
          <w:rFonts w:eastAsia="Times New Roman" w:cs="Arial"/>
          <w:color w:val="000000"/>
          <w:szCs w:val="20"/>
          <w:lang w:eastAsia="bg-BG"/>
        </w:rPr>
        <w:t xml:space="preserve">намалява площта под кривата </w:t>
      </w:r>
      <w:r w:rsidRPr="00F40F0A">
        <w:rPr>
          <w:rFonts w:eastAsia="Times New Roman" w:cs="Arial"/>
          <w:color w:val="000000"/>
          <w:szCs w:val="20"/>
          <w:lang w:val="ru-RU"/>
        </w:rPr>
        <w:t>(</w:t>
      </w:r>
      <w:r w:rsidRPr="00F40F0A">
        <w:rPr>
          <w:rFonts w:eastAsia="Times New Roman" w:cs="Arial"/>
          <w:color w:val="000000"/>
          <w:szCs w:val="20"/>
          <w:lang w:val="en-US"/>
        </w:rPr>
        <w:t>AUC</w:t>
      </w:r>
      <w:r w:rsidRPr="00F40F0A">
        <w:rPr>
          <w:rFonts w:eastAsia="Times New Roman" w:cs="Arial"/>
          <w:color w:val="000000"/>
          <w:szCs w:val="20"/>
          <w:lang w:val="ru-RU"/>
        </w:rPr>
        <w:t xml:space="preserve"> </w:t>
      </w:r>
      <w:r w:rsidRPr="00F40F0A">
        <w:rPr>
          <w:rFonts w:eastAsia="Times New Roman" w:cs="Arial"/>
          <w:color w:val="000000"/>
          <w:szCs w:val="20"/>
          <w:lang w:eastAsia="bg-BG"/>
        </w:rPr>
        <w:t xml:space="preserve">- </w:t>
      </w:r>
      <w:r w:rsidRPr="00F40F0A">
        <w:rPr>
          <w:rFonts w:eastAsia="Times New Roman" w:cs="Arial"/>
          <w:color w:val="000000"/>
          <w:szCs w:val="20"/>
          <w:lang w:val="en-US"/>
        </w:rPr>
        <w:t>Area</w:t>
      </w:r>
      <w:r w:rsidRPr="00F40F0A">
        <w:rPr>
          <w:rFonts w:eastAsia="Times New Roman" w:cs="Arial"/>
          <w:color w:val="000000"/>
          <w:szCs w:val="20"/>
          <w:lang w:val="ru-RU"/>
        </w:rPr>
        <w:t xml:space="preserve"> </w:t>
      </w:r>
      <w:r w:rsidRPr="00F40F0A">
        <w:rPr>
          <w:rFonts w:eastAsia="Times New Roman" w:cs="Arial"/>
          <w:color w:val="000000"/>
          <w:szCs w:val="20"/>
          <w:lang w:val="en-US"/>
        </w:rPr>
        <w:t>Under</w:t>
      </w:r>
      <w:r w:rsidRPr="00F40F0A">
        <w:rPr>
          <w:rFonts w:eastAsia="Times New Roman" w:cs="Arial"/>
          <w:color w:val="000000"/>
          <w:szCs w:val="20"/>
          <w:lang w:val="ru-RU"/>
        </w:rPr>
        <w:t xml:space="preserve"> </w:t>
      </w:r>
      <w:r w:rsidRPr="00F40F0A">
        <w:rPr>
          <w:rFonts w:eastAsia="Times New Roman" w:cs="Arial"/>
          <w:color w:val="000000"/>
          <w:szCs w:val="20"/>
          <w:lang w:val="en-US"/>
        </w:rPr>
        <w:t>the</w:t>
      </w:r>
      <w:r w:rsidRPr="00F40F0A">
        <w:rPr>
          <w:rFonts w:eastAsia="Times New Roman" w:cs="Arial"/>
          <w:color w:val="000000"/>
          <w:szCs w:val="20"/>
          <w:lang w:val="ru-RU"/>
        </w:rPr>
        <w:t xml:space="preserve"> </w:t>
      </w:r>
      <w:r w:rsidRPr="00F40F0A">
        <w:rPr>
          <w:rFonts w:eastAsia="Times New Roman" w:cs="Arial"/>
          <w:color w:val="000000"/>
          <w:szCs w:val="20"/>
          <w:lang w:val="en-US"/>
        </w:rPr>
        <w:t>Curve</w:t>
      </w:r>
      <w:r w:rsidRPr="00F40F0A">
        <w:rPr>
          <w:rFonts w:eastAsia="Times New Roman" w:cs="Arial"/>
          <w:color w:val="000000"/>
          <w:szCs w:val="20"/>
          <w:lang w:val="ru-RU"/>
        </w:rPr>
        <w:t xml:space="preserve">) </w:t>
      </w:r>
      <w:r w:rsidRPr="00F40F0A">
        <w:rPr>
          <w:rFonts w:eastAsia="Times New Roman" w:cs="Arial"/>
          <w:color w:val="000000"/>
          <w:szCs w:val="20"/>
          <w:lang w:eastAsia="bg-BG"/>
        </w:rPr>
        <w:t>на норетистерон и етинил естрадиол, съответно с 14% и 31%. Но намаляването на експозицията при отделните пациенти е съответно до 56% и 66%. Следователно, самостоятелно приложени контрацептиви на основата на хормони, независимо от пътя им на въвеждане (т.е. перорални, инжекционни, трансдермални или имплантируеми лекарствени форми), не се считат за надеждни методи за контрацепция (вж. точки 4.4 и 4.6).</w:t>
      </w:r>
    </w:p>
    <w:p w14:paraId="5C1B5B0C" w14:textId="77777777" w:rsidR="00F40F0A" w:rsidRPr="00F40F0A" w:rsidRDefault="00F40F0A" w:rsidP="00F40F0A">
      <w:pPr>
        <w:spacing w:line="240" w:lineRule="auto"/>
        <w:rPr>
          <w:rFonts w:eastAsia="Times New Roman" w:cs="Arial"/>
          <w:i/>
          <w:iCs/>
          <w:color w:val="000000"/>
          <w:szCs w:val="20"/>
          <w:lang w:eastAsia="bg-BG"/>
        </w:rPr>
      </w:pPr>
    </w:p>
    <w:p w14:paraId="5ED7627F" w14:textId="5DDF570C" w:rsidR="00F40F0A" w:rsidRPr="00F40F0A" w:rsidRDefault="00F40F0A" w:rsidP="00F40F0A">
      <w:pPr>
        <w:spacing w:line="240" w:lineRule="auto"/>
        <w:rPr>
          <w:rFonts w:eastAsia="Times New Roman" w:cs="Arial"/>
          <w:sz w:val="28"/>
          <w:szCs w:val="24"/>
        </w:rPr>
      </w:pPr>
      <w:r w:rsidRPr="00F40F0A">
        <w:rPr>
          <w:rFonts w:eastAsia="Times New Roman" w:cs="Arial"/>
          <w:i/>
          <w:iCs/>
          <w:color w:val="000000"/>
          <w:szCs w:val="20"/>
          <w:lang w:eastAsia="bg-BG"/>
        </w:rPr>
        <w:lastRenderedPageBreak/>
        <w:t>Варфарин:</w:t>
      </w:r>
      <w:r w:rsidRPr="00F40F0A">
        <w:rPr>
          <w:rFonts w:eastAsia="Times New Roman" w:cs="Arial"/>
          <w:color w:val="000000"/>
          <w:szCs w:val="20"/>
          <w:lang w:eastAsia="bg-BG"/>
        </w:rPr>
        <w:t xml:space="preserve"> Едновременното прилагане с бозентан 500 </w:t>
      </w:r>
      <w:r w:rsidRPr="00F40F0A">
        <w:rPr>
          <w:rFonts w:eastAsia="Times New Roman" w:cs="Arial"/>
          <w:color w:val="000000"/>
          <w:szCs w:val="20"/>
          <w:lang w:val="en-US"/>
        </w:rPr>
        <w:t>mg</w:t>
      </w:r>
      <w:r w:rsidRPr="00F40F0A">
        <w:rPr>
          <w:rFonts w:eastAsia="Times New Roman" w:cs="Arial"/>
          <w:color w:val="000000"/>
          <w:szCs w:val="20"/>
          <w:lang w:val="ru-RU"/>
        </w:rPr>
        <w:t xml:space="preserve"> </w:t>
      </w:r>
      <w:r w:rsidRPr="00F40F0A">
        <w:rPr>
          <w:rFonts w:eastAsia="Times New Roman" w:cs="Arial"/>
          <w:color w:val="000000"/>
          <w:szCs w:val="20"/>
          <w:lang w:eastAsia="bg-BG"/>
        </w:rPr>
        <w:t xml:space="preserve">два пъти дневно в продължение на 6 дни понижава плазмените концентрации както на </w:t>
      </w:r>
      <w:r w:rsidRPr="00F40F0A">
        <w:rPr>
          <w:rFonts w:eastAsia="Times New Roman" w:cs="Arial"/>
          <w:color w:val="000000"/>
          <w:szCs w:val="20"/>
          <w:lang w:val="en-US"/>
        </w:rPr>
        <w:t>S</w:t>
      </w:r>
      <w:r w:rsidRPr="00F40F0A">
        <w:rPr>
          <w:rFonts w:eastAsia="Times New Roman" w:cs="Arial"/>
          <w:color w:val="000000"/>
          <w:szCs w:val="20"/>
          <w:lang w:eastAsia="bg-BG"/>
        </w:rPr>
        <w:t xml:space="preserve">-варфарин (субстрат на </w:t>
      </w:r>
      <w:r w:rsidRPr="00F40F0A">
        <w:rPr>
          <w:rFonts w:eastAsia="Times New Roman" w:cs="Arial"/>
          <w:color w:val="000000"/>
          <w:szCs w:val="20"/>
          <w:lang w:val="en-US"/>
        </w:rPr>
        <w:t>CYP</w:t>
      </w:r>
      <w:r w:rsidRPr="00F40F0A">
        <w:rPr>
          <w:rFonts w:eastAsia="Times New Roman" w:cs="Arial"/>
          <w:color w:val="000000"/>
          <w:szCs w:val="20"/>
          <w:lang w:val="ru-RU"/>
        </w:rPr>
        <w:t>2</w:t>
      </w:r>
      <w:r w:rsidRPr="00F40F0A">
        <w:rPr>
          <w:rFonts w:eastAsia="Times New Roman" w:cs="Arial"/>
          <w:color w:val="000000"/>
          <w:szCs w:val="20"/>
          <w:lang w:val="en-US"/>
        </w:rPr>
        <w:t>C</w:t>
      </w:r>
      <w:r w:rsidRPr="00F40F0A">
        <w:rPr>
          <w:rFonts w:eastAsia="Times New Roman" w:cs="Arial"/>
          <w:color w:val="000000"/>
          <w:szCs w:val="20"/>
          <w:lang w:val="ru-RU"/>
        </w:rPr>
        <w:t xml:space="preserve">9), </w:t>
      </w:r>
      <w:r w:rsidRPr="00F40F0A">
        <w:rPr>
          <w:rFonts w:eastAsia="Times New Roman" w:cs="Arial"/>
          <w:color w:val="000000"/>
          <w:szCs w:val="20"/>
          <w:lang w:eastAsia="bg-BG"/>
        </w:rPr>
        <w:t xml:space="preserve">така и на </w:t>
      </w:r>
      <w:r w:rsidRPr="00F40F0A">
        <w:rPr>
          <w:rFonts w:eastAsia="Times New Roman" w:cs="Arial"/>
          <w:color w:val="000000"/>
          <w:szCs w:val="20"/>
          <w:lang w:val="en-US"/>
        </w:rPr>
        <w:t>R</w:t>
      </w:r>
      <w:r w:rsidRPr="00F40F0A">
        <w:rPr>
          <w:rFonts w:eastAsia="Times New Roman" w:cs="Arial"/>
          <w:color w:val="000000"/>
          <w:szCs w:val="20"/>
          <w:lang w:eastAsia="bg-BG"/>
        </w:rPr>
        <w:t xml:space="preserve">-варфарин (субстрат на </w:t>
      </w:r>
      <w:r w:rsidRPr="00F40F0A">
        <w:rPr>
          <w:rFonts w:eastAsia="Times New Roman" w:cs="Arial"/>
          <w:color w:val="000000"/>
          <w:szCs w:val="20"/>
          <w:lang w:val="en-US"/>
        </w:rPr>
        <w:t>CYP</w:t>
      </w:r>
      <w:r w:rsidRPr="00F40F0A">
        <w:rPr>
          <w:rFonts w:eastAsia="Times New Roman" w:cs="Arial"/>
          <w:color w:val="000000"/>
          <w:szCs w:val="20"/>
          <w:lang w:val="ru-RU"/>
        </w:rPr>
        <w:t>3</w:t>
      </w:r>
      <w:r w:rsidRPr="00F40F0A">
        <w:rPr>
          <w:rFonts w:eastAsia="Times New Roman" w:cs="Arial"/>
          <w:color w:val="000000"/>
          <w:szCs w:val="20"/>
          <w:lang w:val="en-US"/>
        </w:rPr>
        <w:t>A</w:t>
      </w:r>
      <w:r w:rsidRPr="00F40F0A">
        <w:rPr>
          <w:rFonts w:eastAsia="Times New Roman" w:cs="Arial"/>
          <w:color w:val="000000"/>
          <w:szCs w:val="20"/>
          <w:lang w:val="ru-RU"/>
        </w:rPr>
        <w:t xml:space="preserve">4), </w:t>
      </w:r>
      <w:r w:rsidRPr="00F40F0A">
        <w:rPr>
          <w:rFonts w:eastAsia="Times New Roman" w:cs="Arial"/>
          <w:color w:val="000000"/>
          <w:szCs w:val="20"/>
          <w:lang w:eastAsia="bg-BG"/>
        </w:rPr>
        <w:t xml:space="preserve">съответно с 29% н с 38%. Клиничният опит с комбинираното прилагане на бозентан и варфарин при пациенти с БАХ не е довел до клинично значими промени в Международния нормализиран коефициент </w:t>
      </w:r>
      <w:r w:rsidRPr="00F40F0A">
        <w:rPr>
          <w:rFonts w:eastAsia="Times New Roman" w:cs="Arial"/>
          <w:color w:val="000000"/>
          <w:szCs w:val="20"/>
          <w:lang w:val="ru-RU"/>
        </w:rPr>
        <w:t>(</w:t>
      </w:r>
      <w:r w:rsidRPr="00F40F0A">
        <w:rPr>
          <w:rFonts w:eastAsia="Times New Roman" w:cs="Arial"/>
          <w:color w:val="000000"/>
          <w:szCs w:val="20"/>
          <w:lang w:val="en-US"/>
        </w:rPr>
        <w:t>INR</w:t>
      </w:r>
      <w:r w:rsidRPr="00F40F0A">
        <w:rPr>
          <w:rFonts w:eastAsia="Times New Roman" w:cs="Arial"/>
          <w:color w:val="000000"/>
          <w:szCs w:val="20"/>
          <w:lang w:val="ru-RU"/>
        </w:rPr>
        <w:t xml:space="preserve"> </w:t>
      </w:r>
      <w:r w:rsidRPr="00F40F0A">
        <w:rPr>
          <w:rFonts w:eastAsia="Times New Roman" w:cs="Arial"/>
          <w:color w:val="000000"/>
          <w:szCs w:val="20"/>
          <w:lang w:eastAsia="bg-BG"/>
        </w:rPr>
        <w:t xml:space="preserve">- </w:t>
      </w:r>
      <w:r w:rsidRPr="00F40F0A">
        <w:rPr>
          <w:rFonts w:eastAsia="Times New Roman" w:cs="Arial"/>
          <w:color w:val="000000"/>
          <w:szCs w:val="20"/>
          <w:lang w:val="en-US"/>
        </w:rPr>
        <w:t>International</w:t>
      </w:r>
      <w:r w:rsidRPr="00F40F0A">
        <w:rPr>
          <w:rFonts w:eastAsia="Times New Roman" w:cs="Arial"/>
          <w:color w:val="000000"/>
          <w:szCs w:val="20"/>
          <w:lang w:val="ru-RU"/>
        </w:rPr>
        <w:t xml:space="preserve"> </w:t>
      </w:r>
      <w:r w:rsidRPr="00F40F0A">
        <w:rPr>
          <w:rFonts w:eastAsia="Times New Roman" w:cs="Arial"/>
          <w:color w:val="000000"/>
          <w:szCs w:val="20"/>
          <w:lang w:val="en-US"/>
        </w:rPr>
        <w:t>Normalized</w:t>
      </w:r>
      <w:r w:rsidRPr="00F40F0A">
        <w:rPr>
          <w:rFonts w:eastAsia="Times New Roman" w:cs="Arial"/>
          <w:color w:val="000000"/>
          <w:szCs w:val="20"/>
          <w:lang w:val="ru-RU"/>
        </w:rPr>
        <w:t xml:space="preserve"> </w:t>
      </w:r>
      <w:r w:rsidRPr="00F40F0A">
        <w:rPr>
          <w:rFonts w:eastAsia="Times New Roman" w:cs="Arial"/>
          <w:color w:val="000000"/>
          <w:szCs w:val="20"/>
          <w:lang w:val="en-US"/>
        </w:rPr>
        <w:t>Ratio</w:t>
      </w:r>
      <w:r w:rsidRPr="00F40F0A">
        <w:rPr>
          <w:rFonts w:eastAsia="Times New Roman" w:cs="Arial"/>
          <w:color w:val="000000"/>
          <w:szCs w:val="20"/>
          <w:lang w:val="ru-RU"/>
        </w:rPr>
        <w:t xml:space="preserve">) </w:t>
      </w:r>
      <w:r w:rsidRPr="00F40F0A">
        <w:rPr>
          <w:rFonts w:eastAsia="Times New Roman" w:cs="Arial"/>
          <w:color w:val="000000"/>
          <w:szCs w:val="20"/>
          <w:lang w:eastAsia="bg-BG"/>
        </w:rPr>
        <w:t xml:space="preserve">или в дозата на варфарина (в началото срещу края на клиничните проучвания). Освен това, честотата на промените в дозата на варфарина по време на проучванията, дължаща се на промени в </w:t>
      </w:r>
      <w:r w:rsidRPr="00F40F0A">
        <w:rPr>
          <w:rFonts w:eastAsia="Times New Roman" w:cs="Arial"/>
          <w:color w:val="000000"/>
          <w:szCs w:val="20"/>
          <w:lang w:val="en-US"/>
        </w:rPr>
        <w:t>INR</w:t>
      </w:r>
      <w:r w:rsidRPr="00F40F0A">
        <w:rPr>
          <w:rFonts w:eastAsia="Times New Roman" w:cs="Arial"/>
          <w:color w:val="000000"/>
          <w:szCs w:val="20"/>
          <w:lang w:val="ru-RU"/>
        </w:rPr>
        <w:t xml:space="preserve"> </w:t>
      </w:r>
      <w:r w:rsidRPr="00F40F0A">
        <w:rPr>
          <w:rFonts w:eastAsia="Times New Roman" w:cs="Arial"/>
          <w:color w:val="000000"/>
          <w:szCs w:val="20"/>
          <w:lang w:eastAsia="bg-BG"/>
        </w:rPr>
        <w:t xml:space="preserve">или на нежелани реакции, е сходна при пациентите, получаващи бозентан или плацебо. Не се налага корекция на дозата на варфарина или на други подобни орални антикоагулантни средства при започване на лечение с бозентан, но се препоръчва интензивно проследяване на </w:t>
      </w:r>
      <w:r w:rsidRPr="00F40F0A">
        <w:rPr>
          <w:rFonts w:eastAsia="Times New Roman" w:cs="Arial"/>
          <w:color w:val="000000"/>
          <w:szCs w:val="20"/>
          <w:lang w:val="en-US"/>
        </w:rPr>
        <w:t>INR</w:t>
      </w:r>
      <w:r w:rsidRPr="00F40F0A">
        <w:rPr>
          <w:rFonts w:eastAsia="Times New Roman" w:cs="Arial"/>
          <w:color w:val="000000"/>
          <w:szCs w:val="20"/>
          <w:lang w:val="ru-RU"/>
        </w:rPr>
        <w:t xml:space="preserve">, </w:t>
      </w:r>
      <w:r w:rsidRPr="00F40F0A">
        <w:rPr>
          <w:rFonts w:eastAsia="Times New Roman" w:cs="Arial"/>
          <w:color w:val="000000"/>
          <w:szCs w:val="20"/>
          <w:lang w:eastAsia="bg-BG"/>
        </w:rPr>
        <w:t>особено в началото на лечението и в периода на покачване на дозата,</w:t>
      </w:r>
    </w:p>
    <w:p w14:paraId="074F1933" w14:textId="77777777" w:rsidR="00F40F0A" w:rsidRPr="00F40F0A" w:rsidRDefault="00F40F0A" w:rsidP="00F40F0A">
      <w:pPr>
        <w:spacing w:line="240" w:lineRule="auto"/>
        <w:rPr>
          <w:rFonts w:eastAsia="Times New Roman" w:cs="Arial"/>
          <w:i/>
          <w:iCs/>
          <w:color w:val="000000"/>
          <w:szCs w:val="20"/>
          <w:lang w:eastAsia="bg-BG"/>
        </w:rPr>
      </w:pPr>
    </w:p>
    <w:p w14:paraId="07EA95C1" w14:textId="2080C696" w:rsidR="00F40F0A" w:rsidRPr="00F40F0A" w:rsidRDefault="00F40F0A" w:rsidP="00F40F0A">
      <w:pPr>
        <w:spacing w:line="240" w:lineRule="auto"/>
        <w:rPr>
          <w:rFonts w:eastAsia="Times New Roman" w:cs="Arial"/>
          <w:sz w:val="28"/>
          <w:szCs w:val="24"/>
        </w:rPr>
      </w:pPr>
      <w:r w:rsidRPr="00F40F0A">
        <w:rPr>
          <w:rFonts w:eastAsia="Times New Roman" w:cs="Arial"/>
          <w:i/>
          <w:iCs/>
          <w:color w:val="000000"/>
          <w:szCs w:val="20"/>
          <w:lang w:eastAsia="bg-BG"/>
        </w:rPr>
        <w:t>Симвастатин:</w:t>
      </w:r>
      <w:r w:rsidRPr="00F40F0A">
        <w:rPr>
          <w:rFonts w:eastAsia="Times New Roman" w:cs="Arial"/>
          <w:color w:val="000000"/>
          <w:szCs w:val="20"/>
          <w:lang w:eastAsia="bg-BG"/>
        </w:rPr>
        <w:t xml:space="preserve"> Едновременното прилагане с бозентан 125 </w:t>
      </w:r>
      <w:r w:rsidRPr="00F40F0A">
        <w:rPr>
          <w:rFonts w:eastAsia="Times New Roman" w:cs="Arial"/>
          <w:color w:val="000000"/>
          <w:szCs w:val="20"/>
          <w:lang w:val="en-US"/>
        </w:rPr>
        <w:t>mg</w:t>
      </w:r>
      <w:r w:rsidRPr="00F40F0A">
        <w:rPr>
          <w:rFonts w:eastAsia="Times New Roman" w:cs="Arial"/>
          <w:color w:val="000000"/>
          <w:szCs w:val="20"/>
          <w:lang w:val="ru-RU"/>
        </w:rPr>
        <w:t xml:space="preserve"> </w:t>
      </w:r>
      <w:r w:rsidRPr="00F40F0A">
        <w:rPr>
          <w:rFonts w:eastAsia="Times New Roman" w:cs="Arial"/>
          <w:color w:val="000000"/>
          <w:szCs w:val="20"/>
          <w:lang w:eastAsia="bg-BG"/>
        </w:rPr>
        <w:t xml:space="preserve">два пъти дневно в продължение на 5 дни понижава плазмените концентрации на симвастатин (субстрат на </w:t>
      </w:r>
      <w:r w:rsidRPr="00F40F0A">
        <w:rPr>
          <w:rFonts w:eastAsia="Times New Roman" w:cs="Arial"/>
          <w:color w:val="000000"/>
          <w:szCs w:val="20"/>
          <w:lang w:val="en-US"/>
        </w:rPr>
        <w:t>CYP</w:t>
      </w:r>
      <w:r w:rsidRPr="00F40F0A">
        <w:rPr>
          <w:rFonts w:eastAsia="Times New Roman" w:cs="Arial"/>
          <w:color w:val="000000"/>
          <w:szCs w:val="20"/>
          <w:lang w:val="ru-RU"/>
        </w:rPr>
        <w:t>3</w:t>
      </w:r>
      <w:r w:rsidRPr="00F40F0A">
        <w:rPr>
          <w:rFonts w:eastAsia="Times New Roman" w:cs="Arial"/>
          <w:color w:val="000000"/>
          <w:szCs w:val="20"/>
          <w:lang w:val="en-US"/>
        </w:rPr>
        <w:t>A</w:t>
      </w:r>
      <w:r w:rsidRPr="00F40F0A">
        <w:rPr>
          <w:rFonts w:eastAsia="Times New Roman" w:cs="Arial"/>
          <w:color w:val="000000"/>
          <w:szCs w:val="20"/>
          <w:lang w:val="ru-RU"/>
        </w:rPr>
        <w:t xml:space="preserve">4) </w:t>
      </w:r>
      <w:r w:rsidRPr="00F40F0A">
        <w:rPr>
          <w:rFonts w:eastAsia="Times New Roman" w:cs="Arial"/>
          <w:color w:val="000000"/>
          <w:szCs w:val="20"/>
          <w:lang w:eastAsia="bg-BG"/>
        </w:rPr>
        <w:t>и на неговия активен метаболит β-хидрокси киселина, съответно с 34% и с 46%. Плазмените концентрации на бозентан не се повлияват от съпътстващото лечение със симвастатин. Трябва да се има предвид проследяване на нивата на холестерола и последващо коригиране на дозата.</w:t>
      </w:r>
    </w:p>
    <w:p w14:paraId="40724CA3" w14:textId="77777777" w:rsidR="00F40F0A" w:rsidRPr="00F40F0A" w:rsidRDefault="00F40F0A" w:rsidP="00F40F0A">
      <w:pPr>
        <w:spacing w:line="240" w:lineRule="auto"/>
        <w:rPr>
          <w:rFonts w:eastAsia="Times New Roman" w:cs="Arial"/>
          <w:i/>
          <w:iCs/>
          <w:color w:val="000000"/>
          <w:szCs w:val="20"/>
          <w:lang w:eastAsia="bg-BG"/>
        </w:rPr>
      </w:pPr>
    </w:p>
    <w:p w14:paraId="11FAD27A" w14:textId="77777777" w:rsidR="00F40F0A" w:rsidRPr="00F40F0A" w:rsidRDefault="00F40F0A" w:rsidP="00F40F0A">
      <w:pPr>
        <w:rPr>
          <w:rFonts w:eastAsia="Times New Roman" w:cs="Arial"/>
          <w:sz w:val="28"/>
          <w:szCs w:val="24"/>
        </w:rPr>
      </w:pPr>
      <w:r w:rsidRPr="00F40F0A">
        <w:rPr>
          <w:rFonts w:eastAsia="Times New Roman" w:cs="Arial"/>
          <w:i/>
          <w:iCs/>
          <w:color w:val="000000"/>
          <w:szCs w:val="20"/>
          <w:lang w:eastAsia="bg-BG"/>
        </w:rPr>
        <w:t>Кетоконазол:</w:t>
      </w:r>
      <w:r w:rsidRPr="00F40F0A">
        <w:rPr>
          <w:rFonts w:eastAsia="Times New Roman" w:cs="Arial"/>
          <w:color w:val="000000"/>
          <w:szCs w:val="20"/>
          <w:lang w:eastAsia="bg-BG"/>
        </w:rPr>
        <w:t xml:space="preserve"> Едновременното прилагане в продължение на 6 дни на бозентан 62,5 </w:t>
      </w:r>
      <w:r w:rsidRPr="00F40F0A">
        <w:rPr>
          <w:rFonts w:eastAsia="Times New Roman" w:cs="Arial"/>
          <w:color w:val="000000"/>
          <w:szCs w:val="20"/>
          <w:lang w:val="en-US"/>
        </w:rPr>
        <w:t>mg</w:t>
      </w:r>
      <w:r w:rsidRPr="00F40F0A">
        <w:rPr>
          <w:rFonts w:eastAsia="Times New Roman" w:cs="Arial"/>
          <w:color w:val="000000"/>
          <w:szCs w:val="20"/>
          <w:lang w:val="ru-RU"/>
        </w:rPr>
        <w:t xml:space="preserve"> </w:t>
      </w:r>
      <w:r w:rsidRPr="00F40F0A">
        <w:rPr>
          <w:rFonts w:eastAsia="Times New Roman" w:cs="Arial"/>
          <w:color w:val="000000"/>
          <w:szCs w:val="20"/>
          <w:lang w:eastAsia="bg-BG"/>
        </w:rPr>
        <w:t xml:space="preserve">два пъти дневно с кетоконазол, мощен инхибитор на </w:t>
      </w:r>
      <w:r w:rsidRPr="00F40F0A">
        <w:rPr>
          <w:rFonts w:eastAsia="Times New Roman" w:cs="Arial"/>
          <w:color w:val="000000"/>
          <w:szCs w:val="20"/>
          <w:lang w:val="en-US"/>
        </w:rPr>
        <w:t>CYP</w:t>
      </w:r>
      <w:r w:rsidRPr="00F40F0A">
        <w:rPr>
          <w:rFonts w:eastAsia="Times New Roman" w:cs="Arial"/>
          <w:color w:val="000000"/>
          <w:szCs w:val="20"/>
          <w:lang w:val="ru-RU"/>
        </w:rPr>
        <w:t>3</w:t>
      </w:r>
      <w:r w:rsidRPr="00F40F0A">
        <w:rPr>
          <w:rFonts w:eastAsia="Times New Roman" w:cs="Arial"/>
          <w:color w:val="000000"/>
          <w:szCs w:val="20"/>
          <w:lang w:val="en-US"/>
        </w:rPr>
        <w:t>A</w:t>
      </w:r>
      <w:r w:rsidRPr="00F40F0A">
        <w:rPr>
          <w:rFonts w:eastAsia="Times New Roman" w:cs="Arial"/>
          <w:color w:val="000000"/>
          <w:szCs w:val="20"/>
          <w:lang w:val="ru-RU"/>
        </w:rPr>
        <w:t xml:space="preserve">4, </w:t>
      </w:r>
      <w:r w:rsidRPr="00F40F0A">
        <w:rPr>
          <w:rFonts w:eastAsia="Times New Roman" w:cs="Arial"/>
          <w:color w:val="000000"/>
          <w:szCs w:val="20"/>
          <w:lang w:eastAsia="bg-BG"/>
        </w:rPr>
        <w:t xml:space="preserve">повишава плазмените концентрации на бозентан приблизително 2 пъти. Не се счита, че е необходимо да се коригира дозата на Ипертазин, Въпреки, че не е доказано с проучвания </w:t>
      </w:r>
      <w:r w:rsidRPr="00F40F0A">
        <w:rPr>
          <w:rFonts w:eastAsia="Times New Roman" w:cs="Arial"/>
          <w:i/>
          <w:iCs/>
          <w:color w:val="000000"/>
          <w:szCs w:val="20"/>
          <w:lang w:eastAsia="bg-BG"/>
        </w:rPr>
        <w:t>ин виво,</w:t>
      </w:r>
      <w:r w:rsidRPr="00F40F0A">
        <w:rPr>
          <w:rFonts w:eastAsia="Times New Roman" w:cs="Arial"/>
          <w:color w:val="000000"/>
          <w:szCs w:val="20"/>
          <w:lang w:eastAsia="bg-BG"/>
        </w:rPr>
        <w:t xml:space="preserve"> подобно повишаване на плазмените концентрации на бозентан се очаква и с другите мощни инхибитори на </w:t>
      </w:r>
      <w:r w:rsidRPr="00F40F0A">
        <w:rPr>
          <w:rFonts w:eastAsia="Times New Roman" w:cs="Arial"/>
          <w:color w:val="000000"/>
          <w:szCs w:val="20"/>
          <w:lang w:val="en-US"/>
        </w:rPr>
        <w:t>CYP</w:t>
      </w:r>
      <w:r w:rsidRPr="00F40F0A">
        <w:rPr>
          <w:rFonts w:eastAsia="Times New Roman" w:cs="Arial"/>
          <w:color w:val="000000"/>
          <w:szCs w:val="20"/>
          <w:lang w:val="ru-RU"/>
        </w:rPr>
        <w:t>3</w:t>
      </w:r>
      <w:r w:rsidRPr="00F40F0A">
        <w:rPr>
          <w:rFonts w:eastAsia="Times New Roman" w:cs="Arial"/>
          <w:color w:val="000000"/>
          <w:szCs w:val="20"/>
          <w:lang w:val="en-US"/>
        </w:rPr>
        <w:t>A</w:t>
      </w:r>
      <w:r w:rsidRPr="00F40F0A">
        <w:rPr>
          <w:rFonts w:eastAsia="Times New Roman" w:cs="Arial"/>
          <w:color w:val="000000"/>
          <w:szCs w:val="20"/>
          <w:lang w:val="ru-RU"/>
        </w:rPr>
        <w:t xml:space="preserve">4 </w:t>
      </w:r>
      <w:r w:rsidRPr="00F40F0A">
        <w:rPr>
          <w:rFonts w:eastAsia="Times New Roman" w:cs="Arial"/>
          <w:color w:val="000000"/>
          <w:szCs w:val="20"/>
          <w:lang w:eastAsia="bg-BG"/>
        </w:rPr>
        <w:t xml:space="preserve">(като итраконазол или ритонавир). Но когато се комбинира с инхибитор на </w:t>
      </w:r>
      <w:r w:rsidRPr="00F40F0A">
        <w:rPr>
          <w:rFonts w:eastAsia="Times New Roman" w:cs="Arial"/>
          <w:color w:val="000000"/>
          <w:szCs w:val="20"/>
          <w:lang w:val="en-US"/>
        </w:rPr>
        <w:t>CYP</w:t>
      </w:r>
      <w:r w:rsidRPr="00F40F0A">
        <w:rPr>
          <w:rFonts w:eastAsia="Times New Roman" w:cs="Arial"/>
          <w:color w:val="000000"/>
          <w:szCs w:val="20"/>
          <w:lang w:val="ru-RU"/>
        </w:rPr>
        <w:t>3</w:t>
      </w:r>
      <w:r w:rsidRPr="00F40F0A">
        <w:rPr>
          <w:rFonts w:eastAsia="Times New Roman" w:cs="Arial"/>
          <w:color w:val="000000"/>
          <w:szCs w:val="20"/>
          <w:lang w:eastAsia="bg-BG"/>
        </w:rPr>
        <w:t xml:space="preserve">А4, при пациентите, слаби метаболизатори на </w:t>
      </w:r>
      <w:r w:rsidRPr="00F40F0A">
        <w:rPr>
          <w:rFonts w:eastAsia="Times New Roman" w:cs="Arial"/>
          <w:color w:val="000000"/>
          <w:szCs w:val="20"/>
          <w:lang w:val="en-US"/>
        </w:rPr>
        <w:t>CYP</w:t>
      </w:r>
      <w:r w:rsidRPr="00F40F0A">
        <w:rPr>
          <w:rFonts w:eastAsia="Times New Roman" w:cs="Arial"/>
          <w:color w:val="000000"/>
          <w:szCs w:val="20"/>
          <w:lang w:val="ru-RU"/>
        </w:rPr>
        <w:t>2</w:t>
      </w:r>
      <w:r w:rsidRPr="00F40F0A">
        <w:rPr>
          <w:rFonts w:eastAsia="Times New Roman" w:cs="Arial"/>
          <w:color w:val="000000"/>
          <w:szCs w:val="20"/>
          <w:lang w:val="en-US"/>
        </w:rPr>
        <w:t>C</w:t>
      </w:r>
      <w:r w:rsidRPr="00F40F0A">
        <w:rPr>
          <w:rFonts w:eastAsia="Times New Roman" w:cs="Arial"/>
          <w:color w:val="000000"/>
          <w:szCs w:val="20"/>
          <w:lang w:val="ru-RU"/>
        </w:rPr>
        <w:t xml:space="preserve">9, </w:t>
      </w:r>
      <w:r w:rsidRPr="00F40F0A">
        <w:rPr>
          <w:rFonts w:eastAsia="Times New Roman" w:cs="Arial"/>
          <w:color w:val="000000"/>
          <w:szCs w:val="20"/>
          <w:lang w:eastAsia="bg-BG"/>
        </w:rPr>
        <w:t>има риск от повишаване на плазмените концентрации на бозентан в по-висока степен, което да доведе до възможни вредни нежелани реакции..</w:t>
      </w:r>
    </w:p>
    <w:p w14:paraId="49E358AE" w14:textId="77777777" w:rsidR="00F40F0A" w:rsidRPr="00F40F0A" w:rsidRDefault="00F40F0A" w:rsidP="00F40F0A">
      <w:pPr>
        <w:spacing w:line="240" w:lineRule="auto"/>
        <w:rPr>
          <w:rFonts w:eastAsia="Times New Roman" w:cs="Arial"/>
          <w:i/>
          <w:iCs/>
          <w:color w:val="000000"/>
          <w:szCs w:val="20"/>
          <w:lang w:eastAsia="bg-BG"/>
        </w:rPr>
      </w:pPr>
    </w:p>
    <w:p w14:paraId="5E69444C" w14:textId="222D9615" w:rsidR="00F40F0A" w:rsidRPr="00F40F0A" w:rsidRDefault="00F40F0A" w:rsidP="00F40F0A">
      <w:pPr>
        <w:spacing w:line="240" w:lineRule="auto"/>
        <w:rPr>
          <w:rFonts w:eastAsia="Times New Roman" w:cs="Arial"/>
          <w:sz w:val="28"/>
          <w:szCs w:val="24"/>
        </w:rPr>
      </w:pPr>
      <w:r w:rsidRPr="00F40F0A">
        <w:rPr>
          <w:rFonts w:eastAsia="Times New Roman" w:cs="Arial"/>
          <w:i/>
          <w:iCs/>
          <w:color w:val="000000"/>
          <w:szCs w:val="20"/>
          <w:lang w:eastAsia="bg-BG"/>
        </w:rPr>
        <w:t>Епопростенол:</w:t>
      </w:r>
      <w:r w:rsidRPr="00F40F0A">
        <w:rPr>
          <w:rFonts w:eastAsia="Times New Roman" w:cs="Arial"/>
          <w:color w:val="000000"/>
          <w:szCs w:val="20"/>
          <w:lang w:eastAsia="bg-BG"/>
        </w:rPr>
        <w:t xml:space="preserve"> Ограничени данни, получени от проучване </w:t>
      </w:r>
      <w:r w:rsidRPr="00F40F0A">
        <w:rPr>
          <w:rFonts w:eastAsia="Times New Roman" w:cs="Arial"/>
          <w:color w:val="000000"/>
          <w:szCs w:val="20"/>
          <w:lang w:val="ru-RU"/>
        </w:rPr>
        <w:t>(</w:t>
      </w:r>
      <w:r w:rsidRPr="00F40F0A">
        <w:rPr>
          <w:rFonts w:eastAsia="Times New Roman" w:cs="Arial"/>
          <w:color w:val="000000"/>
          <w:szCs w:val="20"/>
          <w:lang w:val="en-US"/>
        </w:rPr>
        <w:t>AC</w:t>
      </w:r>
      <w:r w:rsidRPr="00F40F0A">
        <w:rPr>
          <w:rFonts w:eastAsia="Times New Roman" w:cs="Arial"/>
          <w:color w:val="000000"/>
          <w:szCs w:val="20"/>
          <w:lang w:val="ru-RU"/>
        </w:rPr>
        <w:t>-052-356 [</w:t>
      </w:r>
      <w:r w:rsidRPr="00F40F0A">
        <w:rPr>
          <w:rFonts w:eastAsia="Times New Roman" w:cs="Arial"/>
          <w:color w:val="000000"/>
          <w:szCs w:val="20"/>
          <w:lang w:val="en-US"/>
        </w:rPr>
        <w:t>BREATHE</w:t>
      </w:r>
      <w:r w:rsidRPr="00F40F0A">
        <w:rPr>
          <w:rFonts w:eastAsia="Times New Roman" w:cs="Arial"/>
          <w:color w:val="000000"/>
          <w:szCs w:val="20"/>
          <w:lang w:val="ru-RU"/>
        </w:rPr>
        <w:t xml:space="preserve">-3]), </w:t>
      </w:r>
      <w:r w:rsidRPr="00F40F0A">
        <w:rPr>
          <w:rFonts w:eastAsia="Times New Roman" w:cs="Arial"/>
          <w:color w:val="000000"/>
          <w:szCs w:val="20"/>
          <w:lang w:eastAsia="bg-BG"/>
        </w:rPr>
        <w:t>в което 10 педиатрични пациенти са получавали комбинацията от бозентан и епопростенол сочат, че както след прием на единична, така и след многократни дози, стойностите С</w:t>
      </w:r>
      <w:r w:rsidRPr="00F40F0A">
        <w:rPr>
          <w:rFonts w:eastAsia="Times New Roman" w:cs="Arial"/>
          <w:color w:val="000000"/>
          <w:szCs w:val="20"/>
          <w:lang w:val="en-US"/>
        </w:rPr>
        <w:t>m</w:t>
      </w:r>
      <w:r w:rsidRPr="00F40F0A">
        <w:rPr>
          <w:rFonts w:eastAsia="Times New Roman" w:cs="Arial"/>
          <w:color w:val="000000"/>
          <w:szCs w:val="20"/>
          <w:lang w:eastAsia="bg-BG"/>
        </w:rPr>
        <w:t xml:space="preserve">ах и </w:t>
      </w:r>
      <w:r w:rsidRPr="00F40F0A">
        <w:rPr>
          <w:rFonts w:eastAsia="Times New Roman" w:cs="Arial"/>
          <w:color w:val="000000"/>
          <w:szCs w:val="20"/>
          <w:lang w:val="en-US"/>
        </w:rPr>
        <w:t>AUC</w:t>
      </w:r>
      <w:r w:rsidRPr="00F40F0A">
        <w:rPr>
          <w:rFonts w:eastAsia="Times New Roman" w:cs="Arial"/>
          <w:color w:val="000000"/>
          <w:szCs w:val="20"/>
          <w:lang w:val="ru-RU"/>
        </w:rPr>
        <w:t xml:space="preserve"> </w:t>
      </w:r>
      <w:r w:rsidRPr="00F40F0A">
        <w:rPr>
          <w:rFonts w:eastAsia="Times New Roman" w:cs="Arial"/>
          <w:color w:val="000000"/>
          <w:szCs w:val="20"/>
          <w:lang w:eastAsia="bg-BG"/>
        </w:rPr>
        <w:t>на бозентан са сходни при пациенти на или без непрекъсната инфузия на епопростенол (вж. точка 5.1).</w:t>
      </w:r>
    </w:p>
    <w:p w14:paraId="408E8FC7" w14:textId="77777777" w:rsidR="00F40F0A" w:rsidRPr="00F40F0A" w:rsidRDefault="00F40F0A" w:rsidP="00F40F0A">
      <w:pPr>
        <w:spacing w:line="240" w:lineRule="auto"/>
        <w:rPr>
          <w:rFonts w:eastAsia="Times New Roman" w:cs="Arial"/>
          <w:i/>
          <w:iCs/>
          <w:color w:val="000000"/>
          <w:szCs w:val="20"/>
          <w:lang w:eastAsia="bg-BG"/>
        </w:rPr>
      </w:pPr>
    </w:p>
    <w:p w14:paraId="076DF75F" w14:textId="31CDD5C4" w:rsidR="00F40F0A" w:rsidRPr="00F40F0A" w:rsidRDefault="00F40F0A" w:rsidP="00F40F0A">
      <w:pPr>
        <w:spacing w:line="240" w:lineRule="auto"/>
        <w:rPr>
          <w:rFonts w:eastAsia="Times New Roman" w:cs="Arial"/>
          <w:sz w:val="28"/>
          <w:szCs w:val="24"/>
        </w:rPr>
      </w:pPr>
      <w:r w:rsidRPr="00F40F0A">
        <w:rPr>
          <w:rFonts w:eastAsia="Times New Roman" w:cs="Arial"/>
          <w:i/>
          <w:iCs/>
          <w:color w:val="000000"/>
          <w:szCs w:val="20"/>
          <w:lang w:eastAsia="bg-BG"/>
        </w:rPr>
        <w:t>Силденафил:</w:t>
      </w:r>
      <w:r w:rsidRPr="00F40F0A">
        <w:rPr>
          <w:rFonts w:eastAsia="Times New Roman" w:cs="Arial"/>
          <w:color w:val="000000"/>
          <w:szCs w:val="20"/>
          <w:lang w:eastAsia="bg-BG"/>
        </w:rPr>
        <w:t xml:space="preserve"> Едновременното прилагане на бозентан 125 </w:t>
      </w:r>
      <w:r w:rsidRPr="00F40F0A">
        <w:rPr>
          <w:rFonts w:eastAsia="Times New Roman" w:cs="Arial"/>
          <w:color w:val="000000"/>
          <w:szCs w:val="20"/>
          <w:lang w:val="en-US"/>
        </w:rPr>
        <w:t>mg</w:t>
      </w:r>
      <w:r w:rsidRPr="00F40F0A">
        <w:rPr>
          <w:rFonts w:eastAsia="Times New Roman" w:cs="Arial"/>
          <w:color w:val="000000"/>
          <w:szCs w:val="20"/>
          <w:lang w:val="ru-RU"/>
        </w:rPr>
        <w:t xml:space="preserve"> </w:t>
      </w:r>
      <w:r w:rsidRPr="00F40F0A">
        <w:rPr>
          <w:rFonts w:eastAsia="Times New Roman" w:cs="Arial"/>
          <w:color w:val="000000"/>
          <w:szCs w:val="20"/>
          <w:lang w:eastAsia="bg-BG"/>
        </w:rPr>
        <w:t xml:space="preserve">два пъти дневно (без изменения) със силденафил 80 </w:t>
      </w:r>
      <w:r w:rsidRPr="00F40F0A">
        <w:rPr>
          <w:rFonts w:eastAsia="Times New Roman" w:cs="Arial"/>
          <w:color w:val="000000"/>
          <w:szCs w:val="20"/>
          <w:lang w:val="en-US"/>
        </w:rPr>
        <w:t>mg</w:t>
      </w:r>
      <w:r w:rsidRPr="00F40F0A">
        <w:rPr>
          <w:rFonts w:eastAsia="Times New Roman" w:cs="Arial"/>
          <w:color w:val="000000"/>
          <w:szCs w:val="20"/>
          <w:lang w:val="ru-RU"/>
        </w:rPr>
        <w:t xml:space="preserve"> </w:t>
      </w:r>
      <w:r w:rsidRPr="00F40F0A">
        <w:rPr>
          <w:rFonts w:eastAsia="Times New Roman" w:cs="Arial"/>
          <w:color w:val="000000"/>
          <w:szCs w:val="20"/>
          <w:lang w:eastAsia="bg-BG"/>
        </w:rPr>
        <w:t xml:space="preserve">три пъти на ден (без изменения), в продължение на 6 дни, при здрави доброволци, води до намаление с 63% в </w:t>
      </w:r>
      <w:r w:rsidRPr="00F40F0A">
        <w:rPr>
          <w:rFonts w:eastAsia="Times New Roman" w:cs="Arial"/>
          <w:color w:val="000000"/>
          <w:szCs w:val="20"/>
          <w:lang w:val="en-US"/>
        </w:rPr>
        <w:t>AUC</w:t>
      </w:r>
      <w:r w:rsidRPr="00F40F0A">
        <w:rPr>
          <w:rFonts w:eastAsia="Times New Roman" w:cs="Arial"/>
          <w:color w:val="000000"/>
          <w:szCs w:val="20"/>
          <w:lang w:val="ru-RU"/>
        </w:rPr>
        <w:t xml:space="preserve"> </w:t>
      </w:r>
      <w:r w:rsidRPr="00F40F0A">
        <w:rPr>
          <w:rFonts w:eastAsia="Times New Roman" w:cs="Arial"/>
          <w:color w:val="000000"/>
          <w:szCs w:val="20"/>
          <w:lang w:eastAsia="bg-BG"/>
        </w:rPr>
        <w:t xml:space="preserve">на силденафил и увеличаване с 50% в </w:t>
      </w:r>
      <w:r w:rsidRPr="00F40F0A">
        <w:rPr>
          <w:rFonts w:eastAsia="Times New Roman" w:cs="Arial"/>
          <w:color w:val="000000"/>
          <w:szCs w:val="20"/>
          <w:lang w:val="en-US"/>
        </w:rPr>
        <w:t>AUC</w:t>
      </w:r>
      <w:r w:rsidRPr="00F40F0A">
        <w:rPr>
          <w:rFonts w:eastAsia="Times New Roman" w:cs="Arial"/>
          <w:color w:val="000000"/>
          <w:szCs w:val="20"/>
          <w:lang w:val="ru-RU"/>
        </w:rPr>
        <w:t xml:space="preserve"> </w:t>
      </w:r>
      <w:r w:rsidRPr="00F40F0A">
        <w:rPr>
          <w:rFonts w:eastAsia="Times New Roman" w:cs="Arial"/>
          <w:color w:val="000000"/>
          <w:szCs w:val="20"/>
          <w:lang w:eastAsia="bg-BG"/>
        </w:rPr>
        <w:t>на бозентан. Препоръчва се да се подхожда внимателно при назначаване на едновременен прием.</w:t>
      </w:r>
    </w:p>
    <w:p w14:paraId="6F0BF37D" w14:textId="77777777" w:rsidR="00F40F0A" w:rsidRPr="00F40F0A" w:rsidRDefault="00F40F0A" w:rsidP="00F40F0A">
      <w:pPr>
        <w:spacing w:line="240" w:lineRule="auto"/>
        <w:rPr>
          <w:rFonts w:eastAsia="Times New Roman" w:cs="Arial"/>
          <w:i/>
          <w:iCs/>
          <w:color w:val="000000"/>
          <w:szCs w:val="20"/>
          <w:lang w:eastAsia="bg-BG"/>
        </w:rPr>
      </w:pPr>
    </w:p>
    <w:p w14:paraId="20B7B03C" w14:textId="382E9B63" w:rsidR="00F40F0A" w:rsidRPr="00F40F0A" w:rsidRDefault="00F40F0A" w:rsidP="00F40F0A">
      <w:pPr>
        <w:spacing w:line="240" w:lineRule="auto"/>
        <w:rPr>
          <w:rFonts w:eastAsia="Times New Roman" w:cs="Arial"/>
          <w:sz w:val="28"/>
          <w:szCs w:val="24"/>
        </w:rPr>
      </w:pPr>
      <w:r w:rsidRPr="00F40F0A">
        <w:rPr>
          <w:rFonts w:eastAsia="Times New Roman" w:cs="Arial"/>
          <w:i/>
          <w:iCs/>
          <w:color w:val="000000"/>
          <w:szCs w:val="20"/>
          <w:lang w:eastAsia="bg-BG"/>
        </w:rPr>
        <w:t>Тадалафил:</w:t>
      </w:r>
      <w:r w:rsidRPr="00F40F0A">
        <w:rPr>
          <w:rFonts w:eastAsia="Times New Roman" w:cs="Arial"/>
          <w:color w:val="000000"/>
          <w:szCs w:val="20"/>
          <w:lang w:eastAsia="bg-BG"/>
        </w:rPr>
        <w:t xml:space="preserve"> бозентан(125 </w:t>
      </w:r>
      <w:r w:rsidRPr="00F40F0A">
        <w:rPr>
          <w:rFonts w:eastAsia="Times New Roman" w:cs="Arial"/>
          <w:color w:val="000000"/>
          <w:szCs w:val="20"/>
          <w:lang w:val="en-US"/>
        </w:rPr>
        <w:t>mg</w:t>
      </w:r>
      <w:r w:rsidRPr="00F40F0A">
        <w:rPr>
          <w:rFonts w:eastAsia="Times New Roman" w:cs="Arial"/>
          <w:color w:val="000000"/>
          <w:szCs w:val="20"/>
          <w:lang w:val="ru-RU"/>
        </w:rPr>
        <w:t xml:space="preserve"> </w:t>
      </w:r>
      <w:r w:rsidRPr="00F40F0A">
        <w:rPr>
          <w:rFonts w:eastAsia="Times New Roman" w:cs="Arial"/>
          <w:color w:val="000000"/>
          <w:szCs w:val="20"/>
          <w:lang w:eastAsia="bg-BG"/>
        </w:rPr>
        <w:t xml:space="preserve">два пъти дневно) понижава системната експозиция на тадалафил (40 </w:t>
      </w:r>
      <w:r w:rsidRPr="00F40F0A">
        <w:rPr>
          <w:rFonts w:eastAsia="Times New Roman" w:cs="Arial"/>
          <w:color w:val="000000"/>
          <w:szCs w:val="20"/>
          <w:lang w:val="en-US"/>
        </w:rPr>
        <w:t>mg</w:t>
      </w:r>
      <w:r w:rsidRPr="00F40F0A">
        <w:rPr>
          <w:rFonts w:eastAsia="Times New Roman" w:cs="Arial"/>
          <w:color w:val="000000"/>
          <w:szCs w:val="20"/>
          <w:lang w:val="ru-RU"/>
        </w:rPr>
        <w:t xml:space="preserve"> </w:t>
      </w:r>
      <w:r w:rsidRPr="00F40F0A">
        <w:rPr>
          <w:rFonts w:eastAsia="Times New Roman" w:cs="Arial"/>
          <w:color w:val="000000"/>
          <w:szCs w:val="20"/>
          <w:lang w:eastAsia="bg-BG"/>
        </w:rPr>
        <w:t>веднъж дневно) с 42% и неговата С</w:t>
      </w:r>
      <w:r w:rsidRPr="00F40F0A">
        <w:rPr>
          <w:rFonts w:eastAsia="Times New Roman" w:cs="Arial"/>
          <w:color w:val="000000"/>
          <w:szCs w:val="20"/>
          <w:lang w:val="en-US"/>
        </w:rPr>
        <w:t>m</w:t>
      </w:r>
      <w:r w:rsidRPr="00F40F0A">
        <w:rPr>
          <w:rFonts w:eastAsia="Times New Roman" w:cs="Arial"/>
          <w:color w:val="000000"/>
          <w:szCs w:val="20"/>
          <w:lang w:eastAsia="bg-BG"/>
        </w:rPr>
        <w:t xml:space="preserve">ах с 27% след многократно едновременно прилагане. Тадалафил не повлиява експозицията </w:t>
      </w:r>
      <w:r w:rsidRPr="00F40F0A">
        <w:rPr>
          <w:rFonts w:eastAsia="Times New Roman" w:cs="Arial"/>
          <w:color w:val="000000"/>
          <w:szCs w:val="20"/>
          <w:lang w:val="ru-RU"/>
        </w:rPr>
        <w:t>(</w:t>
      </w:r>
      <w:r w:rsidRPr="00F40F0A">
        <w:rPr>
          <w:rFonts w:eastAsia="Times New Roman" w:cs="Arial"/>
          <w:color w:val="000000"/>
          <w:szCs w:val="20"/>
          <w:lang w:val="en-US"/>
        </w:rPr>
        <w:t>AUC</w:t>
      </w:r>
      <w:r w:rsidRPr="00F40F0A">
        <w:rPr>
          <w:rFonts w:eastAsia="Times New Roman" w:cs="Arial"/>
          <w:color w:val="000000"/>
          <w:szCs w:val="20"/>
          <w:lang w:val="ru-RU"/>
        </w:rPr>
        <w:t xml:space="preserve"> </w:t>
      </w:r>
      <w:r w:rsidRPr="00F40F0A">
        <w:rPr>
          <w:rFonts w:eastAsia="Times New Roman" w:cs="Arial"/>
          <w:color w:val="000000"/>
          <w:szCs w:val="20"/>
          <w:lang w:eastAsia="bg-BG"/>
        </w:rPr>
        <w:t>и Стах) на бозентан или метаболитите му.</w:t>
      </w:r>
    </w:p>
    <w:p w14:paraId="77873D33" w14:textId="77777777" w:rsidR="00F40F0A" w:rsidRPr="00F40F0A" w:rsidRDefault="00F40F0A" w:rsidP="00F40F0A">
      <w:pPr>
        <w:spacing w:line="240" w:lineRule="auto"/>
        <w:rPr>
          <w:rFonts w:eastAsia="Times New Roman" w:cs="Arial"/>
          <w:i/>
          <w:iCs/>
          <w:color w:val="000000"/>
          <w:szCs w:val="20"/>
          <w:lang w:eastAsia="bg-BG"/>
        </w:rPr>
      </w:pPr>
    </w:p>
    <w:p w14:paraId="41F0B488" w14:textId="3888EA09" w:rsidR="00F40F0A" w:rsidRPr="00F40F0A" w:rsidRDefault="00F40F0A" w:rsidP="00F40F0A">
      <w:pPr>
        <w:spacing w:line="240" w:lineRule="auto"/>
        <w:rPr>
          <w:rFonts w:eastAsia="Times New Roman" w:cs="Arial"/>
          <w:sz w:val="28"/>
          <w:szCs w:val="24"/>
        </w:rPr>
      </w:pPr>
      <w:r w:rsidRPr="00F40F0A">
        <w:rPr>
          <w:rFonts w:eastAsia="Times New Roman" w:cs="Arial"/>
          <w:i/>
          <w:iCs/>
          <w:color w:val="000000"/>
          <w:szCs w:val="20"/>
          <w:lang w:eastAsia="bg-BG"/>
        </w:rPr>
        <w:t>Дигоксин:</w:t>
      </w:r>
      <w:r w:rsidRPr="00F40F0A">
        <w:rPr>
          <w:rFonts w:eastAsia="Times New Roman" w:cs="Arial"/>
          <w:color w:val="000000"/>
          <w:szCs w:val="20"/>
          <w:lang w:eastAsia="bg-BG"/>
        </w:rPr>
        <w:t xml:space="preserve"> Едновременното прилагане на бозентан 500 </w:t>
      </w:r>
      <w:r w:rsidRPr="00F40F0A">
        <w:rPr>
          <w:rFonts w:eastAsia="Times New Roman" w:cs="Arial"/>
          <w:color w:val="000000"/>
          <w:szCs w:val="20"/>
          <w:lang w:val="en-US"/>
        </w:rPr>
        <w:t>mg</w:t>
      </w:r>
      <w:r w:rsidRPr="00F40F0A">
        <w:rPr>
          <w:rFonts w:eastAsia="Times New Roman" w:cs="Arial"/>
          <w:color w:val="000000"/>
          <w:szCs w:val="20"/>
          <w:lang w:val="ru-RU"/>
        </w:rPr>
        <w:t xml:space="preserve"> </w:t>
      </w:r>
      <w:r w:rsidRPr="00F40F0A">
        <w:rPr>
          <w:rFonts w:eastAsia="Times New Roman" w:cs="Arial"/>
          <w:color w:val="000000"/>
          <w:szCs w:val="20"/>
          <w:lang w:eastAsia="bg-BG"/>
        </w:rPr>
        <w:t xml:space="preserve">в продължение на 7 дни, два пъти дневно, заедно с дигоксин, намалява </w:t>
      </w:r>
      <w:r w:rsidRPr="00F40F0A">
        <w:rPr>
          <w:rFonts w:eastAsia="Times New Roman" w:cs="Arial"/>
          <w:color w:val="000000"/>
          <w:szCs w:val="20"/>
          <w:lang w:val="en-US"/>
        </w:rPr>
        <w:t>AUC</w:t>
      </w:r>
      <w:r w:rsidRPr="00F40F0A">
        <w:rPr>
          <w:rFonts w:eastAsia="Times New Roman" w:cs="Arial"/>
          <w:color w:val="000000"/>
          <w:szCs w:val="20"/>
          <w:lang w:val="ru-RU"/>
        </w:rPr>
        <w:t xml:space="preserve">, </w:t>
      </w:r>
      <w:r w:rsidRPr="00F40F0A">
        <w:rPr>
          <w:rFonts w:eastAsia="Times New Roman" w:cs="Arial"/>
          <w:color w:val="000000"/>
          <w:szCs w:val="20"/>
          <w:lang w:eastAsia="bg-BG"/>
        </w:rPr>
        <w:t xml:space="preserve">Стах и </w:t>
      </w:r>
      <w:r w:rsidRPr="00F40F0A">
        <w:rPr>
          <w:rFonts w:eastAsia="Times New Roman" w:cs="Arial"/>
          <w:color w:val="000000"/>
          <w:szCs w:val="20"/>
          <w:lang w:val="en-US"/>
        </w:rPr>
        <w:t>Cmin</w:t>
      </w:r>
      <w:r w:rsidRPr="00F40F0A">
        <w:rPr>
          <w:rFonts w:eastAsia="Times New Roman" w:cs="Arial"/>
          <w:color w:val="000000"/>
          <w:szCs w:val="20"/>
          <w:lang w:val="ru-RU"/>
        </w:rPr>
        <w:t xml:space="preserve"> </w:t>
      </w:r>
      <w:r w:rsidRPr="00F40F0A">
        <w:rPr>
          <w:rFonts w:eastAsia="Times New Roman" w:cs="Arial"/>
          <w:color w:val="000000"/>
          <w:szCs w:val="20"/>
          <w:lang w:eastAsia="bg-BG"/>
        </w:rPr>
        <w:t xml:space="preserve">на дигоксин съответно с </w:t>
      </w:r>
      <w:r w:rsidRPr="00F40F0A">
        <w:rPr>
          <w:rFonts w:eastAsia="Times New Roman" w:cs="Arial"/>
          <w:color w:val="000000"/>
          <w:szCs w:val="20"/>
          <w:lang w:eastAsia="bg-BG"/>
        </w:rPr>
        <w:lastRenderedPageBreak/>
        <w:t>12%, 9% и 23%. Механизмът за това взаимодействие може да се дължи на индуцирането на Р- гликопротеин. Това взаимодействие е слабо вероятно да има клинична значимост.</w:t>
      </w:r>
    </w:p>
    <w:p w14:paraId="32CB9833" w14:textId="77777777" w:rsidR="00F40F0A" w:rsidRPr="00F40F0A" w:rsidRDefault="00F40F0A" w:rsidP="00F40F0A">
      <w:pPr>
        <w:spacing w:line="240" w:lineRule="auto"/>
        <w:rPr>
          <w:rFonts w:eastAsia="Times New Roman" w:cs="Arial"/>
          <w:color w:val="000000"/>
          <w:szCs w:val="20"/>
          <w:u w:val="single"/>
          <w:lang w:eastAsia="bg-BG"/>
        </w:rPr>
      </w:pPr>
    </w:p>
    <w:p w14:paraId="4A4A8ADD" w14:textId="1A43B6E1"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u w:val="single"/>
          <w:lang w:eastAsia="bg-BG"/>
        </w:rPr>
        <w:t>Педиатрична популация</w:t>
      </w:r>
    </w:p>
    <w:p w14:paraId="28BE28BD" w14:textId="77777777"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lang w:eastAsia="bg-BG"/>
        </w:rPr>
        <w:t>Проучвания на взаимодействията са провеждано само при възрастни.</w:t>
      </w:r>
    </w:p>
    <w:p w14:paraId="20C6CF73" w14:textId="26D4A636" w:rsidR="00F40F0A" w:rsidRPr="00F40F0A" w:rsidRDefault="00F40F0A" w:rsidP="00F40F0A">
      <w:pPr>
        <w:spacing w:line="240" w:lineRule="auto"/>
        <w:rPr>
          <w:rFonts w:ascii="Times New Roman" w:eastAsia="Times New Roman" w:hAnsi="Times New Roman" w:cs="Times New Roman"/>
          <w:sz w:val="24"/>
          <w:szCs w:val="24"/>
        </w:rPr>
      </w:pPr>
    </w:p>
    <w:p w14:paraId="5D9F40EA" w14:textId="46F93D82" w:rsidR="007122AD" w:rsidRDefault="002C50EE" w:rsidP="00936AD0">
      <w:pPr>
        <w:pStyle w:val="Heading2"/>
      </w:pPr>
      <w:r>
        <w:t>4.6. Фертилитет, бременност и кърмене</w:t>
      </w:r>
    </w:p>
    <w:p w14:paraId="62B98089" w14:textId="0184FF96" w:rsidR="00F40F0A" w:rsidRDefault="00F40F0A" w:rsidP="00F40F0A"/>
    <w:p w14:paraId="1F3F721A" w14:textId="77777777" w:rsidR="00F40F0A" w:rsidRPr="00F40F0A" w:rsidRDefault="00F40F0A" w:rsidP="00F40F0A">
      <w:pPr>
        <w:pStyle w:val="Heading3"/>
        <w:rPr>
          <w:rFonts w:eastAsia="Times New Roman"/>
          <w:sz w:val="28"/>
          <w:u w:val="single"/>
        </w:rPr>
      </w:pPr>
      <w:r w:rsidRPr="00F40F0A">
        <w:rPr>
          <w:rFonts w:eastAsia="Times New Roman"/>
          <w:u w:val="single"/>
          <w:lang w:eastAsia="bg-BG"/>
        </w:rPr>
        <w:t>Бременност</w:t>
      </w:r>
    </w:p>
    <w:p w14:paraId="3F727502" w14:textId="77777777" w:rsidR="00F40F0A" w:rsidRPr="00F40F0A" w:rsidRDefault="00F40F0A" w:rsidP="00F40F0A">
      <w:pPr>
        <w:spacing w:line="240" w:lineRule="auto"/>
        <w:rPr>
          <w:rFonts w:eastAsia="Times New Roman" w:cs="Arial"/>
          <w:color w:val="000000"/>
          <w:szCs w:val="20"/>
          <w:lang w:eastAsia="bg-BG"/>
        </w:rPr>
      </w:pPr>
    </w:p>
    <w:p w14:paraId="60090A90" w14:textId="098E9EE5"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lang w:eastAsia="bg-BG"/>
        </w:rPr>
        <w:t>Проучванията при животни са показали репродуктивна токсичност (тератогенност, ембриотоксичност, вж. точка 5.3). Няма надеждна информация за употребата на Ипертазин при бременни жени. Потенциалният риск при хората все още не е известен. Ипертазин е противопоказен при бременност (вж. точка 4.3).</w:t>
      </w:r>
    </w:p>
    <w:p w14:paraId="7DF4A10B" w14:textId="77777777" w:rsidR="00F40F0A" w:rsidRPr="00F40F0A" w:rsidRDefault="00F40F0A" w:rsidP="00F40F0A">
      <w:pPr>
        <w:spacing w:line="240" w:lineRule="auto"/>
        <w:rPr>
          <w:rFonts w:eastAsia="Times New Roman" w:cs="Arial"/>
          <w:color w:val="000000"/>
          <w:szCs w:val="20"/>
          <w:u w:val="single"/>
          <w:lang w:eastAsia="bg-BG"/>
        </w:rPr>
      </w:pPr>
    </w:p>
    <w:p w14:paraId="55E71C37" w14:textId="24FFA1F3"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u w:val="single"/>
          <w:lang w:eastAsia="bg-BG"/>
        </w:rPr>
        <w:t>Жени с детероден потенциал</w:t>
      </w:r>
    </w:p>
    <w:p w14:paraId="3B3C4A60" w14:textId="77777777" w:rsidR="00F40F0A" w:rsidRPr="00F40F0A" w:rsidRDefault="00F40F0A" w:rsidP="00F40F0A">
      <w:pPr>
        <w:rPr>
          <w:rFonts w:eastAsia="Times New Roman" w:cs="Arial"/>
          <w:color w:val="000000"/>
          <w:szCs w:val="20"/>
          <w:lang w:eastAsia="bg-BG"/>
        </w:rPr>
      </w:pPr>
    </w:p>
    <w:p w14:paraId="664DBB9D" w14:textId="12FE1A25" w:rsidR="00F40F0A" w:rsidRPr="00F40F0A" w:rsidRDefault="00F40F0A" w:rsidP="00F40F0A">
      <w:pPr>
        <w:rPr>
          <w:rFonts w:eastAsia="Times New Roman" w:cs="Arial"/>
          <w:color w:val="000000"/>
          <w:szCs w:val="20"/>
          <w:lang w:eastAsia="bg-BG"/>
        </w:rPr>
      </w:pPr>
      <w:r w:rsidRPr="00F40F0A">
        <w:rPr>
          <w:rFonts w:eastAsia="Times New Roman" w:cs="Arial"/>
          <w:color w:val="000000"/>
          <w:szCs w:val="20"/>
          <w:lang w:eastAsia="bg-BG"/>
        </w:rPr>
        <w:t>Преди започване на лечение с Ипертазин при жени със детероден потенциал трябва да се провери, че не е налице бременност, трябва да се дадат подходящи съвети относно надеждни методи за контрацепция, като трябвала се започне и прилагането на подходяща контрацепция. Пациентите и лекарите, предписващи лечението, трябва да знаят, че поради възможни фармакокинетични взаимодействия, Ипертазин може да направи неефективни хормоналните контрацептиви (вж. точка 4.5). Поради това, жените с детероден потенциал не трябва да използват хормоналните контрацептиви (в това число перорални, инжекционни, транедермални или под формата на имплантати) като единствен метод на контрацепция, а да използват допълнителен или алтернативен надежден метод на контрацепция. Ако съществува съмнение относно това, какъв съвет да се даде на конкретен пациент, трябва да му се препоръча консултация с гинеколог. Поради съществуващата вероятност от неуспех от прилагането на хормонална контрацепция по време на лечение с Ипертазин и като се има предвид рискът от</w:t>
      </w:r>
      <w:r w:rsidRPr="00F40F0A">
        <w:rPr>
          <w:rFonts w:eastAsia="Times New Roman" w:cs="Arial"/>
          <w:color w:val="000000"/>
          <w:szCs w:val="20"/>
          <w:vertAlign w:val="superscript"/>
          <w:lang w:eastAsia="bg-BG"/>
        </w:rPr>
        <w:t xml:space="preserve"> </w:t>
      </w:r>
      <w:r w:rsidRPr="00F40F0A">
        <w:rPr>
          <w:rFonts w:eastAsia="Times New Roman" w:cs="Arial"/>
          <w:color w:val="000000"/>
          <w:szCs w:val="20"/>
          <w:lang w:eastAsia="bg-BG"/>
        </w:rPr>
        <w:t>тежко влошаване на белодробната хипертония при бременност, по време на лечението с Ипертазин се препоръчва да се правят ежемесечни тестове за бременност с цел ранно откриване на бременността.</w:t>
      </w:r>
    </w:p>
    <w:p w14:paraId="393DCC0B" w14:textId="12C98A3B" w:rsidR="00F40F0A" w:rsidRPr="00F40F0A" w:rsidRDefault="00F40F0A" w:rsidP="00F40F0A">
      <w:pPr>
        <w:rPr>
          <w:rFonts w:eastAsia="Times New Roman" w:cs="Arial"/>
          <w:color w:val="000000"/>
          <w:szCs w:val="20"/>
          <w:lang w:eastAsia="bg-BG"/>
        </w:rPr>
      </w:pPr>
    </w:p>
    <w:p w14:paraId="4D8E55CF" w14:textId="77777777" w:rsidR="00F40F0A" w:rsidRPr="00F40F0A" w:rsidRDefault="00F40F0A" w:rsidP="00F40F0A">
      <w:pPr>
        <w:pStyle w:val="Heading3"/>
        <w:rPr>
          <w:rFonts w:eastAsia="Times New Roman"/>
          <w:sz w:val="28"/>
          <w:u w:val="single"/>
        </w:rPr>
      </w:pPr>
      <w:r w:rsidRPr="00F40F0A">
        <w:rPr>
          <w:rFonts w:eastAsia="Times New Roman"/>
          <w:u w:val="single"/>
          <w:lang w:eastAsia="bg-BG"/>
        </w:rPr>
        <w:t>Кърмене</w:t>
      </w:r>
    </w:p>
    <w:p w14:paraId="1CF63AA0" w14:textId="77777777" w:rsidR="00F40F0A" w:rsidRPr="00F40F0A" w:rsidRDefault="00F40F0A" w:rsidP="00F40F0A">
      <w:pPr>
        <w:spacing w:line="240" w:lineRule="auto"/>
        <w:rPr>
          <w:rFonts w:eastAsia="Times New Roman" w:cs="Arial"/>
          <w:color w:val="000000"/>
          <w:szCs w:val="20"/>
          <w:lang w:eastAsia="bg-BG"/>
        </w:rPr>
      </w:pPr>
    </w:p>
    <w:p w14:paraId="687EC475" w14:textId="7538BEA2"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lang w:eastAsia="bg-BG"/>
        </w:rPr>
        <w:t>Не е известно дали бозентан се излъчва в майчиното мляко при хора. Не се препоръчва да се кърми по време на лечение с Ипертазин.</w:t>
      </w:r>
    </w:p>
    <w:p w14:paraId="77363268" w14:textId="77777777" w:rsidR="00F40F0A" w:rsidRPr="00F40F0A" w:rsidRDefault="00F40F0A" w:rsidP="00F40F0A">
      <w:pPr>
        <w:spacing w:line="240" w:lineRule="auto"/>
        <w:rPr>
          <w:rFonts w:eastAsia="Times New Roman" w:cs="Arial"/>
          <w:color w:val="000000"/>
          <w:szCs w:val="20"/>
          <w:u w:val="single"/>
          <w:lang w:eastAsia="bg-BG"/>
        </w:rPr>
      </w:pPr>
    </w:p>
    <w:p w14:paraId="6243A9AC" w14:textId="701881BD" w:rsidR="00F40F0A" w:rsidRPr="00F40F0A" w:rsidRDefault="00F40F0A" w:rsidP="00F40F0A">
      <w:pPr>
        <w:pStyle w:val="Heading3"/>
        <w:rPr>
          <w:rFonts w:eastAsia="Times New Roman"/>
          <w:sz w:val="28"/>
          <w:u w:val="single"/>
        </w:rPr>
      </w:pPr>
      <w:r w:rsidRPr="00F40F0A">
        <w:rPr>
          <w:rFonts w:eastAsia="Times New Roman"/>
          <w:u w:val="single"/>
          <w:lang w:eastAsia="bg-BG"/>
        </w:rPr>
        <w:t>Фертилитет</w:t>
      </w:r>
    </w:p>
    <w:p w14:paraId="6C64BFA1" w14:textId="77777777" w:rsidR="00F40F0A" w:rsidRPr="00F40F0A" w:rsidRDefault="00F40F0A" w:rsidP="00F40F0A">
      <w:pPr>
        <w:spacing w:line="240" w:lineRule="auto"/>
        <w:rPr>
          <w:rFonts w:eastAsia="Times New Roman" w:cs="Arial"/>
          <w:color w:val="000000"/>
          <w:szCs w:val="20"/>
          <w:lang w:eastAsia="bg-BG"/>
        </w:rPr>
      </w:pPr>
    </w:p>
    <w:p w14:paraId="58D11E46" w14:textId="698347C2"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lang w:eastAsia="bg-BG"/>
        </w:rPr>
        <w:t xml:space="preserve">Проучванията при животни са показали тестикуларни ефекти (вж, точка 5.3). При клинично проучване, изследващо ефектите на бозентан върху тестикуларната функция при пациенти от мъжки пол с БАХ, шест от 24-те субекта (25%) са показали намалена концентрация на сперматозоидите (поне 50%) в сравнение с изходното ниво след </w:t>
      </w:r>
      <w:r w:rsidRPr="00F40F0A">
        <w:rPr>
          <w:rFonts w:eastAsia="Times New Roman" w:cs="Arial"/>
          <w:i/>
          <w:iCs/>
          <w:color w:val="000000"/>
          <w:szCs w:val="20"/>
          <w:lang w:eastAsia="bg-BG"/>
        </w:rPr>
        <w:t>6</w:t>
      </w:r>
      <w:r w:rsidRPr="00F40F0A">
        <w:rPr>
          <w:rFonts w:eastAsia="Times New Roman" w:cs="Arial"/>
          <w:color w:val="000000"/>
          <w:szCs w:val="20"/>
          <w:lang w:eastAsia="bg-BG"/>
        </w:rPr>
        <w:t xml:space="preserve"> месеца лечение с бозентан. Въз основа на тези находки и предклиничните данни, не може да се изключи, че бозентан може да има увреждащ ефект върху сперматогенезата </w:t>
      </w:r>
      <w:r w:rsidRPr="00F40F0A">
        <w:rPr>
          <w:rFonts w:eastAsia="Times New Roman" w:cs="Arial"/>
          <w:color w:val="000000"/>
          <w:szCs w:val="20"/>
          <w:lang w:eastAsia="bg-BG"/>
        </w:rPr>
        <w:lastRenderedPageBreak/>
        <w:t>при мъжете. Не може да се изключи дългосрочно влияние върху фертилитета след лечение с бозентан при деца от мъжки пол.</w:t>
      </w:r>
    </w:p>
    <w:p w14:paraId="58C8B0CE" w14:textId="77777777" w:rsidR="00F40F0A" w:rsidRPr="00F40F0A" w:rsidRDefault="00F40F0A" w:rsidP="00F40F0A"/>
    <w:p w14:paraId="5DD7A76D" w14:textId="5AF34692" w:rsidR="007122AD" w:rsidRDefault="002C50EE" w:rsidP="00936AD0">
      <w:pPr>
        <w:pStyle w:val="Heading2"/>
      </w:pPr>
      <w:r>
        <w:t>4.7. Ефекти върху способността за шофиране и работа с машини</w:t>
      </w:r>
    </w:p>
    <w:p w14:paraId="41E72EA6" w14:textId="5CF56773" w:rsidR="00F40F0A" w:rsidRDefault="00F40F0A" w:rsidP="00F40F0A"/>
    <w:p w14:paraId="50D7D6B7" w14:textId="77777777" w:rsidR="00F40F0A" w:rsidRPr="00F40F0A" w:rsidRDefault="00F40F0A" w:rsidP="00F40F0A">
      <w:pPr>
        <w:rPr>
          <w:sz w:val="24"/>
          <w:szCs w:val="24"/>
        </w:rPr>
      </w:pPr>
      <w:r w:rsidRPr="00F40F0A">
        <w:rPr>
          <w:lang w:eastAsia="bg-BG"/>
        </w:rPr>
        <w:t>Не са провеждани специфични проучвания за оценка на прекия ефект на Ипертазин върху способността за шофиране и работа с машини. Въпреки това, Ипертазин може да причини хипотония, със замаяност, замъглено зрение или синкоп, които биха могли да повлияят способността за шофиране или работа с машини.</w:t>
      </w:r>
    </w:p>
    <w:p w14:paraId="4D8E9C1D" w14:textId="77777777" w:rsidR="00F40F0A" w:rsidRPr="00F40F0A" w:rsidRDefault="00F40F0A" w:rsidP="00F40F0A"/>
    <w:p w14:paraId="44CE30A3" w14:textId="035511BC" w:rsidR="007122AD" w:rsidRDefault="002C50EE" w:rsidP="00936AD0">
      <w:pPr>
        <w:pStyle w:val="Heading2"/>
      </w:pPr>
      <w:r>
        <w:t>4.8. Нежелани лекарствени реакции</w:t>
      </w:r>
    </w:p>
    <w:p w14:paraId="7196184F" w14:textId="262F85B1" w:rsidR="00F40F0A" w:rsidRDefault="00F40F0A" w:rsidP="00F40F0A"/>
    <w:p w14:paraId="50C47283" w14:textId="77777777"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lang w:eastAsia="bg-BG"/>
        </w:rPr>
        <w:t xml:space="preserve">При 20 плацебо контролирани проучвания, проведени при различни терапевтични показания, общо 2486 пациенти са приемали бозентан в дневна доза от 100 </w:t>
      </w:r>
      <w:r w:rsidRPr="00F40F0A">
        <w:rPr>
          <w:rFonts w:eastAsia="Times New Roman" w:cs="Arial"/>
          <w:color w:val="000000"/>
          <w:szCs w:val="20"/>
          <w:lang w:val="en-US"/>
        </w:rPr>
        <w:t>mg</w:t>
      </w:r>
      <w:r w:rsidRPr="00F40F0A">
        <w:rPr>
          <w:rFonts w:eastAsia="Times New Roman" w:cs="Arial"/>
          <w:color w:val="000000"/>
          <w:szCs w:val="20"/>
          <w:lang w:val="ru-RU"/>
        </w:rPr>
        <w:t xml:space="preserve"> </w:t>
      </w:r>
      <w:r w:rsidRPr="00F40F0A">
        <w:rPr>
          <w:rFonts w:eastAsia="Times New Roman" w:cs="Arial"/>
          <w:color w:val="000000"/>
          <w:szCs w:val="20"/>
          <w:lang w:eastAsia="bg-BG"/>
        </w:rPr>
        <w:t xml:space="preserve">до 2000 </w:t>
      </w:r>
      <w:r w:rsidRPr="00F40F0A">
        <w:rPr>
          <w:rFonts w:eastAsia="Times New Roman" w:cs="Arial"/>
          <w:color w:val="000000"/>
          <w:szCs w:val="20"/>
          <w:lang w:val="en-US"/>
        </w:rPr>
        <w:t>mg</w:t>
      </w:r>
      <w:r w:rsidRPr="00F40F0A">
        <w:rPr>
          <w:rFonts w:eastAsia="Times New Roman" w:cs="Arial"/>
          <w:color w:val="000000"/>
          <w:szCs w:val="20"/>
          <w:lang w:val="ru-RU"/>
        </w:rPr>
        <w:t xml:space="preserve"> </w:t>
      </w:r>
      <w:r w:rsidRPr="00F40F0A">
        <w:rPr>
          <w:rFonts w:eastAsia="Times New Roman" w:cs="Arial"/>
          <w:color w:val="000000"/>
          <w:szCs w:val="20"/>
          <w:lang w:eastAsia="bg-BG"/>
        </w:rPr>
        <w:t>и 1838 пациенти са приемали плацебо. Средната продължителност на лечението е била 45 седмици. Нежеланите лекарствени реакции се дефинират като събития, които възникват при най-малко 1% от приемащите бозентан пациенти и с честота поне 0,5% по-голяма от тази на приемащите плацебо пациенти. Най-честите нежелани лекарствени реакции са главоболие (11,5%), оток/задръжка на течности (13,2%), абнормни изследвания за чернодробна функция (10,9%) и анемия/понижен хемоглобин (9,9%).</w:t>
      </w:r>
    </w:p>
    <w:p w14:paraId="045DCB12" w14:textId="77777777" w:rsidR="00F40F0A" w:rsidRPr="00F40F0A" w:rsidRDefault="00F40F0A" w:rsidP="00F40F0A">
      <w:pPr>
        <w:spacing w:line="240" w:lineRule="auto"/>
        <w:rPr>
          <w:rFonts w:eastAsia="Times New Roman" w:cs="Arial"/>
          <w:color w:val="000000"/>
          <w:szCs w:val="20"/>
          <w:lang w:eastAsia="bg-BG"/>
        </w:rPr>
      </w:pPr>
    </w:p>
    <w:p w14:paraId="1B69E31C" w14:textId="75E8F076"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lang w:eastAsia="bg-BG"/>
        </w:rPr>
        <w:t>Лечението с бозентан е било свързано с дозозависимо повишаване на чернодробните аминотрансферази и понижаване на концентрацията на хемоглобина (вж, точка 4.4).</w:t>
      </w:r>
    </w:p>
    <w:p w14:paraId="59ABE35E" w14:textId="77777777" w:rsidR="00F40F0A" w:rsidRPr="00F40F0A" w:rsidRDefault="00F40F0A" w:rsidP="00F40F0A">
      <w:pPr>
        <w:spacing w:line="240" w:lineRule="auto"/>
        <w:rPr>
          <w:rFonts w:eastAsia="Times New Roman" w:cs="Arial"/>
          <w:color w:val="000000"/>
          <w:szCs w:val="20"/>
          <w:lang w:eastAsia="bg-BG"/>
        </w:rPr>
      </w:pPr>
    </w:p>
    <w:p w14:paraId="483A62A4" w14:textId="1D4420D2"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lang w:eastAsia="bg-BG"/>
        </w:rPr>
        <w:t>Нежеланите лекарствени реакции, наблюдавани в 20 плацебо контролирани проучвания и при постмаркетинговия опит с бозентан са степенувани по честота като се използва следната конвенция: много чести (≥ 1/10); чести (≥1 /100 до &lt;1/10); нечести (≥ 1 / 1,000 до &lt;1/100); редки (≥ 1/10 000 до &lt;1 / 1,000); много редки (&lt;1 / 10,000); с неизвестна честота (от наличните данни не може да бъде направена оценка).</w:t>
      </w:r>
    </w:p>
    <w:p w14:paraId="1F078953" w14:textId="77777777" w:rsidR="00F40F0A" w:rsidRPr="00F40F0A" w:rsidRDefault="00F40F0A" w:rsidP="00F40F0A">
      <w:pPr>
        <w:spacing w:line="240" w:lineRule="auto"/>
        <w:rPr>
          <w:rFonts w:eastAsia="Times New Roman" w:cs="Arial"/>
          <w:color w:val="000000"/>
          <w:szCs w:val="20"/>
          <w:lang w:eastAsia="bg-BG"/>
        </w:rPr>
      </w:pPr>
    </w:p>
    <w:p w14:paraId="02E713A2" w14:textId="323E6723" w:rsidR="00F40F0A" w:rsidRPr="00F40F0A" w:rsidRDefault="00F40F0A" w:rsidP="00F40F0A">
      <w:pPr>
        <w:spacing w:line="240" w:lineRule="auto"/>
        <w:rPr>
          <w:rFonts w:eastAsia="Times New Roman" w:cs="Arial"/>
          <w:sz w:val="28"/>
          <w:szCs w:val="24"/>
        </w:rPr>
      </w:pPr>
      <w:r w:rsidRPr="00F40F0A">
        <w:rPr>
          <w:rFonts w:eastAsia="Times New Roman" w:cs="Arial"/>
          <w:color w:val="000000"/>
          <w:szCs w:val="20"/>
          <w:lang w:eastAsia="bg-BG"/>
        </w:rPr>
        <w:t>Във всяко групиране в зависимост от честотата, нежеланите лекарствени реакции се изброяват в низходящ ред по отношение на тяхната сериозност. Не са наблюдавани клинично значими разлики в нежеланите лекарствени реакции между общата база данни и одобрените показания.</w:t>
      </w:r>
    </w:p>
    <w:p w14:paraId="08288C94" w14:textId="5D1F92DF" w:rsidR="00F40F0A" w:rsidRDefault="00F40F0A" w:rsidP="00F40F0A"/>
    <w:tbl>
      <w:tblPr>
        <w:tblStyle w:val="TableGrid"/>
        <w:tblW w:w="0" w:type="auto"/>
        <w:tblLook w:val="04A0" w:firstRow="1" w:lastRow="0" w:firstColumn="1" w:lastColumn="0" w:noHBand="0" w:noVBand="1"/>
      </w:tblPr>
      <w:tblGrid>
        <w:gridCol w:w="3114"/>
        <w:gridCol w:w="3094"/>
        <w:gridCol w:w="3142"/>
      </w:tblGrid>
      <w:tr w:rsidR="00BF5B0D" w14:paraId="2021DD6B" w14:textId="77777777" w:rsidTr="00BF5B0D">
        <w:tc>
          <w:tcPr>
            <w:tcW w:w="3192" w:type="dxa"/>
            <w:vAlign w:val="bottom"/>
          </w:tcPr>
          <w:p w14:paraId="6B47549F" w14:textId="28DF6BFD" w:rsidR="00BF5B0D" w:rsidRDefault="00BF5B0D" w:rsidP="00BF5B0D">
            <w:r>
              <w:rPr>
                <w:b/>
                <w:bCs/>
                <w:sz w:val="20"/>
                <w:szCs w:val="20"/>
              </w:rPr>
              <w:t>Системно-органен клас</w:t>
            </w:r>
          </w:p>
        </w:tc>
        <w:tc>
          <w:tcPr>
            <w:tcW w:w="3192" w:type="dxa"/>
            <w:vAlign w:val="bottom"/>
          </w:tcPr>
          <w:p w14:paraId="2A863ECA" w14:textId="1E3E9AF6" w:rsidR="00BF5B0D" w:rsidRDefault="00BF5B0D" w:rsidP="00BF5B0D">
            <w:r>
              <w:rPr>
                <w:b/>
                <w:bCs/>
                <w:sz w:val="20"/>
                <w:szCs w:val="20"/>
              </w:rPr>
              <w:t>Честота</w:t>
            </w:r>
          </w:p>
        </w:tc>
        <w:tc>
          <w:tcPr>
            <w:tcW w:w="3192" w:type="dxa"/>
            <w:vAlign w:val="bottom"/>
          </w:tcPr>
          <w:p w14:paraId="7B239BED" w14:textId="62CB7EDF" w:rsidR="00BF5B0D" w:rsidRDefault="00BF5B0D" w:rsidP="00BF5B0D">
            <w:r>
              <w:rPr>
                <w:b/>
                <w:bCs/>
                <w:sz w:val="20"/>
                <w:szCs w:val="20"/>
              </w:rPr>
              <w:t>Нежелана реакция</w:t>
            </w:r>
          </w:p>
        </w:tc>
      </w:tr>
      <w:tr w:rsidR="00BF5B0D" w14:paraId="457FFEC8" w14:textId="77777777" w:rsidTr="00BF5B0D">
        <w:tc>
          <w:tcPr>
            <w:tcW w:w="3192" w:type="dxa"/>
            <w:vMerge w:val="restart"/>
            <w:vAlign w:val="bottom"/>
          </w:tcPr>
          <w:p w14:paraId="4E381156" w14:textId="33CF10FF" w:rsidR="00BF5B0D" w:rsidRDefault="00BF5B0D" w:rsidP="00BF5B0D">
            <w:r>
              <w:rPr>
                <w:sz w:val="20"/>
                <w:szCs w:val="20"/>
              </w:rPr>
              <w:t>Нарушения на кръвта и лимфната система</w:t>
            </w:r>
          </w:p>
        </w:tc>
        <w:tc>
          <w:tcPr>
            <w:tcW w:w="3192" w:type="dxa"/>
          </w:tcPr>
          <w:p w14:paraId="57FDE450" w14:textId="29CBD444" w:rsidR="00BF5B0D" w:rsidRDefault="00BF5B0D" w:rsidP="00BF5B0D">
            <w:r>
              <w:rPr>
                <w:sz w:val="20"/>
                <w:szCs w:val="20"/>
              </w:rPr>
              <w:t>Чести</w:t>
            </w:r>
          </w:p>
        </w:tc>
        <w:tc>
          <w:tcPr>
            <w:tcW w:w="3192" w:type="dxa"/>
            <w:vAlign w:val="bottom"/>
          </w:tcPr>
          <w:p w14:paraId="422CA342" w14:textId="0B9AEF13" w:rsidR="00BF5B0D" w:rsidRDefault="00BF5B0D" w:rsidP="00BF5B0D">
            <w:r>
              <w:rPr>
                <w:sz w:val="20"/>
                <w:szCs w:val="20"/>
              </w:rPr>
              <w:t>Анемия, понижен хемоглобин (вж точка 4.4)</w:t>
            </w:r>
          </w:p>
        </w:tc>
      </w:tr>
      <w:tr w:rsidR="00BF5B0D" w14:paraId="657B2867" w14:textId="77777777" w:rsidTr="00BF5B0D">
        <w:tc>
          <w:tcPr>
            <w:tcW w:w="3192" w:type="dxa"/>
            <w:vMerge/>
          </w:tcPr>
          <w:p w14:paraId="5A5E1665" w14:textId="77777777" w:rsidR="00BF5B0D" w:rsidRDefault="00BF5B0D" w:rsidP="00BF5B0D"/>
        </w:tc>
        <w:tc>
          <w:tcPr>
            <w:tcW w:w="3192" w:type="dxa"/>
          </w:tcPr>
          <w:p w14:paraId="668E156D" w14:textId="51D2727C" w:rsidR="00BF5B0D" w:rsidRDefault="00BF5B0D" w:rsidP="00BF5B0D">
            <w:r>
              <w:rPr>
                <w:sz w:val="20"/>
                <w:szCs w:val="20"/>
              </w:rPr>
              <w:t>С неизвестна честота</w:t>
            </w:r>
          </w:p>
        </w:tc>
        <w:tc>
          <w:tcPr>
            <w:tcW w:w="3192" w:type="dxa"/>
            <w:vAlign w:val="bottom"/>
          </w:tcPr>
          <w:p w14:paraId="73D8F6A6" w14:textId="117EDCEF" w:rsidR="00BF5B0D" w:rsidRDefault="00BF5B0D" w:rsidP="00BF5B0D">
            <w:r>
              <w:rPr>
                <w:sz w:val="20"/>
                <w:szCs w:val="20"/>
              </w:rPr>
              <w:t>Анемия или понижаване хемоглобина, което налага преливане на червени кръвни клетки</w:t>
            </w:r>
            <w:r>
              <w:rPr>
                <w:sz w:val="20"/>
                <w:szCs w:val="20"/>
                <w:vertAlign w:val="superscript"/>
              </w:rPr>
              <w:t>1</w:t>
            </w:r>
          </w:p>
        </w:tc>
      </w:tr>
      <w:tr w:rsidR="00BF5B0D" w14:paraId="2E0076FA" w14:textId="77777777" w:rsidTr="00BF5B0D">
        <w:tc>
          <w:tcPr>
            <w:tcW w:w="3192" w:type="dxa"/>
            <w:vMerge/>
          </w:tcPr>
          <w:p w14:paraId="40C9D90D" w14:textId="77777777" w:rsidR="00BF5B0D" w:rsidRDefault="00BF5B0D" w:rsidP="00BF5B0D"/>
        </w:tc>
        <w:tc>
          <w:tcPr>
            <w:tcW w:w="3192" w:type="dxa"/>
            <w:vAlign w:val="bottom"/>
          </w:tcPr>
          <w:p w14:paraId="1A989533" w14:textId="4AEE8727" w:rsidR="00BF5B0D" w:rsidRDefault="00BF5B0D" w:rsidP="00BF5B0D">
            <w:r>
              <w:rPr>
                <w:sz w:val="20"/>
                <w:szCs w:val="20"/>
              </w:rPr>
              <w:t>Нечести</w:t>
            </w:r>
          </w:p>
        </w:tc>
        <w:tc>
          <w:tcPr>
            <w:tcW w:w="3192" w:type="dxa"/>
            <w:vAlign w:val="bottom"/>
          </w:tcPr>
          <w:p w14:paraId="6AA09852" w14:textId="3BC3C433" w:rsidR="00BF5B0D" w:rsidRDefault="00BF5B0D" w:rsidP="00BF5B0D">
            <w:r>
              <w:rPr>
                <w:sz w:val="20"/>
                <w:szCs w:val="20"/>
              </w:rPr>
              <w:t>Тромбоцитопения</w:t>
            </w:r>
          </w:p>
        </w:tc>
      </w:tr>
      <w:tr w:rsidR="00BF5B0D" w14:paraId="236FF5E6" w14:textId="77777777" w:rsidTr="00BF5B0D">
        <w:tc>
          <w:tcPr>
            <w:tcW w:w="3192" w:type="dxa"/>
            <w:vMerge/>
          </w:tcPr>
          <w:p w14:paraId="62E131F4" w14:textId="77777777" w:rsidR="00BF5B0D" w:rsidRDefault="00BF5B0D" w:rsidP="00BF5B0D"/>
        </w:tc>
        <w:tc>
          <w:tcPr>
            <w:tcW w:w="3192" w:type="dxa"/>
          </w:tcPr>
          <w:p w14:paraId="74465560" w14:textId="30AA8B12" w:rsidR="00BF5B0D" w:rsidRDefault="00BF5B0D" w:rsidP="00BF5B0D">
            <w:r>
              <w:rPr>
                <w:sz w:val="20"/>
                <w:szCs w:val="20"/>
              </w:rPr>
              <w:t>Нечести</w:t>
            </w:r>
          </w:p>
        </w:tc>
        <w:tc>
          <w:tcPr>
            <w:tcW w:w="3192" w:type="dxa"/>
          </w:tcPr>
          <w:p w14:paraId="494627C1" w14:textId="19A5FE1E" w:rsidR="00BF5B0D" w:rsidRDefault="00BF5B0D" w:rsidP="00BF5B0D">
            <w:r>
              <w:rPr>
                <w:sz w:val="20"/>
                <w:szCs w:val="20"/>
              </w:rPr>
              <w:t>Неутропения, левкопения</w:t>
            </w:r>
            <w:r>
              <w:rPr>
                <w:sz w:val="20"/>
                <w:szCs w:val="20"/>
                <w:vertAlign w:val="superscript"/>
              </w:rPr>
              <w:t>1</w:t>
            </w:r>
          </w:p>
        </w:tc>
      </w:tr>
      <w:tr w:rsidR="00BF5B0D" w14:paraId="46A1B841" w14:textId="77777777" w:rsidTr="00BF5B0D">
        <w:tc>
          <w:tcPr>
            <w:tcW w:w="3192" w:type="dxa"/>
            <w:vMerge w:val="restart"/>
          </w:tcPr>
          <w:p w14:paraId="193949C8" w14:textId="101290CE" w:rsidR="00BF5B0D" w:rsidRDefault="00BF5B0D" w:rsidP="00BF5B0D">
            <w:r>
              <w:rPr>
                <w:sz w:val="20"/>
                <w:szCs w:val="20"/>
              </w:rPr>
              <w:t>Нарушения на имунната система</w:t>
            </w:r>
          </w:p>
        </w:tc>
        <w:tc>
          <w:tcPr>
            <w:tcW w:w="3192" w:type="dxa"/>
          </w:tcPr>
          <w:p w14:paraId="45D02D3C" w14:textId="3349E263" w:rsidR="00BF5B0D" w:rsidRDefault="00BF5B0D" w:rsidP="00BF5B0D">
            <w:r>
              <w:rPr>
                <w:sz w:val="20"/>
                <w:szCs w:val="20"/>
              </w:rPr>
              <w:t>Чести</w:t>
            </w:r>
          </w:p>
        </w:tc>
        <w:tc>
          <w:tcPr>
            <w:tcW w:w="3192" w:type="dxa"/>
          </w:tcPr>
          <w:p w14:paraId="347EC89B" w14:textId="77777777" w:rsidR="00BF5B0D" w:rsidRDefault="00BF5B0D" w:rsidP="00BF5B0D">
            <w:r>
              <w:rPr>
                <w:sz w:val="20"/>
                <w:szCs w:val="20"/>
              </w:rPr>
              <w:t>Реакции на</w:t>
            </w:r>
          </w:p>
          <w:p w14:paraId="7EE2B793" w14:textId="77777777" w:rsidR="00BF5B0D" w:rsidRDefault="00BF5B0D" w:rsidP="00BF5B0D">
            <w:r>
              <w:rPr>
                <w:sz w:val="20"/>
                <w:szCs w:val="20"/>
              </w:rPr>
              <w:t>свръхчувствителност</w:t>
            </w:r>
          </w:p>
          <w:p w14:paraId="5E643DBF" w14:textId="5AA9775D" w:rsidR="00BF5B0D" w:rsidRDefault="00BF5B0D" w:rsidP="00BF5B0D">
            <w:r>
              <w:rPr>
                <w:sz w:val="20"/>
                <w:szCs w:val="20"/>
              </w:rPr>
              <w:t>(включващи дерматит, сърбеж и обрив)</w:t>
            </w:r>
            <w:r>
              <w:rPr>
                <w:sz w:val="20"/>
                <w:szCs w:val="20"/>
                <w:vertAlign w:val="superscript"/>
              </w:rPr>
              <w:t>2</w:t>
            </w:r>
          </w:p>
        </w:tc>
      </w:tr>
      <w:tr w:rsidR="00BF5B0D" w14:paraId="43866CAF" w14:textId="77777777" w:rsidTr="00BF5B0D">
        <w:tc>
          <w:tcPr>
            <w:tcW w:w="3192" w:type="dxa"/>
            <w:vMerge/>
          </w:tcPr>
          <w:p w14:paraId="452676B8" w14:textId="77777777" w:rsidR="00BF5B0D" w:rsidRDefault="00BF5B0D" w:rsidP="00BF5B0D"/>
        </w:tc>
        <w:tc>
          <w:tcPr>
            <w:tcW w:w="3192" w:type="dxa"/>
          </w:tcPr>
          <w:p w14:paraId="6FA55A44" w14:textId="32551975" w:rsidR="00BF5B0D" w:rsidRDefault="00BF5B0D" w:rsidP="00BF5B0D">
            <w:r>
              <w:rPr>
                <w:sz w:val="20"/>
                <w:szCs w:val="20"/>
              </w:rPr>
              <w:t>Редки</w:t>
            </w:r>
          </w:p>
        </w:tc>
        <w:tc>
          <w:tcPr>
            <w:tcW w:w="3192" w:type="dxa"/>
          </w:tcPr>
          <w:p w14:paraId="3584D259" w14:textId="05BE5BD9" w:rsidR="00BF5B0D" w:rsidRDefault="00BF5B0D" w:rsidP="00BF5B0D">
            <w:r>
              <w:rPr>
                <w:sz w:val="20"/>
                <w:szCs w:val="20"/>
              </w:rPr>
              <w:t>Анафилаксия и/или ангиоедем</w:t>
            </w:r>
            <w:r>
              <w:rPr>
                <w:sz w:val="20"/>
                <w:szCs w:val="20"/>
                <w:vertAlign w:val="superscript"/>
              </w:rPr>
              <w:t>1</w:t>
            </w:r>
          </w:p>
        </w:tc>
      </w:tr>
      <w:tr w:rsidR="00BF5B0D" w14:paraId="2EAE5234" w14:textId="77777777" w:rsidTr="00BF5B0D">
        <w:tc>
          <w:tcPr>
            <w:tcW w:w="3192" w:type="dxa"/>
            <w:vMerge w:val="restart"/>
          </w:tcPr>
          <w:p w14:paraId="170452F0" w14:textId="72D64C1A" w:rsidR="00BF5B0D" w:rsidRDefault="00BF5B0D" w:rsidP="00BF5B0D">
            <w:r>
              <w:rPr>
                <w:sz w:val="20"/>
                <w:szCs w:val="20"/>
              </w:rPr>
              <w:t>Нарушения на нервната система</w:t>
            </w:r>
          </w:p>
        </w:tc>
        <w:tc>
          <w:tcPr>
            <w:tcW w:w="3192" w:type="dxa"/>
          </w:tcPr>
          <w:p w14:paraId="1BEE811B" w14:textId="22326B19" w:rsidR="00BF5B0D" w:rsidRDefault="00BF5B0D" w:rsidP="00BF5B0D">
            <w:r>
              <w:rPr>
                <w:sz w:val="20"/>
                <w:szCs w:val="20"/>
              </w:rPr>
              <w:t>Много чести</w:t>
            </w:r>
          </w:p>
        </w:tc>
        <w:tc>
          <w:tcPr>
            <w:tcW w:w="3192" w:type="dxa"/>
          </w:tcPr>
          <w:p w14:paraId="27DB99F7" w14:textId="0343560F" w:rsidR="00BF5B0D" w:rsidRDefault="00BF5B0D" w:rsidP="00BF5B0D">
            <w:r>
              <w:rPr>
                <w:sz w:val="20"/>
                <w:szCs w:val="20"/>
              </w:rPr>
              <w:t>Главоболие</w:t>
            </w:r>
            <w:r>
              <w:rPr>
                <w:sz w:val="20"/>
                <w:szCs w:val="20"/>
                <w:vertAlign w:val="superscript"/>
              </w:rPr>
              <w:t>3</w:t>
            </w:r>
          </w:p>
        </w:tc>
      </w:tr>
      <w:tr w:rsidR="00BF5B0D" w14:paraId="08B0065D" w14:textId="77777777" w:rsidTr="00BF5B0D">
        <w:tc>
          <w:tcPr>
            <w:tcW w:w="3192" w:type="dxa"/>
            <w:vMerge/>
          </w:tcPr>
          <w:p w14:paraId="70945494" w14:textId="77777777" w:rsidR="00BF5B0D" w:rsidRDefault="00BF5B0D" w:rsidP="00BF5B0D"/>
        </w:tc>
        <w:tc>
          <w:tcPr>
            <w:tcW w:w="3192" w:type="dxa"/>
          </w:tcPr>
          <w:p w14:paraId="057D9ABE" w14:textId="494924DC" w:rsidR="00BF5B0D" w:rsidRDefault="00BF5B0D" w:rsidP="00BF5B0D">
            <w:r>
              <w:rPr>
                <w:sz w:val="20"/>
                <w:szCs w:val="20"/>
              </w:rPr>
              <w:t>Чести</w:t>
            </w:r>
          </w:p>
        </w:tc>
        <w:tc>
          <w:tcPr>
            <w:tcW w:w="3192" w:type="dxa"/>
          </w:tcPr>
          <w:p w14:paraId="3EA630EF" w14:textId="1617FA99" w:rsidR="00BF5B0D" w:rsidRDefault="00BF5B0D" w:rsidP="00BF5B0D">
            <w:r>
              <w:rPr>
                <w:sz w:val="20"/>
                <w:szCs w:val="20"/>
              </w:rPr>
              <w:t>Синкоп</w:t>
            </w:r>
            <w:r>
              <w:rPr>
                <w:sz w:val="20"/>
                <w:szCs w:val="20"/>
                <w:vertAlign w:val="superscript"/>
              </w:rPr>
              <w:t>1,4</w:t>
            </w:r>
          </w:p>
        </w:tc>
      </w:tr>
      <w:tr w:rsidR="00BF5B0D" w14:paraId="28D07C7E" w14:textId="77777777" w:rsidTr="00BF5B0D">
        <w:tc>
          <w:tcPr>
            <w:tcW w:w="3192" w:type="dxa"/>
          </w:tcPr>
          <w:p w14:paraId="63F0C07A" w14:textId="30F56E90" w:rsidR="00BF5B0D" w:rsidRDefault="00BF5B0D" w:rsidP="00BF5B0D">
            <w:r>
              <w:rPr>
                <w:sz w:val="20"/>
                <w:szCs w:val="20"/>
              </w:rPr>
              <w:t>Нарушения на очите</w:t>
            </w:r>
          </w:p>
        </w:tc>
        <w:tc>
          <w:tcPr>
            <w:tcW w:w="3192" w:type="dxa"/>
          </w:tcPr>
          <w:p w14:paraId="2614E5FC" w14:textId="529F5FE1" w:rsidR="00BF5B0D" w:rsidRDefault="00BF5B0D" w:rsidP="00BF5B0D">
            <w:r>
              <w:rPr>
                <w:sz w:val="20"/>
                <w:szCs w:val="20"/>
              </w:rPr>
              <w:t>С неизвестна честота</w:t>
            </w:r>
          </w:p>
        </w:tc>
        <w:tc>
          <w:tcPr>
            <w:tcW w:w="3192" w:type="dxa"/>
          </w:tcPr>
          <w:p w14:paraId="0AC7A9F9" w14:textId="472E2536" w:rsidR="00BF5B0D" w:rsidRDefault="00BF5B0D" w:rsidP="00BF5B0D">
            <w:r>
              <w:rPr>
                <w:sz w:val="20"/>
                <w:szCs w:val="20"/>
              </w:rPr>
              <w:t>Замъглено зрение</w:t>
            </w:r>
          </w:p>
        </w:tc>
      </w:tr>
      <w:tr w:rsidR="00BF5B0D" w14:paraId="0C0DB621" w14:textId="77777777" w:rsidTr="00BF5B0D">
        <w:tc>
          <w:tcPr>
            <w:tcW w:w="3192" w:type="dxa"/>
          </w:tcPr>
          <w:p w14:paraId="6144A8BE" w14:textId="505666BA" w:rsidR="00BF5B0D" w:rsidRDefault="00BF5B0D" w:rsidP="00BF5B0D">
            <w:r>
              <w:rPr>
                <w:sz w:val="20"/>
                <w:szCs w:val="20"/>
              </w:rPr>
              <w:t>Сърдечни нарушения</w:t>
            </w:r>
          </w:p>
        </w:tc>
        <w:tc>
          <w:tcPr>
            <w:tcW w:w="3192" w:type="dxa"/>
          </w:tcPr>
          <w:p w14:paraId="220A58FE" w14:textId="1DAFCCCE" w:rsidR="00BF5B0D" w:rsidRDefault="00BF5B0D" w:rsidP="00BF5B0D">
            <w:r>
              <w:rPr>
                <w:sz w:val="20"/>
                <w:szCs w:val="20"/>
              </w:rPr>
              <w:t>Чести</w:t>
            </w:r>
          </w:p>
        </w:tc>
        <w:tc>
          <w:tcPr>
            <w:tcW w:w="3192" w:type="dxa"/>
          </w:tcPr>
          <w:p w14:paraId="0204C532" w14:textId="7C50CF80" w:rsidR="00BF5B0D" w:rsidRDefault="00BF5B0D" w:rsidP="00BF5B0D">
            <w:r>
              <w:rPr>
                <w:sz w:val="20"/>
                <w:szCs w:val="20"/>
              </w:rPr>
              <w:t>Сърцебиене</w:t>
            </w:r>
            <w:r>
              <w:rPr>
                <w:sz w:val="20"/>
                <w:szCs w:val="20"/>
                <w:vertAlign w:val="superscript"/>
              </w:rPr>
              <w:t>1,4</w:t>
            </w:r>
          </w:p>
        </w:tc>
      </w:tr>
      <w:tr w:rsidR="00BF5B0D" w14:paraId="651BE33F" w14:textId="77777777" w:rsidTr="00BF5B0D">
        <w:tc>
          <w:tcPr>
            <w:tcW w:w="3192" w:type="dxa"/>
            <w:vMerge w:val="restart"/>
          </w:tcPr>
          <w:p w14:paraId="0510D4DB" w14:textId="260E98DD" w:rsidR="00BF5B0D" w:rsidRDefault="00BF5B0D" w:rsidP="00BF5B0D">
            <w:r>
              <w:rPr>
                <w:sz w:val="20"/>
                <w:szCs w:val="20"/>
              </w:rPr>
              <w:t>Съдови нарушения</w:t>
            </w:r>
          </w:p>
        </w:tc>
        <w:tc>
          <w:tcPr>
            <w:tcW w:w="3192" w:type="dxa"/>
          </w:tcPr>
          <w:p w14:paraId="71C276E4" w14:textId="190B2783" w:rsidR="00BF5B0D" w:rsidRDefault="00BF5B0D" w:rsidP="00BF5B0D">
            <w:r>
              <w:rPr>
                <w:sz w:val="20"/>
                <w:szCs w:val="20"/>
              </w:rPr>
              <w:t>Чести</w:t>
            </w:r>
          </w:p>
        </w:tc>
        <w:tc>
          <w:tcPr>
            <w:tcW w:w="3192" w:type="dxa"/>
          </w:tcPr>
          <w:p w14:paraId="4C57F341" w14:textId="5BF77C2B" w:rsidR="00BF5B0D" w:rsidRDefault="00BF5B0D" w:rsidP="00BF5B0D">
            <w:r>
              <w:rPr>
                <w:sz w:val="20"/>
                <w:szCs w:val="20"/>
              </w:rPr>
              <w:t>Зачервяване</w:t>
            </w:r>
          </w:p>
        </w:tc>
      </w:tr>
      <w:tr w:rsidR="00BF5B0D" w14:paraId="734E4EE2" w14:textId="77777777" w:rsidTr="00BF5B0D">
        <w:tc>
          <w:tcPr>
            <w:tcW w:w="3192" w:type="dxa"/>
            <w:vMerge/>
          </w:tcPr>
          <w:p w14:paraId="79E9D188" w14:textId="77777777" w:rsidR="00BF5B0D" w:rsidRDefault="00BF5B0D" w:rsidP="00BF5B0D"/>
        </w:tc>
        <w:tc>
          <w:tcPr>
            <w:tcW w:w="3192" w:type="dxa"/>
          </w:tcPr>
          <w:p w14:paraId="1A1852F5" w14:textId="40636493" w:rsidR="00BF5B0D" w:rsidRDefault="00BF5B0D" w:rsidP="00BF5B0D">
            <w:r>
              <w:rPr>
                <w:sz w:val="20"/>
                <w:szCs w:val="20"/>
              </w:rPr>
              <w:t>Чести</w:t>
            </w:r>
          </w:p>
        </w:tc>
        <w:tc>
          <w:tcPr>
            <w:tcW w:w="3192" w:type="dxa"/>
          </w:tcPr>
          <w:p w14:paraId="323340EB" w14:textId="401624E8" w:rsidR="00BF5B0D" w:rsidRDefault="00BF5B0D" w:rsidP="00BF5B0D">
            <w:r>
              <w:rPr>
                <w:sz w:val="20"/>
                <w:szCs w:val="20"/>
              </w:rPr>
              <w:t>Хипотония</w:t>
            </w:r>
            <w:r>
              <w:rPr>
                <w:sz w:val="20"/>
                <w:szCs w:val="20"/>
                <w:vertAlign w:val="superscript"/>
              </w:rPr>
              <w:t>1</w:t>
            </w:r>
            <w:r>
              <w:rPr>
                <w:sz w:val="20"/>
                <w:szCs w:val="20"/>
              </w:rPr>
              <w:t>’</w:t>
            </w:r>
            <w:r>
              <w:rPr>
                <w:sz w:val="20"/>
                <w:szCs w:val="20"/>
                <w:vertAlign w:val="superscript"/>
              </w:rPr>
              <w:t>4</w:t>
            </w:r>
          </w:p>
        </w:tc>
      </w:tr>
      <w:tr w:rsidR="00BF5B0D" w14:paraId="387DAB63" w14:textId="77777777" w:rsidTr="00BF5B0D">
        <w:tc>
          <w:tcPr>
            <w:tcW w:w="3192" w:type="dxa"/>
          </w:tcPr>
          <w:p w14:paraId="1E353A4D" w14:textId="2C92B964" w:rsidR="00BF5B0D" w:rsidRDefault="00BF5B0D" w:rsidP="00BF5B0D">
            <w:r>
              <w:rPr>
                <w:sz w:val="20"/>
                <w:szCs w:val="20"/>
              </w:rPr>
              <w:t>Респираторни, гръдни и медиастинални нарушения</w:t>
            </w:r>
          </w:p>
        </w:tc>
        <w:tc>
          <w:tcPr>
            <w:tcW w:w="3192" w:type="dxa"/>
          </w:tcPr>
          <w:p w14:paraId="7B0A5BBC" w14:textId="13DEF464" w:rsidR="00BF5B0D" w:rsidRDefault="00BF5B0D" w:rsidP="00BF5B0D">
            <w:r>
              <w:rPr>
                <w:sz w:val="20"/>
                <w:szCs w:val="20"/>
              </w:rPr>
              <w:t>Чести</w:t>
            </w:r>
          </w:p>
        </w:tc>
        <w:tc>
          <w:tcPr>
            <w:tcW w:w="3192" w:type="dxa"/>
          </w:tcPr>
          <w:p w14:paraId="576E2B3D" w14:textId="6B52699B" w:rsidR="00BF5B0D" w:rsidRDefault="00BF5B0D" w:rsidP="00BF5B0D">
            <w:r>
              <w:rPr>
                <w:sz w:val="20"/>
                <w:szCs w:val="20"/>
              </w:rPr>
              <w:t>Запушване на носа</w:t>
            </w:r>
            <w:r>
              <w:rPr>
                <w:sz w:val="20"/>
                <w:szCs w:val="20"/>
                <w:vertAlign w:val="superscript"/>
              </w:rPr>
              <w:t>1</w:t>
            </w:r>
          </w:p>
        </w:tc>
      </w:tr>
      <w:tr w:rsidR="00BF5B0D" w14:paraId="61AE028B" w14:textId="77777777" w:rsidTr="00BF5B0D">
        <w:tc>
          <w:tcPr>
            <w:tcW w:w="3192" w:type="dxa"/>
          </w:tcPr>
          <w:p w14:paraId="4824C1D7" w14:textId="53AA51E0" w:rsidR="00BF5B0D" w:rsidRDefault="00BF5B0D" w:rsidP="00BF5B0D">
            <w:r>
              <w:rPr>
                <w:sz w:val="20"/>
                <w:szCs w:val="20"/>
              </w:rPr>
              <w:t>Стомашно-чревни нарушения</w:t>
            </w:r>
          </w:p>
        </w:tc>
        <w:tc>
          <w:tcPr>
            <w:tcW w:w="3192" w:type="dxa"/>
          </w:tcPr>
          <w:p w14:paraId="452D3CE2" w14:textId="4813CDE0" w:rsidR="00BF5B0D" w:rsidRDefault="00BF5B0D" w:rsidP="00BF5B0D">
            <w:r>
              <w:rPr>
                <w:sz w:val="20"/>
                <w:szCs w:val="20"/>
              </w:rPr>
              <w:t>Чести</w:t>
            </w:r>
          </w:p>
        </w:tc>
        <w:tc>
          <w:tcPr>
            <w:tcW w:w="3192" w:type="dxa"/>
          </w:tcPr>
          <w:p w14:paraId="3ACDD980" w14:textId="77777777" w:rsidR="00BF5B0D" w:rsidRDefault="00BF5B0D" w:rsidP="00BF5B0D">
            <w:r>
              <w:rPr>
                <w:sz w:val="20"/>
                <w:szCs w:val="20"/>
              </w:rPr>
              <w:t>Гастроезофагеална рефлуксна болест</w:t>
            </w:r>
          </w:p>
          <w:p w14:paraId="73857387" w14:textId="061DD626" w:rsidR="00BF5B0D" w:rsidRDefault="00BF5B0D" w:rsidP="00BF5B0D">
            <w:r>
              <w:rPr>
                <w:sz w:val="20"/>
                <w:szCs w:val="20"/>
              </w:rPr>
              <w:t>Диария</w:t>
            </w:r>
          </w:p>
        </w:tc>
      </w:tr>
      <w:tr w:rsidR="00BF5B0D" w14:paraId="4F80EA8D" w14:textId="77777777" w:rsidTr="00BF5B0D">
        <w:tc>
          <w:tcPr>
            <w:tcW w:w="3192" w:type="dxa"/>
            <w:vMerge w:val="restart"/>
          </w:tcPr>
          <w:p w14:paraId="6BA47C1D" w14:textId="41AD30B1" w:rsidR="00BF5B0D" w:rsidRDefault="00BF5B0D" w:rsidP="00BF5B0D">
            <w:r>
              <w:rPr>
                <w:sz w:val="20"/>
                <w:szCs w:val="20"/>
              </w:rPr>
              <w:t>Хепато-билиарни нарушения</w:t>
            </w:r>
          </w:p>
        </w:tc>
        <w:tc>
          <w:tcPr>
            <w:tcW w:w="3192" w:type="dxa"/>
          </w:tcPr>
          <w:p w14:paraId="203A5AC6" w14:textId="2C31DBAE" w:rsidR="00BF5B0D" w:rsidRDefault="00BF5B0D" w:rsidP="00BF5B0D">
            <w:r>
              <w:rPr>
                <w:sz w:val="20"/>
                <w:szCs w:val="20"/>
              </w:rPr>
              <w:t>Много чести</w:t>
            </w:r>
          </w:p>
        </w:tc>
        <w:tc>
          <w:tcPr>
            <w:tcW w:w="3192" w:type="dxa"/>
          </w:tcPr>
          <w:p w14:paraId="79B929AE" w14:textId="0FC572D6" w:rsidR="00BF5B0D" w:rsidRDefault="00BF5B0D" w:rsidP="00BF5B0D">
            <w:r>
              <w:rPr>
                <w:sz w:val="20"/>
                <w:szCs w:val="20"/>
              </w:rPr>
              <w:t>Абнормни чернодробни функционални тестове (вж. точка 4.4)</w:t>
            </w:r>
          </w:p>
        </w:tc>
      </w:tr>
      <w:tr w:rsidR="00BF5B0D" w14:paraId="5B2EC060" w14:textId="77777777" w:rsidTr="00BF5B0D">
        <w:tc>
          <w:tcPr>
            <w:tcW w:w="3192" w:type="dxa"/>
            <w:vMerge/>
          </w:tcPr>
          <w:p w14:paraId="1FB30442" w14:textId="77777777" w:rsidR="00BF5B0D" w:rsidRDefault="00BF5B0D" w:rsidP="00BF5B0D"/>
        </w:tc>
        <w:tc>
          <w:tcPr>
            <w:tcW w:w="3192" w:type="dxa"/>
          </w:tcPr>
          <w:p w14:paraId="31B71412" w14:textId="24D3404E" w:rsidR="00BF5B0D" w:rsidRDefault="00BF5B0D" w:rsidP="00BF5B0D">
            <w:r>
              <w:rPr>
                <w:sz w:val="20"/>
                <w:szCs w:val="20"/>
              </w:rPr>
              <w:t>Нечести</w:t>
            </w:r>
          </w:p>
        </w:tc>
        <w:tc>
          <w:tcPr>
            <w:tcW w:w="3192" w:type="dxa"/>
          </w:tcPr>
          <w:p w14:paraId="5789C3F0" w14:textId="5756AB87" w:rsidR="00BF5B0D" w:rsidRDefault="00BF5B0D" w:rsidP="00BF5B0D">
            <w:r>
              <w:rPr>
                <w:sz w:val="20"/>
                <w:szCs w:val="20"/>
              </w:rPr>
              <w:t>Повишени амннотрансферази, свързани с хепатит (включително възможно обостряне на подлежащ хепатит) и/или жълтеница1 (вж. точка 4.4)</w:t>
            </w:r>
          </w:p>
        </w:tc>
      </w:tr>
      <w:tr w:rsidR="00BF5B0D" w14:paraId="6D97B855" w14:textId="77777777" w:rsidTr="00BF5B0D">
        <w:tc>
          <w:tcPr>
            <w:tcW w:w="3192" w:type="dxa"/>
            <w:vMerge/>
          </w:tcPr>
          <w:p w14:paraId="2B971C2F" w14:textId="77777777" w:rsidR="00BF5B0D" w:rsidRDefault="00BF5B0D" w:rsidP="00BF5B0D"/>
        </w:tc>
        <w:tc>
          <w:tcPr>
            <w:tcW w:w="3192" w:type="dxa"/>
          </w:tcPr>
          <w:p w14:paraId="5F2113D5" w14:textId="32FF46EA" w:rsidR="00BF5B0D" w:rsidRDefault="00BF5B0D" w:rsidP="00BF5B0D">
            <w:r>
              <w:rPr>
                <w:sz w:val="20"/>
                <w:szCs w:val="20"/>
              </w:rPr>
              <w:t>Редки</w:t>
            </w:r>
          </w:p>
        </w:tc>
        <w:tc>
          <w:tcPr>
            <w:tcW w:w="3192" w:type="dxa"/>
          </w:tcPr>
          <w:p w14:paraId="1302CDA4" w14:textId="065055EE" w:rsidR="00BF5B0D" w:rsidRDefault="00BF5B0D" w:rsidP="00BF5B0D">
            <w:r>
              <w:rPr>
                <w:sz w:val="20"/>
                <w:szCs w:val="20"/>
              </w:rPr>
              <w:t>Цироза на черния дроб, чернодробна недостатъчност</w:t>
            </w:r>
            <w:r>
              <w:rPr>
                <w:sz w:val="20"/>
                <w:szCs w:val="20"/>
                <w:vertAlign w:val="superscript"/>
              </w:rPr>
              <w:t>1</w:t>
            </w:r>
          </w:p>
        </w:tc>
      </w:tr>
      <w:tr w:rsidR="00BF5B0D" w14:paraId="43D05EE2" w14:textId="77777777" w:rsidTr="00BF5B0D">
        <w:tc>
          <w:tcPr>
            <w:tcW w:w="3192" w:type="dxa"/>
          </w:tcPr>
          <w:p w14:paraId="70879813" w14:textId="52FD338C" w:rsidR="00BF5B0D" w:rsidRDefault="00BF5B0D" w:rsidP="00BF5B0D">
            <w:r>
              <w:rPr>
                <w:sz w:val="20"/>
                <w:szCs w:val="20"/>
              </w:rPr>
              <w:t>Нарушения на кожата и подкожната тъкан</w:t>
            </w:r>
          </w:p>
        </w:tc>
        <w:tc>
          <w:tcPr>
            <w:tcW w:w="3192" w:type="dxa"/>
          </w:tcPr>
          <w:p w14:paraId="1CE21335" w14:textId="56AF6284" w:rsidR="00BF5B0D" w:rsidRDefault="00BF5B0D" w:rsidP="00BF5B0D">
            <w:r>
              <w:rPr>
                <w:sz w:val="20"/>
                <w:szCs w:val="20"/>
              </w:rPr>
              <w:t>Чести</w:t>
            </w:r>
          </w:p>
        </w:tc>
        <w:tc>
          <w:tcPr>
            <w:tcW w:w="3192" w:type="dxa"/>
          </w:tcPr>
          <w:p w14:paraId="280786F0" w14:textId="216347EF" w:rsidR="00BF5B0D" w:rsidRDefault="00BF5B0D" w:rsidP="00BF5B0D">
            <w:r>
              <w:rPr>
                <w:sz w:val="20"/>
                <w:szCs w:val="20"/>
              </w:rPr>
              <w:t>Еритема</w:t>
            </w:r>
          </w:p>
        </w:tc>
      </w:tr>
      <w:tr w:rsidR="00BF5B0D" w14:paraId="517EEB1D" w14:textId="77777777" w:rsidTr="00BF5B0D">
        <w:tc>
          <w:tcPr>
            <w:tcW w:w="3192" w:type="dxa"/>
          </w:tcPr>
          <w:p w14:paraId="2BD4D8B2" w14:textId="78CB5777" w:rsidR="00BF5B0D" w:rsidRDefault="00BF5B0D" w:rsidP="00BF5B0D">
            <w:r>
              <w:rPr>
                <w:sz w:val="20"/>
                <w:szCs w:val="20"/>
              </w:rPr>
              <w:t>Общи нарушения и ефекти на мястото на приложение</w:t>
            </w:r>
          </w:p>
        </w:tc>
        <w:tc>
          <w:tcPr>
            <w:tcW w:w="3192" w:type="dxa"/>
          </w:tcPr>
          <w:p w14:paraId="1F8A0147" w14:textId="2BE7608D" w:rsidR="00BF5B0D" w:rsidRDefault="00BF5B0D" w:rsidP="00BF5B0D">
            <w:r>
              <w:rPr>
                <w:sz w:val="20"/>
                <w:szCs w:val="20"/>
              </w:rPr>
              <w:t>Много чести</w:t>
            </w:r>
          </w:p>
        </w:tc>
        <w:tc>
          <w:tcPr>
            <w:tcW w:w="3192" w:type="dxa"/>
          </w:tcPr>
          <w:p w14:paraId="0C5FC7C1" w14:textId="666FBF7C" w:rsidR="00BF5B0D" w:rsidRDefault="00BF5B0D" w:rsidP="00BF5B0D">
            <w:r>
              <w:rPr>
                <w:sz w:val="20"/>
                <w:szCs w:val="20"/>
              </w:rPr>
              <w:t>Оток, задържане на течности</w:t>
            </w:r>
            <w:r>
              <w:rPr>
                <w:sz w:val="20"/>
                <w:szCs w:val="20"/>
                <w:vertAlign w:val="superscript"/>
              </w:rPr>
              <w:t>5</w:t>
            </w:r>
          </w:p>
        </w:tc>
      </w:tr>
    </w:tbl>
    <w:p w14:paraId="5547FF69" w14:textId="77777777" w:rsidR="00BF5B0D" w:rsidRPr="00BF5B0D" w:rsidRDefault="00BF5B0D" w:rsidP="00BF5B0D">
      <w:pPr>
        <w:spacing w:line="240" w:lineRule="auto"/>
        <w:rPr>
          <w:rFonts w:eastAsia="Times New Roman" w:cs="Arial"/>
        </w:rPr>
      </w:pPr>
      <w:r w:rsidRPr="00BF5B0D">
        <w:rPr>
          <w:rFonts w:eastAsia="Times New Roman" w:cs="Arial"/>
          <w:color w:val="000000"/>
          <w:vertAlign w:val="superscript"/>
          <w:lang w:eastAsia="bg-BG"/>
        </w:rPr>
        <w:t>1</w:t>
      </w:r>
      <w:r w:rsidRPr="00BF5B0D">
        <w:rPr>
          <w:rFonts w:eastAsia="Times New Roman" w:cs="Arial"/>
          <w:color w:val="000000"/>
          <w:lang w:eastAsia="bg-BG"/>
        </w:rPr>
        <w:t>Данни, получени от постмаркетинговия опит, честотите се основават на статистическото моделиране на плацебо-контролирани данни от клинично проучване.</w:t>
      </w:r>
    </w:p>
    <w:p w14:paraId="461E3B15" w14:textId="77777777" w:rsidR="00BF5B0D" w:rsidRPr="00BF5B0D" w:rsidRDefault="00BF5B0D" w:rsidP="00BF5B0D">
      <w:pPr>
        <w:spacing w:line="240" w:lineRule="auto"/>
        <w:rPr>
          <w:rFonts w:eastAsia="Times New Roman" w:cs="Arial"/>
        </w:rPr>
      </w:pPr>
      <w:r w:rsidRPr="00BF5B0D">
        <w:rPr>
          <w:rFonts w:eastAsia="Times New Roman" w:cs="Arial"/>
          <w:color w:val="000000"/>
          <w:vertAlign w:val="superscript"/>
          <w:lang w:eastAsia="bg-BG"/>
        </w:rPr>
        <w:t>2</w:t>
      </w:r>
      <w:r w:rsidRPr="00BF5B0D">
        <w:rPr>
          <w:rFonts w:eastAsia="Times New Roman" w:cs="Arial"/>
          <w:color w:val="000000"/>
          <w:lang w:eastAsia="bg-BG"/>
        </w:rPr>
        <w:t>Реакции на свръхчувствителност са съобщени при 9,9% от пациентите с бозентан и при 9,1% от пациентите с плацебо.</w:t>
      </w:r>
    </w:p>
    <w:p w14:paraId="10CD699A" w14:textId="77777777" w:rsidR="00BF5B0D" w:rsidRPr="00BF5B0D" w:rsidRDefault="00BF5B0D" w:rsidP="00BF5B0D">
      <w:pPr>
        <w:spacing w:line="240" w:lineRule="auto"/>
        <w:rPr>
          <w:rFonts w:eastAsia="Times New Roman" w:cs="Arial"/>
        </w:rPr>
      </w:pPr>
      <w:r w:rsidRPr="00BF5B0D">
        <w:rPr>
          <w:rFonts w:eastAsia="Times New Roman" w:cs="Arial"/>
          <w:color w:val="000000"/>
          <w:vertAlign w:val="superscript"/>
          <w:lang w:eastAsia="bg-BG"/>
        </w:rPr>
        <w:t>3</w:t>
      </w:r>
      <w:r w:rsidRPr="00BF5B0D">
        <w:rPr>
          <w:rFonts w:eastAsia="Times New Roman" w:cs="Arial"/>
          <w:color w:val="000000"/>
          <w:lang w:eastAsia="bg-BG"/>
        </w:rPr>
        <w:t>Главоболие е съобщено при 11,5% от пациентите с бозентан и при 9,8% от пациентите с плацебо.</w:t>
      </w:r>
    </w:p>
    <w:p w14:paraId="3358EBAC" w14:textId="77777777" w:rsidR="00BF5B0D" w:rsidRPr="00BF5B0D" w:rsidRDefault="00BF5B0D" w:rsidP="00BF5B0D">
      <w:pPr>
        <w:spacing w:line="240" w:lineRule="auto"/>
        <w:rPr>
          <w:rFonts w:eastAsia="Times New Roman" w:cs="Arial"/>
        </w:rPr>
      </w:pPr>
      <w:r w:rsidRPr="00BF5B0D">
        <w:rPr>
          <w:rFonts w:eastAsia="Times New Roman" w:cs="Arial"/>
          <w:color w:val="000000"/>
          <w:vertAlign w:val="superscript"/>
          <w:lang w:eastAsia="bg-BG"/>
        </w:rPr>
        <w:t>4</w:t>
      </w:r>
      <w:r w:rsidRPr="00BF5B0D">
        <w:rPr>
          <w:rFonts w:eastAsia="Times New Roman" w:cs="Arial"/>
          <w:color w:val="000000"/>
          <w:lang w:eastAsia="bg-BG"/>
        </w:rPr>
        <w:t>Тези видове реакции също може да са свързани с подлежащо заболяване.</w:t>
      </w:r>
    </w:p>
    <w:p w14:paraId="7555FE32" w14:textId="77777777" w:rsidR="00BF5B0D" w:rsidRPr="00BF5B0D" w:rsidRDefault="00BF5B0D" w:rsidP="00BF5B0D">
      <w:pPr>
        <w:spacing w:line="240" w:lineRule="auto"/>
        <w:rPr>
          <w:rFonts w:eastAsia="Times New Roman" w:cs="Arial"/>
        </w:rPr>
      </w:pPr>
      <w:r w:rsidRPr="00BF5B0D">
        <w:rPr>
          <w:rFonts w:eastAsia="Times New Roman" w:cs="Arial"/>
          <w:color w:val="000000"/>
          <w:vertAlign w:val="superscript"/>
          <w:lang w:eastAsia="bg-BG"/>
        </w:rPr>
        <w:t>5</w:t>
      </w:r>
      <w:r w:rsidRPr="00BF5B0D">
        <w:rPr>
          <w:rFonts w:eastAsia="Times New Roman" w:cs="Arial"/>
          <w:color w:val="000000"/>
          <w:lang w:eastAsia="bg-BG"/>
        </w:rPr>
        <w:t xml:space="preserve"> Оток или задръжка на течности е съобщен при 13,2% от пациентите с бозентан и при 10,9% от пациентите с плацебо.</w:t>
      </w:r>
    </w:p>
    <w:p w14:paraId="2A54FB7B" w14:textId="77777777" w:rsidR="00BF5B0D" w:rsidRPr="00BF5B0D" w:rsidRDefault="00BF5B0D" w:rsidP="00BF5B0D">
      <w:pPr>
        <w:spacing w:line="240" w:lineRule="auto"/>
        <w:rPr>
          <w:rFonts w:eastAsia="Times New Roman" w:cs="Arial"/>
          <w:color w:val="000000"/>
          <w:lang w:eastAsia="bg-BG"/>
        </w:rPr>
      </w:pPr>
    </w:p>
    <w:p w14:paraId="7F05C6C3" w14:textId="210A7C73" w:rsidR="00BF5B0D" w:rsidRPr="00BF5B0D" w:rsidRDefault="00BF5B0D" w:rsidP="00BF5B0D">
      <w:pPr>
        <w:spacing w:line="240" w:lineRule="auto"/>
        <w:rPr>
          <w:rFonts w:eastAsia="Times New Roman" w:cs="Arial"/>
        </w:rPr>
      </w:pPr>
      <w:r w:rsidRPr="00BF5B0D">
        <w:rPr>
          <w:rFonts w:eastAsia="Times New Roman" w:cs="Arial"/>
          <w:color w:val="000000"/>
          <w:lang w:eastAsia="bg-BG"/>
        </w:rPr>
        <w:t>По време на пост-маркетинговия период са съобщени редки случаи на необяснима цироза на черния дроб след продължително лечение с Ипертазин при пациенти с множество придружаващи заболавания и терапии с лекарствени средства. Има също редки съобщения за чернодробна недостатъчност. Тези съобщения подсилват значението на стриктното спазване на ежемесечното проследяване на чернодробните функции, докато трае лечението с Ипертазин (вж. точка 4.4)</w:t>
      </w:r>
    </w:p>
    <w:p w14:paraId="6454D5E2" w14:textId="77777777" w:rsidR="00BF5B0D" w:rsidRPr="00BF5B0D" w:rsidRDefault="00BF5B0D" w:rsidP="00BF5B0D">
      <w:pPr>
        <w:spacing w:line="240" w:lineRule="auto"/>
        <w:rPr>
          <w:rFonts w:eastAsia="Times New Roman" w:cs="Arial"/>
          <w:color w:val="000000"/>
          <w:u w:val="single"/>
          <w:lang w:eastAsia="bg-BG"/>
        </w:rPr>
      </w:pPr>
    </w:p>
    <w:p w14:paraId="1BA717C2" w14:textId="3DF4685F" w:rsidR="00BF5B0D" w:rsidRPr="00BF5B0D" w:rsidRDefault="00BF5B0D" w:rsidP="00BF5B0D">
      <w:pPr>
        <w:spacing w:line="240" w:lineRule="auto"/>
        <w:rPr>
          <w:rFonts w:eastAsia="Times New Roman" w:cs="Arial"/>
        </w:rPr>
      </w:pPr>
      <w:r w:rsidRPr="00BF5B0D">
        <w:rPr>
          <w:rFonts w:eastAsia="Times New Roman" w:cs="Arial"/>
          <w:color w:val="000000"/>
          <w:u w:val="single"/>
          <w:lang w:eastAsia="bg-BG"/>
        </w:rPr>
        <w:t>Педиатрична популация</w:t>
      </w:r>
    </w:p>
    <w:p w14:paraId="1E870C6D" w14:textId="77777777" w:rsidR="00BF5B0D" w:rsidRPr="00BF5B0D" w:rsidRDefault="00BF5B0D" w:rsidP="00BF5B0D">
      <w:pPr>
        <w:spacing w:line="240" w:lineRule="auto"/>
        <w:rPr>
          <w:rFonts w:eastAsia="Times New Roman" w:cs="Arial"/>
          <w:color w:val="000000"/>
          <w:u w:val="single"/>
          <w:lang w:eastAsia="bg-BG"/>
        </w:rPr>
      </w:pPr>
    </w:p>
    <w:p w14:paraId="74473D1F" w14:textId="7679177D" w:rsidR="00BF5B0D" w:rsidRPr="00BF5B0D" w:rsidRDefault="00BF5B0D" w:rsidP="00BF5B0D">
      <w:pPr>
        <w:spacing w:line="240" w:lineRule="auto"/>
        <w:rPr>
          <w:rFonts w:eastAsia="Times New Roman" w:cs="Arial"/>
        </w:rPr>
      </w:pPr>
      <w:r w:rsidRPr="00BF5B0D">
        <w:rPr>
          <w:rFonts w:eastAsia="Times New Roman" w:cs="Arial"/>
          <w:color w:val="000000"/>
          <w:u w:val="single"/>
          <w:lang w:eastAsia="bg-BG"/>
        </w:rPr>
        <w:t>Неконтролирани клинични проучвания при педиатрични пациенти</w:t>
      </w:r>
    </w:p>
    <w:p w14:paraId="3EB0D5E5" w14:textId="77777777" w:rsidR="00BF5B0D" w:rsidRPr="00BF5B0D" w:rsidRDefault="00BF5B0D" w:rsidP="00BF5B0D">
      <w:pPr>
        <w:spacing w:line="240" w:lineRule="auto"/>
        <w:rPr>
          <w:rFonts w:eastAsia="Times New Roman" w:cs="Arial"/>
          <w:i/>
          <w:iCs/>
          <w:color w:val="000000"/>
          <w:lang w:eastAsia="bg-BG"/>
        </w:rPr>
      </w:pPr>
    </w:p>
    <w:p w14:paraId="6C00D1AF" w14:textId="259E22FC" w:rsidR="00BF5B0D" w:rsidRPr="00BF5B0D" w:rsidRDefault="00BF5B0D" w:rsidP="00BF5B0D">
      <w:pPr>
        <w:spacing w:line="240" w:lineRule="auto"/>
        <w:rPr>
          <w:rFonts w:eastAsia="Times New Roman" w:cs="Arial"/>
        </w:rPr>
      </w:pPr>
      <w:r w:rsidRPr="00BF5B0D">
        <w:rPr>
          <w:rFonts w:eastAsia="Times New Roman" w:cs="Arial"/>
          <w:i/>
          <w:iCs/>
          <w:color w:val="000000"/>
          <w:lang w:eastAsia="bg-BG"/>
        </w:rPr>
        <w:t>Неконтролирани клинични проучвания при педиатрични пациенти:</w:t>
      </w:r>
    </w:p>
    <w:p w14:paraId="1F526D46" w14:textId="19405DE6" w:rsidR="00BF5B0D" w:rsidRPr="00BF5B0D" w:rsidRDefault="00BF5B0D" w:rsidP="00F40F0A">
      <w:pPr>
        <w:rPr>
          <w:rFonts w:cs="Arial"/>
        </w:rPr>
      </w:pPr>
    </w:p>
    <w:p w14:paraId="1A1AAD6C" w14:textId="77777777" w:rsidR="00BF5B0D" w:rsidRPr="00BF5B0D" w:rsidRDefault="00BF5B0D" w:rsidP="00BF5B0D">
      <w:pPr>
        <w:spacing w:line="240" w:lineRule="auto"/>
        <w:rPr>
          <w:rFonts w:eastAsia="Times New Roman" w:cs="Arial"/>
        </w:rPr>
      </w:pPr>
      <w:r w:rsidRPr="00BF5B0D">
        <w:rPr>
          <w:rFonts w:eastAsia="Times New Roman" w:cs="Arial"/>
          <w:color w:val="000000"/>
          <w:lang w:eastAsia="bg-BG"/>
        </w:rPr>
        <w:lastRenderedPageBreak/>
        <w:t xml:space="preserve">Профилът на безопасност при първото отворено неконтролирано педиатрично проучване проведено с филмирани таблетки </w:t>
      </w:r>
      <w:r w:rsidRPr="00BF5B0D">
        <w:rPr>
          <w:rFonts w:eastAsia="Times New Roman" w:cs="Arial"/>
          <w:color w:val="000000"/>
          <w:lang w:val="ru-RU"/>
        </w:rPr>
        <w:t>(</w:t>
      </w:r>
      <w:r w:rsidRPr="00BF5B0D">
        <w:rPr>
          <w:rFonts w:eastAsia="Times New Roman" w:cs="Arial"/>
          <w:color w:val="000000"/>
          <w:lang w:val="en-US"/>
        </w:rPr>
        <w:t>BREATHE</w:t>
      </w:r>
      <w:r w:rsidRPr="00BF5B0D">
        <w:rPr>
          <w:rFonts w:eastAsia="Times New Roman" w:cs="Arial"/>
          <w:color w:val="000000"/>
          <w:lang w:val="ru-RU"/>
        </w:rPr>
        <w:t xml:space="preserve">-3; </w:t>
      </w:r>
      <w:r w:rsidRPr="00BF5B0D">
        <w:rPr>
          <w:rFonts w:eastAsia="Times New Roman" w:cs="Arial"/>
          <w:color w:val="000000"/>
          <w:lang w:val="en-US"/>
        </w:rPr>
        <w:t>n</w:t>
      </w:r>
      <w:r w:rsidRPr="00BF5B0D">
        <w:rPr>
          <w:rFonts w:eastAsia="Times New Roman" w:cs="Arial"/>
          <w:color w:val="000000"/>
          <w:lang w:eastAsia="bg-BG"/>
        </w:rPr>
        <w:t xml:space="preserve">= 19, медиана на възрастта 10 години [диапазон 3-15 години], бозентан 2 </w:t>
      </w:r>
      <w:r w:rsidRPr="00BF5B0D">
        <w:rPr>
          <w:rFonts w:eastAsia="Times New Roman" w:cs="Arial"/>
          <w:color w:val="000000"/>
          <w:lang w:val="en-US"/>
        </w:rPr>
        <w:t>mg</w:t>
      </w:r>
      <w:r w:rsidRPr="00BF5B0D">
        <w:rPr>
          <w:rFonts w:eastAsia="Times New Roman" w:cs="Arial"/>
          <w:color w:val="000000"/>
          <w:lang w:val="ru-RU"/>
        </w:rPr>
        <w:t>/</w:t>
      </w:r>
      <w:r w:rsidRPr="00BF5B0D">
        <w:rPr>
          <w:rFonts w:eastAsia="Times New Roman" w:cs="Arial"/>
          <w:color w:val="000000"/>
          <w:lang w:val="en-US"/>
        </w:rPr>
        <w:t>kg</w:t>
      </w:r>
      <w:r w:rsidRPr="00BF5B0D">
        <w:rPr>
          <w:rFonts w:eastAsia="Times New Roman" w:cs="Arial"/>
          <w:color w:val="000000"/>
          <w:lang w:val="ru-RU"/>
        </w:rPr>
        <w:t xml:space="preserve"> </w:t>
      </w:r>
      <w:r w:rsidRPr="00BF5B0D">
        <w:rPr>
          <w:rFonts w:eastAsia="Times New Roman" w:cs="Arial"/>
          <w:color w:val="000000"/>
          <w:lang w:eastAsia="bg-BG"/>
        </w:rPr>
        <w:t xml:space="preserve">два пъти дневно; продължителност на лечение 12 седмици) е подобен на този, наблюдаван при основни проучвания при възрастни пациенти с БАХ. При </w:t>
      </w:r>
      <w:r w:rsidRPr="00BF5B0D">
        <w:rPr>
          <w:rFonts w:eastAsia="Times New Roman" w:cs="Arial"/>
          <w:color w:val="000000"/>
          <w:lang w:val="en-US"/>
        </w:rPr>
        <w:t>BREATHE</w:t>
      </w:r>
      <w:r w:rsidRPr="00BF5B0D">
        <w:rPr>
          <w:rFonts w:eastAsia="Times New Roman" w:cs="Arial"/>
          <w:color w:val="000000"/>
          <w:lang w:val="ru-RU"/>
        </w:rPr>
        <w:t xml:space="preserve">-3, </w:t>
      </w:r>
      <w:r w:rsidRPr="00BF5B0D">
        <w:rPr>
          <w:rFonts w:eastAsia="Times New Roman" w:cs="Arial"/>
          <w:color w:val="000000"/>
          <w:lang w:eastAsia="bg-BG"/>
        </w:rPr>
        <w:t>най-честите нежелани реакции са зачервяване (21%), главоболие и абнормни чернодробни функционални тестове (16% всяка).</w:t>
      </w:r>
    </w:p>
    <w:p w14:paraId="76946460" w14:textId="77777777" w:rsidR="00BF5B0D" w:rsidRPr="00BF5B0D" w:rsidRDefault="00BF5B0D" w:rsidP="00BF5B0D">
      <w:pPr>
        <w:spacing w:line="240" w:lineRule="auto"/>
        <w:rPr>
          <w:rFonts w:eastAsia="Times New Roman" w:cs="Arial"/>
          <w:color w:val="000000"/>
          <w:lang w:eastAsia="bg-BG"/>
        </w:rPr>
      </w:pPr>
    </w:p>
    <w:p w14:paraId="0C7BC96D" w14:textId="7D6A6AE9" w:rsidR="00BF5B0D" w:rsidRPr="00BF5B0D" w:rsidRDefault="00BF5B0D" w:rsidP="00BF5B0D">
      <w:pPr>
        <w:spacing w:line="240" w:lineRule="auto"/>
        <w:rPr>
          <w:rFonts w:eastAsia="Times New Roman" w:cs="Arial"/>
        </w:rPr>
      </w:pPr>
      <w:r w:rsidRPr="00BF5B0D">
        <w:rPr>
          <w:rFonts w:eastAsia="Times New Roman" w:cs="Arial"/>
          <w:color w:val="000000"/>
          <w:lang w:eastAsia="bg-BG"/>
        </w:rPr>
        <w:t xml:space="preserve">Сборен анализ на неконтролирани педиатрични проучвания, проведени при БАХ с бозентан 32 </w:t>
      </w:r>
      <w:r w:rsidRPr="00BF5B0D">
        <w:rPr>
          <w:rFonts w:eastAsia="Times New Roman" w:cs="Arial"/>
          <w:color w:val="000000"/>
          <w:lang w:val="en-US"/>
        </w:rPr>
        <w:t>mg</w:t>
      </w:r>
      <w:r w:rsidRPr="00BF5B0D">
        <w:rPr>
          <w:rFonts w:eastAsia="Times New Roman" w:cs="Arial"/>
          <w:color w:val="000000"/>
        </w:rPr>
        <w:t xml:space="preserve"> </w:t>
      </w:r>
      <w:r w:rsidRPr="00BF5B0D">
        <w:rPr>
          <w:rFonts w:eastAsia="Times New Roman" w:cs="Arial"/>
          <w:color w:val="000000"/>
          <w:lang w:eastAsia="bg-BG"/>
        </w:rPr>
        <w:t xml:space="preserve">диспергиращи се таблетки </w:t>
      </w:r>
      <w:r w:rsidRPr="00BF5B0D">
        <w:rPr>
          <w:rFonts w:eastAsia="Times New Roman" w:cs="Arial"/>
          <w:color w:val="000000"/>
        </w:rPr>
        <w:t>(</w:t>
      </w:r>
      <w:r w:rsidRPr="00BF5B0D">
        <w:rPr>
          <w:rFonts w:eastAsia="Times New Roman" w:cs="Arial"/>
          <w:color w:val="000000"/>
          <w:lang w:val="en-US"/>
        </w:rPr>
        <w:t>FUTURE</w:t>
      </w:r>
      <w:r w:rsidRPr="00BF5B0D">
        <w:rPr>
          <w:rFonts w:eastAsia="Times New Roman" w:cs="Arial"/>
          <w:color w:val="000000"/>
        </w:rPr>
        <w:t xml:space="preserve"> </w:t>
      </w:r>
      <w:r w:rsidRPr="00BF5B0D">
        <w:rPr>
          <w:rFonts w:eastAsia="Times New Roman" w:cs="Arial"/>
          <w:color w:val="000000"/>
          <w:lang w:eastAsia="bg-BG"/>
        </w:rPr>
        <w:t xml:space="preserve">1/2, </w:t>
      </w:r>
      <w:r w:rsidRPr="00BF5B0D">
        <w:rPr>
          <w:rFonts w:eastAsia="Times New Roman" w:cs="Arial"/>
          <w:color w:val="000000"/>
          <w:lang w:val="en-US"/>
        </w:rPr>
        <w:t>FUTURE</w:t>
      </w:r>
      <w:r w:rsidRPr="00BF5B0D">
        <w:rPr>
          <w:rFonts w:eastAsia="Times New Roman" w:cs="Arial"/>
          <w:color w:val="000000"/>
        </w:rPr>
        <w:t xml:space="preserve"> </w:t>
      </w:r>
      <w:r w:rsidRPr="00BF5B0D">
        <w:rPr>
          <w:rFonts w:eastAsia="Times New Roman" w:cs="Arial"/>
          <w:color w:val="000000"/>
          <w:lang w:eastAsia="bg-BG"/>
        </w:rPr>
        <w:t xml:space="preserve">3/Продължение) включва общо 100 деца лекувани с бозентан 2 </w:t>
      </w:r>
      <w:r w:rsidRPr="00BF5B0D">
        <w:rPr>
          <w:rFonts w:eastAsia="Times New Roman" w:cs="Arial"/>
          <w:color w:val="000000"/>
          <w:lang w:val="en-US"/>
        </w:rPr>
        <w:t>mg</w:t>
      </w:r>
      <w:r w:rsidRPr="00BF5B0D">
        <w:rPr>
          <w:rFonts w:eastAsia="Times New Roman" w:cs="Arial"/>
          <w:color w:val="000000"/>
        </w:rPr>
        <w:t>/</w:t>
      </w:r>
      <w:r w:rsidRPr="00BF5B0D">
        <w:rPr>
          <w:rFonts w:eastAsia="Times New Roman" w:cs="Arial"/>
          <w:color w:val="000000"/>
          <w:lang w:val="en-US"/>
        </w:rPr>
        <w:t>kg</w:t>
      </w:r>
      <w:r w:rsidRPr="00BF5B0D">
        <w:rPr>
          <w:rFonts w:eastAsia="Times New Roman" w:cs="Arial"/>
          <w:color w:val="000000"/>
        </w:rPr>
        <w:t xml:space="preserve"> </w:t>
      </w:r>
      <w:r w:rsidRPr="00BF5B0D">
        <w:rPr>
          <w:rFonts w:eastAsia="Times New Roman" w:cs="Arial"/>
          <w:color w:val="000000"/>
          <w:lang w:eastAsia="bg-BG"/>
        </w:rPr>
        <w:t>два пъти дневно (</w:t>
      </w:r>
      <w:r w:rsidRPr="00BF5B0D">
        <w:rPr>
          <w:rFonts w:eastAsia="Times New Roman" w:cs="Arial"/>
          <w:color w:val="000000"/>
          <w:lang w:val="en-US"/>
        </w:rPr>
        <w:t>n</w:t>
      </w:r>
      <w:r w:rsidRPr="00BF5B0D">
        <w:rPr>
          <w:rFonts w:eastAsia="Times New Roman" w:cs="Arial"/>
          <w:color w:val="000000"/>
          <w:lang w:eastAsia="bg-BG"/>
        </w:rPr>
        <w:t xml:space="preserve"> = 33), 2 </w:t>
      </w:r>
      <w:r w:rsidRPr="00BF5B0D">
        <w:rPr>
          <w:rFonts w:eastAsia="Times New Roman" w:cs="Arial"/>
          <w:color w:val="000000"/>
          <w:lang w:val="en-US"/>
        </w:rPr>
        <w:t>mg</w:t>
      </w:r>
      <w:r w:rsidRPr="00BF5B0D">
        <w:rPr>
          <w:rFonts w:eastAsia="Times New Roman" w:cs="Arial"/>
          <w:color w:val="000000"/>
        </w:rPr>
        <w:t>/</w:t>
      </w:r>
      <w:r w:rsidRPr="00BF5B0D">
        <w:rPr>
          <w:rFonts w:eastAsia="Times New Roman" w:cs="Arial"/>
          <w:color w:val="000000"/>
          <w:lang w:val="en-US"/>
        </w:rPr>
        <w:t>kg</w:t>
      </w:r>
      <w:r w:rsidRPr="00BF5B0D">
        <w:rPr>
          <w:rFonts w:eastAsia="Times New Roman" w:cs="Arial"/>
          <w:color w:val="000000"/>
        </w:rPr>
        <w:t xml:space="preserve"> </w:t>
      </w:r>
      <w:r w:rsidRPr="00BF5B0D">
        <w:rPr>
          <w:rFonts w:eastAsia="Times New Roman" w:cs="Arial"/>
          <w:color w:val="000000"/>
          <w:lang w:eastAsia="bg-BG"/>
        </w:rPr>
        <w:t>три пъти дневно (</w:t>
      </w:r>
      <w:r w:rsidRPr="00BF5B0D">
        <w:rPr>
          <w:rFonts w:eastAsia="Times New Roman" w:cs="Arial"/>
          <w:color w:val="000000"/>
          <w:lang w:val="en-US"/>
        </w:rPr>
        <w:t>n</w:t>
      </w:r>
      <w:r w:rsidRPr="00BF5B0D">
        <w:rPr>
          <w:rFonts w:eastAsia="Times New Roman" w:cs="Arial"/>
          <w:color w:val="000000"/>
          <w:lang w:eastAsia="bg-BG"/>
        </w:rPr>
        <w:t xml:space="preserve"> = 31), или 4 </w:t>
      </w:r>
      <w:r w:rsidRPr="00BF5B0D">
        <w:rPr>
          <w:rFonts w:eastAsia="Times New Roman" w:cs="Arial"/>
          <w:color w:val="000000"/>
          <w:lang w:val="en-US"/>
        </w:rPr>
        <w:t>mg</w:t>
      </w:r>
      <w:r w:rsidRPr="00BF5B0D">
        <w:rPr>
          <w:rFonts w:eastAsia="Times New Roman" w:cs="Arial"/>
          <w:color w:val="000000"/>
        </w:rPr>
        <w:t>/</w:t>
      </w:r>
      <w:r w:rsidRPr="00BF5B0D">
        <w:rPr>
          <w:rFonts w:eastAsia="Times New Roman" w:cs="Arial"/>
          <w:color w:val="000000"/>
          <w:lang w:val="en-US"/>
        </w:rPr>
        <w:t>kg</w:t>
      </w:r>
      <w:r w:rsidRPr="00BF5B0D">
        <w:rPr>
          <w:rFonts w:eastAsia="Times New Roman" w:cs="Arial"/>
          <w:color w:val="000000"/>
        </w:rPr>
        <w:t xml:space="preserve"> </w:t>
      </w:r>
      <w:r w:rsidRPr="00BF5B0D">
        <w:rPr>
          <w:rFonts w:eastAsia="Times New Roman" w:cs="Arial"/>
          <w:color w:val="000000"/>
          <w:lang w:eastAsia="bg-BG"/>
        </w:rPr>
        <w:t>два пъти дневно (</w:t>
      </w:r>
      <w:r w:rsidRPr="00BF5B0D">
        <w:rPr>
          <w:rFonts w:eastAsia="Times New Roman" w:cs="Arial"/>
          <w:color w:val="000000"/>
          <w:lang w:val="en-US"/>
        </w:rPr>
        <w:t>n</w:t>
      </w:r>
      <w:r w:rsidRPr="00BF5B0D">
        <w:rPr>
          <w:rFonts w:eastAsia="Times New Roman" w:cs="Arial"/>
          <w:color w:val="000000"/>
          <w:lang w:eastAsia="bg-BG"/>
        </w:rPr>
        <w:t>= 36). При включването, шестима пациенти са били на възраст между 3 месеца и 1 година, 15 деца са били на възраст между 1 и под 2 години и 79 са били на възраст между 2 и 12 години. Медианата на продължителност на лечение е била 71,8 седмици (диапазон 0,4-258 седмици).</w:t>
      </w:r>
    </w:p>
    <w:p w14:paraId="4A923A6C" w14:textId="77777777" w:rsidR="00BF5B0D" w:rsidRPr="00BF5B0D" w:rsidRDefault="00BF5B0D" w:rsidP="00BF5B0D">
      <w:pPr>
        <w:spacing w:line="240" w:lineRule="auto"/>
        <w:rPr>
          <w:rFonts w:eastAsia="Times New Roman" w:cs="Arial"/>
          <w:color w:val="000000"/>
          <w:lang w:eastAsia="bg-BG"/>
        </w:rPr>
      </w:pPr>
    </w:p>
    <w:p w14:paraId="03EB0F20" w14:textId="35DBC145" w:rsidR="00BF5B0D" w:rsidRPr="00BF5B0D" w:rsidRDefault="00BF5B0D" w:rsidP="00BF5B0D">
      <w:pPr>
        <w:spacing w:line="240" w:lineRule="auto"/>
        <w:rPr>
          <w:rFonts w:eastAsia="Times New Roman" w:cs="Arial"/>
        </w:rPr>
      </w:pPr>
      <w:r w:rsidRPr="00BF5B0D">
        <w:rPr>
          <w:rFonts w:eastAsia="Times New Roman" w:cs="Arial"/>
          <w:color w:val="000000"/>
          <w:lang w:eastAsia="bg-BG"/>
        </w:rPr>
        <w:t xml:space="preserve">Профилът на безопасност при този сборен </w:t>
      </w:r>
      <w:r w:rsidRPr="00BF5B0D">
        <w:rPr>
          <w:rFonts w:eastAsia="Times New Roman" w:cs="Arial"/>
          <w:i/>
          <w:iCs/>
          <w:color w:val="000000"/>
          <w:lang w:eastAsia="bg-BG"/>
        </w:rPr>
        <w:t>анализ на</w:t>
      </w:r>
      <w:r w:rsidRPr="00BF5B0D">
        <w:rPr>
          <w:rFonts w:eastAsia="Times New Roman" w:cs="Arial"/>
          <w:color w:val="000000"/>
          <w:lang w:eastAsia="bg-BG"/>
        </w:rPr>
        <w:t xml:space="preserve"> неконтролирани педиатрични проучвания е подобен на този, наблюдаван при основните изпитвания при възрастни пациенти с БАХ, с изключение на инфекциите, които са съобщени по-често, отколкото при възрастните (69,0% спрямо 41,3%). Разликата в честотата на инфекциите може отчасти да се дължи на по-голямата медиана на продължителност на експозицията в педиатричната група (медиана 71,8 седмици) в сравнение с възрастните (медиана 17,4 седмици). Най-честите нежелани събития са инфекции на горните дихателни пътища (25%), белодробна (артериална) хипертония (20%), назофарингит (17%), пирексия (15%), повръщане (13%), бронхит (10%), коремна болка (10%) и диария (10%). Няма значима разлика в честотата на нежеланите събития при пациентите над и под 2 годишна възраст, това обаче се базира само на 21 деца под 2 години, включително 6 пациенти между 3 месеца и 1 година. Нежелани събития на чернодробни нарушения и анемия/намален хемоглобин са настъпили съответно при 9% и 5% от пациентите.</w:t>
      </w:r>
    </w:p>
    <w:p w14:paraId="0ECC7476" w14:textId="77777777" w:rsidR="00BF5B0D" w:rsidRPr="00BF5B0D" w:rsidRDefault="00BF5B0D" w:rsidP="00BF5B0D">
      <w:pPr>
        <w:spacing w:line="240" w:lineRule="auto"/>
        <w:rPr>
          <w:rFonts w:eastAsia="Times New Roman" w:cs="Arial"/>
          <w:color w:val="000000"/>
          <w:lang w:eastAsia="bg-BG"/>
        </w:rPr>
      </w:pPr>
    </w:p>
    <w:p w14:paraId="6BAFFEC3" w14:textId="66D83093" w:rsidR="00BF5B0D" w:rsidRPr="00BF5B0D" w:rsidRDefault="00BF5B0D" w:rsidP="00BF5B0D">
      <w:pPr>
        <w:spacing w:line="240" w:lineRule="auto"/>
        <w:rPr>
          <w:rFonts w:eastAsia="Times New Roman" w:cs="Arial"/>
        </w:rPr>
      </w:pPr>
      <w:r w:rsidRPr="00BF5B0D">
        <w:rPr>
          <w:rFonts w:eastAsia="Times New Roman" w:cs="Arial"/>
          <w:color w:val="000000"/>
          <w:lang w:eastAsia="bg-BG"/>
        </w:rPr>
        <w:t xml:space="preserve">При рандомизирано плацебо-контролирано проучване, проведено при пациенти с ПБХН </w:t>
      </w:r>
      <w:r w:rsidRPr="00BF5B0D">
        <w:rPr>
          <w:rFonts w:eastAsia="Times New Roman" w:cs="Arial"/>
          <w:color w:val="000000"/>
          <w:lang w:val="ru-RU"/>
        </w:rPr>
        <w:t>(</w:t>
      </w:r>
      <w:r w:rsidRPr="00BF5B0D">
        <w:rPr>
          <w:rFonts w:eastAsia="Times New Roman" w:cs="Arial"/>
          <w:color w:val="000000"/>
          <w:lang w:val="en-US"/>
        </w:rPr>
        <w:t>FUTURE</w:t>
      </w:r>
      <w:r w:rsidRPr="00BF5B0D">
        <w:rPr>
          <w:rFonts w:eastAsia="Times New Roman" w:cs="Arial"/>
          <w:color w:val="000000"/>
          <w:lang w:val="ru-RU"/>
        </w:rPr>
        <w:t xml:space="preserve">-4), </w:t>
      </w:r>
      <w:r w:rsidRPr="00BF5B0D">
        <w:rPr>
          <w:rFonts w:eastAsia="Times New Roman" w:cs="Arial"/>
          <w:color w:val="000000"/>
          <w:lang w:eastAsia="bg-BG"/>
        </w:rPr>
        <w:t xml:space="preserve">общо 13 новородени са били лекувани с диспергиращи се таблетки бозентан с доза 2 </w:t>
      </w:r>
      <w:r w:rsidRPr="00BF5B0D">
        <w:rPr>
          <w:rFonts w:eastAsia="Times New Roman" w:cs="Arial"/>
          <w:color w:val="000000"/>
          <w:lang w:val="en-US"/>
        </w:rPr>
        <w:t>mg</w:t>
      </w:r>
      <w:r w:rsidRPr="00BF5B0D">
        <w:rPr>
          <w:rFonts w:eastAsia="Times New Roman" w:cs="Arial"/>
          <w:color w:val="000000"/>
          <w:lang w:val="ru-RU"/>
        </w:rPr>
        <w:t>/</w:t>
      </w:r>
      <w:r w:rsidRPr="00BF5B0D">
        <w:rPr>
          <w:rFonts w:eastAsia="Times New Roman" w:cs="Arial"/>
          <w:color w:val="000000"/>
          <w:lang w:val="en-US"/>
        </w:rPr>
        <w:t>kg</w:t>
      </w:r>
      <w:r w:rsidRPr="00BF5B0D">
        <w:rPr>
          <w:rFonts w:eastAsia="Times New Roman" w:cs="Arial"/>
          <w:color w:val="000000"/>
          <w:lang w:val="ru-RU"/>
        </w:rPr>
        <w:t xml:space="preserve"> </w:t>
      </w:r>
      <w:r w:rsidRPr="00BF5B0D">
        <w:rPr>
          <w:rFonts w:eastAsia="Times New Roman" w:cs="Arial"/>
          <w:color w:val="000000"/>
          <w:lang w:eastAsia="bg-BG"/>
        </w:rPr>
        <w:t>два пъти дневно (8 пациенти са били на плацебо). Медианата на продължителност на лечение с бозетан и плацебо е била, съответно, 4,5 дни (диапазон 0,5-10,0 дни) и 4,0 дни (диапазон 2,5-6,5 дни). Най-честите нежелани събития при пациентите, лекувани с бозентан и плацебо, са били съответно анемия или намален хемоглобин (7 и 2 пациенти), генерализиран едем (3 и 0 пациенти) и повръщане (2 и 0 пациенти).</w:t>
      </w:r>
    </w:p>
    <w:p w14:paraId="14C3852B" w14:textId="77777777" w:rsidR="00BF5B0D" w:rsidRPr="00BF5B0D" w:rsidRDefault="00BF5B0D" w:rsidP="00BF5B0D">
      <w:pPr>
        <w:spacing w:line="240" w:lineRule="auto"/>
        <w:rPr>
          <w:rFonts w:eastAsia="Times New Roman" w:cs="Arial"/>
          <w:color w:val="000000"/>
          <w:u w:val="single"/>
          <w:lang w:eastAsia="bg-BG"/>
        </w:rPr>
      </w:pPr>
    </w:p>
    <w:p w14:paraId="59CD6B43" w14:textId="549C8C69" w:rsidR="00BF5B0D" w:rsidRPr="00BF5B0D" w:rsidRDefault="00BF5B0D" w:rsidP="00BF5B0D">
      <w:pPr>
        <w:spacing w:line="240" w:lineRule="auto"/>
        <w:rPr>
          <w:rFonts w:eastAsia="Times New Roman" w:cs="Arial"/>
        </w:rPr>
      </w:pPr>
      <w:r w:rsidRPr="00BF5B0D">
        <w:rPr>
          <w:rFonts w:eastAsia="Times New Roman" w:cs="Arial"/>
          <w:color w:val="000000"/>
          <w:u w:val="single"/>
          <w:lang w:eastAsia="bg-BG"/>
        </w:rPr>
        <w:t>Лабораторни отклонения от нормата</w:t>
      </w:r>
    </w:p>
    <w:p w14:paraId="2BDDFBBF" w14:textId="77777777" w:rsidR="00BF5B0D" w:rsidRPr="00BF5B0D" w:rsidRDefault="00BF5B0D" w:rsidP="00BF5B0D">
      <w:pPr>
        <w:spacing w:line="240" w:lineRule="auto"/>
        <w:rPr>
          <w:rFonts w:eastAsia="Times New Roman" w:cs="Arial"/>
          <w:i/>
          <w:iCs/>
          <w:color w:val="000000"/>
          <w:lang w:eastAsia="bg-BG"/>
        </w:rPr>
      </w:pPr>
    </w:p>
    <w:p w14:paraId="3898BCE3" w14:textId="2BD8811D" w:rsidR="00BF5B0D" w:rsidRPr="00BF5B0D" w:rsidRDefault="00BF5B0D" w:rsidP="00BF5B0D">
      <w:pPr>
        <w:spacing w:line="240" w:lineRule="auto"/>
        <w:rPr>
          <w:rFonts w:eastAsia="Times New Roman" w:cs="Arial"/>
        </w:rPr>
      </w:pPr>
      <w:r w:rsidRPr="00BF5B0D">
        <w:rPr>
          <w:rFonts w:eastAsia="Times New Roman" w:cs="Arial"/>
          <w:i/>
          <w:iCs/>
          <w:color w:val="000000"/>
          <w:lang w:eastAsia="bg-BG"/>
        </w:rPr>
        <w:t>Отклонения в чернодробните изследвания</w:t>
      </w:r>
    </w:p>
    <w:p w14:paraId="5693183F" w14:textId="77777777" w:rsidR="00BF5B0D" w:rsidRPr="00BF5B0D" w:rsidRDefault="00BF5B0D" w:rsidP="00BF5B0D">
      <w:pPr>
        <w:spacing w:line="240" w:lineRule="auto"/>
        <w:rPr>
          <w:rFonts w:eastAsia="Times New Roman" w:cs="Arial"/>
        </w:rPr>
      </w:pPr>
      <w:r w:rsidRPr="00BF5B0D">
        <w:rPr>
          <w:rFonts w:eastAsia="Times New Roman" w:cs="Arial"/>
          <w:color w:val="000000"/>
          <w:lang w:eastAsia="bg-BG"/>
        </w:rPr>
        <w:t>По време на клиничната програма, дозозависимите повишения на чернодробните аминотрансферази обикновено са възниквали през първите 26 седмици от лечението, обикновено са се развивали постепенно и са били главно асимптомни. По време на пост- маркетинговия период са съобщени редки случаи на цироза и недостатъчност на черния дроб</w:t>
      </w:r>
    </w:p>
    <w:p w14:paraId="35181FE5" w14:textId="77777777" w:rsidR="00BF5B0D" w:rsidRPr="00BF5B0D" w:rsidRDefault="00BF5B0D" w:rsidP="00BF5B0D">
      <w:pPr>
        <w:spacing w:line="240" w:lineRule="auto"/>
        <w:rPr>
          <w:rFonts w:eastAsia="Times New Roman" w:cs="Arial"/>
          <w:color w:val="000000"/>
          <w:lang w:eastAsia="bg-BG"/>
        </w:rPr>
      </w:pPr>
    </w:p>
    <w:p w14:paraId="6416032C" w14:textId="7E0F896D" w:rsidR="00BF5B0D" w:rsidRPr="00BF5B0D" w:rsidRDefault="00BF5B0D" w:rsidP="00BF5B0D">
      <w:pPr>
        <w:spacing w:line="240" w:lineRule="auto"/>
        <w:rPr>
          <w:rFonts w:eastAsia="Times New Roman" w:cs="Arial"/>
        </w:rPr>
      </w:pPr>
      <w:r w:rsidRPr="00BF5B0D">
        <w:rPr>
          <w:rFonts w:eastAsia="Times New Roman" w:cs="Arial"/>
          <w:color w:val="000000"/>
          <w:lang w:eastAsia="bg-BG"/>
        </w:rPr>
        <w:t>Механизмът на този страничен ефект не е ясен. Това повишаване на аминотрансферазите може да се преодолее спонтанно, като лечението продължава с поддържаща доза Ипертазин, или след намаляване на дозата, но може да бъде необходимо прекъсване или спиране на лечението (вж. точка 4.4),</w:t>
      </w:r>
    </w:p>
    <w:p w14:paraId="1C34F145" w14:textId="77777777" w:rsidR="00BF5B0D" w:rsidRPr="00BF5B0D" w:rsidRDefault="00BF5B0D" w:rsidP="00BF5B0D">
      <w:pPr>
        <w:spacing w:line="240" w:lineRule="auto"/>
        <w:rPr>
          <w:rFonts w:eastAsia="Times New Roman" w:cs="Arial"/>
          <w:color w:val="000000"/>
          <w:lang w:eastAsia="bg-BG"/>
        </w:rPr>
      </w:pPr>
    </w:p>
    <w:p w14:paraId="3B84AA77" w14:textId="798C736C" w:rsidR="00BF5B0D" w:rsidRPr="00BF5B0D" w:rsidRDefault="00BF5B0D" w:rsidP="00BF5B0D">
      <w:pPr>
        <w:spacing w:line="240" w:lineRule="auto"/>
        <w:rPr>
          <w:rFonts w:eastAsia="Times New Roman" w:cs="Arial"/>
        </w:rPr>
      </w:pPr>
      <w:r w:rsidRPr="00BF5B0D">
        <w:rPr>
          <w:rFonts w:eastAsia="Times New Roman" w:cs="Arial"/>
          <w:color w:val="000000"/>
          <w:lang w:eastAsia="bg-BG"/>
        </w:rPr>
        <w:t>При 20-те обединени плацебо контролирани проучвания, повишаването на чернодробните</w:t>
      </w:r>
    </w:p>
    <w:p w14:paraId="6B8C7E41" w14:textId="77777777" w:rsidR="00BF5B0D" w:rsidRPr="00BF5B0D" w:rsidRDefault="00BF5B0D" w:rsidP="00BF5B0D">
      <w:pPr>
        <w:spacing w:line="240" w:lineRule="auto"/>
        <w:rPr>
          <w:rFonts w:eastAsia="Times New Roman" w:cs="Arial"/>
        </w:rPr>
      </w:pPr>
      <w:r w:rsidRPr="00BF5B0D">
        <w:rPr>
          <w:rFonts w:eastAsia="Times New Roman" w:cs="Arial"/>
          <w:color w:val="000000"/>
          <w:lang w:eastAsia="bg-BG"/>
        </w:rPr>
        <w:t>аминотрансферази ≥3 х ГГН е наблюдавано при 11,2% от приемащите бозентан</w:t>
      </w:r>
      <w:r w:rsidRPr="00BF5B0D">
        <w:rPr>
          <w:rFonts w:eastAsia="Times New Roman" w:cs="Arial"/>
          <w:color w:val="000000"/>
          <w:lang w:val="ru-RU"/>
        </w:rPr>
        <w:t xml:space="preserve"> </w:t>
      </w:r>
      <w:r w:rsidRPr="00BF5B0D">
        <w:rPr>
          <w:rFonts w:eastAsia="Times New Roman" w:cs="Arial"/>
          <w:color w:val="000000"/>
          <w:lang w:eastAsia="bg-BG"/>
        </w:rPr>
        <w:t>пациенти в сравнение с 2,4% от приемащите плацебо пациенти. Повишаване до ≥ 8 х ГГН е наблюдавано при 3,6% от пациентите, лекувани с бозентан и 0,4% от приемащите плацебо пациенти.</w:t>
      </w:r>
    </w:p>
    <w:p w14:paraId="19CB099F" w14:textId="77777777" w:rsidR="00BF5B0D" w:rsidRPr="00BF5B0D" w:rsidRDefault="00BF5B0D" w:rsidP="00BF5B0D">
      <w:pPr>
        <w:rPr>
          <w:rFonts w:eastAsia="Times New Roman" w:cs="Arial"/>
        </w:rPr>
      </w:pPr>
      <w:r w:rsidRPr="00BF5B0D">
        <w:rPr>
          <w:rFonts w:eastAsia="Times New Roman" w:cs="Arial"/>
          <w:color w:val="000000"/>
          <w:lang w:eastAsia="bg-BG"/>
        </w:rPr>
        <w:t>Повишаването на аминотрансферазите е било свързано с повишаване на билирубина(≥2 ГГН) без данни за билиарна обструкция при 0,2% (5 пациенти) приемащи бозентан и 0,3% (6 пациенти) приемащи плацебо.</w:t>
      </w:r>
    </w:p>
    <w:p w14:paraId="2C7416FD" w14:textId="77777777" w:rsidR="00BF5B0D" w:rsidRPr="00BF5B0D" w:rsidRDefault="00BF5B0D" w:rsidP="00BF5B0D">
      <w:pPr>
        <w:spacing w:line="240" w:lineRule="auto"/>
        <w:rPr>
          <w:rFonts w:eastAsia="Times New Roman" w:cs="Arial"/>
          <w:color w:val="000000"/>
          <w:lang w:eastAsia="bg-BG"/>
        </w:rPr>
      </w:pPr>
    </w:p>
    <w:p w14:paraId="1D3CE305" w14:textId="70209153" w:rsidR="00BF5B0D" w:rsidRPr="00BF5B0D" w:rsidRDefault="00BF5B0D" w:rsidP="00BF5B0D">
      <w:pPr>
        <w:spacing w:line="240" w:lineRule="auto"/>
        <w:rPr>
          <w:rFonts w:eastAsia="Times New Roman" w:cs="Arial"/>
        </w:rPr>
      </w:pPr>
      <w:r w:rsidRPr="00BF5B0D">
        <w:rPr>
          <w:rFonts w:eastAsia="Times New Roman" w:cs="Arial"/>
          <w:color w:val="000000"/>
          <w:lang w:eastAsia="bg-BG"/>
        </w:rPr>
        <w:t xml:space="preserve">При сборния анализ на 100 деца с БАХ от неконтролираните педиатрични проучвания </w:t>
      </w:r>
      <w:r w:rsidRPr="00BF5B0D">
        <w:rPr>
          <w:rFonts w:eastAsia="Times New Roman" w:cs="Arial"/>
          <w:color w:val="000000"/>
          <w:lang w:val="en-US"/>
        </w:rPr>
        <w:t>FUTURE</w:t>
      </w:r>
      <w:r w:rsidRPr="00BF5B0D">
        <w:rPr>
          <w:rFonts w:eastAsia="Times New Roman" w:cs="Arial"/>
          <w:color w:val="000000"/>
          <w:lang w:val="ru-RU"/>
        </w:rPr>
        <w:t xml:space="preserve"> </w:t>
      </w:r>
      <w:r w:rsidRPr="00BF5B0D">
        <w:rPr>
          <w:rFonts w:eastAsia="Times New Roman" w:cs="Arial"/>
          <w:color w:val="000000"/>
          <w:lang w:eastAsia="bg-BG"/>
        </w:rPr>
        <w:t xml:space="preserve">1/2 и </w:t>
      </w:r>
      <w:r w:rsidRPr="00BF5B0D">
        <w:rPr>
          <w:rFonts w:eastAsia="Times New Roman" w:cs="Arial"/>
          <w:color w:val="000000"/>
          <w:lang w:val="en-US"/>
        </w:rPr>
        <w:t>FUTURE</w:t>
      </w:r>
      <w:r w:rsidRPr="00BF5B0D">
        <w:rPr>
          <w:rFonts w:eastAsia="Times New Roman" w:cs="Arial"/>
          <w:color w:val="000000"/>
          <w:lang w:val="ru-RU"/>
        </w:rPr>
        <w:t xml:space="preserve"> </w:t>
      </w:r>
      <w:r w:rsidRPr="00BF5B0D">
        <w:rPr>
          <w:rFonts w:eastAsia="Times New Roman" w:cs="Arial"/>
          <w:color w:val="000000"/>
          <w:lang w:eastAsia="bg-BG"/>
        </w:rPr>
        <w:t xml:space="preserve">З/Продължение са наблюдавани повишени чернодробни аминотрансферази ≥ </w:t>
      </w:r>
      <w:r w:rsidRPr="00BF5B0D">
        <w:rPr>
          <w:rFonts w:eastAsia="Times New Roman" w:cs="Arial"/>
          <w:i/>
          <w:iCs/>
          <w:color w:val="000000"/>
          <w:lang w:eastAsia="bg-BG"/>
        </w:rPr>
        <w:t>3 х</w:t>
      </w:r>
      <w:r w:rsidRPr="00BF5B0D">
        <w:rPr>
          <w:rFonts w:eastAsia="Times New Roman" w:cs="Arial"/>
          <w:i/>
          <w:iCs/>
          <w:color w:val="000000"/>
          <w:vertAlign w:val="superscript"/>
          <w:lang w:eastAsia="bg-BG"/>
        </w:rPr>
        <w:t xml:space="preserve"> </w:t>
      </w:r>
      <w:r w:rsidRPr="00BF5B0D">
        <w:rPr>
          <w:rFonts w:eastAsia="Times New Roman" w:cs="Arial"/>
          <w:color w:val="000000"/>
          <w:lang w:eastAsia="bg-BG"/>
        </w:rPr>
        <w:t>ГГН при 2% от пациентите.</w:t>
      </w:r>
    </w:p>
    <w:p w14:paraId="07355F5D" w14:textId="77777777" w:rsidR="00BF5B0D" w:rsidRPr="00BF5B0D" w:rsidRDefault="00BF5B0D" w:rsidP="00BF5B0D">
      <w:pPr>
        <w:spacing w:line="240" w:lineRule="auto"/>
        <w:rPr>
          <w:rFonts w:eastAsia="Times New Roman" w:cs="Arial"/>
          <w:color w:val="000000"/>
          <w:lang w:eastAsia="bg-BG"/>
        </w:rPr>
      </w:pPr>
    </w:p>
    <w:p w14:paraId="43DDEA84" w14:textId="7CA2A8DF" w:rsidR="00BF5B0D" w:rsidRPr="00BF5B0D" w:rsidRDefault="00BF5B0D" w:rsidP="00BF5B0D">
      <w:pPr>
        <w:spacing w:line="240" w:lineRule="auto"/>
        <w:rPr>
          <w:rFonts w:eastAsia="Times New Roman" w:cs="Arial"/>
        </w:rPr>
      </w:pPr>
      <w:r w:rsidRPr="00BF5B0D">
        <w:rPr>
          <w:rFonts w:eastAsia="Times New Roman" w:cs="Arial"/>
          <w:color w:val="000000"/>
          <w:lang w:eastAsia="bg-BG"/>
        </w:rPr>
        <w:t xml:space="preserve">При проучването </w:t>
      </w:r>
      <w:r w:rsidRPr="00BF5B0D">
        <w:rPr>
          <w:rFonts w:eastAsia="Times New Roman" w:cs="Arial"/>
          <w:color w:val="000000"/>
          <w:lang w:val="en-US"/>
        </w:rPr>
        <w:t>FUTURE</w:t>
      </w:r>
      <w:r w:rsidRPr="00BF5B0D">
        <w:rPr>
          <w:rFonts w:eastAsia="Times New Roman" w:cs="Arial"/>
          <w:color w:val="000000"/>
          <w:lang w:val="ru-RU"/>
        </w:rPr>
        <w:t xml:space="preserve">-4, </w:t>
      </w:r>
      <w:r w:rsidRPr="00BF5B0D">
        <w:rPr>
          <w:rFonts w:eastAsia="Times New Roman" w:cs="Arial"/>
          <w:color w:val="000000"/>
          <w:lang w:eastAsia="bg-BG"/>
        </w:rPr>
        <w:t xml:space="preserve">включващо 13 новородени с ПБХН, лекувани с бозентан 2 </w:t>
      </w:r>
      <w:r w:rsidRPr="00BF5B0D">
        <w:rPr>
          <w:rFonts w:eastAsia="Times New Roman" w:cs="Arial"/>
          <w:color w:val="000000"/>
          <w:lang w:val="en-US"/>
        </w:rPr>
        <w:t>mg</w:t>
      </w:r>
      <w:r w:rsidRPr="00BF5B0D">
        <w:rPr>
          <w:rFonts w:eastAsia="Times New Roman" w:cs="Arial"/>
          <w:color w:val="000000"/>
          <w:lang w:val="ru-RU"/>
        </w:rPr>
        <w:t>/</w:t>
      </w:r>
      <w:r w:rsidRPr="00BF5B0D">
        <w:rPr>
          <w:rFonts w:eastAsia="Times New Roman" w:cs="Arial"/>
          <w:color w:val="000000"/>
          <w:lang w:val="en-US"/>
        </w:rPr>
        <w:t>kg</w:t>
      </w:r>
      <w:r w:rsidRPr="00BF5B0D">
        <w:rPr>
          <w:rFonts w:eastAsia="Times New Roman" w:cs="Arial"/>
          <w:color w:val="000000"/>
          <w:lang w:val="ru-RU"/>
        </w:rPr>
        <w:t xml:space="preserve"> </w:t>
      </w:r>
      <w:r w:rsidRPr="00BF5B0D">
        <w:rPr>
          <w:rFonts w:eastAsia="Times New Roman" w:cs="Arial"/>
          <w:color w:val="000000"/>
          <w:lang w:eastAsia="bg-BG"/>
        </w:rPr>
        <w:t>два пъти дневно за по-малко от 10 дни (диапазон 0,5-10,0 дни), няма случаи на чернодробни аминотрансферази ≥ 3 х ГГН по време на лечението, но един случай на хепатит е настъпил 3 дни след края на лечението с бозентан.</w:t>
      </w:r>
    </w:p>
    <w:p w14:paraId="5706C0C6" w14:textId="77777777" w:rsidR="00BF5B0D" w:rsidRPr="00BF5B0D" w:rsidRDefault="00BF5B0D" w:rsidP="00BF5B0D">
      <w:pPr>
        <w:spacing w:line="240" w:lineRule="auto"/>
        <w:rPr>
          <w:rFonts w:eastAsia="Times New Roman" w:cs="Arial"/>
          <w:i/>
          <w:iCs/>
          <w:color w:val="000000"/>
          <w:lang w:eastAsia="bg-BG"/>
        </w:rPr>
      </w:pPr>
    </w:p>
    <w:p w14:paraId="337AB088" w14:textId="25981913" w:rsidR="00BF5B0D" w:rsidRPr="00BF5B0D" w:rsidRDefault="00BF5B0D" w:rsidP="00BF5B0D">
      <w:pPr>
        <w:spacing w:line="240" w:lineRule="auto"/>
        <w:rPr>
          <w:rFonts w:eastAsia="Times New Roman" w:cs="Arial"/>
        </w:rPr>
      </w:pPr>
      <w:r w:rsidRPr="00BF5B0D">
        <w:rPr>
          <w:rFonts w:eastAsia="Times New Roman" w:cs="Arial"/>
          <w:i/>
          <w:iCs/>
          <w:color w:val="000000"/>
          <w:lang w:eastAsia="bg-BG"/>
        </w:rPr>
        <w:t>Хемоглобин</w:t>
      </w:r>
    </w:p>
    <w:p w14:paraId="58CC2F38" w14:textId="77777777" w:rsidR="00BF5B0D" w:rsidRPr="00BF5B0D" w:rsidRDefault="00BF5B0D" w:rsidP="00BF5B0D">
      <w:pPr>
        <w:spacing w:line="240" w:lineRule="auto"/>
        <w:rPr>
          <w:rFonts w:eastAsia="Times New Roman" w:cs="Arial"/>
          <w:color w:val="000000"/>
          <w:lang w:eastAsia="bg-BG"/>
        </w:rPr>
      </w:pPr>
    </w:p>
    <w:p w14:paraId="04D31E70" w14:textId="391E41B9" w:rsidR="00BF5B0D" w:rsidRPr="00BF5B0D" w:rsidRDefault="00BF5B0D" w:rsidP="00BF5B0D">
      <w:pPr>
        <w:spacing w:line="240" w:lineRule="auto"/>
        <w:rPr>
          <w:rFonts w:eastAsia="Times New Roman" w:cs="Arial"/>
        </w:rPr>
      </w:pPr>
      <w:r w:rsidRPr="00BF5B0D">
        <w:rPr>
          <w:rFonts w:eastAsia="Times New Roman" w:cs="Arial"/>
          <w:color w:val="000000"/>
          <w:lang w:eastAsia="bg-BG"/>
        </w:rPr>
        <w:t xml:space="preserve">При плацебо-контролирани проучвания при възрастни, понижаване на концентрацията на хемоглобина под 10 </w:t>
      </w:r>
      <w:r w:rsidRPr="00BF5B0D">
        <w:rPr>
          <w:rFonts w:eastAsia="Times New Roman" w:cs="Arial"/>
          <w:color w:val="000000"/>
          <w:lang w:val="en-US"/>
        </w:rPr>
        <w:t>g</w:t>
      </w:r>
      <w:r w:rsidRPr="00BF5B0D">
        <w:rPr>
          <w:rFonts w:eastAsia="Times New Roman" w:cs="Arial"/>
          <w:color w:val="000000"/>
          <w:lang w:val="ru-RU"/>
        </w:rPr>
        <w:t>/</w:t>
      </w:r>
      <w:r w:rsidRPr="00BF5B0D">
        <w:rPr>
          <w:rFonts w:eastAsia="Times New Roman" w:cs="Arial"/>
          <w:color w:val="000000"/>
          <w:lang w:val="en-US"/>
        </w:rPr>
        <w:t>dl</w:t>
      </w:r>
      <w:r w:rsidRPr="00BF5B0D">
        <w:rPr>
          <w:rFonts w:eastAsia="Times New Roman" w:cs="Arial"/>
          <w:color w:val="000000"/>
          <w:lang w:val="ru-RU"/>
        </w:rPr>
        <w:t xml:space="preserve"> </w:t>
      </w:r>
      <w:r w:rsidRPr="00BF5B0D">
        <w:rPr>
          <w:rFonts w:eastAsia="Times New Roman" w:cs="Arial"/>
          <w:color w:val="000000"/>
          <w:lang w:eastAsia="bg-BG"/>
        </w:rPr>
        <w:t>от началото на проучването е съобщено при 8,0% от приемащите бозентан пациенти и при 3,9% от приемащите плацебо пациенти (вж. точка 4.4).</w:t>
      </w:r>
    </w:p>
    <w:p w14:paraId="258C9580" w14:textId="77777777" w:rsidR="00BF5B0D" w:rsidRPr="00BF5B0D" w:rsidRDefault="00BF5B0D" w:rsidP="00BF5B0D">
      <w:pPr>
        <w:spacing w:line="240" w:lineRule="auto"/>
        <w:rPr>
          <w:rFonts w:eastAsia="Times New Roman" w:cs="Arial"/>
          <w:color w:val="000000"/>
          <w:lang w:eastAsia="bg-BG"/>
        </w:rPr>
      </w:pPr>
    </w:p>
    <w:p w14:paraId="324357AD" w14:textId="2C3C6F75" w:rsidR="00BF5B0D" w:rsidRPr="00BF5B0D" w:rsidRDefault="00BF5B0D" w:rsidP="00BF5B0D">
      <w:pPr>
        <w:spacing w:line="240" w:lineRule="auto"/>
        <w:rPr>
          <w:rFonts w:eastAsia="Times New Roman" w:cs="Arial"/>
        </w:rPr>
      </w:pPr>
      <w:r w:rsidRPr="00BF5B0D">
        <w:rPr>
          <w:rFonts w:eastAsia="Times New Roman" w:cs="Arial"/>
          <w:color w:val="000000"/>
          <w:lang w:eastAsia="bg-BG"/>
        </w:rPr>
        <w:t xml:space="preserve">При сборния анализ на 100 деца с БАХ от неконтролираните педиатрични проучвания </w:t>
      </w:r>
      <w:r w:rsidRPr="00BF5B0D">
        <w:rPr>
          <w:rFonts w:eastAsia="Times New Roman" w:cs="Arial"/>
          <w:color w:val="000000"/>
          <w:lang w:val="en-US"/>
        </w:rPr>
        <w:t>FUTURE</w:t>
      </w:r>
      <w:r w:rsidRPr="00BF5B0D">
        <w:rPr>
          <w:rFonts w:eastAsia="Times New Roman" w:cs="Arial"/>
          <w:color w:val="000000"/>
          <w:lang w:val="ru-RU"/>
        </w:rPr>
        <w:t xml:space="preserve"> </w:t>
      </w:r>
      <w:r w:rsidRPr="00BF5B0D">
        <w:rPr>
          <w:rFonts w:eastAsia="Times New Roman" w:cs="Arial"/>
          <w:color w:val="000000"/>
          <w:lang w:eastAsia="bg-BG"/>
        </w:rPr>
        <w:t xml:space="preserve">1/2 и </w:t>
      </w:r>
      <w:r w:rsidRPr="00BF5B0D">
        <w:rPr>
          <w:rFonts w:eastAsia="Times New Roman" w:cs="Arial"/>
          <w:color w:val="000000"/>
          <w:lang w:val="en-US"/>
        </w:rPr>
        <w:t>FUTURE</w:t>
      </w:r>
      <w:r w:rsidRPr="00BF5B0D">
        <w:rPr>
          <w:rFonts w:eastAsia="Times New Roman" w:cs="Arial"/>
          <w:color w:val="000000"/>
          <w:lang w:val="ru-RU"/>
        </w:rPr>
        <w:t xml:space="preserve"> </w:t>
      </w:r>
      <w:r w:rsidRPr="00BF5B0D">
        <w:rPr>
          <w:rFonts w:eastAsia="Times New Roman" w:cs="Arial"/>
          <w:color w:val="000000"/>
          <w:lang w:eastAsia="bg-BG"/>
        </w:rPr>
        <w:t xml:space="preserve">3/Продължение, е съобщено понижаване на концентрацията на хемоглобина на изходно ниво до под 10 </w:t>
      </w:r>
      <w:r w:rsidRPr="00BF5B0D">
        <w:rPr>
          <w:rFonts w:eastAsia="Times New Roman" w:cs="Arial"/>
          <w:color w:val="000000"/>
          <w:lang w:val="en-US"/>
        </w:rPr>
        <w:t>g</w:t>
      </w:r>
      <w:r w:rsidRPr="00BF5B0D">
        <w:rPr>
          <w:rFonts w:eastAsia="Times New Roman" w:cs="Arial"/>
          <w:color w:val="000000"/>
          <w:lang w:val="ru-RU"/>
        </w:rPr>
        <w:t>/</w:t>
      </w:r>
      <w:r w:rsidRPr="00BF5B0D">
        <w:rPr>
          <w:rFonts w:eastAsia="Times New Roman" w:cs="Arial"/>
          <w:color w:val="000000"/>
          <w:lang w:val="en-US"/>
        </w:rPr>
        <w:t>dl</w:t>
      </w:r>
      <w:r w:rsidRPr="00BF5B0D">
        <w:rPr>
          <w:rFonts w:eastAsia="Times New Roman" w:cs="Arial"/>
          <w:color w:val="000000"/>
          <w:lang w:val="ru-RU"/>
        </w:rPr>
        <w:t xml:space="preserve"> </w:t>
      </w:r>
      <w:r w:rsidRPr="00BF5B0D">
        <w:rPr>
          <w:rFonts w:eastAsia="Times New Roman" w:cs="Arial"/>
          <w:color w:val="000000"/>
          <w:lang w:eastAsia="bg-BG"/>
        </w:rPr>
        <w:t xml:space="preserve">при 10,0% от пациентите. Не е имало понижаване под 8 </w:t>
      </w:r>
      <w:r w:rsidRPr="00BF5B0D">
        <w:rPr>
          <w:rFonts w:eastAsia="Times New Roman" w:cs="Arial"/>
          <w:color w:val="000000"/>
          <w:lang w:val="en-US"/>
        </w:rPr>
        <w:t>g</w:t>
      </w:r>
      <w:r w:rsidRPr="00BF5B0D">
        <w:rPr>
          <w:rFonts w:eastAsia="Times New Roman" w:cs="Arial"/>
          <w:color w:val="000000"/>
          <w:lang w:val="ru-RU"/>
        </w:rPr>
        <w:t>/</w:t>
      </w:r>
      <w:r w:rsidRPr="00BF5B0D">
        <w:rPr>
          <w:rFonts w:eastAsia="Times New Roman" w:cs="Arial"/>
          <w:color w:val="000000"/>
          <w:lang w:val="en-US"/>
        </w:rPr>
        <w:t>dl</w:t>
      </w:r>
      <w:r w:rsidRPr="00BF5B0D">
        <w:rPr>
          <w:rFonts w:eastAsia="Times New Roman" w:cs="Arial"/>
          <w:color w:val="000000"/>
          <w:lang w:val="ru-RU"/>
        </w:rPr>
        <w:t>.</w:t>
      </w:r>
    </w:p>
    <w:p w14:paraId="7B2537B7" w14:textId="77777777" w:rsidR="00BF5B0D" w:rsidRPr="00BF5B0D" w:rsidRDefault="00BF5B0D" w:rsidP="00BF5B0D">
      <w:pPr>
        <w:spacing w:line="240" w:lineRule="auto"/>
        <w:rPr>
          <w:rFonts w:eastAsia="Times New Roman" w:cs="Arial"/>
          <w:color w:val="000000"/>
          <w:lang w:eastAsia="bg-BG"/>
        </w:rPr>
      </w:pPr>
    </w:p>
    <w:p w14:paraId="5C874909" w14:textId="1D706025" w:rsidR="00BF5B0D" w:rsidRPr="00BF5B0D" w:rsidRDefault="00BF5B0D" w:rsidP="00BF5B0D">
      <w:pPr>
        <w:spacing w:line="240" w:lineRule="auto"/>
        <w:rPr>
          <w:rFonts w:eastAsia="Times New Roman" w:cs="Arial"/>
        </w:rPr>
      </w:pPr>
      <w:r w:rsidRPr="00BF5B0D">
        <w:rPr>
          <w:rFonts w:eastAsia="Times New Roman" w:cs="Arial"/>
          <w:color w:val="000000"/>
          <w:lang w:eastAsia="bg-BG"/>
        </w:rPr>
        <w:t xml:space="preserve">При проучването </w:t>
      </w:r>
      <w:r w:rsidRPr="00BF5B0D">
        <w:rPr>
          <w:rFonts w:eastAsia="Times New Roman" w:cs="Arial"/>
          <w:color w:val="000000"/>
          <w:lang w:val="en-US"/>
        </w:rPr>
        <w:t>FUTURE</w:t>
      </w:r>
      <w:r w:rsidRPr="00BF5B0D">
        <w:rPr>
          <w:rFonts w:eastAsia="Times New Roman" w:cs="Arial"/>
          <w:color w:val="000000"/>
          <w:lang w:val="ru-RU"/>
        </w:rPr>
        <w:t xml:space="preserve">-4, </w:t>
      </w:r>
      <w:r w:rsidRPr="00BF5B0D">
        <w:rPr>
          <w:rFonts w:eastAsia="Times New Roman" w:cs="Arial"/>
          <w:color w:val="000000"/>
          <w:lang w:eastAsia="bg-BG"/>
        </w:rPr>
        <w:t>6 от 13 лекувани с бозентан новородени с ПБХН са получили понижаване на хемоглобина от референтния диапазон на изходно ниво до под долната граница на нормата по време на лечението.</w:t>
      </w:r>
    </w:p>
    <w:p w14:paraId="24F31B70" w14:textId="77777777" w:rsidR="00BF5B0D" w:rsidRPr="00BF5B0D" w:rsidRDefault="00BF5B0D" w:rsidP="00BF5B0D">
      <w:pPr>
        <w:spacing w:line="240" w:lineRule="auto"/>
        <w:rPr>
          <w:rFonts w:eastAsia="Times New Roman" w:cs="Arial"/>
          <w:color w:val="000000"/>
          <w:u w:val="single"/>
          <w:lang w:eastAsia="bg-BG"/>
        </w:rPr>
      </w:pPr>
    </w:p>
    <w:p w14:paraId="4D09B928" w14:textId="1D50199B" w:rsidR="00BF5B0D" w:rsidRPr="00BF5B0D" w:rsidRDefault="00BF5B0D" w:rsidP="00BF5B0D">
      <w:pPr>
        <w:spacing w:line="240" w:lineRule="auto"/>
        <w:rPr>
          <w:rFonts w:eastAsia="Times New Roman" w:cs="Arial"/>
        </w:rPr>
      </w:pPr>
      <w:r w:rsidRPr="00BF5B0D">
        <w:rPr>
          <w:rFonts w:eastAsia="Times New Roman" w:cs="Arial"/>
          <w:color w:val="000000"/>
          <w:u w:val="single"/>
          <w:lang w:eastAsia="bg-BG"/>
        </w:rPr>
        <w:t>Съобщаване на подозирани нежелани реакции</w:t>
      </w:r>
    </w:p>
    <w:p w14:paraId="09111A09" w14:textId="77777777" w:rsidR="00BF5B0D" w:rsidRPr="00BF5B0D" w:rsidRDefault="00BF5B0D" w:rsidP="00BF5B0D">
      <w:pPr>
        <w:spacing w:line="240" w:lineRule="auto"/>
        <w:rPr>
          <w:rFonts w:eastAsia="Times New Roman" w:cs="Arial"/>
        </w:rPr>
      </w:pPr>
      <w:r w:rsidRPr="00BF5B0D">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+359 28903417, уебсайт: </w:t>
      </w:r>
      <w:hyperlink r:id="rId5" w:history="1">
        <w:r w:rsidRPr="00BF5B0D">
          <w:rPr>
            <w:rFonts w:eastAsia="Times New Roman" w:cs="Arial"/>
            <w:color w:val="000000"/>
            <w:u w:val="single"/>
            <w:lang w:val="en-US"/>
          </w:rPr>
          <w:t>www.bda.bg</w:t>
        </w:r>
      </w:hyperlink>
      <w:r w:rsidRPr="00BF5B0D">
        <w:rPr>
          <w:rFonts w:eastAsia="Times New Roman" w:cs="Arial"/>
          <w:color w:val="000000"/>
          <w:lang w:val="en-US"/>
        </w:rPr>
        <w:t>.</w:t>
      </w:r>
    </w:p>
    <w:p w14:paraId="555F0D94" w14:textId="3618A16F" w:rsidR="00BF5B0D" w:rsidRPr="00F40F0A" w:rsidRDefault="00BF5B0D" w:rsidP="00BF5B0D"/>
    <w:p w14:paraId="5A87DBA3" w14:textId="016E012E" w:rsidR="007122AD" w:rsidRDefault="002C50EE" w:rsidP="00936AD0">
      <w:pPr>
        <w:pStyle w:val="Heading2"/>
      </w:pPr>
      <w:r>
        <w:t>4.9. Предозиране</w:t>
      </w:r>
    </w:p>
    <w:p w14:paraId="742FFA94" w14:textId="6FACFACC" w:rsidR="00BF5B0D" w:rsidRDefault="00BF5B0D" w:rsidP="00BF5B0D"/>
    <w:p w14:paraId="165295EB" w14:textId="77777777" w:rsidR="00BF5B0D" w:rsidRPr="00BF5B0D" w:rsidRDefault="00BF5B0D" w:rsidP="00BF5B0D">
      <w:pPr>
        <w:rPr>
          <w:sz w:val="24"/>
          <w:szCs w:val="24"/>
        </w:rPr>
      </w:pPr>
      <w:r w:rsidRPr="00BF5B0D">
        <w:rPr>
          <w:lang w:eastAsia="bg-BG"/>
        </w:rPr>
        <w:t xml:space="preserve">Бозентан е прилаган в единична доза до 2400 </w:t>
      </w:r>
      <w:r w:rsidRPr="00BF5B0D">
        <w:rPr>
          <w:lang w:val="en-US"/>
        </w:rPr>
        <w:t>mg</w:t>
      </w:r>
      <w:r w:rsidRPr="00BF5B0D">
        <w:rPr>
          <w:lang w:val="ru-RU"/>
        </w:rPr>
        <w:t xml:space="preserve"> </w:t>
      </w:r>
      <w:r w:rsidRPr="00BF5B0D">
        <w:rPr>
          <w:lang w:eastAsia="bg-BG"/>
        </w:rPr>
        <w:t xml:space="preserve">при здрави индивиди и до 2000 </w:t>
      </w:r>
      <w:r w:rsidRPr="00BF5B0D">
        <w:rPr>
          <w:lang w:val="en-US"/>
        </w:rPr>
        <w:t>mg</w:t>
      </w:r>
      <w:r w:rsidRPr="00BF5B0D">
        <w:rPr>
          <w:lang w:val="ru-RU"/>
        </w:rPr>
        <w:t xml:space="preserve"> </w:t>
      </w:r>
      <w:r w:rsidRPr="00BF5B0D">
        <w:rPr>
          <w:lang w:eastAsia="bg-BG"/>
        </w:rPr>
        <w:t>на ден в продължение на 2 месеца при пациенти със заболяване, различно от белодробна хипертония. Най-честата нежелана лекарствена реакция е била главоболие с лека до умерена интензивност.</w:t>
      </w:r>
    </w:p>
    <w:p w14:paraId="63C5E0C9" w14:textId="77777777" w:rsidR="00BF5B0D" w:rsidRDefault="00BF5B0D" w:rsidP="00BF5B0D">
      <w:pPr>
        <w:rPr>
          <w:lang w:eastAsia="bg-BG"/>
        </w:rPr>
      </w:pPr>
    </w:p>
    <w:p w14:paraId="794E20D3" w14:textId="6BE8ACF5" w:rsidR="00BF5B0D" w:rsidRPr="00BF5B0D" w:rsidRDefault="00BF5B0D" w:rsidP="00BF5B0D">
      <w:pPr>
        <w:rPr>
          <w:sz w:val="24"/>
          <w:szCs w:val="24"/>
        </w:rPr>
      </w:pPr>
      <w:r w:rsidRPr="00BF5B0D">
        <w:rPr>
          <w:lang w:eastAsia="bg-BG"/>
        </w:rPr>
        <w:lastRenderedPageBreak/>
        <w:t xml:space="preserve">Голямото предозиране може да доведе до силно изразена хипотония, изискваща активна подкрепа на сърдечносъдовата система. В периода след пускане на пазара, се съобщава за един случай на предозиране с 10 000 </w:t>
      </w:r>
      <w:r w:rsidRPr="00BF5B0D">
        <w:rPr>
          <w:lang w:val="en-US"/>
        </w:rPr>
        <w:t>mg</w:t>
      </w:r>
      <w:r w:rsidRPr="00BF5B0D">
        <w:rPr>
          <w:lang w:val="ru-RU"/>
        </w:rPr>
        <w:t xml:space="preserve"> </w:t>
      </w:r>
      <w:r w:rsidRPr="00BF5B0D">
        <w:rPr>
          <w:lang w:eastAsia="bg-BG"/>
        </w:rPr>
        <w:t xml:space="preserve">Ипертазин, приет от един юноша. Той е имал симптоми на гадене, повръщане, хипотония, виене на свят, потене, замъглено виждане. Възстановил се е напълно след 24 часа с мерки за поддържане на кръвното налягане. Забележка: бозентанът не </w:t>
      </w:r>
      <w:r>
        <w:rPr>
          <w:lang w:eastAsia="bg-BG"/>
        </w:rPr>
        <w:t>се отстранява чрез хемодиализа.</w:t>
      </w:r>
    </w:p>
    <w:p w14:paraId="5A1E533A" w14:textId="77777777" w:rsidR="00BF5B0D" w:rsidRPr="00BF5B0D" w:rsidRDefault="00BF5B0D" w:rsidP="00BF5B0D"/>
    <w:p w14:paraId="02081B24" w14:textId="1F46E296" w:rsidR="00395555" w:rsidRPr="00395555" w:rsidRDefault="002C50EE" w:rsidP="008A6AF2">
      <w:pPr>
        <w:pStyle w:val="Heading1"/>
      </w:pPr>
      <w:r>
        <w:t>5. ФАРМАКОЛОГИЧНИ СВОЙСТВА</w:t>
      </w:r>
    </w:p>
    <w:p w14:paraId="7DE36AC8" w14:textId="3A70C57D" w:rsidR="00B6672E" w:rsidRDefault="002C50EE" w:rsidP="00936AD0">
      <w:pPr>
        <w:pStyle w:val="Heading2"/>
      </w:pPr>
      <w:r>
        <w:t>5.1. Фармакодинамични свойства</w:t>
      </w:r>
    </w:p>
    <w:p w14:paraId="1355279A" w14:textId="44DCF498" w:rsidR="003F2DC2" w:rsidRDefault="003F2DC2" w:rsidP="003F2DC2"/>
    <w:p w14:paraId="44AA35C0" w14:textId="77777777"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Фармакотерапевтична група: други антихипертензивни лекарства, АТХ код: С02КХ01</w:t>
      </w:r>
    </w:p>
    <w:p w14:paraId="5F560738" w14:textId="77777777" w:rsidR="003F2DC2" w:rsidRPr="003F2DC2" w:rsidRDefault="003F2DC2" w:rsidP="003F2DC2">
      <w:pPr>
        <w:spacing w:line="240" w:lineRule="auto"/>
        <w:rPr>
          <w:rFonts w:eastAsia="Times New Roman" w:cs="Arial"/>
          <w:color w:val="000000"/>
          <w:szCs w:val="20"/>
          <w:u w:val="single"/>
          <w:lang w:eastAsia="bg-BG"/>
        </w:rPr>
      </w:pPr>
    </w:p>
    <w:p w14:paraId="50DCCE3B" w14:textId="025FD4E0" w:rsidR="003F2DC2" w:rsidRPr="003F2DC2" w:rsidRDefault="003F2DC2" w:rsidP="003F2DC2">
      <w:pPr>
        <w:spacing w:line="240" w:lineRule="auto"/>
        <w:rPr>
          <w:rFonts w:eastAsia="Times New Roman" w:cs="Arial"/>
          <w:color w:val="000000"/>
          <w:szCs w:val="20"/>
          <w:u w:val="single"/>
          <w:lang w:eastAsia="bg-BG"/>
        </w:rPr>
      </w:pPr>
      <w:r w:rsidRPr="003F2DC2">
        <w:rPr>
          <w:rFonts w:eastAsia="Times New Roman" w:cs="Arial"/>
          <w:color w:val="000000"/>
          <w:szCs w:val="20"/>
          <w:u w:val="single"/>
          <w:lang w:eastAsia="bg-BG"/>
        </w:rPr>
        <w:t>Механизъм на действие</w:t>
      </w:r>
    </w:p>
    <w:p w14:paraId="152BDF24" w14:textId="77777777"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Бозентан е двоен ендотелин рецепторен антагонист (ЕРА) с афинитет както към ендотелин А, така и към В (ЕТА и ЕТВ) рецепторите. Бозентан намалява както белодробното, така и системното съдово съпротивление, което води до повишен сърдечен дебит, без да се повишава сърдечната честота.</w:t>
      </w:r>
    </w:p>
    <w:p w14:paraId="749309E3" w14:textId="77777777" w:rsidR="003F2DC2" w:rsidRPr="003F2DC2" w:rsidRDefault="003F2DC2" w:rsidP="003F2DC2">
      <w:pPr>
        <w:spacing w:line="240" w:lineRule="auto"/>
        <w:rPr>
          <w:rFonts w:eastAsia="Times New Roman" w:cs="Arial"/>
          <w:color w:val="000000"/>
          <w:szCs w:val="20"/>
          <w:lang w:eastAsia="bg-BG"/>
        </w:rPr>
      </w:pPr>
    </w:p>
    <w:p w14:paraId="4F1C2BD0" w14:textId="2B7CFA17"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Неврохормонът ендотелин-1 (ЕТ-1) е един от най-мощните известни вазоконстриктори. Той може да доведе до фиброза, клетъчна пролиферация, сърдечна хипертрофия и ремоделиране, като може да причини и възпаление. Тези ефекти се осъществяват посредством свързването на ендотелина с ЕТА и ЕТВ рецепторите, разположени в клетките на ендотелиума и гладката мускулатура на съдовете. Концентрациите на ЕТ-1 в тъканите и плазмата се повишават при някои сърдечносъдови разстройства и забелязания на съединителната тъкан, в това число БАХ, склеродермия, остра и хронична сърдечна недостатъчност, исхемия на миокарда, системна хипертония и атеросклероза, което предполага патогенната роля на ЕТ-1 при тези забелязания. При БАХ и сърдечна недостатъчност, в отсъствието на ендотелин рецепторен антагонизъм, повишените концентрации на ЕТ-1 са силно свързани с тежестта и прогнозата на тези заболявания.</w:t>
      </w:r>
    </w:p>
    <w:p w14:paraId="3F6613D6" w14:textId="77777777" w:rsidR="003F2DC2" w:rsidRPr="003F2DC2" w:rsidRDefault="003F2DC2" w:rsidP="003F2DC2">
      <w:pPr>
        <w:spacing w:line="240" w:lineRule="auto"/>
        <w:rPr>
          <w:rFonts w:eastAsia="Times New Roman" w:cs="Arial"/>
          <w:color w:val="000000"/>
          <w:szCs w:val="20"/>
          <w:lang w:eastAsia="bg-BG"/>
        </w:rPr>
      </w:pPr>
    </w:p>
    <w:p w14:paraId="06C9AC33" w14:textId="47EF38E2"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 xml:space="preserve">Бозентан се конкурира за свързването с ЕТ-1 и другите ЕТ пептиди, както за ЕТА, така и за ЕТВ рецепторите, с малко по-висок афинитет за ЕТА рецепторите </w:t>
      </w:r>
      <w:r w:rsidRPr="003F2DC2">
        <w:rPr>
          <w:rFonts w:eastAsia="Times New Roman" w:cs="Arial"/>
          <w:color w:val="000000"/>
          <w:szCs w:val="20"/>
          <w:lang w:val="ru-RU"/>
        </w:rPr>
        <w:t>(</w:t>
      </w:r>
      <w:r w:rsidRPr="003F2DC2">
        <w:rPr>
          <w:rFonts w:eastAsia="Times New Roman" w:cs="Arial"/>
          <w:color w:val="000000"/>
          <w:szCs w:val="20"/>
          <w:lang w:val="en-US"/>
        </w:rPr>
        <w:t>Ki</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 4,1-43 наномола), отколкото за ЕТВ рецепторите </w:t>
      </w:r>
      <w:r w:rsidRPr="003F2DC2">
        <w:rPr>
          <w:rFonts w:eastAsia="Times New Roman" w:cs="Arial"/>
          <w:color w:val="000000"/>
          <w:szCs w:val="20"/>
          <w:lang w:val="ru-RU"/>
        </w:rPr>
        <w:t>(</w:t>
      </w:r>
      <w:r w:rsidRPr="003F2DC2">
        <w:rPr>
          <w:rFonts w:eastAsia="Times New Roman" w:cs="Arial"/>
          <w:color w:val="000000"/>
          <w:szCs w:val="20"/>
          <w:lang w:val="en-US"/>
        </w:rPr>
        <w:t>Ki</w:t>
      </w:r>
      <w:r w:rsidRPr="003F2DC2">
        <w:rPr>
          <w:rFonts w:eastAsia="Times New Roman" w:cs="Arial"/>
          <w:color w:val="000000"/>
          <w:szCs w:val="20"/>
          <w:lang w:val="ru-RU"/>
        </w:rPr>
        <w:t xml:space="preserve"> </w:t>
      </w:r>
      <w:r w:rsidRPr="003F2DC2">
        <w:rPr>
          <w:rFonts w:eastAsia="Times New Roman" w:cs="Arial"/>
          <w:color w:val="000000"/>
          <w:szCs w:val="20"/>
          <w:lang w:eastAsia="bg-BG"/>
        </w:rPr>
        <w:t>= 38-730 наномола), Бозентан е специфичен антагонист на ЕТ рецепторите и не се свързва с други рецептори.</w:t>
      </w:r>
    </w:p>
    <w:p w14:paraId="76D88068" w14:textId="77777777" w:rsidR="003F2DC2" w:rsidRPr="003F2DC2" w:rsidRDefault="003F2DC2" w:rsidP="003F2DC2">
      <w:pPr>
        <w:spacing w:line="240" w:lineRule="auto"/>
        <w:rPr>
          <w:rFonts w:eastAsia="Times New Roman" w:cs="Arial"/>
          <w:color w:val="000000"/>
          <w:szCs w:val="20"/>
          <w:u w:val="single"/>
          <w:lang w:eastAsia="bg-BG"/>
        </w:rPr>
      </w:pPr>
    </w:p>
    <w:p w14:paraId="01DFC7A5" w14:textId="4A13DB7F"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u w:val="single"/>
          <w:lang w:eastAsia="bg-BG"/>
        </w:rPr>
        <w:t>Ефикасност</w:t>
      </w:r>
    </w:p>
    <w:p w14:paraId="5CE9FB2D" w14:textId="77777777" w:rsidR="003F2DC2" w:rsidRPr="003F2DC2" w:rsidRDefault="003F2DC2" w:rsidP="003F2DC2">
      <w:pPr>
        <w:spacing w:line="240" w:lineRule="auto"/>
        <w:rPr>
          <w:rFonts w:eastAsia="Times New Roman" w:cs="Arial"/>
          <w:i/>
          <w:iCs/>
          <w:color w:val="000000"/>
          <w:szCs w:val="20"/>
          <w:lang w:eastAsia="bg-BG"/>
        </w:rPr>
      </w:pPr>
    </w:p>
    <w:p w14:paraId="00FAB161" w14:textId="1E2A6ED1" w:rsidR="003F2DC2" w:rsidRPr="003F2DC2" w:rsidRDefault="003F2DC2" w:rsidP="003F2DC2">
      <w:pPr>
        <w:spacing w:line="240" w:lineRule="auto"/>
        <w:rPr>
          <w:rFonts w:eastAsia="Times New Roman" w:cs="Arial"/>
          <w:sz w:val="28"/>
          <w:szCs w:val="24"/>
        </w:rPr>
      </w:pPr>
      <w:r w:rsidRPr="003F2DC2">
        <w:rPr>
          <w:rFonts w:eastAsia="Times New Roman" w:cs="Arial"/>
          <w:i/>
          <w:iCs/>
          <w:color w:val="000000"/>
          <w:szCs w:val="20"/>
          <w:lang w:eastAsia="bg-BG"/>
        </w:rPr>
        <w:t>Модели на животни</w:t>
      </w:r>
    </w:p>
    <w:p w14:paraId="2C737EB4" w14:textId="3E214A41"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Модели на животни на белодробна хипертония показват, че хроничното перорално приложение на бозентан намалява белодробното съдово съпротивление и дава обратен ход на хипертрофията на белодробните съдове и дясната камера на сърцето. При модели на животни на белодробна фиброза, бозентан намалява отлагането на колаген в белите дробове.</w:t>
      </w:r>
    </w:p>
    <w:p w14:paraId="522BBE12" w14:textId="77777777" w:rsidR="003F2DC2" w:rsidRPr="003F2DC2" w:rsidRDefault="003F2DC2" w:rsidP="003F2DC2">
      <w:pPr>
        <w:spacing w:line="240" w:lineRule="auto"/>
        <w:rPr>
          <w:rFonts w:eastAsia="Times New Roman" w:cs="Arial"/>
          <w:i/>
          <w:iCs/>
          <w:color w:val="000000"/>
          <w:szCs w:val="20"/>
          <w:lang w:eastAsia="bg-BG"/>
        </w:rPr>
      </w:pPr>
    </w:p>
    <w:p w14:paraId="65D08D29" w14:textId="1755D07B" w:rsidR="003F2DC2" w:rsidRPr="003F2DC2" w:rsidRDefault="003F2DC2" w:rsidP="003F2DC2">
      <w:pPr>
        <w:spacing w:line="240" w:lineRule="auto"/>
        <w:rPr>
          <w:rFonts w:eastAsia="Times New Roman" w:cs="Arial"/>
          <w:sz w:val="28"/>
          <w:szCs w:val="24"/>
        </w:rPr>
      </w:pPr>
      <w:r w:rsidRPr="003F2DC2">
        <w:rPr>
          <w:rFonts w:eastAsia="Times New Roman" w:cs="Arial"/>
          <w:i/>
          <w:iCs/>
          <w:color w:val="000000"/>
          <w:szCs w:val="20"/>
          <w:lang w:eastAsia="bg-BG"/>
        </w:rPr>
        <w:t xml:space="preserve">Ефикасност при възрастни пациенти с белодробна артериална хипертония </w:t>
      </w:r>
      <w:r w:rsidRPr="003F2DC2">
        <w:rPr>
          <w:rFonts w:eastAsia="Times New Roman" w:cs="Arial"/>
          <w:color w:val="000000"/>
          <w:szCs w:val="20"/>
          <w:lang w:eastAsia="bg-BG"/>
        </w:rPr>
        <w:t xml:space="preserve">Проведени са две рандомизирани, двойно-слепи, мултицентрови, плацебо контролирани проучвания с 32 (проучване АС-052-351) и 213 (проучване </w:t>
      </w:r>
      <w:r w:rsidRPr="003F2DC2">
        <w:rPr>
          <w:rFonts w:eastAsia="Times New Roman" w:cs="Arial"/>
          <w:color w:val="000000"/>
          <w:szCs w:val="20"/>
          <w:lang w:val="en-US"/>
        </w:rPr>
        <w:t>AC</w:t>
      </w:r>
      <w:r w:rsidRPr="003F2DC2">
        <w:rPr>
          <w:rFonts w:eastAsia="Times New Roman" w:cs="Arial"/>
          <w:color w:val="000000"/>
          <w:szCs w:val="20"/>
          <w:lang w:val="ru-RU"/>
        </w:rPr>
        <w:t>-052-352 [</w:t>
      </w:r>
      <w:r w:rsidRPr="003F2DC2">
        <w:rPr>
          <w:rFonts w:eastAsia="Times New Roman" w:cs="Arial"/>
          <w:color w:val="000000"/>
          <w:szCs w:val="20"/>
          <w:lang w:val="en-US"/>
        </w:rPr>
        <w:t>BREATHE</w:t>
      </w:r>
      <w:r w:rsidRPr="003F2DC2">
        <w:rPr>
          <w:rFonts w:eastAsia="Times New Roman" w:cs="Arial"/>
          <w:color w:val="000000"/>
          <w:szCs w:val="20"/>
          <w:lang w:val="ru-RU"/>
        </w:rPr>
        <w:t>-1</w:t>
      </w:r>
      <w:r w:rsidRPr="003F2DC2">
        <w:rPr>
          <w:rFonts w:eastAsia="Times New Roman" w:cs="Arial"/>
          <w:color w:val="000000"/>
          <w:szCs w:val="20"/>
          <w:lang w:eastAsia="bg-BG"/>
        </w:rPr>
        <w:t xml:space="preserve">]) </w:t>
      </w:r>
      <w:r w:rsidRPr="003F2DC2">
        <w:rPr>
          <w:rFonts w:eastAsia="Times New Roman" w:cs="Arial"/>
          <w:color w:val="000000"/>
          <w:szCs w:val="20"/>
          <w:lang w:eastAsia="bg-BG"/>
        </w:rPr>
        <w:lastRenderedPageBreak/>
        <w:t xml:space="preserve">възрастни пациенти с БАХ </w:t>
      </w:r>
      <w:r w:rsidRPr="003F2DC2">
        <w:rPr>
          <w:rFonts w:eastAsia="Times New Roman" w:cs="Arial"/>
          <w:color w:val="000000"/>
          <w:szCs w:val="20"/>
          <w:lang w:val="en-US"/>
        </w:rPr>
        <w:t>III</w:t>
      </w:r>
      <w:r w:rsidRPr="003F2DC2">
        <w:rPr>
          <w:rFonts w:eastAsia="Times New Roman" w:cs="Arial"/>
          <w:color w:val="000000"/>
          <w:szCs w:val="20"/>
          <w:lang w:val="ru-RU"/>
        </w:rPr>
        <w:t>-</w:t>
      </w:r>
      <w:r w:rsidRPr="003F2DC2">
        <w:rPr>
          <w:rFonts w:eastAsia="Times New Roman" w:cs="Arial"/>
          <w:color w:val="000000"/>
          <w:szCs w:val="20"/>
          <w:lang w:eastAsia="bg-BG"/>
        </w:rPr>
        <w:t xml:space="preserve">IV функционален клас по СЗО (първична белодробна хипертония или белодробна хипертония, вторична главно на склеродермия). След 4 седмици на бозентан 62,5 </w:t>
      </w:r>
      <w:r w:rsidRPr="003F2DC2">
        <w:rPr>
          <w:rFonts w:eastAsia="Times New Roman" w:cs="Arial"/>
          <w:color w:val="000000"/>
          <w:szCs w:val="20"/>
          <w:lang w:val="en-US"/>
        </w:rPr>
        <w:t>mg</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два пъти дневно, изследваната поддържаща доза при тези проучвания е 125 </w:t>
      </w:r>
      <w:r w:rsidRPr="003F2DC2">
        <w:rPr>
          <w:rFonts w:eastAsia="Times New Roman" w:cs="Arial"/>
          <w:color w:val="000000"/>
          <w:szCs w:val="20"/>
          <w:lang w:val="en-US"/>
        </w:rPr>
        <w:t>mg</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два пъти дневно при АС-052-351, 125 </w:t>
      </w:r>
      <w:r w:rsidRPr="003F2DC2">
        <w:rPr>
          <w:rFonts w:eastAsia="Times New Roman" w:cs="Arial"/>
          <w:color w:val="000000"/>
          <w:szCs w:val="20"/>
          <w:lang w:val="en-US"/>
        </w:rPr>
        <w:t>mg</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два пъти дневно и 250 </w:t>
      </w:r>
      <w:r w:rsidRPr="003F2DC2">
        <w:rPr>
          <w:rFonts w:eastAsia="Times New Roman" w:cs="Arial"/>
          <w:color w:val="000000"/>
          <w:szCs w:val="20"/>
          <w:lang w:val="en-US"/>
        </w:rPr>
        <w:t>mg</w:t>
      </w:r>
      <w:r w:rsidRPr="003F2DC2">
        <w:rPr>
          <w:rFonts w:eastAsia="Times New Roman" w:cs="Arial"/>
          <w:color w:val="000000"/>
          <w:szCs w:val="20"/>
          <w:lang w:val="ru-RU"/>
        </w:rPr>
        <w:t xml:space="preserve"> </w:t>
      </w:r>
      <w:r w:rsidRPr="003F2DC2">
        <w:rPr>
          <w:rFonts w:eastAsia="Times New Roman" w:cs="Arial"/>
          <w:color w:val="000000"/>
          <w:szCs w:val="20"/>
          <w:lang w:eastAsia="bg-BG"/>
        </w:rPr>
        <w:t>два пъти дневно при АС-052-352.</w:t>
      </w:r>
    </w:p>
    <w:p w14:paraId="53FE78AE" w14:textId="77777777" w:rsidR="003F2DC2" w:rsidRPr="003F2DC2" w:rsidRDefault="003F2DC2" w:rsidP="003F2DC2">
      <w:pPr>
        <w:spacing w:line="240" w:lineRule="auto"/>
        <w:rPr>
          <w:rFonts w:eastAsia="Times New Roman" w:cs="Arial"/>
          <w:color w:val="000000"/>
          <w:szCs w:val="20"/>
          <w:lang w:eastAsia="bg-BG"/>
        </w:rPr>
      </w:pPr>
    </w:p>
    <w:p w14:paraId="0CC4396C" w14:textId="7327AC00"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Бозентан е добавен към текущата терапия на пациентите, която би могла да включва комбинация от антикоагуланти, вазодилататори (например, блокери на калциевите канали), диуретици, кислород и дигоксин, но не и епопростенол. Контролът е плацебо плюс текущата терапия.</w:t>
      </w:r>
    </w:p>
    <w:p w14:paraId="1A3504D8" w14:textId="77777777" w:rsidR="003F2DC2" w:rsidRPr="003F2DC2" w:rsidRDefault="003F2DC2" w:rsidP="003F2DC2">
      <w:pPr>
        <w:spacing w:line="240" w:lineRule="auto"/>
        <w:rPr>
          <w:rFonts w:eastAsia="Times New Roman" w:cs="Arial"/>
          <w:color w:val="000000"/>
          <w:szCs w:val="20"/>
          <w:lang w:eastAsia="bg-BG"/>
        </w:rPr>
      </w:pPr>
    </w:p>
    <w:p w14:paraId="5EDBA605" w14:textId="7F078F15" w:rsidR="003F2DC2" w:rsidRPr="003F2DC2" w:rsidRDefault="003F2DC2" w:rsidP="003F2DC2">
      <w:pPr>
        <w:spacing w:line="240" w:lineRule="auto"/>
        <w:rPr>
          <w:rFonts w:eastAsia="Times New Roman" w:cs="Arial"/>
          <w:color w:val="000000"/>
          <w:szCs w:val="20"/>
          <w:lang w:eastAsia="bg-BG"/>
        </w:rPr>
      </w:pPr>
      <w:r w:rsidRPr="003F2DC2">
        <w:rPr>
          <w:rFonts w:eastAsia="Times New Roman" w:cs="Arial"/>
          <w:color w:val="000000"/>
          <w:szCs w:val="20"/>
          <w:lang w:eastAsia="bg-BG"/>
        </w:rPr>
        <w:t xml:space="preserve">Първичната крайна точка в края на всяко проучване е промяната в изминатото разстояние след 6-минутно ходене на 12-та седмица при първото проучване и на 16-та седмица при второто проучване. И при двете проучвания, лечението с бозентан води до значително повишаване на физическия капацитет. Плацебо-коригираното увеличаване на изминатото разстояние в сравнение с началото е съответно 76 метра (р = 0,02; </w:t>
      </w:r>
      <w:r w:rsidRPr="003F2DC2">
        <w:rPr>
          <w:rFonts w:eastAsia="Times New Roman" w:cs="Arial"/>
          <w:color w:val="000000"/>
          <w:szCs w:val="20"/>
          <w:lang w:val="en-US"/>
        </w:rPr>
        <w:t>t</w:t>
      </w:r>
      <w:r w:rsidRPr="003F2DC2">
        <w:rPr>
          <w:rFonts w:eastAsia="Times New Roman" w:cs="Arial"/>
          <w:color w:val="000000"/>
          <w:szCs w:val="20"/>
          <w:lang w:eastAsia="bg-BG"/>
        </w:rPr>
        <w:t xml:space="preserve">-тест) и 44 метра (р = 0,0002; </w:t>
      </w:r>
      <w:r w:rsidRPr="003F2DC2">
        <w:rPr>
          <w:rFonts w:eastAsia="Times New Roman" w:cs="Arial"/>
          <w:color w:val="000000"/>
          <w:szCs w:val="20"/>
          <w:lang w:val="en-US"/>
        </w:rPr>
        <w:t>Mann</w:t>
      </w:r>
      <w:r w:rsidRPr="003F2DC2">
        <w:rPr>
          <w:rFonts w:eastAsia="Times New Roman" w:cs="Arial"/>
          <w:color w:val="000000"/>
          <w:szCs w:val="20"/>
          <w:lang w:val="ru-RU"/>
        </w:rPr>
        <w:t xml:space="preserve">- </w:t>
      </w:r>
      <w:r w:rsidRPr="003F2DC2">
        <w:rPr>
          <w:rFonts w:eastAsia="Times New Roman" w:cs="Arial"/>
          <w:color w:val="000000"/>
          <w:szCs w:val="20"/>
          <w:lang w:val="en-US"/>
        </w:rPr>
        <w:t>Whitney</w:t>
      </w:r>
      <w:r w:rsidRPr="003F2DC2">
        <w:rPr>
          <w:rFonts w:eastAsia="Times New Roman" w:cs="Arial"/>
          <w:color w:val="000000"/>
          <w:szCs w:val="20"/>
          <w:lang w:val="ru-RU"/>
        </w:rPr>
        <w:t xml:space="preserve"> </w:t>
      </w:r>
      <w:r w:rsidRPr="003F2DC2">
        <w:rPr>
          <w:rFonts w:eastAsia="Times New Roman" w:cs="Arial"/>
          <w:color w:val="000000"/>
          <w:szCs w:val="20"/>
          <w:lang w:val="en-US"/>
        </w:rPr>
        <w:t>U</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тест) като първична крайна точка в края на всяко проучване. Разликите между двете групи, 125 </w:t>
      </w:r>
      <w:r w:rsidRPr="003F2DC2">
        <w:rPr>
          <w:rFonts w:eastAsia="Times New Roman" w:cs="Arial"/>
          <w:color w:val="000000"/>
          <w:szCs w:val="20"/>
          <w:lang w:val="en-US"/>
        </w:rPr>
        <w:t>mg</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два пъти на ден и 250 </w:t>
      </w:r>
      <w:r w:rsidRPr="003F2DC2">
        <w:rPr>
          <w:rFonts w:eastAsia="Times New Roman" w:cs="Arial"/>
          <w:color w:val="000000"/>
          <w:szCs w:val="20"/>
          <w:lang w:val="en-US"/>
        </w:rPr>
        <w:t>mg</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два пъти на ден, не са статистически значими, но има тенденция към подобряване на физическия капацитет в групата, приемаща 250 </w:t>
      </w:r>
      <w:r w:rsidRPr="003F2DC2">
        <w:rPr>
          <w:rFonts w:eastAsia="Times New Roman" w:cs="Arial"/>
          <w:color w:val="000000"/>
          <w:szCs w:val="20"/>
          <w:lang w:val="en-US"/>
        </w:rPr>
        <w:t>mg</w:t>
      </w:r>
      <w:r w:rsidRPr="003F2DC2">
        <w:rPr>
          <w:rFonts w:eastAsia="Times New Roman" w:cs="Arial"/>
          <w:color w:val="000000"/>
          <w:szCs w:val="20"/>
          <w:lang w:val="ru-RU"/>
        </w:rPr>
        <w:t xml:space="preserve"> </w:t>
      </w:r>
      <w:r w:rsidRPr="003F2DC2">
        <w:rPr>
          <w:rFonts w:eastAsia="Times New Roman" w:cs="Arial"/>
          <w:color w:val="000000"/>
          <w:szCs w:val="20"/>
          <w:lang w:eastAsia="bg-BG"/>
        </w:rPr>
        <w:t>два</w:t>
      </w:r>
      <w:r w:rsidRPr="003F2DC2">
        <w:rPr>
          <w:rFonts w:eastAsia="Times New Roman" w:cs="Arial"/>
          <w:color w:val="000000"/>
          <w:szCs w:val="20"/>
          <w:lang w:val="ru-RU"/>
        </w:rPr>
        <w:t xml:space="preserve"> </w:t>
      </w:r>
      <w:r w:rsidRPr="003F2DC2">
        <w:rPr>
          <w:rFonts w:eastAsia="Times New Roman" w:cs="Arial"/>
          <w:color w:val="000000"/>
          <w:szCs w:val="20"/>
          <w:lang w:eastAsia="bg-BG"/>
        </w:rPr>
        <w:t>пъти дневно.</w:t>
      </w:r>
    </w:p>
    <w:p w14:paraId="600916CE" w14:textId="57BCD88B" w:rsidR="003F2DC2" w:rsidRPr="003F2DC2" w:rsidRDefault="003F2DC2" w:rsidP="003F2DC2">
      <w:pPr>
        <w:spacing w:line="240" w:lineRule="auto"/>
        <w:rPr>
          <w:rFonts w:eastAsia="Times New Roman" w:cs="Arial"/>
          <w:color w:val="000000"/>
          <w:szCs w:val="20"/>
          <w:lang w:eastAsia="bg-BG"/>
        </w:rPr>
      </w:pPr>
    </w:p>
    <w:p w14:paraId="1C05C6B9" w14:textId="77777777"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Подобрението в изминатото разстояние се установява след 4 седмици лечение, става съвсем явно след 8 седмици лечение и се поддържа до 28-та седмица при двойно-сляпото лечение в една подгрупа от популацията на пациентите.</w:t>
      </w:r>
    </w:p>
    <w:p w14:paraId="6516DBE7" w14:textId="77777777" w:rsidR="003F2DC2" w:rsidRPr="003F2DC2" w:rsidRDefault="003F2DC2" w:rsidP="003F2DC2">
      <w:pPr>
        <w:spacing w:line="240" w:lineRule="auto"/>
        <w:rPr>
          <w:rFonts w:eastAsia="Times New Roman" w:cs="Arial"/>
          <w:color w:val="000000"/>
          <w:szCs w:val="20"/>
          <w:lang w:eastAsia="bg-BG"/>
        </w:rPr>
      </w:pPr>
    </w:p>
    <w:p w14:paraId="24A571EA" w14:textId="2EF76CD4"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 xml:space="preserve">В ретроспективен анализ на респондентите, въз основа на промените в изминатото разстояние, функционалния клас по СЗО и диспнеята при 95 пациента, рандомизирани на бозентан 125 </w:t>
      </w:r>
      <w:r w:rsidRPr="003F2DC2">
        <w:rPr>
          <w:rFonts w:eastAsia="Times New Roman" w:cs="Arial"/>
          <w:color w:val="000000"/>
          <w:szCs w:val="20"/>
          <w:lang w:val="en-US"/>
        </w:rPr>
        <w:t>mg</w:t>
      </w:r>
      <w:r w:rsidRPr="003F2DC2">
        <w:rPr>
          <w:rFonts w:eastAsia="Times New Roman" w:cs="Arial"/>
          <w:color w:val="000000"/>
          <w:szCs w:val="20"/>
          <w:lang w:val="ru-RU"/>
        </w:rPr>
        <w:t xml:space="preserve"> </w:t>
      </w:r>
      <w:r w:rsidRPr="003F2DC2">
        <w:rPr>
          <w:rFonts w:eastAsia="Times New Roman" w:cs="Arial"/>
          <w:color w:val="000000"/>
          <w:szCs w:val="20"/>
          <w:lang w:eastAsia="bg-BG"/>
        </w:rPr>
        <w:t>два пъти дневно в плацебо контролираните проучвания, е установено, че на 8-та седмица 66 пациенти са имали подобрение, 22 са били стабилизирани и 7 са се влошили. От 22-та пациенти, стабилизирани на 8-та седмица, 6 са имали подобрение на 12/16-та седмица и 4 са се влошили, в сравнение с началото. От 7 пациенти, които са били влошени на 8-та седмица, 3 са се подобрили на 12/16-та седмица и 4 са се влошили, в сравнение с началото.</w:t>
      </w:r>
    </w:p>
    <w:p w14:paraId="2C98DC4B" w14:textId="77777777" w:rsidR="003F2DC2" w:rsidRPr="003F2DC2" w:rsidRDefault="003F2DC2" w:rsidP="003F2DC2">
      <w:pPr>
        <w:spacing w:line="240" w:lineRule="auto"/>
        <w:rPr>
          <w:rFonts w:eastAsia="Times New Roman" w:cs="Arial"/>
          <w:color w:val="000000"/>
          <w:szCs w:val="20"/>
          <w:lang w:eastAsia="bg-BG"/>
        </w:rPr>
      </w:pPr>
    </w:p>
    <w:p w14:paraId="7A0FD527" w14:textId="38FF136C"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Само в първото проучване е правена оценка на инвазивните хемодинамични параметри. Лечението с бозентан е довело до значително увеличаване на сърдечния индекс, свързано със значително намаляване на белодробното артериално налягане, белодробното съдово съпротивление и средното налягане в дясното предсърдие.</w:t>
      </w:r>
    </w:p>
    <w:p w14:paraId="07B6DFA9" w14:textId="77777777" w:rsidR="003F2DC2" w:rsidRPr="003F2DC2" w:rsidRDefault="003F2DC2" w:rsidP="003F2DC2">
      <w:pPr>
        <w:spacing w:line="240" w:lineRule="auto"/>
        <w:rPr>
          <w:rFonts w:eastAsia="Times New Roman" w:cs="Arial"/>
          <w:color w:val="000000"/>
          <w:szCs w:val="20"/>
          <w:lang w:eastAsia="bg-BG"/>
        </w:rPr>
      </w:pPr>
    </w:p>
    <w:p w14:paraId="4C712D62" w14:textId="7F47FCB6"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При лечението с бозентан е наблюдавана редукция в симптоматиката на белодробната артериална хипертония. Изследването на диспнеята по време на тестовете с ходене показва подобрение при приемащите бозентан пациенти. В началото на проучване АС-052-352, 92% от 213 пациенти са с функционален клас III, според класификацията на СЗО и 8% са с функционален клас IV. Лечението с бозентан води до подобряване на функционалния клас по СЗО при 42,4% от пациентите (плацебо 30,4%). Като цяло, промените във функционалния клас по СЗО по време на двете проучвания са значително по-добри при приемащите бозентан пациенти, в сравнение с приемащите плацебо пациенти. Лечението с бозентан се свързва със значително намаляване степента на клиничното влошаване, в сравнение с плацебо, на 28-та седмица (10,7% срещу 37,1%, съответно; р = 0,0015).</w:t>
      </w:r>
    </w:p>
    <w:p w14:paraId="0FCCB9AB" w14:textId="77777777" w:rsidR="003F2DC2" w:rsidRPr="003F2DC2" w:rsidRDefault="003F2DC2" w:rsidP="003F2DC2">
      <w:pPr>
        <w:spacing w:line="240" w:lineRule="auto"/>
        <w:rPr>
          <w:rFonts w:eastAsia="Times New Roman" w:cs="Arial"/>
          <w:color w:val="000000"/>
          <w:szCs w:val="20"/>
          <w:lang w:eastAsia="bg-BG"/>
        </w:rPr>
      </w:pPr>
    </w:p>
    <w:p w14:paraId="2CE6D7F4" w14:textId="0DAF0E85"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lastRenderedPageBreak/>
        <w:t xml:space="preserve">При рандомизирано, двойно-сляпо, многоцентрово, плацебо контролирано проучване (АС-052- 364 </w:t>
      </w:r>
      <w:r w:rsidRPr="003F2DC2">
        <w:rPr>
          <w:rFonts w:eastAsia="Times New Roman" w:cs="Arial"/>
          <w:color w:val="000000"/>
          <w:szCs w:val="20"/>
          <w:lang w:val="ru-RU"/>
        </w:rPr>
        <w:t>[</w:t>
      </w:r>
      <w:r w:rsidRPr="003F2DC2">
        <w:rPr>
          <w:rFonts w:eastAsia="Times New Roman" w:cs="Arial"/>
          <w:color w:val="000000"/>
          <w:szCs w:val="20"/>
          <w:lang w:val="en-US"/>
        </w:rPr>
        <w:t>EARLY</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185 пациенти с БАХ функционален клас II по СЗО (средно 435 метра, изминати за 6 минути на изходно ниво) са получили бозентан 62,5 </w:t>
      </w:r>
      <w:r w:rsidRPr="003F2DC2">
        <w:rPr>
          <w:rFonts w:eastAsia="Times New Roman" w:cs="Arial"/>
          <w:color w:val="000000"/>
          <w:szCs w:val="20"/>
          <w:lang w:val="en-US"/>
        </w:rPr>
        <w:t>mg</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два пъти дневно в продължение на 4 седмици, след което са преминали на 125 </w:t>
      </w:r>
      <w:r w:rsidRPr="003F2DC2">
        <w:rPr>
          <w:rFonts w:eastAsia="Times New Roman" w:cs="Arial"/>
          <w:color w:val="000000"/>
          <w:szCs w:val="20"/>
          <w:lang w:val="en-US"/>
        </w:rPr>
        <w:t>mg</w:t>
      </w:r>
      <w:r w:rsidRPr="003F2DC2">
        <w:rPr>
          <w:rFonts w:eastAsia="Times New Roman" w:cs="Arial"/>
          <w:color w:val="000000"/>
          <w:szCs w:val="20"/>
          <w:lang w:val="ru-RU"/>
        </w:rPr>
        <w:t xml:space="preserve"> </w:t>
      </w:r>
      <w:r w:rsidRPr="003F2DC2">
        <w:rPr>
          <w:rFonts w:eastAsia="Times New Roman" w:cs="Arial"/>
          <w:color w:val="000000"/>
          <w:szCs w:val="20"/>
          <w:lang w:eastAsia="bg-BG"/>
        </w:rPr>
        <w:t>два пъти дневно (</w:t>
      </w:r>
      <w:r w:rsidRPr="003F2DC2">
        <w:rPr>
          <w:rFonts w:eastAsia="Times New Roman" w:cs="Arial"/>
          <w:color w:val="000000"/>
          <w:szCs w:val="20"/>
          <w:lang w:val="en-US"/>
        </w:rPr>
        <w:t>n</w:t>
      </w:r>
      <w:r w:rsidRPr="003F2DC2">
        <w:rPr>
          <w:rFonts w:eastAsia="Times New Roman" w:cs="Arial"/>
          <w:color w:val="000000"/>
          <w:szCs w:val="20"/>
          <w:lang w:eastAsia="bg-BG"/>
        </w:rPr>
        <w:t xml:space="preserve"> = 93) или плацебо (</w:t>
      </w:r>
      <w:r w:rsidRPr="003F2DC2">
        <w:rPr>
          <w:rFonts w:eastAsia="Times New Roman" w:cs="Arial"/>
          <w:color w:val="000000"/>
          <w:szCs w:val="20"/>
          <w:lang w:val="en-US"/>
        </w:rPr>
        <w:t>n</w:t>
      </w:r>
      <w:r w:rsidRPr="003F2DC2">
        <w:rPr>
          <w:rFonts w:eastAsia="Times New Roman" w:cs="Arial"/>
          <w:color w:val="000000"/>
          <w:szCs w:val="20"/>
          <w:lang w:eastAsia="bg-BG"/>
        </w:rPr>
        <w:t xml:space="preserve"> = 92) в продължение на 6 месеца. Включените пациенти с белодробна артериална хипертония са били нелекувани (</w:t>
      </w:r>
      <w:r w:rsidRPr="003F2DC2">
        <w:rPr>
          <w:rFonts w:eastAsia="Times New Roman" w:cs="Arial"/>
          <w:color w:val="000000"/>
          <w:szCs w:val="20"/>
          <w:lang w:val="en-US"/>
        </w:rPr>
        <w:t>n</w:t>
      </w:r>
      <w:r w:rsidRPr="003F2DC2">
        <w:rPr>
          <w:rFonts w:eastAsia="Times New Roman" w:cs="Arial"/>
          <w:color w:val="000000"/>
          <w:szCs w:val="20"/>
          <w:lang w:eastAsia="bg-BG"/>
        </w:rPr>
        <w:t>= 156) или са били на постоянна доза силденафил (</w:t>
      </w:r>
      <w:r w:rsidRPr="003F2DC2">
        <w:rPr>
          <w:rFonts w:eastAsia="Times New Roman" w:cs="Arial"/>
          <w:color w:val="000000"/>
          <w:szCs w:val="20"/>
          <w:lang w:val="en-US"/>
        </w:rPr>
        <w:t>n</w:t>
      </w:r>
      <w:r w:rsidRPr="003F2DC2">
        <w:rPr>
          <w:rFonts w:eastAsia="Times New Roman" w:cs="Arial"/>
          <w:color w:val="000000"/>
          <w:szCs w:val="20"/>
          <w:lang w:eastAsia="bg-BG"/>
        </w:rPr>
        <w:t xml:space="preserve"> = 29). Първичните съставни крайни точки са процентните промени от изходно ниво на белодробното съдово съпротивление (БСС) и промяната спрямо изходното ниво на изминато разстояние за 6 минути на шестия месец, сравнени с плацебо. Таблицата по-долу илюстрира анализа на предварително определения протокол.</w:t>
      </w:r>
    </w:p>
    <w:p w14:paraId="02CC2211" w14:textId="77777777" w:rsidR="003F2DC2" w:rsidRPr="003F2DC2" w:rsidRDefault="003F2DC2" w:rsidP="003F2DC2">
      <w:pPr>
        <w:spacing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875"/>
        <w:gridCol w:w="1867"/>
        <w:gridCol w:w="1870"/>
        <w:gridCol w:w="1867"/>
        <w:gridCol w:w="1871"/>
      </w:tblGrid>
      <w:tr w:rsidR="003F2DC2" w14:paraId="11BCF525" w14:textId="77777777" w:rsidTr="000C2EC1">
        <w:tc>
          <w:tcPr>
            <w:tcW w:w="1915" w:type="dxa"/>
          </w:tcPr>
          <w:p w14:paraId="0516D004" w14:textId="77777777" w:rsidR="003F2DC2" w:rsidRDefault="003F2DC2" w:rsidP="003F2DC2">
            <w:pPr>
              <w:spacing w:line="240" w:lineRule="auto"/>
              <w:rPr>
                <w:rFonts w:ascii="Times New Roman" w:eastAsia="Times New Roman" w:hAnsi="Times New Roman" w:cs="Times New Roman"/>
                <w:sz w:val="24"/>
                <w:szCs w:val="24"/>
              </w:rPr>
            </w:pPr>
          </w:p>
        </w:tc>
        <w:tc>
          <w:tcPr>
            <w:tcW w:w="3830" w:type="dxa"/>
            <w:gridSpan w:val="2"/>
            <w:vAlign w:val="bottom"/>
          </w:tcPr>
          <w:p w14:paraId="6DCF3341" w14:textId="5D83E034" w:rsidR="003F2DC2" w:rsidRDefault="003F2DC2" w:rsidP="003F2DC2">
            <w:pPr>
              <w:spacing w:line="240" w:lineRule="auto"/>
              <w:rPr>
                <w:rFonts w:ascii="Times New Roman" w:eastAsia="Times New Roman" w:hAnsi="Times New Roman" w:cs="Times New Roman"/>
                <w:sz w:val="24"/>
                <w:szCs w:val="24"/>
              </w:rPr>
            </w:pPr>
            <w:r>
              <w:rPr>
                <w:b/>
                <w:bCs/>
                <w:sz w:val="20"/>
                <w:szCs w:val="20"/>
              </w:rPr>
              <w:t xml:space="preserve">БСС </w:t>
            </w:r>
            <w:r>
              <w:rPr>
                <w:b/>
                <w:bCs/>
                <w:sz w:val="20"/>
                <w:szCs w:val="20"/>
                <w:lang w:val="en-US"/>
              </w:rPr>
              <w:t>(dyn.sec/cm5)</w:t>
            </w:r>
          </w:p>
        </w:tc>
        <w:tc>
          <w:tcPr>
            <w:tcW w:w="3831" w:type="dxa"/>
            <w:gridSpan w:val="2"/>
            <w:vAlign w:val="bottom"/>
          </w:tcPr>
          <w:p w14:paraId="0B608AE4" w14:textId="273D0255" w:rsidR="003F2DC2" w:rsidRDefault="003F2DC2" w:rsidP="003F2DC2">
            <w:pPr>
              <w:spacing w:line="240" w:lineRule="auto"/>
              <w:rPr>
                <w:rFonts w:ascii="Times New Roman" w:eastAsia="Times New Roman" w:hAnsi="Times New Roman" w:cs="Times New Roman"/>
                <w:sz w:val="24"/>
                <w:szCs w:val="24"/>
              </w:rPr>
            </w:pPr>
            <w:r>
              <w:rPr>
                <w:b/>
                <w:bCs/>
                <w:sz w:val="20"/>
                <w:szCs w:val="20"/>
              </w:rPr>
              <w:t>Дистанция, измината пеша за 6</w:t>
            </w:r>
          </w:p>
        </w:tc>
      </w:tr>
      <w:tr w:rsidR="003F2DC2" w14:paraId="24F998DA" w14:textId="77777777" w:rsidTr="00F06D70">
        <w:tc>
          <w:tcPr>
            <w:tcW w:w="1915" w:type="dxa"/>
          </w:tcPr>
          <w:p w14:paraId="19153548" w14:textId="77777777" w:rsidR="003F2DC2" w:rsidRDefault="003F2DC2" w:rsidP="003F2DC2">
            <w:pPr>
              <w:spacing w:line="240" w:lineRule="auto"/>
              <w:rPr>
                <w:rFonts w:ascii="Times New Roman" w:eastAsia="Times New Roman" w:hAnsi="Times New Roman" w:cs="Times New Roman"/>
                <w:sz w:val="24"/>
                <w:szCs w:val="24"/>
              </w:rPr>
            </w:pPr>
          </w:p>
        </w:tc>
        <w:tc>
          <w:tcPr>
            <w:tcW w:w="1915" w:type="dxa"/>
            <w:vAlign w:val="bottom"/>
          </w:tcPr>
          <w:p w14:paraId="5DA9BE68" w14:textId="27B841B9" w:rsidR="003F2DC2" w:rsidRDefault="003F2DC2" w:rsidP="003F2DC2">
            <w:pPr>
              <w:spacing w:line="240" w:lineRule="auto"/>
              <w:rPr>
                <w:rFonts w:ascii="Times New Roman" w:eastAsia="Times New Roman" w:hAnsi="Times New Roman" w:cs="Times New Roman"/>
                <w:sz w:val="24"/>
                <w:szCs w:val="24"/>
              </w:rPr>
            </w:pPr>
            <w:r>
              <w:rPr>
                <w:sz w:val="20"/>
                <w:szCs w:val="20"/>
              </w:rPr>
              <w:t>Плацебо (</w:t>
            </w:r>
            <w:r>
              <w:rPr>
                <w:sz w:val="20"/>
                <w:szCs w:val="20"/>
                <w:lang w:val="en-US"/>
              </w:rPr>
              <w:t>n</w:t>
            </w:r>
            <w:r>
              <w:rPr>
                <w:sz w:val="20"/>
                <w:szCs w:val="20"/>
              </w:rPr>
              <w:t>=88)</w:t>
            </w:r>
          </w:p>
        </w:tc>
        <w:tc>
          <w:tcPr>
            <w:tcW w:w="1915" w:type="dxa"/>
            <w:vAlign w:val="bottom"/>
          </w:tcPr>
          <w:p w14:paraId="53FA7EE9" w14:textId="62BE0B2E" w:rsidR="003F2DC2" w:rsidRDefault="003F2DC2" w:rsidP="003F2DC2">
            <w:pPr>
              <w:spacing w:line="240" w:lineRule="auto"/>
              <w:rPr>
                <w:rFonts w:ascii="Times New Roman" w:eastAsia="Times New Roman" w:hAnsi="Times New Roman" w:cs="Times New Roman"/>
                <w:sz w:val="24"/>
                <w:szCs w:val="24"/>
              </w:rPr>
            </w:pPr>
            <w:r>
              <w:rPr>
                <w:sz w:val="20"/>
                <w:szCs w:val="20"/>
              </w:rPr>
              <w:t>Бозентан (</w:t>
            </w:r>
            <w:r>
              <w:rPr>
                <w:sz w:val="20"/>
                <w:szCs w:val="20"/>
                <w:lang w:val="en-US"/>
              </w:rPr>
              <w:t>n</w:t>
            </w:r>
            <w:r>
              <w:rPr>
                <w:sz w:val="20"/>
                <w:szCs w:val="20"/>
              </w:rPr>
              <w:t>=80)</w:t>
            </w:r>
          </w:p>
        </w:tc>
        <w:tc>
          <w:tcPr>
            <w:tcW w:w="1915" w:type="dxa"/>
            <w:vAlign w:val="bottom"/>
          </w:tcPr>
          <w:p w14:paraId="4BE39666" w14:textId="2FBFCDA9" w:rsidR="003F2DC2" w:rsidRDefault="003F2DC2" w:rsidP="003F2DC2">
            <w:pPr>
              <w:spacing w:line="240" w:lineRule="auto"/>
              <w:rPr>
                <w:rFonts w:ascii="Times New Roman" w:eastAsia="Times New Roman" w:hAnsi="Times New Roman" w:cs="Times New Roman"/>
                <w:sz w:val="24"/>
                <w:szCs w:val="24"/>
              </w:rPr>
            </w:pPr>
            <w:r>
              <w:rPr>
                <w:sz w:val="20"/>
                <w:szCs w:val="20"/>
              </w:rPr>
              <w:t>Плацебо (</w:t>
            </w:r>
            <w:r>
              <w:rPr>
                <w:sz w:val="20"/>
                <w:szCs w:val="20"/>
                <w:lang w:val="en-US"/>
              </w:rPr>
              <w:t>n</w:t>
            </w:r>
            <w:r>
              <w:rPr>
                <w:sz w:val="20"/>
                <w:szCs w:val="20"/>
              </w:rPr>
              <w:t>=91)</w:t>
            </w:r>
          </w:p>
        </w:tc>
        <w:tc>
          <w:tcPr>
            <w:tcW w:w="1916" w:type="dxa"/>
            <w:vAlign w:val="bottom"/>
          </w:tcPr>
          <w:p w14:paraId="750D9427" w14:textId="6C41A016" w:rsidR="003F2DC2" w:rsidRDefault="003F2DC2" w:rsidP="003F2DC2">
            <w:pPr>
              <w:spacing w:line="240" w:lineRule="auto"/>
              <w:rPr>
                <w:rFonts w:ascii="Times New Roman" w:eastAsia="Times New Roman" w:hAnsi="Times New Roman" w:cs="Times New Roman"/>
                <w:sz w:val="24"/>
                <w:szCs w:val="24"/>
              </w:rPr>
            </w:pPr>
            <w:r>
              <w:rPr>
                <w:sz w:val="20"/>
                <w:szCs w:val="20"/>
              </w:rPr>
              <w:t>Бозентан (</w:t>
            </w:r>
            <w:r>
              <w:rPr>
                <w:sz w:val="20"/>
                <w:szCs w:val="20"/>
                <w:lang w:val="en-US"/>
              </w:rPr>
              <w:t>n</w:t>
            </w:r>
            <w:r>
              <w:rPr>
                <w:sz w:val="20"/>
                <w:szCs w:val="20"/>
              </w:rPr>
              <w:t>=86)</w:t>
            </w:r>
          </w:p>
        </w:tc>
      </w:tr>
      <w:tr w:rsidR="003F2DC2" w14:paraId="5E12A027" w14:textId="77777777" w:rsidTr="00F06D70">
        <w:tc>
          <w:tcPr>
            <w:tcW w:w="1915" w:type="dxa"/>
            <w:vAlign w:val="bottom"/>
          </w:tcPr>
          <w:p w14:paraId="1669A044" w14:textId="2CA76813" w:rsidR="003F2DC2" w:rsidRDefault="003F2DC2" w:rsidP="003F2DC2">
            <w:pPr>
              <w:spacing w:line="240" w:lineRule="auto"/>
              <w:rPr>
                <w:rFonts w:ascii="Times New Roman" w:eastAsia="Times New Roman" w:hAnsi="Times New Roman" w:cs="Times New Roman"/>
                <w:sz w:val="24"/>
                <w:szCs w:val="24"/>
              </w:rPr>
            </w:pPr>
            <w:r>
              <w:rPr>
                <w:sz w:val="20"/>
                <w:szCs w:val="20"/>
              </w:rPr>
              <w:t xml:space="preserve">База </w:t>
            </w:r>
            <w:r>
              <w:rPr>
                <w:sz w:val="20"/>
                <w:szCs w:val="20"/>
                <w:lang w:val="en-US"/>
              </w:rPr>
              <w:t xml:space="preserve">(BL); </w:t>
            </w:r>
            <w:r>
              <w:rPr>
                <w:sz w:val="20"/>
                <w:szCs w:val="20"/>
              </w:rPr>
              <w:t xml:space="preserve">средно </w:t>
            </w:r>
            <w:r>
              <w:rPr>
                <w:sz w:val="20"/>
                <w:szCs w:val="20"/>
                <w:lang w:val="en-US"/>
              </w:rPr>
              <w:t>(SD)</w:t>
            </w:r>
          </w:p>
        </w:tc>
        <w:tc>
          <w:tcPr>
            <w:tcW w:w="1915" w:type="dxa"/>
            <w:vAlign w:val="bottom"/>
          </w:tcPr>
          <w:p w14:paraId="6D36059A" w14:textId="2D5072F3" w:rsidR="003F2DC2" w:rsidRDefault="003F2DC2" w:rsidP="003F2DC2">
            <w:pPr>
              <w:spacing w:line="240" w:lineRule="auto"/>
              <w:rPr>
                <w:rFonts w:ascii="Times New Roman" w:eastAsia="Times New Roman" w:hAnsi="Times New Roman" w:cs="Times New Roman"/>
                <w:sz w:val="24"/>
                <w:szCs w:val="24"/>
              </w:rPr>
            </w:pPr>
            <w:r>
              <w:rPr>
                <w:sz w:val="20"/>
                <w:szCs w:val="20"/>
              </w:rPr>
              <w:t>802 (365)</w:t>
            </w:r>
          </w:p>
        </w:tc>
        <w:tc>
          <w:tcPr>
            <w:tcW w:w="1915" w:type="dxa"/>
            <w:vAlign w:val="bottom"/>
          </w:tcPr>
          <w:p w14:paraId="4C81C7ED" w14:textId="0256AA26" w:rsidR="003F2DC2" w:rsidRDefault="003F2DC2" w:rsidP="003F2DC2">
            <w:pPr>
              <w:spacing w:line="240" w:lineRule="auto"/>
              <w:rPr>
                <w:rFonts w:ascii="Times New Roman" w:eastAsia="Times New Roman" w:hAnsi="Times New Roman" w:cs="Times New Roman"/>
                <w:sz w:val="24"/>
                <w:szCs w:val="24"/>
              </w:rPr>
            </w:pPr>
            <w:r>
              <w:rPr>
                <w:sz w:val="20"/>
                <w:szCs w:val="20"/>
              </w:rPr>
              <w:t>851 (535)</w:t>
            </w:r>
          </w:p>
        </w:tc>
        <w:tc>
          <w:tcPr>
            <w:tcW w:w="1915" w:type="dxa"/>
            <w:vAlign w:val="bottom"/>
          </w:tcPr>
          <w:p w14:paraId="29DFA6FD" w14:textId="51CA2D6C" w:rsidR="003F2DC2" w:rsidRDefault="003F2DC2" w:rsidP="003F2DC2">
            <w:pPr>
              <w:spacing w:line="240" w:lineRule="auto"/>
              <w:rPr>
                <w:rFonts w:ascii="Times New Roman" w:eastAsia="Times New Roman" w:hAnsi="Times New Roman" w:cs="Times New Roman"/>
                <w:sz w:val="24"/>
                <w:szCs w:val="24"/>
              </w:rPr>
            </w:pPr>
            <w:r>
              <w:rPr>
                <w:sz w:val="20"/>
                <w:szCs w:val="20"/>
              </w:rPr>
              <w:t>431 (92)</w:t>
            </w:r>
          </w:p>
        </w:tc>
        <w:tc>
          <w:tcPr>
            <w:tcW w:w="1916" w:type="dxa"/>
            <w:vAlign w:val="bottom"/>
          </w:tcPr>
          <w:p w14:paraId="0416143A" w14:textId="543D7C3A" w:rsidR="003F2DC2" w:rsidRDefault="003F2DC2" w:rsidP="003F2DC2">
            <w:pPr>
              <w:spacing w:line="240" w:lineRule="auto"/>
              <w:rPr>
                <w:rFonts w:ascii="Times New Roman" w:eastAsia="Times New Roman" w:hAnsi="Times New Roman" w:cs="Times New Roman"/>
                <w:sz w:val="24"/>
                <w:szCs w:val="24"/>
              </w:rPr>
            </w:pPr>
            <w:r>
              <w:rPr>
                <w:sz w:val="20"/>
                <w:szCs w:val="20"/>
              </w:rPr>
              <w:t>443 (83)</w:t>
            </w:r>
          </w:p>
        </w:tc>
      </w:tr>
      <w:tr w:rsidR="003F2DC2" w14:paraId="4C3F2C9E" w14:textId="77777777" w:rsidTr="00F06D70">
        <w:tc>
          <w:tcPr>
            <w:tcW w:w="1915" w:type="dxa"/>
            <w:vAlign w:val="bottom"/>
          </w:tcPr>
          <w:p w14:paraId="0B96E305" w14:textId="55D38E71" w:rsidR="003F2DC2" w:rsidRDefault="003F2DC2" w:rsidP="003F2DC2">
            <w:pPr>
              <w:spacing w:line="240" w:lineRule="auto"/>
              <w:rPr>
                <w:rFonts w:ascii="Times New Roman" w:eastAsia="Times New Roman" w:hAnsi="Times New Roman" w:cs="Times New Roman"/>
                <w:sz w:val="24"/>
                <w:szCs w:val="24"/>
              </w:rPr>
            </w:pPr>
            <w:r>
              <w:rPr>
                <w:sz w:val="20"/>
                <w:szCs w:val="20"/>
              </w:rPr>
              <w:t xml:space="preserve">Промяна спрямо базата </w:t>
            </w:r>
            <w:r>
              <w:rPr>
                <w:sz w:val="20"/>
                <w:szCs w:val="20"/>
                <w:lang w:val="en-US"/>
              </w:rPr>
              <w:t>BL;</w:t>
            </w:r>
          </w:p>
        </w:tc>
        <w:tc>
          <w:tcPr>
            <w:tcW w:w="1915" w:type="dxa"/>
            <w:vAlign w:val="bottom"/>
          </w:tcPr>
          <w:p w14:paraId="368FEB0B" w14:textId="300C68EE" w:rsidR="003F2DC2" w:rsidRDefault="003F2DC2" w:rsidP="003F2DC2">
            <w:pPr>
              <w:spacing w:line="240" w:lineRule="auto"/>
              <w:rPr>
                <w:rFonts w:ascii="Times New Roman" w:eastAsia="Times New Roman" w:hAnsi="Times New Roman" w:cs="Times New Roman"/>
                <w:sz w:val="24"/>
                <w:szCs w:val="24"/>
              </w:rPr>
            </w:pPr>
            <w:r>
              <w:rPr>
                <w:sz w:val="20"/>
                <w:szCs w:val="20"/>
              </w:rPr>
              <w:t>128 (465)</w:t>
            </w:r>
          </w:p>
        </w:tc>
        <w:tc>
          <w:tcPr>
            <w:tcW w:w="1915" w:type="dxa"/>
            <w:vAlign w:val="bottom"/>
          </w:tcPr>
          <w:p w14:paraId="4A38CFA0" w14:textId="6722512B" w:rsidR="003F2DC2" w:rsidRDefault="003F2DC2" w:rsidP="003F2DC2">
            <w:pPr>
              <w:spacing w:line="240" w:lineRule="auto"/>
              <w:rPr>
                <w:rFonts w:ascii="Times New Roman" w:eastAsia="Times New Roman" w:hAnsi="Times New Roman" w:cs="Times New Roman"/>
                <w:sz w:val="24"/>
                <w:szCs w:val="24"/>
              </w:rPr>
            </w:pPr>
            <w:r>
              <w:rPr>
                <w:sz w:val="20"/>
                <w:szCs w:val="20"/>
              </w:rPr>
              <w:t>-69 (475)</w:t>
            </w:r>
          </w:p>
        </w:tc>
        <w:tc>
          <w:tcPr>
            <w:tcW w:w="1915" w:type="dxa"/>
            <w:vAlign w:val="bottom"/>
          </w:tcPr>
          <w:p w14:paraId="008203AC" w14:textId="2A90CF3D" w:rsidR="003F2DC2" w:rsidRDefault="003F2DC2" w:rsidP="003F2DC2">
            <w:pPr>
              <w:spacing w:line="240" w:lineRule="auto"/>
              <w:rPr>
                <w:rFonts w:ascii="Times New Roman" w:eastAsia="Times New Roman" w:hAnsi="Times New Roman" w:cs="Times New Roman"/>
                <w:sz w:val="24"/>
                <w:szCs w:val="24"/>
              </w:rPr>
            </w:pPr>
            <w:r>
              <w:rPr>
                <w:sz w:val="20"/>
                <w:szCs w:val="20"/>
              </w:rPr>
              <w:t>-8 (79)</w:t>
            </w:r>
          </w:p>
        </w:tc>
        <w:tc>
          <w:tcPr>
            <w:tcW w:w="1916" w:type="dxa"/>
            <w:vAlign w:val="bottom"/>
          </w:tcPr>
          <w:p w14:paraId="16D38918" w14:textId="106B313A" w:rsidR="003F2DC2" w:rsidRDefault="003F2DC2" w:rsidP="003F2DC2">
            <w:pPr>
              <w:spacing w:line="240" w:lineRule="auto"/>
              <w:rPr>
                <w:rFonts w:ascii="Times New Roman" w:eastAsia="Times New Roman" w:hAnsi="Times New Roman" w:cs="Times New Roman"/>
                <w:sz w:val="24"/>
                <w:szCs w:val="24"/>
              </w:rPr>
            </w:pPr>
            <w:r>
              <w:rPr>
                <w:sz w:val="20"/>
                <w:szCs w:val="20"/>
              </w:rPr>
              <w:t>11(74)</w:t>
            </w:r>
          </w:p>
        </w:tc>
      </w:tr>
      <w:tr w:rsidR="003F2DC2" w14:paraId="0099C11E" w14:textId="77777777" w:rsidTr="005B1285">
        <w:tc>
          <w:tcPr>
            <w:tcW w:w="1915" w:type="dxa"/>
            <w:vAlign w:val="bottom"/>
          </w:tcPr>
          <w:p w14:paraId="2E9F9901" w14:textId="1B4BF6A3" w:rsidR="003F2DC2" w:rsidRDefault="003F2DC2" w:rsidP="003F2DC2">
            <w:pPr>
              <w:spacing w:line="240" w:lineRule="auto"/>
              <w:rPr>
                <w:rFonts w:ascii="Times New Roman" w:eastAsia="Times New Roman" w:hAnsi="Times New Roman" w:cs="Times New Roman"/>
                <w:sz w:val="24"/>
                <w:szCs w:val="24"/>
              </w:rPr>
            </w:pPr>
            <w:r>
              <w:rPr>
                <w:sz w:val="20"/>
                <w:szCs w:val="20"/>
              </w:rPr>
              <w:t>Резултат от лечението</w:t>
            </w:r>
          </w:p>
        </w:tc>
        <w:tc>
          <w:tcPr>
            <w:tcW w:w="3830" w:type="dxa"/>
            <w:gridSpan w:val="2"/>
            <w:vAlign w:val="bottom"/>
          </w:tcPr>
          <w:p w14:paraId="735F5A11" w14:textId="4C4187D5" w:rsidR="003F2DC2" w:rsidRDefault="003F2DC2" w:rsidP="003F2DC2">
            <w:pPr>
              <w:spacing w:line="240" w:lineRule="auto"/>
              <w:rPr>
                <w:rFonts w:ascii="Times New Roman" w:eastAsia="Times New Roman" w:hAnsi="Times New Roman" w:cs="Times New Roman"/>
                <w:sz w:val="24"/>
                <w:szCs w:val="24"/>
              </w:rPr>
            </w:pPr>
            <w:r>
              <w:rPr>
                <w:sz w:val="20"/>
                <w:szCs w:val="20"/>
              </w:rPr>
              <w:t>-22.6%</w:t>
            </w:r>
          </w:p>
        </w:tc>
        <w:tc>
          <w:tcPr>
            <w:tcW w:w="3831" w:type="dxa"/>
            <w:gridSpan w:val="2"/>
            <w:vAlign w:val="bottom"/>
          </w:tcPr>
          <w:p w14:paraId="605A3B17" w14:textId="0904CE33" w:rsidR="003F2DC2" w:rsidRDefault="003F2DC2" w:rsidP="003F2DC2">
            <w:pPr>
              <w:spacing w:line="240" w:lineRule="auto"/>
              <w:rPr>
                <w:rFonts w:ascii="Times New Roman" w:eastAsia="Times New Roman" w:hAnsi="Times New Roman" w:cs="Times New Roman"/>
                <w:sz w:val="24"/>
                <w:szCs w:val="24"/>
              </w:rPr>
            </w:pPr>
            <w:r>
              <w:rPr>
                <w:sz w:val="20"/>
                <w:szCs w:val="20"/>
              </w:rPr>
              <w:t>19</w:t>
            </w:r>
          </w:p>
        </w:tc>
      </w:tr>
      <w:tr w:rsidR="003F2DC2" w14:paraId="16FBF24B" w14:textId="77777777" w:rsidTr="005B1285">
        <w:tc>
          <w:tcPr>
            <w:tcW w:w="1915" w:type="dxa"/>
            <w:vAlign w:val="bottom"/>
          </w:tcPr>
          <w:p w14:paraId="2592549F" w14:textId="18672983" w:rsidR="003F2DC2" w:rsidRDefault="003F2DC2" w:rsidP="003F2DC2">
            <w:pPr>
              <w:spacing w:line="240" w:lineRule="auto"/>
              <w:rPr>
                <w:rFonts w:ascii="Times New Roman" w:eastAsia="Times New Roman" w:hAnsi="Times New Roman" w:cs="Times New Roman"/>
                <w:sz w:val="24"/>
                <w:szCs w:val="24"/>
              </w:rPr>
            </w:pPr>
            <w:r>
              <w:rPr>
                <w:sz w:val="20"/>
                <w:szCs w:val="20"/>
              </w:rPr>
              <w:t xml:space="preserve">95% </w:t>
            </w:r>
            <w:r>
              <w:rPr>
                <w:sz w:val="20"/>
                <w:szCs w:val="20"/>
                <w:lang w:val="en-US"/>
              </w:rPr>
              <w:t>CL</w:t>
            </w:r>
          </w:p>
        </w:tc>
        <w:tc>
          <w:tcPr>
            <w:tcW w:w="3830" w:type="dxa"/>
            <w:gridSpan w:val="2"/>
            <w:vAlign w:val="bottom"/>
          </w:tcPr>
          <w:p w14:paraId="1A2FBF19" w14:textId="48B035CB" w:rsidR="003F2DC2" w:rsidRDefault="003F2DC2" w:rsidP="003F2DC2">
            <w:pPr>
              <w:spacing w:line="240" w:lineRule="auto"/>
              <w:rPr>
                <w:rFonts w:ascii="Times New Roman" w:eastAsia="Times New Roman" w:hAnsi="Times New Roman" w:cs="Times New Roman"/>
                <w:sz w:val="24"/>
                <w:szCs w:val="24"/>
              </w:rPr>
            </w:pPr>
            <w:r>
              <w:rPr>
                <w:sz w:val="20"/>
                <w:szCs w:val="20"/>
              </w:rPr>
              <w:t>-34.-10</w:t>
            </w:r>
          </w:p>
        </w:tc>
        <w:tc>
          <w:tcPr>
            <w:tcW w:w="3831" w:type="dxa"/>
            <w:gridSpan w:val="2"/>
            <w:vAlign w:val="bottom"/>
          </w:tcPr>
          <w:p w14:paraId="35EE6DED" w14:textId="2B0C9739" w:rsidR="003F2DC2" w:rsidRDefault="003F2DC2" w:rsidP="003F2DC2">
            <w:pPr>
              <w:spacing w:line="240" w:lineRule="auto"/>
              <w:rPr>
                <w:rFonts w:ascii="Times New Roman" w:eastAsia="Times New Roman" w:hAnsi="Times New Roman" w:cs="Times New Roman"/>
                <w:sz w:val="24"/>
                <w:szCs w:val="24"/>
              </w:rPr>
            </w:pPr>
            <w:r>
              <w:rPr>
                <w:sz w:val="20"/>
                <w:szCs w:val="20"/>
              </w:rPr>
              <w:t>-4, 42</w:t>
            </w:r>
          </w:p>
        </w:tc>
      </w:tr>
      <w:tr w:rsidR="003F2DC2" w14:paraId="5EBA9C1B" w14:textId="77777777" w:rsidTr="00AF7BBD">
        <w:tc>
          <w:tcPr>
            <w:tcW w:w="1915" w:type="dxa"/>
          </w:tcPr>
          <w:p w14:paraId="5A8AEEE0" w14:textId="1D121D75" w:rsidR="003F2DC2" w:rsidRDefault="003F2DC2" w:rsidP="003F2DC2">
            <w:pPr>
              <w:spacing w:line="240" w:lineRule="auto"/>
              <w:rPr>
                <w:rFonts w:ascii="Times New Roman" w:eastAsia="Times New Roman" w:hAnsi="Times New Roman" w:cs="Times New Roman"/>
                <w:sz w:val="24"/>
                <w:szCs w:val="24"/>
              </w:rPr>
            </w:pPr>
            <w:r>
              <w:rPr>
                <w:sz w:val="20"/>
                <w:szCs w:val="20"/>
              </w:rPr>
              <w:t>Р-стойност</w:t>
            </w:r>
          </w:p>
        </w:tc>
        <w:tc>
          <w:tcPr>
            <w:tcW w:w="3830" w:type="dxa"/>
            <w:gridSpan w:val="2"/>
          </w:tcPr>
          <w:p w14:paraId="1D5921B8" w14:textId="5B00CA60" w:rsidR="003F2DC2" w:rsidRDefault="003F2DC2" w:rsidP="003F2DC2">
            <w:pPr>
              <w:spacing w:line="240" w:lineRule="auto"/>
              <w:rPr>
                <w:rFonts w:ascii="Times New Roman" w:eastAsia="Times New Roman" w:hAnsi="Times New Roman" w:cs="Times New Roman"/>
                <w:sz w:val="24"/>
                <w:szCs w:val="24"/>
              </w:rPr>
            </w:pPr>
            <w:r>
              <w:rPr>
                <w:sz w:val="20"/>
                <w:szCs w:val="20"/>
              </w:rPr>
              <w:t>&lt;0.0001</w:t>
            </w:r>
          </w:p>
        </w:tc>
        <w:tc>
          <w:tcPr>
            <w:tcW w:w="3831" w:type="dxa"/>
            <w:gridSpan w:val="2"/>
          </w:tcPr>
          <w:p w14:paraId="6C539CFE" w14:textId="4860998B" w:rsidR="003F2DC2" w:rsidRDefault="003F2DC2" w:rsidP="003F2DC2">
            <w:pPr>
              <w:spacing w:line="240" w:lineRule="auto"/>
              <w:rPr>
                <w:rFonts w:ascii="Times New Roman" w:eastAsia="Times New Roman" w:hAnsi="Times New Roman" w:cs="Times New Roman"/>
                <w:sz w:val="24"/>
                <w:szCs w:val="24"/>
              </w:rPr>
            </w:pPr>
            <w:r>
              <w:rPr>
                <w:sz w:val="20"/>
                <w:szCs w:val="20"/>
              </w:rPr>
              <w:t>0.0758</w:t>
            </w:r>
          </w:p>
        </w:tc>
      </w:tr>
    </w:tbl>
    <w:p w14:paraId="46FC6DF4" w14:textId="44B4906C" w:rsidR="003F2DC2" w:rsidRPr="003F2DC2" w:rsidRDefault="003F2DC2" w:rsidP="003F2DC2">
      <w:pPr>
        <w:spacing w:line="240" w:lineRule="auto"/>
        <w:rPr>
          <w:rFonts w:eastAsia="Times New Roman" w:cs="Arial"/>
          <w:color w:val="000000"/>
          <w:szCs w:val="20"/>
          <w:lang w:eastAsia="bg-BG"/>
        </w:rPr>
      </w:pPr>
      <w:r w:rsidRPr="003F2DC2">
        <w:rPr>
          <w:rFonts w:eastAsia="Times New Roman" w:cs="Arial"/>
          <w:color w:val="000000"/>
          <w:szCs w:val="20"/>
          <w:lang w:eastAsia="bg-BG"/>
        </w:rPr>
        <w:t xml:space="preserve">ДГ - доверителна граница: БСС= Белодробно съдово съпротивление ; </w:t>
      </w:r>
      <w:r w:rsidRPr="003F2DC2">
        <w:rPr>
          <w:rFonts w:eastAsia="Times New Roman" w:cs="Arial"/>
          <w:color w:val="000000"/>
          <w:szCs w:val="20"/>
          <w:lang w:val="en-US"/>
        </w:rPr>
        <w:t>SD</w:t>
      </w:r>
      <w:r w:rsidRPr="003F2DC2">
        <w:rPr>
          <w:rFonts w:eastAsia="Times New Roman" w:cs="Arial"/>
          <w:color w:val="000000"/>
          <w:szCs w:val="20"/>
          <w:lang w:val="ru-RU"/>
        </w:rPr>
        <w:t xml:space="preserve"> </w:t>
      </w:r>
      <w:r w:rsidRPr="003F2DC2">
        <w:rPr>
          <w:rFonts w:eastAsia="Times New Roman" w:cs="Arial"/>
          <w:color w:val="000000"/>
          <w:szCs w:val="20"/>
          <w:lang w:eastAsia="bg-BG"/>
        </w:rPr>
        <w:t>= стандартно отклонение</w:t>
      </w:r>
    </w:p>
    <w:p w14:paraId="14672564" w14:textId="77777777" w:rsidR="003F2DC2" w:rsidRPr="003F2DC2" w:rsidRDefault="003F2DC2" w:rsidP="003F2DC2">
      <w:pPr>
        <w:spacing w:line="240" w:lineRule="auto"/>
        <w:rPr>
          <w:rFonts w:eastAsia="Times New Roman" w:cs="Arial"/>
          <w:color w:val="000000"/>
          <w:szCs w:val="20"/>
          <w:lang w:eastAsia="bg-BG"/>
        </w:rPr>
      </w:pPr>
    </w:p>
    <w:p w14:paraId="33695B00" w14:textId="77777777" w:rsidR="003F2DC2" w:rsidRPr="003F2DC2" w:rsidRDefault="003F2DC2" w:rsidP="003F2DC2">
      <w:pPr>
        <w:rPr>
          <w:rFonts w:eastAsia="Times New Roman" w:cs="Arial"/>
          <w:sz w:val="28"/>
          <w:szCs w:val="24"/>
        </w:rPr>
      </w:pPr>
      <w:r w:rsidRPr="003F2DC2">
        <w:rPr>
          <w:rFonts w:eastAsia="Times New Roman" w:cs="Arial"/>
          <w:color w:val="000000"/>
          <w:szCs w:val="20"/>
          <w:lang w:eastAsia="bg-BG"/>
        </w:rPr>
        <w:t>Лечението с бозентан се свързва с намаление на честотата на клинично влошаване, определено като прогресия на симптомите, хоспитализация поради БАХ и смърт в сравнение с плацебо (пропорционално намаление на риска 77%, 95% доверителен интервал [ДИ] 20 - 94%, 0,0114). Ефектът от лечението е проследен чрез подобрение в компонентите на прогресия на симптомите. Наблюдавани са една хоспитализация, дължаща се на влошаване на БАХ в групата, лекувана с бозентан, и три хоспитализации в групата на плацебо. При всяка група на лечение е наблюдаван един случай на смърт през шестте месеца на двойно-слепия период на проучването, поради което не може да се направи заключение за преживяемостта.</w:t>
      </w:r>
    </w:p>
    <w:p w14:paraId="01A012F3" w14:textId="77777777" w:rsidR="003F2DC2" w:rsidRPr="003F2DC2" w:rsidRDefault="003F2DC2" w:rsidP="003F2DC2">
      <w:pPr>
        <w:spacing w:line="240" w:lineRule="auto"/>
        <w:rPr>
          <w:rFonts w:eastAsia="Times New Roman" w:cs="Arial"/>
          <w:color w:val="000000"/>
          <w:szCs w:val="20"/>
          <w:lang w:eastAsia="bg-BG"/>
        </w:rPr>
      </w:pPr>
    </w:p>
    <w:p w14:paraId="402C515F" w14:textId="7F3A7B7B" w:rsidR="003F2DC2" w:rsidRPr="003F2DC2" w:rsidRDefault="003F2DC2" w:rsidP="003F2DC2">
      <w:pPr>
        <w:spacing w:line="240" w:lineRule="auto"/>
        <w:rPr>
          <w:rFonts w:eastAsia="Times New Roman" w:cs="Arial"/>
          <w:color w:val="000000"/>
          <w:szCs w:val="20"/>
          <w:lang w:eastAsia="bg-BG"/>
        </w:rPr>
      </w:pPr>
      <w:r w:rsidRPr="003F2DC2">
        <w:rPr>
          <w:rFonts w:eastAsia="Times New Roman" w:cs="Arial"/>
          <w:color w:val="000000"/>
          <w:szCs w:val="20"/>
          <w:lang w:eastAsia="bg-BG"/>
        </w:rPr>
        <w:t xml:space="preserve">Данни за продължителен период от време са събрани от всичките 173 пациенти, които са лекувани с </w:t>
      </w:r>
    </w:p>
    <w:p w14:paraId="6BD4D2CF" w14:textId="647D90E3"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 xml:space="preserve">бозентан в контролираната фаза и/или са преминали от плацебо на бозентан по време на отвореното продължение на проучването </w:t>
      </w:r>
      <w:r w:rsidRPr="003F2DC2">
        <w:rPr>
          <w:rFonts w:eastAsia="Times New Roman" w:cs="Arial"/>
          <w:color w:val="000000"/>
          <w:szCs w:val="20"/>
          <w:lang w:val="en-US"/>
        </w:rPr>
        <w:t>EARLY</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Средната продължителност на експозиция на лечение с бозентан е била 3,6 ± 1,8 години (до 6,1 години), като 73% от пациентите са лекувани най-малко 3 години и 62% - най-малко 4 години. Пациентите биха могли да получат допълнително лечение за БАХ, както се изисква в отвореното продължение на проучването. По-голямата част от пациентите са диагностицирани с идиопатична или наследствена БАХ (61%). Като цяло, 78% от пациентите са продължили с функционален клас II според класификацията на СЗО. Оценките на </w:t>
      </w:r>
      <w:r w:rsidRPr="003F2DC2">
        <w:rPr>
          <w:rFonts w:eastAsia="Times New Roman" w:cs="Arial"/>
          <w:color w:val="000000"/>
          <w:szCs w:val="20"/>
          <w:lang w:val="en-US"/>
        </w:rPr>
        <w:t>Kaplan</w:t>
      </w:r>
      <w:r w:rsidRPr="003F2DC2">
        <w:rPr>
          <w:rFonts w:eastAsia="Times New Roman" w:cs="Arial"/>
          <w:color w:val="000000"/>
          <w:szCs w:val="20"/>
          <w:lang w:val="ru-RU"/>
        </w:rPr>
        <w:t>-</w:t>
      </w:r>
      <w:r w:rsidRPr="003F2DC2">
        <w:rPr>
          <w:rFonts w:eastAsia="Times New Roman" w:cs="Arial"/>
          <w:color w:val="000000"/>
          <w:szCs w:val="20"/>
          <w:lang w:val="en-US"/>
        </w:rPr>
        <w:t>Meier</w:t>
      </w:r>
      <w:r w:rsidRPr="003F2DC2">
        <w:rPr>
          <w:rFonts w:eastAsia="Times New Roman" w:cs="Arial"/>
          <w:color w:val="000000"/>
          <w:szCs w:val="20"/>
          <w:lang w:val="ru-RU"/>
        </w:rPr>
        <w:t xml:space="preserve"> </w:t>
      </w:r>
      <w:r w:rsidRPr="003F2DC2">
        <w:rPr>
          <w:rFonts w:eastAsia="Times New Roman" w:cs="Arial"/>
          <w:color w:val="000000"/>
          <w:szCs w:val="20"/>
          <w:lang w:eastAsia="bg-BG"/>
        </w:rPr>
        <w:t>за преживяемост са съответно 90% и 85% на Зтата и 4тата година от започване на лечението. В същите времеви точки, 88% и 79% от пациентите продължили без влошаване на БАХ (определено като смърт, по всякаква причина, трансплантация на бял дроб, атриална септостомия или започване на интравенозно или подкожно простаноидно лечение). Сравнителния принос на предхождащото лечение с плацебо в на двойно-</w:t>
      </w:r>
      <w:r w:rsidRPr="003F2DC2">
        <w:rPr>
          <w:rFonts w:eastAsia="Times New Roman" w:cs="Arial"/>
          <w:color w:val="000000"/>
          <w:szCs w:val="20"/>
          <w:lang w:eastAsia="bg-BG"/>
        </w:rPr>
        <w:lastRenderedPageBreak/>
        <w:t>сляпата фаза и на други лекарства, започнати по време на фазата на отворено продължение на проучването не е известен.</w:t>
      </w:r>
    </w:p>
    <w:p w14:paraId="29D416F1" w14:textId="77777777" w:rsidR="003F2DC2" w:rsidRPr="003F2DC2" w:rsidRDefault="003F2DC2" w:rsidP="003F2DC2">
      <w:pPr>
        <w:spacing w:line="240" w:lineRule="auto"/>
        <w:rPr>
          <w:rFonts w:eastAsia="Times New Roman" w:cs="Arial"/>
          <w:color w:val="000000"/>
          <w:szCs w:val="20"/>
          <w:lang w:eastAsia="bg-BG"/>
        </w:rPr>
      </w:pPr>
    </w:p>
    <w:p w14:paraId="5EA837CC" w14:textId="7503B217"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 xml:space="preserve">В проспективно, мултицентрово, рандомизирано, двойно-сляпо, плацебо контролирано проучване </w:t>
      </w:r>
      <w:r w:rsidRPr="003F2DC2">
        <w:rPr>
          <w:rFonts w:eastAsia="Times New Roman" w:cs="Arial"/>
          <w:color w:val="000000"/>
          <w:szCs w:val="20"/>
          <w:lang w:val="ru-RU"/>
        </w:rPr>
        <w:t>(</w:t>
      </w:r>
      <w:r w:rsidRPr="003F2DC2">
        <w:rPr>
          <w:rFonts w:eastAsia="Times New Roman" w:cs="Arial"/>
          <w:color w:val="000000"/>
          <w:szCs w:val="20"/>
          <w:lang w:val="en-US"/>
        </w:rPr>
        <w:t>AC</w:t>
      </w:r>
      <w:r w:rsidRPr="003F2DC2">
        <w:rPr>
          <w:rFonts w:eastAsia="Times New Roman" w:cs="Arial"/>
          <w:color w:val="000000"/>
          <w:szCs w:val="20"/>
          <w:lang w:val="ru-RU"/>
        </w:rPr>
        <w:t>-052-405 [</w:t>
      </w:r>
      <w:r w:rsidRPr="003F2DC2">
        <w:rPr>
          <w:rFonts w:eastAsia="Times New Roman" w:cs="Arial"/>
          <w:color w:val="000000"/>
          <w:szCs w:val="20"/>
          <w:lang w:val="en-US"/>
        </w:rPr>
        <w:t>BREATHE</w:t>
      </w:r>
      <w:r w:rsidRPr="003F2DC2">
        <w:rPr>
          <w:rFonts w:eastAsia="Times New Roman" w:cs="Arial"/>
          <w:color w:val="000000"/>
          <w:szCs w:val="20"/>
          <w:lang w:val="ru-RU"/>
        </w:rPr>
        <w:t xml:space="preserve">-5]) </w:t>
      </w:r>
      <w:r w:rsidRPr="003F2DC2">
        <w:rPr>
          <w:rFonts w:eastAsia="Times New Roman" w:cs="Arial"/>
          <w:color w:val="000000"/>
          <w:szCs w:val="20"/>
          <w:lang w:eastAsia="bg-BG"/>
        </w:rPr>
        <w:t xml:space="preserve">пациентите с БАХ, функционален клас III по СЗО и физиология на Айзенменгер, свързана с вродено сърдечно заболяване, са получавали бозентан 62,5 </w:t>
      </w:r>
      <w:r w:rsidRPr="003F2DC2">
        <w:rPr>
          <w:rFonts w:eastAsia="Times New Roman" w:cs="Arial"/>
          <w:color w:val="000000"/>
          <w:szCs w:val="20"/>
          <w:lang w:val="en-US"/>
        </w:rPr>
        <w:t>mg</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два пъти дневно за 4 седмици, след което 125 </w:t>
      </w:r>
      <w:r w:rsidRPr="003F2DC2">
        <w:rPr>
          <w:rFonts w:eastAsia="Times New Roman" w:cs="Arial"/>
          <w:color w:val="000000"/>
          <w:szCs w:val="20"/>
          <w:lang w:val="en-US"/>
        </w:rPr>
        <w:t>mg</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два пъти дневно за още 12 седмици (п = 37, от които 31 са имали предимно десено към ляво двупосочен шънт). Основната цел е да се докаже, че бозентан не влошава хипоксемията. След 16 седмици, в групата на бозентан средната кислородна сатурация се повишава с 1,0% (95% </w:t>
      </w:r>
      <w:r w:rsidRPr="003F2DC2">
        <w:rPr>
          <w:rFonts w:eastAsia="Times New Roman" w:cs="Arial"/>
          <w:color w:val="000000"/>
          <w:szCs w:val="20"/>
          <w:lang w:val="en-US"/>
        </w:rPr>
        <w:t>CI</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- 0,7%- 2,8%), в сравнение с групата на плацебо </w:t>
      </w:r>
      <w:r w:rsidRPr="003F2DC2">
        <w:rPr>
          <w:rFonts w:eastAsia="Times New Roman" w:cs="Arial"/>
          <w:color w:val="000000"/>
          <w:szCs w:val="20"/>
          <w:lang w:val="ru-RU"/>
        </w:rPr>
        <w:t>(</w:t>
      </w:r>
      <w:r w:rsidRPr="003F2DC2">
        <w:rPr>
          <w:rFonts w:eastAsia="Times New Roman" w:cs="Arial"/>
          <w:color w:val="000000"/>
          <w:szCs w:val="20"/>
          <w:lang w:val="en-US"/>
        </w:rPr>
        <w:t>n</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 17), което показва, че бозентан не влошава хипоксемията. Средното белодробно съдово съпротивление е намалено значително в групата на бозентан (като преобладаващият ефект е наблюдаван в субгрупата от пациенти с двойно насочващ интракардиален шънт). След 16 седмици, средното плацебо-коригирано повишаване на изминатото разстояние с ходене за 6 минути е 53 метра (р = 0,0079), което показва подобряване на капацитета за упражнения. Двадесет и шест пациенти са продължили да получават бозентан по време на 24-седмичната фаза на отворено продължение (АС-052-409) на проучването </w:t>
      </w:r>
      <w:r w:rsidRPr="003F2DC2">
        <w:rPr>
          <w:rFonts w:eastAsia="Times New Roman" w:cs="Arial"/>
          <w:color w:val="000000"/>
          <w:szCs w:val="20"/>
          <w:lang w:val="en-US"/>
        </w:rPr>
        <w:t>BREATHE</w:t>
      </w:r>
      <w:r w:rsidRPr="003F2DC2">
        <w:rPr>
          <w:rFonts w:eastAsia="Times New Roman" w:cs="Arial"/>
          <w:color w:val="000000"/>
          <w:szCs w:val="20"/>
          <w:lang w:val="ru-RU"/>
        </w:rPr>
        <w:t xml:space="preserve">-5 </w:t>
      </w:r>
      <w:r w:rsidRPr="003F2DC2">
        <w:rPr>
          <w:rFonts w:eastAsia="Times New Roman" w:cs="Arial"/>
          <w:color w:val="000000"/>
          <w:szCs w:val="20"/>
          <w:lang w:eastAsia="bg-BG"/>
        </w:rPr>
        <w:t>(средна продължителност на лечението = 24,4 ± 2,0 седмици) и като цяло ефикасността е била поддържана.</w:t>
      </w:r>
    </w:p>
    <w:p w14:paraId="133F3270" w14:textId="77777777" w:rsidR="003F2DC2" w:rsidRPr="003F2DC2" w:rsidRDefault="003F2DC2" w:rsidP="003F2DC2">
      <w:pPr>
        <w:spacing w:line="240" w:lineRule="auto"/>
        <w:rPr>
          <w:rFonts w:eastAsia="Times New Roman" w:cs="Arial"/>
          <w:color w:val="000000"/>
          <w:szCs w:val="20"/>
          <w:lang w:eastAsia="bg-BG"/>
        </w:rPr>
      </w:pPr>
    </w:p>
    <w:p w14:paraId="76717CD3" w14:textId="4880E0DC"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 xml:space="preserve">Отворено, несравнително проучване </w:t>
      </w:r>
      <w:r w:rsidRPr="003F2DC2">
        <w:rPr>
          <w:rFonts w:eastAsia="Times New Roman" w:cs="Arial"/>
          <w:color w:val="000000"/>
          <w:szCs w:val="20"/>
          <w:lang w:val="ru-RU"/>
        </w:rPr>
        <w:t>(</w:t>
      </w:r>
      <w:r w:rsidRPr="003F2DC2">
        <w:rPr>
          <w:rFonts w:eastAsia="Times New Roman" w:cs="Arial"/>
          <w:color w:val="000000"/>
          <w:szCs w:val="20"/>
          <w:lang w:val="en-US"/>
        </w:rPr>
        <w:t>AC</w:t>
      </w:r>
      <w:r w:rsidRPr="003F2DC2">
        <w:rPr>
          <w:rFonts w:eastAsia="Times New Roman" w:cs="Arial"/>
          <w:color w:val="000000"/>
          <w:szCs w:val="20"/>
          <w:lang w:val="ru-RU"/>
        </w:rPr>
        <w:t>-052-362 [</w:t>
      </w:r>
      <w:r w:rsidRPr="003F2DC2">
        <w:rPr>
          <w:rFonts w:eastAsia="Times New Roman" w:cs="Arial"/>
          <w:color w:val="000000"/>
          <w:szCs w:val="20"/>
          <w:lang w:val="en-US"/>
        </w:rPr>
        <w:t>BREATHE</w:t>
      </w:r>
      <w:r w:rsidRPr="003F2DC2">
        <w:rPr>
          <w:rFonts w:eastAsia="Times New Roman" w:cs="Arial"/>
          <w:color w:val="000000"/>
          <w:szCs w:val="20"/>
          <w:lang w:val="ru-RU"/>
        </w:rPr>
        <w:t xml:space="preserve">-4]) </w:t>
      </w:r>
      <w:r w:rsidRPr="003F2DC2">
        <w:rPr>
          <w:rFonts w:eastAsia="Times New Roman" w:cs="Arial"/>
          <w:color w:val="000000"/>
          <w:szCs w:val="20"/>
          <w:lang w:eastAsia="bg-BG"/>
        </w:rPr>
        <w:t xml:space="preserve">е проведено при 16 пациенти сБАХ, функционален клас </w:t>
      </w:r>
      <w:r w:rsidRPr="003F2DC2">
        <w:rPr>
          <w:rFonts w:eastAsia="Times New Roman" w:cs="Arial"/>
          <w:color w:val="000000"/>
          <w:szCs w:val="20"/>
          <w:lang w:val="en-US"/>
        </w:rPr>
        <w:t>III</w:t>
      </w:r>
      <w:r w:rsidRPr="003F2DC2">
        <w:rPr>
          <w:rFonts w:eastAsia="Times New Roman" w:cs="Arial"/>
          <w:color w:val="000000"/>
          <w:szCs w:val="20"/>
          <w:lang w:eastAsia="bg-BG"/>
        </w:rPr>
        <w:t xml:space="preserve"> по СЗО, свързана с </w:t>
      </w:r>
      <w:r w:rsidRPr="003F2DC2">
        <w:rPr>
          <w:rFonts w:eastAsia="Times New Roman" w:cs="Arial"/>
          <w:color w:val="000000"/>
          <w:szCs w:val="20"/>
          <w:lang w:val="en-US"/>
        </w:rPr>
        <w:t>HIV</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инфекция. Пациентите са получавали бозентан 62,5 </w:t>
      </w:r>
      <w:r w:rsidRPr="003F2DC2">
        <w:rPr>
          <w:rFonts w:eastAsia="Times New Roman" w:cs="Arial"/>
          <w:color w:val="000000"/>
          <w:szCs w:val="20"/>
          <w:lang w:val="en-US"/>
        </w:rPr>
        <w:t>mg</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два пъти дневно за 4 седмици, след което 125 </w:t>
      </w:r>
      <w:r w:rsidRPr="003F2DC2">
        <w:rPr>
          <w:rFonts w:eastAsia="Times New Roman" w:cs="Arial"/>
          <w:color w:val="000000"/>
          <w:szCs w:val="20"/>
          <w:lang w:val="en-US"/>
        </w:rPr>
        <w:t>mg</w:t>
      </w:r>
      <w:r w:rsidRPr="003F2DC2">
        <w:rPr>
          <w:rFonts w:eastAsia="Times New Roman" w:cs="Arial"/>
          <w:color w:val="000000"/>
          <w:szCs w:val="20"/>
          <w:lang w:val="ru-RU"/>
        </w:rPr>
        <w:t xml:space="preserve"> </w:t>
      </w:r>
      <w:r w:rsidRPr="003F2DC2">
        <w:rPr>
          <w:rFonts w:eastAsia="Times New Roman" w:cs="Arial"/>
          <w:color w:val="000000"/>
          <w:szCs w:val="20"/>
          <w:lang w:eastAsia="bg-BG"/>
        </w:rPr>
        <w:t>два пъти дневно още 12 седмици. След 16-седмично лечение е отчетено значително подобрение в капацитета за упражнения, в сравнение с началните стойности; средното повишаване при 6-минутния тест с ходене е 91,4 метра, в сравнение с 332,6 метра средни начални стойности (р &lt; 0,001). Не могат да бъдат направени съществени изводи относно ефектите на бозентан върху ефективността на антиретровирусната терапия (вж. точка 4.4).</w:t>
      </w:r>
    </w:p>
    <w:p w14:paraId="5D130A5F" w14:textId="7A7EB658" w:rsidR="003F2DC2" w:rsidRPr="003F2DC2" w:rsidRDefault="003F2DC2" w:rsidP="003F2DC2">
      <w:pPr>
        <w:spacing w:line="240" w:lineRule="auto"/>
        <w:rPr>
          <w:rFonts w:eastAsia="Times New Roman" w:cs="Arial"/>
          <w:color w:val="000000"/>
          <w:szCs w:val="20"/>
          <w:lang w:eastAsia="bg-BG"/>
        </w:rPr>
      </w:pPr>
      <w:r w:rsidRPr="003F2DC2">
        <w:rPr>
          <w:rFonts w:eastAsia="Times New Roman" w:cs="Arial"/>
          <w:color w:val="000000"/>
          <w:szCs w:val="20"/>
          <w:lang w:eastAsia="bg-BG"/>
        </w:rPr>
        <w:t xml:space="preserve">Няма проучвания, които да доказват благоприятните ефекти върху преживяемостта при лечение с Ипертазин. Но дългосрочният витален статус е документиран при всичките 235 пациенти, лекувани с бозентан при двете основни плацебо контролирани проучвания (АС-052- 351 и АС-052-352) и/или техните две неконтролирани, отворени продължения. Средната продължителност на експозицията на бозентан е 1,9 години ± 0,7 години (мин.: 0,1 година; макс.: 3,3 години) и пациентите са наблюдавани средно 2,0 ± 0,6 години. Болшинството от пациентите са диагностицирани с първична белодробна хипертония (72%) и с III функционален клас по СЗО (84%). В тази обща популация, оценките на преживяемостта по </w:t>
      </w:r>
      <w:r w:rsidRPr="003F2DC2">
        <w:rPr>
          <w:rFonts w:eastAsia="Times New Roman" w:cs="Arial"/>
          <w:color w:val="000000"/>
          <w:szCs w:val="20"/>
          <w:lang w:val="en-US"/>
        </w:rPr>
        <w:t>Kaplan</w:t>
      </w:r>
      <w:r w:rsidRPr="003F2DC2">
        <w:rPr>
          <w:rFonts w:eastAsia="Times New Roman" w:cs="Arial"/>
          <w:color w:val="000000"/>
          <w:szCs w:val="20"/>
          <w:lang w:val="ru-RU"/>
        </w:rPr>
        <w:t>-</w:t>
      </w:r>
      <w:r w:rsidRPr="003F2DC2">
        <w:rPr>
          <w:rFonts w:eastAsia="Times New Roman" w:cs="Arial"/>
          <w:color w:val="000000"/>
          <w:szCs w:val="20"/>
          <w:lang w:val="en-US"/>
        </w:rPr>
        <w:t>Meier</w:t>
      </w:r>
      <w:r w:rsidRPr="003F2DC2">
        <w:rPr>
          <w:rFonts w:eastAsia="Times New Roman" w:cs="Arial"/>
          <w:color w:val="000000"/>
          <w:szCs w:val="20"/>
          <w:lang w:val="ru-RU"/>
        </w:rPr>
        <w:t xml:space="preserve"> </w:t>
      </w:r>
      <w:r w:rsidRPr="003F2DC2">
        <w:rPr>
          <w:rFonts w:eastAsia="Times New Roman" w:cs="Arial"/>
          <w:color w:val="000000"/>
          <w:szCs w:val="20"/>
          <w:lang w:eastAsia="bg-BG"/>
        </w:rPr>
        <w:t>са</w:t>
      </w:r>
      <w:r w:rsidRPr="003F2DC2">
        <w:rPr>
          <w:rFonts w:eastAsia="Times New Roman" w:cs="Arial"/>
          <w:color w:val="000000"/>
          <w:szCs w:val="20"/>
          <w:u w:val="single"/>
          <w:lang w:eastAsia="bg-BG"/>
        </w:rPr>
        <w:t xml:space="preserve"> </w:t>
      </w:r>
      <w:r w:rsidRPr="003F2DC2">
        <w:rPr>
          <w:rFonts w:eastAsia="Times New Roman" w:cs="Arial"/>
          <w:color w:val="000000"/>
          <w:szCs w:val="20"/>
          <w:lang w:eastAsia="bg-BG"/>
        </w:rPr>
        <w:t>93% и 84%, съответно 1 и 2 години след започване на лечението с бозентан. Оценките на преживяемостта са по-ниски в подгрупата от пациенти с БАХ, вторична на системна склероза. Оценките може да са повлияни от започването на лечение с епопростенол при 43/235 пациенти.</w:t>
      </w:r>
    </w:p>
    <w:p w14:paraId="6A264EFE" w14:textId="5AB15E62" w:rsidR="003F2DC2" w:rsidRPr="003F2DC2" w:rsidRDefault="003F2DC2" w:rsidP="003F2DC2">
      <w:pPr>
        <w:spacing w:line="240" w:lineRule="auto"/>
        <w:rPr>
          <w:rFonts w:eastAsia="Times New Roman" w:cs="Arial"/>
          <w:color w:val="000000"/>
          <w:szCs w:val="20"/>
          <w:lang w:eastAsia="bg-BG"/>
        </w:rPr>
      </w:pPr>
    </w:p>
    <w:p w14:paraId="697EE108" w14:textId="77777777" w:rsidR="003F2DC2" w:rsidRPr="003F2DC2" w:rsidRDefault="003F2DC2" w:rsidP="003F2DC2">
      <w:pPr>
        <w:spacing w:line="240" w:lineRule="auto"/>
        <w:rPr>
          <w:rFonts w:eastAsia="Times New Roman" w:cs="Arial"/>
          <w:sz w:val="28"/>
          <w:szCs w:val="24"/>
        </w:rPr>
      </w:pPr>
      <w:r w:rsidRPr="003F2DC2">
        <w:rPr>
          <w:rFonts w:eastAsia="Times New Roman" w:cs="Arial"/>
          <w:i/>
          <w:iCs/>
          <w:color w:val="000000"/>
          <w:szCs w:val="20"/>
          <w:lang w:eastAsia="bg-BG"/>
        </w:rPr>
        <w:t>Проучвания, проведени при деца с БАХ</w:t>
      </w:r>
    </w:p>
    <w:p w14:paraId="3A343582" w14:textId="77777777" w:rsidR="003F2DC2" w:rsidRPr="003F2DC2" w:rsidRDefault="003F2DC2" w:rsidP="003F2DC2">
      <w:pPr>
        <w:spacing w:line="240" w:lineRule="auto"/>
        <w:rPr>
          <w:rFonts w:eastAsia="Times New Roman" w:cs="Arial"/>
          <w:color w:val="000000"/>
          <w:szCs w:val="20"/>
          <w:lang w:val="en-US"/>
        </w:rPr>
      </w:pPr>
    </w:p>
    <w:p w14:paraId="438BCD58" w14:textId="5C761C9A"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val="en-US"/>
        </w:rPr>
        <w:t>BREATHE</w:t>
      </w:r>
      <w:r w:rsidRPr="003F2DC2">
        <w:rPr>
          <w:rFonts w:eastAsia="Times New Roman" w:cs="Arial"/>
          <w:color w:val="000000"/>
          <w:szCs w:val="20"/>
          <w:lang w:val="ru-RU"/>
        </w:rPr>
        <w:t xml:space="preserve">-3 </w:t>
      </w:r>
      <w:r w:rsidRPr="003F2DC2">
        <w:rPr>
          <w:rFonts w:eastAsia="Times New Roman" w:cs="Arial"/>
          <w:color w:val="000000"/>
          <w:szCs w:val="20"/>
          <w:lang w:eastAsia="bg-BG"/>
        </w:rPr>
        <w:t>(АС-052-356)</w:t>
      </w:r>
    </w:p>
    <w:p w14:paraId="65516FD9" w14:textId="77777777"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Филмираните таблетки бозентан са оценявани в отворено, неконтролирано проучване при 19 педиатрични пациенти с БАХ на възраст от 3 до 15 години. Това проучване е създадено предимно като фармакокинетично проучване (вж. точка 5.2). Пациентите са имали първична белодробна хипертония (10 пациента) или БАХ, свързана с вродено сърдечно заболяване (9 пациенти) и функционален клас II, според класификацията на СЗО (</w:t>
      </w:r>
      <w:r w:rsidRPr="003F2DC2">
        <w:rPr>
          <w:rFonts w:eastAsia="Times New Roman" w:cs="Arial"/>
          <w:color w:val="000000"/>
          <w:szCs w:val="20"/>
          <w:lang w:val="en-US"/>
        </w:rPr>
        <w:t>n</w:t>
      </w:r>
      <w:r w:rsidRPr="003F2DC2">
        <w:rPr>
          <w:rFonts w:eastAsia="Times New Roman" w:cs="Arial"/>
          <w:color w:val="000000"/>
          <w:szCs w:val="20"/>
          <w:lang w:eastAsia="bg-BG"/>
        </w:rPr>
        <w:t xml:space="preserve"> = 15, 79%) или клас </w:t>
      </w:r>
      <w:r w:rsidRPr="003F2DC2">
        <w:rPr>
          <w:rFonts w:eastAsia="Times New Roman" w:cs="Arial"/>
          <w:color w:val="000000"/>
          <w:szCs w:val="20"/>
          <w:lang w:val="en-US"/>
        </w:rPr>
        <w:t>III</w:t>
      </w:r>
      <w:r w:rsidRPr="003F2DC2">
        <w:rPr>
          <w:rFonts w:eastAsia="Times New Roman" w:cs="Arial"/>
          <w:color w:val="000000"/>
          <w:szCs w:val="20"/>
          <w:lang w:eastAsia="bg-BG"/>
        </w:rPr>
        <w:t xml:space="preserve"> (</w:t>
      </w:r>
      <w:r w:rsidRPr="003F2DC2">
        <w:rPr>
          <w:rFonts w:eastAsia="Times New Roman" w:cs="Arial"/>
          <w:color w:val="000000"/>
          <w:szCs w:val="20"/>
          <w:lang w:val="en-US"/>
        </w:rPr>
        <w:t>n</w:t>
      </w:r>
      <w:r w:rsidRPr="003F2DC2">
        <w:rPr>
          <w:rFonts w:eastAsia="Times New Roman" w:cs="Arial"/>
          <w:color w:val="000000"/>
          <w:szCs w:val="20"/>
          <w:lang w:eastAsia="bg-BG"/>
        </w:rPr>
        <w:t xml:space="preserve"> = 4, 21%) на изходното ниво. Пациентите са разделени </w:t>
      </w:r>
      <w:r w:rsidRPr="003F2DC2">
        <w:rPr>
          <w:rFonts w:eastAsia="Times New Roman" w:cs="Arial"/>
          <w:color w:val="000000"/>
          <w:szCs w:val="20"/>
          <w:lang w:eastAsia="bg-BG"/>
        </w:rPr>
        <w:lastRenderedPageBreak/>
        <w:t xml:space="preserve">на три групи, в зависимост от телесното тегло, и им е прилаган бозентан приблизително 2 </w:t>
      </w:r>
      <w:r w:rsidRPr="003F2DC2">
        <w:rPr>
          <w:rFonts w:eastAsia="Times New Roman" w:cs="Arial"/>
          <w:color w:val="000000"/>
          <w:szCs w:val="20"/>
          <w:lang w:val="en-US"/>
        </w:rPr>
        <w:t>mg</w:t>
      </w:r>
      <w:r w:rsidRPr="003F2DC2">
        <w:rPr>
          <w:rFonts w:eastAsia="Times New Roman" w:cs="Arial"/>
          <w:color w:val="000000"/>
          <w:szCs w:val="20"/>
          <w:lang w:val="ru-RU"/>
        </w:rPr>
        <w:t>/</w:t>
      </w:r>
      <w:r w:rsidRPr="003F2DC2">
        <w:rPr>
          <w:rFonts w:eastAsia="Times New Roman" w:cs="Arial"/>
          <w:color w:val="000000"/>
          <w:szCs w:val="20"/>
          <w:lang w:val="en-US"/>
        </w:rPr>
        <w:t>kg</w:t>
      </w:r>
      <w:r w:rsidRPr="003F2DC2">
        <w:rPr>
          <w:rFonts w:eastAsia="Times New Roman" w:cs="Arial"/>
          <w:color w:val="000000"/>
          <w:szCs w:val="20"/>
          <w:lang w:val="ru-RU"/>
        </w:rPr>
        <w:t xml:space="preserve"> </w:t>
      </w:r>
      <w:r w:rsidRPr="003F2DC2">
        <w:rPr>
          <w:rFonts w:eastAsia="Times New Roman" w:cs="Arial"/>
          <w:color w:val="000000"/>
          <w:szCs w:val="20"/>
          <w:lang w:eastAsia="bg-BG"/>
        </w:rPr>
        <w:t>два пъти дневно, в продължение на 12 седмици. Половината от пациентите от всяка група вече са били лекувани интравенозно с епопростенол, като дозата на епопростенола не е променяна по време на проучването.</w:t>
      </w:r>
    </w:p>
    <w:p w14:paraId="003CD198" w14:textId="77777777"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 xml:space="preserve">Хемодинамиката е изследвана при 17 пациента. Средното повишаване на сърдечния индекс от началото на проучването е 0,5 </w:t>
      </w:r>
      <w:r w:rsidRPr="003F2DC2">
        <w:rPr>
          <w:rFonts w:eastAsia="Times New Roman" w:cs="Arial"/>
          <w:color w:val="000000"/>
          <w:szCs w:val="20"/>
          <w:lang w:val="en-US"/>
        </w:rPr>
        <w:t>l</w:t>
      </w:r>
      <w:r w:rsidRPr="003F2DC2">
        <w:rPr>
          <w:rFonts w:eastAsia="Times New Roman" w:cs="Arial"/>
          <w:color w:val="000000"/>
          <w:szCs w:val="20"/>
          <w:lang w:val="ru-RU"/>
        </w:rPr>
        <w:t>/</w:t>
      </w:r>
      <w:r w:rsidRPr="003F2DC2">
        <w:rPr>
          <w:rFonts w:eastAsia="Times New Roman" w:cs="Arial"/>
          <w:color w:val="000000"/>
          <w:szCs w:val="20"/>
          <w:lang w:val="en-US"/>
        </w:rPr>
        <w:t>min</w:t>
      </w:r>
      <w:r w:rsidRPr="003F2DC2">
        <w:rPr>
          <w:rFonts w:eastAsia="Times New Roman" w:cs="Arial"/>
          <w:color w:val="000000"/>
          <w:szCs w:val="20"/>
          <w:lang w:val="ru-RU"/>
        </w:rPr>
        <w:t>./</w:t>
      </w:r>
      <w:r w:rsidRPr="003F2DC2">
        <w:rPr>
          <w:rFonts w:eastAsia="Times New Roman" w:cs="Arial"/>
          <w:color w:val="000000"/>
          <w:szCs w:val="20"/>
          <w:lang w:val="en-US"/>
        </w:rPr>
        <w:t>m</w:t>
      </w:r>
      <w:r w:rsidRPr="003F2DC2">
        <w:rPr>
          <w:rFonts w:eastAsia="Times New Roman" w:cs="Arial"/>
          <w:color w:val="000000"/>
          <w:szCs w:val="20"/>
          <w:vertAlign w:val="superscript"/>
          <w:lang w:val="ru-RU"/>
        </w:rPr>
        <w:t>2</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намаляването на средното белодробно артериално налягане е средно 8 </w:t>
      </w:r>
      <w:r w:rsidRPr="003F2DC2">
        <w:rPr>
          <w:rFonts w:eastAsia="Times New Roman" w:cs="Arial"/>
          <w:color w:val="000000"/>
          <w:szCs w:val="20"/>
          <w:lang w:val="en-US"/>
        </w:rPr>
        <w:t>mmHg</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а намаляването на БСС е средно 389 </w:t>
      </w:r>
      <w:r w:rsidRPr="003F2DC2">
        <w:rPr>
          <w:rFonts w:eastAsia="Times New Roman" w:cs="Arial"/>
          <w:color w:val="000000"/>
          <w:szCs w:val="20"/>
          <w:lang w:val="en-US"/>
        </w:rPr>
        <w:t>dynsecsm</w:t>
      </w:r>
      <w:r w:rsidRPr="003F2DC2">
        <w:rPr>
          <w:rFonts w:eastAsia="Times New Roman" w:cs="Arial"/>
          <w:color w:val="000000"/>
          <w:szCs w:val="20"/>
          <w:vertAlign w:val="superscript"/>
          <w:lang w:val="ru-RU"/>
        </w:rPr>
        <w:t>-5</w:t>
      </w:r>
      <w:r w:rsidRPr="003F2DC2">
        <w:rPr>
          <w:rFonts w:eastAsia="Times New Roman" w:cs="Arial"/>
          <w:color w:val="000000"/>
          <w:szCs w:val="20"/>
          <w:lang w:val="ru-RU"/>
        </w:rPr>
        <w:t xml:space="preserve">. </w:t>
      </w:r>
      <w:r w:rsidRPr="003F2DC2">
        <w:rPr>
          <w:rFonts w:eastAsia="Times New Roman" w:cs="Arial"/>
          <w:color w:val="000000"/>
          <w:szCs w:val="20"/>
          <w:lang w:eastAsia="bg-BG"/>
        </w:rPr>
        <w:t>Тези подобрения на хемодинамиката от началото на проучването са сходни със или без едновременното прилагане на епопростенол. Промените в параметрите на теста с натоварване на 12-та седмица от началото на проучването са много несигурни и не са значими.</w:t>
      </w:r>
    </w:p>
    <w:p w14:paraId="2A3C0AC6" w14:textId="77777777" w:rsidR="003F2DC2" w:rsidRPr="003F2DC2" w:rsidRDefault="003F2DC2" w:rsidP="003F2DC2">
      <w:pPr>
        <w:spacing w:line="240" w:lineRule="auto"/>
        <w:rPr>
          <w:rFonts w:eastAsia="Times New Roman" w:cs="Arial"/>
          <w:color w:val="000000"/>
          <w:szCs w:val="20"/>
          <w:lang w:val="en-US"/>
        </w:rPr>
      </w:pPr>
    </w:p>
    <w:p w14:paraId="38416E10" w14:textId="45E98264"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val="en-US"/>
        </w:rPr>
        <w:t>FUTURE</w:t>
      </w:r>
      <w:r w:rsidRPr="003F2DC2">
        <w:rPr>
          <w:rFonts w:eastAsia="Times New Roman" w:cs="Arial"/>
          <w:color w:val="000000"/>
          <w:szCs w:val="20"/>
          <w:lang w:val="ru-RU"/>
        </w:rPr>
        <w:t xml:space="preserve"> </w:t>
      </w:r>
      <w:r w:rsidRPr="003F2DC2">
        <w:rPr>
          <w:rFonts w:eastAsia="Times New Roman" w:cs="Arial"/>
          <w:color w:val="000000"/>
          <w:szCs w:val="20"/>
          <w:lang w:eastAsia="bg-BG"/>
        </w:rPr>
        <w:t>1/2 (АС-052-365/АС-052-367)</w:t>
      </w:r>
    </w:p>
    <w:p w14:paraId="41283E58" w14:textId="77777777"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val="en-US"/>
        </w:rPr>
        <w:t>FUTURE</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1 е отворено, неконтролирано проучване, проведено с разтворими таблетки бозентан, приложени с поддържаща доза 4 </w:t>
      </w:r>
      <w:r w:rsidRPr="003F2DC2">
        <w:rPr>
          <w:rFonts w:eastAsia="Times New Roman" w:cs="Arial"/>
          <w:color w:val="000000"/>
          <w:szCs w:val="20"/>
          <w:lang w:val="en-US"/>
        </w:rPr>
        <w:t>mg</w:t>
      </w:r>
      <w:r w:rsidRPr="003F2DC2">
        <w:rPr>
          <w:rFonts w:eastAsia="Times New Roman" w:cs="Arial"/>
          <w:color w:val="000000"/>
          <w:szCs w:val="20"/>
          <w:lang w:val="ru-RU"/>
        </w:rPr>
        <w:t>/</w:t>
      </w:r>
      <w:r w:rsidRPr="003F2DC2">
        <w:rPr>
          <w:rFonts w:eastAsia="Times New Roman" w:cs="Arial"/>
          <w:color w:val="000000"/>
          <w:szCs w:val="20"/>
          <w:lang w:val="en-US"/>
        </w:rPr>
        <w:t>kg</w:t>
      </w:r>
      <w:r w:rsidRPr="003F2DC2">
        <w:rPr>
          <w:rFonts w:eastAsia="Times New Roman" w:cs="Arial"/>
          <w:color w:val="000000"/>
          <w:szCs w:val="20"/>
          <w:lang w:val="ru-RU"/>
        </w:rPr>
        <w:t xml:space="preserve"> </w:t>
      </w:r>
      <w:r w:rsidRPr="003F2DC2">
        <w:rPr>
          <w:rFonts w:eastAsia="Times New Roman" w:cs="Arial"/>
          <w:color w:val="000000"/>
          <w:szCs w:val="20"/>
          <w:lang w:eastAsia="bg-BG"/>
        </w:rPr>
        <w:t>два пъти дневно на 36 пациенти на възраст от 2 до 11 години. Това проучване е създадено предимно като фармакокинетично проучване (вж. точка 5.2). На изходното ниво, пациентите са имали идиопатична (31 пациенти [86%]) или фамилна (5 пациенти [14%]) БАХ и функционален клас II, според класификацията на СЗО (</w:t>
      </w:r>
      <w:r w:rsidRPr="003F2DC2">
        <w:rPr>
          <w:rFonts w:eastAsia="Times New Roman" w:cs="Arial"/>
          <w:color w:val="000000"/>
          <w:szCs w:val="20"/>
          <w:lang w:val="en-US"/>
        </w:rPr>
        <w:t>n</w:t>
      </w:r>
      <w:r w:rsidRPr="003F2DC2">
        <w:rPr>
          <w:rFonts w:eastAsia="Times New Roman" w:cs="Arial"/>
          <w:color w:val="000000"/>
          <w:szCs w:val="20"/>
          <w:lang w:eastAsia="bg-BG"/>
        </w:rPr>
        <w:t xml:space="preserve"> = 23, 64%) или клас </w:t>
      </w:r>
      <w:r w:rsidRPr="003F2DC2">
        <w:rPr>
          <w:rFonts w:eastAsia="Times New Roman" w:cs="Arial"/>
          <w:color w:val="000000"/>
          <w:szCs w:val="20"/>
          <w:lang w:val="en-US"/>
        </w:rPr>
        <w:t>III</w:t>
      </w:r>
      <w:r w:rsidRPr="003F2DC2">
        <w:rPr>
          <w:rFonts w:eastAsia="Times New Roman" w:cs="Arial"/>
          <w:color w:val="000000"/>
          <w:szCs w:val="20"/>
          <w:lang w:val="ru-RU"/>
        </w:rPr>
        <w:t xml:space="preserve"> (</w:t>
      </w:r>
      <w:r w:rsidRPr="003F2DC2">
        <w:rPr>
          <w:rFonts w:eastAsia="Times New Roman" w:cs="Arial"/>
          <w:color w:val="000000"/>
          <w:szCs w:val="20"/>
          <w:lang w:val="en-US"/>
        </w:rPr>
        <w:t>n</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 13, 36%). При проучването </w:t>
      </w:r>
      <w:r w:rsidRPr="003F2DC2">
        <w:rPr>
          <w:rFonts w:eastAsia="Times New Roman" w:cs="Arial"/>
          <w:color w:val="000000"/>
          <w:szCs w:val="20"/>
          <w:lang w:val="en-US"/>
        </w:rPr>
        <w:t>FUTURE</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1, медианата на експозиция на проучваното лечение е била 13,1 седмици (диапазон: 8,4 до 21,1). 33 от тези пациенти са получили продължително лечение с диспергиращи се таблетки бозентан с доза 4 </w:t>
      </w:r>
      <w:r w:rsidRPr="003F2DC2">
        <w:rPr>
          <w:rFonts w:eastAsia="Times New Roman" w:cs="Arial"/>
          <w:color w:val="000000"/>
          <w:szCs w:val="20"/>
          <w:lang w:val="en-US"/>
        </w:rPr>
        <w:t>mg</w:t>
      </w:r>
      <w:r w:rsidRPr="003F2DC2">
        <w:rPr>
          <w:rFonts w:eastAsia="Times New Roman" w:cs="Arial"/>
          <w:color w:val="000000"/>
          <w:szCs w:val="20"/>
          <w:lang w:val="ru-RU"/>
        </w:rPr>
        <w:t>/</w:t>
      </w:r>
      <w:r w:rsidRPr="003F2DC2">
        <w:rPr>
          <w:rFonts w:eastAsia="Times New Roman" w:cs="Arial"/>
          <w:color w:val="000000"/>
          <w:szCs w:val="20"/>
          <w:lang w:val="en-US"/>
        </w:rPr>
        <w:t>kg</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два пъти дневно по време на </w:t>
      </w:r>
      <w:r w:rsidRPr="003F2DC2">
        <w:rPr>
          <w:rFonts w:eastAsia="Times New Roman" w:cs="Arial"/>
          <w:color w:val="000000"/>
          <w:szCs w:val="20"/>
          <w:lang w:val="en-US"/>
        </w:rPr>
        <w:t>FUTURE</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2 неконтролирана фаза на продължение с медиана на продължителност на цялостното лечение 2,3 години (диапазон: 0,2 до 5,0 години). На изходното ниво при </w:t>
      </w:r>
      <w:r w:rsidRPr="003F2DC2">
        <w:rPr>
          <w:rFonts w:eastAsia="Times New Roman" w:cs="Arial"/>
          <w:color w:val="000000"/>
          <w:szCs w:val="20"/>
          <w:lang w:val="en-US"/>
        </w:rPr>
        <w:t>FUTURE</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1, 9 пациенти са приемали епопростенол. 9 пациенти са започнали за пръв път БАХ-специфично лечение по време на проучването. Оценката по </w:t>
      </w:r>
      <w:r w:rsidRPr="003F2DC2">
        <w:rPr>
          <w:rFonts w:eastAsia="Times New Roman" w:cs="Arial"/>
          <w:color w:val="000000"/>
          <w:szCs w:val="20"/>
          <w:lang w:val="en-US"/>
        </w:rPr>
        <w:t>Kaplan</w:t>
      </w:r>
      <w:r w:rsidRPr="003F2DC2">
        <w:rPr>
          <w:rFonts w:eastAsia="Times New Roman" w:cs="Arial"/>
          <w:color w:val="000000"/>
          <w:szCs w:val="20"/>
          <w:lang w:val="ru-RU"/>
        </w:rPr>
        <w:t xml:space="preserve">- </w:t>
      </w:r>
      <w:r w:rsidRPr="003F2DC2">
        <w:rPr>
          <w:rFonts w:eastAsia="Times New Roman" w:cs="Arial"/>
          <w:color w:val="000000"/>
          <w:szCs w:val="20"/>
          <w:lang w:val="en-US"/>
        </w:rPr>
        <w:t>Meier</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за влошаване на БАХ без събития (смърт, трансплантация на бял дроб или хоспитализация за влошаване на БАХ) след 2 години е 78,9%. Цялостната оценка за обща преживяемост по </w:t>
      </w:r>
      <w:r w:rsidRPr="003F2DC2">
        <w:rPr>
          <w:rFonts w:eastAsia="Times New Roman" w:cs="Arial"/>
          <w:color w:val="000000"/>
          <w:szCs w:val="20"/>
          <w:lang w:val="en-US"/>
        </w:rPr>
        <w:t>Kaplan</w:t>
      </w:r>
      <w:r w:rsidRPr="003F2DC2">
        <w:rPr>
          <w:rFonts w:eastAsia="Times New Roman" w:cs="Arial"/>
          <w:color w:val="000000"/>
          <w:szCs w:val="20"/>
          <w:lang w:val="ru-RU"/>
        </w:rPr>
        <w:t>-</w:t>
      </w:r>
      <w:r w:rsidRPr="003F2DC2">
        <w:rPr>
          <w:rFonts w:eastAsia="Times New Roman" w:cs="Arial"/>
          <w:color w:val="000000"/>
          <w:szCs w:val="20"/>
          <w:lang w:val="en-US"/>
        </w:rPr>
        <w:t>Meier</w:t>
      </w:r>
      <w:r w:rsidRPr="003F2DC2">
        <w:rPr>
          <w:rFonts w:eastAsia="Times New Roman" w:cs="Arial"/>
          <w:color w:val="000000"/>
          <w:szCs w:val="20"/>
          <w:lang w:val="ru-RU"/>
        </w:rPr>
        <w:t xml:space="preserve"> </w:t>
      </w:r>
      <w:r w:rsidRPr="003F2DC2">
        <w:rPr>
          <w:rFonts w:eastAsia="Times New Roman" w:cs="Arial"/>
          <w:color w:val="000000"/>
          <w:szCs w:val="20"/>
          <w:lang w:eastAsia="bg-BG"/>
        </w:rPr>
        <w:t>на 2 години е 91,2%.</w:t>
      </w:r>
    </w:p>
    <w:p w14:paraId="0B823C3D" w14:textId="77777777" w:rsidR="003F2DC2" w:rsidRPr="003F2DC2" w:rsidRDefault="003F2DC2" w:rsidP="003F2DC2">
      <w:pPr>
        <w:spacing w:line="240" w:lineRule="auto"/>
        <w:rPr>
          <w:rFonts w:eastAsia="Times New Roman" w:cs="Arial"/>
          <w:color w:val="000000"/>
          <w:szCs w:val="20"/>
          <w:lang w:val="en-US"/>
        </w:rPr>
      </w:pPr>
    </w:p>
    <w:p w14:paraId="3FEC98B9" w14:textId="7FF595D6"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val="en-US"/>
        </w:rPr>
        <w:t>FUTURE</w:t>
      </w:r>
      <w:r w:rsidRPr="003F2DC2">
        <w:rPr>
          <w:rFonts w:eastAsia="Times New Roman" w:cs="Arial"/>
          <w:color w:val="000000"/>
          <w:szCs w:val="20"/>
          <w:lang w:val="ru-RU"/>
        </w:rPr>
        <w:t xml:space="preserve"> </w:t>
      </w:r>
      <w:r w:rsidRPr="003F2DC2">
        <w:rPr>
          <w:rFonts w:eastAsia="Times New Roman" w:cs="Arial"/>
          <w:color w:val="000000"/>
          <w:szCs w:val="20"/>
          <w:lang w:eastAsia="bg-BG"/>
        </w:rPr>
        <w:t>3 (АС-052-373)</w:t>
      </w:r>
    </w:p>
    <w:p w14:paraId="72ABDA7A" w14:textId="77777777"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 xml:space="preserve">При това отворено, рандомизирано проучване с диспергиращи се таблетки бозентан 32 </w:t>
      </w:r>
      <w:r w:rsidRPr="003F2DC2">
        <w:rPr>
          <w:rFonts w:eastAsia="Times New Roman" w:cs="Arial"/>
          <w:color w:val="000000"/>
          <w:szCs w:val="20"/>
          <w:lang w:val="en-US"/>
        </w:rPr>
        <w:t>mg</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64 деца със стабилна БАХ на възраст от 3 месеца до 11 години са били рандомизирани на 24 седмици лечение с бозентан 2 </w:t>
      </w:r>
      <w:r w:rsidRPr="003F2DC2">
        <w:rPr>
          <w:rFonts w:eastAsia="Times New Roman" w:cs="Arial"/>
          <w:color w:val="000000"/>
          <w:szCs w:val="20"/>
          <w:lang w:val="en-US"/>
        </w:rPr>
        <w:t>mg</w:t>
      </w:r>
      <w:r w:rsidRPr="003F2DC2">
        <w:rPr>
          <w:rFonts w:eastAsia="Times New Roman" w:cs="Arial"/>
          <w:color w:val="000000"/>
          <w:szCs w:val="20"/>
          <w:lang w:val="ru-RU"/>
        </w:rPr>
        <w:t>/</w:t>
      </w:r>
      <w:r w:rsidRPr="003F2DC2">
        <w:rPr>
          <w:rFonts w:eastAsia="Times New Roman" w:cs="Arial"/>
          <w:color w:val="000000"/>
          <w:szCs w:val="20"/>
          <w:lang w:val="en-US"/>
        </w:rPr>
        <w:t>kg</w:t>
      </w:r>
      <w:r w:rsidRPr="003F2DC2">
        <w:rPr>
          <w:rFonts w:eastAsia="Times New Roman" w:cs="Arial"/>
          <w:color w:val="000000"/>
          <w:szCs w:val="20"/>
          <w:lang w:val="ru-RU"/>
        </w:rPr>
        <w:t xml:space="preserve"> </w:t>
      </w:r>
      <w:r w:rsidRPr="003F2DC2">
        <w:rPr>
          <w:rFonts w:eastAsia="Times New Roman" w:cs="Arial"/>
          <w:color w:val="000000"/>
          <w:szCs w:val="20"/>
          <w:lang w:eastAsia="bg-BG"/>
        </w:rPr>
        <w:t>два пъти дневно (</w:t>
      </w:r>
      <w:r w:rsidRPr="003F2DC2">
        <w:rPr>
          <w:rFonts w:eastAsia="Times New Roman" w:cs="Arial"/>
          <w:color w:val="000000"/>
          <w:szCs w:val="20"/>
          <w:lang w:val="en-US"/>
        </w:rPr>
        <w:t>n</w:t>
      </w:r>
      <w:r w:rsidRPr="003F2DC2">
        <w:rPr>
          <w:rFonts w:eastAsia="Times New Roman" w:cs="Arial"/>
          <w:color w:val="000000"/>
          <w:szCs w:val="20"/>
          <w:lang w:eastAsia="bg-BG"/>
        </w:rPr>
        <w:t xml:space="preserve"> = 33) или 2 </w:t>
      </w:r>
      <w:r w:rsidRPr="003F2DC2">
        <w:rPr>
          <w:rFonts w:eastAsia="Times New Roman" w:cs="Arial"/>
          <w:color w:val="000000"/>
          <w:szCs w:val="20"/>
          <w:lang w:val="en-US"/>
        </w:rPr>
        <w:t>mg</w:t>
      </w:r>
      <w:r w:rsidRPr="003F2DC2">
        <w:rPr>
          <w:rFonts w:eastAsia="Times New Roman" w:cs="Arial"/>
          <w:color w:val="000000"/>
          <w:szCs w:val="20"/>
          <w:lang w:val="ru-RU"/>
        </w:rPr>
        <w:t>/</w:t>
      </w:r>
      <w:r w:rsidRPr="003F2DC2">
        <w:rPr>
          <w:rFonts w:eastAsia="Times New Roman" w:cs="Arial"/>
          <w:color w:val="000000"/>
          <w:szCs w:val="20"/>
          <w:lang w:val="en-US"/>
        </w:rPr>
        <w:t>kg</w:t>
      </w:r>
      <w:r w:rsidRPr="003F2DC2">
        <w:rPr>
          <w:rFonts w:eastAsia="Times New Roman" w:cs="Arial"/>
          <w:color w:val="000000"/>
          <w:szCs w:val="20"/>
          <w:lang w:val="ru-RU"/>
        </w:rPr>
        <w:t xml:space="preserve"> </w:t>
      </w:r>
      <w:r w:rsidRPr="003F2DC2">
        <w:rPr>
          <w:rFonts w:eastAsia="Times New Roman" w:cs="Arial"/>
          <w:color w:val="000000"/>
          <w:szCs w:val="20"/>
          <w:lang w:eastAsia="bg-BG"/>
        </w:rPr>
        <w:t>три пъти дневно (</w:t>
      </w:r>
      <w:r w:rsidRPr="003F2DC2">
        <w:rPr>
          <w:rFonts w:eastAsia="Times New Roman" w:cs="Arial"/>
          <w:color w:val="000000"/>
          <w:szCs w:val="20"/>
          <w:lang w:val="en-US"/>
        </w:rPr>
        <w:t>n</w:t>
      </w:r>
      <w:r w:rsidRPr="003F2DC2">
        <w:rPr>
          <w:rFonts w:eastAsia="Times New Roman" w:cs="Arial"/>
          <w:color w:val="000000"/>
          <w:szCs w:val="20"/>
          <w:lang w:eastAsia="bg-BG"/>
        </w:rPr>
        <w:t xml:space="preserve"> = 31). 43 (67,2%) са били на възраст от ≥ 2 до 11 години, 15 (23,4%) са били между 1 и 2 години, и 6 (9,4%) са били между 3 месеца и 1 година. Проучването е създадено предимно като фармакокинетично проучване (вж. точка 5.2). и крайните точки на ефикасност са само експлораторни. Етиологията на БАХ, според класификацията </w:t>
      </w:r>
      <w:r w:rsidRPr="003F2DC2">
        <w:rPr>
          <w:rFonts w:eastAsia="Times New Roman" w:cs="Arial"/>
          <w:color w:val="000000"/>
          <w:szCs w:val="20"/>
          <w:lang w:val="en-US"/>
        </w:rPr>
        <w:t>Dana</w:t>
      </w:r>
      <w:r w:rsidRPr="003F2DC2">
        <w:rPr>
          <w:rFonts w:eastAsia="Times New Roman" w:cs="Arial"/>
          <w:color w:val="000000"/>
          <w:szCs w:val="20"/>
        </w:rPr>
        <w:t xml:space="preserve"> </w:t>
      </w:r>
      <w:r w:rsidRPr="003F2DC2">
        <w:rPr>
          <w:rFonts w:eastAsia="Times New Roman" w:cs="Arial"/>
          <w:color w:val="000000"/>
          <w:szCs w:val="20"/>
          <w:lang w:val="en-US"/>
        </w:rPr>
        <w:t>Point</w:t>
      </w:r>
      <w:r w:rsidRPr="003F2DC2">
        <w:rPr>
          <w:rFonts w:eastAsia="Times New Roman" w:cs="Arial"/>
          <w:color w:val="000000"/>
          <w:szCs w:val="20"/>
        </w:rPr>
        <w:t xml:space="preserve">, </w:t>
      </w:r>
      <w:r w:rsidRPr="003F2DC2">
        <w:rPr>
          <w:rFonts w:eastAsia="Times New Roman" w:cs="Arial"/>
          <w:color w:val="000000"/>
          <w:szCs w:val="20"/>
          <w:lang w:eastAsia="bg-BG"/>
        </w:rPr>
        <w:t xml:space="preserve">включва идиопатична БАХ (46%), наследствена БАХ (3%), БАХ след корективна сърдечна интервенция (38%) и БАХпри вродено сърдечно заболяване свързана със системно-пулмонални шънтове, включително синдрома на </w:t>
      </w:r>
      <w:r w:rsidRPr="003F2DC2">
        <w:rPr>
          <w:rFonts w:eastAsia="Times New Roman" w:cs="Arial"/>
          <w:color w:val="000000"/>
          <w:szCs w:val="20"/>
          <w:lang w:val="en-US"/>
        </w:rPr>
        <w:t>Eisenmenger</w:t>
      </w:r>
      <w:r w:rsidRPr="003F2DC2">
        <w:rPr>
          <w:rFonts w:eastAsia="Times New Roman" w:cs="Arial"/>
          <w:color w:val="000000"/>
          <w:szCs w:val="20"/>
        </w:rPr>
        <w:t xml:space="preserve"> </w:t>
      </w:r>
      <w:r w:rsidRPr="003F2DC2">
        <w:rPr>
          <w:rFonts w:eastAsia="Times New Roman" w:cs="Arial"/>
          <w:color w:val="000000"/>
          <w:szCs w:val="20"/>
          <w:lang w:eastAsia="bg-BG"/>
        </w:rPr>
        <w:t>(13%). Пациентите са с функционален клас I, според класификацията на СЗО (</w:t>
      </w:r>
      <w:r w:rsidRPr="003F2DC2">
        <w:rPr>
          <w:rFonts w:eastAsia="Times New Roman" w:cs="Arial"/>
          <w:color w:val="000000"/>
          <w:szCs w:val="20"/>
          <w:lang w:val="en-US"/>
        </w:rPr>
        <w:t>n</w:t>
      </w:r>
      <w:r w:rsidRPr="003F2DC2">
        <w:rPr>
          <w:rFonts w:eastAsia="Times New Roman" w:cs="Arial"/>
          <w:color w:val="000000"/>
          <w:szCs w:val="20"/>
          <w:lang w:eastAsia="bg-BG"/>
        </w:rPr>
        <w:t xml:space="preserve"> = 19, 29 %), клас II (</w:t>
      </w:r>
      <w:r w:rsidRPr="003F2DC2">
        <w:rPr>
          <w:rFonts w:eastAsia="Times New Roman" w:cs="Arial"/>
          <w:color w:val="000000"/>
          <w:szCs w:val="20"/>
          <w:lang w:val="en-US"/>
        </w:rPr>
        <w:t>n</w:t>
      </w:r>
      <w:r w:rsidRPr="003F2DC2">
        <w:rPr>
          <w:rFonts w:eastAsia="Times New Roman" w:cs="Arial"/>
          <w:color w:val="000000"/>
          <w:szCs w:val="20"/>
          <w:lang w:eastAsia="bg-BG"/>
        </w:rPr>
        <w:t xml:space="preserve"> = 27, 42%) или клас III (</w:t>
      </w:r>
      <w:r w:rsidRPr="003F2DC2">
        <w:rPr>
          <w:rFonts w:eastAsia="Times New Roman" w:cs="Arial"/>
          <w:color w:val="000000"/>
          <w:szCs w:val="20"/>
          <w:lang w:val="en-US"/>
        </w:rPr>
        <w:t>n</w:t>
      </w:r>
      <w:r w:rsidRPr="003F2DC2">
        <w:rPr>
          <w:rFonts w:eastAsia="Times New Roman" w:cs="Arial"/>
          <w:color w:val="000000"/>
          <w:szCs w:val="20"/>
          <w:lang w:eastAsia="bg-BG"/>
        </w:rPr>
        <w:t xml:space="preserve"> = 18,28%) при започване на проучваната терапия. При започване на проучването, пациентите са лекувани с лекарства за БАХ (най-често само с инхибитор на фосфодиестераза тип 5 [силденафил][35,9%], само с бозентан [10,9%] и с комбинация от бозентан, илопрост и силденафил при 10,9% от пациентите) и са продължили терапията си за БАХ по време на проучването.</w:t>
      </w:r>
    </w:p>
    <w:p w14:paraId="617EB5F5" w14:textId="77777777" w:rsidR="003F2DC2" w:rsidRPr="003F2DC2" w:rsidRDefault="003F2DC2" w:rsidP="003F2DC2">
      <w:pPr>
        <w:spacing w:line="240" w:lineRule="auto"/>
        <w:rPr>
          <w:rFonts w:eastAsia="Times New Roman" w:cs="Arial"/>
          <w:sz w:val="28"/>
          <w:szCs w:val="24"/>
        </w:rPr>
      </w:pPr>
    </w:p>
    <w:p w14:paraId="331F9FC1" w14:textId="77777777"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lastRenderedPageBreak/>
        <w:t xml:space="preserve">При започване на проучването, по-малко от половината участващи пациенти (45,3% = (29/64]) са приемали само бозентан без да е комбиниран с друго лекарство за БАХ. 40,6% (26/64) са останали на монотерапия с бозентан по време на 24-те седмици на проучваното лечение без да получат влошаване на БАХ. Анализът включващ цялата популация (64 пациенти) показва, че по-голямата част са останали поне стабилни (т.е., без влошаване) въз основа на непедиатрично специфична оценка на функционален клас, според класификацията на СЗО (97% два пъти дневно, 100% три пъти дневно) и общата клинична оценка на лекарите (94% два пъти дневно, 93% три пъти дневно) по време на периода на лечение. Оценката по </w:t>
      </w:r>
      <w:r w:rsidRPr="003F2DC2">
        <w:rPr>
          <w:rFonts w:eastAsia="Times New Roman" w:cs="Arial"/>
          <w:color w:val="000000"/>
          <w:szCs w:val="20"/>
          <w:lang w:val="en-US"/>
        </w:rPr>
        <w:t>Kaplan</w:t>
      </w:r>
      <w:r w:rsidRPr="003F2DC2">
        <w:rPr>
          <w:rFonts w:eastAsia="Times New Roman" w:cs="Arial"/>
          <w:color w:val="000000"/>
          <w:szCs w:val="20"/>
          <w:lang w:val="ru-RU"/>
        </w:rPr>
        <w:t>-</w:t>
      </w:r>
      <w:r w:rsidRPr="003F2DC2">
        <w:rPr>
          <w:rFonts w:eastAsia="Times New Roman" w:cs="Arial"/>
          <w:color w:val="000000"/>
          <w:szCs w:val="20"/>
          <w:lang w:val="en-US"/>
        </w:rPr>
        <w:t>Meier</w:t>
      </w:r>
      <w:r w:rsidRPr="003F2DC2">
        <w:rPr>
          <w:rFonts w:eastAsia="Times New Roman" w:cs="Arial"/>
          <w:color w:val="000000"/>
          <w:szCs w:val="20"/>
          <w:lang w:val="ru-RU"/>
        </w:rPr>
        <w:t xml:space="preserve"> </w:t>
      </w:r>
      <w:r w:rsidRPr="003F2DC2">
        <w:rPr>
          <w:rFonts w:eastAsia="Times New Roman" w:cs="Arial"/>
          <w:color w:val="000000"/>
          <w:szCs w:val="20"/>
          <w:lang w:eastAsia="bg-BG"/>
        </w:rPr>
        <w:t>за влошаване на БАХ без нежелани събития (смърт, трансплантация на бял дроб или хоспитализация заради влошаване на БАХ) след 24 седмици е съответно 96,9% и 96.7% в групите два пъти дневно и три пъти дневно.</w:t>
      </w:r>
    </w:p>
    <w:p w14:paraId="5F4089ED" w14:textId="77777777"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 xml:space="preserve">Няма данни за клинична полза при прилагане на 2 </w:t>
      </w:r>
      <w:r w:rsidRPr="003F2DC2">
        <w:rPr>
          <w:rFonts w:eastAsia="Times New Roman" w:cs="Arial"/>
          <w:color w:val="000000"/>
          <w:szCs w:val="20"/>
          <w:lang w:val="en-US"/>
        </w:rPr>
        <w:t>mg</w:t>
      </w:r>
      <w:r w:rsidRPr="003F2DC2">
        <w:rPr>
          <w:rFonts w:eastAsia="Times New Roman" w:cs="Arial"/>
          <w:color w:val="000000"/>
          <w:szCs w:val="20"/>
          <w:lang w:val="ru-RU"/>
        </w:rPr>
        <w:t>/</w:t>
      </w:r>
      <w:r w:rsidRPr="003F2DC2">
        <w:rPr>
          <w:rFonts w:eastAsia="Times New Roman" w:cs="Arial"/>
          <w:color w:val="000000"/>
          <w:szCs w:val="20"/>
          <w:lang w:val="en-US"/>
        </w:rPr>
        <w:t>kg</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три пъти дневно в сравнение с 2 </w:t>
      </w:r>
      <w:r w:rsidRPr="003F2DC2">
        <w:rPr>
          <w:rFonts w:eastAsia="Times New Roman" w:cs="Arial"/>
          <w:color w:val="000000"/>
          <w:szCs w:val="20"/>
          <w:lang w:val="en-US"/>
        </w:rPr>
        <w:t>mg</w:t>
      </w:r>
      <w:r w:rsidRPr="003F2DC2">
        <w:rPr>
          <w:rFonts w:eastAsia="Times New Roman" w:cs="Arial"/>
          <w:color w:val="000000"/>
          <w:szCs w:val="20"/>
          <w:lang w:val="ru-RU"/>
        </w:rPr>
        <w:t>/</w:t>
      </w:r>
      <w:r w:rsidRPr="003F2DC2">
        <w:rPr>
          <w:rFonts w:eastAsia="Times New Roman" w:cs="Arial"/>
          <w:color w:val="000000"/>
          <w:szCs w:val="20"/>
          <w:lang w:val="en-US"/>
        </w:rPr>
        <w:t>kg</w:t>
      </w:r>
      <w:r w:rsidRPr="003F2DC2">
        <w:rPr>
          <w:rFonts w:eastAsia="Times New Roman" w:cs="Arial"/>
          <w:color w:val="000000"/>
          <w:szCs w:val="20"/>
          <w:lang w:val="ru-RU"/>
        </w:rPr>
        <w:t xml:space="preserve"> </w:t>
      </w:r>
      <w:r w:rsidRPr="003F2DC2">
        <w:rPr>
          <w:rFonts w:eastAsia="Times New Roman" w:cs="Arial"/>
          <w:color w:val="000000"/>
          <w:szCs w:val="20"/>
          <w:lang w:eastAsia="bg-BG"/>
        </w:rPr>
        <w:t>два пъти дневно.</w:t>
      </w:r>
    </w:p>
    <w:p w14:paraId="56B25A67" w14:textId="77777777" w:rsidR="003F2DC2" w:rsidRPr="003F2DC2" w:rsidRDefault="003F2DC2" w:rsidP="003F2DC2">
      <w:pPr>
        <w:spacing w:line="240" w:lineRule="auto"/>
        <w:rPr>
          <w:rFonts w:eastAsia="Times New Roman" w:cs="Arial"/>
          <w:i/>
          <w:iCs/>
          <w:color w:val="000000"/>
          <w:szCs w:val="20"/>
          <w:lang w:eastAsia="bg-BG"/>
        </w:rPr>
      </w:pPr>
    </w:p>
    <w:p w14:paraId="49F828A2" w14:textId="4B42A4A0" w:rsidR="003F2DC2" w:rsidRPr="003F2DC2" w:rsidRDefault="003F2DC2" w:rsidP="003F2DC2">
      <w:pPr>
        <w:spacing w:line="240" w:lineRule="auto"/>
        <w:rPr>
          <w:rFonts w:eastAsia="Times New Roman" w:cs="Arial"/>
          <w:sz w:val="28"/>
          <w:szCs w:val="24"/>
        </w:rPr>
      </w:pPr>
      <w:r w:rsidRPr="003F2DC2">
        <w:rPr>
          <w:rFonts w:eastAsia="Times New Roman" w:cs="Arial"/>
          <w:i/>
          <w:iCs/>
          <w:color w:val="000000"/>
          <w:szCs w:val="20"/>
          <w:lang w:eastAsia="bg-BG"/>
        </w:rPr>
        <w:t>Проучване, проведено при новородени с персистираща белодробна хипертония на новороденото (ППХН):</w:t>
      </w:r>
    </w:p>
    <w:p w14:paraId="503B9908" w14:textId="77777777"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val="en-US"/>
        </w:rPr>
        <w:t>FUTURE</w:t>
      </w:r>
      <w:r w:rsidRPr="003F2DC2">
        <w:rPr>
          <w:rFonts w:eastAsia="Times New Roman" w:cs="Arial"/>
          <w:color w:val="000000"/>
          <w:szCs w:val="20"/>
          <w:lang w:val="ru-RU"/>
        </w:rPr>
        <w:t xml:space="preserve"> </w:t>
      </w:r>
      <w:r w:rsidRPr="003F2DC2">
        <w:rPr>
          <w:rFonts w:eastAsia="Times New Roman" w:cs="Arial"/>
          <w:color w:val="000000"/>
          <w:szCs w:val="20"/>
          <w:lang w:eastAsia="bg-BG"/>
        </w:rPr>
        <w:t>4 (АС-052-391)</w:t>
      </w:r>
    </w:p>
    <w:p w14:paraId="196A9B01" w14:textId="77777777"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 xml:space="preserve">Това е двойносляпо, плацебо-контролирано, рандомизирано проучване при доносени и недоносени новородени (гестационна възраст 36-42 седмици) с ППХН. Пациентите със субоптимален отговор на инхалаторен азотен оксид </w:t>
      </w:r>
      <w:r w:rsidRPr="003F2DC2">
        <w:rPr>
          <w:rFonts w:eastAsia="Times New Roman" w:cs="Arial"/>
          <w:color w:val="000000"/>
          <w:szCs w:val="20"/>
          <w:lang w:val="ru-RU"/>
        </w:rPr>
        <w:t>(</w:t>
      </w:r>
      <w:r w:rsidRPr="003F2DC2">
        <w:rPr>
          <w:rFonts w:eastAsia="Times New Roman" w:cs="Arial"/>
          <w:color w:val="000000"/>
          <w:szCs w:val="20"/>
          <w:lang w:val="en-US"/>
        </w:rPr>
        <w:t>iNO</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въпреки най-малко 4 часа продължително лечение, са лекувани с диспергиращи се таблетки бозентан 2 </w:t>
      </w:r>
      <w:r w:rsidRPr="003F2DC2">
        <w:rPr>
          <w:rFonts w:eastAsia="Times New Roman" w:cs="Arial"/>
          <w:color w:val="000000"/>
          <w:szCs w:val="20"/>
          <w:lang w:val="en-US"/>
        </w:rPr>
        <w:t>mg</w:t>
      </w:r>
      <w:r w:rsidRPr="003F2DC2">
        <w:rPr>
          <w:rFonts w:eastAsia="Times New Roman" w:cs="Arial"/>
          <w:color w:val="000000"/>
          <w:szCs w:val="20"/>
          <w:lang w:val="ru-RU"/>
        </w:rPr>
        <w:t>/</w:t>
      </w:r>
      <w:r w:rsidRPr="003F2DC2">
        <w:rPr>
          <w:rFonts w:eastAsia="Times New Roman" w:cs="Arial"/>
          <w:color w:val="000000"/>
          <w:szCs w:val="20"/>
          <w:lang w:val="en-US"/>
        </w:rPr>
        <w:t>kg</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два пъти дневно </w:t>
      </w:r>
      <w:r w:rsidRPr="003F2DC2">
        <w:rPr>
          <w:rFonts w:eastAsia="Times New Roman" w:cs="Arial"/>
          <w:color w:val="000000"/>
          <w:szCs w:val="20"/>
          <w:lang w:val="ru-RU"/>
        </w:rPr>
        <w:t>(</w:t>
      </w:r>
      <w:r w:rsidRPr="003F2DC2">
        <w:rPr>
          <w:rFonts w:eastAsia="Times New Roman" w:cs="Arial"/>
          <w:color w:val="000000"/>
          <w:szCs w:val="20"/>
          <w:lang w:val="en-US"/>
        </w:rPr>
        <w:t>N</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 13) или плацебо </w:t>
      </w:r>
      <w:r w:rsidRPr="003F2DC2">
        <w:rPr>
          <w:rFonts w:eastAsia="Times New Roman" w:cs="Arial"/>
          <w:color w:val="000000"/>
          <w:szCs w:val="20"/>
          <w:lang w:val="ru-RU"/>
        </w:rPr>
        <w:t>(</w:t>
      </w:r>
      <w:r w:rsidRPr="003F2DC2">
        <w:rPr>
          <w:rFonts w:eastAsia="Times New Roman" w:cs="Arial"/>
          <w:color w:val="000000"/>
          <w:szCs w:val="20"/>
          <w:lang w:val="en-US"/>
        </w:rPr>
        <w:t>N</w:t>
      </w:r>
      <w:r w:rsidRPr="003F2DC2">
        <w:rPr>
          <w:rFonts w:eastAsia="Times New Roman" w:cs="Arial"/>
          <w:color w:val="000000"/>
          <w:szCs w:val="20"/>
          <w:lang w:val="ru-RU"/>
        </w:rPr>
        <w:t xml:space="preserve"> </w:t>
      </w:r>
      <w:r w:rsidRPr="003F2DC2">
        <w:rPr>
          <w:rFonts w:eastAsia="Times New Roman" w:cs="Arial"/>
          <w:i/>
          <w:iCs/>
          <w:color w:val="000000"/>
          <w:szCs w:val="20"/>
          <w:lang w:eastAsia="bg-BG"/>
        </w:rPr>
        <w:t>= 8)</w:t>
      </w:r>
      <w:r w:rsidRPr="003F2DC2">
        <w:rPr>
          <w:rFonts w:eastAsia="Times New Roman" w:cs="Arial"/>
          <w:color w:val="000000"/>
          <w:szCs w:val="20"/>
          <w:lang w:eastAsia="bg-BG"/>
        </w:rPr>
        <w:t xml:space="preserve"> посредством назогастрална совда, като допълнителна терапия към </w:t>
      </w:r>
      <w:r w:rsidRPr="003F2DC2">
        <w:rPr>
          <w:rFonts w:eastAsia="Times New Roman" w:cs="Arial"/>
          <w:color w:val="000000"/>
          <w:szCs w:val="20"/>
          <w:lang w:val="en-US"/>
        </w:rPr>
        <w:t>iNO</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до пълното преустановяване на </w:t>
      </w:r>
      <w:r w:rsidRPr="003F2DC2">
        <w:rPr>
          <w:rFonts w:eastAsia="Times New Roman" w:cs="Arial"/>
          <w:color w:val="000000"/>
          <w:szCs w:val="20"/>
          <w:lang w:val="en-US"/>
        </w:rPr>
        <w:t>iNO</w:t>
      </w:r>
      <w:r w:rsidRPr="003F2DC2">
        <w:rPr>
          <w:rFonts w:eastAsia="Times New Roman" w:cs="Arial"/>
          <w:color w:val="000000"/>
          <w:szCs w:val="20"/>
          <w:lang w:val="ru-RU"/>
        </w:rPr>
        <w:t xml:space="preserve"> </w:t>
      </w:r>
      <w:r w:rsidRPr="003F2DC2">
        <w:rPr>
          <w:rFonts w:eastAsia="Times New Roman" w:cs="Arial"/>
          <w:color w:val="000000"/>
          <w:szCs w:val="20"/>
          <w:lang w:eastAsia="bg-BG"/>
        </w:rPr>
        <w:t>или до неуспех на лечението (определено като необходимост от екстракорпорална мембранна оксигенация [ЕКМО] или започване на алтернативен пулмонален вазодилататор) и за не повече от 14 дни.</w:t>
      </w:r>
    </w:p>
    <w:p w14:paraId="29C939B3" w14:textId="77777777"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Медианата на експозиция на проучваното лечение е 4,5 дни (диапазон: 0,5-10,0) в групата с бозентан и 4,0 дни (диапазон: 2,5-6,5) в групата с плацебо.</w:t>
      </w:r>
    </w:p>
    <w:p w14:paraId="27B754AE" w14:textId="77777777"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Резултатите не показват допълнителна полза от бозентан при тази популация:</w:t>
      </w:r>
    </w:p>
    <w:p w14:paraId="26723693" w14:textId="77777777" w:rsidR="003F2DC2" w:rsidRPr="003F2DC2" w:rsidRDefault="003F2DC2" w:rsidP="003F2DC2">
      <w:pPr>
        <w:pStyle w:val="ListParagraph"/>
        <w:numPr>
          <w:ilvl w:val="0"/>
          <w:numId w:val="40"/>
        </w:numPr>
        <w:spacing w:line="240" w:lineRule="auto"/>
        <w:rPr>
          <w:rFonts w:eastAsia="Times New Roman" w:cs="Arial"/>
          <w:color w:val="000000"/>
          <w:szCs w:val="20"/>
          <w:lang w:eastAsia="bg-BG"/>
        </w:rPr>
      </w:pPr>
      <w:r w:rsidRPr="003F2DC2">
        <w:rPr>
          <w:rFonts w:eastAsia="Times New Roman" w:cs="Arial"/>
          <w:color w:val="000000"/>
          <w:szCs w:val="20"/>
          <w:lang w:eastAsia="bg-BG"/>
        </w:rPr>
        <w:t xml:space="preserve">Медианата на време до пълното преустановяване на </w:t>
      </w:r>
      <w:r w:rsidRPr="003F2DC2">
        <w:rPr>
          <w:rFonts w:eastAsia="Times New Roman" w:cs="Arial"/>
          <w:color w:val="000000"/>
          <w:szCs w:val="20"/>
          <w:lang w:val="en-US"/>
        </w:rPr>
        <w:t>iNO</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е 3,7 дни (95% доверителни граници </w:t>
      </w:r>
      <w:r w:rsidRPr="003F2DC2">
        <w:rPr>
          <w:rFonts w:eastAsia="Times New Roman" w:cs="Arial"/>
          <w:color w:val="000000"/>
          <w:szCs w:val="20"/>
          <w:lang w:val="ru-RU"/>
        </w:rPr>
        <w:t>[</w:t>
      </w:r>
      <w:r w:rsidRPr="003F2DC2">
        <w:rPr>
          <w:rFonts w:eastAsia="Times New Roman" w:cs="Arial"/>
          <w:color w:val="000000"/>
          <w:szCs w:val="20"/>
          <w:lang w:val="en-US"/>
        </w:rPr>
        <w:t>CLs</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1,17; 6,95) с бозентан и 2,9 дни (95% </w:t>
      </w:r>
      <w:r w:rsidRPr="003F2DC2">
        <w:rPr>
          <w:rFonts w:eastAsia="Times New Roman" w:cs="Arial"/>
          <w:color w:val="000000"/>
          <w:szCs w:val="20"/>
          <w:lang w:val="en-US"/>
        </w:rPr>
        <w:t>CLs</w:t>
      </w:r>
      <w:r w:rsidRPr="003F2DC2">
        <w:rPr>
          <w:rFonts w:eastAsia="Times New Roman" w:cs="Arial"/>
          <w:color w:val="000000"/>
          <w:szCs w:val="20"/>
          <w:lang w:val="ru-RU"/>
        </w:rPr>
        <w:t xml:space="preserve"> </w:t>
      </w:r>
      <w:r w:rsidRPr="003F2DC2">
        <w:rPr>
          <w:rFonts w:eastAsia="Times New Roman" w:cs="Arial"/>
          <w:color w:val="000000"/>
          <w:szCs w:val="20"/>
          <w:lang w:eastAsia="bg-BG"/>
        </w:rPr>
        <w:t>1,26; 4,23) с плацебо (р = 0,34).</w:t>
      </w:r>
    </w:p>
    <w:p w14:paraId="43AFE37D" w14:textId="77777777" w:rsidR="003F2DC2" w:rsidRPr="003F2DC2" w:rsidRDefault="003F2DC2" w:rsidP="003F2DC2">
      <w:pPr>
        <w:pStyle w:val="ListParagraph"/>
        <w:numPr>
          <w:ilvl w:val="0"/>
          <w:numId w:val="40"/>
        </w:numPr>
        <w:spacing w:line="240" w:lineRule="auto"/>
        <w:rPr>
          <w:rFonts w:eastAsia="Times New Roman" w:cs="Arial"/>
          <w:color w:val="000000"/>
          <w:szCs w:val="20"/>
          <w:lang w:eastAsia="bg-BG"/>
        </w:rPr>
      </w:pPr>
      <w:r w:rsidRPr="003F2DC2">
        <w:rPr>
          <w:rFonts w:eastAsia="Times New Roman" w:cs="Arial"/>
          <w:color w:val="000000"/>
          <w:szCs w:val="20"/>
          <w:lang w:eastAsia="bg-BG"/>
        </w:rPr>
        <w:t xml:space="preserve">Средното време до пълното преустановяване на механичната вентилация е 10,8 дни (95% </w:t>
      </w:r>
      <w:r w:rsidRPr="003F2DC2">
        <w:rPr>
          <w:rFonts w:eastAsia="Times New Roman" w:cs="Arial"/>
          <w:color w:val="000000"/>
          <w:szCs w:val="20"/>
          <w:lang w:val="en-US"/>
        </w:rPr>
        <w:t>CLs</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3,21; 12,21 дни) с бозентан и 8,6 дни (95% </w:t>
      </w:r>
      <w:r w:rsidRPr="003F2DC2">
        <w:rPr>
          <w:rFonts w:eastAsia="Times New Roman" w:cs="Arial"/>
          <w:color w:val="000000"/>
          <w:szCs w:val="20"/>
          <w:lang w:val="en-US"/>
        </w:rPr>
        <w:t>CLs</w:t>
      </w:r>
      <w:r w:rsidRPr="003F2DC2">
        <w:rPr>
          <w:rFonts w:eastAsia="Times New Roman" w:cs="Arial"/>
          <w:color w:val="000000"/>
          <w:szCs w:val="20"/>
          <w:lang w:val="ru-RU"/>
        </w:rPr>
        <w:t xml:space="preserve"> </w:t>
      </w:r>
      <w:r w:rsidRPr="003F2DC2">
        <w:rPr>
          <w:rFonts w:eastAsia="Times New Roman" w:cs="Arial"/>
          <w:color w:val="000000"/>
          <w:szCs w:val="20"/>
          <w:lang w:eastAsia="bg-BG"/>
        </w:rPr>
        <w:t>3,71; 9,66 дни) с плацебо (р = 0,24).</w:t>
      </w:r>
    </w:p>
    <w:p w14:paraId="2EBA7140" w14:textId="326E11DC" w:rsidR="003F2DC2" w:rsidRPr="003F2DC2" w:rsidRDefault="003F2DC2" w:rsidP="003F2DC2">
      <w:pPr>
        <w:pStyle w:val="ListParagraph"/>
        <w:numPr>
          <w:ilvl w:val="0"/>
          <w:numId w:val="40"/>
        </w:numPr>
        <w:spacing w:line="240" w:lineRule="auto"/>
        <w:rPr>
          <w:rFonts w:eastAsia="Times New Roman" w:cs="Arial"/>
          <w:color w:val="000000"/>
          <w:szCs w:val="20"/>
          <w:lang w:eastAsia="bg-BG"/>
        </w:rPr>
      </w:pPr>
      <w:r w:rsidRPr="003F2DC2">
        <w:rPr>
          <w:rFonts w:eastAsia="Times New Roman" w:cs="Arial"/>
          <w:color w:val="000000"/>
          <w:szCs w:val="20"/>
          <w:lang w:eastAsia="bg-BG"/>
        </w:rPr>
        <w:t>Един пациент в групата с бозентан е имал неуспешно лечение (нужда от ЕКМО, определено по протокол), което е обявено на базата на повишаващите се стойности на индекса на оксигенация в рамките на 8 часа след първата доза от проучваното лекарство. Този пациент се е възстановил в рамките на 60-дневния период на проследяване.</w:t>
      </w:r>
    </w:p>
    <w:p w14:paraId="0077FAC8" w14:textId="77777777" w:rsidR="003F2DC2" w:rsidRPr="003F2DC2" w:rsidRDefault="003F2DC2" w:rsidP="003F2DC2">
      <w:pPr>
        <w:spacing w:line="240" w:lineRule="auto"/>
        <w:rPr>
          <w:rFonts w:eastAsia="Times New Roman" w:cs="Arial"/>
          <w:i/>
          <w:iCs/>
          <w:color w:val="000000"/>
          <w:szCs w:val="20"/>
          <w:lang w:eastAsia="bg-BG"/>
        </w:rPr>
      </w:pPr>
    </w:p>
    <w:p w14:paraId="419775FF" w14:textId="4DB6FF96" w:rsidR="003F2DC2" w:rsidRPr="003F2DC2" w:rsidRDefault="003F2DC2" w:rsidP="003F2DC2">
      <w:pPr>
        <w:spacing w:line="240" w:lineRule="auto"/>
        <w:rPr>
          <w:rFonts w:eastAsia="Times New Roman" w:cs="Arial"/>
          <w:sz w:val="28"/>
          <w:szCs w:val="24"/>
        </w:rPr>
      </w:pPr>
      <w:r w:rsidRPr="003F2DC2">
        <w:rPr>
          <w:rFonts w:eastAsia="Times New Roman" w:cs="Arial"/>
          <w:i/>
          <w:iCs/>
          <w:color w:val="000000"/>
          <w:szCs w:val="20"/>
          <w:lang w:eastAsia="bg-BG"/>
        </w:rPr>
        <w:t>Комбинация с епопростенол</w:t>
      </w:r>
    </w:p>
    <w:p w14:paraId="6A9697FE" w14:textId="77777777"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 xml:space="preserve">Комбинацията на бозентан и епопростенол е изследвана в две проучвания: АС-052-355 </w:t>
      </w:r>
      <w:r w:rsidRPr="003F2DC2">
        <w:rPr>
          <w:rFonts w:eastAsia="Times New Roman" w:cs="Arial"/>
          <w:color w:val="000000"/>
          <w:szCs w:val="20"/>
          <w:lang w:val="ru-RU"/>
        </w:rPr>
        <w:t>(</w:t>
      </w:r>
      <w:r w:rsidRPr="003F2DC2">
        <w:rPr>
          <w:rFonts w:eastAsia="Times New Roman" w:cs="Arial"/>
          <w:color w:val="000000"/>
          <w:szCs w:val="20"/>
          <w:lang w:val="en-US"/>
        </w:rPr>
        <w:t>BREATHE</w:t>
      </w:r>
      <w:r w:rsidRPr="003F2DC2">
        <w:rPr>
          <w:rFonts w:eastAsia="Times New Roman" w:cs="Arial"/>
          <w:color w:val="000000"/>
          <w:szCs w:val="20"/>
          <w:lang w:val="ru-RU"/>
        </w:rPr>
        <w:t xml:space="preserve">-2) </w:t>
      </w:r>
      <w:r w:rsidRPr="003F2DC2">
        <w:rPr>
          <w:rFonts w:eastAsia="Times New Roman" w:cs="Arial"/>
          <w:color w:val="000000"/>
          <w:szCs w:val="20"/>
          <w:lang w:eastAsia="bg-BG"/>
        </w:rPr>
        <w:t xml:space="preserve">и </w:t>
      </w:r>
      <w:r w:rsidRPr="003F2DC2">
        <w:rPr>
          <w:rFonts w:eastAsia="Times New Roman" w:cs="Arial"/>
          <w:color w:val="000000"/>
          <w:szCs w:val="20"/>
          <w:lang w:val="en-US"/>
        </w:rPr>
        <w:t>AC</w:t>
      </w:r>
      <w:r w:rsidRPr="003F2DC2">
        <w:rPr>
          <w:rFonts w:eastAsia="Times New Roman" w:cs="Arial"/>
          <w:color w:val="000000"/>
          <w:szCs w:val="20"/>
          <w:lang w:val="ru-RU"/>
        </w:rPr>
        <w:t>-052-356 (</w:t>
      </w:r>
      <w:r w:rsidRPr="003F2DC2">
        <w:rPr>
          <w:rFonts w:eastAsia="Times New Roman" w:cs="Arial"/>
          <w:color w:val="000000"/>
          <w:szCs w:val="20"/>
          <w:lang w:val="en-US"/>
        </w:rPr>
        <w:t>BREATHE</w:t>
      </w:r>
      <w:r w:rsidRPr="003F2DC2">
        <w:rPr>
          <w:rFonts w:eastAsia="Times New Roman" w:cs="Arial"/>
          <w:color w:val="000000"/>
          <w:szCs w:val="20"/>
          <w:lang w:val="ru-RU"/>
        </w:rPr>
        <w:t xml:space="preserve">-3). </w:t>
      </w:r>
      <w:r w:rsidRPr="003F2DC2">
        <w:rPr>
          <w:rFonts w:eastAsia="Times New Roman" w:cs="Arial"/>
          <w:color w:val="000000"/>
          <w:szCs w:val="20"/>
          <w:lang w:eastAsia="bg-BG"/>
        </w:rPr>
        <w:t xml:space="preserve">АС-052-355 е мултицентрово, рандомизирано, двойно-сляпо, паралелно групово проучване на бозентан срещу плацебо при 33 пациенти с тежка БАХ, които са получавали съпътстваща терапия с епопростенол. АС-052-356 е отворено, неконтролирано проучване; 10 от 19-те педиатрични пациента са били на съпътстваща терапия с бозентан и епопростенол по време на 12-седмичното проучване. Профилът на безопасност за комбинацията не се е различавал от очаквания профил за </w:t>
      </w:r>
      <w:r w:rsidRPr="003F2DC2">
        <w:rPr>
          <w:rFonts w:eastAsia="Times New Roman" w:cs="Arial"/>
          <w:color w:val="000000"/>
          <w:szCs w:val="20"/>
          <w:lang w:eastAsia="bg-BG"/>
        </w:rPr>
        <w:lastRenderedPageBreak/>
        <w:t>всеки един от компонентите и комбинираната терапия е понасяна добре от децата и от възрастните. Клиничната полза от комбинацията не е доказана.</w:t>
      </w:r>
    </w:p>
    <w:p w14:paraId="47B18695" w14:textId="77777777" w:rsidR="003F2DC2" w:rsidRPr="003F2DC2" w:rsidRDefault="003F2DC2" w:rsidP="003F2DC2">
      <w:pPr>
        <w:spacing w:line="240" w:lineRule="auto"/>
        <w:rPr>
          <w:rFonts w:eastAsia="Times New Roman" w:cs="Arial"/>
          <w:i/>
          <w:iCs/>
          <w:color w:val="000000"/>
          <w:szCs w:val="20"/>
          <w:lang w:eastAsia="bg-BG"/>
        </w:rPr>
      </w:pPr>
    </w:p>
    <w:p w14:paraId="2E51DBBE" w14:textId="15DC839B" w:rsidR="003F2DC2" w:rsidRPr="003F2DC2" w:rsidRDefault="003F2DC2" w:rsidP="003F2DC2">
      <w:pPr>
        <w:spacing w:line="240" w:lineRule="auto"/>
        <w:rPr>
          <w:rFonts w:eastAsia="Times New Roman" w:cs="Arial"/>
          <w:sz w:val="28"/>
          <w:szCs w:val="24"/>
        </w:rPr>
      </w:pPr>
      <w:r w:rsidRPr="003F2DC2">
        <w:rPr>
          <w:rFonts w:eastAsia="Times New Roman" w:cs="Arial"/>
          <w:i/>
          <w:iCs/>
          <w:color w:val="000000"/>
          <w:szCs w:val="20"/>
          <w:lang w:eastAsia="bg-BG"/>
        </w:rPr>
        <w:t>Системна склероза с дигитална язвена болест</w:t>
      </w:r>
    </w:p>
    <w:p w14:paraId="07A99211" w14:textId="77777777" w:rsidR="003F2DC2" w:rsidRPr="003F2DC2" w:rsidRDefault="003F2DC2" w:rsidP="003F2DC2">
      <w:pPr>
        <w:rPr>
          <w:rFonts w:eastAsia="Times New Roman" w:cs="Arial"/>
          <w:sz w:val="28"/>
          <w:szCs w:val="24"/>
        </w:rPr>
      </w:pPr>
      <w:r w:rsidRPr="003F2DC2">
        <w:rPr>
          <w:rFonts w:eastAsia="Times New Roman" w:cs="Arial"/>
          <w:color w:val="000000"/>
          <w:szCs w:val="20"/>
          <w:lang w:eastAsia="bg-BG"/>
        </w:rPr>
        <w:t xml:space="preserve">Проведени са две рандомизирани, двойно слепи, мултицентрови, плацебо контролирани проучвания върху 122 души (проучване </w:t>
      </w:r>
      <w:r w:rsidRPr="003F2DC2">
        <w:rPr>
          <w:rFonts w:eastAsia="Times New Roman" w:cs="Arial"/>
          <w:color w:val="000000"/>
          <w:szCs w:val="20"/>
          <w:lang w:val="en-US"/>
        </w:rPr>
        <w:t>AC</w:t>
      </w:r>
      <w:r w:rsidRPr="003F2DC2">
        <w:rPr>
          <w:rFonts w:eastAsia="Times New Roman" w:cs="Arial"/>
          <w:color w:val="000000"/>
          <w:szCs w:val="20"/>
          <w:lang w:val="ru-RU"/>
        </w:rPr>
        <w:t>-052-401 [</w:t>
      </w:r>
      <w:r w:rsidRPr="003F2DC2">
        <w:rPr>
          <w:rFonts w:eastAsia="Times New Roman" w:cs="Arial"/>
          <w:color w:val="000000"/>
          <w:szCs w:val="20"/>
          <w:lang w:val="en-US"/>
        </w:rPr>
        <w:t>RAPIDS</w:t>
      </w:r>
      <w:r w:rsidRPr="003F2DC2">
        <w:rPr>
          <w:rFonts w:eastAsia="Times New Roman" w:cs="Arial"/>
          <w:color w:val="000000"/>
          <w:szCs w:val="20"/>
          <w:lang w:val="ru-RU"/>
        </w:rPr>
        <w:t xml:space="preserve">-1]) </w:t>
      </w:r>
      <w:r w:rsidRPr="003F2DC2">
        <w:rPr>
          <w:rFonts w:eastAsia="Times New Roman" w:cs="Arial"/>
          <w:color w:val="000000"/>
          <w:szCs w:val="20"/>
          <w:lang w:eastAsia="bg-BG"/>
        </w:rPr>
        <w:t xml:space="preserve">и върху 190 души (проучване </w:t>
      </w:r>
      <w:r w:rsidRPr="003F2DC2">
        <w:rPr>
          <w:rFonts w:eastAsia="Times New Roman" w:cs="Arial"/>
          <w:color w:val="000000"/>
          <w:szCs w:val="20"/>
          <w:lang w:val="en-US"/>
        </w:rPr>
        <w:t>AC</w:t>
      </w:r>
      <w:r w:rsidRPr="003F2DC2">
        <w:rPr>
          <w:rFonts w:eastAsia="Times New Roman" w:cs="Arial"/>
          <w:color w:val="000000"/>
          <w:szCs w:val="20"/>
          <w:lang w:val="ru-RU"/>
        </w:rPr>
        <w:t>-052-331 [</w:t>
      </w:r>
      <w:r w:rsidRPr="003F2DC2">
        <w:rPr>
          <w:rFonts w:eastAsia="Times New Roman" w:cs="Arial"/>
          <w:color w:val="000000"/>
          <w:szCs w:val="20"/>
          <w:lang w:val="en-US"/>
        </w:rPr>
        <w:t>RAPIDS</w:t>
      </w:r>
      <w:r w:rsidRPr="003F2DC2">
        <w:rPr>
          <w:rFonts w:eastAsia="Times New Roman" w:cs="Arial"/>
          <w:color w:val="000000"/>
          <w:szCs w:val="20"/>
          <w:lang w:val="ru-RU"/>
        </w:rPr>
        <w:t xml:space="preserve">-2]) </w:t>
      </w:r>
      <w:r w:rsidRPr="003F2DC2">
        <w:rPr>
          <w:rFonts w:eastAsia="Times New Roman" w:cs="Arial"/>
          <w:color w:val="000000"/>
          <w:szCs w:val="20"/>
          <w:lang w:eastAsia="bg-BG"/>
        </w:rPr>
        <w:t xml:space="preserve">в активна възраст, страдащи от системна склероза и дигитална язвена болест (или в хода на дигитална язвена болест, или с анамнеза за дигитална язвена болест през предходната година). В проучването </w:t>
      </w:r>
      <w:r w:rsidRPr="003F2DC2">
        <w:rPr>
          <w:rFonts w:eastAsia="Times New Roman" w:cs="Arial"/>
          <w:color w:val="000000"/>
          <w:szCs w:val="20"/>
          <w:lang w:val="en-US"/>
        </w:rPr>
        <w:t>AC</w:t>
      </w:r>
      <w:r w:rsidRPr="003F2DC2">
        <w:rPr>
          <w:rFonts w:eastAsia="Times New Roman" w:cs="Arial"/>
          <w:color w:val="000000"/>
          <w:szCs w:val="20"/>
          <w:lang w:val="ru-RU"/>
        </w:rPr>
        <w:t>-052-33</w:t>
      </w:r>
      <w:r w:rsidRPr="003F2DC2">
        <w:rPr>
          <w:rFonts w:eastAsia="Times New Roman" w:cs="Arial"/>
          <w:color w:val="000000"/>
          <w:szCs w:val="20"/>
          <w:lang w:eastAsia="bg-BG"/>
        </w:rPr>
        <w:t xml:space="preserve">1, пациентите е трябвало да имат най-малко една новопоявила се дигитална язва, а сред двете проучвания общо 85% от пациентите дигитална язвена болест е била в ход към изходния момент. След прилагане на бозентан по 62,5 </w:t>
      </w:r>
      <w:r w:rsidRPr="003F2DC2">
        <w:rPr>
          <w:rFonts w:eastAsia="Times New Roman" w:cs="Arial"/>
          <w:color w:val="000000"/>
          <w:szCs w:val="20"/>
          <w:lang w:val="en-US"/>
        </w:rPr>
        <w:t>mg</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два пъти дневно в продължение на </w:t>
      </w:r>
      <w:r w:rsidRPr="003F2DC2">
        <w:rPr>
          <w:rFonts w:eastAsia="Times New Roman" w:cs="Arial"/>
          <w:b/>
          <w:bCs/>
          <w:i/>
          <w:iCs/>
          <w:color w:val="000000"/>
          <w:szCs w:val="20"/>
          <w:lang w:eastAsia="bg-BG"/>
        </w:rPr>
        <w:t>4</w:t>
      </w:r>
      <w:r w:rsidRPr="003F2DC2">
        <w:rPr>
          <w:rFonts w:eastAsia="Times New Roman" w:cs="Arial"/>
          <w:color w:val="000000"/>
          <w:szCs w:val="20"/>
          <w:lang w:eastAsia="bg-BG"/>
        </w:rPr>
        <w:t xml:space="preserve"> седмици, поддържащата доза, изследвана в рамките и на двете проучвания е била по 125 </w:t>
      </w:r>
      <w:r w:rsidRPr="003F2DC2">
        <w:rPr>
          <w:rFonts w:eastAsia="Times New Roman" w:cs="Arial"/>
          <w:color w:val="000000"/>
          <w:szCs w:val="20"/>
          <w:lang w:val="en-US"/>
        </w:rPr>
        <w:t>mg</w:t>
      </w:r>
      <w:r w:rsidRPr="003F2DC2">
        <w:rPr>
          <w:rFonts w:eastAsia="Times New Roman" w:cs="Arial"/>
          <w:color w:val="000000"/>
          <w:szCs w:val="20"/>
          <w:lang w:val="ru-RU"/>
        </w:rPr>
        <w:t xml:space="preserve"> </w:t>
      </w:r>
      <w:r w:rsidRPr="003F2DC2">
        <w:rPr>
          <w:rFonts w:eastAsia="Times New Roman" w:cs="Arial"/>
          <w:color w:val="000000"/>
          <w:szCs w:val="20"/>
          <w:lang w:eastAsia="bg-BG"/>
        </w:rPr>
        <w:t>два пъти дневно. Продължителността на двойно-сляпото лечение е била 16 седмици при проучването АС-052-401 и 24 седмици при проучването АС- 052-331.</w:t>
      </w:r>
    </w:p>
    <w:p w14:paraId="4D4BE1D9" w14:textId="77777777" w:rsidR="003F2DC2" w:rsidRPr="003F2DC2" w:rsidRDefault="003F2DC2" w:rsidP="003F2DC2">
      <w:pPr>
        <w:spacing w:line="240" w:lineRule="auto"/>
        <w:rPr>
          <w:rFonts w:eastAsia="Times New Roman" w:cs="Arial"/>
          <w:color w:val="000000"/>
          <w:szCs w:val="20"/>
          <w:lang w:eastAsia="bg-BG"/>
        </w:rPr>
      </w:pPr>
    </w:p>
    <w:p w14:paraId="0F5545C2" w14:textId="2186D952"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Фоновото лечение на системната склероза и на дигиталните язви са били разрешени, ако са били постоянни в продължение на минимум 1 месец преди започване на лечението и през целия срок на двойно-слепите проучвания.</w:t>
      </w:r>
    </w:p>
    <w:p w14:paraId="4E8AE186" w14:textId="77777777" w:rsidR="003F2DC2" w:rsidRPr="003F2DC2" w:rsidRDefault="003F2DC2" w:rsidP="003F2DC2">
      <w:pPr>
        <w:spacing w:line="240" w:lineRule="auto"/>
        <w:rPr>
          <w:rFonts w:eastAsia="Times New Roman" w:cs="Arial"/>
          <w:color w:val="000000"/>
          <w:szCs w:val="20"/>
          <w:lang w:eastAsia="bg-BG"/>
        </w:rPr>
      </w:pPr>
    </w:p>
    <w:p w14:paraId="5561E410" w14:textId="73243179"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 xml:space="preserve">Броят на новите дигитални язви от изходния момент на проучването до края му е приет за основен критерий и при двете проучвания. Лечението с бозентан е довело до по-малко на брой новопоявили се дигитални язви през периода на прилагане на лечението в сравнение с плацебо групата. В проучването АС-052-401, в срока на 16-седмичното двойно-сляпо лечение, пациентите в групата, лекувана с бозентан, са развили средно 1,4 новопоявили се дигитални язви, спрямо 2,7 новопоявили се дигитални язви в плацебо групата (р = 0,0042). В проучването </w:t>
      </w:r>
      <w:r w:rsidRPr="003F2DC2">
        <w:rPr>
          <w:rFonts w:eastAsia="Times New Roman" w:cs="Arial"/>
          <w:color w:val="000000"/>
          <w:szCs w:val="20"/>
          <w:lang w:val="en-US"/>
        </w:rPr>
        <w:t>AC</w:t>
      </w:r>
      <w:r w:rsidRPr="003F2DC2">
        <w:rPr>
          <w:rFonts w:eastAsia="Times New Roman" w:cs="Arial"/>
          <w:color w:val="000000"/>
          <w:szCs w:val="20"/>
          <w:lang w:val="ru-RU"/>
        </w:rPr>
        <w:t>-052-33</w:t>
      </w:r>
      <w:r w:rsidRPr="003F2DC2">
        <w:rPr>
          <w:rFonts w:eastAsia="Times New Roman" w:cs="Arial"/>
          <w:color w:val="000000"/>
          <w:szCs w:val="20"/>
          <w:lang w:eastAsia="bg-BG"/>
        </w:rPr>
        <w:t>1, в срока на 24-седмичното двойно-сляпо лечение, съответните стойности са 1,9 спрямо 2,7 новопоявили се дигитални язви, (р = 0,0351). И в двете проучвания при пациентите лекувани с бозентан е имало по-малка вероятност да се появят множествени новопоявили се дигитални язви в периода на проучванията, като времето, което е било необходимо за възникване на всяка следваща новопоявила се дигитална язва при такива пациенти е било по- дълго, в сравнение с времето изискващо се при лекуваните с плацебо. Ефектът на бозентан за намаляване на броя на новопоявилите се дигитални язви е бил по-силно проявен при пациенти с множествени дигитални язви.</w:t>
      </w:r>
    </w:p>
    <w:p w14:paraId="6A0630D5" w14:textId="77777777" w:rsidR="003F2DC2" w:rsidRPr="003F2DC2" w:rsidRDefault="003F2DC2" w:rsidP="003F2DC2">
      <w:pPr>
        <w:spacing w:line="240" w:lineRule="auto"/>
        <w:rPr>
          <w:rFonts w:eastAsia="Times New Roman" w:cs="Arial"/>
          <w:color w:val="000000"/>
          <w:szCs w:val="20"/>
          <w:lang w:eastAsia="bg-BG"/>
        </w:rPr>
      </w:pPr>
    </w:p>
    <w:p w14:paraId="277729AF" w14:textId="40FAA12E"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При нито едно от двете проучвания не е наблюдаван ефект на бозентан върху времето за заздравяване на дигиталните язви.</w:t>
      </w:r>
    </w:p>
    <w:p w14:paraId="227B1301" w14:textId="6694DAE9" w:rsidR="003F2DC2" w:rsidRPr="003F2DC2" w:rsidRDefault="003F2DC2" w:rsidP="003F2DC2"/>
    <w:p w14:paraId="78DD93AA" w14:textId="2068C05C" w:rsidR="00B6672E" w:rsidRDefault="002C50EE" w:rsidP="00936AD0">
      <w:pPr>
        <w:pStyle w:val="Heading2"/>
      </w:pPr>
      <w:r>
        <w:t>5.2. Фармакокинетични свойства</w:t>
      </w:r>
    </w:p>
    <w:p w14:paraId="6DA85A0B" w14:textId="779F1CC5" w:rsidR="003F2DC2" w:rsidRDefault="003F2DC2" w:rsidP="003F2DC2"/>
    <w:p w14:paraId="2362FC0D" w14:textId="77777777" w:rsidR="003F2DC2" w:rsidRPr="003F2DC2" w:rsidRDefault="003F2DC2" w:rsidP="003F2DC2">
      <w:pPr>
        <w:spacing w:line="240" w:lineRule="auto"/>
        <w:rPr>
          <w:rFonts w:eastAsia="Times New Roman" w:cs="Arial"/>
        </w:rPr>
      </w:pPr>
      <w:r w:rsidRPr="003F2DC2">
        <w:rPr>
          <w:rFonts w:eastAsia="Times New Roman" w:cs="Arial"/>
          <w:color w:val="000000"/>
          <w:lang w:eastAsia="bg-BG"/>
        </w:rPr>
        <w:t>Фармакокинетиката на бозентан е документирана главно при здрави индивиди. Ограничените данни при пациентите показват, че експозицията на бозентан при възрастни пациенти с БАХ е приблизително 2 пъти по-голямо, отколкото при здрави възрастни индивиди.</w:t>
      </w:r>
    </w:p>
    <w:p w14:paraId="0FF1AFB6" w14:textId="77777777" w:rsidR="003F2DC2" w:rsidRPr="003F2DC2" w:rsidRDefault="003F2DC2" w:rsidP="003F2DC2">
      <w:pPr>
        <w:spacing w:line="240" w:lineRule="auto"/>
        <w:rPr>
          <w:rFonts w:eastAsia="Times New Roman" w:cs="Arial"/>
          <w:color w:val="000000"/>
          <w:lang w:eastAsia="bg-BG"/>
        </w:rPr>
      </w:pPr>
    </w:p>
    <w:p w14:paraId="276C3A5E" w14:textId="1486BC47" w:rsidR="003F2DC2" w:rsidRPr="003F2DC2" w:rsidRDefault="003F2DC2" w:rsidP="003F2DC2">
      <w:pPr>
        <w:spacing w:line="240" w:lineRule="auto"/>
        <w:rPr>
          <w:rFonts w:eastAsia="Times New Roman" w:cs="Arial"/>
        </w:rPr>
      </w:pPr>
      <w:r w:rsidRPr="003F2DC2">
        <w:rPr>
          <w:rFonts w:eastAsia="Times New Roman" w:cs="Arial"/>
          <w:color w:val="000000"/>
          <w:lang w:eastAsia="bg-BG"/>
        </w:rPr>
        <w:t xml:space="preserve">При здрави индивиди, фармакокинетиката на бозентан е дозо- и времезависима. Клирънсът и обемът на разпределение намаляват с повишаване на интравенозните дози </w:t>
      </w:r>
      <w:r w:rsidRPr="003F2DC2">
        <w:rPr>
          <w:rFonts w:eastAsia="Times New Roman" w:cs="Arial"/>
          <w:color w:val="000000"/>
          <w:lang w:eastAsia="bg-BG"/>
        </w:rPr>
        <w:lastRenderedPageBreak/>
        <w:t xml:space="preserve">и нарастват с времето. След перорално приложение, системната експозиция е пропорционална на дозата до 500 </w:t>
      </w:r>
      <w:r w:rsidRPr="003F2DC2">
        <w:rPr>
          <w:rFonts w:eastAsia="Times New Roman" w:cs="Arial"/>
          <w:color w:val="000000"/>
          <w:lang w:val="en-US"/>
        </w:rPr>
        <w:t>mg</w:t>
      </w:r>
      <w:r w:rsidRPr="003F2DC2">
        <w:rPr>
          <w:rFonts w:eastAsia="Times New Roman" w:cs="Arial"/>
          <w:color w:val="000000"/>
          <w:lang w:val="ru-RU"/>
        </w:rPr>
        <w:t xml:space="preserve">. </w:t>
      </w:r>
      <w:r w:rsidRPr="003F2DC2">
        <w:rPr>
          <w:rFonts w:eastAsia="Times New Roman" w:cs="Arial"/>
          <w:color w:val="000000"/>
          <w:lang w:eastAsia="bg-BG"/>
        </w:rPr>
        <w:t>При по-високи орални дози, С</w:t>
      </w:r>
      <w:r w:rsidRPr="003F2DC2">
        <w:rPr>
          <w:rFonts w:eastAsia="Times New Roman" w:cs="Arial"/>
          <w:color w:val="000000"/>
          <w:lang w:val="en-US"/>
        </w:rPr>
        <w:t>m</w:t>
      </w:r>
      <w:r w:rsidRPr="003F2DC2">
        <w:rPr>
          <w:rFonts w:eastAsia="Times New Roman" w:cs="Arial"/>
          <w:color w:val="000000"/>
          <w:lang w:eastAsia="bg-BG"/>
        </w:rPr>
        <w:t xml:space="preserve">ах и </w:t>
      </w:r>
      <w:r w:rsidRPr="003F2DC2">
        <w:rPr>
          <w:rFonts w:eastAsia="Times New Roman" w:cs="Arial"/>
          <w:color w:val="000000"/>
          <w:lang w:val="en-US"/>
        </w:rPr>
        <w:t>AUC</w:t>
      </w:r>
      <w:r w:rsidRPr="003F2DC2">
        <w:rPr>
          <w:rFonts w:eastAsia="Times New Roman" w:cs="Arial"/>
          <w:color w:val="000000"/>
          <w:lang w:val="ru-RU"/>
        </w:rPr>
        <w:t xml:space="preserve"> </w:t>
      </w:r>
      <w:r w:rsidRPr="003F2DC2">
        <w:rPr>
          <w:rFonts w:eastAsia="Times New Roman" w:cs="Arial"/>
          <w:color w:val="000000"/>
          <w:lang w:eastAsia="bg-BG"/>
        </w:rPr>
        <w:t>се повишават по-слабо, а не пропорционално на дозата.</w:t>
      </w:r>
    </w:p>
    <w:p w14:paraId="6B3B58E6" w14:textId="77777777" w:rsidR="003F2DC2" w:rsidRPr="003F2DC2" w:rsidRDefault="003F2DC2" w:rsidP="003F2DC2">
      <w:pPr>
        <w:spacing w:line="240" w:lineRule="auto"/>
        <w:rPr>
          <w:rFonts w:eastAsia="Times New Roman" w:cs="Arial"/>
          <w:color w:val="000000"/>
          <w:u w:val="single"/>
          <w:lang w:eastAsia="bg-BG"/>
        </w:rPr>
      </w:pPr>
    </w:p>
    <w:p w14:paraId="7E07F219" w14:textId="45EE8A45" w:rsidR="003F2DC2" w:rsidRPr="003F2DC2" w:rsidRDefault="003F2DC2" w:rsidP="003F2DC2">
      <w:pPr>
        <w:spacing w:line="240" w:lineRule="auto"/>
        <w:rPr>
          <w:rFonts w:eastAsia="Times New Roman" w:cs="Arial"/>
        </w:rPr>
      </w:pPr>
      <w:r w:rsidRPr="003F2DC2">
        <w:rPr>
          <w:rFonts w:eastAsia="Times New Roman" w:cs="Arial"/>
          <w:color w:val="000000"/>
          <w:u w:val="single"/>
          <w:lang w:eastAsia="bg-BG"/>
        </w:rPr>
        <w:t>Абсорбция</w:t>
      </w:r>
    </w:p>
    <w:p w14:paraId="11DFB401" w14:textId="77777777" w:rsidR="003F2DC2" w:rsidRPr="003F2DC2" w:rsidRDefault="003F2DC2" w:rsidP="003F2DC2">
      <w:pPr>
        <w:spacing w:line="240" w:lineRule="auto"/>
        <w:rPr>
          <w:rFonts w:eastAsia="Times New Roman" w:cs="Arial"/>
        </w:rPr>
      </w:pPr>
      <w:r w:rsidRPr="003F2DC2">
        <w:rPr>
          <w:rFonts w:eastAsia="Times New Roman" w:cs="Arial"/>
          <w:color w:val="000000"/>
          <w:lang w:eastAsia="bg-BG"/>
        </w:rPr>
        <w:t>При здрави индивиди, абсолютната бионаличност на бозентан е приблизително 50% и не се повлиява от храната. Максималните плазмени концентрации се достигат за 3-5 часа.</w:t>
      </w:r>
    </w:p>
    <w:p w14:paraId="2CB7046F" w14:textId="77777777" w:rsidR="003F2DC2" w:rsidRPr="003F2DC2" w:rsidRDefault="003F2DC2" w:rsidP="003F2DC2">
      <w:pPr>
        <w:spacing w:line="240" w:lineRule="auto"/>
        <w:rPr>
          <w:rFonts w:eastAsia="Times New Roman" w:cs="Arial"/>
          <w:color w:val="000000"/>
          <w:u w:val="single"/>
          <w:lang w:eastAsia="bg-BG"/>
        </w:rPr>
      </w:pPr>
    </w:p>
    <w:p w14:paraId="4E0934D9" w14:textId="5ECE559B" w:rsidR="003F2DC2" w:rsidRPr="003F2DC2" w:rsidRDefault="003F2DC2" w:rsidP="003F2DC2">
      <w:pPr>
        <w:spacing w:line="240" w:lineRule="auto"/>
        <w:rPr>
          <w:rFonts w:eastAsia="Times New Roman" w:cs="Arial"/>
        </w:rPr>
      </w:pPr>
      <w:r w:rsidRPr="003F2DC2">
        <w:rPr>
          <w:rFonts w:eastAsia="Times New Roman" w:cs="Arial"/>
          <w:color w:val="000000"/>
          <w:u w:val="single"/>
          <w:lang w:eastAsia="bg-BG"/>
        </w:rPr>
        <w:t>Разпределение</w:t>
      </w:r>
    </w:p>
    <w:p w14:paraId="523D424C" w14:textId="77777777" w:rsidR="003F2DC2" w:rsidRPr="003F2DC2" w:rsidRDefault="003F2DC2" w:rsidP="003F2DC2">
      <w:pPr>
        <w:spacing w:line="240" w:lineRule="auto"/>
        <w:rPr>
          <w:rFonts w:eastAsia="Times New Roman" w:cs="Arial"/>
        </w:rPr>
      </w:pPr>
      <w:r w:rsidRPr="003F2DC2">
        <w:rPr>
          <w:rFonts w:eastAsia="Times New Roman" w:cs="Arial"/>
          <w:color w:val="000000"/>
          <w:lang w:eastAsia="bg-BG"/>
        </w:rPr>
        <w:t xml:space="preserve">Бозентан се свързва в голяма степен (&gt; 98%) с плазмените протеини, главно с албумина. Бозентан </w:t>
      </w:r>
      <w:r w:rsidRPr="003F2DC2">
        <w:rPr>
          <w:rFonts w:eastAsia="Times New Roman" w:cs="Arial"/>
          <w:b/>
          <w:bCs/>
          <w:i/>
          <w:iCs/>
          <w:color w:val="000000"/>
          <w:lang w:eastAsia="bg-BG"/>
        </w:rPr>
        <w:t>не</w:t>
      </w:r>
      <w:r w:rsidRPr="003F2DC2">
        <w:rPr>
          <w:rFonts w:eastAsia="Times New Roman" w:cs="Arial"/>
          <w:color w:val="000000"/>
          <w:lang w:eastAsia="bg-BG"/>
        </w:rPr>
        <w:t xml:space="preserve"> прониква в еритроцитите.</w:t>
      </w:r>
    </w:p>
    <w:p w14:paraId="09EE7769" w14:textId="77777777" w:rsidR="003F2DC2" w:rsidRPr="003F2DC2" w:rsidRDefault="003F2DC2" w:rsidP="003F2DC2">
      <w:pPr>
        <w:spacing w:line="240" w:lineRule="auto"/>
        <w:rPr>
          <w:rFonts w:eastAsia="Times New Roman" w:cs="Arial"/>
          <w:color w:val="000000"/>
          <w:lang w:eastAsia="bg-BG"/>
        </w:rPr>
      </w:pPr>
    </w:p>
    <w:p w14:paraId="132532CE" w14:textId="0431EA19" w:rsidR="003F2DC2" w:rsidRPr="003F2DC2" w:rsidRDefault="003F2DC2" w:rsidP="003F2DC2">
      <w:pPr>
        <w:spacing w:line="240" w:lineRule="auto"/>
        <w:rPr>
          <w:rFonts w:eastAsia="Times New Roman" w:cs="Arial"/>
        </w:rPr>
      </w:pPr>
      <w:r w:rsidRPr="003F2DC2">
        <w:rPr>
          <w:rFonts w:eastAsia="Times New Roman" w:cs="Arial"/>
          <w:color w:val="000000"/>
          <w:lang w:eastAsia="bg-BG"/>
        </w:rPr>
        <w:t xml:space="preserve">След интравенозна доза от 250 </w:t>
      </w:r>
      <w:r w:rsidRPr="003F2DC2">
        <w:rPr>
          <w:rFonts w:eastAsia="Times New Roman" w:cs="Arial"/>
          <w:color w:val="000000"/>
          <w:lang w:val="en-US"/>
        </w:rPr>
        <w:t>mg</w:t>
      </w:r>
      <w:r w:rsidRPr="003F2DC2">
        <w:rPr>
          <w:rFonts w:eastAsia="Times New Roman" w:cs="Arial"/>
          <w:color w:val="000000"/>
          <w:lang w:val="ru-RU"/>
        </w:rPr>
        <w:t xml:space="preserve"> </w:t>
      </w:r>
      <w:r w:rsidRPr="003F2DC2">
        <w:rPr>
          <w:rFonts w:eastAsia="Times New Roman" w:cs="Arial"/>
          <w:color w:val="000000"/>
          <w:lang w:eastAsia="bg-BG"/>
        </w:rPr>
        <w:t xml:space="preserve">е установен обем на разпределение </w:t>
      </w:r>
      <w:r w:rsidRPr="003F2DC2">
        <w:rPr>
          <w:rFonts w:eastAsia="Times New Roman" w:cs="Arial"/>
          <w:color w:val="000000"/>
          <w:lang w:val="ru-RU"/>
        </w:rPr>
        <w:t>(</w:t>
      </w:r>
      <w:r w:rsidRPr="003F2DC2">
        <w:rPr>
          <w:rFonts w:eastAsia="Times New Roman" w:cs="Arial"/>
          <w:color w:val="000000"/>
          <w:lang w:val="en-US"/>
        </w:rPr>
        <w:t>Vss</w:t>
      </w:r>
      <w:r w:rsidRPr="003F2DC2">
        <w:rPr>
          <w:rFonts w:eastAsia="Times New Roman" w:cs="Arial"/>
          <w:color w:val="000000"/>
          <w:lang w:val="ru-RU"/>
        </w:rPr>
        <w:t xml:space="preserve">) </w:t>
      </w:r>
      <w:r w:rsidRPr="003F2DC2">
        <w:rPr>
          <w:rFonts w:eastAsia="Times New Roman" w:cs="Arial"/>
          <w:color w:val="000000"/>
          <w:lang w:eastAsia="bg-BG"/>
        </w:rPr>
        <w:t>от около 18 литра.</w:t>
      </w:r>
    </w:p>
    <w:p w14:paraId="4E405BFF" w14:textId="77777777" w:rsidR="003F2DC2" w:rsidRPr="003F2DC2" w:rsidRDefault="003F2DC2" w:rsidP="003F2DC2">
      <w:pPr>
        <w:spacing w:line="240" w:lineRule="auto"/>
        <w:rPr>
          <w:rFonts w:eastAsia="Times New Roman" w:cs="Arial"/>
          <w:color w:val="000000"/>
          <w:u w:val="single"/>
          <w:lang w:eastAsia="bg-BG"/>
        </w:rPr>
      </w:pPr>
    </w:p>
    <w:p w14:paraId="151AD078" w14:textId="1C679EB6" w:rsidR="003F2DC2" w:rsidRPr="003F2DC2" w:rsidRDefault="003F2DC2" w:rsidP="003F2DC2">
      <w:pPr>
        <w:spacing w:line="240" w:lineRule="auto"/>
        <w:rPr>
          <w:rFonts w:eastAsia="Times New Roman" w:cs="Arial"/>
        </w:rPr>
      </w:pPr>
      <w:r w:rsidRPr="003F2DC2">
        <w:rPr>
          <w:rFonts w:eastAsia="Times New Roman" w:cs="Arial"/>
          <w:color w:val="000000"/>
          <w:u w:val="single"/>
          <w:lang w:eastAsia="bg-BG"/>
        </w:rPr>
        <w:t>Биотрансформация и елиминация</w:t>
      </w:r>
    </w:p>
    <w:p w14:paraId="2E1FA2A2" w14:textId="1616221A" w:rsidR="003F2DC2" w:rsidRPr="003F2DC2" w:rsidRDefault="003F2DC2" w:rsidP="003F2DC2">
      <w:pPr>
        <w:rPr>
          <w:rFonts w:eastAsia="Times New Roman" w:cs="Arial"/>
          <w:color w:val="000000"/>
          <w:lang w:eastAsia="bg-BG"/>
        </w:rPr>
      </w:pPr>
      <w:r w:rsidRPr="003F2DC2">
        <w:rPr>
          <w:rFonts w:eastAsia="Times New Roman" w:cs="Arial"/>
          <w:color w:val="000000"/>
          <w:lang w:eastAsia="bg-BG"/>
        </w:rPr>
        <w:t xml:space="preserve">След единична интравенозна доза от 250 </w:t>
      </w:r>
      <w:r w:rsidRPr="003F2DC2">
        <w:rPr>
          <w:rFonts w:eastAsia="Times New Roman" w:cs="Arial"/>
          <w:color w:val="000000"/>
          <w:lang w:val="en-US"/>
        </w:rPr>
        <w:t>mg</w:t>
      </w:r>
      <w:r w:rsidRPr="003F2DC2">
        <w:rPr>
          <w:rFonts w:eastAsia="Times New Roman" w:cs="Arial"/>
          <w:color w:val="000000"/>
          <w:lang w:val="ru-RU"/>
        </w:rPr>
        <w:t xml:space="preserve">, </w:t>
      </w:r>
      <w:r w:rsidRPr="003F2DC2">
        <w:rPr>
          <w:rFonts w:eastAsia="Times New Roman" w:cs="Arial"/>
          <w:color w:val="000000"/>
          <w:lang w:eastAsia="bg-BG"/>
        </w:rPr>
        <w:t xml:space="preserve">освобождаването е 8,2 </w:t>
      </w:r>
      <w:r w:rsidRPr="003F2DC2">
        <w:rPr>
          <w:rFonts w:eastAsia="Times New Roman" w:cs="Arial"/>
          <w:color w:val="000000"/>
          <w:lang w:val="ru-RU"/>
        </w:rPr>
        <w:t>1/</w:t>
      </w:r>
      <w:r w:rsidRPr="003F2DC2">
        <w:rPr>
          <w:rFonts w:eastAsia="Times New Roman" w:cs="Arial"/>
          <w:color w:val="000000"/>
          <w:lang w:val="en-US"/>
        </w:rPr>
        <w:t>h</w:t>
      </w:r>
      <w:r w:rsidRPr="003F2DC2">
        <w:rPr>
          <w:rFonts w:eastAsia="Times New Roman" w:cs="Arial"/>
          <w:color w:val="000000"/>
          <w:lang w:val="ru-RU"/>
        </w:rPr>
        <w:t xml:space="preserve">. </w:t>
      </w:r>
      <w:r w:rsidRPr="003F2DC2">
        <w:rPr>
          <w:rFonts w:eastAsia="Times New Roman" w:cs="Arial"/>
          <w:color w:val="000000"/>
          <w:lang w:eastAsia="bg-BG"/>
        </w:rPr>
        <w:t xml:space="preserve">Терминалният полуживот на елиминация </w:t>
      </w:r>
      <w:r w:rsidRPr="003F2DC2">
        <w:rPr>
          <w:rFonts w:eastAsia="Times New Roman" w:cs="Arial"/>
          <w:color w:val="000000"/>
          <w:lang w:val="ru-RU"/>
        </w:rPr>
        <w:t>(</w:t>
      </w:r>
      <w:r w:rsidRPr="003F2DC2">
        <w:rPr>
          <w:rFonts w:eastAsia="Times New Roman" w:cs="Arial"/>
          <w:color w:val="000000"/>
          <w:lang w:val="en-US"/>
        </w:rPr>
        <w:t>t</w:t>
      </w:r>
      <w:r w:rsidRPr="003F2DC2">
        <w:rPr>
          <w:rFonts w:eastAsia="Times New Roman" w:cs="Arial"/>
          <w:color w:val="000000"/>
          <w:lang w:eastAsia="bg-BG"/>
        </w:rPr>
        <w:t>1/2) е 5,4 часа.</w:t>
      </w:r>
    </w:p>
    <w:p w14:paraId="6A26F877" w14:textId="7416CFD5" w:rsidR="003F2DC2" w:rsidRPr="003F2DC2" w:rsidRDefault="003F2DC2" w:rsidP="003F2DC2">
      <w:pPr>
        <w:rPr>
          <w:rFonts w:eastAsia="Times New Roman" w:cs="Arial"/>
          <w:color w:val="000000"/>
          <w:lang w:eastAsia="bg-BG"/>
        </w:rPr>
      </w:pPr>
    </w:p>
    <w:p w14:paraId="5A743A5E" w14:textId="77777777" w:rsidR="003F2DC2" w:rsidRPr="003F2DC2" w:rsidRDefault="003F2DC2" w:rsidP="003F2DC2">
      <w:pPr>
        <w:spacing w:line="240" w:lineRule="auto"/>
        <w:rPr>
          <w:rFonts w:eastAsia="Times New Roman" w:cs="Arial"/>
        </w:rPr>
      </w:pPr>
      <w:r w:rsidRPr="003F2DC2">
        <w:rPr>
          <w:rFonts w:eastAsia="Times New Roman" w:cs="Arial"/>
          <w:color w:val="000000"/>
          <w:lang w:eastAsia="bg-BG"/>
        </w:rPr>
        <w:t>При многократно дозиране, плазмените концентрации на бозентан намаляват постепенно до 50-65% от тези, наблюдавани при прилагането на единична доза. Това намаляване вероятно се дължи на автоиндукция на метаболизиращите чернодробни ензими. Стационарни плазмени нива се достигат в рамките на 3-5 дни.</w:t>
      </w:r>
    </w:p>
    <w:p w14:paraId="48C7DFCF" w14:textId="77777777" w:rsidR="003F2DC2" w:rsidRPr="003F2DC2" w:rsidRDefault="003F2DC2" w:rsidP="003F2DC2">
      <w:pPr>
        <w:spacing w:line="240" w:lineRule="auto"/>
        <w:rPr>
          <w:rFonts w:eastAsia="Times New Roman" w:cs="Arial"/>
          <w:color w:val="000000"/>
          <w:lang w:eastAsia="bg-BG"/>
        </w:rPr>
      </w:pPr>
    </w:p>
    <w:p w14:paraId="37F01B64" w14:textId="3FD42623" w:rsidR="003F2DC2" w:rsidRPr="003F2DC2" w:rsidRDefault="003F2DC2" w:rsidP="003F2DC2">
      <w:pPr>
        <w:spacing w:line="240" w:lineRule="auto"/>
        <w:rPr>
          <w:rFonts w:eastAsia="Times New Roman" w:cs="Arial"/>
        </w:rPr>
      </w:pPr>
      <w:r w:rsidRPr="003F2DC2">
        <w:rPr>
          <w:rFonts w:eastAsia="Times New Roman" w:cs="Arial"/>
          <w:color w:val="000000"/>
          <w:lang w:eastAsia="bg-BG"/>
        </w:rPr>
        <w:t xml:space="preserve">Бозентан се елиминира посредством жлъчна екскреция, след метаболизиране в черния дроб от изоензимите на цитохром Р450, </w:t>
      </w:r>
      <w:r w:rsidRPr="003F2DC2">
        <w:rPr>
          <w:rFonts w:eastAsia="Times New Roman" w:cs="Arial"/>
          <w:color w:val="000000"/>
          <w:lang w:val="en-US"/>
        </w:rPr>
        <w:t>CYP</w:t>
      </w:r>
      <w:r w:rsidRPr="003F2DC2">
        <w:rPr>
          <w:rFonts w:eastAsia="Times New Roman" w:cs="Arial"/>
          <w:color w:val="000000"/>
          <w:lang w:val="ru-RU"/>
        </w:rPr>
        <w:t>2</w:t>
      </w:r>
      <w:r w:rsidRPr="003F2DC2">
        <w:rPr>
          <w:rFonts w:eastAsia="Times New Roman" w:cs="Arial"/>
          <w:color w:val="000000"/>
          <w:lang w:val="en-US"/>
        </w:rPr>
        <w:t>C</w:t>
      </w:r>
      <w:r w:rsidRPr="003F2DC2">
        <w:rPr>
          <w:rFonts w:eastAsia="Times New Roman" w:cs="Arial"/>
          <w:color w:val="000000"/>
          <w:lang w:val="ru-RU"/>
        </w:rPr>
        <w:t xml:space="preserve">9 </w:t>
      </w:r>
      <w:r w:rsidRPr="003F2DC2">
        <w:rPr>
          <w:rFonts w:eastAsia="Times New Roman" w:cs="Arial"/>
          <w:color w:val="000000"/>
          <w:lang w:eastAsia="bg-BG"/>
        </w:rPr>
        <w:t xml:space="preserve">и </w:t>
      </w:r>
      <w:r w:rsidRPr="003F2DC2">
        <w:rPr>
          <w:rFonts w:eastAsia="Times New Roman" w:cs="Arial"/>
          <w:color w:val="000000"/>
          <w:lang w:val="en-US"/>
        </w:rPr>
        <w:t>CYP</w:t>
      </w:r>
      <w:r w:rsidRPr="003F2DC2">
        <w:rPr>
          <w:rFonts w:eastAsia="Times New Roman" w:cs="Arial"/>
          <w:color w:val="000000"/>
          <w:lang w:val="ru-RU"/>
        </w:rPr>
        <w:t>3</w:t>
      </w:r>
      <w:r w:rsidRPr="003F2DC2">
        <w:rPr>
          <w:rFonts w:eastAsia="Times New Roman" w:cs="Arial"/>
          <w:color w:val="000000"/>
          <w:lang w:val="en-US"/>
        </w:rPr>
        <w:t>A</w:t>
      </w:r>
      <w:r w:rsidRPr="003F2DC2">
        <w:rPr>
          <w:rFonts w:eastAsia="Times New Roman" w:cs="Arial"/>
          <w:color w:val="000000"/>
          <w:lang w:val="ru-RU"/>
        </w:rPr>
        <w:t xml:space="preserve">4. </w:t>
      </w:r>
      <w:r w:rsidRPr="003F2DC2">
        <w:rPr>
          <w:rFonts w:eastAsia="Times New Roman" w:cs="Arial"/>
          <w:color w:val="000000"/>
          <w:lang w:eastAsia="bg-BG"/>
        </w:rPr>
        <w:t>По-малко от 3% от приложената перорална доза се открива в урината.</w:t>
      </w:r>
    </w:p>
    <w:p w14:paraId="0E828279" w14:textId="77777777" w:rsidR="003F2DC2" w:rsidRPr="003F2DC2" w:rsidRDefault="003F2DC2" w:rsidP="003F2DC2">
      <w:pPr>
        <w:spacing w:line="240" w:lineRule="auto"/>
        <w:rPr>
          <w:rFonts w:eastAsia="Times New Roman" w:cs="Arial"/>
          <w:color w:val="000000"/>
          <w:lang w:eastAsia="bg-BG"/>
        </w:rPr>
      </w:pPr>
    </w:p>
    <w:p w14:paraId="11578CBE" w14:textId="122E1FB1" w:rsidR="003F2DC2" w:rsidRPr="003F2DC2" w:rsidRDefault="003F2DC2" w:rsidP="003F2DC2">
      <w:pPr>
        <w:spacing w:line="240" w:lineRule="auto"/>
        <w:rPr>
          <w:rFonts w:eastAsia="Times New Roman" w:cs="Arial"/>
        </w:rPr>
      </w:pPr>
      <w:r w:rsidRPr="003F2DC2">
        <w:rPr>
          <w:rFonts w:eastAsia="Times New Roman" w:cs="Arial"/>
          <w:color w:val="000000"/>
          <w:lang w:eastAsia="bg-BG"/>
        </w:rPr>
        <w:t>Бозентан образува три метаболита, като само един от тях е фармакологично активен. Този метаболит се екскретира главно в непроменен вид през жлъчката. При възрастни пациенти, излагането на активния метаболит е по-голямо, отколкото при здрави индивиди. При пациенти с данни за наличие на холестаза, излагането на активния метаболит може да е повишено.</w:t>
      </w:r>
    </w:p>
    <w:p w14:paraId="15302E36" w14:textId="77777777" w:rsidR="003F2DC2" w:rsidRPr="003F2DC2" w:rsidRDefault="003F2DC2" w:rsidP="003F2DC2">
      <w:pPr>
        <w:spacing w:line="240" w:lineRule="auto"/>
        <w:rPr>
          <w:rFonts w:eastAsia="Times New Roman" w:cs="Arial"/>
          <w:color w:val="000000"/>
          <w:lang w:eastAsia="bg-BG"/>
        </w:rPr>
      </w:pPr>
    </w:p>
    <w:p w14:paraId="66BF1E73" w14:textId="36E1F2E6" w:rsidR="003F2DC2" w:rsidRPr="003F2DC2" w:rsidRDefault="003F2DC2" w:rsidP="003F2DC2">
      <w:pPr>
        <w:spacing w:line="240" w:lineRule="auto"/>
        <w:rPr>
          <w:rFonts w:eastAsia="Times New Roman" w:cs="Arial"/>
        </w:rPr>
      </w:pPr>
      <w:r w:rsidRPr="003F2DC2">
        <w:rPr>
          <w:rFonts w:eastAsia="Times New Roman" w:cs="Arial"/>
          <w:color w:val="000000"/>
          <w:lang w:eastAsia="bg-BG"/>
        </w:rPr>
        <w:t xml:space="preserve">Бозентан е индуктор на </w:t>
      </w:r>
      <w:r w:rsidRPr="003F2DC2">
        <w:rPr>
          <w:rFonts w:eastAsia="Times New Roman" w:cs="Arial"/>
          <w:color w:val="000000"/>
          <w:lang w:val="en-US"/>
        </w:rPr>
        <w:t>CYP</w:t>
      </w:r>
      <w:r w:rsidRPr="003F2DC2">
        <w:rPr>
          <w:rFonts w:eastAsia="Times New Roman" w:cs="Arial"/>
          <w:color w:val="000000"/>
          <w:lang w:val="ru-RU"/>
        </w:rPr>
        <w:t>2</w:t>
      </w:r>
      <w:r w:rsidRPr="003F2DC2">
        <w:rPr>
          <w:rFonts w:eastAsia="Times New Roman" w:cs="Arial"/>
          <w:color w:val="000000"/>
          <w:lang w:val="en-US"/>
        </w:rPr>
        <w:t>C</w:t>
      </w:r>
      <w:r w:rsidRPr="003F2DC2">
        <w:rPr>
          <w:rFonts w:eastAsia="Times New Roman" w:cs="Arial"/>
          <w:color w:val="000000"/>
          <w:lang w:val="ru-RU"/>
        </w:rPr>
        <w:t xml:space="preserve">9 </w:t>
      </w:r>
      <w:r w:rsidRPr="003F2DC2">
        <w:rPr>
          <w:rFonts w:eastAsia="Times New Roman" w:cs="Arial"/>
          <w:color w:val="000000"/>
          <w:lang w:eastAsia="bg-BG"/>
        </w:rPr>
        <w:t xml:space="preserve">и </w:t>
      </w:r>
      <w:r w:rsidRPr="003F2DC2">
        <w:rPr>
          <w:rFonts w:eastAsia="Times New Roman" w:cs="Arial"/>
          <w:color w:val="000000"/>
          <w:lang w:val="en-US"/>
        </w:rPr>
        <w:t>CYP</w:t>
      </w:r>
      <w:r w:rsidRPr="003F2DC2">
        <w:rPr>
          <w:rFonts w:eastAsia="Times New Roman" w:cs="Arial"/>
          <w:color w:val="000000"/>
          <w:lang w:val="ru-RU"/>
        </w:rPr>
        <w:t>3</w:t>
      </w:r>
      <w:r w:rsidRPr="003F2DC2">
        <w:rPr>
          <w:rFonts w:eastAsia="Times New Roman" w:cs="Arial"/>
          <w:color w:val="000000"/>
          <w:lang w:val="en-US"/>
        </w:rPr>
        <w:t>A</w:t>
      </w:r>
      <w:r w:rsidRPr="003F2DC2">
        <w:rPr>
          <w:rFonts w:eastAsia="Times New Roman" w:cs="Arial"/>
          <w:color w:val="000000"/>
          <w:lang w:val="ru-RU"/>
        </w:rPr>
        <w:t xml:space="preserve">4, </w:t>
      </w:r>
      <w:r w:rsidRPr="003F2DC2">
        <w:rPr>
          <w:rFonts w:eastAsia="Times New Roman" w:cs="Arial"/>
          <w:color w:val="000000"/>
          <w:lang w:eastAsia="bg-BG"/>
        </w:rPr>
        <w:t xml:space="preserve">като е възможно да е индуктор също на </w:t>
      </w:r>
      <w:r w:rsidRPr="003F2DC2">
        <w:rPr>
          <w:rFonts w:eastAsia="Times New Roman" w:cs="Arial"/>
          <w:color w:val="000000"/>
          <w:lang w:val="en-US"/>
        </w:rPr>
        <w:t>CYP</w:t>
      </w:r>
      <w:r w:rsidRPr="003F2DC2">
        <w:rPr>
          <w:rFonts w:eastAsia="Times New Roman" w:cs="Arial"/>
          <w:color w:val="000000"/>
          <w:lang w:val="ru-RU"/>
        </w:rPr>
        <w:t>2</w:t>
      </w:r>
      <w:r w:rsidRPr="003F2DC2">
        <w:rPr>
          <w:rFonts w:eastAsia="Times New Roman" w:cs="Arial"/>
          <w:color w:val="000000"/>
          <w:lang w:val="en-US"/>
        </w:rPr>
        <w:t>C</w:t>
      </w:r>
      <w:r w:rsidRPr="003F2DC2">
        <w:rPr>
          <w:rFonts w:eastAsia="Times New Roman" w:cs="Arial"/>
          <w:color w:val="000000"/>
          <w:lang w:val="ru-RU"/>
        </w:rPr>
        <w:t xml:space="preserve">19 </w:t>
      </w:r>
      <w:r w:rsidRPr="003F2DC2">
        <w:rPr>
          <w:rFonts w:eastAsia="Times New Roman" w:cs="Arial"/>
          <w:color w:val="000000"/>
          <w:lang w:eastAsia="bg-BG"/>
        </w:rPr>
        <w:t xml:space="preserve">и на Р-гликопротеина. </w:t>
      </w:r>
      <w:r w:rsidRPr="003F2DC2">
        <w:rPr>
          <w:rFonts w:eastAsia="Times New Roman" w:cs="Arial"/>
          <w:i/>
          <w:iCs/>
          <w:color w:val="000000"/>
          <w:lang w:eastAsia="bg-BG"/>
        </w:rPr>
        <w:t>Ин витро,</w:t>
      </w:r>
      <w:r w:rsidRPr="003F2DC2">
        <w:rPr>
          <w:rFonts w:eastAsia="Times New Roman" w:cs="Arial"/>
          <w:color w:val="000000"/>
          <w:lang w:eastAsia="bg-BG"/>
        </w:rPr>
        <w:t xml:space="preserve"> бозентан потиска експортната помпа на жлъчните соли в хепатоцитни култури.</w:t>
      </w:r>
    </w:p>
    <w:p w14:paraId="0D7EF36C" w14:textId="77777777" w:rsidR="003F2DC2" w:rsidRPr="003F2DC2" w:rsidRDefault="003F2DC2" w:rsidP="003F2DC2">
      <w:pPr>
        <w:spacing w:line="240" w:lineRule="auto"/>
        <w:rPr>
          <w:rFonts w:eastAsia="Times New Roman" w:cs="Arial"/>
          <w:color w:val="000000"/>
          <w:lang w:eastAsia="bg-BG"/>
        </w:rPr>
      </w:pPr>
    </w:p>
    <w:p w14:paraId="4D002247" w14:textId="74697A1F" w:rsidR="003F2DC2" w:rsidRPr="003F2DC2" w:rsidRDefault="003F2DC2" w:rsidP="003F2DC2">
      <w:pPr>
        <w:spacing w:line="240" w:lineRule="auto"/>
        <w:rPr>
          <w:rFonts w:eastAsia="Times New Roman" w:cs="Arial"/>
        </w:rPr>
      </w:pPr>
      <w:r w:rsidRPr="003F2DC2">
        <w:rPr>
          <w:rFonts w:eastAsia="Times New Roman" w:cs="Arial"/>
          <w:color w:val="000000"/>
          <w:lang w:eastAsia="bg-BG"/>
        </w:rPr>
        <w:t xml:space="preserve">Данните </w:t>
      </w:r>
      <w:r w:rsidRPr="003F2DC2">
        <w:rPr>
          <w:rFonts w:eastAsia="Times New Roman" w:cs="Arial"/>
          <w:i/>
          <w:iCs/>
          <w:color w:val="000000"/>
          <w:lang w:eastAsia="bg-BG"/>
        </w:rPr>
        <w:t>ин витро</w:t>
      </w:r>
      <w:r w:rsidRPr="003F2DC2">
        <w:rPr>
          <w:rFonts w:eastAsia="Times New Roman" w:cs="Arial"/>
          <w:color w:val="000000"/>
          <w:lang w:eastAsia="bg-BG"/>
        </w:rPr>
        <w:t xml:space="preserve"> показват, че бозентан няма значим инхибиторен ефект върху изследваните изоензими на </w:t>
      </w:r>
      <w:r w:rsidRPr="003F2DC2">
        <w:rPr>
          <w:rFonts w:eastAsia="Times New Roman" w:cs="Arial"/>
          <w:color w:val="000000"/>
          <w:lang w:val="en-US"/>
        </w:rPr>
        <w:t>CYP</w:t>
      </w:r>
      <w:r w:rsidRPr="003F2DC2">
        <w:rPr>
          <w:rFonts w:eastAsia="Times New Roman" w:cs="Arial"/>
          <w:color w:val="000000"/>
          <w:lang w:val="ru-RU"/>
        </w:rPr>
        <w:t xml:space="preserve"> (</w:t>
      </w:r>
      <w:r w:rsidRPr="003F2DC2">
        <w:rPr>
          <w:rFonts w:eastAsia="Times New Roman" w:cs="Arial"/>
          <w:color w:val="000000"/>
          <w:lang w:val="en-US"/>
        </w:rPr>
        <w:t>CYP</w:t>
      </w:r>
      <w:r w:rsidRPr="003F2DC2">
        <w:rPr>
          <w:rFonts w:eastAsia="Times New Roman" w:cs="Arial"/>
          <w:color w:val="000000"/>
          <w:lang w:val="ru-RU"/>
        </w:rPr>
        <w:t>1</w:t>
      </w:r>
      <w:r w:rsidRPr="003F2DC2">
        <w:rPr>
          <w:rFonts w:eastAsia="Times New Roman" w:cs="Arial"/>
          <w:color w:val="000000"/>
          <w:lang w:val="en-US"/>
        </w:rPr>
        <w:t>A</w:t>
      </w:r>
      <w:r w:rsidRPr="003F2DC2">
        <w:rPr>
          <w:rFonts w:eastAsia="Times New Roman" w:cs="Arial"/>
          <w:color w:val="000000"/>
          <w:lang w:val="ru-RU"/>
        </w:rPr>
        <w:t xml:space="preserve">2, </w:t>
      </w:r>
      <w:r w:rsidRPr="003F2DC2">
        <w:rPr>
          <w:rFonts w:eastAsia="Times New Roman" w:cs="Arial"/>
          <w:color w:val="000000"/>
          <w:lang w:eastAsia="bg-BG"/>
        </w:rPr>
        <w:t>2А6, 2В6,</w:t>
      </w:r>
      <w:r w:rsidRPr="003F2DC2">
        <w:rPr>
          <w:rFonts w:eastAsia="Times New Roman" w:cs="Arial"/>
          <w:color w:val="000000"/>
          <w:lang w:val="ru-RU"/>
        </w:rPr>
        <w:t>2</w:t>
      </w:r>
      <w:r w:rsidRPr="003F2DC2">
        <w:rPr>
          <w:rFonts w:eastAsia="Times New Roman" w:cs="Arial"/>
          <w:color w:val="000000"/>
          <w:lang w:val="en-US"/>
        </w:rPr>
        <w:t>CS</w:t>
      </w:r>
      <w:r w:rsidRPr="003F2DC2">
        <w:rPr>
          <w:rFonts w:eastAsia="Times New Roman" w:cs="Arial"/>
          <w:color w:val="000000"/>
          <w:lang w:val="ru-RU"/>
        </w:rPr>
        <w:t xml:space="preserve">, </w:t>
      </w:r>
      <w:r w:rsidRPr="003F2DC2">
        <w:rPr>
          <w:rFonts w:eastAsia="Times New Roman" w:cs="Arial"/>
          <w:color w:val="000000"/>
          <w:lang w:eastAsia="bg-BG"/>
        </w:rPr>
        <w:t>2С9,</w:t>
      </w:r>
      <w:r w:rsidRPr="003F2DC2">
        <w:rPr>
          <w:rFonts w:eastAsia="Times New Roman" w:cs="Arial"/>
          <w:color w:val="000000"/>
          <w:lang w:val="ru-RU"/>
        </w:rPr>
        <w:t>2</w:t>
      </w:r>
      <w:r w:rsidRPr="003F2DC2">
        <w:rPr>
          <w:rFonts w:eastAsia="Times New Roman" w:cs="Arial"/>
          <w:color w:val="000000"/>
          <w:lang w:val="en-US"/>
        </w:rPr>
        <w:t>D</w:t>
      </w:r>
      <w:r w:rsidRPr="003F2DC2">
        <w:rPr>
          <w:rFonts w:eastAsia="Times New Roman" w:cs="Arial"/>
          <w:color w:val="000000"/>
          <w:lang w:val="ru-RU"/>
        </w:rPr>
        <w:t>6,</w:t>
      </w:r>
      <w:r w:rsidRPr="003F2DC2">
        <w:rPr>
          <w:rFonts w:eastAsia="Times New Roman" w:cs="Arial"/>
          <w:color w:val="000000"/>
          <w:lang w:eastAsia="bg-BG"/>
        </w:rPr>
        <w:t>2Е1, ЗА4). Поради това не се очаква бозентан да повишава плазмените концентрации на лекарствените продукти, метаболизирани от тези изоензими.</w:t>
      </w:r>
    </w:p>
    <w:p w14:paraId="5D293E15" w14:textId="77777777" w:rsidR="003F2DC2" w:rsidRPr="003F2DC2" w:rsidRDefault="003F2DC2" w:rsidP="003F2DC2">
      <w:pPr>
        <w:spacing w:line="240" w:lineRule="auto"/>
        <w:rPr>
          <w:rFonts w:eastAsia="Times New Roman" w:cs="Arial"/>
          <w:color w:val="000000"/>
          <w:u w:val="single"/>
          <w:lang w:eastAsia="bg-BG"/>
        </w:rPr>
      </w:pPr>
    </w:p>
    <w:p w14:paraId="192FEB57" w14:textId="5A4D28F6" w:rsidR="003F2DC2" w:rsidRPr="003F2DC2" w:rsidRDefault="003F2DC2" w:rsidP="003F2DC2">
      <w:pPr>
        <w:spacing w:line="240" w:lineRule="auto"/>
        <w:rPr>
          <w:rFonts w:eastAsia="Times New Roman" w:cs="Arial"/>
        </w:rPr>
      </w:pPr>
      <w:r w:rsidRPr="003F2DC2">
        <w:rPr>
          <w:rFonts w:eastAsia="Times New Roman" w:cs="Arial"/>
          <w:color w:val="000000"/>
          <w:u w:val="single"/>
          <w:lang w:eastAsia="bg-BG"/>
        </w:rPr>
        <w:t>Фармакокинетика при специални популации</w:t>
      </w:r>
    </w:p>
    <w:p w14:paraId="2A4C1A21" w14:textId="77777777" w:rsidR="003F2DC2" w:rsidRPr="003F2DC2" w:rsidRDefault="003F2DC2" w:rsidP="003F2DC2">
      <w:pPr>
        <w:spacing w:line="240" w:lineRule="auto"/>
        <w:rPr>
          <w:rFonts w:eastAsia="Times New Roman" w:cs="Arial"/>
          <w:color w:val="000000"/>
          <w:lang w:eastAsia="bg-BG"/>
        </w:rPr>
      </w:pPr>
    </w:p>
    <w:p w14:paraId="5E643182" w14:textId="123F87DE" w:rsidR="003F2DC2" w:rsidRPr="003F2DC2" w:rsidRDefault="003F2DC2" w:rsidP="003F2DC2">
      <w:pPr>
        <w:spacing w:line="240" w:lineRule="auto"/>
        <w:rPr>
          <w:rFonts w:eastAsia="Times New Roman" w:cs="Arial"/>
        </w:rPr>
      </w:pPr>
      <w:r w:rsidRPr="003F2DC2">
        <w:rPr>
          <w:rFonts w:eastAsia="Times New Roman" w:cs="Arial"/>
          <w:color w:val="000000"/>
          <w:lang w:eastAsia="bg-BG"/>
        </w:rPr>
        <w:t>Въз основа на изследвания обхват на всяка променлива, при възрастната популация не се очаква фармакокинетиката на бозентан да бъде повлияна в значителна степен от пола, телесното тегло, расата или възрастта.</w:t>
      </w:r>
    </w:p>
    <w:p w14:paraId="5D229D6E" w14:textId="77777777" w:rsidR="003F2DC2" w:rsidRPr="003F2DC2" w:rsidRDefault="003F2DC2" w:rsidP="003F2DC2">
      <w:pPr>
        <w:spacing w:line="240" w:lineRule="auto"/>
        <w:rPr>
          <w:rFonts w:eastAsia="Times New Roman" w:cs="Arial"/>
          <w:i/>
          <w:iCs/>
          <w:color w:val="000000"/>
          <w:lang w:eastAsia="bg-BG"/>
        </w:rPr>
      </w:pPr>
    </w:p>
    <w:p w14:paraId="44CC3E50" w14:textId="44932C98" w:rsidR="003F2DC2" w:rsidRPr="003F2DC2" w:rsidRDefault="003F2DC2" w:rsidP="003F2DC2">
      <w:pPr>
        <w:spacing w:line="240" w:lineRule="auto"/>
        <w:rPr>
          <w:rFonts w:eastAsia="Times New Roman" w:cs="Arial"/>
        </w:rPr>
      </w:pPr>
      <w:r w:rsidRPr="003F2DC2">
        <w:rPr>
          <w:rFonts w:eastAsia="Times New Roman" w:cs="Arial"/>
          <w:i/>
          <w:iCs/>
          <w:color w:val="000000"/>
          <w:lang w:eastAsia="bg-BG"/>
        </w:rPr>
        <w:t>Педиатрична популация</w:t>
      </w:r>
    </w:p>
    <w:p w14:paraId="6A7F6717" w14:textId="77777777" w:rsidR="003F2DC2" w:rsidRPr="003F2DC2" w:rsidRDefault="003F2DC2" w:rsidP="003F2DC2">
      <w:pPr>
        <w:spacing w:line="240" w:lineRule="auto"/>
        <w:rPr>
          <w:rFonts w:eastAsia="Times New Roman" w:cs="Arial"/>
        </w:rPr>
      </w:pPr>
      <w:r w:rsidRPr="003F2DC2">
        <w:rPr>
          <w:rFonts w:eastAsia="Times New Roman" w:cs="Arial"/>
          <w:color w:val="000000"/>
          <w:lang w:eastAsia="bg-BG"/>
        </w:rPr>
        <w:lastRenderedPageBreak/>
        <w:t xml:space="preserve">Фармакокинетиката е проучена при педиатрични пациенти в 4 клинични проучвания </w:t>
      </w:r>
      <w:r w:rsidRPr="003F2DC2">
        <w:rPr>
          <w:rFonts w:eastAsia="Times New Roman" w:cs="Arial"/>
          <w:color w:val="000000"/>
        </w:rPr>
        <w:t>(</w:t>
      </w:r>
      <w:r w:rsidRPr="003F2DC2">
        <w:rPr>
          <w:rFonts w:eastAsia="Times New Roman" w:cs="Arial"/>
          <w:color w:val="000000"/>
          <w:lang w:val="en-US"/>
        </w:rPr>
        <w:t>BREATHE</w:t>
      </w:r>
      <w:r w:rsidRPr="003F2DC2">
        <w:rPr>
          <w:rFonts w:eastAsia="Times New Roman" w:cs="Arial"/>
          <w:color w:val="000000"/>
        </w:rPr>
        <w:t xml:space="preserve">-3, </w:t>
      </w:r>
      <w:r w:rsidRPr="003F2DC2">
        <w:rPr>
          <w:rFonts w:eastAsia="Times New Roman" w:cs="Arial"/>
          <w:color w:val="000000"/>
          <w:lang w:val="en-US"/>
        </w:rPr>
        <w:t>FUTURE</w:t>
      </w:r>
      <w:r w:rsidRPr="003F2DC2">
        <w:rPr>
          <w:rFonts w:eastAsia="Times New Roman" w:cs="Arial"/>
          <w:color w:val="000000"/>
        </w:rPr>
        <w:t xml:space="preserve"> </w:t>
      </w:r>
      <w:r w:rsidRPr="003F2DC2">
        <w:rPr>
          <w:rFonts w:eastAsia="Times New Roman" w:cs="Arial"/>
          <w:color w:val="000000"/>
          <w:lang w:eastAsia="bg-BG"/>
        </w:rPr>
        <w:t xml:space="preserve">1, </w:t>
      </w:r>
      <w:r w:rsidRPr="003F2DC2">
        <w:rPr>
          <w:rFonts w:eastAsia="Times New Roman" w:cs="Arial"/>
          <w:color w:val="000000"/>
          <w:lang w:val="en-US"/>
        </w:rPr>
        <w:t>FUTURE</w:t>
      </w:r>
      <w:r w:rsidRPr="003F2DC2">
        <w:rPr>
          <w:rFonts w:eastAsia="Times New Roman" w:cs="Arial"/>
          <w:color w:val="000000"/>
        </w:rPr>
        <w:t xml:space="preserve">-3 </w:t>
      </w:r>
      <w:r w:rsidRPr="003F2DC2">
        <w:rPr>
          <w:rFonts w:eastAsia="Times New Roman" w:cs="Arial"/>
          <w:color w:val="000000"/>
          <w:lang w:eastAsia="bg-BG"/>
        </w:rPr>
        <w:t xml:space="preserve">и </w:t>
      </w:r>
      <w:r w:rsidRPr="003F2DC2">
        <w:rPr>
          <w:rFonts w:eastAsia="Times New Roman" w:cs="Arial"/>
          <w:color w:val="000000"/>
          <w:lang w:val="en-US"/>
        </w:rPr>
        <w:t>FUTURE</w:t>
      </w:r>
      <w:r w:rsidRPr="003F2DC2">
        <w:rPr>
          <w:rFonts w:eastAsia="Times New Roman" w:cs="Arial"/>
          <w:color w:val="000000"/>
        </w:rPr>
        <w:t xml:space="preserve">-4, </w:t>
      </w:r>
      <w:r w:rsidRPr="003F2DC2">
        <w:rPr>
          <w:rFonts w:eastAsia="Times New Roman" w:cs="Arial"/>
          <w:color w:val="000000"/>
          <w:lang w:eastAsia="bg-BG"/>
        </w:rPr>
        <w:t>вж. точка 5.1). Поради ограничените данни при деца под 2-годишна възраст, фармакокинетиката остава недостатъчно характеризирана в гази възрастова категория.</w:t>
      </w:r>
    </w:p>
    <w:p w14:paraId="2487021B" w14:textId="77777777" w:rsidR="003F2DC2" w:rsidRPr="003F2DC2" w:rsidRDefault="003F2DC2" w:rsidP="003F2DC2">
      <w:pPr>
        <w:spacing w:line="240" w:lineRule="auto"/>
        <w:rPr>
          <w:rFonts w:eastAsia="Times New Roman" w:cs="Arial"/>
          <w:color w:val="000000"/>
          <w:lang w:eastAsia="bg-BG"/>
        </w:rPr>
      </w:pPr>
    </w:p>
    <w:p w14:paraId="34A2CA01" w14:textId="13FE797A" w:rsidR="003F2DC2" w:rsidRPr="003F2DC2" w:rsidRDefault="003F2DC2" w:rsidP="003F2DC2">
      <w:pPr>
        <w:spacing w:line="240" w:lineRule="auto"/>
        <w:rPr>
          <w:rFonts w:eastAsia="Times New Roman" w:cs="Arial"/>
        </w:rPr>
      </w:pPr>
      <w:r w:rsidRPr="003F2DC2">
        <w:rPr>
          <w:rFonts w:eastAsia="Times New Roman" w:cs="Arial"/>
          <w:color w:val="000000"/>
          <w:lang w:eastAsia="bg-BG"/>
        </w:rPr>
        <w:t xml:space="preserve">Проучването </w:t>
      </w:r>
      <w:r w:rsidRPr="003F2DC2">
        <w:rPr>
          <w:rFonts w:eastAsia="Times New Roman" w:cs="Arial"/>
          <w:color w:val="000000"/>
          <w:lang w:val="en-US"/>
        </w:rPr>
        <w:t>AC</w:t>
      </w:r>
      <w:r w:rsidRPr="003F2DC2">
        <w:rPr>
          <w:rFonts w:eastAsia="Times New Roman" w:cs="Arial"/>
          <w:color w:val="000000"/>
          <w:lang w:val="ru-RU"/>
        </w:rPr>
        <w:t>-052-356 (</w:t>
      </w:r>
      <w:r w:rsidRPr="003F2DC2">
        <w:rPr>
          <w:rFonts w:eastAsia="Times New Roman" w:cs="Arial"/>
          <w:color w:val="000000"/>
          <w:lang w:val="en-US"/>
        </w:rPr>
        <w:t>BREATHE</w:t>
      </w:r>
      <w:r w:rsidRPr="003F2DC2">
        <w:rPr>
          <w:rFonts w:eastAsia="Times New Roman" w:cs="Arial"/>
          <w:color w:val="000000"/>
          <w:lang w:val="ru-RU"/>
        </w:rPr>
        <w:t xml:space="preserve">-3) </w:t>
      </w:r>
      <w:r w:rsidRPr="003F2DC2">
        <w:rPr>
          <w:rFonts w:eastAsia="Times New Roman" w:cs="Arial"/>
          <w:color w:val="000000"/>
          <w:lang w:eastAsia="bg-BG"/>
        </w:rPr>
        <w:t xml:space="preserve">оценява фармакокинетиката при еднократно и многократно перорално дозиране на филмираната таблетка бозентан при 19 деца на възраст от 3 до 15 години с БАХ (БАХ), при които дозите са определяни въз основа на телесното тегло с 2 </w:t>
      </w:r>
      <w:r w:rsidRPr="003F2DC2">
        <w:rPr>
          <w:rFonts w:eastAsia="Times New Roman" w:cs="Arial"/>
          <w:color w:val="000000"/>
          <w:lang w:val="en-US"/>
        </w:rPr>
        <w:t>mg</w:t>
      </w:r>
      <w:r w:rsidRPr="003F2DC2">
        <w:rPr>
          <w:rFonts w:eastAsia="Times New Roman" w:cs="Arial"/>
          <w:color w:val="000000"/>
          <w:lang w:val="ru-RU"/>
        </w:rPr>
        <w:t>/</w:t>
      </w:r>
      <w:r w:rsidRPr="003F2DC2">
        <w:rPr>
          <w:rFonts w:eastAsia="Times New Roman" w:cs="Arial"/>
          <w:color w:val="000000"/>
          <w:lang w:val="en-US"/>
        </w:rPr>
        <w:t>kg</w:t>
      </w:r>
      <w:r w:rsidRPr="003F2DC2">
        <w:rPr>
          <w:rFonts w:eastAsia="Times New Roman" w:cs="Arial"/>
          <w:color w:val="000000"/>
          <w:lang w:val="ru-RU"/>
        </w:rPr>
        <w:t xml:space="preserve"> </w:t>
      </w:r>
      <w:r w:rsidRPr="003F2DC2">
        <w:rPr>
          <w:rFonts w:eastAsia="Times New Roman" w:cs="Arial"/>
          <w:color w:val="000000"/>
          <w:lang w:eastAsia="bg-BG"/>
        </w:rPr>
        <w:t xml:space="preserve">два пъти дневно. При това проучване, експозицията на бозентан намалява с времето по начин, съответстващ на известните автоиндукционни свойства на бозентана. Средните стойности на </w:t>
      </w:r>
      <w:r w:rsidRPr="003F2DC2">
        <w:rPr>
          <w:rFonts w:eastAsia="Times New Roman" w:cs="Arial"/>
          <w:color w:val="000000"/>
          <w:lang w:val="en-US"/>
        </w:rPr>
        <w:t>AUC</w:t>
      </w:r>
      <w:r w:rsidRPr="003F2DC2">
        <w:rPr>
          <w:rFonts w:eastAsia="Times New Roman" w:cs="Arial"/>
          <w:color w:val="000000"/>
          <w:lang w:val="ru-RU"/>
        </w:rPr>
        <w:t xml:space="preserve"> (</w:t>
      </w:r>
      <w:r w:rsidRPr="003F2DC2">
        <w:rPr>
          <w:rFonts w:eastAsia="Times New Roman" w:cs="Arial"/>
          <w:color w:val="000000"/>
          <w:lang w:val="en-US"/>
        </w:rPr>
        <w:t>CV</w:t>
      </w:r>
      <w:r w:rsidRPr="003F2DC2">
        <w:rPr>
          <w:rFonts w:eastAsia="Times New Roman" w:cs="Arial"/>
          <w:color w:val="000000"/>
          <w:lang w:val="ru-RU"/>
        </w:rPr>
        <w:t xml:space="preserve">%) </w:t>
      </w:r>
      <w:r w:rsidRPr="003F2DC2">
        <w:rPr>
          <w:rFonts w:eastAsia="Times New Roman" w:cs="Arial"/>
          <w:color w:val="000000"/>
          <w:lang w:eastAsia="bg-BG"/>
        </w:rPr>
        <w:t xml:space="preserve">за бозентан при педиатрични пациенти, лекувани с 31,25, 62,5 или 125 </w:t>
      </w:r>
      <w:r w:rsidRPr="003F2DC2">
        <w:rPr>
          <w:rFonts w:eastAsia="Times New Roman" w:cs="Arial"/>
          <w:color w:val="000000"/>
          <w:lang w:val="en-US"/>
        </w:rPr>
        <w:t>mg</w:t>
      </w:r>
      <w:r w:rsidRPr="003F2DC2">
        <w:rPr>
          <w:rFonts w:eastAsia="Times New Roman" w:cs="Arial"/>
          <w:color w:val="000000"/>
          <w:lang w:val="ru-RU"/>
        </w:rPr>
        <w:t xml:space="preserve"> </w:t>
      </w:r>
      <w:r w:rsidRPr="003F2DC2">
        <w:rPr>
          <w:rFonts w:eastAsia="Times New Roman" w:cs="Arial"/>
          <w:color w:val="000000"/>
          <w:lang w:eastAsia="bg-BG"/>
        </w:rPr>
        <w:t xml:space="preserve">два пъти дневно, са съответно 3 496 (49), 5 428 (79), и 6 124 (27) </w:t>
      </w:r>
      <w:r w:rsidRPr="003F2DC2">
        <w:rPr>
          <w:rFonts w:eastAsia="Times New Roman" w:cs="Arial"/>
          <w:color w:val="000000"/>
          <w:lang w:val="en-US"/>
        </w:rPr>
        <w:t>ngh</w:t>
      </w:r>
      <w:r w:rsidRPr="003F2DC2">
        <w:rPr>
          <w:rFonts w:eastAsia="Times New Roman" w:cs="Arial"/>
          <w:color w:val="000000"/>
          <w:lang w:val="ru-RU"/>
        </w:rPr>
        <w:t>/</w:t>
      </w:r>
      <w:r w:rsidRPr="003F2DC2">
        <w:rPr>
          <w:rFonts w:eastAsia="Times New Roman" w:cs="Arial"/>
          <w:color w:val="000000"/>
          <w:lang w:val="en-US"/>
        </w:rPr>
        <w:t>ml</w:t>
      </w:r>
      <w:r w:rsidRPr="003F2DC2">
        <w:rPr>
          <w:rFonts w:eastAsia="Times New Roman" w:cs="Arial"/>
          <w:color w:val="000000"/>
          <w:lang w:val="ru-RU"/>
        </w:rPr>
        <w:t xml:space="preserve">, </w:t>
      </w:r>
      <w:r w:rsidRPr="003F2DC2">
        <w:rPr>
          <w:rFonts w:eastAsia="Times New Roman" w:cs="Arial"/>
          <w:color w:val="000000"/>
          <w:lang w:eastAsia="bg-BG"/>
        </w:rPr>
        <w:t xml:space="preserve">и са по-ниски от стойността 8 149 (47) </w:t>
      </w:r>
      <w:r w:rsidRPr="003F2DC2">
        <w:rPr>
          <w:rFonts w:eastAsia="Times New Roman" w:cs="Arial"/>
          <w:color w:val="000000"/>
          <w:lang w:val="en-US"/>
        </w:rPr>
        <w:t>ngh</w:t>
      </w:r>
      <w:r w:rsidRPr="003F2DC2">
        <w:rPr>
          <w:rFonts w:eastAsia="Times New Roman" w:cs="Arial"/>
          <w:color w:val="000000"/>
          <w:lang w:val="ru-RU"/>
        </w:rPr>
        <w:t>/</w:t>
      </w:r>
      <w:r w:rsidRPr="003F2DC2">
        <w:rPr>
          <w:rFonts w:eastAsia="Times New Roman" w:cs="Arial"/>
          <w:color w:val="000000"/>
          <w:lang w:val="en-US"/>
        </w:rPr>
        <w:t>ml</w:t>
      </w:r>
      <w:r w:rsidRPr="003F2DC2">
        <w:rPr>
          <w:rFonts w:eastAsia="Times New Roman" w:cs="Arial"/>
          <w:color w:val="000000"/>
          <w:lang w:val="ru-RU"/>
        </w:rPr>
        <w:t xml:space="preserve">, </w:t>
      </w:r>
      <w:r w:rsidRPr="003F2DC2">
        <w:rPr>
          <w:rFonts w:eastAsia="Times New Roman" w:cs="Arial"/>
          <w:color w:val="000000"/>
          <w:lang w:eastAsia="bg-BG"/>
        </w:rPr>
        <w:t xml:space="preserve">наблюдавана при възрастни пациенти с БАХ, получаващи 125 </w:t>
      </w:r>
      <w:r w:rsidRPr="003F2DC2">
        <w:rPr>
          <w:rFonts w:eastAsia="Times New Roman" w:cs="Arial"/>
          <w:color w:val="000000"/>
          <w:lang w:val="en-US"/>
        </w:rPr>
        <w:t>mg</w:t>
      </w:r>
      <w:r w:rsidRPr="003F2DC2">
        <w:rPr>
          <w:rFonts w:eastAsia="Times New Roman" w:cs="Arial"/>
          <w:color w:val="000000"/>
          <w:lang w:val="ru-RU"/>
        </w:rPr>
        <w:t xml:space="preserve"> </w:t>
      </w:r>
      <w:r w:rsidRPr="003F2DC2">
        <w:rPr>
          <w:rFonts w:eastAsia="Times New Roman" w:cs="Arial"/>
          <w:color w:val="000000"/>
          <w:lang w:eastAsia="bg-BG"/>
        </w:rPr>
        <w:t xml:space="preserve">два пъти дневно. При стабилно плазмено ниво, системните експозиции при педиатрични пациенти, тежащи 10-20 </w:t>
      </w:r>
      <w:r w:rsidRPr="003F2DC2">
        <w:rPr>
          <w:rFonts w:eastAsia="Times New Roman" w:cs="Arial"/>
          <w:color w:val="000000"/>
          <w:lang w:val="en-US"/>
        </w:rPr>
        <w:t>kg</w:t>
      </w:r>
      <w:r w:rsidRPr="003F2DC2">
        <w:rPr>
          <w:rFonts w:eastAsia="Times New Roman" w:cs="Arial"/>
          <w:color w:val="000000"/>
          <w:lang w:val="ru-RU"/>
        </w:rPr>
        <w:t xml:space="preserve">, </w:t>
      </w:r>
      <w:r w:rsidRPr="003F2DC2">
        <w:rPr>
          <w:rFonts w:eastAsia="Times New Roman" w:cs="Arial"/>
          <w:color w:val="000000"/>
          <w:lang w:eastAsia="bg-BG"/>
        </w:rPr>
        <w:t xml:space="preserve">20-40 </w:t>
      </w:r>
      <w:r w:rsidRPr="003F2DC2">
        <w:rPr>
          <w:rFonts w:eastAsia="Times New Roman" w:cs="Arial"/>
          <w:color w:val="000000"/>
          <w:lang w:val="en-US"/>
        </w:rPr>
        <w:t>kg</w:t>
      </w:r>
      <w:r w:rsidRPr="003F2DC2">
        <w:rPr>
          <w:rFonts w:eastAsia="Times New Roman" w:cs="Arial"/>
          <w:color w:val="000000"/>
          <w:lang w:val="ru-RU"/>
        </w:rPr>
        <w:t xml:space="preserve"> </w:t>
      </w:r>
      <w:r w:rsidRPr="003F2DC2">
        <w:rPr>
          <w:rFonts w:eastAsia="Times New Roman" w:cs="Arial"/>
          <w:color w:val="000000"/>
          <w:lang w:eastAsia="bg-BG"/>
        </w:rPr>
        <w:t xml:space="preserve">и &gt; 40 </w:t>
      </w:r>
      <w:r w:rsidRPr="003F2DC2">
        <w:rPr>
          <w:rFonts w:eastAsia="Times New Roman" w:cs="Arial"/>
          <w:color w:val="000000"/>
          <w:lang w:val="en-US"/>
        </w:rPr>
        <w:t>kg</w:t>
      </w:r>
      <w:r w:rsidRPr="003F2DC2">
        <w:rPr>
          <w:rFonts w:eastAsia="Times New Roman" w:cs="Arial"/>
          <w:color w:val="000000"/>
          <w:lang w:val="ru-RU"/>
        </w:rPr>
        <w:t xml:space="preserve">, </w:t>
      </w:r>
      <w:r w:rsidRPr="003F2DC2">
        <w:rPr>
          <w:rFonts w:eastAsia="Times New Roman" w:cs="Arial"/>
          <w:color w:val="000000"/>
          <w:lang w:eastAsia="bg-BG"/>
        </w:rPr>
        <w:t>е съответно 43%, 67% и 75% от системната експозиция при възрастни.</w:t>
      </w:r>
    </w:p>
    <w:p w14:paraId="494BC5CA" w14:textId="77777777" w:rsidR="003F2DC2" w:rsidRPr="003F2DC2" w:rsidRDefault="003F2DC2" w:rsidP="003F2DC2">
      <w:pPr>
        <w:rPr>
          <w:rFonts w:eastAsia="Times New Roman" w:cs="Arial"/>
          <w:color w:val="000000"/>
          <w:lang w:eastAsia="bg-BG"/>
        </w:rPr>
      </w:pPr>
    </w:p>
    <w:p w14:paraId="2A302015" w14:textId="7AEFAE6C" w:rsidR="003F2DC2" w:rsidRPr="003F2DC2" w:rsidRDefault="003F2DC2" w:rsidP="003F2DC2">
      <w:pPr>
        <w:rPr>
          <w:rFonts w:eastAsia="Times New Roman" w:cs="Arial"/>
          <w:color w:val="000000"/>
          <w:lang w:eastAsia="bg-BG"/>
        </w:rPr>
      </w:pPr>
      <w:r w:rsidRPr="003F2DC2">
        <w:rPr>
          <w:rFonts w:eastAsia="Times New Roman" w:cs="Arial"/>
          <w:color w:val="000000"/>
          <w:lang w:eastAsia="bg-BG"/>
        </w:rPr>
        <w:t xml:space="preserve">При проучване </w:t>
      </w:r>
      <w:r w:rsidRPr="003F2DC2">
        <w:rPr>
          <w:rFonts w:eastAsia="Times New Roman" w:cs="Arial"/>
          <w:color w:val="000000"/>
          <w:lang w:val="en-US"/>
        </w:rPr>
        <w:t>AC</w:t>
      </w:r>
      <w:r w:rsidRPr="003F2DC2">
        <w:rPr>
          <w:rFonts w:eastAsia="Times New Roman" w:cs="Arial"/>
          <w:color w:val="000000"/>
          <w:lang w:val="ru-RU"/>
        </w:rPr>
        <w:t>-052-365 (</w:t>
      </w:r>
      <w:r w:rsidRPr="003F2DC2">
        <w:rPr>
          <w:rFonts w:eastAsia="Times New Roman" w:cs="Arial"/>
          <w:color w:val="000000"/>
          <w:lang w:val="en-US"/>
        </w:rPr>
        <w:t>FUTURE</w:t>
      </w:r>
      <w:r w:rsidRPr="003F2DC2">
        <w:rPr>
          <w:rFonts w:eastAsia="Times New Roman" w:cs="Arial"/>
          <w:color w:val="000000"/>
          <w:lang w:val="ru-RU"/>
        </w:rPr>
        <w:t xml:space="preserve"> </w:t>
      </w:r>
      <w:r w:rsidRPr="003F2DC2">
        <w:rPr>
          <w:rFonts w:eastAsia="Times New Roman" w:cs="Arial"/>
          <w:color w:val="000000"/>
          <w:lang w:eastAsia="bg-BG"/>
        </w:rPr>
        <w:t xml:space="preserve">1) при 36 деца с БАХ на възраст от 2 до 11 години са приложени диспергиращи се таблетки. Не е наблюдавана дозова пропорционалност, тъй като плазмените концентрации и </w:t>
      </w:r>
      <w:r w:rsidRPr="003F2DC2">
        <w:rPr>
          <w:rFonts w:eastAsia="Times New Roman" w:cs="Arial"/>
          <w:color w:val="000000"/>
          <w:lang w:val="en-US"/>
        </w:rPr>
        <w:t>AUC</w:t>
      </w:r>
      <w:r w:rsidRPr="003F2DC2">
        <w:rPr>
          <w:rFonts w:eastAsia="Times New Roman" w:cs="Arial"/>
          <w:color w:val="000000"/>
          <w:lang w:val="ru-RU"/>
        </w:rPr>
        <w:t xml:space="preserve"> </w:t>
      </w:r>
      <w:r w:rsidRPr="003F2DC2">
        <w:rPr>
          <w:rFonts w:eastAsia="Times New Roman" w:cs="Arial"/>
          <w:color w:val="000000"/>
          <w:lang w:eastAsia="bg-BG"/>
        </w:rPr>
        <w:t xml:space="preserve">на бозентан в стационарно състояние са подобни при перорални дози от 2 и 4 </w:t>
      </w:r>
      <w:r w:rsidRPr="003F2DC2">
        <w:rPr>
          <w:rFonts w:eastAsia="Times New Roman" w:cs="Arial"/>
          <w:color w:val="000000"/>
          <w:lang w:val="en-US"/>
        </w:rPr>
        <w:t>mg</w:t>
      </w:r>
      <w:r w:rsidRPr="003F2DC2">
        <w:rPr>
          <w:rFonts w:eastAsia="Times New Roman" w:cs="Arial"/>
          <w:color w:val="000000"/>
          <w:lang w:val="ru-RU"/>
        </w:rPr>
        <w:t>/</w:t>
      </w:r>
      <w:r w:rsidRPr="003F2DC2">
        <w:rPr>
          <w:rFonts w:eastAsia="Times New Roman" w:cs="Arial"/>
          <w:color w:val="000000"/>
          <w:lang w:val="en-US"/>
        </w:rPr>
        <w:t>kg</w:t>
      </w:r>
      <w:r w:rsidRPr="003F2DC2">
        <w:rPr>
          <w:rFonts w:eastAsia="Times New Roman" w:cs="Arial"/>
          <w:color w:val="000000"/>
          <w:lang w:val="ru-RU"/>
        </w:rPr>
        <w:t>. (</w:t>
      </w:r>
      <w:r w:rsidRPr="003F2DC2">
        <w:rPr>
          <w:rFonts w:eastAsia="Times New Roman" w:cs="Arial"/>
          <w:color w:val="000000"/>
          <w:lang w:val="en-US"/>
        </w:rPr>
        <w:t>AUC</w:t>
      </w:r>
      <w:r w:rsidRPr="003F2DC2">
        <w:rPr>
          <w:rFonts w:eastAsia="Times New Roman" w:cs="Arial"/>
          <w:color w:val="000000"/>
          <w:lang w:eastAsia="bg-BG"/>
        </w:rPr>
        <w:t>τ:</w:t>
      </w:r>
      <w:r w:rsidRPr="003F2DC2">
        <w:rPr>
          <w:rFonts w:eastAsia="Times New Roman" w:cs="Arial"/>
          <w:color w:val="000000"/>
          <w:lang w:val="ru-RU"/>
        </w:rPr>
        <w:t xml:space="preserve"> </w:t>
      </w:r>
      <w:r w:rsidRPr="003F2DC2">
        <w:rPr>
          <w:rFonts w:eastAsia="Times New Roman" w:cs="Arial"/>
          <w:color w:val="000000"/>
          <w:lang w:eastAsia="bg-BG"/>
        </w:rPr>
        <w:t xml:space="preserve">3,577 </w:t>
      </w:r>
      <w:r w:rsidRPr="003F2DC2">
        <w:rPr>
          <w:rFonts w:eastAsia="Times New Roman" w:cs="Arial"/>
          <w:color w:val="000000"/>
          <w:lang w:val="en-US"/>
        </w:rPr>
        <w:t>ng</w:t>
      </w:r>
      <w:r w:rsidRPr="003F2DC2">
        <w:rPr>
          <w:rFonts w:eastAsia="Times New Roman" w:cs="Arial"/>
          <w:color w:val="000000"/>
          <w:lang w:val="ru-RU"/>
        </w:rPr>
        <w:t xml:space="preserve"> </w:t>
      </w:r>
      <w:r w:rsidRPr="003F2DC2">
        <w:rPr>
          <w:rFonts w:eastAsia="Times New Roman" w:cs="Arial"/>
          <w:color w:val="000000"/>
          <w:lang w:val="en-US"/>
        </w:rPr>
        <w:t>h</w:t>
      </w:r>
      <w:r w:rsidRPr="003F2DC2">
        <w:rPr>
          <w:rFonts w:eastAsia="Times New Roman" w:cs="Arial"/>
          <w:color w:val="000000"/>
          <w:lang w:val="ru-RU"/>
        </w:rPr>
        <w:t>/</w:t>
      </w:r>
      <w:r w:rsidRPr="003F2DC2">
        <w:rPr>
          <w:rFonts w:eastAsia="Times New Roman" w:cs="Arial"/>
          <w:color w:val="000000"/>
          <w:lang w:val="en-US"/>
        </w:rPr>
        <w:t>ml</w:t>
      </w:r>
      <w:r w:rsidRPr="003F2DC2">
        <w:rPr>
          <w:rFonts w:eastAsia="Times New Roman" w:cs="Arial"/>
          <w:color w:val="000000"/>
          <w:lang w:val="ru-RU"/>
        </w:rPr>
        <w:t xml:space="preserve"> </w:t>
      </w:r>
      <w:r w:rsidRPr="003F2DC2">
        <w:rPr>
          <w:rFonts w:eastAsia="Times New Roman" w:cs="Arial"/>
          <w:color w:val="000000"/>
          <w:lang w:eastAsia="bg-BG"/>
        </w:rPr>
        <w:t xml:space="preserve">и 3,371 </w:t>
      </w:r>
      <w:r w:rsidRPr="003F2DC2">
        <w:rPr>
          <w:rFonts w:eastAsia="Times New Roman" w:cs="Arial"/>
          <w:color w:val="000000"/>
          <w:lang w:val="en-US"/>
        </w:rPr>
        <w:t>ng</w:t>
      </w:r>
      <w:r w:rsidRPr="003F2DC2">
        <w:rPr>
          <w:rFonts w:eastAsia="Times New Roman" w:cs="Arial"/>
          <w:color w:val="000000"/>
          <w:lang w:val="ru-RU"/>
        </w:rPr>
        <w:t xml:space="preserve"> </w:t>
      </w:r>
      <w:r w:rsidRPr="003F2DC2">
        <w:rPr>
          <w:rFonts w:eastAsia="Times New Roman" w:cs="Arial"/>
          <w:color w:val="000000"/>
          <w:lang w:val="en-US"/>
        </w:rPr>
        <w:t>h</w:t>
      </w:r>
      <w:r w:rsidRPr="003F2DC2">
        <w:rPr>
          <w:rFonts w:eastAsia="Times New Roman" w:cs="Arial"/>
          <w:color w:val="000000"/>
          <w:lang w:val="ru-RU"/>
        </w:rPr>
        <w:t>/</w:t>
      </w:r>
      <w:r w:rsidRPr="003F2DC2">
        <w:rPr>
          <w:rFonts w:eastAsia="Times New Roman" w:cs="Arial"/>
          <w:color w:val="000000"/>
          <w:lang w:val="en-US"/>
        </w:rPr>
        <w:t>ml</w:t>
      </w:r>
      <w:r w:rsidRPr="003F2DC2">
        <w:rPr>
          <w:rFonts w:eastAsia="Times New Roman" w:cs="Arial"/>
          <w:color w:val="000000"/>
          <w:lang w:val="ru-RU"/>
        </w:rPr>
        <w:t xml:space="preserve"> </w:t>
      </w:r>
      <w:r w:rsidRPr="003F2DC2">
        <w:rPr>
          <w:rFonts w:eastAsia="Times New Roman" w:cs="Arial"/>
          <w:color w:val="000000"/>
          <w:lang w:eastAsia="bg-BG"/>
        </w:rPr>
        <w:t xml:space="preserve">съответно с 2 </w:t>
      </w:r>
      <w:r w:rsidRPr="003F2DC2">
        <w:rPr>
          <w:rFonts w:eastAsia="Times New Roman" w:cs="Arial"/>
          <w:color w:val="000000"/>
          <w:lang w:val="en-US"/>
        </w:rPr>
        <w:t>mg</w:t>
      </w:r>
      <w:r w:rsidRPr="003F2DC2">
        <w:rPr>
          <w:rFonts w:eastAsia="Times New Roman" w:cs="Arial"/>
          <w:color w:val="000000"/>
          <w:lang w:val="ru-RU"/>
        </w:rPr>
        <w:t>/</w:t>
      </w:r>
      <w:r w:rsidRPr="003F2DC2">
        <w:rPr>
          <w:rFonts w:eastAsia="Times New Roman" w:cs="Arial"/>
          <w:color w:val="000000"/>
          <w:lang w:val="en-US"/>
        </w:rPr>
        <w:t>kg</w:t>
      </w:r>
      <w:r w:rsidRPr="003F2DC2">
        <w:rPr>
          <w:rFonts w:eastAsia="Times New Roman" w:cs="Arial"/>
          <w:color w:val="000000"/>
          <w:lang w:val="ru-RU"/>
        </w:rPr>
        <w:t xml:space="preserve"> </w:t>
      </w:r>
      <w:r w:rsidRPr="003F2DC2">
        <w:rPr>
          <w:rFonts w:eastAsia="Times New Roman" w:cs="Arial"/>
          <w:color w:val="000000"/>
          <w:lang w:eastAsia="bg-BG"/>
        </w:rPr>
        <w:t xml:space="preserve">два пъти дневно и 4 </w:t>
      </w:r>
      <w:r w:rsidRPr="003F2DC2">
        <w:rPr>
          <w:rFonts w:eastAsia="Times New Roman" w:cs="Arial"/>
          <w:color w:val="000000"/>
          <w:lang w:val="en-US"/>
        </w:rPr>
        <w:t>mg</w:t>
      </w:r>
      <w:r w:rsidRPr="003F2DC2">
        <w:rPr>
          <w:rFonts w:eastAsia="Times New Roman" w:cs="Arial"/>
          <w:color w:val="000000"/>
          <w:lang w:val="ru-RU"/>
        </w:rPr>
        <w:t>/</w:t>
      </w:r>
      <w:r w:rsidRPr="003F2DC2">
        <w:rPr>
          <w:rFonts w:eastAsia="Times New Roman" w:cs="Arial"/>
          <w:color w:val="000000"/>
          <w:lang w:val="en-US"/>
        </w:rPr>
        <w:t>kg</w:t>
      </w:r>
      <w:r w:rsidRPr="003F2DC2">
        <w:rPr>
          <w:rFonts w:eastAsia="Times New Roman" w:cs="Arial"/>
          <w:color w:val="000000"/>
          <w:lang w:val="ru-RU"/>
        </w:rPr>
        <w:t xml:space="preserve"> </w:t>
      </w:r>
      <w:r w:rsidRPr="003F2DC2">
        <w:rPr>
          <w:rFonts w:eastAsia="Times New Roman" w:cs="Arial"/>
          <w:color w:val="000000"/>
          <w:lang w:eastAsia="bg-BG"/>
        </w:rPr>
        <w:t>два пъти дневно). Средната експозиция на бозентан при тези педиатрични пациенти е около половината от експозицията при възрастни пациенти</w:t>
      </w:r>
      <w:r w:rsidRPr="003F2DC2">
        <w:rPr>
          <w:rFonts w:eastAsia="Times New Roman" w:cs="Arial"/>
          <w:color w:val="000000"/>
          <w:lang w:val="ru-RU"/>
        </w:rPr>
        <w:t xml:space="preserve"> </w:t>
      </w:r>
      <w:r w:rsidRPr="003F2DC2">
        <w:rPr>
          <w:rFonts w:eastAsia="Times New Roman" w:cs="Arial"/>
          <w:color w:val="000000"/>
          <w:lang w:eastAsia="bg-BG"/>
        </w:rPr>
        <w:t xml:space="preserve">при поддържащата доза от 125 </w:t>
      </w:r>
      <w:r w:rsidRPr="003F2DC2">
        <w:rPr>
          <w:rFonts w:eastAsia="Times New Roman" w:cs="Arial"/>
          <w:color w:val="000000"/>
          <w:lang w:val="en-US"/>
        </w:rPr>
        <w:t>mg</w:t>
      </w:r>
      <w:r w:rsidRPr="003F2DC2">
        <w:rPr>
          <w:rFonts w:eastAsia="Times New Roman" w:cs="Arial"/>
          <w:color w:val="000000"/>
          <w:lang w:val="ru-RU"/>
        </w:rPr>
        <w:t xml:space="preserve"> </w:t>
      </w:r>
      <w:r w:rsidRPr="003F2DC2">
        <w:rPr>
          <w:rFonts w:eastAsia="Times New Roman" w:cs="Arial"/>
          <w:color w:val="000000"/>
          <w:lang w:eastAsia="bg-BG"/>
        </w:rPr>
        <w:t>два пъти дневно, но показва широко припокриване с</w:t>
      </w:r>
      <w:r w:rsidRPr="003F2DC2">
        <w:rPr>
          <w:rFonts w:eastAsia="Times New Roman" w:cs="Arial"/>
          <w:i/>
          <w:iCs/>
          <w:color w:val="000000"/>
          <w:lang w:eastAsia="bg-BG"/>
        </w:rPr>
        <w:t xml:space="preserve"> </w:t>
      </w:r>
      <w:r w:rsidRPr="003F2DC2">
        <w:rPr>
          <w:rFonts w:eastAsia="Times New Roman" w:cs="Arial"/>
          <w:color w:val="000000"/>
          <w:lang w:eastAsia="bg-BG"/>
        </w:rPr>
        <w:t>експозицията при възрастни.</w:t>
      </w:r>
    </w:p>
    <w:p w14:paraId="58034F7B" w14:textId="120D1168" w:rsidR="003F2DC2" w:rsidRPr="003F2DC2" w:rsidRDefault="003F2DC2" w:rsidP="003F2DC2">
      <w:pPr>
        <w:rPr>
          <w:rFonts w:eastAsia="Times New Roman" w:cs="Arial"/>
          <w:color w:val="000000"/>
          <w:lang w:eastAsia="bg-BG"/>
        </w:rPr>
      </w:pPr>
    </w:p>
    <w:p w14:paraId="4F29E56C" w14:textId="77777777" w:rsidR="003F2DC2" w:rsidRPr="003F2DC2" w:rsidRDefault="003F2DC2" w:rsidP="003F2DC2">
      <w:pPr>
        <w:spacing w:line="240" w:lineRule="auto"/>
        <w:rPr>
          <w:rFonts w:eastAsia="Times New Roman" w:cs="Arial"/>
        </w:rPr>
      </w:pPr>
      <w:r w:rsidRPr="003F2DC2">
        <w:rPr>
          <w:rFonts w:eastAsia="Times New Roman" w:cs="Arial"/>
          <w:color w:val="000000"/>
          <w:lang w:eastAsia="bg-BG"/>
        </w:rPr>
        <w:t xml:space="preserve">В проучването </w:t>
      </w:r>
      <w:r w:rsidRPr="003F2DC2">
        <w:rPr>
          <w:rFonts w:eastAsia="Times New Roman" w:cs="Arial"/>
          <w:color w:val="000000"/>
          <w:lang w:val="en-US"/>
        </w:rPr>
        <w:t>AC</w:t>
      </w:r>
      <w:r w:rsidRPr="003F2DC2">
        <w:rPr>
          <w:rFonts w:eastAsia="Times New Roman" w:cs="Arial"/>
          <w:color w:val="000000"/>
          <w:lang w:val="ru-RU"/>
        </w:rPr>
        <w:t>-052-373 (</w:t>
      </w:r>
      <w:r w:rsidRPr="003F2DC2">
        <w:rPr>
          <w:rFonts w:eastAsia="Times New Roman" w:cs="Arial"/>
          <w:color w:val="000000"/>
          <w:lang w:val="en-US"/>
        </w:rPr>
        <w:t>FUTURE</w:t>
      </w:r>
      <w:r w:rsidRPr="003F2DC2">
        <w:rPr>
          <w:rFonts w:eastAsia="Times New Roman" w:cs="Arial"/>
          <w:color w:val="000000"/>
          <w:lang w:val="ru-RU"/>
        </w:rPr>
        <w:t xml:space="preserve"> </w:t>
      </w:r>
      <w:r w:rsidRPr="003F2DC2">
        <w:rPr>
          <w:rFonts w:eastAsia="Times New Roman" w:cs="Arial"/>
          <w:color w:val="000000"/>
          <w:lang w:eastAsia="bg-BG"/>
        </w:rPr>
        <w:t xml:space="preserve">3) </w:t>
      </w:r>
      <w:r w:rsidRPr="003F2DC2">
        <w:rPr>
          <w:rFonts w:eastAsia="Times New Roman" w:cs="Arial"/>
          <w:i/>
          <w:iCs/>
          <w:color w:val="000000"/>
          <w:lang w:eastAsia="bg-BG"/>
        </w:rPr>
        <w:t>с</w:t>
      </w:r>
      <w:r w:rsidRPr="003F2DC2">
        <w:rPr>
          <w:rFonts w:eastAsia="Times New Roman" w:cs="Arial"/>
          <w:color w:val="000000"/>
          <w:lang w:eastAsia="bg-BG"/>
        </w:rPr>
        <w:t xml:space="preserve"> използване на диспергиращи се таблетки, експозицията на бозентан при пациенти, лекувани с 2 </w:t>
      </w:r>
      <w:r w:rsidRPr="003F2DC2">
        <w:rPr>
          <w:rFonts w:eastAsia="Times New Roman" w:cs="Arial"/>
          <w:color w:val="000000"/>
          <w:lang w:val="en-US"/>
        </w:rPr>
        <w:t>mg</w:t>
      </w:r>
      <w:r w:rsidRPr="003F2DC2">
        <w:rPr>
          <w:rFonts w:eastAsia="Times New Roman" w:cs="Arial"/>
          <w:color w:val="000000"/>
          <w:lang w:val="ru-RU"/>
        </w:rPr>
        <w:t>/</w:t>
      </w:r>
      <w:r w:rsidRPr="003F2DC2">
        <w:rPr>
          <w:rFonts w:eastAsia="Times New Roman" w:cs="Arial"/>
          <w:color w:val="000000"/>
          <w:lang w:val="en-US"/>
        </w:rPr>
        <w:t>kg</w:t>
      </w:r>
      <w:r w:rsidRPr="003F2DC2">
        <w:rPr>
          <w:rFonts w:eastAsia="Times New Roman" w:cs="Arial"/>
          <w:color w:val="000000"/>
          <w:lang w:val="ru-RU"/>
        </w:rPr>
        <w:t xml:space="preserve"> </w:t>
      </w:r>
      <w:r w:rsidRPr="003F2DC2">
        <w:rPr>
          <w:rFonts w:eastAsia="Times New Roman" w:cs="Arial"/>
          <w:color w:val="000000"/>
          <w:lang w:eastAsia="bg-BG"/>
        </w:rPr>
        <w:t xml:space="preserve">два пъти дневно е сравнима с тази при проучването </w:t>
      </w:r>
      <w:r w:rsidRPr="003F2DC2">
        <w:rPr>
          <w:rFonts w:eastAsia="Times New Roman" w:cs="Arial"/>
          <w:color w:val="000000"/>
          <w:lang w:val="en-US"/>
        </w:rPr>
        <w:t>FUTURE</w:t>
      </w:r>
      <w:r w:rsidRPr="003F2DC2">
        <w:rPr>
          <w:rFonts w:eastAsia="Times New Roman" w:cs="Arial"/>
          <w:color w:val="000000"/>
          <w:lang w:val="ru-RU"/>
        </w:rPr>
        <w:t xml:space="preserve"> </w:t>
      </w:r>
      <w:r w:rsidRPr="003F2DC2">
        <w:rPr>
          <w:rFonts w:eastAsia="Times New Roman" w:cs="Arial"/>
          <w:color w:val="000000"/>
          <w:lang w:eastAsia="bg-BG"/>
        </w:rPr>
        <w:t>1. При цялостната популация (</w:t>
      </w:r>
      <w:r w:rsidRPr="003F2DC2">
        <w:rPr>
          <w:rFonts w:eastAsia="Times New Roman" w:cs="Arial"/>
          <w:color w:val="000000"/>
          <w:lang w:val="en-US"/>
        </w:rPr>
        <w:t>n</w:t>
      </w:r>
      <w:r w:rsidRPr="003F2DC2">
        <w:rPr>
          <w:rFonts w:eastAsia="Times New Roman" w:cs="Arial"/>
          <w:color w:val="000000"/>
          <w:lang w:eastAsia="bg-BG"/>
        </w:rPr>
        <w:t xml:space="preserve"> = 31), 2 </w:t>
      </w:r>
      <w:r w:rsidRPr="003F2DC2">
        <w:rPr>
          <w:rFonts w:eastAsia="Times New Roman" w:cs="Arial"/>
          <w:color w:val="000000"/>
          <w:lang w:val="en-US"/>
        </w:rPr>
        <w:t>mg</w:t>
      </w:r>
      <w:r w:rsidRPr="003F2DC2">
        <w:rPr>
          <w:rFonts w:eastAsia="Times New Roman" w:cs="Arial"/>
          <w:color w:val="000000"/>
          <w:lang w:val="ru-RU"/>
        </w:rPr>
        <w:t>/</w:t>
      </w:r>
      <w:r w:rsidRPr="003F2DC2">
        <w:rPr>
          <w:rFonts w:eastAsia="Times New Roman" w:cs="Arial"/>
          <w:color w:val="000000"/>
          <w:lang w:val="en-US"/>
        </w:rPr>
        <w:t>kg</w:t>
      </w:r>
      <w:r w:rsidRPr="003F2DC2">
        <w:rPr>
          <w:rFonts w:eastAsia="Times New Roman" w:cs="Arial"/>
          <w:color w:val="000000"/>
          <w:lang w:val="ru-RU"/>
        </w:rPr>
        <w:t xml:space="preserve"> </w:t>
      </w:r>
      <w:r w:rsidRPr="003F2DC2">
        <w:rPr>
          <w:rFonts w:eastAsia="Times New Roman" w:cs="Arial"/>
          <w:color w:val="000000"/>
          <w:lang w:eastAsia="bg-BG"/>
        </w:rPr>
        <w:t xml:space="preserve">два пъти дневно са довели до дневна експозиция 8,535 </w:t>
      </w:r>
      <w:r w:rsidRPr="003F2DC2">
        <w:rPr>
          <w:rFonts w:eastAsia="Times New Roman" w:cs="Arial"/>
          <w:color w:val="000000"/>
          <w:lang w:val="en-US"/>
        </w:rPr>
        <w:t>ng</w:t>
      </w:r>
      <w:r w:rsidRPr="003F2DC2">
        <w:rPr>
          <w:rFonts w:eastAsia="Times New Roman" w:cs="Arial"/>
          <w:color w:val="000000"/>
          <w:lang w:val="ru-RU"/>
        </w:rPr>
        <w:t>-</w:t>
      </w:r>
      <w:r w:rsidRPr="003F2DC2">
        <w:rPr>
          <w:rFonts w:eastAsia="Times New Roman" w:cs="Arial"/>
          <w:color w:val="000000"/>
          <w:lang w:val="en-US"/>
        </w:rPr>
        <w:t>h</w:t>
      </w:r>
      <w:r w:rsidRPr="003F2DC2">
        <w:rPr>
          <w:rFonts w:eastAsia="Times New Roman" w:cs="Arial"/>
          <w:color w:val="000000"/>
          <w:lang w:val="ru-RU"/>
        </w:rPr>
        <w:t>/</w:t>
      </w:r>
      <w:r w:rsidRPr="003F2DC2">
        <w:rPr>
          <w:rFonts w:eastAsia="Times New Roman" w:cs="Arial"/>
          <w:color w:val="000000"/>
          <w:lang w:val="en-US"/>
        </w:rPr>
        <w:t>ml</w:t>
      </w:r>
      <w:r w:rsidRPr="003F2DC2">
        <w:rPr>
          <w:rFonts w:eastAsia="Times New Roman" w:cs="Arial"/>
          <w:color w:val="000000"/>
          <w:lang w:val="ru-RU"/>
        </w:rPr>
        <w:t xml:space="preserve">; </w:t>
      </w:r>
      <w:r w:rsidRPr="003F2DC2">
        <w:rPr>
          <w:rFonts w:eastAsia="Times New Roman" w:cs="Arial"/>
          <w:smallCaps/>
          <w:color w:val="000000"/>
          <w:lang w:val="en-US"/>
        </w:rPr>
        <w:t>AUC</w:t>
      </w:r>
      <w:r w:rsidRPr="003F2DC2">
        <w:rPr>
          <w:rFonts w:eastAsia="Times New Roman" w:cs="Arial"/>
          <w:color w:val="000000"/>
          <w:lang w:eastAsia="bg-BG"/>
        </w:rPr>
        <w:t>τ</w:t>
      </w:r>
      <w:r w:rsidRPr="003F2DC2">
        <w:rPr>
          <w:rFonts w:eastAsia="Times New Roman" w:cs="Arial"/>
          <w:color w:val="000000"/>
          <w:lang w:val="ru-RU"/>
        </w:rPr>
        <w:t xml:space="preserve"> </w:t>
      </w:r>
      <w:r w:rsidRPr="003F2DC2">
        <w:rPr>
          <w:rFonts w:eastAsia="Times New Roman" w:cs="Arial"/>
          <w:color w:val="000000"/>
          <w:lang w:eastAsia="bg-BG"/>
        </w:rPr>
        <w:t xml:space="preserve">е 4,268 </w:t>
      </w:r>
      <w:r w:rsidRPr="003F2DC2">
        <w:rPr>
          <w:rFonts w:eastAsia="Times New Roman" w:cs="Arial"/>
          <w:color w:val="000000"/>
          <w:lang w:val="en-US"/>
        </w:rPr>
        <w:t>ngh</w:t>
      </w:r>
      <w:r w:rsidRPr="003F2DC2">
        <w:rPr>
          <w:rFonts w:eastAsia="Times New Roman" w:cs="Arial"/>
          <w:color w:val="000000"/>
          <w:lang w:val="ru-RU"/>
        </w:rPr>
        <w:t>/</w:t>
      </w:r>
      <w:r w:rsidRPr="003F2DC2">
        <w:rPr>
          <w:rFonts w:eastAsia="Times New Roman" w:cs="Arial"/>
          <w:color w:val="000000"/>
          <w:lang w:val="en-US"/>
        </w:rPr>
        <w:t>ml</w:t>
      </w:r>
      <w:r w:rsidRPr="003F2DC2">
        <w:rPr>
          <w:rFonts w:eastAsia="Times New Roman" w:cs="Arial"/>
          <w:color w:val="000000"/>
          <w:lang w:val="ru-RU"/>
        </w:rPr>
        <w:t xml:space="preserve"> (</w:t>
      </w:r>
      <w:r w:rsidRPr="003F2DC2">
        <w:rPr>
          <w:rFonts w:eastAsia="Times New Roman" w:cs="Arial"/>
          <w:color w:val="000000"/>
          <w:lang w:val="en-US"/>
        </w:rPr>
        <w:t>CV</w:t>
      </w:r>
      <w:r w:rsidRPr="003F2DC2">
        <w:rPr>
          <w:rFonts w:eastAsia="Times New Roman" w:cs="Arial"/>
          <w:color w:val="000000"/>
          <w:lang w:val="ru-RU"/>
        </w:rPr>
        <w:t xml:space="preserve">: </w:t>
      </w:r>
      <w:r w:rsidRPr="003F2DC2">
        <w:rPr>
          <w:rFonts w:eastAsia="Times New Roman" w:cs="Arial"/>
          <w:color w:val="000000"/>
          <w:lang w:eastAsia="bg-BG"/>
        </w:rPr>
        <w:t xml:space="preserve">61%). При пациенти на възраст между 3 месеца и 2 години, дневната експозиция е 7,879 </w:t>
      </w:r>
      <w:r w:rsidRPr="003F2DC2">
        <w:rPr>
          <w:rFonts w:eastAsia="Times New Roman" w:cs="Arial"/>
          <w:color w:val="000000"/>
          <w:lang w:val="en-US"/>
        </w:rPr>
        <w:t>ng</w:t>
      </w:r>
      <w:r w:rsidRPr="003F2DC2">
        <w:rPr>
          <w:rFonts w:eastAsia="Times New Roman" w:cs="Arial"/>
          <w:color w:val="000000"/>
          <w:lang w:val="ru-RU"/>
        </w:rPr>
        <w:t>-</w:t>
      </w:r>
      <w:r w:rsidRPr="003F2DC2">
        <w:rPr>
          <w:rFonts w:eastAsia="Times New Roman" w:cs="Arial"/>
          <w:color w:val="000000"/>
          <w:lang w:val="en-US"/>
        </w:rPr>
        <w:t>h</w:t>
      </w:r>
      <w:r w:rsidRPr="003F2DC2">
        <w:rPr>
          <w:rFonts w:eastAsia="Times New Roman" w:cs="Arial"/>
          <w:color w:val="000000"/>
          <w:lang w:val="ru-RU"/>
        </w:rPr>
        <w:t>/</w:t>
      </w:r>
      <w:r w:rsidRPr="003F2DC2">
        <w:rPr>
          <w:rFonts w:eastAsia="Times New Roman" w:cs="Arial"/>
          <w:color w:val="000000"/>
          <w:lang w:val="en-US"/>
        </w:rPr>
        <w:t>ml</w:t>
      </w:r>
      <w:r w:rsidRPr="003F2DC2">
        <w:rPr>
          <w:rFonts w:eastAsia="Times New Roman" w:cs="Arial"/>
          <w:color w:val="000000"/>
          <w:lang w:val="ru-RU"/>
        </w:rPr>
        <w:t xml:space="preserve">; </w:t>
      </w:r>
      <w:r w:rsidRPr="003F2DC2">
        <w:rPr>
          <w:rFonts w:eastAsia="Times New Roman" w:cs="Arial"/>
          <w:smallCaps/>
          <w:color w:val="000000"/>
          <w:lang w:val="en-US"/>
        </w:rPr>
        <w:t>AUC</w:t>
      </w:r>
      <w:r w:rsidRPr="003F2DC2">
        <w:rPr>
          <w:rFonts w:eastAsia="Times New Roman" w:cs="Arial"/>
          <w:color w:val="000000"/>
          <w:lang w:eastAsia="bg-BG"/>
        </w:rPr>
        <w:t>τ</w:t>
      </w:r>
      <w:r w:rsidRPr="003F2DC2">
        <w:rPr>
          <w:rFonts w:eastAsia="Times New Roman" w:cs="Arial"/>
          <w:color w:val="000000"/>
          <w:lang w:val="ru-RU"/>
        </w:rPr>
        <w:t xml:space="preserve"> </w:t>
      </w:r>
      <w:r w:rsidRPr="003F2DC2">
        <w:rPr>
          <w:rFonts w:eastAsia="Times New Roman" w:cs="Arial"/>
          <w:color w:val="000000"/>
          <w:lang w:eastAsia="bg-BG"/>
        </w:rPr>
        <w:t xml:space="preserve">е 3,939 </w:t>
      </w:r>
      <w:r w:rsidRPr="003F2DC2">
        <w:rPr>
          <w:rFonts w:eastAsia="Times New Roman" w:cs="Arial"/>
          <w:color w:val="000000"/>
          <w:lang w:val="en-US"/>
        </w:rPr>
        <w:t>ng</w:t>
      </w:r>
      <w:r w:rsidRPr="003F2DC2">
        <w:rPr>
          <w:rFonts w:eastAsia="Times New Roman" w:cs="Arial"/>
          <w:color w:val="000000"/>
          <w:lang w:val="ru-RU"/>
        </w:rPr>
        <w:t xml:space="preserve"> </w:t>
      </w:r>
      <w:r w:rsidRPr="003F2DC2">
        <w:rPr>
          <w:rFonts w:eastAsia="Times New Roman" w:cs="Arial"/>
          <w:color w:val="000000"/>
          <w:lang w:val="en-US"/>
        </w:rPr>
        <w:t>h</w:t>
      </w:r>
      <w:r w:rsidRPr="003F2DC2">
        <w:rPr>
          <w:rFonts w:eastAsia="Times New Roman" w:cs="Arial"/>
          <w:color w:val="000000"/>
          <w:lang w:val="ru-RU"/>
        </w:rPr>
        <w:t>/</w:t>
      </w:r>
      <w:r w:rsidRPr="003F2DC2">
        <w:rPr>
          <w:rFonts w:eastAsia="Times New Roman" w:cs="Arial"/>
          <w:color w:val="000000"/>
          <w:lang w:val="en-US"/>
        </w:rPr>
        <w:t>ml</w:t>
      </w:r>
      <w:r w:rsidRPr="003F2DC2">
        <w:rPr>
          <w:rFonts w:eastAsia="Times New Roman" w:cs="Arial"/>
          <w:color w:val="000000"/>
          <w:lang w:val="ru-RU"/>
        </w:rPr>
        <w:t xml:space="preserve"> (</w:t>
      </w:r>
      <w:r w:rsidRPr="003F2DC2">
        <w:rPr>
          <w:rFonts w:eastAsia="Times New Roman" w:cs="Arial"/>
          <w:color w:val="000000"/>
          <w:lang w:val="en-US"/>
        </w:rPr>
        <w:t>CV</w:t>
      </w:r>
      <w:r w:rsidRPr="003F2DC2">
        <w:rPr>
          <w:rFonts w:eastAsia="Times New Roman" w:cs="Arial"/>
          <w:color w:val="000000"/>
          <w:lang w:val="ru-RU"/>
        </w:rPr>
        <w:t xml:space="preserve">: </w:t>
      </w:r>
      <w:r w:rsidRPr="003F2DC2">
        <w:rPr>
          <w:rFonts w:eastAsia="Times New Roman" w:cs="Arial"/>
          <w:color w:val="000000"/>
          <w:lang w:eastAsia="bg-BG"/>
        </w:rPr>
        <w:t xml:space="preserve">72%). При пациенти на възраст между 3 месеца и 1 година (п=2), </w:t>
      </w:r>
      <w:r w:rsidRPr="003F2DC2">
        <w:rPr>
          <w:rFonts w:eastAsia="Times New Roman" w:cs="Arial"/>
          <w:smallCaps/>
          <w:color w:val="000000"/>
          <w:lang w:val="en-US"/>
        </w:rPr>
        <w:t>AUC</w:t>
      </w:r>
      <w:r w:rsidRPr="003F2DC2">
        <w:rPr>
          <w:rFonts w:eastAsia="Times New Roman" w:cs="Arial"/>
          <w:color w:val="000000"/>
          <w:lang w:eastAsia="bg-BG"/>
        </w:rPr>
        <w:t>τ</w:t>
      </w:r>
      <w:r w:rsidRPr="003F2DC2">
        <w:rPr>
          <w:rFonts w:eastAsia="Times New Roman" w:cs="Arial"/>
          <w:color w:val="000000"/>
          <w:lang w:val="ru-RU"/>
        </w:rPr>
        <w:t xml:space="preserve"> </w:t>
      </w:r>
      <w:r w:rsidRPr="003F2DC2">
        <w:rPr>
          <w:rFonts w:eastAsia="Times New Roman" w:cs="Arial"/>
          <w:color w:val="000000"/>
          <w:lang w:eastAsia="bg-BG"/>
        </w:rPr>
        <w:t xml:space="preserve">е 5,914 </w:t>
      </w:r>
      <w:r w:rsidRPr="003F2DC2">
        <w:rPr>
          <w:rFonts w:eastAsia="Times New Roman" w:cs="Arial"/>
          <w:color w:val="000000"/>
          <w:lang w:val="en-US"/>
        </w:rPr>
        <w:t>ng</w:t>
      </w:r>
      <w:r w:rsidRPr="003F2DC2">
        <w:rPr>
          <w:rFonts w:eastAsia="Times New Roman" w:cs="Arial"/>
          <w:color w:val="000000"/>
          <w:lang w:val="ru-RU"/>
        </w:rPr>
        <w:t xml:space="preserve"> </w:t>
      </w:r>
      <w:r w:rsidRPr="003F2DC2">
        <w:rPr>
          <w:rFonts w:eastAsia="Times New Roman" w:cs="Arial"/>
          <w:color w:val="000000"/>
          <w:lang w:val="en-US"/>
        </w:rPr>
        <w:t>h</w:t>
      </w:r>
      <w:r w:rsidRPr="003F2DC2">
        <w:rPr>
          <w:rFonts w:eastAsia="Times New Roman" w:cs="Arial"/>
          <w:color w:val="000000"/>
          <w:lang w:val="ru-RU"/>
        </w:rPr>
        <w:t>/</w:t>
      </w:r>
      <w:r w:rsidRPr="003F2DC2">
        <w:rPr>
          <w:rFonts w:eastAsia="Times New Roman" w:cs="Arial"/>
          <w:color w:val="000000"/>
          <w:lang w:val="en-US"/>
        </w:rPr>
        <w:t>ml</w:t>
      </w:r>
      <w:r w:rsidRPr="003F2DC2">
        <w:rPr>
          <w:rFonts w:eastAsia="Times New Roman" w:cs="Arial"/>
          <w:color w:val="000000"/>
          <w:lang w:val="ru-RU"/>
        </w:rPr>
        <w:t xml:space="preserve"> (</w:t>
      </w:r>
      <w:r w:rsidRPr="003F2DC2">
        <w:rPr>
          <w:rFonts w:eastAsia="Times New Roman" w:cs="Arial"/>
          <w:color w:val="000000"/>
          <w:lang w:val="en-US"/>
        </w:rPr>
        <w:t>CV</w:t>
      </w:r>
      <w:r w:rsidRPr="003F2DC2">
        <w:rPr>
          <w:rFonts w:eastAsia="Times New Roman" w:cs="Arial"/>
          <w:color w:val="000000"/>
          <w:lang w:val="ru-RU"/>
        </w:rPr>
        <w:t xml:space="preserve">: </w:t>
      </w:r>
      <w:r w:rsidRPr="003F2DC2">
        <w:rPr>
          <w:rFonts w:eastAsia="Times New Roman" w:cs="Arial"/>
          <w:color w:val="000000"/>
          <w:lang w:eastAsia="bg-BG"/>
        </w:rPr>
        <w:t xml:space="preserve">85%) и при пациенти на възраст между 1 и 2 години </w:t>
      </w:r>
      <w:r w:rsidRPr="003F2DC2">
        <w:rPr>
          <w:rFonts w:eastAsia="Times New Roman" w:cs="Arial"/>
          <w:color w:val="000000"/>
          <w:lang w:val="ru-RU"/>
        </w:rPr>
        <w:t>(</w:t>
      </w:r>
      <w:r w:rsidRPr="003F2DC2">
        <w:rPr>
          <w:rFonts w:eastAsia="Times New Roman" w:cs="Arial"/>
          <w:color w:val="000000"/>
          <w:lang w:val="en-US"/>
        </w:rPr>
        <w:t>n</w:t>
      </w:r>
      <w:r w:rsidRPr="003F2DC2">
        <w:rPr>
          <w:rFonts w:eastAsia="Times New Roman" w:cs="Arial"/>
          <w:color w:val="000000"/>
          <w:lang w:val="ru-RU"/>
        </w:rPr>
        <w:t xml:space="preserve">=7), </w:t>
      </w:r>
      <w:r w:rsidRPr="003F2DC2">
        <w:rPr>
          <w:rFonts w:eastAsia="Times New Roman" w:cs="Arial"/>
          <w:smallCaps/>
          <w:color w:val="000000"/>
          <w:lang w:val="en-US"/>
        </w:rPr>
        <w:t>AUC</w:t>
      </w:r>
      <w:r w:rsidRPr="003F2DC2">
        <w:rPr>
          <w:rFonts w:eastAsia="Times New Roman" w:cs="Arial"/>
          <w:color w:val="000000"/>
          <w:lang w:eastAsia="bg-BG"/>
        </w:rPr>
        <w:t>τ</w:t>
      </w:r>
      <w:r w:rsidRPr="003F2DC2">
        <w:rPr>
          <w:rFonts w:eastAsia="Times New Roman" w:cs="Arial"/>
          <w:color w:val="000000"/>
          <w:lang w:val="ru-RU"/>
        </w:rPr>
        <w:t xml:space="preserve"> </w:t>
      </w:r>
      <w:r w:rsidRPr="003F2DC2">
        <w:rPr>
          <w:rFonts w:eastAsia="Times New Roman" w:cs="Arial"/>
          <w:color w:val="000000"/>
          <w:lang w:eastAsia="bg-BG"/>
        </w:rPr>
        <w:t xml:space="preserve">е 3,507 </w:t>
      </w:r>
      <w:r w:rsidRPr="003F2DC2">
        <w:rPr>
          <w:rFonts w:eastAsia="Times New Roman" w:cs="Arial"/>
          <w:color w:val="000000"/>
          <w:lang w:val="en-US"/>
        </w:rPr>
        <w:t>ng</w:t>
      </w:r>
      <w:r w:rsidRPr="003F2DC2">
        <w:rPr>
          <w:rFonts w:eastAsia="Times New Roman" w:cs="Arial"/>
          <w:color w:val="000000"/>
          <w:lang w:val="ru-RU"/>
        </w:rPr>
        <w:t>-</w:t>
      </w:r>
      <w:r w:rsidRPr="003F2DC2">
        <w:rPr>
          <w:rFonts w:eastAsia="Times New Roman" w:cs="Arial"/>
          <w:color w:val="000000"/>
          <w:lang w:val="en-US"/>
        </w:rPr>
        <w:t>h</w:t>
      </w:r>
      <w:r w:rsidRPr="003F2DC2">
        <w:rPr>
          <w:rFonts w:eastAsia="Times New Roman" w:cs="Arial"/>
          <w:color w:val="000000"/>
          <w:lang w:val="ru-RU"/>
        </w:rPr>
        <w:t>/</w:t>
      </w:r>
      <w:r w:rsidRPr="003F2DC2">
        <w:rPr>
          <w:rFonts w:eastAsia="Times New Roman" w:cs="Arial"/>
          <w:color w:val="000000"/>
          <w:lang w:val="en-US"/>
        </w:rPr>
        <w:t>ml</w:t>
      </w:r>
      <w:r w:rsidRPr="003F2DC2">
        <w:rPr>
          <w:rFonts w:eastAsia="Times New Roman" w:cs="Arial"/>
          <w:color w:val="000000"/>
          <w:lang w:val="ru-RU"/>
        </w:rPr>
        <w:t xml:space="preserve"> (</w:t>
      </w:r>
      <w:r w:rsidRPr="003F2DC2">
        <w:rPr>
          <w:rFonts w:eastAsia="Times New Roman" w:cs="Arial"/>
          <w:color w:val="000000"/>
          <w:lang w:val="en-US"/>
        </w:rPr>
        <w:t>CV</w:t>
      </w:r>
      <w:r w:rsidRPr="003F2DC2">
        <w:rPr>
          <w:rFonts w:eastAsia="Times New Roman" w:cs="Arial"/>
          <w:color w:val="000000"/>
          <w:lang w:val="ru-RU"/>
        </w:rPr>
        <w:t xml:space="preserve">: </w:t>
      </w:r>
      <w:r w:rsidRPr="003F2DC2">
        <w:rPr>
          <w:rFonts w:eastAsia="Times New Roman" w:cs="Arial"/>
          <w:color w:val="000000"/>
          <w:lang w:eastAsia="bg-BG"/>
        </w:rPr>
        <w:t>70%). При пациенти над 2 години (</w:t>
      </w:r>
      <w:r w:rsidRPr="003F2DC2">
        <w:rPr>
          <w:rFonts w:eastAsia="Times New Roman" w:cs="Arial"/>
          <w:color w:val="000000"/>
          <w:lang w:val="en-US"/>
        </w:rPr>
        <w:t>n</w:t>
      </w:r>
      <w:r w:rsidRPr="003F2DC2">
        <w:rPr>
          <w:rFonts w:eastAsia="Times New Roman" w:cs="Arial"/>
          <w:color w:val="000000"/>
          <w:lang w:eastAsia="bg-BG"/>
        </w:rPr>
        <w:t xml:space="preserve"> = 22) дневната експозиция е 8,820 </w:t>
      </w:r>
      <w:r w:rsidRPr="003F2DC2">
        <w:rPr>
          <w:rFonts w:eastAsia="Times New Roman" w:cs="Arial"/>
          <w:color w:val="000000"/>
          <w:lang w:val="en-US"/>
        </w:rPr>
        <w:t>ng</w:t>
      </w:r>
      <w:r w:rsidRPr="003F2DC2">
        <w:rPr>
          <w:rFonts w:eastAsia="Times New Roman" w:cs="Arial"/>
          <w:color w:val="000000"/>
          <w:lang w:val="ru-RU"/>
        </w:rPr>
        <w:t>-</w:t>
      </w:r>
      <w:r w:rsidRPr="003F2DC2">
        <w:rPr>
          <w:rFonts w:eastAsia="Times New Roman" w:cs="Arial"/>
          <w:color w:val="000000"/>
          <w:lang w:val="en-US"/>
        </w:rPr>
        <w:t>h</w:t>
      </w:r>
      <w:r w:rsidRPr="003F2DC2">
        <w:rPr>
          <w:rFonts w:eastAsia="Times New Roman" w:cs="Arial"/>
          <w:color w:val="000000"/>
          <w:lang w:val="ru-RU"/>
        </w:rPr>
        <w:t>/</w:t>
      </w:r>
      <w:r w:rsidRPr="003F2DC2">
        <w:rPr>
          <w:rFonts w:eastAsia="Times New Roman" w:cs="Arial"/>
          <w:color w:val="000000"/>
          <w:lang w:val="en-US"/>
        </w:rPr>
        <w:t>ml</w:t>
      </w:r>
      <w:r w:rsidRPr="003F2DC2">
        <w:rPr>
          <w:rFonts w:eastAsia="Times New Roman" w:cs="Arial"/>
          <w:color w:val="000000"/>
          <w:lang w:val="ru-RU"/>
        </w:rPr>
        <w:t xml:space="preserve">; </w:t>
      </w:r>
      <w:r w:rsidRPr="003F2DC2">
        <w:rPr>
          <w:rFonts w:eastAsia="Times New Roman" w:cs="Arial"/>
          <w:smallCaps/>
          <w:color w:val="000000"/>
          <w:lang w:val="en-US"/>
        </w:rPr>
        <w:t>AUC</w:t>
      </w:r>
      <w:r w:rsidRPr="003F2DC2">
        <w:rPr>
          <w:rFonts w:eastAsia="Times New Roman" w:cs="Arial"/>
          <w:color w:val="000000"/>
          <w:lang w:eastAsia="bg-BG"/>
        </w:rPr>
        <w:t>τ</w:t>
      </w:r>
      <w:r w:rsidRPr="003F2DC2">
        <w:rPr>
          <w:rFonts w:eastAsia="Times New Roman" w:cs="Arial"/>
          <w:color w:val="000000"/>
          <w:lang w:val="ru-RU"/>
        </w:rPr>
        <w:t xml:space="preserve"> </w:t>
      </w:r>
      <w:r w:rsidRPr="003F2DC2">
        <w:rPr>
          <w:rFonts w:eastAsia="Times New Roman" w:cs="Arial"/>
          <w:color w:val="000000"/>
          <w:lang w:eastAsia="bg-BG"/>
        </w:rPr>
        <w:t xml:space="preserve">е 4,410 </w:t>
      </w:r>
      <w:r w:rsidRPr="003F2DC2">
        <w:rPr>
          <w:rFonts w:eastAsia="Times New Roman" w:cs="Arial"/>
          <w:color w:val="000000"/>
          <w:lang w:val="en-US"/>
        </w:rPr>
        <w:t>ng</w:t>
      </w:r>
      <w:r w:rsidRPr="003F2DC2">
        <w:rPr>
          <w:rFonts w:eastAsia="Times New Roman" w:cs="Arial"/>
          <w:color w:val="000000"/>
          <w:lang w:val="ru-RU"/>
        </w:rPr>
        <w:t xml:space="preserve"> </w:t>
      </w:r>
      <w:r w:rsidRPr="003F2DC2">
        <w:rPr>
          <w:rFonts w:eastAsia="Times New Roman" w:cs="Arial"/>
          <w:color w:val="000000"/>
          <w:lang w:val="en-US"/>
        </w:rPr>
        <w:t>h</w:t>
      </w:r>
      <w:r w:rsidRPr="003F2DC2">
        <w:rPr>
          <w:rFonts w:eastAsia="Times New Roman" w:cs="Arial"/>
          <w:color w:val="000000"/>
          <w:lang w:val="ru-RU"/>
        </w:rPr>
        <w:t>/</w:t>
      </w:r>
      <w:r w:rsidRPr="003F2DC2">
        <w:rPr>
          <w:rFonts w:eastAsia="Times New Roman" w:cs="Arial"/>
          <w:color w:val="000000"/>
          <w:lang w:val="en-US"/>
        </w:rPr>
        <w:t>ml</w:t>
      </w:r>
      <w:r w:rsidRPr="003F2DC2">
        <w:rPr>
          <w:rFonts w:eastAsia="Times New Roman" w:cs="Arial"/>
          <w:color w:val="000000"/>
          <w:lang w:val="ru-RU"/>
        </w:rPr>
        <w:t xml:space="preserve"> (</w:t>
      </w:r>
      <w:r w:rsidRPr="003F2DC2">
        <w:rPr>
          <w:rFonts w:eastAsia="Times New Roman" w:cs="Arial"/>
          <w:color w:val="000000"/>
          <w:lang w:val="en-US"/>
        </w:rPr>
        <w:t>CV</w:t>
      </w:r>
      <w:r w:rsidRPr="003F2DC2">
        <w:rPr>
          <w:rFonts w:eastAsia="Times New Roman" w:cs="Arial"/>
          <w:color w:val="000000"/>
          <w:lang w:val="ru-RU"/>
        </w:rPr>
        <w:t xml:space="preserve">: </w:t>
      </w:r>
      <w:r w:rsidRPr="003F2DC2">
        <w:rPr>
          <w:rFonts w:eastAsia="Times New Roman" w:cs="Arial"/>
          <w:color w:val="000000"/>
          <w:lang w:eastAsia="bg-BG"/>
        </w:rPr>
        <w:t xml:space="preserve">58%). Прилагането на бозентан 2 </w:t>
      </w:r>
      <w:r w:rsidRPr="003F2DC2">
        <w:rPr>
          <w:rFonts w:eastAsia="Times New Roman" w:cs="Arial"/>
          <w:color w:val="000000"/>
          <w:lang w:val="en-US"/>
        </w:rPr>
        <w:t>mg</w:t>
      </w:r>
      <w:r w:rsidRPr="003F2DC2">
        <w:rPr>
          <w:rFonts w:eastAsia="Times New Roman" w:cs="Arial"/>
          <w:color w:val="000000"/>
          <w:lang w:val="ru-RU"/>
        </w:rPr>
        <w:t>/</w:t>
      </w:r>
      <w:r w:rsidRPr="003F2DC2">
        <w:rPr>
          <w:rFonts w:eastAsia="Times New Roman" w:cs="Arial"/>
          <w:color w:val="000000"/>
          <w:lang w:val="en-US"/>
        </w:rPr>
        <w:t>kg</w:t>
      </w:r>
      <w:r w:rsidRPr="003F2DC2">
        <w:rPr>
          <w:rFonts w:eastAsia="Times New Roman" w:cs="Arial"/>
          <w:color w:val="000000"/>
          <w:lang w:val="ru-RU"/>
        </w:rPr>
        <w:t xml:space="preserve"> </w:t>
      </w:r>
      <w:r w:rsidRPr="003F2DC2">
        <w:rPr>
          <w:rFonts w:eastAsia="Times New Roman" w:cs="Arial"/>
          <w:color w:val="000000"/>
          <w:lang w:eastAsia="bg-BG"/>
        </w:rPr>
        <w:t xml:space="preserve">три пъти дневно не е повишило експозицията, дневната експозиция е 7,275 </w:t>
      </w:r>
      <w:r w:rsidRPr="003F2DC2">
        <w:rPr>
          <w:rFonts w:eastAsia="Times New Roman" w:cs="Arial"/>
          <w:color w:val="000000"/>
          <w:lang w:val="en-US"/>
        </w:rPr>
        <w:t>ng</w:t>
      </w:r>
      <w:r w:rsidRPr="003F2DC2">
        <w:rPr>
          <w:rFonts w:eastAsia="Times New Roman" w:cs="Arial"/>
          <w:color w:val="000000"/>
          <w:lang w:val="ru-RU"/>
        </w:rPr>
        <w:t xml:space="preserve"> </w:t>
      </w:r>
      <w:r w:rsidRPr="003F2DC2">
        <w:rPr>
          <w:rFonts w:eastAsia="Times New Roman" w:cs="Arial"/>
          <w:color w:val="000000"/>
          <w:lang w:val="en-US"/>
        </w:rPr>
        <w:t>h</w:t>
      </w:r>
      <w:r w:rsidRPr="003F2DC2">
        <w:rPr>
          <w:rFonts w:eastAsia="Times New Roman" w:cs="Arial"/>
          <w:color w:val="000000"/>
          <w:lang w:val="ru-RU"/>
        </w:rPr>
        <w:t>/</w:t>
      </w:r>
      <w:r w:rsidRPr="003F2DC2">
        <w:rPr>
          <w:rFonts w:eastAsia="Times New Roman" w:cs="Arial"/>
          <w:color w:val="000000"/>
          <w:lang w:val="en-US"/>
        </w:rPr>
        <w:t>ml</w:t>
      </w:r>
      <w:r w:rsidRPr="003F2DC2">
        <w:rPr>
          <w:rFonts w:eastAsia="Times New Roman" w:cs="Arial"/>
          <w:color w:val="000000"/>
          <w:lang w:val="ru-RU"/>
        </w:rPr>
        <w:t xml:space="preserve"> (</w:t>
      </w:r>
      <w:r w:rsidRPr="003F2DC2">
        <w:rPr>
          <w:rFonts w:eastAsia="Times New Roman" w:cs="Arial"/>
          <w:color w:val="000000"/>
          <w:lang w:val="en-US"/>
        </w:rPr>
        <w:t>CV</w:t>
      </w:r>
      <w:r w:rsidRPr="003F2DC2">
        <w:rPr>
          <w:rFonts w:eastAsia="Times New Roman" w:cs="Arial"/>
          <w:color w:val="000000"/>
          <w:lang w:val="ru-RU"/>
        </w:rPr>
        <w:t xml:space="preserve">: </w:t>
      </w:r>
      <w:r w:rsidRPr="003F2DC2">
        <w:rPr>
          <w:rFonts w:eastAsia="Times New Roman" w:cs="Arial"/>
          <w:color w:val="000000"/>
          <w:lang w:eastAsia="bg-BG"/>
        </w:rPr>
        <w:t xml:space="preserve">83%, </w:t>
      </w:r>
      <w:r w:rsidRPr="003F2DC2">
        <w:rPr>
          <w:rFonts w:eastAsia="Times New Roman" w:cs="Arial"/>
          <w:color w:val="000000"/>
          <w:lang w:val="en-US"/>
        </w:rPr>
        <w:t>n</w:t>
      </w:r>
      <w:r w:rsidRPr="003F2DC2">
        <w:rPr>
          <w:rFonts w:eastAsia="Times New Roman" w:cs="Arial"/>
          <w:color w:val="000000"/>
          <w:lang w:val="ru-RU"/>
        </w:rPr>
        <w:t xml:space="preserve"> </w:t>
      </w:r>
      <w:r w:rsidRPr="003F2DC2">
        <w:rPr>
          <w:rFonts w:eastAsia="Times New Roman" w:cs="Arial"/>
          <w:color w:val="000000"/>
          <w:lang w:eastAsia="bg-BG"/>
        </w:rPr>
        <w:t>= 27).</w:t>
      </w:r>
    </w:p>
    <w:p w14:paraId="15532DF0" w14:textId="77777777" w:rsidR="003F2DC2" w:rsidRPr="003F2DC2" w:rsidRDefault="003F2DC2" w:rsidP="003F2DC2">
      <w:pPr>
        <w:spacing w:line="240" w:lineRule="auto"/>
        <w:rPr>
          <w:rFonts w:eastAsia="Times New Roman" w:cs="Arial"/>
        </w:rPr>
      </w:pPr>
      <w:r w:rsidRPr="003F2DC2">
        <w:rPr>
          <w:rFonts w:eastAsia="Times New Roman" w:cs="Arial"/>
          <w:color w:val="000000"/>
          <w:lang w:eastAsia="bg-BG"/>
        </w:rPr>
        <w:t xml:space="preserve">Въз основа на находките при проучваванията </w:t>
      </w:r>
      <w:r w:rsidRPr="003F2DC2">
        <w:rPr>
          <w:rFonts w:eastAsia="Times New Roman" w:cs="Arial"/>
          <w:color w:val="000000"/>
          <w:lang w:val="en-US"/>
        </w:rPr>
        <w:t>BREATHE</w:t>
      </w:r>
      <w:r w:rsidRPr="003F2DC2">
        <w:rPr>
          <w:rFonts w:eastAsia="Times New Roman" w:cs="Arial"/>
          <w:color w:val="000000"/>
          <w:lang w:val="ru-RU"/>
        </w:rPr>
        <w:t xml:space="preserve">-3, </w:t>
      </w:r>
      <w:r w:rsidRPr="003F2DC2">
        <w:rPr>
          <w:rFonts w:eastAsia="Times New Roman" w:cs="Arial"/>
          <w:color w:val="000000"/>
          <w:lang w:val="en-US"/>
        </w:rPr>
        <w:t>FUTURE</w:t>
      </w:r>
      <w:r w:rsidRPr="003F2DC2">
        <w:rPr>
          <w:rFonts w:eastAsia="Times New Roman" w:cs="Arial"/>
          <w:color w:val="000000"/>
          <w:lang w:val="ru-RU"/>
        </w:rPr>
        <w:t xml:space="preserve"> </w:t>
      </w:r>
      <w:r w:rsidRPr="003F2DC2">
        <w:rPr>
          <w:rFonts w:eastAsia="Times New Roman" w:cs="Arial"/>
          <w:color w:val="000000"/>
          <w:lang w:eastAsia="bg-BG"/>
        </w:rPr>
        <w:t xml:space="preserve">1 и </w:t>
      </w:r>
      <w:r w:rsidRPr="003F2DC2">
        <w:rPr>
          <w:rFonts w:eastAsia="Times New Roman" w:cs="Arial"/>
          <w:color w:val="000000"/>
          <w:lang w:val="en-US"/>
        </w:rPr>
        <w:t>FUTURE</w:t>
      </w:r>
      <w:r w:rsidRPr="003F2DC2">
        <w:rPr>
          <w:rFonts w:eastAsia="Times New Roman" w:cs="Arial"/>
          <w:color w:val="000000"/>
          <w:lang w:val="ru-RU"/>
        </w:rPr>
        <w:t xml:space="preserve"> </w:t>
      </w:r>
      <w:r w:rsidRPr="003F2DC2">
        <w:rPr>
          <w:rFonts w:eastAsia="Times New Roman" w:cs="Arial"/>
          <w:color w:val="000000"/>
          <w:lang w:eastAsia="bg-BG"/>
        </w:rPr>
        <w:t xml:space="preserve">3, изглежда, че експозицията на бозентан достига плато при по-ниски дози при педиатрични пациенти, отколкото при при възрастни и, че дози над 2 </w:t>
      </w:r>
      <w:r w:rsidRPr="003F2DC2">
        <w:rPr>
          <w:rFonts w:eastAsia="Times New Roman" w:cs="Arial"/>
          <w:color w:val="000000"/>
          <w:lang w:val="en-US"/>
        </w:rPr>
        <w:t>mg</w:t>
      </w:r>
      <w:r w:rsidRPr="003F2DC2">
        <w:rPr>
          <w:rFonts w:eastAsia="Times New Roman" w:cs="Arial"/>
          <w:color w:val="000000"/>
          <w:lang w:val="ru-RU"/>
        </w:rPr>
        <w:t>/</w:t>
      </w:r>
      <w:r w:rsidRPr="003F2DC2">
        <w:rPr>
          <w:rFonts w:eastAsia="Times New Roman" w:cs="Arial"/>
          <w:color w:val="000000"/>
          <w:lang w:val="en-US"/>
        </w:rPr>
        <w:t>kg</w:t>
      </w:r>
      <w:r w:rsidRPr="003F2DC2">
        <w:rPr>
          <w:rFonts w:eastAsia="Times New Roman" w:cs="Arial"/>
          <w:color w:val="000000"/>
          <w:lang w:val="ru-RU"/>
        </w:rPr>
        <w:t xml:space="preserve"> </w:t>
      </w:r>
      <w:r w:rsidRPr="003F2DC2">
        <w:rPr>
          <w:rFonts w:eastAsia="Times New Roman" w:cs="Arial"/>
          <w:color w:val="000000"/>
          <w:lang w:eastAsia="bg-BG"/>
        </w:rPr>
        <w:t xml:space="preserve">два пъти дневно (4 </w:t>
      </w:r>
      <w:r w:rsidRPr="003F2DC2">
        <w:rPr>
          <w:rFonts w:eastAsia="Times New Roman" w:cs="Arial"/>
          <w:color w:val="000000"/>
          <w:lang w:val="en-US"/>
        </w:rPr>
        <w:t>mg</w:t>
      </w:r>
      <w:r w:rsidRPr="003F2DC2">
        <w:rPr>
          <w:rFonts w:eastAsia="Times New Roman" w:cs="Arial"/>
          <w:color w:val="000000"/>
          <w:lang w:val="ru-RU"/>
        </w:rPr>
        <w:t>/</w:t>
      </w:r>
      <w:r w:rsidRPr="003F2DC2">
        <w:rPr>
          <w:rFonts w:eastAsia="Times New Roman" w:cs="Arial"/>
          <w:color w:val="000000"/>
          <w:lang w:val="en-US"/>
        </w:rPr>
        <w:t>kg</w:t>
      </w:r>
      <w:r w:rsidRPr="003F2DC2">
        <w:rPr>
          <w:rFonts w:eastAsia="Times New Roman" w:cs="Arial"/>
          <w:color w:val="000000"/>
          <w:lang w:val="ru-RU"/>
        </w:rPr>
        <w:t xml:space="preserve"> </w:t>
      </w:r>
      <w:r w:rsidRPr="003F2DC2">
        <w:rPr>
          <w:rFonts w:eastAsia="Times New Roman" w:cs="Arial"/>
          <w:color w:val="000000"/>
          <w:lang w:eastAsia="bg-BG"/>
        </w:rPr>
        <w:t xml:space="preserve">два пъти дневно или 2 </w:t>
      </w:r>
      <w:r w:rsidRPr="003F2DC2">
        <w:rPr>
          <w:rFonts w:eastAsia="Times New Roman" w:cs="Arial"/>
          <w:color w:val="000000"/>
          <w:lang w:val="en-US"/>
        </w:rPr>
        <w:t>mg</w:t>
      </w:r>
      <w:r w:rsidRPr="003F2DC2">
        <w:rPr>
          <w:rFonts w:eastAsia="Times New Roman" w:cs="Arial"/>
          <w:color w:val="000000"/>
          <w:lang w:val="ru-RU"/>
        </w:rPr>
        <w:t>/</w:t>
      </w:r>
      <w:r w:rsidRPr="003F2DC2">
        <w:rPr>
          <w:rFonts w:eastAsia="Times New Roman" w:cs="Arial"/>
          <w:color w:val="000000"/>
          <w:lang w:val="en-US"/>
        </w:rPr>
        <w:t>kg</w:t>
      </w:r>
      <w:r w:rsidRPr="003F2DC2">
        <w:rPr>
          <w:rFonts w:eastAsia="Times New Roman" w:cs="Arial"/>
          <w:color w:val="000000"/>
          <w:lang w:val="ru-RU"/>
        </w:rPr>
        <w:t xml:space="preserve"> </w:t>
      </w:r>
      <w:r w:rsidRPr="003F2DC2">
        <w:rPr>
          <w:rFonts w:eastAsia="Times New Roman" w:cs="Arial"/>
          <w:color w:val="000000"/>
          <w:lang w:eastAsia="bg-BG"/>
        </w:rPr>
        <w:t>три пъти дневно) не водят до по-голяма експозиция на бозентан при педиатричните пациенти.</w:t>
      </w:r>
    </w:p>
    <w:p w14:paraId="1C3F95DA" w14:textId="77777777" w:rsidR="003F2DC2" w:rsidRPr="003F2DC2" w:rsidRDefault="003F2DC2" w:rsidP="003F2DC2">
      <w:pPr>
        <w:spacing w:line="240" w:lineRule="auto"/>
        <w:rPr>
          <w:rFonts w:eastAsia="Times New Roman" w:cs="Arial"/>
          <w:color w:val="000000"/>
          <w:lang w:eastAsia="bg-BG"/>
        </w:rPr>
      </w:pPr>
    </w:p>
    <w:p w14:paraId="33161187" w14:textId="30A3F01F" w:rsidR="003F2DC2" w:rsidRPr="003F2DC2" w:rsidRDefault="003F2DC2" w:rsidP="003F2DC2">
      <w:pPr>
        <w:spacing w:line="240" w:lineRule="auto"/>
        <w:rPr>
          <w:rFonts w:eastAsia="Times New Roman" w:cs="Arial"/>
        </w:rPr>
      </w:pPr>
      <w:r w:rsidRPr="003F2DC2">
        <w:rPr>
          <w:rFonts w:eastAsia="Times New Roman" w:cs="Arial"/>
          <w:color w:val="000000"/>
          <w:lang w:eastAsia="bg-BG"/>
        </w:rPr>
        <w:t xml:space="preserve">При проучването АС-052-391 </w:t>
      </w:r>
      <w:r w:rsidRPr="003F2DC2">
        <w:rPr>
          <w:rFonts w:eastAsia="Times New Roman" w:cs="Arial"/>
          <w:color w:val="000000"/>
          <w:lang w:val="ru-RU"/>
        </w:rPr>
        <w:t>(</w:t>
      </w:r>
      <w:r w:rsidRPr="003F2DC2">
        <w:rPr>
          <w:rFonts w:eastAsia="Times New Roman" w:cs="Arial"/>
          <w:color w:val="000000"/>
          <w:lang w:val="en-US"/>
        </w:rPr>
        <w:t>FUTURE</w:t>
      </w:r>
      <w:r w:rsidRPr="003F2DC2">
        <w:rPr>
          <w:rFonts w:eastAsia="Times New Roman" w:cs="Arial"/>
          <w:color w:val="000000"/>
          <w:lang w:val="ru-RU"/>
        </w:rPr>
        <w:t xml:space="preserve"> </w:t>
      </w:r>
      <w:r w:rsidRPr="003F2DC2">
        <w:rPr>
          <w:rFonts w:eastAsia="Times New Roman" w:cs="Arial"/>
          <w:color w:val="000000"/>
          <w:lang w:eastAsia="bg-BG"/>
        </w:rPr>
        <w:t xml:space="preserve">4), проведено при новородени, концентрациите на бозентан са се повишавали бавно и непрекъснато през първия дозов интервал, което е довело до ниска експозиция </w:t>
      </w:r>
      <w:r w:rsidRPr="003F2DC2">
        <w:rPr>
          <w:rFonts w:eastAsia="Times New Roman" w:cs="Arial"/>
          <w:color w:val="000000"/>
          <w:lang w:val="ru-RU"/>
        </w:rPr>
        <w:t>(</w:t>
      </w:r>
      <w:r w:rsidRPr="003F2DC2">
        <w:rPr>
          <w:rFonts w:eastAsia="Times New Roman" w:cs="Arial"/>
          <w:color w:val="000000"/>
          <w:lang w:val="en-US"/>
        </w:rPr>
        <w:t>AUC</w:t>
      </w:r>
      <w:r w:rsidRPr="003F2DC2">
        <w:rPr>
          <w:rFonts w:eastAsia="Times New Roman" w:cs="Arial"/>
          <w:color w:val="000000"/>
          <w:lang w:val="ru-RU"/>
        </w:rPr>
        <w:t xml:space="preserve">0-12 </w:t>
      </w:r>
      <w:r w:rsidRPr="003F2DC2">
        <w:rPr>
          <w:rFonts w:eastAsia="Times New Roman" w:cs="Arial"/>
          <w:color w:val="000000"/>
          <w:lang w:eastAsia="bg-BG"/>
        </w:rPr>
        <w:t xml:space="preserve">в цяла кръв: 164 </w:t>
      </w:r>
      <w:r w:rsidRPr="003F2DC2">
        <w:rPr>
          <w:rFonts w:eastAsia="Times New Roman" w:cs="Arial"/>
          <w:color w:val="000000"/>
          <w:lang w:val="en-US"/>
        </w:rPr>
        <w:t>ngh</w:t>
      </w:r>
      <w:r w:rsidRPr="003F2DC2">
        <w:rPr>
          <w:rFonts w:eastAsia="Times New Roman" w:cs="Arial"/>
          <w:color w:val="000000"/>
          <w:lang w:val="ru-RU"/>
        </w:rPr>
        <w:t>/</w:t>
      </w:r>
      <w:r w:rsidRPr="003F2DC2">
        <w:rPr>
          <w:rFonts w:eastAsia="Times New Roman" w:cs="Arial"/>
          <w:color w:val="000000"/>
          <w:lang w:val="en-US"/>
        </w:rPr>
        <w:t>ml</w:t>
      </w:r>
      <w:r w:rsidRPr="003F2DC2">
        <w:rPr>
          <w:rFonts w:eastAsia="Times New Roman" w:cs="Arial"/>
          <w:color w:val="000000"/>
          <w:lang w:val="ru-RU"/>
        </w:rPr>
        <w:t xml:space="preserve">, </w:t>
      </w:r>
      <w:r w:rsidRPr="003F2DC2">
        <w:rPr>
          <w:rFonts w:eastAsia="Times New Roman" w:cs="Arial"/>
          <w:color w:val="000000"/>
          <w:lang w:val="en-US"/>
        </w:rPr>
        <w:t>n</w:t>
      </w:r>
      <w:r w:rsidRPr="003F2DC2">
        <w:rPr>
          <w:rFonts w:eastAsia="Times New Roman" w:cs="Arial"/>
          <w:color w:val="000000"/>
          <w:lang w:val="ru-RU"/>
        </w:rPr>
        <w:t xml:space="preserve"> </w:t>
      </w:r>
      <w:r w:rsidRPr="003F2DC2">
        <w:rPr>
          <w:rFonts w:eastAsia="Times New Roman" w:cs="Arial"/>
          <w:color w:val="000000"/>
          <w:lang w:eastAsia="bg-BG"/>
        </w:rPr>
        <w:t xml:space="preserve">= 11). В стационарното състояние </w:t>
      </w:r>
      <w:r w:rsidRPr="003F2DC2">
        <w:rPr>
          <w:rFonts w:eastAsia="Times New Roman" w:cs="Arial"/>
          <w:smallCaps/>
          <w:color w:val="000000"/>
          <w:lang w:val="en-US"/>
        </w:rPr>
        <w:t>AUC</w:t>
      </w:r>
      <w:r w:rsidRPr="003F2DC2">
        <w:rPr>
          <w:rFonts w:eastAsia="Times New Roman" w:cs="Arial"/>
          <w:color w:val="000000"/>
          <w:lang w:eastAsia="bg-BG"/>
        </w:rPr>
        <w:t>τ</w:t>
      </w:r>
      <w:r w:rsidRPr="003F2DC2">
        <w:rPr>
          <w:rFonts w:eastAsia="Times New Roman" w:cs="Arial"/>
          <w:smallCaps/>
          <w:color w:val="000000"/>
          <w:lang w:eastAsia="bg-BG"/>
        </w:rPr>
        <w:t xml:space="preserve"> </w:t>
      </w:r>
      <w:r w:rsidRPr="003F2DC2">
        <w:rPr>
          <w:rFonts w:eastAsia="Times New Roman" w:cs="Arial"/>
          <w:color w:val="000000"/>
          <w:lang w:eastAsia="bg-BG"/>
        </w:rPr>
        <w:t xml:space="preserve">е 6,165 </w:t>
      </w:r>
      <w:r w:rsidRPr="003F2DC2">
        <w:rPr>
          <w:rFonts w:eastAsia="Times New Roman" w:cs="Arial"/>
          <w:color w:val="000000"/>
          <w:lang w:val="en-US"/>
        </w:rPr>
        <w:t>ng</w:t>
      </w:r>
      <w:r w:rsidRPr="003F2DC2">
        <w:rPr>
          <w:rFonts w:eastAsia="Times New Roman" w:cs="Arial"/>
          <w:color w:val="000000"/>
          <w:lang w:val="ru-RU"/>
        </w:rPr>
        <w:t xml:space="preserve"> </w:t>
      </w:r>
      <w:r w:rsidRPr="003F2DC2">
        <w:rPr>
          <w:rFonts w:eastAsia="Times New Roman" w:cs="Arial"/>
          <w:color w:val="000000"/>
          <w:lang w:val="en-US"/>
        </w:rPr>
        <w:t>h</w:t>
      </w:r>
      <w:r w:rsidRPr="003F2DC2">
        <w:rPr>
          <w:rFonts w:eastAsia="Times New Roman" w:cs="Arial"/>
          <w:color w:val="000000"/>
          <w:lang w:val="ru-RU"/>
        </w:rPr>
        <w:t>/</w:t>
      </w:r>
      <w:r w:rsidRPr="003F2DC2">
        <w:rPr>
          <w:rFonts w:eastAsia="Times New Roman" w:cs="Arial"/>
          <w:color w:val="000000"/>
          <w:lang w:val="en-US"/>
        </w:rPr>
        <w:t>ml</w:t>
      </w:r>
      <w:r w:rsidRPr="003F2DC2">
        <w:rPr>
          <w:rFonts w:eastAsia="Times New Roman" w:cs="Arial"/>
          <w:color w:val="000000"/>
          <w:lang w:val="ru-RU"/>
        </w:rPr>
        <w:t xml:space="preserve"> (</w:t>
      </w:r>
      <w:r w:rsidRPr="003F2DC2">
        <w:rPr>
          <w:rFonts w:eastAsia="Times New Roman" w:cs="Arial"/>
          <w:color w:val="000000"/>
          <w:lang w:val="en-US"/>
        </w:rPr>
        <w:t>CV</w:t>
      </w:r>
      <w:r w:rsidRPr="003F2DC2">
        <w:rPr>
          <w:rFonts w:eastAsia="Times New Roman" w:cs="Arial"/>
          <w:color w:val="000000"/>
          <w:lang w:val="ru-RU"/>
        </w:rPr>
        <w:t xml:space="preserve">: </w:t>
      </w:r>
      <w:r w:rsidRPr="003F2DC2">
        <w:rPr>
          <w:rFonts w:eastAsia="Times New Roman" w:cs="Arial"/>
          <w:color w:val="000000"/>
          <w:lang w:eastAsia="bg-BG"/>
        </w:rPr>
        <w:t xml:space="preserve">133%, </w:t>
      </w:r>
      <w:r w:rsidRPr="003F2DC2">
        <w:rPr>
          <w:rFonts w:eastAsia="Times New Roman" w:cs="Arial"/>
          <w:color w:val="000000"/>
          <w:lang w:val="en-US"/>
        </w:rPr>
        <w:t>n</w:t>
      </w:r>
      <w:r w:rsidRPr="003F2DC2">
        <w:rPr>
          <w:rFonts w:eastAsia="Times New Roman" w:cs="Arial"/>
          <w:color w:val="000000"/>
          <w:lang w:val="ru-RU"/>
        </w:rPr>
        <w:t xml:space="preserve"> </w:t>
      </w:r>
      <w:r w:rsidRPr="003F2DC2">
        <w:rPr>
          <w:rFonts w:eastAsia="Times New Roman" w:cs="Arial"/>
          <w:color w:val="000000"/>
          <w:lang w:eastAsia="bg-BG"/>
        </w:rPr>
        <w:t xml:space="preserve">= 7), което е подобно на експозицията, наблюдавана при възрастни пациенти с БАХ, които получават 125 </w:t>
      </w:r>
      <w:r w:rsidRPr="003F2DC2">
        <w:rPr>
          <w:rFonts w:eastAsia="Times New Roman" w:cs="Arial"/>
          <w:color w:val="000000"/>
          <w:lang w:val="en-US"/>
        </w:rPr>
        <w:t>mg</w:t>
      </w:r>
      <w:r w:rsidRPr="003F2DC2">
        <w:rPr>
          <w:rFonts w:eastAsia="Times New Roman" w:cs="Arial"/>
          <w:color w:val="000000"/>
          <w:lang w:val="ru-RU"/>
        </w:rPr>
        <w:t xml:space="preserve"> </w:t>
      </w:r>
      <w:r w:rsidRPr="003F2DC2">
        <w:rPr>
          <w:rFonts w:eastAsia="Times New Roman" w:cs="Arial"/>
          <w:color w:val="000000"/>
          <w:lang w:eastAsia="bg-BG"/>
        </w:rPr>
        <w:t>два пъти дневно, като се вземе под внимание съотношението на разпределение кръв/плазма 0,6.</w:t>
      </w:r>
    </w:p>
    <w:p w14:paraId="70AB2A80" w14:textId="77777777" w:rsidR="003F2DC2" w:rsidRPr="003F2DC2" w:rsidRDefault="003F2DC2" w:rsidP="003F2DC2">
      <w:pPr>
        <w:spacing w:line="240" w:lineRule="auto"/>
        <w:rPr>
          <w:rFonts w:eastAsia="Times New Roman" w:cs="Arial"/>
        </w:rPr>
      </w:pPr>
      <w:r w:rsidRPr="003F2DC2">
        <w:rPr>
          <w:rFonts w:eastAsia="Times New Roman" w:cs="Arial"/>
          <w:color w:val="000000"/>
          <w:lang w:eastAsia="bg-BG"/>
        </w:rPr>
        <w:lastRenderedPageBreak/>
        <w:t>Не са известни последиците от тези находки по отношение на хепатотоксичността. Полът и едновременна употреба на интравенозен епопростенол не оказват значителен ефект върху фармакокинетиката на бозентана.</w:t>
      </w:r>
    </w:p>
    <w:p w14:paraId="03CFD523" w14:textId="77777777" w:rsidR="003F2DC2" w:rsidRPr="003F2DC2" w:rsidRDefault="003F2DC2" w:rsidP="003F2DC2">
      <w:pPr>
        <w:spacing w:line="240" w:lineRule="auto"/>
        <w:rPr>
          <w:rFonts w:eastAsia="Times New Roman" w:cs="Arial"/>
          <w:i/>
          <w:iCs/>
          <w:color w:val="000000"/>
          <w:lang w:eastAsia="bg-BG"/>
        </w:rPr>
      </w:pPr>
    </w:p>
    <w:p w14:paraId="718A751F" w14:textId="4E6495B3" w:rsidR="003F2DC2" w:rsidRPr="003F2DC2" w:rsidRDefault="003F2DC2" w:rsidP="003F2DC2">
      <w:pPr>
        <w:spacing w:line="240" w:lineRule="auto"/>
        <w:rPr>
          <w:rFonts w:eastAsia="Times New Roman" w:cs="Arial"/>
        </w:rPr>
      </w:pPr>
      <w:r w:rsidRPr="003F2DC2">
        <w:rPr>
          <w:rFonts w:eastAsia="Times New Roman" w:cs="Arial"/>
          <w:i/>
          <w:iCs/>
          <w:color w:val="000000"/>
          <w:lang w:eastAsia="bg-BG"/>
        </w:rPr>
        <w:t>Чернодробно увреждане</w:t>
      </w:r>
    </w:p>
    <w:p w14:paraId="764A3592" w14:textId="77777777" w:rsidR="003F2DC2" w:rsidRPr="003F2DC2" w:rsidRDefault="003F2DC2" w:rsidP="003F2DC2">
      <w:pPr>
        <w:spacing w:line="240" w:lineRule="auto"/>
        <w:rPr>
          <w:rFonts w:eastAsia="Times New Roman" w:cs="Arial"/>
          <w:color w:val="000000"/>
          <w:lang w:eastAsia="bg-BG"/>
        </w:rPr>
      </w:pPr>
      <w:r w:rsidRPr="003F2DC2">
        <w:rPr>
          <w:rFonts w:eastAsia="Times New Roman" w:cs="Arial"/>
          <w:color w:val="000000"/>
          <w:lang w:eastAsia="bg-BG"/>
        </w:rPr>
        <w:t xml:space="preserve">При пациенти с леко увредена чернодробна функция </w:t>
      </w:r>
      <w:r w:rsidRPr="003F2DC2">
        <w:rPr>
          <w:rFonts w:eastAsia="Times New Roman" w:cs="Arial"/>
          <w:color w:val="000000"/>
          <w:lang w:val="ru-RU"/>
        </w:rPr>
        <w:t>(</w:t>
      </w:r>
      <w:r w:rsidRPr="003F2DC2">
        <w:rPr>
          <w:rFonts w:eastAsia="Times New Roman" w:cs="Arial"/>
          <w:color w:val="000000"/>
          <w:lang w:val="en-US"/>
        </w:rPr>
        <w:t>Child</w:t>
      </w:r>
      <w:r w:rsidRPr="003F2DC2">
        <w:rPr>
          <w:rFonts w:eastAsia="Times New Roman" w:cs="Arial"/>
          <w:color w:val="000000"/>
          <w:lang w:val="ru-RU"/>
        </w:rPr>
        <w:t>-</w:t>
      </w:r>
      <w:r w:rsidRPr="003F2DC2">
        <w:rPr>
          <w:rFonts w:eastAsia="Times New Roman" w:cs="Arial"/>
          <w:color w:val="000000"/>
          <w:lang w:val="en-US"/>
        </w:rPr>
        <w:t>Pugh</w:t>
      </w:r>
      <w:r w:rsidRPr="003F2DC2">
        <w:rPr>
          <w:rFonts w:eastAsia="Times New Roman" w:cs="Arial"/>
          <w:color w:val="000000"/>
          <w:lang w:val="ru-RU"/>
        </w:rPr>
        <w:t xml:space="preserve"> </w:t>
      </w:r>
      <w:r w:rsidRPr="003F2DC2">
        <w:rPr>
          <w:rFonts w:eastAsia="Times New Roman" w:cs="Arial"/>
          <w:color w:val="000000"/>
          <w:lang w:eastAsia="bg-BG"/>
        </w:rPr>
        <w:t xml:space="preserve">клас А), не са наблюдавани значими промени във фармакокинетиката. Стационарното състояние на </w:t>
      </w:r>
      <w:r w:rsidRPr="003F2DC2">
        <w:rPr>
          <w:rFonts w:eastAsia="Times New Roman" w:cs="Arial"/>
          <w:color w:val="000000"/>
          <w:lang w:val="en-US"/>
        </w:rPr>
        <w:t>AUC</w:t>
      </w:r>
      <w:r w:rsidRPr="003F2DC2">
        <w:rPr>
          <w:rFonts w:eastAsia="Times New Roman" w:cs="Arial"/>
          <w:color w:val="000000"/>
          <w:lang w:val="ru-RU"/>
        </w:rPr>
        <w:t xml:space="preserve"> </w:t>
      </w:r>
      <w:r w:rsidRPr="003F2DC2">
        <w:rPr>
          <w:rFonts w:eastAsia="Times New Roman" w:cs="Arial"/>
          <w:color w:val="000000"/>
          <w:lang w:eastAsia="bg-BG"/>
        </w:rPr>
        <w:t xml:space="preserve">за бозентан е с 9% по-високо и </w:t>
      </w:r>
      <w:r w:rsidRPr="003F2DC2">
        <w:rPr>
          <w:rFonts w:eastAsia="Times New Roman" w:cs="Arial"/>
          <w:color w:val="000000"/>
          <w:lang w:val="en-US"/>
        </w:rPr>
        <w:t>AUC</w:t>
      </w:r>
      <w:r w:rsidRPr="003F2DC2">
        <w:rPr>
          <w:rFonts w:eastAsia="Times New Roman" w:cs="Arial"/>
          <w:color w:val="000000"/>
          <w:lang w:val="ru-RU"/>
        </w:rPr>
        <w:t xml:space="preserve"> </w:t>
      </w:r>
      <w:r w:rsidRPr="003F2DC2">
        <w:rPr>
          <w:rFonts w:eastAsia="Times New Roman" w:cs="Arial"/>
          <w:color w:val="000000"/>
          <w:lang w:eastAsia="bg-BG"/>
        </w:rPr>
        <w:t xml:space="preserve">за активния метаболит, </w:t>
      </w:r>
      <w:r w:rsidRPr="003F2DC2">
        <w:rPr>
          <w:rFonts w:eastAsia="Times New Roman" w:cs="Arial"/>
          <w:color w:val="000000"/>
          <w:lang w:val="en-US"/>
        </w:rPr>
        <w:t>Ro</w:t>
      </w:r>
      <w:r w:rsidRPr="003F2DC2">
        <w:rPr>
          <w:rFonts w:eastAsia="Times New Roman" w:cs="Arial"/>
          <w:color w:val="000000"/>
          <w:lang w:val="ru-RU"/>
        </w:rPr>
        <w:t xml:space="preserve"> </w:t>
      </w:r>
      <w:r w:rsidRPr="003F2DC2">
        <w:rPr>
          <w:rFonts w:eastAsia="Times New Roman" w:cs="Arial"/>
          <w:color w:val="000000"/>
          <w:lang w:eastAsia="bg-BG"/>
        </w:rPr>
        <w:t xml:space="preserve">48-5033, е с 33% по-високо при пациентите с леко чернодробно увреждане, </w:t>
      </w:r>
    </w:p>
    <w:p w14:paraId="67BC1394" w14:textId="573062C6" w:rsidR="003F2DC2" w:rsidRPr="003F2DC2" w:rsidRDefault="003F2DC2" w:rsidP="003F2DC2">
      <w:pPr>
        <w:spacing w:line="240" w:lineRule="auto"/>
        <w:rPr>
          <w:rFonts w:eastAsia="Times New Roman" w:cs="Arial"/>
        </w:rPr>
      </w:pPr>
      <w:r w:rsidRPr="003F2DC2">
        <w:rPr>
          <w:rFonts w:eastAsia="Times New Roman" w:cs="Arial"/>
          <w:color w:val="000000"/>
          <w:lang w:eastAsia="bg-BG"/>
        </w:rPr>
        <w:t>отколкото при здрави доброволци.</w:t>
      </w:r>
    </w:p>
    <w:p w14:paraId="56814DCE" w14:textId="77777777" w:rsidR="003F2DC2" w:rsidRPr="003F2DC2" w:rsidRDefault="003F2DC2" w:rsidP="003F2DC2">
      <w:pPr>
        <w:spacing w:line="240" w:lineRule="auto"/>
        <w:rPr>
          <w:rFonts w:eastAsia="Times New Roman" w:cs="Arial"/>
          <w:color w:val="000000"/>
          <w:lang w:eastAsia="bg-BG"/>
        </w:rPr>
      </w:pPr>
    </w:p>
    <w:p w14:paraId="35481591" w14:textId="17F6149B" w:rsidR="003F2DC2" w:rsidRPr="003F2DC2" w:rsidRDefault="003F2DC2" w:rsidP="003F2DC2">
      <w:pPr>
        <w:spacing w:line="240" w:lineRule="auto"/>
        <w:rPr>
          <w:rFonts w:eastAsia="Times New Roman" w:cs="Arial"/>
        </w:rPr>
      </w:pPr>
      <w:r w:rsidRPr="003F2DC2">
        <w:rPr>
          <w:rFonts w:eastAsia="Times New Roman" w:cs="Arial"/>
          <w:color w:val="000000"/>
          <w:lang w:eastAsia="bg-BG"/>
        </w:rPr>
        <w:t xml:space="preserve">Ефектът на умерено увредена чернодробна функция </w:t>
      </w:r>
      <w:r w:rsidRPr="003F2DC2">
        <w:rPr>
          <w:rFonts w:eastAsia="Times New Roman" w:cs="Arial"/>
          <w:color w:val="000000"/>
          <w:lang w:val="ru-RU"/>
        </w:rPr>
        <w:t>(</w:t>
      </w:r>
      <w:r w:rsidRPr="003F2DC2">
        <w:rPr>
          <w:rFonts w:eastAsia="Times New Roman" w:cs="Arial"/>
          <w:color w:val="000000"/>
          <w:lang w:val="en-US"/>
        </w:rPr>
        <w:t>Child</w:t>
      </w:r>
      <w:r w:rsidRPr="003F2DC2">
        <w:rPr>
          <w:rFonts w:eastAsia="Times New Roman" w:cs="Arial"/>
          <w:color w:val="000000"/>
          <w:lang w:val="ru-RU"/>
        </w:rPr>
        <w:t>-</w:t>
      </w:r>
      <w:r w:rsidRPr="003F2DC2">
        <w:rPr>
          <w:rFonts w:eastAsia="Times New Roman" w:cs="Arial"/>
          <w:color w:val="000000"/>
          <w:lang w:val="en-US"/>
        </w:rPr>
        <w:t>Pugh</w:t>
      </w:r>
      <w:r w:rsidRPr="003F2DC2">
        <w:rPr>
          <w:rFonts w:eastAsia="Times New Roman" w:cs="Arial"/>
          <w:color w:val="000000"/>
          <w:lang w:val="ru-RU"/>
        </w:rPr>
        <w:t xml:space="preserve"> </w:t>
      </w:r>
      <w:r w:rsidRPr="003F2DC2">
        <w:rPr>
          <w:rFonts w:eastAsia="Times New Roman" w:cs="Arial"/>
          <w:color w:val="000000"/>
          <w:lang w:eastAsia="bg-BG"/>
        </w:rPr>
        <w:t xml:space="preserve">клас В) върху фармакокинетиката на бозентан и неговия първичен метаболит </w:t>
      </w:r>
      <w:r w:rsidRPr="003F2DC2">
        <w:rPr>
          <w:rFonts w:eastAsia="Times New Roman" w:cs="Arial"/>
          <w:color w:val="000000"/>
          <w:lang w:val="en-US"/>
        </w:rPr>
        <w:t>Ro</w:t>
      </w:r>
      <w:r w:rsidRPr="003F2DC2">
        <w:rPr>
          <w:rFonts w:eastAsia="Times New Roman" w:cs="Arial"/>
          <w:color w:val="000000"/>
          <w:lang w:val="ru-RU"/>
        </w:rPr>
        <w:t xml:space="preserve"> </w:t>
      </w:r>
      <w:r w:rsidRPr="003F2DC2">
        <w:rPr>
          <w:rFonts w:eastAsia="Times New Roman" w:cs="Arial"/>
          <w:color w:val="000000"/>
          <w:lang w:eastAsia="bg-BG"/>
        </w:rPr>
        <w:t xml:space="preserve">48-5033 е изследван при проучване, включващо 5 пациенти с белодробна хипертония, свързана с портална хипертония и </w:t>
      </w:r>
      <w:r w:rsidRPr="003F2DC2">
        <w:rPr>
          <w:rFonts w:eastAsia="Times New Roman" w:cs="Arial"/>
          <w:color w:val="000000"/>
          <w:lang w:val="en-US"/>
        </w:rPr>
        <w:t>Child</w:t>
      </w:r>
      <w:r w:rsidRPr="003F2DC2">
        <w:rPr>
          <w:rFonts w:eastAsia="Times New Roman" w:cs="Arial"/>
          <w:color w:val="000000"/>
          <w:lang w:val="ru-RU"/>
        </w:rPr>
        <w:t>-</w:t>
      </w:r>
      <w:r w:rsidRPr="003F2DC2">
        <w:rPr>
          <w:rFonts w:eastAsia="Times New Roman" w:cs="Arial"/>
          <w:color w:val="000000"/>
          <w:lang w:val="en-US"/>
        </w:rPr>
        <w:t>Pugh</w:t>
      </w:r>
      <w:r w:rsidRPr="003F2DC2">
        <w:rPr>
          <w:rFonts w:eastAsia="Times New Roman" w:cs="Arial"/>
          <w:color w:val="000000"/>
          <w:lang w:val="ru-RU"/>
        </w:rPr>
        <w:t xml:space="preserve"> </w:t>
      </w:r>
      <w:r w:rsidRPr="003F2DC2">
        <w:rPr>
          <w:rFonts w:eastAsia="Times New Roman" w:cs="Arial"/>
          <w:color w:val="000000"/>
          <w:lang w:eastAsia="bg-BG"/>
        </w:rPr>
        <w:t xml:space="preserve">клас В чернодробно увреждане и 3 пациенти с БАХ, свързана с други причини и нормална чернодробна функция. При пациенти с </w:t>
      </w:r>
      <w:r w:rsidRPr="003F2DC2">
        <w:rPr>
          <w:rFonts w:eastAsia="Times New Roman" w:cs="Arial"/>
          <w:color w:val="000000"/>
          <w:lang w:val="en-US"/>
        </w:rPr>
        <w:t>Child</w:t>
      </w:r>
      <w:r w:rsidRPr="003F2DC2">
        <w:rPr>
          <w:rFonts w:eastAsia="Times New Roman" w:cs="Arial"/>
          <w:color w:val="000000"/>
        </w:rPr>
        <w:t>-</w:t>
      </w:r>
      <w:r w:rsidRPr="003F2DC2">
        <w:rPr>
          <w:rFonts w:eastAsia="Times New Roman" w:cs="Arial"/>
          <w:color w:val="000000"/>
          <w:lang w:val="en-US"/>
        </w:rPr>
        <w:t>Pugh</w:t>
      </w:r>
      <w:r w:rsidRPr="003F2DC2">
        <w:rPr>
          <w:rFonts w:eastAsia="Times New Roman" w:cs="Arial"/>
          <w:color w:val="000000"/>
        </w:rPr>
        <w:t xml:space="preserve"> </w:t>
      </w:r>
      <w:r w:rsidRPr="003F2DC2">
        <w:rPr>
          <w:rFonts w:eastAsia="Times New Roman" w:cs="Arial"/>
          <w:color w:val="000000"/>
          <w:lang w:eastAsia="bg-BG"/>
        </w:rPr>
        <w:t xml:space="preserve">клас В чернодробно увреждане, средната (95% </w:t>
      </w:r>
      <w:r w:rsidRPr="003F2DC2">
        <w:rPr>
          <w:rFonts w:eastAsia="Times New Roman" w:cs="Arial"/>
          <w:color w:val="000000"/>
          <w:lang w:val="en-US"/>
        </w:rPr>
        <w:t>CI</w:t>
      </w:r>
      <w:r w:rsidRPr="003F2DC2">
        <w:rPr>
          <w:rFonts w:eastAsia="Times New Roman" w:cs="Arial"/>
          <w:color w:val="000000"/>
        </w:rPr>
        <w:t xml:space="preserve">) </w:t>
      </w:r>
      <w:r w:rsidRPr="003F2DC2">
        <w:rPr>
          <w:rFonts w:eastAsia="Times New Roman" w:cs="Arial"/>
          <w:color w:val="000000"/>
          <w:lang w:val="en-US"/>
        </w:rPr>
        <w:t>AUC</w:t>
      </w:r>
      <w:r w:rsidRPr="003F2DC2">
        <w:rPr>
          <w:rFonts w:eastAsia="Times New Roman" w:cs="Arial"/>
          <w:color w:val="000000"/>
        </w:rPr>
        <w:t xml:space="preserve"> </w:t>
      </w:r>
      <w:r w:rsidRPr="003F2DC2">
        <w:rPr>
          <w:rFonts w:eastAsia="Times New Roman" w:cs="Arial"/>
          <w:color w:val="000000"/>
          <w:lang w:eastAsia="bg-BG"/>
        </w:rPr>
        <w:t xml:space="preserve">в стационарно състояние на бозентан е 360 (212-613) </w:t>
      </w:r>
      <w:r w:rsidRPr="003F2DC2">
        <w:rPr>
          <w:rFonts w:eastAsia="Times New Roman" w:cs="Arial"/>
          <w:color w:val="000000"/>
          <w:lang w:val="en-US"/>
        </w:rPr>
        <w:t>ng</w:t>
      </w:r>
      <w:r w:rsidRPr="003F2DC2">
        <w:rPr>
          <w:rFonts w:eastAsia="Times New Roman" w:cs="Arial"/>
          <w:color w:val="000000"/>
        </w:rPr>
        <w:t>.</w:t>
      </w:r>
      <w:r w:rsidRPr="003F2DC2">
        <w:rPr>
          <w:rFonts w:eastAsia="Times New Roman" w:cs="Arial"/>
          <w:color w:val="000000"/>
          <w:lang w:val="en-US"/>
        </w:rPr>
        <w:t>h</w:t>
      </w:r>
      <w:r w:rsidRPr="003F2DC2">
        <w:rPr>
          <w:rFonts w:eastAsia="Times New Roman" w:cs="Arial"/>
          <w:color w:val="000000"/>
        </w:rPr>
        <w:t>/</w:t>
      </w:r>
      <w:r w:rsidRPr="003F2DC2">
        <w:rPr>
          <w:rFonts w:eastAsia="Times New Roman" w:cs="Arial"/>
          <w:color w:val="000000"/>
          <w:lang w:val="en-US"/>
        </w:rPr>
        <w:t>ml</w:t>
      </w:r>
      <w:r w:rsidRPr="003F2DC2">
        <w:rPr>
          <w:rFonts w:eastAsia="Times New Roman" w:cs="Arial"/>
          <w:color w:val="000000"/>
        </w:rPr>
        <w:t xml:space="preserve">, </w:t>
      </w:r>
      <w:r w:rsidRPr="003F2DC2">
        <w:rPr>
          <w:rFonts w:eastAsia="Times New Roman" w:cs="Arial"/>
          <w:color w:val="000000"/>
          <w:lang w:eastAsia="bg-BG"/>
        </w:rPr>
        <w:t xml:space="preserve">т.е., 4,7 пъти по-висока и средната (95% </w:t>
      </w:r>
      <w:r w:rsidRPr="003F2DC2">
        <w:rPr>
          <w:rFonts w:eastAsia="Times New Roman" w:cs="Arial"/>
          <w:color w:val="000000"/>
          <w:lang w:val="en-US"/>
        </w:rPr>
        <w:t>CI</w:t>
      </w:r>
      <w:r w:rsidRPr="003F2DC2">
        <w:rPr>
          <w:rFonts w:eastAsia="Times New Roman" w:cs="Arial"/>
          <w:color w:val="000000"/>
        </w:rPr>
        <w:t xml:space="preserve">) </w:t>
      </w:r>
      <w:r w:rsidRPr="003F2DC2">
        <w:rPr>
          <w:rFonts w:eastAsia="Times New Roman" w:cs="Arial"/>
          <w:color w:val="000000"/>
          <w:lang w:val="en-US"/>
        </w:rPr>
        <w:t>AUC</w:t>
      </w:r>
      <w:r w:rsidRPr="003F2DC2">
        <w:rPr>
          <w:rFonts w:eastAsia="Times New Roman" w:cs="Arial"/>
          <w:color w:val="000000"/>
        </w:rPr>
        <w:t xml:space="preserve"> </w:t>
      </w:r>
      <w:r w:rsidRPr="003F2DC2">
        <w:rPr>
          <w:rFonts w:eastAsia="Times New Roman" w:cs="Arial"/>
          <w:color w:val="000000"/>
          <w:lang w:eastAsia="bg-BG"/>
        </w:rPr>
        <w:t xml:space="preserve">на активния метаболит </w:t>
      </w:r>
      <w:r w:rsidRPr="003F2DC2">
        <w:rPr>
          <w:rFonts w:eastAsia="Times New Roman" w:cs="Arial"/>
          <w:color w:val="000000"/>
          <w:lang w:val="en-US"/>
        </w:rPr>
        <w:t>Ro</w:t>
      </w:r>
      <w:r w:rsidRPr="003F2DC2">
        <w:rPr>
          <w:rFonts w:eastAsia="Times New Roman" w:cs="Arial"/>
          <w:color w:val="000000"/>
        </w:rPr>
        <w:t xml:space="preserve"> </w:t>
      </w:r>
      <w:r w:rsidRPr="003F2DC2">
        <w:rPr>
          <w:rFonts w:eastAsia="Times New Roman" w:cs="Arial"/>
          <w:color w:val="000000"/>
          <w:lang w:eastAsia="bg-BG"/>
        </w:rPr>
        <w:t xml:space="preserve">48-5033 е 106 (58,4-192) </w:t>
      </w:r>
      <w:r w:rsidRPr="003F2DC2">
        <w:rPr>
          <w:rFonts w:eastAsia="Times New Roman" w:cs="Arial"/>
          <w:color w:val="000000"/>
          <w:lang w:val="en-US"/>
        </w:rPr>
        <w:t>ng</w:t>
      </w:r>
      <w:r w:rsidRPr="003F2DC2">
        <w:rPr>
          <w:rFonts w:eastAsia="Times New Roman" w:cs="Arial"/>
          <w:color w:val="000000"/>
        </w:rPr>
        <w:t>.</w:t>
      </w:r>
      <w:r w:rsidRPr="003F2DC2">
        <w:rPr>
          <w:rFonts w:eastAsia="Times New Roman" w:cs="Arial"/>
          <w:color w:val="000000"/>
          <w:lang w:val="en-US"/>
        </w:rPr>
        <w:t>h</w:t>
      </w:r>
      <w:r w:rsidRPr="003F2DC2">
        <w:rPr>
          <w:rFonts w:eastAsia="Times New Roman" w:cs="Arial"/>
          <w:color w:val="000000"/>
        </w:rPr>
        <w:t>/</w:t>
      </w:r>
      <w:r w:rsidRPr="003F2DC2">
        <w:rPr>
          <w:rFonts w:eastAsia="Times New Roman" w:cs="Arial"/>
          <w:color w:val="000000"/>
          <w:lang w:val="en-US"/>
        </w:rPr>
        <w:t>ml</w:t>
      </w:r>
      <w:r w:rsidRPr="003F2DC2">
        <w:rPr>
          <w:rFonts w:eastAsia="Times New Roman" w:cs="Arial"/>
          <w:color w:val="000000"/>
        </w:rPr>
        <w:t xml:space="preserve">, </w:t>
      </w:r>
      <w:r w:rsidRPr="003F2DC2">
        <w:rPr>
          <w:rFonts w:eastAsia="Times New Roman" w:cs="Arial"/>
          <w:color w:val="000000"/>
          <w:lang w:eastAsia="bg-BG"/>
        </w:rPr>
        <w:t xml:space="preserve">т.е., 12,4 пъти по-висока, отколкото при пациенти с нормална чернодробна функция (бозентан: средна стойност [95% </w:t>
      </w:r>
      <w:r w:rsidRPr="003F2DC2">
        <w:rPr>
          <w:rFonts w:eastAsia="Times New Roman" w:cs="Arial"/>
          <w:color w:val="000000"/>
          <w:lang w:val="en-US"/>
        </w:rPr>
        <w:t>CI</w:t>
      </w:r>
      <w:r w:rsidRPr="003F2DC2">
        <w:rPr>
          <w:rFonts w:eastAsia="Times New Roman" w:cs="Arial"/>
          <w:color w:val="000000"/>
        </w:rPr>
        <w:t xml:space="preserve">] </w:t>
      </w:r>
      <w:r w:rsidRPr="003F2DC2">
        <w:rPr>
          <w:rFonts w:eastAsia="Times New Roman" w:cs="Arial"/>
          <w:color w:val="000000"/>
          <w:lang w:val="en-US"/>
        </w:rPr>
        <w:t>AUC</w:t>
      </w:r>
      <w:r w:rsidRPr="003F2DC2">
        <w:rPr>
          <w:rFonts w:eastAsia="Times New Roman" w:cs="Arial"/>
          <w:color w:val="000000"/>
        </w:rPr>
        <w:t xml:space="preserve"> </w:t>
      </w:r>
      <w:r w:rsidRPr="003F2DC2">
        <w:rPr>
          <w:rFonts w:eastAsia="Times New Roman" w:cs="Arial"/>
          <w:color w:val="000000"/>
          <w:lang w:eastAsia="bg-BG"/>
        </w:rPr>
        <w:t xml:space="preserve">.- 76,1 [9,07-638] </w:t>
      </w:r>
      <w:r w:rsidRPr="003F2DC2">
        <w:rPr>
          <w:rFonts w:eastAsia="Times New Roman" w:cs="Arial"/>
          <w:color w:val="000000"/>
          <w:lang w:val="en-US"/>
        </w:rPr>
        <w:t>ng</w:t>
      </w:r>
      <w:r w:rsidRPr="003F2DC2">
        <w:rPr>
          <w:rFonts w:eastAsia="Times New Roman" w:cs="Arial"/>
          <w:color w:val="000000"/>
        </w:rPr>
        <w:t>.</w:t>
      </w:r>
      <w:r w:rsidRPr="003F2DC2">
        <w:rPr>
          <w:rFonts w:eastAsia="Times New Roman" w:cs="Arial"/>
          <w:color w:val="000000"/>
          <w:lang w:val="en-US"/>
        </w:rPr>
        <w:t>h</w:t>
      </w:r>
      <w:r w:rsidRPr="003F2DC2">
        <w:rPr>
          <w:rFonts w:eastAsia="Times New Roman" w:cs="Arial"/>
          <w:color w:val="000000"/>
        </w:rPr>
        <w:t>/</w:t>
      </w:r>
      <w:r w:rsidRPr="003F2DC2">
        <w:rPr>
          <w:rFonts w:eastAsia="Times New Roman" w:cs="Arial"/>
          <w:color w:val="000000"/>
          <w:lang w:val="en-US"/>
        </w:rPr>
        <w:t>ml</w:t>
      </w:r>
      <w:r w:rsidRPr="003F2DC2">
        <w:rPr>
          <w:rFonts w:eastAsia="Times New Roman" w:cs="Arial"/>
          <w:color w:val="000000"/>
        </w:rPr>
        <w:t xml:space="preserve">; </w:t>
      </w:r>
      <w:r w:rsidRPr="003F2DC2">
        <w:rPr>
          <w:rFonts w:eastAsia="Times New Roman" w:cs="Arial"/>
          <w:color w:val="000000"/>
          <w:lang w:val="en-US"/>
        </w:rPr>
        <w:t>Ro</w:t>
      </w:r>
      <w:r w:rsidRPr="003F2DC2">
        <w:rPr>
          <w:rFonts w:eastAsia="Times New Roman" w:cs="Arial"/>
          <w:color w:val="000000"/>
        </w:rPr>
        <w:t xml:space="preserve"> </w:t>
      </w:r>
      <w:r w:rsidRPr="003F2DC2">
        <w:rPr>
          <w:rFonts w:eastAsia="Times New Roman" w:cs="Arial"/>
          <w:color w:val="000000"/>
          <w:lang w:eastAsia="bg-BG"/>
        </w:rPr>
        <w:t xml:space="preserve">48-5033: средна стойност [95% </w:t>
      </w:r>
      <w:r w:rsidRPr="003F2DC2">
        <w:rPr>
          <w:rFonts w:eastAsia="Times New Roman" w:cs="Arial"/>
          <w:color w:val="000000"/>
          <w:lang w:val="en-US"/>
        </w:rPr>
        <w:t>CI</w:t>
      </w:r>
      <w:r w:rsidRPr="003F2DC2">
        <w:rPr>
          <w:rFonts w:eastAsia="Times New Roman" w:cs="Arial"/>
          <w:color w:val="000000"/>
        </w:rPr>
        <w:t xml:space="preserve">] </w:t>
      </w:r>
      <w:r w:rsidRPr="003F2DC2">
        <w:rPr>
          <w:rFonts w:eastAsia="Times New Roman" w:cs="Arial"/>
          <w:color w:val="000000"/>
          <w:lang w:val="en-US"/>
        </w:rPr>
        <w:t>AUC</w:t>
      </w:r>
      <w:r w:rsidRPr="003F2DC2">
        <w:rPr>
          <w:rFonts w:eastAsia="Times New Roman" w:cs="Arial"/>
          <w:color w:val="000000"/>
        </w:rPr>
        <w:t xml:space="preserve"> </w:t>
      </w:r>
      <w:r w:rsidRPr="003F2DC2">
        <w:rPr>
          <w:rFonts w:eastAsia="Times New Roman" w:cs="Arial"/>
          <w:color w:val="000000"/>
          <w:lang w:eastAsia="bg-BG"/>
        </w:rPr>
        <w:t xml:space="preserve">8,57 [1,28-57,2] </w:t>
      </w:r>
      <w:r w:rsidRPr="003F2DC2">
        <w:rPr>
          <w:rFonts w:eastAsia="Times New Roman" w:cs="Arial"/>
          <w:color w:val="000000"/>
          <w:lang w:val="en-US"/>
        </w:rPr>
        <w:t>ng</w:t>
      </w:r>
      <w:r w:rsidRPr="003F2DC2">
        <w:rPr>
          <w:rFonts w:eastAsia="Times New Roman" w:cs="Arial"/>
          <w:color w:val="000000"/>
        </w:rPr>
        <w:t>.</w:t>
      </w:r>
      <w:r w:rsidRPr="003F2DC2">
        <w:rPr>
          <w:rFonts w:eastAsia="Times New Roman" w:cs="Arial"/>
          <w:color w:val="000000"/>
          <w:lang w:val="en-US"/>
        </w:rPr>
        <w:t>h</w:t>
      </w:r>
      <w:r w:rsidRPr="003F2DC2">
        <w:rPr>
          <w:rFonts w:eastAsia="Times New Roman" w:cs="Arial"/>
          <w:color w:val="000000"/>
        </w:rPr>
        <w:t>/</w:t>
      </w:r>
      <w:r w:rsidRPr="003F2DC2">
        <w:rPr>
          <w:rFonts w:eastAsia="Times New Roman" w:cs="Arial"/>
          <w:color w:val="000000"/>
          <w:lang w:val="en-US"/>
        </w:rPr>
        <w:t>ml</w:t>
      </w:r>
      <w:r w:rsidRPr="003F2DC2">
        <w:rPr>
          <w:rFonts w:eastAsia="Times New Roman" w:cs="Arial"/>
          <w:color w:val="000000"/>
        </w:rPr>
        <w:t xml:space="preserve">). </w:t>
      </w:r>
      <w:r w:rsidRPr="003F2DC2">
        <w:rPr>
          <w:rFonts w:eastAsia="Times New Roman" w:cs="Arial"/>
          <w:color w:val="000000"/>
          <w:lang w:eastAsia="bg-BG"/>
        </w:rPr>
        <w:t xml:space="preserve">Въпреки ограничения брой на включените пациенти и високата вариабилност, тези данни показват подчертано повишена експозиция на бозентан и неговия първичен метаболит </w:t>
      </w:r>
      <w:r w:rsidRPr="003F2DC2">
        <w:rPr>
          <w:rFonts w:eastAsia="Times New Roman" w:cs="Arial"/>
          <w:color w:val="000000"/>
          <w:lang w:val="en-US"/>
        </w:rPr>
        <w:t>Ro</w:t>
      </w:r>
      <w:r w:rsidRPr="003F2DC2">
        <w:rPr>
          <w:rFonts w:eastAsia="Times New Roman" w:cs="Arial"/>
          <w:color w:val="000000"/>
          <w:lang w:val="ru-RU"/>
        </w:rPr>
        <w:t xml:space="preserve"> </w:t>
      </w:r>
      <w:r w:rsidRPr="003F2DC2">
        <w:rPr>
          <w:rFonts w:eastAsia="Times New Roman" w:cs="Arial"/>
          <w:color w:val="000000"/>
          <w:lang w:eastAsia="bg-BG"/>
        </w:rPr>
        <w:t xml:space="preserve">48-5033 при пациенти с умерено увредена чернодробна функция </w:t>
      </w:r>
      <w:r w:rsidRPr="003F2DC2">
        <w:rPr>
          <w:rFonts w:eastAsia="Times New Roman" w:cs="Arial"/>
          <w:color w:val="000000"/>
          <w:lang w:val="ru-RU"/>
        </w:rPr>
        <w:t>(</w:t>
      </w:r>
      <w:r w:rsidRPr="003F2DC2">
        <w:rPr>
          <w:rFonts w:eastAsia="Times New Roman" w:cs="Arial"/>
          <w:color w:val="000000"/>
          <w:lang w:val="en-US"/>
        </w:rPr>
        <w:t>Child</w:t>
      </w:r>
      <w:r w:rsidRPr="003F2DC2">
        <w:rPr>
          <w:rFonts w:eastAsia="Times New Roman" w:cs="Arial"/>
          <w:color w:val="000000"/>
          <w:lang w:val="ru-RU"/>
        </w:rPr>
        <w:t>-</w:t>
      </w:r>
      <w:r w:rsidRPr="003F2DC2">
        <w:rPr>
          <w:rFonts w:eastAsia="Times New Roman" w:cs="Arial"/>
          <w:color w:val="000000"/>
          <w:lang w:val="en-US"/>
        </w:rPr>
        <w:t>Pugh</w:t>
      </w:r>
      <w:r w:rsidRPr="003F2DC2">
        <w:rPr>
          <w:rFonts w:eastAsia="Times New Roman" w:cs="Arial"/>
          <w:color w:val="000000"/>
          <w:lang w:val="ru-RU"/>
        </w:rPr>
        <w:t xml:space="preserve"> </w:t>
      </w:r>
      <w:r w:rsidRPr="003F2DC2">
        <w:rPr>
          <w:rFonts w:eastAsia="Times New Roman" w:cs="Arial"/>
          <w:color w:val="000000"/>
          <w:lang w:eastAsia="bg-BG"/>
        </w:rPr>
        <w:t>клас В).</w:t>
      </w:r>
    </w:p>
    <w:p w14:paraId="4FDBBBCC" w14:textId="77777777" w:rsidR="003F2DC2" w:rsidRPr="003F2DC2" w:rsidRDefault="003F2DC2" w:rsidP="003F2DC2">
      <w:pPr>
        <w:spacing w:line="240" w:lineRule="auto"/>
        <w:rPr>
          <w:rFonts w:eastAsia="Times New Roman" w:cs="Arial"/>
          <w:color w:val="000000"/>
          <w:lang w:eastAsia="bg-BG"/>
        </w:rPr>
      </w:pPr>
    </w:p>
    <w:p w14:paraId="29703EBC" w14:textId="3992CD53" w:rsidR="003F2DC2" w:rsidRPr="003F2DC2" w:rsidRDefault="003F2DC2" w:rsidP="003F2DC2">
      <w:pPr>
        <w:spacing w:line="240" w:lineRule="auto"/>
        <w:rPr>
          <w:rFonts w:eastAsia="Times New Roman" w:cs="Arial"/>
        </w:rPr>
      </w:pPr>
      <w:r w:rsidRPr="003F2DC2">
        <w:rPr>
          <w:rFonts w:eastAsia="Times New Roman" w:cs="Arial"/>
          <w:color w:val="000000"/>
          <w:lang w:eastAsia="bg-BG"/>
        </w:rPr>
        <w:t xml:space="preserve">Фармакокинетиката на бозентан не е проучена при пациенти с чернодробно увреждане </w:t>
      </w:r>
      <w:r w:rsidRPr="003F2DC2">
        <w:rPr>
          <w:rFonts w:eastAsia="Times New Roman" w:cs="Arial"/>
          <w:color w:val="000000"/>
          <w:lang w:val="en-US"/>
        </w:rPr>
        <w:t>Child</w:t>
      </w:r>
      <w:r w:rsidRPr="003F2DC2">
        <w:rPr>
          <w:rFonts w:eastAsia="Times New Roman" w:cs="Arial"/>
          <w:color w:val="000000"/>
          <w:lang w:val="ru-RU"/>
        </w:rPr>
        <w:t xml:space="preserve">- </w:t>
      </w:r>
      <w:r w:rsidRPr="003F2DC2">
        <w:rPr>
          <w:rFonts w:eastAsia="Times New Roman" w:cs="Arial"/>
          <w:color w:val="000000"/>
          <w:lang w:val="en-US"/>
        </w:rPr>
        <w:t>Pugh</w:t>
      </w:r>
      <w:r w:rsidRPr="003F2DC2">
        <w:rPr>
          <w:rFonts w:eastAsia="Times New Roman" w:cs="Arial"/>
          <w:color w:val="000000"/>
          <w:lang w:val="ru-RU"/>
        </w:rPr>
        <w:t xml:space="preserve"> </w:t>
      </w:r>
      <w:r w:rsidRPr="003F2DC2">
        <w:rPr>
          <w:rFonts w:eastAsia="Times New Roman" w:cs="Arial"/>
          <w:color w:val="000000"/>
          <w:lang w:eastAsia="bg-BG"/>
        </w:rPr>
        <w:t xml:space="preserve">клас. Ипертазин е противопоказан при пациенти с умерено до тежко чернодробно увреждане, т.е. </w:t>
      </w:r>
      <w:r w:rsidRPr="003F2DC2">
        <w:rPr>
          <w:rFonts w:eastAsia="Times New Roman" w:cs="Arial"/>
          <w:color w:val="000000"/>
          <w:lang w:val="en-US"/>
        </w:rPr>
        <w:t>Child</w:t>
      </w:r>
      <w:r w:rsidRPr="003F2DC2">
        <w:rPr>
          <w:rFonts w:eastAsia="Times New Roman" w:cs="Arial"/>
          <w:color w:val="000000"/>
          <w:lang w:val="ru-RU"/>
        </w:rPr>
        <w:t>-</w:t>
      </w:r>
      <w:r w:rsidRPr="003F2DC2">
        <w:rPr>
          <w:rFonts w:eastAsia="Times New Roman" w:cs="Arial"/>
          <w:color w:val="000000"/>
          <w:lang w:val="en-US"/>
        </w:rPr>
        <w:t>Pugh</w:t>
      </w:r>
      <w:r w:rsidRPr="003F2DC2">
        <w:rPr>
          <w:rFonts w:eastAsia="Times New Roman" w:cs="Arial"/>
          <w:color w:val="000000"/>
          <w:lang w:val="ru-RU"/>
        </w:rPr>
        <w:t xml:space="preserve"> </w:t>
      </w:r>
      <w:r w:rsidRPr="003F2DC2">
        <w:rPr>
          <w:rFonts w:eastAsia="Times New Roman" w:cs="Arial"/>
          <w:color w:val="000000"/>
          <w:lang w:eastAsia="bg-BG"/>
        </w:rPr>
        <w:t>клас В или С (вж. точка 4.3).</w:t>
      </w:r>
    </w:p>
    <w:p w14:paraId="5F7076CC" w14:textId="77777777" w:rsidR="003F2DC2" w:rsidRPr="003F2DC2" w:rsidRDefault="003F2DC2" w:rsidP="003F2DC2">
      <w:pPr>
        <w:spacing w:line="240" w:lineRule="auto"/>
        <w:rPr>
          <w:rFonts w:eastAsia="Times New Roman" w:cs="Arial"/>
          <w:i/>
          <w:iCs/>
          <w:color w:val="000000"/>
          <w:lang w:eastAsia="bg-BG"/>
        </w:rPr>
      </w:pPr>
    </w:p>
    <w:p w14:paraId="52236AB8" w14:textId="3BC0685C" w:rsidR="003F2DC2" w:rsidRPr="003F2DC2" w:rsidRDefault="003F2DC2" w:rsidP="003F2DC2">
      <w:pPr>
        <w:spacing w:line="240" w:lineRule="auto"/>
        <w:rPr>
          <w:rFonts w:eastAsia="Times New Roman" w:cs="Arial"/>
        </w:rPr>
      </w:pPr>
      <w:r w:rsidRPr="003F2DC2">
        <w:rPr>
          <w:rFonts w:eastAsia="Times New Roman" w:cs="Arial"/>
          <w:i/>
          <w:iCs/>
          <w:color w:val="000000"/>
          <w:lang w:eastAsia="bg-BG"/>
        </w:rPr>
        <w:t>Бъбречно увреждане</w:t>
      </w:r>
    </w:p>
    <w:p w14:paraId="29C9E3E6" w14:textId="77777777" w:rsidR="003F2DC2" w:rsidRPr="003F2DC2" w:rsidRDefault="003F2DC2" w:rsidP="003F2DC2">
      <w:pPr>
        <w:rPr>
          <w:rFonts w:eastAsia="Times New Roman" w:cs="Arial"/>
        </w:rPr>
      </w:pPr>
      <w:r w:rsidRPr="003F2DC2">
        <w:rPr>
          <w:rFonts w:eastAsia="Times New Roman" w:cs="Arial"/>
          <w:color w:val="000000"/>
          <w:lang w:eastAsia="bg-BG"/>
        </w:rPr>
        <w:t xml:space="preserve">При пациентите с тежко бъбречно увреждане (креатининов клирънс 15-30 </w:t>
      </w:r>
      <w:r w:rsidRPr="003F2DC2">
        <w:rPr>
          <w:rFonts w:eastAsia="Times New Roman" w:cs="Arial"/>
          <w:color w:val="000000"/>
          <w:lang w:val="en-US"/>
        </w:rPr>
        <w:t>ml</w:t>
      </w:r>
      <w:r w:rsidRPr="003F2DC2">
        <w:rPr>
          <w:rFonts w:eastAsia="Times New Roman" w:cs="Arial"/>
          <w:color w:val="000000"/>
          <w:lang w:val="ru-RU"/>
        </w:rPr>
        <w:t>/</w:t>
      </w:r>
      <w:r w:rsidRPr="003F2DC2">
        <w:rPr>
          <w:rFonts w:eastAsia="Times New Roman" w:cs="Arial"/>
          <w:color w:val="000000"/>
          <w:lang w:val="en-US"/>
        </w:rPr>
        <w:t>min</w:t>
      </w:r>
      <w:r w:rsidRPr="003F2DC2">
        <w:rPr>
          <w:rFonts w:eastAsia="Times New Roman" w:cs="Arial"/>
          <w:color w:val="000000"/>
          <w:lang w:val="ru-RU"/>
        </w:rPr>
        <w:t xml:space="preserve">.), </w:t>
      </w:r>
      <w:r w:rsidRPr="003F2DC2">
        <w:rPr>
          <w:rFonts w:eastAsia="Times New Roman" w:cs="Arial"/>
          <w:color w:val="000000"/>
          <w:lang w:eastAsia="bg-BG"/>
        </w:rPr>
        <w:t>плазмените концентрации на бозентан намаляват с приблизително 10%. Плазмените концентрации на метаболитите на бозентана се повишават около 2 пъти при тези пациенти, в сравнение с пациентите с нормална бъбречна функция. При пациентите с бъбречно увреждане не се налага корекция на дозата. Няма специфичен клиничен опит при пациентите, подлежащи на диализа. Поради физикохимичните свойства и високата степен на свързване с протеините, не се очаква диализата да отстрани бозентана от кръвообращението в значителна степен (вж. точка 4.2).</w:t>
      </w:r>
    </w:p>
    <w:p w14:paraId="1A616F97" w14:textId="788A6718" w:rsidR="003F2DC2" w:rsidRPr="003F2DC2" w:rsidRDefault="003F2DC2" w:rsidP="003F2DC2"/>
    <w:p w14:paraId="4FB791BE" w14:textId="664DC984" w:rsidR="00B6672E" w:rsidRDefault="002C50EE" w:rsidP="00936AD0">
      <w:pPr>
        <w:pStyle w:val="Heading2"/>
      </w:pPr>
      <w:r>
        <w:t>5.3. Предклинични данни за безопасност</w:t>
      </w:r>
    </w:p>
    <w:p w14:paraId="5138BBB2" w14:textId="08858757" w:rsidR="003F2DC2" w:rsidRDefault="003F2DC2" w:rsidP="003F2DC2"/>
    <w:p w14:paraId="5669D8B3" w14:textId="77777777"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 xml:space="preserve">2-годишно проучване на карциногенността при мишки показва повишена честота на комбинирани хепатоцелуларни аденоми и карциноми при мъжки, но не и при женски мишки, при плазмени концентрации от около 2 до 4 пъти надвишаващи плазмените концентрации, достигани при терапевтични дози при хора. При плъхове, пероралното прилагане на бозентан за период от 2 години причинява малко, значимо повишаване на честотата на комбинираните фоликулоклетъчни аденоми и карциноми на щитовидната жлеза при мъжки, но не и при женски плъхове, при плазмени концентрации от около 9 до 14 пъти надвишаващи плазмените концентрации, достигани при терапевтични дози при хора. Тестовете за генотоксичност при бозентан са отрицателни. Има доказателства за </w:t>
      </w:r>
      <w:r w:rsidRPr="003F2DC2">
        <w:rPr>
          <w:rFonts w:eastAsia="Times New Roman" w:cs="Arial"/>
          <w:color w:val="000000"/>
          <w:szCs w:val="20"/>
          <w:lang w:eastAsia="bg-BG"/>
        </w:rPr>
        <w:lastRenderedPageBreak/>
        <w:t>лек дисбаланс на тиреоидните хормони, причинен от бозентана при плъхове. Но няма доказателства за повлияване функциите на щитовидната жлеза (тироксин, тиреоид-стимулиращ хормон) от бозентана при хора.</w:t>
      </w:r>
    </w:p>
    <w:p w14:paraId="04897413" w14:textId="77777777" w:rsidR="003F2DC2" w:rsidRPr="003F2DC2" w:rsidRDefault="003F2DC2" w:rsidP="003F2DC2">
      <w:pPr>
        <w:spacing w:line="240" w:lineRule="auto"/>
        <w:rPr>
          <w:rFonts w:eastAsia="Times New Roman" w:cs="Arial"/>
          <w:color w:val="000000"/>
          <w:szCs w:val="20"/>
          <w:lang w:eastAsia="bg-BG"/>
        </w:rPr>
      </w:pPr>
    </w:p>
    <w:p w14:paraId="35AB2CA9" w14:textId="33F97850"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Не е известен ефектът на бозентана върху митохондриалната функция.</w:t>
      </w:r>
    </w:p>
    <w:p w14:paraId="56F0B5B3" w14:textId="77777777" w:rsidR="003F2DC2" w:rsidRPr="003F2DC2" w:rsidRDefault="003F2DC2" w:rsidP="003F2DC2">
      <w:pPr>
        <w:spacing w:line="240" w:lineRule="auto"/>
        <w:rPr>
          <w:rFonts w:eastAsia="Times New Roman" w:cs="Arial"/>
          <w:color w:val="000000"/>
          <w:szCs w:val="20"/>
          <w:lang w:eastAsia="bg-BG"/>
        </w:rPr>
      </w:pPr>
    </w:p>
    <w:p w14:paraId="02DD1CE0" w14:textId="2836BCAB"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Доказано е, че бозентанът е тератогенен при плъхове при плазмени нива, по-високи от 1,5 пъти плазмените концентрации, достигани при терапевтични дози при хора. Тератогениите ефекти, включващи малформации на главата и лицето, и на големите съдове, са дозозависими. Приликите във вида на малформациите, наблюдавани при другите ЕТ рецепторни антагонисти и мишките с дефицит на ЕТ, свидетелства за ефект на класа медикаменти. При жени с детероден потенциал трябва да се вземат подходящи предпазни мерки (вж. точки 4.3,4.4 и 4.6).</w:t>
      </w:r>
    </w:p>
    <w:p w14:paraId="61E0D6BF" w14:textId="77777777" w:rsidR="003F2DC2" w:rsidRPr="003F2DC2" w:rsidRDefault="003F2DC2" w:rsidP="003F2DC2">
      <w:pPr>
        <w:spacing w:line="240" w:lineRule="auto"/>
        <w:rPr>
          <w:rFonts w:eastAsia="Times New Roman" w:cs="Arial"/>
          <w:color w:val="000000"/>
          <w:szCs w:val="20"/>
          <w:lang w:eastAsia="bg-BG"/>
        </w:rPr>
      </w:pPr>
    </w:p>
    <w:p w14:paraId="77A969CE" w14:textId="6B777C1A"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Развитието на тестикуларна тубулна атрофия и нарушен фертилитет са били свързани с хронично приложение на ендотелин-рецепторни антагонисти при гризачи.</w:t>
      </w:r>
    </w:p>
    <w:p w14:paraId="25F55777" w14:textId="77777777" w:rsidR="003F2DC2" w:rsidRPr="003F2DC2" w:rsidRDefault="003F2DC2" w:rsidP="003F2DC2">
      <w:pPr>
        <w:spacing w:line="240" w:lineRule="auto"/>
        <w:rPr>
          <w:rFonts w:eastAsia="Times New Roman" w:cs="Arial"/>
          <w:color w:val="000000"/>
          <w:szCs w:val="20"/>
          <w:lang w:eastAsia="bg-BG"/>
        </w:rPr>
      </w:pPr>
    </w:p>
    <w:p w14:paraId="394CF907" w14:textId="099B4D68"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При проучвания на фертилитета при мъжки и женски плъхове не са наблюдавани ефекти върху броя, подвижността и жизнеспособността на сперматозоидите или върху способността за чифтосване или фертилитет, при експозиции, надвишаващи съответно 21 и 43 пъти очакваното терапевтично ниво при хора, нито е имало и нежелани ефекти върху развитието на предимплантационния ембрион или имплантацията.</w:t>
      </w:r>
    </w:p>
    <w:p w14:paraId="58FA4F64" w14:textId="77777777"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 xml:space="preserve">Леко повишена честота на тестикуларна тубулна атрофия е наблюдавана при плъхове, на които е прилаган перорално бозентан при ниска доза от 125 </w:t>
      </w:r>
      <w:r w:rsidRPr="003F2DC2">
        <w:rPr>
          <w:rFonts w:eastAsia="Times New Roman" w:cs="Arial"/>
          <w:color w:val="000000"/>
          <w:szCs w:val="20"/>
          <w:lang w:val="en-US"/>
        </w:rPr>
        <w:t>mg</w:t>
      </w:r>
      <w:r w:rsidRPr="003F2DC2">
        <w:rPr>
          <w:rFonts w:eastAsia="Times New Roman" w:cs="Arial"/>
          <w:color w:val="000000"/>
          <w:szCs w:val="20"/>
          <w:lang w:val="ru-RU"/>
        </w:rPr>
        <w:t>/</w:t>
      </w:r>
      <w:r w:rsidRPr="003F2DC2">
        <w:rPr>
          <w:rFonts w:eastAsia="Times New Roman" w:cs="Arial"/>
          <w:color w:val="000000"/>
          <w:szCs w:val="20"/>
          <w:lang w:val="en-US"/>
        </w:rPr>
        <w:t>kg</w:t>
      </w:r>
      <w:r w:rsidRPr="003F2DC2">
        <w:rPr>
          <w:rFonts w:eastAsia="Times New Roman" w:cs="Arial"/>
          <w:color w:val="000000"/>
          <w:szCs w:val="20"/>
          <w:lang w:eastAsia="bg-BG"/>
        </w:rPr>
        <w:t xml:space="preserve">/ден (около 4 пъти максималната препоръчителна доза при хора [МПДХ] и най-ниската изпитвана доза) в продължение на две години, но не и при висока доза от 1500 </w:t>
      </w:r>
      <w:r w:rsidRPr="003F2DC2">
        <w:rPr>
          <w:rFonts w:eastAsia="Times New Roman" w:cs="Arial"/>
          <w:color w:val="000000"/>
          <w:szCs w:val="20"/>
          <w:lang w:val="en-US"/>
        </w:rPr>
        <w:t>mg</w:t>
      </w:r>
      <w:r w:rsidRPr="003F2DC2">
        <w:rPr>
          <w:rFonts w:eastAsia="Times New Roman" w:cs="Arial"/>
          <w:color w:val="000000"/>
          <w:szCs w:val="20"/>
          <w:lang w:val="ru-RU"/>
        </w:rPr>
        <w:t>/</w:t>
      </w:r>
      <w:r w:rsidRPr="003F2DC2">
        <w:rPr>
          <w:rFonts w:eastAsia="Times New Roman" w:cs="Arial"/>
          <w:color w:val="000000"/>
          <w:szCs w:val="20"/>
          <w:lang w:val="en-US"/>
        </w:rPr>
        <w:t>kg</w:t>
      </w:r>
      <w:r w:rsidRPr="003F2DC2">
        <w:rPr>
          <w:rFonts w:eastAsia="Times New Roman" w:cs="Arial"/>
          <w:color w:val="000000"/>
          <w:szCs w:val="20"/>
          <w:lang w:eastAsia="bg-BG"/>
        </w:rPr>
        <w:t xml:space="preserve">/ден (около 50 пъти МПДХ) в продължение на 6 месеца. При проучване за токсичност при ювенилни плъхове, кьдето плъховете са лекувани от Ден 4 </w:t>
      </w:r>
      <w:r w:rsidRPr="003F2DC2">
        <w:rPr>
          <w:rFonts w:eastAsia="Times New Roman" w:cs="Arial"/>
          <w:i/>
          <w:iCs/>
          <w:color w:val="000000"/>
          <w:szCs w:val="20"/>
          <w:lang w:val="en-US"/>
        </w:rPr>
        <w:t>post</w:t>
      </w:r>
      <w:r w:rsidRPr="003F2DC2">
        <w:rPr>
          <w:rFonts w:eastAsia="Times New Roman" w:cs="Arial"/>
          <w:i/>
          <w:iCs/>
          <w:color w:val="000000"/>
          <w:szCs w:val="20"/>
          <w:lang w:val="ru-RU"/>
        </w:rPr>
        <w:t xml:space="preserve"> </w:t>
      </w:r>
      <w:r w:rsidRPr="003F2DC2">
        <w:rPr>
          <w:rFonts w:eastAsia="Times New Roman" w:cs="Arial"/>
          <w:i/>
          <w:iCs/>
          <w:color w:val="000000"/>
          <w:szCs w:val="20"/>
          <w:lang w:val="en-US"/>
        </w:rPr>
        <w:t>par</w:t>
      </w:r>
      <w:r w:rsidRPr="003F2DC2">
        <w:rPr>
          <w:rFonts w:eastAsia="Times New Roman" w:cs="Arial"/>
          <w:i/>
          <w:iCs/>
          <w:color w:val="000000"/>
          <w:szCs w:val="20"/>
          <w:lang w:val="ru-RU"/>
        </w:rPr>
        <w:t xml:space="preserve"> </w:t>
      </w:r>
      <w:r w:rsidRPr="003F2DC2">
        <w:rPr>
          <w:rFonts w:eastAsia="Times New Roman" w:cs="Arial"/>
          <w:i/>
          <w:iCs/>
          <w:color w:val="000000"/>
          <w:szCs w:val="20"/>
          <w:lang w:val="en-US"/>
        </w:rPr>
        <w:t>turn</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до възрастни, е наблюдавано намалено абсолютно тегло на тестисите и епидидима и намален брой на сперматозоиди в епидидима след прекъсването. </w:t>
      </w:r>
      <w:r w:rsidRPr="003F2DC2">
        <w:rPr>
          <w:rFonts w:eastAsia="Times New Roman" w:cs="Arial"/>
          <w:color w:val="000000"/>
          <w:szCs w:val="20"/>
          <w:lang w:val="en-US"/>
        </w:rPr>
        <w:t>NOAEL</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е бил съответно 21 пъти (в Ден 21 </w:t>
      </w:r>
      <w:r w:rsidRPr="003F2DC2">
        <w:rPr>
          <w:rFonts w:eastAsia="Times New Roman" w:cs="Arial"/>
          <w:i/>
          <w:iCs/>
          <w:color w:val="000000"/>
          <w:szCs w:val="20"/>
          <w:lang w:val="en-US"/>
        </w:rPr>
        <w:t>post</w:t>
      </w:r>
      <w:r w:rsidRPr="003F2DC2">
        <w:rPr>
          <w:rFonts w:eastAsia="Times New Roman" w:cs="Arial"/>
          <w:i/>
          <w:iCs/>
          <w:color w:val="000000"/>
          <w:szCs w:val="20"/>
          <w:lang w:val="ru-RU"/>
        </w:rPr>
        <w:t xml:space="preserve"> </w:t>
      </w:r>
      <w:r w:rsidRPr="003F2DC2">
        <w:rPr>
          <w:rFonts w:eastAsia="Times New Roman" w:cs="Arial"/>
          <w:i/>
          <w:iCs/>
          <w:color w:val="000000"/>
          <w:szCs w:val="20"/>
          <w:lang w:val="en-US"/>
        </w:rPr>
        <w:t>partum</w:t>
      </w:r>
      <w:r w:rsidRPr="003F2DC2">
        <w:rPr>
          <w:rFonts w:eastAsia="Times New Roman" w:cs="Arial"/>
          <w:i/>
          <w:iCs/>
          <w:color w:val="000000"/>
          <w:szCs w:val="20"/>
          <w:lang w:val="ru-RU"/>
        </w:rPr>
        <w:t xml:space="preserve">) </w:t>
      </w:r>
      <w:r w:rsidRPr="003F2DC2">
        <w:rPr>
          <w:rFonts w:eastAsia="Times New Roman" w:cs="Arial"/>
          <w:i/>
          <w:iCs/>
          <w:color w:val="000000"/>
          <w:szCs w:val="20"/>
          <w:lang w:eastAsia="bg-BG"/>
        </w:rPr>
        <w:t>и</w:t>
      </w:r>
      <w:r w:rsidRPr="003F2DC2">
        <w:rPr>
          <w:rFonts w:eastAsia="Times New Roman" w:cs="Arial"/>
          <w:color w:val="000000"/>
          <w:szCs w:val="20"/>
          <w:lang w:eastAsia="bg-BG"/>
        </w:rPr>
        <w:t xml:space="preserve"> 2,3 пъти (Ден 69 </w:t>
      </w:r>
      <w:r w:rsidRPr="003F2DC2">
        <w:rPr>
          <w:rFonts w:eastAsia="Times New Roman" w:cs="Arial"/>
          <w:i/>
          <w:iCs/>
          <w:color w:val="000000"/>
          <w:szCs w:val="20"/>
          <w:lang w:val="en-US"/>
        </w:rPr>
        <w:t>post</w:t>
      </w:r>
      <w:r w:rsidRPr="003F2DC2">
        <w:rPr>
          <w:rFonts w:eastAsia="Times New Roman" w:cs="Arial"/>
          <w:i/>
          <w:iCs/>
          <w:color w:val="000000"/>
          <w:szCs w:val="20"/>
          <w:lang w:eastAsia="bg-BG"/>
        </w:rPr>
        <w:t xml:space="preserve"> </w:t>
      </w:r>
      <w:r w:rsidRPr="003F2DC2">
        <w:rPr>
          <w:rFonts w:eastAsia="Times New Roman" w:cs="Arial"/>
          <w:i/>
          <w:iCs/>
          <w:color w:val="000000"/>
          <w:szCs w:val="20"/>
          <w:lang w:val="en-US"/>
        </w:rPr>
        <w:t>partum</w:t>
      </w:r>
      <w:r w:rsidRPr="003F2DC2">
        <w:rPr>
          <w:rFonts w:eastAsia="Times New Roman" w:cs="Arial"/>
          <w:i/>
          <w:iCs/>
          <w:color w:val="000000"/>
          <w:szCs w:val="20"/>
          <w:lang w:val="ru-RU"/>
        </w:rPr>
        <w:t>)</w:t>
      </w:r>
      <w:r w:rsidRPr="003F2DC2">
        <w:rPr>
          <w:rFonts w:eastAsia="Times New Roman" w:cs="Arial"/>
          <w:color w:val="000000"/>
          <w:szCs w:val="20"/>
          <w:lang w:val="ru-RU"/>
        </w:rPr>
        <w:t xml:space="preserve"> </w:t>
      </w:r>
      <w:r w:rsidRPr="003F2DC2">
        <w:rPr>
          <w:rFonts w:eastAsia="Times New Roman" w:cs="Arial"/>
          <w:color w:val="000000"/>
          <w:szCs w:val="20"/>
          <w:lang w:eastAsia="bg-BG"/>
        </w:rPr>
        <w:t>терапевтичната експозиция при хора.</w:t>
      </w:r>
    </w:p>
    <w:p w14:paraId="15C4A4F8" w14:textId="77777777" w:rsidR="003F2DC2" w:rsidRPr="003F2DC2" w:rsidRDefault="003F2DC2" w:rsidP="003F2DC2">
      <w:pPr>
        <w:spacing w:line="240" w:lineRule="auto"/>
        <w:rPr>
          <w:rFonts w:eastAsia="Times New Roman" w:cs="Arial"/>
          <w:sz w:val="28"/>
          <w:szCs w:val="24"/>
        </w:rPr>
      </w:pPr>
      <w:r w:rsidRPr="003F2DC2">
        <w:rPr>
          <w:rFonts w:eastAsia="Times New Roman" w:cs="Arial"/>
          <w:color w:val="000000"/>
          <w:szCs w:val="20"/>
          <w:lang w:eastAsia="bg-BG"/>
        </w:rPr>
        <w:t xml:space="preserve">Въпреки това, не са установени ефекти върху общото развитие, растежа, сензорните, когнитивните функции и репродуктивните способности при 7 (мъжки животни) и 19 (женски животни) пъти терапевтичната експозиция при хора на Ден 21 </w:t>
      </w:r>
      <w:r w:rsidRPr="003F2DC2">
        <w:rPr>
          <w:rFonts w:eastAsia="Times New Roman" w:cs="Arial"/>
          <w:i/>
          <w:iCs/>
          <w:color w:val="000000"/>
          <w:szCs w:val="20"/>
          <w:lang w:val="en-US"/>
        </w:rPr>
        <w:t>postpartum</w:t>
      </w:r>
      <w:r w:rsidRPr="003F2DC2">
        <w:rPr>
          <w:rFonts w:eastAsia="Times New Roman" w:cs="Arial"/>
          <w:i/>
          <w:iCs/>
          <w:color w:val="000000"/>
          <w:szCs w:val="20"/>
          <w:lang w:val="ru-RU"/>
        </w:rPr>
        <w:t>.</w:t>
      </w:r>
      <w:r w:rsidRPr="003F2DC2">
        <w:rPr>
          <w:rFonts w:eastAsia="Times New Roman" w:cs="Arial"/>
          <w:color w:val="000000"/>
          <w:szCs w:val="20"/>
          <w:lang w:val="ru-RU"/>
        </w:rPr>
        <w:t xml:space="preserve"> </w:t>
      </w:r>
      <w:r w:rsidRPr="003F2DC2">
        <w:rPr>
          <w:rFonts w:eastAsia="Times New Roman" w:cs="Arial"/>
          <w:color w:val="000000"/>
          <w:szCs w:val="20"/>
          <w:lang w:eastAsia="bg-BG"/>
        </w:rPr>
        <w:t xml:space="preserve">При възрастни (Ден 69 </w:t>
      </w:r>
      <w:r w:rsidRPr="003F2DC2">
        <w:rPr>
          <w:rFonts w:eastAsia="Times New Roman" w:cs="Arial"/>
          <w:i/>
          <w:iCs/>
          <w:color w:val="000000"/>
          <w:szCs w:val="20"/>
          <w:lang w:val="en-US"/>
        </w:rPr>
        <w:t>post</w:t>
      </w:r>
      <w:r w:rsidRPr="003F2DC2">
        <w:rPr>
          <w:rFonts w:eastAsia="Times New Roman" w:cs="Arial"/>
          <w:i/>
          <w:iCs/>
          <w:color w:val="000000"/>
          <w:szCs w:val="20"/>
          <w:lang w:eastAsia="bg-BG"/>
        </w:rPr>
        <w:t xml:space="preserve"> </w:t>
      </w:r>
      <w:r w:rsidRPr="003F2DC2">
        <w:rPr>
          <w:rFonts w:eastAsia="Times New Roman" w:cs="Arial"/>
          <w:i/>
          <w:iCs/>
          <w:color w:val="000000"/>
          <w:szCs w:val="20"/>
          <w:lang w:val="en-US"/>
        </w:rPr>
        <w:t>partum</w:t>
      </w:r>
      <w:r w:rsidRPr="003F2DC2">
        <w:rPr>
          <w:rFonts w:eastAsia="Times New Roman" w:cs="Arial"/>
          <w:i/>
          <w:iCs/>
          <w:color w:val="000000"/>
          <w:szCs w:val="20"/>
          <w:lang w:val="ru-RU"/>
        </w:rPr>
        <w:t>)</w:t>
      </w:r>
      <w:r w:rsidRPr="003F2DC2">
        <w:rPr>
          <w:rFonts w:eastAsia="Times New Roman" w:cs="Arial"/>
          <w:color w:val="000000"/>
          <w:szCs w:val="20"/>
          <w:lang w:val="ru-RU"/>
        </w:rPr>
        <w:t xml:space="preserve"> </w:t>
      </w:r>
      <w:r w:rsidRPr="003F2DC2">
        <w:rPr>
          <w:rFonts w:eastAsia="Times New Roman" w:cs="Arial"/>
          <w:color w:val="000000"/>
          <w:szCs w:val="20"/>
          <w:lang w:eastAsia="bg-BG"/>
        </w:rPr>
        <w:t>не са установени никакви ефекти на бозентан при 1,3 (мъжки животни) и 2,6 (женски животни) пъти терапевтичната експозиция при деца с БАХ.</w:t>
      </w:r>
    </w:p>
    <w:p w14:paraId="05A5C8C2" w14:textId="77777777" w:rsidR="003F2DC2" w:rsidRPr="003F2DC2" w:rsidRDefault="003F2DC2" w:rsidP="003F2DC2"/>
    <w:p w14:paraId="1BA6531D" w14:textId="097DC047" w:rsidR="00B6672E" w:rsidRDefault="002C50EE" w:rsidP="00936AD0">
      <w:pPr>
        <w:pStyle w:val="Heading1"/>
      </w:pPr>
      <w:r>
        <w:t>7. ПРИТЕЖАТЕЛ НА РАЗРЕШЕНИЕТО ЗА УПОТРЕБА</w:t>
      </w:r>
    </w:p>
    <w:p w14:paraId="38460A02" w14:textId="71FABAA0" w:rsidR="003F2DC2" w:rsidRDefault="003F2DC2" w:rsidP="003F2DC2"/>
    <w:p w14:paraId="05FE7001" w14:textId="77777777" w:rsidR="003F2DC2" w:rsidRPr="003F2DC2" w:rsidRDefault="003F2DC2" w:rsidP="003F2DC2">
      <w:pPr>
        <w:rPr>
          <w:sz w:val="24"/>
          <w:szCs w:val="24"/>
          <w:lang w:val="en-US"/>
        </w:rPr>
      </w:pPr>
      <w:r w:rsidRPr="003F2DC2">
        <w:rPr>
          <w:lang w:val="en-US"/>
        </w:rPr>
        <w:t>Zentiva k.s.</w:t>
      </w:r>
    </w:p>
    <w:p w14:paraId="1CC3702D" w14:textId="77777777" w:rsidR="003F2DC2" w:rsidRDefault="003F2DC2" w:rsidP="003F2DC2">
      <w:pPr>
        <w:rPr>
          <w:lang w:eastAsia="bg-BG"/>
        </w:rPr>
      </w:pPr>
      <w:r w:rsidRPr="003F2DC2">
        <w:rPr>
          <w:lang w:val="en-US"/>
        </w:rPr>
        <w:t xml:space="preserve">U kabelovny </w:t>
      </w:r>
      <w:r w:rsidRPr="003F2DC2">
        <w:rPr>
          <w:lang w:eastAsia="bg-BG"/>
        </w:rPr>
        <w:t xml:space="preserve">130, </w:t>
      </w:r>
    </w:p>
    <w:p w14:paraId="558DA957" w14:textId="77777777" w:rsidR="003F2DC2" w:rsidRDefault="003F2DC2" w:rsidP="003F2DC2">
      <w:pPr>
        <w:rPr>
          <w:lang w:val="ru-RU"/>
        </w:rPr>
      </w:pPr>
      <w:r w:rsidRPr="003F2DC2">
        <w:rPr>
          <w:lang w:val="en-US"/>
        </w:rPr>
        <w:t>Dolni</w:t>
      </w:r>
      <w:r w:rsidRPr="003F2DC2">
        <w:rPr>
          <w:lang w:val="ru-RU"/>
        </w:rPr>
        <w:t xml:space="preserve"> </w:t>
      </w:r>
      <w:r w:rsidRPr="003F2DC2">
        <w:rPr>
          <w:lang w:val="en-US"/>
        </w:rPr>
        <w:t>Mecholupy</w:t>
      </w:r>
      <w:r w:rsidRPr="003F2DC2">
        <w:rPr>
          <w:lang w:val="ru-RU"/>
        </w:rPr>
        <w:t xml:space="preserve"> </w:t>
      </w:r>
    </w:p>
    <w:p w14:paraId="22A28F74" w14:textId="387E04DF" w:rsidR="003F2DC2" w:rsidRPr="003F2DC2" w:rsidRDefault="003F2DC2" w:rsidP="003F2DC2">
      <w:pPr>
        <w:rPr>
          <w:lang w:val="ru-RU"/>
        </w:rPr>
      </w:pPr>
      <w:r w:rsidRPr="003F2DC2">
        <w:rPr>
          <w:lang w:val="ru-RU"/>
        </w:rPr>
        <w:t xml:space="preserve">102 37, </w:t>
      </w:r>
      <w:r w:rsidRPr="003F2DC2">
        <w:rPr>
          <w:lang w:val="en-US"/>
        </w:rPr>
        <w:t>Prague</w:t>
      </w:r>
      <w:r w:rsidRPr="003F2DC2">
        <w:rPr>
          <w:lang w:val="ru-RU"/>
        </w:rPr>
        <w:t xml:space="preserve"> 10 </w:t>
      </w:r>
    </w:p>
    <w:p w14:paraId="3AD68C67" w14:textId="4E18A5EF" w:rsidR="003F2DC2" w:rsidRPr="003F2DC2" w:rsidRDefault="003F2DC2" w:rsidP="003F2DC2">
      <w:r w:rsidRPr="003F2DC2">
        <w:rPr>
          <w:lang w:eastAsia="bg-BG"/>
        </w:rPr>
        <w:t>Чешка република</w:t>
      </w:r>
    </w:p>
    <w:p w14:paraId="508F3A54" w14:textId="36A64FA3" w:rsidR="00B6672E" w:rsidRDefault="00936AD0" w:rsidP="00936AD0">
      <w:pPr>
        <w:pStyle w:val="Heading1"/>
      </w:pPr>
      <w:r>
        <w:t>8.</w:t>
      </w:r>
      <w:r w:rsidR="002C50EE">
        <w:t>НОМЕР НА РАЗРЕШЕНИЕТО ЗА УПОТРЕБА</w:t>
      </w:r>
    </w:p>
    <w:p w14:paraId="254A02AC" w14:textId="23554DE3" w:rsidR="003F2DC2" w:rsidRDefault="003F2DC2" w:rsidP="003F2DC2"/>
    <w:p w14:paraId="1A99C94B" w14:textId="270E41D2" w:rsidR="003F2DC2" w:rsidRPr="003F2DC2" w:rsidRDefault="003F2DC2" w:rsidP="003F2DC2">
      <w:pPr>
        <w:rPr>
          <w:sz w:val="24"/>
          <w:szCs w:val="24"/>
        </w:rPr>
      </w:pPr>
      <w:r w:rsidRPr="003F2DC2">
        <w:rPr>
          <w:lang w:val="en-US"/>
        </w:rPr>
        <w:t xml:space="preserve">Per. </w:t>
      </w:r>
      <w:r w:rsidRPr="003F2DC2">
        <w:rPr>
          <w:lang w:eastAsia="bg-BG"/>
        </w:rPr>
        <w:t>№: 20160413</w:t>
      </w:r>
    </w:p>
    <w:p w14:paraId="2CCB5832" w14:textId="68FFCADC" w:rsidR="007C605B" w:rsidRDefault="002C50EE" w:rsidP="007C605B">
      <w:pPr>
        <w:pStyle w:val="Heading1"/>
      </w:pPr>
      <w:r>
        <w:lastRenderedPageBreak/>
        <w:t>9. ДАТА НА ПЪРВО РАЗРЕШАВАНЕ/ПОДНОВЯВАНЕ НА РАЗРЕШЕНИЕТО ЗА УПОТРЕБА</w:t>
      </w:r>
    </w:p>
    <w:p w14:paraId="38165541" w14:textId="4BD177B4" w:rsidR="003F2DC2" w:rsidRDefault="003F2DC2" w:rsidP="003F2DC2"/>
    <w:p w14:paraId="3B3DC566" w14:textId="77777777" w:rsidR="003F2DC2" w:rsidRPr="003F2DC2" w:rsidRDefault="003F2DC2" w:rsidP="003F2DC2">
      <w:pPr>
        <w:rPr>
          <w:sz w:val="24"/>
          <w:szCs w:val="24"/>
        </w:rPr>
      </w:pPr>
      <w:r w:rsidRPr="003F2DC2">
        <w:rPr>
          <w:lang w:eastAsia="bg-BG"/>
        </w:rPr>
        <w:t>Дата на първо разрешаване: 08.12.2016 г.</w:t>
      </w:r>
    </w:p>
    <w:p w14:paraId="4BCABE9C" w14:textId="77777777" w:rsidR="003F2DC2" w:rsidRPr="003F2DC2" w:rsidRDefault="003F2DC2" w:rsidP="003F2DC2">
      <w:pPr>
        <w:rPr>
          <w:sz w:val="24"/>
          <w:szCs w:val="24"/>
        </w:rPr>
      </w:pPr>
      <w:r w:rsidRPr="003F2DC2">
        <w:rPr>
          <w:lang w:eastAsia="bg-BG"/>
        </w:rPr>
        <w:t>Дата на подновяване; 11,12.2020 г.</w:t>
      </w:r>
    </w:p>
    <w:p w14:paraId="3DEA0D1B" w14:textId="77777777" w:rsidR="003F2DC2" w:rsidRPr="003F2DC2" w:rsidRDefault="003F2DC2" w:rsidP="003F2DC2"/>
    <w:p w14:paraId="0E9D0119" w14:textId="0245C6D7" w:rsidR="002C50EE" w:rsidRDefault="002C50EE" w:rsidP="002C50EE">
      <w:pPr>
        <w:pStyle w:val="Heading1"/>
      </w:pPr>
      <w:r>
        <w:t>10. ДАТА НА АКТУАЛИЗИРАНЕ НА ТЕКСТА</w:t>
      </w:r>
    </w:p>
    <w:bookmarkEnd w:id="0"/>
    <w:p w14:paraId="43FB38A2" w14:textId="7240EAB3" w:rsidR="007C605B" w:rsidRPr="003E3126" w:rsidRDefault="003F2DC2" w:rsidP="003F2DC2">
      <w:r>
        <w:t>20.07.2022 г.</w:t>
      </w:r>
      <w:bookmarkStart w:id="1" w:name="_GoBack"/>
      <w:bookmarkEnd w:id="1"/>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3420B29"/>
    <w:multiLevelType w:val="hybridMultilevel"/>
    <w:tmpl w:val="B1024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A1D66"/>
    <w:multiLevelType w:val="hybridMultilevel"/>
    <w:tmpl w:val="ECD8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7B1972"/>
    <w:multiLevelType w:val="hybridMultilevel"/>
    <w:tmpl w:val="BEF4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060E88"/>
    <w:multiLevelType w:val="hybridMultilevel"/>
    <w:tmpl w:val="6DB4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1"/>
  </w:num>
  <w:num w:numId="2">
    <w:abstractNumId w:val="0"/>
  </w:num>
  <w:num w:numId="3">
    <w:abstractNumId w:val="16"/>
  </w:num>
  <w:num w:numId="4">
    <w:abstractNumId w:val="3"/>
  </w:num>
  <w:num w:numId="5">
    <w:abstractNumId w:val="1"/>
  </w:num>
  <w:num w:numId="6">
    <w:abstractNumId w:val="19"/>
  </w:num>
  <w:num w:numId="7">
    <w:abstractNumId w:val="14"/>
  </w:num>
  <w:num w:numId="8">
    <w:abstractNumId w:val="18"/>
  </w:num>
  <w:num w:numId="9">
    <w:abstractNumId w:val="2"/>
  </w:num>
  <w:num w:numId="10">
    <w:abstractNumId w:val="4"/>
  </w:num>
  <w:num w:numId="11">
    <w:abstractNumId w:val="34"/>
  </w:num>
  <w:num w:numId="12">
    <w:abstractNumId w:val="17"/>
  </w:num>
  <w:num w:numId="13">
    <w:abstractNumId w:val="22"/>
  </w:num>
  <w:num w:numId="14">
    <w:abstractNumId w:val="15"/>
  </w:num>
  <w:num w:numId="15">
    <w:abstractNumId w:val="33"/>
  </w:num>
  <w:num w:numId="16">
    <w:abstractNumId w:val="13"/>
  </w:num>
  <w:num w:numId="17">
    <w:abstractNumId w:val="27"/>
  </w:num>
  <w:num w:numId="18">
    <w:abstractNumId w:val="10"/>
  </w:num>
  <w:num w:numId="19">
    <w:abstractNumId w:val="30"/>
  </w:num>
  <w:num w:numId="20">
    <w:abstractNumId w:val="26"/>
  </w:num>
  <w:num w:numId="21">
    <w:abstractNumId w:val="20"/>
  </w:num>
  <w:num w:numId="22">
    <w:abstractNumId w:val="28"/>
  </w:num>
  <w:num w:numId="23">
    <w:abstractNumId w:val="21"/>
  </w:num>
  <w:num w:numId="24">
    <w:abstractNumId w:val="11"/>
  </w:num>
  <w:num w:numId="25">
    <w:abstractNumId w:val="25"/>
  </w:num>
  <w:num w:numId="26">
    <w:abstractNumId w:val="24"/>
  </w:num>
  <w:num w:numId="27">
    <w:abstractNumId w:val="36"/>
  </w:num>
  <w:num w:numId="28">
    <w:abstractNumId w:val="6"/>
  </w:num>
  <w:num w:numId="29">
    <w:abstractNumId w:val="23"/>
  </w:num>
  <w:num w:numId="30">
    <w:abstractNumId w:val="39"/>
  </w:num>
  <w:num w:numId="31">
    <w:abstractNumId w:val="5"/>
  </w:num>
  <w:num w:numId="32">
    <w:abstractNumId w:val="38"/>
  </w:num>
  <w:num w:numId="33">
    <w:abstractNumId w:val="32"/>
  </w:num>
  <w:num w:numId="34">
    <w:abstractNumId w:val="37"/>
  </w:num>
  <w:num w:numId="35">
    <w:abstractNumId w:val="9"/>
  </w:num>
  <w:num w:numId="36">
    <w:abstractNumId w:val="12"/>
  </w:num>
  <w:num w:numId="37">
    <w:abstractNumId w:val="35"/>
  </w:num>
  <w:num w:numId="38">
    <w:abstractNumId w:val="8"/>
  </w:num>
  <w:num w:numId="39">
    <w:abstractNumId w:val="29"/>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3F2DC2"/>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BF5B0D"/>
    <w:rsid w:val="00C0049F"/>
    <w:rsid w:val="00C07B84"/>
    <w:rsid w:val="00C33464"/>
    <w:rsid w:val="00C40420"/>
    <w:rsid w:val="00C809A7"/>
    <w:rsid w:val="00C83063"/>
    <w:rsid w:val="00C87E90"/>
    <w:rsid w:val="00CA1B57"/>
    <w:rsid w:val="00CF77F7"/>
    <w:rsid w:val="00D86297"/>
    <w:rsid w:val="00DD466D"/>
    <w:rsid w:val="00EB6364"/>
    <w:rsid w:val="00F37B64"/>
    <w:rsid w:val="00F40F0A"/>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10978</Words>
  <Characters>62575</Characters>
  <Application>Microsoft Office Word</Application>
  <DocSecurity>0</DocSecurity>
  <Lines>521</Lines>
  <Paragraphs>146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2022-10-20T20:00:00Z</dcterms:created>
  <dcterms:modified xsi:type="dcterms:W3CDTF">2022-10-20T20:00:00Z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