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6F90C992" w:rsidR="007122AD" w:rsidRDefault="00DD466D" w:rsidP="00936AD0">
      <w:pPr>
        <w:pStyle w:val="Heading1"/>
      </w:pPr>
      <w:r>
        <w:t>1.ИМЕ НА ЛЕКАРСТВЕНИЯ ПРОДУКТ</w:t>
      </w:r>
    </w:p>
    <w:p w14:paraId="2091DFA6" w14:textId="173DB5A7" w:rsidR="00C546A8" w:rsidRDefault="00C546A8" w:rsidP="00C546A8"/>
    <w:p w14:paraId="2B347C30" w14:textId="77777777" w:rsidR="00C546A8" w:rsidRPr="00C546A8" w:rsidRDefault="00C546A8" w:rsidP="00C546A8">
      <w:pPr>
        <w:rPr>
          <w:sz w:val="24"/>
          <w:szCs w:val="24"/>
        </w:rPr>
      </w:pPr>
      <w:r w:rsidRPr="00C546A8">
        <w:rPr>
          <w:lang w:eastAsia="bg-BG"/>
        </w:rPr>
        <w:t xml:space="preserve">Ирбек 300 </w:t>
      </w:r>
      <w:r w:rsidRPr="00C546A8">
        <w:rPr>
          <w:lang w:val="en-US"/>
        </w:rPr>
        <w:t>mg</w:t>
      </w:r>
      <w:r w:rsidRPr="00C546A8">
        <w:t xml:space="preserve"> </w:t>
      </w:r>
      <w:r w:rsidRPr="00C546A8">
        <w:rPr>
          <w:lang w:eastAsia="bg-BG"/>
        </w:rPr>
        <w:t>таблетки</w:t>
      </w:r>
    </w:p>
    <w:p w14:paraId="178D15C8" w14:textId="77777777" w:rsidR="00C546A8" w:rsidRPr="00C546A8" w:rsidRDefault="00C546A8" w:rsidP="00C546A8">
      <w:pPr>
        <w:rPr>
          <w:sz w:val="24"/>
          <w:szCs w:val="24"/>
        </w:rPr>
      </w:pPr>
      <w:proofErr w:type="spellStart"/>
      <w:r w:rsidRPr="00C546A8">
        <w:rPr>
          <w:lang w:val="en-US"/>
        </w:rPr>
        <w:t>Irbec</w:t>
      </w:r>
      <w:proofErr w:type="spellEnd"/>
      <w:r w:rsidRPr="00C546A8">
        <w:t xml:space="preserve"> </w:t>
      </w:r>
      <w:r w:rsidRPr="00C546A8">
        <w:rPr>
          <w:lang w:eastAsia="bg-BG"/>
        </w:rPr>
        <w:t xml:space="preserve">300 </w:t>
      </w:r>
      <w:r w:rsidRPr="00C546A8">
        <w:rPr>
          <w:lang w:val="en-US"/>
        </w:rPr>
        <w:t>mg</w:t>
      </w:r>
      <w:r w:rsidRPr="00C546A8">
        <w:t xml:space="preserve"> </w:t>
      </w:r>
      <w:r w:rsidRPr="00C546A8">
        <w:rPr>
          <w:lang w:val="en-US"/>
        </w:rPr>
        <w:t>tablets</w:t>
      </w:r>
    </w:p>
    <w:p w14:paraId="356E930C" w14:textId="77777777" w:rsidR="00C546A8" w:rsidRPr="00C546A8" w:rsidRDefault="00C546A8" w:rsidP="00C546A8"/>
    <w:p w14:paraId="6920A680" w14:textId="1A89530E" w:rsidR="00C40420" w:rsidRDefault="00DD466D" w:rsidP="004A448E">
      <w:pPr>
        <w:pStyle w:val="Heading1"/>
      </w:pPr>
      <w:r>
        <w:t>2. КАЧЕСТВЕН И КОЛИЧЕСТВЕН СЪСТАВ</w:t>
      </w:r>
    </w:p>
    <w:p w14:paraId="2143F8CF" w14:textId="47ACE3EE" w:rsidR="00C546A8" w:rsidRDefault="00C546A8" w:rsidP="00C546A8"/>
    <w:p w14:paraId="0AB14525" w14:textId="77777777" w:rsidR="00C546A8" w:rsidRPr="00C546A8" w:rsidRDefault="00C546A8" w:rsidP="00C546A8">
      <w:pPr>
        <w:rPr>
          <w:sz w:val="24"/>
          <w:szCs w:val="24"/>
        </w:rPr>
      </w:pPr>
      <w:r w:rsidRPr="00C546A8">
        <w:rPr>
          <w:lang w:eastAsia="bg-BG"/>
        </w:rPr>
        <w:t xml:space="preserve">Всяка таблетка съдържа 300 </w:t>
      </w:r>
      <w:r w:rsidRPr="00C546A8">
        <w:rPr>
          <w:lang w:val="en-US"/>
        </w:rPr>
        <w:t>mg</w:t>
      </w:r>
      <w:r w:rsidRPr="00C546A8">
        <w:t xml:space="preserve"> </w:t>
      </w:r>
      <w:r w:rsidRPr="00C546A8">
        <w:rPr>
          <w:lang w:eastAsia="bg-BG"/>
        </w:rPr>
        <w:t xml:space="preserve">ирбесартан </w:t>
      </w:r>
      <w:r w:rsidRPr="00C546A8">
        <w:rPr>
          <w:i/>
          <w:iCs/>
        </w:rPr>
        <w:t>(</w:t>
      </w:r>
      <w:proofErr w:type="spellStart"/>
      <w:r w:rsidRPr="00C546A8">
        <w:rPr>
          <w:i/>
          <w:iCs/>
          <w:lang w:val="en-US"/>
        </w:rPr>
        <w:t>irbesartan</w:t>
      </w:r>
      <w:proofErr w:type="spellEnd"/>
      <w:r w:rsidRPr="00C546A8">
        <w:rPr>
          <w:i/>
          <w:iCs/>
        </w:rPr>
        <w:t>).</w:t>
      </w:r>
    </w:p>
    <w:p w14:paraId="4DB651DD" w14:textId="77777777" w:rsidR="00C546A8" w:rsidRPr="00C546A8" w:rsidRDefault="00C546A8" w:rsidP="00C546A8">
      <w:pPr>
        <w:rPr>
          <w:sz w:val="24"/>
          <w:szCs w:val="24"/>
        </w:rPr>
      </w:pPr>
      <w:r w:rsidRPr="00C546A8">
        <w:rPr>
          <w:lang w:eastAsia="bg-BG"/>
        </w:rPr>
        <w:t xml:space="preserve">Помощно вещество с известно действие: 61,5 </w:t>
      </w:r>
      <w:r w:rsidRPr="00C546A8">
        <w:rPr>
          <w:lang w:val="en-US"/>
        </w:rPr>
        <w:t>mg</w:t>
      </w:r>
      <w:r w:rsidRPr="00C546A8">
        <w:rPr>
          <w:lang w:val="ru-RU"/>
        </w:rPr>
        <w:t xml:space="preserve"> </w:t>
      </w:r>
      <w:r w:rsidRPr="00C546A8">
        <w:rPr>
          <w:lang w:eastAsia="bg-BG"/>
        </w:rPr>
        <w:t>лактоза.</w:t>
      </w:r>
    </w:p>
    <w:p w14:paraId="4EB10D48" w14:textId="77777777" w:rsidR="00C546A8" w:rsidRPr="00C546A8" w:rsidRDefault="00C546A8" w:rsidP="00C546A8"/>
    <w:p w14:paraId="614984C4" w14:textId="666F78AE" w:rsidR="008A6AF2" w:rsidRDefault="00DD466D" w:rsidP="002C50EE">
      <w:pPr>
        <w:pStyle w:val="Heading1"/>
      </w:pPr>
      <w:r>
        <w:t>3. ЛЕКАРСТВЕНА ФОРМА</w:t>
      </w:r>
    </w:p>
    <w:p w14:paraId="5D758C8B" w14:textId="019D8877" w:rsidR="00C546A8" w:rsidRDefault="00C546A8" w:rsidP="00C546A8"/>
    <w:p w14:paraId="388E4DE1" w14:textId="77777777" w:rsidR="00C546A8" w:rsidRPr="00C546A8" w:rsidRDefault="00C546A8" w:rsidP="00C546A8">
      <w:pPr>
        <w:rPr>
          <w:sz w:val="24"/>
          <w:szCs w:val="24"/>
        </w:rPr>
      </w:pPr>
      <w:r w:rsidRPr="00C546A8">
        <w:rPr>
          <w:lang w:eastAsia="bg-BG"/>
        </w:rPr>
        <w:t>Таблетка</w:t>
      </w:r>
    </w:p>
    <w:p w14:paraId="4E1B81F8" w14:textId="77777777" w:rsidR="00C546A8" w:rsidRDefault="00C546A8" w:rsidP="00C546A8">
      <w:pPr>
        <w:rPr>
          <w:lang w:eastAsia="bg-BG"/>
        </w:rPr>
      </w:pPr>
    </w:p>
    <w:p w14:paraId="464E8F73" w14:textId="4EE1F908" w:rsidR="00C546A8" w:rsidRPr="00C546A8" w:rsidRDefault="00C546A8" w:rsidP="00C546A8">
      <w:pPr>
        <w:rPr>
          <w:sz w:val="24"/>
          <w:szCs w:val="24"/>
        </w:rPr>
      </w:pPr>
      <w:r w:rsidRPr="00C546A8">
        <w:rPr>
          <w:lang w:eastAsia="bg-BG"/>
        </w:rPr>
        <w:t xml:space="preserve">Ирбек 300 </w:t>
      </w:r>
      <w:r w:rsidRPr="00C546A8">
        <w:rPr>
          <w:lang w:val="en-US"/>
        </w:rPr>
        <w:t>mg</w:t>
      </w:r>
      <w:r w:rsidRPr="00C546A8">
        <w:rPr>
          <w:lang w:val="ru-RU"/>
        </w:rPr>
        <w:t xml:space="preserve"> </w:t>
      </w:r>
      <w:r w:rsidRPr="00C546A8">
        <w:rPr>
          <w:lang w:eastAsia="bg-BG"/>
        </w:rPr>
        <w:t xml:space="preserve">таблетки са бели, продълговати, двойно изпъкнали, с делителна черта от едната страна, с размери 17,5 </w:t>
      </w:r>
      <w:r w:rsidRPr="00C546A8">
        <w:rPr>
          <w:lang w:val="en-US"/>
        </w:rPr>
        <w:t>mm</w:t>
      </w:r>
      <w:r w:rsidRPr="00C546A8">
        <w:rPr>
          <w:lang w:val="ru-RU"/>
        </w:rPr>
        <w:t xml:space="preserve"> </w:t>
      </w:r>
      <w:r w:rsidRPr="00C546A8">
        <w:rPr>
          <w:lang w:eastAsia="bg-BG"/>
        </w:rPr>
        <w:t xml:space="preserve">х 7,9 </w:t>
      </w:r>
      <w:r w:rsidRPr="00C546A8">
        <w:rPr>
          <w:lang w:val="en-US"/>
        </w:rPr>
        <w:t>mm</w:t>
      </w:r>
      <w:r w:rsidRPr="00C546A8">
        <w:rPr>
          <w:lang w:val="ru-RU"/>
        </w:rPr>
        <w:t xml:space="preserve"> </w:t>
      </w:r>
      <w:r w:rsidRPr="00C546A8">
        <w:rPr>
          <w:lang w:eastAsia="bg-BG"/>
        </w:rPr>
        <w:t>(приблизително). Таблетката може да бъде разделена на две равни половини.</w:t>
      </w:r>
    </w:p>
    <w:p w14:paraId="1388FA26" w14:textId="77777777" w:rsidR="00C546A8" w:rsidRPr="00C546A8" w:rsidRDefault="00C546A8" w:rsidP="00C546A8"/>
    <w:p w14:paraId="490FC2C4" w14:textId="0F4A4A75" w:rsidR="002C50EE" w:rsidRDefault="002C50EE" w:rsidP="002C50EE">
      <w:pPr>
        <w:pStyle w:val="Heading1"/>
      </w:pPr>
      <w:r>
        <w:t>4. КЛИНИЧНИ ДАННИ</w:t>
      </w:r>
    </w:p>
    <w:p w14:paraId="74330405" w14:textId="1055EDAC" w:rsidR="007122AD" w:rsidRDefault="002C50EE" w:rsidP="00936AD0">
      <w:pPr>
        <w:pStyle w:val="Heading2"/>
      </w:pPr>
      <w:r>
        <w:t>4.1. Терапевтични показания</w:t>
      </w:r>
    </w:p>
    <w:p w14:paraId="4B8BAC83" w14:textId="4865ECF0" w:rsidR="00C546A8" w:rsidRDefault="00C546A8" w:rsidP="00C546A8"/>
    <w:p w14:paraId="203E9912"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Ирбек е показан при възрастни</w:t>
      </w:r>
    </w:p>
    <w:p w14:paraId="3B339C65" w14:textId="77777777" w:rsidR="00C546A8" w:rsidRPr="00C546A8" w:rsidRDefault="00C546A8" w:rsidP="00C546A8">
      <w:pPr>
        <w:pStyle w:val="ListParagraph"/>
        <w:numPr>
          <w:ilvl w:val="0"/>
          <w:numId w:val="37"/>
        </w:numPr>
        <w:spacing w:line="240" w:lineRule="auto"/>
        <w:rPr>
          <w:rFonts w:eastAsia="Times New Roman" w:cs="Arial"/>
          <w:sz w:val="28"/>
          <w:szCs w:val="24"/>
        </w:rPr>
      </w:pPr>
      <w:r w:rsidRPr="00C546A8">
        <w:rPr>
          <w:rFonts w:eastAsia="Times New Roman" w:cs="Arial"/>
          <w:color w:val="000000"/>
          <w:szCs w:val="20"/>
          <w:lang w:eastAsia="bg-BG"/>
        </w:rPr>
        <w:t>за лечение на есенциална хипертония.</w:t>
      </w:r>
    </w:p>
    <w:p w14:paraId="678B89A2" w14:textId="7D582FED" w:rsidR="00C546A8" w:rsidRPr="00C546A8" w:rsidRDefault="00C546A8" w:rsidP="00C546A8">
      <w:pPr>
        <w:pStyle w:val="ListParagraph"/>
        <w:numPr>
          <w:ilvl w:val="0"/>
          <w:numId w:val="37"/>
        </w:numPr>
        <w:spacing w:line="240" w:lineRule="auto"/>
        <w:rPr>
          <w:rFonts w:eastAsia="Times New Roman" w:cs="Arial"/>
          <w:sz w:val="28"/>
          <w:szCs w:val="24"/>
        </w:rPr>
      </w:pPr>
      <w:r w:rsidRPr="00C546A8">
        <w:rPr>
          <w:rFonts w:eastAsia="Times New Roman" w:cs="Arial"/>
          <w:color w:val="000000"/>
          <w:szCs w:val="20"/>
          <w:lang w:eastAsia="bg-BG"/>
        </w:rPr>
        <w:t>за лечение на бъбречно заболяване при пациенти с хипертония и захарен диабет тип 2, като част от терапията с антихипертензивни лекарствени продукти (вижте точки 4.3, 4.4,</w:t>
      </w:r>
      <w:r w:rsidRPr="00C546A8">
        <w:rPr>
          <w:rFonts w:eastAsia="Times New Roman" w:cs="Arial"/>
          <w:color w:val="000000"/>
          <w:szCs w:val="20"/>
          <w:lang w:val="ru-RU"/>
        </w:rPr>
        <w:t xml:space="preserve"> </w:t>
      </w:r>
      <w:r w:rsidRPr="00C546A8">
        <w:rPr>
          <w:rFonts w:eastAsia="Times New Roman" w:cs="Arial"/>
          <w:color w:val="000000"/>
          <w:szCs w:val="20"/>
          <w:lang w:eastAsia="bg-BG"/>
        </w:rPr>
        <w:t>4.5 и 5.1).</w:t>
      </w:r>
    </w:p>
    <w:p w14:paraId="093F9ABE" w14:textId="77777777" w:rsidR="00C546A8" w:rsidRPr="00C546A8" w:rsidRDefault="00C546A8" w:rsidP="00C546A8"/>
    <w:p w14:paraId="53F5B866" w14:textId="345C304C" w:rsidR="007122AD" w:rsidRDefault="002C50EE" w:rsidP="00936AD0">
      <w:pPr>
        <w:pStyle w:val="Heading2"/>
      </w:pPr>
      <w:r>
        <w:t>4.2. Дозировка и начин на приложение</w:t>
      </w:r>
    </w:p>
    <w:p w14:paraId="4FB5AC2D" w14:textId="079B08A7" w:rsidR="00C546A8" w:rsidRDefault="00C546A8" w:rsidP="00C546A8"/>
    <w:p w14:paraId="2EE18DE3" w14:textId="77777777" w:rsidR="00C546A8" w:rsidRPr="00C546A8" w:rsidRDefault="00C546A8" w:rsidP="00C546A8">
      <w:pPr>
        <w:pStyle w:val="Heading3"/>
        <w:rPr>
          <w:rFonts w:eastAsia="Times New Roman"/>
          <w:i/>
          <w:sz w:val="28"/>
          <w:u w:val="single"/>
        </w:rPr>
      </w:pPr>
      <w:r w:rsidRPr="00C546A8">
        <w:rPr>
          <w:rFonts w:eastAsia="Times New Roman"/>
          <w:i/>
          <w:u w:val="single"/>
          <w:lang w:eastAsia="bg-BG"/>
        </w:rPr>
        <w:t>Дозировка</w:t>
      </w:r>
    </w:p>
    <w:p w14:paraId="41534DE2" w14:textId="77777777" w:rsidR="00C546A8" w:rsidRPr="00C546A8" w:rsidRDefault="00C546A8" w:rsidP="00C546A8">
      <w:pPr>
        <w:spacing w:line="240" w:lineRule="auto"/>
        <w:rPr>
          <w:rFonts w:eastAsia="Times New Roman" w:cs="Arial"/>
          <w:color w:val="000000"/>
          <w:szCs w:val="20"/>
          <w:lang w:eastAsia="bg-BG"/>
        </w:rPr>
      </w:pPr>
    </w:p>
    <w:p w14:paraId="1E0CF704" w14:textId="1F8EB8C6"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Обичайната препоръчителна начална и поддържаща доза е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веднъж дневно, със или без храна. Ирбек в доза от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веднъж дневно, обикновено води до по-добър 24 часов контрол на кръвното налягане, в сравнение със 75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Въпреки това, може да се обмисли започване на лечението със 75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особено при пациенти на хемодиализа или възрастни пациенти над 75 годишна възраст.</w:t>
      </w:r>
    </w:p>
    <w:p w14:paraId="292EECBB" w14:textId="77777777" w:rsidR="00C546A8" w:rsidRPr="00C546A8" w:rsidRDefault="00C546A8" w:rsidP="00C546A8">
      <w:pPr>
        <w:spacing w:line="240" w:lineRule="auto"/>
        <w:rPr>
          <w:rFonts w:eastAsia="Times New Roman" w:cs="Arial"/>
          <w:color w:val="000000"/>
          <w:szCs w:val="20"/>
          <w:lang w:eastAsia="bg-BG"/>
        </w:rPr>
      </w:pPr>
    </w:p>
    <w:p w14:paraId="726D0BBF" w14:textId="33DFBBA8"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При пациенти, при които не е постигнат желания контрол с доза от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веднъж дневно, дозата на ирбесартан може да бъде повишена до 300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или да бъде добавено друго антихипертензивно средство (вижте точки 4.3,4.4,4.5 и 5.1).</w:t>
      </w:r>
    </w:p>
    <w:p w14:paraId="5C68A089"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lastRenderedPageBreak/>
        <w:t>В частност, добавянето на диуретик като хидрохлоротиазид, е показало допълнителен ефект към този на Ирбек (вижте точка 4.5).</w:t>
      </w:r>
    </w:p>
    <w:p w14:paraId="160BC54E" w14:textId="77777777" w:rsidR="00C546A8" w:rsidRPr="00C546A8" w:rsidRDefault="00C546A8" w:rsidP="00C546A8">
      <w:pPr>
        <w:spacing w:line="240" w:lineRule="auto"/>
        <w:rPr>
          <w:rFonts w:eastAsia="Times New Roman" w:cs="Arial"/>
          <w:color w:val="000000"/>
          <w:szCs w:val="20"/>
          <w:lang w:eastAsia="bg-BG"/>
        </w:rPr>
      </w:pPr>
    </w:p>
    <w:p w14:paraId="34E3953E" w14:textId="083C8D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При хипергоници с диабет тип 2, лечението трябва да бъде започнато със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ирбесартан веднъж дневно и титрирано до 300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веднъж дневно, като предпочитана поддържаща доза за лечение на бъбречното заболяване.</w:t>
      </w:r>
    </w:p>
    <w:p w14:paraId="0F511FBE" w14:textId="77777777" w:rsidR="00C546A8" w:rsidRPr="00C546A8" w:rsidRDefault="00C546A8" w:rsidP="00C546A8">
      <w:pPr>
        <w:spacing w:line="240" w:lineRule="auto"/>
        <w:rPr>
          <w:rFonts w:eastAsia="Times New Roman" w:cs="Arial"/>
          <w:color w:val="000000"/>
          <w:szCs w:val="20"/>
          <w:lang w:eastAsia="bg-BG"/>
        </w:rPr>
      </w:pPr>
    </w:p>
    <w:p w14:paraId="19E12D77" w14:textId="5C9D083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Благоприятният ефект на Ирбек върху бъбреците при пациенти с хипертония и диабет тип 2 е установен с помощта на проучвания, при които ирбесартан е използван като допълнително лечение към други антихипертензивни средства, при необходимост, за достигане на желаното кръвно налягане(вж. точки 4.3,4.4,4.5 и 5.1).</w:t>
      </w:r>
    </w:p>
    <w:p w14:paraId="2225A82E" w14:textId="77777777" w:rsidR="00C546A8" w:rsidRPr="00C546A8" w:rsidRDefault="00C546A8" w:rsidP="00C546A8">
      <w:pPr>
        <w:rPr>
          <w:rFonts w:eastAsia="Times New Roman" w:cs="Arial"/>
          <w:color w:val="000000"/>
          <w:szCs w:val="20"/>
          <w:u w:val="single"/>
          <w:lang w:eastAsia="bg-BG"/>
        </w:rPr>
      </w:pPr>
    </w:p>
    <w:p w14:paraId="61A79B06" w14:textId="19B1C115" w:rsidR="00C546A8" w:rsidRPr="00C546A8" w:rsidRDefault="00C546A8" w:rsidP="00C546A8">
      <w:pPr>
        <w:rPr>
          <w:rFonts w:eastAsia="Times New Roman" w:cs="Arial"/>
          <w:color w:val="000000"/>
          <w:szCs w:val="20"/>
          <w:u w:val="single"/>
          <w:lang w:eastAsia="bg-BG"/>
        </w:rPr>
      </w:pPr>
      <w:r w:rsidRPr="00C546A8">
        <w:rPr>
          <w:rFonts w:eastAsia="Times New Roman" w:cs="Arial"/>
          <w:color w:val="000000"/>
          <w:szCs w:val="20"/>
          <w:u w:val="single"/>
          <w:lang w:eastAsia="bg-BG"/>
        </w:rPr>
        <w:t>Специални популации</w:t>
      </w:r>
    </w:p>
    <w:p w14:paraId="53490A56" w14:textId="341E5890" w:rsidR="00C546A8" w:rsidRPr="00C546A8" w:rsidRDefault="00C546A8" w:rsidP="00C546A8">
      <w:pPr>
        <w:rPr>
          <w:rFonts w:eastAsia="Times New Roman" w:cs="Arial"/>
          <w:color w:val="000000"/>
          <w:szCs w:val="20"/>
          <w:u w:val="single"/>
          <w:lang w:eastAsia="bg-BG"/>
        </w:rPr>
      </w:pPr>
    </w:p>
    <w:p w14:paraId="2E688C2F" w14:textId="77777777"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Бъбречно увреждане:</w:t>
      </w:r>
    </w:p>
    <w:p w14:paraId="7BD6BA2B"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Не е необходимо коригиране на дозата при пациенти с увредена бъбречна функция. По-ниска начална доза (75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трябва да се има предвид при пациентите, подложени на хемодиализа (вижте точка 4.4).</w:t>
      </w:r>
    </w:p>
    <w:p w14:paraId="54C8EB2F" w14:textId="77777777" w:rsidR="00C546A8" w:rsidRPr="00C546A8" w:rsidRDefault="00C546A8" w:rsidP="00C546A8">
      <w:pPr>
        <w:spacing w:line="240" w:lineRule="auto"/>
        <w:rPr>
          <w:rFonts w:eastAsia="Times New Roman" w:cs="Arial"/>
          <w:i/>
          <w:iCs/>
          <w:color w:val="000000"/>
          <w:szCs w:val="20"/>
          <w:lang w:eastAsia="bg-BG"/>
        </w:rPr>
      </w:pPr>
    </w:p>
    <w:p w14:paraId="77B0EE51" w14:textId="1BE2544E"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Чернодробно увреждане:</w:t>
      </w:r>
    </w:p>
    <w:p w14:paraId="59B38C71"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Не е необходимо коригиране на дозата при пациенти с леко до умерено чернодробно увреждане. Няма клиничен опит при пациенти с тежко чернодробно увреждане.</w:t>
      </w:r>
    </w:p>
    <w:p w14:paraId="2147BC45" w14:textId="77777777" w:rsidR="00C546A8" w:rsidRPr="00C546A8" w:rsidRDefault="00C546A8" w:rsidP="00C546A8">
      <w:pPr>
        <w:spacing w:line="240" w:lineRule="auto"/>
        <w:rPr>
          <w:rFonts w:eastAsia="Times New Roman" w:cs="Arial"/>
          <w:i/>
          <w:iCs/>
          <w:color w:val="000000"/>
          <w:szCs w:val="20"/>
          <w:lang w:eastAsia="bg-BG"/>
        </w:rPr>
      </w:pPr>
    </w:p>
    <w:p w14:paraId="581F9DFF" w14:textId="3AF3426A"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Старческа възраст:</w:t>
      </w:r>
    </w:p>
    <w:p w14:paraId="4FFD1C66"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Въпреки че трябва да се обмисли започване на лечението със 75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при пациенти на възраст над 75 години, обикновено не се налага коригиране на дозата при хора в старческа възраст.</w:t>
      </w:r>
    </w:p>
    <w:p w14:paraId="39E41B1E" w14:textId="77777777" w:rsidR="00C546A8" w:rsidRPr="00C546A8" w:rsidRDefault="00C546A8" w:rsidP="00C546A8">
      <w:pPr>
        <w:spacing w:line="240" w:lineRule="auto"/>
        <w:rPr>
          <w:rFonts w:eastAsia="Times New Roman" w:cs="Arial"/>
          <w:i/>
          <w:iCs/>
          <w:color w:val="000000"/>
          <w:szCs w:val="20"/>
          <w:lang w:eastAsia="bg-BG"/>
        </w:rPr>
      </w:pPr>
    </w:p>
    <w:p w14:paraId="3C3749F3" w14:textId="580E5BC9"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Педиатрична популация:</w:t>
      </w:r>
    </w:p>
    <w:p w14:paraId="301CC166"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Безопасността и ефикасността на Ирбек при деца на възраст от 0 до 18 години не са установени. Наличните понастоящем данни са описани в точки 4.8, 5.1 и 5.2, но препоръки за дозировката не могат да бъдат дадени.</w:t>
      </w:r>
    </w:p>
    <w:p w14:paraId="01807283" w14:textId="77777777" w:rsidR="00C546A8" w:rsidRPr="00C546A8" w:rsidRDefault="00C546A8" w:rsidP="00C546A8">
      <w:pPr>
        <w:spacing w:line="240" w:lineRule="auto"/>
        <w:rPr>
          <w:rFonts w:eastAsia="Times New Roman" w:cs="Arial"/>
          <w:i/>
          <w:iCs/>
          <w:color w:val="000000"/>
          <w:szCs w:val="20"/>
          <w:lang w:eastAsia="bg-BG"/>
        </w:rPr>
      </w:pPr>
    </w:p>
    <w:p w14:paraId="5A3442E4" w14:textId="7EF1135A" w:rsidR="00C546A8" w:rsidRPr="00C546A8" w:rsidRDefault="00C546A8" w:rsidP="00C546A8">
      <w:pPr>
        <w:pStyle w:val="Heading3"/>
        <w:rPr>
          <w:rFonts w:eastAsia="Times New Roman"/>
          <w:i/>
          <w:sz w:val="28"/>
          <w:u w:val="single"/>
        </w:rPr>
      </w:pPr>
      <w:r w:rsidRPr="00C546A8">
        <w:rPr>
          <w:rFonts w:eastAsia="Times New Roman"/>
          <w:i/>
          <w:u w:val="single"/>
          <w:lang w:eastAsia="bg-BG"/>
        </w:rPr>
        <w:t>Начин на приложение:</w:t>
      </w:r>
    </w:p>
    <w:p w14:paraId="21F700B1"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Орално приложение</w:t>
      </w:r>
    </w:p>
    <w:p w14:paraId="0B38658E" w14:textId="77777777" w:rsidR="00C546A8" w:rsidRPr="00C546A8" w:rsidRDefault="00C546A8" w:rsidP="00C546A8"/>
    <w:p w14:paraId="0F253247" w14:textId="29FAD5E1" w:rsidR="007122AD" w:rsidRDefault="002C50EE" w:rsidP="00936AD0">
      <w:pPr>
        <w:pStyle w:val="Heading2"/>
      </w:pPr>
      <w:r>
        <w:t>4.3. Противопоказания</w:t>
      </w:r>
    </w:p>
    <w:p w14:paraId="16EBE10C" w14:textId="722547B2" w:rsidR="00C546A8" w:rsidRDefault="00C546A8" w:rsidP="00C546A8"/>
    <w:p w14:paraId="092D81DC" w14:textId="77777777" w:rsidR="00C546A8" w:rsidRPr="00C546A8" w:rsidRDefault="00C546A8" w:rsidP="00C546A8">
      <w:pPr>
        <w:pStyle w:val="ListParagraph"/>
        <w:numPr>
          <w:ilvl w:val="0"/>
          <w:numId w:val="39"/>
        </w:numPr>
        <w:spacing w:line="240" w:lineRule="auto"/>
        <w:rPr>
          <w:rFonts w:eastAsia="Times New Roman" w:cs="Arial"/>
          <w:sz w:val="28"/>
          <w:szCs w:val="24"/>
        </w:rPr>
      </w:pPr>
      <w:r w:rsidRPr="00C546A8">
        <w:rPr>
          <w:rFonts w:eastAsia="Times New Roman" w:cs="Arial"/>
          <w:color w:val="000000"/>
          <w:szCs w:val="20"/>
          <w:lang w:eastAsia="bg-BG"/>
        </w:rPr>
        <w:t>Свръхчувствителност към ирбесартан или към някое от помощните вещества, избоени в точка 6.1.</w:t>
      </w:r>
    </w:p>
    <w:p w14:paraId="41DEAF46" w14:textId="77777777" w:rsidR="00C546A8" w:rsidRPr="00C546A8" w:rsidRDefault="00C546A8" w:rsidP="00C546A8">
      <w:pPr>
        <w:pStyle w:val="ListParagraph"/>
        <w:numPr>
          <w:ilvl w:val="0"/>
          <w:numId w:val="39"/>
        </w:numPr>
        <w:spacing w:line="240" w:lineRule="auto"/>
        <w:rPr>
          <w:rFonts w:eastAsia="Times New Roman" w:cs="Arial"/>
          <w:sz w:val="28"/>
          <w:szCs w:val="24"/>
        </w:rPr>
      </w:pPr>
      <w:r w:rsidRPr="00C546A8">
        <w:rPr>
          <w:rFonts w:eastAsia="Times New Roman" w:cs="Arial"/>
          <w:color w:val="000000"/>
          <w:szCs w:val="20"/>
          <w:lang w:eastAsia="bg-BG"/>
        </w:rPr>
        <w:t>Втори и трети триместър на бременността (вижте точки 4.4 и 4.6).</w:t>
      </w:r>
    </w:p>
    <w:p w14:paraId="1B3C7CAA" w14:textId="7EB7F290" w:rsidR="00C546A8" w:rsidRPr="00C546A8" w:rsidRDefault="00C546A8" w:rsidP="00C546A8">
      <w:pPr>
        <w:pStyle w:val="ListParagraph"/>
        <w:numPr>
          <w:ilvl w:val="0"/>
          <w:numId w:val="39"/>
        </w:numPr>
        <w:spacing w:line="240" w:lineRule="auto"/>
        <w:rPr>
          <w:rFonts w:eastAsia="Times New Roman" w:cs="Arial"/>
          <w:sz w:val="28"/>
          <w:szCs w:val="24"/>
        </w:rPr>
      </w:pPr>
      <w:r w:rsidRPr="00C546A8">
        <w:rPr>
          <w:rFonts w:eastAsia="Times New Roman" w:cs="Arial"/>
          <w:color w:val="000000"/>
          <w:szCs w:val="20"/>
          <w:lang w:eastAsia="bg-BG"/>
        </w:rPr>
        <w:t xml:space="preserve">Едновременната употреба на Ирбек с алискирен-съдьржащи продукти е противопоказана при пациенти със захарен диабет или бъбречно увреждане (скорост на гломерулна филтрация </w:t>
      </w:r>
      <w:r w:rsidRPr="00C546A8">
        <w:rPr>
          <w:rFonts w:eastAsia="Times New Roman" w:cs="Arial"/>
          <w:color w:val="000000"/>
          <w:szCs w:val="20"/>
          <w:lang w:val="ru-RU"/>
        </w:rPr>
        <w:t>(</w:t>
      </w:r>
      <w:r w:rsidRPr="00C546A8">
        <w:rPr>
          <w:rFonts w:eastAsia="Times New Roman" w:cs="Arial"/>
          <w:color w:val="000000"/>
          <w:szCs w:val="20"/>
          <w:lang w:val="en-US"/>
        </w:rPr>
        <w:t>GFR</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&lt;60 </w:t>
      </w:r>
      <w:r w:rsidRPr="00C546A8">
        <w:rPr>
          <w:rFonts w:eastAsia="Times New Roman" w:cs="Arial"/>
          <w:color w:val="000000"/>
          <w:szCs w:val="20"/>
          <w:lang w:val="en-US"/>
        </w:rPr>
        <w:t>ml</w:t>
      </w:r>
      <w:r w:rsidRPr="00C546A8">
        <w:rPr>
          <w:rFonts w:eastAsia="Times New Roman" w:cs="Arial"/>
          <w:color w:val="000000"/>
          <w:szCs w:val="20"/>
          <w:lang w:val="ru-RU"/>
        </w:rPr>
        <w:t>/</w:t>
      </w:r>
      <w:r w:rsidRPr="00C546A8">
        <w:rPr>
          <w:rFonts w:eastAsia="Times New Roman" w:cs="Arial"/>
          <w:color w:val="000000"/>
          <w:szCs w:val="20"/>
          <w:lang w:val="en-US"/>
        </w:rPr>
        <w:t>min</w:t>
      </w:r>
      <w:r w:rsidRPr="00C546A8">
        <w:rPr>
          <w:rFonts w:eastAsia="Times New Roman" w:cs="Arial"/>
          <w:color w:val="000000"/>
          <w:szCs w:val="20"/>
          <w:lang w:val="ru-RU"/>
        </w:rPr>
        <w:t xml:space="preserve">/1,73 </w:t>
      </w:r>
      <w:r w:rsidRPr="00C546A8">
        <w:rPr>
          <w:rFonts w:eastAsia="Times New Roman" w:cs="Arial"/>
          <w:color w:val="000000"/>
          <w:szCs w:val="20"/>
          <w:lang w:val="en-US"/>
        </w:rPr>
        <w:t>m</w:t>
      </w:r>
      <w:r w:rsidRPr="00C546A8">
        <w:rPr>
          <w:rFonts w:eastAsia="Times New Roman" w:cs="Arial"/>
          <w:color w:val="000000"/>
          <w:szCs w:val="20"/>
          <w:vertAlign w:val="superscript"/>
          <w:lang w:val="ru-RU"/>
        </w:rPr>
        <w:t>2</w:t>
      </w:r>
      <w:r w:rsidRPr="00C546A8">
        <w:rPr>
          <w:rFonts w:eastAsia="Times New Roman" w:cs="Arial"/>
          <w:color w:val="000000"/>
          <w:szCs w:val="20"/>
          <w:lang w:val="ru-RU"/>
        </w:rPr>
        <w:t xml:space="preserve">) </w:t>
      </w:r>
      <w:r w:rsidRPr="00C546A8">
        <w:rPr>
          <w:rFonts w:eastAsia="Times New Roman" w:cs="Arial"/>
          <w:color w:val="000000"/>
          <w:szCs w:val="20"/>
          <w:lang w:eastAsia="bg-BG"/>
        </w:rPr>
        <w:t>(вижте точки 4.5 и 5.1).</w:t>
      </w:r>
    </w:p>
    <w:p w14:paraId="71E16E7A" w14:textId="77777777" w:rsidR="00C546A8" w:rsidRPr="00C546A8" w:rsidRDefault="00C546A8" w:rsidP="00C546A8">
      <w:pPr>
        <w:spacing w:line="240" w:lineRule="auto"/>
        <w:rPr>
          <w:rFonts w:eastAsia="Times New Roman" w:cs="Arial"/>
          <w:sz w:val="28"/>
          <w:szCs w:val="24"/>
        </w:rPr>
      </w:pPr>
    </w:p>
    <w:p w14:paraId="0E0BDCC7" w14:textId="16F6EB65" w:rsidR="007122AD" w:rsidRDefault="002C50EE" w:rsidP="00936AD0">
      <w:pPr>
        <w:pStyle w:val="Heading2"/>
      </w:pPr>
      <w:r>
        <w:t>4.4. Специални предупреждения и предпазни мерки при употреба</w:t>
      </w:r>
    </w:p>
    <w:p w14:paraId="19B148CD" w14:textId="5B326C8F" w:rsidR="00C546A8" w:rsidRDefault="00C546A8" w:rsidP="00C546A8"/>
    <w:p w14:paraId="53697AF4" w14:textId="77777777"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lastRenderedPageBreak/>
        <w:t>Намален вътресъдов обем:</w:t>
      </w:r>
    </w:p>
    <w:p w14:paraId="109EB85D"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Симптоматична хипотония, особено след първата доза може да възникне при пациенти с недостатъчен вътресъдов обем и/или недостиг на натрий в резултат на интензивно диуретично лечение, диета с ограничен прием на сол, диария или повръщане. Тези състояния трябва да бъдат коригирани преди приема на ирбесартан.</w:t>
      </w:r>
    </w:p>
    <w:p w14:paraId="02FAD1F5" w14:textId="77777777" w:rsidR="00C546A8" w:rsidRPr="00C546A8" w:rsidRDefault="00C546A8" w:rsidP="00C546A8">
      <w:pPr>
        <w:spacing w:line="240" w:lineRule="auto"/>
        <w:rPr>
          <w:rFonts w:eastAsia="Times New Roman" w:cs="Arial"/>
          <w:color w:val="000000"/>
          <w:u w:val="single"/>
          <w:lang w:eastAsia="bg-BG"/>
        </w:rPr>
      </w:pPr>
    </w:p>
    <w:p w14:paraId="34137378" w14:textId="151C8A85" w:rsidR="00C546A8" w:rsidRPr="00C546A8" w:rsidRDefault="00C546A8" w:rsidP="00C546A8">
      <w:pPr>
        <w:spacing w:line="240" w:lineRule="auto"/>
        <w:rPr>
          <w:rFonts w:eastAsia="Times New Roman" w:cs="Arial"/>
          <w:color w:val="000000"/>
          <w:u w:val="single"/>
          <w:lang w:eastAsia="bg-BG"/>
        </w:rPr>
      </w:pPr>
      <w:r w:rsidRPr="00C546A8">
        <w:rPr>
          <w:rFonts w:eastAsia="Times New Roman" w:cs="Arial"/>
          <w:color w:val="000000"/>
          <w:u w:val="single"/>
          <w:lang w:eastAsia="bg-BG"/>
        </w:rPr>
        <w:t>Реноваскуларна хипертония:</w:t>
      </w:r>
    </w:p>
    <w:p w14:paraId="69419876"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Съществува повишен риск от тежка хипотония и бъбречна недостатъчност, в случай, че пациенти с двустранна стеноза на бъбречната артерия или стеноза на единствения функциониращ бъбрек, бъдат лекувани с лекарствени продукти, повлияващи ренин- ангиотензин-алдостерон системата. Въпреки, че това не е документирано при Ирбек, подобен ефект трябва да се очаква и при ангиотензин-П рецепторните антагонисти.</w:t>
      </w:r>
    </w:p>
    <w:p w14:paraId="0344519A" w14:textId="77777777" w:rsidR="00C546A8" w:rsidRPr="00C546A8" w:rsidRDefault="00C546A8" w:rsidP="00C546A8">
      <w:pPr>
        <w:spacing w:line="240" w:lineRule="auto"/>
        <w:rPr>
          <w:rFonts w:eastAsia="Times New Roman" w:cs="Arial"/>
          <w:color w:val="000000"/>
          <w:u w:val="single"/>
          <w:lang w:eastAsia="bg-BG"/>
        </w:rPr>
      </w:pPr>
    </w:p>
    <w:p w14:paraId="1482C6DA" w14:textId="42E917D6"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Бъбречно увреждане и бъбречна трансплантация:</w:t>
      </w:r>
    </w:p>
    <w:p w14:paraId="781366D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В случай, че Ирбек се прилага при пациенти с нарушена бъбречна функция, се препоръчва периодично проследяване на серумните нива на калий и креатинина. Няма опит с приложението на ирбесартан при пациенти със скорошна бъбречна трансплантация.</w:t>
      </w:r>
    </w:p>
    <w:p w14:paraId="44B65399" w14:textId="77777777" w:rsidR="00C546A8" w:rsidRPr="00C546A8" w:rsidRDefault="00C546A8" w:rsidP="00C546A8">
      <w:pPr>
        <w:rPr>
          <w:rFonts w:eastAsia="Times New Roman" w:cs="Arial"/>
          <w:color w:val="000000"/>
          <w:u w:val="single"/>
          <w:lang w:eastAsia="bg-BG"/>
        </w:rPr>
      </w:pPr>
    </w:p>
    <w:p w14:paraId="0B254A07" w14:textId="77777777" w:rsidR="00C546A8" w:rsidRPr="00C546A8" w:rsidRDefault="00C546A8" w:rsidP="00C546A8">
      <w:pPr>
        <w:rPr>
          <w:rFonts w:eastAsia="Times New Roman" w:cs="Arial"/>
        </w:rPr>
      </w:pPr>
      <w:r w:rsidRPr="00C546A8">
        <w:rPr>
          <w:rFonts w:eastAsia="Times New Roman" w:cs="Arial"/>
          <w:color w:val="000000"/>
          <w:u w:val="single"/>
          <w:lang w:eastAsia="bg-BG"/>
        </w:rPr>
        <w:t>Хипертонични папиенти с диабет тип 2 и бъбречно заболяване:</w:t>
      </w:r>
      <w:r w:rsidRPr="00C546A8">
        <w:rPr>
          <w:rFonts w:eastAsia="Times New Roman" w:cs="Arial"/>
          <w:color w:val="000000"/>
          <w:lang w:eastAsia="bg-BG"/>
        </w:rPr>
        <w:t xml:space="preserve"> при направен анализ на</w:t>
      </w:r>
      <w:r w:rsidRPr="00C546A8">
        <w:rPr>
          <w:rFonts w:eastAsia="Times New Roman" w:cs="Arial"/>
          <w:color w:val="000000"/>
          <w:u w:val="single"/>
          <w:lang w:eastAsia="bg-BG"/>
        </w:rPr>
        <w:t xml:space="preserve"> </w:t>
      </w:r>
      <w:r w:rsidRPr="00C546A8">
        <w:rPr>
          <w:rFonts w:eastAsia="Times New Roman" w:cs="Arial"/>
          <w:color w:val="000000"/>
          <w:lang w:eastAsia="bg-BG"/>
        </w:rPr>
        <w:t>проучване при пациенти с напреднало бъбречно заболяване е установено, че ефектите на Ирбеж върху бъбречните и сърдечно-съдови събития не са еднородни във всички подгрупи. Освен това, има данни за по-малък благоприятен ефект при жените и индивидите, които не са от бялата раса (вижте точка 5.1).</w:t>
      </w:r>
    </w:p>
    <w:p w14:paraId="36D24007" w14:textId="77777777" w:rsidR="00C546A8" w:rsidRPr="00C546A8" w:rsidRDefault="00C546A8" w:rsidP="00C546A8">
      <w:pPr>
        <w:spacing w:line="240" w:lineRule="auto"/>
        <w:rPr>
          <w:rFonts w:eastAsia="Times New Roman" w:cs="Arial"/>
          <w:color w:val="000000"/>
          <w:u w:val="single"/>
          <w:lang w:eastAsia="bg-BG"/>
        </w:rPr>
      </w:pPr>
    </w:p>
    <w:p w14:paraId="3095A265" w14:textId="1E0B6945"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 xml:space="preserve">Двойно блокиране на ренин-ангиотензин-алдостепоновата система </w:t>
      </w:r>
      <w:r w:rsidRPr="00C546A8">
        <w:rPr>
          <w:rFonts w:eastAsia="Times New Roman" w:cs="Arial"/>
          <w:color w:val="000000"/>
          <w:u w:val="single"/>
          <w:lang w:val="ru-RU"/>
        </w:rPr>
        <w:t>(</w:t>
      </w:r>
      <w:r w:rsidRPr="00C546A8">
        <w:rPr>
          <w:rFonts w:eastAsia="Times New Roman" w:cs="Arial"/>
          <w:color w:val="000000"/>
          <w:u w:val="single"/>
          <w:lang w:val="en-US"/>
        </w:rPr>
        <w:t>RAAS</w:t>
      </w:r>
      <w:r w:rsidRPr="00C546A8">
        <w:rPr>
          <w:rFonts w:eastAsia="Times New Roman" w:cs="Arial"/>
          <w:color w:val="000000"/>
          <w:u w:val="single"/>
          <w:lang w:val="ru-RU"/>
        </w:rPr>
        <w:t>):</w:t>
      </w:r>
    </w:p>
    <w:p w14:paraId="022D7FF6" w14:textId="77777777" w:rsidR="00C546A8" w:rsidRPr="00C546A8" w:rsidRDefault="00C546A8" w:rsidP="00C546A8">
      <w:pPr>
        <w:spacing w:line="240" w:lineRule="auto"/>
        <w:rPr>
          <w:rFonts w:eastAsia="Times New Roman" w:cs="Arial"/>
          <w:color w:val="000000"/>
          <w:lang w:eastAsia="bg-BG"/>
        </w:rPr>
      </w:pPr>
    </w:p>
    <w:p w14:paraId="7783CAD7" w14:textId="3AEF1CB8"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Има данни, че едновременната употреба на АСЕ инхибитори, ангиотензин </w:t>
      </w:r>
      <w:r w:rsidRPr="00C546A8">
        <w:rPr>
          <w:rFonts w:eastAsia="Times New Roman" w:cs="Arial"/>
          <w:color w:val="000000"/>
          <w:lang w:val="en-US"/>
        </w:rPr>
        <w:t>II</w:t>
      </w:r>
      <w:r w:rsidRPr="00C546A8">
        <w:rPr>
          <w:rFonts w:eastAsia="Times New Roman" w:cs="Arial"/>
          <w:color w:val="000000"/>
          <w:lang w:eastAsia="bg-BG"/>
        </w:rPr>
        <w:t xml:space="preserve">-рецепгорни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w:t>
      </w:r>
      <w:r w:rsidRPr="00C546A8">
        <w:rPr>
          <w:rFonts w:eastAsia="Times New Roman" w:cs="Arial"/>
          <w:color w:val="000000"/>
          <w:u w:val="single"/>
          <w:lang w:val="en-US"/>
        </w:rPr>
        <w:t>RAAS</w:t>
      </w:r>
      <w:r w:rsidRPr="00C546A8">
        <w:rPr>
          <w:rFonts w:eastAsia="Times New Roman" w:cs="Arial"/>
          <w:color w:val="000000"/>
          <w:lang w:val="ru-RU"/>
        </w:rPr>
        <w:t xml:space="preserve"> </w:t>
      </w:r>
      <w:r w:rsidRPr="00C546A8">
        <w:rPr>
          <w:rFonts w:eastAsia="Times New Roman" w:cs="Arial"/>
          <w:color w:val="000000"/>
          <w:lang w:eastAsia="bg-BG"/>
        </w:rPr>
        <w:t xml:space="preserve">чрез комбинираната употреба на АСЕ инхибитори, ангиотензин </w:t>
      </w:r>
      <w:r w:rsidRPr="00C546A8">
        <w:rPr>
          <w:rFonts w:eastAsia="Times New Roman" w:cs="Arial"/>
          <w:color w:val="000000"/>
          <w:lang w:val="en-US"/>
        </w:rPr>
        <w:t>II</w:t>
      </w:r>
      <w:r w:rsidRPr="00C546A8">
        <w:rPr>
          <w:rFonts w:eastAsia="Times New Roman" w:cs="Arial"/>
          <w:color w:val="000000"/>
          <w:lang w:eastAsia="bg-BG"/>
        </w:rPr>
        <w:t>-рецепторни блокери или алискирен (вж. точки 4.5 и 5.1).</w:t>
      </w:r>
    </w:p>
    <w:p w14:paraId="1609854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0649DEDE"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АСЕ инхибитори и ангиотензин </w:t>
      </w:r>
      <w:r w:rsidRPr="00C546A8">
        <w:rPr>
          <w:rFonts w:eastAsia="Times New Roman" w:cs="Arial"/>
          <w:color w:val="000000"/>
          <w:lang w:val="en-US"/>
        </w:rPr>
        <w:t>II</w:t>
      </w:r>
      <w:r w:rsidRPr="00C546A8">
        <w:rPr>
          <w:rFonts w:eastAsia="Times New Roman" w:cs="Arial"/>
          <w:color w:val="000000"/>
          <w:lang w:eastAsia="bg-BG"/>
        </w:rPr>
        <w:t>-рецепгорни блокери не трябва да се използват едновременно при пациенти с диабетна нефропатия.</w:t>
      </w:r>
    </w:p>
    <w:p w14:paraId="6427215C" w14:textId="77777777" w:rsidR="00C546A8" w:rsidRPr="00C546A8" w:rsidRDefault="00C546A8" w:rsidP="00C546A8">
      <w:pPr>
        <w:spacing w:line="240" w:lineRule="auto"/>
        <w:rPr>
          <w:rFonts w:eastAsia="Times New Roman" w:cs="Arial"/>
          <w:color w:val="000000"/>
          <w:u w:val="single"/>
          <w:lang w:eastAsia="bg-BG"/>
        </w:rPr>
      </w:pPr>
    </w:p>
    <w:p w14:paraId="5AF78C5D" w14:textId="2692ADED"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Хиперкалиемия:</w:t>
      </w:r>
    </w:p>
    <w:p w14:paraId="65D0C1F2"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Както при другите лекарствени продукти, повлияващи ренин-ангиотензин-алдостероновата система, хиперкалиемия може да възникне и по време на лечението с ирбесартан, особено при наличието на бъбречно увреждане, значителна протеинурия поради диабетна нефропатия и/или сърдечна недостатъчност. Препоръчва се редовно проследяване на серумния калий при пациентите в риск (вижте точка 4.5).</w:t>
      </w:r>
    </w:p>
    <w:p w14:paraId="0D79371A" w14:textId="77777777" w:rsidR="00C546A8" w:rsidRPr="00C546A8" w:rsidRDefault="00C546A8" w:rsidP="00C546A8">
      <w:pPr>
        <w:spacing w:line="240" w:lineRule="auto"/>
        <w:rPr>
          <w:rFonts w:eastAsia="Times New Roman" w:cs="Arial"/>
          <w:color w:val="000000"/>
          <w:lang w:eastAsia="bg-BG"/>
        </w:rPr>
      </w:pPr>
    </w:p>
    <w:p w14:paraId="14AD4BEA" w14:textId="4C37A31C" w:rsidR="00C546A8" w:rsidRPr="00C546A8" w:rsidRDefault="00C546A8" w:rsidP="00C546A8">
      <w:pPr>
        <w:spacing w:line="240" w:lineRule="auto"/>
        <w:rPr>
          <w:rFonts w:eastAsia="Times New Roman" w:cs="Arial"/>
        </w:rPr>
      </w:pPr>
      <w:r w:rsidRPr="00C546A8">
        <w:rPr>
          <w:rFonts w:eastAsia="Times New Roman" w:cs="Arial"/>
          <w:color w:val="000000"/>
          <w:lang w:eastAsia="bg-BG"/>
        </w:rPr>
        <w:t>Хипогликемия:</w:t>
      </w:r>
    </w:p>
    <w:p w14:paraId="5746122B"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Ирбек може да предизвика хипогликемия, особено при пациенти с диабет. При пациенти, лекувани с инсулин или антидиабетици, трябва да се обмисли подходящо проследяване на кръвната захар; може да се наложи коригиране на дозата на инсулин или антидиабетици, когато е показано (вж. точка 4.5).</w:t>
      </w:r>
    </w:p>
    <w:p w14:paraId="01049C9E" w14:textId="77777777" w:rsidR="00C546A8" w:rsidRPr="00C546A8" w:rsidRDefault="00C546A8" w:rsidP="00C546A8">
      <w:pPr>
        <w:spacing w:line="240" w:lineRule="auto"/>
        <w:rPr>
          <w:rFonts w:eastAsia="Times New Roman" w:cs="Arial"/>
          <w:color w:val="000000"/>
          <w:u w:val="single"/>
          <w:lang w:eastAsia="bg-BG"/>
        </w:rPr>
      </w:pPr>
    </w:p>
    <w:p w14:paraId="3633E45F" w14:textId="7E439052"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Литий:</w:t>
      </w:r>
    </w:p>
    <w:p w14:paraId="7FCCE7CD"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Не се препоръчва комбинирането на литий </w:t>
      </w:r>
      <w:r w:rsidRPr="00C546A8">
        <w:rPr>
          <w:rFonts w:eastAsia="Times New Roman" w:cs="Arial"/>
          <w:i/>
          <w:iCs/>
          <w:color w:val="000000"/>
          <w:lang w:eastAsia="bg-BG"/>
        </w:rPr>
        <w:t>и</w:t>
      </w:r>
      <w:r w:rsidRPr="00C546A8">
        <w:rPr>
          <w:rFonts w:eastAsia="Times New Roman" w:cs="Arial"/>
          <w:color w:val="000000"/>
          <w:lang w:eastAsia="bg-BG"/>
        </w:rPr>
        <w:t xml:space="preserve"> Ирбек (вижте точка 4.5).</w:t>
      </w:r>
    </w:p>
    <w:p w14:paraId="764A3537" w14:textId="77777777" w:rsidR="00C546A8" w:rsidRPr="00C546A8" w:rsidRDefault="00C546A8" w:rsidP="00C546A8">
      <w:pPr>
        <w:spacing w:line="240" w:lineRule="auto"/>
        <w:rPr>
          <w:rFonts w:eastAsia="Times New Roman" w:cs="Arial"/>
          <w:color w:val="000000"/>
          <w:u w:val="single"/>
          <w:lang w:eastAsia="bg-BG"/>
        </w:rPr>
      </w:pPr>
    </w:p>
    <w:p w14:paraId="72E594C3" w14:textId="28F91292"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 xml:space="preserve">Аортна стеноза и стеноза на митралната клапа, обструктивна хипертрофична кардиомиопатия: </w:t>
      </w:r>
      <w:r w:rsidRPr="00C546A8">
        <w:rPr>
          <w:rFonts w:eastAsia="Times New Roman" w:cs="Arial"/>
          <w:color w:val="00000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4E1A87A5" w14:textId="77777777" w:rsidR="00C546A8" w:rsidRPr="00C546A8" w:rsidRDefault="00C546A8" w:rsidP="00C546A8">
      <w:pPr>
        <w:spacing w:line="240" w:lineRule="auto"/>
        <w:rPr>
          <w:rFonts w:eastAsia="Times New Roman" w:cs="Arial"/>
          <w:color w:val="000000"/>
          <w:u w:val="single"/>
          <w:lang w:eastAsia="bg-BG"/>
        </w:rPr>
      </w:pPr>
    </w:p>
    <w:p w14:paraId="6C88EF41" w14:textId="4816B20E" w:rsidR="00C546A8" w:rsidRPr="00C546A8" w:rsidRDefault="00C546A8" w:rsidP="00C546A8">
      <w:pPr>
        <w:spacing w:line="240" w:lineRule="auto"/>
        <w:rPr>
          <w:rFonts w:eastAsia="Times New Roman" w:cs="Arial"/>
          <w:color w:val="000000"/>
          <w:lang w:eastAsia="bg-BG"/>
        </w:rPr>
      </w:pPr>
      <w:r w:rsidRPr="00C546A8">
        <w:rPr>
          <w:rFonts w:eastAsia="Times New Roman" w:cs="Arial"/>
          <w:color w:val="000000"/>
          <w:u w:val="single"/>
          <w:lang w:eastAsia="bg-BG"/>
        </w:rPr>
        <w:t>Първичен алдостеронизъм:</w:t>
      </w:r>
      <w:r w:rsidRPr="00C546A8">
        <w:rPr>
          <w:rFonts w:eastAsia="Times New Roman" w:cs="Arial"/>
          <w:color w:val="000000"/>
          <w:lang w:eastAsia="bg-BG"/>
        </w:rPr>
        <w:t xml:space="preserve"> пациентите с първичен алдостеронизъм обикновено не отговарят на антихипертензивни лекарствени продукти, действащи чрез инхибиране на ренин- ангиотензиновата система. Ето защо, не се препоръчва употребата на Ирбек.</w:t>
      </w:r>
    </w:p>
    <w:p w14:paraId="2FA8F33B" w14:textId="77777777" w:rsidR="00C546A8" w:rsidRPr="00C546A8" w:rsidRDefault="00C546A8" w:rsidP="00C546A8">
      <w:pPr>
        <w:spacing w:line="240" w:lineRule="auto"/>
        <w:rPr>
          <w:rFonts w:eastAsia="Times New Roman" w:cs="Arial"/>
          <w:color w:val="000000"/>
          <w:u w:val="single"/>
          <w:lang w:eastAsia="bg-BG"/>
        </w:rPr>
      </w:pPr>
    </w:p>
    <w:p w14:paraId="5C4F788A" w14:textId="6AD2AFA3"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Общи:</w:t>
      </w:r>
      <w:r w:rsidRPr="00C546A8">
        <w:rPr>
          <w:rFonts w:eastAsia="Times New Roman" w:cs="Arial"/>
          <w:color w:val="000000"/>
          <w:lang w:eastAsia="bg-BG"/>
        </w:rPr>
        <w:t xml:space="preserve"> при пациентите, чийто съдов тонус и бъбречна функция зависят предимно от активността на ренин-ангиотензин-алдостероновата система (напр. пациенти с тежка конгестивна сърдечна недостатъчност или подлежащо бъбречно заболяване, включително стеноза на бъбречната артерия), лечението с инхибитори на ангиотензин конвертиращия ензим или ангиотензин-</w:t>
      </w:r>
      <w:r w:rsidRPr="00C546A8">
        <w:rPr>
          <w:rFonts w:eastAsia="Times New Roman" w:cs="Arial"/>
          <w:color w:val="000000"/>
          <w:lang w:val="en-US"/>
        </w:rPr>
        <w:t>II</w:t>
      </w:r>
      <w:r w:rsidRPr="00C546A8">
        <w:rPr>
          <w:rFonts w:eastAsia="Times New Roman" w:cs="Arial"/>
          <w:color w:val="000000"/>
          <w:lang w:eastAsia="bg-BG"/>
        </w:rPr>
        <w:t xml:space="preserve"> рецепторни антагонисти, повлияващи тази система, е свързано с остра хипотония, азотемия, олигурия или рядко остра бъбречна недостатъчност (вижте точка 4.5). Както при останалите антихипертензивни средства, прекомерното понижение на кръвното налягане при пациенти с исхемична кардиопатия или исхемично сърдечно-съдово заболяване може да доведе до инфаркт на миокарда или инсулт.</w:t>
      </w:r>
    </w:p>
    <w:p w14:paraId="4BEF44BB" w14:textId="77777777" w:rsidR="00C546A8" w:rsidRPr="00C546A8" w:rsidRDefault="00C546A8" w:rsidP="00C546A8">
      <w:pPr>
        <w:rPr>
          <w:rFonts w:eastAsia="Times New Roman" w:cs="Arial"/>
        </w:rPr>
      </w:pPr>
      <w:r w:rsidRPr="00C546A8">
        <w:rPr>
          <w:rFonts w:eastAsia="Times New Roman" w:cs="Arial"/>
          <w:color w:val="000000"/>
          <w:lang w:eastAsia="bg-BG"/>
        </w:rPr>
        <w:t>Подобно на инхибиторите на ангиотензин конвертиращия ензим, ирбесартан и другите ангиотензинови антагонисти изглежда са по-малко ефективни по отношение на понижаването</w:t>
      </w:r>
      <w:r w:rsidRPr="00C546A8">
        <w:rPr>
          <w:rFonts w:eastAsia="Times New Roman" w:cs="Arial"/>
          <w:color w:val="000000"/>
          <w:u w:val="single"/>
          <w:lang w:eastAsia="bg-BG"/>
        </w:rPr>
        <w:t xml:space="preserve"> </w:t>
      </w:r>
      <w:r w:rsidRPr="00C546A8">
        <w:rPr>
          <w:rFonts w:eastAsia="Times New Roman" w:cs="Arial"/>
          <w:color w:val="000000"/>
          <w:lang w:eastAsia="bg-BG"/>
        </w:rPr>
        <w:t>на кръвното налягане при индивидите от черната раса, в сравнение с останалите вероятно поради по-широко разпространение на ниско ниво на ренин при чернокожата популация с хипертония (вижте точка 5.1).</w:t>
      </w:r>
    </w:p>
    <w:p w14:paraId="6A1AA514" w14:textId="77777777" w:rsidR="00C546A8" w:rsidRPr="00C546A8" w:rsidRDefault="00C546A8" w:rsidP="00C546A8">
      <w:pPr>
        <w:spacing w:line="240" w:lineRule="auto"/>
        <w:rPr>
          <w:rFonts w:eastAsia="Times New Roman" w:cs="Arial"/>
          <w:color w:val="000000"/>
          <w:u w:val="single"/>
          <w:lang w:eastAsia="bg-BG"/>
        </w:rPr>
      </w:pPr>
    </w:p>
    <w:p w14:paraId="352C9978" w14:textId="66FF4583"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Бременност:</w:t>
      </w:r>
    </w:p>
    <w:p w14:paraId="0B085AC7"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Лечение с ангиотензин-</w:t>
      </w:r>
      <w:r w:rsidRPr="00C546A8">
        <w:rPr>
          <w:rFonts w:eastAsia="Times New Roman" w:cs="Arial"/>
          <w:color w:val="000000"/>
          <w:lang w:val="en-US"/>
        </w:rPr>
        <w:t>II</w:t>
      </w:r>
      <w:r w:rsidRPr="00C546A8">
        <w:rPr>
          <w:rFonts w:eastAsia="Times New Roman" w:cs="Arial"/>
          <w:color w:val="000000"/>
          <w:lang w:eastAsia="bg-BG"/>
        </w:rPr>
        <w:t xml:space="preserve"> рецепторни антагонисти </w:t>
      </w:r>
      <w:r w:rsidRPr="00C546A8">
        <w:rPr>
          <w:rFonts w:eastAsia="Times New Roman" w:cs="Arial"/>
          <w:color w:val="000000"/>
          <w:lang w:val="ru-RU"/>
        </w:rPr>
        <w:t>(</w:t>
      </w:r>
      <w:r w:rsidRPr="00C546A8">
        <w:rPr>
          <w:rFonts w:eastAsia="Times New Roman" w:cs="Arial"/>
          <w:color w:val="000000"/>
          <w:lang w:val="en-US"/>
        </w:rPr>
        <w:t>AIIRAs</w:t>
      </w:r>
      <w:r w:rsidRPr="00C546A8">
        <w:rPr>
          <w:rFonts w:eastAsia="Times New Roman" w:cs="Arial"/>
          <w:color w:val="000000"/>
          <w:lang w:val="ru-RU"/>
        </w:rPr>
        <w:t xml:space="preserve">) </w:t>
      </w:r>
      <w:r w:rsidRPr="00C546A8">
        <w:rPr>
          <w:rFonts w:eastAsia="Times New Roman" w:cs="Arial"/>
          <w:color w:val="000000"/>
          <w:lang w:eastAsia="bg-BG"/>
        </w:rPr>
        <w:t xml:space="preserve">не трябва да се започва по време на бременност.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C546A8">
        <w:rPr>
          <w:rFonts w:eastAsia="Times New Roman" w:cs="Arial"/>
          <w:color w:val="000000"/>
          <w:lang w:val="en-US"/>
        </w:rPr>
        <w:t>AIIRAs</w:t>
      </w:r>
      <w:r w:rsidRPr="00C546A8">
        <w:rPr>
          <w:rFonts w:eastAsia="Times New Roman" w:cs="Arial"/>
          <w:color w:val="000000"/>
          <w:lang w:val="ru-RU"/>
        </w:rPr>
        <w:t xml:space="preserve">. </w:t>
      </w:r>
      <w:r w:rsidRPr="00C546A8">
        <w:rPr>
          <w:rFonts w:eastAsia="Times New Roman" w:cs="Arial"/>
          <w:color w:val="000000"/>
          <w:lang w:eastAsia="bg-BG"/>
        </w:rPr>
        <w:t xml:space="preserve">Когато се установи бременност, лечението с </w:t>
      </w:r>
      <w:r w:rsidRPr="00C546A8">
        <w:rPr>
          <w:rFonts w:eastAsia="Times New Roman" w:cs="Arial"/>
          <w:color w:val="000000"/>
          <w:lang w:val="en-US"/>
        </w:rPr>
        <w:t>AIIRAs</w:t>
      </w:r>
      <w:r w:rsidRPr="00C546A8">
        <w:rPr>
          <w:rFonts w:eastAsia="Times New Roman" w:cs="Arial"/>
          <w:color w:val="000000"/>
          <w:lang w:val="ru-RU"/>
        </w:rPr>
        <w:t xml:space="preserve"> </w:t>
      </w:r>
      <w:r w:rsidRPr="00C546A8">
        <w:rPr>
          <w:rFonts w:eastAsia="Times New Roman" w:cs="Arial"/>
          <w:color w:val="000000"/>
          <w:lang w:eastAsia="bg-BG"/>
        </w:rPr>
        <w:t>трябва незабавно да се прекрати и ако е подходящо, да се започне алтернативно лечение (вижте точки 4.3 и 4.6).</w:t>
      </w:r>
    </w:p>
    <w:p w14:paraId="62EA1B44" w14:textId="77777777" w:rsidR="00C546A8" w:rsidRPr="00C546A8" w:rsidRDefault="00C546A8" w:rsidP="00C546A8">
      <w:pPr>
        <w:spacing w:line="240" w:lineRule="auto"/>
        <w:rPr>
          <w:rFonts w:eastAsia="Times New Roman" w:cs="Arial"/>
          <w:color w:val="000000"/>
          <w:u w:val="single"/>
          <w:lang w:eastAsia="bg-BG"/>
        </w:rPr>
      </w:pPr>
    </w:p>
    <w:p w14:paraId="5A8F3106" w14:textId="1B3BDF16"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 xml:space="preserve">Педиатрична популация: </w:t>
      </w:r>
      <w:r w:rsidRPr="00C546A8">
        <w:rPr>
          <w:rFonts w:eastAsia="Times New Roman" w:cs="Arial"/>
          <w:color w:val="000000"/>
          <w:lang w:eastAsia="bg-BG"/>
        </w:rPr>
        <w:t>ирбесартан е проучван при педиатрична поппулация на възраст от 6 до 16 години, но наличните данни са недостатъчни, за да подкрепят удължаване на употребата при деца, докато не станат налични допълнителни данни (вижте точки 4.8,</w:t>
      </w:r>
      <w:r w:rsidRPr="00C546A8">
        <w:rPr>
          <w:rFonts w:eastAsia="Times New Roman" w:cs="Arial"/>
          <w:color w:val="000000"/>
          <w:lang w:val="ru-RU"/>
        </w:rPr>
        <w:t xml:space="preserve"> </w:t>
      </w:r>
      <w:r w:rsidRPr="00C546A8">
        <w:rPr>
          <w:rFonts w:eastAsia="Times New Roman" w:cs="Arial"/>
          <w:color w:val="000000"/>
          <w:lang w:eastAsia="bg-BG"/>
        </w:rPr>
        <w:t>5.1 и 5.2).</w:t>
      </w:r>
    </w:p>
    <w:p w14:paraId="07F5FEE8" w14:textId="77777777" w:rsidR="00C546A8" w:rsidRPr="00C546A8" w:rsidRDefault="00C546A8" w:rsidP="00C546A8">
      <w:pPr>
        <w:spacing w:line="240" w:lineRule="auto"/>
        <w:rPr>
          <w:rFonts w:eastAsia="Times New Roman" w:cs="Arial"/>
          <w:color w:val="000000"/>
          <w:u w:val="single"/>
          <w:lang w:eastAsia="bg-BG"/>
        </w:rPr>
      </w:pPr>
    </w:p>
    <w:p w14:paraId="42589DE1" w14:textId="4A24FC75"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помощни вещества</w:t>
      </w:r>
    </w:p>
    <w:p w14:paraId="5CAD8D63" w14:textId="77777777"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Ирбек съдържа лактоза:</w:t>
      </w:r>
      <w:r w:rsidRPr="00C546A8">
        <w:rPr>
          <w:rFonts w:eastAsia="Times New Roman" w:cs="Arial"/>
          <w:color w:val="000000"/>
          <w:lang w:eastAsia="bg-BG"/>
        </w:rPr>
        <w:t xml:space="preserve"> Пациенти с редки вродени проблеми като галактозна непоносимост, тотален лактазен дефицит</w:t>
      </w:r>
      <w:r w:rsidRPr="00C546A8">
        <w:rPr>
          <w:rFonts w:eastAsia="Times New Roman" w:cs="Arial"/>
          <w:color w:val="000000"/>
          <w:lang w:val="en-US"/>
        </w:rPr>
        <w:t>L</w:t>
      </w:r>
      <w:r w:rsidRPr="00C546A8">
        <w:rPr>
          <w:rFonts w:eastAsia="Times New Roman" w:cs="Arial"/>
          <w:color w:val="000000"/>
          <w:lang w:eastAsia="bg-BG"/>
        </w:rPr>
        <w:t>арр лактазен дефицит или глюкозо-галактозна малабсорбция не трябва да приемат този лекарствен продукт.</w:t>
      </w:r>
    </w:p>
    <w:p w14:paraId="655511CD" w14:textId="77777777" w:rsidR="00C546A8" w:rsidRPr="00C546A8" w:rsidRDefault="00C546A8" w:rsidP="00C546A8">
      <w:pPr>
        <w:spacing w:line="240" w:lineRule="auto"/>
        <w:rPr>
          <w:rFonts w:eastAsia="Times New Roman" w:cs="Arial"/>
          <w:color w:val="000000"/>
          <w:lang w:eastAsia="bg-BG"/>
        </w:rPr>
      </w:pPr>
      <w:bookmarkStart w:id="1" w:name="bookmark0"/>
    </w:p>
    <w:p w14:paraId="09160834" w14:textId="0340BB10"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Ирбек таблетки съдържа натрий. Това лекарство съдържа по-малко от 1 </w:t>
      </w:r>
      <w:proofErr w:type="spellStart"/>
      <w:r w:rsidRPr="00C546A8">
        <w:rPr>
          <w:rFonts w:eastAsia="Times New Roman" w:cs="Arial"/>
          <w:color w:val="000000"/>
          <w:lang w:val="en-US"/>
        </w:rPr>
        <w:t>mmol</w:t>
      </w:r>
      <w:proofErr w:type="spellEnd"/>
      <w:r w:rsidRPr="00C546A8">
        <w:rPr>
          <w:rFonts w:eastAsia="Times New Roman" w:cs="Arial"/>
          <w:color w:val="000000"/>
          <w:lang w:val="ru-RU"/>
        </w:rPr>
        <w:t xml:space="preserve"> </w:t>
      </w:r>
      <w:r w:rsidRPr="00C546A8">
        <w:rPr>
          <w:rFonts w:eastAsia="Times New Roman" w:cs="Arial"/>
          <w:color w:val="000000"/>
          <w:lang w:eastAsia="bg-BG"/>
        </w:rPr>
        <w:t xml:space="preserve">натрий (23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на таблетка, което означава по същество „без натрий“</w:t>
      </w:r>
      <w:bookmarkEnd w:id="1"/>
    </w:p>
    <w:p w14:paraId="387B971F" w14:textId="29B997AF" w:rsidR="00C546A8" w:rsidRDefault="00C546A8" w:rsidP="00C546A8"/>
    <w:p w14:paraId="345D69FE" w14:textId="77777777" w:rsidR="00C546A8" w:rsidRPr="00C546A8" w:rsidRDefault="00C546A8" w:rsidP="00C546A8"/>
    <w:p w14:paraId="0734264C" w14:textId="6AB66FE1"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3EF09AA" w14:textId="3452B36C" w:rsidR="00C546A8" w:rsidRDefault="00C546A8" w:rsidP="00C546A8"/>
    <w:p w14:paraId="26DCC73E"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Диуретици и други антихипертензивни средства:</w:t>
      </w:r>
      <w:r w:rsidRPr="00C546A8">
        <w:rPr>
          <w:rFonts w:eastAsia="Times New Roman" w:cs="Arial"/>
          <w:color w:val="000000"/>
          <w:szCs w:val="20"/>
          <w:lang w:eastAsia="bg-BG"/>
        </w:rPr>
        <w:t xml:space="preserve"> другите антихипертензивни средства може да повишат хипотензивните ефекти на ирбесартан; въпреки това, Ирбек е прилаган безопасно заедно с други антихипертензивни средства, като бета-блокери, дълго-действащи блокери на калциевите канали и тиазидни диуретици. Предшестващото лечение с висока доза диуретици, може да доведе до появата на хиповолемия и риск от хипотония, при започване на лечението с ирбесартан (вижте точка 4.4).</w:t>
      </w:r>
    </w:p>
    <w:p w14:paraId="469BD425" w14:textId="77777777" w:rsidR="00C546A8" w:rsidRPr="00C546A8" w:rsidRDefault="00C546A8" w:rsidP="00C546A8">
      <w:pPr>
        <w:spacing w:line="240" w:lineRule="auto"/>
        <w:rPr>
          <w:rFonts w:eastAsia="Times New Roman" w:cs="Arial"/>
          <w:color w:val="000000"/>
          <w:szCs w:val="20"/>
          <w:lang w:eastAsia="bg-BG"/>
        </w:rPr>
      </w:pPr>
    </w:p>
    <w:p w14:paraId="7ED450F0" w14:textId="585EC441"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Съдържащи алискирен продукти или АСЕ-инхибитори:</w:t>
      </w:r>
    </w:p>
    <w:p w14:paraId="323208F7"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Данните от клинични проучвания показват, че двойното блокиране на системата ренин- ангиотензин-алдостерон </w:t>
      </w:r>
      <w:r w:rsidRPr="00C546A8">
        <w:rPr>
          <w:rFonts w:eastAsia="Times New Roman" w:cs="Arial"/>
          <w:color w:val="000000"/>
          <w:szCs w:val="20"/>
          <w:lang w:val="ru-RU"/>
        </w:rPr>
        <w:t>(</w:t>
      </w:r>
      <w:r w:rsidRPr="00C546A8">
        <w:rPr>
          <w:rFonts w:eastAsia="Times New Roman" w:cs="Arial"/>
          <w:color w:val="000000"/>
          <w:szCs w:val="20"/>
          <w:lang w:val="en-US"/>
        </w:rPr>
        <w:t>RAAS</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чрез комбинирана употреба на АСЕ-инхибитори, ангиотензин II рецепторни блокери или алискирен е свързано с по-висока честота на нежелани реакции като хипотония, хиперкалиемия и намалена бъбречна функция (включително остра бъбречна недостатъчност) в сравнение с употребата на едно средство действащо върху </w:t>
      </w:r>
      <w:r w:rsidRPr="00C546A8">
        <w:rPr>
          <w:rFonts w:eastAsia="Times New Roman" w:cs="Arial"/>
          <w:color w:val="000000"/>
          <w:szCs w:val="20"/>
          <w:lang w:val="en-US"/>
        </w:rPr>
        <w:t>RAAS</w:t>
      </w:r>
      <w:r w:rsidRPr="00C546A8">
        <w:rPr>
          <w:rFonts w:eastAsia="Times New Roman" w:cs="Arial"/>
          <w:color w:val="000000"/>
          <w:szCs w:val="20"/>
          <w:lang w:val="ru-RU"/>
        </w:rPr>
        <w:t xml:space="preserve"> </w:t>
      </w:r>
      <w:r w:rsidRPr="00C546A8">
        <w:rPr>
          <w:rFonts w:eastAsia="Times New Roman" w:cs="Arial"/>
          <w:color w:val="000000"/>
          <w:szCs w:val="20"/>
          <w:lang w:eastAsia="bg-BG"/>
        </w:rPr>
        <w:t>(вж. точки 4.3,4.4 и 5.1).</w:t>
      </w:r>
    </w:p>
    <w:p w14:paraId="52CFEA45" w14:textId="77777777" w:rsidR="00C546A8" w:rsidRPr="00C546A8" w:rsidRDefault="00C546A8" w:rsidP="00C546A8">
      <w:pPr>
        <w:spacing w:line="240" w:lineRule="auto"/>
        <w:rPr>
          <w:rFonts w:eastAsia="Times New Roman" w:cs="Arial"/>
          <w:color w:val="000000"/>
          <w:szCs w:val="20"/>
          <w:u w:val="single"/>
          <w:lang w:eastAsia="bg-BG"/>
        </w:rPr>
      </w:pPr>
    </w:p>
    <w:p w14:paraId="448EB649" w14:textId="632663CF"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Калиеви добавки и калий-съхраняваши диуретици</w:t>
      </w:r>
      <w:r w:rsidRPr="00C546A8">
        <w:rPr>
          <w:rFonts w:eastAsia="Times New Roman" w:cs="Arial"/>
          <w:color w:val="000000"/>
          <w:szCs w:val="20"/>
          <w:lang w:eastAsia="bg-BG"/>
        </w:rPr>
        <w:t>:</w:t>
      </w:r>
    </w:p>
    <w:p w14:paraId="31F3DE18"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Въз основа на опита с употребата на други лекарствени продукти, повлияващи ренин- ангиотензиновата система, едновременното приложение с калий-съхраняващи диуретици, калиеви добавки, заместители на солта, съдържащи калий или други лекарствени продукти, които може да повишат серумните нива на калия (напр. хепарин), може да доведе до повишаване на серумния калий, поради което не се препоръчва (вижте точка 4.4).</w:t>
      </w:r>
    </w:p>
    <w:p w14:paraId="7DC2AB33" w14:textId="77777777" w:rsidR="00C546A8" w:rsidRPr="00C546A8" w:rsidRDefault="00C546A8" w:rsidP="00C546A8">
      <w:pPr>
        <w:spacing w:line="240" w:lineRule="auto"/>
        <w:rPr>
          <w:rFonts w:eastAsia="Times New Roman" w:cs="Arial"/>
          <w:color w:val="000000"/>
          <w:szCs w:val="20"/>
          <w:u w:val="single"/>
          <w:lang w:eastAsia="bg-BG"/>
        </w:rPr>
      </w:pPr>
    </w:p>
    <w:p w14:paraId="739C14CF" w14:textId="0D5B2C64"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Литий</w:t>
      </w:r>
      <w:r w:rsidRPr="00C546A8">
        <w:rPr>
          <w:rFonts w:eastAsia="Times New Roman" w:cs="Arial"/>
          <w:color w:val="000000"/>
          <w:szCs w:val="20"/>
          <w:lang w:eastAsia="bg-BG"/>
        </w:rPr>
        <w:t>:</w:t>
      </w:r>
    </w:p>
    <w:p w14:paraId="45D73E16"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Докладвано е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Ето защо, тази комбинация не се препоръчва (вижте точка 4.4). Ако тази комбинация е доказано необходима, то се препоръчва внимателно проследяване на серумните нива на лития.</w:t>
      </w:r>
    </w:p>
    <w:p w14:paraId="0F0338A5" w14:textId="77777777" w:rsidR="00C546A8" w:rsidRPr="00C546A8" w:rsidRDefault="00C546A8" w:rsidP="00C546A8">
      <w:pPr>
        <w:spacing w:line="240" w:lineRule="auto"/>
        <w:rPr>
          <w:rFonts w:eastAsia="Times New Roman" w:cs="Arial"/>
          <w:color w:val="000000"/>
          <w:szCs w:val="20"/>
          <w:u w:val="single"/>
          <w:lang w:eastAsia="bg-BG"/>
        </w:rPr>
      </w:pPr>
    </w:p>
    <w:p w14:paraId="6D75B99E" w14:textId="302ED08B"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Нестероидни противовъзпалителни средства:</w:t>
      </w:r>
    </w:p>
    <w:p w14:paraId="2101B1F9" w14:textId="77777777"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При</w:t>
      </w:r>
      <w:r w:rsidRPr="00C546A8">
        <w:rPr>
          <w:rFonts w:eastAsia="Times New Roman" w:cs="Arial"/>
          <w:color w:val="000000"/>
          <w:szCs w:val="20"/>
          <w:lang w:eastAsia="bg-BG"/>
        </w:rPr>
        <w:t xml:space="preserve"> едновременната употреба на ангиотензин-</w:t>
      </w:r>
      <w:r w:rsidRPr="00C546A8">
        <w:rPr>
          <w:rFonts w:eastAsia="Times New Roman" w:cs="Arial"/>
          <w:color w:val="000000"/>
          <w:szCs w:val="20"/>
          <w:lang w:val="en-US"/>
        </w:rPr>
        <w:t>II</w:t>
      </w:r>
      <w:r w:rsidRPr="00C546A8">
        <w:rPr>
          <w:rFonts w:eastAsia="Times New Roman" w:cs="Arial"/>
          <w:color w:val="000000"/>
          <w:szCs w:val="20"/>
          <w:lang w:eastAsia="bg-BG"/>
        </w:rPr>
        <w:t xml:space="preserve"> антагонисти и нестероидни противовъзпалителни средства (като селективни СОХ-2 инхибитори, ацетилсалицилова киселина (&gt; 3 </w:t>
      </w:r>
      <w:r w:rsidRPr="00C546A8">
        <w:rPr>
          <w:rFonts w:eastAsia="Times New Roman" w:cs="Arial"/>
          <w:color w:val="000000"/>
          <w:szCs w:val="20"/>
          <w:lang w:val="en-US"/>
        </w:rPr>
        <w:t>g</w:t>
      </w:r>
      <w:r w:rsidRPr="00C546A8">
        <w:rPr>
          <w:rFonts w:eastAsia="Times New Roman" w:cs="Arial"/>
          <w:color w:val="000000"/>
          <w:szCs w:val="20"/>
          <w:lang w:eastAsia="bg-BG"/>
        </w:rPr>
        <w:t>/дневно) и неселективни НПВС), може да настъпи намаляване на антихипертензивния ефект.</w:t>
      </w:r>
    </w:p>
    <w:p w14:paraId="59156D1B"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Подобно на АСЕ инхибиторите, едновременното приложение на ангиотензин </w:t>
      </w:r>
      <w:r w:rsidRPr="00C546A8">
        <w:rPr>
          <w:rFonts w:eastAsia="Times New Roman" w:cs="Arial"/>
          <w:color w:val="000000"/>
          <w:szCs w:val="20"/>
          <w:lang w:val="en-US"/>
        </w:rPr>
        <w:t>II</w:t>
      </w:r>
      <w:r w:rsidRPr="00C546A8">
        <w:rPr>
          <w:rFonts w:eastAsia="Times New Roman" w:cs="Arial"/>
          <w:color w:val="000000"/>
          <w:szCs w:val="20"/>
          <w:lang w:eastAsia="bg-BG"/>
        </w:rPr>
        <w:t xml:space="preserve"> антагонисти и нестероидни противовъзпалителни средства може да доведе до повишаване на риска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с предшестващо увреждане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77523987" w14:textId="77777777" w:rsidR="00C546A8" w:rsidRPr="00C546A8" w:rsidRDefault="00C546A8" w:rsidP="00C546A8">
      <w:pPr>
        <w:spacing w:line="240" w:lineRule="auto"/>
        <w:rPr>
          <w:rFonts w:eastAsia="Times New Roman" w:cs="Arial"/>
          <w:color w:val="000000"/>
          <w:szCs w:val="20"/>
          <w:lang w:eastAsia="bg-BG"/>
        </w:rPr>
      </w:pPr>
    </w:p>
    <w:p w14:paraId="260781DF" w14:textId="052BAB2B"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lastRenderedPageBreak/>
        <w:t>Репаглинид:</w:t>
      </w:r>
    </w:p>
    <w:p w14:paraId="090E126B"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Ирбесартан има потенциал да инхибира ОАТР1В1. В клинично проучване се съобщава, че ирбесартан повишава С</w:t>
      </w:r>
      <w:r w:rsidRPr="00C546A8">
        <w:rPr>
          <w:rFonts w:eastAsia="Times New Roman" w:cs="Arial"/>
          <w:color w:val="000000"/>
          <w:szCs w:val="20"/>
          <w:vertAlign w:val="subscript"/>
          <w:lang w:val="en-US"/>
        </w:rPr>
        <w:t>max</w:t>
      </w:r>
      <w:r w:rsidRPr="00C546A8">
        <w:rPr>
          <w:rFonts w:eastAsia="Times New Roman" w:cs="Arial"/>
          <w:color w:val="000000"/>
          <w:szCs w:val="20"/>
          <w:lang w:eastAsia="bg-BG"/>
        </w:rPr>
        <w:t xml:space="preserve"> и </w:t>
      </w:r>
      <w:r w:rsidRPr="00C546A8">
        <w:rPr>
          <w:rFonts w:eastAsia="Times New Roman" w:cs="Arial"/>
          <w:color w:val="000000"/>
          <w:szCs w:val="20"/>
          <w:lang w:val="en-US"/>
        </w:rPr>
        <w:t>AUC</w:t>
      </w:r>
      <w:r w:rsidRPr="00C546A8">
        <w:rPr>
          <w:rFonts w:eastAsia="Times New Roman" w:cs="Arial"/>
          <w:color w:val="000000"/>
          <w:szCs w:val="20"/>
          <w:lang w:val="ru-RU"/>
        </w:rPr>
        <w:t xml:space="preserve"> </w:t>
      </w:r>
      <w:r w:rsidRPr="00C546A8">
        <w:rPr>
          <w:rFonts w:eastAsia="Times New Roman" w:cs="Arial"/>
          <w:color w:val="000000"/>
          <w:szCs w:val="20"/>
          <w:lang w:eastAsia="bg-BG"/>
        </w:rPr>
        <w:t>на репаглинид (субстрат на ОАТР1В1) съответно 1,8 пъти и 1,3 пъти, когато се прилага 1 час преди репаглинид. В друго проучване не е докладвано значимо фармакокинетично взаимодействие, когато двете лекарства са били прилагани едновременно. Поради това може да се наложи коригиране на дозата на антидиабетното лечение с репаглинид (вж. точка 4.4).</w:t>
      </w:r>
    </w:p>
    <w:p w14:paraId="509126FE" w14:textId="77777777" w:rsidR="00C546A8" w:rsidRPr="00C546A8" w:rsidRDefault="00C546A8" w:rsidP="00C546A8">
      <w:pPr>
        <w:spacing w:line="240" w:lineRule="auto"/>
        <w:rPr>
          <w:rFonts w:eastAsia="Times New Roman" w:cs="Arial"/>
          <w:color w:val="000000"/>
          <w:szCs w:val="20"/>
          <w:u w:val="single"/>
          <w:lang w:eastAsia="bg-BG"/>
        </w:rPr>
      </w:pPr>
    </w:p>
    <w:p w14:paraId="7BE55481" w14:textId="2875F6FE"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Допълнителна информация относно взаимодействията на ирбесартан</w:t>
      </w:r>
      <w:r w:rsidRPr="00C546A8">
        <w:rPr>
          <w:rFonts w:eastAsia="Times New Roman" w:cs="Arial"/>
          <w:color w:val="000000"/>
          <w:szCs w:val="20"/>
          <w:lang w:eastAsia="bg-BG"/>
        </w:rPr>
        <w:t>:</w:t>
      </w:r>
    </w:p>
    <w:p w14:paraId="27E7DD90"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При клинични проучвания, фармакокинетиката на ирбесартан не е повлияна от хидрохлоротиазид. Ирбесартан се метаболизира основно с помощта на </w:t>
      </w:r>
      <w:r w:rsidRPr="00C546A8">
        <w:rPr>
          <w:rFonts w:eastAsia="Times New Roman" w:cs="Arial"/>
          <w:color w:val="000000"/>
          <w:szCs w:val="20"/>
          <w:lang w:val="en-US"/>
        </w:rPr>
        <w:t>CYP</w:t>
      </w:r>
      <w:r w:rsidRPr="00C546A8">
        <w:rPr>
          <w:rFonts w:eastAsia="Times New Roman" w:cs="Arial"/>
          <w:color w:val="000000"/>
          <w:szCs w:val="20"/>
          <w:lang w:val="ru-RU"/>
        </w:rPr>
        <w:t>2</w:t>
      </w:r>
      <w:r w:rsidRPr="00C546A8">
        <w:rPr>
          <w:rFonts w:eastAsia="Times New Roman" w:cs="Arial"/>
          <w:color w:val="000000"/>
          <w:szCs w:val="20"/>
          <w:lang w:val="en-US"/>
        </w:rPr>
        <w:t>C</w:t>
      </w:r>
      <w:r w:rsidRPr="00C546A8">
        <w:rPr>
          <w:rFonts w:eastAsia="Times New Roman" w:cs="Arial"/>
          <w:color w:val="000000"/>
          <w:szCs w:val="20"/>
          <w:lang w:val="ru-RU"/>
        </w:rPr>
        <w:t xml:space="preserve">9 </w:t>
      </w:r>
      <w:r w:rsidRPr="00C546A8">
        <w:rPr>
          <w:rFonts w:eastAsia="Times New Roman" w:cs="Arial"/>
          <w:color w:val="000000"/>
          <w:szCs w:val="20"/>
          <w:lang w:eastAsia="bg-BG"/>
        </w:rPr>
        <w:t xml:space="preserve">и в по-малка степен чрез глюкурониране. Не са наблюдавани значими фармакокинетични и фармакодинамични взаимодействия при едновременното приложение на ирбесартан с варфарин, лекарственият продукт се метаболизира с помощта на </w:t>
      </w:r>
      <w:r w:rsidRPr="00C546A8">
        <w:rPr>
          <w:rFonts w:eastAsia="Times New Roman" w:cs="Arial"/>
          <w:color w:val="000000"/>
          <w:szCs w:val="20"/>
          <w:lang w:val="en-US"/>
        </w:rPr>
        <w:t>CYP</w:t>
      </w:r>
      <w:r w:rsidRPr="00C546A8">
        <w:rPr>
          <w:rFonts w:eastAsia="Times New Roman" w:cs="Arial"/>
          <w:color w:val="000000"/>
          <w:szCs w:val="20"/>
          <w:lang w:val="ru-RU"/>
        </w:rPr>
        <w:t>2</w:t>
      </w:r>
      <w:r w:rsidRPr="00C546A8">
        <w:rPr>
          <w:rFonts w:eastAsia="Times New Roman" w:cs="Arial"/>
          <w:color w:val="000000"/>
          <w:szCs w:val="20"/>
          <w:lang w:val="en-US"/>
        </w:rPr>
        <w:t>C</w:t>
      </w:r>
      <w:r w:rsidRPr="00C546A8">
        <w:rPr>
          <w:rFonts w:eastAsia="Times New Roman" w:cs="Arial"/>
          <w:color w:val="000000"/>
          <w:szCs w:val="20"/>
          <w:lang w:val="ru-RU"/>
        </w:rPr>
        <w:t xml:space="preserve">9. </w:t>
      </w:r>
      <w:r w:rsidRPr="00C546A8">
        <w:rPr>
          <w:rFonts w:eastAsia="Times New Roman" w:cs="Arial"/>
          <w:color w:val="000000"/>
          <w:szCs w:val="20"/>
          <w:lang w:eastAsia="bg-BG"/>
        </w:rPr>
        <w:t xml:space="preserve">Ефектите на индукторите на </w:t>
      </w:r>
      <w:r w:rsidRPr="00C546A8">
        <w:rPr>
          <w:rFonts w:eastAsia="Times New Roman" w:cs="Arial"/>
          <w:color w:val="000000"/>
          <w:szCs w:val="20"/>
          <w:lang w:val="en-US"/>
        </w:rPr>
        <w:t>CYP</w:t>
      </w:r>
      <w:r w:rsidRPr="00C546A8">
        <w:rPr>
          <w:rFonts w:eastAsia="Times New Roman" w:cs="Arial"/>
          <w:color w:val="000000"/>
          <w:szCs w:val="20"/>
          <w:lang w:val="ru-RU"/>
        </w:rPr>
        <w:t>2</w:t>
      </w:r>
      <w:r w:rsidRPr="00C546A8">
        <w:rPr>
          <w:rFonts w:eastAsia="Times New Roman" w:cs="Arial"/>
          <w:color w:val="000000"/>
          <w:szCs w:val="20"/>
          <w:lang w:val="en-US"/>
        </w:rPr>
        <w:t>C</w:t>
      </w:r>
      <w:r w:rsidRPr="00C546A8">
        <w:rPr>
          <w:rFonts w:eastAsia="Times New Roman" w:cs="Arial"/>
          <w:color w:val="000000"/>
          <w:szCs w:val="20"/>
          <w:lang w:val="ru-RU"/>
        </w:rPr>
        <w:t xml:space="preserve">9 </w:t>
      </w:r>
      <w:r w:rsidRPr="00C546A8">
        <w:rPr>
          <w:rFonts w:eastAsia="Times New Roman" w:cs="Arial"/>
          <w:color w:val="000000"/>
          <w:szCs w:val="20"/>
          <w:lang w:eastAsia="bg-BG"/>
        </w:rPr>
        <w:t>като, рифампицин върху фармакокинетиката на ирбесартан, не са проучени. Фармакокинетиката на дигоксин не се променя при едновременно приложение с ирбесартан.</w:t>
      </w:r>
    </w:p>
    <w:p w14:paraId="63BA0907" w14:textId="77777777" w:rsidR="00C546A8" w:rsidRPr="00C546A8" w:rsidRDefault="00C546A8" w:rsidP="00C546A8"/>
    <w:p w14:paraId="5D9F40EA" w14:textId="733DE918" w:rsidR="007122AD" w:rsidRDefault="002C50EE" w:rsidP="00936AD0">
      <w:pPr>
        <w:pStyle w:val="Heading2"/>
      </w:pPr>
      <w:r>
        <w:t>4.6. Фертилитет, бременност и кърмене</w:t>
      </w:r>
    </w:p>
    <w:p w14:paraId="29242F03" w14:textId="6C2C5224" w:rsidR="00C546A8" w:rsidRDefault="00C546A8" w:rsidP="00C546A8"/>
    <w:p w14:paraId="7B5816ED" w14:textId="5B209CDD" w:rsidR="00C546A8" w:rsidRPr="00C546A8" w:rsidRDefault="00C546A8" w:rsidP="00C546A8">
      <w:pPr>
        <w:pStyle w:val="Heading3"/>
        <w:rPr>
          <w:i/>
        </w:rPr>
      </w:pPr>
      <w:r w:rsidRPr="00C546A8">
        <w:rPr>
          <w:i/>
        </w:rPr>
        <w:t>Бременност:</w:t>
      </w:r>
    </w:p>
    <w:tbl>
      <w:tblPr>
        <w:tblStyle w:val="TableGrid"/>
        <w:tblW w:w="0" w:type="auto"/>
        <w:tblLook w:val="04A0" w:firstRow="1" w:lastRow="0" w:firstColumn="1" w:lastColumn="0" w:noHBand="0" w:noVBand="1"/>
      </w:tblPr>
      <w:tblGrid>
        <w:gridCol w:w="9350"/>
      </w:tblGrid>
      <w:tr w:rsidR="00C546A8" w:rsidRPr="00C546A8" w14:paraId="459E6CA8" w14:textId="77777777" w:rsidTr="00C546A8">
        <w:tc>
          <w:tcPr>
            <w:tcW w:w="9576" w:type="dxa"/>
          </w:tcPr>
          <w:p w14:paraId="481AC257" w14:textId="4F285884"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Употребата на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по време на първия триместьр на бременността не се препоръчва (вижте точка 4.4). Употребата на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е противопоказана по време на втория и третия триместьр на бременността (вижте точки 4.3 и 4.4).</w:t>
            </w:r>
          </w:p>
        </w:tc>
      </w:tr>
    </w:tbl>
    <w:p w14:paraId="0D2EBCDB" w14:textId="59D89D03" w:rsidR="00C546A8" w:rsidRPr="00C546A8" w:rsidRDefault="00C546A8" w:rsidP="00C546A8">
      <w:pPr>
        <w:rPr>
          <w:rFonts w:cs="Arial"/>
          <w:sz w:val="24"/>
        </w:rPr>
      </w:pPr>
    </w:p>
    <w:p w14:paraId="60319785"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Епидемиологичните данни относно риска от тератогенност след експозиция на АСЕ инхибитори по време на първия триместър на бременността не са убедителни. Все пак леко увеличение на риска не може да бъде изключено. Докато няма контролирани епидемиологични данни относно риска при употреба на ангиотензин II рецепторни антагонисти </w:t>
      </w:r>
      <w:r w:rsidRPr="00C546A8">
        <w:rPr>
          <w:rFonts w:eastAsia="Times New Roman" w:cs="Arial"/>
          <w:color w:val="000000"/>
          <w:szCs w:val="20"/>
          <w:lang w:val="ru-RU"/>
        </w:rPr>
        <w:t>(</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подобни рискове могат да съществуват и при този клас лекарства.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Когато се установи бременност, лечението с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трябва незабавно да се прекрати и ако е подходящо, да се започне алтернативно лечение.</w:t>
      </w:r>
    </w:p>
    <w:p w14:paraId="544D5585" w14:textId="77777777" w:rsidR="00C546A8" w:rsidRPr="00C546A8" w:rsidRDefault="00C546A8" w:rsidP="00C546A8">
      <w:pPr>
        <w:spacing w:line="240" w:lineRule="auto"/>
        <w:rPr>
          <w:rFonts w:eastAsia="Times New Roman" w:cs="Arial"/>
          <w:color w:val="000000"/>
          <w:szCs w:val="20"/>
          <w:lang w:eastAsia="bg-BG"/>
        </w:rPr>
      </w:pPr>
    </w:p>
    <w:p w14:paraId="698EA6E6" w14:textId="11DFDDD1"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Известно е, че експозицията на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по време на втория и третия триместьр предизвиква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(Вижте точка 5.3).</w:t>
      </w:r>
    </w:p>
    <w:p w14:paraId="660C6CDB" w14:textId="35D6AACE" w:rsidR="00C546A8" w:rsidRPr="00C546A8" w:rsidRDefault="00C546A8" w:rsidP="00C546A8">
      <w:pPr>
        <w:rPr>
          <w:rFonts w:eastAsia="Times New Roman" w:cs="Arial"/>
          <w:color w:val="000000"/>
          <w:szCs w:val="20"/>
          <w:lang w:eastAsia="bg-BG"/>
        </w:rPr>
      </w:pPr>
      <w:r w:rsidRPr="00C546A8">
        <w:rPr>
          <w:rFonts w:eastAsia="Times New Roman" w:cs="Arial"/>
          <w:color w:val="000000"/>
          <w:szCs w:val="20"/>
          <w:lang w:eastAsia="bg-BG"/>
        </w:rPr>
        <w:t xml:space="preserve">Препоръчва се ехографско изследване на бъбречната функция и черепа в случай, че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са прилагани през втория триместьр на бременността и след това.</w:t>
      </w:r>
    </w:p>
    <w:p w14:paraId="0763725D" w14:textId="0D26FEE1" w:rsidR="00C546A8" w:rsidRPr="00C546A8" w:rsidRDefault="00C546A8" w:rsidP="00C546A8">
      <w:pPr>
        <w:rPr>
          <w:rFonts w:eastAsia="Times New Roman" w:cs="Arial"/>
          <w:color w:val="000000"/>
          <w:szCs w:val="20"/>
          <w:lang w:eastAsia="bg-BG"/>
        </w:rPr>
      </w:pPr>
    </w:p>
    <w:p w14:paraId="2E3547A8"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Новородените, чиито майки са приемали </w:t>
      </w:r>
      <w:r w:rsidRPr="00C546A8">
        <w:rPr>
          <w:rFonts w:eastAsia="Times New Roman" w:cs="Arial"/>
          <w:color w:val="000000"/>
          <w:szCs w:val="20"/>
          <w:lang w:val="en-US"/>
        </w:rPr>
        <w:t>AIIRAs</w:t>
      </w:r>
      <w:r w:rsidRPr="00C546A8">
        <w:rPr>
          <w:rFonts w:eastAsia="Times New Roman" w:cs="Arial"/>
          <w:color w:val="000000"/>
          <w:szCs w:val="20"/>
          <w:lang w:val="ru-RU"/>
        </w:rPr>
        <w:t xml:space="preserve">, </w:t>
      </w:r>
      <w:r w:rsidRPr="00C546A8">
        <w:rPr>
          <w:rFonts w:eastAsia="Times New Roman" w:cs="Arial"/>
          <w:color w:val="000000"/>
          <w:szCs w:val="20"/>
          <w:lang w:eastAsia="bg-BG"/>
        </w:rPr>
        <w:t>трябва да се наблюдават внимателно за наличие на хипотония (вижте точки 43 и 4.4).</w:t>
      </w:r>
    </w:p>
    <w:p w14:paraId="66CDBA9E" w14:textId="77777777" w:rsidR="00C546A8" w:rsidRPr="00C546A8" w:rsidRDefault="00C546A8" w:rsidP="00C546A8">
      <w:pPr>
        <w:spacing w:line="240" w:lineRule="auto"/>
        <w:rPr>
          <w:rFonts w:eastAsia="Times New Roman" w:cs="Arial"/>
          <w:i/>
          <w:iCs/>
          <w:color w:val="000000"/>
          <w:szCs w:val="20"/>
          <w:lang w:eastAsia="bg-BG"/>
        </w:rPr>
      </w:pPr>
    </w:p>
    <w:p w14:paraId="4D0AC548" w14:textId="73A39D12" w:rsidR="00C546A8" w:rsidRPr="00C546A8" w:rsidRDefault="00C546A8" w:rsidP="00C546A8">
      <w:pPr>
        <w:pStyle w:val="Heading3"/>
        <w:rPr>
          <w:rFonts w:eastAsia="Times New Roman"/>
          <w:i/>
          <w:sz w:val="28"/>
        </w:rPr>
      </w:pPr>
      <w:r w:rsidRPr="00C546A8">
        <w:rPr>
          <w:rFonts w:eastAsia="Times New Roman"/>
          <w:i/>
          <w:lang w:eastAsia="bg-BG"/>
        </w:rPr>
        <w:t>Кърмене</w:t>
      </w:r>
    </w:p>
    <w:p w14:paraId="313F3F69"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Тъй като не е налична информация относно употребата на Ирбек по време на кърмене, Ирбек не се препоръчва, а се предпочитат алтернативни терапии с по-добре установен </w:t>
      </w:r>
      <w:r w:rsidRPr="00C546A8">
        <w:rPr>
          <w:rFonts w:eastAsia="Times New Roman" w:cs="Arial"/>
          <w:color w:val="000000"/>
          <w:szCs w:val="20"/>
          <w:lang w:eastAsia="bg-BG"/>
        </w:rPr>
        <w:lastRenderedPageBreak/>
        <w:t>профил на безопасност по време на кърмене, особено при кърмене на новородено или преждевременно родено дете.</w:t>
      </w:r>
    </w:p>
    <w:p w14:paraId="439A06B2" w14:textId="77777777" w:rsidR="00C546A8" w:rsidRPr="00C546A8" w:rsidRDefault="00C546A8" w:rsidP="00C546A8">
      <w:pPr>
        <w:spacing w:line="240" w:lineRule="auto"/>
        <w:rPr>
          <w:rFonts w:eastAsia="Times New Roman" w:cs="Arial"/>
          <w:color w:val="000000"/>
          <w:szCs w:val="20"/>
          <w:lang w:eastAsia="bg-BG"/>
        </w:rPr>
      </w:pPr>
    </w:p>
    <w:p w14:paraId="62707A55" w14:textId="7D7D1BA2"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Не е известно дали ирбесартан или неговите метаболити се екскретират в кърмата.</w:t>
      </w:r>
    </w:p>
    <w:p w14:paraId="1011EAE5"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Наличните фармакодинамични/токсикологични данни при плъхове, показват екскреция на ирбесартан или неговите метаболити в млякото (за подробности вижте точка 53).</w:t>
      </w:r>
    </w:p>
    <w:p w14:paraId="182D2806" w14:textId="77777777" w:rsidR="00C546A8" w:rsidRPr="00C546A8" w:rsidRDefault="00C546A8" w:rsidP="00C546A8">
      <w:pPr>
        <w:spacing w:line="240" w:lineRule="auto"/>
        <w:rPr>
          <w:rFonts w:eastAsia="Times New Roman" w:cs="Arial"/>
          <w:i/>
          <w:iCs/>
          <w:color w:val="000000"/>
          <w:szCs w:val="20"/>
          <w:lang w:eastAsia="bg-BG"/>
        </w:rPr>
      </w:pPr>
    </w:p>
    <w:p w14:paraId="1A6D08C5" w14:textId="06FFA36C" w:rsidR="00C546A8" w:rsidRPr="00C546A8" w:rsidRDefault="00C546A8" w:rsidP="00C546A8">
      <w:pPr>
        <w:pStyle w:val="Heading3"/>
        <w:rPr>
          <w:rFonts w:eastAsia="Times New Roman"/>
          <w:i/>
          <w:sz w:val="28"/>
        </w:rPr>
      </w:pPr>
      <w:r w:rsidRPr="00C546A8">
        <w:rPr>
          <w:rFonts w:eastAsia="Times New Roman"/>
          <w:i/>
          <w:lang w:eastAsia="bg-BG"/>
        </w:rPr>
        <w:t>Фертилитет:</w:t>
      </w:r>
    </w:p>
    <w:p w14:paraId="2C0CADD8" w14:textId="17653417" w:rsidR="00C546A8" w:rsidRPr="00C546A8" w:rsidRDefault="00C546A8" w:rsidP="00C546A8">
      <w:pPr>
        <w:rPr>
          <w:rFonts w:eastAsia="Times New Roman" w:cs="Arial"/>
          <w:color w:val="000000"/>
          <w:szCs w:val="20"/>
          <w:lang w:eastAsia="bg-BG"/>
        </w:rPr>
      </w:pPr>
      <w:r w:rsidRPr="00C546A8">
        <w:rPr>
          <w:rFonts w:eastAsia="Times New Roman" w:cs="Arial"/>
          <w:color w:val="000000"/>
          <w:szCs w:val="20"/>
          <w:lang w:eastAsia="bg-BG"/>
        </w:rPr>
        <w:t>Ирбесартан няма ефект върху фертилитета на третирани плъхове и тяхното потомство, до дозови нива, причиняващи първите симптоми на токсичност при родителите (вижте точка 5.3).</w:t>
      </w:r>
    </w:p>
    <w:p w14:paraId="208C1BE4" w14:textId="77777777" w:rsidR="00C546A8" w:rsidRPr="00C546A8" w:rsidRDefault="00C546A8" w:rsidP="00C546A8"/>
    <w:p w14:paraId="5DD7A76D" w14:textId="11FE55A1" w:rsidR="007122AD" w:rsidRDefault="002C50EE" w:rsidP="00936AD0">
      <w:pPr>
        <w:pStyle w:val="Heading2"/>
      </w:pPr>
      <w:r>
        <w:t>4.7. Ефекти върху способността за шофиране и работа с машини</w:t>
      </w:r>
    </w:p>
    <w:p w14:paraId="6527C885" w14:textId="424477A6" w:rsidR="00C546A8" w:rsidRDefault="00C546A8" w:rsidP="00C546A8"/>
    <w:p w14:paraId="57AEF345" w14:textId="583D2F31" w:rsidR="00C546A8" w:rsidRDefault="00C546A8" w:rsidP="00C546A8">
      <w:r>
        <w:t>Въз основа на фармакодинамичните свойства, не се очаква ирбесартан да повлияе способността за шофиране и работа с машини. В случай на шофиране или работа с машини, трябва да се има предвид възможността за поява на замаяност или отпадналост по време на лечението.</w:t>
      </w:r>
    </w:p>
    <w:p w14:paraId="3E48502E" w14:textId="77777777" w:rsidR="00C546A8" w:rsidRPr="00C546A8" w:rsidRDefault="00C546A8" w:rsidP="00C546A8"/>
    <w:p w14:paraId="44CE30A3" w14:textId="7738C555" w:rsidR="007122AD" w:rsidRDefault="002C50EE" w:rsidP="00936AD0">
      <w:pPr>
        <w:pStyle w:val="Heading2"/>
      </w:pPr>
      <w:r>
        <w:t>4.8. Нежелани лекарствени реакции</w:t>
      </w:r>
    </w:p>
    <w:p w14:paraId="57F738CD" w14:textId="424AF21B" w:rsidR="00C546A8" w:rsidRDefault="00C546A8" w:rsidP="00C546A8"/>
    <w:p w14:paraId="1FFEAEC6" w14:textId="77777777" w:rsidR="00C546A8" w:rsidRPr="00C546A8" w:rsidRDefault="00C546A8" w:rsidP="00C546A8">
      <w:pPr>
        <w:spacing w:line="240" w:lineRule="auto"/>
        <w:rPr>
          <w:rFonts w:eastAsia="Times New Roman" w:cs="Arial"/>
        </w:rPr>
      </w:pPr>
      <w:r w:rsidRPr="00C546A8">
        <w:rPr>
          <w:rFonts w:eastAsia="Times New Roman" w:cs="Arial"/>
          <w:i/>
          <w:iCs/>
          <w:color w:val="000000"/>
          <w:lang w:eastAsia="bg-BG"/>
        </w:rPr>
        <w:t>Хипертония:</w:t>
      </w:r>
    </w:p>
    <w:p w14:paraId="08839915"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В плацебо-контролирани изпитвания при пациенти с хипертония, общата честота на нежеланите събития не е била различна при групата на ирбесартан (56/2%) и плацебо групата (56,5%). Преустановяване поради появата на клинични или лабораторни нежелани събития е наблюдавано по-рядко при пациенти, лекувани с ирбесартан (3,3%) отколкото при пациенти на плацебо (4,5%). Честотата на нежеланите събития не е била свързана с дозата (в препоръчителния дозов диапазон), пола, възрастта, расата или продължителността на лечението.</w:t>
      </w:r>
    </w:p>
    <w:p w14:paraId="0597D652" w14:textId="77777777" w:rsidR="00C546A8" w:rsidRPr="00C546A8" w:rsidRDefault="00C546A8" w:rsidP="00C546A8">
      <w:pPr>
        <w:spacing w:line="240" w:lineRule="auto"/>
        <w:rPr>
          <w:rFonts w:eastAsia="Times New Roman" w:cs="Arial"/>
          <w:color w:val="000000"/>
          <w:lang w:eastAsia="bg-BG"/>
        </w:rPr>
      </w:pPr>
    </w:p>
    <w:p w14:paraId="3B94791F" w14:textId="7BB90F96" w:rsidR="00C546A8" w:rsidRPr="00C546A8" w:rsidRDefault="00C546A8" w:rsidP="00C546A8">
      <w:pPr>
        <w:spacing w:line="240" w:lineRule="auto"/>
        <w:rPr>
          <w:rFonts w:eastAsia="Times New Roman" w:cs="Arial"/>
        </w:rPr>
      </w:pPr>
      <w:r w:rsidRPr="00C546A8">
        <w:rPr>
          <w:rFonts w:eastAsia="Times New Roman" w:cs="Arial"/>
          <w:color w:val="000000"/>
          <w:lang w:eastAsia="bg-BG"/>
        </w:rPr>
        <w:t>При пациенти с диабет и хипертония с микроалбуминурия и нормална бъбречна функция, са докладвани случаи на световъртеж в изправено положение и ортостатична хипотония при 0,5% от пациентите (т.е нечесто), но по-често в сравнение с плацебо групата.</w:t>
      </w:r>
    </w:p>
    <w:p w14:paraId="509A699D" w14:textId="77777777" w:rsidR="00C546A8" w:rsidRPr="00C546A8" w:rsidRDefault="00C546A8" w:rsidP="00C546A8">
      <w:pPr>
        <w:spacing w:line="240" w:lineRule="auto"/>
        <w:rPr>
          <w:rFonts w:eastAsia="Times New Roman" w:cs="Arial"/>
          <w:color w:val="000000"/>
          <w:lang w:eastAsia="bg-BG"/>
        </w:rPr>
      </w:pPr>
    </w:p>
    <w:p w14:paraId="49F76078" w14:textId="2D05BFC3" w:rsidR="00C546A8" w:rsidRPr="00C546A8" w:rsidRDefault="00C546A8" w:rsidP="00C546A8">
      <w:pPr>
        <w:spacing w:line="240" w:lineRule="auto"/>
        <w:rPr>
          <w:rFonts w:eastAsia="Times New Roman" w:cs="Arial"/>
        </w:rPr>
      </w:pPr>
      <w:r w:rsidRPr="00C546A8">
        <w:rPr>
          <w:rFonts w:eastAsia="Times New Roman" w:cs="Arial"/>
          <w:color w:val="000000"/>
          <w:lang w:eastAsia="bg-BG"/>
        </w:rPr>
        <w:t>Следващата таблица представя нежеланите лекарствени реакции, докладвани при плацебо- контролирани изпитвания, при които 1 965 пациенти с хипертония са получавали ирбесартан. Термините, отбелязани със звезда (*) отговарят на нежелани реакции, докладвани допълнително при &gt; 2% от пациентите с диабет и хипертония с хронична бъбречна недостатъчност и изявена протеинурия, по-често от плацебо групата.</w:t>
      </w:r>
    </w:p>
    <w:p w14:paraId="0085D019" w14:textId="77777777" w:rsidR="00C546A8" w:rsidRPr="00C546A8" w:rsidRDefault="00C546A8" w:rsidP="00C546A8">
      <w:pPr>
        <w:spacing w:line="240" w:lineRule="auto"/>
        <w:rPr>
          <w:rFonts w:eastAsia="Times New Roman" w:cs="Arial"/>
          <w:color w:val="000000"/>
          <w:lang w:eastAsia="bg-BG"/>
        </w:rPr>
      </w:pPr>
    </w:p>
    <w:p w14:paraId="323CBD00" w14:textId="4ED29AB4"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Честотата на представените по-долу нежеланите реакции е определена както следва: много чести (≥ 1/10); чести (≥1/100 до &lt; 1/10); нечести (≥1/1 000 до &lt; 1/100); редки (≥1/10 000 до &lt; 1/1 000);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455FF158" w14:textId="77777777" w:rsidR="00C546A8" w:rsidRPr="00C546A8" w:rsidRDefault="00C546A8" w:rsidP="00C546A8">
      <w:pPr>
        <w:spacing w:line="240" w:lineRule="auto"/>
        <w:rPr>
          <w:rFonts w:eastAsia="Times New Roman" w:cs="Arial"/>
          <w:color w:val="000000"/>
          <w:lang w:eastAsia="bg-BG"/>
        </w:rPr>
      </w:pPr>
    </w:p>
    <w:p w14:paraId="5F2B87EF" w14:textId="288D075B" w:rsidR="00C546A8" w:rsidRPr="00C546A8" w:rsidRDefault="00C546A8" w:rsidP="00C546A8">
      <w:pPr>
        <w:spacing w:line="240" w:lineRule="auto"/>
        <w:rPr>
          <w:rFonts w:eastAsia="Times New Roman" w:cs="Arial"/>
        </w:rPr>
      </w:pPr>
      <w:r w:rsidRPr="00C546A8">
        <w:rPr>
          <w:rFonts w:eastAsia="Times New Roman" w:cs="Arial"/>
          <w:color w:val="000000"/>
          <w:lang w:eastAsia="bg-BG"/>
        </w:rPr>
        <w:t>Изброени са и нежеланите реакции, съобщени допълнително от постмаркетинговия опит. Тези нежелани реакции са получени от спонтанни съобщения.</w:t>
      </w:r>
    </w:p>
    <w:p w14:paraId="6F98498E" w14:textId="77777777" w:rsidR="00C546A8" w:rsidRPr="00C546A8" w:rsidRDefault="00C546A8" w:rsidP="00C546A8">
      <w:pPr>
        <w:spacing w:line="240" w:lineRule="auto"/>
        <w:rPr>
          <w:rFonts w:eastAsia="Times New Roman" w:cs="Arial"/>
          <w:color w:val="000000"/>
          <w:lang w:eastAsia="bg-BG"/>
        </w:rPr>
      </w:pPr>
    </w:p>
    <w:p w14:paraId="240ABAFC" w14:textId="0CBAA6A9"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кръвта и лимфната система</w:t>
      </w:r>
    </w:p>
    <w:p w14:paraId="4AB4233F" w14:textId="404AB436" w:rsidR="00C546A8" w:rsidRPr="00C546A8" w:rsidRDefault="00C546A8" w:rsidP="00C546A8">
      <w:pPr>
        <w:spacing w:line="240" w:lineRule="auto"/>
        <w:rPr>
          <w:rFonts w:eastAsia="Times New Roman" w:cs="Arial"/>
          <w:color w:val="000000"/>
          <w:lang w:eastAsia="bg-BG"/>
        </w:rPr>
      </w:pPr>
      <w:r w:rsidRPr="00C546A8">
        <w:rPr>
          <w:rFonts w:eastAsia="Times New Roman" w:cs="Arial"/>
          <w:color w:val="000000"/>
          <w:lang w:eastAsia="bg-BG"/>
        </w:rPr>
        <w:t>С неизвестна честота: анемия, тромбоцитопения.</w:t>
      </w:r>
    </w:p>
    <w:p w14:paraId="0CF05D8D" w14:textId="7C41AD35" w:rsidR="00C546A8" w:rsidRPr="00C546A8" w:rsidRDefault="00C546A8" w:rsidP="00C546A8">
      <w:pPr>
        <w:spacing w:line="240" w:lineRule="auto"/>
        <w:rPr>
          <w:rFonts w:eastAsia="Times New Roman" w:cs="Arial"/>
          <w:color w:val="000000"/>
          <w:lang w:eastAsia="bg-BG"/>
        </w:rPr>
      </w:pPr>
    </w:p>
    <w:p w14:paraId="054698D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имунната система:</w:t>
      </w:r>
    </w:p>
    <w:p w14:paraId="00613012"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реакции на свръхчувствителност, като ангиоедем, обрив, уртикария, анафилактична реакция, анафилактичен шок.</w:t>
      </w:r>
    </w:p>
    <w:p w14:paraId="08267356" w14:textId="77777777" w:rsidR="00C546A8" w:rsidRPr="00C546A8" w:rsidRDefault="00C546A8" w:rsidP="00C546A8">
      <w:pPr>
        <w:spacing w:line="240" w:lineRule="auto"/>
        <w:rPr>
          <w:rFonts w:eastAsia="Times New Roman" w:cs="Arial"/>
          <w:color w:val="000000"/>
          <w:lang w:eastAsia="bg-BG"/>
        </w:rPr>
      </w:pPr>
    </w:p>
    <w:p w14:paraId="2B7DC11D" w14:textId="4A2BAA06"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метаболизма и храненето:</w:t>
      </w:r>
    </w:p>
    <w:p w14:paraId="12662D36"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хиперкалиемия, хипогликемия</w:t>
      </w:r>
    </w:p>
    <w:p w14:paraId="56E0413B" w14:textId="77777777" w:rsidR="00C546A8" w:rsidRPr="00C546A8" w:rsidRDefault="00C546A8" w:rsidP="00C546A8">
      <w:pPr>
        <w:spacing w:line="240" w:lineRule="auto"/>
        <w:rPr>
          <w:rFonts w:eastAsia="Times New Roman" w:cs="Arial"/>
          <w:color w:val="000000"/>
          <w:lang w:eastAsia="bg-BG"/>
        </w:rPr>
      </w:pPr>
    </w:p>
    <w:p w14:paraId="74E130E7" w14:textId="462364D6"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нервната система:</w:t>
      </w:r>
    </w:p>
    <w:p w14:paraId="7E1E0846"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Чести: замаяност, замайване при изправяне*</w:t>
      </w:r>
    </w:p>
    <w:p w14:paraId="61305718"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световъртеж, главоболие</w:t>
      </w:r>
    </w:p>
    <w:p w14:paraId="6E0F9374" w14:textId="77777777" w:rsidR="00C546A8" w:rsidRPr="00C546A8" w:rsidRDefault="00C546A8" w:rsidP="00C546A8">
      <w:pPr>
        <w:spacing w:line="240" w:lineRule="auto"/>
        <w:rPr>
          <w:rFonts w:eastAsia="Times New Roman" w:cs="Arial"/>
          <w:color w:val="000000"/>
          <w:lang w:eastAsia="bg-BG"/>
        </w:rPr>
      </w:pPr>
    </w:p>
    <w:p w14:paraId="168A22B1" w14:textId="743345F4"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ухото и лабиринта:</w:t>
      </w:r>
    </w:p>
    <w:p w14:paraId="4C619427"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тинитус</w:t>
      </w:r>
    </w:p>
    <w:p w14:paraId="40A43A99" w14:textId="77777777" w:rsidR="00C546A8" w:rsidRDefault="00C546A8" w:rsidP="00C546A8">
      <w:pPr>
        <w:spacing w:line="240" w:lineRule="auto"/>
        <w:rPr>
          <w:rFonts w:eastAsia="Times New Roman" w:cs="Arial"/>
          <w:color w:val="000000"/>
          <w:lang w:eastAsia="bg-BG"/>
        </w:rPr>
      </w:pPr>
    </w:p>
    <w:p w14:paraId="567D6A51" w14:textId="1FF622DD" w:rsidR="00C546A8" w:rsidRPr="00C546A8" w:rsidRDefault="00C546A8" w:rsidP="00C546A8">
      <w:pPr>
        <w:spacing w:line="240" w:lineRule="auto"/>
        <w:rPr>
          <w:rFonts w:eastAsia="Times New Roman" w:cs="Arial"/>
        </w:rPr>
      </w:pPr>
      <w:r w:rsidRPr="00C546A8">
        <w:rPr>
          <w:rFonts w:eastAsia="Times New Roman" w:cs="Arial"/>
          <w:color w:val="000000"/>
          <w:lang w:eastAsia="bg-BG"/>
        </w:rPr>
        <w:t>Сърдечни нарушения:</w:t>
      </w:r>
    </w:p>
    <w:p w14:paraId="24649093" w14:textId="2D0147A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тахикардия</w:t>
      </w:r>
    </w:p>
    <w:p w14:paraId="0AFCC656" w14:textId="77777777" w:rsidR="00C546A8" w:rsidRDefault="00C546A8" w:rsidP="00C546A8">
      <w:pPr>
        <w:spacing w:line="240" w:lineRule="auto"/>
        <w:rPr>
          <w:rFonts w:eastAsia="Times New Roman" w:cs="Arial"/>
          <w:color w:val="000000"/>
          <w:lang w:eastAsia="bg-BG"/>
        </w:rPr>
      </w:pPr>
    </w:p>
    <w:p w14:paraId="410B2780" w14:textId="7768CFE7" w:rsidR="00C546A8" w:rsidRPr="00C546A8" w:rsidRDefault="00C546A8" w:rsidP="00C546A8">
      <w:pPr>
        <w:spacing w:line="240" w:lineRule="auto"/>
        <w:rPr>
          <w:rFonts w:eastAsia="Times New Roman" w:cs="Arial"/>
        </w:rPr>
      </w:pPr>
      <w:r w:rsidRPr="00C546A8">
        <w:rPr>
          <w:rFonts w:eastAsia="Times New Roman" w:cs="Arial"/>
          <w:color w:val="000000"/>
          <w:lang w:eastAsia="bg-BG"/>
        </w:rPr>
        <w:t>Съдови нарушения:</w:t>
      </w:r>
    </w:p>
    <w:p w14:paraId="63F73A0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Чести: оргостатична хипотония*</w:t>
      </w:r>
    </w:p>
    <w:p w14:paraId="1E7936C5"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зачервяване</w:t>
      </w:r>
    </w:p>
    <w:p w14:paraId="52BA6382" w14:textId="77777777" w:rsidR="00C546A8" w:rsidRPr="00C546A8" w:rsidRDefault="00C546A8" w:rsidP="00C546A8">
      <w:pPr>
        <w:spacing w:line="240" w:lineRule="auto"/>
        <w:rPr>
          <w:rFonts w:eastAsia="Times New Roman" w:cs="Arial"/>
          <w:color w:val="000000"/>
          <w:lang w:eastAsia="bg-BG"/>
        </w:rPr>
      </w:pPr>
    </w:p>
    <w:p w14:paraId="2B36E774" w14:textId="25268B4A" w:rsidR="00C546A8" w:rsidRPr="00C546A8" w:rsidRDefault="00C546A8" w:rsidP="00C546A8">
      <w:pPr>
        <w:spacing w:line="240" w:lineRule="auto"/>
        <w:rPr>
          <w:rFonts w:eastAsia="Times New Roman" w:cs="Arial"/>
        </w:rPr>
      </w:pPr>
      <w:r w:rsidRPr="00C546A8">
        <w:rPr>
          <w:rFonts w:eastAsia="Times New Roman" w:cs="Arial"/>
          <w:color w:val="000000"/>
          <w:lang w:eastAsia="bg-BG"/>
        </w:rPr>
        <w:t>Респираторни, гръдни и медиастинални нарушения:</w:t>
      </w:r>
    </w:p>
    <w:p w14:paraId="745A1658"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кашлица</w:t>
      </w:r>
    </w:p>
    <w:p w14:paraId="2FE36DF3" w14:textId="77777777" w:rsidR="00C546A8" w:rsidRPr="00C546A8" w:rsidRDefault="00C546A8" w:rsidP="00C546A8">
      <w:pPr>
        <w:spacing w:line="240" w:lineRule="auto"/>
        <w:rPr>
          <w:rFonts w:eastAsia="Times New Roman" w:cs="Arial"/>
          <w:color w:val="000000"/>
          <w:lang w:eastAsia="bg-BG"/>
        </w:rPr>
      </w:pPr>
    </w:p>
    <w:p w14:paraId="3F181991" w14:textId="538852F5" w:rsidR="00C546A8" w:rsidRPr="00C546A8" w:rsidRDefault="00C546A8" w:rsidP="00C546A8">
      <w:pPr>
        <w:spacing w:line="240" w:lineRule="auto"/>
        <w:rPr>
          <w:rFonts w:eastAsia="Times New Roman" w:cs="Arial"/>
        </w:rPr>
      </w:pPr>
      <w:r w:rsidRPr="00C546A8">
        <w:rPr>
          <w:rFonts w:eastAsia="Times New Roman" w:cs="Arial"/>
          <w:color w:val="000000"/>
          <w:lang w:eastAsia="bg-BG"/>
        </w:rPr>
        <w:t>Стомашно-чревни нарушения:</w:t>
      </w:r>
    </w:p>
    <w:p w14:paraId="1A99A339"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Чести: гадене/повръщане</w:t>
      </w:r>
    </w:p>
    <w:p w14:paraId="1317897E"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диария, диспепсия/киселини</w:t>
      </w:r>
    </w:p>
    <w:p w14:paraId="09025AB4"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дисгеузия</w:t>
      </w:r>
    </w:p>
    <w:p w14:paraId="20B3D297" w14:textId="77777777" w:rsidR="00C546A8" w:rsidRPr="00C546A8" w:rsidRDefault="00C546A8" w:rsidP="00C546A8">
      <w:pPr>
        <w:spacing w:line="240" w:lineRule="auto"/>
        <w:rPr>
          <w:rFonts w:eastAsia="Times New Roman" w:cs="Arial"/>
          <w:color w:val="000000"/>
          <w:lang w:eastAsia="bg-BG"/>
        </w:rPr>
      </w:pPr>
    </w:p>
    <w:p w14:paraId="3A5E5A26" w14:textId="42FDE12A" w:rsidR="00C546A8" w:rsidRPr="00C546A8" w:rsidRDefault="00C546A8" w:rsidP="00C546A8">
      <w:pPr>
        <w:spacing w:line="240" w:lineRule="auto"/>
        <w:rPr>
          <w:rFonts w:eastAsia="Times New Roman" w:cs="Arial"/>
        </w:rPr>
      </w:pPr>
      <w:r w:rsidRPr="00C546A8">
        <w:rPr>
          <w:rFonts w:eastAsia="Times New Roman" w:cs="Arial"/>
          <w:color w:val="000000"/>
          <w:lang w:eastAsia="bg-BG"/>
        </w:rPr>
        <w:t>Хепатобилиарни нарушения:</w:t>
      </w:r>
    </w:p>
    <w:p w14:paraId="50B52478"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жълтеница</w:t>
      </w:r>
    </w:p>
    <w:p w14:paraId="5044E01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хепатит, нарушена чернодробна функция</w:t>
      </w:r>
    </w:p>
    <w:p w14:paraId="53B4E822" w14:textId="77777777" w:rsidR="00C546A8" w:rsidRPr="00C546A8" w:rsidRDefault="00C546A8" w:rsidP="00C546A8">
      <w:pPr>
        <w:spacing w:line="240" w:lineRule="auto"/>
        <w:rPr>
          <w:rFonts w:eastAsia="Times New Roman" w:cs="Arial"/>
          <w:color w:val="000000"/>
          <w:lang w:eastAsia="bg-BG"/>
        </w:rPr>
      </w:pPr>
    </w:p>
    <w:p w14:paraId="7D54C929" w14:textId="2DA2A58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кожата и подкожната тъкан:</w:t>
      </w:r>
    </w:p>
    <w:p w14:paraId="38B613B2"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левкоцитокластен васкулит</w:t>
      </w:r>
    </w:p>
    <w:p w14:paraId="7EB9CEB9" w14:textId="77777777" w:rsidR="00C546A8" w:rsidRPr="00C546A8" w:rsidRDefault="00C546A8" w:rsidP="00C546A8">
      <w:pPr>
        <w:spacing w:line="240" w:lineRule="auto"/>
        <w:rPr>
          <w:rFonts w:eastAsia="Times New Roman" w:cs="Arial"/>
          <w:color w:val="000000"/>
          <w:lang w:eastAsia="bg-BG"/>
        </w:rPr>
      </w:pPr>
    </w:p>
    <w:p w14:paraId="3C1E596C" w14:textId="5E3A541D"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мускулно-скелетната система и съединителната тъкан:</w:t>
      </w:r>
    </w:p>
    <w:p w14:paraId="7359623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Чести: мускулно-скелетна болка*</w:t>
      </w:r>
    </w:p>
    <w:p w14:paraId="4718E976"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артралгия, миалгия (в някои случаи съпроводена с повишени плазмени нива на креатинкиназата), мускулни крампи</w:t>
      </w:r>
    </w:p>
    <w:p w14:paraId="624E0CCA" w14:textId="77777777" w:rsidR="00C546A8" w:rsidRPr="00C546A8" w:rsidRDefault="00C546A8" w:rsidP="00C546A8">
      <w:pPr>
        <w:spacing w:line="240" w:lineRule="auto"/>
        <w:rPr>
          <w:rFonts w:eastAsia="Times New Roman" w:cs="Arial"/>
          <w:color w:val="000000"/>
          <w:lang w:eastAsia="bg-BG"/>
        </w:rPr>
      </w:pPr>
    </w:p>
    <w:p w14:paraId="21C130DB" w14:textId="393C8884"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бъбреците и пикочните пътища:</w:t>
      </w:r>
    </w:p>
    <w:p w14:paraId="0B7C04FF"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 неизвестна честота: нарушена бъбречна функция, включително случаи на бъбречна</w:t>
      </w:r>
    </w:p>
    <w:p w14:paraId="2FD87065"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недостатъчност при пациентите с риск (вижте точка 4.4)</w:t>
      </w:r>
    </w:p>
    <w:p w14:paraId="22CAA7E4" w14:textId="77777777" w:rsidR="00C546A8" w:rsidRPr="00C546A8" w:rsidRDefault="00C546A8" w:rsidP="00C546A8">
      <w:pPr>
        <w:spacing w:line="240" w:lineRule="auto"/>
        <w:rPr>
          <w:rFonts w:eastAsia="Times New Roman" w:cs="Arial"/>
          <w:color w:val="000000"/>
          <w:lang w:eastAsia="bg-BG"/>
        </w:rPr>
      </w:pPr>
    </w:p>
    <w:p w14:paraId="1D5CB0A7" w14:textId="674D7D3E" w:rsidR="00C546A8" w:rsidRPr="00C546A8" w:rsidRDefault="00C546A8" w:rsidP="00C546A8">
      <w:pPr>
        <w:spacing w:line="240" w:lineRule="auto"/>
        <w:rPr>
          <w:rFonts w:eastAsia="Times New Roman" w:cs="Arial"/>
        </w:rPr>
      </w:pPr>
      <w:r w:rsidRPr="00C546A8">
        <w:rPr>
          <w:rFonts w:eastAsia="Times New Roman" w:cs="Arial"/>
          <w:color w:val="000000"/>
          <w:lang w:eastAsia="bg-BG"/>
        </w:rPr>
        <w:t>Нарушения на репродуктивната система и гърдата:</w:t>
      </w:r>
    </w:p>
    <w:p w14:paraId="07F1C7F8"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сексуална дисфункция</w:t>
      </w:r>
    </w:p>
    <w:p w14:paraId="77FCA12F" w14:textId="77777777" w:rsidR="00C546A8" w:rsidRPr="00C546A8" w:rsidRDefault="00C546A8" w:rsidP="00C546A8">
      <w:pPr>
        <w:spacing w:line="240" w:lineRule="auto"/>
        <w:rPr>
          <w:rFonts w:eastAsia="Times New Roman" w:cs="Arial"/>
          <w:color w:val="000000"/>
          <w:lang w:eastAsia="bg-BG"/>
        </w:rPr>
      </w:pPr>
    </w:p>
    <w:p w14:paraId="61912BA4" w14:textId="53978CAD" w:rsidR="00C546A8" w:rsidRPr="00C546A8" w:rsidRDefault="00C546A8" w:rsidP="00C546A8">
      <w:pPr>
        <w:spacing w:line="240" w:lineRule="auto"/>
        <w:rPr>
          <w:rFonts w:eastAsia="Times New Roman" w:cs="Arial"/>
        </w:rPr>
      </w:pPr>
      <w:r w:rsidRPr="00C546A8">
        <w:rPr>
          <w:rFonts w:eastAsia="Times New Roman" w:cs="Arial"/>
          <w:color w:val="000000"/>
          <w:lang w:eastAsia="bg-BG"/>
        </w:rPr>
        <w:t>Общи нарушения и ефекти на мястото на приложение:</w:t>
      </w:r>
    </w:p>
    <w:p w14:paraId="19441569"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Чести: умора</w:t>
      </w:r>
    </w:p>
    <w:p w14:paraId="63F62706"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Нечести: болка в областта на гръдния кош</w:t>
      </w:r>
    </w:p>
    <w:p w14:paraId="431BF366" w14:textId="77777777" w:rsidR="00C546A8" w:rsidRPr="00C546A8" w:rsidRDefault="00C546A8" w:rsidP="00C546A8">
      <w:pPr>
        <w:spacing w:line="240" w:lineRule="auto"/>
        <w:rPr>
          <w:rFonts w:eastAsia="Times New Roman" w:cs="Arial"/>
          <w:color w:val="000000"/>
          <w:u w:val="single"/>
          <w:lang w:eastAsia="bg-BG"/>
        </w:rPr>
      </w:pPr>
    </w:p>
    <w:p w14:paraId="7543EEC3" w14:textId="31C08E32"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Изследвания</w:t>
      </w:r>
      <w:r w:rsidRPr="00C546A8">
        <w:rPr>
          <w:rFonts w:eastAsia="Times New Roman" w:cs="Arial"/>
          <w:color w:val="000000"/>
          <w:lang w:eastAsia="bg-BG"/>
        </w:rPr>
        <w:t>:</w:t>
      </w:r>
    </w:p>
    <w:p w14:paraId="5C091441" w14:textId="5D81E418"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Много чести</w:t>
      </w:r>
      <w:r w:rsidRPr="00C546A8">
        <w:rPr>
          <w:rFonts w:eastAsia="Times New Roman" w:cs="Arial"/>
          <w:color w:val="000000"/>
          <w:lang w:eastAsia="bg-BG"/>
        </w:rPr>
        <w:t xml:space="preserve">: Хиперкалиемия* се наблюдава по-често при пациентите с диабет, лекувани с ирбесартан, в сравнение с плацебо. При пациенти с диабет и хипертония с микроалбуминурия и нормална бъбречна функция, хиперкалиемия (≥5,5 </w:t>
      </w:r>
      <w:proofErr w:type="spellStart"/>
      <w:r w:rsidRPr="00C546A8">
        <w:rPr>
          <w:rFonts w:eastAsia="Times New Roman" w:cs="Arial"/>
          <w:color w:val="000000"/>
          <w:lang w:val="en-US"/>
        </w:rPr>
        <w:t>mEq</w:t>
      </w:r>
      <w:proofErr w:type="spellEnd"/>
      <w:r w:rsidRPr="00C546A8">
        <w:rPr>
          <w:rFonts w:eastAsia="Times New Roman" w:cs="Arial"/>
          <w:color w:val="000000"/>
          <w:lang w:val="ru-RU"/>
        </w:rPr>
        <w:t>/</w:t>
      </w:r>
      <w:r w:rsidRPr="00C546A8">
        <w:rPr>
          <w:rFonts w:eastAsia="Times New Roman" w:cs="Arial"/>
          <w:color w:val="000000"/>
          <w:lang w:val="en-US"/>
        </w:rPr>
        <w:t>L</w:t>
      </w:r>
      <w:r w:rsidRPr="00C546A8">
        <w:rPr>
          <w:rFonts w:eastAsia="Times New Roman" w:cs="Arial"/>
          <w:color w:val="000000"/>
          <w:lang w:val="ru-RU"/>
        </w:rPr>
        <w:t xml:space="preserve">) </w:t>
      </w:r>
      <w:r w:rsidRPr="00C546A8">
        <w:rPr>
          <w:rFonts w:eastAsia="Times New Roman" w:cs="Arial"/>
          <w:color w:val="000000"/>
          <w:lang w:eastAsia="bg-BG"/>
        </w:rPr>
        <w:t xml:space="preserve">се наблюдава при 29,4% от пациентите от групата на ирбесартан 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и при 22% от пациентите от групата на плацебо. При пациенти с диабет и хипертония с хронична бъбречна недостатъчност и изявена протеинурия, хиперкалиемия (≥ 5,5 </w:t>
      </w:r>
      <w:proofErr w:type="spellStart"/>
      <w:r w:rsidRPr="00C546A8">
        <w:rPr>
          <w:rFonts w:eastAsia="Times New Roman" w:cs="Arial"/>
          <w:color w:val="000000"/>
          <w:lang w:val="en-US"/>
        </w:rPr>
        <w:t>mEq</w:t>
      </w:r>
      <w:proofErr w:type="spellEnd"/>
      <w:r w:rsidRPr="00C546A8">
        <w:rPr>
          <w:rFonts w:eastAsia="Times New Roman" w:cs="Arial"/>
          <w:color w:val="000000"/>
          <w:lang w:val="ru-RU"/>
        </w:rPr>
        <w:t>/</w:t>
      </w:r>
      <w:r w:rsidRPr="00C546A8">
        <w:rPr>
          <w:rFonts w:eastAsia="Times New Roman" w:cs="Arial"/>
          <w:color w:val="000000"/>
          <w:lang w:val="en-US"/>
        </w:rPr>
        <w:t>L</w:t>
      </w:r>
      <w:r w:rsidRPr="00C546A8">
        <w:rPr>
          <w:rFonts w:eastAsia="Times New Roman" w:cs="Arial"/>
          <w:color w:val="000000"/>
          <w:lang w:val="ru-RU"/>
        </w:rPr>
        <w:t xml:space="preserve">) </w:t>
      </w:r>
      <w:r w:rsidRPr="00C546A8">
        <w:rPr>
          <w:rFonts w:eastAsia="Times New Roman" w:cs="Arial"/>
          <w:color w:val="000000"/>
          <w:lang w:eastAsia="bg-BG"/>
        </w:rPr>
        <w:t>се наблюдава при 46,3% от пациентите от групата на ирбесартан и при 26,3% от пациентите от групата на плацебо.</w:t>
      </w:r>
    </w:p>
    <w:p w14:paraId="1396A880" w14:textId="77777777" w:rsidR="00C546A8" w:rsidRPr="00C546A8" w:rsidRDefault="00C546A8" w:rsidP="00C546A8">
      <w:pPr>
        <w:spacing w:line="240" w:lineRule="auto"/>
        <w:rPr>
          <w:rFonts w:eastAsia="Times New Roman" w:cs="Arial"/>
          <w:color w:val="000000"/>
          <w:u w:val="single"/>
          <w:lang w:eastAsia="bg-BG"/>
        </w:rPr>
      </w:pPr>
    </w:p>
    <w:p w14:paraId="635AF41A" w14:textId="7513CC6F"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Чести</w:t>
      </w:r>
      <w:r w:rsidRPr="00C546A8">
        <w:rPr>
          <w:rFonts w:eastAsia="Times New Roman" w:cs="Arial"/>
          <w:color w:val="000000"/>
          <w:lang w:eastAsia="bg-BG"/>
        </w:rPr>
        <w:t>: значително повишение на плазмената креатин киназа е наблюдавано често (1,7%) при лекуваните с ирбесартан пациенти. Нито един от тези случаи не е бил свързан с клинично проявени мускулноскелетни събития. При 1,7% от пациентите с хипертония и напреднала диабетна нефропатия, лекувани с ирбесартан, е наблюдавано понижаване на хемоглобина*, което не е било клинично значимо.</w:t>
      </w:r>
    </w:p>
    <w:p w14:paraId="4D29BE13" w14:textId="77777777" w:rsidR="00C546A8" w:rsidRPr="00C546A8" w:rsidRDefault="00C546A8" w:rsidP="00C546A8">
      <w:pPr>
        <w:spacing w:line="240" w:lineRule="auto"/>
        <w:rPr>
          <w:rFonts w:eastAsia="Times New Roman" w:cs="Arial"/>
          <w:b/>
          <w:bCs/>
          <w:color w:val="000000"/>
          <w:u w:val="single"/>
          <w:lang w:eastAsia="bg-BG"/>
        </w:rPr>
      </w:pPr>
    </w:p>
    <w:p w14:paraId="33537844" w14:textId="5B18455C" w:rsidR="00C546A8" w:rsidRPr="00C546A8" w:rsidRDefault="00C546A8" w:rsidP="00C546A8">
      <w:pPr>
        <w:spacing w:line="240" w:lineRule="auto"/>
        <w:rPr>
          <w:rFonts w:eastAsia="Times New Roman" w:cs="Arial"/>
        </w:rPr>
      </w:pPr>
      <w:r w:rsidRPr="00C546A8">
        <w:rPr>
          <w:rFonts w:eastAsia="Times New Roman" w:cs="Arial"/>
          <w:b/>
          <w:bCs/>
          <w:color w:val="000000"/>
          <w:u w:val="single"/>
          <w:lang w:eastAsia="bg-BG"/>
        </w:rPr>
        <w:t>Педиатрична популация:</w:t>
      </w:r>
    </w:p>
    <w:p w14:paraId="243994FB"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В рандомизирано изпитване при 318 деца и юноши с хипертония на възраст от 6 до 16 години, са наблюдавани следните нежелани реакции по време на 3-седмичната двойно-сляпа фаза: главоболие (7,9%), хипотония (2,2%), замаяност (1,9%), кашлица (0,9%). По време на 26- седмичния отворен период на това изпитване, най-често наблюдаваните отклонения в лабораторните показатели са били повишаване на креатинина (6,5%) и повишени стойности на СК при 2% от децата, приемащи лечението.</w:t>
      </w:r>
    </w:p>
    <w:p w14:paraId="70ADBC27" w14:textId="77777777" w:rsidR="00C546A8" w:rsidRPr="00C546A8" w:rsidRDefault="00C546A8" w:rsidP="00C546A8">
      <w:pPr>
        <w:spacing w:line="240" w:lineRule="auto"/>
        <w:rPr>
          <w:rFonts w:eastAsia="Times New Roman" w:cs="Arial"/>
          <w:color w:val="000000"/>
          <w:u w:val="single"/>
          <w:lang w:eastAsia="bg-BG"/>
        </w:rPr>
      </w:pPr>
    </w:p>
    <w:p w14:paraId="50153793" w14:textId="556DCF12"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Съобщаване на подозирани нежелани реакции</w:t>
      </w:r>
    </w:p>
    <w:p w14:paraId="5901ECCD"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Изпълнителна агенция по лекарствата ул., Дамян Груев” № 8</w:t>
      </w:r>
    </w:p>
    <w:p w14:paraId="39E64B9D"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1303 София</w:t>
      </w:r>
    </w:p>
    <w:p w14:paraId="52EFA964"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Тел.:+359 2 8903417</w:t>
      </w:r>
    </w:p>
    <w:p w14:paraId="4F42359F" w14:textId="7463D5E5" w:rsidR="00C546A8" w:rsidRDefault="00C546A8" w:rsidP="00C546A8">
      <w:pPr>
        <w:spacing w:line="240" w:lineRule="auto"/>
        <w:rPr>
          <w:rFonts w:eastAsia="Times New Roman" w:cs="Arial"/>
        </w:rPr>
      </w:pPr>
      <w:r w:rsidRPr="00C546A8">
        <w:rPr>
          <w:rFonts w:eastAsia="Times New Roman" w:cs="Arial"/>
          <w:color w:val="000000"/>
          <w:lang w:eastAsia="bg-BG"/>
        </w:rPr>
        <w:t xml:space="preserve">уебсайт: </w:t>
      </w:r>
      <w:r w:rsidRPr="00C546A8">
        <w:rPr>
          <w:rFonts w:eastAsia="Times New Roman" w:cs="Arial"/>
        </w:rPr>
        <w:fldChar w:fldCharType="begin"/>
      </w:r>
      <w:r w:rsidRPr="00C546A8">
        <w:rPr>
          <w:rFonts w:eastAsia="Times New Roman" w:cs="Arial"/>
        </w:rPr>
        <w:instrText xml:space="preserve"> HYPERLINK "http://www.bda.bg" </w:instrText>
      </w:r>
      <w:r w:rsidRPr="00C546A8">
        <w:rPr>
          <w:rFonts w:eastAsia="Times New Roman" w:cs="Arial"/>
        </w:rPr>
      </w:r>
      <w:r w:rsidRPr="00C546A8">
        <w:rPr>
          <w:rFonts w:eastAsia="Times New Roman" w:cs="Arial"/>
        </w:rPr>
        <w:fldChar w:fldCharType="separate"/>
      </w:r>
      <w:r w:rsidRPr="00C546A8">
        <w:rPr>
          <w:rFonts w:eastAsia="Times New Roman" w:cs="Arial"/>
          <w:color w:val="000000"/>
          <w:u w:val="single"/>
          <w:lang w:val="en-US"/>
        </w:rPr>
        <w:t>www</w:t>
      </w:r>
      <w:r w:rsidRPr="00C546A8">
        <w:rPr>
          <w:rFonts w:eastAsia="Times New Roman" w:cs="Arial"/>
          <w:color w:val="000000"/>
          <w:u w:val="single"/>
          <w:lang w:val="ru-RU"/>
        </w:rPr>
        <w:t>.</w:t>
      </w:r>
      <w:proofErr w:type="spellStart"/>
      <w:r w:rsidRPr="00C546A8">
        <w:rPr>
          <w:rFonts w:eastAsia="Times New Roman" w:cs="Arial"/>
          <w:color w:val="000000"/>
          <w:u w:val="single"/>
          <w:lang w:val="en-US"/>
        </w:rPr>
        <w:t>bda</w:t>
      </w:r>
      <w:proofErr w:type="spellEnd"/>
      <w:r w:rsidRPr="00C546A8">
        <w:rPr>
          <w:rFonts w:eastAsia="Times New Roman" w:cs="Arial"/>
          <w:color w:val="000000"/>
          <w:u w:val="single"/>
          <w:lang w:val="ru-RU"/>
        </w:rPr>
        <w:t>.</w:t>
      </w:r>
      <w:proofErr w:type="spellStart"/>
      <w:r w:rsidRPr="00C546A8">
        <w:rPr>
          <w:rFonts w:eastAsia="Times New Roman" w:cs="Arial"/>
          <w:color w:val="000000"/>
          <w:u w:val="single"/>
          <w:lang w:val="en-US"/>
        </w:rPr>
        <w:t>bg</w:t>
      </w:r>
      <w:proofErr w:type="spellEnd"/>
      <w:r w:rsidRPr="00C546A8">
        <w:rPr>
          <w:rFonts w:eastAsia="Times New Roman" w:cs="Arial"/>
        </w:rPr>
        <w:fldChar w:fldCharType="end"/>
      </w:r>
    </w:p>
    <w:p w14:paraId="5036C349" w14:textId="0E41D0F1" w:rsidR="00C546A8" w:rsidRPr="00C546A8" w:rsidRDefault="00C546A8" w:rsidP="00C546A8"/>
    <w:p w14:paraId="5A87DBA3" w14:textId="1E5176A2" w:rsidR="007122AD" w:rsidRDefault="002C50EE" w:rsidP="00936AD0">
      <w:pPr>
        <w:pStyle w:val="Heading2"/>
      </w:pPr>
      <w:r>
        <w:t>4.9. Предозиране</w:t>
      </w:r>
    </w:p>
    <w:p w14:paraId="3640F0D4" w14:textId="0DF9612F" w:rsidR="00C546A8" w:rsidRDefault="00C546A8" w:rsidP="00C546A8"/>
    <w:p w14:paraId="3A69F097" w14:textId="77777777" w:rsidR="00C546A8" w:rsidRPr="00C546A8" w:rsidRDefault="00C546A8" w:rsidP="00C546A8">
      <w:pPr>
        <w:rPr>
          <w:sz w:val="24"/>
          <w:szCs w:val="24"/>
        </w:rPr>
      </w:pPr>
      <w:r w:rsidRPr="00C546A8">
        <w:rPr>
          <w:lang w:eastAsia="bg-BG"/>
        </w:rPr>
        <w:t xml:space="preserve">Опитът при възрастни, експозирани на дози до 900 </w:t>
      </w:r>
      <w:r w:rsidRPr="00C546A8">
        <w:rPr>
          <w:lang w:val="en-US"/>
        </w:rPr>
        <w:t>mg</w:t>
      </w:r>
      <w:r w:rsidRPr="00C546A8">
        <w:rPr>
          <w:lang w:eastAsia="bg-BG"/>
        </w:rPr>
        <w:t>/дневно за 8 седмици не е показал наличието на токсичност. Най-вероятните прояви при предозиране са очаква да бъдат хипотония и тахикардия; възможна е и появата на брадикардия при предозиране. Няма специфична информация по отношение на лечението при предозиране с ирбесартан. Пациентът трябва да бъде внимателно проследяван, като лечението трябва да бъде симптоматично и поддържащо. Препоръчва се предизвикването на повръщане и/или стомашна промивка. Активният въглен може да бъде полезен при лечение на предозирането. Ирбесартан не се отстранява чрез хемодиализа.</w:t>
      </w:r>
    </w:p>
    <w:p w14:paraId="3311F1F6" w14:textId="77777777" w:rsidR="00C546A8" w:rsidRPr="00C546A8" w:rsidRDefault="00C546A8" w:rsidP="00C546A8"/>
    <w:p w14:paraId="02081B24" w14:textId="1F46E296" w:rsidR="00395555" w:rsidRPr="00395555" w:rsidRDefault="002C50EE" w:rsidP="008A6AF2">
      <w:pPr>
        <w:pStyle w:val="Heading1"/>
      </w:pPr>
      <w:r>
        <w:lastRenderedPageBreak/>
        <w:t>5. ФАРМАКОЛОГИЧНИ СВОЙСТВА</w:t>
      </w:r>
    </w:p>
    <w:p w14:paraId="7DE36AC8" w14:textId="0D3FAF91" w:rsidR="00B6672E" w:rsidRDefault="002C50EE" w:rsidP="00936AD0">
      <w:pPr>
        <w:pStyle w:val="Heading2"/>
      </w:pPr>
      <w:r>
        <w:t>5.1. Фармакодинамични свойства</w:t>
      </w:r>
    </w:p>
    <w:p w14:paraId="5F3F17EE" w14:textId="1285DF87" w:rsidR="00C546A8" w:rsidRDefault="00C546A8" w:rsidP="00C546A8"/>
    <w:p w14:paraId="64C9EE4B"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Фармакотерапевтична група: Ангиотензин-П антагонисти, самостоятелно АТСкод: С09СА04.</w:t>
      </w:r>
    </w:p>
    <w:p w14:paraId="6E583DA3" w14:textId="77777777" w:rsidR="00C546A8" w:rsidRPr="00C546A8" w:rsidRDefault="00C546A8" w:rsidP="00C546A8">
      <w:pPr>
        <w:spacing w:line="240" w:lineRule="auto"/>
        <w:rPr>
          <w:rFonts w:eastAsia="Times New Roman" w:cs="Arial"/>
          <w:color w:val="000000"/>
          <w:u w:val="single"/>
          <w:lang w:eastAsia="bg-BG"/>
        </w:rPr>
      </w:pPr>
    </w:p>
    <w:p w14:paraId="31C79BA0" w14:textId="03299C27"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Механизъм на действие</w:t>
      </w:r>
      <w:r w:rsidRPr="00C546A8">
        <w:rPr>
          <w:rFonts w:eastAsia="Times New Roman" w:cs="Arial"/>
          <w:color w:val="000000"/>
          <w:lang w:eastAsia="bg-BG"/>
        </w:rPr>
        <w:t>:</w:t>
      </w:r>
    </w:p>
    <w:p w14:paraId="21FE8505" w14:textId="77777777" w:rsidR="00C546A8" w:rsidRPr="00C546A8" w:rsidRDefault="00C546A8" w:rsidP="00C546A8">
      <w:pPr>
        <w:rPr>
          <w:rFonts w:eastAsia="Times New Roman" w:cs="Arial"/>
        </w:rPr>
      </w:pPr>
      <w:r w:rsidRPr="00C546A8">
        <w:rPr>
          <w:rFonts w:eastAsia="Times New Roman" w:cs="Arial"/>
          <w:color w:val="000000"/>
          <w:lang w:eastAsia="bg-BG"/>
        </w:rPr>
        <w:t>Ирбесартан е мощен, перорално активен, селективен ангиотензин-</w:t>
      </w:r>
      <w:r w:rsidRPr="00C546A8">
        <w:rPr>
          <w:rFonts w:eastAsia="Times New Roman" w:cs="Arial"/>
          <w:color w:val="000000"/>
          <w:lang w:val="en-US"/>
        </w:rPr>
        <w:t>II</w:t>
      </w:r>
      <w:r w:rsidRPr="00C546A8">
        <w:rPr>
          <w:rFonts w:eastAsia="Times New Roman" w:cs="Arial"/>
          <w:color w:val="000000"/>
          <w:lang w:eastAsia="bg-BG"/>
        </w:rPr>
        <w:t xml:space="preserve"> рецепторен (тип АТ</w:t>
      </w:r>
      <w:r w:rsidRPr="00C546A8">
        <w:rPr>
          <w:rFonts w:eastAsia="Times New Roman" w:cs="Arial"/>
          <w:color w:val="000000"/>
          <w:vertAlign w:val="subscript"/>
          <w:lang w:eastAsia="bg-BG"/>
        </w:rPr>
        <w:t>1</w:t>
      </w:r>
      <w:r w:rsidRPr="00C546A8">
        <w:rPr>
          <w:rFonts w:eastAsia="Times New Roman" w:cs="Arial"/>
          <w:color w:val="000000"/>
          <w:lang w:eastAsia="bg-BG"/>
        </w:rPr>
        <w:t>) антагонист. Очаква се блокиране на цялостното действие на ангиотензин-</w:t>
      </w:r>
      <w:r w:rsidRPr="00C546A8">
        <w:rPr>
          <w:rFonts w:eastAsia="Times New Roman" w:cs="Arial"/>
          <w:color w:val="000000"/>
          <w:lang w:val="en-US"/>
        </w:rPr>
        <w:t>II</w:t>
      </w:r>
      <w:r w:rsidRPr="00C546A8">
        <w:rPr>
          <w:rFonts w:eastAsia="Times New Roman" w:cs="Arial"/>
          <w:color w:val="000000"/>
          <w:lang w:val="ru-RU"/>
        </w:rPr>
        <w:t xml:space="preserve">, </w:t>
      </w:r>
      <w:r w:rsidRPr="00C546A8">
        <w:rPr>
          <w:rFonts w:eastAsia="Times New Roman" w:cs="Arial"/>
          <w:color w:val="000000"/>
          <w:lang w:eastAsia="bg-BG"/>
        </w:rPr>
        <w:t xml:space="preserve">медиирано от </w:t>
      </w:r>
      <w:r w:rsidRPr="00C546A8">
        <w:rPr>
          <w:rFonts w:eastAsia="Times New Roman" w:cs="Arial"/>
          <w:color w:val="000000"/>
          <w:lang w:val="en-US"/>
        </w:rPr>
        <w:t>AT</w:t>
      </w:r>
      <w:r w:rsidRPr="00C546A8">
        <w:rPr>
          <w:rFonts w:eastAsia="Times New Roman" w:cs="Arial"/>
          <w:color w:val="000000"/>
          <w:lang w:val="ru-RU"/>
        </w:rPr>
        <w:t>1</w:t>
      </w:r>
      <w:r w:rsidRPr="00C546A8">
        <w:rPr>
          <w:rFonts w:eastAsia="Times New Roman" w:cs="Arial"/>
        </w:rPr>
        <w:t xml:space="preserve"> </w:t>
      </w:r>
      <w:r w:rsidRPr="00C546A8">
        <w:rPr>
          <w:rFonts w:eastAsia="Times New Roman" w:cs="Arial"/>
          <w:color w:val="000000"/>
          <w:lang w:eastAsia="bg-BG"/>
        </w:rPr>
        <w:t>рецептора, независимо от източника или пътя на синтез на ангиотензин-</w:t>
      </w:r>
      <w:r w:rsidRPr="00C546A8">
        <w:rPr>
          <w:rFonts w:eastAsia="Times New Roman" w:cs="Arial"/>
          <w:color w:val="000000"/>
          <w:lang w:val="en-US"/>
        </w:rPr>
        <w:t>II</w:t>
      </w:r>
      <w:r w:rsidRPr="00C546A8">
        <w:rPr>
          <w:rFonts w:eastAsia="Times New Roman" w:cs="Arial"/>
          <w:color w:val="000000"/>
          <w:lang w:eastAsia="bg-BG"/>
        </w:rPr>
        <w:t>. Селективният антагонизъм спрямо ангиотензин-</w:t>
      </w:r>
      <w:r w:rsidRPr="00C546A8">
        <w:rPr>
          <w:rFonts w:eastAsia="Times New Roman" w:cs="Arial"/>
          <w:color w:val="000000"/>
          <w:lang w:val="en-US"/>
        </w:rPr>
        <w:t>II</w:t>
      </w:r>
      <w:r w:rsidRPr="00C546A8">
        <w:rPr>
          <w:rFonts w:eastAsia="Times New Roman" w:cs="Arial"/>
          <w:color w:val="000000"/>
          <w:lang w:eastAsia="bg-BG"/>
        </w:rPr>
        <w:t xml:space="preserve"> </w:t>
      </w:r>
      <w:r w:rsidRPr="00C546A8">
        <w:rPr>
          <w:rFonts w:eastAsia="Times New Roman" w:cs="Arial"/>
          <w:color w:val="000000"/>
          <w:lang w:val="ru-RU"/>
        </w:rPr>
        <w:t>(</w:t>
      </w:r>
      <w:r w:rsidRPr="00C546A8">
        <w:rPr>
          <w:rFonts w:eastAsia="Times New Roman" w:cs="Arial"/>
          <w:color w:val="000000"/>
          <w:lang w:val="en-US"/>
        </w:rPr>
        <w:t>AT</w:t>
      </w:r>
      <w:r w:rsidRPr="00C546A8">
        <w:rPr>
          <w:rFonts w:eastAsia="Times New Roman" w:cs="Arial"/>
          <w:color w:val="000000"/>
          <w:lang w:val="ru-RU"/>
        </w:rPr>
        <w:t xml:space="preserve">1) </w:t>
      </w:r>
      <w:r w:rsidRPr="00C546A8">
        <w:rPr>
          <w:rFonts w:eastAsia="Times New Roman" w:cs="Arial"/>
          <w:color w:val="000000"/>
          <w:lang w:eastAsia="bg-BG"/>
        </w:rPr>
        <w:t>рецепторите води до повишаване на плазмените нива на рения и ангиотензин-</w:t>
      </w:r>
      <w:r w:rsidRPr="00C546A8">
        <w:rPr>
          <w:rFonts w:eastAsia="Times New Roman" w:cs="Arial"/>
          <w:color w:val="000000"/>
          <w:lang w:val="en-US"/>
        </w:rPr>
        <w:t>II</w:t>
      </w:r>
      <w:r w:rsidRPr="00C546A8">
        <w:rPr>
          <w:rFonts w:eastAsia="Times New Roman" w:cs="Arial"/>
          <w:color w:val="000000"/>
          <w:lang w:eastAsia="bg-BG"/>
        </w:rPr>
        <w:t xml:space="preserve"> и понижаване на плазмената концентрация на алдостерон. Серумните нива на калий не се променят значително при самостоятелното приложение на ирбесартан в препоръчителните дози. Ирбесартан не инхибира АСЕ (кининаза-</w:t>
      </w:r>
      <w:r w:rsidRPr="00C546A8">
        <w:rPr>
          <w:rFonts w:eastAsia="Times New Roman" w:cs="Arial"/>
          <w:color w:val="000000"/>
          <w:lang w:val="en-US"/>
        </w:rPr>
        <w:t>II</w:t>
      </w:r>
      <w:r w:rsidRPr="00C546A8">
        <w:rPr>
          <w:rFonts w:eastAsia="Times New Roman" w:cs="Arial"/>
          <w:color w:val="000000"/>
          <w:lang w:eastAsia="bg-BG"/>
        </w:rPr>
        <w:t>), ензим, който генерира ангиотензин-</w:t>
      </w:r>
      <w:r w:rsidRPr="00C546A8">
        <w:rPr>
          <w:rFonts w:eastAsia="Times New Roman" w:cs="Arial"/>
          <w:color w:val="000000"/>
          <w:lang w:val="en-US"/>
        </w:rPr>
        <w:t>II</w:t>
      </w:r>
      <w:r w:rsidRPr="00C546A8">
        <w:rPr>
          <w:rFonts w:eastAsia="Times New Roman" w:cs="Arial"/>
          <w:color w:val="000000"/>
          <w:lang w:eastAsia="bg-BG"/>
        </w:rPr>
        <w:t xml:space="preserve"> и също разгражда брадикинина до неактивни метаболити. Ирбесартан не изисква метаболитно активиране за осъществяване на своето действие.</w:t>
      </w:r>
    </w:p>
    <w:p w14:paraId="7252F538" w14:textId="77777777" w:rsidR="00C546A8" w:rsidRPr="00C546A8" w:rsidRDefault="00C546A8" w:rsidP="00C546A8">
      <w:pPr>
        <w:spacing w:line="240" w:lineRule="auto"/>
        <w:rPr>
          <w:rFonts w:eastAsia="Times New Roman" w:cs="Arial"/>
          <w:color w:val="000000"/>
          <w:u w:val="single"/>
          <w:lang w:eastAsia="bg-BG"/>
        </w:rPr>
      </w:pPr>
    </w:p>
    <w:p w14:paraId="3C41D1B4" w14:textId="43F392C9"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Клинична ефикасност</w:t>
      </w:r>
    </w:p>
    <w:p w14:paraId="6A32EF81" w14:textId="77777777" w:rsidR="00C546A8" w:rsidRPr="00C546A8" w:rsidRDefault="00C546A8" w:rsidP="00C546A8">
      <w:pPr>
        <w:spacing w:line="240" w:lineRule="auto"/>
        <w:rPr>
          <w:rFonts w:eastAsia="Times New Roman" w:cs="Arial"/>
          <w:i/>
          <w:iCs/>
          <w:color w:val="000000"/>
          <w:lang w:eastAsia="bg-BG"/>
        </w:rPr>
      </w:pPr>
    </w:p>
    <w:p w14:paraId="4416CBC5" w14:textId="73965B21" w:rsidR="00C546A8" w:rsidRPr="00C546A8" w:rsidRDefault="00C546A8" w:rsidP="00C546A8">
      <w:pPr>
        <w:spacing w:line="240" w:lineRule="auto"/>
        <w:rPr>
          <w:rFonts w:eastAsia="Times New Roman" w:cs="Arial"/>
        </w:rPr>
      </w:pPr>
      <w:r w:rsidRPr="00C546A8">
        <w:rPr>
          <w:rFonts w:eastAsia="Times New Roman" w:cs="Arial"/>
          <w:i/>
          <w:iCs/>
          <w:color w:val="000000"/>
          <w:lang w:eastAsia="bg-BG"/>
        </w:rPr>
        <w:t>Хипертония</w:t>
      </w:r>
    </w:p>
    <w:p w14:paraId="3994153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Ирбесартан понижава кръвното налягане при минимална промяна на сърдечната честота. Понижаването на кръвното налягане е доза-зависимо при еднократен дневен прием с тенденция към достигане на плато при дози над 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Дози от 150-300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веднъж дневно, понижават кръвното налягане в легнало или изправено положение (в продължение на 24 часа от приема) със средно 8-13/5-8 </w:t>
      </w:r>
      <w:r w:rsidRPr="00C546A8">
        <w:rPr>
          <w:rFonts w:eastAsia="Times New Roman" w:cs="Arial"/>
          <w:color w:val="000000"/>
          <w:lang w:val="en-US"/>
        </w:rPr>
        <w:t>mm</w:t>
      </w:r>
      <w:r w:rsidRPr="00C546A8">
        <w:rPr>
          <w:rFonts w:eastAsia="Times New Roman" w:cs="Arial"/>
          <w:color w:val="000000"/>
          <w:lang w:val="ru-RU"/>
        </w:rPr>
        <w:t xml:space="preserve"> </w:t>
      </w:r>
      <w:r w:rsidRPr="00C546A8">
        <w:rPr>
          <w:rFonts w:eastAsia="Times New Roman" w:cs="Arial"/>
          <w:color w:val="000000"/>
          <w:lang w:val="en-US"/>
        </w:rPr>
        <w:t>Hg</w:t>
      </w:r>
      <w:r w:rsidRPr="00C546A8">
        <w:rPr>
          <w:rFonts w:eastAsia="Times New Roman" w:cs="Arial"/>
          <w:color w:val="000000"/>
          <w:lang w:val="ru-RU"/>
        </w:rPr>
        <w:t xml:space="preserve"> </w:t>
      </w:r>
      <w:r w:rsidRPr="00C546A8">
        <w:rPr>
          <w:rFonts w:eastAsia="Times New Roman" w:cs="Arial"/>
          <w:color w:val="000000"/>
          <w:lang w:eastAsia="bg-BG"/>
        </w:rPr>
        <w:t>(систолно/диастолно) повече, в сравнение с плацебо.</w:t>
      </w:r>
    </w:p>
    <w:p w14:paraId="0F69EB06" w14:textId="77777777" w:rsidR="00C546A8" w:rsidRPr="00C546A8" w:rsidRDefault="00C546A8" w:rsidP="00C546A8">
      <w:pPr>
        <w:spacing w:line="240" w:lineRule="auto"/>
        <w:rPr>
          <w:rFonts w:eastAsia="Times New Roman" w:cs="Arial"/>
          <w:color w:val="000000"/>
          <w:lang w:eastAsia="bg-BG"/>
        </w:rPr>
      </w:pPr>
    </w:p>
    <w:p w14:paraId="00FDBD5D" w14:textId="3F1B2512"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Максимално понижение на кръвното налягане се достига в рамките на 3-6 часа след приема, като антихипертензивното действие продължава най-малко 24 часа. На 24-ия час понижението на кръвното налягане е 60-70% от съответните стойности на максимален отговор по отношение на диастолното и систолното налягане при препоръчителните дози. Еднократният дневен прием на 150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води до стойности на най-ниския и среден 24 часов отговор, подобни на тези при приложение на същата доза, разделена на два отделни приема.</w:t>
      </w:r>
    </w:p>
    <w:p w14:paraId="215653FB" w14:textId="2C1D34D2" w:rsidR="00C546A8" w:rsidRPr="00C546A8" w:rsidRDefault="00C546A8" w:rsidP="00C546A8">
      <w:pPr>
        <w:spacing w:line="240" w:lineRule="auto"/>
        <w:rPr>
          <w:rFonts w:eastAsia="Times New Roman" w:cs="Arial"/>
        </w:rPr>
      </w:pPr>
      <w:r w:rsidRPr="00C546A8">
        <w:rPr>
          <w:rFonts w:eastAsia="Times New Roman" w:cs="Arial"/>
          <w:color w:val="000000"/>
          <w:lang w:eastAsia="bg-BG"/>
        </w:rPr>
        <w:t>Понижаващият кръвното налягане ефект на ирбесартан се проявява в рамките на 1-2 седмици, като максимален ефект настъпва 4-6 седмици след началото на лечението. Антихипертензивните ефекти се запазват при продължително лечение. След преустановяване на лечението, кръвното налягане постепенно се връща към изходните стойности. Не е наблюдавана ребаунд хипертония.</w:t>
      </w:r>
    </w:p>
    <w:p w14:paraId="079EBBBB" w14:textId="77777777" w:rsidR="00C546A8" w:rsidRPr="00C546A8" w:rsidRDefault="00C546A8" w:rsidP="00C546A8">
      <w:pPr>
        <w:spacing w:line="240" w:lineRule="auto"/>
        <w:rPr>
          <w:rFonts w:eastAsia="Times New Roman" w:cs="Arial"/>
          <w:color w:val="000000"/>
          <w:lang w:eastAsia="bg-BG"/>
        </w:rPr>
      </w:pPr>
    </w:p>
    <w:p w14:paraId="07E08AB2" w14:textId="7780147B"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Понижаващите кръвното налягане ефекти на Ирбек и тиазидните диуретици са адитивни. При пациенти, при които не е постигнат контрол при самостоятелното приложение на ирбесартан, добавянето на ниска доза хидрохлоротиазид (12,5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към еднократния прием на ирбесартан, води до допълнително понижение на кръвното налягане от порядъка на 7-10/3-6 </w:t>
      </w:r>
      <w:r w:rsidRPr="00C546A8">
        <w:rPr>
          <w:rFonts w:eastAsia="Times New Roman" w:cs="Arial"/>
          <w:color w:val="000000"/>
          <w:lang w:val="en-US"/>
        </w:rPr>
        <w:t>mm</w:t>
      </w:r>
      <w:r w:rsidRPr="00C546A8">
        <w:rPr>
          <w:rFonts w:eastAsia="Times New Roman" w:cs="Arial"/>
          <w:color w:val="000000"/>
          <w:lang w:val="ru-RU"/>
        </w:rPr>
        <w:t xml:space="preserve"> </w:t>
      </w:r>
      <w:r w:rsidRPr="00C546A8">
        <w:rPr>
          <w:rFonts w:eastAsia="Times New Roman" w:cs="Arial"/>
          <w:color w:val="000000"/>
          <w:lang w:val="en-US"/>
        </w:rPr>
        <w:t>Hg</w:t>
      </w:r>
      <w:r w:rsidRPr="00C546A8">
        <w:rPr>
          <w:rFonts w:eastAsia="Times New Roman" w:cs="Arial"/>
          <w:color w:val="000000"/>
          <w:lang w:val="ru-RU"/>
        </w:rPr>
        <w:t xml:space="preserve"> </w:t>
      </w:r>
      <w:r w:rsidRPr="00C546A8">
        <w:rPr>
          <w:rFonts w:eastAsia="Times New Roman" w:cs="Arial"/>
          <w:color w:val="000000"/>
          <w:lang w:eastAsia="bg-BG"/>
        </w:rPr>
        <w:t>(систолно/диастолно), спрямо плацебо.</w:t>
      </w:r>
    </w:p>
    <w:p w14:paraId="36554713" w14:textId="77777777" w:rsidR="00C546A8" w:rsidRPr="00C546A8" w:rsidRDefault="00C546A8" w:rsidP="00C546A8">
      <w:pPr>
        <w:spacing w:line="240" w:lineRule="auto"/>
        <w:rPr>
          <w:rFonts w:eastAsia="Times New Roman" w:cs="Arial"/>
          <w:color w:val="000000"/>
          <w:lang w:eastAsia="bg-BG"/>
        </w:rPr>
      </w:pPr>
    </w:p>
    <w:p w14:paraId="4C358AB8" w14:textId="6F94B0F3"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Ефикасността на Ирбек не се повлиява от възрастта или пола. Подобно на другите лекарствени продукти, повлияващи системата ренин-ангиотензин, пациентите с </w:t>
      </w:r>
      <w:r w:rsidRPr="00C546A8">
        <w:rPr>
          <w:rFonts w:eastAsia="Times New Roman" w:cs="Arial"/>
          <w:color w:val="000000"/>
          <w:lang w:eastAsia="bg-BG"/>
        </w:rPr>
        <w:lastRenderedPageBreak/>
        <w:t xml:space="preserve">хипертония от черната раса се повлияват значително по-слабо при монотерапия с ирбесартан. При приложението на ирбесартан заедно с ниска доза хидрохлоротиазид (напр. 12,5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дневно), антихипертензивният отговор при пациентите от черната раса е подобен на този, постигнат при пациентите от бялата раса.</w:t>
      </w:r>
    </w:p>
    <w:p w14:paraId="3D1791F1"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Не е наблюдаван клинично значим ефект върху серумната концентрация на пикочната киселина или отделянето на пикочната киселина с урината.</w:t>
      </w:r>
    </w:p>
    <w:p w14:paraId="5A2D44C4" w14:textId="77777777" w:rsidR="00C546A8" w:rsidRPr="00C546A8" w:rsidRDefault="00C546A8" w:rsidP="00C546A8">
      <w:pPr>
        <w:spacing w:line="240" w:lineRule="auto"/>
        <w:rPr>
          <w:rFonts w:eastAsia="Times New Roman" w:cs="Arial"/>
          <w:color w:val="000000"/>
          <w:u w:val="single"/>
          <w:lang w:eastAsia="bg-BG"/>
        </w:rPr>
      </w:pPr>
    </w:p>
    <w:p w14:paraId="4C46ABA8" w14:textId="009473DB"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Педиатрична популация</w:t>
      </w:r>
    </w:p>
    <w:p w14:paraId="2BCB287D" w14:textId="77777777" w:rsidR="00C546A8" w:rsidRPr="00C546A8" w:rsidRDefault="00C546A8" w:rsidP="00C546A8">
      <w:pPr>
        <w:rPr>
          <w:rFonts w:eastAsia="Times New Roman" w:cs="Arial"/>
        </w:rPr>
      </w:pPr>
      <w:r w:rsidRPr="00C546A8">
        <w:rPr>
          <w:rFonts w:eastAsia="Times New Roman" w:cs="Arial"/>
          <w:color w:val="000000"/>
          <w:lang w:eastAsia="bg-BG"/>
        </w:rPr>
        <w:t xml:space="preserve">Понижението на кръвното налягане при прицелни титрирани дози на ирбесартан 0,5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kg</w:t>
      </w:r>
      <w:r w:rsidRPr="00C546A8">
        <w:rPr>
          <w:rFonts w:eastAsia="Times New Roman" w:cs="Arial"/>
          <w:color w:val="000000"/>
          <w:lang w:val="ru-RU"/>
        </w:rPr>
        <w:t xml:space="preserve"> </w:t>
      </w:r>
      <w:r w:rsidRPr="00C546A8">
        <w:rPr>
          <w:rFonts w:eastAsia="Times New Roman" w:cs="Arial"/>
          <w:color w:val="000000"/>
          <w:lang w:eastAsia="bg-BG"/>
        </w:rPr>
        <w:t xml:space="preserve">(ниска), 1,5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kg</w:t>
      </w:r>
      <w:r w:rsidRPr="00C546A8">
        <w:rPr>
          <w:rFonts w:eastAsia="Times New Roman" w:cs="Arial"/>
          <w:color w:val="000000"/>
          <w:lang w:val="ru-RU"/>
        </w:rPr>
        <w:t xml:space="preserve"> </w:t>
      </w:r>
      <w:r w:rsidRPr="00C546A8">
        <w:rPr>
          <w:rFonts w:eastAsia="Times New Roman" w:cs="Arial"/>
          <w:color w:val="000000"/>
          <w:lang w:eastAsia="bg-BG"/>
        </w:rPr>
        <w:t xml:space="preserve">(средна) и 4,5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kg</w:t>
      </w:r>
      <w:r w:rsidRPr="00C546A8">
        <w:rPr>
          <w:rFonts w:eastAsia="Times New Roman" w:cs="Arial"/>
          <w:color w:val="000000"/>
          <w:lang w:val="ru-RU"/>
        </w:rPr>
        <w:t xml:space="preserve"> </w:t>
      </w:r>
      <w:r w:rsidRPr="00C546A8">
        <w:rPr>
          <w:rFonts w:eastAsia="Times New Roman" w:cs="Arial"/>
          <w:color w:val="000000"/>
          <w:lang w:eastAsia="bg-BG"/>
        </w:rPr>
        <w:t xml:space="preserve">(висока) е проучено при 318 деца и юноши на възраст от 6 до 16 години с хипертония или с риск от хиретония (диабет, фамилна анамнеза за хипертония), за период от 3 седмици. В края на 3-седмичния период, средното понижение спрямо изходната стойност при първичната променлива за ефикасност, най-ниската стойност на систолното кръвно налягане в седнало положение </w:t>
      </w:r>
      <w:r w:rsidRPr="00C546A8">
        <w:rPr>
          <w:rFonts w:eastAsia="Times New Roman" w:cs="Arial"/>
          <w:color w:val="000000"/>
          <w:lang w:val="ru-RU"/>
        </w:rPr>
        <w:t>(</w:t>
      </w:r>
      <w:proofErr w:type="spellStart"/>
      <w:r w:rsidRPr="00C546A8">
        <w:rPr>
          <w:rFonts w:eastAsia="Times New Roman" w:cs="Arial"/>
          <w:color w:val="000000"/>
          <w:lang w:val="en-US"/>
        </w:rPr>
        <w:t>SeSBP</w:t>
      </w:r>
      <w:proofErr w:type="spellEnd"/>
      <w:r w:rsidRPr="00C546A8">
        <w:rPr>
          <w:rFonts w:eastAsia="Times New Roman" w:cs="Arial"/>
          <w:color w:val="000000"/>
          <w:lang w:val="ru-RU"/>
        </w:rPr>
        <w:t xml:space="preserve">), </w:t>
      </w:r>
      <w:r w:rsidRPr="00C546A8">
        <w:rPr>
          <w:rFonts w:eastAsia="Times New Roman" w:cs="Arial"/>
          <w:color w:val="000000"/>
          <w:lang w:eastAsia="bg-BG"/>
        </w:rPr>
        <w:t xml:space="preserve">е била 11,7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(ниска доза), 9,3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(средна доза), 13,2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(висока доза). Не е установена значима разлика</w:t>
      </w:r>
      <w:r w:rsidRPr="00C546A8">
        <w:rPr>
          <w:rFonts w:eastAsia="Times New Roman" w:cs="Arial"/>
          <w:color w:val="000000"/>
          <w:lang w:val="ru-RU"/>
        </w:rPr>
        <w:t xml:space="preserve"> </w:t>
      </w:r>
      <w:r w:rsidRPr="00C546A8">
        <w:rPr>
          <w:rFonts w:eastAsia="Times New Roman" w:cs="Arial"/>
          <w:color w:val="000000"/>
          <w:lang w:eastAsia="bg-BG"/>
        </w:rPr>
        <w:t xml:space="preserve">между тези дози. Коригираната средна промяна на най-ниската стойност на диастолното кръвно налягане в седнало положение </w:t>
      </w:r>
      <w:r w:rsidRPr="00C546A8">
        <w:rPr>
          <w:rFonts w:eastAsia="Times New Roman" w:cs="Arial"/>
          <w:color w:val="000000"/>
          <w:lang w:val="ru-RU"/>
        </w:rPr>
        <w:t>(</w:t>
      </w:r>
      <w:proofErr w:type="spellStart"/>
      <w:r w:rsidRPr="00C546A8">
        <w:rPr>
          <w:rFonts w:eastAsia="Times New Roman" w:cs="Arial"/>
          <w:color w:val="000000"/>
          <w:lang w:val="en-US"/>
        </w:rPr>
        <w:t>SeDBP</w:t>
      </w:r>
      <w:proofErr w:type="spellEnd"/>
      <w:r w:rsidRPr="00C546A8">
        <w:rPr>
          <w:rFonts w:eastAsia="Times New Roman" w:cs="Arial"/>
          <w:color w:val="000000"/>
          <w:lang w:val="ru-RU"/>
        </w:rPr>
        <w:t xml:space="preserve">) </w:t>
      </w:r>
      <w:r w:rsidRPr="00C546A8">
        <w:rPr>
          <w:rFonts w:eastAsia="Times New Roman" w:cs="Arial"/>
          <w:color w:val="000000"/>
          <w:lang w:eastAsia="bg-BG"/>
        </w:rPr>
        <w:t xml:space="preserve">е както следва: 3,8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(ниска доза), 3,2 </w:t>
      </w:r>
      <w:r w:rsidRPr="00C546A8">
        <w:rPr>
          <w:rFonts w:eastAsia="Times New Roman" w:cs="Arial"/>
          <w:color w:val="000000"/>
          <w:lang w:val="en-US"/>
        </w:rPr>
        <w:t>mmHg</w:t>
      </w:r>
      <w:r w:rsidRPr="00C546A8">
        <w:rPr>
          <w:rFonts w:eastAsia="Times New Roman" w:cs="Arial"/>
          <w:color w:val="000000"/>
          <w:lang w:eastAsia="bg-BG"/>
        </w:rPr>
        <w:t xml:space="preserve"> (средна доза), 5,6</w:t>
      </w:r>
      <w:r w:rsidRPr="00C546A8">
        <w:rPr>
          <w:rFonts w:eastAsia="Times New Roman" w:cs="Arial"/>
          <w:color w:val="000000"/>
          <w:lang w:val="ru-RU"/>
        </w:rPr>
        <w:t xml:space="preserve">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(висока доза). През следващите две седмици, през които пациентите са рандомизирани отново да приемат или активен лекарствен продукт или плацебо, при пациентите от групата на плацебо е наблюдавано повишаване на </w:t>
      </w:r>
      <w:proofErr w:type="spellStart"/>
      <w:r w:rsidRPr="00C546A8">
        <w:rPr>
          <w:rFonts w:eastAsia="Times New Roman" w:cs="Arial"/>
          <w:color w:val="000000"/>
          <w:lang w:val="en-US"/>
        </w:rPr>
        <w:t>SeSBP</w:t>
      </w:r>
      <w:proofErr w:type="spellEnd"/>
      <w:r w:rsidRPr="00C546A8">
        <w:rPr>
          <w:rFonts w:eastAsia="Times New Roman" w:cs="Arial"/>
          <w:color w:val="000000"/>
          <w:lang w:val="ru-RU"/>
        </w:rPr>
        <w:t xml:space="preserve"> </w:t>
      </w:r>
      <w:r w:rsidRPr="00C546A8">
        <w:rPr>
          <w:rFonts w:eastAsia="Times New Roman" w:cs="Arial"/>
          <w:color w:val="000000"/>
          <w:lang w:eastAsia="bg-BG"/>
        </w:rPr>
        <w:t xml:space="preserve">и </w:t>
      </w:r>
      <w:proofErr w:type="spellStart"/>
      <w:r w:rsidRPr="00C546A8">
        <w:rPr>
          <w:rFonts w:eastAsia="Times New Roman" w:cs="Arial"/>
          <w:color w:val="000000"/>
          <w:lang w:val="en-US"/>
        </w:rPr>
        <w:t>SeDBP</w:t>
      </w:r>
      <w:proofErr w:type="spellEnd"/>
      <w:r w:rsidRPr="00C546A8">
        <w:rPr>
          <w:rFonts w:eastAsia="Times New Roman" w:cs="Arial"/>
          <w:color w:val="000000"/>
          <w:lang w:val="ru-RU"/>
        </w:rPr>
        <w:t xml:space="preserve"> </w:t>
      </w:r>
      <w:r w:rsidRPr="00C546A8">
        <w:rPr>
          <w:rFonts w:eastAsia="Times New Roman" w:cs="Arial"/>
          <w:color w:val="000000"/>
          <w:lang w:eastAsia="bg-BG"/>
        </w:rPr>
        <w:t xml:space="preserve">от порядъка на 2,4 и 2,0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в сравнение с промяна от +0,1 и -0,3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съответно при тези на всички дози ирбесартан (вижте точка 4.2).</w:t>
      </w:r>
    </w:p>
    <w:p w14:paraId="2694A705" w14:textId="77777777" w:rsidR="00C546A8" w:rsidRPr="00C546A8" w:rsidRDefault="00C546A8" w:rsidP="00C546A8">
      <w:pPr>
        <w:spacing w:line="240" w:lineRule="auto"/>
        <w:rPr>
          <w:rFonts w:eastAsia="Times New Roman" w:cs="Arial"/>
          <w:color w:val="000000"/>
          <w:u w:val="single"/>
          <w:lang w:eastAsia="bg-BG"/>
        </w:rPr>
      </w:pPr>
    </w:p>
    <w:p w14:paraId="2BDD0A38" w14:textId="1B08403A" w:rsidR="00C546A8" w:rsidRPr="00C546A8" w:rsidRDefault="00C546A8" w:rsidP="00C546A8">
      <w:pPr>
        <w:spacing w:line="240" w:lineRule="auto"/>
        <w:rPr>
          <w:rFonts w:eastAsia="Times New Roman" w:cs="Arial"/>
        </w:rPr>
      </w:pPr>
      <w:r w:rsidRPr="00C546A8">
        <w:rPr>
          <w:rFonts w:eastAsia="Times New Roman" w:cs="Arial"/>
          <w:color w:val="000000"/>
          <w:u w:val="single"/>
          <w:lang w:eastAsia="bg-BG"/>
        </w:rPr>
        <w:t>Хипертония и диабет тип 2 е бъбречно заболяване</w:t>
      </w:r>
    </w:p>
    <w:p w14:paraId="59DDD2C5"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Клиничното изпитване на ирбесартан при диабетна нефропатия - </w:t>
      </w:r>
      <w:r w:rsidRPr="00C546A8">
        <w:rPr>
          <w:rFonts w:eastAsia="Times New Roman" w:cs="Arial"/>
          <w:color w:val="000000"/>
        </w:rPr>
        <w:t>“</w:t>
      </w:r>
      <w:proofErr w:type="spellStart"/>
      <w:r w:rsidRPr="00C546A8">
        <w:rPr>
          <w:rFonts w:eastAsia="Times New Roman" w:cs="Arial"/>
          <w:color w:val="000000"/>
          <w:lang w:val="en-US"/>
        </w:rPr>
        <w:t>Irbesartan</w:t>
      </w:r>
      <w:proofErr w:type="spellEnd"/>
      <w:r w:rsidRPr="00C546A8">
        <w:rPr>
          <w:rFonts w:eastAsia="Times New Roman" w:cs="Arial"/>
          <w:color w:val="000000"/>
        </w:rPr>
        <w:t xml:space="preserve"> </w:t>
      </w:r>
      <w:r w:rsidRPr="00C546A8">
        <w:rPr>
          <w:rFonts w:eastAsia="Times New Roman" w:cs="Arial"/>
          <w:color w:val="000000"/>
          <w:lang w:val="en-US"/>
        </w:rPr>
        <w:t>Diabetic</w:t>
      </w:r>
      <w:r w:rsidRPr="00C546A8">
        <w:rPr>
          <w:rFonts w:eastAsia="Times New Roman" w:cs="Arial"/>
          <w:color w:val="000000"/>
        </w:rPr>
        <w:t xml:space="preserve"> </w:t>
      </w:r>
      <w:r w:rsidRPr="00C546A8">
        <w:rPr>
          <w:rFonts w:eastAsia="Times New Roman" w:cs="Arial"/>
          <w:color w:val="000000"/>
          <w:lang w:val="en-US"/>
        </w:rPr>
        <w:t>Nephropathy</w:t>
      </w:r>
      <w:r w:rsidRPr="00C546A8">
        <w:rPr>
          <w:rFonts w:eastAsia="Times New Roman" w:cs="Arial"/>
          <w:color w:val="000000"/>
        </w:rPr>
        <w:t xml:space="preserve"> </w:t>
      </w:r>
      <w:r w:rsidRPr="00C546A8">
        <w:rPr>
          <w:rFonts w:eastAsia="Times New Roman" w:cs="Arial"/>
          <w:color w:val="000000"/>
          <w:lang w:val="en-US"/>
        </w:rPr>
        <w:t>Trial</w:t>
      </w:r>
      <w:r w:rsidRPr="00C546A8">
        <w:rPr>
          <w:rFonts w:eastAsia="Times New Roman" w:cs="Arial"/>
          <w:color w:val="000000"/>
        </w:rPr>
        <w:t xml:space="preserve"> (</w:t>
      </w:r>
      <w:r w:rsidRPr="00C546A8">
        <w:rPr>
          <w:rFonts w:eastAsia="Times New Roman" w:cs="Arial"/>
          <w:color w:val="000000"/>
          <w:lang w:val="en-US"/>
        </w:rPr>
        <w:t>IDNT</w:t>
      </w:r>
      <w:r w:rsidRPr="00C546A8">
        <w:rPr>
          <w:rFonts w:eastAsia="Times New Roman" w:cs="Arial"/>
          <w:color w:val="000000"/>
        </w:rPr>
        <w:t xml:space="preserve">)” </w:t>
      </w:r>
      <w:r w:rsidRPr="00C546A8">
        <w:rPr>
          <w:rFonts w:eastAsia="Times New Roman" w:cs="Arial"/>
          <w:color w:val="000000"/>
          <w:lang w:eastAsia="bg-BG"/>
        </w:rPr>
        <w:t xml:space="preserve">показва, че ирбесартан намалява прогресирането на бъбречното заболяване при пациентите с хронична бъбречна недостатъчност и изявена протеинурия. </w:t>
      </w:r>
      <w:r w:rsidRPr="00C546A8">
        <w:rPr>
          <w:rFonts w:eastAsia="Times New Roman" w:cs="Arial"/>
          <w:color w:val="000000"/>
          <w:lang w:val="en-US"/>
        </w:rPr>
        <w:t>IDNT</w:t>
      </w:r>
      <w:r w:rsidRPr="00C546A8">
        <w:rPr>
          <w:rFonts w:eastAsia="Times New Roman" w:cs="Arial"/>
          <w:color w:val="000000"/>
          <w:lang w:val="ru-RU"/>
        </w:rPr>
        <w:t xml:space="preserve"> </w:t>
      </w:r>
      <w:r w:rsidRPr="00C546A8">
        <w:rPr>
          <w:rFonts w:eastAsia="Times New Roman" w:cs="Arial"/>
          <w:color w:val="000000"/>
          <w:lang w:eastAsia="bg-BG"/>
        </w:rPr>
        <w:t xml:space="preserve">е двойносляпо, контролирано изпитване върху заболеваемостта и смъртността, сравняващо Ирбек, амлодипин и плацебо. При 1 715 пациенти с хипертония и диабет тип 2, протеинурия ≥ 900 </w:t>
      </w:r>
      <w:r w:rsidRPr="00C546A8">
        <w:rPr>
          <w:rFonts w:eastAsia="Times New Roman" w:cs="Arial"/>
          <w:color w:val="000000"/>
          <w:lang w:val="en-US"/>
        </w:rPr>
        <w:t>mg</w:t>
      </w:r>
      <w:r w:rsidRPr="00C546A8">
        <w:rPr>
          <w:rFonts w:eastAsia="Times New Roman" w:cs="Arial"/>
          <w:color w:val="000000"/>
          <w:lang w:eastAsia="bg-BG"/>
        </w:rPr>
        <w:t xml:space="preserve">/ден и серумен креатинин 1,0-3,0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dl</w:t>
      </w:r>
      <w:r w:rsidRPr="00C546A8">
        <w:rPr>
          <w:rFonts w:eastAsia="Times New Roman" w:cs="Arial"/>
          <w:color w:val="000000"/>
          <w:lang w:val="ru-RU"/>
        </w:rPr>
        <w:t xml:space="preserve">, </w:t>
      </w:r>
      <w:r w:rsidRPr="00C546A8">
        <w:rPr>
          <w:rFonts w:eastAsia="Times New Roman" w:cs="Arial"/>
          <w:color w:val="000000"/>
          <w:lang w:eastAsia="bg-BG"/>
        </w:rPr>
        <w:t xml:space="preserve">са оценени дългосрочните ефекти (средно 2,6 години) на Ирбесартан върху прогресирането на бъбречното заболяване и общата смъртност. Пациентите са титрирани от 75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като начална доза до 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като поддържаща доза ирбесартан, от 2,5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до 10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амлодипин или плацебо, в зависимост от поносимостга. Пациентите от всички групи на лечение са получавали от 2 до 4 антихипертензивни средства (напр., диуретици, бета блокери, алфа блокери) за постигане на предварително определената желана стойност на кръвното налягане от ≤ 135/85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или понижение на систолното налягане с 10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ако изходната стойност е &gt; 160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При 60% от пациентите от групата на плацебо, тази таргетна стойност на кръвното налягане е постигната, като резултатите са съответно 76% и 78% при групата на ирбесартан и амлодипин. В първичната комбинирана крайна точка ирбесартан значимо намалява относителния риск от удвояване на серумния креатинин, терминална бъбречна недостатъчност или обща смъртност. Приблизително 33% от пациентите от групата на ирбесартан са постигнали първичната комбинирана крайна точка по отношение на бъбречното заболяване, в сравнение с 39% и 41% при плацебо групата и групата на амлодипин [намаляване на относителния риск с 20% спрямо плацебо (р = 0,024) и намаляване на относителния риск с 23% спрямо амлодипин </w:t>
      </w:r>
      <w:r w:rsidRPr="00C546A8">
        <w:rPr>
          <w:rFonts w:eastAsia="Times New Roman" w:cs="Arial"/>
          <w:i/>
          <w:iCs/>
          <w:color w:val="000000"/>
          <w:lang w:eastAsia="bg-BG"/>
        </w:rPr>
        <w:t>(р = 0,006)].</w:t>
      </w:r>
      <w:r w:rsidRPr="00C546A8">
        <w:rPr>
          <w:rFonts w:eastAsia="Times New Roman" w:cs="Arial"/>
          <w:color w:val="000000"/>
          <w:lang w:eastAsia="bg-BG"/>
        </w:rPr>
        <w:t xml:space="preserve"> При анализ на отделните компоненти на първичната крайна точка, не е наблюдаван ефект върху общата смъртност, за разлика от </w:t>
      </w:r>
      <w:r w:rsidRPr="00C546A8">
        <w:rPr>
          <w:rFonts w:eastAsia="Times New Roman" w:cs="Arial"/>
          <w:color w:val="000000"/>
          <w:lang w:eastAsia="bg-BG"/>
        </w:rPr>
        <w:lastRenderedPageBreak/>
        <w:t>наблюдаваното намаляване на случаите с терминална бъбречна недостатъчност и значимо намаляване на случаите с удвояване на серумния креатинин.</w:t>
      </w:r>
    </w:p>
    <w:p w14:paraId="158CC131" w14:textId="77777777" w:rsidR="00C546A8" w:rsidRPr="00C546A8" w:rsidRDefault="00C546A8" w:rsidP="00C546A8">
      <w:pPr>
        <w:spacing w:line="240" w:lineRule="auto"/>
        <w:rPr>
          <w:rFonts w:eastAsia="Times New Roman" w:cs="Arial"/>
          <w:color w:val="000000"/>
          <w:lang w:eastAsia="bg-BG"/>
        </w:rPr>
      </w:pPr>
    </w:p>
    <w:p w14:paraId="2DEBB3E6" w14:textId="2FD83C44"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Направена е и оценка на ефекта от лечението в отделните подгрупи, групирани според пола, расата, възрастта, продължителността на диабета, изходните стойности на кръвното налягане, серумния креатинин и степента на отделяне на албумин. При подгрупите на жените и пациентите от черната раса, които са представлявали съответно 32% и 26% от общата популация, не е наблюдаван благоприятен ефект върху бъбреците въпреки, че доверителните интервали не го изключват. По отношение на вторичната крайна точка, включваща фатални и нефатални сърдечно-съдови събития, не е наблюдавана </w:t>
      </w:r>
      <w:r w:rsidRPr="00C546A8">
        <w:rPr>
          <w:rFonts w:eastAsia="Times New Roman" w:cs="Arial"/>
          <w:i/>
          <w:iCs/>
          <w:color w:val="000000"/>
          <w:lang w:eastAsia="bg-BG"/>
        </w:rPr>
        <w:t xml:space="preserve">разлика между трите групи в общата </w:t>
      </w:r>
      <w:r w:rsidRPr="00C546A8">
        <w:rPr>
          <w:rFonts w:eastAsia="Times New Roman" w:cs="Arial"/>
          <w:color w:val="000000"/>
          <w:lang w:eastAsia="bg-BG"/>
        </w:rPr>
        <w:t>популация въпреки, че е наблюдавана повишена честота на нефатален инфаркт на миокарда при жените и понижена честота на нефатален инфаркт на миокарда при мъжете в групата на ирбесартан, спрямо групата на плацебо. Повишаване на честотата на нефатален инфаркт на миокарда и инсулт е наблюдавано при жените от групата на ирбесартан, спрямо тези от групата на амлодипин, докато случаите на хоспитализация в резултат на сърдечна недостатъчност са намалели в общата популация. Въпреки това, не е намерено точно обяснение на тези резултати при жените.</w:t>
      </w:r>
    </w:p>
    <w:p w14:paraId="401EBC2C" w14:textId="77777777" w:rsidR="00C546A8" w:rsidRPr="00C546A8" w:rsidRDefault="00C546A8" w:rsidP="00C546A8">
      <w:pPr>
        <w:spacing w:line="240" w:lineRule="auto"/>
        <w:rPr>
          <w:rFonts w:eastAsia="Times New Roman" w:cs="Arial"/>
          <w:color w:val="000000"/>
          <w:lang w:eastAsia="bg-BG"/>
        </w:rPr>
      </w:pPr>
    </w:p>
    <w:p w14:paraId="15D372A0" w14:textId="77777777" w:rsidR="00C546A8" w:rsidRPr="00C546A8" w:rsidRDefault="00C546A8" w:rsidP="00C546A8">
      <w:pPr>
        <w:rPr>
          <w:rFonts w:eastAsia="Times New Roman" w:cs="Arial"/>
        </w:rPr>
      </w:pPr>
      <w:r w:rsidRPr="00C546A8">
        <w:rPr>
          <w:rFonts w:eastAsia="Times New Roman" w:cs="Arial"/>
          <w:color w:val="000000"/>
          <w:lang w:eastAsia="bg-BG"/>
        </w:rPr>
        <w:t xml:space="preserve">Проучването за ефектите на ирбесартан върху микроалбуминурията при пациенти с хипертония и захарен диабет тип 2 - </w:t>
      </w:r>
      <w:r w:rsidRPr="00C546A8">
        <w:rPr>
          <w:rFonts w:eastAsia="Times New Roman" w:cs="Arial"/>
          <w:color w:val="000000"/>
        </w:rPr>
        <w:t>“</w:t>
      </w:r>
      <w:r w:rsidRPr="00C546A8">
        <w:rPr>
          <w:rFonts w:eastAsia="Times New Roman" w:cs="Arial"/>
          <w:color w:val="000000"/>
          <w:lang w:val="en-US"/>
        </w:rPr>
        <w:t>Effects</w:t>
      </w:r>
      <w:r w:rsidRPr="00C546A8">
        <w:rPr>
          <w:rFonts w:eastAsia="Times New Roman" w:cs="Arial"/>
          <w:color w:val="000000"/>
        </w:rPr>
        <w:t xml:space="preserve"> </w:t>
      </w:r>
      <w:r w:rsidRPr="00C546A8">
        <w:rPr>
          <w:rFonts w:eastAsia="Times New Roman" w:cs="Arial"/>
          <w:color w:val="000000"/>
          <w:lang w:val="en-US"/>
        </w:rPr>
        <w:t>of</w:t>
      </w:r>
      <w:r w:rsidRPr="00C546A8">
        <w:rPr>
          <w:rFonts w:eastAsia="Times New Roman" w:cs="Arial"/>
          <w:color w:val="000000"/>
        </w:rPr>
        <w:t xml:space="preserve"> </w:t>
      </w:r>
      <w:proofErr w:type="spellStart"/>
      <w:r w:rsidRPr="00C546A8">
        <w:rPr>
          <w:rFonts w:eastAsia="Times New Roman" w:cs="Arial"/>
          <w:color w:val="000000"/>
          <w:lang w:val="en-US"/>
        </w:rPr>
        <w:t>Irbesartan</w:t>
      </w:r>
      <w:proofErr w:type="spellEnd"/>
      <w:r w:rsidRPr="00C546A8">
        <w:rPr>
          <w:rFonts w:eastAsia="Times New Roman" w:cs="Arial"/>
          <w:color w:val="000000"/>
        </w:rPr>
        <w:t xml:space="preserve"> </w:t>
      </w:r>
      <w:r w:rsidRPr="00C546A8">
        <w:rPr>
          <w:rFonts w:eastAsia="Times New Roman" w:cs="Arial"/>
          <w:color w:val="000000"/>
          <w:lang w:val="en-US"/>
        </w:rPr>
        <w:t>on</w:t>
      </w:r>
      <w:r w:rsidRPr="00C546A8">
        <w:rPr>
          <w:rFonts w:eastAsia="Times New Roman" w:cs="Arial"/>
          <w:color w:val="000000"/>
        </w:rPr>
        <w:t xml:space="preserve"> </w:t>
      </w:r>
      <w:r w:rsidRPr="00C546A8">
        <w:rPr>
          <w:rFonts w:eastAsia="Times New Roman" w:cs="Arial"/>
          <w:color w:val="000000"/>
          <w:lang w:val="en-US"/>
        </w:rPr>
        <w:t>Microalbuminuria</w:t>
      </w:r>
      <w:r w:rsidRPr="00C546A8">
        <w:rPr>
          <w:rFonts w:eastAsia="Times New Roman" w:cs="Arial"/>
          <w:color w:val="000000"/>
        </w:rPr>
        <w:t xml:space="preserve"> </w:t>
      </w:r>
      <w:r w:rsidRPr="00C546A8">
        <w:rPr>
          <w:rFonts w:eastAsia="Times New Roman" w:cs="Arial"/>
          <w:color w:val="000000"/>
          <w:lang w:val="en-US"/>
        </w:rPr>
        <w:t>in</w:t>
      </w:r>
      <w:r w:rsidRPr="00C546A8">
        <w:rPr>
          <w:rFonts w:eastAsia="Times New Roman" w:cs="Arial"/>
          <w:color w:val="000000"/>
        </w:rPr>
        <w:t xml:space="preserve"> </w:t>
      </w:r>
      <w:r w:rsidRPr="00C546A8">
        <w:rPr>
          <w:rFonts w:eastAsia="Times New Roman" w:cs="Arial"/>
          <w:color w:val="000000"/>
          <w:lang w:val="en-US"/>
        </w:rPr>
        <w:t>Hypertensive</w:t>
      </w:r>
      <w:r w:rsidRPr="00C546A8">
        <w:rPr>
          <w:rFonts w:eastAsia="Times New Roman" w:cs="Arial"/>
          <w:color w:val="000000"/>
        </w:rPr>
        <w:t xml:space="preserve"> </w:t>
      </w:r>
      <w:r w:rsidRPr="00C546A8">
        <w:rPr>
          <w:rFonts w:eastAsia="Times New Roman" w:cs="Arial"/>
          <w:color w:val="000000"/>
          <w:lang w:val="en-US"/>
        </w:rPr>
        <w:t>Patients</w:t>
      </w:r>
      <w:r w:rsidRPr="00C546A8">
        <w:rPr>
          <w:rFonts w:eastAsia="Times New Roman" w:cs="Arial"/>
          <w:color w:val="000000"/>
        </w:rPr>
        <w:t xml:space="preserve"> </w:t>
      </w:r>
      <w:r w:rsidRPr="00C546A8">
        <w:rPr>
          <w:rFonts w:eastAsia="Times New Roman" w:cs="Arial"/>
          <w:color w:val="000000"/>
          <w:lang w:val="en-US"/>
        </w:rPr>
        <w:t>with</w:t>
      </w:r>
      <w:r w:rsidRPr="00C546A8">
        <w:rPr>
          <w:rFonts w:eastAsia="Times New Roman" w:cs="Arial"/>
          <w:color w:val="000000"/>
        </w:rPr>
        <w:t xml:space="preserve"> </w:t>
      </w:r>
      <w:r w:rsidRPr="00C546A8">
        <w:rPr>
          <w:rFonts w:eastAsia="Times New Roman" w:cs="Arial"/>
          <w:color w:val="000000"/>
          <w:lang w:val="en-US"/>
        </w:rPr>
        <w:t>type</w:t>
      </w:r>
      <w:r w:rsidRPr="00C546A8">
        <w:rPr>
          <w:rFonts w:eastAsia="Times New Roman" w:cs="Arial"/>
          <w:color w:val="000000"/>
        </w:rPr>
        <w:t xml:space="preserve"> 2 </w:t>
      </w:r>
      <w:r w:rsidRPr="00C546A8">
        <w:rPr>
          <w:rFonts w:eastAsia="Times New Roman" w:cs="Arial"/>
          <w:color w:val="000000"/>
          <w:lang w:val="en-US"/>
        </w:rPr>
        <w:t>Diabetes</w:t>
      </w:r>
      <w:r w:rsidRPr="00C546A8">
        <w:rPr>
          <w:rFonts w:eastAsia="Times New Roman" w:cs="Arial"/>
          <w:color w:val="000000"/>
        </w:rPr>
        <w:t xml:space="preserve"> </w:t>
      </w:r>
      <w:r w:rsidRPr="00C546A8">
        <w:rPr>
          <w:rFonts w:eastAsia="Times New Roman" w:cs="Arial"/>
          <w:color w:val="000000"/>
          <w:lang w:val="en-US"/>
        </w:rPr>
        <w:t>Mellitus</w:t>
      </w:r>
      <w:r w:rsidRPr="00C546A8">
        <w:rPr>
          <w:rFonts w:eastAsia="Times New Roman" w:cs="Arial"/>
          <w:color w:val="000000"/>
        </w:rPr>
        <w:t xml:space="preserve"> (</w:t>
      </w:r>
      <w:r w:rsidRPr="00C546A8">
        <w:rPr>
          <w:rFonts w:eastAsia="Times New Roman" w:cs="Arial"/>
          <w:color w:val="000000"/>
          <w:lang w:val="en-US"/>
        </w:rPr>
        <w:t>IRMA</w:t>
      </w:r>
      <w:r w:rsidRPr="00C546A8">
        <w:rPr>
          <w:rFonts w:eastAsia="Times New Roman" w:cs="Arial"/>
          <w:color w:val="000000"/>
        </w:rPr>
        <w:t xml:space="preserve"> 2)” </w:t>
      </w:r>
      <w:r w:rsidRPr="00C546A8">
        <w:rPr>
          <w:rFonts w:eastAsia="Times New Roman" w:cs="Arial"/>
          <w:color w:val="000000"/>
          <w:lang w:eastAsia="bg-BG"/>
        </w:rPr>
        <w:t xml:space="preserve">показва, че ирбесартан </w:t>
      </w:r>
      <w:r w:rsidRPr="00C546A8">
        <w:rPr>
          <w:rFonts w:eastAsia="Times New Roman" w:cs="Arial"/>
          <w:color w:val="000000"/>
        </w:rPr>
        <w:t xml:space="preserve">300 </w:t>
      </w:r>
      <w:r w:rsidRPr="00C546A8">
        <w:rPr>
          <w:rFonts w:eastAsia="Times New Roman" w:cs="Arial"/>
          <w:color w:val="000000"/>
          <w:lang w:val="en-US"/>
        </w:rPr>
        <w:t>mg</w:t>
      </w:r>
      <w:r w:rsidRPr="00C546A8">
        <w:rPr>
          <w:rFonts w:eastAsia="Times New Roman" w:cs="Arial"/>
          <w:color w:val="000000"/>
        </w:rPr>
        <w:t xml:space="preserve"> </w:t>
      </w:r>
      <w:r w:rsidRPr="00C546A8">
        <w:rPr>
          <w:rFonts w:eastAsia="Times New Roman" w:cs="Arial"/>
          <w:color w:val="000000"/>
          <w:lang w:eastAsia="bg-BG"/>
        </w:rPr>
        <w:t xml:space="preserve">забавя прогресирането на изявената протеинурия при пациенти с микроалбуминурия. </w:t>
      </w:r>
      <w:r w:rsidRPr="00C546A8">
        <w:rPr>
          <w:rFonts w:eastAsia="Times New Roman" w:cs="Arial"/>
          <w:color w:val="000000"/>
          <w:lang w:val="en-US"/>
        </w:rPr>
        <w:t>IRMA</w:t>
      </w:r>
      <w:r w:rsidRPr="00C546A8">
        <w:rPr>
          <w:rFonts w:eastAsia="Times New Roman" w:cs="Arial"/>
          <w:color w:val="000000"/>
          <w:lang w:val="ru-RU"/>
        </w:rPr>
        <w:t xml:space="preserve"> </w:t>
      </w:r>
      <w:r w:rsidRPr="00C546A8">
        <w:rPr>
          <w:rFonts w:eastAsia="Times New Roman" w:cs="Arial"/>
          <w:color w:val="000000"/>
          <w:lang w:eastAsia="bg-BG"/>
        </w:rPr>
        <w:t xml:space="preserve">2 е плацебо-контролирано, двойносляпо проучване върху заболеваемостта при 590 пациенти с диабет тип 2, микроалбуминурия (30-300 </w:t>
      </w:r>
      <w:r w:rsidRPr="00C546A8">
        <w:rPr>
          <w:rFonts w:eastAsia="Times New Roman" w:cs="Arial"/>
          <w:color w:val="000000"/>
          <w:lang w:val="en-US"/>
        </w:rPr>
        <w:t>mg</w:t>
      </w:r>
      <w:r w:rsidRPr="00C546A8">
        <w:rPr>
          <w:rFonts w:eastAsia="Times New Roman" w:cs="Arial"/>
          <w:color w:val="000000"/>
          <w:lang w:eastAsia="bg-BG"/>
        </w:rPr>
        <w:t xml:space="preserve">/ден) и нормална бъбречна функция (серумен креатинин ≤ 1,5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dl</w:t>
      </w:r>
      <w:r w:rsidRPr="00C546A8">
        <w:rPr>
          <w:rFonts w:eastAsia="Times New Roman" w:cs="Arial"/>
          <w:color w:val="000000"/>
          <w:lang w:val="ru-RU"/>
        </w:rPr>
        <w:t xml:space="preserve"> </w:t>
      </w:r>
      <w:r w:rsidRPr="00C546A8">
        <w:rPr>
          <w:rFonts w:eastAsia="Times New Roman" w:cs="Arial"/>
          <w:color w:val="000000"/>
          <w:lang w:eastAsia="bg-BG"/>
        </w:rPr>
        <w:t xml:space="preserve">при мъжете и &lt; 1,1 </w:t>
      </w:r>
      <w:r w:rsidRPr="00C546A8">
        <w:rPr>
          <w:rFonts w:eastAsia="Times New Roman" w:cs="Arial"/>
          <w:color w:val="000000"/>
          <w:lang w:val="en-US"/>
        </w:rPr>
        <w:t>mg</w:t>
      </w:r>
      <w:r w:rsidRPr="00C546A8">
        <w:rPr>
          <w:rFonts w:eastAsia="Times New Roman" w:cs="Arial"/>
          <w:color w:val="000000"/>
          <w:lang w:val="ru-RU"/>
        </w:rPr>
        <w:t>/</w:t>
      </w:r>
      <w:r w:rsidRPr="00C546A8">
        <w:rPr>
          <w:rFonts w:eastAsia="Times New Roman" w:cs="Arial"/>
          <w:color w:val="000000"/>
          <w:lang w:val="en-US"/>
        </w:rPr>
        <w:t>dl</w:t>
      </w:r>
      <w:r w:rsidRPr="00C546A8">
        <w:rPr>
          <w:rFonts w:eastAsia="Times New Roman" w:cs="Arial"/>
          <w:color w:val="000000"/>
          <w:lang w:val="ru-RU"/>
        </w:rPr>
        <w:t xml:space="preserve"> </w:t>
      </w:r>
      <w:r w:rsidRPr="00C546A8">
        <w:rPr>
          <w:rFonts w:eastAsia="Times New Roman" w:cs="Arial"/>
          <w:color w:val="000000"/>
          <w:lang w:eastAsia="bg-BG"/>
        </w:rPr>
        <w:t xml:space="preserve">при жените). Проучването оценява дългосрочните ефекти (2 години) на Ирбек </w:t>
      </w:r>
      <w:r w:rsidRPr="00C546A8">
        <w:rPr>
          <w:rFonts w:eastAsia="Times New Roman" w:cs="Arial"/>
          <w:i/>
          <w:iCs/>
          <w:color w:val="000000"/>
          <w:lang w:eastAsia="bg-BG"/>
        </w:rPr>
        <w:t>върху прогресията до клинично значима</w:t>
      </w:r>
      <w:r w:rsidRPr="00C546A8">
        <w:rPr>
          <w:rFonts w:eastAsia="Times New Roman" w:cs="Arial"/>
          <w:color w:val="000000"/>
          <w:lang w:eastAsia="bg-BG"/>
        </w:rPr>
        <w:t xml:space="preserve"> (изявена) протеинурия (степен на екскреция на албумин в урината </w:t>
      </w:r>
      <w:r w:rsidRPr="00C546A8">
        <w:rPr>
          <w:rFonts w:eastAsia="Times New Roman" w:cs="Arial"/>
          <w:color w:val="000000"/>
          <w:lang w:val="ru-RU"/>
        </w:rPr>
        <w:t>(</w:t>
      </w:r>
      <w:r w:rsidRPr="00C546A8">
        <w:rPr>
          <w:rFonts w:eastAsia="Times New Roman" w:cs="Arial"/>
          <w:color w:val="000000"/>
          <w:lang w:val="en-US"/>
        </w:rPr>
        <w:t>UAER</w:t>
      </w:r>
      <w:r w:rsidRPr="00C546A8">
        <w:rPr>
          <w:rFonts w:eastAsia="Times New Roman" w:cs="Arial"/>
          <w:color w:val="000000"/>
          <w:lang w:val="ru-RU"/>
        </w:rPr>
        <w:t xml:space="preserve">) </w:t>
      </w:r>
      <w:r w:rsidRPr="00C546A8">
        <w:rPr>
          <w:rFonts w:eastAsia="Times New Roman" w:cs="Arial"/>
          <w:color w:val="000000"/>
          <w:lang w:eastAsia="bg-BG"/>
        </w:rPr>
        <w:t xml:space="preserve">&gt; 300 </w:t>
      </w:r>
      <w:r w:rsidRPr="00C546A8">
        <w:rPr>
          <w:rFonts w:eastAsia="Times New Roman" w:cs="Arial"/>
          <w:color w:val="000000"/>
          <w:lang w:val="en-US"/>
        </w:rPr>
        <w:t>mg</w:t>
      </w:r>
      <w:r w:rsidRPr="00C546A8">
        <w:rPr>
          <w:rFonts w:eastAsia="Times New Roman" w:cs="Arial"/>
          <w:color w:val="000000"/>
          <w:lang w:eastAsia="bg-BG"/>
        </w:rPr>
        <w:t xml:space="preserve">/ден и повишаване на </w:t>
      </w:r>
      <w:r w:rsidRPr="00C546A8">
        <w:rPr>
          <w:rFonts w:eastAsia="Times New Roman" w:cs="Arial"/>
          <w:color w:val="000000"/>
          <w:lang w:val="en-US"/>
        </w:rPr>
        <w:t>UAER</w:t>
      </w:r>
      <w:r w:rsidRPr="00C546A8">
        <w:rPr>
          <w:rFonts w:eastAsia="Times New Roman" w:cs="Arial"/>
          <w:color w:val="000000"/>
          <w:lang w:val="ru-RU"/>
        </w:rPr>
        <w:t xml:space="preserve"> </w:t>
      </w:r>
      <w:r w:rsidRPr="00C546A8">
        <w:rPr>
          <w:rFonts w:eastAsia="Times New Roman" w:cs="Arial"/>
          <w:color w:val="000000"/>
          <w:lang w:eastAsia="bg-BG"/>
        </w:rPr>
        <w:t xml:space="preserve">с най-малко 30% спрямо изходните стойности). Предварително определената желана стойност на кръвното налягане е ≤ 135/85 </w:t>
      </w:r>
      <w:r w:rsidRPr="00C546A8">
        <w:rPr>
          <w:rFonts w:eastAsia="Times New Roman" w:cs="Arial"/>
          <w:color w:val="000000"/>
          <w:lang w:val="en-US"/>
        </w:rPr>
        <w:t>mmHg</w:t>
      </w:r>
      <w:r w:rsidRPr="00C546A8">
        <w:rPr>
          <w:rFonts w:eastAsia="Times New Roman" w:cs="Arial"/>
          <w:color w:val="000000"/>
          <w:lang w:val="ru-RU"/>
        </w:rPr>
        <w:t xml:space="preserve">. </w:t>
      </w:r>
      <w:r w:rsidRPr="00C546A8">
        <w:rPr>
          <w:rFonts w:eastAsia="Times New Roman" w:cs="Arial"/>
          <w:color w:val="000000"/>
          <w:lang w:eastAsia="bg-BG"/>
        </w:rPr>
        <w:t xml:space="preserve">Допълнителни антихипертензивни средства (с изключение на АСЕ инхибитори, ангиотензин II рецепторни антагонисти и дихидропирцдинови калциеви блокери) са добавяни при необходимост, за подпомагане постигането на предварително определеното желано кръвно налягане. Докато при всички групи на лечение са постигнати сходни стойности на кръвното налягане, при по-малко пациенти от групата на ирбесартан 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(5,2%), в сравнение с плацебо (14,9%) или групата на ирбесартан 150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 xml:space="preserve">(9,7%) е постигната крайната точка по отношение на изявената протеинурия, показвайки редукция на относителния риск със 70% спрямо плацебо (р = 0,0004) при по-високата доза. Съпътстващо подобрение на скоростта на гломерулна филтрация </w:t>
      </w:r>
      <w:r w:rsidRPr="00C546A8">
        <w:rPr>
          <w:rFonts w:eastAsia="Times New Roman" w:cs="Arial"/>
          <w:color w:val="000000"/>
          <w:lang w:val="ru-RU"/>
        </w:rPr>
        <w:t>(</w:t>
      </w:r>
      <w:r w:rsidRPr="00C546A8">
        <w:rPr>
          <w:rFonts w:eastAsia="Times New Roman" w:cs="Arial"/>
          <w:color w:val="000000"/>
          <w:lang w:val="en-US"/>
        </w:rPr>
        <w:t>GFR</w:t>
      </w:r>
      <w:r w:rsidRPr="00C546A8">
        <w:rPr>
          <w:rFonts w:eastAsia="Times New Roman" w:cs="Arial"/>
          <w:color w:val="000000"/>
          <w:lang w:val="ru-RU"/>
        </w:rPr>
        <w:t xml:space="preserve">) </w:t>
      </w:r>
      <w:r w:rsidRPr="00C546A8">
        <w:rPr>
          <w:rFonts w:eastAsia="Times New Roman" w:cs="Arial"/>
          <w:color w:val="000000"/>
          <w:lang w:eastAsia="bg-BG"/>
        </w:rPr>
        <w:t xml:space="preserve">не е наблюдавано през първите три месеца от лечението. Забавяне на прогресията до клинично значима протеинурия е наблюдавано най-рано на третия месец и е продължило повече от 2 години. Регресия до нормоалбуминурия (&lt; 30 </w:t>
      </w:r>
      <w:r w:rsidRPr="00C546A8">
        <w:rPr>
          <w:rFonts w:eastAsia="Times New Roman" w:cs="Arial"/>
          <w:color w:val="000000"/>
          <w:lang w:val="en-US"/>
        </w:rPr>
        <w:t>mg</w:t>
      </w:r>
      <w:r w:rsidRPr="00C546A8">
        <w:rPr>
          <w:rFonts w:eastAsia="Times New Roman" w:cs="Arial"/>
          <w:color w:val="000000"/>
          <w:lang w:eastAsia="bg-BG"/>
        </w:rPr>
        <w:t xml:space="preserve">/дневно) е наблюдавана по-често при групата на ирбесартан 300 </w:t>
      </w:r>
      <w:r w:rsidRPr="00C546A8">
        <w:rPr>
          <w:rFonts w:eastAsia="Times New Roman" w:cs="Arial"/>
          <w:color w:val="000000"/>
          <w:lang w:val="en-US"/>
        </w:rPr>
        <w:t>mg</w:t>
      </w:r>
      <w:r w:rsidRPr="00C546A8">
        <w:rPr>
          <w:rFonts w:eastAsia="Times New Roman" w:cs="Arial"/>
          <w:color w:val="000000"/>
          <w:lang w:val="ru-RU"/>
        </w:rPr>
        <w:t xml:space="preserve"> </w:t>
      </w:r>
      <w:r w:rsidRPr="00C546A8">
        <w:rPr>
          <w:rFonts w:eastAsia="Times New Roman" w:cs="Arial"/>
          <w:color w:val="000000"/>
          <w:lang w:eastAsia="bg-BG"/>
        </w:rPr>
        <w:t>(34%), в сравнение с групата на плацебо (21%).</w:t>
      </w:r>
    </w:p>
    <w:p w14:paraId="3145FD1F" w14:textId="77777777" w:rsidR="00C546A8" w:rsidRPr="00C546A8" w:rsidRDefault="00C546A8" w:rsidP="00C546A8">
      <w:pPr>
        <w:spacing w:line="240" w:lineRule="auto"/>
        <w:rPr>
          <w:rFonts w:eastAsia="Times New Roman" w:cs="Arial"/>
          <w:color w:val="000000"/>
          <w:lang w:eastAsia="bg-BG"/>
        </w:rPr>
      </w:pPr>
    </w:p>
    <w:p w14:paraId="6BE115E0" w14:textId="674DDDE1"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Двойна блокада на системата ренин-ангиотензин-алдостерон </w:t>
      </w:r>
      <w:r w:rsidRPr="00C546A8">
        <w:rPr>
          <w:rFonts w:eastAsia="Times New Roman" w:cs="Arial"/>
          <w:color w:val="000000"/>
          <w:lang w:val="ru-RU"/>
        </w:rPr>
        <w:t>(</w:t>
      </w:r>
      <w:r w:rsidRPr="00C546A8">
        <w:rPr>
          <w:rFonts w:eastAsia="Times New Roman" w:cs="Arial"/>
          <w:color w:val="000000"/>
          <w:lang w:val="en-US"/>
        </w:rPr>
        <w:t>RAAS</w:t>
      </w:r>
      <w:r w:rsidRPr="00C546A8">
        <w:rPr>
          <w:rFonts w:eastAsia="Times New Roman" w:cs="Arial"/>
          <w:color w:val="000000"/>
          <w:lang w:val="ru-RU"/>
        </w:rPr>
        <w:t>)</w:t>
      </w:r>
    </w:p>
    <w:p w14:paraId="35112398" w14:textId="77777777" w:rsidR="00C546A8" w:rsidRPr="00C546A8" w:rsidRDefault="00C546A8" w:rsidP="00C546A8">
      <w:pPr>
        <w:spacing w:line="240" w:lineRule="auto"/>
        <w:rPr>
          <w:rFonts w:eastAsia="Times New Roman" w:cs="Arial"/>
        </w:rPr>
      </w:pPr>
      <w:r w:rsidRPr="00C546A8">
        <w:rPr>
          <w:rFonts w:eastAsia="Times New Roman" w:cs="Arial"/>
          <w:color w:val="000000"/>
          <w:lang w:eastAsia="bg-BG"/>
        </w:rPr>
        <w:t xml:space="preserve">Две големи рандомизирани контролирани проучвания - </w:t>
      </w:r>
      <w:r w:rsidRPr="00C546A8">
        <w:rPr>
          <w:rFonts w:eastAsia="Times New Roman" w:cs="Arial"/>
          <w:color w:val="000000"/>
          <w:lang w:val="en-US"/>
        </w:rPr>
        <w:t>ONTARGET</w:t>
      </w:r>
      <w:r w:rsidRPr="00C546A8">
        <w:rPr>
          <w:rFonts w:eastAsia="Times New Roman" w:cs="Arial"/>
          <w:color w:val="000000"/>
        </w:rPr>
        <w:t xml:space="preserve"> (</w:t>
      </w:r>
      <w:proofErr w:type="spellStart"/>
      <w:r w:rsidRPr="00C546A8">
        <w:rPr>
          <w:rFonts w:eastAsia="Times New Roman" w:cs="Arial"/>
          <w:color w:val="000000"/>
          <w:lang w:val="en-US"/>
        </w:rPr>
        <w:t>ONgoing</w:t>
      </w:r>
      <w:proofErr w:type="spellEnd"/>
      <w:r w:rsidRPr="00C546A8">
        <w:rPr>
          <w:rFonts w:eastAsia="Times New Roman" w:cs="Arial"/>
          <w:color w:val="000000"/>
        </w:rPr>
        <w:t xml:space="preserve"> </w:t>
      </w:r>
      <w:proofErr w:type="spellStart"/>
      <w:r w:rsidRPr="00C546A8">
        <w:rPr>
          <w:rFonts w:eastAsia="Times New Roman" w:cs="Arial"/>
          <w:color w:val="000000"/>
          <w:lang w:val="en-US"/>
        </w:rPr>
        <w:t>Telmisartan</w:t>
      </w:r>
      <w:proofErr w:type="spellEnd"/>
      <w:r w:rsidRPr="00C546A8">
        <w:rPr>
          <w:rFonts w:eastAsia="Times New Roman" w:cs="Arial"/>
          <w:color w:val="000000"/>
        </w:rPr>
        <w:t xml:space="preserve"> </w:t>
      </w:r>
      <w:r w:rsidRPr="00C546A8">
        <w:rPr>
          <w:rFonts w:eastAsia="Times New Roman" w:cs="Arial"/>
          <w:color w:val="000000"/>
          <w:lang w:val="en-US"/>
        </w:rPr>
        <w:t>Alone</w:t>
      </w:r>
      <w:r w:rsidRPr="00C546A8">
        <w:rPr>
          <w:rFonts w:eastAsia="Times New Roman" w:cs="Arial"/>
          <w:color w:val="000000"/>
        </w:rPr>
        <w:t xml:space="preserve"> </w:t>
      </w:r>
      <w:r w:rsidRPr="00C546A8">
        <w:rPr>
          <w:rFonts w:eastAsia="Times New Roman" w:cs="Arial"/>
          <w:color w:val="000000"/>
          <w:lang w:val="en-US"/>
        </w:rPr>
        <w:t>and</w:t>
      </w:r>
      <w:r w:rsidRPr="00C546A8">
        <w:rPr>
          <w:rFonts w:eastAsia="Times New Roman" w:cs="Arial"/>
          <w:color w:val="000000"/>
        </w:rPr>
        <w:t xml:space="preserve"> </w:t>
      </w:r>
      <w:r w:rsidRPr="00C546A8">
        <w:rPr>
          <w:rFonts w:eastAsia="Times New Roman" w:cs="Arial"/>
          <w:color w:val="000000"/>
          <w:lang w:val="en-US"/>
        </w:rPr>
        <w:t>in</w:t>
      </w:r>
      <w:r w:rsidRPr="00C546A8">
        <w:rPr>
          <w:rFonts w:eastAsia="Times New Roman" w:cs="Arial"/>
          <w:color w:val="000000"/>
        </w:rPr>
        <w:t xml:space="preserve"> </w:t>
      </w:r>
      <w:r w:rsidRPr="00C546A8">
        <w:rPr>
          <w:rFonts w:eastAsia="Times New Roman" w:cs="Arial"/>
          <w:color w:val="000000"/>
          <w:lang w:val="en-US"/>
        </w:rPr>
        <w:t>combination</w:t>
      </w:r>
      <w:r w:rsidRPr="00C546A8">
        <w:rPr>
          <w:rFonts w:eastAsia="Times New Roman" w:cs="Arial"/>
          <w:color w:val="000000"/>
        </w:rPr>
        <w:t xml:space="preserve"> </w:t>
      </w:r>
      <w:r w:rsidRPr="00C546A8">
        <w:rPr>
          <w:rFonts w:eastAsia="Times New Roman" w:cs="Arial"/>
          <w:color w:val="000000"/>
          <w:lang w:val="en-US"/>
        </w:rPr>
        <w:t>with</w:t>
      </w:r>
      <w:r w:rsidRPr="00C546A8">
        <w:rPr>
          <w:rFonts w:eastAsia="Times New Roman" w:cs="Arial"/>
          <w:color w:val="000000"/>
        </w:rPr>
        <w:t xml:space="preserve"> </w:t>
      </w:r>
      <w:r w:rsidRPr="00C546A8">
        <w:rPr>
          <w:rFonts w:eastAsia="Times New Roman" w:cs="Arial"/>
          <w:color w:val="000000"/>
          <w:lang w:val="en-US"/>
        </w:rPr>
        <w:t>Ramipril</w:t>
      </w:r>
      <w:r w:rsidRPr="00C546A8">
        <w:rPr>
          <w:rFonts w:eastAsia="Times New Roman" w:cs="Arial"/>
          <w:color w:val="000000"/>
        </w:rPr>
        <w:t xml:space="preserve"> </w:t>
      </w:r>
      <w:r w:rsidRPr="00C546A8">
        <w:rPr>
          <w:rFonts w:eastAsia="Times New Roman" w:cs="Arial"/>
          <w:color w:val="000000"/>
          <w:lang w:val="en-US"/>
        </w:rPr>
        <w:t>Global</w:t>
      </w:r>
      <w:r w:rsidRPr="00C546A8">
        <w:rPr>
          <w:rFonts w:eastAsia="Times New Roman" w:cs="Arial"/>
          <w:color w:val="000000"/>
        </w:rPr>
        <w:t xml:space="preserve"> </w:t>
      </w:r>
      <w:r w:rsidRPr="00C546A8">
        <w:rPr>
          <w:rFonts w:eastAsia="Times New Roman" w:cs="Arial"/>
          <w:color w:val="000000"/>
          <w:lang w:val="en-US"/>
        </w:rPr>
        <w:t>Endpoint</w:t>
      </w:r>
      <w:r w:rsidRPr="00C546A8">
        <w:rPr>
          <w:rFonts w:eastAsia="Times New Roman" w:cs="Arial"/>
          <w:color w:val="000000"/>
        </w:rPr>
        <w:t xml:space="preserve"> </w:t>
      </w:r>
      <w:r w:rsidRPr="00C546A8">
        <w:rPr>
          <w:rFonts w:eastAsia="Times New Roman" w:cs="Arial"/>
          <w:color w:val="000000"/>
          <w:lang w:val="en-US"/>
        </w:rPr>
        <w:t>Trial</w:t>
      </w:r>
      <w:r w:rsidRPr="00C546A8">
        <w:rPr>
          <w:rFonts w:eastAsia="Times New Roman" w:cs="Arial"/>
          <w:color w:val="000000"/>
        </w:rPr>
        <w:t xml:space="preserve"> - </w:t>
      </w:r>
      <w:r w:rsidRPr="00C546A8">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C546A8">
        <w:rPr>
          <w:rFonts w:eastAsia="Times New Roman" w:cs="Arial"/>
          <w:color w:val="000000"/>
          <w:lang w:val="en-US"/>
        </w:rPr>
        <w:t>VA</w:t>
      </w:r>
      <w:r w:rsidRPr="00C546A8">
        <w:rPr>
          <w:rFonts w:eastAsia="Times New Roman" w:cs="Arial"/>
          <w:color w:val="000000"/>
        </w:rPr>
        <w:t xml:space="preserve"> </w:t>
      </w:r>
      <w:r w:rsidRPr="00C546A8">
        <w:rPr>
          <w:rFonts w:eastAsia="Times New Roman" w:cs="Arial"/>
          <w:color w:val="000000"/>
          <w:lang w:val="en-US"/>
        </w:rPr>
        <w:t>NEPHRON</w:t>
      </w:r>
      <w:r w:rsidRPr="00C546A8">
        <w:rPr>
          <w:rFonts w:eastAsia="Times New Roman" w:cs="Arial"/>
          <w:color w:val="000000"/>
        </w:rPr>
        <w:t>-</w:t>
      </w:r>
      <w:r w:rsidRPr="00C546A8">
        <w:rPr>
          <w:rFonts w:eastAsia="Times New Roman" w:cs="Arial"/>
          <w:color w:val="000000"/>
          <w:lang w:val="en-US"/>
        </w:rPr>
        <w:t>D</w:t>
      </w:r>
      <w:r w:rsidRPr="00C546A8">
        <w:rPr>
          <w:rFonts w:eastAsia="Times New Roman" w:cs="Arial"/>
          <w:color w:val="000000"/>
        </w:rPr>
        <w:t xml:space="preserve"> </w:t>
      </w:r>
      <w:r w:rsidRPr="00C546A8">
        <w:rPr>
          <w:rFonts w:eastAsia="Times New Roman" w:cs="Arial"/>
          <w:color w:val="000000"/>
          <w:lang w:eastAsia="bg-BG"/>
        </w:rPr>
        <w:t xml:space="preserve">(Клинично проучване свързано с развитие на нефропатия при диабет, </w:t>
      </w:r>
      <w:r w:rsidRPr="00C546A8">
        <w:rPr>
          <w:rFonts w:eastAsia="Times New Roman" w:cs="Arial"/>
          <w:color w:val="000000"/>
          <w:lang w:eastAsia="bg-BG"/>
        </w:rPr>
        <w:lastRenderedPageBreak/>
        <w:t xml:space="preserve">проведено от Министерство по въпросите на ветераните) - проучват употребата на комбинацията от АСЕ инхибитор и ангиотензин </w:t>
      </w:r>
      <w:r w:rsidRPr="00C546A8">
        <w:rPr>
          <w:rFonts w:eastAsia="Times New Roman" w:cs="Arial"/>
          <w:color w:val="000000"/>
          <w:lang w:val="en-US"/>
        </w:rPr>
        <w:t>II</w:t>
      </w:r>
      <w:r w:rsidRPr="00C546A8">
        <w:rPr>
          <w:rFonts w:eastAsia="Times New Roman" w:cs="Arial"/>
          <w:color w:val="000000"/>
          <w:lang w:eastAsia="bg-BG"/>
        </w:rPr>
        <w:t>-рецепторен блокер.</w:t>
      </w:r>
    </w:p>
    <w:p w14:paraId="25451EAD" w14:textId="77777777" w:rsidR="00C546A8" w:rsidRPr="00C546A8" w:rsidRDefault="00C546A8" w:rsidP="00C546A8">
      <w:pPr>
        <w:spacing w:line="240" w:lineRule="auto"/>
        <w:rPr>
          <w:rFonts w:eastAsia="Times New Roman" w:cs="Arial"/>
          <w:color w:val="000000"/>
          <w:lang w:val="en-US"/>
        </w:rPr>
      </w:pPr>
    </w:p>
    <w:p w14:paraId="6D8F4360" w14:textId="650C55D1" w:rsidR="00C546A8" w:rsidRPr="00C546A8" w:rsidRDefault="00C546A8" w:rsidP="00C546A8">
      <w:pPr>
        <w:spacing w:line="240" w:lineRule="auto"/>
        <w:rPr>
          <w:rFonts w:eastAsia="Times New Roman" w:cs="Arial"/>
        </w:rPr>
      </w:pPr>
      <w:r w:rsidRPr="00C546A8">
        <w:rPr>
          <w:rFonts w:eastAsia="Times New Roman" w:cs="Arial"/>
          <w:color w:val="000000"/>
          <w:lang w:val="en-US"/>
        </w:rPr>
        <w:t>ONTARGET</w:t>
      </w:r>
      <w:r w:rsidRPr="00C546A8">
        <w:rPr>
          <w:rFonts w:eastAsia="Times New Roman" w:cs="Arial"/>
          <w:color w:val="000000"/>
          <w:lang w:val="ru-RU"/>
        </w:rPr>
        <w:t xml:space="preserve"> </w:t>
      </w:r>
      <w:r w:rsidRPr="00C546A8">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C546A8">
        <w:rPr>
          <w:rFonts w:eastAsia="Times New Roman" w:cs="Arial"/>
          <w:color w:val="000000"/>
          <w:lang w:val="en-US"/>
        </w:rPr>
        <w:t>VA</w:t>
      </w:r>
      <w:r w:rsidRPr="00C546A8">
        <w:rPr>
          <w:rFonts w:eastAsia="Times New Roman" w:cs="Arial"/>
          <w:color w:val="000000"/>
          <w:lang w:val="ru-RU"/>
        </w:rPr>
        <w:t xml:space="preserve"> </w:t>
      </w:r>
      <w:r w:rsidRPr="00C546A8">
        <w:rPr>
          <w:rFonts w:eastAsia="Times New Roman" w:cs="Arial"/>
          <w:color w:val="000000"/>
          <w:lang w:val="en-US"/>
        </w:rPr>
        <w:t>NEPHRON</w:t>
      </w:r>
      <w:r w:rsidRPr="00C546A8">
        <w:rPr>
          <w:rFonts w:eastAsia="Times New Roman" w:cs="Arial"/>
          <w:color w:val="000000"/>
          <w:lang w:val="ru-RU"/>
        </w:rPr>
        <w:t>-</w:t>
      </w:r>
      <w:r w:rsidRPr="00C546A8">
        <w:rPr>
          <w:rFonts w:eastAsia="Times New Roman" w:cs="Arial"/>
          <w:color w:val="000000"/>
          <w:lang w:val="en-US"/>
        </w:rPr>
        <w:t>D</w:t>
      </w:r>
      <w:r w:rsidRPr="00C546A8">
        <w:rPr>
          <w:rFonts w:eastAsia="Times New Roman" w:cs="Arial"/>
          <w:color w:val="000000"/>
          <w:lang w:val="ru-RU"/>
        </w:rPr>
        <w:t xml:space="preserve"> </w:t>
      </w:r>
      <w:r w:rsidRPr="00C546A8">
        <w:rPr>
          <w:rFonts w:eastAsia="Times New Roman" w:cs="Arial"/>
          <w:color w:val="000000"/>
          <w:lang w:eastAsia="bg-BG"/>
        </w:rPr>
        <w:t>е проучване при пациенти със захарен диабет тип 2 и диабетна нефропатия.</w:t>
      </w:r>
    </w:p>
    <w:p w14:paraId="617122A2" w14:textId="77777777" w:rsidR="00C546A8" w:rsidRPr="00C546A8" w:rsidRDefault="00C546A8" w:rsidP="00C546A8">
      <w:pPr>
        <w:spacing w:line="240" w:lineRule="auto"/>
        <w:rPr>
          <w:rFonts w:eastAsia="Times New Roman" w:cs="Arial"/>
          <w:color w:val="000000"/>
          <w:lang w:eastAsia="bg-BG"/>
        </w:rPr>
      </w:pPr>
    </w:p>
    <w:p w14:paraId="2C18ACD1" w14:textId="67B68DF7" w:rsidR="00C546A8" w:rsidRPr="00C546A8" w:rsidRDefault="00C546A8" w:rsidP="00C546A8">
      <w:pPr>
        <w:spacing w:line="240" w:lineRule="auto"/>
        <w:rPr>
          <w:rFonts w:eastAsia="Times New Roman" w:cs="Arial"/>
        </w:rPr>
      </w:pPr>
      <w:r w:rsidRPr="00C546A8">
        <w:rPr>
          <w:rFonts w:eastAsia="Times New Roman" w:cs="Arial"/>
          <w:color w:val="000000"/>
          <w:lang w:eastAsia="bg-BG"/>
        </w:rPr>
        <w:t>Тези проучвания не показват значим благоприятен ефект върху бъбречните и/или сърдечно</w:t>
      </w:r>
      <w:r w:rsidRPr="00C546A8">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C546A8">
        <w:rPr>
          <w:rFonts w:eastAsia="Times New Roman" w:cs="Arial"/>
          <w:color w:val="000000"/>
          <w:lang w:val="en-US"/>
        </w:rPr>
        <w:t>II</w:t>
      </w:r>
      <w:r w:rsidRPr="00C546A8">
        <w:rPr>
          <w:rFonts w:eastAsia="Times New Roman" w:cs="Arial"/>
          <w:color w:val="000000"/>
          <w:lang w:eastAsia="bg-BG"/>
        </w:rPr>
        <w:t>-рецепторни блокери.</w:t>
      </w:r>
    </w:p>
    <w:p w14:paraId="607FA7E7" w14:textId="77777777" w:rsidR="00C546A8" w:rsidRPr="00C546A8" w:rsidRDefault="00C546A8" w:rsidP="00C546A8">
      <w:pPr>
        <w:spacing w:line="240" w:lineRule="auto"/>
        <w:rPr>
          <w:rFonts w:eastAsia="Times New Roman" w:cs="Arial"/>
          <w:color w:val="000000"/>
          <w:lang w:eastAsia="bg-BG"/>
        </w:rPr>
      </w:pPr>
    </w:p>
    <w:p w14:paraId="49AA99FA" w14:textId="4C4A7BE4" w:rsidR="00C546A8" w:rsidRPr="00C546A8" w:rsidRDefault="00C546A8" w:rsidP="00C546A8">
      <w:pPr>
        <w:spacing w:line="240" w:lineRule="auto"/>
        <w:rPr>
          <w:rFonts w:eastAsia="Times New Roman" w:cs="Arial"/>
        </w:rPr>
      </w:pPr>
      <w:r w:rsidRPr="00C546A8">
        <w:rPr>
          <w:rFonts w:eastAsia="Times New Roman" w:cs="Arial"/>
          <w:color w:val="00000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2423EC4E" w14:textId="77777777" w:rsidR="00C546A8" w:rsidRPr="00C546A8" w:rsidRDefault="00C546A8" w:rsidP="00C546A8">
      <w:pPr>
        <w:spacing w:line="240" w:lineRule="auto"/>
        <w:rPr>
          <w:rFonts w:eastAsia="Times New Roman" w:cs="Arial"/>
          <w:color w:val="000000"/>
          <w:lang w:val="en-US"/>
        </w:rPr>
      </w:pPr>
    </w:p>
    <w:p w14:paraId="30E1F3AC" w14:textId="1C592D19" w:rsidR="00C546A8" w:rsidRPr="00C546A8" w:rsidRDefault="00C546A8" w:rsidP="00C546A8">
      <w:pPr>
        <w:spacing w:line="240" w:lineRule="auto"/>
        <w:rPr>
          <w:rFonts w:eastAsia="Times New Roman" w:cs="Arial"/>
        </w:rPr>
      </w:pPr>
      <w:r w:rsidRPr="00C546A8">
        <w:rPr>
          <w:rFonts w:eastAsia="Times New Roman" w:cs="Arial"/>
          <w:color w:val="000000"/>
          <w:lang w:val="en-US"/>
        </w:rPr>
        <w:t>ALTITUDE</w:t>
      </w:r>
      <w:r w:rsidRPr="00C546A8">
        <w:rPr>
          <w:rFonts w:eastAsia="Times New Roman" w:cs="Arial"/>
          <w:color w:val="000000"/>
          <w:lang w:val="ru-RU"/>
        </w:rPr>
        <w:t xml:space="preserve"> </w:t>
      </w:r>
      <w:r w:rsidRPr="00C546A8">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C546A8">
        <w:rPr>
          <w:rFonts w:eastAsia="Times New Roman" w:cs="Arial"/>
          <w:color w:val="000000"/>
          <w:lang w:val="en-US"/>
        </w:rPr>
        <w:t>II</w:t>
      </w:r>
      <w:r w:rsidRPr="00C546A8">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D493CC1" w14:textId="2CF61068" w:rsidR="00C546A8" w:rsidRPr="00C546A8" w:rsidRDefault="00C546A8" w:rsidP="00C546A8">
      <w:pPr>
        <w:spacing w:line="240" w:lineRule="auto"/>
        <w:rPr>
          <w:rFonts w:ascii="Times New Roman" w:eastAsia="Times New Roman" w:hAnsi="Times New Roman" w:cs="Times New Roman"/>
          <w:sz w:val="24"/>
          <w:szCs w:val="24"/>
        </w:rPr>
      </w:pPr>
    </w:p>
    <w:p w14:paraId="78DD93AA" w14:textId="76E020E6" w:rsidR="00B6672E" w:rsidRDefault="002C50EE" w:rsidP="00936AD0">
      <w:pPr>
        <w:pStyle w:val="Heading2"/>
      </w:pPr>
      <w:r>
        <w:t>5.2. Фармакокинетични свойства</w:t>
      </w:r>
    </w:p>
    <w:p w14:paraId="0F5AFD76" w14:textId="30BA4C8B" w:rsidR="00C546A8" w:rsidRDefault="00C546A8" w:rsidP="00C546A8"/>
    <w:p w14:paraId="642A5C5A" w14:textId="77777777" w:rsidR="00C546A8" w:rsidRPr="00C546A8" w:rsidRDefault="00C546A8" w:rsidP="00C546A8">
      <w:pPr>
        <w:pStyle w:val="Heading3"/>
        <w:rPr>
          <w:rFonts w:eastAsia="Times New Roman"/>
          <w:i/>
          <w:sz w:val="28"/>
        </w:rPr>
      </w:pPr>
      <w:r w:rsidRPr="00C546A8">
        <w:rPr>
          <w:rFonts w:eastAsia="Times New Roman"/>
          <w:i/>
          <w:lang w:eastAsia="bg-BG"/>
        </w:rPr>
        <w:t>Абсорбция</w:t>
      </w:r>
    </w:p>
    <w:p w14:paraId="4825C8FA"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След перорално приложение, ирбесартан се абсорбира добре: проучванията върху абсо</w:t>
      </w:r>
      <w:r w:rsidRPr="00C546A8">
        <w:rPr>
          <w:rFonts w:eastAsia="Times New Roman" w:cs="Arial"/>
          <w:color w:val="000000"/>
          <w:szCs w:val="20"/>
          <w:u w:val="single"/>
          <w:lang w:eastAsia="bg-BG"/>
        </w:rPr>
        <w:t xml:space="preserve">лютната </w:t>
      </w:r>
      <w:r w:rsidRPr="00C546A8">
        <w:rPr>
          <w:rFonts w:eastAsia="Times New Roman" w:cs="Arial"/>
          <w:color w:val="000000"/>
          <w:szCs w:val="20"/>
          <w:lang w:eastAsia="bg-BG"/>
        </w:rPr>
        <w:t>бионаличност показват стойности от порядъка на 60-80%. Едновременният прием на храна не променя значително бионаличността на ирбесартан.</w:t>
      </w:r>
    </w:p>
    <w:p w14:paraId="5A2A2A2E" w14:textId="77777777" w:rsidR="00C546A8" w:rsidRPr="00C546A8" w:rsidRDefault="00C546A8" w:rsidP="00C546A8">
      <w:pPr>
        <w:rPr>
          <w:rFonts w:eastAsia="Times New Roman" w:cs="Arial"/>
          <w:color w:val="000000"/>
          <w:szCs w:val="20"/>
          <w:lang w:eastAsia="bg-BG"/>
        </w:rPr>
      </w:pPr>
    </w:p>
    <w:p w14:paraId="76173E92" w14:textId="5F765866" w:rsidR="00C546A8" w:rsidRPr="00C546A8" w:rsidRDefault="00C546A8" w:rsidP="00C546A8">
      <w:pPr>
        <w:pStyle w:val="Heading3"/>
        <w:rPr>
          <w:rFonts w:eastAsia="Times New Roman"/>
          <w:i/>
          <w:lang w:eastAsia="bg-BG"/>
        </w:rPr>
      </w:pPr>
      <w:r w:rsidRPr="00C546A8">
        <w:rPr>
          <w:rFonts w:eastAsia="Times New Roman"/>
          <w:i/>
          <w:lang w:eastAsia="bg-BG"/>
        </w:rPr>
        <w:t>Разпределение</w:t>
      </w:r>
    </w:p>
    <w:p w14:paraId="65D23946"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Свързването с плазмените протеини е около 96%, като свързването с компонентите на кръвните клетки е незначително. Обемът на разпределение е 53 - 93 литра.</w:t>
      </w:r>
    </w:p>
    <w:p w14:paraId="1654051E" w14:textId="77777777" w:rsidR="00C546A8" w:rsidRPr="00C546A8" w:rsidRDefault="00C546A8" w:rsidP="00C546A8">
      <w:pPr>
        <w:spacing w:line="240" w:lineRule="auto"/>
        <w:rPr>
          <w:rFonts w:eastAsia="Times New Roman" w:cs="Arial"/>
          <w:color w:val="000000"/>
          <w:szCs w:val="20"/>
          <w:lang w:eastAsia="bg-BG"/>
        </w:rPr>
      </w:pPr>
    </w:p>
    <w:p w14:paraId="4CEC1E07" w14:textId="30D5D4DE" w:rsidR="00C546A8" w:rsidRPr="00C546A8" w:rsidRDefault="00C546A8" w:rsidP="00C546A8">
      <w:pPr>
        <w:pStyle w:val="Heading3"/>
        <w:rPr>
          <w:rFonts w:eastAsia="Times New Roman"/>
          <w:i/>
          <w:sz w:val="28"/>
        </w:rPr>
      </w:pPr>
      <w:r w:rsidRPr="00C546A8">
        <w:rPr>
          <w:rFonts w:eastAsia="Times New Roman"/>
          <w:i/>
          <w:lang w:eastAsia="bg-BG"/>
        </w:rPr>
        <w:t>Биотрансформация</w:t>
      </w:r>
    </w:p>
    <w:p w14:paraId="1948C617"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След перорално или интравенозно приложение на </w:t>
      </w:r>
      <w:r w:rsidRPr="00C546A8">
        <w:rPr>
          <w:rFonts w:eastAsia="Times New Roman" w:cs="Arial"/>
          <w:color w:val="000000"/>
          <w:szCs w:val="20"/>
          <w:vertAlign w:val="superscript"/>
          <w:lang w:eastAsia="bg-BG"/>
        </w:rPr>
        <w:t>14</w:t>
      </w:r>
      <w:r w:rsidRPr="00C546A8">
        <w:rPr>
          <w:rFonts w:eastAsia="Times New Roman" w:cs="Arial"/>
          <w:color w:val="000000"/>
          <w:szCs w:val="20"/>
          <w:lang w:eastAsia="bg-BG"/>
        </w:rPr>
        <w:t xml:space="preserve">С ирбесартан, 80-85% от циркулиращата плазмена радиоактивност се дължи на непроменения ирбесартан. Ирбесартан се метаболизира в черния дроб чрез конюгиране и окисление. Основният циркулиращ метаболит е ирбесартан глюкуронид (около 6%). </w:t>
      </w:r>
      <w:r w:rsidRPr="00C546A8">
        <w:rPr>
          <w:rFonts w:eastAsia="Times New Roman" w:cs="Arial"/>
          <w:i/>
          <w:iCs/>
          <w:color w:val="000000"/>
          <w:szCs w:val="20"/>
          <w:lang w:val="en-US"/>
        </w:rPr>
        <w:t>In</w:t>
      </w:r>
      <w:r w:rsidRPr="00C546A8">
        <w:rPr>
          <w:rFonts w:eastAsia="Times New Roman" w:cs="Arial"/>
          <w:i/>
          <w:iCs/>
          <w:color w:val="000000"/>
          <w:szCs w:val="20"/>
        </w:rPr>
        <w:t xml:space="preserve"> </w:t>
      </w:r>
      <w:r w:rsidRPr="00C546A8">
        <w:rPr>
          <w:rFonts w:eastAsia="Times New Roman" w:cs="Arial"/>
          <w:i/>
          <w:iCs/>
          <w:color w:val="000000"/>
          <w:szCs w:val="20"/>
          <w:lang w:val="en-US"/>
        </w:rPr>
        <w:t>vitro</w:t>
      </w:r>
      <w:r w:rsidRPr="00C546A8">
        <w:rPr>
          <w:rFonts w:eastAsia="Times New Roman" w:cs="Arial"/>
          <w:color w:val="000000"/>
          <w:szCs w:val="20"/>
        </w:rPr>
        <w:t xml:space="preserve"> </w:t>
      </w:r>
      <w:r w:rsidRPr="00C546A8">
        <w:rPr>
          <w:rFonts w:eastAsia="Times New Roman" w:cs="Arial"/>
          <w:color w:val="000000"/>
          <w:szCs w:val="20"/>
          <w:lang w:eastAsia="bg-BG"/>
        </w:rPr>
        <w:t xml:space="preserve">проучванията показват, че ирбесартан се окислява основно с помощта на цитохром Р450 ензима </w:t>
      </w:r>
      <w:r w:rsidRPr="00C546A8">
        <w:rPr>
          <w:rFonts w:eastAsia="Times New Roman" w:cs="Arial"/>
          <w:color w:val="000000"/>
          <w:szCs w:val="20"/>
          <w:lang w:val="en-US"/>
        </w:rPr>
        <w:t>CYP</w:t>
      </w:r>
      <w:r w:rsidRPr="00C546A8">
        <w:rPr>
          <w:rFonts w:eastAsia="Times New Roman" w:cs="Arial"/>
          <w:color w:val="000000"/>
          <w:szCs w:val="20"/>
        </w:rPr>
        <w:t>2</w:t>
      </w:r>
      <w:r w:rsidRPr="00C546A8">
        <w:rPr>
          <w:rFonts w:eastAsia="Times New Roman" w:cs="Arial"/>
          <w:color w:val="000000"/>
          <w:szCs w:val="20"/>
          <w:lang w:val="en-US"/>
        </w:rPr>
        <w:t>C</w:t>
      </w:r>
      <w:r w:rsidRPr="00C546A8">
        <w:rPr>
          <w:rFonts w:eastAsia="Times New Roman" w:cs="Arial"/>
          <w:color w:val="000000"/>
          <w:szCs w:val="20"/>
        </w:rPr>
        <w:t xml:space="preserve">9; </w:t>
      </w:r>
      <w:r w:rsidRPr="00C546A8">
        <w:rPr>
          <w:rFonts w:eastAsia="Times New Roman" w:cs="Arial"/>
          <w:color w:val="000000"/>
          <w:szCs w:val="20"/>
          <w:lang w:eastAsia="bg-BG"/>
        </w:rPr>
        <w:t xml:space="preserve">изоензима </w:t>
      </w:r>
      <w:r w:rsidRPr="00C546A8">
        <w:rPr>
          <w:rFonts w:eastAsia="Times New Roman" w:cs="Arial"/>
          <w:color w:val="000000"/>
          <w:szCs w:val="20"/>
          <w:lang w:val="en-US"/>
        </w:rPr>
        <w:t>CYP</w:t>
      </w:r>
      <w:r w:rsidRPr="00C546A8">
        <w:rPr>
          <w:rFonts w:eastAsia="Times New Roman" w:cs="Arial"/>
          <w:color w:val="000000"/>
          <w:szCs w:val="20"/>
        </w:rPr>
        <w:t>3</w:t>
      </w:r>
      <w:r w:rsidRPr="00C546A8">
        <w:rPr>
          <w:rFonts w:eastAsia="Times New Roman" w:cs="Arial"/>
          <w:color w:val="000000"/>
          <w:szCs w:val="20"/>
          <w:lang w:val="en-US"/>
        </w:rPr>
        <w:t>A</w:t>
      </w:r>
      <w:r w:rsidRPr="00C546A8">
        <w:rPr>
          <w:rFonts w:eastAsia="Times New Roman" w:cs="Arial"/>
          <w:color w:val="000000"/>
          <w:szCs w:val="20"/>
        </w:rPr>
        <w:t xml:space="preserve">4 </w:t>
      </w:r>
      <w:r w:rsidRPr="00C546A8">
        <w:rPr>
          <w:rFonts w:eastAsia="Times New Roman" w:cs="Arial"/>
          <w:color w:val="000000"/>
          <w:szCs w:val="20"/>
          <w:lang w:eastAsia="bg-BG"/>
        </w:rPr>
        <w:t>има пренебрежимо малък ефект.</w:t>
      </w:r>
    </w:p>
    <w:p w14:paraId="4BCAC4E1" w14:textId="77777777" w:rsidR="00C546A8" w:rsidRPr="00C546A8" w:rsidRDefault="00C546A8" w:rsidP="00C546A8">
      <w:pPr>
        <w:spacing w:line="240" w:lineRule="auto"/>
        <w:rPr>
          <w:rFonts w:eastAsia="Times New Roman" w:cs="Arial"/>
          <w:color w:val="000000"/>
          <w:szCs w:val="20"/>
          <w:lang w:eastAsia="bg-BG"/>
        </w:rPr>
      </w:pPr>
    </w:p>
    <w:p w14:paraId="17E42824" w14:textId="305519C7" w:rsidR="00C546A8" w:rsidRPr="00C546A8" w:rsidRDefault="00C546A8" w:rsidP="00C546A8">
      <w:pPr>
        <w:pStyle w:val="Heading3"/>
        <w:rPr>
          <w:rFonts w:eastAsia="Times New Roman"/>
          <w:i/>
          <w:sz w:val="28"/>
        </w:rPr>
      </w:pPr>
      <w:r w:rsidRPr="00C546A8">
        <w:rPr>
          <w:rFonts w:eastAsia="Times New Roman"/>
          <w:i/>
          <w:lang w:eastAsia="bg-BG"/>
        </w:rPr>
        <w:lastRenderedPageBreak/>
        <w:t>Линейна / нелинейна кинетика</w:t>
      </w:r>
    </w:p>
    <w:p w14:paraId="54BAF91A" w14:textId="77777777" w:rsidR="00C546A8" w:rsidRPr="00C546A8" w:rsidRDefault="00C546A8" w:rsidP="00C546A8">
      <w:pPr>
        <w:spacing w:line="240" w:lineRule="auto"/>
        <w:rPr>
          <w:rFonts w:eastAsia="Times New Roman" w:cs="Arial"/>
          <w:color w:val="000000"/>
          <w:szCs w:val="20"/>
          <w:lang w:eastAsia="bg-BG"/>
        </w:rPr>
      </w:pPr>
      <w:r w:rsidRPr="00C546A8">
        <w:rPr>
          <w:rFonts w:eastAsia="Times New Roman" w:cs="Arial"/>
          <w:color w:val="000000"/>
          <w:szCs w:val="20"/>
          <w:lang w:eastAsia="bg-BG"/>
        </w:rPr>
        <w:t xml:space="preserve">Ирбесартан показва линейна и пропорционална на дозата фармакокинетика в дозовия диапазон от 10 до 600 </w:t>
      </w:r>
      <w:r w:rsidRPr="00C546A8">
        <w:rPr>
          <w:rFonts w:eastAsia="Times New Roman" w:cs="Arial"/>
          <w:color w:val="000000"/>
          <w:szCs w:val="20"/>
          <w:lang w:val="en-US"/>
        </w:rPr>
        <w:t>mg</w:t>
      </w:r>
      <w:r w:rsidRPr="00C546A8">
        <w:rPr>
          <w:rFonts w:eastAsia="Times New Roman" w:cs="Arial"/>
          <w:color w:val="000000"/>
          <w:szCs w:val="20"/>
          <w:lang w:val="ru-RU"/>
        </w:rPr>
        <w:t>.</w:t>
      </w:r>
      <w:r w:rsidRPr="00C546A8">
        <w:rPr>
          <w:rFonts w:eastAsia="Times New Roman" w:cs="Arial"/>
          <w:color w:val="000000"/>
          <w:szCs w:val="20"/>
          <w:lang w:eastAsia="bg-BG"/>
        </w:rPr>
        <w:t xml:space="preserve"> При перорално приложение на доза, превишаваща 600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(два пъти по-висока от максималната препоръчителна доза) е наблюдавано по-малко от пропорционално повишаване на абсорбцията след перорално приложение; механизмът на това не е известен. Пикови плазмени концентрации се достигат 1,5-2 часа след перорално приложение. Общият телесен и бъбречен клирьнс са съответно 157 - 176 и 3 - 3,5 </w:t>
      </w:r>
      <w:r w:rsidRPr="00C546A8">
        <w:rPr>
          <w:rFonts w:eastAsia="Times New Roman" w:cs="Arial"/>
          <w:color w:val="000000"/>
          <w:szCs w:val="20"/>
          <w:lang w:val="en-US"/>
        </w:rPr>
        <w:t>ml</w:t>
      </w:r>
      <w:r w:rsidRPr="00C546A8">
        <w:rPr>
          <w:rFonts w:eastAsia="Times New Roman" w:cs="Arial"/>
          <w:color w:val="000000"/>
          <w:szCs w:val="20"/>
          <w:lang w:val="ru-RU"/>
        </w:rPr>
        <w:t>/</w:t>
      </w:r>
      <w:r w:rsidRPr="00C546A8">
        <w:rPr>
          <w:rFonts w:eastAsia="Times New Roman" w:cs="Arial"/>
          <w:color w:val="000000"/>
          <w:szCs w:val="20"/>
          <w:lang w:val="en-US"/>
        </w:rPr>
        <w:t>min</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Терминалният елиминационен полуживот на ирбесартан е 11 -15 часа. Стационарни плазмени концентрации се постигат в рамките на 3 дни след започване на лечението при схема с еднократен дневен прием. При многократно приложение на дози, приемани веднъж дневно е наблюдавано ограничено кумулиране на ирбесартан (&lt; 20%). При едно проучване са наблюдавани малко по- високи плазмени концентрации на ирбесартан при жени с хипертония. Въпреки това, не е наблюдавана разлика по отношение на елиминационния полуживот и кумулирането на ирбесартан. Не е необходимо коригиране на дозата при пациентите от женски пол. Стойностите на </w:t>
      </w:r>
      <w:r w:rsidRPr="00C546A8">
        <w:rPr>
          <w:rFonts w:eastAsia="Times New Roman" w:cs="Arial"/>
          <w:color w:val="000000"/>
          <w:szCs w:val="20"/>
          <w:lang w:val="en-US"/>
        </w:rPr>
        <w:t>AUC</w:t>
      </w:r>
      <w:r w:rsidRPr="00C546A8">
        <w:rPr>
          <w:rFonts w:eastAsia="Times New Roman" w:cs="Arial"/>
          <w:color w:val="000000"/>
          <w:szCs w:val="20"/>
          <w:lang w:val="ru-RU"/>
        </w:rPr>
        <w:t xml:space="preserve"> </w:t>
      </w:r>
      <w:r w:rsidRPr="00C546A8">
        <w:rPr>
          <w:rFonts w:eastAsia="Times New Roman" w:cs="Arial"/>
          <w:color w:val="000000"/>
          <w:szCs w:val="20"/>
          <w:lang w:eastAsia="bg-BG"/>
        </w:rPr>
        <w:t>и С</w:t>
      </w:r>
      <w:r w:rsidRPr="00C546A8">
        <w:rPr>
          <w:rFonts w:eastAsia="Times New Roman" w:cs="Arial"/>
          <w:color w:val="000000"/>
          <w:szCs w:val="20"/>
          <w:vertAlign w:val="subscript"/>
          <w:lang w:val="en-US"/>
        </w:rPr>
        <w:t>max</w:t>
      </w:r>
      <w:r w:rsidRPr="00C546A8">
        <w:rPr>
          <w:rFonts w:eastAsia="Times New Roman" w:cs="Arial"/>
          <w:color w:val="000000"/>
          <w:szCs w:val="20"/>
          <w:lang w:eastAsia="bg-BG"/>
        </w:rPr>
        <w:t xml:space="preserve"> на ирбесартан, също са малко по-високи при по-възрастни пациенти (&gt; 65 години), в сравнение с младите индивиди (18 - 40 години). Въпреки това, терминалният елиминационен полуживот не се променя значително. Не е необходимо коригиране на дозата </w:t>
      </w:r>
    </w:p>
    <w:p w14:paraId="26E4A101" w14:textId="3CEFC08F"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при хора в старческа възраст.</w:t>
      </w:r>
    </w:p>
    <w:p w14:paraId="453AB9E8" w14:textId="77777777" w:rsidR="00C546A8" w:rsidRPr="00C546A8" w:rsidRDefault="00C546A8" w:rsidP="00C546A8">
      <w:pPr>
        <w:spacing w:line="240" w:lineRule="auto"/>
        <w:rPr>
          <w:rFonts w:eastAsia="Times New Roman" w:cs="Arial"/>
          <w:color w:val="000000"/>
          <w:szCs w:val="20"/>
          <w:lang w:eastAsia="bg-BG"/>
        </w:rPr>
      </w:pPr>
    </w:p>
    <w:p w14:paraId="2C01787C" w14:textId="23F33B68" w:rsidR="00C546A8" w:rsidRPr="00C546A8" w:rsidRDefault="00C546A8" w:rsidP="00C546A8">
      <w:pPr>
        <w:pStyle w:val="Heading3"/>
        <w:rPr>
          <w:rFonts w:eastAsia="Times New Roman"/>
          <w:i/>
          <w:sz w:val="28"/>
        </w:rPr>
      </w:pPr>
      <w:r w:rsidRPr="00C546A8">
        <w:rPr>
          <w:rFonts w:eastAsia="Times New Roman"/>
          <w:i/>
          <w:lang w:eastAsia="bg-BG"/>
        </w:rPr>
        <w:t>Елиминиране</w:t>
      </w:r>
    </w:p>
    <w:p w14:paraId="48430C4A" w14:textId="77777777" w:rsidR="00C546A8" w:rsidRPr="00C546A8" w:rsidRDefault="00C546A8" w:rsidP="00C546A8">
      <w:pPr>
        <w:spacing w:line="240" w:lineRule="auto"/>
        <w:rPr>
          <w:rFonts w:eastAsia="Times New Roman" w:cs="Arial"/>
          <w:color w:val="000000"/>
          <w:szCs w:val="20"/>
          <w:lang w:eastAsia="bg-BG"/>
        </w:rPr>
      </w:pPr>
    </w:p>
    <w:p w14:paraId="4F77EDB6" w14:textId="78FACACD"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Ирбесартан и неговите метаболити се елиминират както чрез жлъчката, така и чрез бъбреците. След перорално или интравенозно приложение на </w:t>
      </w:r>
      <w:r w:rsidRPr="00C546A8">
        <w:rPr>
          <w:rFonts w:eastAsia="Times New Roman" w:cs="Arial"/>
          <w:color w:val="000000"/>
          <w:szCs w:val="20"/>
          <w:vertAlign w:val="superscript"/>
          <w:lang w:eastAsia="bg-BG"/>
        </w:rPr>
        <w:t>14</w:t>
      </w:r>
      <w:r w:rsidRPr="00C546A8">
        <w:rPr>
          <w:rFonts w:eastAsia="Times New Roman" w:cs="Arial"/>
          <w:color w:val="000000"/>
          <w:szCs w:val="20"/>
          <w:lang w:eastAsia="bg-BG"/>
        </w:rPr>
        <w:t>С ирбесартан, около 20% от радиоактивността се установява в урината, а останалата във фекалиите. По-малко от 2% от дозата се отделя в урината като непроменен ирбесартан.</w:t>
      </w:r>
    </w:p>
    <w:p w14:paraId="307CAC92" w14:textId="77777777" w:rsidR="00C546A8" w:rsidRPr="00C546A8" w:rsidRDefault="00C546A8" w:rsidP="00C546A8">
      <w:pPr>
        <w:spacing w:line="240" w:lineRule="auto"/>
        <w:rPr>
          <w:rFonts w:eastAsia="Times New Roman" w:cs="Arial"/>
          <w:color w:val="000000"/>
          <w:szCs w:val="20"/>
          <w:u w:val="single"/>
          <w:lang w:eastAsia="bg-BG"/>
        </w:rPr>
      </w:pPr>
    </w:p>
    <w:p w14:paraId="46E72F97" w14:textId="4F3B496D"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u w:val="single"/>
          <w:lang w:eastAsia="bg-BG"/>
        </w:rPr>
        <w:t>Педиатрична популация</w:t>
      </w:r>
    </w:p>
    <w:p w14:paraId="2E1990D8"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 xml:space="preserve">Фармакокинетиката на ирбесартан е оценена при 23 деца с хипертония след еднократно или многократно приложение на ирбесартан (2 </w:t>
      </w:r>
      <w:r w:rsidRPr="00C546A8">
        <w:rPr>
          <w:rFonts w:eastAsia="Times New Roman" w:cs="Arial"/>
          <w:color w:val="000000"/>
          <w:szCs w:val="20"/>
          <w:lang w:val="en-US"/>
        </w:rPr>
        <w:t>mg</w:t>
      </w:r>
      <w:r w:rsidRPr="00C546A8">
        <w:rPr>
          <w:rFonts w:eastAsia="Times New Roman" w:cs="Arial"/>
          <w:color w:val="000000"/>
          <w:szCs w:val="20"/>
          <w:lang w:val="ru-RU"/>
        </w:rPr>
        <w:t>/</w:t>
      </w:r>
      <w:r w:rsidRPr="00C546A8">
        <w:rPr>
          <w:rFonts w:eastAsia="Times New Roman" w:cs="Arial"/>
          <w:color w:val="000000"/>
          <w:szCs w:val="20"/>
          <w:lang w:val="en-US"/>
        </w:rPr>
        <w:t>kg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до максимална дневна доза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за четири седмици. От тези 23 деца, 21 са били годни за сравняване на фармакокинетиката с тази на възрастните (12 деца на възраст над 12 години, девет деца на възраст между 6 и 12 години). Резултатите показват, че </w:t>
      </w:r>
      <w:proofErr w:type="spellStart"/>
      <w:r w:rsidRPr="00C546A8">
        <w:rPr>
          <w:rFonts w:eastAsia="Times New Roman" w:cs="Arial"/>
          <w:color w:val="000000"/>
          <w:szCs w:val="20"/>
          <w:lang w:val="en-US"/>
        </w:rPr>
        <w:t>Cmax</w:t>
      </w:r>
      <w:proofErr w:type="spellEnd"/>
      <w:r w:rsidRPr="00C546A8">
        <w:rPr>
          <w:rFonts w:eastAsia="Times New Roman" w:cs="Arial"/>
          <w:color w:val="000000"/>
          <w:szCs w:val="20"/>
          <w:lang w:val="ru-RU"/>
        </w:rPr>
        <w:t xml:space="preserve">, </w:t>
      </w:r>
      <w:r w:rsidRPr="00C546A8">
        <w:rPr>
          <w:rFonts w:eastAsia="Times New Roman" w:cs="Arial"/>
          <w:color w:val="000000"/>
          <w:szCs w:val="20"/>
          <w:lang w:val="en-US"/>
        </w:rPr>
        <w:t>AUC</w:t>
      </w:r>
      <w:r w:rsidRPr="00C546A8">
        <w:rPr>
          <w:rFonts w:eastAsia="Times New Roman" w:cs="Arial"/>
          <w:color w:val="000000"/>
          <w:szCs w:val="20"/>
          <w:lang w:val="ru-RU"/>
        </w:rPr>
        <w:t xml:space="preserve"> </w:t>
      </w:r>
      <w:r w:rsidRPr="00C546A8">
        <w:rPr>
          <w:rFonts w:eastAsia="Times New Roman" w:cs="Arial"/>
          <w:color w:val="000000"/>
          <w:szCs w:val="20"/>
          <w:lang w:eastAsia="bg-BG"/>
        </w:rPr>
        <w:t xml:space="preserve">и скоростта на клирънса са сравними с тези, наблюдавани при възрастни, приемащи 150 </w:t>
      </w:r>
      <w:r w:rsidRPr="00C546A8">
        <w:rPr>
          <w:rFonts w:eastAsia="Times New Roman" w:cs="Arial"/>
          <w:color w:val="000000"/>
          <w:szCs w:val="20"/>
          <w:lang w:val="en-US"/>
        </w:rPr>
        <w:t>mg</w:t>
      </w:r>
      <w:r w:rsidRPr="00C546A8">
        <w:rPr>
          <w:rFonts w:eastAsia="Times New Roman" w:cs="Arial"/>
          <w:color w:val="000000"/>
          <w:szCs w:val="20"/>
          <w:lang w:val="ru-RU"/>
        </w:rPr>
        <w:t xml:space="preserve"> </w:t>
      </w:r>
      <w:r w:rsidRPr="00C546A8">
        <w:rPr>
          <w:rFonts w:eastAsia="Times New Roman" w:cs="Arial"/>
          <w:color w:val="000000"/>
          <w:szCs w:val="20"/>
          <w:lang w:eastAsia="bg-BG"/>
        </w:rPr>
        <w:t>ирбесартан дневно. Ограничено кумулиране на ирбесартан (18%) в плазмата е наблюдавано при многократно приложение на дози, приемани веднъж дневно.</w:t>
      </w:r>
    </w:p>
    <w:p w14:paraId="0DA37A4C" w14:textId="77777777" w:rsidR="00C546A8" w:rsidRPr="00C546A8" w:rsidRDefault="00C546A8" w:rsidP="00C546A8">
      <w:pPr>
        <w:spacing w:line="240" w:lineRule="auto"/>
        <w:rPr>
          <w:rFonts w:eastAsia="Times New Roman" w:cs="Arial"/>
          <w:i/>
          <w:iCs/>
          <w:color w:val="000000"/>
          <w:szCs w:val="20"/>
          <w:lang w:eastAsia="bg-BG"/>
        </w:rPr>
      </w:pPr>
    </w:p>
    <w:p w14:paraId="25D671E8" w14:textId="39F52BF0"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Бъбречно увреждане:</w:t>
      </w:r>
    </w:p>
    <w:p w14:paraId="2EDC970A" w14:textId="77777777" w:rsidR="00C546A8" w:rsidRPr="00C546A8" w:rsidRDefault="00C546A8" w:rsidP="00C546A8">
      <w:pPr>
        <w:spacing w:line="240" w:lineRule="auto"/>
        <w:rPr>
          <w:rFonts w:eastAsia="Times New Roman" w:cs="Arial"/>
          <w:sz w:val="28"/>
          <w:szCs w:val="24"/>
        </w:rPr>
      </w:pPr>
      <w:r w:rsidRPr="00C546A8">
        <w:rPr>
          <w:rFonts w:eastAsia="Times New Roman" w:cs="Arial"/>
          <w:color w:val="000000"/>
          <w:szCs w:val="20"/>
          <w:lang w:eastAsia="bg-BG"/>
        </w:rPr>
        <w:t>При пациентите с бъбречно увреждане или такива на хемодиализа, фармакокинетичните параметри на ирбесартан не се променят значимо. Ирбесартан не се отделя с помощта на хемодиализа.</w:t>
      </w:r>
    </w:p>
    <w:p w14:paraId="70C45863" w14:textId="77777777" w:rsidR="00C546A8" w:rsidRPr="00C546A8" w:rsidRDefault="00C546A8" w:rsidP="00C546A8">
      <w:pPr>
        <w:spacing w:line="240" w:lineRule="auto"/>
        <w:rPr>
          <w:rFonts w:eastAsia="Times New Roman" w:cs="Arial"/>
          <w:i/>
          <w:iCs/>
          <w:color w:val="000000"/>
          <w:szCs w:val="20"/>
          <w:lang w:eastAsia="bg-BG"/>
        </w:rPr>
      </w:pPr>
    </w:p>
    <w:p w14:paraId="5F9B3897" w14:textId="53975C7F" w:rsidR="00C546A8" w:rsidRPr="00C546A8" w:rsidRDefault="00C546A8" w:rsidP="00C546A8">
      <w:pPr>
        <w:spacing w:line="240" w:lineRule="auto"/>
        <w:rPr>
          <w:rFonts w:eastAsia="Times New Roman" w:cs="Arial"/>
          <w:sz w:val="28"/>
          <w:szCs w:val="24"/>
        </w:rPr>
      </w:pPr>
      <w:r w:rsidRPr="00C546A8">
        <w:rPr>
          <w:rFonts w:eastAsia="Times New Roman" w:cs="Arial"/>
          <w:i/>
          <w:iCs/>
          <w:color w:val="000000"/>
          <w:szCs w:val="20"/>
          <w:lang w:eastAsia="bg-BG"/>
        </w:rPr>
        <w:t>Чернодробно увреждане:</w:t>
      </w:r>
    </w:p>
    <w:p w14:paraId="60D6F084" w14:textId="377FCF84" w:rsidR="00C546A8" w:rsidRPr="00C546A8" w:rsidRDefault="00C546A8" w:rsidP="00C546A8">
      <w:pPr>
        <w:spacing w:line="240" w:lineRule="auto"/>
        <w:rPr>
          <w:rFonts w:eastAsia="Times New Roman" w:cs="Arial"/>
          <w:color w:val="000000"/>
          <w:szCs w:val="20"/>
          <w:lang w:eastAsia="bg-BG"/>
        </w:rPr>
      </w:pPr>
      <w:r w:rsidRPr="00C546A8">
        <w:rPr>
          <w:rFonts w:eastAsia="Times New Roman" w:cs="Arial"/>
          <w:color w:val="000000"/>
          <w:szCs w:val="20"/>
          <w:lang w:eastAsia="bg-BG"/>
        </w:rPr>
        <w:t>При пациентите с лека до умерена цироза, фармакокинетичните параметри на ирбесартан не се променят значимо.</w:t>
      </w:r>
    </w:p>
    <w:p w14:paraId="3D48D70A" w14:textId="2E6E7D8A" w:rsidR="00C546A8" w:rsidRPr="00C546A8" w:rsidRDefault="00C546A8" w:rsidP="00C546A8">
      <w:pPr>
        <w:spacing w:line="240" w:lineRule="auto"/>
        <w:rPr>
          <w:rFonts w:eastAsia="Times New Roman" w:cs="Arial"/>
          <w:color w:val="000000"/>
          <w:szCs w:val="20"/>
          <w:lang w:eastAsia="bg-BG"/>
        </w:rPr>
      </w:pPr>
    </w:p>
    <w:p w14:paraId="5FD2E7FB" w14:textId="5A87FA7B" w:rsidR="00C546A8" w:rsidRPr="00C546A8" w:rsidRDefault="00C546A8" w:rsidP="00C546A8">
      <w:pPr>
        <w:spacing w:line="240" w:lineRule="auto"/>
        <w:rPr>
          <w:rFonts w:eastAsia="Times New Roman" w:cs="Arial"/>
          <w:sz w:val="28"/>
          <w:szCs w:val="24"/>
        </w:rPr>
      </w:pPr>
      <w:r w:rsidRPr="00C546A8">
        <w:rPr>
          <w:rFonts w:cs="Arial"/>
          <w:szCs w:val="20"/>
        </w:rPr>
        <w:t>Не са провеждани проучвания при пациенти с тежко чернодробно увреждане.</w:t>
      </w:r>
    </w:p>
    <w:p w14:paraId="25EC8DAF" w14:textId="7F04351B" w:rsidR="00C546A8" w:rsidRPr="00C546A8" w:rsidRDefault="00C546A8" w:rsidP="00C546A8"/>
    <w:p w14:paraId="4FB791BE" w14:textId="2851C7FE" w:rsidR="00B6672E" w:rsidRDefault="002C50EE" w:rsidP="00936AD0">
      <w:pPr>
        <w:pStyle w:val="Heading2"/>
      </w:pPr>
      <w:r>
        <w:lastRenderedPageBreak/>
        <w:t>5.3. Предклинични данни за безопасност</w:t>
      </w:r>
    </w:p>
    <w:p w14:paraId="64721F28" w14:textId="0922311A" w:rsidR="00C546A8" w:rsidRDefault="00C546A8" w:rsidP="00C546A8"/>
    <w:p w14:paraId="039EAC89" w14:textId="77777777"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 xml:space="preserve">Няма данни за абнормна системна токсичност или токсичност по отношение на таргетните органи при клинично значими дози. При неклиничните проучвания за безопасност, приемът на високи дози ирбесартан (≥ 250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 xml:space="preserve">/дневно при плъхове и ≥ 100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/дневно при маймуни от рода макак) е довел до понижение на параметрите, свързани с червените кръвни клетки (еритроцити, хемоглобин, хематокрит).</w:t>
      </w:r>
    </w:p>
    <w:p w14:paraId="794DA75B" w14:textId="77777777"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 xml:space="preserve">При много високи дози (≥ 500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 xml:space="preserve">/дневно) дегенеративни промени в бъбреците (като интерстициален нефрит, разширение на тубулите, базофилни губули, повишаване на плазмените концентрации на уреята и креатинина) са причинени от ирбесартан при плъхове и маймуни от рода макак, като тези промени са определени като вторични, в резултат на хипотензивните ефекти на лекарствения продукт, водещи до понижена бъбречна перфузия. Освен това, ирбесартан води до хиперплазия/хипертрофия на юкстрагломеруларните клетки (при плъхове, при ≥ 90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 xml:space="preserve">/дневно и при маймуни от рода макак, при &gt;10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/дневно). Всички тези промени се считат за резултат от фармакологичното действие на ирбесартан. В терапевтични дози, приложението на ирбесартан при хора не води до значима хиперплазия/хипертрофия на юкстрагломеруларните клетки.</w:t>
      </w:r>
    </w:p>
    <w:p w14:paraId="311AAB64" w14:textId="77777777" w:rsidR="00C546A8" w:rsidRPr="00E47BF2" w:rsidRDefault="00C546A8" w:rsidP="00C546A8">
      <w:pPr>
        <w:spacing w:line="240" w:lineRule="auto"/>
        <w:rPr>
          <w:rFonts w:eastAsia="Times New Roman" w:cs="Arial"/>
          <w:color w:val="000000"/>
          <w:szCs w:val="20"/>
          <w:lang w:eastAsia="bg-BG"/>
        </w:rPr>
      </w:pPr>
    </w:p>
    <w:p w14:paraId="331A58FA" w14:textId="5A9C1691"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Няма данни за наличието на мутагенен, кластогенен или карциногенен ефект.</w:t>
      </w:r>
    </w:p>
    <w:p w14:paraId="69AA5E36" w14:textId="77777777" w:rsidR="00C546A8" w:rsidRPr="00E47BF2" w:rsidRDefault="00C546A8" w:rsidP="00C546A8">
      <w:pPr>
        <w:spacing w:line="240" w:lineRule="auto"/>
        <w:rPr>
          <w:rFonts w:eastAsia="Times New Roman" w:cs="Arial"/>
          <w:color w:val="000000"/>
          <w:szCs w:val="20"/>
          <w:lang w:eastAsia="bg-BG"/>
        </w:rPr>
      </w:pPr>
    </w:p>
    <w:p w14:paraId="14D43FAC" w14:textId="672DF8B0"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 xml:space="preserve">При проучвания при мъжки и женски плъхове, фергилитета и репродуктивните способности не са били засегнати, дори при перорални дози на ирбесартан, причиняващи известна токсичност при родителите (от 50 до 650 </w:t>
      </w:r>
      <w:r w:rsidRPr="00E47BF2">
        <w:rPr>
          <w:rFonts w:eastAsia="Times New Roman" w:cs="Arial"/>
          <w:color w:val="000000"/>
          <w:szCs w:val="20"/>
          <w:lang w:val="en-US"/>
        </w:rPr>
        <w:t>mg</w:t>
      </w:r>
      <w:r w:rsidRPr="00E47BF2">
        <w:rPr>
          <w:rFonts w:eastAsia="Times New Roman" w:cs="Arial"/>
          <w:color w:val="000000"/>
          <w:szCs w:val="20"/>
          <w:lang w:val="ru-RU"/>
        </w:rPr>
        <w:t>/</w:t>
      </w:r>
      <w:r w:rsidRPr="00E47BF2">
        <w:rPr>
          <w:rFonts w:eastAsia="Times New Roman" w:cs="Arial"/>
          <w:color w:val="000000"/>
          <w:szCs w:val="20"/>
          <w:lang w:val="en-US"/>
        </w:rPr>
        <w:t>kg</w:t>
      </w:r>
      <w:r w:rsidRPr="00E47BF2">
        <w:rPr>
          <w:rFonts w:eastAsia="Times New Roman" w:cs="Arial"/>
          <w:color w:val="000000"/>
          <w:szCs w:val="20"/>
          <w:lang w:eastAsia="bg-BG"/>
        </w:rPr>
        <w:t>/дневно), включително смърт при най-високата доза. Не са наблюдавани значими ефекти въхру броя на жълтите тела, имплантатите или живите фетуси. Ирбесартан не засяга преживяемостта, развитието или репродуктивността на потомството. Проучвания при животни покават, че радиоактивно белязан ирбесартан се открива във фетуси на плъхове и зайци.</w:t>
      </w:r>
    </w:p>
    <w:p w14:paraId="2D9B5C96" w14:textId="77777777"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Ирбесартан се екскретира в млякото на плъхове с лактация.</w:t>
      </w:r>
    </w:p>
    <w:p w14:paraId="731056F8" w14:textId="77777777" w:rsidR="00C546A8" w:rsidRPr="00E47BF2" w:rsidRDefault="00C546A8" w:rsidP="00C546A8">
      <w:pPr>
        <w:spacing w:line="240" w:lineRule="auto"/>
        <w:rPr>
          <w:rFonts w:eastAsia="Times New Roman" w:cs="Arial"/>
          <w:color w:val="000000"/>
          <w:szCs w:val="20"/>
          <w:lang w:eastAsia="bg-BG"/>
        </w:rPr>
      </w:pPr>
    </w:p>
    <w:p w14:paraId="3C3BBBB0" w14:textId="47ED3B7F" w:rsidR="00C546A8" w:rsidRPr="00E47BF2" w:rsidRDefault="00C546A8" w:rsidP="00C546A8">
      <w:pPr>
        <w:spacing w:line="240" w:lineRule="auto"/>
        <w:rPr>
          <w:rFonts w:eastAsia="Times New Roman" w:cs="Arial"/>
          <w:sz w:val="28"/>
          <w:szCs w:val="24"/>
        </w:rPr>
      </w:pPr>
      <w:r w:rsidRPr="00E47BF2">
        <w:rPr>
          <w:rFonts w:eastAsia="Times New Roman" w:cs="Arial"/>
          <w:color w:val="000000"/>
          <w:szCs w:val="20"/>
          <w:lang w:eastAsia="bg-BG"/>
        </w:rPr>
        <w:t>Проучванията при животни с ирбесартан, показват преходни токсични ефекти (увеличение на бъбречното легенче, хидроуретер или подкожен оток) при фетуси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7FC277AD" w14:textId="77777777" w:rsidR="00C546A8" w:rsidRPr="00C546A8" w:rsidRDefault="00C546A8" w:rsidP="00C546A8"/>
    <w:p w14:paraId="1BA6531D" w14:textId="668F27FA" w:rsidR="00B6672E" w:rsidRDefault="002C50EE" w:rsidP="00936AD0">
      <w:pPr>
        <w:pStyle w:val="Heading1"/>
      </w:pPr>
      <w:r>
        <w:t>7. ПРИТЕЖАТЕЛ НА РАЗРЕШЕНИЕТО ЗА УПОТРЕБА</w:t>
      </w:r>
    </w:p>
    <w:p w14:paraId="1CFDA087" w14:textId="49041470" w:rsidR="00E47BF2" w:rsidRDefault="00E47BF2" w:rsidP="00E47BF2"/>
    <w:p w14:paraId="2B52578F" w14:textId="77777777" w:rsidR="00E47BF2" w:rsidRPr="00E47BF2" w:rsidRDefault="00E47BF2" w:rsidP="00E47BF2">
      <w:pPr>
        <w:rPr>
          <w:sz w:val="24"/>
          <w:szCs w:val="24"/>
        </w:rPr>
      </w:pPr>
      <w:r w:rsidRPr="00E47BF2">
        <w:rPr>
          <w:lang w:eastAsia="bg-BG"/>
        </w:rPr>
        <w:t>Нео Балканика ЕООД,</w:t>
      </w:r>
    </w:p>
    <w:p w14:paraId="10F5C352" w14:textId="77777777" w:rsidR="00E47BF2" w:rsidRPr="00E47BF2" w:rsidRDefault="00E47BF2" w:rsidP="00E47BF2">
      <w:pPr>
        <w:rPr>
          <w:sz w:val="24"/>
          <w:szCs w:val="24"/>
        </w:rPr>
      </w:pPr>
      <w:r w:rsidRPr="00E47BF2">
        <w:rPr>
          <w:lang w:eastAsia="bg-BG"/>
        </w:rPr>
        <w:t>ул."3емляне" 35,</w:t>
      </w:r>
    </w:p>
    <w:p w14:paraId="3C90EBC6" w14:textId="3F52E75F" w:rsidR="00E47BF2" w:rsidRPr="00E47BF2" w:rsidRDefault="00E47BF2" w:rsidP="00E47BF2">
      <w:r w:rsidRPr="00E47BF2">
        <w:rPr>
          <w:lang w:eastAsia="bg-BG"/>
        </w:rPr>
        <w:t>1618 София, България</w:t>
      </w:r>
    </w:p>
    <w:p w14:paraId="508F3A54" w14:textId="6A830565" w:rsidR="00B6672E" w:rsidRDefault="00936AD0" w:rsidP="00936AD0">
      <w:pPr>
        <w:pStyle w:val="Heading1"/>
      </w:pPr>
      <w:r>
        <w:t>8.</w:t>
      </w:r>
      <w:r w:rsidR="002C50EE">
        <w:t>НОМЕР НА РАЗРЕШЕНИЕТО ЗА УПОТРЕБА</w:t>
      </w:r>
    </w:p>
    <w:p w14:paraId="3F72E462" w14:textId="35B064A2" w:rsidR="00E47BF2" w:rsidRDefault="00E47BF2" w:rsidP="00E47BF2"/>
    <w:p w14:paraId="4B117D4F" w14:textId="5B08E626" w:rsidR="00E47BF2" w:rsidRPr="00E47BF2" w:rsidRDefault="00E47BF2" w:rsidP="00E47BF2">
      <w:r>
        <w:t>20100253</w:t>
      </w:r>
    </w:p>
    <w:p w14:paraId="2CCB5832" w14:textId="7F722EFF" w:rsidR="007C605B" w:rsidRDefault="002C50EE" w:rsidP="007C605B">
      <w:pPr>
        <w:pStyle w:val="Heading1"/>
      </w:pPr>
      <w:r>
        <w:lastRenderedPageBreak/>
        <w:t>9. ДАТА НА ПЪРВО РАЗРЕШАВАНЕ/ПОДНОВЯВАНЕ НА РАЗРЕШЕНИЕТО ЗА УПОТРЕБА</w:t>
      </w:r>
    </w:p>
    <w:p w14:paraId="5A81DBC1" w14:textId="42D86357" w:rsidR="00E47BF2" w:rsidRDefault="00E47BF2" w:rsidP="00E47BF2"/>
    <w:p w14:paraId="5DD4C296" w14:textId="77777777" w:rsidR="00E47BF2" w:rsidRPr="00E47BF2" w:rsidRDefault="00E47BF2" w:rsidP="00E47BF2">
      <w:pPr>
        <w:rPr>
          <w:sz w:val="24"/>
          <w:szCs w:val="24"/>
        </w:rPr>
      </w:pPr>
      <w:r w:rsidRPr="00E47BF2">
        <w:rPr>
          <w:lang w:eastAsia="bg-BG"/>
        </w:rPr>
        <w:t>Дата на първо разрешаване: 19 април 2010 г.</w:t>
      </w:r>
    </w:p>
    <w:p w14:paraId="0267CD7C" w14:textId="4639D23A" w:rsidR="00E47BF2" w:rsidRPr="00E47BF2" w:rsidRDefault="00E47BF2" w:rsidP="00E47BF2">
      <w:r w:rsidRPr="00E47BF2">
        <w:rPr>
          <w:lang w:eastAsia="bg-BG"/>
        </w:rPr>
        <w:t>Дата на последно подновяване:</w:t>
      </w:r>
    </w:p>
    <w:p w14:paraId="0E9D0119" w14:textId="0245C6D7" w:rsidR="002C50EE" w:rsidRDefault="002C50EE" w:rsidP="002C50EE">
      <w:pPr>
        <w:pStyle w:val="Heading1"/>
      </w:pPr>
      <w:r>
        <w:t>10. ДАТА НА АКТУАЛИЗИРАНЕ НА ТЕКСТА</w:t>
      </w:r>
    </w:p>
    <w:bookmarkEnd w:id="0"/>
    <w:p w14:paraId="43FB38A2" w14:textId="6A5706F3" w:rsidR="007C605B" w:rsidRPr="003E3126" w:rsidRDefault="00E47BF2" w:rsidP="00E47BF2">
      <w:r>
        <w:t>02/2022</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4A6C"/>
    <w:multiLevelType w:val="hybridMultilevel"/>
    <w:tmpl w:val="965A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C54EC"/>
    <w:multiLevelType w:val="hybridMultilevel"/>
    <w:tmpl w:val="3230D80A"/>
    <w:lvl w:ilvl="0" w:tplc="A086AD38">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E66A0"/>
    <w:multiLevelType w:val="hybridMultilevel"/>
    <w:tmpl w:val="B5ACFEB0"/>
    <w:lvl w:ilvl="0" w:tplc="A086AD38">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4"/>
  </w:num>
  <w:num w:numId="12">
    <w:abstractNumId w:val="17"/>
  </w:num>
  <w:num w:numId="13">
    <w:abstractNumId w:val="22"/>
  </w:num>
  <w:num w:numId="14">
    <w:abstractNumId w:val="15"/>
  </w:num>
  <w:num w:numId="15">
    <w:abstractNumId w:val="33"/>
  </w:num>
  <w:num w:numId="16">
    <w:abstractNumId w:val="13"/>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5"/>
  </w:num>
  <w:num w:numId="28">
    <w:abstractNumId w:val="6"/>
  </w:num>
  <w:num w:numId="29">
    <w:abstractNumId w:val="23"/>
  </w:num>
  <w:num w:numId="30">
    <w:abstractNumId w:val="38"/>
  </w:num>
  <w:num w:numId="31">
    <w:abstractNumId w:val="5"/>
  </w:num>
  <w:num w:numId="32">
    <w:abstractNumId w:val="37"/>
  </w:num>
  <w:num w:numId="33">
    <w:abstractNumId w:val="32"/>
  </w:num>
  <w:num w:numId="34">
    <w:abstractNumId w:val="36"/>
  </w:num>
  <w:num w:numId="35">
    <w:abstractNumId w:val="7"/>
  </w:num>
  <w:num w:numId="36">
    <w:abstractNumId w:val="11"/>
  </w:num>
  <w:num w:numId="37">
    <w:abstractNumId w:val="30"/>
  </w:num>
  <w:num w:numId="38">
    <w:abstractNumId w:val="1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546A8"/>
    <w:rsid w:val="00C809A7"/>
    <w:rsid w:val="00C83063"/>
    <w:rsid w:val="00C87E90"/>
    <w:rsid w:val="00CA1B57"/>
    <w:rsid w:val="00CF77F7"/>
    <w:rsid w:val="00D86297"/>
    <w:rsid w:val="00DD466D"/>
    <w:rsid w:val="00E47BF2"/>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5982</Words>
  <Characters>34099</Characters>
  <Application>Microsoft Office Word</Application>
  <DocSecurity>0</DocSecurity>
  <Lines>284</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2022-08-31T17:03:00Z</dcterms:created>
  <dcterms:modified xsi:type="dcterms:W3CDTF">2022-08-31T17:03:00Z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