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320F4BE" w14:textId="50543E9D" w:rsidR="00C40420" w:rsidRDefault="00DD466D" w:rsidP="004A448E">
      <w:pPr>
        <w:pStyle w:val="Heading1"/>
      </w:pPr>
      <w:r>
        <w:t>1.ИМЕ НА ЛЕКАРСТВЕНИЯ ПРОДУКТ</w:t>
      </w:r>
    </w:p>
    <w:p w14:paraId="4AF2FC74" w14:textId="66CBCBCD" w:rsidR="006E0308" w:rsidRDefault="006E0308" w:rsidP="006E0308"/>
    <w:p w14:paraId="7FA567F9" w14:textId="65FD658A" w:rsidR="006E0308" w:rsidRPr="006E0308" w:rsidRDefault="00415E1D" w:rsidP="006E0308">
      <w:pPr>
        <w:rPr>
          <w:sz w:val="24"/>
          <w:szCs w:val="24"/>
        </w:rPr>
      </w:pPr>
      <w:r>
        <w:rPr>
          <w:lang w:eastAsia="bg-BG"/>
        </w:rPr>
        <w:t>Ирбесан 150</w:t>
      </w:r>
      <w:r w:rsidR="006E0308" w:rsidRPr="006E0308">
        <w:rPr>
          <w:lang w:eastAsia="bg-BG"/>
        </w:rPr>
        <w:t xml:space="preserve"> </w:t>
      </w:r>
      <w:r w:rsidR="006E0308" w:rsidRPr="006E0308">
        <w:rPr>
          <w:lang w:val="en-US"/>
        </w:rPr>
        <w:t>mg</w:t>
      </w:r>
      <w:r w:rsidR="006E0308" w:rsidRPr="006E0308">
        <w:t xml:space="preserve"> </w:t>
      </w:r>
      <w:r w:rsidR="006E0308" w:rsidRPr="006E0308">
        <w:rPr>
          <w:lang w:eastAsia="bg-BG"/>
        </w:rPr>
        <w:t>филмирани таблетки</w:t>
      </w:r>
    </w:p>
    <w:p w14:paraId="0792C82D" w14:textId="72EBC49E" w:rsidR="006E0308" w:rsidRPr="006E0308" w:rsidRDefault="006E0308" w:rsidP="006E0308">
      <w:pPr>
        <w:rPr>
          <w:sz w:val="24"/>
          <w:szCs w:val="24"/>
        </w:rPr>
      </w:pPr>
      <w:proofErr w:type="spellStart"/>
      <w:r w:rsidRPr="006E0308">
        <w:rPr>
          <w:lang w:val="en-US"/>
        </w:rPr>
        <w:t>Irbesan</w:t>
      </w:r>
      <w:proofErr w:type="spellEnd"/>
      <w:r w:rsidRPr="006E0308">
        <w:t xml:space="preserve"> </w:t>
      </w:r>
      <w:r w:rsidR="00415E1D">
        <w:rPr>
          <w:lang w:eastAsia="bg-BG"/>
        </w:rPr>
        <w:t>150</w:t>
      </w:r>
      <w:r w:rsidRPr="006E0308">
        <w:rPr>
          <w:lang w:eastAsia="bg-BG"/>
        </w:rPr>
        <w:t xml:space="preserve"> </w:t>
      </w:r>
      <w:r w:rsidRPr="006E0308">
        <w:rPr>
          <w:lang w:val="en-US"/>
        </w:rPr>
        <w:t>mg</w:t>
      </w:r>
      <w:r w:rsidRPr="006E0308">
        <w:t xml:space="preserve"> </w:t>
      </w:r>
      <w:r w:rsidRPr="006E0308">
        <w:rPr>
          <w:lang w:val="en-US"/>
        </w:rPr>
        <w:t>film</w:t>
      </w:r>
      <w:r w:rsidRPr="006E0308">
        <w:t>-</w:t>
      </w:r>
      <w:r w:rsidRPr="006E0308">
        <w:rPr>
          <w:lang w:val="en-US"/>
        </w:rPr>
        <w:t>coated</w:t>
      </w:r>
      <w:r w:rsidRPr="006E0308">
        <w:t xml:space="preserve"> </w:t>
      </w:r>
      <w:r w:rsidRPr="006E0308">
        <w:rPr>
          <w:lang w:val="en-US"/>
        </w:rPr>
        <w:t>tablets</w:t>
      </w:r>
    </w:p>
    <w:p w14:paraId="33565343" w14:textId="77777777" w:rsidR="006E0308" w:rsidRPr="006E0308" w:rsidRDefault="006E0308" w:rsidP="006E0308"/>
    <w:p w14:paraId="6920A680" w14:textId="25161E9F" w:rsidR="00C40420" w:rsidRDefault="00DD466D" w:rsidP="004A448E">
      <w:pPr>
        <w:pStyle w:val="Heading1"/>
      </w:pPr>
      <w:r>
        <w:t>2. КАЧЕСТВЕН И КОЛИЧЕСТВЕН СЪСТАВ</w:t>
      </w:r>
    </w:p>
    <w:p w14:paraId="5CA17D0C" w14:textId="3A47138B" w:rsidR="006E0308" w:rsidRDefault="006E0308" w:rsidP="006E0308"/>
    <w:p w14:paraId="331E4C9D" w14:textId="038A4E65" w:rsidR="006E0308" w:rsidRPr="006E0308" w:rsidRDefault="006E0308" w:rsidP="006E0308">
      <w:pPr>
        <w:rPr>
          <w:sz w:val="24"/>
          <w:szCs w:val="24"/>
        </w:rPr>
      </w:pPr>
      <w:r w:rsidRPr="006E0308">
        <w:rPr>
          <w:lang w:eastAsia="bg-BG"/>
        </w:rPr>
        <w:t>Всяк</w:t>
      </w:r>
      <w:r w:rsidR="00415E1D">
        <w:rPr>
          <w:lang w:eastAsia="bg-BG"/>
        </w:rPr>
        <w:t>а филмирана таблетка съдържа 150</w:t>
      </w:r>
      <w:bookmarkStart w:id="1" w:name="_GoBack"/>
      <w:bookmarkEnd w:id="1"/>
      <w:r w:rsidRPr="006E0308">
        <w:rPr>
          <w:lang w:eastAsia="bg-BG"/>
        </w:rPr>
        <w:t xml:space="preserve"> </w:t>
      </w:r>
      <w:r w:rsidRPr="006E0308">
        <w:rPr>
          <w:lang w:val="en-US"/>
        </w:rPr>
        <w:t>mg</w:t>
      </w:r>
      <w:r w:rsidRPr="006E0308">
        <w:t xml:space="preserve"> </w:t>
      </w:r>
      <w:r w:rsidRPr="006E0308">
        <w:rPr>
          <w:lang w:eastAsia="bg-BG"/>
        </w:rPr>
        <w:t xml:space="preserve">ирбесартан </w:t>
      </w:r>
      <w:r w:rsidRPr="006E0308">
        <w:rPr>
          <w:i/>
          <w:iCs/>
        </w:rPr>
        <w:t>(</w:t>
      </w:r>
      <w:proofErr w:type="spellStart"/>
      <w:r w:rsidRPr="006E0308">
        <w:rPr>
          <w:i/>
          <w:iCs/>
          <w:lang w:val="en-US"/>
        </w:rPr>
        <w:t>irbesartari</w:t>
      </w:r>
      <w:proofErr w:type="spellEnd"/>
      <w:r w:rsidRPr="006E0308">
        <w:rPr>
          <w:i/>
          <w:iCs/>
        </w:rPr>
        <w:t>).</w:t>
      </w:r>
    </w:p>
    <w:p w14:paraId="0569BB29" w14:textId="77777777" w:rsidR="006E0308" w:rsidRDefault="006E0308" w:rsidP="006E0308">
      <w:pPr>
        <w:rPr>
          <w:lang w:eastAsia="bg-BG"/>
        </w:rPr>
      </w:pPr>
    </w:p>
    <w:p w14:paraId="53C5A1B3" w14:textId="0ECDBA1E" w:rsidR="006E0308" w:rsidRPr="006E0308" w:rsidRDefault="006E0308" w:rsidP="006E0308">
      <w:r w:rsidRPr="006E0308">
        <w:rPr>
          <w:lang w:eastAsia="bg-BG"/>
        </w:rPr>
        <w:t>Пощоно вещество с известно действие: съдържа лактоза монохидрат.</w:t>
      </w:r>
    </w:p>
    <w:p w14:paraId="614984C4" w14:textId="443DD874" w:rsidR="008A6AF2" w:rsidRDefault="00DD466D" w:rsidP="002C50EE">
      <w:pPr>
        <w:pStyle w:val="Heading1"/>
      </w:pPr>
      <w:r>
        <w:t>3. ЛЕКАРСТВЕНА ФОРМА</w:t>
      </w:r>
    </w:p>
    <w:p w14:paraId="13A5BBB3" w14:textId="581E8889" w:rsidR="006E0308" w:rsidRDefault="006E0308" w:rsidP="006E0308"/>
    <w:p w14:paraId="27D162FF" w14:textId="77777777" w:rsidR="006E0308" w:rsidRPr="006E0308" w:rsidRDefault="006E0308" w:rsidP="006E0308">
      <w:pPr>
        <w:rPr>
          <w:sz w:val="24"/>
          <w:szCs w:val="24"/>
        </w:rPr>
      </w:pPr>
      <w:r w:rsidRPr="006E0308">
        <w:rPr>
          <w:lang w:eastAsia="bg-BG"/>
        </w:rPr>
        <w:t>Филмирана таблетка.</w:t>
      </w:r>
    </w:p>
    <w:p w14:paraId="2668C6B0" w14:textId="26CF9439" w:rsidR="006E0308" w:rsidRPr="006E0308" w:rsidRDefault="006E0308" w:rsidP="006E0308">
      <w:r w:rsidRPr="006E0308">
        <w:rPr>
          <w:lang w:eastAsia="bg-BG"/>
        </w:rPr>
        <w:t>Бели, овални, двойно-изпъкнали филмирани таблетки, с делителна черта от едната страна.</w:t>
      </w:r>
    </w:p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0C8E6903" w14:textId="04762268" w:rsidR="008134C8" w:rsidRDefault="002C50EE" w:rsidP="004A448E">
      <w:pPr>
        <w:pStyle w:val="Heading2"/>
      </w:pPr>
      <w:r>
        <w:t>4.1. Терапевтични показания</w:t>
      </w:r>
    </w:p>
    <w:p w14:paraId="43129F23" w14:textId="3C6FD3C3" w:rsidR="006E0308" w:rsidRDefault="006E0308" w:rsidP="006E0308"/>
    <w:p w14:paraId="72F0534C" w14:textId="77777777" w:rsidR="006E0308" w:rsidRPr="006E0308" w:rsidRDefault="006E0308" w:rsidP="006E0308">
      <w:pPr>
        <w:rPr>
          <w:sz w:val="24"/>
          <w:szCs w:val="24"/>
        </w:rPr>
      </w:pPr>
      <w:r w:rsidRPr="006E0308">
        <w:rPr>
          <w:lang w:eastAsia="bg-BG"/>
        </w:rPr>
        <w:t>Ирбесан е показан при лечение на:</w:t>
      </w:r>
    </w:p>
    <w:p w14:paraId="034E1D18" w14:textId="77777777" w:rsidR="006E0308" w:rsidRPr="006E0308" w:rsidRDefault="006E0308" w:rsidP="006E0308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6E0308">
        <w:rPr>
          <w:lang w:eastAsia="bg-BG"/>
        </w:rPr>
        <w:t>Есенциална хипертония,</w:t>
      </w:r>
    </w:p>
    <w:p w14:paraId="291BB5B6" w14:textId="0CA96A3F" w:rsidR="006E0308" w:rsidRPr="006E0308" w:rsidRDefault="006E0308" w:rsidP="006E0308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6E0308">
        <w:rPr>
          <w:lang w:eastAsia="bg-BG"/>
        </w:rPr>
        <w:t>Диабетна нефропатия при пациенти с хипертония и диабет тип 2, като част от антихипертензивния режим (вж. точки 4.3,</w:t>
      </w:r>
      <w:r w:rsidRPr="006E0308">
        <w:rPr>
          <w:lang w:val="ru-RU"/>
        </w:rPr>
        <w:t xml:space="preserve"> </w:t>
      </w:r>
      <w:r w:rsidRPr="006E0308">
        <w:rPr>
          <w:lang w:eastAsia="bg-BG"/>
        </w:rPr>
        <w:t>4.4,</w:t>
      </w:r>
      <w:r w:rsidRPr="006E0308">
        <w:rPr>
          <w:lang w:val="ru-RU"/>
        </w:rPr>
        <w:t xml:space="preserve"> </w:t>
      </w:r>
      <w:r w:rsidRPr="006E0308">
        <w:rPr>
          <w:lang w:eastAsia="bg-BG"/>
        </w:rPr>
        <w:t>4.5 и 5.1).</w:t>
      </w:r>
    </w:p>
    <w:p w14:paraId="5A5DBAE4" w14:textId="77777777" w:rsidR="006E0308" w:rsidRPr="006E0308" w:rsidRDefault="006E0308" w:rsidP="006E0308">
      <w:pPr>
        <w:rPr>
          <w:sz w:val="24"/>
          <w:szCs w:val="24"/>
        </w:rPr>
      </w:pPr>
    </w:p>
    <w:p w14:paraId="30BE2C7B" w14:textId="66BECB4D" w:rsidR="008134C8" w:rsidRDefault="002C50EE" w:rsidP="004A448E">
      <w:pPr>
        <w:pStyle w:val="Heading2"/>
      </w:pPr>
      <w:r>
        <w:t>4.2. Дозировка и начин на приложение</w:t>
      </w:r>
    </w:p>
    <w:p w14:paraId="408A41E9" w14:textId="130F5892" w:rsidR="006E0308" w:rsidRDefault="006E0308" w:rsidP="006E0308"/>
    <w:p w14:paraId="0B790723" w14:textId="77777777" w:rsidR="006E0308" w:rsidRPr="006E0308" w:rsidRDefault="006E0308" w:rsidP="006E0308">
      <w:pPr>
        <w:pStyle w:val="Heading3"/>
        <w:rPr>
          <w:rFonts w:eastAsia="Times New Roman"/>
          <w:u w:val="single"/>
        </w:rPr>
      </w:pPr>
      <w:r w:rsidRPr="006E0308">
        <w:rPr>
          <w:rFonts w:eastAsia="Times New Roman"/>
          <w:u w:val="single"/>
          <w:lang w:eastAsia="bg-BG"/>
        </w:rPr>
        <w:t>Дозировка</w:t>
      </w:r>
    </w:p>
    <w:p w14:paraId="779FE1A4" w14:textId="77777777" w:rsidR="006E0308" w:rsidRDefault="006E0308" w:rsidP="006E03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C1752CE" w14:textId="15D06ADA" w:rsidR="006E0308" w:rsidRDefault="006E0308" w:rsidP="006E0308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6E0308">
        <w:rPr>
          <w:rFonts w:eastAsia="Times New Roman" w:cs="Arial"/>
          <w:color w:val="000000"/>
          <w:lang w:eastAsia="bg-BG"/>
        </w:rPr>
        <w:t xml:space="preserve">Обичайната начална и поддържаща доза е 150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 xml:space="preserve">ирбесартан веднъж дневно по време </w:t>
      </w:r>
    </w:p>
    <w:p w14:paraId="3D137540" w14:textId="0A4C4C49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на хранене или извън периодите на хранене. Дозировката от 150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 xml:space="preserve">веднъж дневно обикновено осигурява по-добро поддържане на кръвното налягане в границите на нормата в продължение на 24 часа, отколкото доза от 75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. </w:t>
      </w:r>
      <w:r w:rsidRPr="006E0308">
        <w:rPr>
          <w:rFonts w:eastAsia="Times New Roman" w:cs="Arial"/>
          <w:color w:val="000000"/>
          <w:lang w:eastAsia="bg-BG"/>
        </w:rPr>
        <w:t xml:space="preserve">Все пак, особено при пациенти над 75-годишна възраст или при болни на хемодиализа, лечението може да започне с доза от 75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>.</w:t>
      </w:r>
    </w:p>
    <w:p w14:paraId="61225093" w14:textId="77777777" w:rsidR="006E0308" w:rsidRDefault="006E0308" w:rsidP="006E03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E85E02F" w14:textId="4BA05679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При пациенти, които не се повлияват достатъчно добре от прием на 150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 xml:space="preserve">ирбесартан дневно, дозата може да се повиши до 300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>дневно или към терапията да се добавят и други антихипертензивни средства. По-специално е доказано, че приемът на диуретик от рода на хидрохлоротиазид има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>адитивен ефект с ирбесартан (вж. точки 4.3,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>4.4,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>4.5 и 5.1).</w:t>
      </w:r>
    </w:p>
    <w:p w14:paraId="6D3148CE" w14:textId="77777777" w:rsidR="006E0308" w:rsidRDefault="006E0308" w:rsidP="006E03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F62CEF" w14:textId="7C79F176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lastRenderedPageBreak/>
        <w:t xml:space="preserve">При лечение на диабетна нефропатия при пациенти с хипертония и диабет тип 2 се започва със 150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 xml:space="preserve">ирбесартан веднъж дневно и се достига до поддържаща доза от 300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>веднъж дневно, като предпочитана поддържаща доза за лечение на бъбречното заболяване.</w:t>
      </w:r>
    </w:p>
    <w:p w14:paraId="5109325D" w14:textId="77777777" w:rsidR="006E0308" w:rsidRDefault="006E0308" w:rsidP="006E03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F26C010" w14:textId="16C2FA4E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Доказаният терапевтичен ефект на ирбесартан при пациенти с хипертония и диабет тип 2 се дължи на проучвания, в които при необходимост ирбесартан е приеман допълнително към други антихипертензивни агенти за достигане на определено кръвно налягане (вж. точка 4.3, 4.4, 4.5 и 5.1).</w:t>
      </w:r>
    </w:p>
    <w:p w14:paraId="28535638" w14:textId="77777777" w:rsidR="006E0308" w:rsidRDefault="006E0308" w:rsidP="006E03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CA30D96" w14:textId="68DE042E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6E993A89" w14:textId="77777777" w:rsidR="006E0308" w:rsidRDefault="006E0308" w:rsidP="006E0308">
      <w:pPr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EC5931C" w14:textId="201F5F56" w:rsidR="006E0308" w:rsidRPr="006E0308" w:rsidRDefault="006E0308" w:rsidP="006E0308">
      <w:pPr>
        <w:rPr>
          <w:rFonts w:eastAsia="Times New Roman" w:cs="Arial"/>
          <w:i/>
          <w:iCs/>
          <w:color w:val="000000"/>
          <w:u w:val="single"/>
          <w:lang w:eastAsia="bg-BG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Пациенти с нарушена бъбречна функция</w:t>
      </w:r>
    </w:p>
    <w:p w14:paraId="63E10AE7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Не се налага адаптиране на дозата при пациенти с нарушена бъбречна функция. При пациенти на хемодиализа лечението може да започне с по-ниска начална доза (75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) </w:t>
      </w:r>
      <w:r w:rsidRPr="006E0308">
        <w:rPr>
          <w:rFonts w:eastAsia="Times New Roman" w:cs="Arial"/>
          <w:color w:val="000000"/>
          <w:lang w:eastAsia="bg-BG"/>
        </w:rPr>
        <w:t>(вж. точка 4.4).</w:t>
      </w:r>
    </w:p>
    <w:p w14:paraId="404FD252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B6C321C" w14:textId="3537FF74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Пациенти с чернодробна недостатъчност</w:t>
      </w:r>
    </w:p>
    <w:p w14:paraId="10CB2F1F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Не се налага адаптиране на дозата при пациенти с лека до умерена степен на чернодробно увреждане. Няма клиничен опит при лечение на болни с тежко чернодробно увреждане.</w:t>
      </w:r>
    </w:p>
    <w:p w14:paraId="47657FB9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5DDB6EA8" w14:textId="514461B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Пациенти в старческа възраст</w:t>
      </w:r>
    </w:p>
    <w:p w14:paraId="46311E4A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Въпреки че при болни над 75-годишна възраст трябва да бъде назначена начална доза от 75 </w:t>
      </w:r>
      <w:r w:rsidRPr="006E0308">
        <w:rPr>
          <w:rFonts w:eastAsia="Times New Roman" w:cs="Arial"/>
          <w:color w:val="000000"/>
          <w:lang w:val="en-US"/>
        </w:rPr>
        <w:t>mg</w:t>
      </w:r>
      <w:r w:rsidRPr="006E0308">
        <w:rPr>
          <w:rFonts w:eastAsia="Times New Roman" w:cs="Arial"/>
          <w:color w:val="000000"/>
          <w:lang w:val="ru-RU"/>
        </w:rPr>
        <w:t xml:space="preserve">, </w:t>
      </w:r>
      <w:r w:rsidRPr="006E0308">
        <w:rPr>
          <w:rFonts w:eastAsia="Times New Roman" w:cs="Arial"/>
          <w:color w:val="000000"/>
          <w:lang w:eastAsia="bg-BG"/>
        </w:rPr>
        <w:t>обичайно не се налага адаптиране на дозата.</w:t>
      </w:r>
    </w:p>
    <w:p w14:paraId="3D765781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563CF01" w14:textId="1BE1B8AC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Педиатрична популация</w:t>
      </w:r>
    </w:p>
    <w:p w14:paraId="41093633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Ирбесартан не се препоръчва за употреба при деца и юноши, тъй като безопасността и ефикасността му не са установени (вж. точки 4.8, 5.1 и 5.2).</w:t>
      </w:r>
    </w:p>
    <w:p w14:paraId="472220EE" w14:textId="77777777" w:rsidR="006E0308" w:rsidRDefault="006E0308" w:rsidP="006E03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9711E64" w14:textId="0007D279" w:rsidR="006E0308" w:rsidRPr="006E0308" w:rsidRDefault="006E0308" w:rsidP="006E0308">
      <w:pPr>
        <w:pStyle w:val="Heading3"/>
        <w:rPr>
          <w:rFonts w:eastAsia="Times New Roman"/>
          <w:u w:val="single"/>
        </w:rPr>
      </w:pPr>
      <w:r w:rsidRPr="006E0308">
        <w:rPr>
          <w:rFonts w:eastAsia="Times New Roman"/>
          <w:u w:val="single"/>
          <w:lang w:eastAsia="bg-BG"/>
        </w:rPr>
        <w:t>Начин на приложение</w:t>
      </w:r>
    </w:p>
    <w:p w14:paraId="1D25817B" w14:textId="77777777" w:rsidR="006E0308" w:rsidRDefault="006E0308" w:rsidP="006E0308">
      <w:pPr>
        <w:rPr>
          <w:rFonts w:eastAsia="Times New Roman" w:cs="Arial"/>
          <w:color w:val="000000"/>
          <w:lang w:eastAsia="bg-BG"/>
        </w:rPr>
      </w:pPr>
    </w:p>
    <w:p w14:paraId="28C7C274" w14:textId="0356346A" w:rsidR="006E0308" w:rsidRPr="006E0308" w:rsidRDefault="006E0308" w:rsidP="006E0308">
      <w:pPr>
        <w:rPr>
          <w:rFonts w:eastAsia="Times New Roman" w:cs="Arial"/>
          <w:color w:val="000000"/>
          <w:lang w:eastAsia="bg-BG"/>
        </w:rPr>
      </w:pPr>
      <w:r w:rsidRPr="006E0308">
        <w:rPr>
          <w:rFonts w:eastAsia="Times New Roman" w:cs="Arial"/>
          <w:color w:val="000000"/>
          <w:lang w:eastAsia="bg-BG"/>
        </w:rPr>
        <w:t>За перорално приложение.</w:t>
      </w:r>
    </w:p>
    <w:p w14:paraId="5612AEE9" w14:textId="77777777" w:rsidR="006E0308" w:rsidRPr="006E0308" w:rsidRDefault="006E0308" w:rsidP="006E0308"/>
    <w:p w14:paraId="28C984E8" w14:textId="42E4FD49" w:rsidR="008134C8" w:rsidRDefault="002C50EE" w:rsidP="004A448E">
      <w:pPr>
        <w:pStyle w:val="Heading2"/>
      </w:pPr>
      <w:r>
        <w:t>4.3. Противопоказания</w:t>
      </w:r>
    </w:p>
    <w:p w14:paraId="65D5BCCC" w14:textId="53B8D1CC" w:rsidR="006E0308" w:rsidRDefault="006E0308" w:rsidP="006E0308"/>
    <w:p w14:paraId="10FF861D" w14:textId="77777777" w:rsidR="006E0308" w:rsidRDefault="006E0308" w:rsidP="006E0308">
      <w:pPr>
        <w:pStyle w:val="ListParagraph"/>
        <w:numPr>
          <w:ilvl w:val="0"/>
          <w:numId w:val="35"/>
        </w:numPr>
        <w:rPr>
          <w:lang w:eastAsia="bg-BG"/>
        </w:rPr>
      </w:pPr>
      <w:r w:rsidRPr="006E0308">
        <w:rPr>
          <w:lang w:eastAsia="bg-BG"/>
        </w:rPr>
        <w:t>Свръхчувствителност към ирбесартан или към някое от помощните вещества, изброени в точка 6.1.</w:t>
      </w:r>
    </w:p>
    <w:p w14:paraId="3975D2AE" w14:textId="77777777" w:rsidR="006E0308" w:rsidRDefault="006E0308" w:rsidP="006E0308">
      <w:pPr>
        <w:pStyle w:val="ListParagraph"/>
        <w:numPr>
          <w:ilvl w:val="0"/>
          <w:numId w:val="35"/>
        </w:numPr>
        <w:rPr>
          <w:lang w:eastAsia="bg-BG"/>
        </w:rPr>
      </w:pPr>
      <w:r w:rsidRPr="006E0308">
        <w:rPr>
          <w:lang w:eastAsia="bg-BG"/>
        </w:rPr>
        <w:t>Втория и третия триместър на бременността (вж. точка 4.6)</w:t>
      </w:r>
    </w:p>
    <w:p w14:paraId="4B78F473" w14:textId="5A1D84A0" w:rsidR="006E0308" w:rsidRPr="006E0308" w:rsidRDefault="006E0308" w:rsidP="006E0308">
      <w:pPr>
        <w:pStyle w:val="ListParagraph"/>
        <w:numPr>
          <w:ilvl w:val="0"/>
          <w:numId w:val="35"/>
        </w:numPr>
        <w:rPr>
          <w:lang w:eastAsia="bg-BG"/>
        </w:rPr>
      </w:pPr>
      <w:r w:rsidRPr="006E0308">
        <w:rPr>
          <w:lang w:eastAsia="bg-BG"/>
        </w:rPr>
        <w:t xml:space="preserve">Едновременната употреба на Ирбесан с алискирен-съдържащи продукти е противопоказана при пациенти със захарен диабет или бъбречно увреждане </w:t>
      </w:r>
      <w:r w:rsidRPr="006E0308">
        <w:rPr>
          <w:lang w:val="ru-RU"/>
        </w:rPr>
        <w:t>(</w:t>
      </w:r>
      <w:r w:rsidRPr="006E0308">
        <w:rPr>
          <w:lang w:val="en-US"/>
        </w:rPr>
        <w:t>GFR</w:t>
      </w:r>
      <w:r w:rsidRPr="006E0308">
        <w:rPr>
          <w:lang w:val="ru-RU"/>
        </w:rPr>
        <w:t xml:space="preserve"> </w:t>
      </w:r>
      <w:r w:rsidRPr="006E0308">
        <w:rPr>
          <w:lang w:eastAsia="bg-BG"/>
        </w:rPr>
        <w:t xml:space="preserve">&lt; 60 </w:t>
      </w:r>
      <w:r w:rsidRPr="006E0308">
        <w:rPr>
          <w:lang w:val="en-US"/>
        </w:rPr>
        <w:t>ml</w:t>
      </w:r>
      <w:r w:rsidRPr="006E0308">
        <w:rPr>
          <w:lang w:val="ru-RU"/>
        </w:rPr>
        <w:t>/</w:t>
      </w:r>
      <w:r w:rsidRPr="006E0308">
        <w:rPr>
          <w:lang w:val="en-US"/>
        </w:rPr>
        <w:t>min</w:t>
      </w:r>
      <w:r w:rsidRPr="006E0308">
        <w:rPr>
          <w:lang w:val="ru-RU"/>
        </w:rPr>
        <w:t xml:space="preserve">/1,73 </w:t>
      </w:r>
      <w:r w:rsidRPr="006E0308">
        <w:rPr>
          <w:lang w:eastAsia="bg-BG"/>
        </w:rPr>
        <w:t>m2) (вж. точки 4.5 и 5.1)</w:t>
      </w:r>
    </w:p>
    <w:p w14:paraId="74556A54" w14:textId="77777777" w:rsidR="006E0308" w:rsidRPr="006E0308" w:rsidRDefault="006E0308" w:rsidP="006E0308"/>
    <w:p w14:paraId="212F509C" w14:textId="78202DE8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58E0F2D" w14:textId="35E8E86C" w:rsidR="006E0308" w:rsidRDefault="006E0308" w:rsidP="006E0308"/>
    <w:p w14:paraId="3470C8E5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Вътресъдова хиповолемия</w:t>
      </w:r>
    </w:p>
    <w:p w14:paraId="65D7C64A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При пациенти с хиповолемия и/или понижено ниво на натрий в резултат на интензивно лечение с диуретици, диета бедна на готварска сол, диария или повръщане, може да се </w:t>
      </w:r>
      <w:r w:rsidRPr="006E0308">
        <w:rPr>
          <w:rFonts w:eastAsia="Times New Roman" w:cs="Arial"/>
          <w:color w:val="000000"/>
          <w:lang w:eastAsia="bg-BG"/>
        </w:rPr>
        <w:lastRenderedPageBreak/>
        <w:t>наблюдава симптоматична хипотония, най-вече след прием на първата доза. Тези състояния трябва да се коригират преди да започне лечението с ирбесартан.</w:t>
      </w:r>
    </w:p>
    <w:p w14:paraId="4A4209D0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1DF0191" w14:textId="4337AF04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Реновазална хипертония</w:t>
      </w:r>
    </w:p>
    <w:p w14:paraId="034BD4BF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Съществува повишен риск от настъпване на тежка степен на хипотония и бъбречна недостатъчност при лечение на пациенти с билатерална стеноза на бъбречните артерии или само с един функциониращ бъбрек с лекарствени продукти, действащи върху ренин- ангиотензин-алдостероновата система. Въпреки че, не е доказан при лечение с ирбесартан, подобен ефект може да се очаква в резултат от прилагане на ангиотензин </w:t>
      </w:r>
      <w:r w:rsidRPr="006E0308">
        <w:rPr>
          <w:rFonts w:eastAsia="Times New Roman" w:cs="Arial"/>
          <w:color w:val="000000"/>
          <w:lang w:val="en-US"/>
        </w:rPr>
        <w:t>II</w:t>
      </w:r>
      <w:r w:rsidRPr="006E0308">
        <w:rPr>
          <w:rFonts w:eastAsia="Times New Roman" w:cs="Arial"/>
          <w:color w:val="000000"/>
          <w:lang w:eastAsia="bg-BG"/>
        </w:rPr>
        <w:t>-рецепторни антагонисти.</w:t>
      </w:r>
    </w:p>
    <w:p w14:paraId="4A334D9F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F2D584A" w14:textId="627F56D6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Бъбречно увреждане и трансплантация на бъбрек</w:t>
      </w:r>
    </w:p>
    <w:p w14:paraId="59A0CB80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При употребата на ирбесартан от пациенти с бъбречно увреждане се препоръчва периодино проследяване на серумната концентрация на калий и серумния креатинин. Няма опит с прилагане на ирбесартан при пациенти с наскоро проведена бъбречна трансплантация.</w:t>
      </w:r>
    </w:p>
    <w:p w14:paraId="7F2B2944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8ABDC53" w14:textId="2D35AC99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Хипотония и диабетна нефропатия</w:t>
      </w:r>
    </w:p>
    <w:p w14:paraId="44300211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Терапевтичният ефект на ирбесартан върху сърдечно-съдовите и бъбречни инциденти се различава в отделните субгрупи при проучване, проведено сред пациенти с бъбречно заболяване в напреднал стадий. Тези инциденти се повлияват по-слабо при жени и при хора от черната раса (вж. точка 5.1).</w:t>
      </w:r>
    </w:p>
    <w:p w14:paraId="00CC1C93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</w:p>
    <w:p w14:paraId="3170D113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</w:p>
    <w:p w14:paraId="43293E1E" w14:textId="35DB250B" w:rsidR="006E0308" w:rsidRDefault="006E0308" w:rsidP="006E0308">
      <w:pPr>
        <w:rPr>
          <w:rFonts w:eastAsia="Times New Roman" w:cs="Arial"/>
          <w:color w:val="000000"/>
          <w:u w:val="single"/>
          <w:lang w:eastAsia="bg-BG"/>
        </w:rPr>
      </w:pPr>
      <w:r w:rsidRPr="006E0308">
        <w:rPr>
          <w:rFonts w:eastAsia="Times New Roman" w:cs="Arial"/>
          <w:color w:val="000000"/>
          <w:u w:val="single"/>
          <w:lang w:eastAsia="bg-BG"/>
        </w:rPr>
        <w:t>Двойно блокиране на ренин-ангиотензин-алдостероновата система (РААС)</w:t>
      </w:r>
    </w:p>
    <w:p w14:paraId="6C0BFD27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Има данни, че едновременната употреба на АСЕ инхибитори, ангиотензин И-рецепторни блокери или алискирен повишава риска от хипотония, хиперкалиемия и намаляване на бъбречната функция (включително остра бъбречна недостатъчност). Поради това не се препоръчва двойно блокиране на РААС чрез комбинираната употреба на АСЕ инхибитори, ангиотензин </w:t>
      </w:r>
      <w:r w:rsidRPr="006E0308">
        <w:rPr>
          <w:rFonts w:eastAsia="Times New Roman" w:cs="Arial"/>
          <w:color w:val="000000"/>
          <w:lang w:val="en-US"/>
        </w:rPr>
        <w:t>II</w:t>
      </w:r>
      <w:r w:rsidRPr="006E0308">
        <w:rPr>
          <w:rFonts w:eastAsia="Times New Roman" w:cs="Arial"/>
          <w:color w:val="000000"/>
          <w:lang w:eastAsia="bg-BG"/>
        </w:rPr>
        <w:t>-рецепторни блокери или алискирен (вж. точки 4.5 и 5.1).</w:t>
      </w:r>
    </w:p>
    <w:p w14:paraId="22FBA593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Ако се прецени, че терапията с двойно блокиране е абсолютно необходима, това трябва да става само под наблюдението на специалист и при често внимателно мониториране на бъбречната функция, електролитите и кръвното налягане.</w:t>
      </w:r>
    </w:p>
    <w:p w14:paraId="2B0BBB2A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АСЕ инхибитори и ангиотензин </w:t>
      </w:r>
      <w:r w:rsidRPr="006E0308">
        <w:rPr>
          <w:rFonts w:eastAsia="Times New Roman" w:cs="Arial"/>
          <w:color w:val="000000"/>
          <w:lang w:val="en-US"/>
        </w:rPr>
        <w:t>II</w:t>
      </w:r>
      <w:r w:rsidRPr="006E0308">
        <w:rPr>
          <w:rFonts w:eastAsia="Times New Roman" w:cs="Arial"/>
          <w:color w:val="000000"/>
          <w:lang w:eastAsia="bg-BG"/>
        </w:rPr>
        <w:t>-рецепторни блокери не трябва да се използват едновременно при пациенти с диабетна нефропатия.</w:t>
      </w:r>
    </w:p>
    <w:p w14:paraId="2DCB4BDA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C180E06" w14:textId="5DD41F8D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Хиперкалиемия</w:t>
      </w:r>
    </w:p>
    <w:p w14:paraId="41DEFF3B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Както и при други лекарствени продукти, активни по отношение на ренин-ангиотензин- алдостероновата система, при лечение с ирбесартан, може да настъпи хиперкалиемия, най-вече при бъбречна недостатъчност, клинично значима протеинурия, в резултат на диабетна нефропатия и/или сърдечна недостатъчност. При рискови пациенти, провеждащи лечение с ирбесартан се препоръчва редовно проследяване на серумната концентрация на калий (вж. точка 4.5).</w:t>
      </w:r>
    </w:p>
    <w:p w14:paraId="37C63352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2F24870" w14:textId="6B29A5B0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Литий</w:t>
      </w:r>
    </w:p>
    <w:p w14:paraId="43D1A789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Не се препоръчва комбинацията между ирбесартан и литий (вж. точка 4.5).</w:t>
      </w:r>
    </w:p>
    <w:p w14:paraId="56D81586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5D150B1C" w14:textId="49AB974C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 xml:space="preserve">Стеноза на аортната и митралната клапа, обструктивна хипертрофична кардиомиопатия </w:t>
      </w:r>
      <w:r w:rsidRPr="006E0308">
        <w:rPr>
          <w:rFonts w:eastAsia="Times New Roman" w:cs="Arial"/>
          <w:color w:val="000000"/>
          <w:lang w:eastAsia="bg-BG"/>
        </w:rPr>
        <w:t xml:space="preserve">Както и при прием на други вазодилататори, така и при лечение с ирбесартан, пациентите страдащи от стеноза на аортна или митрална клапа, както и от </w:t>
      </w:r>
      <w:r w:rsidRPr="006E0308">
        <w:rPr>
          <w:rFonts w:eastAsia="Times New Roman" w:cs="Arial"/>
          <w:color w:val="000000"/>
          <w:lang w:eastAsia="bg-BG"/>
        </w:rPr>
        <w:lastRenderedPageBreak/>
        <w:t>обструктивна хипертрофична кардиомиопатия трябва да се лекуват с повишено внимание.</w:t>
      </w:r>
    </w:p>
    <w:p w14:paraId="3F9F846E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B5810EF" w14:textId="3ABEAA7E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Първичен алдостеронизъм</w:t>
      </w:r>
    </w:p>
    <w:p w14:paraId="4C8E598B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Пациенти страдащи от първичен алдостеронизъм обикновено не се повлияват от антихипертензивни средства действащи посредством инхибиране на ренин-ангиотензиновата система. Затова употребата на ирбесартан не се препоръчва.</w:t>
      </w:r>
    </w:p>
    <w:p w14:paraId="05F5BA33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C0E1698" w14:textId="65A855F0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Обши</w:t>
      </w:r>
    </w:p>
    <w:p w14:paraId="13858AAE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При пациенти чийто съдов тонус и бъбречна функция зависят предимно от действието на ренин-ангиотензин-алдостероновата система (напр. пациенти с тежка застойна сърдечна недостатъчност или съпътстващо бъбречно заболяване, включително стеноза на бъбречните артерии), лечението с инхибитори на ангиотензин-конвертиращ ензим или с антагонисти на ангиотензин II рецептори, които действат върху тази система, е било свързано с остра хипотония, азотемия, олигурия или по-рядко бъбречна недостатъчност (вж. точка 4.5). Както и при всички антихипертензивни средства, значителното понижаване на кръвното налагане при пациенти с исхемична кардиопатия или исхемично сърдечно-съдово заболяване може да предизвика инфаркт на миокарда или инсулт.</w:t>
      </w:r>
    </w:p>
    <w:p w14:paraId="52609574" w14:textId="77777777" w:rsidR="006E0308" w:rsidRDefault="006E0308" w:rsidP="006E03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525F74D" w14:textId="3EF4DA1E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Известно е, че АСЕ-инхибиторите - ирбесартан и други ангиотензин антагонисти са по-малко ефективни при понижаване кръвното налягане при хора от черната раса сравнено с тези от бялата раса. Това вероятно се дължи на по-ниските плазмени концентрации на ренин при пациенти с хипертония от черната раса (вж. точка 5.1).</w:t>
      </w:r>
    </w:p>
    <w:p w14:paraId="17672AA3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C8D0065" w14:textId="5E5253D6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Бременност</w:t>
      </w:r>
    </w:p>
    <w:p w14:paraId="6854D7BD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Лечение с ангиотензин II-рецепторни антагонисти </w:t>
      </w:r>
      <w:r w:rsidRPr="006E0308">
        <w:rPr>
          <w:rFonts w:eastAsia="Times New Roman" w:cs="Arial"/>
          <w:color w:val="000000"/>
          <w:lang w:val="ru-RU"/>
        </w:rPr>
        <w:t>(</w:t>
      </w:r>
      <w:r w:rsidRPr="006E0308">
        <w:rPr>
          <w:rFonts w:eastAsia="Times New Roman" w:cs="Arial"/>
          <w:color w:val="000000"/>
          <w:lang w:val="en-US"/>
        </w:rPr>
        <w:t>AIIRAs</w:t>
      </w:r>
      <w:r w:rsidRPr="006E0308">
        <w:rPr>
          <w:rFonts w:eastAsia="Times New Roman" w:cs="Arial"/>
          <w:color w:val="000000"/>
          <w:lang w:val="ru-RU"/>
        </w:rPr>
        <w:t xml:space="preserve">) </w:t>
      </w:r>
      <w:r w:rsidRPr="006E0308">
        <w:rPr>
          <w:rFonts w:eastAsia="Times New Roman" w:cs="Arial"/>
          <w:color w:val="000000"/>
          <w:lang w:eastAsia="bg-BG"/>
        </w:rPr>
        <w:t xml:space="preserve">не трябва да се започва по време на бременност. Пациентките, които планират бременност, трябва да преминат на алтернативно антихипертензивно лечение с установен профил на безопасност при употреба по </w:t>
      </w:r>
      <w:r w:rsidRPr="006E0308">
        <w:rPr>
          <w:rFonts w:eastAsia="Times New Roman" w:cs="Arial"/>
          <w:color w:val="000000"/>
          <w:u w:val="single"/>
          <w:lang w:eastAsia="bg-BG"/>
        </w:rPr>
        <w:t>врем</w:t>
      </w:r>
      <w:r w:rsidRPr="006E0308">
        <w:rPr>
          <w:rFonts w:eastAsia="Times New Roman" w:cs="Arial"/>
          <w:color w:val="000000"/>
          <w:lang w:eastAsia="bg-BG"/>
        </w:rPr>
        <w:t xml:space="preserve">е на бременност, освен ако се счита, че е от особена важност да се продължи лечението с </w:t>
      </w:r>
      <w:r w:rsidRPr="006E0308">
        <w:rPr>
          <w:rFonts w:eastAsia="Times New Roman" w:cs="Arial"/>
          <w:color w:val="000000"/>
          <w:lang w:val="en-US"/>
        </w:rPr>
        <w:t>AIIRAs</w:t>
      </w:r>
      <w:r w:rsidRPr="006E0308">
        <w:rPr>
          <w:rFonts w:eastAsia="Times New Roman" w:cs="Arial"/>
          <w:color w:val="000000"/>
          <w:lang w:val="ru-RU"/>
        </w:rPr>
        <w:t>.</w:t>
      </w:r>
      <w:r w:rsidRPr="006E0308">
        <w:rPr>
          <w:rFonts w:eastAsia="Times New Roman" w:cs="Arial"/>
          <w:color w:val="000000"/>
          <w:lang w:eastAsia="bg-BG"/>
        </w:rPr>
        <w:t xml:space="preserve"> Когато се установи бременност, лечението с </w:t>
      </w:r>
      <w:r w:rsidRPr="006E0308">
        <w:rPr>
          <w:rFonts w:eastAsia="Times New Roman" w:cs="Arial"/>
          <w:color w:val="000000"/>
          <w:lang w:val="en-US"/>
        </w:rPr>
        <w:t>AIIRAs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>трябва незабавно да се прекрати и ако е подходящо да се започне алтернативно лечение.</w:t>
      </w:r>
    </w:p>
    <w:p w14:paraId="5AEFEBC4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9E55E94" w14:textId="6BDB6649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Лактоза</w:t>
      </w:r>
    </w:p>
    <w:p w14:paraId="3FD523D5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Ирбесан съдържа лактоза. Пациенти с рядка наследствена галактозна непоносимост, липса на </w:t>
      </w:r>
      <w:r w:rsidRPr="006E0308">
        <w:rPr>
          <w:rFonts w:eastAsia="Times New Roman" w:cs="Arial"/>
          <w:color w:val="000000"/>
          <w:lang w:val="en-US"/>
        </w:rPr>
        <w:t>Lapp</w:t>
      </w:r>
      <w:r w:rsidRPr="006E0308">
        <w:rPr>
          <w:rFonts w:eastAsia="Times New Roman" w:cs="Arial"/>
          <w:color w:val="000000"/>
          <w:lang w:eastAsia="bg-BG"/>
        </w:rPr>
        <w:t>-лактаза или глюкозо-галактозна малабсорбция не трябва да приемат този лекарствен продукт.</w:t>
      </w:r>
    </w:p>
    <w:p w14:paraId="1495ADD2" w14:textId="77777777" w:rsidR="006E0308" w:rsidRP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ECC783F" w14:textId="3D4B80B6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Педиатрична популация</w:t>
      </w:r>
    </w:p>
    <w:p w14:paraId="352DE8DF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Провеждани са проучвания с ирбесартан при деца и юноши между 6 и 16-годишна възраст, но получените данни са незадоволителни (вж. точка 4.8).</w:t>
      </w:r>
    </w:p>
    <w:p w14:paraId="08AE93C0" w14:textId="2C66DE47" w:rsidR="006E0308" w:rsidRPr="006E0308" w:rsidRDefault="006E0308" w:rsidP="006E0308">
      <w:pPr>
        <w:rPr>
          <w:rFonts w:cs="Arial"/>
        </w:rPr>
      </w:pPr>
    </w:p>
    <w:p w14:paraId="619DED1E" w14:textId="5725B8E5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5D331BFB" w14:textId="016A261C" w:rsidR="006E0308" w:rsidRDefault="006E0308" w:rsidP="006E0308"/>
    <w:p w14:paraId="5CCA2606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Диуретици и други антихипертензивни средства</w:t>
      </w:r>
    </w:p>
    <w:p w14:paraId="52218CF8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Приложението на други антихипертензивни средства може да доведе до увеличаване хипотензивния ефект на ирбесартан, но ирбесартан е бил прилаган без проблеми заедно с други антихипертензивни средства, като бета-блокери, калциеви антагонисти с продължително действие и тиазидни диуретици. Преходно лечение с висока доза </w:t>
      </w:r>
      <w:r w:rsidRPr="006E0308">
        <w:rPr>
          <w:rFonts w:eastAsia="Times New Roman" w:cs="Arial"/>
          <w:color w:val="000000"/>
          <w:lang w:eastAsia="bg-BG"/>
        </w:rPr>
        <w:lastRenderedPageBreak/>
        <w:t>диуретици може да предизвика настъпване на хиповолемия и да увеличи риска от хипотония при начално лечение с ирбесартан (вж. точка 4.4).</w:t>
      </w:r>
    </w:p>
    <w:p w14:paraId="76F7C3FD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C29E94C" w14:textId="639C1C55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Продукти, съдържащи алискирен или АСЕ-инхибитори</w:t>
      </w:r>
    </w:p>
    <w:p w14:paraId="1EE7F555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Данни от клинични проучвания показват, че двойното блокиране на ренин-ангиотензин алдостероновата система (РААС) чрез комбинираната употреба на АСЕ инхибитори, ангиотензин </w:t>
      </w:r>
      <w:r w:rsidRPr="006E0308">
        <w:rPr>
          <w:rFonts w:eastAsia="Times New Roman" w:cs="Arial"/>
          <w:color w:val="000000"/>
          <w:lang w:val="en-US"/>
        </w:rPr>
        <w:t>II</w:t>
      </w:r>
      <w:r w:rsidRPr="006E0308">
        <w:rPr>
          <w:rFonts w:eastAsia="Times New Roman" w:cs="Arial"/>
          <w:color w:val="000000"/>
          <w:lang w:eastAsia="bg-BG"/>
        </w:rPr>
        <w:t>-рецепторни блокери и алискирен се свързва с по-високата честота на нежелани събития, като например хипотония, хиперкалиемия и намаляване на бъбречната функция (включително остра бъбречна недостатъчност), в сравнение с употребата само на едно средство, действащо върху РААС (вж. точки 4.3,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>4.4 и 5.1).</w:t>
      </w:r>
    </w:p>
    <w:p w14:paraId="5B134F8F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3BB86EF" w14:textId="1A26BC52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Калиеви добавки и калий-съхраняваиш диуретици</w:t>
      </w:r>
    </w:p>
    <w:p w14:paraId="0C345C7D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Въз основа на натрупания клиничен опит от употреба на други лекарствени продукти действащи върху ренин-ангиотензиновата система, едновременната употреба на калий- съхраняващи диуретици, хранителни добавки съдържащи калий, заместители на готварската сол съдържащи калий или лекарствени продукти водещи до повишаване на серумния калий (напр. хепарин) не се препоръчва (вж. точка 4.4).</w:t>
      </w:r>
    </w:p>
    <w:p w14:paraId="41E70615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FCCDCD5" w14:textId="0EDFFC84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Литий</w:t>
      </w:r>
    </w:p>
    <w:p w14:paraId="0140C4C7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Съобщава се, че едновременната употреба на литий и АСЕ-инхибитори води до обратимо повишаване на серумната концентрация на литий и поява на токсични ефекти. Подобни случаи с ирбесартан до сега са били докладвани много рядко. Следователно едновременната им употреба не се препоръчва (вж. точка 4.4). Ако тази комбинация е наложителна се препоръчва внимателно проследяване на серумните концентрации на литий.</w:t>
      </w:r>
    </w:p>
    <w:p w14:paraId="14D42636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CC9C143" w14:textId="56E11AF6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Нестероидни противовъзпалителни лекарствени средства</w:t>
      </w:r>
    </w:p>
    <w:p w14:paraId="5307FF4E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 xml:space="preserve">При едновременната употреба на_антагонисти на ангиотензин </w:t>
      </w:r>
      <w:r w:rsidRPr="006E0308">
        <w:rPr>
          <w:rFonts w:eastAsia="Times New Roman" w:cs="Arial"/>
          <w:color w:val="000000"/>
          <w:lang w:val="en-US"/>
        </w:rPr>
        <w:t>II</w:t>
      </w:r>
      <w:r w:rsidRPr="006E0308">
        <w:rPr>
          <w:rFonts w:eastAsia="Times New Roman" w:cs="Arial"/>
          <w:color w:val="000000"/>
          <w:lang w:eastAsia="bg-BG"/>
        </w:rPr>
        <w:t xml:space="preserve"> рецептори и нестероидни противовъзпалитени средства (селективни СОХ-2 инхибитори, ацетилцалицилова киселина (&gt; 3 </w:t>
      </w:r>
      <w:r w:rsidRPr="006E0308">
        <w:rPr>
          <w:rFonts w:eastAsia="Times New Roman" w:cs="Arial"/>
          <w:color w:val="000000"/>
          <w:lang w:val="en-US"/>
        </w:rPr>
        <w:t>g</w:t>
      </w:r>
      <w:r w:rsidRPr="006E0308">
        <w:rPr>
          <w:rFonts w:eastAsia="Times New Roman" w:cs="Arial"/>
          <w:color w:val="000000"/>
          <w:lang w:eastAsia="bg-BG"/>
        </w:rPr>
        <w:t>/ден) и неселективни НСПВС) може да се получи намаляване на антихипертензивния ефект.</w:t>
      </w:r>
    </w:p>
    <w:p w14:paraId="74DA421D" w14:textId="77777777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color w:val="000000"/>
          <w:lang w:eastAsia="bg-BG"/>
        </w:rPr>
        <w:t>Подобно на АСЕ-инхибиторите, едновременната употреба на антагонисти на ангиотензин II рецепторите и НСПВС може да увеличи риска от влошаване на бъбречната функция, включително и остра бъбречна недостатъчност и увеличаване нивото на калий в плазмата, особено при пациенти със съществуваща преди това нарушена бъбречна функция. Комбинацията се прилага с внимание, особено при пациенти в старческа възраст. Пациентите се хидратират според случая и се отделя повишено внимание за наблюдение на бъбречната функция след започване на комбинираното лечение и след това през определени</w:t>
      </w:r>
    </w:p>
    <w:p w14:paraId="5F5F7CDC" w14:textId="77777777" w:rsidR="006E0308" w:rsidRDefault="006E0308" w:rsidP="006E0308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42754E8" w14:textId="29CAAD1A" w:rsidR="006E0308" w:rsidRPr="006E0308" w:rsidRDefault="006E0308" w:rsidP="006E0308">
      <w:pPr>
        <w:spacing w:line="240" w:lineRule="auto"/>
        <w:rPr>
          <w:rFonts w:eastAsia="Times New Roman" w:cs="Arial"/>
        </w:rPr>
      </w:pPr>
      <w:r w:rsidRPr="006E0308">
        <w:rPr>
          <w:rFonts w:eastAsia="Times New Roman" w:cs="Arial"/>
          <w:i/>
          <w:iCs/>
          <w:color w:val="000000"/>
          <w:u w:val="single"/>
          <w:lang w:eastAsia="bg-BG"/>
        </w:rPr>
        <w:t>Допълнителна информация за взаимодействията на ирбесартан</w:t>
      </w:r>
    </w:p>
    <w:p w14:paraId="62E7175B" w14:textId="77777777" w:rsidR="00147F52" w:rsidRPr="00147F52" w:rsidRDefault="006E0308" w:rsidP="00147F52">
      <w:pPr>
        <w:rPr>
          <w:rFonts w:ascii="Times New Roman" w:eastAsia="Times New Roman" w:hAnsi="Times New Roman" w:cs="Times New Roman"/>
          <w:sz w:val="24"/>
          <w:szCs w:val="24"/>
        </w:rPr>
      </w:pPr>
      <w:r w:rsidRPr="006E0308">
        <w:rPr>
          <w:rFonts w:eastAsia="Times New Roman" w:cs="Arial"/>
          <w:color w:val="000000"/>
          <w:lang w:eastAsia="bg-BG"/>
        </w:rPr>
        <w:t>При клинични проучвания, фармакокинетиката на ирбесартан не</w:t>
      </w:r>
      <w:r w:rsidRPr="006E0308">
        <w:rPr>
          <w:rFonts w:eastAsia="Times New Roman" w:cs="Arial"/>
          <w:color w:val="000000"/>
          <w:lang w:val="ru-RU"/>
        </w:rPr>
        <w:t xml:space="preserve"> </w:t>
      </w:r>
      <w:r w:rsidRPr="006E0308">
        <w:rPr>
          <w:rFonts w:eastAsia="Times New Roman" w:cs="Arial"/>
          <w:color w:val="000000"/>
          <w:lang w:eastAsia="bg-BG"/>
        </w:rPr>
        <w:t xml:space="preserve">се повлиява от хидрохлоротиазид. Ирбесартан се метаболизира главно чрез </w:t>
      </w:r>
      <w:r w:rsidRPr="006E0308">
        <w:rPr>
          <w:rFonts w:eastAsia="Times New Roman" w:cs="Arial"/>
          <w:color w:val="000000"/>
          <w:lang w:val="en-US"/>
        </w:rPr>
        <w:t>CYP</w:t>
      </w:r>
      <w:r w:rsidRPr="006E0308">
        <w:rPr>
          <w:rFonts w:eastAsia="Times New Roman" w:cs="Arial"/>
          <w:color w:val="000000"/>
          <w:lang w:val="ru-RU"/>
        </w:rPr>
        <w:t>2</w:t>
      </w:r>
      <w:r w:rsidRPr="006E0308">
        <w:rPr>
          <w:rFonts w:eastAsia="Times New Roman" w:cs="Arial"/>
          <w:color w:val="000000"/>
          <w:lang w:val="en-US"/>
        </w:rPr>
        <w:t>C</w:t>
      </w:r>
      <w:r w:rsidRPr="006E0308">
        <w:rPr>
          <w:rFonts w:eastAsia="Times New Roman" w:cs="Arial"/>
          <w:color w:val="000000"/>
          <w:lang w:val="ru-RU"/>
        </w:rPr>
        <w:t xml:space="preserve">9 </w:t>
      </w:r>
      <w:r w:rsidRPr="006E0308">
        <w:rPr>
          <w:rFonts w:eastAsia="Times New Roman" w:cs="Arial"/>
          <w:color w:val="000000"/>
          <w:lang w:eastAsia="bg-BG"/>
        </w:rPr>
        <w:t>и в по-малка степен чрез</w:t>
      </w:r>
      <w:r w:rsidR="00147F52">
        <w:rPr>
          <w:rFonts w:eastAsia="Times New Roman" w:cs="Arial"/>
          <w:color w:val="000000"/>
          <w:lang w:eastAsia="bg-BG"/>
        </w:rPr>
        <w:t xml:space="preserve"> </w:t>
      </w:r>
      <w:r w:rsidR="00147F52" w:rsidRPr="00147F52">
        <w:rPr>
          <w:lang w:eastAsia="bg-BG"/>
        </w:rPr>
        <w:t xml:space="preserve">глюкурониране. При едновременното прилагане на ирбесартан и варфарин не са наблюдавани значителни фармакокинетични и фармакодинамични взаимодействия, като варфарин се метаболизира от </w:t>
      </w:r>
      <w:r w:rsidR="00147F52" w:rsidRPr="00147F52">
        <w:rPr>
          <w:lang w:val="en-US"/>
        </w:rPr>
        <w:t>CYP</w:t>
      </w:r>
      <w:r w:rsidR="00147F52" w:rsidRPr="00147F52">
        <w:rPr>
          <w:lang w:val="ru-RU"/>
        </w:rPr>
        <w:t>2</w:t>
      </w:r>
      <w:r w:rsidR="00147F52" w:rsidRPr="00147F52">
        <w:rPr>
          <w:lang w:val="en-US"/>
        </w:rPr>
        <w:t>C</w:t>
      </w:r>
      <w:r w:rsidR="00147F52" w:rsidRPr="00147F52">
        <w:rPr>
          <w:lang w:val="ru-RU"/>
        </w:rPr>
        <w:t xml:space="preserve">9. </w:t>
      </w:r>
      <w:r w:rsidR="00147F52" w:rsidRPr="00147F52">
        <w:rPr>
          <w:lang w:eastAsia="bg-BG"/>
        </w:rPr>
        <w:t xml:space="preserve">Ефектите на индукторите на </w:t>
      </w:r>
      <w:r w:rsidR="00147F52" w:rsidRPr="00147F52">
        <w:rPr>
          <w:lang w:val="en-US"/>
        </w:rPr>
        <w:t>CYP</w:t>
      </w:r>
      <w:r w:rsidR="00147F52" w:rsidRPr="00147F52">
        <w:rPr>
          <w:lang w:val="ru-RU"/>
        </w:rPr>
        <w:t>2</w:t>
      </w:r>
      <w:r w:rsidR="00147F52" w:rsidRPr="00147F52">
        <w:rPr>
          <w:lang w:val="en-US"/>
        </w:rPr>
        <w:t>C</w:t>
      </w:r>
      <w:r w:rsidR="00147F52" w:rsidRPr="00147F52">
        <w:rPr>
          <w:lang w:val="ru-RU"/>
        </w:rPr>
        <w:t xml:space="preserve">9, </w:t>
      </w:r>
      <w:r w:rsidR="00147F52" w:rsidRPr="00147F52">
        <w:rPr>
          <w:lang w:eastAsia="bg-BG"/>
        </w:rPr>
        <w:t>какъвто е рифампицин, върху фармакокинетиката на ирбесартан не са проучени. Фармакокинетиката на дигоксин не се променя при едновременното приложение с ирбесартан.</w:t>
      </w:r>
    </w:p>
    <w:p w14:paraId="6044AB41" w14:textId="3880AFC7" w:rsidR="006E0308" w:rsidRDefault="006E0308" w:rsidP="006E0308">
      <w:pPr>
        <w:rPr>
          <w:rFonts w:eastAsia="Times New Roman" w:cs="Arial"/>
          <w:color w:val="000000"/>
          <w:lang w:eastAsia="bg-BG"/>
        </w:rPr>
      </w:pPr>
    </w:p>
    <w:p w14:paraId="7D72CF1E" w14:textId="77777777" w:rsidR="00147F52" w:rsidRPr="006E0308" w:rsidRDefault="00147F52" w:rsidP="006E0308"/>
    <w:p w14:paraId="394A7584" w14:textId="5677E622" w:rsidR="004F498A" w:rsidRDefault="002C50EE" w:rsidP="004A448E">
      <w:pPr>
        <w:pStyle w:val="Heading2"/>
      </w:pPr>
      <w:r>
        <w:t>4.6. Фертилитет, бременност и кърмене</w:t>
      </w:r>
    </w:p>
    <w:p w14:paraId="50C48BA7" w14:textId="1F2E75B0" w:rsidR="00147F52" w:rsidRDefault="00147F52" w:rsidP="00147F52"/>
    <w:p w14:paraId="59EFD909" w14:textId="77777777" w:rsidR="00147F52" w:rsidRPr="00147F52" w:rsidRDefault="00147F52" w:rsidP="00147F52">
      <w:pPr>
        <w:pStyle w:val="Heading3"/>
        <w:rPr>
          <w:rFonts w:eastAsia="Times New Roman"/>
          <w:u w:val="single"/>
        </w:rPr>
      </w:pPr>
      <w:r w:rsidRPr="00147F52">
        <w:rPr>
          <w:rFonts w:eastAsia="Times New Roman"/>
          <w:u w:val="single"/>
          <w:lang w:eastAsia="bg-BG"/>
        </w:rPr>
        <w:t>Бременност</w:t>
      </w:r>
    </w:p>
    <w:p w14:paraId="616611A9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Употребата на ангиотензин II рецептори не се препоръчва през първия триместър на бремеността (вж. точка 4.4). Употребата на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 xml:space="preserve"> рецептори е противопоказна през втория и третия триместър на бремеността (вж. точка 4.3. и 4.4).</w:t>
      </w:r>
    </w:p>
    <w:p w14:paraId="148EE076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3C06B65" w14:textId="017C31CB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Няма убедителни епидемиологични доказатества касаеши риска от тератогенност, вследствие на прилагане на АСЕ-инхибитори през първия триместър, но това не изключва вероятност за слабо увеличаване на риска. Докато няма контролирани епидемиологични данни относно риска при употребата на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 xml:space="preserve"> рецепторите, подобен риск може да съществува и за този клас лекарства. Освен ако не е наложителна продължителна терапия с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 xml:space="preserve"> рецептори, пациентките планиращи да забременеят трябва да преминат на терапия с други анти- хипертонични лекарства с установен профил на безопасност за употреба по време на бременност. Когато бременността бъде диагностицирана, лечението с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 xml:space="preserve"> рецептори трябва да се прекрати веднага и ако е необходимо да се започне подходяща алтернативна терапия.</w:t>
      </w:r>
    </w:p>
    <w:p w14:paraId="38CA354C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E4C3DB" w14:textId="4845CCAF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Известно е, че подлагането на терапия с ангиотензин II рецептори по време на втория и третия триместър предизвиква човешка фетотоксичност (намалена бъбречна функция, олигохидрамнион, изоставане на осифицирането на черепа) и неонатална токсичност (бъбречна недостатъчност, хипотония, хиперкалиемия. (вж. точка 5.3).</w:t>
      </w:r>
    </w:p>
    <w:p w14:paraId="0E3A6AF3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Ако се наложи подлагане на терапия с ангиотензин II рецептори по време на втория триместър от бременността, се препоръчва ултразвуково следене на бъбречната функция и черепа на плода.</w:t>
      </w:r>
    </w:p>
    <w:p w14:paraId="72259D34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Новородени, чиито майки са били подложени на терапия с ангиотензин II рецептори, трябва да бъдат стриктно наблюдавани за появата на хипотония (вж. точки 4.3 и 4.4).</w:t>
      </w:r>
    </w:p>
    <w:p w14:paraId="74411194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80CC52F" w14:textId="406B6CFE" w:rsidR="00147F52" w:rsidRPr="00147F52" w:rsidRDefault="00147F52" w:rsidP="00147F52">
      <w:pPr>
        <w:pStyle w:val="Heading3"/>
        <w:rPr>
          <w:rFonts w:eastAsia="Times New Roman"/>
          <w:u w:val="single"/>
        </w:rPr>
      </w:pPr>
      <w:r w:rsidRPr="00147F52">
        <w:rPr>
          <w:rFonts w:eastAsia="Times New Roman"/>
          <w:u w:val="single"/>
          <w:lang w:eastAsia="bg-BG"/>
        </w:rPr>
        <w:t>Кърмене</w:t>
      </w:r>
    </w:p>
    <w:p w14:paraId="0CF56821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Тъй като не е налична информация относно употребата на Ирбесан по време на кърмене, Ирбесан не се препоръчва, а се предпочитат алтернативни терапии с по-добре установен профил на безопасност по време на кърмене, особено при кърмене на новородено или преждевременно родено дете.</w:t>
      </w:r>
    </w:p>
    <w:p w14:paraId="31D67424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648C9A" w14:textId="3F72CAAF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47F52">
        <w:rPr>
          <w:rFonts w:eastAsia="Times New Roman" w:cs="Arial"/>
          <w:color w:val="000000"/>
          <w:lang w:eastAsia="bg-BG"/>
        </w:rPr>
        <w:t xml:space="preserve">Не е известно, дали ирбесартан и неговите метаболити преминава в кърмата при хора. </w:t>
      </w:r>
    </w:p>
    <w:p w14:paraId="3DA87B7A" w14:textId="7F4C5BA4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Наличните фармакодинамични/токсикологични данни при плъхове, показват екскреция на ирбесартан или неговите метаболити в млякото (за подробности вж. точка 5.3) .</w:t>
      </w:r>
    </w:p>
    <w:p w14:paraId="254EF6F6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395C7B9" w14:textId="0B325762" w:rsidR="00147F52" w:rsidRPr="00147F52" w:rsidRDefault="00147F52" w:rsidP="00147F52">
      <w:pPr>
        <w:pStyle w:val="Heading3"/>
        <w:rPr>
          <w:rFonts w:eastAsia="Times New Roman"/>
          <w:u w:val="single"/>
        </w:rPr>
      </w:pPr>
      <w:r w:rsidRPr="00147F52">
        <w:rPr>
          <w:rFonts w:eastAsia="Times New Roman"/>
          <w:u w:val="single"/>
          <w:lang w:eastAsia="bg-BG"/>
        </w:rPr>
        <w:t>Фертилитет</w:t>
      </w:r>
    </w:p>
    <w:p w14:paraId="5465A99E" w14:textId="241BB3DD" w:rsidR="00147F52" w:rsidRPr="00147F52" w:rsidRDefault="00147F52" w:rsidP="00147F52">
      <w:pPr>
        <w:rPr>
          <w:rFonts w:cs="Arial"/>
        </w:rPr>
      </w:pPr>
      <w:r w:rsidRPr="00147F52">
        <w:rPr>
          <w:rFonts w:eastAsia="Times New Roman" w:cs="Arial"/>
          <w:color w:val="000000"/>
          <w:lang w:eastAsia="bg-BG"/>
        </w:rPr>
        <w:t>Ирбесартан няма ефект върху фертилитета на третирани плъхове и тяхното потомство, до дозови нива, причиняващи първите симптоми на токсичност при родителите (вж. точка 5.3).</w:t>
      </w:r>
    </w:p>
    <w:p w14:paraId="064DF1DE" w14:textId="61650339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7B3982F6" w14:textId="68620EBA" w:rsidR="00147F52" w:rsidRDefault="00147F52" w:rsidP="00147F52"/>
    <w:p w14:paraId="14DBDD0D" w14:textId="4EFC6878" w:rsidR="00147F52" w:rsidRDefault="00147F52" w:rsidP="00147F52">
      <w:r>
        <w:t xml:space="preserve">Ефектът на ирбесартан върху способността за шофиране и работа с машини не е проучен, но въз основа на фармакодинамичните му свойства не се очаква повлияване на </w:t>
      </w:r>
      <w:r>
        <w:lastRenderedPageBreak/>
        <w:t>тези</w:t>
      </w:r>
      <w:r w:rsidRPr="00147F52">
        <w:rPr>
          <w:lang w:val="ru-RU"/>
        </w:rPr>
        <w:t xml:space="preserve"> </w:t>
      </w:r>
      <w:r>
        <w:t>с способности. Шофиращите и работещите с машини трябва да имат предвид, че е възможна поява на световъртеж или отпадналост по време на лечението.</w:t>
      </w:r>
    </w:p>
    <w:p w14:paraId="44409BB6" w14:textId="77777777" w:rsidR="00147F52" w:rsidRPr="00147F52" w:rsidRDefault="00147F52" w:rsidP="00147F52"/>
    <w:p w14:paraId="37A3FD9F" w14:textId="7DA25FF8" w:rsidR="00CF77F7" w:rsidRDefault="002C50EE" w:rsidP="004A448E">
      <w:pPr>
        <w:pStyle w:val="Heading2"/>
      </w:pPr>
      <w:r>
        <w:t>4.8. Нежелани лекарствени реакции</w:t>
      </w:r>
    </w:p>
    <w:p w14:paraId="5948988A" w14:textId="5110D241" w:rsidR="00147F52" w:rsidRDefault="00147F52" w:rsidP="00147F52"/>
    <w:p w14:paraId="1D7F66D9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При плацебо-контролирани клинични проучвания с пациенти с хипертония, общата честота на нежелани събития не се е различавала в групите с ирбесартан (56,2%) и плацебо (56,5%). Отпадане от проучването, поради появи на клинични или лабораторни нежелани събития е било по-често при групите, третирани с плацебо (4,5%), отколкото при групи, лекувани с ирбесартан (3,3%). Честотата на нежеланите лекарствени реакции не зависи от дозата (в препоръчваната дозировка), пола, възрастта, расата или продължителността на лечението.</w:t>
      </w:r>
    </w:p>
    <w:p w14:paraId="3B995D9C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При пациенти с диабет, хипертония, микроалбуминурия и нормална бъбречна функция са били докладвани ортостатична замаяност и ортостатична хипертония при 0,5% от пациентите (т.е. нечести). Тези случаи се срещат повече при пациенти лекувани с ирбесартан в сравнение с плацебо групата.</w:t>
      </w:r>
    </w:p>
    <w:p w14:paraId="05A90E28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В текста по-долу са описани нежелани лекарствени реакции, които са докладвани при проведените плацебо-контролирани проучвания, при които 1,965 пациенти с хипертония са получавали ирбесартан.</w:t>
      </w:r>
    </w:p>
    <w:p w14:paraId="4190B7E6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Термините отбелязани със звездичка (*) се отнасят за нежелани реакции, които са допълнително докладвани при 2% от пациентите с диабет, страдащи от хипертония, хронична бъбречна недостатъчност и клинично значима протеинурия, лекувани с ирбесартан в сравнение с плацебо групата.</w:t>
      </w:r>
    </w:p>
    <w:p w14:paraId="44FFA63C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7EBC234" w14:textId="4AFF7386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Нежеланите лекарствени реакции са описани по-долу съгласно класификацията </w:t>
      </w:r>
      <w:proofErr w:type="spellStart"/>
      <w:r w:rsidRPr="00147F52">
        <w:rPr>
          <w:rFonts w:eastAsia="Times New Roman" w:cs="Arial"/>
          <w:color w:val="000000"/>
          <w:lang w:val="en-US"/>
        </w:rPr>
        <w:t>MedDRA</w:t>
      </w:r>
      <w:proofErr w:type="spellEnd"/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по системо-органни класове.</w:t>
      </w:r>
    </w:p>
    <w:p w14:paraId="5A8621F3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Честотите са дефинирани съгласно следната конвенция: много чести (≥ 1/10); чести (≥ 1/100 до &lt; 1/10); нечести (≥ 1/1 000 до &lt; 1/100); редки (≥ 1/10 000 до &lt; 1/1 000); много редки (&lt; 1/10 000); с неизвестна честота (от наличните данни не може да бъде направена оценка).</w:t>
      </w:r>
    </w:p>
    <w:p w14:paraId="71EDCDDC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6D1580B" w14:textId="21526B5F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имунната система:</w:t>
      </w:r>
    </w:p>
    <w:p w14:paraId="082B8600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реакции на свръхчувствителност като ангиоедема, обрив, сърбеж</w:t>
      </w:r>
    </w:p>
    <w:p w14:paraId="72BBE19A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8C065FA" w14:textId="1E991B60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метаболизма и хранененто:</w:t>
      </w:r>
    </w:p>
    <w:p w14:paraId="5814CF3B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хиперкалиемия</w:t>
      </w:r>
    </w:p>
    <w:p w14:paraId="7A146400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315EF91B" w14:textId="2CCAC5D6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нервната система:</w:t>
      </w:r>
    </w:p>
    <w:p w14:paraId="23873F27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Чести:</w:t>
      </w:r>
      <w:r w:rsidRPr="00147F52">
        <w:rPr>
          <w:rFonts w:eastAsia="Times New Roman" w:cs="Arial"/>
          <w:color w:val="000000"/>
          <w:lang w:eastAsia="bg-BG"/>
        </w:rPr>
        <w:tab/>
        <w:t>замаяност, ортостатична замаяност*</w:t>
      </w:r>
    </w:p>
    <w:p w14:paraId="168E7371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световъртеж, главоболие</w:t>
      </w:r>
    </w:p>
    <w:p w14:paraId="61D7B2DF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1EF7955" w14:textId="7B4D5C3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ухото и лабиринта:</w:t>
      </w:r>
    </w:p>
    <w:p w14:paraId="0B0EB66E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шум в ушите</w:t>
      </w:r>
    </w:p>
    <w:p w14:paraId="3CC9B9F7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E7959E0" w14:textId="2AF60FD2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Сърдечни нарушения:</w:t>
      </w:r>
    </w:p>
    <w:p w14:paraId="2079BDE5" w14:textId="42E82F08" w:rsidR="00147F52" w:rsidRPr="00147F52" w:rsidRDefault="00147F52" w:rsidP="00147F52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147F52">
        <w:rPr>
          <w:rFonts w:eastAsia="Times New Roman" w:cs="Arial"/>
          <w:color w:val="000000"/>
          <w:lang w:eastAsia="bg-BG"/>
        </w:rPr>
        <w:t>тахикардия</w:t>
      </w:r>
    </w:p>
    <w:p w14:paraId="0AD4BF80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976B3A9" w14:textId="60612BA8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Съдови нарушения:</w:t>
      </w:r>
    </w:p>
    <w:p w14:paraId="59D74072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Чести:</w:t>
      </w:r>
      <w:r w:rsidRPr="00147F52">
        <w:rPr>
          <w:rFonts w:eastAsia="Times New Roman" w:cs="Arial"/>
          <w:color w:val="000000"/>
          <w:lang w:eastAsia="bg-BG"/>
        </w:rPr>
        <w:tab/>
        <w:t>ортостатична хипотония*</w:t>
      </w:r>
    </w:p>
    <w:p w14:paraId="31D03E8A" w14:textId="0C63D46D" w:rsidR="00147F52" w:rsidRPr="00147F52" w:rsidRDefault="00147F52" w:rsidP="00147F52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147F52">
        <w:rPr>
          <w:rFonts w:eastAsia="Times New Roman" w:cs="Arial"/>
          <w:color w:val="000000"/>
          <w:lang w:eastAsia="bg-BG"/>
        </w:rPr>
        <w:t>зачервявалия</w:t>
      </w:r>
    </w:p>
    <w:p w14:paraId="43B2E292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CFC07E8" w14:textId="1EC34175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Респираторни, гръдни и медиастинални нарушения:</w:t>
      </w:r>
    </w:p>
    <w:p w14:paraId="0BC8059C" w14:textId="441AD7AE" w:rsidR="00147F52" w:rsidRPr="00147F52" w:rsidRDefault="00147F52" w:rsidP="00147F52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147F52">
        <w:rPr>
          <w:rFonts w:eastAsia="Times New Roman" w:cs="Arial"/>
          <w:color w:val="000000"/>
          <w:lang w:eastAsia="bg-BG"/>
        </w:rPr>
        <w:t>кашлица</w:t>
      </w:r>
    </w:p>
    <w:p w14:paraId="74EC2AF3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38BD93D" w14:textId="40AAD64D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Стомашно-чревни нарушения:</w:t>
      </w:r>
    </w:p>
    <w:p w14:paraId="7719A909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Чести:</w:t>
      </w:r>
      <w:r w:rsidRPr="00147F52">
        <w:rPr>
          <w:rFonts w:eastAsia="Times New Roman" w:cs="Arial"/>
          <w:color w:val="000000"/>
          <w:lang w:eastAsia="bg-BG"/>
        </w:rPr>
        <w:tab/>
        <w:t>гадене/повръщане</w:t>
      </w:r>
    </w:p>
    <w:p w14:paraId="2E76C119" w14:textId="4D368C16" w:rsidR="00147F52" w:rsidRPr="00147F52" w:rsidRDefault="00147F52" w:rsidP="00147F52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147F52">
        <w:rPr>
          <w:rFonts w:eastAsia="Times New Roman" w:cs="Arial"/>
          <w:color w:val="000000"/>
          <w:lang w:eastAsia="bg-BG"/>
        </w:rPr>
        <w:t>диария, диспепсия/киселини</w:t>
      </w:r>
    </w:p>
    <w:p w14:paraId="1CDA9541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нарушение във вкуса</w:t>
      </w:r>
    </w:p>
    <w:p w14:paraId="4FF01FD9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89CA8CC" w14:textId="2338AA75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Хепатобилиарни нарушения:</w:t>
      </w:r>
    </w:p>
    <w:p w14:paraId="7D0446D7" w14:textId="7FAB92D8" w:rsidR="00147F52" w:rsidRPr="00147F52" w:rsidRDefault="00147F52" w:rsidP="00147F52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147F52">
        <w:rPr>
          <w:rFonts w:eastAsia="Times New Roman" w:cs="Arial"/>
          <w:color w:val="000000"/>
          <w:lang w:eastAsia="bg-BG"/>
        </w:rPr>
        <w:t>жълтеница</w:t>
      </w:r>
    </w:p>
    <w:p w14:paraId="281E90CE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хепатит, нарушена чернодробна функция</w:t>
      </w:r>
    </w:p>
    <w:p w14:paraId="615D3C87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37A5FB7D" w14:textId="4A029D66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кожа и подкожна тъкан:</w:t>
      </w:r>
    </w:p>
    <w:p w14:paraId="1ACFA10F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левкоцитокластичен васкулит</w:t>
      </w:r>
    </w:p>
    <w:p w14:paraId="0465B2AA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A627C97" w14:textId="51BE162E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мускулно-скелетна система и съединителната тъкан:</w:t>
      </w:r>
    </w:p>
    <w:p w14:paraId="1F5272EA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Честа:</w:t>
      </w:r>
      <w:r w:rsidRPr="00147F52">
        <w:rPr>
          <w:rFonts w:eastAsia="Times New Roman" w:cs="Arial"/>
          <w:color w:val="000000"/>
          <w:lang w:eastAsia="bg-BG"/>
        </w:rPr>
        <w:tab/>
        <w:t>мускулно-скелетни болки*</w:t>
      </w:r>
    </w:p>
    <w:p w14:paraId="390F4E7B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артралгия и миалгия (в някои случаи, свързани с повишени плазмени нива на креатан киназа), мускулни спазми</w:t>
      </w:r>
    </w:p>
    <w:p w14:paraId="77CE1703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B428580" w14:textId="4C83CFF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бъбреците и пикочните пътища:</w:t>
      </w:r>
    </w:p>
    <w:p w14:paraId="6208378B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 неизвестна честота: нарушена бъбречна функция, включително изолирани случаи на бъбречна недостатъчност при пациенти с риск (вж. точка 4.4)</w:t>
      </w:r>
    </w:p>
    <w:p w14:paraId="4B70EC1A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047CA9A" w14:textId="3855B79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Нарушения на възпроизводителната система и гърдата:</w:t>
      </w:r>
    </w:p>
    <w:p w14:paraId="0D34607F" w14:textId="0D338636" w:rsidR="00147F52" w:rsidRPr="00147F52" w:rsidRDefault="00147F52" w:rsidP="00147F52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147F52">
        <w:rPr>
          <w:rFonts w:eastAsia="Times New Roman" w:cs="Arial"/>
          <w:color w:val="000000"/>
          <w:lang w:eastAsia="bg-BG"/>
        </w:rPr>
        <w:t>сексуална дисфункция</w:t>
      </w:r>
    </w:p>
    <w:p w14:paraId="1D82EDA1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2D66A701" w14:textId="461E8FE4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Обши нарушения и ефекти на мястото на приложение:</w:t>
      </w:r>
    </w:p>
    <w:p w14:paraId="5621940C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Чести:</w:t>
      </w:r>
      <w:r w:rsidRPr="00147F52">
        <w:rPr>
          <w:rFonts w:eastAsia="Times New Roman" w:cs="Arial"/>
          <w:color w:val="000000"/>
          <w:lang w:eastAsia="bg-BG"/>
        </w:rPr>
        <w:tab/>
        <w:t>умора</w:t>
      </w:r>
    </w:p>
    <w:p w14:paraId="61398386" w14:textId="392FCCDA" w:rsidR="00147F52" w:rsidRPr="00147F52" w:rsidRDefault="00147F52" w:rsidP="00147F52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 xml:space="preserve">Нечести: </w:t>
      </w:r>
      <w:r w:rsidRPr="00147F52">
        <w:rPr>
          <w:rFonts w:eastAsia="Times New Roman" w:cs="Arial"/>
          <w:color w:val="000000"/>
          <w:lang w:eastAsia="bg-BG"/>
        </w:rPr>
        <w:t>болка в гърдите</w:t>
      </w:r>
    </w:p>
    <w:p w14:paraId="193BD3CA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76778C7C" w14:textId="42E2FE1F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Изследвания:</w:t>
      </w:r>
    </w:p>
    <w:p w14:paraId="635564F6" w14:textId="49E6F898" w:rsidR="00147F52" w:rsidRPr="00147F52" w:rsidRDefault="00147F52" w:rsidP="00147F52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>Много чести:</w:t>
      </w:r>
      <w:r>
        <w:rPr>
          <w:rFonts w:eastAsia="Times New Roman" w:cs="Arial"/>
          <w:color w:val="000000"/>
          <w:lang w:eastAsia="bg-BG"/>
        </w:rPr>
        <w:tab/>
        <w:t xml:space="preserve">Хиперкалиемия* се </w:t>
      </w:r>
      <w:r w:rsidRPr="00147F52">
        <w:rPr>
          <w:rFonts w:eastAsia="Times New Roman" w:cs="Arial"/>
          <w:color w:val="000000"/>
          <w:lang w:eastAsia="bg-BG"/>
        </w:rPr>
        <w:t>наблюдава по-често при пациента с диабет и</w:t>
      </w:r>
    </w:p>
    <w:p w14:paraId="5E0F0B34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лекувани с ирбесартан, отколкото при плацебо групата. При пациенти с хипертония и диабет с микроалбуминурия и нормална бъбречна функция, хиперкалиемия (≥ 5.5 </w:t>
      </w:r>
      <w:proofErr w:type="spellStart"/>
      <w:r w:rsidRPr="00147F52">
        <w:rPr>
          <w:rFonts w:eastAsia="Times New Roman" w:cs="Arial"/>
          <w:color w:val="000000"/>
          <w:lang w:val="en-US"/>
        </w:rPr>
        <w:t>mEq</w:t>
      </w:r>
      <w:proofErr w:type="spellEnd"/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L</w:t>
      </w:r>
      <w:r w:rsidRPr="00147F52">
        <w:rPr>
          <w:rFonts w:eastAsia="Times New Roman" w:cs="Arial"/>
          <w:color w:val="000000"/>
          <w:lang w:val="ru-RU"/>
        </w:rPr>
        <w:t xml:space="preserve">) </w:t>
      </w:r>
      <w:r w:rsidRPr="00147F52">
        <w:rPr>
          <w:rFonts w:eastAsia="Times New Roman" w:cs="Arial"/>
          <w:color w:val="000000"/>
          <w:lang w:eastAsia="bg-BG"/>
        </w:rPr>
        <w:t xml:space="preserve">се наблюдава при 29.4% от пациентите в ирбесартан (300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) </w:t>
      </w:r>
      <w:r w:rsidRPr="00147F52">
        <w:rPr>
          <w:rFonts w:eastAsia="Times New Roman" w:cs="Arial"/>
          <w:color w:val="000000"/>
          <w:lang w:eastAsia="bg-BG"/>
        </w:rPr>
        <w:t xml:space="preserve">групата и при 22% от пациентите в палцебо групата. При пациенти с хипертония, диабет, хронична бъбречна недостатъчност и клинично значима протеинурия, хиперкалиемия (≥ 5.5 </w:t>
      </w:r>
      <w:proofErr w:type="spellStart"/>
      <w:r w:rsidRPr="00147F52">
        <w:rPr>
          <w:rFonts w:eastAsia="Times New Roman" w:cs="Arial"/>
          <w:color w:val="000000"/>
          <w:lang w:val="en-US"/>
        </w:rPr>
        <w:t>mEq</w:t>
      </w:r>
      <w:proofErr w:type="spellEnd"/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L</w:t>
      </w:r>
      <w:r w:rsidRPr="00147F52">
        <w:rPr>
          <w:rFonts w:eastAsia="Times New Roman" w:cs="Arial"/>
          <w:color w:val="000000"/>
          <w:lang w:val="ru-RU"/>
        </w:rPr>
        <w:t xml:space="preserve">) </w:t>
      </w:r>
      <w:r w:rsidRPr="00147F52">
        <w:rPr>
          <w:rFonts w:eastAsia="Times New Roman" w:cs="Arial"/>
          <w:color w:val="000000"/>
          <w:lang w:eastAsia="bg-BG"/>
        </w:rPr>
        <w:t>се среща при 46.3% (т.е. много често) от пациентите лекувани с ирбесартан и при 26.3% от пациентите в плацебо групата.</w:t>
      </w:r>
    </w:p>
    <w:p w14:paraId="022DC1EE" w14:textId="54EB84E1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Честа:</w:t>
      </w:r>
      <w:r w:rsidRPr="00147F52">
        <w:rPr>
          <w:rFonts w:eastAsia="Times New Roman" w:cs="Arial"/>
          <w:color w:val="000000"/>
          <w:lang w:eastAsia="bg-BG"/>
        </w:rPr>
        <w:tab/>
        <w:t>Значителни повишения в нивата на креатининовата плазма са често</w:t>
      </w:r>
    </w:p>
    <w:p w14:paraId="30757A7D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наблюдавани при пациенти лекувани с ирбесартан. Тези повишени стойности не се свързват със случаи на доказани клинични мускулно- скелетни нарушения.</w:t>
      </w:r>
    </w:p>
    <w:p w14:paraId="25E8DBA4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Наблюдава се понижаване нивото на хемоглобина* при 1,7% от пациентите с хипертония и диабетна нефропатия лекувани с ирбесартан.</w:t>
      </w:r>
    </w:p>
    <w:p w14:paraId="530F94DD" w14:textId="77777777" w:rsidR="00147F52" w:rsidRDefault="00147F52" w:rsidP="00147F52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0"/>
    </w:p>
    <w:p w14:paraId="713EDEF8" w14:textId="3CDBB084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b/>
          <w:bCs/>
          <w:color w:val="000000"/>
          <w:lang w:eastAsia="bg-BG"/>
        </w:rPr>
        <w:t>Педиатрична популация</w:t>
      </w:r>
      <w:bookmarkEnd w:id="2"/>
    </w:p>
    <w:p w14:paraId="13FCB95F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При разндомизирано проучване с 318 деца и юноши с високо кръвно налягане на възраст между 6 и 16 години са наблюдавани следните странични реакции, появили се по време на 3- седмична фаза от двойно сляпо проучване: главоболие (7.9%), хипотония (2.2%), </w:t>
      </w:r>
      <w:r w:rsidRPr="00147F52">
        <w:rPr>
          <w:rFonts w:eastAsia="Times New Roman" w:cs="Arial"/>
          <w:color w:val="000000"/>
          <w:lang w:eastAsia="bg-BG"/>
        </w:rPr>
        <w:lastRenderedPageBreak/>
        <w:t>замаяност (1.9%), кашлица (0.9%). По време на 26-седмичния отворен период на това проучване най-често срещаните лабораторни абнормални стойности са тези на креатина (6,5%) и креатан киназата при 2% от децата.</w:t>
      </w:r>
    </w:p>
    <w:p w14:paraId="6D3498F8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1602CEE" w14:textId="6A5580A1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41A881E0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Нежеланите реакции може да бъдат съобщени директно на Изпълнителна агенция по лекарствата (ИАЛ):</w:t>
      </w:r>
    </w:p>
    <w:p w14:paraId="6983CA2E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227916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47F52">
        <w:rPr>
          <w:rFonts w:eastAsia="Times New Roman" w:cs="Arial"/>
          <w:color w:val="000000"/>
          <w:lang w:eastAsia="bg-BG"/>
        </w:rPr>
        <w:t xml:space="preserve">БЪЛГАРИЯ, София 1303, ул. Дамян Груев 8 </w:t>
      </w:r>
    </w:p>
    <w:p w14:paraId="21C5F0DD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47F52">
        <w:rPr>
          <w:rFonts w:eastAsia="Times New Roman" w:cs="Arial"/>
          <w:color w:val="000000"/>
          <w:lang w:eastAsia="bg-BG"/>
        </w:rPr>
        <w:t xml:space="preserve">Тел. +359 2 8903555 </w:t>
      </w:r>
    </w:p>
    <w:p w14:paraId="0142C6ED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u w:val="single"/>
          <w:lang w:val="ru-RU"/>
        </w:rPr>
      </w:pPr>
      <w:r w:rsidRPr="00147F52">
        <w:rPr>
          <w:rFonts w:eastAsia="Times New Roman" w:cs="Arial"/>
          <w:color w:val="000000"/>
          <w:lang w:eastAsia="bg-BG"/>
        </w:rPr>
        <w:t xml:space="preserve">ел. поща: </w:t>
      </w:r>
      <w:r w:rsidRPr="00147F52">
        <w:rPr>
          <w:rFonts w:eastAsia="Times New Roman" w:cs="Arial"/>
        </w:rPr>
        <w:fldChar w:fldCharType="begin"/>
      </w:r>
      <w:r w:rsidRPr="00147F52">
        <w:rPr>
          <w:rFonts w:eastAsia="Times New Roman" w:cs="Arial"/>
        </w:rPr>
        <w:instrText xml:space="preserve"> HYPERLINK "mailto:bda@bda.bg" </w:instrText>
      </w:r>
      <w:r w:rsidRPr="00147F52">
        <w:rPr>
          <w:rFonts w:eastAsia="Times New Roman" w:cs="Arial"/>
        </w:rPr>
      </w:r>
      <w:r w:rsidRPr="00147F52">
        <w:rPr>
          <w:rFonts w:eastAsia="Times New Roman" w:cs="Arial"/>
        </w:rPr>
        <w:fldChar w:fldCharType="separate"/>
      </w:r>
      <w:r w:rsidRPr="00147F52">
        <w:rPr>
          <w:rFonts w:eastAsia="Times New Roman" w:cs="Arial"/>
          <w:color w:val="000000"/>
          <w:u w:val="single"/>
          <w:lang w:val="en-US"/>
        </w:rPr>
        <w:t>bda</w:t>
      </w:r>
      <w:r w:rsidRPr="00147F52">
        <w:rPr>
          <w:rFonts w:eastAsia="Times New Roman" w:cs="Arial"/>
          <w:color w:val="000000"/>
          <w:u w:val="single"/>
          <w:lang w:val="ru-RU"/>
        </w:rPr>
        <w:t>@</w:t>
      </w:r>
      <w:r w:rsidRPr="00147F52">
        <w:rPr>
          <w:rFonts w:eastAsia="Times New Roman" w:cs="Arial"/>
          <w:color w:val="000000"/>
          <w:u w:val="single"/>
          <w:lang w:val="en-US"/>
        </w:rPr>
        <w:t>bda</w:t>
      </w:r>
      <w:r w:rsidRPr="00147F52">
        <w:rPr>
          <w:rFonts w:eastAsia="Times New Roman" w:cs="Arial"/>
          <w:color w:val="000000"/>
          <w:u w:val="single"/>
          <w:lang w:val="ru-RU"/>
        </w:rPr>
        <w:t>.</w:t>
      </w:r>
      <w:r w:rsidRPr="00147F52">
        <w:rPr>
          <w:rFonts w:eastAsia="Times New Roman" w:cs="Arial"/>
          <w:color w:val="000000"/>
          <w:u w:val="single"/>
          <w:lang w:val="en-US"/>
        </w:rPr>
        <w:t>bg</w:t>
      </w:r>
      <w:r w:rsidRPr="00147F52">
        <w:rPr>
          <w:rFonts w:eastAsia="Times New Roman" w:cs="Arial"/>
        </w:rPr>
        <w:fldChar w:fldCharType="end"/>
      </w:r>
      <w:r w:rsidRPr="00147F52">
        <w:rPr>
          <w:rFonts w:eastAsia="Times New Roman" w:cs="Arial"/>
          <w:color w:val="000000"/>
          <w:u w:val="single"/>
          <w:lang w:val="ru-RU"/>
        </w:rPr>
        <w:t xml:space="preserve"> </w:t>
      </w:r>
    </w:p>
    <w:p w14:paraId="788B38ED" w14:textId="41B614A5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уебсайт: </w:t>
      </w:r>
      <w:r w:rsidRPr="00147F52">
        <w:rPr>
          <w:rFonts w:eastAsia="Times New Roman" w:cs="Arial"/>
        </w:rPr>
        <w:fldChar w:fldCharType="begin"/>
      </w:r>
      <w:r w:rsidRPr="00147F52">
        <w:rPr>
          <w:rFonts w:eastAsia="Times New Roman" w:cs="Arial"/>
        </w:rPr>
        <w:instrText xml:space="preserve"> HYPERLINK "http://www.bda.bg" </w:instrText>
      </w:r>
      <w:r w:rsidRPr="00147F52">
        <w:rPr>
          <w:rFonts w:eastAsia="Times New Roman" w:cs="Arial"/>
        </w:rPr>
      </w:r>
      <w:r w:rsidRPr="00147F52">
        <w:rPr>
          <w:rFonts w:eastAsia="Times New Roman" w:cs="Arial"/>
        </w:rPr>
        <w:fldChar w:fldCharType="separate"/>
      </w:r>
      <w:r w:rsidRPr="00147F52">
        <w:rPr>
          <w:rFonts w:eastAsia="Times New Roman" w:cs="Arial"/>
          <w:color w:val="000000"/>
          <w:u w:val="single"/>
          <w:lang w:val="en-US"/>
        </w:rPr>
        <w:t>www</w:t>
      </w:r>
      <w:r w:rsidRPr="00147F52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147F52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147F52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147F52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147F52">
        <w:rPr>
          <w:rFonts w:eastAsia="Times New Roman" w:cs="Arial"/>
        </w:rPr>
        <w:fldChar w:fldCharType="end"/>
      </w:r>
    </w:p>
    <w:p w14:paraId="0D5EE594" w14:textId="77777777" w:rsidR="00147F52" w:rsidRPr="00147F52" w:rsidRDefault="00147F52" w:rsidP="00147F52"/>
    <w:p w14:paraId="0A023CE0" w14:textId="79D6226C" w:rsidR="00CF77F7" w:rsidRDefault="002C50EE" w:rsidP="004A448E">
      <w:pPr>
        <w:pStyle w:val="Heading2"/>
      </w:pPr>
      <w:r>
        <w:t>4.9. Предозиране</w:t>
      </w:r>
    </w:p>
    <w:p w14:paraId="26F38F82" w14:textId="68D5406C" w:rsidR="00147F52" w:rsidRDefault="00147F52" w:rsidP="00147F52"/>
    <w:p w14:paraId="0EB9EBA5" w14:textId="77777777" w:rsidR="00147F52" w:rsidRPr="00147F52" w:rsidRDefault="00147F52" w:rsidP="00147F52">
      <w:pPr>
        <w:rPr>
          <w:sz w:val="24"/>
          <w:szCs w:val="24"/>
        </w:rPr>
      </w:pPr>
      <w:r w:rsidRPr="00147F52">
        <w:rPr>
          <w:lang w:eastAsia="bg-BG"/>
        </w:rPr>
        <w:t xml:space="preserve">Опитът </w:t>
      </w:r>
      <w:r w:rsidRPr="00147F52">
        <w:rPr>
          <w:lang w:val="en-US"/>
        </w:rPr>
        <w:t>c</w:t>
      </w:r>
      <w:r w:rsidRPr="00147F52">
        <w:rPr>
          <w:lang w:val="ru-RU"/>
        </w:rPr>
        <w:t xml:space="preserve"> </w:t>
      </w:r>
      <w:r w:rsidRPr="00147F52">
        <w:rPr>
          <w:lang w:eastAsia="bg-BG"/>
        </w:rPr>
        <w:t xml:space="preserve">възрастни, които приемали дози до 900 </w:t>
      </w:r>
      <w:r w:rsidRPr="00147F52">
        <w:rPr>
          <w:lang w:val="en-US"/>
        </w:rPr>
        <w:t>mg</w:t>
      </w:r>
      <w:r w:rsidRPr="00147F52">
        <w:rPr>
          <w:lang w:val="ru-RU"/>
        </w:rPr>
        <w:t xml:space="preserve"> </w:t>
      </w:r>
      <w:r w:rsidRPr="00147F52">
        <w:rPr>
          <w:lang w:eastAsia="bg-BG"/>
        </w:rPr>
        <w:t>дневно в продължение на 8 седмици не е показал токсични ефекти на ирбесартан. Най-вероятните прояви на предозиране се очаква да бъдат хипотония и тахикардия; при предозиране може да се появи и брадикардия. Няма специфична информация за лечение на предозиране с ирбесартан. Пациентът трябва да се наблюдава и да се провежда лечение с поддържащи и симптоматични мерки. Препоръчва се предизвикване на повръщане и/или стомашна промивка. При лечението на случаите на предозиране може да бъде целесъобразно използването на активен въглен. Ирбесартан не може да се отстрани чрез хемодиализа.</w:t>
      </w:r>
    </w:p>
    <w:p w14:paraId="5815530A" w14:textId="77777777" w:rsidR="00147F52" w:rsidRPr="00147F52" w:rsidRDefault="00147F52" w:rsidP="00147F52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32B6DE66" w14:textId="0D91E4FF" w:rsidR="00CF77F7" w:rsidRDefault="002C50EE" w:rsidP="004A448E">
      <w:pPr>
        <w:pStyle w:val="Heading2"/>
      </w:pPr>
      <w:r>
        <w:t>5.1. Фармакодинамични свойства</w:t>
      </w:r>
    </w:p>
    <w:p w14:paraId="310ACC20" w14:textId="0645B807" w:rsidR="00147F52" w:rsidRDefault="00147F52" w:rsidP="00147F52"/>
    <w:p w14:paraId="718696D7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Фармакотерапевтична група: Ангиотензин II антагонист, АТС код: С09СА04</w:t>
      </w:r>
    </w:p>
    <w:p w14:paraId="3802E06B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5355AD77" w14:textId="24464CF4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Механизъм на действие и фармакодинамични ефекти</w:t>
      </w:r>
    </w:p>
    <w:p w14:paraId="18EC95B6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Ирбесартан е мощен, активен при перорален прием, селективен антагонист на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 xml:space="preserve"> рецепторите (подвид </w:t>
      </w:r>
      <w:r w:rsidRPr="00147F52">
        <w:rPr>
          <w:rFonts w:eastAsia="Times New Roman" w:cs="Arial"/>
          <w:color w:val="000000"/>
          <w:lang w:val="en-US"/>
        </w:rPr>
        <w:t>AT</w:t>
      </w:r>
      <w:r w:rsidRPr="00147F52">
        <w:rPr>
          <w:rFonts w:eastAsia="Times New Roman" w:cs="Arial"/>
          <w:color w:val="000000"/>
          <w:vertAlign w:val="subscript"/>
          <w:lang w:val="ru-RU"/>
        </w:rPr>
        <w:t>1</w:t>
      </w:r>
      <w:r w:rsidRPr="00147F52">
        <w:rPr>
          <w:rFonts w:eastAsia="Times New Roman" w:cs="Arial"/>
          <w:color w:val="000000"/>
          <w:lang w:val="ru-RU"/>
        </w:rPr>
        <w:t xml:space="preserve">). </w:t>
      </w:r>
      <w:r w:rsidRPr="00147F52">
        <w:rPr>
          <w:rFonts w:eastAsia="Times New Roman" w:cs="Arial"/>
          <w:color w:val="000000"/>
          <w:lang w:eastAsia="bg-BG"/>
        </w:rPr>
        <w:t>Очакваният ефект от приложението му е блокиране действията на ангиотензин I</w:t>
      </w:r>
      <w:r w:rsidRPr="00147F52">
        <w:rPr>
          <w:rFonts w:eastAsia="Times New Roman" w:cs="Arial"/>
          <w:color w:val="000000"/>
          <w:lang w:val="en-US"/>
        </w:rPr>
        <w:t>I</w:t>
      </w:r>
      <w:r w:rsidRPr="00147F52">
        <w:rPr>
          <w:rFonts w:eastAsia="Times New Roman" w:cs="Arial"/>
          <w:color w:val="000000"/>
          <w:lang w:eastAsia="bg-BG"/>
        </w:rPr>
        <w:t xml:space="preserve">, медиирани от </w:t>
      </w:r>
      <w:r w:rsidRPr="00147F52">
        <w:rPr>
          <w:rFonts w:eastAsia="Times New Roman" w:cs="Arial"/>
          <w:color w:val="000000"/>
          <w:lang w:val="en-US"/>
        </w:rPr>
        <w:t>AT</w:t>
      </w:r>
      <w:r w:rsidRPr="00147F52">
        <w:rPr>
          <w:rFonts w:eastAsia="Times New Roman" w:cs="Arial"/>
          <w:color w:val="000000"/>
          <w:vertAlign w:val="subscript"/>
          <w:lang w:val="ru-RU"/>
        </w:rPr>
        <w:t>1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рецептори, независимо от източника или пътя на синтез на ангиотензин II. Селективният антагонизъм към ангиотензин II </w:t>
      </w:r>
      <w:r w:rsidRPr="00147F52">
        <w:rPr>
          <w:rFonts w:eastAsia="Times New Roman" w:cs="Arial"/>
          <w:color w:val="000000"/>
          <w:lang w:val="ru-RU"/>
        </w:rPr>
        <w:t>(</w:t>
      </w:r>
      <w:r w:rsidRPr="00147F52">
        <w:rPr>
          <w:rFonts w:eastAsia="Times New Roman" w:cs="Arial"/>
          <w:color w:val="000000"/>
          <w:lang w:val="en-US"/>
        </w:rPr>
        <w:t>AT</w:t>
      </w:r>
      <w:r w:rsidRPr="00147F52">
        <w:rPr>
          <w:rFonts w:eastAsia="Times New Roman" w:cs="Arial"/>
          <w:color w:val="000000"/>
          <w:vertAlign w:val="subscript"/>
          <w:lang w:val="ru-RU"/>
        </w:rPr>
        <w:t>1</w:t>
      </w:r>
      <w:r w:rsidRPr="00147F52">
        <w:rPr>
          <w:rFonts w:eastAsia="Times New Roman" w:cs="Arial"/>
          <w:color w:val="000000"/>
          <w:lang w:val="ru-RU"/>
        </w:rPr>
        <w:t xml:space="preserve">) </w:t>
      </w:r>
      <w:r w:rsidRPr="00147F52">
        <w:rPr>
          <w:rFonts w:eastAsia="Times New Roman" w:cs="Arial"/>
          <w:color w:val="000000"/>
          <w:lang w:eastAsia="bg-BG"/>
        </w:rPr>
        <w:t xml:space="preserve">рецепторите предизвиква повишаване на плазмените концентрации на ренин и ангиотензин II и понижаване на плазмената концентрация на алдостерон. А серумните концетрации на калий не се променят значително при самостоятелно приложение на ирбесартан в препоръчваните дози. Ирбесартан не инхибира АКЕ (кининаза II), ензим който генерира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 xml:space="preserve"> и също разгражда брадикинина до неактивни метаболити. За проява на активността на лекарствения продукт не се изисква метаболитно активиране на ирбесартан.</w:t>
      </w:r>
    </w:p>
    <w:p w14:paraId="750851FD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73814AC" w14:textId="6168300D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Клинична ефикасност и безопасност</w:t>
      </w:r>
    </w:p>
    <w:p w14:paraId="001CB6AC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D7DF51B" w14:textId="5B3E4CFF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u w:val="single"/>
          <w:lang w:eastAsia="bg-BG"/>
        </w:rPr>
        <w:t>Хипертония</w:t>
      </w:r>
    </w:p>
    <w:p w14:paraId="7430F8DA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lastRenderedPageBreak/>
        <w:t xml:space="preserve">Ирбесартан пониважа кръвното налягане и води до минимални промени на сърдечния пулс. Понижаването на кръвното налягане е дозозависимо при прием на лекарството веднъж дневно с тенденция към достигане на плато при прием на дози над 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. </w:t>
      </w:r>
      <w:r w:rsidRPr="00147F52">
        <w:rPr>
          <w:rFonts w:eastAsia="Times New Roman" w:cs="Arial"/>
          <w:color w:val="000000"/>
          <w:lang w:eastAsia="bg-BG"/>
        </w:rPr>
        <w:t xml:space="preserve">Дози от 150-300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веднъж дневно понижават кръвното налягане в легнало или седнало положение (24 часа след приема) средно с 8-13/5-8 </w:t>
      </w:r>
      <w:r w:rsidRPr="00147F52">
        <w:rPr>
          <w:rFonts w:eastAsia="Times New Roman" w:cs="Arial"/>
          <w:color w:val="000000"/>
          <w:lang w:val="en-US"/>
        </w:rPr>
        <w:t>mm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Hg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(систолично/диастолично) повече отколкото при пациенти, приемащи плацебо.</w:t>
      </w:r>
    </w:p>
    <w:p w14:paraId="3E1C4BCC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5C7C08E" w14:textId="6898846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Максимално понижаване на кръвното налягане се достига 3-6 часа след приема и антихипертензивното действие продължава поне 24 часа. На 24-тия час понижението на стойностите на кръвното налягане възлиза на 60-70% от съответния максимален отговор на диастолното и систолно налягане при употреба на препоръчаните дози. Еднократният прием на 150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дневно води до отчитане на най-ниски стойности и средна стойност на отговор от 24 часа, подобно на същата доза, разделена на 2 приема.</w:t>
      </w:r>
    </w:p>
    <w:p w14:paraId="04FC85A8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32B6B8" w14:textId="5E9493F2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Антихипертензивния ефект на ирбесартан се проявява след 1-2 седмици, а максималния му ефект настъпва 4-6 седмици след започване на лечението. Антихипертензивното действие се поддържа при продължително лечение. След преустановяване на лечението кръвното налягане постепенно си възвръща предишните стойности. Не се наблюдава </w:t>
      </w:r>
      <w:r w:rsidRPr="00147F52">
        <w:rPr>
          <w:rFonts w:eastAsia="Times New Roman" w:cs="Arial"/>
          <w:color w:val="000000"/>
          <w:lang w:val="en-US"/>
        </w:rPr>
        <w:t xml:space="preserve">„rebound” </w:t>
      </w:r>
      <w:r w:rsidRPr="00147F52">
        <w:rPr>
          <w:rFonts w:eastAsia="Times New Roman" w:cs="Arial"/>
          <w:color w:val="000000"/>
          <w:lang w:eastAsia="bg-BG"/>
        </w:rPr>
        <w:t>хипертония.</w:t>
      </w:r>
    </w:p>
    <w:p w14:paraId="2A673C19" w14:textId="77777777" w:rsidR="00147F52" w:rsidRDefault="00147F52" w:rsidP="00147F52">
      <w:pPr>
        <w:rPr>
          <w:rFonts w:eastAsia="Times New Roman" w:cs="Arial"/>
          <w:color w:val="000000"/>
          <w:lang w:eastAsia="bg-BG"/>
        </w:rPr>
      </w:pPr>
    </w:p>
    <w:p w14:paraId="3BB19433" w14:textId="55795DCD" w:rsidR="00147F52" w:rsidRDefault="00147F52" w:rsidP="00147F52">
      <w:pPr>
        <w:rPr>
          <w:rFonts w:eastAsia="Times New Roman" w:cs="Arial"/>
          <w:color w:val="000000"/>
          <w:lang w:eastAsia="bg-BG"/>
        </w:rPr>
      </w:pPr>
      <w:r w:rsidRPr="00147F52">
        <w:rPr>
          <w:rFonts w:eastAsia="Times New Roman" w:cs="Arial"/>
          <w:color w:val="000000"/>
          <w:lang w:eastAsia="bg-BG"/>
        </w:rPr>
        <w:t>Хипотенизвите ефекти на ирбесартан и тиазидните диуретици са адитивни. При па</w:t>
      </w:r>
      <w:r w:rsidRPr="00147F52">
        <w:rPr>
          <w:rFonts w:eastAsia="Times New Roman" w:cs="Arial"/>
          <w:color w:val="000000"/>
          <w:u w:val="single"/>
          <w:lang w:eastAsia="bg-BG"/>
        </w:rPr>
        <w:t>циенти</w:t>
      </w:r>
      <w:r w:rsidRPr="00147F52">
        <w:rPr>
          <w:rFonts w:eastAsia="Times New Roman" w:cs="Arial"/>
          <w:color w:val="000000"/>
          <w:lang w:eastAsia="bg-BG"/>
        </w:rPr>
        <w:t>, които не се контролират адекватно при самостоятелното приложение на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ирбесартан включването към терапията на ниска доза хидрохлоротиазид (12,5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веднъж дневно води до по-голямо понижение на кръвното налягане при максимален спад с 7-10/3-6 </w:t>
      </w:r>
      <w:r w:rsidRPr="00147F52">
        <w:rPr>
          <w:rFonts w:eastAsia="Times New Roman" w:cs="Arial"/>
          <w:color w:val="000000"/>
          <w:lang w:val="en-US"/>
        </w:rPr>
        <w:t>mmHg</w:t>
      </w:r>
      <w:r w:rsidRPr="00147F52">
        <w:rPr>
          <w:rFonts w:eastAsia="Times New Roman" w:cs="Arial"/>
          <w:color w:val="000000"/>
          <w:lang w:eastAsia="bg-BG"/>
        </w:rPr>
        <w:t xml:space="preserve"> (систола/диастола).</w:t>
      </w:r>
    </w:p>
    <w:p w14:paraId="2C106FB2" w14:textId="0D99BA90" w:rsidR="00147F52" w:rsidRDefault="00147F52" w:rsidP="00147F52">
      <w:pPr>
        <w:rPr>
          <w:rFonts w:eastAsia="Times New Roman" w:cs="Arial"/>
          <w:color w:val="000000"/>
          <w:lang w:eastAsia="bg-BG"/>
        </w:rPr>
      </w:pPr>
    </w:p>
    <w:p w14:paraId="3DA14F3A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Ефикасността на ирбесартан не се повлиява от възрастта и пола. Както и при другите лекарствени продукти, действащи върху ренин-ангиотензиновата система, пациентите от черната раса се повлияват в по-ниска степен от монотерапия с ирбесартан. При едновременното приложение на препарата с ниска доза хидрохлоротиазид (напр. 12,5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дневно) повлияването на пациентите от черната раса се доближава до това при бялата раса.</w:t>
      </w:r>
    </w:p>
    <w:p w14:paraId="7561C36A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069312B" w14:textId="18FB225B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Не са отчетени клинично зависими ефекти върху серумната концентрация на пикочна киселина или секреция на пикочната киселина.</w:t>
      </w:r>
    </w:p>
    <w:p w14:paraId="03EC3D5F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903B4E" w14:textId="19B305A5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u w:val="single"/>
          <w:lang w:eastAsia="bg-BG"/>
        </w:rPr>
        <w:t>Хипертония и диабетна нефропатия</w:t>
      </w:r>
    </w:p>
    <w:p w14:paraId="4E3FDC67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Проучването </w:t>
      </w:r>
      <w:r w:rsidRPr="00147F52">
        <w:rPr>
          <w:rFonts w:eastAsia="Times New Roman" w:cs="Arial"/>
          <w:color w:val="000000"/>
        </w:rPr>
        <w:t>“</w:t>
      </w:r>
      <w:proofErr w:type="spellStart"/>
      <w:r w:rsidRPr="00147F52">
        <w:rPr>
          <w:rFonts w:eastAsia="Times New Roman" w:cs="Arial"/>
          <w:color w:val="000000"/>
          <w:lang w:val="en-US"/>
        </w:rPr>
        <w:t>Irbesartan</w:t>
      </w:r>
      <w:proofErr w:type="spellEnd"/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Diabetic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Nephropathy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Trial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(</w:t>
      </w:r>
      <w:r w:rsidRPr="00147F52">
        <w:rPr>
          <w:rFonts w:eastAsia="Times New Roman" w:cs="Arial"/>
          <w:color w:val="000000"/>
          <w:lang w:val="en-US"/>
        </w:rPr>
        <w:t>IDNT</w:t>
      </w:r>
      <w:r w:rsidRPr="00147F52">
        <w:rPr>
          <w:rFonts w:eastAsia="Times New Roman" w:cs="Arial"/>
          <w:color w:val="000000"/>
          <w:lang w:eastAsia="bg-BG"/>
        </w:rPr>
        <w:t xml:space="preserve">)” показва, че ирбесартан забавя развитието на бъбречното заболяване при пациенти с хронична бъбречна недостатъчност и клинично зависима протеинурия. </w:t>
      </w:r>
      <w:r w:rsidRPr="00147F52">
        <w:rPr>
          <w:rFonts w:eastAsia="Times New Roman" w:cs="Arial"/>
          <w:color w:val="000000"/>
          <w:lang w:val="en-US"/>
        </w:rPr>
        <w:t>IDNT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е двойно сляпо, контролирано проучване за изследване на заболеваемостта и смъртността, сравняващо ирбесартан, амлопидин и плацебо. При 1715 пациенти с хипертония и диабет тип 2, протеинурия ≥ 900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eastAsia="bg-BG"/>
        </w:rPr>
        <w:t xml:space="preserve">/ден и серумен креатинин с нива от 1.0-3.0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dl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е изследван продължителния ефект (средно 2,6 години) на ирбесартан върху развитието на бъбречно заболяване и случаите, причиняващи смърт. Пациентите започват със 75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и достигат до 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ирбесартан, от 2,5 до 10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амплопидин или плацебо. Пациентите и в трите групи получават от 2 до 4 антихипертензивни медикаменти (напр. диуретици, бета- блокери, алфа блокери) за достигане на кръвно налягане с 10 </w:t>
      </w:r>
      <w:r w:rsidRPr="00147F52">
        <w:rPr>
          <w:rFonts w:eastAsia="Times New Roman" w:cs="Arial"/>
          <w:color w:val="000000"/>
          <w:lang w:val="en-US"/>
        </w:rPr>
        <w:t>mmHg</w:t>
      </w:r>
      <w:r w:rsidRPr="00147F52">
        <w:rPr>
          <w:rFonts w:eastAsia="Times New Roman" w:cs="Arial"/>
          <w:color w:val="000000"/>
          <w:lang w:val="ru-RU"/>
        </w:rPr>
        <w:t xml:space="preserve">, </w:t>
      </w:r>
      <w:r w:rsidRPr="00147F52">
        <w:rPr>
          <w:rFonts w:eastAsia="Times New Roman" w:cs="Arial"/>
          <w:color w:val="000000"/>
          <w:lang w:eastAsia="bg-BG"/>
        </w:rPr>
        <w:t xml:space="preserve">при базови стойности 160 </w:t>
      </w:r>
      <w:r w:rsidRPr="00147F52">
        <w:rPr>
          <w:rFonts w:eastAsia="Times New Roman" w:cs="Arial"/>
          <w:color w:val="000000"/>
          <w:lang w:val="en-US"/>
        </w:rPr>
        <w:t>mmHg</w:t>
      </w:r>
      <w:r w:rsidRPr="00147F52">
        <w:rPr>
          <w:rFonts w:eastAsia="Times New Roman" w:cs="Arial"/>
          <w:color w:val="000000"/>
          <w:lang w:val="ru-RU"/>
        </w:rPr>
        <w:t xml:space="preserve">. </w:t>
      </w:r>
      <w:r w:rsidRPr="00147F52">
        <w:rPr>
          <w:rFonts w:eastAsia="Times New Roman" w:cs="Arial"/>
          <w:color w:val="000000"/>
          <w:lang w:eastAsia="bg-BG"/>
        </w:rPr>
        <w:t xml:space="preserve">Шестдесет процента (60%) от пациентите в плацебо групата достигат до това кръвно налягане, докато при ирбесартан и амплопидин групата тези проценти са респективно 76% и 78%. </w:t>
      </w:r>
      <w:r w:rsidRPr="00147F52">
        <w:rPr>
          <w:rFonts w:eastAsia="Times New Roman" w:cs="Arial"/>
          <w:color w:val="000000"/>
          <w:lang w:eastAsia="bg-BG"/>
        </w:rPr>
        <w:lastRenderedPageBreak/>
        <w:t xml:space="preserve">Ирбесартан значително намалява релативния риск при пациента с висок серумен креатинин, терминална бъбречна недостатъчност </w:t>
      </w:r>
      <w:r w:rsidRPr="00147F52">
        <w:rPr>
          <w:rFonts w:eastAsia="Times New Roman" w:cs="Arial"/>
          <w:color w:val="000000"/>
          <w:lang w:val="ru-RU"/>
        </w:rPr>
        <w:t>(</w:t>
      </w:r>
      <w:r w:rsidRPr="00147F52">
        <w:rPr>
          <w:rFonts w:eastAsia="Times New Roman" w:cs="Arial"/>
          <w:color w:val="000000"/>
          <w:lang w:val="en-US"/>
        </w:rPr>
        <w:t>ESRD</w:t>
      </w:r>
      <w:r w:rsidRPr="00147F52">
        <w:rPr>
          <w:rFonts w:eastAsia="Times New Roman" w:cs="Arial"/>
          <w:color w:val="000000"/>
          <w:lang w:val="ru-RU"/>
        </w:rPr>
        <w:t xml:space="preserve">) </w:t>
      </w:r>
      <w:r w:rsidRPr="00147F52">
        <w:rPr>
          <w:rFonts w:eastAsia="Times New Roman" w:cs="Arial"/>
          <w:color w:val="000000"/>
          <w:lang w:eastAsia="bg-BG"/>
        </w:rPr>
        <w:t xml:space="preserve">или смъртността. Около 33% от пациентите в ирбесартан групата достигат до горе-споменатите показатели сравнено с 30% и 41% при плацебо и амплопидин групите (20% редукция на релативния риск спрямо плацебо (р=0.024) и 23% на релативния риск спрямо амплопидин. (р=0,006). При направения анализ на отделните показатели не се наблюдава влияние върху случаите, причиняващи смърт, но се наблюдава позитивна посока в редукцията на </w:t>
      </w:r>
      <w:r w:rsidRPr="00147F52">
        <w:rPr>
          <w:rFonts w:eastAsia="Times New Roman" w:cs="Arial"/>
          <w:color w:val="000000"/>
          <w:lang w:val="en-US"/>
        </w:rPr>
        <w:t>ESRD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и значителна редукция на риска при пациенти с увеличен серумен креатинин.</w:t>
      </w:r>
    </w:p>
    <w:p w14:paraId="0F648A0A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2F736AF" w14:textId="4292A8DA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Подгрупите групирани по пол, раса, възраст, продължителност на диабета, базови стойности на кръвното налягане, серумен креатинин и степен на екскреция на албумин бяха оценявани за терапевтичен ефект. При подгрупите с жени и пациенти от черната раса, които представляват 32% и 26% от цялата изследвана популация, не се наблюдава благоприятен ефект, въпреки че интервала на достоверност не го изключва. Относно вторичните показатели (сърдечно-съдови инциденти, завършващи с или без смърт), не се наблюдава разлика сред трите изследвани групи в цялото проучване, въпреки увеличената честота на инфаркти на миокарда завършващи без смърт при жени и намалената честота на инфаркти завършващи без смърт при мъже спрямо плацебо групата. Увеличена честота на инфаркти на миокарда завършващи без смърт и мозъчен удар са наблюдавани при жени в ирбесартан групата спрямо амплопидин групата. Хоспитализацията на пациенти поради сърдечна недостатъчност е намалена в цялата популация. Не са намерени научни обяснения за тези резултати при жените.</w:t>
      </w:r>
    </w:p>
    <w:p w14:paraId="4A28AE14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913181E" w14:textId="77777777" w:rsidR="00147F52" w:rsidRPr="00147F52" w:rsidRDefault="00147F52" w:rsidP="00147F52">
      <w:pPr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Проучването </w:t>
      </w:r>
      <w:r w:rsidRPr="00147F52">
        <w:rPr>
          <w:rFonts w:eastAsia="Times New Roman" w:cs="Arial"/>
          <w:color w:val="000000"/>
        </w:rPr>
        <w:t>“</w:t>
      </w:r>
      <w:r w:rsidRPr="00147F52">
        <w:rPr>
          <w:rFonts w:eastAsia="Times New Roman" w:cs="Arial"/>
          <w:color w:val="000000"/>
          <w:lang w:val="en-US"/>
        </w:rPr>
        <w:t>Effects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of</w:t>
      </w:r>
      <w:r w:rsidRPr="00147F52">
        <w:rPr>
          <w:rFonts w:eastAsia="Times New Roman" w:cs="Arial"/>
          <w:color w:val="000000"/>
        </w:rPr>
        <w:t xml:space="preserve"> </w:t>
      </w:r>
      <w:proofErr w:type="spellStart"/>
      <w:r w:rsidRPr="00147F52">
        <w:rPr>
          <w:rFonts w:eastAsia="Times New Roman" w:cs="Arial"/>
          <w:color w:val="000000"/>
          <w:lang w:val="en-US"/>
        </w:rPr>
        <w:t>Irbesartan</w:t>
      </w:r>
      <w:proofErr w:type="spellEnd"/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on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Microalbuminuria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in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Hypertensive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Patients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with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type</w:t>
      </w:r>
      <w:r w:rsidRPr="00147F52">
        <w:rPr>
          <w:rFonts w:eastAsia="Times New Roman" w:cs="Arial"/>
          <w:color w:val="000000"/>
        </w:rPr>
        <w:t xml:space="preserve"> 2 </w:t>
      </w:r>
      <w:r w:rsidRPr="00147F52">
        <w:rPr>
          <w:rFonts w:eastAsia="Times New Roman" w:cs="Arial"/>
          <w:color w:val="000000"/>
          <w:lang w:val="en-US"/>
        </w:rPr>
        <w:t>Diabetes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Mellitus</w:t>
      </w:r>
      <w:r w:rsidRPr="00147F52">
        <w:rPr>
          <w:rFonts w:eastAsia="Times New Roman" w:cs="Arial"/>
          <w:color w:val="000000"/>
        </w:rPr>
        <w:t xml:space="preserve"> (</w:t>
      </w:r>
      <w:r w:rsidRPr="00147F52">
        <w:rPr>
          <w:rFonts w:eastAsia="Times New Roman" w:cs="Arial"/>
          <w:color w:val="000000"/>
          <w:lang w:val="en-US"/>
        </w:rPr>
        <w:t>IRMA</w:t>
      </w:r>
      <w:r w:rsidRPr="00147F52">
        <w:rPr>
          <w:rFonts w:eastAsia="Times New Roman" w:cs="Arial"/>
          <w:color w:val="000000"/>
        </w:rPr>
        <w:t xml:space="preserve"> 2)” </w:t>
      </w:r>
      <w:r w:rsidRPr="00147F52">
        <w:rPr>
          <w:rFonts w:eastAsia="Times New Roman" w:cs="Arial"/>
          <w:color w:val="000000"/>
          <w:lang w:eastAsia="bg-BG"/>
        </w:rPr>
        <w:t xml:space="preserve">показва, че ирбесартан </w:t>
      </w:r>
      <w:r w:rsidRPr="00147F52">
        <w:rPr>
          <w:rFonts w:eastAsia="Times New Roman" w:cs="Arial"/>
          <w:color w:val="000000"/>
        </w:rPr>
        <w:t xml:space="preserve">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забавя прогресията към клинично значима протеинурия при пациенти с микроалбуминурия. </w:t>
      </w:r>
      <w:r w:rsidRPr="00147F52">
        <w:rPr>
          <w:rFonts w:eastAsia="Times New Roman" w:cs="Arial"/>
          <w:color w:val="000000"/>
          <w:lang w:val="en-US"/>
        </w:rPr>
        <w:t>IRMA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2 е палцебо-контролирано, двойно-сляпо проучване за заболеваемостта при 590 пациенти с диабет тип 2, микроалбуминурия (30-300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eastAsia="bg-BG"/>
        </w:rPr>
        <w:t>/ден) и нормална бъбречна функция (серумен креатинин</w:t>
      </w:r>
      <w:r>
        <w:rPr>
          <w:rFonts w:eastAsia="Times New Roman" w:cs="Arial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≤1,5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dl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при мъже и &lt; 1,1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dl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при жени). Проучването изследва продължителния ефект (2 години) на ирбесартан върху прогресията към клинично значима протеинурия (степен на ексреция на албумин чрез урината </w:t>
      </w:r>
      <w:r w:rsidRPr="00147F52">
        <w:rPr>
          <w:rFonts w:eastAsia="Times New Roman" w:cs="Arial"/>
          <w:color w:val="000000"/>
          <w:lang w:val="ru-RU"/>
        </w:rPr>
        <w:t>(</w:t>
      </w:r>
      <w:r w:rsidRPr="00147F52">
        <w:rPr>
          <w:rFonts w:eastAsia="Times New Roman" w:cs="Arial"/>
          <w:color w:val="000000"/>
          <w:lang w:val="en-US"/>
        </w:rPr>
        <w:t>UAER</w:t>
      </w:r>
      <w:r w:rsidRPr="00147F52">
        <w:rPr>
          <w:rFonts w:eastAsia="Times New Roman" w:cs="Arial"/>
          <w:color w:val="000000"/>
          <w:lang w:val="ru-RU"/>
        </w:rPr>
        <w:t xml:space="preserve">) </w:t>
      </w:r>
      <w:r w:rsidRPr="00147F52">
        <w:rPr>
          <w:rFonts w:eastAsia="Times New Roman" w:cs="Arial"/>
          <w:color w:val="000000"/>
          <w:lang w:eastAsia="bg-BG"/>
        </w:rPr>
        <w:t xml:space="preserve">&gt;300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eastAsia="bg-BG"/>
        </w:rPr>
        <w:t xml:space="preserve">/ден и увеличаване на </w:t>
      </w:r>
      <w:r w:rsidRPr="00147F52">
        <w:rPr>
          <w:rFonts w:eastAsia="Times New Roman" w:cs="Arial"/>
          <w:color w:val="000000"/>
          <w:lang w:val="en-US"/>
        </w:rPr>
        <w:t>UAER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най-малко с 30% от базовите стойности). Измерените стойности на кръвното налягане са ≤ </w:t>
      </w:r>
      <w:r w:rsidRPr="00147F52">
        <w:rPr>
          <w:rFonts w:eastAsia="Times New Roman" w:cs="Arial"/>
          <w:color w:val="000000"/>
          <w:lang w:val="ru-RU"/>
        </w:rPr>
        <w:t>135/85</w:t>
      </w:r>
      <w:r w:rsidRPr="00147F52">
        <w:rPr>
          <w:rFonts w:eastAsia="Times New Roman" w:cs="Arial"/>
          <w:color w:val="000000"/>
          <w:lang w:eastAsia="bg-BG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mmHg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Прибавени са и антихипертензивни агенти (без АСЕ инхибитори, ангиотензин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рецепторни антагонисти и дихидропуридин калциеви блокери) за достигане на необходимо кръвно налягане. Докато при всички групи се достигат еднакви стойности на кръвното налягане няколко пациенти в ирбесартан 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групата (5,2%) спрямо плацебо (14,9%) или ирбесартан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150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групата </w:t>
      </w:r>
      <w:r w:rsidRPr="00147F52">
        <w:rPr>
          <w:rFonts w:eastAsia="Times New Roman" w:cs="Arial"/>
          <w:color w:val="000000"/>
          <w:lang w:val="ru-RU"/>
        </w:rPr>
        <w:t xml:space="preserve">(9,7%), </w:t>
      </w:r>
      <w:r w:rsidRPr="00147F52">
        <w:rPr>
          <w:rFonts w:eastAsia="Times New Roman" w:cs="Arial"/>
          <w:color w:val="000000"/>
          <w:lang w:eastAsia="bg-BG"/>
        </w:rPr>
        <w:t xml:space="preserve">достигат до клинично значима протеинурия, показвайки редукция на относителния риск със 70% спрямо групата (р=0,004) при по-високата дозировка. Съпътстващото подобрение на степента на гломерулната филтрация </w:t>
      </w:r>
      <w:r w:rsidRPr="00147F52">
        <w:rPr>
          <w:rFonts w:eastAsia="Times New Roman" w:cs="Arial"/>
          <w:color w:val="000000"/>
          <w:lang w:val="ru-RU"/>
        </w:rPr>
        <w:t>(</w:t>
      </w:r>
      <w:r w:rsidRPr="00147F52">
        <w:rPr>
          <w:rFonts w:eastAsia="Times New Roman" w:cs="Arial"/>
          <w:color w:val="000000"/>
          <w:lang w:val="en-US"/>
        </w:rPr>
        <w:t>GFR</w:t>
      </w:r>
      <w:r w:rsidRPr="00147F52">
        <w:rPr>
          <w:rFonts w:eastAsia="Times New Roman" w:cs="Arial"/>
          <w:color w:val="000000"/>
          <w:lang w:val="ru-RU"/>
        </w:rPr>
        <w:t xml:space="preserve">) </w:t>
      </w:r>
      <w:r w:rsidRPr="00147F52">
        <w:rPr>
          <w:rFonts w:eastAsia="Times New Roman" w:cs="Arial"/>
          <w:color w:val="000000"/>
          <w:lang w:eastAsia="bg-BG"/>
        </w:rPr>
        <w:t xml:space="preserve">не се наблюдава най-рано на третия месец и продължава повече от 2 години. Регресията към нормоалбуминурия (&lt; 30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eastAsia="bg-BG"/>
        </w:rPr>
        <w:t xml:space="preserve">/ден) се среща по-често в групата на ирбесартан 300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(34%), отколкото при плацебо групата (21%).</w:t>
      </w:r>
    </w:p>
    <w:p w14:paraId="6ECF7D4F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C9131A1" w14:textId="1B74E705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u w:val="single"/>
          <w:lang w:eastAsia="bg-BG"/>
        </w:rPr>
        <w:t>Двойно блокиране на ренин-ангиотензин-алдостероновата система (РААС)</w:t>
      </w:r>
    </w:p>
    <w:p w14:paraId="1929DBB6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Две големи рандомизирани контролирани проучвания - </w:t>
      </w:r>
      <w:r w:rsidRPr="00147F52">
        <w:rPr>
          <w:rFonts w:eastAsia="Times New Roman" w:cs="Arial"/>
          <w:color w:val="000000"/>
          <w:lang w:val="en-US"/>
        </w:rPr>
        <w:t>ONTARGET</w:t>
      </w:r>
      <w:r w:rsidRPr="00147F52">
        <w:rPr>
          <w:rFonts w:eastAsia="Times New Roman" w:cs="Arial"/>
          <w:color w:val="000000"/>
        </w:rPr>
        <w:t xml:space="preserve"> (</w:t>
      </w:r>
      <w:proofErr w:type="spellStart"/>
      <w:r w:rsidRPr="00147F52">
        <w:rPr>
          <w:rFonts w:eastAsia="Times New Roman" w:cs="Arial"/>
          <w:color w:val="000000"/>
          <w:lang w:val="en-US"/>
        </w:rPr>
        <w:t>ONgoing</w:t>
      </w:r>
      <w:proofErr w:type="spellEnd"/>
      <w:r w:rsidRPr="00147F52">
        <w:rPr>
          <w:rFonts w:eastAsia="Times New Roman" w:cs="Arial"/>
          <w:color w:val="000000"/>
        </w:rPr>
        <w:t xml:space="preserve"> </w:t>
      </w:r>
      <w:proofErr w:type="spellStart"/>
      <w:r w:rsidRPr="00147F52">
        <w:rPr>
          <w:rFonts w:eastAsia="Times New Roman" w:cs="Arial"/>
          <w:color w:val="000000"/>
          <w:lang w:val="en-US"/>
        </w:rPr>
        <w:t>Telmisartan</w:t>
      </w:r>
      <w:proofErr w:type="spellEnd"/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Alone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and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in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combination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with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Ramipril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Global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Endpoint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Trial</w:t>
      </w:r>
      <w:r w:rsidRPr="00147F52">
        <w:rPr>
          <w:rFonts w:eastAsia="Times New Roman" w:cs="Arial"/>
          <w:color w:val="000000"/>
        </w:rPr>
        <w:t xml:space="preserve"> - </w:t>
      </w:r>
      <w:r w:rsidRPr="00147F52">
        <w:rPr>
          <w:rFonts w:eastAsia="Times New Roman" w:cs="Arial"/>
          <w:color w:val="000000"/>
          <w:lang w:eastAsia="bg-BG"/>
        </w:rPr>
        <w:t xml:space="preserve">текущо глобално изпитване за крайни точки на телмисартан, самостоятелно и в комбинация с рамиприл) и </w:t>
      </w:r>
      <w:r w:rsidRPr="00147F52">
        <w:rPr>
          <w:rFonts w:eastAsia="Times New Roman" w:cs="Arial"/>
          <w:color w:val="000000"/>
          <w:lang w:val="en-US"/>
        </w:rPr>
        <w:t>VA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NEPHRON</w:t>
      </w:r>
      <w:r w:rsidRPr="00147F52">
        <w:rPr>
          <w:rFonts w:eastAsia="Times New Roman" w:cs="Arial"/>
          <w:color w:val="000000"/>
        </w:rPr>
        <w:t>-</w:t>
      </w:r>
      <w:r w:rsidRPr="00147F52">
        <w:rPr>
          <w:rFonts w:eastAsia="Times New Roman" w:cs="Arial"/>
          <w:color w:val="000000"/>
          <w:lang w:val="en-US"/>
        </w:rPr>
        <w:t>D</w:t>
      </w:r>
      <w:r w:rsidRPr="00147F52">
        <w:rPr>
          <w:rFonts w:eastAsia="Times New Roman" w:cs="Arial"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(Клинично проучване свързано с развитие на нефропатия при диабет, </w:t>
      </w:r>
      <w:r w:rsidRPr="00147F52">
        <w:rPr>
          <w:rFonts w:eastAsia="Times New Roman" w:cs="Arial"/>
          <w:color w:val="000000"/>
          <w:lang w:eastAsia="bg-BG"/>
        </w:rPr>
        <w:lastRenderedPageBreak/>
        <w:t xml:space="preserve">проведено от Министерство по въпросите на ветераните) - проучват употребата на комбинацията от АСЕ инхибитор и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>-рецепторен блокер.</w:t>
      </w:r>
    </w:p>
    <w:p w14:paraId="75DE9015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val="en-US"/>
        </w:rPr>
        <w:t>ONTARGET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е проучване, проведено при пациенти с анамнеза за сърдечно-съдова или мозъчно- съдова болест, или захарен диабет тип 2, придружени с данни за увреждане на ефекторни органи. </w:t>
      </w:r>
      <w:r w:rsidRPr="00147F52">
        <w:rPr>
          <w:rFonts w:eastAsia="Times New Roman" w:cs="Arial"/>
          <w:color w:val="000000"/>
          <w:lang w:val="en-US"/>
        </w:rPr>
        <w:t>VA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val="en-US"/>
        </w:rPr>
        <w:t>NEPHRON</w:t>
      </w:r>
      <w:r w:rsidRPr="00147F52">
        <w:rPr>
          <w:rFonts w:eastAsia="Times New Roman" w:cs="Arial"/>
          <w:color w:val="000000"/>
          <w:lang w:val="ru-RU"/>
        </w:rPr>
        <w:t>-</w:t>
      </w:r>
      <w:r w:rsidRPr="00147F52">
        <w:rPr>
          <w:rFonts w:eastAsia="Times New Roman" w:cs="Arial"/>
          <w:color w:val="000000"/>
          <w:lang w:val="en-US"/>
        </w:rPr>
        <w:t>D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е проучване при пациенти със захарен диабет тип 2 и диабетна нефропатия.</w:t>
      </w:r>
    </w:p>
    <w:p w14:paraId="764A73F4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Тези проучвания не показват значим благоприятен ефект върху бъбречните и/или сърдечно</w:t>
      </w:r>
      <w:r w:rsidRPr="00147F52">
        <w:rPr>
          <w:rFonts w:eastAsia="Times New Roman" w:cs="Arial"/>
          <w:color w:val="000000"/>
          <w:lang w:eastAsia="bg-BG"/>
        </w:rPr>
        <w:softHyphen/>
        <w:t>съдовите последици и смъртност, като същевременно са наблюдавани повишен риск от хиперкалиемия, остро увреждане на бъбреците и/или хипотония в сравнение с монотералията.</w:t>
      </w:r>
    </w:p>
    <w:p w14:paraId="214F6170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Като се имат в предвид сходните им фармакодинамични свойства, тези резултати са приложими и за други АСЕ инхибитори и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>-рецепторни блокери.</w:t>
      </w:r>
    </w:p>
    <w:p w14:paraId="7D59BAA9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АСЕ инхибитори и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>-рецепторни блокери следователно не трябва да се използват едновременно при пациенти с диабетна нефропатия.</w:t>
      </w:r>
    </w:p>
    <w:p w14:paraId="765ACF57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val="en-US"/>
        </w:rPr>
        <w:t>ALTITUDE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(Клинично проучване проведено с алискирен при пациенти със захарен диабет тип 2 с използване на сърдечно-съдови и бъбречни заболявалия като крайни точки) е проучване, предназначено да изследва ползата от добавянето на алискирен към стандартна терапия с АСЕ инхибитор или ангиотензин </w:t>
      </w:r>
      <w:r w:rsidRPr="00147F52">
        <w:rPr>
          <w:rFonts w:eastAsia="Times New Roman" w:cs="Arial"/>
          <w:color w:val="000000"/>
          <w:lang w:val="en-US"/>
        </w:rPr>
        <w:t>II</w:t>
      </w:r>
      <w:r w:rsidRPr="00147F52">
        <w:rPr>
          <w:rFonts w:eastAsia="Times New Roman" w:cs="Arial"/>
          <w:color w:val="000000"/>
          <w:lang w:eastAsia="bg-BG"/>
        </w:rPr>
        <w:t>-рецепторен блокер при пациенти със захарен диабет тип 2 и хронично бъбречно заболяване, сърдечно-съдово заболяване или и двете. Проучването е прекратено преждевременно поради повишен риск от неблагоприятни последици. Както сърдечно-съдовата смърт, така и инсултът са по-чести в групата на алискирен, отколкото в групата на плацебо, а представляващите интерес нежелани събития и сериозни нежелани събития (хиперкалиемия, хипотония и бъбречна дисфункция) се съобщават по-често в групата на алискирен, отколкото в групата на плацебо.</w:t>
      </w:r>
    </w:p>
    <w:p w14:paraId="7F353726" w14:textId="29073F61" w:rsidR="00147F52" w:rsidRPr="00147F52" w:rsidRDefault="00147F52" w:rsidP="00147F52"/>
    <w:p w14:paraId="35F84B81" w14:textId="1617337F" w:rsidR="00CF77F7" w:rsidRDefault="002C50EE" w:rsidP="004A448E">
      <w:pPr>
        <w:pStyle w:val="Heading2"/>
      </w:pPr>
      <w:r>
        <w:t>5.2. Фармакокинетични свойства</w:t>
      </w:r>
    </w:p>
    <w:p w14:paraId="131F5F03" w14:textId="358CC1B2" w:rsidR="00147F52" w:rsidRDefault="00147F52" w:rsidP="00147F52"/>
    <w:p w14:paraId="22BFB22D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След перорален прием ирбесартан се резорбира добре; абсолютната му бионаличност е приблизително 60-80% и не се влияе от едновременния прием на храна. Свързването с плазменте протеини е около 96%, като свързването с кръвните клетки е незначително. Обемът на разпределение е 53-93 литра. След перорално или интревенозно приложение на </w:t>
      </w:r>
      <w:r w:rsidRPr="00147F52">
        <w:rPr>
          <w:rFonts w:eastAsia="Times New Roman" w:cs="Arial"/>
          <w:color w:val="000000"/>
          <w:vertAlign w:val="superscript"/>
          <w:lang w:eastAsia="bg-BG"/>
        </w:rPr>
        <w:t>14</w:t>
      </w:r>
      <w:r w:rsidRPr="00147F52">
        <w:rPr>
          <w:rFonts w:eastAsia="Times New Roman" w:cs="Arial"/>
          <w:color w:val="000000"/>
          <w:lang w:eastAsia="bg-BG"/>
        </w:rPr>
        <w:t xml:space="preserve">С ирбесартан, 80-85% от радиоактивността на плазмата се дължи на непроменен ирбесартан. Ирбесартан се метаболизира в черния дроб чрез конюгиране с глюкуронид и окисление. Основният циркулуращ метаболи е ирбесартан глюкоринид (около 60%). Проведените </w:t>
      </w:r>
      <w:r w:rsidRPr="00147F52">
        <w:rPr>
          <w:rFonts w:eastAsia="Times New Roman" w:cs="Arial"/>
          <w:i/>
          <w:iCs/>
          <w:color w:val="000000"/>
          <w:lang w:val="en-US"/>
        </w:rPr>
        <w:t>in</w:t>
      </w:r>
      <w:r w:rsidRPr="00147F52">
        <w:rPr>
          <w:rFonts w:eastAsia="Times New Roman" w:cs="Arial"/>
          <w:i/>
          <w:iCs/>
          <w:color w:val="000000"/>
        </w:rPr>
        <w:t xml:space="preserve"> </w:t>
      </w:r>
      <w:r w:rsidRPr="00147F52">
        <w:rPr>
          <w:rFonts w:eastAsia="Times New Roman" w:cs="Arial"/>
          <w:i/>
          <w:iCs/>
          <w:color w:val="000000"/>
          <w:lang w:val="en-US"/>
        </w:rPr>
        <w:t>vitro</w:t>
      </w:r>
      <w:r w:rsidRPr="00147F52">
        <w:rPr>
          <w:rFonts w:eastAsia="Times New Roman" w:cs="Arial"/>
          <w:i/>
          <w:iCs/>
          <w:color w:val="000000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проучвания покават, че ирбесартан се окислява главно от цитохром Р450, ензим </w:t>
      </w:r>
      <w:r w:rsidRPr="00147F52">
        <w:rPr>
          <w:rFonts w:eastAsia="Times New Roman" w:cs="Arial"/>
          <w:color w:val="000000"/>
          <w:lang w:val="en-US"/>
        </w:rPr>
        <w:t>CYP</w:t>
      </w:r>
      <w:r w:rsidRPr="00147F52">
        <w:rPr>
          <w:rFonts w:eastAsia="Times New Roman" w:cs="Arial"/>
          <w:color w:val="000000"/>
        </w:rPr>
        <w:t>2</w:t>
      </w:r>
      <w:r w:rsidRPr="00147F52">
        <w:rPr>
          <w:rFonts w:eastAsia="Times New Roman" w:cs="Arial"/>
          <w:color w:val="000000"/>
          <w:lang w:val="en-US"/>
        </w:rPr>
        <w:t>C</w:t>
      </w:r>
      <w:r w:rsidRPr="00147F52">
        <w:rPr>
          <w:rFonts w:eastAsia="Times New Roman" w:cs="Arial"/>
          <w:color w:val="000000"/>
        </w:rPr>
        <w:t xml:space="preserve">9; </w:t>
      </w:r>
      <w:r w:rsidRPr="00147F52">
        <w:rPr>
          <w:rFonts w:eastAsia="Times New Roman" w:cs="Arial"/>
          <w:color w:val="000000"/>
          <w:lang w:eastAsia="bg-BG"/>
        </w:rPr>
        <w:t xml:space="preserve">изоензима </w:t>
      </w:r>
      <w:r w:rsidRPr="00147F52">
        <w:rPr>
          <w:rFonts w:eastAsia="Times New Roman" w:cs="Arial"/>
          <w:color w:val="000000"/>
          <w:lang w:val="en-US"/>
        </w:rPr>
        <w:t>CYP</w:t>
      </w:r>
      <w:r w:rsidRPr="00147F52">
        <w:rPr>
          <w:rFonts w:eastAsia="Times New Roman" w:cs="Arial"/>
          <w:color w:val="000000"/>
        </w:rPr>
        <w:t>3</w:t>
      </w:r>
      <w:r w:rsidRPr="00147F52">
        <w:rPr>
          <w:rFonts w:eastAsia="Times New Roman" w:cs="Arial"/>
          <w:color w:val="000000"/>
          <w:lang w:val="en-US"/>
        </w:rPr>
        <w:t>A</w:t>
      </w:r>
      <w:r w:rsidRPr="00147F52">
        <w:rPr>
          <w:rFonts w:eastAsia="Times New Roman" w:cs="Arial"/>
          <w:color w:val="000000"/>
        </w:rPr>
        <w:t xml:space="preserve">4 </w:t>
      </w:r>
      <w:r w:rsidRPr="00147F52">
        <w:rPr>
          <w:rFonts w:eastAsia="Times New Roman" w:cs="Arial"/>
          <w:color w:val="000000"/>
          <w:lang w:eastAsia="bg-BG"/>
        </w:rPr>
        <w:t>оказва минимален ефект.</w:t>
      </w:r>
    </w:p>
    <w:p w14:paraId="06D25F19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232989" w14:textId="2509DF90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Ирбесартан е с линейна и пропорционална на дозата фамакокинетика в дозови граници от 10- 600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(двойно по-високи от максималната препоръчана доза) увеличението на пероралната резорбция е пропорционално, механизмът не е установен. Максималните серумни концентрации се достигат 1,5-2 часа след перорален прием. Тоталният телесен и бъбречен клирънс са съответно 157-176 и 3-3,5 </w:t>
      </w:r>
      <w:r w:rsidRPr="00147F52">
        <w:rPr>
          <w:rFonts w:eastAsia="Times New Roman" w:cs="Arial"/>
          <w:color w:val="000000"/>
          <w:lang w:val="en-US"/>
        </w:rPr>
        <w:t>ml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min</w:t>
      </w:r>
      <w:r w:rsidRPr="00147F52">
        <w:rPr>
          <w:rFonts w:eastAsia="Times New Roman" w:cs="Arial"/>
          <w:color w:val="000000"/>
          <w:lang w:val="ru-RU"/>
        </w:rPr>
        <w:t xml:space="preserve">. </w:t>
      </w:r>
      <w:r w:rsidRPr="00147F52">
        <w:rPr>
          <w:rFonts w:eastAsia="Times New Roman" w:cs="Arial"/>
          <w:color w:val="000000"/>
          <w:lang w:eastAsia="bg-BG"/>
        </w:rPr>
        <w:t>Тоталният полуживот на ирбесартан е 11-15 часа. Равновесни плазмени концентарции се достигат след началото на еднократен дневен прием.</w:t>
      </w:r>
    </w:p>
    <w:p w14:paraId="447D9354" w14:textId="77777777" w:rsidR="00147F52" w:rsidRPr="00147F52" w:rsidRDefault="00147F52" w:rsidP="00147F52">
      <w:pPr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Наблюдавано е ограничено кумулиране на ирбесартан (&lt; 20%) в плазмата при многократно дозиране веднъж дневно. В едно от проведените проучвания са били отчетени малко по-високи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плазмени концентрации на ирбесартан при жени с хипертония, без разлика във времето на полуелиминиране и кумулирането на ирбесартан. Не се налага адаптиране на дозата при жени. </w:t>
      </w:r>
      <w:r w:rsidRPr="00147F52">
        <w:rPr>
          <w:rFonts w:eastAsia="Times New Roman" w:cs="Arial"/>
          <w:color w:val="000000"/>
          <w:lang w:val="en-US"/>
        </w:rPr>
        <w:t>AUC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и С</w:t>
      </w:r>
      <w:r w:rsidRPr="00147F52">
        <w:rPr>
          <w:rFonts w:eastAsia="Times New Roman" w:cs="Arial"/>
          <w:color w:val="000000"/>
          <w:vertAlign w:val="subscript"/>
          <w:lang w:val="en-US"/>
        </w:rPr>
        <w:t>max</w:t>
      </w:r>
      <w:r w:rsidRPr="00147F52">
        <w:rPr>
          <w:rFonts w:eastAsia="Times New Roman" w:cs="Arial"/>
          <w:color w:val="000000"/>
          <w:lang w:eastAsia="bg-BG"/>
        </w:rPr>
        <w:t xml:space="preserve"> ирбесартан са също по-високи при </w:t>
      </w:r>
      <w:r w:rsidRPr="00147F52">
        <w:rPr>
          <w:rFonts w:eastAsia="Times New Roman" w:cs="Arial"/>
          <w:color w:val="000000"/>
          <w:lang w:eastAsia="bg-BG"/>
        </w:rPr>
        <w:lastRenderedPageBreak/>
        <w:t>пациенти в старческа възраст (65 години) отколкото при по-млади пациента (18-40г). Въпреки това, крайното време на полуелиминиране не е променено значително. Не се налага адаптиране на дозата при пациенти в старческа възраст.</w:t>
      </w:r>
    </w:p>
    <w:p w14:paraId="60AC8789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089E73E" w14:textId="25F5C5A8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Ирбесартан и метаболитите му се елиминират чрез жлъчката и бъбреците. След перорално или инравенозно приложение на </w:t>
      </w:r>
      <w:r w:rsidRPr="00147F52">
        <w:rPr>
          <w:rFonts w:eastAsia="Times New Roman" w:cs="Arial"/>
          <w:color w:val="000000"/>
          <w:vertAlign w:val="superscript"/>
          <w:lang w:eastAsia="bg-BG"/>
        </w:rPr>
        <w:t>14</w:t>
      </w:r>
      <w:r w:rsidRPr="00147F52">
        <w:rPr>
          <w:rFonts w:eastAsia="Times New Roman" w:cs="Arial"/>
          <w:color w:val="000000"/>
          <w:lang w:eastAsia="bg-BG"/>
        </w:rPr>
        <w:t>С ирбесартан около 20% от радиоактивността се установява в урината, а останалата част - във фекалиите. По-малко от 2% от дозата се екскретита в урината, като непроменен ирбесартан.</w:t>
      </w:r>
    </w:p>
    <w:p w14:paraId="6BE241CC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578F450" w14:textId="55D873E0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Фармакокинетичните параметри на ирбесартан са изследвани при 23 деца с хипертония след прием на единични или многократни дневни дози ирбесартан (2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kg</w:t>
      </w:r>
      <w:r w:rsidRPr="00147F52">
        <w:rPr>
          <w:rFonts w:eastAsia="Times New Roman" w:cs="Arial"/>
          <w:color w:val="000000"/>
          <w:lang w:val="ru-RU"/>
        </w:rPr>
        <w:t xml:space="preserve">) </w:t>
      </w:r>
      <w:r w:rsidRPr="00147F52">
        <w:rPr>
          <w:rFonts w:eastAsia="Times New Roman" w:cs="Arial"/>
          <w:color w:val="000000"/>
          <w:lang w:eastAsia="bg-BG"/>
        </w:rPr>
        <w:t xml:space="preserve">до максимална дневна доза от 150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в продължение на 4 седмици. 21 от 23 деца били иследвани за сравнение на фармакокинетичните параметри с възрастни (12 деца над 12 години, 9 деца между 6 и 12- годишна възраст). Резулатите показват, че нивата </w:t>
      </w:r>
      <w:proofErr w:type="spellStart"/>
      <w:r w:rsidRPr="00147F52">
        <w:rPr>
          <w:rFonts w:eastAsia="Times New Roman" w:cs="Arial"/>
          <w:color w:val="000000"/>
          <w:lang w:val="en-US"/>
        </w:rPr>
        <w:t>C</w:t>
      </w:r>
      <w:r w:rsidRPr="00147F52">
        <w:rPr>
          <w:rFonts w:eastAsia="Times New Roman" w:cs="Arial"/>
          <w:color w:val="000000"/>
          <w:vertAlign w:val="subscript"/>
          <w:lang w:val="en-US"/>
        </w:rPr>
        <w:t>max</w:t>
      </w:r>
      <w:proofErr w:type="spellEnd"/>
      <w:r w:rsidRPr="00147F52">
        <w:rPr>
          <w:rFonts w:eastAsia="Times New Roman" w:cs="Arial"/>
          <w:color w:val="000000"/>
          <w:lang w:val="ru-RU"/>
        </w:rPr>
        <w:t xml:space="preserve">, </w:t>
      </w:r>
      <w:r w:rsidRPr="00147F52">
        <w:rPr>
          <w:rFonts w:eastAsia="Times New Roman" w:cs="Arial"/>
          <w:color w:val="000000"/>
          <w:lang w:val="en-US"/>
        </w:rPr>
        <w:t>AUC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 xml:space="preserve">и креатан са съпоставими с тези при възрастните пациента, които получават по 150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ирбесартан. Лимитирано натрупване на ирбесартан (18%) в плазмата се наблюдава след повторен прием на дневната доза.</w:t>
      </w:r>
    </w:p>
    <w:p w14:paraId="2CBF9E77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C418324" w14:textId="62031EC0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Пациенти с бъбречна недостатъчност</w:t>
      </w:r>
    </w:p>
    <w:p w14:paraId="2850F35E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При пациента с бъбречна недостатъчност или на хемодиализа, фармакокинетичните показатели на ирбесартан не се променят значително. Ирбесартан не се отстранява чрез хемодиализа.</w:t>
      </w:r>
    </w:p>
    <w:p w14:paraId="7FCF3F21" w14:textId="77777777" w:rsidR="00147F52" w:rsidRDefault="00147F52" w:rsidP="00147F52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4951738" w14:textId="4E2F189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i/>
          <w:iCs/>
          <w:color w:val="000000"/>
          <w:u w:val="single"/>
          <w:lang w:eastAsia="bg-BG"/>
        </w:rPr>
        <w:t>Пациенти с чернодробна недостатъчност</w:t>
      </w:r>
    </w:p>
    <w:p w14:paraId="26A8906B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При пациенти с лека до умерена степен на цироза фармакокинетичните показатели на ирбесартан не се променят значително.</w:t>
      </w:r>
    </w:p>
    <w:p w14:paraId="76676E7B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2FD47A8" w14:textId="4CB5D2DE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Не са проведени проучвания при пациенти с тежка чернодробна недостатъчност.</w:t>
      </w:r>
    </w:p>
    <w:p w14:paraId="73EF87B4" w14:textId="77777777" w:rsidR="00147F52" w:rsidRPr="00147F52" w:rsidRDefault="00147F52" w:rsidP="00147F52"/>
    <w:p w14:paraId="648E39DA" w14:textId="79064ABC" w:rsidR="00CF77F7" w:rsidRDefault="002C50EE" w:rsidP="004A448E">
      <w:pPr>
        <w:pStyle w:val="Heading2"/>
      </w:pPr>
      <w:r>
        <w:t>5.3. Предклинични данни за безопасност</w:t>
      </w:r>
    </w:p>
    <w:p w14:paraId="016DF76D" w14:textId="72B9BE14" w:rsidR="00147F52" w:rsidRDefault="00147F52" w:rsidP="00147F52"/>
    <w:p w14:paraId="42B8D4B7" w14:textId="77777777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Няма данни за абнормна системна токсичност или токсичност на прицелните органи при прием на лекарството в терапевтични дозировки. В предклиничните проучвания за безопасност, приема на високи дози ирбесартан (250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kg</w:t>
      </w:r>
      <w:r w:rsidRPr="00147F52">
        <w:rPr>
          <w:rFonts w:eastAsia="Times New Roman" w:cs="Arial"/>
          <w:color w:val="000000"/>
          <w:lang w:eastAsia="bg-BG"/>
        </w:rPr>
        <w:t xml:space="preserve">/ден при плъхове и 100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kg</w:t>
      </w:r>
      <w:r w:rsidRPr="00147F52">
        <w:rPr>
          <w:rFonts w:eastAsia="Times New Roman" w:cs="Arial"/>
          <w:color w:val="000000"/>
          <w:lang w:eastAsia="bg-BG"/>
        </w:rPr>
        <w:t xml:space="preserve">/ден при макаци) са предизвикали понижение на кръвните показатели (брой еритроцити, хемоглобин, хематокрит). При много високи дози (500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kg</w:t>
      </w:r>
      <w:r w:rsidRPr="00147F52">
        <w:rPr>
          <w:rFonts w:eastAsia="Times New Roman" w:cs="Arial"/>
          <w:color w:val="000000"/>
          <w:lang w:eastAsia="bg-BG"/>
        </w:rPr>
        <w:t xml:space="preserve">/ден) прилагани на плъхове и макаци са били наблюдавани дегенеративни промени в бъбреците (интерстициален нефрит, разширяване на тубулите, базофилни тубули, повишени плазмени концентрации на урея и креатинин), за които се приема, че са резултат от хипотензивното действие на ирбесартан, водещо до понижена бъбречна перфузия. Освен това ирбесартан предизвиква хиперплазия/хипертрофия на юкстагломерулните клетки (90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kg</w:t>
      </w:r>
      <w:r w:rsidRPr="00147F52">
        <w:rPr>
          <w:rFonts w:eastAsia="Times New Roman" w:cs="Arial"/>
          <w:color w:val="000000"/>
          <w:lang w:eastAsia="bg-BG"/>
        </w:rPr>
        <w:t xml:space="preserve">/ден при плъхове и 10 </w:t>
      </w:r>
      <w:r w:rsidRPr="00147F52">
        <w:rPr>
          <w:rFonts w:eastAsia="Times New Roman" w:cs="Arial"/>
          <w:color w:val="000000"/>
          <w:lang w:val="en-US"/>
        </w:rPr>
        <w:t>mg</w:t>
      </w:r>
      <w:r w:rsidRPr="00147F52">
        <w:rPr>
          <w:rFonts w:eastAsia="Times New Roman" w:cs="Arial"/>
          <w:color w:val="000000"/>
          <w:lang w:val="ru-RU"/>
        </w:rPr>
        <w:t>/</w:t>
      </w:r>
      <w:r w:rsidRPr="00147F52">
        <w:rPr>
          <w:rFonts w:eastAsia="Times New Roman" w:cs="Arial"/>
          <w:color w:val="000000"/>
          <w:lang w:val="en-US"/>
        </w:rPr>
        <w:t>kg</w:t>
      </w:r>
      <w:r w:rsidRPr="00147F52">
        <w:rPr>
          <w:rFonts w:eastAsia="Times New Roman" w:cs="Arial"/>
          <w:color w:val="000000"/>
          <w:lang w:eastAsia="bg-BG"/>
        </w:rPr>
        <w:t>/ден при макаци). Счита се, че всички тези промени се дължат на фармакологичното действие на ирбесартан. При използване на терапевтични дози ирбесартан при хора, хиперплазията/хипертрофията на бъбречните юкстагломерулните клетки вероятно е без значение.</w:t>
      </w:r>
    </w:p>
    <w:p w14:paraId="50FA0583" w14:textId="77777777" w:rsidR="00147F52" w:rsidRDefault="00147F52" w:rsidP="00147F5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7C55748" w14:textId="37444439" w:rsidR="00147F52" w:rsidRPr="00147F52" w:rsidRDefault="00147F52" w:rsidP="00147F52">
      <w:pPr>
        <w:spacing w:line="240" w:lineRule="auto"/>
        <w:rPr>
          <w:rFonts w:eastAsia="Times New Roman" w:cs="Arial"/>
        </w:rPr>
      </w:pPr>
      <w:r w:rsidRPr="00147F52">
        <w:rPr>
          <w:rFonts w:eastAsia="Times New Roman" w:cs="Arial"/>
          <w:color w:val="000000"/>
          <w:lang w:eastAsia="bg-BG"/>
        </w:rPr>
        <w:t>Няма доказателства за мутагенен, кластогенен или канцерогенен ефект.</w:t>
      </w:r>
    </w:p>
    <w:p w14:paraId="30E81E92" w14:textId="77777777" w:rsidR="00147F52" w:rsidRDefault="00147F52" w:rsidP="00147F52">
      <w:pPr>
        <w:rPr>
          <w:rFonts w:eastAsia="Times New Roman" w:cs="Arial"/>
          <w:color w:val="000000"/>
          <w:lang w:eastAsia="bg-BG"/>
        </w:rPr>
      </w:pPr>
    </w:p>
    <w:p w14:paraId="5ABDE8EC" w14:textId="22B26562" w:rsidR="00147F52" w:rsidRPr="00147F52" w:rsidRDefault="00147F52" w:rsidP="00147F52">
      <w:pPr>
        <w:rPr>
          <w:rFonts w:cs="Arial"/>
        </w:rPr>
      </w:pPr>
      <w:r w:rsidRPr="00147F52">
        <w:rPr>
          <w:rFonts w:eastAsia="Times New Roman" w:cs="Arial"/>
          <w:color w:val="000000"/>
          <w:lang w:eastAsia="bg-BG"/>
        </w:rPr>
        <w:t xml:space="preserve">При проучванията с животни е установено, че ирбесартан предизвиква преходни токсични промени (увеличено бъбречно легенче, хидроуретер или подкожен едем) при фетуси на </w:t>
      </w:r>
      <w:r w:rsidRPr="00147F52">
        <w:rPr>
          <w:rFonts w:eastAsia="Times New Roman" w:cs="Arial"/>
          <w:color w:val="000000"/>
          <w:lang w:eastAsia="bg-BG"/>
        </w:rPr>
        <w:lastRenderedPageBreak/>
        <w:t>плъх, които изчезват след раждането. При зайци се наблюдава аборт или ранна резорбция</w:t>
      </w:r>
      <w:r w:rsidRPr="00147F52">
        <w:rPr>
          <w:rFonts w:eastAsia="Times New Roman" w:cs="Arial"/>
          <w:color w:val="000000"/>
          <w:lang w:val="ru-RU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при дози,</w:t>
      </w:r>
      <w:r w:rsidRPr="00147F52">
        <w:rPr>
          <w:rFonts w:eastAsia="Times New Roman" w:cs="Arial"/>
          <w:color w:val="000000"/>
          <w:u w:val="single"/>
          <w:lang w:eastAsia="bg-BG"/>
        </w:rPr>
        <w:t xml:space="preserve"> </w:t>
      </w:r>
      <w:r w:rsidRPr="00147F52">
        <w:rPr>
          <w:rFonts w:eastAsia="Times New Roman" w:cs="Arial"/>
          <w:color w:val="000000"/>
          <w:lang w:eastAsia="bg-BG"/>
        </w:rPr>
        <w:t>предизвикващи значителна токсичност при майките, включително и смърт. При плъхове и зайци не са наблюдавани тератогенни ефекти.</w:t>
      </w:r>
    </w:p>
    <w:p w14:paraId="6A7820AB" w14:textId="53E982D5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404CFD45" w14:textId="649D1C60" w:rsidR="00147F52" w:rsidRDefault="00147F52" w:rsidP="00147F52"/>
    <w:p w14:paraId="6F79A4AB" w14:textId="77777777" w:rsidR="00147F52" w:rsidRDefault="00147F52" w:rsidP="00147F52">
      <w:r>
        <w:t xml:space="preserve">НОБЕЛ ФАРМА ЕООД </w:t>
      </w:r>
    </w:p>
    <w:p w14:paraId="4136296D" w14:textId="77777777" w:rsidR="00147F52" w:rsidRDefault="00147F52" w:rsidP="00147F52">
      <w:r>
        <w:t xml:space="preserve">Околовръстен път№ 36 </w:t>
      </w:r>
    </w:p>
    <w:p w14:paraId="7A5686AF" w14:textId="31A27A2F" w:rsidR="00147F52" w:rsidRPr="00147F52" w:rsidRDefault="00147F52" w:rsidP="00147F52">
      <w:r>
        <w:t>1415 София, България</w:t>
      </w:r>
    </w:p>
    <w:p w14:paraId="7BA1BA64" w14:textId="55E017F5" w:rsidR="00CF77F7" w:rsidRDefault="002C50EE" w:rsidP="004A448E">
      <w:pPr>
        <w:pStyle w:val="Heading1"/>
      </w:pPr>
      <w:r>
        <w:t>8. НОМЕР НА РАЗРЕШЕНИЕТО ЗА УПОТРЕБА</w:t>
      </w:r>
    </w:p>
    <w:p w14:paraId="1103F849" w14:textId="6058B9AC" w:rsidR="00147F52" w:rsidRDefault="00147F52" w:rsidP="00147F52"/>
    <w:p w14:paraId="46D7DB51" w14:textId="12B6415F" w:rsidR="00147F52" w:rsidRPr="00147F52" w:rsidRDefault="00147F52" w:rsidP="00147F52">
      <w:r>
        <w:rPr>
          <w:lang w:val="en-US"/>
        </w:rPr>
        <w:t>per</w:t>
      </w:r>
      <w:r w:rsidRPr="00147F52">
        <w:rPr>
          <w:lang w:val="ru-RU"/>
        </w:rPr>
        <w:t xml:space="preserve">. </w:t>
      </w:r>
      <w:r w:rsidR="00415E1D">
        <w:t>№20120289</w:t>
      </w:r>
    </w:p>
    <w:p w14:paraId="2CCB5832" w14:textId="26BF9CC7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1FEE47BA" w14:textId="13425E59" w:rsidR="00147F52" w:rsidRDefault="00147F52" w:rsidP="00147F52"/>
    <w:p w14:paraId="742A4383" w14:textId="311F015F" w:rsidR="00147F52" w:rsidRPr="00147F52" w:rsidRDefault="00147F52" w:rsidP="00147F52">
      <w:pPr>
        <w:rPr>
          <w:sz w:val="24"/>
          <w:szCs w:val="24"/>
        </w:rPr>
      </w:pPr>
      <w:r w:rsidRPr="00147F52">
        <w:rPr>
          <w:lang w:eastAsia="bg-BG"/>
        </w:rPr>
        <w:t>06.06.2012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7E95C649" w:rsidR="007C605B" w:rsidRPr="003E3126" w:rsidRDefault="00147F52" w:rsidP="00147F52">
      <w:r>
        <w:t>01/2017</w:t>
      </w:r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F1CF8"/>
    <w:multiLevelType w:val="hybridMultilevel"/>
    <w:tmpl w:val="46D4C284"/>
    <w:lvl w:ilvl="0" w:tplc="818070F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29"/>
  </w:num>
  <w:num w:numId="12">
    <w:abstractNumId w:val="13"/>
  </w:num>
  <w:num w:numId="13">
    <w:abstractNumId w:val="18"/>
  </w:num>
  <w:num w:numId="14">
    <w:abstractNumId w:val="11"/>
  </w:num>
  <w:num w:numId="15">
    <w:abstractNumId w:val="28"/>
  </w:num>
  <w:num w:numId="16">
    <w:abstractNumId w:val="9"/>
  </w:num>
  <w:num w:numId="17">
    <w:abstractNumId w:val="23"/>
  </w:num>
  <w:num w:numId="18">
    <w:abstractNumId w:val="7"/>
  </w:num>
  <w:num w:numId="19">
    <w:abstractNumId w:val="25"/>
  </w:num>
  <w:num w:numId="20">
    <w:abstractNumId w:val="22"/>
  </w:num>
  <w:num w:numId="21">
    <w:abstractNumId w:val="16"/>
  </w:num>
  <w:num w:numId="22">
    <w:abstractNumId w:val="24"/>
  </w:num>
  <w:num w:numId="23">
    <w:abstractNumId w:val="17"/>
  </w:num>
  <w:num w:numId="24">
    <w:abstractNumId w:val="8"/>
  </w:num>
  <w:num w:numId="25">
    <w:abstractNumId w:val="21"/>
  </w:num>
  <w:num w:numId="26">
    <w:abstractNumId w:val="20"/>
  </w:num>
  <w:num w:numId="27">
    <w:abstractNumId w:val="31"/>
  </w:num>
  <w:num w:numId="28">
    <w:abstractNumId w:val="6"/>
  </w:num>
  <w:num w:numId="29">
    <w:abstractNumId w:val="19"/>
  </w:num>
  <w:num w:numId="30">
    <w:abstractNumId w:val="34"/>
  </w:num>
  <w:num w:numId="31">
    <w:abstractNumId w:val="5"/>
  </w:num>
  <w:num w:numId="32">
    <w:abstractNumId w:val="33"/>
  </w:num>
  <w:num w:numId="33">
    <w:abstractNumId w:val="27"/>
  </w:num>
  <w:num w:numId="34">
    <w:abstractNumId w:val="3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47F52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15E1D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6E0308"/>
    <w:rsid w:val="0075649D"/>
    <w:rsid w:val="007C605B"/>
    <w:rsid w:val="008134C8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5286</Words>
  <Characters>30134</Characters>
  <Application>Microsoft Office Word</Application>
  <DocSecurity>0</DocSecurity>
  <Lines>251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2022-04-19T17:37:00Z</dcterms:created>
  <dcterms:modified xsi:type="dcterms:W3CDTF">2022-04-19T17:37:00Z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