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713F4A13" w:rsidR="007122AD" w:rsidRDefault="00DD466D" w:rsidP="00936AD0">
      <w:pPr>
        <w:pStyle w:val="Heading1"/>
      </w:pPr>
      <w:r>
        <w:t>1.ИМЕ НА ЛЕКАРСТВЕНИЯ ПРОДУКТ</w:t>
      </w:r>
    </w:p>
    <w:p w14:paraId="2409B929" w14:textId="24110FEB" w:rsidR="00773635" w:rsidRDefault="00773635" w:rsidP="00773635"/>
    <w:p w14:paraId="4CF54EE9" w14:textId="222E27C7" w:rsidR="00773635" w:rsidRDefault="00267DC4" w:rsidP="00773635">
      <w:pPr>
        <w:rPr>
          <w:lang w:eastAsia="bg-BG"/>
        </w:rPr>
      </w:pPr>
      <w:r>
        <w:rPr>
          <w:lang w:eastAsia="bg-BG"/>
        </w:rPr>
        <w:t>ИРБЕСАРТАН АКОРД 300</w:t>
      </w:r>
      <w:r w:rsidR="00773635" w:rsidRPr="00773635">
        <w:rPr>
          <w:lang w:eastAsia="bg-BG"/>
        </w:rPr>
        <w:t xml:space="preserve"> </w:t>
      </w:r>
      <w:r w:rsidR="00773635" w:rsidRPr="00773635">
        <w:rPr>
          <w:lang w:val="en-US"/>
        </w:rPr>
        <w:t>mg</w:t>
      </w:r>
      <w:r w:rsidR="00773635" w:rsidRPr="00773635">
        <w:t xml:space="preserve"> </w:t>
      </w:r>
      <w:r w:rsidR="00773635" w:rsidRPr="00773635">
        <w:rPr>
          <w:lang w:eastAsia="bg-BG"/>
        </w:rPr>
        <w:t xml:space="preserve">филмирани таблетки </w:t>
      </w:r>
    </w:p>
    <w:p w14:paraId="02550C3F" w14:textId="622123AB" w:rsidR="00773635" w:rsidRPr="00773635" w:rsidRDefault="00773635" w:rsidP="00773635">
      <w:pPr>
        <w:rPr>
          <w:sz w:val="24"/>
          <w:szCs w:val="24"/>
        </w:rPr>
      </w:pPr>
      <w:r w:rsidRPr="00773635">
        <w:rPr>
          <w:lang w:val="en-US"/>
        </w:rPr>
        <w:t>IRBESARTAN</w:t>
      </w:r>
      <w:r w:rsidRPr="00773635">
        <w:t xml:space="preserve"> </w:t>
      </w:r>
      <w:r w:rsidRPr="00773635">
        <w:rPr>
          <w:lang w:val="en-US"/>
        </w:rPr>
        <w:t>ACCORD</w:t>
      </w:r>
      <w:r w:rsidRPr="00773635">
        <w:t xml:space="preserve"> </w:t>
      </w:r>
      <w:r w:rsidR="00267DC4">
        <w:rPr>
          <w:lang w:eastAsia="bg-BG"/>
        </w:rPr>
        <w:t>300</w:t>
      </w:r>
      <w:r w:rsidRPr="00773635">
        <w:rPr>
          <w:lang w:eastAsia="bg-BG"/>
        </w:rPr>
        <w:t xml:space="preserve"> </w:t>
      </w:r>
      <w:r w:rsidRPr="00773635">
        <w:rPr>
          <w:lang w:val="en-US"/>
        </w:rPr>
        <w:t>mg</w:t>
      </w:r>
      <w:r w:rsidRPr="00773635">
        <w:t xml:space="preserve"> </w:t>
      </w:r>
      <w:r w:rsidRPr="00773635">
        <w:rPr>
          <w:lang w:val="en-US"/>
        </w:rPr>
        <w:t>film</w:t>
      </w:r>
      <w:r w:rsidRPr="00773635">
        <w:t>-</w:t>
      </w:r>
      <w:r w:rsidRPr="00773635">
        <w:rPr>
          <w:lang w:val="en-US"/>
        </w:rPr>
        <w:t>coated</w:t>
      </w:r>
      <w:r w:rsidRPr="00773635">
        <w:t xml:space="preserve"> </w:t>
      </w:r>
      <w:r w:rsidRPr="00773635">
        <w:rPr>
          <w:lang w:val="en-US"/>
        </w:rPr>
        <w:t>tablets</w:t>
      </w:r>
    </w:p>
    <w:p w14:paraId="3D9C82C9" w14:textId="77777777" w:rsidR="00773635" w:rsidRPr="00773635" w:rsidRDefault="00773635" w:rsidP="00773635"/>
    <w:p w14:paraId="6920A680" w14:textId="79E11144" w:rsidR="00C40420" w:rsidRDefault="00DD466D" w:rsidP="004A448E">
      <w:pPr>
        <w:pStyle w:val="Heading1"/>
      </w:pPr>
      <w:r>
        <w:t>2. КАЧЕСТВЕН И КОЛИЧЕСТВЕН СЪСТАВ</w:t>
      </w:r>
    </w:p>
    <w:p w14:paraId="4A6048A0" w14:textId="6ACF03C1" w:rsidR="00773635" w:rsidRDefault="00773635" w:rsidP="00773635"/>
    <w:p w14:paraId="354A2D29" w14:textId="7D355A96" w:rsidR="00773635" w:rsidRPr="00773635" w:rsidRDefault="00773635" w:rsidP="00773635">
      <w:pPr>
        <w:rPr>
          <w:sz w:val="24"/>
          <w:szCs w:val="24"/>
        </w:rPr>
      </w:pPr>
      <w:r w:rsidRPr="00773635">
        <w:rPr>
          <w:lang w:eastAsia="bg-BG"/>
        </w:rPr>
        <w:t>Всяк</w:t>
      </w:r>
      <w:r w:rsidR="00267DC4">
        <w:rPr>
          <w:lang w:eastAsia="bg-BG"/>
        </w:rPr>
        <w:t>а филмирана таблетка съдържа 300</w:t>
      </w:r>
      <w:r w:rsidRPr="00773635">
        <w:rPr>
          <w:lang w:eastAsia="bg-BG"/>
        </w:rPr>
        <w:t xml:space="preserve"> </w:t>
      </w:r>
      <w:r w:rsidRPr="00773635">
        <w:rPr>
          <w:lang w:val="en-US"/>
        </w:rPr>
        <w:t>mg</w:t>
      </w:r>
      <w:r w:rsidRPr="00773635">
        <w:t xml:space="preserve"> </w:t>
      </w:r>
      <w:r w:rsidRPr="00773635">
        <w:rPr>
          <w:lang w:eastAsia="bg-BG"/>
        </w:rPr>
        <w:t xml:space="preserve">ирбесартан </w:t>
      </w:r>
      <w:r w:rsidRPr="00773635">
        <w:rPr>
          <w:i/>
          <w:iCs/>
        </w:rPr>
        <w:t>(</w:t>
      </w:r>
      <w:proofErr w:type="spellStart"/>
      <w:r w:rsidRPr="00773635">
        <w:rPr>
          <w:i/>
          <w:iCs/>
          <w:lang w:val="en-US"/>
        </w:rPr>
        <w:t>irbesartan</w:t>
      </w:r>
      <w:proofErr w:type="spellEnd"/>
      <w:r w:rsidRPr="00773635">
        <w:rPr>
          <w:i/>
          <w:iCs/>
        </w:rPr>
        <w:t>).</w:t>
      </w:r>
    </w:p>
    <w:p w14:paraId="22CFF6F4" w14:textId="2455D0EB" w:rsidR="00773635" w:rsidRPr="00773635" w:rsidRDefault="00773635" w:rsidP="00773635">
      <w:r w:rsidRPr="00773635">
        <w:rPr>
          <w:lang w:eastAsia="bg-BG"/>
        </w:rPr>
        <w:t>Помощно ве</w:t>
      </w:r>
      <w:r w:rsidR="00267DC4">
        <w:rPr>
          <w:lang w:eastAsia="bg-BG"/>
        </w:rPr>
        <w:t>щество с известно действие 101,44</w:t>
      </w:r>
      <w:r w:rsidRPr="00773635">
        <w:rPr>
          <w:lang w:eastAsia="bg-BG"/>
        </w:rPr>
        <w:t xml:space="preserve"> </w:t>
      </w:r>
      <w:r w:rsidRPr="00773635">
        <w:rPr>
          <w:lang w:val="en-US"/>
        </w:rPr>
        <w:t>mg</w:t>
      </w:r>
      <w:r w:rsidRPr="00773635">
        <w:rPr>
          <w:lang w:val="ru-RU"/>
        </w:rPr>
        <w:t xml:space="preserve"> </w:t>
      </w:r>
      <w:r w:rsidRPr="00773635">
        <w:rPr>
          <w:lang w:eastAsia="bg-BG"/>
        </w:rPr>
        <w:t>лактоза монохидрат на таблетка.</w:t>
      </w:r>
    </w:p>
    <w:p w14:paraId="614984C4" w14:textId="718CC9B5" w:rsidR="008A6AF2" w:rsidRDefault="00DD466D" w:rsidP="002C50EE">
      <w:pPr>
        <w:pStyle w:val="Heading1"/>
      </w:pPr>
      <w:r>
        <w:t>3. ЛЕКАРСТВЕНА ФОРМА</w:t>
      </w:r>
    </w:p>
    <w:p w14:paraId="41230A95" w14:textId="7859CA45" w:rsidR="00773635" w:rsidRDefault="00773635" w:rsidP="00773635"/>
    <w:p w14:paraId="0C49ECAD" w14:textId="77777777" w:rsidR="00773635" w:rsidRPr="00773635" w:rsidRDefault="00773635" w:rsidP="00773635">
      <w:pPr>
        <w:rPr>
          <w:sz w:val="24"/>
          <w:szCs w:val="24"/>
        </w:rPr>
      </w:pPr>
      <w:r w:rsidRPr="00773635">
        <w:rPr>
          <w:lang w:eastAsia="bg-BG"/>
        </w:rPr>
        <w:t>Филмирана таблетка.</w:t>
      </w:r>
    </w:p>
    <w:p w14:paraId="470F5F09" w14:textId="77777777" w:rsidR="00773635" w:rsidRDefault="00773635" w:rsidP="00773635">
      <w:pPr>
        <w:rPr>
          <w:lang w:eastAsia="bg-BG"/>
        </w:rPr>
      </w:pPr>
    </w:p>
    <w:p w14:paraId="0B0952BC" w14:textId="09FEC045" w:rsidR="00773635" w:rsidRPr="00773635" w:rsidRDefault="00773635" w:rsidP="00773635">
      <w:pPr>
        <w:rPr>
          <w:sz w:val="24"/>
          <w:szCs w:val="24"/>
        </w:rPr>
      </w:pPr>
      <w:r w:rsidRPr="00773635">
        <w:rPr>
          <w:lang w:eastAsia="bg-BG"/>
        </w:rPr>
        <w:t>Бяла до почти бяла, овална, двойноизпъкнала, филмирана таблетка, с вдлъбнато релефно изображение „I</w:t>
      </w:r>
      <w:r w:rsidRPr="00773635">
        <w:rPr>
          <w:lang w:val="ru-RU"/>
        </w:rPr>
        <w:t xml:space="preserve"> </w:t>
      </w:r>
      <w:r w:rsidR="00267DC4">
        <w:rPr>
          <w:lang w:eastAsia="bg-BG"/>
        </w:rPr>
        <w:t>300</w:t>
      </w:r>
      <w:bookmarkStart w:id="1" w:name="_GoBack"/>
      <w:bookmarkEnd w:id="1"/>
      <w:r w:rsidRPr="00773635">
        <w:rPr>
          <w:lang w:eastAsia="bg-BG"/>
        </w:rPr>
        <w:t>” от едната страна и гладка от другата.</w:t>
      </w:r>
    </w:p>
    <w:p w14:paraId="27B1B899" w14:textId="77777777" w:rsidR="00773635" w:rsidRPr="00773635" w:rsidRDefault="00773635" w:rsidP="00773635"/>
    <w:p w14:paraId="490FC2C4" w14:textId="0F4A4A75" w:rsidR="002C50EE" w:rsidRDefault="002C50EE" w:rsidP="002C50EE">
      <w:pPr>
        <w:pStyle w:val="Heading1"/>
      </w:pPr>
      <w:r>
        <w:t>4. КЛИНИЧНИ ДАННИ</w:t>
      </w:r>
    </w:p>
    <w:p w14:paraId="74330405" w14:textId="33BDC758" w:rsidR="007122AD" w:rsidRDefault="002C50EE" w:rsidP="00936AD0">
      <w:pPr>
        <w:pStyle w:val="Heading2"/>
      </w:pPr>
      <w:r>
        <w:t>4.1. Терапевтични показания</w:t>
      </w:r>
    </w:p>
    <w:p w14:paraId="1295441A" w14:textId="036257B7" w:rsidR="00773635" w:rsidRDefault="00773635" w:rsidP="00773635"/>
    <w:p w14:paraId="4106D863"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Ирбесасартан е показан при възрастни за лечение на есенциална хипертония.</w:t>
      </w:r>
    </w:p>
    <w:p w14:paraId="25D76DCB" w14:textId="77777777" w:rsidR="00773635" w:rsidRPr="00773635" w:rsidRDefault="00773635" w:rsidP="00773635">
      <w:pPr>
        <w:spacing w:line="240" w:lineRule="auto"/>
        <w:rPr>
          <w:rFonts w:eastAsia="Times New Roman" w:cs="Arial"/>
          <w:color w:val="000000"/>
          <w:szCs w:val="20"/>
          <w:lang w:eastAsia="bg-BG"/>
        </w:rPr>
      </w:pPr>
    </w:p>
    <w:p w14:paraId="3EA82D59" w14:textId="0ADEF130"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Той също така е показан за лечение на бъбречно заболяване при възрастни пациенти с хипертония и захарен диабет тип 2, като част от терапията с антихипертензивни лекарствени продукти (вижте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w:t>
      </w:r>
      <w:r w:rsidRPr="00773635">
        <w:rPr>
          <w:rFonts w:eastAsia="Times New Roman" w:cs="Arial"/>
          <w:color w:val="000000"/>
          <w:szCs w:val="20"/>
          <w:lang w:val="ru-RU"/>
        </w:rPr>
        <w:t xml:space="preserve"> </w:t>
      </w:r>
      <w:r w:rsidRPr="00773635">
        <w:rPr>
          <w:rFonts w:eastAsia="Times New Roman" w:cs="Arial"/>
          <w:color w:val="000000"/>
          <w:szCs w:val="20"/>
          <w:lang w:eastAsia="bg-BG"/>
        </w:rPr>
        <w:t>4.5 и 5.1).</w:t>
      </w:r>
    </w:p>
    <w:p w14:paraId="596821A1" w14:textId="77777777" w:rsidR="00773635" w:rsidRPr="00773635" w:rsidRDefault="00773635" w:rsidP="00773635">
      <w:pPr>
        <w:spacing w:line="240" w:lineRule="auto"/>
        <w:rPr>
          <w:rFonts w:eastAsia="Times New Roman" w:cs="Arial"/>
          <w:color w:val="000000"/>
          <w:szCs w:val="20"/>
          <w:lang w:eastAsia="bg-BG"/>
        </w:rPr>
      </w:pPr>
    </w:p>
    <w:p w14:paraId="54E091F0" w14:textId="464B7F86"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може да бъде използван самостоятелно или в комбинация с други антихипертензивни средства (вижте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w:t>
      </w:r>
      <w:r w:rsidRPr="00773635">
        <w:rPr>
          <w:rFonts w:eastAsia="Times New Roman" w:cs="Arial"/>
          <w:color w:val="000000"/>
          <w:szCs w:val="20"/>
          <w:lang w:val="ru-RU"/>
        </w:rPr>
        <w:t xml:space="preserve"> </w:t>
      </w:r>
      <w:r w:rsidRPr="00773635">
        <w:rPr>
          <w:rFonts w:eastAsia="Times New Roman" w:cs="Arial"/>
          <w:color w:val="000000"/>
          <w:szCs w:val="20"/>
          <w:lang w:eastAsia="bg-BG"/>
        </w:rPr>
        <w:t>4.5 и 5.1).</w:t>
      </w:r>
    </w:p>
    <w:p w14:paraId="6ECBB8C8" w14:textId="77777777" w:rsidR="00773635" w:rsidRPr="00773635" w:rsidRDefault="00773635" w:rsidP="00773635"/>
    <w:p w14:paraId="53F5B866" w14:textId="668EC2A7" w:rsidR="007122AD" w:rsidRDefault="002C50EE" w:rsidP="00936AD0">
      <w:pPr>
        <w:pStyle w:val="Heading2"/>
      </w:pPr>
      <w:r>
        <w:t>4.2. Дозировка и начин на приложение</w:t>
      </w:r>
    </w:p>
    <w:p w14:paraId="0DCE697F" w14:textId="42B1E509" w:rsidR="00773635" w:rsidRDefault="00773635" w:rsidP="00773635"/>
    <w:p w14:paraId="1F33F3E0" w14:textId="77777777" w:rsidR="00773635" w:rsidRPr="00773635" w:rsidRDefault="00773635" w:rsidP="00773635">
      <w:pPr>
        <w:pStyle w:val="Heading3"/>
        <w:rPr>
          <w:rFonts w:eastAsia="Times New Roman"/>
          <w:sz w:val="28"/>
          <w:u w:val="single"/>
        </w:rPr>
      </w:pPr>
      <w:r w:rsidRPr="00773635">
        <w:rPr>
          <w:rFonts w:eastAsia="Times New Roman"/>
          <w:u w:val="single"/>
          <w:lang w:eastAsia="bg-BG"/>
        </w:rPr>
        <w:t>Дозировка</w:t>
      </w:r>
    </w:p>
    <w:p w14:paraId="271F9E0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може да бъде използван самостоятелно или в комбинация с други антихипертензивни средства (вижте точки 4.3,4.4,4.5 и 5.1).</w:t>
      </w:r>
    </w:p>
    <w:p w14:paraId="12EE3281" w14:textId="77777777" w:rsidR="00773635" w:rsidRPr="00773635" w:rsidRDefault="00773635" w:rsidP="00773635">
      <w:pPr>
        <w:spacing w:line="240" w:lineRule="auto"/>
        <w:rPr>
          <w:rFonts w:eastAsia="Times New Roman" w:cs="Arial"/>
          <w:color w:val="000000"/>
          <w:szCs w:val="20"/>
          <w:lang w:eastAsia="bg-BG"/>
        </w:rPr>
      </w:pPr>
    </w:p>
    <w:p w14:paraId="02FF7C72" w14:textId="64F4806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Обичайната препоръчителна начална и поддържаща доза е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със или без храна. Ирбесартан таблетки в доза от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обикновено води до по-добър 24 часов контрол на кръвното налягане, в сравнение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Въпреки това, може да се обмисли започване на лечение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особено при пациенти на хемодиализа или възрастни пациенти над 75 годишна възраст.</w:t>
      </w:r>
    </w:p>
    <w:p w14:paraId="3EBC0FAE" w14:textId="77777777" w:rsidR="00773635" w:rsidRPr="00773635" w:rsidRDefault="00773635" w:rsidP="00773635">
      <w:pPr>
        <w:spacing w:line="240" w:lineRule="auto"/>
        <w:rPr>
          <w:rFonts w:eastAsia="Times New Roman" w:cs="Arial"/>
          <w:color w:val="000000"/>
          <w:szCs w:val="20"/>
          <w:lang w:eastAsia="bg-BG"/>
        </w:rPr>
      </w:pPr>
    </w:p>
    <w:p w14:paraId="1E55D079" w14:textId="57143EDA"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lastRenderedPageBreak/>
        <w:t xml:space="preserve">При пациенти, при които не е постигнат желания контрол с доза от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дозата на ирбесартан може да бъде повишена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или да бъде добавено друго антихипертензивно средство (вижте точки 4.3, 4.4, 4.5 и 5.1), В частност добавянето на диуретик като хидрохлоротиазид е показало адитивен ефект към този на ирбесартан. (вижте точка 4.5).</w:t>
      </w:r>
    </w:p>
    <w:p w14:paraId="0963812A" w14:textId="77777777" w:rsidR="00773635" w:rsidRPr="00773635" w:rsidRDefault="00773635" w:rsidP="00773635">
      <w:pPr>
        <w:spacing w:line="240" w:lineRule="auto"/>
        <w:rPr>
          <w:rFonts w:eastAsia="Times New Roman" w:cs="Arial"/>
          <w:color w:val="000000"/>
          <w:szCs w:val="20"/>
          <w:lang w:eastAsia="bg-BG"/>
        </w:rPr>
      </w:pPr>
    </w:p>
    <w:p w14:paraId="5D2B6822" w14:textId="4FB261EC"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При хипертоници с диабет тип 2 лечението трябва да бъде започнато със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ирбесартан веднъж дневно и титрирано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w:t>
      </w:r>
      <w:r w:rsidRPr="00773635">
        <w:rPr>
          <w:rFonts w:eastAsia="Times New Roman" w:cs="Arial"/>
          <w:i/>
          <w:iCs/>
          <w:color w:val="000000"/>
          <w:szCs w:val="20"/>
          <w:lang w:eastAsia="bg-BG"/>
        </w:rPr>
        <w:t>дневно,</w:t>
      </w:r>
      <w:r w:rsidRPr="00773635">
        <w:rPr>
          <w:rFonts w:eastAsia="Times New Roman" w:cs="Arial"/>
          <w:color w:val="000000"/>
          <w:szCs w:val="20"/>
          <w:lang w:eastAsia="bg-BG"/>
        </w:rPr>
        <w:t xml:space="preserve"> като предпочитана поддържаща доза за лечение на бъбречното заболяване.</w:t>
      </w:r>
    </w:p>
    <w:p w14:paraId="58DE18EC" w14:textId="77777777" w:rsidR="00773635" w:rsidRPr="00773635" w:rsidRDefault="00773635" w:rsidP="00773635">
      <w:pPr>
        <w:spacing w:line="240" w:lineRule="auto"/>
        <w:rPr>
          <w:rFonts w:eastAsia="Times New Roman" w:cs="Arial"/>
          <w:color w:val="000000"/>
          <w:szCs w:val="20"/>
          <w:lang w:eastAsia="bg-BG"/>
        </w:rPr>
      </w:pPr>
    </w:p>
    <w:p w14:paraId="6546B757" w14:textId="5B6EFC89" w:rsidR="00773635" w:rsidRPr="00773635" w:rsidRDefault="00773635" w:rsidP="00773635">
      <w:pPr>
        <w:spacing w:line="240" w:lineRule="auto"/>
        <w:rPr>
          <w:rFonts w:eastAsia="Times New Roman" w:cs="Arial"/>
          <w:color w:val="000000"/>
          <w:szCs w:val="20"/>
          <w:lang w:eastAsia="bg-BG"/>
        </w:rPr>
      </w:pPr>
      <w:r w:rsidRPr="00773635">
        <w:rPr>
          <w:rFonts w:eastAsia="Times New Roman" w:cs="Arial"/>
          <w:color w:val="000000"/>
          <w:szCs w:val="20"/>
          <w:lang w:eastAsia="bg-BG"/>
        </w:rPr>
        <w:t>Благоприятният ефект на ирбесартан върху бъбреците при пациенти с хипертония и диабет тип 2 е основан на проучвания, при които ирбесартан е използван в допълнение към други антихипертензивни средства, при необходимост, за достигане на желаното кръвно налягане (вижте точки 4.3, 4.4, 4.5 и 5.1).</w:t>
      </w:r>
    </w:p>
    <w:p w14:paraId="4BDAF5B3" w14:textId="2A10BD61" w:rsidR="00773635" w:rsidRPr="00773635" w:rsidRDefault="00773635" w:rsidP="00773635">
      <w:pPr>
        <w:spacing w:line="240" w:lineRule="auto"/>
        <w:rPr>
          <w:rFonts w:eastAsia="Times New Roman" w:cs="Arial"/>
          <w:color w:val="000000"/>
          <w:szCs w:val="20"/>
          <w:lang w:eastAsia="bg-BG"/>
        </w:rPr>
      </w:pPr>
    </w:p>
    <w:p w14:paraId="63AD0C8A"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Специални популации</w:t>
      </w:r>
    </w:p>
    <w:p w14:paraId="405752BA" w14:textId="77777777" w:rsidR="00773635" w:rsidRPr="00773635" w:rsidRDefault="00773635" w:rsidP="00773635">
      <w:pPr>
        <w:spacing w:line="240" w:lineRule="auto"/>
        <w:rPr>
          <w:rFonts w:eastAsia="Times New Roman" w:cs="Arial"/>
          <w:b/>
          <w:bCs/>
          <w:color w:val="000000"/>
          <w:szCs w:val="20"/>
          <w:lang w:eastAsia="bg-BG"/>
        </w:rPr>
      </w:pPr>
    </w:p>
    <w:p w14:paraId="00C704B8" w14:textId="3834100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Бъбречно увреждане: </w:t>
      </w:r>
      <w:r w:rsidRPr="00773635">
        <w:rPr>
          <w:rFonts w:eastAsia="Times New Roman" w:cs="Arial"/>
          <w:color w:val="000000"/>
          <w:szCs w:val="20"/>
          <w:lang w:eastAsia="bg-BG"/>
        </w:rPr>
        <w:t xml:space="preserve">Не е необходима промяна на дозата при пациенти с увредена бъбречна функция. По-ниска начална доза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трябва да се има предвид при пациентите на хемодиализа (вж. точка 4.4).</w:t>
      </w:r>
    </w:p>
    <w:p w14:paraId="2FA4F73D" w14:textId="77777777" w:rsidR="00773635" w:rsidRPr="00773635" w:rsidRDefault="00773635" w:rsidP="00773635">
      <w:pPr>
        <w:spacing w:line="240" w:lineRule="auto"/>
        <w:rPr>
          <w:rFonts w:eastAsia="Times New Roman" w:cs="Arial"/>
          <w:b/>
          <w:bCs/>
          <w:color w:val="000000"/>
          <w:szCs w:val="20"/>
          <w:lang w:eastAsia="bg-BG"/>
        </w:rPr>
      </w:pPr>
    </w:p>
    <w:p w14:paraId="6E0CC09C" w14:textId="710D8B46"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Намален вътресъдов обем: </w:t>
      </w:r>
      <w:r w:rsidRPr="00773635">
        <w:rPr>
          <w:rFonts w:eastAsia="Times New Roman" w:cs="Arial"/>
          <w:color w:val="000000"/>
          <w:szCs w:val="20"/>
          <w:lang w:eastAsia="bg-BG"/>
        </w:rPr>
        <w:t>Намаленият вътресъдов обем и/или недостиг на натрий трябва да се коригира преди прилагането на ирбесартан.</w:t>
      </w:r>
    </w:p>
    <w:p w14:paraId="2FF599D0" w14:textId="77777777" w:rsidR="00773635" w:rsidRPr="00773635" w:rsidRDefault="00773635" w:rsidP="00773635">
      <w:pPr>
        <w:spacing w:line="240" w:lineRule="auto"/>
        <w:rPr>
          <w:rFonts w:eastAsia="Times New Roman" w:cs="Arial"/>
          <w:b/>
          <w:bCs/>
          <w:color w:val="000000"/>
          <w:szCs w:val="20"/>
          <w:lang w:eastAsia="bg-BG"/>
        </w:rPr>
      </w:pPr>
    </w:p>
    <w:p w14:paraId="7A462298" w14:textId="66ADADE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Чернодробно увреждане: </w:t>
      </w:r>
      <w:r w:rsidRPr="00773635">
        <w:rPr>
          <w:rFonts w:eastAsia="Times New Roman" w:cs="Arial"/>
          <w:color w:val="000000"/>
          <w:szCs w:val="20"/>
          <w:lang w:eastAsia="bg-BG"/>
        </w:rPr>
        <w:t>Не е необходима промяна на дозата при пациенти с леко до умерено увреждане на чернодробната функция. Няма клиничен опит при пациенти с тежко увреждане на чернодробната функция.</w:t>
      </w:r>
    </w:p>
    <w:p w14:paraId="22FB7A98" w14:textId="77777777" w:rsidR="00773635" w:rsidRPr="00773635" w:rsidRDefault="00773635" w:rsidP="00773635">
      <w:pPr>
        <w:spacing w:line="240" w:lineRule="auto"/>
        <w:rPr>
          <w:rFonts w:eastAsia="Times New Roman" w:cs="Arial"/>
          <w:b/>
          <w:bCs/>
          <w:color w:val="000000"/>
          <w:szCs w:val="20"/>
          <w:lang w:eastAsia="bg-BG"/>
        </w:rPr>
      </w:pPr>
    </w:p>
    <w:p w14:paraId="6FAA2B9C" w14:textId="7C1A960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Старческа възраст: </w:t>
      </w:r>
      <w:r w:rsidRPr="00773635">
        <w:rPr>
          <w:rFonts w:eastAsia="Times New Roman" w:cs="Arial"/>
          <w:color w:val="000000"/>
          <w:szCs w:val="20"/>
          <w:lang w:eastAsia="bg-BG"/>
        </w:rPr>
        <w:t xml:space="preserve">Въпреки необходимостта от обмисляне на започване на лечението със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при пациенти на възраст над 75 години, обикновено не се налага адаптиране на дозата при пациентите в старческа възраст.</w:t>
      </w:r>
    </w:p>
    <w:p w14:paraId="62ED8BD9" w14:textId="77777777" w:rsidR="00773635" w:rsidRPr="00773635" w:rsidRDefault="00773635" w:rsidP="00773635">
      <w:pPr>
        <w:spacing w:line="240" w:lineRule="auto"/>
        <w:rPr>
          <w:rFonts w:eastAsia="Times New Roman" w:cs="Arial"/>
          <w:b/>
          <w:bCs/>
          <w:color w:val="000000"/>
          <w:szCs w:val="20"/>
          <w:lang w:eastAsia="bg-BG"/>
        </w:rPr>
      </w:pPr>
    </w:p>
    <w:p w14:paraId="6E57EC64" w14:textId="249AD51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Педиатрична популация: </w:t>
      </w:r>
      <w:r w:rsidRPr="00773635">
        <w:rPr>
          <w:rFonts w:eastAsia="Times New Roman" w:cs="Arial"/>
          <w:color w:val="000000"/>
          <w:szCs w:val="20"/>
          <w:lang w:eastAsia="bg-BG"/>
        </w:rPr>
        <w:t>безопасността и ефикасността на ирбесартан при деца на възраст от 0 до 18 години не е установена. Наличните до момента данни са описани в точки 4.8, 5.1 и 5.2, но не могат да се направят препоръки за дозиране.</w:t>
      </w:r>
    </w:p>
    <w:p w14:paraId="7D3761C8" w14:textId="77777777" w:rsidR="00773635" w:rsidRPr="00773635" w:rsidRDefault="00773635" w:rsidP="00773635">
      <w:pPr>
        <w:spacing w:line="240" w:lineRule="auto"/>
        <w:rPr>
          <w:rFonts w:eastAsia="Times New Roman" w:cs="Arial"/>
          <w:color w:val="000000"/>
          <w:szCs w:val="20"/>
          <w:u w:val="single"/>
          <w:lang w:eastAsia="bg-BG"/>
        </w:rPr>
      </w:pPr>
    </w:p>
    <w:p w14:paraId="3E14A7BF" w14:textId="4E1B0263" w:rsidR="00773635" w:rsidRPr="00773635" w:rsidRDefault="00773635" w:rsidP="00773635">
      <w:pPr>
        <w:pStyle w:val="Heading3"/>
        <w:rPr>
          <w:rFonts w:eastAsia="Times New Roman"/>
          <w:sz w:val="28"/>
          <w:u w:val="single"/>
        </w:rPr>
      </w:pPr>
      <w:r w:rsidRPr="00773635">
        <w:rPr>
          <w:rFonts w:eastAsia="Times New Roman"/>
          <w:u w:val="single"/>
          <w:lang w:eastAsia="bg-BG"/>
        </w:rPr>
        <w:t>Начин на приложение</w:t>
      </w:r>
    </w:p>
    <w:p w14:paraId="3974281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За перорално приложение.</w:t>
      </w:r>
    </w:p>
    <w:p w14:paraId="3DAC5114" w14:textId="0D9409EC" w:rsidR="00773635" w:rsidRPr="00773635" w:rsidRDefault="00773635" w:rsidP="00773635"/>
    <w:p w14:paraId="0F253247" w14:textId="0ED296CD" w:rsidR="007122AD" w:rsidRDefault="002C50EE" w:rsidP="00936AD0">
      <w:pPr>
        <w:pStyle w:val="Heading2"/>
      </w:pPr>
      <w:r>
        <w:t>4.3. Противопоказания</w:t>
      </w:r>
    </w:p>
    <w:p w14:paraId="3FEFF770" w14:textId="73F449AB" w:rsidR="00773635" w:rsidRDefault="00773635" w:rsidP="00773635"/>
    <w:p w14:paraId="3CCA45D4" w14:textId="77777777" w:rsidR="00773635" w:rsidRPr="00773635" w:rsidRDefault="00773635" w:rsidP="00773635">
      <w:pPr>
        <w:rPr>
          <w:sz w:val="24"/>
          <w:szCs w:val="24"/>
        </w:rPr>
      </w:pPr>
      <w:r w:rsidRPr="00773635">
        <w:rPr>
          <w:lang w:eastAsia="bg-BG"/>
        </w:rPr>
        <w:t>Свръхчувствителност към активното вещество или някое от помощните вещества, изброени в точка 6.1.</w:t>
      </w:r>
    </w:p>
    <w:p w14:paraId="66E4C94A" w14:textId="77777777" w:rsidR="00773635" w:rsidRDefault="00773635" w:rsidP="00773635">
      <w:pPr>
        <w:rPr>
          <w:lang w:eastAsia="bg-BG"/>
        </w:rPr>
      </w:pPr>
    </w:p>
    <w:p w14:paraId="36E59A93" w14:textId="2847D5E0" w:rsidR="00773635" w:rsidRPr="00773635" w:rsidRDefault="00773635" w:rsidP="00773635">
      <w:pPr>
        <w:rPr>
          <w:sz w:val="24"/>
          <w:szCs w:val="24"/>
        </w:rPr>
      </w:pPr>
      <w:r w:rsidRPr="00773635">
        <w:rPr>
          <w:lang w:eastAsia="bg-BG"/>
        </w:rPr>
        <w:t>Втори и трети триместьр на бременността (вижте точки 4.4 и 4.6).</w:t>
      </w:r>
    </w:p>
    <w:p w14:paraId="2D8C5D53" w14:textId="77777777" w:rsidR="00773635" w:rsidRDefault="00773635" w:rsidP="00773635">
      <w:pPr>
        <w:rPr>
          <w:lang w:eastAsia="bg-BG"/>
        </w:rPr>
      </w:pPr>
    </w:p>
    <w:p w14:paraId="2167DAF6" w14:textId="720B10B1" w:rsidR="00773635" w:rsidRPr="00773635" w:rsidRDefault="00773635" w:rsidP="00773635">
      <w:pPr>
        <w:rPr>
          <w:sz w:val="24"/>
          <w:szCs w:val="24"/>
        </w:rPr>
      </w:pPr>
      <w:r w:rsidRPr="00773635">
        <w:rPr>
          <w:lang w:eastAsia="bg-BG"/>
        </w:rPr>
        <w:t xml:space="preserve">Съвместното приложение на ирбесартан с алискирен-съдържащи продукти е противопоказано при пациенти със захарен диабет или бъбречно увреждане (скорост на гломерулна филтрация </w:t>
      </w:r>
      <w:r w:rsidRPr="00773635">
        <w:rPr>
          <w:lang w:val="ru-RU"/>
        </w:rPr>
        <w:t>(</w:t>
      </w:r>
      <w:r w:rsidRPr="00773635">
        <w:rPr>
          <w:lang w:val="en-US"/>
        </w:rPr>
        <w:t>GFR</w:t>
      </w:r>
      <w:r w:rsidRPr="00773635">
        <w:rPr>
          <w:lang w:val="ru-RU"/>
        </w:rPr>
        <w:t xml:space="preserve">) </w:t>
      </w:r>
      <w:r w:rsidRPr="00773635">
        <w:rPr>
          <w:lang w:eastAsia="bg-BG"/>
        </w:rPr>
        <w:t xml:space="preserve">&lt;60 </w:t>
      </w:r>
      <w:r w:rsidRPr="00773635">
        <w:rPr>
          <w:lang w:val="en-US"/>
        </w:rPr>
        <w:t>ml</w:t>
      </w:r>
      <w:r w:rsidRPr="00773635">
        <w:rPr>
          <w:lang w:val="ru-RU"/>
        </w:rPr>
        <w:t>/</w:t>
      </w:r>
      <w:r w:rsidRPr="00773635">
        <w:rPr>
          <w:lang w:val="en-US"/>
        </w:rPr>
        <w:t>min</w:t>
      </w:r>
      <w:r w:rsidRPr="00773635">
        <w:rPr>
          <w:lang w:val="ru-RU"/>
        </w:rPr>
        <w:t xml:space="preserve">/1,73 </w:t>
      </w:r>
      <w:proofErr w:type="spellStart"/>
      <w:r w:rsidRPr="00773635">
        <w:rPr>
          <w:lang w:val="en-US"/>
        </w:rPr>
        <w:t>m</w:t>
      </w:r>
      <w:r w:rsidRPr="00773635">
        <w:rPr>
          <w:vertAlign w:val="superscript"/>
          <w:lang w:val="en-US"/>
        </w:rPr>
        <w:t>z</w:t>
      </w:r>
      <w:proofErr w:type="spellEnd"/>
      <w:r w:rsidRPr="00773635">
        <w:rPr>
          <w:lang w:val="ru-RU"/>
        </w:rPr>
        <w:t xml:space="preserve">) </w:t>
      </w:r>
      <w:r w:rsidRPr="00773635">
        <w:rPr>
          <w:lang w:eastAsia="bg-BG"/>
        </w:rPr>
        <w:t>(вижте точки 4.5 и 5.1).</w:t>
      </w:r>
    </w:p>
    <w:p w14:paraId="7DBB17FC" w14:textId="77777777" w:rsidR="00773635" w:rsidRPr="00773635" w:rsidRDefault="00773635" w:rsidP="00773635"/>
    <w:p w14:paraId="0E0BDCC7" w14:textId="7CE4F8EA" w:rsidR="007122AD" w:rsidRDefault="002C50EE" w:rsidP="00936AD0">
      <w:pPr>
        <w:pStyle w:val="Heading2"/>
      </w:pPr>
      <w:r>
        <w:t>4.4. Специални предупреждения и предпазни мерки при употреба</w:t>
      </w:r>
    </w:p>
    <w:p w14:paraId="772E18F3" w14:textId="3E800A81" w:rsidR="00773635" w:rsidRDefault="00773635" w:rsidP="00773635"/>
    <w:p w14:paraId="5CB377AB" w14:textId="7777777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Намален вътресъдов обем: </w:t>
      </w:r>
      <w:r w:rsidRPr="00773635">
        <w:rPr>
          <w:rFonts w:eastAsia="Times New Roman" w:cs="Arial"/>
          <w:color w:val="000000"/>
          <w:szCs w:val="20"/>
          <w:lang w:eastAsia="bg-BG"/>
        </w:rPr>
        <w:t>Симптоматична хипотония, особено след първата доза, може да възникне при пациенти с недостатъчен вътресъдов обем и/или недостиг на натрий в резултат на интензивно диуретично лечение, диета с ограничен прием на сол, диария или повръщане. Тези състояния трябва да бъдат коригирани преди приема на ирбесартан таблетки.</w:t>
      </w:r>
    </w:p>
    <w:p w14:paraId="1D766F34" w14:textId="77777777" w:rsidR="00773635" w:rsidRPr="00773635" w:rsidRDefault="00773635" w:rsidP="00773635">
      <w:pPr>
        <w:spacing w:line="240" w:lineRule="auto"/>
        <w:rPr>
          <w:rFonts w:eastAsia="Times New Roman" w:cs="Arial"/>
          <w:b/>
          <w:bCs/>
          <w:color w:val="000000"/>
          <w:szCs w:val="20"/>
          <w:lang w:eastAsia="bg-BG"/>
        </w:rPr>
      </w:pPr>
    </w:p>
    <w:p w14:paraId="6C02BBDA" w14:textId="172910CE"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Реноваскуларна хипертония: </w:t>
      </w:r>
      <w:r w:rsidRPr="00773635">
        <w:rPr>
          <w:rFonts w:eastAsia="Times New Roman" w:cs="Arial"/>
          <w:color w:val="000000"/>
          <w:szCs w:val="20"/>
          <w:lang w:eastAsia="bg-BG"/>
        </w:rPr>
        <w:t xml:space="preserve">Има повишен риск от тежка хипотония и бъбречна недостатъчност, когато пациенти с двустранна стеноза на бъбречната артерия или стеноза на бъбречната артерия на единствения функциониращ бъбрек бъдат лекувани с лекарствени продукти, повлияващи ренин-ангиотензин- алдостерон системата. Въпреки че това не е документирано при ирбесартан таблетки, подобен ефект трябва да се очаква и при антагонистите на рецепторите за ангиотензин </w:t>
      </w:r>
      <w:r w:rsidRPr="00773635">
        <w:rPr>
          <w:rFonts w:eastAsia="Times New Roman" w:cs="Arial"/>
          <w:color w:val="000000"/>
          <w:szCs w:val="20"/>
          <w:lang w:val="en-US"/>
        </w:rPr>
        <w:t>II</w:t>
      </w:r>
      <w:r w:rsidRPr="00773635">
        <w:rPr>
          <w:rFonts w:eastAsia="Times New Roman" w:cs="Arial"/>
          <w:color w:val="000000"/>
          <w:szCs w:val="20"/>
          <w:lang w:val="ru-RU"/>
        </w:rPr>
        <w:t>.</w:t>
      </w:r>
    </w:p>
    <w:p w14:paraId="5F5BF2E1" w14:textId="77777777" w:rsidR="00773635" w:rsidRPr="00773635" w:rsidRDefault="00773635" w:rsidP="00773635">
      <w:pPr>
        <w:spacing w:line="240" w:lineRule="auto"/>
        <w:rPr>
          <w:rFonts w:eastAsia="Times New Roman" w:cs="Arial"/>
          <w:b/>
          <w:bCs/>
          <w:color w:val="000000"/>
          <w:szCs w:val="20"/>
          <w:lang w:eastAsia="bg-BG"/>
        </w:rPr>
      </w:pPr>
    </w:p>
    <w:p w14:paraId="3FED8724" w14:textId="6394D27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Увреждане на бъбречната функция и бъбречна трансплантация: </w:t>
      </w:r>
      <w:r w:rsidRPr="00773635">
        <w:rPr>
          <w:rFonts w:eastAsia="Times New Roman" w:cs="Arial"/>
          <w:color w:val="000000"/>
          <w:szCs w:val="20"/>
          <w:lang w:eastAsia="bg-BG"/>
        </w:rPr>
        <w:t>Когато ирбесартан таблетки се прилагат при пациенти с нарушена бъбречна функция, се препоръчва периодично проследяване на серумните нива на калий и креатинин, в случай на лошо бъбречно функциониране. Няма опит с приложението на ирбесартан при пациенти със скорошна бъбречна трансплантация.</w:t>
      </w:r>
    </w:p>
    <w:p w14:paraId="3599757B" w14:textId="77777777" w:rsidR="00773635" w:rsidRPr="00773635" w:rsidRDefault="00773635" w:rsidP="00773635">
      <w:pPr>
        <w:spacing w:line="240" w:lineRule="auto"/>
        <w:rPr>
          <w:rFonts w:eastAsia="Times New Roman" w:cs="Arial"/>
          <w:b/>
          <w:bCs/>
          <w:color w:val="000000"/>
          <w:szCs w:val="20"/>
          <w:lang w:eastAsia="bg-BG"/>
        </w:rPr>
      </w:pPr>
    </w:p>
    <w:p w14:paraId="16664E1E" w14:textId="65818A0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Хипертонични пациенти с диабет тип 2 и бъбречно заболяване: </w:t>
      </w:r>
      <w:r w:rsidRPr="00773635">
        <w:rPr>
          <w:rFonts w:eastAsia="Times New Roman" w:cs="Arial"/>
          <w:color w:val="000000"/>
          <w:szCs w:val="20"/>
          <w:lang w:eastAsia="bg-BG"/>
        </w:rPr>
        <w:t>ефектите на ирбесартан върху бъбречните и сърдечно-съдовите нежелани събития не са еднородни във всички подгрупи, при направен анализ на проучване при пациенти с напреднало бъбречно заболяване. Освен това, има данни за по-малък благоприятен ефект при жените и индивидите, които не са от бялата раса, (вижте точка 5.1)</w:t>
      </w:r>
    </w:p>
    <w:p w14:paraId="41C4BCA0" w14:textId="77777777" w:rsidR="00773635" w:rsidRPr="00773635" w:rsidRDefault="00773635" w:rsidP="00773635">
      <w:pPr>
        <w:spacing w:line="240" w:lineRule="auto"/>
        <w:rPr>
          <w:rFonts w:eastAsia="Times New Roman" w:cs="Arial"/>
          <w:b/>
          <w:bCs/>
          <w:color w:val="000000"/>
          <w:szCs w:val="20"/>
          <w:lang w:eastAsia="bg-BG"/>
        </w:rPr>
      </w:pPr>
      <w:bookmarkStart w:id="2" w:name="bookmark0"/>
    </w:p>
    <w:p w14:paraId="6DCF86CC" w14:textId="5B3CACF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Двойно блокиране на ренин-ангиотензин-алдостероновата система </w:t>
      </w:r>
      <w:r w:rsidRPr="00773635">
        <w:rPr>
          <w:rFonts w:eastAsia="Times New Roman" w:cs="Arial"/>
          <w:b/>
          <w:bCs/>
          <w:color w:val="000000"/>
          <w:szCs w:val="20"/>
          <w:lang w:val="ru-RU"/>
        </w:rPr>
        <w:t>(</w:t>
      </w:r>
      <w:r w:rsidRPr="00773635">
        <w:rPr>
          <w:rFonts w:eastAsia="Times New Roman" w:cs="Arial"/>
          <w:b/>
          <w:bCs/>
          <w:color w:val="000000"/>
          <w:szCs w:val="20"/>
          <w:lang w:val="en-US"/>
        </w:rPr>
        <w:t>PAAC</w:t>
      </w:r>
      <w:r w:rsidRPr="00773635">
        <w:rPr>
          <w:rFonts w:eastAsia="Times New Roman" w:cs="Arial"/>
          <w:b/>
          <w:bCs/>
          <w:color w:val="000000"/>
          <w:szCs w:val="20"/>
          <w:lang w:val="ru-RU"/>
        </w:rPr>
        <w:t>)</w:t>
      </w:r>
      <w:bookmarkEnd w:id="2"/>
    </w:p>
    <w:p w14:paraId="4D733F43"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Има данни, че едновременната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val="ru-RU"/>
        </w:rPr>
        <w:t>-</w:t>
      </w:r>
      <w:r w:rsidRPr="00773635">
        <w:rPr>
          <w:rFonts w:eastAsia="Times New Roman" w:cs="Arial"/>
          <w:color w:val="000000"/>
          <w:szCs w:val="20"/>
          <w:lang w:eastAsia="bg-BG"/>
        </w:rPr>
        <w:t>рецепторни блокери или</w:t>
      </w:r>
    </w:p>
    <w:p w14:paraId="3B97E6DB"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или алискирен (вж. точки 4.5 и 5.1).</w:t>
      </w:r>
    </w:p>
    <w:p w14:paraId="4D8037F9"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AF0322F"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АСЕ инхибитори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не трябва да се използват едновременно при пациенти с диабетна нефропатия.</w:t>
      </w:r>
    </w:p>
    <w:p w14:paraId="5BB45FB0" w14:textId="77777777" w:rsidR="00773635" w:rsidRPr="00773635" w:rsidRDefault="00773635" w:rsidP="00773635">
      <w:pPr>
        <w:spacing w:line="240" w:lineRule="auto"/>
        <w:rPr>
          <w:rFonts w:eastAsia="Times New Roman" w:cs="Arial"/>
          <w:b/>
          <w:bCs/>
          <w:color w:val="000000"/>
          <w:szCs w:val="20"/>
          <w:lang w:eastAsia="bg-BG"/>
        </w:rPr>
      </w:pPr>
    </w:p>
    <w:p w14:paraId="7BC21009" w14:textId="59F9B57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Хиперкалиемня: </w:t>
      </w:r>
      <w:r w:rsidRPr="00773635">
        <w:rPr>
          <w:rFonts w:eastAsia="Times New Roman" w:cs="Arial"/>
          <w:color w:val="000000"/>
          <w:szCs w:val="20"/>
          <w:lang w:eastAsia="bg-BG"/>
        </w:rPr>
        <w:t>Както при другите лекарствени продукти, повлияващи системата ренин-ангиотензин- алдостерон, хиперкалиемня може да възникне и по време на лечението с ирбесартан, особено при наличието на бъбречно увреждане, значителна протеинурия поради диабетна нефропатия и/или сърдечна недостатъчност. Препоръчва се редовно проследяване на серумния калий при пациентите с риск (вижте точка 4.5).</w:t>
      </w:r>
    </w:p>
    <w:p w14:paraId="5A81A359" w14:textId="77777777" w:rsidR="00773635" w:rsidRPr="00773635" w:rsidRDefault="00773635" w:rsidP="00773635">
      <w:pPr>
        <w:spacing w:line="240" w:lineRule="auto"/>
        <w:rPr>
          <w:rFonts w:eastAsia="Times New Roman" w:cs="Arial"/>
          <w:b/>
          <w:bCs/>
          <w:color w:val="000000"/>
          <w:szCs w:val="20"/>
          <w:lang w:eastAsia="bg-BG"/>
        </w:rPr>
      </w:pPr>
    </w:p>
    <w:p w14:paraId="5EEE16BD" w14:textId="31C7D6A1"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Хипогликемия: </w:t>
      </w:r>
      <w:r w:rsidRPr="00773635">
        <w:rPr>
          <w:rFonts w:eastAsia="Times New Roman" w:cs="Arial"/>
          <w:color w:val="000000"/>
          <w:szCs w:val="20"/>
          <w:lang w:eastAsia="bg-BG"/>
        </w:rPr>
        <w:t xml:space="preserve">Ирбесартан може да предизвика хипогликемия, особено при пациенти с диабет. При пациенти, лекувани с инсулин или антидиабетни лекарства, трябва да се </w:t>
      </w:r>
      <w:r w:rsidRPr="00773635">
        <w:rPr>
          <w:rFonts w:eastAsia="Times New Roman" w:cs="Arial"/>
          <w:color w:val="000000"/>
          <w:szCs w:val="20"/>
          <w:lang w:eastAsia="bg-BG"/>
        </w:rPr>
        <w:lastRenderedPageBreak/>
        <w:t>обмисли подходящо проследяване на кръвната захар; при необходимост може да се наложи корекция на дозата на инсулин или антидиабетните лекарства (вж. точка 4.5).</w:t>
      </w:r>
    </w:p>
    <w:p w14:paraId="386C7971" w14:textId="77777777" w:rsidR="00773635" w:rsidRPr="00773635" w:rsidRDefault="00773635" w:rsidP="00773635">
      <w:pPr>
        <w:spacing w:line="240" w:lineRule="auto"/>
        <w:rPr>
          <w:rFonts w:eastAsia="Times New Roman" w:cs="Arial"/>
          <w:b/>
          <w:bCs/>
          <w:color w:val="000000"/>
          <w:szCs w:val="20"/>
          <w:lang w:eastAsia="bg-BG"/>
        </w:rPr>
      </w:pPr>
    </w:p>
    <w:p w14:paraId="6EEB3908" w14:textId="3A646466"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Литий: </w:t>
      </w:r>
      <w:r w:rsidRPr="00773635">
        <w:rPr>
          <w:rFonts w:eastAsia="Times New Roman" w:cs="Arial"/>
          <w:color w:val="000000"/>
          <w:szCs w:val="20"/>
          <w:lang w:eastAsia="bg-BG"/>
        </w:rPr>
        <w:t>не се препоръчва комбинирането на литий и ирбесартан (вижте точка 4.5).</w:t>
      </w:r>
    </w:p>
    <w:p w14:paraId="09FA07F6" w14:textId="77777777" w:rsidR="00773635" w:rsidRPr="00773635" w:rsidRDefault="00773635" w:rsidP="00773635">
      <w:pPr>
        <w:spacing w:line="240" w:lineRule="auto"/>
        <w:rPr>
          <w:rFonts w:eastAsia="Times New Roman" w:cs="Arial"/>
          <w:b/>
          <w:bCs/>
          <w:color w:val="000000"/>
          <w:szCs w:val="20"/>
          <w:lang w:eastAsia="bg-BG"/>
        </w:rPr>
      </w:pPr>
    </w:p>
    <w:p w14:paraId="50F7E915" w14:textId="347BBC7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Аортна стеноза и стеноза на митралната клапа, обструктивна хипертрофична кардиомиопатия: </w:t>
      </w:r>
      <w:r w:rsidRPr="00773635">
        <w:rPr>
          <w:rFonts w:eastAsia="Times New Roman" w:cs="Arial"/>
          <w:color w:val="000000"/>
          <w:szCs w:val="2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7D341D33" w14:textId="77777777" w:rsidR="00773635" w:rsidRPr="00773635" w:rsidRDefault="00773635" w:rsidP="00773635">
      <w:pPr>
        <w:spacing w:line="240" w:lineRule="auto"/>
        <w:rPr>
          <w:rFonts w:eastAsia="Times New Roman" w:cs="Arial"/>
          <w:b/>
          <w:bCs/>
          <w:color w:val="000000"/>
          <w:szCs w:val="20"/>
          <w:lang w:eastAsia="bg-BG"/>
        </w:rPr>
      </w:pPr>
    </w:p>
    <w:p w14:paraId="51B5AA29" w14:textId="58101CF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Първичен алдостеронизъм: </w:t>
      </w:r>
      <w:r w:rsidRPr="00773635">
        <w:rPr>
          <w:rFonts w:eastAsia="Times New Roman" w:cs="Arial"/>
          <w:color w:val="000000"/>
          <w:szCs w:val="20"/>
          <w:lang w:eastAsia="bg-BG"/>
        </w:rPr>
        <w:t>Пациентите с първичен алдостеронизъм обикновено не отговарят на антихипертензивни лекарствени продукти, действащи чрез инхибиране на системи ренин-ангиотензин. Ето защо употребата на ирбесартан таблетки не се препоръчва.</w:t>
      </w:r>
    </w:p>
    <w:p w14:paraId="68BF39DC" w14:textId="77777777" w:rsidR="00773635" w:rsidRPr="00773635" w:rsidRDefault="00773635" w:rsidP="00773635">
      <w:pPr>
        <w:spacing w:line="240" w:lineRule="auto"/>
        <w:rPr>
          <w:rFonts w:eastAsia="Times New Roman" w:cs="Arial"/>
          <w:b/>
          <w:bCs/>
          <w:color w:val="000000"/>
          <w:szCs w:val="20"/>
          <w:lang w:eastAsia="bg-BG"/>
        </w:rPr>
      </w:pPr>
    </w:p>
    <w:p w14:paraId="414DD770" w14:textId="535115D4"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Обши предупреждения: </w:t>
      </w:r>
      <w:r w:rsidRPr="00773635">
        <w:rPr>
          <w:rFonts w:eastAsia="Times New Roman" w:cs="Arial"/>
          <w:color w:val="000000"/>
          <w:szCs w:val="20"/>
          <w:lang w:eastAsia="bg-BG"/>
        </w:rPr>
        <w:t>При пациенти, чиито васкуларен тонус и бъбречна функция зависят главно от дейността на ренин-ангиотензин-алдостероновата система (т.е. пациенти с тежко конгестивно сърдечно заболяване или основно бъбречно заболяване, включително стеноза на бъбречната артерия), лечение с ангиотензин конвертиращи ензимни инхибитори или ангиотензин</w:t>
      </w:r>
      <w:r w:rsidRPr="00773635">
        <w:rPr>
          <w:rFonts w:eastAsia="Times New Roman" w:cs="Arial"/>
          <w:color w:val="000000"/>
          <w:szCs w:val="20"/>
          <w:lang w:val="ru-RU"/>
        </w:rPr>
        <w:t>-</w:t>
      </w:r>
      <w:r w:rsidRPr="00773635">
        <w:rPr>
          <w:rFonts w:eastAsia="Times New Roman" w:cs="Arial"/>
          <w:color w:val="000000"/>
          <w:szCs w:val="20"/>
          <w:lang w:val="en-US"/>
        </w:rPr>
        <w:t>II</w:t>
      </w:r>
      <w:r w:rsidRPr="00773635">
        <w:rPr>
          <w:rFonts w:eastAsia="Times New Roman" w:cs="Arial"/>
          <w:color w:val="000000"/>
          <w:szCs w:val="20"/>
          <w:lang w:val="ru-RU"/>
        </w:rPr>
        <w:t xml:space="preserve"> </w:t>
      </w:r>
      <w:r w:rsidRPr="00773635">
        <w:rPr>
          <w:rFonts w:eastAsia="Times New Roman" w:cs="Arial"/>
          <w:color w:val="000000"/>
          <w:szCs w:val="20"/>
          <w:lang w:eastAsia="bg-BG"/>
        </w:rPr>
        <w:t>рецепторни антагонисти, които засягат тази система се е свързвало с остра хипотония, азотемия, олигурия или рядко остра бъбречна недостатъчност (вж. точка 4.5). Както при всеки антихипертензивен агент, бързото намаляване на кръвното налягане при пациенти с исхемична кардиопатия или исхемично кардиоваскуларно заболяване може да доведе до инфаркт на миокарда или инсулт.</w:t>
      </w:r>
    </w:p>
    <w:p w14:paraId="3B864792" w14:textId="77777777" w:rsidR="00773635" w:rsidRPr="00773635" w:rsidRDefault="00773635" w:rsidP="00773635">
      <w:pPr>
        <w:spacing w:line="240" w:lineRule="auto"/>
        <w:rPr>
          <w:rFonts w:eastAsia="Times New Roman" w:cs="Arial"/>
          <w:color w:val="000000"/>
          <w:szCs w:val="20"/>
          <w:lang w:eastAsia="bg-BG"/>
        </w:rPr>
      </w:pPr>
    </w:p>
    <w:p w14:paraId="624EB6C8" w14:textId="0B1B9094"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Както се наблюдава при инхибиторите на ангиотензин конвертиращия ензим, ирбесартан и другите антагонисти на ангиотензина са очевидно по-малко ефективни при намаляването на кръвното налягане при чернокожи отколкото при бели, вероятно поради по-голямата честота на ниски ренинови нива сред чернокожото население (вижте точка 5.1).</w:t>
      </w:r>
    </w:p>
    <w:p w14:paraId="75C53FF8" w14:textId="77777777" w:rsidR="00773635" w:rsidRPr="00773635" w:rsidRDefault="00773635" w:rsidP="00773635">
      <w:pPr>
        <w:spacing w:line="240" w:lineRule="auto"/>
        <w:rPr>
          <w:rFonts w:eastAsia="Times New Roman" w:cs="Arial"/>
          <w:b/>
          <w:bCs/>
          <w:color w:val="000000"/>
          <w:szCs w:val="20"/>
          <w:lang w:eastAsia="bg-BG"/>
        </w:rPr>
      </w:pPr>
    </w:p>
    <w:p w14:paraId="00C7015C" w14:textId="297482A8"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Бременност: </w:t>
      </w:r>
      <w:r w:rsidRPr="00773635">
        <w:rPr>
          <w:rFonts w:eastAsia="Times New Roman" w:cs="Arial"/>
          <w:color w:val="000000"/>
          <w:szCs w:val="20"/>
          <w:lang w:eastAsia="bg-BG"/>
        </w:rPr>
        <w:t xml:space="preserve">Ангиотензин рецепторни антагонисти </w:t>
      </w:r>
      <w:r w:rsidRPr="00773635">
        <w:rPr>
          <w:rFonts w:eastAsia="Times New Roman" w:cs="Arial"/>
          <w:color w:val="000000"/>
          <w:szCs w:val="20"/>
          <w:lang w:val="en-US"/>
        </w:rPr>
        <w:t>II</w:t>
      </w:r>
      <w:r w:rsidRPr="00773635">
        <w:rPr>
          <w:rFonts w:eastAsia="Times New Roman" w:cs="Arial"/>
          <w:color w:val="000000"/>
          <w:szCs w:val="20"/>
          <w:lang w:eastAsia="bg-BG"/>
        </w:rPr>
        <w:t xml:space="preserve"> (АРА</w:t>
      </w:r>
      <w:r w:rsidRPr="00773635">
        <w:rPr>
          <w:rFonts w:eastAsia="Times New Roman" w:cs="Arial"/>
          <w:color w:val="000000"/>
          <w:szCs w:val="20"/>
          <w:lang w:val="en-US"/>
        </w:rPr>
        <w:t>II</w:t>
      </w:r>
      <w:r w:rsidRPr="00773635">
        <w:rPr>
          <w:rFonts w:eastAsia="Times New Roman" w:cs="Arial"/>
          <w:color w:val="000000"/>
          <w:szCs w:val="20"/>
          <w:lang w:eastAsia="bg-BG"/>
        </w:rPr>
        <w:t>) не трябва да се употребяват по време на бременност. Освен ако продължаването на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е крайно необходимо,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трябва да бъде преустановено незабавно, и ако е подходящо да се започне алтернативно лечение (вижте точки 4.3 и 4.6).</w:t>
      </w:r>
    </w:p>
    <w:p w14:paraId="04AD286E" w14:textId="77777777" w:rsidR="00773635" w:rsidRPr="00773635" w:rsidRDefault="00773635" w:rsidP="00773635">
      <w:pPr>
        <w:spacing w:line="240" w:lineRule="auto"/>
        <w:rPr>
          <w:rFonts w:eastAsia="Times New Roman" w:cs="Arial"/>
          <w:b/>
          <w:bCs/>
          <w:color w:val="000000"/>
          <w:szCs w:val="20"/>
          <w:lang w:eastAsia="bg-BG"/>
        </w:rPr>
      </w:pPr>
    </w:p>
    <w:p w14:paraId="6D8BCCB5" w14:textId="2B33FE3D"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Педиатрична популация: </w:t>
      </w:r>
      <w:r w:rsidRPr="00773635">
        <w:rPr>
          <w:rFonts w:eastAsia="Times New Roman" w:cs="Arial"/>
          <w:color w:val="000000"/>
          <w:szCs w:val="20"/>
          <w:lang w:eastAsia="bg-BG"/>
        </w:rPr>
        <w:t>Ирбесартан е бил проучван при педиатрични пациенти на възраст между 6 и 16 години, но настоящите данни са недостатъчни, за да подкрепят употребата при деца, докато няма налице допълнителни данни (вижте точки 4.8,</w:t>
      </w:r>
      <w:r w:rsidRPr="00773635">
        <w:rPr>
          <w:rFonts w:eastAsia="Times New Roman" w:cs="Arial"/>
          <w:color w:val="000000"/>
          <w:szCs w:val="20"/>
          <w:lang w:val="ru-RU"/>
        </w:rPr>
        <w:t xml:space="preserve"> </w:t>
      </w:r>
      <w:r w:rsidRPr="00773635">
        <w:rPr>
          <w:rFonts w:eastAsia="Times New Roman" w:cs="Arial"/>
          <w:color w:val="000000"/>
          <w:szCs w:val="20"/>
          <w:lang w:eastAsia="bg-BG"/>
        </w:rPr>
        <w:t>5.1 и 5.2).</w:t>
      </w:r>
    </w:p>
    <w:p w14:paraId="23DAB91D" w14:textId="77777777" w:rsidR="00773635" w:rsidRPr="00773635" w:rsidRDefault="00773635" w:rsidP="00773635">
      <w:pPr>
        <w:spacing w:line="240" w:lineRule="auto"/>
        <w:rPr>
          <w:rFonts w:eastAsia="Times New Roman" w:cs="Arial"/>
          <w:b/>
          <w:bCs/>
          <w:color w:val="000000"/>
          <w:szCs w:val="20"/>
          <w:lang w:eastAsia="bg-BG"/>
        </w:rPr>
      </w:pPr>
    </w:p>
    <w:p w14:paraId="273934FE" w14:textId="01F4B54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Помощни вещества</w:t>
      </w:r>
    </w:p>
    <w:p w14:paraId="58B2AF3E" w14:textId="77777777" w:rsidR="00773635" w:rsidRPr="00773635" w:rsidRDefault="00773635" w:rsidP="00773635">
      <w:pPr>
        <w:spacing w:line="240" w:lineRule="auto"/>
        <w:rPr>
          <w:rFonts w:eastAsia="Times New Roman" w:cs="Arial"/>
          <w:sz w:val="28"/>
          <w:szCs w:val="24"/>
        </w:rPr>
      </w:pPr>
      <w:r w:rsidRPr="00773635">
        <w:rPr>
          <w:rFonts w:eastAsia="Times New Roman" w:cs="Arial"/>
          <w:i/>
          <w:iCs/>
          <w:color w:val="000000"/>
          <w:szCs w:val="20"/>
          <w:lang w:eastAsia="bg-BG"/>
        </w:rPr>
        <w:t>Лактоза:</w:t>
      </w:r>
      <w:r w:rsidRPr="00773635">
        <w:rPr>
          <w:rFonts w:eastAsia="Times New Roman" w:cs="Arial"/>
          <w:color w:val="000000"/>
          <w:szCs w:val="20"/>
          <w:lang w:eastAsia="bg-BG"/>
        </w:rPr>
        <w:t xml:space="preserve"> Този лекарствен продукт съдържа лактоза. 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594ED09E" w14:textId="18FC44FD" w:rsidR="00773635" w:rsidRPr="00773635" w:rsidRDefault="00773635" w:rsidP="00773635">
      <w:pPr>
        <w:spacing w:line="240" w:lineRule="auto"/>
        <w:rPr>
          <w:rFonts w:eastAsia="Times New Roman" w:cs="Arial"/>
          <w:sz w:val="28"/>
          <w:szCs w:val="24"/>
        </w:rPr>
      </w:pPr>
    </w:p>
    <w:p w14:paraId="4F995451" w14:textId="77777777" w:rsidR="00773635" w:rsidRPr="00773635" w:rsidRDefault="00773635" w:rsidP="00773635">
      <w:pPr>
        <w:spacing w:line="240" w:lineRule="auto"/>
        <w:rPr>
          <w:rFonts w:eastAsia="Times New Roman" w:cs="Arial"/>
          <w:sz w:val="28"/>
          <w:szCs w:val="24"/>
        </w:rPr>
      </w:pPr>
      <w:r w:rsidRPr="00773635">
        <w:rPr>
          <w:rFonts w:eastAsia="Times New Roman" w:cs="Arial"/>
          <w:i/>
          <w:iCs/>
          <w:color w:val="000000"/>
          <w:szCs w:val="20"/>
          <w:lang w:eastAsia="bg-BG"/>
        </w:rPr>
        <w:lastRenderedPageBreak/>
        <w:t>Натрий:</w:t>
      </w:r>
      <w:r w:rsidRPr="00773635">
        <w:rPr>
          <w:rFonts w:eastAsia="Times New Roman" w:cs="Arial"/>
          <w:color w:val="000000"/>
          <w:szCs w:val="20"/>
          <w:lang w:eastAsia="bg-BG"/>
        </w:rPr>
        <w:t xml:space="preserve"> Това лекарство съдържа по-малко от 1 </w:t>
      </w:r>
      <w:proofErr w:type="spellStart"/>
      <w:r w:rsidRPr="00773635">
        <w:rPr>
          <w:rFonts w:eastAsia="Times New Roman" w:cs="Arial"/>
          <w:color w:val="000000"/>
          <w:szCs w:val="20"/>
          <w:lang w:val="en-US"/>
        </w:rPr>
        <w:t>mmol</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натрий (23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таблетка, т.е. може да се каже, че практически не съдържа натрий.</w:t>
      </w:r>
    </w:p>
    <w:p w14:paraId="511FC3D0" w14:textId="12DEA139" w:rsidR="00773635" w:rsidRPr="00773635" w:rsidRDefault="00773635" w:rsidP="00773635"/>
    <w:p w14:paraId="0734264C" w14:textId="01DBB531"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64C2D617" w14:textId="219C2087" w:rsidR="00773635" w:rsidRDefault="00773635" w:rsidP="00773635"/>
    <w:p w14:paraId="5E4AA945" w14:textId="77777777"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Диуретици и други антихипертензивни лекарствени продукти: </w:t>
      </w:r>
      <w:r w:rsidRPr="00773635">
        <w:rPr>
          <w:rFonts w:eastAsia="Times New Roman" w:cs="Arial"/>
          <w:color w:val="000000"/>
          <w:szCs w:val="20"/>
          <w:lang w:eastAsia="bg-BG"/>
        </w:rPr>
        <w:t>Други антихипертензивни продукти могат да повишат хипотензивните ефекти ирбесартан; въпреки това, ирбесартан е бил безопасно прилаган с други антихипертензивни лекарства, като бета-блокери, дългодействащи блокери на калциевите канали и тиазидни диуретици. Предишно лечение с висока доза диуретици може да доведе до намален вътресъдов обем и риск от хипотония, когато се започва терапия с ирбесартан таблетки, (вижте точка 4.4).</w:t>
      </w:r>
    </w:p>
    <w:p w14:paraId="258FD014" w14:textId="77777777" w:rsidR="00773635" w:rsidRPr="00773635" w:rsidRDefault="00773635" w:rsidP="00773635">
      <w:pPr>
        <w:spacing w:line="240" w:lineRule="auto"/>
        <w:rPr>
          <w:rFonts w:eastAsia="Times New Roman" w:cs="Arial"/>
          <w:b/>
          <w:bCs/>
          <w:color w:val="000000"/>
          <w:szCs w:val="20"/>
          <w:lang w:eastAsia="bg-BG"/>
        </w:rPr>
      </w:pPr>
    </w:p>
    <w:p w14:paraId="714CB6A5" w14:textId="42828E0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Продукти, съдържащи алискирен или АСЕ инхибитори: </w:t>
      </w:r>
      <w:r w:rsidRPr="00773635">
        <w:rPr>
          <w:rFonts w:eastAsia="Times New Roman" w:cs="Arial"/>
          <w:color w:val="000000"/>
          <w:szCs w:val="20"/>
          <w:lang w:eastAsia="bg-BG"/>
        </w:rPr>
        <w:t>Данни от клинични проучвания показват, че двойното блокиране на ренин-ангиотензин-алдостероновата система (РААС) чрез комбинираната употреба на АСЕ инхибитори,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или алискирен се свързва с по-висока честота на нежелани събития, като например хипотония, хиперкалиемня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w:t>
      </w:r>
      <w:r w:rsidRPr="00773635">
        <w:rPr>
          <w:rFonts w:eastAsia="Times New Roman" w:cs="Arial"/>
          <w:color w:val="000000"/>
          <w:szCs w:val="20"/>
          <w:lang w:val="ru-RU"/>
        </w:rPr>
        <w:t xml:space="preserve"> </w:t>
      </w:r>
      <w:r w:rsidRPr="00773635">
        <w:rPr>
          <w:rFonts w:eastAsia="Times New Roman" w:cs="Arial"/>
          <w:color w:val="000000"/>
          <w:szCs w:val="20"/>
          <w:lang w:eastAsia="bg-BG"/>
        </w:rPr>
        <w:t>4.4 и 5.1).</w:t>
      </w:r>
    </w:p>
    <w:p w14:paraId="22AB97B1" w14:textId="77777777" w:rsidR="00773635" w:rsidRPr="00773635" w:rsidRDefault="00773635" w:rsidP="00773635">
      <w:pPr>
        <w:spacing w:line="240" w:lineRule="auto"/>
        <w:rPr>
          <w:rFonts w:eastAsia="Times New Roman" w:cs="Arial"/>
          <w:b/>
          <w:bCs/>
          <w:color w:val="000000"/>
          <w:szCs w:val="20"/>
          <w:lang w:eastAsia="bg-BG"/>
        </w:rPr>
      </w:pPr>
    </w:p>
    <w:p w14:paraId="2707DE71" w14:textId="192E5CD2"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Калиеви добавки и калий съхраняващи диуретици: </w:t>
      </w:r>
      <w:r w:rsidRPr="00773635">
        <w:rPr>
          <w:rFonts w:eastAsia="Times New Roman" w:cs="Arial"/>
          <w:color w:val="000000"/>
          <w:szCs w:val="20"/>
          <w:lang w:eastAsia="bg-BG"/>
        </w:rPr>
        <w:t>въз основа на опита при използването на други лекарствени продукти, които засягат ренин-ангиотензин системата, едновременната употреба на калий съхраняващи диуретици, калиеви добавки, заместители на солта, които съдържат калий или други лекарствени продукти, които могат да повишат серумните нива</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калий (напр. хепарин) могат да доведат до повишаване на серумния калий и съответно не се препоръчват (вж. точка 4.4).</w:t>
      </w:r>
    </w:p>
    <w:p w14:paraId="2C5A3A59" w14:textId="77777777" w:rsidR="00773635" w:rsidRPr="00773635" w:rsidRDefault="00773635" w:rsidP="00773635">
      <w:pPr>
        <w:spacing w:line="240" w:lineRule="auto"/>
        <w:rPr>
          <w:rFonts w:eastAsia="Times New Roman" w:cs="Arial"/>
          <w:b/>
          <w:bCs/>
          <w:color w:val="000000"/>
          <w:szCs w:val="20"/>
          <w:lang w:eastAsia="bg-BG"/>
        </w:rPr>
      </w:pPr>
    </w:p>
    <w:p w14:paraId="73ED4A52" w14:textId="55580239"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Литий: </w:t>
      </w:r>
      <w:r w:rsidRPr="00773635">
        <w:rPr>
          <w:rFonts w:eastAsia="Times New Roman" w:cs="Arial"/>
          <w:color w:val="000000"/>
          <w:szCs w:val="20"/>
          <w:lang w:eastAsia="bg-BG"/>
        </w:rPr>
        <w:t>има съобщения за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Ето защо тази комбинация не се препоръчва (вижте точка 4.4). Ако тази комбинация е категорично необходима, се препоръчва внимателно проследяване на серумните нива на лития.</w:t>
      </w:r>
    </w:p>
    <w:p w14:paraId="5E8FFFDF" w14:textId="77777777" w:rsidR="00773635" w:rsidRPr="00773635" w:rsidRDefault="00773635" w:rsidP="00773635">
      <w:pPr>
        <w:spacing w:line="240" w:lineRule="auto"/>
        <w:rPr>
          <w:rFonts w:eastAsia="Times New Roman" w:cs="Arial"/>
          <w:b/>
          <w:bCs/>
          <w:color w:val="000000"/>
          <w:szCs w:val="20"/>
          <w:lang w:eastAsia="bg-BG"/>
        </w:rPr>
      </w:pPr>
    </w:p>
    <w:p w14:paraId="7149319C" w14:textId="2BE72C01"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Нестероидни противовъзпалителни средства (НСПВС): </w:t>
      </w:r>
      <w:r w:rsidRPr="00773635">
        <w:rPr>
          <w:rFonts w:eastAsia="Times New Roman" w:cs="Arial"/>
          <w:color w:val="000000"/>
          <w:szCs w:val="20"/>
          <w:lang w:eastAsia="bg-BG"/>
        </w:rPr>
        <w:t xml:space="preserve">При едновременната употреба на антагонисти на рецепторите на ангиотензин-И (АРАП) и нестероидни противовъзпалителни средства (напр. селективни СОХ-2 инхибитори, ацетилсалицилова киселина (над 3 </w:t>
      </w:r>
      <w:r w:rsidRPr="00773635">
        <w:rPr>
          <w:rFonts w:eastAsia="Times New Roman" w:cs="Arial"/>
          <w:color w:val="000000"/>
          <w:szCs w:val="20"/>
          <w:lang w:val="en-US"/>
        </w:rPr>
        <w:t>g</w:t>
      </w:r>
      <w:r w:rsidRPr="00773635">
        <w:rPr>
          <w:rFonts w:eastAsia="Times New Roman" w:cs="Arial"/>
          <w:color w:val="000000"/>
          <w:szCs w:val="20"/>
          <w:lang w:eastAsia="bg-BG"/>
        </w:rPr>
        <w:t>/дневно) и неселективни НСПВС), може да настъпи намаляване на антихипертензивния ефект.</w:t>
      </w:r>
    </w:p>
    <w:p w14:paraId="07A35A3C" w14:textId="77777777" w:rsidR="00773635" w:rsidRPr="00773635" w:rsidRDefault="00773635" w:rsidP="00773635">
      <w:pPr>
        <w:spacing w:line="240" w:lineRule="auto"/>
        <w:rPr>
          <w:rFonts w:eastAsia="Times New Roman" w:cs="Arial"/>
          <w:color w:val="000000"/>
          <w:szCs w:val="20"/>
          <w:lang w:eastAsia="bg-BG"/>
        </w:rPr>
      </w:pPr>
    </w:p>
    <w:p w14:paraId="20011766" w14:textId="1C7D228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Подобно на АСЕ инхибиторите, едновременното приложение на антагонисти на рецепторите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НСПВС може да доведе до повишаване на риска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с предшестващо увреждане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2C118B5C" w14:textId="77777777" w:rsidR="00773635" w:rsidRPr="00773635" w:rsidRDefault="00773635" w:rsidP="00773635">
      <w:pPr>
        <w:spacing w:line="240" w:lineRule="auto"/>
        <w:rPr>
          <w:rFonts w:eastAsia="Times New Roman" w:cs="Arial"/>
          <w:b/>
          <w:bCs/>
          <w:color w:val="000000"/>
          <w:szCs w:val="20"/>
          <w:lang w:eastAsia="bg-BG"/>
        </w:rPr>
      </w:pPr>
    </w:p>
    <w:p w14:paraId="64EB62EB" w14:textId="467C5D3B" w:rsidR="00773635" w:rsidRPr="00773635" w:rsidRDefault="00773635" w:rsidP="00773635">
      <w:pPr>
        <w:spacing w:line="240" w:lineRule="auto"/>
        <w:rPr>
          <w:rFonts w:eastAsia="Times New Roman" w:cs="Arial"/>
          <w:b/>
          <w:bCs/>
          <w:color w:val="000000"/>
          <w:szCs w:val="20"/>
          <w:lang w:eastAsia="bg-BG"/>
        </w:rPr>
      </w:pPr>
      <w:r w:rsidRPr="00773635">
        <w:rPr>
          <w:rFonts w:eastAsia="Times New Roman" w:cs="Arial"/>
          <w:b/>
          <w:bCs/>
          <w:color w:val="000000"/>
          <w:szCs w:val="20"/>
          <w:lang w:eastAsia="bg-BG"/>
        </w:rPr>
        <w:t xml:space="preserve">Репаглинид: </w:t>
      </w:r>
      <w:r w:rsidRPr="00773635">
        <w:rPr>
          <w:rFonts w:eastAsia="Times New Roman" w:cs="Arial"/>
          <w:color w:val="000000"/>
          <w:szCs w:val="20"/>
          <w:lang w:eastAsia="bg-BG"/>
        </w:rPr>
        <w:t>Ирбесартан има потенциал да инхибира ОАТР1В1. В клинично проучване се съобщава, че ирбесартан повишава С</w:t>
      </w:r>
      <w:r w:rsidRPr="00773635">
        <w:rPr>
          <w:rFonts w:eastAsia="Times New Roman" w:cs="Arial"/>
          <w:color w:val="000000"/>
          <w:szCs w:val="20"/>
          <w:lang w:val="en-US"/>
        </w:rPr>
        <w:t>max</w:t>
      </w:r>
      <w:r w:rsidRPr="00773635">
        <w:rPr>
          <w:rFonts w:eastAsia="Times New Roman" w:cs="Arial"/>
          <w:color w:val="000000"/>
          <w:szCs w:val="20"/>
          <w:lang w:eastAsia="bg-BG"/>
        </w:rPr>
        <w:t xml:space="preserve"> и </w:t>
      </w:r>
      <w:r w:rsidRPr="00773635">
        <w:rPr>
          <w:rFonts w:eastAsia="Times New Roman" w:cs="Arial"/>
          <w:color w:val="000000"/>
          <w:szCs w:val="20"/>
          <w:lang w:val="en-US"/>
        </w:rPr>
        <w:t>AUC</w:t>
      </w:r>
      <w:r w:rsidRPr="00773635">
        <w:rPr>
          <w:rFonts w:eastAsia="Times New Roman" w:cs="Arial"/>
          <w:color w:val="000000"/>
          <w:szCs w:val="20"/>
          <w:lang w:val="ru-RU"/>
        </w:rPr>
        <w:t xml:space="preserve"> </w:t>
      </w:r>
      <w:r w:rsidRPr="00773635">
        <w:rPr>
          <w:rFonts w:eastAsia="Times New Roman" w:cs="Arial"/>
          <w:color w:val="000000"/>
          <w:szCs w:val="20"/>
          <w:lang w:eastAsia="bg-BG"/>
        </w:rPr>
        <w:t>на репаглинид (субстрат на ОАТР1В1) 1,8 пъти и 1,3 пъти съответно, когато се прилага 1 час преди репаглинид, В друго проучване не се съобщава за релевантна фармакокинетично взаимодействие при едновременно приложение на двете лекарства. Следователно може да се наложи коригиране на дозата на антидиабетното лечение, напр. с репаглинид (вж. точка 4.4).</w:t>
      </w:r>
    </w:p>
    <w:p w14:paraId="25C38AE8" w14:textId="77777777" w:rsidR="00773635" w:rsidRPr="00773635" w:rsidRDefault="00773635" w:rsidP="00773635">
      <w:pPr>
        <w:rPr>
          <w:rFonts w:eastAsia="Times New Roman" w:cs="Arial"/>
          <w:b/>
          <w:bCs/>
          <w:color w:val="000000"/>
          <w:szCs w:val="20"/>
          <w:lang w:eastAsia="bg-BG"/>
        </w:rPr>
      </w:pPr>
    </w:p>
    <w:p w14:paraId="7D98A24C" w14:textId="5BFD267A" w:rsidR="00773635" w:rsidRPr="00773635" w:rsidRDefault="00773635" w:rsidP="00773635">
      <w:pPr>
        <w:rPr>
          <w:rFonts w:eastAsia="Times New Roman" w:cs="Arial"/>
          <w:color w:val="000000"/>
          <w:szCs w:val="20"/>
          <w:lang w:eastAsia="bg-BG"/>
        </w:rPr>
      </w:pPr>
      <w:r w:rsidRPr="00773635">
        <w:rPr>
          <w:rFonts w:eastAsia="Times New Roman" w:cs="Arial"/>
          <w:b/>
          <w:bCs/>
          <w:color w:val="000000"/>
          <w:szCs w:val="20"/>
          <w:lang w:eastAsia="bg-BG"/>
        </w:rPr>
        <w:t xml:space="preserve">Допълнителна информация относно взаимодействията на ирбесартан: </w:t>
      </w:r>
      <w:r w:rsidRPr="00773635">
        <w:rPr>
          <w:rFonts w:eastAsia="Times New Roman" w:cs="Arial"/>
          <w:color w:val="000000"/>
          <w:szCs w:val="20"/>
          <w:lang w:eastAsia="bg-BG"/>
        </w:rPr>
        <w:t xml:space="preserve">При клинични проучвания, фармакокинетиката на ирбесартан не е повлияна от хидрохлоротиазид. Ирбесартан се метаболизира главно с помощта на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 xml:space="preserve">и в по-малка степен чрез глюкурониране. Не са наблюдавани значими фармакокинетични или фармакодинамични взаимодействия при съвместното приложение на ирбесартан с варфарин, активно вещество, което се метаболизира чрез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 xml:space="preserve">Не са проучени ефектите на индукгорите на </w:t>
      </w:r>
      <w:r w:rsidRPr="00773635">
        <w:rPr>
          <w:rFonts w:eastAsia="Times New Roman" w:cs="Arial"/>
          <w:color w:val="000000"/>
          <w:szCs w:val="20"/>
          <w:lang w:val="en-US"/>
        </w:rPr>
        <w:t>CYP</w:t>
      </w:r>
      <w:r w:rsidRPr="00773635">
        <w:rPr>
          <w:rFonts w:eastAsia="Times New Roman" w:cs="Arial"/>
          <w:color w:val="000000"/>
          <w:szCs w:val="20"/>
          <w:lang w:val="ru-RU"/>
        </w:rPr>
        <w:t>2</w:t>
      </w:r>
      <w:r w:rsidRPr="00773635">
        <w:rPr>
          <w:rFonts w:eastAsia="Times New Roman" w:cs="Arial"/>
          <w:color w:val="000000"/>
          <w:szCs w:val="20"/>
          <w:lang w:val="en-US"/>
        </w:rPr>
        <w:t>C</w:t>
      </w:r>
      <w:r w:rsidRPr="00773635">
        <w:rPr>
          <w:rFonts w:eastAsia="Times New Roman" w:cs="Arial"/>
          <w:color w:val="000000"/>
          <w:szCs w:val="20"/>
          <w:lang w:val="ru-RU"/>
        </w:rPr>
        <w:t xml:space="preserve">9 </w:t>
      </w:r>
      <w:r w:rsidRPr="00773635">
        <w:rPr>
          <w:rFonts w:eastAsia="Times New Roman" w:cs="Arial"/>
          <w:color w:val="000000"/>
          <w:szCs w:val="20"/>
          <w:lang w:eastAsia="bg-BG"/>
        </w:rPr>
        <w:t>върху фармакокинетиката на ирбесартан (като р</w:t>
      </w:r>
      <w:r w:rsidRPr="00773635">
        <w:rPr>
          <w:rFonts w:eastAsia="Times New Roman" w:cs="Arial"/>
          <w:color w:val="000000"/>
          <w:szCs w:val="20"/>
          <w:u w:val="single"/>
          <w:lang w:eastAsia="bg-BG"/>
        </w:rPr>
        <w:t>ифампи</w:t>
      </w:r>
      <w:r w:rsidRPr="00773635">
        <w:rPr>
          <w:rFonts w:eastAsia="Times New Roman" w:cs="Arial"/>
          <w:color w:val="000000"/>
          <w:szCs w:val="20"/>
          <w:lang w:eastAsia="bg-BG"/>
        </w:rPr>
        <w:t>цин). Фармакокинетиката на дигоксин не се променя при съвместно приложение с ирбесартан.</w:t>
      </w:r>
    </w:p>
    <w:p w14:paraId="05CB1BFB" w14:textId="77777777" w:rsidR="00773635" w:rsidRPr="00773635" w:rsidRDefault="00773635" w:rsidP="00773635"/>
    <w:p w14:paraId="5D9F40EA" w14:textId="142A28F3" w:rsidR="007122AD" w:rsidRDefault="002C50EE" w:rsidP="00936AD0">
      <w:pPr>
        <w:pStyle w:val="Heading2"/>
      </w:pPr>
      <w:r>
        <w:t>4.6. Фертилитет, бременност и кърмене</w:t>
      </w:r>
    </w:p>
    <w:p w14:paraId="3071BDCE" w14:textId="168B6546" w:rsidR="00773635" w:rsidRDefault="00773635" w:rsidP="00773635"/>
    <w:p w14:paraId="00C7CB0A" w14:textId="77777777" w:rsidR="00773635" w:rsidRPr="00773635" w:rsidRDefault="00773635" w:rsidP="00773635">
      <w:pPr>
        <w:pStyle w:val="Heading3"/>
        <w:rPr>
          <w:rFonts w:eastAsia="Times New Roman"/>
          <w:b/>
          <w:sz w:val="28"/>
        </w:rPr>
      </w:pPr>
      <w:r w:rsidRPr="00773635">
        <w:rPr>
          <w:rFonts w:eastAsia="Times New Roman"/>
          <w:b/>
          <w:lang w:eastAsia="bg-BG"/>
        </w:rPr>
        <w:t>Бременност:</w:t>
      </w:r>
    </w:p>
    <w:p w14:paraId="0BC4DD5B"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Употребата на антагонисти на рецепторите за ангиотензия-</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се препоръчва по време на първия триместър от бременността (вижте точка 4.4). Употребата на антагонисти на рецепторите за ангиотензин- </w:t>
      </w:r>
      <w:r w:rsidRPr="00773635">
        <w:rPr>
          <w:rFonts w:eastAsia="Times New Roman" w:cs="Arial"/>
          <w:color w:val="000000"/>
          <w:szCs w:val="20"/>
          <w:lang w:val="en-US"/>
        </w:rPr>
        <w:t>II</w:t>
      </w:r>
      <w:r w:rsidRPr="00773635">
        <w:rPr>
          <w:rFonts w:eastAsia="Times New Roman" w:cs="Arial"/>
          <w:color w:val="000000"/>
          <w:szCs w:val="20"/>
          <w:lang w:eastAsia="bg-BG"/>
        </w:rPr>
        <w:t xml:space="preserve"> е противопоказана по време на 2-ия и 3-ия триместър от бременността (вижте точки 4.3 и 4.4),</w:t>
      </w:r>
    </w:p>
    <w:p w14:paraId="4314EEF8" w14:textId="77777777" w:rsidR="00773635" w:rsidRPr="00773635" w:rsidRDefault="00773635" w:rsidP="00773635">
      <w:pPr>
        <w:spacing w:line="240" w:lineRule="auto"/>
        <w:rPr>
          <w:rFonts w:eastAsia="Times New Roman" w:cs="Arial"/>
          <w:color w:val="000000"/>
          <w:szCs w:val="20"/>
          <w:lang w:eastAsia="bg-BG"/>
        </w:rPr>
      </w:pPr>
    </w:p>
    <w:p w14:paraId="1A6CB1AC" w14:textId="5930E02C"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Епидемиологичните данни относно риска от тератогенност след експозиция на АСЕ инхибитори по време на първия триместър от бременността не са категорични; но леко увеличение на риска не може да бъде изключено. Тъй като няма контролирани епидемиологични данни за риска от лечение с антагонисти на рецепторите за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(АР</w:t>
      </w:r>
      <w:r w:rsidRPr="00773635">
        <w:rPr>
          <w:rFonts w:eastAsia="Times New Roman" w:cs="Arial"/>
          <w:color w:val="000000"/>
          <w:szCs w:val="20"/>
          <w:lang w:val="en-US"/>
        </w:rPr>
        <w:t>AIIs</w:t>
      </w:r>
      <w:r w:rsidRPr="00773635">
        <w:rPr>
          <w:rFonts w:eastAsia="Times New Roman" w:cs="Arial"/>
          <w:color w:val="000000"/>
          <w:szCs w:val="20"/>
          <w:lang w:val="ru-RU"/>
        </w:rPr>
        <w:t xml:space="preserve">), </w:t>
      </w:r>
      <w:r w:rsidRPr="00773635">
        <w:rPr>
          <w:rFonts w:eastAsia="Times New Roman" w:cs="Arial"/>
          <w:color w:val="000000"/>
          <w:szCs w:val="20"/>
          <w:lang w:eastAsia="bg-BG"/>
        </w:rPr>
        <w:t>подобен риск може да съществува и за този клас лекарствени продукти. Освен ако продължаването на лечението с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не е крайно необходимо,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При установяване на бременност, лечението с АРАП трябва да бъде прекратено незабавно, и ако е подходящо, да се започне алтернативно лечение.</w:t>
      </w:r>
    </w:p>
    <w:p w14:paraId="1C81FA03" w14:textId="77777777" w:rsidR="00773635" w:rsidRPr="00773635" w:rsidRDefault="00773635" w:rsidP="00773635">
      <w:pPr>
        <w:spacing w:line="240" w:lineRule="auto"/>
        <w:rPr>
          <w:rFonts w:eastAsia="Times New Roman" w:cs="Arial"/>
          <w:color w:val="000000"/>
          <w:szCs w:val="20"/>
          <w:lang w:eastAsia="bg-BG"/>
        </w:rPr>
      </w:pPr>
    </w:p>
    <w:p w14:paraId="56E8C8A5" w14:textId="15208B05"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Експозицията на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по време на втория и третия триместър може да предизвикат фетотоксичност при хората (намалена бъбречна функция, олигохидрамнион, забавена осификация на черепа) и неонатална токсичност (бъбречна недостатъчност, хипотензия, хиперкалиемня). (Вижте точка 5.3).</w:t>
      </w:r>
    </w:p>
    <w:p w14:paraId="4306C380" w14:textId="77777777" w:rsidR="00773635" w:rsidRPr="00773635" w:rsidRDefault="00773635" w:rsidP="00773635">
      <w:pPr>
        <w:spacing w:line="240" w:lineRule="auto"/>
        <w:rPr>
          <w:rFonts w:eastAsia="Times New Roman" w:cs="Arial"/>
          <w:color w:val="000000"/>
          <w:szCs w:val="20"/>
          <w:lang w:eastAsia="bg-BG"/>
        </w:rPr>
      </w:pPr>
    </w:p>
    <w:p w14:paraId="3B664A21" w14:textId="41610B99"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Препоръчва се изследване на бъбречната функция и черепа с ултразвук, ако е имало експозиция на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по време на втория триместър от бременността.</w:t>
      </w:r>
    </w:p>
    <w:p w14:paraId="507DF1EF" w14:textId="77777777" w:rsidR="00773635" w:rsidRPr="00773635" w:rsidRDefault="00773635" w:rsidP="00773635">
      <w:pPr>
        <w:spacing w:line="240" w:lineRule="auto"/>
        <w:rPr>
          <w:rFonts w:eastAsia="Times New Roman" w:cs="Arial"/>
          <w:color w:val="000000"/>
          <w:szCs w:val="20"/>
          <w:lang w:eastAsia="bg-BG"/>
        </w:rPr>
      </w:pPr>
    </w:p>
    <w:p w14:paraId="5E36B099" w14:textId="7586D3F2"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Кърмачета, чиито майки са приемали АРА</w:t>
      </w:r>
      <w:r w:rsidRPr="00773635">
        <w:rPr>
          <w:rFonts w:eastAsia="Times New Roman" w:cs="Arial"/>
          <w:color w:val="000000"/>
          <w:szCs w:val="20"/>
          <w:lang w:val="en-US"/>
        </w:rPr>
        <w:t>II</w:t>
      </w:r>
      <w:r w:rsidRPr="00773635">
        <w:rPr>
          <w:rFonts w:eastAsia="Times New Roman" w:cs="Arial"/>
          <w:color w:val="000000"/>
          <w:szCs w:val="20"/>
          <w:lang w:eastAsia="bg-BG"/>
        </w:rPr>
        <w:t xml:space="preserve"> трябва внимателно да бъдат наблюдавани за хипотония (вижте точки 4.3 и 4.4).</w:t>
      </w:r>
    </w:p>
    <w:p w14:paraId="33B6B139" w14:textId="77777777" w:rsidR="00773635" w:rsidRPr="00773635" w:rsidRDefault="00773635" w:rsidP="00773635">
      <w:pPr>
        <w:spacing w:line="240" w:lineRule="auto"/>
        <w:rPr>
          <w:rFonts w:eastAsia="Times New Roman" w:cs="Arial"/>
          <w:b/>
          <w:bCs/>
          <w:color w:val="000000"/>
          <w:szCs w:val="20"/>
          <w:lang w:eastAsia="bg-BG"/>
        </w:rPr>
      </w:pPr>
      <w:bookmarkStart w:id="3" w:name="bookmark2"/>
    </w:p>
    <w:p w14:paraId="7321CAE6" w14:textId="0AB743F4" w:rsidR="00773635" w:rsidRPr="00773635" w:rsidRDefault="00773635" w:rsidP="00773635">
      <w:pPr>
        <w:pStyle w:val="Heading3"/>
        <w:rPr>
          <w:rFonts w:eastAsia="Times New Roman"/>
          <w:b/>
          <w:sz w:val="28"/>
        </w:rPr>
      </w:pPr>
      <w:r w:rsidRPr="00773635">
        <w:rPr>
          <w:rFonts w:eastAsia="Times New Roman"/>
          <w:b/>
          <w:lang w:eastAsia="bg-BG"/>
        </w:rPr>
        <w:lastRenderedPageBreak/>
        <w:t>Кърмене:</w:t>
      </w:r>
      <w:bookmarkEnd w:id="3"/>
    </w:p>
    <w:p w14:paraId="7271DA47"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Тъй като не е налична информация относно употребата време на кърмене, ирбесартан не се препоръчва, като се предпочитат алтернативни терапии с по-добре установен профил на безопасност по време на кърмене, особено при кърмене на новородено или преждевременно родено дете.</w:t>
      </w:r>
    </w:p>
    <w:p w14:paraId="14CFD865"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Не е известно дали ирбесартан или неговите метаболити се екскретират в кърмата.</w:t>
      </w:r>
    </w:p>
    <w:p w14:paraId="04AD6540"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Наличните фармакодинамични/токсикологични данни при плъхове, показват екскреция на ирбесартан или неговите метаболити в млякото (за подробности вижте 5.3).</w:t>
      </w:r>
    </w:p>
    <w:p w14:paraId="253F832D" w14:textId="77777777" w:rsidR="00773635" w:rsidRPr="00773635" w:rsidRDefault="00773635" w:rsidP="00773635">
      <w:pPr>
        <w:spacing w:line="240" w:lineRule="auto"/>
        <w:rPr>
          <w:rFonts w:eastAsia="Times New Roman" w:cs="Arial"/>
          <w:b/>
          <w:bCs/>
          <w:color w:val="000000"/>
          <w:szCs w:val="20"/>
          <w:lang w:eastAsia="bg-BG"/>
        </w:rPr>
      </w:pPr>
      <w:bookmarkStart w:id="4" w:name="bookmark4"/>
    </w:p>
    <w:p w14:paraId="0B11F177" w14:textId="02B9996C" w:rsidR="00773635" w:rsidRPr="00773635" w:rsidRDefault="00773635" w:rsidP="00773635">
      <w:pPr>
        <w:pStyle w:val="Heading3"/>
        <w:rPr>
          <w:rFonts w:eastAsia="Times New Roman"/>
          <w:b/>
          <w:sz w:val="28"/>
        </w:rPr>
      </w:pPr>
      <w:r w:rsidRPr="00773635">
        <w:rPr>
          <w:rFonts w:eastAsia="Times New Roman"/>
          <w:b/>
          <w:lang w:eastAsia="bg-BG"/>
        </w:rPr>
        <w:t>Фертилитет:</w:t>
      </w:r>
      <w:bookmarkEnd w:id="4"/>
    </w:p>
    <w:p w14:paraId="7CB8F54F" w14:textId="10981F02" w:rsidR="00773635" w:rsidRPr="00773635" w:rsidRDefault="00773635" w:rsidP="00773635">
      <w:pPr>
        <w:rPr>
          <w:rFonts w:eastAsia="Times New Roman" w:cs="Arial"/>
          <w:color w:val="000000"/>
          <w:szCs w:val="20"/>
          <w:lang w:eastAsia="bg-BG"/>
        </w:rPr>
      </w:pPr>
      <w:r w:rsidRPr="00773635">
        <w:rPr>
          <w:rFonts w:eastAsia="Times New Roman" w:cs="Arial"/>
          <w:color w:val="000000"/>
          <w:szCs w:val="20"/>
          <w:lang w:eastAsia="bg-BG"/>
        </w:rPr>
        <w:t>Ирбесартан няма ефект върху фертилитета на третираните плъхове и тяхното потомство до дозови нива, предизвикващи появата на първите признаци на токсичност при родителите (вижте точка 5.3).</w:t>
      </w:r>
    </w:p>
    <w:p w14:paraId="36EA490C" w14:textId="77777777" w:rsidR="00773635" w:rsidRPr="00773635" w:rsidRDefault="00773635" w:rsidP="00773635"/>
    <w:p w14:paraId="5DD7A76D" w14:textId="5A87719A" w:rsidR="007122AD" w:rsidRDefault="002C50EE" w:rsidP="00936AD0">
      <w:pPr>
        <w:pStyle w:val="Heading2"/>
      </w:pPr>
      <w:r>
        <w:t>4.7. Ефекти върху способността за шофиране и работа с машини</w:t>
      </w:r>
    </w:p>
    <w:p w14:paraId="191DF52B" w14:textId="2D532C64" w:rsidR="00773635" w:rsidRDefault="00773635" w:rsidP="00773635"/>
    <w:p w14:paraId="3DB29876" w14:textId="77777777" w:rsidR="00773635" w:rsidRPr="00773635" w:rsidRDefault="00773635" w:rsidP="00773635">
      <w:pPr>
        <w:rPr>
          <w:sz w:val="24"/>
          <w:szCs w:val="24"/>
        </w:rPr>
      </w:pPr>
      <w:r w:rsidRPr="00773635">
        <w:rPr>
          <w:lang w:eastAsia="bg-BG"/>
        </w:rPr>
        <w:t>Въз основа на фармакодинамичните свойства, не се очаква ирбесартан да повлияе способността за шофиране и работа с машини. При шофиране или работа с машини, трябва да се има предвид, че по време на лечение може да се появят замаяност или отпадналост.</w:t>
      </w:r>
    </w:p>
    <w:p w14:paraId="6ADAD3E3" w14:textId="77777777" w:rsidR="00773635" w:rsidRPr="00773635" w:rsidRDefault="00773635" w:rsidP="00773635"/>
    <w:p w14:paraId="44CE30A3" w14:textId="078FBEFD" w:rsidR="007122AD" w:rsidRDefault="002C50EE" w:rsidP="00936AD0">
      <w:pPr>
        <w:pStyle w:val="Heading2"/>
      </w:pPr>
      <w:r>
        <w:t>4.8. Нежелани лекарствени реакции</w:t>
      </w:r>
    </w:p>
    <w:p w14:paraId="309E9467" w14:textId="4EAFF880" w:rsidR="00773635" w:rsidRDefault="00773635" w:rsidP="00773635"/>
    <w:p w14:paraId="74B29C13"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В плацебо-контролирани изпитвания при пациенти с хипертония, общата честота на нежеланите събития не е била различна при групата на ирбесартан </w:t>
      </w:r>
      <w:r w:rsidRPr="00773635">
        <w:rPr>
          <w:rFonts w:eastAsia="Times New Roman" w:cs="Arial"/>
          <w:i/>
          <w:iCs/>
          <w:color w:val="000000"/>
          <w:lang w:eastAsia="bg-BG"/>
        </w:rPr>
        <w:t>(56,2%)</w:t>
      </w:r>
      <w:r w:rsidRPr="00773635">
        <w:rPr>
          <w:rFonts w:eastAsia="Times New Roman" w:cs="Arial"/>
          <w:color w:val="000000"/>
          <w:lang w:eastAsia="bg-BG"/>
        </w:rPr>
        <w:t xml:space="preserve"> и плацебо групата (56,5%). Преустановяване поради появата на клинични или лабораторни нежелани събития е наблюдавано по-рядко при пациенти, лекувани с ирбесартан (3,3%) отколкото при пациенти на плацебо (4,5%). Честотата на нежеланите събития не е била свързана с дозата (в препоръчителния дозов диапазон), пола, възрастта, расата или продължителността на лечението.</w:t>
      </w:r>
    </w:p>
    <w:p w14:paraId="208245FD" w14:textId="77777777" w:rsidR="00773635" w:rsidRPr="00773635" w:rsidRDefault="00773635" w:rsidP="00773635">
      <w:pPr>
        <w:spacing w:line="240" w:lineRule="auto"/>
        <w:rPr>
          <w:rFonts w:eastAsia="Times New Roman" w:cs="Arial"/>
          <w:color w:val="000000"/>
          <w:lang w:eastAsia="bg-BG"/>
        </w:rPr>
      </w:pPr>
    </w:p>
    <w:p w14:paraId="031A7E24" w14:textId="2A65DAA9" w:rsidR="00773635" w:rsidRPr="00773635" w:rsidRDefault="00773635" w:rsidP="00773635">
      <w:pPr>
        <w:spacing w:line="240" w:lineRule="auto"/>
        <w:rPr>
          <w:rFonts w:eastAsia="Times New Roman" w:cs="Arial"/>
        </w:rPr>
      </w:pPr>
      <w:r w:rsidRPr="00773635">
        <w:rPr>
          <w:rFonts w:eastAsia="Times New Roman" w:cs="Arial"/>
          <w:color w:val="000000"/>
          <w:lang w:eastAsia="bg-BG"/>
        </w:rPr>
        <w:t>При пациенти с диабет и хипертония с микроалбуминурия и нормална бъбречна функция, са докладвани случаи на световъртеж в изправено положение и ортостатична хипотония при 0,5% от пациентите (т.е нечесто), но по-често в сравнение с плацебо групата.</w:t>
      </w:r>
    </w:p>
    <w:p w14:paraId="4FDD3279" w14:textId="40C3B50E" w:rsidR="00773635" w:rsidRPr="00773635" w:rsidRDefault="00773635" w:rsidP="00773635">
      <w:pPr>
        <w:rPr>
          <w:rFonts w:cs="Arial"/>
        </w:rPr>
      </w:pPr>
    </w:p>
    <w:p w14:paraId="18DDF477"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Следващата таблица представя нежеланите лекарствени реакции, докладвани при плацебо-контролирани изпитвания, при които 1 965 пациенти с хипертония са получавали ирбесартан. Термините, отбелязани със звезда (*) отговарят на нежелани реакции, докладвани допълнително при &gt; 2% от пациентите с диабет и хипертония с хронична бъбречна недостатъчност и изявена протеинурия, по-често от плацебо групата.</w:t>
      </w:r>
    </w:p>
    <w:p w14:paraId="15F84044"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Честотите на представените по-долу нежелани реакции са определени при използване на следната класификация: много чести (≥ 1/10); чести; (≥ 1/100, &lt; 1/10); нечести (≥ 1/1000, &lt; 1/100); редки (≥ 1/10 000, &lt; 1/1000);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A454AA1" w14:textId="77777777" w:rsidR="00773635" w:rsidRPr="00773635" w:rsidRDefault="00773635" w:rsidP="00773635">
      <w:pPr>
        <w:spacing w:line="240" w:lineRule="auto"/>
        <w:rPr>
          <w:rFonts w:eastAsia="Times New Roman" w:cs="Arial"/>
          <w:color w:val="000000"/>
          <w:lang w:eastAsia="bg-BG"/>
        </w:rPr>
      </w:pPr>
    </w:p>
    <w:p w14:paraId="6FC62BAB" w14:textId="5E86F3D6"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Нежеланите реакции, докладвани допълнително от пост-маркетинговия опит също са изброени. Тези нежелани реакции са получени от спонтанни съобщения.</w:t>
      </w:r>
    </w:p>
    <w:p w14:paraId="12DDB575" w14:textId="77777777" w:rsidR="00773635" w:rsidRPr="00773635" w:rsidRDefault="00773635" w:rsidP="00773635">
      <w:pPr>
        <w:spacing w:line="240" w:lineRule="auto"/>
        <w:rPr>
          <w:rFonts w:eastAsia="Times New Roman" w:cs="Arial"/>
          <w:i/>
          <w:iCs/>
          <w:color w:val="000000"/>
          <w:lang w:eastAsia="bg-BG"/>
        </w:rPr>
      </w:pPr>
    </w:p>
    <w:p w14:paraId="20863D74" w14:textId="1B547A1F"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кръвта и лимфната система</w:t>
      </w:r>
    </w:p>
    <w:p w14:paraId="58F04835"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Анемия, тромбоцитопения</w:t>
      </w:r>
    </w:p>
    <w:p w14:paraId="58F70BD7" w14:textId="77777777" w:rsidR="00773635" w:rsidRPr="00773635" w:rsidRDefault="00773635" w:rsidP="00773635">
      <w:pPr>
        <w:spacing w:line="240" w:lineRule="auto"/>
        <w:rPr>
          <w:rFonts w:eastAsia="Times New Roman" w:cs="Arial"/>
          <w:i/>
          <w:iCs/>
          <w:color w:val="000000"/>
          <w:lang w:eastAsia="bg-BG"/>
        </w:rPr>
      </w:pPr>
    </w:p>
    <w:p w14:paraId="150EF485" w14:textId="4F4D064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имунната система</w:t>
      </w:r>
    </w:p>
    <w:p w14:paraId="79C74EEE"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Реакции на свръхчувствителност, като ангиоедем, обрив, уртикария, анафилактична реакция, анафилактичан шок.</w:t>
      </w:r>
    </w:p>
    <w:p w14:paraId="1D4104AF" w14:textId="77777777" w:rsidR="00773635" w:rsidRPr="00773635" w:rsidRDefault="00773635" w:rsidP="00773635">
      <w:pPr>
        <w:spacing w:line="240" w:lineRule="auto"/>
        <w:rPr>
          <w:rFonts w:eastAsia="Times New Roman" w:cs="Arial"/>
          <w:i/>
          <w:iCs/>
          <w:color w:val="000000"/>
          <w:lang w:eastAsia="bg-BG"/>
        </w:rPr>
      </w:pPr>
    </w:p>
    <w:p w14:paraId="6E2BFEA3" w14:textId="188E117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метаболизма и храненето</w:t>
      </w:r>
    </w:p>
    <w:p w14:paraId="28D4AEE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Хиперкалиемия, хипогликемия</w:t>
      </w:r>
    </w:p>
    <w:p w14:paraId="34BCD1BF" w14:textId="77777777" w:rsidR="00773635" w:rsidRPr="00773635" w:rsidRDefault="00773635" w:rsidP="00773635">
      <w:pPr>
        <w:spacing w:line="240" w:lineRule="auto"/>
        <w:rPr>
          <w:rFonts w:eastAsia="Times New Roman" w:cs="Arial"/>
          <w:i/>
          <w:iCs/>
          <w:color w:val="000000"/>
          <w:lang w:eastAsia="bg-BG"/>
        </w:rPr>
      </w:pPr>
    </w:p>
    <w:p w14:paraId="02476962" w14:textId="625D6A1D"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нервната система</w:t>
      </w:r>
    </w:p>
    <w:p w14:paraId="08A27952"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Замаяност, ортостатична замаяност*</w:t>
      </w:r>
    </w:p>
    <w:p w14:paraId="5C14F26A"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Световъртеж, главоболие</w:t>
      </w:r>
    </w:p>
    <w:p w14:paraId="5E9B3163" w14:textId="77777777" w:rsidR="00773635" w:rsidRPr="00773635" w:rsidRDefault="00773635" w:rsidP="00773635">
      <w:pPr>
        <w:spacing w:line="240" w:lineRule="auto"/>
        <w:rPr>
          <w:rFonts w:eastAsia="Times New Roman" w:cs="Arial"/>
          <w:i/>
          <w:iCs/>
          <w:color w:val="000000"/>
          <w:lang w:eastAsia="bg-BG"/>
        </w:rPr>
      </w:pPr>
    </w:p>
    <w:p w14:paraId="2AA4C31D" w14:textId="4AC765D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ухото и лабиринта</w:t>
      </w:r>
    </w:p>
    <w:p w14:paraId="0DDDE856"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Тинитус</w:t>
      </w:r>
    </w:p>
    <w:p w14:paraId="7D3FF9B7" w14:textId="77777777" w:rsidR="00773635" w:rsidRPr="00773635" w:rsidRDefault="00773635" w:rsidP="00773635">
      <w:pPr>
        <w:spacing w:line="240" w:lineRule="auto"/>
        <w:rPr>
          <w:rFonts w:eastAsia="Times New Roman" w:cs="Arial"/>
          <w:i/>
          <w:iCs/>
          <w:color w:val="000000"/>
          <w:lang w:eastAsia="bg-BG"/>
        </w:rPr>
      </w:pPr>
    </w:p>
    <w:p w14:paraId="1526D295" w14:textId="02C290F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Сърдечни нарушения</w:t>
      </w:r>
    </w:p>
    <w:p w14:paraId="0D695F78" w14:textId="6E5410D1"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Тахикардия</w:t>
      </w:r>
    </w:p>
    <w:p w14:paraId="5274F93F" w14:textId="77777777" w:rsidR="00773635" w:rsidRPr="00773635" w:rsidRDefault="00773635" w:rsidP="00773635">
      <w:pPr>
        <w:spacing w:line="240" w:lineRule="auto"/>
        <w:rPr>
          <w:rFonts w:eastAsia="Times New Roman" w:cs="Arial"/>
          <w:i/>
          <w:iCs/>
          <w:color w:val="000000"/>
          <w:lang w:eastAsia="bg-BG"/>
        </w:rPr>
      </w:pPr>
    </w:p>
    <w:p w14:paraId="1E80410F" w14:textId="1A5BE536"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Съдови нарушения</w:t>
      </w:r>
    </w:p>
    <w:p w14:paraId="394C9459" w14:textId="044D039E"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 Ортостатична хипотензия*</w:t>
      </w:r>
    </w:p>
    <w:p w14:paraId="49E3E124" w14:textId="41CE55EA"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Зачервяване</w:t>
      </w:r>
    </w:p>
    <w:p w14:paraId="21407BE0" w14:textId="77777777" w:rsidR="00773635" w:rsidRPr="00773635" w:rsidRDefault="00773635" w:rsidP="00773635">
      <w:pPr>
        <w:spacing w:line="240" w:lineRule="auto"/>
        <w:rPr>
          <w:rFonts w:eastAsia="Times New Roman" w:cs="Arial"/>
          <w:i/>
          <w:iCs/>
          <w:color w:val="000000"/>
          <w:lang w:eastAsia="bg-BG"/>
        </w:rPr>
      </w:pPr>
    </w:p>
    <w:p w14:paraId="4640EE81" w14:textId="6C8ABB4D"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Респираторни, гръдни и медиастинални нарушения</w:t>
      </w:r>
    </w:p>
    <w:p w14:paraId="440AAF31" w14:textId="524B659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Кашлица</w:t>
      </w:r>
    </w:p>
    <w:p w14:paraId="5666AE24" w14:textId="77777777" w:rsidR="00773635" w:rsidRPr="00773635" w:rsidRDefault="00773635" w:rsidP="00773635">
      <w:pPr>
        <w:spacing w:line="240" w:lineRule="auto"/>
        <w:rPr>
          <w:rFonts w:eastAsia="Times New Roman" w:cs="Arial"/>
          <w:i/>
          <w:iCs/>
          <w:color w:val="000000"/>
          <w:lang w:eastAsia="bg-BG"/>
        </w:rPr>
      </w:pPr>
    </w:p>
    <w:p w14:paraId="68EFCCF4" w14:textId="41DD0070"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Гастроинтестинални нарушения</w:t>
      </w:r>
    </w:p>
    <w:p w14:paraId="5296AAE5"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Гадене/повръщане</w:t>
      </w:r>
    </w:p>
    <w:p w14:paraId="7926EF80" w14:textId="5D1E4D8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Диария, диспепсия/киселини</w:t>
      </w:r>
    </w:p>
    <w:p w14:paraId="65BEF94F" w14:textId="2FB92995"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дисгеузия</w:t>
      </w:r>
    </w:p>
    <w:p w14:paraId="1CC2F0ED" w14:textId="77777777" w:rsidR="00773635" w:rsidRPr="00773635" w:rsidRDefault="00773635" w:rsidP="00773635">
      <w:pPr>
        <w:spacing w:line="240" w:lineRule="auto"/>
        <w:rPr>
          <w:rFonts w:eastAsia="Times New Roman" w:cs="Arial"/>
          <w:i/>
          <w:iCs/>
          <w:color w:val="000000"/>
          <w:lang w:eastAsia="bg-BG"/>
        </w:rPr>
      </w:pPr>
    </w:p>
    <w:p w14:paraId="6A6F369F" w14:textId="3C3372AB"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Хепатобилиарни нарушения</w:t>
      </w:r>
    </w:p>
    <w:p w14:paraId="478F5351" w14:textId="021F5506"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Жълтеница</w:t>
      </w:r>
    </w:p>
    <w:p w14:paraId="607C374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Хепатит, нарушена чернодробна функция</w:t>
      </w:r>
    </w:p>
    <w:p w14:paraId="3545B61C" w14:textId="77777777" w:rsidR="00773635" w:rsidRPr="00773635" w:rsidRDefault="00773635" w:rsidP="00773635">
      <w:pPr>
        <w:spacing w:line="240" w:lineRule="auto"/>
        <w:rPr>
          <w:rFonts w:eastAsia="Times New Roman" w:cs="Arial"/>
          <w:i/>
          <w:iCs/>
          <w:color w:val="000000"/>
          <w:lang w:eastAsia="bg-BG"/>
        </w:rPr>
      </w:pPr>
    </w:p>
    <w:p w14:paraId="18623587" w14:textId="7DA16FA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кожата и подкожната тъкан</w:t>
      </w:r>
    </w:p>
    <w:p w14:paraId="0AAC4A7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С неизвестна честота: Левкоцитокластен васкулит</w:t>
      </w:r>
    </w:p>
    <w:p w14:paraId="099FAF1D" w14:textId="77777777" w:rsidR="00773635" w:rsidRPr="00773635" w:rsidRDefault="00773635" w:rsidP="00773635">
      <w:pPr>
        <w:spacing w:line="240" w:lineRule="auto"/>
        <w:rPr>
          <w:rFonts w:eastAsia="Times New Roman" w:cs="Arial"/>
          <w:i/>
          <w:iCs/>
          <w:color w:val="000000"/>
          <w:lang w:eastAsia="bg-BG"/>
        </w:rPr>
      </w:pPr>
    </w:p>
    <w:p w14:paraId="0EB2A46F" w14:textId="4E6812A2"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мускулоскелетната система и съединителната тъкан</w:t>
      </w:r>
    </w:p>
    <w:p w14:paraId="765AF5E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Болки в опорно-двигателния апарат*</w:t>
      </w:r>
    </w:p>
    <w:p w14:paraId="1A99DA32" w14:textId="2A160DF9" w:rsidR="00773635" w:rsidRPr="00773635" w:rsidRDefault="00773635" w:rsidP="00773635">
      <w:pPr>
        <w:spacing w:line="240" w:lineRule="auto"/>
        <w:rPr>
          <w:rFonts w:eastAsia="Times New Roman" w:cs="Arial"/>
          <w:color w:val="000000"/>
          <w:lang w:eastAsia="bg-BG"/>
        </w:rPr>
      </w:pPr>
      <w:r w:rsidRPr="00773635">
        <w:rPr>
          <w:rFonts w:eastAsia="Times New Roman" w:cs="Arial"/>
          <w:color w:val="000000"/>
          <w:lang w:eastAsia="bg-BG"/>
        </w:rPr>
        <w:t>С неизвестна честота: Артралгия, миалгия (в някои случаи е свързано с по-високото ниво на креатин- киназата в плазмата), мускулни крампи</w:t>
      </w:r>
    </w:p>
    <w:p w14:paraId="2B22E09A" w14:textId="740F30EF" w:rsidR="00773635" w:rsidRPr="00773635" w:rsidRDefault="00773635" w:rsidP="00773635">
      <w:pPr>
        <w:spacing w:line="240" w:lineRule="auto"/>
        <w:rPr>
          <w:rFonts w:eastAsia="Times New Roman" w:cs="Arial"/>
          <w:color w:val="000000"/>
          <w:lang w:eastAsia="bg-BG"/>
        </w:rPr>
      </w:pPr>
    </w:p>
    <w:p w14:paraId="2406EE35" w14:textId="7777777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бъбреците и пикочните пътища</w:t>
      </w:r>
    </w:p>
    <w:p w14:paraId="38ED2273" w14:textId="77777777"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С</w:t>
      </w:r>
      <w:r w:rsidRPr="00773635">
        <w:rPr>
          <w:rFonts w:eastAsia="Times New Roman" w:cs="Arial"/>
          <w:color w:val="000000"/>
          <w:lang w:eastAsia="bg-BG"/>
        </w:rPr>
        <w:t xml:space="preserve"> неизвестна честота: Нарушена бъбречна функция, включително случаи на бъбречна недостатъчност при рискови пациенти (вж. точка 4.4)</w:t>
      </w:r>
    </w:p>
    <w:p w14:paraId="7C81F6EB" w14:textId="77777777" w:rsidR="00773635" w:rsidRPr="00773635" w:rsidRDefault="00773635" w:rsidP="00773635">
      <w:pPr>
        <w:spacing w:line="240" w:lineRule="auto"/>
        <w:rPr>
          <w:rFonts w:eastAsia="Times New Roman" w:cs="Arial"/>
          <w:i/>
          <w:iCs/>
          <w:color w:val="000000"/>
          <w:lang w:eastAsia="bg-BG"/>
        </w:rPr>
      </w:pPr>
    </w:p>
    <w:p w14:paraId="7C4F5C48" w14:textId="0B05E72A"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Нарушения на възпроизводителната система и гърдата</w:t>
      </w:r>
    </w:p>
    <w:p w14:paraId="0B943371" w14:textId="7DC28FB2"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Сексуална дисфункция</w:t>
      </w:r>
    </w:p>
    <w:p w14:paraId="6FF60810" w14:textId="77777777" w:rsidR="00773635" w:rsidRPr="00773635" w:rsidRDefault="00773635" w:rsidP="00773635">
      <w:pPr>
        <w:spacing w:line="240" w:lineRule="auto"/>
        <w:rPr>
          <w:rFonts w:eastAsia="Times New Roman" w:cs="Arial"/>
          <w:i/>
          <w:iCs/>
          <w:color w:val="000000"/>
          <w:lang w:eastAsia="bg-BG"/>
        </w:rPr>
      </w:pPr>
    </w:p>
    <w:p w14:paraId="4F861E23" w14:textId="2C0FA9E9"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Обши нарушения и ефекти на мястото на приложение</w:t>
      </w:r>
    </w:p>
    <w:p w14:paraId="673F055F"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w:t>
      </w:r>
      <w:r w:rsidRPr="00773635">
        <w:rPr>
          <w:rFonts w:eastAsia="Times New Roman" w:cs="Arial"/>
          <w:color w:val="000000"/>
          <w:lang w:eastAsia="bg-BG"/>
        </w:rPr>
        <w:tab/>
        <w:t>Умора</w:t>
      </w:r>
    </w:p>
    <w:p w14:paraId="77BDF37C" w14:textId="18A53097" w:rsidR="00773635" w:rsidRPr="00773635" w:rsidRDefault="00773635" w:rsidP="00773635">
      <w:pPr>
        <w:spacing w:line="240" w:lineRule="auto"/>
        <w:rPr>
          <w:rFonts w:eastAsia="Times New Roman" w:cs="Arial"/>
        </w:rPr>
      </w:pPr>
      <w:r w:rsidRPr="00773635">
        <w:rPr>
          <w:rFonts w:eastAsia="Times New Roman" w:cs="Arial"/>
          <w:color w:val="000000"/>
          <w:lang w:eastAsia="bg-BG"/>
        </w:rPr>
        <w:t>Нечести: Болка в в гръдния кош.</w:t>
      </w:r>
    </w:p>
    <w:p w14:paraId="091F2195" w14:textId="77777777" w:rsidR="00773635" w:rsidRPr="00773635" w:rsidRDefault="00773635" w:rsidP="00773635">
      <w:pPr>
        <w:spacing w:line="240" w:lineRule="auto"/>
        <w:rPr>
          <w:rFonts w:eastAsia="Times New Roman" w:cs="Arial"/>
          <w:i/>
          <w:iCs/>
          <w:color w:val="000000"/>
          <w:lang w:eastAsia="bg-BG"/>
        </w:rPr>
      </w:pPr>
    </w:p>
    <w:p w14:paraId="4D32E46A" w14:textId="549F94DF" w:rsidR="00773635" w:rsidRPr="00773635" w:rsidRDefault="00773635" w:rsidP="00773635">
      <w:pPr>
        <w:spacing w:line="240" w:lineRule="auto"/>
        <w:rPr>
          <w:rFonts w:eastAsia="Times New Roman" w:cs="Arial"/>
        </w:rPr>
      </w:pPr>
      <w:r w:rsidRPr="00773635">
        <w:rPr>
          <w:rFonts w:eastAsia="Times New Roman" w:cs="Arial"/>
          <w:i/>
          <w:iCs/>
          <w:color w:val="000000"/>
          <w:lang w:eastAsia="bg-BG"/>
        </w:rPr>
        <w:t>Изследвания</w:t>
      </w:r>
    </w:p>
    <w:p w14:paraId="3471A6D4" w14:textId="0BD71078" w:rsidR="00773635" w:rsidRPr="00773635" w:rsidRDefault="00773635" w:rsidP="00773635">
      <w:pPr>
        <w:spacing w:line="240" w:lineRule="auto"/>
        <w:rPr>
          <w:rFonts w:eastAsia="Times New Roman" w:cs="Arial"/>
        </w:rPr>
      </w:pPr>
      <w:r w:rsidRPr="00773635">
        <w:rPr>
          <w:rFonts w:eastAsia="Times New Roman" w:cs="Arial"/>
          <w:color w:val="000000"/>
          <w:lang w:eastAsia="bg-BG"/>
        </w:rPr>
        <w:t>Много чести: Хиперкалиемия* се наблюдава по-често при пациентите с диабет, лекувани с</w:t>
      </w:r>
    </w:p>
    <w:p w14:paraId="0719D136"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ирбесартан, в сравнение с плацебо. При пациенти с диабет и хипертония с микроалбуминурия и нормална бъбречна функция, хиперкалиемия (над 5,5 </w:t>
      </w:r>
      <w:proofErr w:type="spellStart"/>
      <w:r w:rsidRPr="00773635">
        <w:rPr>
          <w:rFonts w:eastAsia="Times New Roman" w:cs="Arial"/>
          <w:color w:val="000000"/>
          <w:lang w:val="en-US"/>
        </w:rPr>
        <w:t>mmol</w:t>
      </w:r>
      <w:proofErr w:type="spellEnd"/>
      <w:r w:rsidRPr="00773635">
        <w:rPr>
          <w:rFonts w:eastAsia="Times New Roman" w:cs="Arial"/>
          <w:color w:val="000000"/>
          <w:lang w:val="ru-RU"/>
        </w:rPr>
        <w:t>/</w:t>
      </w:r>
      <w:r w:rsidRPr="00773635">
        <w:rPr>
          <w:rFonts w:eastAsia="Times New Roman" w:cs="Arial"/>
          <w:color w:val="000000"/>
          <w:lang w:val="en-US"/>
        </w:rPr>
        <w:t>l</w:t>
      </w:r>
      <w:r w:rsidRPr="00773635">
        <w:rPr>
          <w:rFonts w:eastAsia="Times New Roman" w:cs="Arial"/>
          <w:color w:val="000000"/>
          <w:lang w:val="ru-RU"/>
        </w:rPr>
        <w:t xml:space="preserve">) </w:t>
      </w:r>
      <w:r w:rsidRPr="00773635">
        <w:rPr>
          <w:rFonts w:eastAsia="Times New Roman" w:cs="Arial"/>
          <w:color w:val="000000"/>
          <w:lang w:eastAsia="bg-BG"/>
        </w:rPr>
        <w:t xml:space="preserve">се наблюдава при 29,4% от пациентите в групата на ирбесартан 300 </w:t>
      </w:r>
      <w:r w:rsidRPr="00773635">
        <w:rPr>
          <w:rFonts w:eastAsia="Times New Roman" w:cs="Arial"/>
          <w:color w:val="000000"/>
          <w:lang w:val="en-US"/>
        </w:rPr>
        <w:t>mg</w:t>
      </w:r>
      <w:r w:rsidRPr="00773635">
        <w:rPr>
          <w:rFonts w:eastAsia="Times New Roman" w:cs="Arial"/>
          <w:color w:val="000000"/>
          <w:lang w:val="ru-RU"/>
        </w:rPr>
        <w:t xml:space="preserve"> </w:t>
      </w:r>
      <w:r w:rsidRPr="00773635">
        <w:rPr>
          <w:rFonts w:eastAsia="Times New Roman" w:cs="Arial"/>
          <w:color w:val="000000"/>
          <w:lang w:eastAsia="bg-BG"/>
        </w:rPr>
        <w:t xml:space="preserve">и при 22% от пациентите в групата на плацебо. При пациенти с диабет и хипертония с хронична бъбречна недостатъчност и значима протеинурия, хиперкалиемия (≥ 5,5 </w:t>
      </w:r>
      <w:proofErr w:type="spellStart"/>
      <w:r w:rsidRPr="00773635">
        <w:rPr>
          <w:rFonts w:eastAsia="Times New Roman" w:cs="Arial"/>
          <w:color w:val="000000"/>
          <w:lang w:val="en-US"/>
        </w:rPr>
        <w:t>mEq</w:t>
      </w:r>
      <w:proofErr w:type="spellEnd"/>
      <w:r w:rsidRPr="00773635">
        <w:rPr>
          <w:rFonts w:eastAsia="Times New Roman" w:cs="Arial"/>
          <w:color w:val="000000"/>
          <w:lang w:val="ru-RU"/>
        </w:rPr>
        <w:t>/</w:t>
      </w:r>
      <w:r w:rsidRPr="00773635">
        <w:rPr>
          <w:rFonts w:eastAsia="Times New Roman" w:cs="Arial"/>
          <w:color w:val="000000"/>
          <w:lang w:val="en-US"/>
        </w:rPr>
        <w:t>L</w:t>
      </w:r>
      <w:r w:rsidRPr="00773635">
        <w:rPr>
          <w:rFonts w:eastAsia="Times New Roman" w:cs="Arial"/>
          <w:color w:val="000000"/>
          <w:lang w:val="ru-RU"/>
        </w:rPr>
        <w:t xml:space="preserve">) </w:t>
      </w:r>
      <w:r w:rsidRPr="00773635">
        <w:rPr>
          <w:rFonts w:eastAsia="Times New Roman" w:cs="Arial"/>
          <w:color w:val="000000"/>
          <w:lang w:eastAsia="bg-BG"/>
        </w:rPr>
        <w:t>се наблюдава при 46,3% от пациентите в групата на ирбесартан и при 26,3% от пациентите в групата на плацебо.</w:t>
      </w:r>
    </w:p>
    <w:p w14:paraId="688731D1" w14:textId="77777777" w:rsidR="00773635" w:rsidRPr="00773635" w:rsidRDefault="00773635" w:rsidP="00773635">
      <w:pPr>
        <w:spacing w:line="240" w:lineRule="auto"/>
        <w:rPr>
          <w:rFonts w:eastAsia="Times New Roman" w:cs="Arial"/>
          <w:color w:val="000000"/>
          <w:lang w:eastAsia="bg-BG"/>
        </w:rPr>
      </w:pPr>
    </w:p>
    <w:p w14:paraId="047BAEF5" w14:textId="7D625566" w:rsidR="00773635" w:rsidRPr="00773635" w:rsidRDefault="00773635" w:rsidP="00773635">
      <w:pPr>
        <w:spacing w:line="240" w:lineRule="auto"/>
        <w:rPr>
          <w:rFonts w:eastAsia="Times New Roman" w:cs="Arial"/>
        </w:rPr>
      </w:pPr>
      <w:r w:rsidRPr="00773635">
        <w:rPr>
          <w:rFonts w:eastAsia="Times New Roman" w:cs="Arial"/>
          <w:color w:val="000000"/>
          <w:lang w:eastAsia="bg-BG"/>
        </w:rPr>
        <w:t>Чести:Значително увеличение на плазмената креатин-киназа е наблюдавано често</w:t>
      </w:r>
    </w:p>
    <w:p w14:paraId="17F3922C"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(1,7%) при лекуваните с ирбесартан пациенти. Нито един случаи от тези не е бил свързан с клинично проявени мускулноскелетни нежелани събития.</w:t>
      </w:r>
    </w:p>
    <w:p w14:paraId="763B590E"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При 1,7% от пациентите с хипертония и напреднала диабетна нефропатия, лекувани с ирбесартан, е наблюдавано понижаване на хемоглобина*, което не е клинично значимо.</w:t>
      </w:r>
    </w:p>
    <w:p w14:paraId="6C25F1F4" w14:textId="77777777" w:rsidR="00773635" w:rsidRPr="00773635" w:rsidRDefault="00773635" w:rsidP="00773635">
      <w:pPr>
        <w:spacing w:line="240" w:lineRule="auto"/>
        <w:rPr>
          <w:rFonts w:eastAsia="Times New Roman" w:cs="Arial"/>
          <w:color w:val="000000"/>
          <w:u w:val="single"/>
          <w:lang w:eastAsia="bg-BG"/>
        </w:rPr>
      </w:pPr>
    </w:p>
    <w:p w14:paraId="5DD45B54" w14:textId="0A57FA31" w:rsidR="00773635" w:rsidRPr="00773635" w:rsidRDefault="00773635" w:rsidP="00773635">
      <w:pPr>
        <w:spacing w:line="240" w:lineRule="auto"/>
        <w:rPr>
          <w:rFonts w:eastAsia="Times New Roman" w:cs="Arial"/>
        </w:rPr>
      </w:pPr>
      <w:r w:rsidRPr="00773635">
        <w:rPr>
          <w:rFonts w:eastAsia="Times New Roman" w:cs="Arial"/>
          <w:color w:val="000000"/>
          <w:u w:val="single"/>
          <w:lang w:eastAsia="bg-BG"/>
        </w:rPr>
        <w:t>Педиатрична популация</w:t>
      </w:r>
    </w:p>
    <w:p w14:paraId="36C09F6D" w14:textId="77777777" w:rsidR="00773635" w:rsidRPr="00773635" w:rsidRDefault="00773635" w:rsidP="00773635">
      <w:pPr>
        <w:spacing w:line="240" w:lineRule="auto"/>
        <w:rPr>
          <w:rFonts w:eastAsia="Times New Roman" w:cs="Arial"/>
        </w:rPr>
      </w:pPr>
      <w:r w:rsidRPr="00773635">
        <w:rPr>
          <w:rFonts w:eastAsia="Times New Roman" w:cs="Arial"/>
          <w:color w:val="000000"/>
          <w:lang w:eastAsia="bg-BG"/>
        </w:rPr>
        <w:t>В рандомизирано проучване при 318 деца и юноши с хипертония на възраст от 6 до 16 години, са наблюдавани следните нежелани реакции, по време на 3-седмичната двойносляпа фаза: главоболие (7,9%), хипотония (2,2%), замаяност (1,9%), кашлица (0,9%). По време на 26-седмичния отворен период на това проучване, най-често наблюдаваните отклонения в лабораторните показатели са били повишение на креатинина (6,5%) и повишение на стойностите на СК при 2% от децата.</w:t>
      </w:r>
    </w:p>
    <w:p w14:paraId="4D04B651" w14:textId="77777777" w:rsidR="00773635" w:rsidRPr="00773635" w:rsidRDefault="00773635" w:rsidP="00773635">
      <w:pPr>
        <w:spacing w:line="240" w:lineRule="auto"/>
        <w:rPr>
          <w:rFonts w:eastAsia="Times New Roman" w:cs="Arial"/>
          <w:color w:val="000000"/>
          <w:u w:val="single"/>
          <w:lang w:eastAsia="bg-BG"/>
        </w:rPr>
      </w:pPr>
    </w:p>
    <w:p w14:paraId="16B0E062" w14:textId="1D9A8C4A" w:rsidR="00773635" w:rsidRPr="00773635" w:rsidRDefault="00773635" w:rsidP="00773635">
      <w:pPr>
        <w:spacing w:line="240" w:lineRule="auto"/>
        <w:rPr>
          <w:rFonts w:eastAsia="Times New Roman" w:cs="Arial"/>
        </w:rPr>
      </w:pPr>
      <w:r w:rsidRPr="00773635">
        <w:rPr>
          <w:rFonts w:eastAsia="Times New Roman" w:cs="Arial"/>
          <w:color w:val="000000"/>
          <w:u w:val="single"/>
          <w:lang w:eastAsia="bg-BG"/>
        </w:rPr>
        <w:t>Съобщаване на подозирани нежелани реакции</w:t>
      </w:r>
    </w:p>
    <w:p w14:paraId="1A9CC388" w14:textId="4B9B3DB1" w:rsidR="00773635" w:rsidRPr="00773635" w:rsidRDefault="00773635" w:rsidP="00773635">
      <w:pPr>
        <w:spacing w:line="240" w:lineRule="auto"/>
        <w:rPr>
          <w:rFonts w:eastAsia="Times New Roman" w:cs="Arial"/>
        </w:rPr>
      </w:pPr>
      <w:r w:rsidRPr="00773635">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 Изпълнителна агенция по лекарствата ул.„Дамян Груев” № 8 1303 София тел.: +359 2 8903417 уебсайт: </w:t>
      </w:r>
      <w:r w:rsidRPr="00773635">
        <w:rPr>
          <w:rFonts w:eastAsia="Times New Roman" w:cs="Arial"/>
        </w:rPr>
        <w:fldChar w:fldCharType="begin"/>
      </w:r>
      <w:r w:rsidRPr="00773635">
        <w:rPr>
          <w:rFonts w:eastAsia="Times New Roman" w:cs="Arial"/>
        </w:rPr>
        <w:instrText xml:space="preserve"> HYPERLINK "http://www.bda.bg" </w:instrText>
      </w:r>
      <w:r w:rsidRPr="00773635">
        <w:rPr>
          <w:rFonts w:eastAsia="Times New Roman" w:cs="Arial"/>
        </w:rPr>
      </w:r>
      <w:r w:rsidRPr="00773635">
        <w:rPr>
          <w:rFonts w:eastAsia="Times New Roman" w:cs="Arial"/>
        </w:rPr>
        <w:fldChar w:fldCharType="separate"/>
      </w:r>
      <w:r w:rsidRPr="00773635">
        <w:rPr>
          <w:rFonts w:eastAsia="Times New Roman" w:cs="Arial"/>
          <w:color w:val="000000"/>
          <w:u w:val="single"/>
          <w:lang w:val="en-US"/>
        </w:rPr>
        <w:t>www</w:t>
      </w:r>
      <w:r w:rsidRPr="00773635">
        <w:rPr>
          <w:rFonts w:eastAsia="Times New Roman" w:cs="Arial"/>
          <w:color w:val="000000"/>
          <w:u w:val="single"/>
          <w:lang w:val="ru-RU"/>
        </w:rPr>
        <w:t>.</w:t>
      </w:r>
      <w:proofErr w:type="spellStart"/>
      <w:r w:rsidRPr="00773635">
        <w:rPr>
          <w:rFonts w:eastAsia="Times New Roman" w:cs="Arial"/>
          <w:color w:val="000000"/>
          <w:u w:val="single"/>
          <w:lang w:val="en-US"/>
        </w:rPr>
        <w:t>bda</w:t>
      </w:r>
      <w:proofErr w:type="spellEnd"/>
      <w:r w:rsidRPr="00773635">
        <w:rPr>
          <w:rFonts w:eastAsia="Times New Roman" w:cs="Arial"/>
          <w:color w:val="000000"/>
          <w:u w:val="single"/>
          <w:lang w:val="ru-RU"/>
        </w:rPr>
        <w:t>.</w:t>
      </w:r>
      <w:proofErr w:type="spellStart"/>
      <w:r w:rsidRPr="00773635">
        <w:rPr>
          <w:rFonts w:eastAsia="Times New Roman" w:cs="Arial"/>
          <w:color w:val="000000"/>
          <w:u w:val="single"/>
          <w:lang w:val="en-US"/>
        </w:rPr>
        <w:t>bg</w:t>
      </w:r>
      <w:proofErr w:type="spellEnd"/>
      <w:r w:rsidRPr="00773635">
        <w:rPr>
          <w:rFonts w:eastAsia="Times New Roman" w:cs="Arial"/>
        </w:rPr>
        <w:fldChar w:fldCharType="end"/>
      </w:r>
    </w:p>
    <w:p w14:paraId="7C6D8BD6" w14:textId="7235DFF8" w:rsidR="00773635" w:rsidRPr="00773635" w:rsidRDefault="00773635" w:rsidP="00773635"/>
    <w:p w14:paraId="5A87DBA3" w14:textId="78B5F771" w:rsidR="007122AD" w:rsidRDefault="002C50EE" w:rsidP="00936AD0">
      <w:pPr>
        <w:pStyle w:val="Heading2"/>
      </w:pPr>
      <w:r>
        <w:t>4.9. Предозиране</w:t>
      </w:r>
    </w:p>
    <w:p w14:paraId="77E2A11C" w14:textId="4C4BA123" w:rsidR="00773635" w:rsidRDefault="00773635" w:rsidP="00773635"/>
    <w:p w14:paraId="3C5F4454" w14:textId="77777777" w:rsidR="00773635" w:rsidRPr="00773635" w:rsidRDefault="00773635" w:rsidP="00773635">
      <w:pPr>
        <w:rPr>
          <w:sz w:val="24"/>
          <w:szCs w:val="24"/>
        </w:rPr>
      </w:pPr>
      <w:r w:rsidRPr="00773635">
        <w:rPr>
          <w:lang w:eastAsia="bg-BG"/>
        </w:rPr>
        <w:t xml:space="preserve">Опитът при възрастни, приемащи дози до 900 </w:t>
      </w:r>
      <w:r w:rsidRPr="00773635">
        <w:rPr>
          <w:lang w:val="en-US"/>
        </w:rPr>
        <w:t>mg</w:t>
      </w:r>
      <w:r w:rsidRPr="00773635">
        <w:rPr>
          <w:lang w:eastAsia="bg-BG"/>
        </w:rPr>
        <w:t>/дневно за 8 седмици не е показал наличието на токсичност, Най-вероятните прояви при предозиране са очаква да бъдат хипотония и тахикардия; възможна е и появата на брадикардия при предозиране. Няма специфична информация по отношение на лечението при предозиране с ирбесартан таблетки. Пациентът трябва да бъдат внимателно проследяван, като лечението трябва да бъде симптоматично и поддържащо. Препоръчва се предизвикването на повръщане и/или стомашна промивка. Активният въглен може да бъде полезен при лечение на предозирането. Ирбесартан не се отстранява чрез хемодиализа.</w:t>
      </w:r>
    </w:p>
    <w:p w14:paraId="0C71A032" w14:textId="77777777" w:rsidR="00773635" w:rsidRPr="00773635" w:rsidRDefault="00773635" w:rsidP="00773635"/>
    <w:p w14:paraId="02081B24" w14:textId="1F46E296" w:rsidR="00395555" w:rsidRPr="00395555" w:rsidRDefault="002C50EE" w:rsidP="008A6AF2">
      <w:pPr>
        <w:pStyle w:val="Heading1"/>
      </w:pPr>
      <w:r>
        <w:lastRenderedPageBreak/>
        <w:t>5. ФАРМАКОЛОГИЧНИ СВОЙСТВА</w:t>
      </w:r>
    </w:p>
    <w:p w14:paraId="7DE36AC8" w14:textId="2DCD2FE5" w:rsidR="00B6672E" w:rsidRDefault="002C50EE" w:rsidP="00936AD0">
      <w:pPr>
        <w:pStyle w:val="Heading2"/>
      </w:pPr>
      <w:r>
        <w:t>5.1. Фармакодинамични свойства</w:t>
      </w:r>
    </w:p>
    <w:p w14:paraId="33B334D1" w14:textId="7CFDFA7B" w:rsidR="00773635" w:rsidRDefault="00773635" w:rsidP="00773635"/>
    <w:p w14:paraId="61511B88"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Фармакотерапевтична група: Ангиотензин-П антагонисти, самостоятелно. АТС код С09СА 04.</w:t>
      </w:r>
    </w:p>
    <w:p w14:paraId="34B4B062" w14:textId="77777777" w:rsidR="00773635" w:rsidRPr="00773635" w:rsidRDefault="00773635" w:rsidP="00773635">
      <w:pPr>
        <w:spacing w:line="240" w:lineRule="auto"/>
        <w:rPr>
          <w:rFonts w:eastAsia="Times New Roman" w:cs="Arial"/>
          <w:b/>
          <w:bCs/>
          <w:color w:val="000000"/>
          <w:szCs w:val="20"/>
          <w:lang w:eastAsia="bg-BG"/>
        </w:rPr>
      </w:pPr>
    </w:p>
    <w:p w14:paraId="7F9A23CB" w14:textId="34FEF974"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 xml:space="preserve">Механизъм на действие: </w:t>
      </w:r>
      <w:r w:rsidRPr="00773635">
        <w:rPr>
          <w:rFonts w:eastAsia="Times New Roman" w:cs="Arial"/>
          <w:color w:val="000000"/>
          <w:szCs w:val="20"/>
          <w:lang w:eastAsia="bg-BG"/>
        </w:rPr>
        <w:t>Ирбесартан е мощен, перорално активен, селективен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рецепторен (тип </w:t>
      </w:r>
      <w:r w:rsidRPr="00773635">
        <w:rPr>
          <w:rFonts w:eastAsia="Times New Roman" w:cs="Arial"/>
          <w:color w:val="000000"/>
          <w:szCs w:val="20"/>
          <w:lang w:val="en-US"/>
        </w:rPr>
        <w:t>AT</w:t>
      </w:r>
      <w:r w:rsidRPr="00773635">
        <w:rPr>
          <w:rFonts w:eastAsia="Times New Roman" w:cs="Arial"/>
          <w:color w:val="000000"/>
          <w:szCs w:val="20"/>
          <w:vertAlign w:val="subscript"/>
          <w:lang w:val="ru-RU"/>
        </w:rPr>
        <w:t>1</w:t>
      </w:r>
      <w:r w:rsidRPr="00773635">
        <w:rPr>
          <w:rFonts w:eastAsia="Times New Roman" w:cs="Arial"/>
          <w:color w:val="000000"/>
          <w:szCs w:val="20"/>
          <w:lang w:val="ru-RU"/>
        </w:rPr>
        <w:t xml:space="preserve">) </w:t>
      </w:r>
      <w:r w:rsidRPr="00773635">
        <w:rPr>
          <w:rFonts w:eastAsia="Times New Roman" w:cs="Arial"/>
          <w:color w:val="000000"/>
          <w:szCs w:val="20"/>
          <w:lang w:eastAsia="bg-BG"/>
        </w:rPr>
        <w:t>антагонист. Очаква се блокиране на цялостното действие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медиирано от АТ</w:t>
      </w:r>
      <w:r w:rsidRPr="00773635">
        <w:rPr>
          <w:rFonts w:eastAsia="Times New Roman" w:cs="Arial"/>
          <w:color w:val="000000"/>
          <w:szCs w:val="20"/>
          <w:vertAlign w:val="subscript"/>
          <w:lang w:eastAsia="bg-BG"/>
        </w:rPr>
        <w:t>1</w:t>
      </w:r>
      <w:r w:rsidRPr="00773635">
        <w:rPr>
          <w:rFonts w:eastAsia="Times New Roman" w:cs="Arial"/>
          <w:color w:val="000000"/>
          <w:szCs w:val="20"/>
          <w:lang w:eastAsia="bg-BG"/>
        </w:rPr>
        <w:t xml:space="preserve"> рецептора, независимо от източника или пътя на синтез на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Селективният антагонизъм спрямо рецепторите за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w:t>
      </w:r>
      <w:r w:rsidRPr="00773635">
        <w:rPr>
          <w:rFonts w:eastAsia="Times New Roman" w:cs="Arial"/>
          <w:color w:val="000000"/>
          <w:szCs w:val="20"/>
          <w:lang w:val="ru-RU"/>
        </w:rPr>
        <w:t>(</w:t>
      </w:r>
      <w:r w:rsidRPr="00773635">
        <w:rPr>
          <w:rFonts w:eastAsia="Times New Roman" w:cs="Arial"/>
          <w:color w:val="000000"/>
          <w:szCs w:val="20"/>
          <w:lang w:val="en-US"/>
        </w:rPr>
        <w:t>AT</w:t>
      </w:r>
      <w:r w:rsidRPr="00773635">
        <w:rPr>
          <w:rFonts w:eastAsia="Times New Roman" w:cs="Arial"/>
          <w:color w:val="000000"/>
          <w:szCs w:val="20"/>
          <w:vertAlign w:val="subscript"/>
          <w:lang w:val="ru-RU"/>
        </w:rPr>
        <w:t>1</w:t>
      </w:r>
      <w:r w:rsidRPr="00773635">
        <w:rPr>
          <w:rFonts w:eastAsia="Times New Roman" w:cs="Arial"/>
          <w:color w:val="000000"/>
          <w:szCs w:val="20"/>
          <w:lang w:val="ru-RU"/>
        </w:rPr>
        <w:t xml:space="preserve">) </w:t>
      </w:r>
      <w:r w:rsidRPr="00773635">
        <w:rPr>
          <w:rFonts w:eastAsia="Times New Roman" w:cs="Arial"/>
          <w:color w:val="000000"/>
          <w:szCs w:val="20"/>
          <w:lang w:eastAsia="bg-BG"/>
        </w:rPr>
        <w:t>води до повишаване на плазмените нива на ренин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понижаване на плазмената концентрация иа алдостерон. Серумните нива на калий не се променят значително при самостоятелното приложение на ирбесартан в препоръчваните дози. Ирбесартан не инхибира АСЕ (киназа-</w:t>
      </w:r>
      <w:r w:rsidRPr="00773635">
        <w:rPr>
          <w:rFonts w:eastAsia="Times New Roman" w:cs="Arial"/>
          <w:color w:val="000000"/>
          <w:szCs w:val="20"/>
          <w:lang w:val="en-US"/>
        </w:rPr>
        <w:t>II</w:t>
      </w:r>
      <w:r w:rsidRPr="00773635">
        <w:rPr>
          <w:rFonts w:eastAsia="Times New Roman" w:cs="Arial"/>
          <w:color w:val="000000"/>
          <w:szCs w:val="20"/>
          <w:lang w:eastAsia="bg-BG"/>
        </w:rPr>
        <w:t>), ензим, който генерира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 xml:space="preserve"> и също разгражда брадикинина до неактивни метаболити. Ирбесартан не изисква метаболитно активиране за проявяване на своето действие.</w:t>
      </w:r>
    </w:p>
    <w:p w14:paraId="1E6E81D3" w14:textId="77777777" w:rsidR="00773635" w:rsidRPr="00773635" w:rsidRDefault="00773635" w:rsidP="00773635">
      <w:pPr>
        <w:spacing w:line="240" w:lineRule="auto"/>
        <w:rPr>
          <w:rFonts w:eastAsia="Times New Roman" w:cs="Arial"/>
          <w:b/>
          <w:bCs/>
          <w:color w:val="000000"/>
          <w:szCs w:val="20"/>
          <w:lang w:eastAsia="bg-BG"/>
        </w:rPr>
      </w:pPr>
    </w:p>
    <w:p w14:paraId="575C1875" w14:textId="12DF5FE5" w:rsidR="00773635" w:rsidRPr="00773635" w:rsidRDefault="00773635" w:rsidP="00773635">
      <w:pPr>
        <w:spacing w:line="240" w:lineRule="auto"/>
        <w:rPr>
          <w:rFonts w:eastAsia="Times New Roman" w:cs="Arial"/>
          <w:sz w:val="28"/>
          <w:szCs w:val="24"/>
        </w:rPr>
      </w:pPr>
      <w:r w:rsidRPr="00773635">
        <w:rPr>
          <w:rFonts w:eastAsia="Times New Roman" w:cs="Arial"/>
          <w:b/>
          <w:bCs/>
          <w:color w:val="000000"/>
          <w:szCs w:val="20"/>
          <w:lang w:eastAsia="bg-BG"/>
        </w:rPr>
        <w:t>Клинична ефикасност:</w:t>
      </w:r>
    </w:p>
    <w:p w14:paraId="4AE70DAA" w14:textId="77777777" w:rsidR="00773635" w:rsidRPr="00773635" w:rsidRDefault="00773635" w:rsidP="00773635">
      <w:pPr>
        <w:spacing w:line="240" w:lineRule="auto"/>
        <w:rPr>
          <w:rFonts w:eastAsia="Times New Roman" w:cs="Arial"/>
          <w:color w:val="000000"/>
          <w:szCs w:val="20"/>
          <w:u w:val="single"/>
          <w:lang w:eastAsia="bg-BG"/>
        </w:rPr>
      </w:pPr>
    </w:p>
    <w:p w14:paraId="03232822" w14:textId="107746E2"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Хипертония</w:t>
      </w:r>
    </w:p>
    <w:p w14:paraId="76C75BD7"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Ирбесартан понижава кръвното налягане при минимална промяна на сърдечната честота. Понижаването на кръвното налягане е дозозависимо при еднократен прием с тенденция към достигане на плато при дози над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Дози от 150-300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веднъж дневно понижават кръвното налягане в легнало или седнало положение (т.е. 24 часа от приема) със средно 8-13/5-8 </w:t>
      </w:r>
      <w:r w:rsidRPr="00773635">
        <w:rPr>
          <w:rFonts w:eastAsia="Times New Roman" w:cs="Arial"/>
          <w:color w:val="000000"/>
          <w:szCs w:val="20"/>
          <w:lang w:val="en-US"/>
        </w:rPr>
        <w:t>mm</w:t>
      </w:r>
      <w:r w:rsidRPr="00773635">
        <w:rPr>
          <w:rFonts w:eastAsia="Times New Roman" w:cs="Arial"/>
          <w:color w:val="000000"/>
          <w:szCs w:val="20"/>
          <w:lang w:val="ru-RU"/>
        </w:rPr>
        <w:t xml:space="preserve"> </w:t>
      </w:r>
      <w:r w:rsidRPr="00773635">
        <w:rPr>
          <w:rFonts w:eastAsia="Times New Roman" w:cs="Arial"/>
          <w:color w:val="000000"/>
          <w:szCs w:val="20"/>
          <w:lang w:val="en-US"/>
        </w:rPr>
        <w:t>Hg</w:t>
      </w:r>
      <w:r w:rsidRPr="00773635">
        <w:rPr>
          <w:rFonts w:eastAsia="Times New Roman" w:cs="Arial"/>
          <w:color w:val="000000"/>
          <w:szCs w:val="20"/>
          <w:lang w:val="ru-RU"/>
        </w:rPr>
        <w:t xml:space="preserve"> </w:t>
      </w:r>
      <w:r w:rsidRPr="00773635">
        <w:rPr>
          <w:rFonts w:eastAsia="Times New Roman" w:cs="Arial"/>
          <w:color w:val="000000"/>
          <w:szCs w:val="20"/>
          <w:lang w:eastAsia="bg-BG"/>
        </w:rPr>
        <w:t>(систолно/диастолно) повече в сравнение с плацебо.</w:t>
      </w:r>
    </w:p>
    <w:p w14:paraId="325DABE6" w14:textId="77777777" w:rsidR="00773635" w:rsidRPr="00773635" w:rsidRDefault="00773635" w:rsidP="00773635">
      <w:pPr>
        <w:spacing w:line="240" w:lineRule="auto"/>
        <w:rPr>
          <w:rFonts w:eastAsia="Times New Roman" w:cs="Arial"/>
          <w:color w:val="000000"/>
          <w:szCs w:val="20"/>
          <w:lang w:eastAsia="bg-BG"/>
        </w:rPr>
      </w:pPr>
    </w:p>
    <w:p w14:paraId="3F053F86" w14:textId="4762BF9C" w:rsidR="00773635" w:rsidRPr="00773635" w:rsidRDefault="00773635" w:rsidP="00773635">
      <w:pPr>
        <w:spacing w:line="240" w:lineRule="auto"/>
        <w:rPr>
          <w:rFonts w:eastAsia="Times New Roman" w:cs="Arial"/>
          <w:color w:val="000000"/>
          <w:szCs w:val="20"/>
          <w:lang w:eastAsia="bg-BG"/>
        </w:rPr>
      </w:pPr>
      <w:r w:rsidRPr="00773635">
        <w:rPr>
          <w:rFonts w:eastAsia="Times New Roman" w:cs="Arial"/>
          <w:color w:val="000000"/>
          <w:szCs w:val="20"/>
          <w:lang w:eastAsia="bg-BG"/>
        </w:rPr>
        <w:t xml:space="preserve">Максимално понижение на кръвното налягане се достига в рамките на 3-6 часа след приема, като </w:t>
      </w:r>
    </w:p>
    <w:p w14:paraId="591B4FDA" w14:textId="1D040A20"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антихипертензивното действие продължава най-малко 24 часа. След 24 часа понижението на кръвното налягане е 60-70% от съответния максимален отговор по отношение на диастолното и систолното налягане, при употреба в препоръчваната доза. Еднократният дневен прием на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води до най-ниска стойност и среден 24 часов отговор, подобни на тези при приложение на същата доза, разделена на два отделни приема.</w:t>
      </w:r>
    </w:p>
    <w:p w14:paraId="07D33BA2"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Понижаващият кръвното налягане ефект на ирбесартан таблетки се проявява в рамките на 1-2 седмици, като максимален ефект настъпва 4-6 седмици след началото на лечението. Антихипертензивните ефекти се запазват при продължително лечение. След преустановяване на лечението, кръвното налягане постепенно се връща към предишните си стойности. Не е наблюдавана т.н. „ребаунд" хипертония.</w:t>
      </w:r>
    </w:p>
    <w:p w14:paraId="472B5ABD" w14:textId="77777777" w:rsidR="00773635" w:rsidRPr="00773635" w:rsidRDefault="00773635" w:rsidP="00773635">
      <w:pPr>
        <w:spacing w:line="240" w:lineRule="auto"/>
        <w:rPr>
          <w:rFonts w:eastAsia="Times New Roman" w:cs="Arial"/>
          <w:color w:val="000000"/>
          <w:szCs w:val="20"/>
          <w:lang w:eastAsia="bg-BG"/>
        </w:rPr>
      </w:pPr>
    </w:p>
    <w:p w14:paraId="4DA37CBC" w14:textId="4E98636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Понижаващите кръвното налягане ефекти на ирбесартан и тиазидните диуретици са адигивни. При пациенти, при които не е постигнат контрол при самостоятелното приложение на ирбесартан, добавянето на ниска доза хидрохлоротиазид (12,5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към еднократния прием на ирбесартан, води до допълнително понижение на кръвното налягане от порядъка на 7-10/3-6 </w:t>
      </w:r>
      <w:r w:rsidRPr="00773635">
        <w:rPr>
          <w:rFonts w:eastAsia="Times New Roman" w:cs="Arial"/>
          <w:color w:val="000000"/>
          <w:szCs w:val="20"/>
          <w:lang w:val="en-US"/>
        </w:rPr>
        <w:t>mm</w:t>
      </w:r>
      <w:r w:rsidRPr="00773635">
        <w:rPr>
          <w:rFonts w:eastAsia="Times New Roman" w:cs="Arial"/>
          <w:color w:val="000000"/>
          <w:szCs w:val="20"/>
          <w:lang w:val="ru-RU"/>
        </w:rPr>
        <w:t xml:space="preserve"> </w:t>
      </w:r>
      <w:r w:rsidRPr="00773635">
        <w:rPr>
          <w:rFonts w:eastAsia="Times New Roman" w:cs="Arial"/>
          <w:color w:val="000000"/>
          <w:szCs w:val="20"/>
          <w:lang w:val="en-US"/>
        </w:rPr>
        <w:t>Hg</w:t>
      </w:r>
      <w:r w:rsidRPr="00773635">
        <w:rPr>
          <w:rFonts w:eastAsia="Times New Roman" w:cs="Arial"/>
          <w:color w:val="000000"/>
          <w:szCs w:val="20"/>
          <w:lang w:val="ru-RU"/>
        </w:rPr>
        <w:t xml:space="preserve"> </w:t>
      </w:r>
      <w:r w:rsidRPr="00773635">
        <w:rPr>
          <w:rFonts w:eastAsia="Times New Roman" w:cs="Arial"/>
          <w:color w:val="000000"/>
          <w:szCs w:val="20"/>
          <w:lang w:eastAsia="bg-BG"/>
        </w:rPr>
        <w:t>(систолно/диастолно) спрямо плацебо.</w:t>
      </w:r>
    </w:p>
    <w:p w14:paraId="1BA3227F" w14:textId="77777777" w:rsidR="00773635" w:rsidRPr="00773635" w:rsidRDefault="00773635" w:rsidP="00773635">
      <w:pPr>
        <w:spacing w:line="240" w:lineRule="auto"/>
        <w:rPr>
          <w:rFonts w:eastAsia="Times New Roman" w:cs="Arial"/>
          <w:color w:val="000000"/>
          <w:szCs w:val="20"/>
          <w:lang w:eastAsia="bg-BG"/>
        </w:rPr>
      </w:pPr>
    </w:p>
    <w:p w14:paraId="13F50BB2" w14:textId="6544CE1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Ефикасността на ирбесартан таблетки не се повлиява от възрастта или пола. Подобно на другите лекарствени продукти, повлияващи системата ренин-ангиотензин, хипертоничните пациенти от черната раса се повлияват значително по-слабо при монотерапия с ирбесартан. При приложението на ирбесартан заедно с ниска доза </w:t>
      </w:r>
      <w:r w:rsidRPr="00773635">
        <w:rPr>
          <w:rFonts w:eastAsia="Times New Roman" w:cs="Arial"/>
          <w:color w:val="000000"/>
          <w:szCs w:val="20"/>
          <w:lang w:eastAsia="bg-BG"/>
        </w:rPr>
        <w:lastRenderedPageBreak/>
        <w:t xml:space="preserve">хидрохлоротиазид (напр. 12,5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дневно), антихипертензивният отговор при пациентите от черната раса е подобен на този постигнат при пациентите от бялата раса.</w:t>
      </w:r>
    </w:p>
    <w:p w14:paraId="2F90F7B2" w14:textId="77777777" w:rsidR="00773635" w:rsidRPr="00773635" w:rsidRDefault="00773635" w:rsidP="00773635">
      <w:pPr>
        <w:spacing w:line="240" w:lineRule="auto"/>
        <w:rPr>
          <w:rFonts w:eastAsia="Times New Roman" w:cs="Arial"/>
          <w:color w:val="000000"/>
          <w:szCs w:val="20"/>
          <w:lang w:eastAsia="bg-BG"/>
        </w:rPr>
      </w:pPr>
    </w:p>
    <w:p w14:paraId="3ACE6582" w14:textId="5C6F295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Не са наблюдавани клинично значими ефекти върху серумната концентрация на пикочната киселина или отделянето на пикочната киселина с урината.</w:t>
      </w:r>
    </w:p>
    <w:p w14:paraId="7D08B4FE" w14:textId="77777777" w:rsidR="00773635" w:rsidRPr="00773635" w:rsidRDefault="00773635" w:rsidP="00773635">
      <w:pPr>
        <w:spacing w:line="240" w:lineRule="auto"/>
        <w:rPr>
          <w:rFonts w:eastAsia="Times New Roman" w:cs="Arial"/>
          <w:color w:val="000000"/>
          <w:szCs w:val="20"/>
          <w:u w:val="single"/>
          <w:lang w:eastAsia="bg-BG"/>
        </w:rPr>
      </w:pPr>
    </w:p>
    <w:p w14:paraId="1B190EC3" w14:textId="677B376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Педиатрична популация</w:t>
      </w:r>
    </w:p>
    <w:p w14:paraId="2B57FCD9"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Понижението на кръвното налягане при целево титрирани дози на ирбесартан с 0,5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(ниска), 1,5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(средна) и 4,5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(висока) е проучено при 318 деца и юноши на възраст от 6 до 16 години с хипертония или с риск от хипертония (диабет, фамилна анамнеза за хипертония) за период от 3 седмици. </w:t>
      </w:r>
      <w:r w:rsidRPr="00773635">
        <w:rPr>
          <w:rFonts w:eastAsia="Times New Roman" w:cs="Arial"/>
          <w:b/>
          <w:bCs/>
          <w:color w:val="000000"/>
          <w:szCs w:val="20"/>
          <w:lang w:eastAsia="bg-BG"/>
        </w:rPr>
        <w:t xml:space="preserve">В </w:t>
      </w:r>
      <w:r w:rsidRPr="00773635">
        <w:rPr>
          <w:rFonts w:eastAsia="Times New Roman" w:cs="Arial"/>
          <w:color w:val="000000"/>
          <w:szCs w:val="20"/>
          <w:lang w:eastAsia="bg-BG"/>
        </w:rPr>
        <w:t xml:space="preserve">края на 3-седмичния период средното понижението спрямо изходното при първичната крайна точка на ефикасността, най-ниската стойност на систолното кръвно налягане в седнало положение </w:t>
      </w:r>
      <w:r w:rsidRPr="00773635">
        <w:rPr>
          <w:rFonts w:eastAsia="Times New Roman" w:cs="Arial"/>
          <w:color w:val="000000"/>
          <w:szCs w:val="20"/>
          <w:lang w:val="ru-RU"/>
        </w:rPr>
        <w:t>(</w:t>
      </w:r>
      <w:proofErr w:type="spellStart"/>
      <w:r w:rsidRPr="00773635">
        <w:rPr>
          <w:rFonts w:eastAsia="Times New Roman" w:cs="Arial"/>
          <w:color w:val="000000"/>
          <w:szCs w:val="20"/>
          <w:lang w:val="en-US"/>
        </w:rPr>
        <w:t>SeSBP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било 11,7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(ниска доза), 9,3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(средна доза), 13,2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(висока доза). Не е установена значима разлика между тези дози. Средната промяна спрямо най-ниските стойности на</w:t>
      </w:r>
      <w:r w:rsidRPr="00773635">
        <w:rPr>
          <w:rFonts w:eastAsia="Times New Roman" w:cs="Arial"/>
          <w:color w:val="000000"/>
          <w:szCs w:val="20"/>
          <w:lang w:val="ru-RU"/>
        </w:rPr>
        <w:t xml:space="preserve"> </w:t>
      </w:r>
      <w:r w:rsidRPr="00773635">
        <w:rPr>
          <w:rFonts w:eastAsia="Times New Roman" w:cs="Arial"/>
          <w:color w:val="000000"/>
          <w:szCs w:val="20"/>
          <w:lang w:eastAsia="bg-BG"/>
        </w:rPr>
        <w:t>диастолното кръвни</w:t>
      </w:r>
      <w:r w:rsidRPr="00773635">
        <w:rPr>
          <w:rFonts w:eastAsia="Times New Roman" w:cs="Arial"/>
          <w:b/>
          <w:bCs/>
          <w:color w:val="000000"/>
          <w:szCs w:val="20"/>
          <w:lang w:eastAsia="bg-BG"/>
        </w:rPr>
        <w:t xml:space="preserve"> </w:t>
      </w:r>
      <w:r w:rsidRPr="00773635">
        <w:rPr>
          <w:rFonts w:eastAsia="Times New Roman" w:cs="Arial"/>
          <w:color w:val="000000"/>
          <w:szCs w:val="20"/>
          <w:lang w:eastAsia="bg-BG"/>
        </w:rPr>
        <w:t xml:space="preserve">налягане в седнало положение </w:t>
      </w:r>
      <w:r w:rsidRPr="00773635">
        <w:rPr>
          <w:rFonts w:eastAsia="Times New Roman" w:cs="Arial"/>
          <w:color w:val="000000"/>
          <w:szCs w:val="20"/>
          <w:lang w:val="ru-RU"/>
        </w:rPr>
        <w:t>(</w:t>
      </w:r>
      <w:proofErr w:type="spellStart"/>
      <w:r w:rsidRPr="00773635">
        <w:rPr>
          <w:rFonts w:eastAsia="Times New Roman" w:cs="Arial"/>
          <w:color w:val="000000"/>
          <w:szCs w:val="20"/>
          <w:lang w:val="en-US"/>
        </w:rPr>
        <w:t>SeDBP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както следва: 3,8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(ниска доза), 3,3</w:t>
      </w:r>
      <w:r w:rsidRPr="00773635">
        <w:rPr>
          <w:rFonts w:eastAsia="Times New Roman" w:cs="Arial"/>
          <w:color w:val="000000"/>
          <w:szCs w:val="20"/>
          <w:lang w:val="ru-RU"/>
        </w:rPr>
        <w:t xml:space="preserve">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средна доза),</w:t>
      </w:r>
    </w:p>
    <w:p w14:paraId="76267B71"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 xml:space="preserve">5,6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(висока доза). През следващите две седмици, през които пациентите са рандомизирани отново да приемат или активен лекарствен продукт или плацебо, при пациентите от групата иа плацебо е наблюдавано повишение от порядъка на 2,4 и 2,0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за </w:t>
      </w:r>
      <w:proofErr w:type="spellStart"/>
      <w:r w:rsidRPr="00773635">
        <w:rPr>
          <w:rFonts w:eastAsia="Times New Roman" w:cs="Arial"/>
          <w:color w:val="000000"/>
          <w:szCs w:val="20"/>
          <w:lang w:val="en-US"/>
        </w:rPr>
        <w:t>SeSBP</w:t>
      </w:r>
      <w:proofErr w:type="spellEnd"/>
      <w:r w:rsidRPr="00773635">
        <w:rPr>
          <w:rFonts w:eastAsia="Times New Roman" w:cs="Arial"/>
          <w:color w:val="000000"/>
          <w:szCs w:val="20"/>
          <w:lang w:val="ru-RU"/>
        </w:rPr>
        <w:t xml:space="preserve"> </w:t>
      </w:r>
      <w:r w:rsidRPr="00773635">
        <w:rPr>
          <w:rFonts w:eastAsia="Times New Roman" w:cs="Arial"/>
          <w:i/>
          <w:iCs/>
          <w:color w:val="000000"/>
          <w:szCs w:val="20"/>
          <w:lang w:eastAsia="bg-BG"/>
        </w:rPr>
        <w:t>и</w:t>
      </w:r>
      <w:r w:rsidRPr="00773635">
        <w:rPr>
          <w:rFonts w:eastAsia="Times New Roman" w:cs="Arial"/>
          <w:color w:val="000000"/>
          <w:szCs w:val="20"/>
          <w:lang w:eastAsia="bg-BG"/>
        </w:rPr>
        <w:t xml:space="preserve"> </w:t>
      </w:r>
      <w:proofErr w:type="spellStart"/>
      <w:r w:rsidRPr="00773635">
        <w:rPr>
          <w:rFonts w:eastAsia="Times New Roman" w:cs="Arial"/>
          <w:color w:val="000000"/>
          <w:szCs w:val="20"/>
          <w:lang w:val="en-US"/>
        </w:rPr>
        <w:t>SeDBP</w:t>
      </w:r>
      <w:proofErr w:type="spellEnd"/>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 сравнение с промяна от +0,1 и - 0,3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съответно при всички дози ирбесартан (вижте точка 4.2)</w:t>
      </w:r>
    </w:p>
    <w:p w14:paraId="58EFEE6B" w14:textId="77777777" w:rsidR="00773635" w:rsidRPr="00773635" w:rsidRDefault="00773635" w:rsidP="00773635">
      <w:pPr>
        <w:spacing w:line="240" w:lineRule="auto"/>
        <w:rPr>
          <w:rFonts w:eastAsia="Times New Roman" w:cs="Arial"/>
          <w:color w:val="000000"/>
          <w:szCs w:val="20"/>
          <w:u w:val="single"/>
          <w:lang w:eastAsia="bg-BG"/>
        </w:rPr>
      </w:pPr>
    </w:p>
    <w:p w14:paraId="3D5A8CCC" w14:textId="6FD4FCB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u w:val="single"/>
          <w:lang w:eastAsia="bg-BG"/>
        </w:rPr>
        <w:t>Хипертония и диабетна нефропатия про диабет тип 2</w:t>
      </w:r>
    </w:p>
    <w:p w14:paraId="55D8339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Проучването </w:t>
      </w:r>
      <w:r w:rsidRPr="00773635">
        <w:rPr>
          <w:rFonts w:eastAsia="Times New Roman" w:cs="Arial"/>
          <w:color w:val="000000"/>
          <w:szCs w:val="20"/>
        </w:rPr>
        <w:t>"</w:t>
      </w:r>
      <w:proofErr w:type="spellStart"/>
      <w:r w:rsidRPr="00773635">
        <w:rPr>
          <w:rFonts w:eastAsia="Times New Roman" w:cs="Arial"/>
          <w:color w:val="000000"/>
          <w:szCs w:val="20"/>
          <w:lang w:val="en-US"/>
        </w:rPr>
        <w:t>Irbesartan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Diabetic</w:t>
      </w:r>
      <w:r w:rsidRPr="00773635">
        <w:rPr>
          <w:rFonts w:eastAsia="Times New Roman" w:cs="Arial"/>
          <w:color w:val="000000"/>
          <w:szCs w:val="20"/>
        </w:rPr>
        <w:t xml:space="preserve"> </w:t>
      </w:r>
      <w:r w:rsidRPr="00773635">
        <w:rPr>
          <w:rFonts w:eastAsia="Times New Roman" w:cs="Arial"/>
          <w:color w:val="000000"/>
          <w:szCs w:val="20"/>
          <w:lang w:val="en-US"/>
        </w:rPr>
        <w:t>Nephropathy</w:t>
      </w:r>
      <w:r w:rsidRPr="00773635">
        <w:rPr>
          <w:rFonts w:eastAsia="Times New Roman" w:cs="Arial"/>
          <w:color w:val="000000"/>
          <w:szCs w:val="20"/>
        </w:rPr>
        <w:t xml:space="preserve"> </w:t>
      </w:r>
      <w:r w:rsidRPr="00773635">
        <w:rPr>
          <w:rFonts w:eastAsia="Times New Roman" w:cs="Arial"/>
          <w:color w:val="000000"/>
          <w:szCs w:val="20"/>
          <w:lang w:val="en-US"/>
        </w:rPr>
        <w:t>Trial</w:t>
      </w:r>
      <w:r w:rsidRPr="00773635">
        <w:rPr>
          <w:rFonts w:eastAsia="Times New Roman" w:cs="Arial"/>
          <w:color w:val="000000"/>
          <w:szCs w:val="20"/>
        </w:rPr>
        <w:t xml:space="preserve"> (</w:t>
      </w:r>
      <w:r w:rsidRPr="00773635">
        <w:rPr>
          <w:rFonts w:eastAsia="Times New Roman" w:cs="Arial"/>
          <w:color w:val="000000"/>
          <w:szCs w:val="20"/>
          <w:lang w:val="en-US"/>
        </w:rPr>
        <w:t>IDNT</w:t>
      </w:r>
      <w:r w:rsidRPr="00773635">
        <w:rPr>
          <w:rFonts w:eastAsia="Times New Roman" w:cs="Arial"/>
          <w:color w:val="000000"/>
          <w:szCs w:val="20"/>
        </w:rPr>
        <w:t xml:space="preserve">)" </w:t>
      </w:r>
      <w:r w:rsidRPr="00773635">
        <w:rPr>
          <w:rFonts w:eastAsia="Times New Roman" w:cs="Arial"/>
          <w:color w:val="000000"/>
          <w:szCs w:val="20"/>
          <w:lang w:eastAsia="bg-BG"/>
        </w:rPr>
        <w:t xml:space="preserve">показва, че ирбесартан намалява прогресирането на нефропатията при пациентите с хронична бъбречна недостатъчност и значима протеинурия. </w:t>
      </w:r>
      <w:r w:rsidRPr="00773635">
        <w:rPr>
          <w:rFonts w:eastAsia="Times New Roman" w:cs="Arial"/>
          <w:color w:val="000000"/>
          <w:szCs w:val="20"/>
          <w:lang w:val="en-US"/>
        </w:rPr>
        <w:t>IDNT</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двойно-сляпо, контролирано изпитване, сравняващо заболеваемостта и смъртността, сравняващо ирбесартан таблетки, амлодипин и плацебо. При 1715 пациенти с хипертония и диабет тип 2, протеинурия ≥ 900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/ден и серумен креатинин 1,0-3,0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оценен дългосрочният ефект (средно 2.6 години) на ирбесартан таблетки върху прогресирането на бъбречното заболяване и смъртност поради всякаква причина. Пациентите са титрирани от 75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като начална доза до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като поддържаща доза ирбесартан таблетки, от 2.5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 10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амлодипин или плацебо, в зависимост от поносимосгга. Пациентите от всички терапевтични групи са получавали от 2 до 4 антихипертензивни средства (напр. диуретици, бета блокери, алфа блокери) за постигане на желаното кръвно налягане от &lt;135/85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или 10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понижение на сисголното налягане спрямо изходните стойности &gt;160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При 60% от пациентите от групата на плацебо, тези стойности на кръвното налягане са постигнати, като резултатите са съответно 76% и 78% при групата на ирбесартан и амлодипин. Ирбесартан значително редуцира относителния риск при първичната съставна крайна точка от удвояване на серумния креатинин, терминална бъбречна недостатъчност или обща смъртност. Приблизително 33% от пациентите от групата на ирбесартан достигат критериите на първичната съставна крайна точка по отношение на бъбречното заболяване в сравнение с 39% и 41% при плацебо групата и групата на амлодипин [20% редукция на относителния риск спрямо плацебо (р=0,024) и 23% понижение на относителния риск, спрямо амлодипин (р = 0,006)]. При анализ на отделните компоненти на първичната крайна точка, не е наблюдаван ефект върху смъртността поради всякаква причина, за разлика от наблюдаваното намаляване на случаите с терминална бъбречна недостатъчност и значимо намаляване на случаите с удвояване на серумния креатинин.</w:t>
      </w:r>
    </w:p>
    <w:p w14:paraId="46C015FF" w14:textId="77777777" w:rsidR="00773635" w:rsidRPr="00773635" w:rsidRDefault="00773635" w:rsidP="00773635">
      <w:pPr>
        <w:spacing w:line="240" w:lineRule="auto"/>
        <w:rPr>
          <w:rFonts w:eastAsia="Times New Roman" w:cs="Arial"/>
          <w:color w:val="000000"/>
          <w:szCs w:val="20"/>
          <w:lang w:eastAsia="bg-BG"/>
        </w:rPr>
      </w:pPr>
    </w:p>
    <w:p w14:paraId="623F2A20" w14:textId="079A551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Направена е и оценка на ефекта от лечението в отделните подгрупи, групирани според пола, расата, възрастта, давността на диабета, изходните стойности на кръвното налягане, серумния креатинин и екскреция на албумин. При подгрупите на жените и пациентите от черната раса, които са представлявали съответно 32% и 26% от общата популация, не е наблюдаван благоприятен ефект върху бъбреците въпреки, че доверителните интервали не го изключват. По отношение на вторичната крайна точка, включваща фатални и нефатални сърдечно-съдови събития, не е наблюдавана разлика между трите групи в общата популация, въпреки че е наблюдавано повишаване на честотата на нефатален инфаркт на миокарда при жените и намаляване честотата на нефатален инфаркт на миокарда при мъжете в групата на ирбесартан, спрямо групата на плацебо. Повишаване на честотата на нефатален инфаркт на миокарда и инсулт е наблюдавано при жените от групата на ирбесартан, спрямо тези от групата на амлодипин, докато случаите на хоспитализация в резултат на сърдечна недостатъчност са намалели за цялата популация. Въпреки това не е намерено точно обяснение на тези резултати при жените.</w:t>
      </w:r>
    </w:p>
    <w:p w14:paraId="19321D6D" w14:textId="77777777" w:rsidR="00773635" w:rsidRPr="00773635" w:rsidRDefault="00773635" w:rsidP="00773635">
      <w:pPr>
        <w:spacing w:line="240" w:lineRule="auto"/>
        <w:rPr>
          <w:rFonts w:eastAsia="Times New Roman" w:cs="Arial"/>
          <w:color w:val="000000"/>
          <w:szCs w:val="20"/>
          <w:lang w:eastAsia="bg-BG"/>
        </w:rPr>
      </w:pPr>
    </w:p>
    <w:p w14:paraId="2C3FEF68" w14:textId="5218B705"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Проучването </w:t>
      </w:r>
      <w:r w:rsidRPr="00773635">
        <w:rPr>
          <w:rFonts w:eastAsia="Times New Roman" w:cs="Arial"/>
          <w:color w:val="000000"/>
          <w:szCs w:val="20"/>
        </w:rPr>
        <w:t>''</w:t>
      </w:r>
      <w:r w:rsidRPr="00773635">
        <w:rPr>
          <w:rFonts w:eastAsia="Times New Roman" w:cs="Arial"/>
          <w:color w:val="000000"/>
          <w:szCs w:val="20"/>
          <w:lang w:val="en-US"/>
        </w:rPr>
        <w:t>Effects</w:t>
      </w:r>
      <w:r w:rsidRPr="00773635">
        <w:rPr>
          <w:rFonts w:eastAsia="Times New Roman" w:cs="Arial"/>
          <w:color w:val="000000"/>
          <w:szCs w:val="20"/>
        </w:rPr>
        <w:t xml:space="preserve"> </w:t>
      </w:r>
      <w:r w:rsidRPr="00773635">
        <w:rPr>
          <w:rFonts w:eastAsia="Times New Roman" w:cs="Arial"/>
          <w:color w:val="000000"/>
          <w:szCs w:val="20"/>
          <w:lang w:val="en-US"/>
        </w:rPr>
        <w:t>of</w:t>
      </w:r>
      <w:r w:rsidRPr="00773635">
        <w:rPr>
          <w:rFonts w:eastAsia="Times New Roman" w:cs="Arial"/>
          <w:color w:val="000000"/>
          <w:szCs w:val="20"/>
        </w:rPr>
        <w:t xml:space="preserve"> </w:t>
      </w:r>
      <w:proofErr w:type="spellStart"/>
      <w:r w:rsidRPr="00773635">
        <w:rPr>
          <w:rFonts w:eastAsia="Times New Roman" w:cs="Arial"/>
          <w:color w:val="000000"/>
          <w:szCs w:val="20"/>
          <w:lang w:val="en-US"/>
        </w:rPr>
        <w:t>Irbesartan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on</w:t>
      </w:r>
      <w:r w:rsidRPr="00773635">
        <w:rPr>
          <w:rFonts w:eastAsia="Times New Roman" w:cs="Arial"/>
          <w:color w:val="000000"/>
          <w:szCs w:val="20"/>
        </w:rPr>
        <w:t xml:space="preserve"> </w:t>
      </w:r>
      <w:r w:rsidRPr="00773635">
        <w:rPr>
          <w:rFonts w:eastAsia="Times New Roman" w:cs="Arial"/>
          <w:color w:val="000000"/>
          <w:szCs w:val="20"/>
          <w:lang w:val="en-US"/>
        </w:rPr>
        <w:t>Microalbuminuria</w:t>
      </w:r>
      <w:r w:rsidRPr="00773635">
        <w:rPr>
          <w:rFonts w:eastAsia="Times New Roman" w:cs="Arial"/>
          <w:color w:val="000000"/>
          <w:szCs w:val="20"/>
        </w:rPr>
        <w:t xml:space="preserve"> </w:t>
      </w:r>
      <w:r w:rsidRPr="00773635">
        <w:rPr>
          <w:rFonts w:eastAsia="Times New Roman" w:cs="Arial"/>
          <w:color w:val="000000"/>
          <w:szCs w:val="20"/>
          <w:lang w:val="en-US"/>
        </w:rPr>
        <w:t>in</w:t>
      </w:r>
      <w:r w:rsidRPr="00773635">
        <w:rPr>
          <w:rFonts w:eastAsia="Times New Roman" w:cs="Arial"/>
          <w:color w:val="000000"/>
          <w:szCs w:val="20"/>
        </w:rPr>
        <w:t xml:space="preserve"> </w:t>
      </w:r>
      <w:r w:rsidRPr="00773635">
        <w:rPr>
          <w:rFonts w:eastAsia="Times New Roman" w:cs="Arial"/>
          <w:color w:val="000000"/>
          <w:szCs w:val="20"/>
          <w:lang w:val="en-US"/>
        </w:rPr>
        <w:t>Hypertensive</w:t>
      </w:r>
      <w:r w:rsidRPr="00773635">
        <w:rPr>
          <w:rFonts w:eastAsia="Times New Roman" w:cs="Arial"/>
          <w:color w:val="000000"/>
          <w:szCs w:val="20"/>
        </w:rPr>
        <w:t xml:space="preserve"> </w:t>
      </w:r>
      <w:r w:rsidRPr="00773635">
        <w:rPr>
          <w:rFonts w:eastAsia="Times New Roman" w:cs="Arial"/>
          <w:color w:val="000000"/>
          <w:szCs w:val="20"/>
          <w:lang w:val="en-US"/>
        </w:rPr>
        <w:t>Patients</w:t>
      </w:r>
      <w:r w:rsidRPr="00773635">
        <w:rPr>
          <w:rFonts w:eastAsia="Times New Roman" w:cs="Arial"/>
          <w:color w:val="000000"/>
          <w:szCs w:val="20"/>
        </w:rPr>
        <w:t xml:space="preserve"> </w:t>
      </w:r>
      <w:r w:rsidRPr="00773635">
        <w:rPr>
          <w:rFonts w:eastAsia="Times New Roman" w:cs="Arial"/>
          <w:color w:val="000000"/>
          <w:szCs w:val="20"/>
          <w:lang w:val="en-US"/>
        </w:rPr>
        <w:t>with</w:t>
      </w:r>
      <w:r w:rsidRPr="00773635">
        <w:rPr>
          <w:rFonts w:eastAsia="Times New Roman" w:cs="Arial"/>
          <w:color w:val="000000"/>
          <w:szCs w:val="20"/>
        </w:rPr>
        <w:t xml:space="preserve"> </w:t>
      </w:r>
      <w:r w:rsidRPr="00773635">
        <w:rPr>
          <w:rFonts w:eastAsia="Times New Roman" w:cs="Arial"/>
          <w:color w:val="000000"/>
          <w:szCs w:val="20"/>
          <w:lang w:val="en-US"/>
        </w:rPr>
        <w:t>type</w:t>
      </w:r>
      <w:r w:rsidRPr="00773635">
        <w:rPr>
          <w:rFonts w:eastAsia="Times New Roman" w:cs="Arial"/>
          <w:color w:val="000000"/>
          <w:szCs w:val="20"/>
        </w:rPr>
        <w:t xml:space="preserve"> 2 </w:t>
      </w:r>
      <w:r w:rsidRPr="00773635">
        <w:rPr>
          <w:rFonts w:eastAsia="Times New Roman" w:cs="Arial"/>
          <w:color w:val="000000"/>
          <w:szCs w:val="20"/>
          <w:lang w:val="en-US"/>
        </w:rPr>
        <w:t>Diabetes</w:t>
      </w:r>
      <w:r w:rsidRPr="00773635">
        <w:rPr>
          <w:rFonts w:eastAsia="Times New Roman" w:cs="Arial"/>
          <w:color w:val="000000"/>
          <w:szCs w:val="20"/>
        </w:rPr>
        <w:t xml:space="preserve"> </w:t>
      </w:r>
      <w:r w:rsidRPr="00773635">
        <w:rPr>
          <w:rFonts w:eastAsia="Times New Roman" w:cs="Arial"/>
          <w:color w:val="000000"/>
          <w:szCs w:val="20"/>
          <w:lang w:val="en-US"/>
        </w:rPr>
        <w:t>Mellitus</w:t>
      </w:r>
      <w:r w:rsidRPr="00773635">
        <w:rPr>
          <w:rFonts w:eastAsia="Times New Roman" w:cs="Arial"/>
          <w:color w:val="000000"/>
          <w:szCs w:val="20"/>
        </w:rPr>
        <w:t xml:space="preserve"> (</w:t>
      </w:r>
      <w:r w:rsidRPr="00773635">
        <w:rPr>
          <w:rFonts w:eastAsia="Times New Roman" w:cs="Arial"/>
          <w:color w:val="000000"/>
          <w:szCs w:val="20"/>
          <w:lang w:val="en-US"/>
        </w:rPr>
        <w:t>IRMA</w:t>
      </w:r>
      <w:r w:rsidRPr="00773635">
        <w:rPr>
          <w:rFonts w:eastAsia="Times New Roman" w:cs="Arial"/>
          <w:color w:val="000000"/>
          <w:szCs w:val="20"/>
        </w:rPr>
        <w:t xml:space="preserve"> 2)" </w:t>
      </w:r>
      <w:r w:rsidRPr="00773635">
        <w:rPr>
          <w:rFonts w:eastAsia="Times New Roman" w:cs="Arial"/>
          <w:color w:val="000000"/>
          <w:szCs w:val="20"/>
          <w:lang w:eastAsia="bg-BG"/>
        </w:rPr>
        <w:t xml:space="preserve">показва, че ирбесартан </w:t>
      </w:r>
      <w:r w:rsidRPr="00773635">
        <w:rPr>
          <w:rFonts w:eastAsia="Times New Roman" w:cs="Arial"/>
          <w:color w:val="000000"/>
          <w:szCs w:val="20"/>
        </w:rPr>
        <w:t xml:space="preserve">300 </w:t>
      </w:r>
      <w:r w:rsidRPr="00773635">
        <w:rPr>
          <w:rFonts w:eastAsia="Times New Roman" w:cs="Arial"/>
          <w:color w:val="000000"/>
          <w:szCs w:val="20"/>
          <w:lang w:val="en-US"/>
        </w:rPr>
        <w:t>mg</w:t>
      </w:r>
      <w:r w:rsidRPr="00773635">
        <w:rPr>
          <w:rFonts w:eastAsia="Times New Roman" w:cs="Arial"/>
          <w:color w:val="000000"/>
          <w:szCs w:val="20"/>
        </w:rPr>
        <w:t xml:space="preserve"> </w:t>
      </w:r>
      <w:r w:rsidRPr="00773635">
        <w:rPr>
          <w:rFonts w:eastAsia="Times New Roman" w:cs="Arial"/>
          <w:color w:val="000000"/>
          <w:szCs w:val="20"/>
          <w:lang w:eastAsia="bg-BG"/>
        </w:rPr>
        <w:t xml:space="preserve">забавя прогресирането до значима протеинурия при пациенти с микроалбуминурия. </w:t>
      </w:r>
      <w:r w:rsidRPr="00773635">
        <w:rPr>
          <w:rFonts w:eastAsia="Times New Roman" w:cs="Arial"/>
          <w:color w:val="000000"/>
          <w:szCs w:val="20"/>
          <w:lang w:val="en-US"/>
        </w:rPr>
        <w:t>IRMA</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2 е контролирано с плацебо, двойносляпо проучване върху заболеваемостта при 590 пациента с диабет тип 2, микроалбуминурия (30-300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и нормална бъбречна функция (серумен креатинин) под 1,5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при мъжете и под 1,1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dl</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при жените). Проучването оценява дългосрочните ефекти на (2 години) на ирбесартан таблетки върху прогресията / клинично значима протеинурия (степен на отделяне на албумин в урината </w:t>
      </w:r>
      <w:r w:rsidRPr="00773635">
        <w:rPr>
          <w:rFonts w:eastAsia="Times New Roman" w:cs="Arial"/>
          <w:color w:val="000000"/>
          <w:szCs w:val="20"/>
          <w:lang w:val="ru-RU"/>
        </w:rPr>
        <w:t>(</w:t>
      </w:r>
      <w:r w:rsidRPr="00773635">
        <w:rPr>
          <w:rFonts w:eastAsia="Times New Roman" w:cs="Arial"/>
          <w:color w:val="000000"/>
          <w:szCs w:val="20"/>
          <w:lang w:val="en-US"/>
        </w:rPr>
        <w:t>UAER</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над 300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и повишение на </w:t>
      </w:r>
      <w:r w:rsidRPr="00773635">
        <w:rPr>
          <w:rFonts w:eastAsia="Times New Roman" w:cs="Arial"/>
          <w:color w:val="000000"/>
          <w:szCs w:val="20"/>
          <w:lang w:val="en-US"/>
        </w:rPr>
        <w:t>UAER</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с най-малко 30% спрямо изходните стойности). Предварително определената цел по отношение на кръвното налягане е била достигане на стойности под 135/85 </w:t>
      </w:r>
      <w:r w:rsidRPr="00773635">
        <w:rPr>
          <w:rFonts w:eastAsia="Times New Roman" w:cs="Arial"/>
          <w:color w:val="000000"/>
          <w:szCs w:val="20"/>
          <w:lang w:val="en-US"/>
        </w:rPr>
        <w:t>mmHg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Допълнителни антихипертензивни средства (с изключение на АСЕ инхибитори, антагонисти за рецепторите на ангиотензин-П и дихидропиридинови блокери на калциевите канали) са добавяни при необходимост, за подпомагане постигането на предварително определеното желано кръвно налягане. Докато при всички групи пациенти на лечение са постигнати сходни стойности на кръвното налягане, при по- малко пациенти от групата на ирбесартан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(5,2%), в сравнение с плацебо (14,9%) или групата на ирбесартан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(9,7%) е постигната първичната крайна точка по отношение на изявена протеинурия, показвайки 70% редукция на относителния риск спрямо плацебо (р = 0,0004), при по-високата доза. Съпътстващо подобрение на скоростта на гломерулна филтрация </w:t>
      </w:r>
      <w:r w:rsidRPr="00773635">
        <w:rPr>
          <w:rFonts w:eastAsia="Times New Roman" w:cs="Arial"/>
          <w:color w:val="000000"/>
          <w:szCs w:val="20"/>
          <w:lang w:val="ru-RU"/>
        </w:rPr>
        <w:t>(</w:t>
      </w:r>
      <w:r w:rsidRPr="00773635">
        <w:rPr>
          <w:rFonts w:eastAsia="Times New Roman" w:cs="Arial"/>
          <w:color w:val="000000"/>
          <w:szCs w:val="20"/>
          <w:lang w:val="en-US"/>
        </w:rPr>
        <w:t>GFR</w:t>
      </w:r>
      <w:r w:rsidRPr="00773635">
        <w:rPr>
          <w:rFonts w:eastAsia="Times New Roman" w:cs="Arial"/>
          <w:color w:val="000000"/>
          <w:szCs w:val="20"/>
          <w:lang w:val="ru-RU"/>
        </w:rPr>
        <w:t xml:space="preserve">) </w:t>
      </w:r>
      <w:r w:rsidRPr="00773635">
        <w:rPr>
          <w:rFonts w:eastAsia="Times New Roman" w:cs="Arial"/>
          <w:color w:val="000000"/>
          <w:szCs w:val="20"/>
          <w:lang w:eastAsia="bg-BG"/>
        </w:rPr>
        <w:t>не е наблюдавано през първите три месеца от лечението.</w:t>
      </w:r>
    </w:p>
    <w:p w14:paraId="153650FB" w14:textId="77777777" w:rsidR="00773635" w:rsidRPr="00773635" w:rsidRDefault="00773635" w:rsidP="00773635">
      <w:pPr>
        <w:rPr>
          <w:rFonts w:eastAsia="Times New Roman" w:cs="Arial"/>
          <w:sz w:val="28"/>
          <w:szCs w:val="24"/>
        </w:rPr>
      </w:pPr>
      <w:r w:rsidRPr="00773635">
        <w:rPr>
          <w:rFonts w:eastAsia="Times New Roman" w:cs="Arial"/>
          <w:color w:val="000000"/>
          <w:szCs w:val="20"/>
          <w:lang w:eastAsia="bg-BG"/>
        </w:rPr>
        <w:t xml:space="preserve">Забавяне на прогресията до клинично значима протеинурия е наблюдавано най-рано на третия месец и е продължило повече от 2 години. Регресия до нормоалбуминурия (под 30 </w:t>
      </w:r>
      <w:r w:rsidRPr="00773635">
        <w:rPr>
          <w:rFonts w:eastAsia="Times New Roman" w:cs="Arial"/>
          <w:color w:val="000000"/>
          <w:szCs w:val="20"/>
          <w:lang w:val="en-US"/>
        </w:rPr>
        <w:t>mg</w:t>
      </w:r>
      <w:r w:rsidRPr="00773635">
        <w:rPr>
          <w:rFonts w:eastAsia="Times New Roman" w:cs="Arial"/>
          <w:color w:val="000000"/>
          <w:szCs w:val="20"/>
          <w:lang w:eastAsia="bg-BG"/>
        </w:rPr>
        <w:t xml:space="preserve">/дневно) е наблюдавана по- често при групата на ирбесартан 300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таблетки (34%), в сравнение с групата на плацебо (21 %).</w:t>
      </w:r>
    </w:p>
    <w:p w14:paraId="6E761111" w14:textId="77777777" w:rsidR="00773635" w:rsidRPr="00773635" w:rsidRDefault="00773635" w:rsidP="00773635">
      <w:pPr>
        <w:spacing w:line="240" w:lineRule="auto"/>
        <w:rPr>
          <w:rFonts w:eastAsia="Times New Roman" w:cs="Arial"/>
          <w:color w:val="000000"/>
          <w:szCs w:val="20"/>
          <w:lang w:eastAsia="bg-BG"/>
        </w:rPr>
      </w:pPr>
    </w:p>
    <w:p w14:paraId="5FCD6F6B" w14:textId="340CE9E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Две големи рандомизирани контролирани проучвания - </w:t>
      </w:r>
      <w:r w:rsidRPr="00773635">
        <w:rPr>
          <w:rFonts w:eastAsia="Times New Roman" w:cs="Arial"/>
          <w:color w:val="000000"/>
          <w:szCs w:val="20"/>
          <w:lang w:val="en-US"/>
        </w:rPr>
        <w:t>ONTARGET</w:t>
      </w:r>
      <w:r w:rsidRPr="00773635">
        <w:rPr>
          <w:rFonts w:eastAsia="Times New Roman" w:cs="Arial"/>
          <w:color w:val="000000"/>
          <w:szCs w:val="20"/>
        </w:rPr>
        <w:t xml:space="preserve"> (</w:t>
      </w:r>
      <w:proofErr w:type="spellStart"/>
      <w:r w:rsidRPr="00773635">
        <w:rPr>
          <w:rFonts w:eastAsia="Times New Roman" w:cs="Arial"/>
          <w:color w:val="000000"/>
          <w:szCs w:val="20"/>
          <w:lang w:val="en-US"/>
        </w:rPr>
        <w:t>ONgoing</w:t>
      </w:r>
      <w:proofErr w:type="spellEnd"/>
      <w:r w:rsidRPr="00773635">
        <w:rPr>
          <w:rFonts w:eastAsia="Times New Roman" w:cs="Arial"/>
          <w:color w:val="000000"/>
          <w:szCs w:val="20"/>
        </w:rPr>
        <w:t xml:space="preserve"> </w:t>
      </w:r>
      <w:proofErr w:type="spellStart"/>
      <w:r w:rsidRPr="00773635">
        <w:rPr>
          <w:rFonts w:eastAsia="Times New Roman" w:cs="Arial"/>
          <w:color w:val="000000"/>
          <w:szCs w:val="20"/>
          <w:lang w:val="en-US"/>
        </w:rPr>
        <w:t>Telmisartan</w:t>
      </w:r>
      <w:proofErr w:type="spellEnd"/>
      <w:r w:rsidRPr="00773635">
        <w:rPr>
          <w:rFonts w:eastAsia="Times New Roman" w:cs="Arial"/>
          <w:color w:val="000000"/>
          <w:szCs w:val="20"/>
        </w:rPr>
        <w:t xml:space="preserve"> </w:t>
      </w:r>
      <w:r w:rsidRPr="00773635">
        <w:rPr>
          <w:rFonts w:eastAsia="Times New Roman" w:cs="Arial"/>
          <w:color w:val="000000"/>
          <w:szCs w:val="20"/>
          <w:lang w:val="en-US"/>
        </w:rPr>
        <w:t>Alone</w:t>
      </w:r>
      <w:r w:rsidRPr="00773635">
        <w:rPr>
          <w:rFonts w:eastAsia="Times New Roman" w:cs="Arial"/>
          <w:color w:val="000000"/>
          <w:szCs w:val="20"/>
        </w:rPr>
        <w:t xml:space="preserve"> </w:t>
      </w:r>
      <w:r w:rsidRPr="00773635">
        <w:rPr>
          <w:rFonts w:eastAsia="Times New Roman" w:cs="Arial"/>
          <w:color w:val="000000"/>
          <w:szCs w:val="20"/>
          <w:lang w:val="en-US"/>
        </w:rPr>
        <w:t>and</w:t>
      </w:r>
      <w:r w:rsidRPr="00773635">
        <w:rPr>
          <w:rFonts w:eastAsia="Times New Roman" w:cs="Arial"/>
          <w:color w:val="000000"/>
          <w:szCs w:val="20"/>
        </w:rPr>
        <w:t xml:space="preserve"> </w:t>
      </w:r>
      <w:r w:rsidRPr="00773635">
        <w:rPr>
          <w:rFonts w:eastAsia="Times New Roman" w:cs="Arial"/>
          <w:color w:val="000000"/>
          <w:szCs w:val="20"/>
          <w:lang w:val="en-US"/>
        </w:rPr>
        <w:t>in</w:t>
      </w:r>
      <w:r w:rsidRPr="00773635">
        <w:rPr>
          <w:rFonts w:eastAsia="Times New Roman" w:cs="Arial"/>
          <w:color w:val="000000"/>
          <w:szCs w:val="20"/>
        </w:rPr>
        <w:t xml:space="preserve"> </w:t>
      </w:r>
      <w:r w:rsidRPr="00773635">
        <w:rPr>
          <w:rFonts w:eastAsia="Times New Roman" w:cs="Arial"/>
          <w:color w:val="000000"/>
          <w:szCs w:val="20"/>
          <w:lang w:val="en-US"/>
        </w:rPr>
        <w:t>combination</w:t>
      </w:r>
      <w:r w:rsidRPr="00773635">
        <w:rPr>
          <w:rFonts w:eastAsia="Times New Roman" w:cs="Arial"/>
          <w:color w:val="000000"/>
          <w:szCs w:val="20"/>
        </w:rPr>
        <w:t xml:space="preserve"> </w:t>
      </w:r>
      <w:r w:rsidRPr="00773635">
        <w:rPr>
          <w:rFonts w:eastAsia="Times New Roman" w:cs="Arial"/>
          <w:color w:val="000000"/>
          <w:szCs w:val="20"/>
          <w:lang w:val="en-US"/>
        </w:rPr>
        <w:t>with</w:t>
      </w:r>
      <w:r w:rsidRPr="00773635">
        <w:rPr>
          <w:rFonts w:eastAsia="Times New Roman" w:cs="Arial"/>
          <w:color w:val="000000"/>
          <w:szCs w:val="20"/>
        </w:rPr>
        <w:t xml:space="preserve"> </w:t>
      </w:r>
      <w:r w:rsidRPr="00773635">
        <w:rPr>
          <w:rFonts w:eastAsia="Times New Roman" w:cs="Arial"/>
          <w:color w:val="000000"/>
          <w:szCs w:val="20"/>
          <w:lang w:val="en-US"/>
        </w:rPr>
        <w:t>Ramipril</w:t>
      </w:r>
      <w:r w:rsidRPr="00773635">
        <w:rPr>
          <w:rFonts w:eastAsia="Times New Roman" w:cs="Arial"/>
          <w:color w:val="000000"/>
          <w:szCs w:val="20"/>
        </w:rPr>
        <w:t xml:space="preserve"> </w:t>
      </w:r>
      <w:r w:rsidRPr="00773635">
        <w:rPr>
          <w:rFonts w:eastAsia="Times New Roman" w:cs="Arial"/>
          <w:color w:val="000000"/>
          <w:szCs w:val="20"/>
          <w:lang w:val="en-US"/>
        </w:rPr>
        <w:t>Global</w:t>
      </w:r>
      <w:r w:rsidRPr="00773635">
        <w:rPr>
          <w:rFonts w:eastAsia="Times New Roman" w:cs="Arial"/>
          <w:color w:val="000000"/>
          <w:szCs w:val="20"/>
        </w:rPr>
        <w:t xml:space="preserve"> </w:t>
      </w:r>
      <w:r w:rsidRPr="00773635">
        <w:rPr>
          <w:rFonts w:eastAsia="Times New Roman" w:cs="Arial"/>
          <w:color w:val="000000"/>
          <w:szCs w:val="20"/>
          <w:lang w:val="en-US"/>
        </w:rPr>
        <w:t>Endpoint</w:t>
      </w:r>
      <w:r w:rsidRPr="00773635">
        <w:rPr>
          <w:rFonts w:eastAsia="Times New Roman" w:cs="Arial"/>
          <w:color w:val="000000"/>
          <w:szCs w:val="20"/>
        </w:rPr>
        <w:t xml:space="preserve"> </w:t>
      </w:r>
      <w:r w:rsidRPr="00773635">
        <w:rPr>
          <w:rFonts w:eastAsia="Times New Roman" w:cs="Arial"/>
          <w:color w:val="000000"/>
          <w:szCs w:val="20"/>
          <w:lang w:val="en-US"/>
        </w:rPr>
        <w:t>Trial</w:t>
      </w:r>
      <w:r w:rsidRPr="00773635">
        <w:rPr>
          <w:rFonts w:eastAsia="Times New Roman" w:cs="Arial"/>
          <w:color w:val="000000"/>
          <w:szCs w:val="20"/>
        </w:rPr>
        <w:t xml:space="preserve"> - </w:t>
      </w:r>
      <w:r w:rsidRPr="00773635">
        <w:rPr>
          <w:rFonts w:eastAsia="Times New Roman" w:cs="Arial"/>
          <w:color w:val="000000"/>
          <w:szCs w:val="20"/>
          <w:lang w:eastAsia="bg-BG"/>
        </w:rPr>
        <w:t xml:space="preserve">текущо глобално изпитване за крайни точки на телмисартан, самостоятелно и в комбинация с рамиприл) и </w:t>
      </w:r>
      <w:r w:rsidRPr="00773635">
        <w:rPr>
          <w:rFonts w:eastAsia="Times New Roman" w:cs="Arial"/>
          <w:color w:val="000000"/>
          <w:szCs w:val="20"/>
          <w:lang w:val="en-US"/>
        </w:rPr>
        <w:t>VA</w:t>
      </w:r>
      <w:r w:rsidRPr="00773635">
        <w:rPr>
          <w:rFonts w:eastAsia="Times New Roman" w:cs="Arial"/>
          <w:color w:val="000000"/>
          <w:szCs w:val="20"/>
        </w:rPr>
        <w:t xml:space="preserve"> </w:t>
      </w:r>
      <w:r w:rsidRPr="00773635">
        <w:rPr>
          <w:rFonts w:eastAsia="Times New Roman" w:cs="Arial"/>
          <w:color w:val="000000"/>
          <w:szCs w:val="20"/>
          <w:lang w:val="en-US"/>
        </w:rPr>
        <w:t>NEPHRON</w:t>
      </w:r>
      <w:r w:rsidRPr="00773635">
        <w:rPr>
          <w:rFonts w:eastAsia="Times New Roman" w:cs="Arial"/>
          <w:color w:val="000000"/>
          <w:szCs w:val="20"/>
        </w:rPr>
        <w:t>-</w:t>
      </w:r>
      <w:r w:rsidRPr="00773635">
        <w:rPr>
          <w:rFonts w:eastAsia="Times New Roman" w:cs="Arial"/>
          <w:color w:val="000000"/>
          <w:szCs w:val="20"/>
          <w:lang w:val="en-US"/>
        </w:rPr>
        <w:t>D</w:t>
      </w:r>
      <w:r w:rsidRPr="00773635">
        <w:rPr>
          <w:rFonts w:eastAsia="Times New Roman" w:cs="Arial"/>
          <w:color w:val="000000"/>
          <w:szCs w:val="20"/>
        </w:rPr>
        <w:t xml:space="preserve"> </w:t>
      </w:r>
      <w:r w:rsidRPr="00773635">
        <w:rPr>
          <w:rFonts w:eastAsia="Times New Roman" w:cs="Arial"/>
          <w:color w:val="000000"/>
          <w:szCs w:val="2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-рецепторен блокер.</w:t>
      </w:r>
    </w:p>
    <w:p w14:paraId="67384B96"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val="en-US"/>
        </w:rPr>
        <w:lastRenderedPageBreak/>
        <w:t>ONTARGET</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ефекгорни органи. </w:t>
      </w:r>
      <w:r w:rsidRPr="00773635">
        <w:rPr>
          <w:rFonts w:eastAsia="Times New Roman" w:cs="Arial"/>
          <w:color w:val="000000"/>
          <w:szCs w:val="20"/>
          <w:lang w:val="en-US"/>
        </w:rPr>
        <w:t>VA</w:t>
      </w:r>
      <w:r w:rsidRPr="00773635">
        <w:rPr>
          <w:rFonts w:eastAsia="Times New Roman" w:cs="Arial"/>
          <w:color w:val="000000"/>
          <w:szCs w:val="20"/>
          <w:lang w:val="ru-RU"/>
        </w:rPr>
        <w:t xml:space="preserve"> </w:t>
      </w:r>
      <w:r w:rsidRPr="00773635">
        <w:rPr>
          <w:rFonts w:eastAsia="Times New Roman" w:cs="Arial"/>
          <w:color w:val="000000"/>
          <w:szCs w:val="20"/>
          <w:lang w:val="en-US"/>
        </w:rPr>
        <w:t>NEPHRON</w:t>
      </w:r>
      <w:r w:rsidRPr="00773635">
        <w:rPr>
          <w:rFonts w:eastAsia="Times New Roman" w:cs="Arial"/>
          <w:color w:val="000000"/>
          <w:szCs w:val="20"/>
          <w:lang w:val="ru-RU"/>
        </w:rPr>
        <w:t xml:space="preserve">- </w:t>
      </w:r>
      <w:r w:rsidRPr="00773635">
        <w:rPr>
          <w:rFonts w:eastAsia="Times New Roman" w:cs="Arial"/>
          <w:color w:val="000000"/>
          <w:szCs w:val="20"/>
          <w:lang w:val="en-US"/>
        </w:rPr>
        <w:t>D</w:t>
      </w:r>
      <w:r w:rsidRPr="00773635">
        <w:rPr>
          <w:rFonts w:eastAsia="Times New Roman" w:cs="Arial"/>
          <w:color w:val="000000"/>
          <w:szCs w:val="20"/>
          <w:lang w:val="ru-RU"/>
        </w:rPr>
        <w:t xml:space="preserve"> </w:t>
      </w:r>
      <w:r w:rsidRPr="00773635">
        <w:rPr>
          <w:rFonts w:eastAsia="Times New Roman" w:cs="Arial"/>
          <w:color w:val="000000"/>
          <w:szCs w:val="20"/>
          <w:lang w:eastAsia="bg-BG"/>
        </w:rPr>
        <w:t>е проучване при пациенти със захарен диабет тип 2 и диабетна нефропатия.</w:t>
      </w:r>
    </w:p>
    <w:p w14:paraId="75B8B306"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задруги АСЕ инхибитори и ангиотензин- </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w:t>
      </w:r>
    </w:p>
    <w:p w14:paraId="4FA1D466" w14:textId="77777777" w:rsidR="00773635" w:rsidRPr="00773635" w:rsidRDefault="00773635" w:rsidP="00773635">
      <w:pPr>
        <w:spacing w:line="240" w:lineRule="auto"/>
        <w:rPr>
          <w:rFonts w:eastAsia="Times New Roman" w:cs="Arial"/>
          <w:color w:val="000000"/>
          <w:szCs w:val="20"/>
          <w:lang w:eastAsia="bg-BG"/>
        </w:rPr>
      </w:pPr>
    </w:p>
    <w:p w14:paraId="49B8DED8" w14:textId="4279A453"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АСЕ инхибитори 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-рецепторни блокери следователно не трябва да се използват едновременно при пациенти с диабетна нефропатия.</w:t>
      </w:r>
    </w:p>
    <w:p w14:paraId="501D6D4C" w14:textId="77777777" w:rsidR="00773635" w:rsidRPr="00773635" w:rsidRDefault="00773635" w:rsidP="00773635">
      <w:pPr>
        <w:spacing w:line="240" w:lineRule="auto"/>
        <w:rPr>
          <w:rFonts w:eastAsia="Times New Roman" w:cs="Arial"/>
          <w:color w:val="000000"/>
          <w:szCs w:val="20"/>
          <w:lang w:val="en-US"/>
        </w:rPr>
      </w:pPr>
    </w:p>
    <w:p w14:paraId="5449F370" w14:textId="0E5E3B8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val="en-US"/>
        </w:rPr>
        <w:t>ALTITUDE</w:t>
      </w:r>
      <w:r w:rsidRPr="00773635">
        <w:rPr>
          <w:rFonts w:eastAsia="Times New Roman" w:cs="Arial"/>
          <w:color w:val="000000"/>
          <w:szCs w:val="20"/>
          <w:lang w:val="ru-RU"/>
        </w:rPr>
        <w:t xml:space="preserve"> </w:t>
      </w:r>
      <w:r w:rsidRPr="00773635">
        <w:rPr>
          <w:rFonts w:eastAsia="Times New Roman" w:cs="Arial"/>
          <w:color w:val="000000"/>
          <w:szCs w:val="20"/>
          <w:lang w:eastAsia="bg-BG"/>
        </w:rPr>
        <w:t>(Клинично проучване проведено с алискирен при пациенти със захарен диабет тип 2 с използване на сърдечно-съдови и бъбречни заболявалия като крайни точки) е проучване, предназначено да изследва ползата от добавянето на алискирен към стандартна терапия с АСЕ инхибитор или ангиотензин-</w:t>
      </w:r>
      <w:r w:rsidRPr="00773635">
        <w:rPr>
          <w:rFonts w:eastAsia="Times New Roman" w:cs="Arial"/>
          <w:color w:val="000000"/>
          <w:szCs w:val="20"/>
          <w:lang w:val="en-US"/>
        </w:rPr>
        <w:t>II</w:t>
      </w:r>
      <w:r w:rsidRPr="00773635">
        <w:rPr>
          <w:rFonts w:eastAsia="Times New Roman" w:cs="Arial"/>
          <w:color w:val="000000"/>
          <w:szCs w:val="2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367F489B" w14:textId="329F9393" w:rsidR="00773635" w:rsidRPr="00773635" w:rsidRDefault="00773635" w:rsidP="00773635"/>
    <w:p w14:paraId="78DD93AA" w14:textId="7AE26616" w:rsidR="00B6672E" w:rsidRDefault="002C50EE" w:rsidP="00936AD0">
      <w:pPr>
        <w:pStyle w:val="Heading2"/>
      </w:pPr>
      <w:r>
        <w:t>5.2. Фармакокинетични свойства</w:t>
      </w:r>
    </w:p>
    <w:p w14:paraId="5A734357" w14:textId="12EB496F" w:rsidR="00773635" w:rsidRDefault="00773635" w:rsidP="00773635"/>
    <w:p w14:paraId="2634E53A" w14:textId="77777777" w:rsidR="00773635" w:rsidRPr="00773635" w:rsidRDefault="00773635" w:rsidP="00773635">
      <w:pPr>
        <w:pStyle w:val="Heading3"/>
        <w:rPr>
          <w:rFonts w:eastAsia="Times New Roman"/>
          <w:sz w:val="28"/>
          <w:u w:val="single"/>
        </w:rPr>
      </w:pPr>
      <w:r w:rsidRPr="00773635">
        <w:rPr>
          <w:rFonts w:eastAsia="Times New Roman"/>
          <w:u w:val="single"/>
          <w:lang w:eastAsia="bg-BG"/>
        </w:rPr>
        <w:t>Абсорбция</w:t>
      </w:r>
    </w:p>
    <w:p w14:paraId="564A9DCA"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След перорално приложение, ирбесартан се абсорбира добре: проучванията върху абсолютната бионаличност показват стойности от порядъка на 60-80%. Едновременният прием на храна не променя значително бионаличността на ирбесартан.</w:t>
      </w:r>
    </w:p>
    <w:p w14:paraId="43CA5655" w14:textId="77777777" w:rsidR="00773635" w:rsidRPr="00773635" w:rsidRDefault="00773635" w:rsidP="00773635">
      <w:pPr>
        <w:spacing w:line="240" w:lineRule="auto"/>
        <w:rPr>
          <w:rFonts w:eastAsia="Times New Roman" w:cs="Arial"/>
          <w:color w:val="000000"/>
          <w:szCs w:val="20"/>
          <w:u w:val="single"/>
          <w:lang w:eastAsia="bg-BG"/>
        </w:rPr>
      </w:pPr>
    </w:p>
    <w:p w14:paraId="07941F4F" w14:textId="0AB7AF3C" w:rsidR="00773635" w:rsidRPr="00773635" w:rsidRDefault="00773635" w:rsidP="00773635">
      <w:pPr>
        <w:pStyle w:val="Heading3"/>
        <w:rPr>
          <w:rFonts w:eastAsia="Times New Roman"/>
          <w:sz w:val="28"/>
          <w:u w:val="single"/>
        </w:rPr>
      </w:pPr>
      <w:r w:rsidRPr="00773635">
        <w:rPr>
          <w:rFonts w:eastAsia="Times New Roman"/>
          <w:u w:val="single"/>
          <w:lang w:eastAsia="bg-BG"/>
        </w:rPr>
        <w:t>Разпределение</w:t>
      </w:r>
    </w:p>
    <w:p w14:paraId="5881D3C4"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Свързването с плазмените протеини е около 96%, като свързването с компонентите на кръвните клетки е незначително. Обемът на разпределение е 53-93 литра.</w:t>
      </w:r>
    </w:p>
    <w:p w14:paraId="028F857D" w14:textId="77777777" w:rsidR="00773635" w:rsidRPr="00773635" w:rsidRDefault="00773635" w:rsidP="00773635">
      <w:pPr>
        <w:spacing w:line="240" w:lineRule="auto"/>
        <w:rPr>
          <w:rFonts w:eastAsia="Times New Roman" w:cs="Arial"/>
          <w:color w:val="000000"/>
          <w:szCs w:val="20"/>
          <w:u w:val="single"/>
          <w:lang w:eastAsia="bg-BG"/>
        </w:rPr>
      </w:pPr>
    </w:p>
    <w:p w14:paraId="07A5FDA5" w14:textId="445EC3EF" w:rsidR="00773635" w:rsidRPr="00773635" w:rsidRDefault="00773635" w:rsidP="00773635">
      <w:pPr>
        <w:pStyle w:val="Heading3"/>
        <w:rPr>
          <w:rFonts w:eastAsia="Times New Roman"/>
          <w:sz w:val="28"/>
          <w:u w:val="single"/>
        </w:rPr>
      </w:pPr>
      <w:r w:rsidRPr="00773635">
        <w:rPr>
          <w:rFonts w:eastAsia="Times New Roman"/>
          <w:u w:val="single"/>
          <w:lang w:eastAsia="bg-BG"/>
        </w:rPr>
        <w:t>Биотрансформация</w:t>
      </w:r>
    </w:p>
    <w:p w14:paraId="06004497" w14:textId="6743EE34"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След перорално или интравенозно приложение на маркиран </w:t>
      </w:r>
      <w:r w:rsidRPr="00773635">
        <w:rPr>
          <w:rFonts w:eastAsia="Times New Roman" w:cs="Arial"/>
          <w:color w:val="000000"/>
          <w:szCs w:val="20"/>
          <w:vertAlign w:val="superscript"/>
          <w:lang w:eastAsia="bg-BG"/>
        </w:rPr>
        <w:t>14</w:t>
      </w:r>
      <w:r w:rsidRPr="00773635">
        <w:rPr>
          <w:rFonts w:eastAsia="Times New Roman" w:cs="Arial"/>
          <w:color w:val="000000"/>
          <w:szCs w:val="20"/>
          <w:lang w:eastAsia="bg-BG"/>
        </w:rPr>
        <w:t>С ирбесартан, 80-85% от плазмената радиоактивност се дължи на непроменения ирбесартан. Ирбесартан се метаболизира в черния дроб чрез глюкуронидно конюгиране и окисление. Основният циркулиращ метаболит е ирбесартан глюкуронид (</w:t>
      </w:r>
      <w:proofErr w:type="spellStart"/>
      <w:r w:rsidR="00267DC4">
        <w:rPr>
          <w:rFonts w:eastAsia="Times New Roman" w:cs="Arial"/>
          <w:color w:val="000000"/>
          <w:szCs w:val="20"/>
          <w:lang w:val="en-US" w:eastAsia="bg-BG"/>
        </w:rPr>
        <w:t>приблизително</w:t>
      </w:r>
      <w:proofErr w:type="spellEnd"/>
      <w:r w:rsidRPr="00773635">
        <w:rPr>
          <w:rFonts w:eastAsia="Times New Roman" w:cs="Arial"/>
          <w:color w:val="000000"/>
          <w:szCs w:val="20"/>
          <w:lang w:eastAsia="bg-BG"/>
        </w:rPr>
        <w:t xml:space="preserve"> 6%). </w:t>
      </w:r>
      <w:r w:rsidRPr="00773635">
        <w:rPr>
          <w:rFonts w:eastAsia="Times New Roman" w:cs="Arial"/>
          <w:i/>
          <w:iCs/>
          <w:color w:val="000000"/>
          <w:szCs w:val="20"/>
          <w:lang w:val="en-US"/>
        </w:rPr>
        <w:t>In</w:t>
      </w:r>
      <w:r w:rsidRPr="00773635">
        <w:rPr>
          <w:rFonts w:eastAsia="Times New Roman" w:cs="Arial"/>
          <w:i/>
          <w:iCs/>
          <w:color w:val="000000"/>
          <w:szCs w:val="20"/>
        </w:rPr>
        <w:t xml:space="preserve"> </w:t>
      </w:r>
      <w:r w:rsidRPr="00773635">
        <w:rPr>
          <w:rFonts w:eastAsia="Times New Roman" w:cs="Arial"/>
          <w:i/>
          <w:iCs/>
          <w:color w:val="000000"/>
          <w:szCs w:val="20"/>
          <w:lang w:val="en-US"/>
        </w:rPr>
        <w:t>vitro</w:t>
      </w:r>
      <w:r w:rsidRPr="00773635">
        <w:rPr>
          <w:rFonts w:eastAsia="Times New Roman" w:cs="Arial"/>
          <w:color w:val="000000"/>
          <w:szCs w:val="20"/>
        </w:rPr>
        <w:t xml:space="preserve"> </w:t>
      </w:r>
      <w:r w:rsidRPr="00773635">
        <w:rPr>
          <w:rFonts w:eastAsia="Times New Roman" w:cs="Arial"/>
          <w:color w:val="000000"/>
          <w:szCs w:val="20"/>
          <w:lang w:eastAsia="bg-BG"/>
        </w:rPr>
        <w:t xml:space="preserve">проучванията показват, че ирбесартан се окислява основно с помощта на цитохром Р450 ензим </w:t>
      </w:r>
      <w:r w:rsidRPr="00773635">
        <w:rPr>
          <w:rFonts w:eastAsia="Times New Roman" w:cs="Arial"/>
          <w:color w:val="000000"/>
          <w:szCs w:val="20"/>
          <w:lang w:val="en-US"/>
        </w:rPr>
        <w:t>CYP</w:t>
      </w:r>
      <w:r w:rsidRPr="00773635">
        <w:rPr>
          <w:rFonts w:eastAsia="Times New Roman" w:cs="Arial"/>
          <w:color w:val="000000"/>
          <w:szCs w:val="20"/>
        </w:rPr>
        <w:t>2</w:t>
      </w:r>
      <w:r w:rsidRPr="00773635">
        <w:rPr>
          <w:rFonts w:eastAsia="Times New Roman" w:cs="Arial"/>
          <w:color w:val="000000"/>
          <w:szCs w:val="20"/>
          <w:lang w:val="en-US"/>
        </w:rPr>
        <w:t>C</w:t>
      </w:r>
      <w:r w:rsidRPr="00773635">
        <w:rPr>
          <w:rFonts w:eastAsia="Times New Roman" w:cs="Arial"/>
          <w:color w:val="000000"/>
          <w:szCs w:val="20"/>
        </w:rPr>
        <w:t xml:space="preserve">9; </w:t>
      </w:r>
      <w:r w:rsidRPr="00773635">
        <w:rPr>
          <w:rFonts w:eastAsia="Times New Roman" w:cs="Arial"/>
          <w:color w:val="000000"/>
          <w:szCs w:val="20"/>
          <w:lang w:eastAsia="bg-BG"/>
        </w:rPr>
        <w:t xml:space="preserve">изоензима </w:t>
      </w:r>
      <w:r w:rsidRPr="00773635">
        <w:rPr>
          <w:rFonts w:eastAsia="Times New Roman" w:cs="Arial"/>
          <w:color w:val="000000"/>
          <w:szCs w:val="20"/>
          <w:lang w:val="en-US"/>
        </w:rPr>
        <w:t>CYP</w:t>
      </w:r>
      <w:r w:rsidRPr="00773635">
        <w:rPr>
          <w:rFonts w:eastAsia="Times New Roman" w:cs="Arial"/>
          <w:color w:val="000000"/>
          <w:szCs w:val="20"/>
        </w:rPr>
        <w:t>3</w:t>
      </w:r>
      <w:r w:rsidRPr="00773635">
        <w:rPr>
          <w:rFonts w:eastAsia="Times New Roman" w:cs="Arial"/>
          <w:color w:val="000000"/>
          <w:szCs w:val="20"/>
          <w:lang w:val="en-US"/>
        </w:rPr>
        <w:t>A</w:t>
      </w:r>
      <w:r w:rsidRPr="00773635">
        <w:rPr>
          <w:rFonts w:eastAsia="Times New Roman" w:cs="Arial"/>
          <w:color w:val="000000"/>
          <w:szCs w:val="20"/>
        </w:rPr>
        <w:t xml:space="preserve">4 </w:t>
      </w:r>
      <w:r w:rsidRPr="00773635">
        <w:rPr>
          <w:rFonts w:eastAsia="Times New Roman" w:cs="Arial"/>
          <w:color w:val="000000"/>
          <w:szCs w:val="20"/>
          <w:lang w:eastAsia="bg-BG"/>
        </w:rPr>
        <w:t>има съвсем малък ефект.</w:t>
      </w:r>
    </w:p>
    <w:p w14:paraId="5318F5C7" w14:textId="77777777" w:rsidR="00773635" w:rsidRPr="00773635" w:rsidRDefault="00773635" w:rsidP="00773635">
      <w:pPr>
        <w:spacing w:line="240" w:lineRule="auto"/>
        <w:rPr>
          <w:rFonts w:eastAsia="Times New Roman" w:cs="Arial"/>
          <w:color w:val="000000"/>
          <w:szCs w:val="20"/>
          <w:u w:val="single"/>
          <w:lang w:eastAsia="bg-BG"/>
        </w:rPr>
      </w:pPr>
    </w:p>
    <w:p w14:paraId="5A39EA8E" w14:textId="77777777" w:rsidR="00267DC4" w:rsidRPr="00267DC4" w:rsidRDefault="00267DC4" w:rsidP="00267DC4">
      <w:pPr>
        <w:spacing w:line="240" w:lineRule="auto"/>
        <w:rPr>
          <w:rFonts w:eastAsia="Times New Roman" w:cs="Arial"/>
          <w:sz w:val="28"/>
          <w:szCs w:val="24"/>
        </w:rPr>
      </w:pPr>
      <w:r w:rsidRPr="00267DC4">
        <w:rPr>
          <w:rFonts w:eastAsia="Times New Roman" w:cs="Arial"/>
          <w:color w:val="000000"/>
          <w:szCs w:val="20"/>
          <w:u w:val="single"/>
          <w:lang w:eastAsia="bg-BG"/>
        </w:rPr>
        <w:t>Линейност/нелинейност</w:t>
      </w:r>
    </w:p>
    <w:p w14:paraId="7AE82C57" w14:textId="77777777" w:rsidR="00267DC4" w:rsidRPr="00267DC4" w:rsidRDefault="00267DC4" w:rsidP="00267DC4">
      <w:pPr>
        <w:spacing w:line="240" w:lineRule="auto"/>
        <w:rPr>
          <w:rFonts w:eastAsia="Times New Roman" w:cs="Arial"/>
          <w:sz w:val="28"/>
          <w:szCs w:val="24"/>
        </w:rPr>
      </w:pPr>
      <w:r w:rsidRPr="00267DC4">
        <w:rPr>
          <w:rFonts w:eastAsia="Times New Roman" w:cs="Arial"/>
          <w:color w:val="000000"/>
          <w:szCs w:val="20"/>
          <w:lang w:eastAsia="bg-BG"/>
        </w:rPr>
        <w:t xml:space="preserve">Ирбесартан показва линейна и пропорционална на дозата фармакокинетика в дозов обхват от 10 до 600 </w:t>
      </w:r>
      <w:r w:rsidRPr="00267DC4">
        <w:rPr>
          <w:rFonts w:eastAsia="Times New Roman" w:cs="Arial"/>
          <w:color w:val="000000"/>
          <w:szCs w:val="20"/>
          <w:lang w:val="en-US"/>
        </w:rPr>
        <w:t>mg</w:t>
      </w:r>
      <w:r w:rsidRPr="00267DC4">
        <w:rPr>
          <w:rFonts w:eastAsia="Times New Roman" w:cs="Arial"/>
          <w:color w:val="000000"/>
          <w:szCs w:val="20"/>
          <w:lang w:val="ru-RU"/>
        </w:rPr>
        <w:t xml:space="preserve">. </w:t>
      </w:r>
      <w:r w:rsidRPr="00267DC4">
        <w:rPr>
          <w:rFonts w:eastAsia="Times New Roman" w:cs="Arial"/>
          <w:color w:val="000000"/>
          <w:szCs w:val="20"/>
          <w:lang w:eastAsia="bg-BG"/>
        </w:rPr>
        <w:t xml:space="preserve">При перорално приложение на доза превишаваща 600 </w:t>
      </w:r>
      <w:r w:rsidRPr="00267DC4">
        <w:rPr>
          <w:rFonts w:eastAsia="Times New Roman" w:cs="Arial"/>
          <w:color w:val="000000"/>
          <w:szCs w:val="20"/>
          <w:lang w:val="en-US"/>
        </w:rPr>
        <w:t>mg</w:t>
      </w:r>
      <w:r w:rsidRPr="00267DC4">
        <w:rPr>
          <w:rFonts w:eastAsia="Times New Roman" w:cs="Arial"/>
          <w:color w:val="000000"/>
          <w:szCs w:val="20"/>
          <w:lang w:val="ru-RU"/>
        </w:rPr>
        <w:t xml:space="preserve"> </w:t>
      </w:r>
      <w:r w:rsidRPr="00267DC4">
        <w:rPr>
          <w:rFonts w:eastAsia="Times New Roman" w:cs="Arial"/>
          <w:color w:val="000000"/>
          <w:szCs w:val="20"/>
          <w:lang w:eastAsia="bg-BG"/>
        </w:rPr>
        <w:t xml:space="preserve">(два пъти по-висока от максималната препоръчвана доза) е наблюдавана по-малка от </w:t>
      </w:r>
      <w:r w:rsidRPr="00267DC4">
        <w:rPr>
          <w:rFonts w:eastAsia="Times New Roman" w:cs="Arial"/>
          <w:color w:val="000000"/>
          <w:szCs w:val="20"/>
          <w:lang w:eastAsia="bg-BG"/>
        </w:rPr>
        <w:lastRenderedPageBreak/>
        <w:t xml:space="preserve">пропорционалната абсорбция; механизма на това не е известен. Най-големите концентрации на плазма се получават 1,5-2 часа след пероралното приложение. Тоталният телесен и ренален клирънс е съответно 157 -176 и 3-3,5 </w:t>
      </w:r>
      <w:r w:rsidRPr="00267DC4">
        <w:rPr>
          <w:rFonts w:eastAsia="Times New Roman" w:cs="Arial"/>
          <w:color w:val="000000"/>
          <w:szCs w:val="20"/>
          <w:lang w:val="en-US"/>
        </w:rPr>
        <w:t>ml</w:t>
      </w:r>
      <w:r w:rsidRPr="00267DC4">
        <w:rPr>
          <w:rFonts w:eastAsia="Times New Roman" w:cs="Arial"/>
          <w:color w:val="000000"/>
          <w:szCs w:val="20"/>
          <w:lang w:val="ru-RU"/>
        </w:rPr>
        <w:t>/</w:t>
      </w:r>
      <w:r w:rsidRPr="00267DC4">
        <w:rPr>
          <w:rFonts w:eastAsia="Times New Roman" w:cs="Arial"/>
          <w:color w:val="000000"/>
          <w:szCs w:val="20"/>
          <w:lang w:val="en-US"/>
        </w:rPr>
        <w:t>min</w:t>
      </w:r>
      <w:r w:rsidRPr="00267DC4">
        <w:rPr>
          <w:rFonts w:eastAsia="Times New Roman" w:cs="Arial"/>
          <w:color w:val="000000"/>
          <w:szCs w:val="20"/>
          <w:lang w:val="ru-RU"/>
        </w:rPr>
        <w:t xml:space="preserve">. </w:t>
      </w:r>
      <w:r w:rsidRPr="00267DC4">
        <w:rPr>
          <w:rFonts w:eastAsia="Times New Roman" w:cs="Arial"/>
          <w:color w:val="000000"/>
          <w:szCs w:val="20"/>
          <w:lang w:eastAsia="bg-BG"/>
        </w:rPr>
        <w:t>Времето на полуживот на</w:t>
      </w:r>
    </w:p>
    <w:p w14:paraId="37F9EEE1" w14:textId="77777777" w:rsidR="00267DC4" w:rsidRPr="00267DC4" w:rsidRDefault="00267DC4" w:rsidP="00267DC4">
      <w:pPr>
        <w:spacing w:line="240" w:lineRule="auto"/>
        <w:rPr>
          <w:rFonts w:eastAsia="Times New Roman" w:cs="Arial"/>
          <w:sz w:val="28"/>
          <w:szCs w:val="24"/>
        </w:rPr>
      </w:pPr>
      <w:r w:rsidRPr="00267DC4">
        <w:rPr>
          <w:rFonts w:eastAsia="Times New Roman" w:cs="Arial"/>
          <w:color w:val="000000"/>
          <w:szCs w:val="20"/>
          <w:lang w:eastAsia="bg-BG"/>
        </w:rPr>
        <w:t>ирбесартан е 11-15 часа. Стационарни плазмени концентрации се постигат в рамките на 3 дни след</w:t>
      </w:r>
    </w:p>
    <w:p w14:paraId="685B9F7B" w14:textId="14FFE30B" w:rsidR="00773635" w:rsidRPr="00267DC4" w:rsidRDefault="00267DC4" w:rsidP="00267DC4">
      <w:pPr>
        <w:rPr>
          <w:rFonts w:ascii="Times New Roman" w:eastAsia="Times New Roman" w:hAnsi="Times New Roman" w:cs="Times New Roman"/>
          <w:sz w:val="24"/>
          <w:szCs w:val="24"/>
        </w:rPr>
      </w:pPr>
      <w:r w:rsidRPr="00267DC4">
        <w:rPr>
          <w:rFonts w:eastAsia="Times New Roman" w:cs="Arial"/>
          <w:color w:val="000000"/>
          <w:szCs w:val="20"/>
          <w:lang w:eastAsia="bg-BG"/>
        </w:rPr>
        <w:t xml:space="preserve">започване на лечението с еднократен дневен прием. Ограничено натрупване на ирбесартан (под 20%) се  наблюдава в плазмата при многократно приложение на еднократна дневна доза. При едно проучване в известна степен са отчетени по-високи концентрации на ирбесартан при жени с хипертония. Въпреки това не е имало разлика в полуживота и натрупването на ирбесартан. Не се налага коригиране на дозата при пациенти от женски пол. В известна степен, стойностите </w:t>
      </w:r>
      <w:r w:rsidRPr="00267DC4">
        <w:rPr>
          <w:rFonts w:eastAsia="Times New Roman" w:cs="Arial"/>
          <w:color w:val="000000"/>
          <w:szCs w:val="20"/>
          <w:lang w:val="en-US"/>
        </w:rPr>
        <w:t>AUC</w:t>
      </w:r>
      <w:r w:rsidRPr="00267DC4">
        <w:rPr>
          <w:rFonts w:eastAsia="Times New Roman" w:cs="Arial"/>
          <w:color w:val="000000"/>
          <w:szCs w:val="20"/>
          <w:lang w:val="ru-RU"/>
        </w:rPr>
        <w:t xml:space="preserve"> </w:t>
      </w:r>
      <w:r w:rsidRPr="00267DC4">
        <w:rPr>
          <w:rFonts w:eastAsia="Times New Roman" w:cs="Arial"/>
          <w:color w:val="000000"/>
          <w:szCs w:val="20"/>
          <w:lang w:eastAsia="bg-BG"/>
        </w:rPr>
        <w:t xml:space="preserve">и С </w:t>
      </w:r>
      <w:r w:rsidRPr="00267DC4">
        <w:rPr>
          <w:rFonts w:eastAsia="Times New Roman" w:cs="Arial"/>
          <w:color w:val="000000"/>
          <w:szCs w:val="20"/>
          <w:lang w:val="en-US"/>
        </w:rPr>
        <w:t>max</w:t>
      </w:r>
      <w:r w:rsidRPr="00267DC4">
        <w:rPr>
          <w:rFonts w:eastAsia="Times New Roman" w:cs="Arial"/>
          <w:color w:val="000000"/>
          <w:szCs w:val="20"/>
          <w:lang w:val="ru-RU"/>
        </w:rPr>
        <w:t xml:space="preserve"> </w:t>
      </w:r>
      <w:r w:rsidRPr="00267DC4">
        <w:rPr>
          <w:rFonts w:eastAsia="Times New Roman" w:cs="Arial"/>
          <w:color w:val="000000"/>
          <w:szCs w:val="20"/>
          <w:lang w:eastAsia="bg-BG"/>
        </w:rPr>
        <w:t>на ирбесартан са били по-високи при пациенти в старческа възраст (≥65 години), отколкото тези при млади пациенти (18-40 години). Въпреки това терминалният полуживот не е променен значително. Не е необходима корекция на дозата при пациенти в старческа възраст.</w:t>
      </w:r>
    </w:p>
    <w:p w14:paraId="608A4F2B" w14:textId="77777777" w:rsidR="00773635" w:rsidRPr="00773635" w:rsidRDefault="00773635" w:rsidP="00773635">
      <w:pPr>
        <w:spacing w:line="240" w:lineRule="auto"/>
        <w:rPr>
          <w:rFonts w:eastAsia="Times New Roman" w:cs="Arial"/>
          <w:color w:val="000000"/>
          <w:szCs w:val="20"/>
          <w:u w:val="single"/>
          <w:lang w:eastAsia="bg-BG"/>
        </w:rPr>
      </w:pPr>
    </w:p>
    <w:p w14:paraId="1E02272C" w14:textId="5C41BA06" w:rsidR="00773635" w:rsidRPr="00773635" w:rsidRDefault="00773635" w:rsidP="00773635">
      <w:pPr>
        <w:pStyle w:val="Heading3"/>
        <w:rPr>
          <w:rFonts w:eastAsia="Times New Roman"/>
          <w:sz w:val="28"/>
          <w:u w:val="single"/>
        </w:rPr>
      </w:pPr>
      <w:r w:rsidRPr="00773635">
        <w:rPr>
          <w:rFonts w:eastAsia="Times New Roman"/>
          <w:u w:val="single"/>
          <w:lang w:eastAsia="bg-BG"/>
        </w:rPr>
        <w:t>Елиминиране</w:t>
      </w:r>
    </w:p>
    <w:p w14:paraId="53A595A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Ирбесартан и неговите метаболити се елиминират както чрез жлъчката, така и чрез бъбреците.</w:t>
      </w:r>
    </w:p>
    <w:p w14:paraId="2D43EBF5" w14:textId="77777777" w:rsidR="00773635" w:rsidRPr="00773635" w:rsidRDefault="00773635" w:rsidP="00773635">
      <w:pPr>
        <w:spacing w:line="240" w:lineRule="auto"/>
        <w:rPr>
          <w:rFonts w:eastAsia="Times New Roman" w:cs="Arial"/>
          <w:color w:val="000000"/>
          <w:szCs w:val="20"/>
          <w:lang w:eastAsia="bg-BG"/>
        </w:rPr>
      </w:pPr>
    </w:p>
    <w:p w14:paraId="126A28BE" w14:textId="350C206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След перорално или интравенозно приложение на маркиран </w:t>
      </w:r>
      <w:r w:rsidRPr="00773635">
        <w:rPr>
          <w:rFonts w:eastAsia="Times New Roman" w:cs="Arial"/>
          <w:color w:val="000000"/>
          <w:szCs w:val="20"/>
          <w:vertAlign w:val="superscript"/>
          <w:lang w:eastAsia="bg-BG"/>
        </w:rPr>
        <w:t>54</w:t>
      </w:r>
      <w:r w:rsidRPr="00773635">
        <w:rPr>
          <w:rFonts w:eastAsia="Times New Roman" w:cs="Arial"/>
          <w:color w:val="000000"/>
          <w:szCs w:val="20"/>
          <w:lang w:eastAsia="bg-BG"/>
        </w:rPr>
        <w:t>С ирбесартан, около 20% от радиоактивността се установява в урината, а останалата във фекалиите. По-малко от 2% от дозата се отделя в урината като непроменен ирбесартан.</w:t>
      </w:r>
    </w:p>
    <w:p w14:paraId="57814FC2" w14:textId="77777777" w:rsidR="00773635" w:rsidRPr="00773635" w:rsidRDefault="00773635" w:rsidP="00773635">
      <w:pPr>
        <w:spacing w:line="240" w:lineRule="auto"/>
        <w:rPr>
          <w:rFonts w:eastAsia="Times New Roman" w:cs="Arial"/>
          <w:color w:val="000000"/>
          <w:szCs w:val="20"/>
          <w:u w:val="single"/>
          <w:lang w:eastAsia="bg-BG"/>
        </w:rPr>
      </w:pPr>
    </w:p>
    <w:p w14:paraId="0DA9C00B" w14:textId="21BFD5FF" w:rsidR="00773635" w:rsidRPr="00773635" w:rsidRDefault="00773635" w:rsidP="00773635">
      <w:pPr>
        <w:pStyle w:val="Heading3"/>
        <w:rPr>
          <w:rFonts w:eastAsia="Times New Roman"/>
          <w:sz w:val="28"/>
          <w:u w:val="single"/>
        </w:rPr>
      </w:pPr>
      <w:r w:rsidRPr="00773635">
        <w:rPr>
          <w:rFonts w:eastAsia="Times New Roman"/>
          <w:u w:val="single"/>
          <w:lang w:eastAsia="bg-BG"/>
        </w:rPr>
        <w:t>Педиатрична популация</w:t>
      </w:r>
    </w:p>
    <w:p w14:paraId="44391041" w14:textId="77777777"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 xml:space="preserve">Фармакокинетиката на ирбесартан е оценена при 23 деца </w:t>
      </w:r>
      <w:r w:rsidRPr="00773635">
        <w:rPr>
          <w:rFonts w:eastAsia="Times New Roman" w:cs="Arial"/>
          <w:i/>
          <w:iCs/>
          <w:color w:val="000000"/>
          <w:szCs w:val="20"/>
          <w:lang w:eastAsia="bg-BG"/>
        </w:rPr>
        <w:t>с</w:t>
      </w:r>
      <w:r w:rsidRPr="00773635">
        <w:rPr>
          <w:rFonts w:eastAsia="Times New Roman" w:cs="Arial"/>
          <w:color w:val="000000"/>
          <w:szCs w:val="20"/>
          <w:lang w:eastAsia="bg-BG"/>
        </w:rPr>
        <w:t xml:space="preserve"> хипертония след еднократно или многократно приложение на ирбесартан (2 </w:t>
      </w:r>
      <w:r w:rsidRPr="00773635">
        <w:rPr>
          <w:rFonts w:eastAsia="Times New Roman" w:cs="Arial"/>
          <w:color w:val="000000"/>
          <w:szCs w:val="20"/>
          <w:lang w:val="en-US"/>
        </w:rPr>
        <w:t>mg</w:t>
      </w:r>
      <w:r w:rsidRPr="00773635">
        <w:rPr>
          <w:rFonts w:eastAsia="Times New Roman" w:cs="Arial"/>
          <w:color w:val="000000"/>
          <w:szCs w:val="20"/>
          <w:lang w:val="ru-RU"/>
        </w:rPr>
        <w:t>/</w:t>
      </w:r>
      <w:r w:rsidRPr="00773635">
        <w:rPr>
          <w:rFonts w:eastAsia="Times New Roman" w:cs="Arial"/>
          <w:color w:val="000000"/>
          <w:szCs w:val="20"/>
          <w:lang w:val="en-US"/>
        </w:rPr>
        <w:t>kg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до максимална дневна доза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в продължение на четири седмици. От тези 23 деца, 21 са били годни за сравняване на фармакокинетиката с тази на възрастните (12 деца на възраст над 12 години, девет деца на възраст между 6 и 12 години). Резултатите показват, че С </w:t>
      </w:r>
      <w:r w:rsidRPr="00773635">
        <w:rPr>
          <w:rFonts w:eastAsia="Times New Roman" w:cs="Arial"/>
          <w:color w:val="000000"/>
          <w:szCs w:val="20"/>
          <w:lang w:val="en-US"/>
        </w:rPr>
        <w:t>max</w:t>
      </w:r>
      <w:r w:rsidRPr="00773635">
        <w:rPr>
          <w:rFonts w:eastAsia="Times New Roman" w:cs="Arial"/>
          <w:color w:val="000000"/>
          <w:szCs w:val="20"/>
          <w:lang w:val="ru-RU"/>
        </w:rPr>
        <w:t xml:space="preserve">, </w:t>
      </w:r>
      <w:r w:rsidRPr="00773635">
        <w:rPr>
          <w:rFonts w:eastAsia="Times New Roman" w:cs="Arial"/>
          <w:color w:val="000000"/>
          <w:szCs w:val="20"/>
          <w:lang w:val="en-US"/>
        </w:rPr>
        <w:t>AUC</w:t>
      </w:r>
      <w:r w:rsidRPr="00773635">
        <w:rPr>
          <w:rFonts w:eastAsia="Times New Roman" w:cs="Arial"/>
          <w:color w:val="000000"/>
          <w:szCs w:val="20"/>
          <w:lang w:val="ru-RU"/>
        </w:rPr>
        <w:t xml:space="preserve"> </w:t>
      </w:r>
      <w:r w:rsidRPr="00773635">
        <w:rPr>
          <w:rFonts w:eastAsia="Times New Roman" w:cs="Arial"/>
          <w:color w:val="000000"/>
          <w:szCs w:val="20"/>
          <w:lang w:eastAsia="bg-BG"/>
        </w:rPr>
        <w:t xml:space="preserve">и скоростта на отделяне са сравними с тези наблюдавани при възрастни, приемащи 150 </w:t>
      </w:r>
      <w:r w:rsidRPr="00773635">
        <w:rPr>
          <w:rFonts w:eastAsia="Times New Roman" w:cs="Arial"/>
          <w:color w:val="000000"/>
          <w:szCs w:val="20"/>
          <w:lang w:val="en-US"/>
        </w:rPr>
        <w:t>mg</w:t>
      </w:r>
      <w:r w:rsidRPr="00773635">
        <w:rPr>
          <w:rFonts w:eastAsia="Times New Roman" w:cs="Arial"/>
          <w:color w:val="000000"/>
          <w:szCs w:val="20"/>
          <w:lang w:val="ru-RU"/>
        </w:rPr>
        <w:t xml:space="preserve"> </w:t>
      </w:r>
      <w:r w:rsidRPr="00773635">
        <w:rPr>
          <w:rFonts w:eastAsia="Times New Roman" w:cs="Arial"/>
          <w:color w:val="000000"/>
          <w:szCs w:val="20"/>
          <w:lang w:eastAsia="bg-BG"/>
        </w:rPr>
        <w:t>ирбесартан дневно. Ограничено акумулиране на ирбесартан (18%) в плазмата е наблюдавано при многократно приложение на дози, приемани веднъж дневно.</w:t>
      </w:r>
    </w:p>
    <w:p w14:paraId="4F7D94DD" w14:textId="77777777" w:rsidR="00773635" w:rsidRPr="00773635" w:rsidRDefault="00773635" w:rsidP="00773635">
      <w:pPr>
        <w:spacing w:line="240" w:lineRule="auto"/>
        <w:rPr>
          <w:rFonts w:eastAsia="Times New Roman" w:cs="Arial"/>
          <w:color w:val="000000"/>
          <w:szCs w:val="20"/>
          <w:lang w:eastAsia="bg-BG"/>
        </w:rPr>
      </w:pPr>
    </w:p>
    <w:p w14:paraId="5C317889" w14:textId="16DDA131"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Увреждане на бъбречната функция: При пациентите с увреждане на бъбречната функция или такива на хемодиализа, фармакокинетичните параметри на ирбесартан не са променени значително. Ирбесартан не се отстранява чрез хемодиализа.</w:t>
      </w:r>
    </w:p>
    <w:p w14:paraId="5B2F7540" w14:textId="77777777" w:rsidR="00773635" w:rsidRPr="00773635" w:rsidRDefault="00773635" w:rsidP="00773635">
      <w:pPr>
        <w:spacing w:line="240" w:lineRule="auto"/>
        <w:rPr>
          <w:rFonts w:eastAsia="Times New Roman" w:cs="Arial"/>
          <w:color w:val="000000"/>
          <w:szCs w:val="20"/>
          <w:lang w:eastAsia="bg-BG"/>
        </w:rPr>
      </w:pPr>
    </w:p>
    <w:p w14:paraId="70EA0153" w14:textId="1FC4C7BE" w:rsidR="00773635" w:rsidRPr="00773635" w:rsidRDefault="00773635" w:rsidP="00773635">
      <w:pPr>
        <w:spacing w:line="240" w:lineRule="auto"/>
        <w:rPr>
          <w:rFonts w:eastAsia="Times New Roman" w:cs="Arial"/>
          <w:sz w:val="28"/>
          <w:szCs w:val="24"/>
        </w:rPr>
      </w:pPr>
      <w:r w:rsidRPr="00773635">
        <w:rPr>
          <w:rFonts w:eastAsia="Times New Roman" w:cs="Arial"/>
          <w:color w:val="000000"/>
          <w:szCs w:val="20"/>
          <w:lang w:eastAsia="bg-BG"/>
        </w:rPr>
        <w:t>Увреждане на чернодробната функция: При пациентите с лека до умерена цироза, фармакокинетичните параметри на ирбесартан не са променени значително. Не са провеждани проучвания при пациенти с тежко чернодробно увреждане.</w:t>
      </w:r>
    </w:p>
    <w:p w14:paraId="4D9F2F1D" w14:textId="6EDF3736" w:rsidR="00773635" w:rsidRPr="00773635" w:rsidRDefault="00773635" w:rsidP="00773635"/>
    <w:p w14:paraId="4FB791BE" w14:textId="4F052B04" w:rsidR="00B6672E" w:rsidRDefault="002C50EE" w:rsidP="00936AD0">
      <w:pPr>
        <w:pStyle w:val="Heading2"/>
      </w:pPr>
      <w:r>
        <w:t>5.3. Предклинични данни за безопасност</w:t>
      </w:r>
    </w:p>
    <w:p w14:paraId="14502122" w14:textId="0455FDFE" w:rsidR="00773635" w:rsidRDefault="00773635" w:rsidP="00773635"/>
    <w:p w14:paraId="2A27C07C" w14:textId="77777777" w:rsidR="00773635" w:rsidRPr="00773635" w:rsidRDefault="00773635" w:rsidP="00773635">
      <w:pPr>
        <w:rPr>
          <w:sz w:val="24"/>
          <w:szCs w:val="24"/>
        </w:rPr>
      </w:pPr>
      <w:r w:rsidRPr="00773635">
        <w:rPr>
          <w:lang w:eastAsia="bg-BG"/>
        </w:rPr>
        <w:t xml:space="preserve">Няма данни за анормална системна токсичност или токсичност по отношение на таргетните органи при прием на обичайните за клиничната практика дози. По време на неклиничните проучвания върху безопасността, приемът на високи дози ирбесартан (над 250 </w:t>
      </w:r>
      <w:r w:rsidRPr="00773635">
        <w:rPr>
          <w:lang w:val="en-US"/>
        </w:rPr>
        <w:t>mg</w:t>
      </w:r>
      <w:r w:rsidRPr="00773635">
        <w:rPr>
          <w:lang w:val="ru-RU"/>
        </w:rPr>
        <w:t>/</w:t>
      </w:r>
      <w:r w:rsidRPr="00773635">
        <w:rPr>
          <w:lang w:val="en-US"/>
        </w:rPr>
        <w:t>kg</w:t>
      </w:r>
      <w:r w:rsidRPr="00773635">
        <w:rPr>
          <w:lang w:eastAsia="bg-BG"/>
        </w:rPr>
        <w:t xml:space="preserve">/дневно при плъхове и над 100 </w:t>
      </w:r>
      <w:r w:rsidRPr="00773635">
        <w:rPr>
          <w:lang w:val="en-US"/>
        </w:rPr>
        <w:t>mg</w:t>
      </w:r>
      <w:r w:rsidRPr="00773635">
        <w:rPr>
          <w:lang w:val="ru-RU"/>
        </w:rPr>
        <w:t>/</w:t>
      </w:r>
      <w:r w:rsidRPr="00773635">
        <w:rPr>
          <w:lang w:val="en-US"/>
        </w:rPr>
        <w:t>kg</w:t>
      </w:r>
      <w:r w:rsidRPr="00773635">
        <w:rPr>
          <w:lang w:eastAsia="bg-BG"/>
        </w:rPr>
        <w:t xml:space="preserve">/дневно при маймуни от рода макак) е довел до понижение на параметрите, свързани с червените кръвни клетки (еритроцити, </w:t>
      </w:r>
      <w:r w:rsidRPr="00773635">
        <w:rPr>
          <w:lang w:eastAsia="bg-BG"/>
        </w:rPr>
        <w:lastRenderedPageBreak/>
        <w:t xml:space="preserve">хемоглобин, хематокрит). При много високи дози (над 500 </w:t>
      </w:r>
      <w:r w:rsidRPr="00773635">
        <w:rPr>
          <w:lang w:val="en-US"/>
        </w:rPr>
        <w:t>mg</w:t>
      </w:r>
      <w:r w:rsidRPr="00773635">
        <w:rPr>
          <w:lang w:val="ru-RU"/>
        </w:rPr>
        <w:t>/</w:t>
      </w:r>
      <w:r w:rsidRPr="00773635">
        <w:rPr>
          <w:lang w:val="en-US"/>
        </w:rPr>
        <w:t>kg</w:t>
      </w:r>
      <w:r w:rsidRPr="00773635">
        <w:rPr>
          <w:lang w:eastAsia="bg-BG"/>
        </w:rPr>
        <w:t xml:space="preserve">/дневно) дегенеративни промени в бъбреците (като интерстициален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маймуни от рода макак, като тези промени са определени като вторични, в резултат на хипотензивните ефекти на лекарствения продукт, водещи до понижена бъбречна перфузия. Освен това ирбесартан води до хиперплазия/хипертрофия на юкстрагломерулни клетки (при плъхове при над 90 </w:t>
      </w:r>
      <w:r w:rsidRPr="00773635">
        <w:rPr>
          <w:lang w:val="en-US"/>
        </w:rPr>
        <w:t>mg</w:t>
      </w:r>
      <w:r w:rsidRPr="00773635">
        <w:rPr>
          <w:lang w:val="ru-RU"/>
        </w:rPr>
        <w:t>/</w:t>
      </w:r>
      <w:r w:rsidRPr="00773635">
        <w:rPr>
          <w:lang w:val="en-US"/>
        </w:rPr>
        <w:t>kg</w:t>
      </w:r>
      <w:r w:rsidRPr="00773635">
        <w:rPr>
          <w:lang w:eastAsia="bg-BG"/>
        </w:rPr>
        <w:t xml:space="preserve">/дневно и при маймуни макак при над 10 </w:t>
      </w:r>
      <w:r w:rsidRPr="00773635">
        <w:rPr>
          <w:lang w:val="en-US"/>
        </w:rPr>
        <w:t>mg</w:t>
      </w:r>
      <w:r w:rsidRPr="00773635">
        <w:rPr>
          <w:lang w:val="ru-RU"/>
        </w:rPr>
        <w:t>/</w:t>
      </w:r>
      <w:r w:rsidRPr="00773635">
        <w:rPr>
          <w:lang w:val="en-US"/>
        </w:rPr>
        <w:t>kg</w:t>
      </w:r>
      <w:r w:rsidRPr="00773635">
        <w:rPr>
          <w:lang w:eastAsia="bg-BG"/>
        </w:rPr>
        <w:t>/дневно). Всички тези промени са определени като резултат от фармакологичното действие на ирбесартан, В терапевтични дози приложението на ирбесартан при хора не води до значима хиперплазия/хипертрофия на юкстрагломерулните клетки</w:t>
      </w:r>
    </w:p>
    <w:p w14:paraId="79AEBE0E" w14:textId="77777777" w:rsidR="00773635" w:rsidRDefault="00773635" w:rsidP="00773635">
      <w:pPr>
        <w:rPr>
          <w:lang w:eastAsia="bg-BG"/>
        </w:rPr>
      </w:pPr>
    </w:p>
    <w:p w14:paraId="521026F1" w14:textId="009F488B" w:rsidR="00773635" w:rsidRPr="00773635" w:rsidRDefault="00773635" w:rsidP="00773635">
      <w:pPr>
        <w:rPr>
          <w:sz w:val="24"/>
          <w:szCs w:val="24"/>
        </w:rPr>
      </w:pPr>
      <w:r w:rsidRPr="00773635">
        <w:rPr>
          <w:lang w:eastAsia="bg-BG"/>
        </w:rPr>
        <w:t>Няма данни за наличието на мутагенен, кластогенен или карциногенен ефект.</w:t>
      </w:r>
    </w:p>
    <w:p w14:paraId="7B645B5C" w14:textId="77777777" w:rsidR="00773635" w:rsidRDefault="00773635" w:rsidP="00773635">
      <w:pPr>
        <w:rPr>
          <w:lang w:eastAsia="bg-BG"/>
        </w:rPr>
      </w:pPr>
    </w:p>
    <w:p w14:paraId="50B2D9D8" w14:textId="3FBE1CD1" w:rsidR="00773635" w:rsidRPr="00773635" w:rsidRDefault="00773635" w:rsidP="00773635">
      <w:pPr>
        <w:rPr>
          <w:sz w:val="24"/>
          <w:szCs w:val="24"/>
        </w:rPr>
      </w:pPr>
      <w:r w:rsidRPr="00773635">
        <w:rPr>
          <w:lang w:eastAsia="bg-BG"/>
        </w:rPr>
        <w:t xml:space="preserve">В проучванията при мъжки и женски плъхове, фертилитетьт и репродуктивните способности у родителите не са засегнати, дори при перорални дози ирбесартан, причиняващи токсичност, включително и смърт при най-високата доза (от 50 до 650 </w:t>
      </w:r>
      <w:r w:rsidRPr="00773635">
        <w:rPr>
          <w:lang w:val="en-US"/>
        </w:rPr>
        <w:t>mg</w:t>
      </w:r>
      <w:r w:rsidRPr="00773635">
        <w:rPr>
          <w:lang w:val="ru-RU"/>
        </w:rPr>
        <w:t>/</w:t>
      </w:r>
      <w:r w:rsidRPr="00773635">
        <w:rPr>
          <w:lang w:val="en-US"/>
        </w:rPr>
        <w:t>kg</w:t>
      </w:r>
      <w:r w:rsidRPr="00773635">
        <w:rPr>
          <w:lang w:eastAsia="bg-BG"/>
        </w:rPr>
        <w:t>/дневно). Няма значимо въздействие върху броя на жълтите тела, импланта или живите фетуси. Ирбесартан не повлиява преживяемостга, развитието или възпроизвеждането на потомството. Проучванията при животни показват, че радиоактивно белязан ирбесартан се открива при плъхове и зайци. Ирбесартан се екскретира в млякото на кърмещи плъхове.</w:t>
      </w:r>
    </w:p>
    <w:p w14:paraId="48D904AA" w14:textId="77777777" w:rsidR="00773635" w:rsidRDefault="00773635" w:rsidP="00773635">
      <w:pPr>
        <w:rPr>
          <w:lang w:eastAsia="bg-BG"/>
        </w:rPr>
      </w:pPr>
    </w:p>
    <w:p w14:paraId="71FDB7FC" w14:textId="5411C5AB" w:rsidR="00773635" w:rsidRPr="00773635" w:rsidRDefault="00773635" w:rsidP="00773635">
      <w:r w:rsidRPr="00773635">
        <w:rPr>
          <w:lang w:eastAsia="bg-BG"/>
        </w:rPr>
        <w:t>Проучванията с ирбесартан при животни показват преходни токсични ефекти (увеличение на бъбречното легенче, хидроуретер или подкожен оток) при фетуси на плъхове, които преминават след раждането. При зайци са наблюдавани аборт или ранна резорбция при дози, водещи до значителна токсичност за майката, включително смърт. Не са наблюдавани тератогенни ефекти при плъхове или зайци.</w:t>
      </w:r>
    </w:p>
    <w:p w14:paraId="1BA6531D" w14:textId="4894DBE7" w:rsidR="00B6672E" w:rsidRDefault="002C50EE" w:rsidP="00936AD0">
      <w:pPr>
        <w:pStyle w:val="Heading1"/>
      </w:pPr>
      <w:r>
        <w:t>7. ПРИТЕЖАТЕЛ НА РАЗРЕШЕНИЕТО ЗА УПОТРЕБА</w:t>
      </w:r>
    </w:p>
    <w:p w14:paraId="11C50736" w14:textId="4EB2515F" w:rsidR="00773635" w:rsidRDefault="00773635" w:rsidP="00773635"/>
    <w:p w14:paraId="5A70FC3E" w14:textId="77777777" w:rsidR="00773635" w:rsidRPr="00773635" w:rsidRDefault="00773635" w:rsidP="00773635">
      <w:pPr>
        <w:spacing w:line="240" w:lineRule="auto"/>
        <w:rPr>
          <w:rFonts w:eastAsia="Times New Roman" w:cs="Arial"/>
          <w:sz w:val="28"/>
          <w:szCs w:val="24"/>
          <w:lang w:val="en-US"/>
        </w:rPr>
      </w:pPr>
      <w:r w:rsidRPr="00773635">
        <w:rPr>
          <w:rFonts w:eastAsia="Times New Roman" w:cs="Arial"/>
          <w:color w:val="000000"/>
          <w:szCs w:val="20"/>
          <w:lang w:val="en-US"/>
        </w:rPr>
        <w:t xml:space="preserve">Accord Healthcare </w:t>
      </w:r>
      <w:proofErr w:type="spellStart"/>
      <w:r w:rsidRPr="00773635">
        <w:rPr>
          <w:rFonts w:eastAsia="Times New Roman" w:cs="Arial"/>
          <w:color w:val="000000"/>
          <w:szCs w:val="20"/>
          <w:lang w:val="en-US"/>
        </w:rPr>
        <w:t>Polska</w:t>
      </w:r>
      <w:proofErr w:type="spellEnd"/>
      <w:r w:rsidRPr="00773635">
        <w:rPr>
          <w:rFonts w:eastAsia="Times New Roman" w:cs="Arial"/>
          <w:color w:val="000000"/>
          <w:szCs w:val="20"/>
          <w:lang w:val="en-US"/>
        </w:rPr>
        <w:t xml:space="preserve"> Sp. z </w:t>
      </w:r>
      <w:proofErr w:type="spellStart"/>
      <w:r w:rsidRPr="00773635">
        <w:rPr>
          <w:rFonts w:eastAsia="Times New Roman" w:cs="Arial"/>
          <w:color w:val="000000"/>
          <w:szCs w:val="20"/>
          <w:lang w:val="en-US"/>
        </w:rPr>
        <w:t>o.o</w:t>
      </w:r>
      <w:proofErr w:type="spellEnd"/>
      <w:proofErr w:type="gramStart"/>
      <w:r w:rsidRPr="00773635">
        <w:rPr>
          <w:rFonts w:eastAsia="Times New Roman" w:cs="Arial"/>
          <w:color w:val="000000"/>
          <w:szCs w:val="20"/>
          <w:lang w:val="en-US"/>
        </w:rPr>
        <w:t>.,</w:t>
      </w:r>
      <w:proofErr w:type="gramEnd"/>
    </w:p>
    <w:p w14:paraId="3B89B023" w14:textId="6BFC3122" w:rsidR="00773635" w:rsidRPr="00773635" w:rsidRDefault="00773635" w:rsidP="00773635">
      <w:pPr>
        <w:spacing w:line="240" w:lineRule="auto"/>
        <w:rPr>
          <w:rFonts w:eastAsia="Times New Roman" w:cs="Arial"/>
          <w:sz w:val="28"/>
          <w:szCs w:val="24"/>
          <w:lang w:val="ru-RU"/>
        </w:rPr>
      </w:pPr>
      <w:proofErr w:type="spellStart"/>
      <w:proofErr w:type="gramStart"/>
      <w:r w:rsidRPr="00773635">
        <w:rPr>
          <w:rFonts w:eastAsia="Times New Roman" w:cs="Arial"/>
          <w:color w:val="000000"/>
          <w:szCs w:val="20"/>
          <w:lang w:val="en-US"/>
        </w:rPr>
        <w:t>ul</w:t>
      </w:r>
      <w:proofErr w:type="spellEnd"/>
      <w:proofErr w:type="gramEnd"/>
      <w:r w:rsidRPr="00773635">
        <w:rPr>
          <w:rFonts w:eastAsia="Times New Roman" w:cs="Arial"/>
          <w:color w:val="000000"/>
          <w:szCs w:val="20"/>
          <w:lang w:val="ru-RU"/>
        </w:rPr>
        <w:t xml:space="preserve">. </w:t>
      </w:r>
      <w:proofErr w:type="spellStart"/>
      <w:r w:rsidRPr="00773635">
        <w:rPr>
          <w:rFonts w:eastAsia="Times New Roman" w:cs="Arial"/>
          <w:color w:val="000000"/>
          <w:szCs w:val="20"/>
          <w:lang w:val="en-US"/>
        </w:rPr>
        <w:t>Tasmowa</w:t>
      </w:r>
      <w:proofErr w:type="spellEnd"/>
      <w:r w:rsidRPr="00773635">
        <w:rPr>
          <w:rFonts w:eastAsia="Times New Roman" w:cs="Arial"/>
          <w:color w:val="000000"/>
          <w:szCs w:val="20"/>
          <w:lang w:val="ru-RU"/>
        </w:rPr>
        <w:t xml:space="preserve"> 7,</w:t>
      </w:r>
    </w:p>
    <w:p w14:paraId="2C3711D9" w14:textId="77777777" w:rsidR="00773635" w:rsidRPr="00773635" w:rsidRDefault="00773635" w:rsidP="00773635">
      <w:pPr>
        <w:spacing w:line="240" w:lineRule="auto"/>
        <w:rPr>
          <w:rFonts w:eastAsia="Times New Roman" w:cs="Arial"/>
          <w:sz w:val="28"/>
          <w:szCs w:val="24"/>
          <w:lang w:val="ru-RU"/>
        </w:rPr>
      </w:pPr>
      <w:r w:rsidRPr="00773635">
        <w:rPr>
          <w:rFonts w:eastAsia="Times New Roman" w:cs="Arial"/>
          <w:color w:val="000000"/>
          <w:szCs w:val="20"/>
          <w:lang w:val="ru-RU"/>
        </w:rPr>
        <w:t xml:space="preserve">02-677, </w:t>
      </w:r>
      <w:r w:rsidRPr="00773635">
        <w:rPr>
          <w:rFonts w:eastAsia="Times New Roman" w:cs="Arial"/>
          <w:color w:val="000000"/>
          <w:szCs w:val="20"/>
          <w:lang w:val="en-US"/>
        </w:rPr>
        <w:t>Warszawa</w:t>
      </w:r>
      <w:r w:rsidRPr="00773635">
        <w:rPr>
          <w:rFonts w:eastAsia="Times New Roman" w:cs="Arial"/>
          <w:color w:val="000000"/>
          <w:szCs w:val="20"/>
          <w:lang w:val="ru-RU"/>
        </w:rPr>
        <w:t xml:space="preserve">, </w:t>
      </w:r>
      <w:proofErr w:type="spellStart"/>
      <w:r w:rsidRPr="00773635">
        <w:rPr>
          <w:rFonts w:eastAsia="Times New Roman" w:cs="Arial"/>
          <w:color w:val="000000"/>
          <w:szCs w:val="20"/>
          <w:lang w:val="en-US"/>
        </w:rPr>
        <w:t>Mazowieckie</w:t>
      </w:r>
      <w:proofErr w:type="spellEnd"/>
      <w:r w:rsidRPr="00773635">
        <w:rPr>
          <w:rFonts w:eastAsia="Times New Roman" w:cs="Arial"/>
          <w:color w:val="000000"/>
          <w:szCs w:val="20"/>
          <w:lang w:val="ru-RU"/>
        </w:rPr>
        <w:t>,</w:t>
      </w:r>
    </w:p>
    <w:p w14:paraId="57B47138" w14:textId="77777777" w:rsidR="00773635" w:rsidRPr="00773635" w:rsidRDefault="00773635" w:rsidP="00773635">
      <w:pPr>
        <w:spacing w:line="240" w:lineRule="auto"/>
        <w:rPr>
          <w:rFonts w:eastAsia="Times New Roman" w:cs="Arial"/>
          <w:sz w:val="28"/>
          <w:szCs w:val="24"/>
          <w:lang w:val="ru-RU"/>
        </w:rPr>
      </w:pPr>
      <w:r w:rsidRPr="00773635">
        <w:rPr>
          <w:rFonts w:eastAsia="Times New Roman" w:cs="Arial"/>
          <w:color w:val="000000"/>
          <w:szCs w:val="20"/>
          <w:lang w:eastAsia="bg-BG"/>
        </w:rPr>
        <w:t>Полша</w:t>
      </w:r>
    </w:p>
    <w:p w14:paraId="29E8908A" w14:textId="77777777" w:rsidR="00773635" w:rsidRPr="00773635" w:rsidRDefault="00773635" w:rsidP="00773635">
      <w:pPr>
        <w:rPr>
          <w:lang w:val="ru-RU"/>
        </w:rPr>
      </w:pPr>
    </w:p>
    <w:p w14:paraId="508F3A54" w14:textId="08F82D94" w:rsidR="00B6672E" w:rsidRDefault="00936AD0" w:rsidP="00936AD0">
      <w:pPr>
        <w:pStyle w:val="Heading1"/>
      </w:pPr>
      <w:r>
        <w:t>8.</w:t>
      </w:r>
      <w:r w:rsidR="002C50EE">
        <w:t>НОМЕР НА РАЗРЕШЕНИЕТО ЗА УПОТРЕБА</w:t>
      </w:r>
    </w:p>
    <w:p w14:paraId="33F92A82" w14:textId="78E0895A" w:rsidR="00773635" w:rsidRDefault="00773635" w:rsidP="00773635"/>
    <w:p w14:paraId="59023083" w14:textId="1D9B3F16" w:rsidR="00773635" w:rsidRPr="00773635" w:rsidRDefault="00773635" w:rsidP="00773635">
      <w:r>
        <w:rPr>
          <w:lang w:eastAsia="bg-BG"/>
        </w:rPr>
        <w:t xml:space="preserve">Рег.№ </w:t>
      </w:r>
      <w:r>
        <w:t>20110</w:t>
      </w:r>
      <w:r w:rsidR="00267DC4">
        <w:t>601</w:t>
      </w:r>
    </w:p>
    <w:p w14:paraId="2CCB5832" w14:textId="19BD46BC" w:rsidR="007C605B" w:rsidRDefault="002C50EE" w:rsidP="007C605B">
      <w:pPr>
        <w:pStyle w:val="Heading1"/>
      </w:pPr>
      <w:r>
        <w:t>9. ДАТА НА ПЪРВО РАЗРЕШАВАНЕ/ПОДНОВЯВАНЕ НА РАЗРЕШЕНИЕТО ЗА УПОТРЕБА</w:t>
      </w:r>
    </w:p>
    <w:p w14:paraId="0D4F6C32" w14:textId="3AF68219" w:rsidR="00773635" w:rsidRDefault="00773635" w:rsidP="00773635"/>
    <w:p w14:paraId="2AD1B922" w14:textId="77777777" w:rsidR="00773635" w:rsidRPr="00773635" w:rsidRDefault="00773635" w:rsidP="00773635">
      <w:pPr>
        <w:rPr>
          <w:sz w:val="24"/>
          <w:szCs w:val="24"/>
        </w:rPr>
      </w:pPr>
      <w:r w:rsidRPr="00773635">
        <w:rPr>
          <w:lang w:eastAsia="bg-BG"/>
        </w:rPr>
        <w:t>Дата на първо разрешаване: 11.10.2011 г.</w:t>
      </w:r>
    </w:p>
    <w:p w14:paraId="1DE9BAF2" w14:textId="4AB80CD1" w:rsidR="00773635" w:rsidRPr="00773635" w:rsidRDefault="00773635" w:rsidP="00773635">
      <w:r w:rsidRPr="00773635">
        <w:rPr>
          <w:lang w:eastAsia="bg-BG"/>
        </w:rPr>
        <w:t>Дата на последно подновяване: 24.04.2018 г.</w:t>
      </w:r>
    </w:p>
    <w:p w14:paraId="0E9D0119" w14:textId="0245C6D7" w:rsidR="002C50EE" w:rsidRDefault="002C50EE" w:rsidP="002C50EE">
      <w:pPr>
        <w:pStyle w:val="Heading1"/>
      </w:pPr>
      <w:r>
        <w:lastRenderedPageBreak/>
        <w:t>10. ДАТА НА АКТУАЛИЗИРАНЕ НА ТЕКСТА</w:t>
      </w:r>
    </w:p>
    <w:bookmarkEnd w:id="0"/>
    <w:p w14:paraId="43FB38A2" w14:textId="3AA785A7" w:rsidR="007C605B" w:rsidRPr="003E3126" w:rsidRDefault="00773635" w:rsidP="00773635">
      <w:r>
        <w:t>Май 2022 г.</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4"/>
  </w:num>
  <w:num w:numId="4">
    <w:abstractNumId w:val="3"/>
  </w:num>
  <w:num w:numId="5">
    <w:abstractNumId w:val="1"/>
  </w:num>
  <w:num w:numId="6">
    <w:abstractNumId w:val="17"/>
  </w:num>
  <w:num w:numId="7">
    <w:abstractNumId w:val="12"/>
  </w:num>
  <w:num w:numId="8">
    <w:abstractNumId w:val="16"/>
  </w:num>
  <w:num w:numId="9">
    <w:abstractNumId w:val="2"/>
  </w:num>
  <w:num w:numId="10">
    <w:abstractNumId w:val="4"/>
  </w:num>
  <w:num w:numId="11">
    <w:abstractNumId w:val="31"/>
  </w:num>
  <w:num w:numId="12">
    <w:abstractNumId w:val="15"/>
  </w:num>
  <w:num w:numId="13">
    <w:abstractNumId w:val="20"/>
  </w:num>
  <w:num w:numId="14">
    <w:abstractNumId w:val="13"/>
  </w:num>
  <w:num w:numId="15">
    <w:abstractNumId w:val="30"/>
  </w:num>
  <w:num w:numId="16">
    <w:abstractNumId w:val="11"/>
  </w:num>
  <w:num w:numId="17">
    <w:abstractNumId w:val="25"/>
  </w:num>
  <w:num w:numId="18">
    <w:abstractNumId w:val="8"/>
  </w:num>
  <w:num w:numId="19">
    <w:abstractNumId w:val="27"/>
  </w:num>
  <w:num w:numId="20">
    <w:abstractNumId w:val="24"/>
  </w:num>
  <w:num w:numId="21">
    <w:abstractNumId w:val="18"/>
  </w:num>
  <w:num w:numId="22">
    <w:abstractNumId w:val="26"/>
  </w:num>
  <w:num w:numId="23">
    <w:abstractNumId w:val="19"/>
  </w:num>
  <w:num w:numId="24">
    <w:abstractNumId w:val="9"/>
  </w:num>
  <w:num w:numId="25">
    <w:abstractNumId w:val="23"/>
  </w:num>
  <w:num w:numId="26">
    <w:abstractNumId w:val="22"/>
  </w:num>
  <w:num w:numId="27">
    <w:abstractNumId w:val="32"/>
  </w:num>
  <w:num w:numId="28">
    <w:abstractNumId w:val="6"/>
  </w:num>
  <w:num w:numId="29">
    <w:abstractNumId w:val="21"/>
  </w:num>
  <w:num w:numId="30">
    <w:abstractNumId w:val="35"/>
  </w:num>
  <w:num w:numId="31">
    <w:abstractNumId w:val="5"/>
  </w:num>
  <w:num w:numId="32">
    <w:abstractNumId w:val="34"/>
  </w:num>
  <w:num w:numId="33">
    <w:abstractNumId w:val="29"/>
  </w:num>
  <w:num w:numId="34">
    <w:abstractNumId w:val="33"/>
  </w:num>
  <w:num w:numId="35">
    <w:abstractNumId w:val="7"/>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61AED"/>
    <w:rsid w:val="00185A46"/>
    <w:rsid w:val="001915B6"/>
    <w:rsid w:val="001D1B23"/>
    <w:rsid w:val="00267DC4"/>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122AD"/>
    <w:rsid w:val="0075649D"/>
    <w:rsid w:val="00773635"/>
    <w:rsid w:val="007C605B"/>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E0AEF"/>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6066</Words>
  <Characters>34581</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2022-08-31T17:55:00Z</dcterms:created>
  <dcterms:modified xsi:type="dcterms:W3CDTF">2022-08-31T17:55:00Z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