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09CEB67B" w:rsidR="002C50EE" w:rsidRDefault="002C50EE" w:rsidP="002C50EE">
      <w:pPr>
        <w:pStyle w:val="Heading1"/>
        <w:jc w:val="center"/>
      </w:pPr>
      <w:bookmarkStart w:id="0" w:name="_Hlk63124480"/>
      <w:r>
        <w:t>КРАТКА ХАРАКТЕРИСТИКА НА ПРОДУКТА</w:t>
      </w:r>
    </w:p>
    <w:p w14:paraId="5A3B4435" w14:textId="77777777" w:rsidR="0091385D" w:rsidRPr="0091385D" w:rsidRDefault="0091385D" w:rsidP="0091385D"/>
    <w:p w14:paraId="3320F4BE" w14:textId="2EB48694" w:rsidR="00C40420" w:rsidRDefault="00DD466D" w:rsidP="004A448E">
      <w:pPr>
        <w:pStyle w:val="Heading1"/>
      </w:pPr>
      <w:r>
        <w:t>1.ИМЕ НА ЛЕКАРСТВЕНИЯ ПРОДУКТ</w:t>
      </w:r>
    </w:p>
    <w:p w14:paraId="5E9BA472" w14:textId="7B7F9CBA" w:rsidR="0091385D" w:rsidRDefault="0091385D" w:rsidP="0091385D"/>
    <w:p w14:paraId="64C53F76" w14:textId="77777777" w:rsidR="00CE189B" w:rsidRPr="00CE189B" w:rsidRDefault="00CE189B" w:rsidP="00CE189B">
      <w:pPr>
        <w:spacing w:line="240" w:lineRule="auto"/>
        <w:rPr>
          <w:rFonts w:ascii="Times New Roman" w:eastAsia="Times New Roman" w:hAnsi="Times New Roman" w:cs="Times New Roman"/>
          <w:sz w:val="24"/>
          <w:szCs w:val="24"/>
          <w:lang w:val="en-US" w:eastAsia="bg-BG"/>
        </w:rPr>
      </w:pPr>
    </w:p>
    <w:p w14:paraId="7E2088ED" w14:textId="77777777" w:rsidR="00CE189B" w:rsidRPr="00CE189B" w:rsidRDefault="00CE189B" w:rsidP="00CE189B">
      <w:pPr>
        <w:spacing w:line="240" w:lineRule="auto"/>
        <w:rPr>
          <w:rFonts w:eastAsia="Times New Roman" w:cs="Arial"/>
          <w:lang w:val="en-US" w:eastAsia="bg-BG"/>
        </w:rPr>
      </w:pPr>
      <w:r w:rsidRPr="00CE189B">
        <w:rPr>
          <w:rFonts w:eastAsia="Times New Roman" w:cs="Arial"/>
          <w:color w:val="000000"/>
          <w:lang w:eastAsia="bg-BG"/>
        </w:rPr>
        <w:t xml:space="preserve">ИЗОНИД </w:t>
      </w:r>
      <w:r w:rsidRPr="00CE189B">
        <w:rPr>
          <w:rFonts w:eastAsia="Times New Roman" w:cs="Arial"/>
          <w:color w:val="000000"/>
          <w:lang w:val="en-US"/>
        </w:rPr>
        <w:t xml:space="preserve">100 mg </w:t>
      </w:r>
      <w:r w:rsidRPr="00CE189B">
        <w:rPr>
          <w:rFonts w:eastAsia="Times New Roman" w:cs="Arial"/>
          <w:color w:val="000000"/>
          <w:lang w:eastAsia="bg-BG"/>
        </w:rPr>
        <w:t>таблетки</w:t>
      </w:r>
    </w:p>
    <w:p w14:paraId="69AC8148" w14:textId="4131DDFD" w:rsidR="00EC41ED" w:rsidRPr="00CE189B" w:rsidRDefault="00CE189B" w:rsidP="00CE189B">
      <w:pPr>
        <w:rPr>
          <w:rFonts w:cs="Arial"/>
        </w:rPr>
      </w:pPr>
      <w:r w:rsidRPr="00CE189B">
        <w:rPr>
          <w:rFonts w:eastAsia="Times New Roman" w:cs="Arial"/>
          <w:color w:val="000000"/>
          <w:lang w:val="en-US"/>
        </w:rPr>
        <w:t>ISONID 100 mg tablets</w:t>
      </w:r>
    </w:p>
    <w:p w14:paraId="1E8447D1" w14:textId="77777777" w:rsidR="0091385D" w:rsidRPr="0091385D" w:rsidRDefault="0091385D" w:rsidP="0091385D"/>
    <w:p w14:paraId="6920A680" w14:textId="53C3EFCC" w:rsidR="00C40420" w:rsidRDefault="00DD466D" w:rsidP="004A448E">
      <w:pPr>
        <w:pStyle w:val="Heading1"/>
      </w:pPr>
      <w:r>
        <w:t>2. КАЧЕСТВЕН И КОЛИЧЕСТВЕН СЪСТАВ</w:t>
      </w:r>
    </w:p>
    <w:p w14:paraId="1ED33AE8" w14:textId="478BAC70" w:rsidR="0091385D" w:rsidRDefault="0091385D" w:rsidP="0091385D"/>
    <w:p w14:paraId="23607186" w14:textId="77777777" w:rsidR="00CE189B" w:rsidRPr="00CE189B" w:rsidRDefault="00CE189B" w:rsidP="00CE189B">
      <w:pPr>
        <w:spacing w:line="240" w:lineRule="auto"/>
        <w:rPr>
          <w:rFonts w:eastAsia="Times New Roman" w:cs="Arial"/>
          <w:lang w:eastAsia="bg-BG"/>
        </w:rPr>
      </w:pPr>
      <w:r w:rsidRPr="00CE189B">
        <w:rPr>
          <w:rFonts w:eastAsia="Times New Roman" w:cs="Arial"/>
          <w:color w:val="000000"/>
          <w:lang w:eastAsia="bg-BG"/>
        </w:rPr>
        <w:t xml:space="preserve">Всяка таблетка съдържа Изониазид </w:t>
      </w:r>
      <w:r w:rsidRPr="00CE189B">
        <w:rPr>
          <w:rFonts w:eastAsia="Times New Roman" w:cs="Arial"/>
          <w:i/>
          <w:iCs/>
          <w:color w:val="000000"/>
          <w:lang w:val="en-US"/>
        </w:rPr>
        <w:t>(Isoniazid)</w:t>
      </w:r>
      <w:r w:rsidRPr="00CE189B">
        <w:rPr>
          <w:rFonts w:eastAsia="Times New Roman" w:cs="Arial"/>
          <w:color w:val="000000"/>
          <w:lang w:val="en-US"/>
        </w:rPr>
        <w:t xml:space="preserve"> </w:t>
      </w:r>
      <w:r w:rsidRPr="00CE189B">
        <w:rPr>
          <w:rFonts w:eastAsia="Times New Roman" w:cs="Arial"/>
          <w:color w:val="000000"/>
          <w:lang w:eastAsia="bg-BG"/>
        </w:rPr>
        <w:t xml:space="preserve">100 </w:t>
      </w:r>
      <w:r w:rsidRPr="00CE189B">
        <w:rPr>
          <w:rFonts w:eastAsia="Times New Roman" w:cs="Arial"/>
          <w:color w:val="000000"/>
          <w:lang w:val="en-US"/>
        </w:rPr>
        <w:t>mg.</w:t>
      </w:r>
    </w:p>
    <w:p w14:paraId="19ABDC3C" w14:textId="77777777" w:rsidR="00CE189B" w:rsidRPr="00CE189B" w:rsidRDefault="00CE189B" w:rsidP="00CE189B">
      <w:pPr>
        <w:rPr>
          <w:rFonts w:eastAsia="Times New Roman" w:cs="Arial"/>
          <w:color w:val="000000"/>
          <w:lang w:eastAsia="bg-BG"/>
        </w:rPr>
      </w:pPr>
    </w:p>
    <w:p w14:paraId="54632B43" w14:textId="21717BEC" w:rsidR="00EC41ED" w:rsidRPr="00CE189B" w:rsidRDefault="00CE189B" w:rsidP="00CE189B">
      <w:pPr>
        <w:rPr>
          <w:rFonts w:cs="Arial"/>
        </w:rPr>
      </w:pPr>
      <w:r w:rsidRPr="00CE189B">
        <w:rPr>
          <w:rFonts w:eastAsia="Times New Roman" w:cs="Arial"/>
          <w:color w:val="000000"/>
          <w:lang w:eastAsia="bg-BG"/>
        </w:rPr>
        <w:t>За пълния списък на помощните вещества вижте точка 6.1.</w:t>
      </w:r>
    </w:p>
    <w:p w14:paraId="3C47C299" w14:textId="77777777" w:rsidR="00A73575" w:rsidRPr="0091385D" w:rsidRDefault="00A73575" w:rsidP="0091385D"/>
    <w:p w14:paraId="614984C4" w14:textId="3FC552C3" w:rsidR="008A6AF2" w:rsidRDefault="00DD466D" w:rsidP="002C50EE">
      <w:pPr>
        <w:pStyle w:val="Heading1"/>
      </w:pPr>
      <w:r>
        <w:t>3. ЛЕКАРСТВЕНА ФОРМА</w:t>
      </w:r>
    </w:p>
    <w:p w14:paraId="1004E96C" w14:textId="67F9C61D" w:rsidR="0091385D" w:rsidRDefault="0091385D" w:rsidP="0091385D"/>
    <w:p w14:paraId="4B6DA4B0" w14:textId="77777777" w:rsidR="00CE189B" w:rsidRPr="00CE189B" w:rsidRDefault="00CE189B" w:rsidP="00CE189B">
      <w:pPr>
        <w:spacing w:line="240" w:lineRule="auto"/>
        <w:rPr>
          <w:rFonts w:eastAsia="Times New Roman" w:cs="Arial"/>
          <w:lang w:eastAsia="bg-BG"/>
        </w:rPr>
      </w:pPr>
      <w:r w:rsidRPr="00CE189B">
        <w:rPr>
          <w:rFonts w:eastAsia="Times New Roman" w:cs="Arial"/>
          <w:color w:val="000000"/>
          <w:lang w:eastAsia="bg-BG"/>
        </w:rPr>
        <w:t>Таблетка</w:t>
      </w:r>
    </w:p>
    <w:p w14:paraId="743244F0" w14:textId="4853D831" w:rsidR="00EC41ED" w:rsidRPr="00CE189B" w:rsidRDefault="00CE189B" w:rsidP="00CE189B">
      <w:pPr>
        <w:rPr>
          <w:rFonts w:cs="Arial"/>
        </w:rPr>
      </w:pPr>
      <w:r w:rsidRPr="00CE189B">
        <w:rPr>
          <w:rFonts w:eastAsia="Times New Roman" w:cs="Arial"/>
          <w:color w:val="000000"/>
          <w:lang w:eastAsia="bg-BG"/>
        </w:rPr>
        <w:t xml:space="preserve">Описание: кръгли, двойно-изпъкнали таблетки с диаметър 7 </w:t>
      </w:r>
      <w:r w:rsidRPr="00CE189B">
        <w:rPr>
          <w:rFonts w:eastAsia="Times New Roman" w:cs="Arial"/>
          <w:color w:val="000000"/>
          <w:lang w:val="en-US"/>
        </w:rPr>
        <w:t xml:space="preserve">mm </w:t>
      </w:r>
      <w:r w:rsidRPr="00CE189B">
        <w:rPr>
          <w:rFonts w:eastAsia="Times New Roman" w:cs="Arial"/>
          <w:color w:val="000000"/>
          <w:lang w:eastAsia="bg-BG"/>
        </w:rPr>
        <w:t>и бял до почти бял цвят.</w:t>
      </w:r>
    </w:p>
    <w:p w14:paraId="7D287A22" w14:textId="77777777" w:rsidR="00A73575" w:rsidRPr="0091385D" w:rsidRDefault="00A73575" w:rsidP="0091385D"/>
    <w:p w14:paraId="490FC2C4" w14:textId="76FABE77" w:rsidR="002C50EE" w:rsidRDefault="002C50EE" w:rsidP="002C50EE">
      <w:pPr>
        <w:pStyle w:val="Heading1"/>
      </w:pPr>
      <w:r>
        <w:t>4. КЛИНИЧНИ ДАННИ</w:t>
      </w:r>
    </w:p>
    <w:p w14:paraId="0C69CBC7" w14:textId="77777777" w:rsidR="0091385D" w:rsidRPr="0091385D" w:rsidRDefault="0091385D" w:rsidP="0091385D"/>
    <w:p w14:paraId="0C8E6903" w14:textId="51BB3E2D" w:rsidR="008134C8" w:rsidRDefault="002C50EE" w:rsidP="004A448E">
      <w:pPr>
        <w:pStyle w:val="Heading2"/>
      </w:pPr>
      <w:r>
        <w:t>4.1. Терапевтични показания</w:t>
      </w:r>
    </w:p>
    <w:p w14:paraId="174D169F" w14:textId="0369962D" w:rsidR="0091385D" w:rsidRDefault="0091385D" w:rsidP="0091385D"/>
    <w:p w14:paraId="103DE7B2" w14:textId="77777777" w:rsidR="00CE189B" w:rsidRPr="00CE189B" w:rsidRDefault="00CE189B" w:rsidP="00CE189B">
      <w:pPr>
        <w:spacing w:line="240" w:lineRule="auto"/>
        <w:rPr>
          <w:rFonts w:eastAsia="Times New Roman" w:cs="Arial"/>
          <w:lang w:eastAsia="bg-BG"/>
        </w:rPr>
      </w:pPr>
      <w:r w:rsidRPr="00CE189B">
        <w:rPr>
          <w:rFonts w:eastAsia="Times New Roman" w:cs="Arial"/>
          <w:color w:val="000000"/>
          <w:lang w:eastAsia="bg-BG"/>
        </w:rPr>
        <w:t xml:space="preserve">ИЗОНИД 100 </w:t>
      </w:r>
      <w:r w:rsidRPr="00CE189B">
        <w:rPr>
          <w:rFonts w:eastAsia="Times New Roman" w:cs="Arial"/>
          <w:color w:val="000000"/>
          <w:lang w:val="en-US"/>
        </w:rPr>
        <w:t xml:space="preserve">mg </w:t>
      </w:r>
      <w:r w:rsidRPr="00CE189B">
        <w:rPr>
          <w:rFonts w:eastAsia="Times New Roman" w:cs="Arial"/>
          <w:color w:val="000000"/>
          <w:lang w:eastAsia="bg-BG"/>
        </w:rPr>
        <w:t xml:space="preserve">таблетки се прилага за лечение на туберкулоза, причинена от </w:t>
      </w:r>
      <w:r w:rsidRPr="00CE189B">
        <w:rPr>
          <w:rFonts w:eastAsia="Times New Roman" w:cs="Arial"/>
          <w:i/>
          <w:iCs/>
          <w:color w:val="000000"/>
          <w:lang w:val="en-US"/>
        </w:rPr>
        <w:t>Mycobacterium tuberculosis:</w:t>
      </w:r>
    </w:p>
    <w:p w14:paraId="3B558BF3" w14:textId="77777777" w:rsidR="00CE189B" w:rsidRPr="00CE189B" w:rsidRDefault="00CE189B" w:rsidP="00CE189B">
      <w:pPr>
        <w:pStyle w:val="ListParagraph"/>
        <w:numPr>
          <w:ilvl w:val="0"/>
          <w:numId w:val="36"/>
        </w:numPr>
        <w:spacing w:line="240" w:lineRule="auto"/>
        <w:rPr>
          <w:rFonts w:eastAsia="Times New Roman" w:cs="Arial"/>
          <w:color w:val="000000"/>
          <w:lang w:eastAsia="bg-BG"/>
        </w:rPr>
      </w:pPr>
      <w:r w:rsidRPr="00CE189B">
        <w:rPr>
          <w:rFonts w:eastAsia="Times New Roman" w:cs="Arial"/>
          <w:color w:val="000000"/>
          <w:lang w:eastAsia="bg-BG"/>
        </w:rPr>
        <w:t>лечение на всички форми на активна белодробна туберкулоза с бацилоотделяне и без бацилоотделяне у деца и възрастни в комбинация с други туберкулостатици;</w:t>
      </w:r>
    </w:p>
    <w:p w14:paraId="517589E6" w14:textId="77777777" w:rsidR="00CE189B" w:rsidRPr="00CE189B" w:rsidRDefault="00CE189B" w:rsidP="00CE189B">
      <w:pPr>
        <w:pStyle w:val="ListParagraph"/>
        <w:numPr>
          <w:ilvl w:val="0"/>
          <w:numId w:val="36"/>
        </w:numPr>
        <w:spacing w:line="240" w:lineRule="auto"/>
        <w:rPr>
          <w:rFonts w:eastAsia="Times New Roman" w:cs="Arial"/>
          <w:color w:val="000000"/>
          <w:lang w:eastAsia="bg-BG"/>
        </w:rPr>
      </w:pPr>
      <w:r w:rsidRPr="00CE189B">
        <w:rPr>
          <w:rFonts w:eastAsia="Times New Roman" w:cs="Arial"/>
          <w:color w:val="000000"/>
          <w:lang w:eastAsia="bg-BG"/>
        </w:rPr>
        <w:t>лечение на всички форми на активна извънбелодробна туберкулоза в комбинация с други туберкулостатици;</w:t>
      </w:r>
    </w:p>
    <w:p w14:paraId="3A251C4A" w14:textId="77777777" w:rsidR="00CE189B" w:rsidRPr="00CE189B" w:rsidRDefault="00CE189B" w:rsidP="00CE189B">
      <w:pPr>
        <w:pStyle w:val="ListParagraph"/>
        <w:numPr>
          <w:ilvl w:val="0"/>
          <w:numId w:val="36"/>
        </w:numPr>
        <w:spacing w:line="240" w:lineRule="auto"/>
        <w:rPr>
          <w:rFonts w:eastAsia="Times New Roman" w:cs="Arial"/>
          <w:color w:val="000000"/>
          <w:lang w:eastAsia="bg-BG"/>
        </w:rPr>
      </w:pPr>
      <w:r w:rsidRPr="00CE189B">
        <w:rPr>
          <w:rFonts w:eastAsia="Times New Roman" w:cs="Arial"/>
          <w:color w:val="000000"/>
          <w:lang w:eastAsia="bg-BG"/>
        </w:rPr>
        <w:t>за лечение на мултирезистентна туберкулоза;</w:t>
      </w:r>
    </w:p>
    <w:p w14:paraId="6DFA4B9D" w14:textId="53ECAFE7" w:rsidR="0091385D" w:rsidRPr="00CE189B" w:rsidRDefault="00CE189B" w:rsidP="00CE189B">
      <w:pPr>
        <w:pStyle w:val="ListParagraph"/>
        <w:numPr>
          <w:ilvl w:val="0"/>
          <w:numId w:val="36"/>
        </w:numPr>
        <w:spacing w:line="240" w:lineRule="auto"/>
        <w:rPr>
          <w:rFonts w:eastAsia="Times New Roman" w:cs="Arial"/>
          <w:color w:val="000000"/>
          <w:lang w:eastAsia="bg-BG"/>
        </w:rPr>
      </w:pPr>
      <w:r w:rsidRPr="00CE189B">
        <w:rPr>
          <w:rFonts w:eastAsia="Times New Roman" w:cs="Arial"/>
          <w:color w:val="000000"/>
          <w:lang w:eastAsia="bg-BG"/>
        </w:rPr>
        <w:t>лечение на латентна туберкулозна инфекция (профилактика).</w:t>
      </w:r>
    </w:p>
    <w:p w14:paraId="642F56D9" w14:textId="77777777" w:rsidR="00EC41ED" w:rsidRPr="0091385D" w:rsidRDefault="00EC41ED" w:rsidP="0091385D"/>
    <w:p w14:paraId="30BE2C7B" w14:textId="3633C1E4" w:rsidR="008134C8" w:rsidRDefault="002C50EE" w:rsidP="004A448E">
      <w:pPr>
        <w:pStyle w:val="Heading2"/>
      </w:pPr>
      <w:r>
        <w:t>4.2. Дозировка и начин на приложение</w:t>
      </w:r>
    </w:p>
    <w:p w14:paraId="7AA22B68" w14:textId="0723B40D" w:rsidR="0091385D" w:rsidRDefault="0091385D" w:rsidP="0091385D"/>
    <w:p w14:paraId="39572CD6" w14:textId="77777777" w:rsidR="00CE189B" w:rsidRPr="00CE189B" w:rsidRDefault="00CE189B" w:rsidP="00CE189B">
      <w:pPr>
        <w:spacing w:line="240" w:lineRule="auto"/>
        <w:rPr>
          <w:rFonts w:eastAsia="Times New Roman" w:cs="Arial"/>
          <w:lang w:eastAsia="bg-BG"/>
        </w:rPr>
      </w:pPr>
      <w:r w:rsidRPr="00CE189B">
        <w:rPr>
          <w:rFonts w:eastAsia="Times New Roman" w:cs="Arial"/>
          <w:color w:val="000000"/>
          <w:lang w:eastAsia="bg-BG"/>
        </w:rPr>
        <w:t>Лечението на туберкулозата се провежда съгласно стратегията на СЗО и приетите схеми за лечение в</w:t>
      </w:r>
    </w:p>
    <w:p w14:paraId="605FF285" w14:textId="77777777" w:rsidR="00CE189B" w:rsidRPr="00CE189B" w:rsidRDefault="00CE189B" w:rsidP="00CE189B">
      <w:pPr>
        <w:spacing w:line="240" w:lineRule="auto"/>
        <w:rPr>
          <w:rFonts w:eastAsia="Times New Roman" w:cs="Arial"/>
          <w:lang w:eastAsia="bg-BG"/>
        </w:rPr>
      </w:pPr>
      <w:r w:rsidRPr="00CE189B">
        <w:rPr>
          <w:rFonts w:eastAsia="Times New Roman" w:cs="Arial"/>
          <w:color w:val="000000"/>
          <w:lang w:eastAsia="bg-BG"/>
        </w:rPr>
        <w:t>България. Лечението се провежда в две фази; интензивна и продължителна.</w:t>
      </w:r>
    </w:p>
    <w:p w14:paraId="06EE9554" w14:textId="77777777" w:rsidR="00CE189B" w:rsidRPr="00CE189B" w:rsidRDefault="00CE189B" w:rsidP="00CE189B">
      <w:pPr>
        <w:spacing w:line="240" w:lineRule="auto"/>
        <w:rPr>
          <w:rFonts w:eastAsia="Times New Roman" w:cs="Arial"/>
          <w:color w:val="000000"/>
          <w:u w:val="single"/>
          <w:lang w:eastAsia="bg-BG"/>
        </w:rPr>
      </w:pPr>
    </w:p>
    <w:p w14:paraId="5BE7BDEB" w14:textId="2628D135" w:rsidR="00CE189B" w:rsidRPr="00CE189B" w:rsidRDefault="00CE189B" w:rsidP="00CE189B">
      <w:pPr>
        <w:spacing w:line="240" w:lineRule="auto"/>
        <w:rPr>
          <w:rFonts w:eastAsia="Times New Roman" w:cs="Arial"/>
          <w:lang w:eastAsia="bg-BG"/>
        </w:rPr>
      </w:pPr>
      <w:r w:rsidRPr="00CE189B">
        <w:rPr>
          <w:rFonts w:eastAsia="Times New Roman" w:cs="Arial"/>
          <w:color w:val="000000"/>
          <w:u w:val="single"/>
          <w:lang w:eastAsia="bg-BG"/>
        </w:rPr>
        <w:t xml:space="preserve">Интензивна </w:t>
      </w:r>
      <w:r w:rsidRPr="00CE189B">
        <w:rPr>
          <w:rFonts w:eastAsia="Times New Roman" w:cs="Arial"/>
          <w:color w:val="000000"/>
          <w:lang w:eastAsia="bg-BG"/>
        </w:rPr>
        <w:t>- при бацилоотделяне.</w:t>
      </w:r>
    </w:p>
    <w:p w14:paraId="646DC5E6" w14:textId="77777777" w:rsidR="00CE189B" w:rsidRPr="00CE189B" w:rsidRDefault="00CE189B" w:rsidP="00CE189B">
      <w:pPr>
        <w:spacing w:line="240" w:lineRule="auto"/>
        <w:rPr>
          <w:rFonts w:eastAsia="Times New Roman" w:cs="Arial"/>
          <w:lang w:eastAsia="bg-BG"/>
        </w:rPr>
      </w:pPr>
      <w:r w:rsidRPr="00CE189B">
        <w:rPr>
          <w:rFonts w:eastAsia="Times New Roman" w:cs="Arial"/>
          <w:color w:val="000000"/>
          <w:lang w:eastAsia="bg-BG"/>
        </w:rPr>
        <w:t>Минимум 2 месеца, максимум 3 месеца.</w:t>
      </w:r>
    </w:p>
    <w:p w14:paraId="66C4C790" w14:textId="77777777" w:rsidR="00CE189B" w:rsidRPr="00CE189B" w:rsidRDefault="00CE189B" w:rsidP="00CE189B">
      <w:pPr>
        <w:spacing w:line="240" w:lineRule="auto"/>
        <w:rPr>
          <w:rFonts w:eastAsia="Times New Roman" w:cs="Arial"/>
          <w:color w:val="000000"/>
          <w:u w:val="single"/>
          <w:lang w:eastAsia="bg-BG"/>
        </w:rPr>
      </w:pPr>
    </w:p>
    <w:p w14:paraId="624DE71D" w14:textId="3A4AE876" w:rsidR="00CE189B" w:rsidRPr="00CE189B" w:rsidRDefault="00CE189B" w:rsidP="00CE189B">
      <w:pPr>
        <w:spacing w:line="240" w:lineRule="auto"/>
        <w:rPr>
          <w:rFonts w:eastAsia="Times New Roman" w:cs="Arial"/>
          <w:lang w:eastAsia="bg-BG"/>
        </w:rPr>
      </w:pPr>
      <w:r w:rsidRPr="00CE189B">
        <w:rPr>
          <w:rFonts w:eastAsia="Times New Roman" w:cs="Arial"/>
          <w:color w:val="000000"/>
          <w:u w:val="single"/>
          <w:lang w:eastAsia="bg-BG"/>
        </w:rPr>
        <w:lastRenderedPageBreak/>
        <w:t>Продължителна:</w:t>
      </w:r>
      <w:r w:rsidRPr="00CE189B">
        <w:rPr>
          <w:rFonts w:eastAsia="Times New Roman" w:cs="Arial"/>
          <w:color w:val="000000"/>
          <w:lang w:eastAsia="bg-BG"/>
        </w:rPr>
        <w:t xml:space="preserve"> до консолидация на огнищата.</w:t>
      </w:r>
    </w:p>
    <w:p w14:paraId="61A82637" w14:textId="77777777" w:rsidR="00CE189B" w:rsidRPr="00CE189B" w:rsidRDefault="00CE189B" w:rsidP="00CE189B">
      <w:pPr>
        <w:spacing w:line="240" w:lineRule="auto"/>
        <w:rPr>
          <w:rFonts w:eastAsia="Times New Roman" w:cs="Arial"/>
          <w:lang w:eastAsia="bg-BG"/>
        </w:rPr>
      </w:pPr>
      <w:r w:rsidRPr="00CE189B">
        <w:rPr>
          <w:rFonts w:eastAsia="Times New Roman" w:cs="Arial"/>
          <w:color w:val="000000"/>
          <w:lang w:eastAsia="bg-BG"/>
        </w:rPr>
        <w:t>От 3 до 9 месеца.</w:t>
      </w:r>
    </w:p>
    <w:p w14:paraId="16A10509" w14:textId="77777777" w:rsidR="00CE189B" w:rsidRPr="00CE189B" w:rsidRDefault="00CE189B" w:rsidP="00CE189B">
      <w:pPr>
        <w:spacing w:line="240" w:lineRule="auto"/>
        <w:rPr>
          <w:rFonts w:eastAsia="Times New Roman" w:cs="Arial"/>
          <w:i/>
          <w:iCs/>
          <w:color w:val="000000"/>
          <w:lang w:eastAsia="bg-BG"/>
        </w:rPr>
      </w:pPr>
    </w:p>
    <w:p w14:paraId="0ACEEE4A" w14:textId="2470CE24" w:rsidR="00CE189B" w:rsidRPr="00CE189B" w:rsidRDefault="00CE189B" w:rsidP="00CE189B">
      <w:pPr>
        <w:spacing w:line="240" w:lineRule="auto"/>
        <w:rPr>
          <w:rFonts w:eastAsia="Times New Roman" w:cs="Arial"/>
          <w:lang w:eastAsia="bg-BG"/>
        </w:rPr>
      </w:pPr>
      <w:r w:rsidRPr="00CE189B">
        <w:rPr>
          <w:rFonts w:eastAsia="Times New Roman" w:cs="Arial"/>
          <w:i/>
          <w:iCs/>
          <w:color w:val="000000"/>
          <w:lang w:eastAsia="bg-BG"/>
        </w:rPr>
        <w:t>Ежедневен режим:</w:t>
      </w:r>
    </w:p>
    <w:p w14:paraId="53E1C12C" w14:textId="77777777" w:rsidR="00CE189B" w:rsidRPr="00CE189B" w:rsidRDefault="00CE189B" w:rsidP="00CE189B">
      <w:pPr>
        <w:pStyle w:val="ListParagraph"/>
        <w:numPr>
          <w:ilvl w:val="0"/>
          <w:numId w:val="37"/>
        </w:numPr>
        <w:spacing w:line="240" w:lineRule="auto"/>
        <w:rPr>
          <w:rFonts w:eastAsia="Times New Roman" w:cs="Arial"/>
          <w:i/>
          <w:iCs/>
          <w:color w:val="000000"/>
          <w:lang w:eastAsia="bg-BG"/>
        </w:rPr>
      </w:pPr>
      <w:r w:rsidRPr="00CE189B">
        <w:rPr>
          <w:rFonts w:eastAsia="Times New Roman" w:cs="Arial"/>
          <w:i/>
          <w:iCs/>
          <w:color w:val="000000"/>
          <w:lang w:eastAsia="bg-BG"/>
        </w:rPr>
        <w:t>при деца</w:t>
      </w:r>
      <w:r w:rsidRPr="00CE189B">
        <w:rPr>
          <w:rFonts w:eastAsia="Times New Roman" w:cs="Arial"/>
          <w:color w:val="000000"/>
          <w:lang w:eastAsia="bg-BG"/>
        </w:rPr>
        <w:t xml:space="preserve"> 10 </w:t>
      </w:r>
      <w:r w:rsidRPr="00CE189B">
        <w:rPr>
          <w:rFonts w:eastAsia="Times New Roman" w:cs="Arial"/>
          <w:color w:val="000000"/>
          <w:lang w:val="en-US"/>
        </w:rPr>
        <w:t>mg/kg</w:t>
      </w:r>
      <w:r w:rsidRPr="00CE189B">
        <w:rPr>
          <w:rFonts w:eastAsia="Times New Roman" w:cs="Arial"/>
          <w:color w:val="000000"/>
          <w:lang w:eastAsia="bg-BG"/>
        </w:rPr>
        <w:t xml:space="preserve">/ден (от 10 до 15 </w:t>
      </w:r>
      <w:r w:rsidRPr="00CE189B">
        <w:rPr>
          <w:rFonts w:eastAsia="Times New Roman" w:cs="Arial"/>
          <w:color w:val="000000"/>
          <w:lang w:val="en-US"/>
        </w:rPr>
        <w:t>mg/kg</w:t>
      </w:r>
      <w:r w:rsidRPr="00CE189B">
        <w:rPr>
          <w:rFonts w:eastAsia="Times New Roman" w:cs="Arial"/>
          <w:color w:val="000000"/>
          <w:lang w:eastAsia="bg-BG"/>
        </w:rPr>
        <w:t>/ден);</w:t>
      </w:r>
    </w:p>
    <w:p w14:paraId="50B5C667" w14:textId="24DD2BB0" w:rsidR="00CE189B" w:rsidRPr="00CE189B" w:rsidRDefault="00CE189B" w:rsidP="00CE189B">
      <w:pPr>
        <w:pStyle w:val="ListParagraph"/>
        <w:numPr>
          <w:ilvl w:val="0"/>
          <w:numId w:val="37"/>
        </w:numPr>
        <w:spacing w:line="240" w:lineRule="auto"/>
        <w:rPr>
          <w:rFonts w:eastAsia="Times New Roman" w:cs="Arial"/>
          <w:i/>
          <w:iCs/>
          <w:color w:val="000000"/>
          <w:lang w:eastAsia="bg-BG"/>
        </w:rPr>
      </w:pPr>
      <w:r w:rsidRPr="00CE189B">
        <w:rPr>
          <w:rFonts w:eastAsia="Times New Roman" w:cs="Arial"/>
          <w:i/>
          <w:iCs/>
          <w:color w:val="000000"/>
          <w:lang w:eastAsia="bg-BG"/>
        </w:rPr>
        <w:t>при възрастни</w:t>
      </w:r>
      <w:r w:rsidRPr="00CE189B">
        <w:rPr>
          <w:rFonts w:eastAsia="Times New Roman" w:cs="Arial"/>
          <w:color w:val="000000"/>
          <w:lang w:eastAsia="bg-BG"/>
        </w:rPr>
        <w:t xml:space="preserve"> 5 </w:t>
      </w:r>
      <w:r w:rsidRPr="00CE189B">
        <w:rPr>
          <w:rFonts w:eastAsia="Times New Roman" w:cs="Arial"/>
          <w:color w:val="000000"/>
          <w:lang w:val="en-US"/>
        </w:rPr>
        <w:t>mg/kg</w:t>
      </w:r>
      <w:r w:rsidRPr="00CE189B">
        <w:rPr>
          <w:rFonts w:eastAsia="Times New Roman" w:cs="Arial"/>
          <w:color w:val="000000"/>
          <w:lang w:eastAsia="bg-BG"/>
        </w:rPr>
        <w:t xml:space="preserve">/ден (от 4 до 6 </w:t>
      </w:r>
      <w:r w:rsidRPr="00CE189B">
        <w:rPr>
          <w:rFonts w:eastAsia="Times New Roman" w:cs="Arial"/>
          <w:color w:val="000000"/>
          <w:lang w:val="en-US"/>
        </w:rPr>
        <w:t>mg/kg</w:t>
      </w:r>
      <w:r w:rsidRPr="00CE189B">
        <w:rPr>
          <w:rFonts w:eastAsia="Times New Roman" w:cs="Arial"/>
          <w:color w:val="000000"/>
          <w:lang w:eastAsia="bg-BG"/>
        </w:rPr>
        <w:t>/ден)</w:t>
      </w:r>
    </w:p>
    <w:p w14:paraId="4F5C568A" w14:textId="77777777" w:rsidR="00CE189B" w:rsidRPr="00CE189B" w:rsidRDefault="00CE189B" w:rsidP="00CE189B">
      <w:pPr>
        <w:spacing w:line="240" w:lineRule="auto"/>
        <w:rPr>
          <w:rFonts w:eastAsia="Times New Roman" w:cs="Arial"/>
          <w:i/>
          <w:iCs/>
          <w:color w:val="000000"/>
          <w:lang w:eastAsia="bg-BG"/>
        </w:rPr>
      </w:pPr>
    </w:p>
    <w:p w14:paraId="68892F9D" w14:textId="42C309D0" w:rsidR="00CE189B" w:rsidRPr="00CE189B" w:rsidRDefault="00CE189B" w:rsidP="00CE189B">
      <w:pPr>
        <w:spacing w:line="240" w:lineRule="auto"/>
        <w:rPr>
          <w:rFonts w:eastAsia="Times New Roman" w:cs="Arial"/>
          <w:lang w:eastAsia="bg-BG"/>
        </w:rPr>
      </w:pPr>
      <w:r w:rsidRPr="00CE189B">
        <w:rPr>
          <w:rFonts w:eastAsia="Times New Roman" w:cs="Arial"/>
          <w:i/>
          <w:iCs/>
          <w:color w:val="000000"/>
          <w:lang w:eastAsia="bg-BG"/>
        </w:rPr>
        <w:t>Интермитентен режим:</w:t>
      </w:r>
    </w:p>
    <w:p w14:paraId="71F47DD6" w14:textId="77777777" w:rsidR="00CE189B" w:rsidRPr="00CE189B" w:rsidRDefault="00CE189B" w:rsidP="00CE189B">
      <w:pPr>
        <w:spacing w:line="240" w:lineRule="auto"/>
        <w:rPr>
          <w:rFonts w:eastAsia="Times New Roman" w:cs="Arial"/>
          <w:lang w:eastAsia="bg-BG"/>
        </w:rPr>
      </w:pPr>
      <w:r w:rsidRPr="00CE189B">
        <w:rPr>
          <w:rFonts w:eastAsia="Times New Roman" w:cs="Arial"/>
          <w:color w:val="000000"/>
          <w:lang w:eastAsia="bg-BG"/>
        </w:rPr>
        <w:t>При този режим общата седмична доза се разпределя в 2 или 3 приема (2 или 3 пъти</w:t>
      </w:r>
    </w:p>
    <w:p w14:paraId="4B8C78D9" w14:textId="77777777" w:rsidR="00CE189B" w:rsidRPr="00CE189B" w:rsidRDefault="00CE189B" w:rsidP="00CE189B">
      <w:pPr>
        <w:spacing w:line="240" w:lineRule="auto"/>
        <w:rPr>
          <w:rFonts w:eastAsia="Times New Roman" w:cs="Arial"/>
          <w:lang w:eastAsia="bg-BG"/>
        </w:rPr>
      </w:pPr>
    </w:p>
    <w:p w14:paraId="7FBF1BCE" w14:textId="6704EB48" w:rsidR="00EC41ED" w:rsidRPr="00CE189B" w:rsidRDefault="00CE189B" w:rsidP="00CE189B">
      <w:pPr>
        <w:rPr>
          <w:rFonts w:cs="Arial"/>
        </w:rPr>
      </w:pPr>
      <w:r w:rsidRPr="00CE189B">
        <w:rPr>
          <w:rFonts w:eastAsia="Times New Roman" w:cs="Arial"/>
          <w:color w:val="000000"/>
          <w:lang w:eastAsia="bg-BG"/>
        </w:rPr>
        <w:t>За деца под 3-месечна възраст не е възможно да сс препоръчат лозови режими, поради липсата на достатъчно специфични данни.</w:t>
      </w:r>
    </w:p>
    <w:p w14:paraId="132F3111" w14:textId="16BCA4B5" w:rsidR="005B0F27" w:rsidRPr="00CE189B" w:rsidRDefault="005B0F27" w:rsidP="0091385D">
      <w:pPr>
        <w:rPr>
          <w:rFonts w:cs="Arial"/>
        </w:rPr>
      </w:pPr>
    </w:p>
    <w:p w14:paraId="1EC18BD7" w14:textId="77777777" w:rsidR="00CE189B" w:rsidRPr="00CE189B" w:rsidRDefault="00CE189B" w:rsidP="00CE189B">
      <w:pPr>
        <w:spacing w:line="240" w:lineRule="auto"/>
        <w:rPr>
          <w:rFonts w:eastAsia="Times New Roman" w:cs="Arial"/>
          <w:lang w:eastAsia="bg-BG"/>
        </w:rPr>
      </w:pPr>
      <w:r w:rsidRPr="00CE189B">
        <w:rPr>
          <w:rFonts w:eastAsia="Times New Roman" w:cs="Arial"/>
          <w:color w:val="000000"/>
          <w:lang w:eastAsia="bg-BG"/>
        </w:rPr>
        <w:t>За пациенти с остро чернодробно увреждане и нарастване стойностите на кръвния билирубин дозата се редуцира с 50% с оглед потенциалната хепатотоксичност.</w:t>
      </w:r>
    </w:p>
    <w:p w14:paraId="1AE928B2" w14:textId="77777777" w:rsidR="00CE189B" w:rsidRPr="00CE189B" w:rsidRDefault="00CE189B" w:rsidP="00CE189B">
      <w:pPr>
        <w:spacing w:line="240" w:lineRule="auto"/>
        <w:rPr>
          <w:rFonts w:eastAsia="Times New Roman" w:cs="Arial"/>
          <w:color w:val="000000"/>
          <w:lang w:eastAsia="bg-BG"/>
        </w:rPr>
      </w:pPr>
    </w:p>
    <w:p w14:paraId="021E7FB7" w14:textId="5C21E208" w:rsidR="00CE189B" w:rsidRPr="00CE189B" w:rsidRDefault="00CE189B" w:rsidP="00CE189B">
      <w:pPr>
        <w:spacing w:line="240" w:lineRule="auto"/>
        <w:rPr>
          <w:rFonts w:eastAsia="Times New Roman" w:cs="Arial"/>
          <w:lang w:eastAsia="bg-BG"/>
        </w:rPr>
      </w:pPr>
      <w:r w:rsidRPr="00CE189B">
        <w:rPr>
          <w:rFonts w:eastAsia="Times New Roman" w:cs="Arial"/>
          <w:color w:val="000000"/>
          <w:lang w:eastAsia="bg-BG"/>
        </w:rPr>
        <w:t xml:space="preserve">При профилактика - самостоятелно, перорално - 300 </w:t>
      </w:r>
      <w:r w:rsidRPr="00CE189B">
        <w:rPr>
          <w:rFonts w:eastAsia="Times New Roman" w:cs="Arial"/>
          <w:color w:val="000000"/>
          <w:lang w:val="en-US"/>
        </w:rPr>
        <w:t xml:space="preserve">mg </w:t>
      </w:r>
      <w:r w:rsidRPr="00CE189B">
        <w:rPr>
          <w:rFonts w:eastAsia="Times New Roman" w:cs="Arial"/>
          <w:color w:val="000000"/>
          <w:lang w:eastAsia="bg-BG"/>
        </w:rPr>
        <w:t>еднократна дневна доза.</w:t>
      </w:r>
    </w:p>
    <w:p w14:paraId="5E07608F" w14:textId="67164354" w:rsidR="00CE189B" w:rsidRPr="00CE189B" w:rsidRDefault="00CE189B" w:rsidP="00CE189B">
      <w:pPr>
        <w:rPr>
          <w:rFonts w:cs="Arial"/>
        </w:rPr>
      </w:pPr>
      <w:r w:rsidRPr="00CE189B">
        <w:rPr>
          <w:rFonts w:eastAsia="Times New Roman" w:cs="Arial"/>
          <w:color w:val="000000"/>
          <w:lang w:eastAsia="bg-BG"/>
        </w:rPr>
        <w:t>При пациенти с нарушена бъбречна функция не се изисква намаляване на дозата, ако плазмената концентрация на креатинина е по-малка. Ако нарушената бъбречна функция е по-тежка, се налага намаляване на дозата.</w:t>
      </w:r>
    </w:p>
    <w:p w14:paraId="766558ED" w14:textId="77777777" w:rsidR="00CE189B" w:rsidRPr="0091385D" w:rsidRDefault="00CE189B" w:rsidP="0091385D"/>
    <w:p w14:paraId="28C984E8" w14:textId="0756AE28" w:rsidR="008134C8" w:rsidRDefault="002C50EE" w:rsidP="004A448E">
      <w:pPr>
        <w:pStyle w:val="Heading2"/>
      </w:pPr>
      <w:r>
        <w:t>4.3. Противопоказания</w:t>
      </w:r>
    </w:p>
    <w:p w14:paraId="2363D607" w14:textId="619A99CE" w:rsidR="0091385D" w:rsidRDefault="0091385D" w:rsidP="0091385D"/>
    <w:p w14:paraId="73DD7342" w14:textId="77777777" w:rsidR="00CE189B" w:rsidRPr="00CE189B" w:rsidRDefault="00CE189B" w:rsidP="00CE189B">
      <w:pPr>
        <w:pStyle w:val="ListParagraph"/>
        <w:numPr>
          <w:ilvl w:val="0"/>
          <w:numId w:val="38"/>
        </w:numPr>
        <w:spacing w:line="240" w:lineRule="auto"/>
        <w:rPr>
          <w:rFonts w:eastAsia="Times New Roman" w:cs="Arial"/>
          <w:color w:val="000000"/>
          <w:lang w:eastAsia="bg-BG"/>
        </w:rPr>
      </w:pPr>
      <w:r w:rsidRPr="00CE189B">
        <w:rPr>
          <w:rFonts w:eastAsia="Times New Roman" w:cs="Arial"/>
          <w:color w:val="000000"/>
          <w:lang w:eastAsia="bg-BG"/>
        </w:rPr>
        <w:t>известна свръхчувствителност към изониазид или към някое от помощните вещества на продукта, изброени в т. 6.1;</w:t>
      </w:r>
    </w:p>
    <w:p w14:paraId="02CC928F" w14:textId="325B4E73" w:rsidR="00CE189B" w:rsidRPr="00CE189B" w:rsidRDefault="00CE189B" w:rsidP="00CE189B">
      <w:pPr>
        <w:pStyle w:val="ListParagraph"/>
        <w:numPr>
          <w:ilvl w:val="0"/>
          <w:numId w:val="38"/>
        </w:numPr>
        <w:spacing w:line="240" w:lineRule="auto"/>
        <w:rPr>
          <w:rFonts w:eastAsia="Times New Roman" w:cs="Arial"/>
          <w:color w:val="000000"/>
          <w:lang w:eastAsia="bg-BG"/>
        </w:rPr>
      </w:pPr>
      <w:r w:rsidRPr="00CE189B">
        <w:rPr>
          <w:rFonts w:eastAsia="Times New Roman" w:cs="Arial"/>
          <w:color w:val="000000"/>
          <w:lang w:eastAsia="bg-BG"/>
        </w:rPr>
        <w:t>остра чернодробна недостатъчност;</w:t>
      </w:r>
    </w:p>
    <w:p w14:paraId="030B6A4D" w14:textId="7D1F2427" w:rsidR="00EC41ED" w:rsidRPr="00CE189B" w:rsidRDefault="00CE189B" w:rsidP="00CE189B">
      <w:pPr>
        <w:rPr>
          <w:rFonts w:cs="Arial"/>
        </w:rPr>
      </w:pPr>
      <w:r w:rsidRPr="00CE189B">
        <w:rPr>
          <w:rFonts w:eastAsia="Times New Roman" w:cs="Arial"/>
          <w:color w:val="000000"/>
          <w:lang w:eastAsia="bg-BG"/>
        </w:rPr>
        <w:t>при епилепсия и други гърчови състояния.</w:t>
      </w:r>
    </w:p>
    <w:p w14:paraId="31B39DC6" w14:textId="77777777" w:rsidR="0091385D" w:rsidRPr="0091385D" w:rsidRDefault="0091385D" w:rsidP="0091385D"/>
    <w:p w14:paraId="212F509C" w14:textId="52B87D4F" w:rsidR="004F498A" w:rsidRDefault="002C50EE" w:rsidP="004A448E">
      <w:pPr>
        <w:pStyle w:val="Heading2"/>
      </w:pPr>
      <w:r>
        <w:t>4.4. Специални предупреждения и предпазни мерки при употреба</w:t>
      </w:r>
    </w:p>
    <w:p w14:paraId="0AAC2B60" w14:textId="1E0703C7" w:rsidR="0091385D" w:rsidRDefault="0091385D" w:rsidP="0091385D"/>
    <w:p w14:paraId="68DD67B9" w14:textId="77777777" w:rsidR="00CE189B" w:rsidRPr="00CE189B" w:rsidRDefault="00CE189B" w:rsidP="00CE189B">
      <w:pPr>
        <w:pStyle w:val="ListParagraph"/>
        <w:numPr>
          <w:ilvl w:val="0"/>
          <w:numId w:val="39"/>
        </w:numPr>
        <w:spacing w:line="240" w:lineRule="auto"/>
        <w:rPr>
          <w:rFonts w:eastAsia="Times New Roman" w:cs="Arial"/>
          <w:color w:val="000000"/>
          <w:lang w:eastAsia="bg-BG"/>
        </w:rPr>
      </w:pPr>
      <w:r w:rsidRPr="00CE189B">
        <w:rPr>
          <w:rFonts w:eastAsia="Times New Roman" w:cs="Arial"/>
          <w:color w:val="000000"/>
          <w:lang w:eastAsia="bg-BG"/>
        </w:rPr>
        <w:t>предвид възможната чернодробна токсичност на ИЗОНИД, се налага редовно мониториране на чернодробната функция чрез проследяване стойностите на чернодробните ензими. Пациентите да се информират за първите признаци на евентуална чернодробна дисфункция. При доказано тежко чернодробно увреждане лечението с ИЗОНИД се преустановява и се замества с друг алтернативен продукт.</w:t>
      </w:r>
    </w:p>
    <w:p w14:paraId="213BF98D" w14:textId="77777777" w:rsidR="00CE189B" w:rsidRPr="00CE189B" w:rsidRDefault="00CE189B" w:rsidP="00CE189B">
      <w:pPr>
        <w:pStyle w:val="ListParagraph"/>
        <w:numPr>
          <w:ilvl w:val="0"/>
          <w:numId w:val="39"/>
        </w:numPr>
        <w:spacing w:line="240" w:lineRule="auto"/>
        <w:rPr>
          <w:rFonts w:eastAsia="Times New Roman" w:cs="Arial"/>
          <w:color w:val="000000"/>
          <w:lang w:eastAsia="bg-BG"/>
        </w:rPr>
      </w:pPr>
      <w:r w:rsidRPr="00CE189B">
        <w:rPr>
          <w:rFonts w:eastAsia="Times New Roman" w:cs="Arial"/>
          <w:color w:val="000000"/>
          <w:lang w:eastAsia="bg-BG"/>
        </w:rPr>
        <w:t>при лечение с ИЗОНИД съществува възможност от развитие на първична и вторична резистентност. За да се избегне резистентността е удачно комбинирането му с Рифампицин, Етамбутол или други противотуберкулозни продукти.</w:t>
      </w:r>
    </w:p>
    <w:p w14:paraId="69CADC98" w14:textId="77777777" w:rsidR="00CE189B" w:rsidRPr="00CE189B" w:rsidRDefault="00CE189B" w:rsidP="00CE189B">
      <w:pPr>
        <w:pStyle w:val="ListParagraph"/>
        <w:numPr>
          <w:ilvl w:val="0"/>
          <w:numId w:val="39"/>
        </w:numPr>
        <w:spacing w:line="240" w:lineRule="auto"/>
        <w:rPr>
          <w:rFonts w:eastAsia="Times New Roman" w:cs="Arial"/>
          <w:color w:val="000000"/>
          <w:lang w:eastAsia="bg-BG"/>
        </w:rPr>
      </w:pPr>
      <w:r w:rsidRPr="00CE189B">
        <w:rPr>
          <w:rFonts w:eastAsia="Times New Roman" w:cs="Arial"/>
          <w:color w:val="000000"/>
          <w:lang w:eastAsia="bg-BG"/>
        </w:rPr>
        <w:t xml:space="preserve">при пациенти с увеличен риск от периферна невропатия, пиридоксинов дефицит (диабетици, алкохолици, състояние на уремия, и малнутриция) се препоръчва приложение на 10 </w:t>
      </w:r>
      <w:r w:rsidRPr="00CE189B">
        <w:rPr>
          <w:rFonts w:eastAsia="Times New Roman" w:cs="Arial"/>
          <w:color w:val="000000"/>
          <w:lang w:val="en-US"/>
        </w:rPr>
        <w:t>mg</w:t>
      </w:r>
      <w:r w:rsidRPr="00CE189B">
        <w:rPr>
          <w:rFonts w:eastAsia="Times New Roman" w:cs="Arial"/>
          <w:color w:val="000000"/>
          <w:lang w:eastAsia="bg-BG"/>
        </w:rPr>
        <w:t>/дневно пиридоксин.</w:t>
      </w:r>
    </w:p>
    <w:p w14:paraId="51197E58" w14:textId="77777777" w:rsidR="00CE189B" w:rsidRPr="00CE189B" w:rsidRDefault="00CE189B" w:rsidP="00CE189B">
      <w:pPr>
        <w:pStyle w:val="ListParagraph"/>
        <w:numPr>
          <w:ilvl w:val="0"/>
          <w:numId w:val="39"/>
        </w:numPr>
        <w:spacing w:line="240" w:lineRule="auto"/>
        <w:rPr>
          <w:rFonts w:eastAsia="Times New Roman" w:cs="Arial"/>
          <w:color w:val="000000"/>
          <w:lang w:eastAsia="bg-BG"/>
        </w:rPr>
      </w:pPr>
      <w:r w:rsidRPr="00CE189B">
        <w:rPr>
          <w:rFonts w:eastAsia="Times New Roman" w:cs="Arial"/>
          <w:color w:val="000000"/>
          <w:lang w:eastAsia="bg-BG"/>
        </w:rPr>
        <w:t>при пациенти с напреднала кардиосклероза съществува опасност от кардиоциркудаторни нарушения.</w:t>
      </w:r>
    </w:p>
    <w:p w14:paraId="0E28BBDE" w14:textId="77108DB6" w:rsidR="007A2185" w:rsidRPr="00CE189B" w:rsidRDefault="00CE189B" w:rsidP="00CE189B">
      <w:pPr>
        <w:pStyle w:val="ListParagraph"/>
        <w:numPr>
          <w:ilvl w:val="0"/>
          <w:numId w:val="39"/>
        </w:numPr>
        <w:spacing w:line="240" w:lineRule="auto"/>
        <w:rPr>
          <w:rFonts w:eastAsia="Times New Roman" w:cs="Arial"/>
          <w:color w:val="000000"/>
          <w:lang w:eastAsia="bg-BG"/>
        </w:rPr>
      </w:pPr>
      <w:r w:rsidRPr="00CE189B">
        <w:rPr>
          <w:rFonts w:eastAsia="Times New Roman" w:cs="Arial"/>
          <w:color w:val="000000"/>
          <w:lang w:eastAsia="bg-BG"/>
        </w:rPr>
        <w:t>в състава на ИЗОНИД едно от помощните вещества е пшенично нишесте. То може да представлява опасност за хора с цьолиакия (глутенова ентеропатия).</w:t>
      </w:r>
    </w:p>
    <w:p w14:paraId="24E3E82F" w14:textId="77777777" w:rsidR="0091385D" w:rsidRPr="0091385D" w:rsidRDefault="0091385D" w:rsidP="0091385D"/>
    <w:p w14:paraId="619DED1E" w14:textId="564F257F" w:rsidR="004F498A" w:rsidRDefault="002C50EE" w:rsidP="004A448E">
      <w:pPr>
        <w:pStyle w:val="Heading2"/>
      </w:pPr>
      <w:r>
        <w:lastRenderedPageBreak/>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355E4B7C" w14:textId="7D829F6C" w:rsidR="0091385D" w:rsidRDefault="0091385D" w:rsidP="0091385D"/>
    <w:p w14:paraId="54776633" w14:textId="77777777" w:rsidR="00CE189B" w:rsidRPr="00CE189B" w:rsidRDefault="00CE189B" w:rsidP="00CE189B">
      <w:pPr>
        <w:spacing w:line="240" w:lineRule="auto"/>
        <w:rPr>
          <w:rFonts w:eastAsia="Times New Roman" w:cs="Arial"/>
          <w:lang w:eastAsia="bg-BG"/>
        </w:rPr>
      </w:pPr>
      <w:r w:rsidRPr="00CE189B">
        <w:rPr>
          <w:rFonts w:eastAsia="Times New Roman" w:cs="Arial"/>
          <w:color w:val="000000"/>
          <w:lang w:eastAsia="bg-BG"/>
        </w:rPr>
        <w:t>Взаимодействието на изониазид с храни и лекарствени вещества може да редуцира или да повиши лекарствения ефект.</w:t>
      </w:r>
    </w:p>
    <w:p w14:paraId="238B19B0" w14:textId="77777777" w:rsidR="00CE189B" w:rsidRPr="00CE189B" w:rsidRDefault="00CE189B" w:rsidP="00CE189B">
      <w:pPr>
        <w:pStyle w:val="ListParagraph"/>
        <w:numPr>
          <w:ilvl w:val="0"/>
          <w:numId w:val="40"/>
        </w:numPr>
        <w:spacing w:line="240" w:lineRule="auto"/>
        <w:rPr>
          <w:rFonts w:eastAsia="Times New Roman" w:cs="Arial"/>
          <w:color w:val="000000"/>
          <w:lang w:eastAsia="bg-BG"/>
        </w:rPr>
      </w:pPr>
      <w:r w:rsidRPr="00CE189B">
        <w:rPr>
          <w:rFonts w:eastAsia="Times New Roman" w:cs="Arial"/>
          <w:color w:val="000000"/>
          <w:lang w:eastAsia="bg-BG"/>
        </w:rPr>
        <w:t>алуминиеви соли и хидроокиси намаляват абсорбцията на изониазид в храносмилателния тракт. Приемът да е през интервал повече от 2 часа.</w:t>
      </w:r>
    </w:p>
    <w:p w14:paraId="44E56671" w14:textId="77777777" w:rsidR="00CE189B" w:rsidRPr="00CE189B" w:rsidRDefault="00CE189B" w:rsidP="00CE189B">
      <w:pPr>
        <w:pStyle w:val="ListParagraph"/>
        <w:numPr>
          <w:ilvl w:val="0"/>
          <w:numId w:val="40"/>
        </w:numPr>
        <w:spacing w:line="240" w:lineRule="auto"/>
        <w:rPr>
          <w:rFonts w:eastAsia="Times New Roman" w:cs="Arial"/>
          <w:color w:val="000000"/>
          <w:lang w:eastAsia="bg-BG"/>
        </w:rPr>
      </w:pPr>
      <w:r w:rsidRPr="00CE189B">
        <w:rPr>
          <w:rFonts w:eastAsia="Times New Roman" w:cs="Arial"/>
          <w:color w:val="000000"/>
          <w:lang w:eastAsia="bg-BG"/>
        </w:rPr>
        <w:t>изониазид увеличава ефекта на антикоагулантите, тъй като инхибира ензимния им</w:t>
      </w:r>
      <w:r w:rsidRPr="00CE189B">
        <w:rPr>
          <w:rFonts w:eastAsia="Times New Roman" w:cs="Arial"/>
          <w:color w:val="000000"/>
          <w:lang w:val="en-US" w:eastAsia="bg-BG"/>
        </w:rPr>
        <w:t xml:space="preserve"> </w:t>
      </w:r>
      <w:r w:rsidRPr="00CE189B">
        <w:rPr>
          <w:rFonts w:eastAsia="Times New Roman" w:cs="Arial"/>
          <w:color w:val="000000"/>
          <w:lang w:eastAsia="bg-BG"/>
        </w:rPr>
        <w:t>метаболизъм</w:t>
      </w:r>
    </w:p>
    <w:p w14:paraId="390B7BD1" w14:textId="77777777" w:rsidR="00CE189B" w:rsidRPr="00CE189B" w:rsidRDefault="00CE189B" w:rsidP="00CE189B">
      <w:pPr>
        <w:pStyle w:val="ListParagraph"/>
        <w:numPr>
          <w:ilvl w:val="0"/>
          <w:numId w:val="40"/>
        </w:numPr>
        <w:spacing w:line="240" w:lineRule="auto"/>
        <w:rPr>
          <w:rFonts w:eastAsia="Times New Roman" w:cs="Arial"/>
          <w:color w:val="000000"/>
          <w:lang w:eastAsia="bg-BG"/>
        </w:rPr>
      </w:pPr>
      <w:r w:rsidRPr="00CE189B">
        <w:rPr>
          <w:rFonts w:eastAsia="Times New Roman" w:cs="Arial"/>
          <w:color w:val="000000"/>
          <w:lang w:eastAsia="bg-BG"/>
        </w:rPr>
        <w:t>не се препоръчва едновременно прилагане с бензодиазепини, карбамазепини, поради</w:t>
      </w:r>
      <w:r w:rsidRPr="00CE189B">
        <w:rPr>
          <w:rFonts w:eastAsia="Times New Roman" w:cs="Arial"/>
          <w:color w:val="000000"/>
          <w:lang w:val="en-US" w:eastAsia="bg-BG"/>
        </w:rPr>
        <w:t xml:space="preserve"> </w:t>
      </w:r>
      <w:r w:rsidRPr="00CE189B">
        <w:rPr>
          <w:rFonts w:eastAsia="Times New Roman" w:cs="Arial"/>
          <w:color w:val="000000"/>
          <w:lang w:eastAsia="bg-BG"/>
        </w:rPr>
        <w:t>намаляване на чернодробния им метаболизъм и увеличаване плазмената им концентрация.</w:t>
      </w:r>
    </w:p>
    <w:p w14:paraId="5E18C515" w14:textId="77777777" w:rsidR="00CE189B" w:rsidRPr="00CE189B" w:rsidRDefault="00CE189B" w:rsidP="00CE189B">
      <w:pPr>
        <w:pStyle w:val="ListParagraph"/>
        <w:numPr>
          <w:ilvl w:val="0"/>
          <w:numId w:val="40"/>
        </w:numPr>
        <w:spacing w:line="240" w:lineRule="auto"/>
        <w:rPr>
          <w:rFonts w:eastAsia="Times New Roman" w:cs="Arial"/>
          <w:color w:val="000000"/>
          <w:lang w:eastAsia="bg-BG"/>
        </w:rPr>
      </w:pPr>
      <w:r w:rsidRPr="00CE189B">
        <w:rPr>
          <w:rFonts w:eastAsia="Times New Roman" w:cs="Arial"/>
          <w:color w:val="000000"/>
          <w:lang w:eastAsia="bg-BG"/>
        </w:rPr>
        <w:t>кортикостероидите могат да увеличат чернодробния метаболизъм и/или екскрецията на изониазид и по този начин да намалят неговата плазмена концентрация и ефект.</w:t>
      </w:r>
    </w:p>
    <w:p w14:paraId="281A5B00" w14:textId="77777777" w:rsidR="00CE189B" w:rsidRPr="00CE189B" w:rsidRDefault="00CE189B" w:rsidP="00CE189B">
      <w:pPr>
        <w:pStyle w:val="ListParagraph"/>
        <w:numPr>
          <w:ilvl w:val="0"/>
          <w:numId w:val="40"/>
        </w:numPr>
        <w:spacing w:line="240" w:lineRule="auto"/>
        <w:rPr>
          <w:rFonts w:eastAsia="Times New Roman" w:cs="Arial"/>
          <w:color w:val="000000"/>
          <w:lang w:eastAsia="bg-BG"/>
        </w:rPr>
      </w:pPr>
      <w:r w:rsidRPr="00CE189B">
        <w:rPr>
          <w:rFonts w:eastAsia="Times New Roman" w:cs="Arial"/>
          <w:color w:val="000000"/>
          <w:lang w:eastAsia="bg-BG"/>
        </w:rPr>
        <w:t>халогенните летливи анестетици потенцират хепатотокеичния ефект на изониазида.</w:t>
      </w:r>
    </w:p>
    <w:p w14:paraId="3CF03282" w14:textId="77777777" w:rsidR="00CE189B" w:rsidRPr="00CE189B" w:rsidRDefault="00CE189B" w:rsidP="00CE189B">
      <w:pPr>
        <w:pStyle w:val="ListParagraph"/>
        <w:numPr>
          <w:ilvl w:val="0"/>
          <w:numId w:val="40"/>
        </w:numPr>
        <w:spacing w:line="240" w:lineRule="auto"/>
        <w:rPr>
          <w:rFonts w:eastAsia="Times New Roman" w:cs="Arial"/>
          <w:color w:val="000000"/>
          <w:lang w:eastAsia="bg-BG"/>
        </w:rPr>
      </w:pPr>
      <w:r w:rsidRPr="00CE189B">
        <w:rPr>
          <w:rFonts w:eastAsia="Times New Roman" w:cs="Arial"/>
          <w:color w:val="000000"/>
          <w:lang w:eastAsia="bg-BG"/>
        </w:rPr>
        <w:t>изониазид може да намали серумната концентрация на кетоконазола. Да се отдалечи приемането на двата продукта на интервал поне 12 часа.</w:t>
      </w:r>
    </w:p>
    <w:p w14:paraId="426BC8EC" w14:textId="77777777" w:rsidR="00CE189B" w:rsidRPr="00CE189B" w:rsidRDefault="00CE189B" w:rsidP="00CE189B">
      <w:pPr>
        <w:pStyle w:val="ListParagraph"/>
        <w:numPr>
          <w:ilvl w:val="0"/>
          <w:numId w:val="40"/>
        </w:numPr>
        <w:spacing w:line="240" w:lineRule="auto"/>
        <w:rPr>
          <w:rFonts w:eastAsia="Times New Roman" w:cs="Arial"/>
          <w:color w:val="000000"/>
          <w:lang w:eastAsia="bg-BG"/>
        </w:rPr>
      </w:pPr>
      <w:r w:rsidRPr="00CE189B">
        <w:rPr>
          <w:rFonts w:eastAsia="Times New Roman" w:cs="Arial"/>
          <w:color w:val="000000"/>
          <w:lang w:eastAsia="bg-BG"/>
        </w:rPr>
        <w:t>едновременно прилагане с фенитоин води до забавяне метаболизма на фенитоин.</w:t>
      </w:r>
    </w:p>
    <w:p w14:paraId="2800BDF8" w14:textId="77777777" w:rsidR="00CE189B" w:rsidRPr="00CE189B" w:rsidRDefault="00CE189B" w:rsidP="00CE189B">
      <w:pPr>
        <w:pStyle w:val="ListParagraph"/>
        <w:numPr>
          <w:ilvl w:val="0"/>
          <w:numId w:val="40"/>
        </w:numPr>
        <w:spacing w:line="240" w:lineRule="auto"/>
        <w:rPr>
          <w:rFonts w:eastAsia="Times New Roman" w:cs="Arial"/>
          <w:color w:val="000000"/>
          <w:lang w:eastAsia="bg-BG"/>
        </w:rPr>
      </w:pPr>
      <w:r w:rsidRPr="00CE189B">
        <w:rPr>
          <w:rFonts w:eastAsia="Times New Roman" w:cs="Arial"/>
          <w:color w:val="000000"/>
          <w:lang w:eastAsia="bg-BG"/>
        </w:rPr>
        <w:t>едновременно прилагане с пиразинамид може да се потенцира хепаготоксичното действие на двата продукта.</w:t>
      </w:r>
    </w:p>
    <w:p w14:paraId="4BA63F9A" w14:textId="77777777" w:rsidR="00CE189B" w:rsidRDefault="00CE189B" w:rsidP="0091385D">
      <w:pPr>
        <w:pStyle w:val="ListParagraph"/>
        <w:numPr>
          <w:ilvl w:val="0"/>
          <w:numId w:val="40"/>
        </w:numPr>
        <w:spacing w:line="240" w:lineRule="auto"/>
        <w:rPr>
          <w:rFonts w:eastAsia="Times New Roman" w:cs="Arial"/>
          <w:color w:val="000000"/>
          <w:lang w:eastAsia="bg-BG"/>
        </w:rPr>
      </w:pPr>
      <w:r w:rsidRPr="00CE189B">
        <w:rPr>
          <w:rFonts w:eastAsia="Times New Roman" w:cs="Arial"/>
          <w:color w:val="000000"/>
          <w:lang w:eastAsia="bg-BG"/>
        </w:rPr>
        <w:t>при комбинация с рифампицин, барбитурати - може да се повиши на хепатотоксичността на  изониазида, поради образуването на токсични метаболити на изониазид механизъм на ензимна индукция).</w:t>
      </w:r>
    </w:p>
    <w:p w14:paraId="41A5099B" w14:textId="07F48BDD" w:rsidR="00CE189B" w:rsidRPr="00CE189B" w:rsidRDefault="00CE189B" w:rsidP="0091385D">
      <w:pPr>
        <w:pStyle w:val="ListParagraph"/>
        <w:numPr>
          <w:ilvl w:val="0"/>
          <w:numId w:val="40"/>
        </w:numPr>
        <w:spacing w:line="240" w:lineRule="auto"/>
        <w:rPr>
          <w:rFonts w:eastAsia="Times New Roman" w:cs="Arial"/>
          <w:color w:val="000000"/>
          <w:lang w:eastAsia="bg-BG"/>
        </w:rPr>
      </w:pPr>
      <w:r w:rsidRPr="00CE189B">
        <w:t>не се препоръчва едновременно приемане на изониазид с храни с високо хистаминово и тираминово съдържание (риба, сирене, вина), тъй като изониазид е инхибитор на моно-и диаминооксидазата и страничните реакции се появяват по-често.</w:t>
      </w:r>
    </w:p>
    <w:p w14:paraId="6B283AEE" w14:textId="77777777" w:rsidR="00CE189B" w:rsidRPr="0091385D" w:rsidRDefault="00CE189B" w:rsidP="0091385D"/>
    <w:p w14:paraId="394A7584" w14:textId="10DEA5B3" w:rsidR="004F498A" w:rsidRDefault="002C50EE" w:rsidP="004A448E">
      <w:pPr>
        <w:pStyle w:val="Heading2"/>
      </w:pPr>
      <w:r>
        <w:t>4.6. Фертилитет, бременност и кърмене</w:t>
      </w:r>
    </w:p>
    <w:p w14:paraId="4887836B" w14:textId="0528FAED" w:rsidR="0091385D" w:rsidRDefault="0091385D" w:rsidP="0091385D"/>
    <w:p w14:paraId="102F0D07" w14:textId="1257AC02" w:rsidR="007A2185" w:rsidRDefault="00CE189B" w:rsidP="0091385D">
      <w:r>
        <w:t>Изониазид преминава през плацентарната бариера и в млякото е в концентрации както в плазмата. Затова ИЗОНИД трябва да се прилага по време на бременност само когато очакваните ползи от приложението му надвишават потенциалните рискове за плода.</w:t>
      </w:r>
    </w:p>
    <w:p w14:paraId="3E8789C3" w14:textId="77777777" w:rsidR="0091385D" w:rsidRPr="0091385D" w:rsidRDefault="0091385D" w:rsidP="0091385D"/>
    <w:p w14:paraId="064DF1DE" w14:textId="70BCC16C" w:rsidR="00CF77F7" w:rsidRDefault="002C50EE" w:rsidP="004A448E">
      <w:pPr>
        <w:pStyle w:val="Heading2"/>
      </w:pPr>
      <w:r>
        <w:t>4.7. Ефекти върху способността за шофиране и работа с машини</w:t>
      </w:r>
    </w:p>
    <w:p w14:paraId="1455464C" w14:textId="78136F1E" w:rsidR="0091385D" w:rsidRDefault="0091385D" w:rsidP="0091385D"/>
    <w:p w14:paraId="1C9ABB96" w14:textId="7A1A50BB" w:rsidR="007A2185" w:rsidRDefault="00CE189B" w:rsidP="0091385D">
      <w:r>
        <w:t>По време на употреба на ИЗОНИД трябва да се шофира и работи с машини с повишено внимание, поради нежелани ефекти, които се наблюдават при някои пациенти.</w:t>
      </w:r>
    </w:p>
    <w:p w14:paraId="35801A15" w14:textId="77777777" w:rsidR="0091385D" w:rsidRPr="0091385D" w:rsidRDefault="0091385D" w:rsidP="0091385D"/>
    <w:p w14:paraId="4838F52A" w14:textId="058F0B9C" w:rsidR="0091385D" w:rsidRDefault="002C50EE" w:rsidP="007A2185">
      <w:pPr>
        <w:pStyle w:val="Heading2"/>
      </w:pPr>
      <w:r>
        <w:t>4.8. Нежелани лекарствени реакции</w:t>
      </w:r>
    </w:p>
    <w:p w14:paraId="76E0B7A2" w14:textId="5BBD2581" w:rsidR="005B0F27" w:rsidRDefault="005B0F27" w:rsidP="0091385D"/>
    <w:p w14:paraId="46590A39" w14:textId="77777777" w:rsidR="00CE189B" w:rsidRPr="00CE189B" w:rsidRDefault="00CE189B" w:rsidP="00CE189B">
      <w:pPr>
        <w:spacing w:line="240" w:lineRule="auto"/>
        <w:rPr>
          <w:rFonts w:eastAsia="Times New Roman" w:cs="Arial"/>
          <w:lang w:eastAsia="bg-BG"/>
        </w:rPr>
      </w:pPr>
      <w:r w:rsidRPr="00CE189B">
        <w:rPr>
          <w:rFonts w:eastAsia="Times New Roman" w:cs="Arial"/>
          <w:color w:val="000000"/>
          <w:lang w:eastAsia="bg-BG"/>
        </w:rPr>
        <w:t xml:space="preserve">ИЗОНИД 100 </w:t>
      </w:r>
      <w:r w:rsidRPr="00CE189B">
        <w:rPr>
          <w:rFonts w:eastAsia="Times New Roman" w:cs="Arial"/>
          <w:color w:val="000000"/>
          <w:lang w:val="en-US"/>
        </w:rPr>
        <w:t xml:space="preserve">mg </w:t>
      </w:r>
      <w:r w:rsidRPr="00CE189B">
        <w:rPr>
          <w:rFonts w:eastAsia="Times New Roman" w:cs="Arial"/>
          <w:color w:val="000000"/>
          <w:lang w:eastAsia="bg-BG"/>
        </w:rPr>
        <w:t>таблетки използван в терапевтични дози е с добра поносимост.</w:t>
      </w:r>
    </w:p>
    <w:p w14:paraId="56F5FF94" w14:textId="77777777" w:rsidR="00CE189B" w:rsidRPr="00CE189B" w:rsidRDefault="00CE189B" w:rsidP="00CE189B">
      <w:pPr>
        <w:spacing w:line="240" w:lineRule="auto"/>
        <w:rPr>
          <w:rFonts w:eastAsia="Times New Roman" w:cs="Arial"/>
          <w:color w:val="000000"/>
          <w:lang w:eastAsia="bg-BG"/>
        </w:rPr>
      </w:pPr>
    </w:p>
    <w:p w14:paraId="60E9F696" w14:textId="0DD246E2" w:rsidR="00CE189B" w:rsidRPr="00CE189B" w:rsidRDefault="00CE189B" w:rsidP="00CE189B">
      <w:pPr>
        <w:spacing w:line="240" w:lineRule="auto"/>
        <w:rPr>
          <w:rFonts w:eastAsia="Times New Roman" w:cs="Arial"/>
          <w:lang w:eastAsia="bg-BG"/>
        </w:rPr>
      </w:pPr>
      <w:r w:rsidRPr="00CE189B">
        <w:rPr>
          <w:rFonts w:eastAsia="Times New Roman" w:cs="Arial"/>
          <w:color w:val="000000"/>
          <w:lang w:eastAsia="bg-BG"/>
        </w:rPr>
        <w:t>Най-честите нежелани лекарствени реакции са от страна на нервната система и черния дроб.</w:t>
      </w:r>
    </w:p>
    <w:p w14:paraId="4E167C14" w14:textId="77777777" w:rsidR="00CE189B" w:rsidRPr="00CE189B" w:rsidRDefault="00CE189B" w:rsidP="00CE189B">
      <w:pPr>
        <w:spacing w:line="240" w:lineRule="auto"/>
        <w:rPr>
          <w:rFonts w:eastAsia="Times New Roman" w:cs="Arial"/>
          <w:i/>
          <w:iCs/>
          <w:color w:val="000000"/>
          <w:lang w:eastAsia="bg-BG"/>
        </w:rPr>
      </w:pPr>
    </w:p>
    <w:p w14:paraId="0AA5B615" w14:textId="365AA270" w:rsidR="00CE189B" w:rsidRPr="00CE189B" w:rsidRDefault="00CE189B" w:rsidP="00CE189B">
      <w:pPr>
        <w:spacing w:line="240" w:lineRule="auto"/>
        <w:rPr>
          <w:rFonts w:eastAsia="Times New Roman" w:cs="Arial"/>
          <w:lang w:eastAsia="bg-BG"/>
        </w:rPr>
      </w:pPr>
      <w:r w:rsidRPr="00CE189B">
        <w:rPr>
          <w:rFonts w:eastAsia="Times New Roman" w:cs="Arial"/>
          <w:i/>
          <w:iCs/>
          <w:color w:val="000000"/>
          <w:lang w:eastAsia="bg-BG"/>
        </w:rPr>
        <w:t>Съдсчш нарушения:</w:t>
      </w:r>
    </w:p>
    <w:p w14:paraId="1246F216" w14:textId="77777777" w:rsidR="00CE189B" w:rsidRPr="00CE189B" w:rsidRDefault="00CE189B" w:rsidP="00CE189B">
      <w:pPr>
        <w:spacing w:line="240" w:lineRule="auto"/>
        <w:rPr>
          <w:rFonts w:eastAsia="Times New Roman" w:cs="Arial"/>
          <w:lang w:eastAsia="bg-BG"/>
        </w:rPr>
      </w:pPr>
      <w:r w:rsidRPr="00CE189B">
        <w:rPr>
          <w:rFonts w:eastAsia="Times New Roman" w:cs="Arial"/>
          <w:color w:val="000000"/>
          <w:lang w:eastAsia="bg-BG"/>
        </w:rPr>
        <w:t>Неизвестна честота: Васкудит, хемолитична или апластична анемия, тромбоцитопения, агранулоцитоза.</w:t>
      </w:r>
    </w:p>
    <w:p w14:paraId="7D24385C" w14:textId="77777777" w:rsidR="00CE189B" w:rsidRPr="00CE189B" w:rsidRDefault="00CE189B" w:rsidP="00CE189B">
      <w:pPr>
        <w:spacing w:line="240" w:lineRule="auto"/>
        <w:rPr>
          <w:rFonts w:eastAsia="Times New Roman" w:cs="Arial"/>
          <w:i/>
          <w:iCs/>
          <w:color w:val="000000"/>
          <w:lang w:eastAsia="bg-BG"/>
        </w:rPr>
      </w:pPr>
    </w:p>
    <w:p w14:paraId="46C20125" w14:textId="1F3631E1" w:rsidR="00CE189B" w:rsidRPr="00CE189B" w:rsidRDefault="00CE189B" w:rsidP="00CE189B">
      <w:pPr>
        <w:spacing w:line="240" w:lineRule="auto"/>
        <w:rPr>
          <w:rFonts w:eastAsia="Times New Roman" w:cs="Arial"/>
          <w:lang w:eastAsia="bg-BG"/>
        </w:rPr>
      </w:pPr>
      <w:r w:rsidRPr="00CE189B">
        <w:rPr>
          <w:rFonts w:eastAsia="Times New Roman" w:cs="Arial"/>
          <w:i/>
          <w:iCs/>
          <w:color w:val="000000"/>
          <w:lang w:eastAsia="bg-BG"/>
        </w:rPr>
        <w:t>Нарушение на имунната система</w:t>
      </w:r>
    </w:p>
    <w:p w14:paraId="1BB2C967" w14:textId="77777777" w:rsidR="00CE189B" w:rsidRPr="00CE189B" w:rsidRDefault="00CE189B" w:rsidP="00CE189B">
      <w:pPr>
        <w:spacing w:line="240" w:lineRule="auto"/>
        <w:rPr>
          <w:rFonts w:eastAsia="Times New Roman" w:cs="Arial"/>
          <w:lang w:eastAsia="bg-BG"/>
        </w:rPr>
      </w:pPr>
      <w:r w:rsidRPr="00CE189B">
        <w:rPr>
          <w:rFonts w:eastAsia="Times New Roman" w:cs="Arial"/>
          <w:color w:val="000000"/>
          <w:lang w:eastAsia="bg-BG"/>
        </w:rPr>
        <w:t>Пациентите, които са свръхчувствителни към етионамид, пиразинамид и други сходни по химическа структура лекарствени продукти, имат по-висок риск от развитие на прояви на свръхчувствителност към изониазид поради кръстосана алергия.</w:t>
      </w:r>
    </w:p>
    <w:p w14:paraId="34E5298B" w14:textId="77777777" w:rsidR="00CE189B" w:rsidRPr="00CE189B" w:rsidRDefault="00CE189B" w:rsidP="00CE189B">
      <w:pPr>
        <w:spacing w:line="240" w:lineRule="auto"/>
        <w:rPr>
          <w:rFonts w:eastAsia="Times New Roman" w:cs="Arial"/>
          <w:lang w:eastAsia="bg-BG"/>
        </w:rPr>
      </w:pPr>
      <w:r w:rsidRPr="00CE189B">
        <w:rPr>
          <w:rFonts w:eastAsia="Times New Roman" w:cs="Arial"/>
          <w:color w:val="000000"/>
          <w:lang w:eastAsia="bg-BG"/>
        </w:rPr>
        <w:t>Наблюдавани са ревматоидни реакции (артралгии, ревматичен синдром, пневмонит).</w:t>
      </w:r>
    </w:p>
    <w:p w14:paraId="355B1ED7" w14:textId="77777777" w:rsidR="00CE189B" w:rsidRPr="00CE189B" w:rsidRDefault="00CE189B" w:rsidP="00CE189B">
      <w:pPr>
        <w:spacing w:line="240" w:lineRule="auto"/>
        <w:rPr>
          <w:rFonts w:eastAsia="Times New Roman" w:cs="Arial"/>
          <w:i/>
          <w:iCs/>
          <w:color w:val="000000"/>
          <w:lang w:eastAsia="bg-BG"/>
        </w:rPr>
      </w:pPr>
    </w:p>
    <w:p w14:paraId="56778B04" w14:textId="71932764" w:rsidR="00CE189B" w:rsidRPr="00CE189B" w:rsidRDefault="00CE189B" w:rsidP="00CE189B">
      <w:pPr>
        <w:spacing w:line="240" w:lineRule="auto"/>
        <w:rPr>
          <w:rFonts w:eastAsia="Times New Roman" w:cs="Arial"/>
          <w:lang w:eastAsia="bg-BG"/>
        </w:rPr>
      </w:pPr>
      <w:r w:rsidRPr="00CE189B">
        <w:rPr>
          <w:rFonts w:eastAsia="Times New Roman" w:cs="Arial"/>
          <w:i/>
          <w:iCs/>
          <w:color w:val="000000"/>
          <w:lang w:eastAsia="bg-BG"/>
        </w:rPr>
        <w:t>Нарушения на метаболизма и храненето</w:t>
      </w:r>
    </w:p>
    <w:p w14:paraId="431D0A45" w14:textId="77777777" w:rsidR="00CE189B" w:rsidRPr="00CE189B" w:rsidRDefault="00CE189B" w:rsidP="00CE189B">
      <w:pPr>
        <w:spacing w:line="240" w:lineRule="auto"/>
        <w:rPr>
          <w:rFonts w:eastAsia="Times New Roman" w:cs="Arial"/>
          <w:lang w:eastAsia="bg-BG"/>
        </w:rPr>
      </w:pPr>
      <w:r w:rsidRPr="00CE189B">
        <w:rPr>
          <w:rFonts w:eastAsia="Times New Roman" w:cs="Arial"/>
          <w:color w:val="000000"/>
          <w:lang w:eastAsia="bg-BG"/>
        </w:rPr>
        <w:t>Рядко - пелагра, хипергликемия.</w:t>
      </w:r>
    </w:p>
    <w:p w14:paraId="3528E336" w14:textId="77777777" w:rsidR="00CE189B" w:rsidRPr="00CE189B" w:rsidRDefault="00CE189B" w:rsidP="00CE189B">
      <w:pPr>
        <w:spacing w:line="240" w:lineRule="auto"/>
        <w:rPr>
          <w:rFonts w:eastAsia="Times New Roman" w:cs="Arial"/>
          <w:i/>
          <w:iCs/>
          <w:color w:val="000000"/>
          <w:lang w:eastAsia="bg-BG"/>
        </w:rPr>
      </w:pPr>
    </w:p>
    <w:p w14:paraId="4C1FCF89" w14:textId="03BAED29" w:rsidR="00CE189B" w:rsidRPr="00CE189B" w:rsidRDefault="00CE189B" w:rsidP="00CE189B">
      <w:pPr>
        <w:spacing w:line="240" w:lineRule="auto"/>
        <w:rPr>
          <w:rFonts w:eastAsia="Times New Roman" w:cs="Arial"/>
          <w:lang w:eastAsia="bg-BG"/>
        </w:rPr>
      </w:pPr>
      <w:r w:rsidRPr="00CE189B">
        <w:rPr>
          <w:rFonts w:eastAsia="Times New Roman" w:cs="Arial"/>
          <w:i/>
          <w:iCs/>
          <w:color w:val="000000"/>
          <w:lang w:eastAsia="bg-BG"/>
        </w:rPr>
        <w:t>Нарушения на нервната система</w:t>
      </w:r>
    </w:p>
    <w:p w14:paraId="7B6985C5" w14:textId="77777777" w:rsidR="00CE189B" w:rsidRPr="00CE189B" w:rsidRDefault="00CE189B" w:rsidP="00CE189B">
      <w:pPr>
        <w:spacing w:line="240" w:lineRule="auto"/>
        <w:rPr>
          <w:rFonts w:eastAsia="Times New Roman" w:cs="Arial"/>
          <w:lang w:eastAsia="bg-BG"/>
        </w:rPr>
      </w:pPr>
      <w:r w:rsidRPr="00CE189B">
        <w:rPr>
          <w:rFonts w:eastAsia="Times New Roman" w:cs="Arial"/>
          <w:color w:val="000000"/>
          <w:lang w:eastAsia="bg-BG"/>
        </w:rPr>
        <w:t>Периферната невропатия е дозозависима нежелана реакция и е приблизително при 2 % от пациентите, а при високи дози - до 10-20%.</w:t>
      </w:r>
    </w:p>
    <w:p w14:paraId="1A3DCFF4" w14:textId="77777777" w:rsidR="00CE189B" w:rsidRPr="00CE189B" w:rsidRDefault="00CE189B" w:rsidP="00CE189B">
      <w:pPr>
        <w:spacing w:line="240" w:lineRule="auto"/>
        <w:rPr>
          <w:rFonts w:eastAsia="Times New Roman" w:cs="Arial"/>
          <w:lang w:eastAsia="bg-BG"/>
        </w:rPr>
      </w:pPr>
      <w:r w:rsidRPr="00CE189B">
        <w:rPr>
          <w:rFonts w:eastAsia="Times New Roman" w:cs="Arial"/>
          <w:color w:val="000000"/>
          <w:lang w:eastAsia="bg-BG"/>
        </w:rPr>
        <w:t>Невропатия се развива по-често при болни с диабет, уремия, бременни, алкохолизъм, онкологично болни, непълноценно хранене, когато се налага туберкулостатично лечение.</w:t>
      </w:r>
    </w:p>
    <w:p w14:paraId="505F8102" w14:textId="77777777" w:rsidR="00CE189B" w:rsidRPr="00CE189B" w:rsidRDefault="00CE189B" w:rsidP="00CE189B">
      <w:pPr>
        <w:spacing w:line="240" w:lineRule="auto"/>
        <w:rPr>
          <w:rFonts w:eastAsia="Times New Roman" w:cs="Arial"/>
          <w:lang w:eastAsia="bg-BG"/>
        </w:rPr>
      </w:pPr>
      <w:r w:rsidRPr="00CE189B">
        <w:rPr>
          <w:rFonts w:eastAsia="Times New Roman" w:cs="Arial"/>
          <w:color w:val="000000"/>
          <w:lang w:eastAsia="bg-BG"/>
        </w:rPr>
        <w:t>За предотвратяване на нежелани реакции се приема едновременно изонид с пиридоксин (витамин В6), тъй като той интирферира с биологичните функции на пиридоксина и лечението не се спира.</w:t>
      </w:r>
    </w:p>
    <w:p w14:paraId="7AE4FA7F" w14:textId="77777777" w:rsidR="00CE189B" w:rsidRPr="00CE189B" w:rsidRDefault="00CE189B" w:rsidP="00CE189B">
      <w:pPr>
        <w:spacing w:line="240" w:lineRule="auto"/>
        <w:rPr>
          <w:rFonts w:eastAsia="Times New Roman" w:cs="Arial"/>
          <w:lang w:eastAsia="bg-BG"/>
        </w:rPr>
      </w:pPr>
      <w:r w:rsidRPr="00CE189B">
        <w:rPr>
          <w:rFonts w:eastAsia="Times New Roman" w:cs="Arial"/>
          <w:color w:val="000000"/>
          <w:lang w:eastAsia="bg-BG"/>
        </w:rPr>
        <w:t>Гърчове (церебрален синдром)</w:t>
      </w:r>
    </w:p>
    <w:p w14:paraId="54120621" w14:textId="77777777" w:rsidR="00CE189B" w:rsidRPr="00CE189B" w:rsidRDefault="00CE189B" w:rsidP="00CE189B">
      <w:pPr>
        <w:spacing w:line="240" w:lineRule="auto"/>
        <w:rPr>
          <w:rFonts w:eastAsia="Times New Roman" w:cs="Arial"/>
          <w:i/>
          <w:iCs/>
          <w:color w:val="000000"/>
          <w:lang w:eastAsia="bg-BG"/>
        </w:rPr>
      </w:pPr>
    </w:p>
    <w:p w14:paraId="3D6AD2FF" w14:textId="7CA1539F" w:rsidR="00CE189B" w:rsidRPr="00CE189B" w:rsidRDefault="00CE189B" w:rsidP="00CE189B">
      <w:pPr>
        <w:spacing w:line="240" w:lineRule="auto"/>
        <w:rPr>
          <w:rFonts w:eastAsia="Times New Roman" w:cs="Arial"/>
          <w:lang w:eastAsia="bg-BG"/>
        </w:rPr>
      </w:pPr>
      <w:r w:rsidRPr="00CE189B">
        <w:rPr>
          <w:rFonts w:eastAsia="Times New Roman" w:cs="Arial"/>
          <w:i/>
          <w:iCs/>
          <w:color w:val="000000"/>
          <w:lang w:eastAsia="bg-BG"/>
        </w:rPr>
        <w:t>Психични нарушения</w:t>
      </w:r>
    </w:p>
    <w:p w14:paraId="462D5A07" w14:textId="77777777" w:rsidR="00CE189B" w:rsidRPr="00CE189B" w:rsidRDefault="00CE189B" w:rsidP="00CE189B">
      <w:pPr>
        <w:spacing w:line="240" w:lineRule="auto"/>
        <w:rPr>
          <w:rFonts w:eastAsia="Times New Roman" w:cs="Arial"/>
          <w:lang w:eastAsia="bg-BG"/>
        </w:rPr>
      </w:pPr>
      <w:r w:rsidRPr="00CE189B">
        <w:rPr>
          <w:rFonts w:eastAsia="Times New Roman" w:cs="Arial"/>
          <w:color w:val="000000"/>
          <w:lang w:eastAsia="bg-BG"/>
        </w:rPr>
        <w:t>Халюцинации</w:t>
      </w:r>
    </w:p>
    <w:p w14:paraId="5E7F9584" w14:textId="77777777" w:rsidR="00CE189B" w:rsidRPr="00CE189B" w:rsidRDefault="00CE189B" w:rsidP="00CE189B">
      <w:pPr>
        <w:spacing w:line="240" w:lineRule="auto"/>
        <w:rPr>
          <w:rFonts w:eastAsia="Times New Roman" w:cs="Arial"/>
          <w:i/>
          <w:iCs/>
          <w:color w:val="000000"/>
          <w:lang w:eastAsia="bg-BG"/>
        </w:rPr>
      </w:pPr>
    </w:p>
    <w:p w14:paraId="54E38CC4" w14:textId="5281F422" w:rsidR="00CE189B" w:rsidRPr="00CE189B" w:rsidRDefault="00CE189B" w:rsidP="00CE189B">
      <w:pPr>
        <w:spacing w:line="240" w:lineRule="auto"/>
        <w:rPr>
          <w:rFonts w:eastAsia="Times New Roman" w:cs="Arial"/>
          <w:lang w:eastAsia="bg-BG"/>
        </w:rPr>
      </w:pPr>
      <w:r w:rsidRPr="00CE189B">
        <w:rPr>
          <w:rFonts w:eastAsia="Times New Roman" w:cs="Arial"/>
          <w:i/>
          <w:iCs/>
          <w:color w:val="000000"/>
          <w:lang w:eastAsia="bg-BG"/>
        </w:rPr>
        <w:t>Нарушения на ухото и лабиринта</w:t>
      </w:r>
    </w:p>
    <w:p w14:paraId="389C2D52" w14:textId="77777777" w:rsidR="00CE189B" w:rsidRPr="00CE189B" w:rsidRDefault="00CE189B" w:rsidP="00CE189B">
      <w:pPr>
        <w:spacing w:line="240" w:lineRule="auto"/>
        <w:rPr>
          <w:rFonts w:eastAsia="Times New Roman" w:cs="Arial"/>
          <w:lang w:eastAsia="bg-BG"/>
        </w:rPr>
      </w:pPr>
      <w:r w:rsidRPr="00CE189B">
        <w:rPr>
          <w:rFonts w:eastAsia="Times New Roman" w:cs="Arial"/>
          <w:color w:val="000000"/>
          <w:lang w:eastAsia="bg-BG"/>
        </w:rPr>
        <w:t>Много рядко - вертиго.</w:t>
      </w:r>
    </w:p>
    <w:p w14:paraId="5CF8ED54" w14:textId="77777777" w:rsidR="00CE189B" w:rsidRPr="00CE189B" w:rsidRDefault="00CE189B" w:rsidP="00CE189B">
      <w:pPr>
        <w:spacing w:line="240" w:lineRule="auto"/>
        <w:rPr>
          <w:rFonts w:eastAsia="Times New Roman" w:cs="Arial"/>
          <w:i/>
          <w:iCs/>
          <w:color w:val="000000"/>
          <w:lang w:eastAsia="bg-BG"/>
        </w:rPr>
      </w:pPr>
    </w:p>
    <w:p w14:paraId="5A836EC4" w14:textId="5F97C8A3" w:rsidR="00CE189B" w:rsidRPr="00CE189B" w:rsidRDefault="00CE189B" w:rsidP="00CE189B">
      <w:pPr>
        <w:spacing w:line="240" w:lineRule="auto"/>
        <w:rPr>
          <w:rFonts w:eastAsia="Times New Roman" w:cs="Arial"/>
          <w:lang w:eastAsia="bg-BG"/>
        </w:rPr>
      </w:pPr>
      <w:r w:rsidRPr="00CE189B">
        <w:rPr>
          <w:rFonts w:eastAsia="Times New Roman" w:cs="Arial"/>
          <w:i/>
          <w:iCs/>
          <w:color w:val="000000"/>
          <w:lang w:eastAsia="bg-BG"/>
        </w:rPr>
        <w:t>Стомашно-чревни нарушения.</w:t>
      </w:r>
    </w:p>
    <w:p w14:paraId="7F3D3615" w14:textId="77777777" w:rsidR="00CE189B" w:rsidRPr="00CE189B" w:rsidRDefault="00CE189B" w:rsidP="00CE189B">
      <w:pPr>
        <w:spacing w:line="240" w:lineRule="auto"/>
        <w:rPr>
          <w:rFonts w:eastAsia="Times New Roman" w:cs="Arial"/>
          <w:lang w:eastAsia="bg-BG"/>
        </w:rPr>
      </w:pPr>
      <w:r w:rsidRPr="00CE189B">
        <w:rPr>
          <w:rFonts w:eastAsia="Times New Roman" w:cs="Arial"/>
          <w:color w:val="000000"/>
          <w:lang w:eastAsia="bg-BG"/>
        </w:rPr>
        <w:t>Неизвестна честота: Панкреатит, гадене, повръшане, коремни болки (в епигаструма),</w:t>
      </w:r>
      <w:r w:rsidRPr="00CE189B">
        <w:rPr>
          <w:rFonts w:eastAsia="Times New Roman" w:cs="Arial"/>
          <w:color w:val="000000"/>
          <w:lang w:val="en-US"/>
        </w:rPr>
        <w:t xml:space="preserve"> </w:t>
      </w:r>
      <w:r w:rsidRPr="00CE189B">
        <w:rPr>
          <w:rFonts w:eastAsia="Times New Roman" w:cs="Arial"/>
          <w:color w:val="000000"/>
          <w:lang w:eastAsia="bg-BG"/>
        </w:rPr>
        <w:t>сухота в устата, констипация.</w:t>
      </w:r>
    </w:p>
    <w:p w14:paraId="6A50BE82" w14:textId="77777777" w:rsidR="00CE189B" w:rsidRPr="00CE189B" w:rsidRDefault="00CE189B" w:rsidP="00CE189B">
      <w:pPr>
        <w:spacing w:line="240" w:lineRule="auto"/>
        <w:rPr>
          <w:rFonts w:eastAsia="Times New Roman" w:cs="Arial"/>
          <w:lang w:eastAsia="bg-BG"/>
        </w:rPr>
      </w:pPr>
    </w:p>
    <w:p w14:paraId="0254AACC" w14:textId="36A97D3C" w:rsidR="007A2185" w:rsidRPr="00CE189B" w:rsidRDefault="00CE189B" w:rsidP="00CE189B">
      <w:pPr>
        <w:rPr>
          <w:rFonts w:cs="Arial"/>
        </w:rPr>
      </w:pPr>
      <w:r w:rsidRPr="00CE189B">
        <w:rPr>
          <w:rFonts w:eastAsia="Times New Roman" w:cs="Arial"/>
          <w:i/>
          <w:iCs/>
          <w:color w:val="000000"/>
          <w:lang w:eastAsia="bg-BG"/>
        </w:rPr>
        <w:t>Хепатобилирни нарушения</w:t>
      </w:r>
    </w:p>
    <w:p w14:paraId="22DF429D" w14:textId="77777777" w:rsidR="00CE189B" w:rsidRPr="00CE189B" w:rsidRDefault="00CE189B" w:rsidP="00CE189B">
      <w:pPr>
        <w:spacing w:line="240" w:lineRule="auto"/>
        <w:rPr>
          <w:rFonts w:eastAsia="Times New Roman" w:cs="Arial"/>
          <w:lang w:eastAsia="bg-BG"/>
        </w:rPr>
      </w:pPr>
      <w:r w:rsidRPr="00CE189B">
        <w:rPr>
          <w:rFonts w:eastAsia="Times New Roman" w:cs="Arial"/>
          <w:color w:val="000000"/>
          <w:lang w:eastAsia="bg-BG"/>
        </w:rPr>
        <w:t>Хепатотоксичност - относително често повишаване на трансмилазите. Техните базови стойности могат да нарастнат асимптоматично 3-5 пъти.</w:t>
      </w:r>
    </w:p>
    <w:p w14:paraId="6A0B4238" w14:textId="77777777" w:rsidR="00CE189B" w:rsidRPr="00CE189B" w:rsidRDefault="00CE189B" w:rsidP="00CE189B">
      <w:pPr>
        <w:spacing w:line="240" w:lineRule="auto"/>
        <w:rPr>
          <w:rFonts w:eastAsia="Times New Roman" w:cs="Arial"/>
          <w:lang w:eastAsia="bg-BG"/>
        </w:rPr>
      </w:pPr>
      <w:r w:rsidRPr="00CE189B">
        <w:rPr>
          <w:rFonts w:eastAsia="Times New Roman" w:cs="Arial"/>
          <w:color w:val="000000"/>
          <w:lang w:eastAsia="bg-BG"/>
        </w:rPr>
        <w:t>В повечето случаи индуцираните по-високи стойности на трансминазите се нормализират. В редки случаи прогресира хипербилирубинемията, увеличава се алкалната фосфатаза.</w:t>
      </w:r>
    </w:p>
    <w:p w14:paraId="4CF85F98" w14:textId="77777777" w:rsidR="00CE189B" w:rsidRPr="00CE189B" w:rsidRDefault="00CE189B" w:rsidP="00CE189B">
      <w:pPr>
        <w:spacing w:line="240" w:lineRule="auto"/>
        <w:rPr>
          <w:rFonts w:eastAsia="Times New Roman" w:cs="Arial"/>
          <w:lang w:eastAsia="bg-BG"/>
        </w:rPr>
      </w:pPr>
      <w:r w:rsidRPr="00CE189B">
        <w:rPr>
          <w:rFonts w:eastAsia="Times New Roman" w:cs="Arial"/>
          <w:color w:val="000000"/>
          <w:lang w:eastAsia="bg-BG"/>
        </w:rPr>
        <w:t>Нечести: Хепатит</w:t>
      </w:r>
    </w:p>
    <w:p w14:paraId="35515A95" w14:textId="77777777" w:rsidR="00CE189B" w:rsidRPr="00CE189B" w:rsidRDefault="00CE189B" w:rsidP="00CE189B">
      <w:pPr>
        <w:spacing w:line="240" w:lineRule="auto"/>
        <w:rPr>
          <w:rFonts w:eastAsia="Times New Roman" w:cs="Arial"/>
          <w:i/>
          <w:iCs/>
          <w:color w:val="000000"/>
          <w:lang w:eastAsia="bg-BG"/>
        </w:rPr>
      </w:pPr>
    </w:p>
    <w:p w14:paraId="6F7830B8" w14:textId="0D634B6D" w:rsidR="00CE189B" w:rsidRPr="00CE189B" w:rsidRDefault="00CE189B" w:rsidP="00CE189B">
      <w:pPr>
        <w:spacing w:line="240" w:lineRule="auto"/>
        <w:rPr>
          <w:rFonts w:eastAsia="Times New Roman" w:cs="Arial"/>
          <w:lang w:eastAsia="bg-BG"/>
        </w:rPr>
      </w:pPr>
      <w:r w:rsidRPr="00CE189B">
        <w:rPr>
          <w:rFonts w:eastAsia="Times New Roman" w:cs="Arial"/>
          <w:i/>
          <w:iCs/>
          <w:color w:val="000000"/>
          <w:lang w:eastAsia="bg-BG"/>
        </w:rPr>
        <w:t>Нарушения на бъбреците и пикочните пътища</w:t>
      </w:r>
    </w:p>
    <w:p w14:paraId="70F1EF43" w14:textId="77777777" w:rsidR="00CE189B" w:rsidRPr="00CE189B" w:rsidRDefault="00CE189B" w:rsidP="00CE189B">
      <w:pPr>
        <w:spacing w:line="240" w:lineRule="auto"/>
        <w:rPr>
          <w:rFonts w:eastAsia="Times New Roman" w:cs="Arial"/>
          <w:lang w:eastAsia="bg-BG"/>
        </w:rPr>
      </w:pPr>
      <w:r w:rsidRPr="00CE189B">
        <w:rPr>
          <w:rFonts w:eastAsia="Times New Roman" w:cs="Arial"/>
          <w:color w:val="000000"/>
          <w:lang w:eastAsia="bg-BG"/>
        </w:rPr>
        <w:t>Рядко - рестенция на урината.</w:t>
      </w:r>
    </w:p>
    <w:p w14:paraId="161060EE" w14:textId="77777777" w:rsidR="00CE189B" w:rsidRPr="00CE189B" w:rsidRDefault="00CE189B" w:rsidP="00CE189B">
      <w:pPr>
        <w:spacing w:line="240" w:lineRule="auto"/>
        <w:rPr>
          <w:rFonts w:eastAsia="Times New Roman" w:cs="Arial"/>
          <w:i/>
          <w:iCs/>
          <w:color w:val="000000"/>
          <w:lang w:eastAsia="bg-BG"/>
        </w:rPr>
      </w:pPr>
    </w:p>
    <w:p w14:paraId="0C74D740" w14:textId="54AD43D7" w:rsidR="00CE189B" w:rsidRPr="00CE189B" w:rsidRDefault="00CE189B" w:rsidP="00CE189B">
      <w:pPr>
        <w:spacing w:line="240" w:lineRule="auto"/>
        <w:rPr>
          <w:rFonts w:eastAsia="Times New Roman" w:cs="Arial"/>
          <w:lang w:eastAsia="bg-BG"/>
        </w:rPr>
      </w:pPr>
      <w:r w:rsidRPr="00CE189B">
        <w:rPr>
          <w:rFonts w:eastAsia="Times New Roman" w:cs="Arial"/>
          <w:i/>
          <w:iCs/>
          <w:color w:val="000000"/>
          <w:lang w:eastAsia="bg-BG"/>
        </w:rPr>
        <w:t>Нарушение на кожата и подкожната тъкан</w:t>
      </w:r>
    </w:p>
    <w:p w14:paraId="79727A1A" w14:textId="77777777" w:rsidR="00CE189B" w:rsidRPr="00CE189B" w:rsidRDefault="00CE189B" w:rsidP="00CE189B">
      <w:pPr>
        <w:spacing w:line="240" w:lineRule="auto"/>
        <w:rPr>
          <w:rFonts w:eastAsia="Times New Roman" w:cs="Arial"/>
          <w:lang w:eastAsia="bg-BG"/>
        </w:rPr>
      </w:pPr>
      <w:r w:rsidRPr="00CE189B">
        <w:rPr>
          <w:rFonts w:eastAsia="Times New Roman" w:cs="Arial"/>
          <w:color w:val="000000"/>
          <w:lang w:eastAsia="bg-BG"/>
        </w:rPr>
        <w:t>Редки: Токсична епидермална некролиза, системни симптоми на еозинофилия</w:t>
      </w:r>
    </w:p>
    <w:p w14:paraId="125B53DF" w14:textId="77777777" w:rsidR="00CE189B" w:rsidRPr="00CE189B" w:rsidRDefault="00CE189B" w:rsidP="00CE189B">
      <w:pPr>
        <w:spacing w:line="240" w:lineRule="auto"/>
        <w:rPr>
          <w:rFonts w:eastAsia="Times New Roman" w:cs="Arial"/>
          <w:color w:val="000000"/>
          <w:u w:val="single"/>
          <w:lang w:eastAsia="bg-BG"/>
        </w:rPr>
      </w:pPr>
    </w:p>
    <w:p w14:paraId="37C33F11" w14:textId="65DAB4EA" w:rsidR="00CE189B" w:rsidRPr="00CE189B" w:rsidRDefault="00CE189B" w:rsidP="00CE189B">
      <w:pPr>
        <w:spacing w:line="240" w:lineRule="auto"/>
        <w:rPr>
          <w:rFonts w:eastAsia="Times New Roman" w:cs="Arial"/>
          <w:lang w:eastAsia="bg-BG"/>
        </w:rPr>
      </w:pPr>
      <w:r w:rsidRPr="00CE189B">
        <w:rPr>
          <w:rFonts w:eastAsia="Times New Roman" w:cs="Arial"/>
          <w:color w:val="000000"/>
          <w:u w:val="single"/>
          <w:lang w:eastAsia="bg-BG"/>
        </w:rPr>
        <w:t>Постмаркетингови наблюдения</w:t>
      </w:r>
    </w:p>
    <w:p w14:paraId="58574052" w14:textId="77777777" w:rsidR="00CE189B" w:rsidRPr="00CE189B" w:rsidRDefault="00CE189B" w:rsidP="00CE189B">
      <w:pPr>
        <w:spacing w:line="240" w:lineRule="auto"/>
        <w:rPr>
          <w:rFonts w:eastAsia="Times New Roman" w:cs="Arial"/>
          <w:lang w:eastAsia="bg-BG"/>
        </w:rPr>
      </w:pPr>
      <w:r w:rsidRPr="00CE189B">
        <w:rPr>
          <w:rFonts w:eastAsia="Times New Roman" w:cs="Arial"/>
          <w:color w:val="000000"/>
          <w:lang w:eastAsia="bg-BG"/>
        </w:rPr>
        <w:lastRenderedPageBreak/>
        <w:t>Липсват съобщения за сериозни неочаквани нежелани реакции. В единични случаи е регистриран бързопреходен обрив, отзвучал след приложение на антихистаминови продукти.</w:t>
      </w:r>
    </w:p>
    <w:p w14:paraId="2EAAB47C" w14:textId="77777777" w:rsidR="00CE189B" w:rsidRPr="00CE189B" w:rsidRDefault="00CE189B" w:rsidP="00CE189B">
      <w:pPr>
        <w:spacing w:line="240" w:lineRule="auto"/>
        <w:rPr>
          <w:rFonts w:eastAsia="Times New Roman" w:cs="Arial"/>
          <w:color w:val="000000"/>
          <w:u w:val="single"/>
          <w:lang w:eastAsia="bg-BG"/>
        </w:rPr>
      </w:pPr>
    </w:p>
    <w:p w14:paraId="264B7F21" w14:textId="76D6EF64" w:rsidR="00CE189B" w:rsidRPr="00CE189B" w:rsidRDefault="00CE189B" w:rsidP="00CE189B">
      <w:pPr>
        <w:spacing w:line="240" w:lineRule="auto"/>
        <w:rPr>
          <w:rFonts w:eastAsia="Times New Roman" w:cs="Arial"/>
          <w:lang w:eastAsia="bg-BG"/>
        </w:rPr>
      </w:pPr>
      <w:r w:rsidRPr="00CE189B">
        <w:rPr>
          <w:rFonts w:eastAsia="Times New Roman" w:cs="Arial"/>
          <w:color w:val="000000"/>
          <w:u w:val="single"/>
          <w:lang w:eastAsia="bg-BG"/>
        </w:rPr>
        <w:t>Съобщаване на подозирани нежелани реакции</w:t>
      </w:r>
    </w:p>
    <w:p w14:paraId="3958D9B3" w14:textId="77777777" w:rsidR="00CE189B" w:rsidRPr="00CE189B" w:rsidRDefault="00CE189B" w:rsidP="00CE189B">
      <w:pPr>
        <w:spacing w:line="240" w:lineRule="auto"/>
        <w:rPr>
          <w:rFonts w:eastAsia="Times New Roman" w:cs="Arial"/>
          <w:lang w:eastAsia="bg-BG"/>
        </w:rPr>
      </w:pPr>
      <w:r w:rsidRPr="00CE189B">
        <w:rPr>
          <w:rFonts w:eastAsia="Times New Roman" w:cs="Arial"/>
          <w:color w:val="000000"/>
          <w:lang w:eastAsia="bg-BG"/>
        </w:rPr>
        <w:t>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w:t>
      </w:r>
    </w:p>
    <w:p w14:paraId="20A47129" w14:textId="77777777" w:rsidR="00CE189B" w:rsidRPr="00CE189B" w:rsidRDefault="00CE189B" w:rsidP="00CE189B">
      <w:pPr>
        <w:spacing w:line="240" w:lineRule="auto"/>
        <w:rPr>
          <w:rFonts w:eastAsia="Times New Roman" w:cs="Arial"/>
          <w:lang w:eastAsia="bg-BG"/>
        </w:rPr>
      </w:pPr>
      <w:r w:rsidRPr="00CE189B">
        <w:rPr>
          <w:rFonts w:eastAsia="Times New Roman" w:cs="Arial"/>
          <w:color w:val="000000"/>
          <w:lang w:eastAsia="bg-BG"/>
        </w:rPr>
        <w:t>Изпълнителна агенция по лекарствата</w:t>
      </w:r>
    </w:p>
    <w:p w14:paraId="5F95F029" w14:textId="77777777" w:rsidR="00CE189B" w:rsidRPr="00CE189B" w:rsidRDefault="00CE189B" w:rsidP="00CE189B">
      <w:pPr>
        <w:spacing w:line="240" w:lineRule="auto"/>
        <w:rPr>
          <w:rFonts w:eastAsia="Times New Roman" w:cs="Arial"/>
          <w:lang w:eastAsia="bg-BG"/>
        </w:rPr>
      </w:pPr>
      <w:r w:rsidRPr="00CE189B">
        <w:rPr>
          <w:rFonts w:eastAsia="Times New Roman" w:cs="Arial"/>
          <w:color w:val="000000"/>
          <w:lang w:eastAsia="bg-BG"/>
        </w:rPr>
        <w:t>ул.’’Дамян Груев” № 8</w:t>
      </w:r>
    </w:p>
    <w:p w14:paraId="162B2C90" w14:textId="77777777" w:rsidR="00CE189B" w:rsidRPr="00CE189B" w:rsidRDefault="00CE189B" w:rsidP="00CE189B">
      <w:pPr>
        <w:spacing w:line="240" w:lineRule="auto"/>
        <w:rPr>
          <w:rFonts w:eastAsia="Times New Roman" w:cs="Arial"/>
          <w:lang w:eastAsia="bg-BG"/>
        </w:rPr>
      </w:pPr>
      <w:r w:rsidRPr="00CE189B">
        <w:rPr>
          <w:rFonts w:eastAsia="Times New Roman" w:cs="Arial"/>
          <w:color w:val="000000"/>
          <w:lang w:eastAsia="bg-BG"/>
        </w:rPr>
        <w:t>1303 София</w:t>
      </w:r>
    </w:p>
    <w:p w14:paraId="115957B9" w14:textId="77777777" w:rsidR="00CE189B" w:rsidRPr="00CE189B" w:rsidRDefault="00CE189B" w:rsidP="00CE189B">
      <w:pPr>
        <w:spacing w:line="240" w:lineRule="auto"/>
        <w:rPr>
          <w:rFonts w:eastAsia="Times New Roman" w:cs="Arial"/>
          <w:lang w:eastAsia="bg-BG"/>
        </w:rPr>
      </w:pPr>
      <w:r w:rsidRPr="00CE189B">
        <w:rPr>
          <w:rFonts w:eastAsia="Times New Roman" w:cs="Arial"/>
          <w:color w:val="000000"/>
          <w:lang w:eastAsia="bg-BG"/>
        </w:rPr>
        <w:t>тел.:+35928903417</w:t>
      </w:r>
    </w:p>
    <w:p w14:paraId="443BC107" w14:textId="2B870BA8" w:rsidR="005B0F27" w:rsidRPr="00CE189B" w:rsidRDefault="00CE189B" w:rsidP="00CE189B">
      <w:pPr>
        <w:rPr>
          <w:rFonts w:cs="Arial"/>
        </w:rPr>
      </w:pPr>
      <w:r w:rsidRPr="00CE189B">
        <w:rPr>
          <w:rFonts w:eastAsia="Times New Roman" w:cs="Arial"/>
          <w:color w:val="000000"/>
          <w:lang w:eastAsia="bg-BG"/>
        </w:rPr>
        <w:t xml:space="preserve">уебсайт: </w:t>
      </w:r>
      <w:hyperlink r:id="rId5" w:history="1">
        <w:r w:rsidRPr="00CE189B">
          <w:rPr>
            <w:rFonts w:eastAsia="Times New Roman" w:cs="Arial"/>
            <w:color w:val="000000"/>
            <w:lang w:val="en-US"/>
          </w:rPr>
          <w:t>www.bda.bg</w:t>
        </w:r>
      </w:hyperlink>
      <w:r w:rsidRPr="00CE189B">
        <w:rPr>
          <w:rFonts w:eastAsia="Times New Roman" w:cs="Arial"/>
          <w:color w:val="000000"/>
          <w:lang w:val="en-US"/>
        </w:rPr>
        <w:t>.</w:t>
      </w:r>
    </w:p>
    <w:p w14:paraId="357E8287" w14:textId="77777777" w:rsidR="00CE189B" w:rsidRPr="0091385D" w:rsidRDefault="00CE189B" w:rsidP="0091385D"/>
    <w:p w14:paraId="0A023CE0" w14:textId="13F87CFD" w:rsidR="00CF77F7" w:rsidRDefault="002C50EE" w:rsidP="004A448E">
      <w:pPr>
        <w:pStyle w:val="Heading2"/>
      </w:pPr>
      <w:r>
        <w:t>4.9. Предозиране</w:t>
      </w:r>
    </w:p>
    <w:p w14:paraId="3EDFC3FC" w14:textId="771B3817" w:rsidR="0091385D" w:rsidRDefault="0091385D" w:rsidP="0091385D"/>
    <w:p w14:paraId="31DCB4BF" w14:textId="77777777" w:rsidR="00CE189B" w:rsidRPr="00CE189B" w:rsidRDefault="00CE189B" w:rsidP="00CE189B">
      <w:pPr>
        <w:spacing w:line="240" w:lineRule="auto"/>
        <w:rPr>
          <w:rFonts w:eastAsia="Times New Roman" w:cs="Arial"/>
          <w:lang w:eastAsia="bg-BG"/>
        </w:rPr>
      </w:pPr>
      <w:r w:rsidRPr="00CE189B">
        <w:rPr>
          <w:rFonts w:eastAsia="Times New Roman" w:cs="Arial"/>
          <w:i/>
          <w:iCs/>
          <w:color w:val="000000"/>
          <w:lang w:eastAsia="bg-BG"/>
        </w:rPr>
        <w:t>Основни симптоми:</w:t>
      </w:r>
      <w:r w:rsidRPr="00CE189B">
        <w:rPr>
          <w:rFonts w:eastAsia="Times New Roman" w:cs="Arial"/>
          <w:color w:val="000000"/>
          <w:lang w:eastAsia="bg-BG"/>
        </w:rPr>
        <w:t xml:space="preserve"> От 1/2 до 3 часа след приемане на висока доза се появяват следните признаци: гадене, повръщане, световъртеж, визуални нарушения, халюцинации. Опасност на изпадане в конвулсивна кома, която води до аноксия, можеща да причини смърт. В биологичен план: ацидоза, апетонурия, хипергликемия.</w:t>
      </w:r>
    </w:p>
    <w:p w14:paraId="06E76900" w14:textId="77777777" w:rsidR="00CE189B" w:rsidRPr="00CE189B" w:rsidRDefault="00CE189B" w:rsidP="00CE189B">
      <w:pPr>
        <w:spacing w:line="240" w:lineRule="auto"/>
        <w:rPr>
          <w:rFonts w:eastAsia="Times New Roman" w:cs="Arial"/>
          <w:i/>
          <w:iCs/>
          <w:color w:val="000000"/>
          <w:lang w:eastAsia="bg-BG"/>
        </w:rPr>
      </w:pPr>
    </w:p>
    <w:p w14:paraId="7B0EDD26" w14:textId="2E5ED393" w:rsidR="00CE189B" w:rsidRPr="00CE189B" w:rsidRDefault="00CE189B" w:rsidP="00CE189B">
      <w:pPr>
        <w:spacing w:line="240" w:lineRule="auto"/>
        <w:rPr>
          <w:rFonts w:eastAsia="Times New Roman" w:cs="Arial"/>
          <w:lang w:eastAsia="bg-BG"/>
        </w:rPr>
      </w:pPr>
      <w:r w:rsidRPr="00CE189B">
        <w:rPr>
          <w:rFonts w:eastAsia="Times New Roman" w:cs="Arial"/>
          <w:i/>
          <w:iCs/>
          <w:color w:val="000000"/>
          <w:lang w:eastAsia="bg-BG"/>
        </w:rPr>
        <w:t>Лечение на предозирането:</w:t>
      </w:r>
    </w:p>
    <w:p w14:paraId="0446EBE0" w14:textId="77777777" w:rsidR="00CE189B" w:rsidRPr="00CE189B" w:rsidRDefault="00CE189B" w:rsidP="00CE189B">
      <w:pPr>
        <w:spacing w:line="240" w:lineRule="auto"/>
        <w:rPr>
          <w:rFonts w:eastAsia="Times New Roman" w:cs="Arial"/>
          <w:lang w:eastAsia="bg-BG"/>
        </w:rPr>
      </w:pPr>
      <w:r w:rsidRPr="00CE189B">
        <w:rPr>
          <w:rFonts w:eastAsia="Times New Roman" w:cs="Arial"/>
          <w:color w:val="000000"/>
          <w:lang w:eastAsia="bg-BG"/>
        </w:rPr>
        <w:t>•</w:t>
      </w:r>
      <w:r w:rsidRPr="00CE189B">
        <w:rPr>
          <w:rFonts w:eastAsia="Times New Roman" w:cs="Arial"/>
          <w:color w:val="000000"/>
          <w:lang w:eastAsia="bg-BG"/>
        </w:rPr>
        <w:tab/>
        <w:t>в специализиран център: овладяване на ацидозата, кардиореспираторна реанимация,</w:t>
      </w:r>
    </w:p>
    <w:p w14:paraId="2FD3A799" w14:textId="77777777" w:rsidR="00CE189B" w:rsidRPr="00CE189B" w:rsidRDefault="00CE189B" w:rsidP="00CE189B">
      <w:pPr>
        <w:spacing w:line="240" w:lineRule="auto"/>
        <w:rPr>
          <w:rFonts w:eastAsia="Times New Roman" w:cs="Arial"/>
          <w:lang w:eastAsia="bg-BG"/>
        </w:rPr>
      </w:pPr>
      <w:r w:rsidRPr="00CE189B">
        <w:rPr>
          <w:rFonts w:eastAsia="Times New Roman" w:cs="Arial"/>
          <w:color w:val="000000"/>
          <w:lang w:eastAsia="bg-BG"/>
        </w:rPr>
        <w:t>антиконвулсанти, високи дози пиридоксин.</w:t>
      </w:r>
    </w:p>
    <w:p w14:paraId="6A43B8F3" w14:textId="65D16D66" w:rsidR="007A2185" w:rsidRPr="00CE189B" w:rsidRDefault="00CE189B" w:rsidP="00CE189B">
      <w:pPr>
        <w:rPr>
          <w:rFonts w:cs="Arial"/>
        </w:rPr>
      </w:pPr>
      <w:r w:rsidRPr="00CE189B">
        <w:rPr>
          <w:rFonts w:eastAsia="Times New Roman" w:cs="Arial"/>
          <w:color w:val="000000"/>
          <w:lang w:eastAsia="bg-BG"/>
        </w:rPr>
        <w:t>•</w:t>
      </w:r>
      <w:r w:rsidRPr="00CE189B">
        <w:rPr>
          <w:rFonts w:eastAsia="Times New Roman" w:cs="Arial"/>
          <w:color w:val="000000"/>
          <w:lang w:eastAsia="bg-BG"/>
        </w:rPr>
        <w:tab/>
        <w:t>хемодиализа.</w:t>
      </w:r>
    </w:p>
    <w:p w14:paraId="48FF1584" w14:textId="77777777" w:rsidR="0091385D" w:rsidRPr="0091385D" w:rsidRDefault="0091385D" w:rsidP="0091385D"/>
    <w:p w14:paraId="02081B24" w14:textId="7CE94171" w:rsidR="00395555" w:rsidRDefault="002C50EE" w:rsidP="008A6AF2">
      <w:pPr>
        <w:pStyle w:val="Heading1"/>
      </w:pPr>
      <w:r>
        <w:t>5. ФАРМАКОЛОГИЧНИ СВОЙСТВА</w:t>
      </w:r>
    </w:p>
    <w:p w14:paraId="1B8079C0" w14:textId="77777777" w:rsidR="0091385D" w:rsidRPr="0091385D" w:rsidRDefault="0091385D" w:rsidP="0091385D"/>
    <w:p w14:paraId="32B6DE66" w14:textId="2ACB6B3B" w:rsidR="00CF77F7" w:rsidRDefault="002C50EE" w:rsidP="004A448E">
      <w:pPr>
        <w:pStyle w:val="Heading2"/>
      </w:pPr>
      <w:r>
        <w:t>5.1. Фармакодинамични свойства</w:t>
      </w:r>
    </w:p>
    <w:p w14:paraId="58DD7DEA" w14:textId="73F11A6B" w:rsidR="0091385D" w:rsidRDefault="0091385D" w:rsidP="0091385D"/>
    <w:p w14:paraId="1608C787" w14:textId="77777777" w:rsidR="00CE189B" w:rsidRPr="00CE189B" w:rsidRDefault="00CE189B" w:rsidP="00CE189B">
      <w:pPr>
        <w:spacing w:line="240" w:lineRule="auto"/>
        <w:rPr>
          <w:rFonts w:eastAsia="Times New Roman" w:cs="Arial"/>
          <w:lang w:eastAsia="bg-BG"/>
        </w:rPr>
      </w:pPr>
      <w:r w:rsidRPr="00CE189B">
        <w:rPr>
          <w:rFonts w:eastAsia="Times New Roman" w:cs="Arial"/>
          <w:color w:val="000000"/>
          <w:lang w:eastAsia="bg-BG"/>
        </w:rPr>
        <w:t>Фармакотерапевтична група: Антимикобактерийни средства, лекарства за лечение на туберкулоза, хидразиди.</w:t>
      </w:r>
    </w:p>
    <w:p w14:paraId="69DB5637" w14:textId="77777777" w:rsidR="00CE189B" w:rsidRPr="00CE189B" w:rsidRDefault="00CE189B" w:rsidP="00CE189B">
      <w:pPr>
        <w:spacing w:line="240" w:lineRule="auto"/>
        <w:rPr>
          <w:rFonts w:eastAsia="Times New Roman" w:cs="Arial"/>
          <w:lang w:eastAsia="bg-BG"/>
        </w:rPr>
      </w:pPr>
      <w:r w:rsidRPr="00CE189B">
        <w:rPr>
          <w:rFonts w:eastAsia="Times New Roman" w:cs="Arial"/>
          <w:color w:val="000000"/>
          <w:lang w:eastAsia="bg-BG"/>
        </w:rPr>
        <w:t xml:space="preserve">АТС код: </w:t>
      </w:r>
      <w:r w:rsidRPr="00CE189B">
        <w:rPr>
          <w:rFonts w:eastAsia="Times New Roman" w:cs="Arial"/>
          <w:color w:val="000000"/>
          <w:lang w:val="en-US"/>
        </w:rPr>
        <w:t>J04AC</w:t>
      </w:r>
      <w:r w:rsidRPr="00CE189B">
        <w:rPr>
          <w:rFonts w:eastAsia="Times New Roman" w:cs="Arial"/>
          <w:color w:val="000000"/>
          <w:lang w:eastAsia="bg-BG"/>
        </w:rPr>
        <w:t xml:space="preserve"> </w:t>
      </w:r>
      <w:r w:rsidRPr="00CE189B">
        <w:rPr>
          <w:rFonts w:eastAsia="Times New Roman" w:cs="Arial"/>
          <w:color w:val="000000"/>
          <w:lang w:val="en-US"/>
        </w:rPr>
        <w:t>01</w:t>
      </w:r>
    </w:p>
    <w:p w14:paraId="09F1FA4E" w14:textId="77777777" w:rsidR="00CE189B" w:rsidRPr="00CE189B" w:rsidRDefault="00CE189B" w:rsidP="00CE189B">
      <w:pPr>
        <w:spacing w:line="240" w:lineRule="auto"/>
        <w:rPr>
          <w:rFonts w:eastAsia="Times New Roman" w:cs="Arial"/>
          <w:color w:val="000000"/>
          <w:lang w:eastAsia="bg-BG"/>
        </w:rPr>
      </w:pPr>
    </w:p>
    <w:p w14:paraId="1E876375" w14:textId="1634FD9C" w:rsidR="00CE189B" w:rsidRPr="00CE189B" w:rsidRDefault="00CE189B" w:rsidP="00CE189B">
      <w:pPr>
        <w:spacing w:line="240" w:lineRule="auto"/>
        <w:rPr>
          <w:rFonts w:eastAsia="Times New Roman" w:cs="Arial"/>
          <w:lang w:eastAsia="bg-BG"/>
        </w:rPr>
      </w:pPr>
      <w:r w:rsidRPr="00CE189B">
        <w:rPr>
          <w:rFonts w:eastAsia="Times New Roman" w:cs="Arial"/>
          <w:color w:val="000000"/>
          <w:lang w:eastAsia="bg-BG"/>
        </w:rPr>
        <w:t>ИЗОНИД има бактерицидно действие върху микобактерии в активен метаболизъм и бактериостатично върху микобактерии в латентно състояние.</w:t>
      </w:r>
    </w:p>
    <w:p w14:paraId="4AFF536C" w14:textId="77777777" w:rsidR="00CE189B" w:rsidRPr="00CE189B" w:rsidRDefault="00CE189B" w:rsidP="00CE189B">
      <w:pPr>
        <w:spacing w:line="240" w:lineRule="auto"/>
        <w:rPr>
          <w:rFonts w:eastAsia="Times New Roman" w:cs="Arial"/>
          <w:lang w:eastAsia="bg-BG"/>
        </w:rPr>
      </w:pPr>
      <w:r w:rsidRPr="00CE189B">
        <w:rPr>
          <w:rFonts w:eastAsia="Times New Roman" w:cs="Arial"/>
          <w:color w:val="000000"/>
          <w:lang w:eastAsia="bg-BG"/>
        </w:rPr>
        <w:t>Действа едновременно върху вътреклетъчни и върху извънклетъчните туберкулозни микобактерии.</w:t>
      </w:r>
    </w:p>
    <w:p w14:paraId="21900B03" w14:textId="77777777" w:rsidR="00CE189B" w:rsidRPr="00CE189B" w:rsidRDefault="00CE189B" w:rsidP="00CE189B">
      <w:pPr>
        <w:rPr>
          <w:rFonts w:eastAsia="Times New Roman" w:cs="Arial"/>
          <w:lang w:eastAsia="bg-BG"/>
        </w:rPr>
      </w:pPr>
      <w:r w:rsidRPr="00CE189B">
        <w:rPr>
          <w:rFonts w:eastAsia="Times New Roman" w:cs="Arial"/>
          <w:color w:val="000000"/>
          <w:lang w:eastAsia="bg-BG"/>
        </w:rPr>
        <w:t>Има хелатообразуващи свойства (свързва двувалентни йони - магнезий, желяязо кобалт), които са необходими за туберкулозния бактерии. Механизмите на действие не са съвсем уточнени. Изониазид инхибира ключов ензим в биосинтезния път на миколовите киселини, важна съставка на  микобактериалната стена. Изониазид активно се транспортира в туберкулозния бактерий, убива</w:t>
      </w:r>
      <w:r w:rsidRPr="00CE189B">
        <w:rPr>
          <w:rFonts w:eastAsia="Times New Roman" w:cs="Arial"/>
          <w:color w:val="000000"/>
          <w:lang w:val="en-US" w:eastAsia="bg-BG"/>
        </w:rPr>
        <w:t xml:space="preserve"> </w:t>
      </w:r>
      <w:r w:rsidRPr="00CE189B">
        <w:rPr>
          <w:rFonts w:eastAsia="Times New Roman" w:cs="Arial"/>
          <w:color w:val="000000"/>
          <w:lang w:eastAsia="bg-BG"/>
        </w:rPr>
        <w:t>бързо размножаващите се бактерии и инхибира растежа на спящите туберкулозни бактерии в макрофаги и в казеозни грануломи.</w:t>
      </w:r>
    </w:p>
    <w:p w14:paraId="038F692B" w14:textId="2E0330E2" w:rsidR="007A2185" w:rsidRPr="00CE189B" w:rsidRDefault="00CE189B" w:rsidP="00CE189B">
      <w:pPr>
        <w:rPr>
          <w:rFonts w:cs="Arial"/>
          <w:lang w:val="en-US"/>
        </w:rPr>
      </w:pPr>
      <w:r w:rsidRPr="00CE189B">
        <w:rPr>
          <w:rFonts w:eastAsia="Times New Roman" w:cs="Arial"/>
          <w:color w:val="000000"/>
          <w:lang w:eastAsia="bg-BG"/>
        </w:rPr>
        <w:lastRenderedPageBreak/>
        <w:t>При контакт с изониазид микобактериите търпят значителни морфологични промени на ниво липидна мембрана.</w:t>
      </w:r>
    </w:p>
    <w:p w14:paraId="36152471" w14:textId="77777777" w:rsidR="0091385D" w:rsidRPr="0091385D" w:rsidRDefault="0091385D" w:rsidP="0091385D"/>
    <w:p w14:paraId="5031193D" w14:textId="408B9A83" w:rsidR="0091385D" w:rsidRDefault="002C50EE" w:rsidP="007A2185">
      <w:pPr>
        <w:pStyle w:val="Heading2"/>
      </w:pPr>
      <w:r>
        <w:t>5.2. Фармакокинетични свойства</w:t>
      </w:r>
    </w:p>
    <w:p w14:paraId="46B35D05" w14:textId="6A0462F4" w:rsidR="007A2185" w:rsidRDefault="007A2185" w:rsidP="007A2185"/>
    <w:p w14:paraId="0C610619" w14:textId="77777777" w:rsidR="00CE189B" w:rsidRPr="00CE189B" w:rsidRDefault="00CE189B" w:rsidP="00CE189B">
      <w:pPr>
        <w:spacing w:line="240" w:lineRule="auto"/>
        <w:rPr>
          <w:rFonts w:eastAsia="Times New Roman" w:cs="Arial"/>
          <w:lang w:eastAsia="bg-BG"/>
        </w:rPr>
      </w:pPr>
      <w:r w:rsidRPr="00CE189B">
        <w:rPr>
          <w:rStyle w:val="Heading3Char"/>
          <w:b/>
          <w:u w:val="single"/>
          <w:lang w:eastAsia="bg-BG"/>
        </w:rPr>
        <w:t>Резорбция:</w:t>
      </w:r>
      <w:r w:rsidRPr="00CE189B">
        <w:rPr>
          <w:rFonts w:eastAsia="Times New Roman" w:cs="Arial"/>
          <w:b/>
          <w:bCs/>
          <w:color w:val="000000"/>
          <w:lang w:eastAsia="bg-BG"/>
        </w:rPr>
        <w:t xml:space="preserve"> </w:t>
      </w:r>
      <w:r w:rsidRPr="00CE189B">
        <w:rPr>
          <w:rFonts w:eastAsia="Times New Roman" w:cs="Arial"/>
          <w:color w:val="000000"/>
          <w:lang w:eastAsia="bg-BG"/>
        </w:rPr>
        <w:t xml:space="preserve">след перорално приемане изониазид се абсорбира бързо и пълно. За 1-3 часа достига пикова концентрация 3-5 </w:t>
      </w:r>
      <w:r w:rsidRPr="00CE189B">
        <w:rPr>
          <w:rFonts w:eastAsia="Times New Roman" w:cs="Arial"/>
          <w:color w:val="000000"/>
          <w:lang w:val="en-US"/>
        </w:rPr>
        <w:t xml:space="preserve">g/ml. </w:t>
      </w:r>
      <w:r w:rsidRPr="00CE189B">
        <w:rPr>
          <w:rFonts w:eastAsia="Times New Roman" w:cs="Arial"/>
          <w:color w:val="000000"/>
          <w:lang w:eastAsia="bg-BG"/>
        </w:rPr>
        <w:t>Храната забавя абсорбцията му, затова за предпочитане е да се приема 30 мин. след храна. Антиацидите съдържащи алуминий намаляват гастроентерхлната му абсорбция. Препоръчва се пероралният прием на изониазид да бъде 1 час преди употребата на антиациди.</w:t>
      </w:r>
    </w:p>
    <w:p w14:paraId="163700BA" w14:textId="77777777" w:rsidR="00CE189B" w:rsidRPr="00CE189B" w:rsidRDefault="00CE189B" w:rsidP="00CE189B">
      <w:pPr>
        <w:spacing w:line="240" w:lineRule="auto"/>
        <w:rPr>
          <w:rFonts w:eastAsia="Times New Roman" w:cs="Arial"/>
          <w:b/>
          <w:bCs/>
          <w:color w:val="000000"/>
          <w:lang w:eastAsia="bg-BG"/>
        </w:rPr>
      </w:pPr>
    </w:p>
    <w:p w14:paraId="0133A38F" w14:textId="02767A1B" w:rsidR="00CE189B" w:rsidRPr="00CE189B" w:rsidRDefault="00CE189B" w:rsidP="00CE189B">
      <w:pPr>
        <w:spacing w:line="240" w:lineRule="auto"/>
        <w:rPr>
          <w:rFonts w:eastAsia="Times New Roman" w:cs="Arial"/>
          <w:lang w:eastAsia="bg-BG"/>
        </w:rPr>
      </w:pPr>
      <w:r w:rsidRPr="00CE189B">
        <w:rPr>
          <w:rStyle w:val="Heading3Char"/>
          <w:b/>
          <w:u w:val="single"/>
          <w:lang w:eastAsia="bg-BG"/>
        </w:rPr>
        <w:t>Разпределение:</w:t>
      </w:r>
      <w:r w:rsidRPr="00CE189B">
        <w:rPr>
          <w:rFonts w:eastAsia="Times New Roman" w:cs="Arial"/>
          <w:b/>
          <w:bCs/>
          <w:color w:val="000000"/>
          <w:lang w:eastAsia="bg-BG"/>
        </w:rPr>
        <w:t xml:space="preserve"> </w:t>
      </w:r>
      <w:r w:rsidRPr="00CE189B">
        <w:rPr>
          <w:rFonts w:eastAsia="Times New Roman" w:cs="Arial"/>
          <w:color w:val="000000"/>
          <w:lang w:eastAsia="bg-BG"/>
        </w:rPr>
        <w:t>В организма изониазид се установява в пдевралното и асцитно съдържимо, цереброспиналната течност, казеозни материали, слюнка, кожа, мускули.</w:t>
      </w:r>
    </w:p>
    <w:p w14:paraId="58F9CE91" w14:textId="77777777" w:rsidR="00CE189B" w:rsidRPr="00CE189B" w:rsidRDefault="00CE189B" w:rsidP="00CE189B">
      <w:pPr>
        <w:spacing w:line="240" w:lineRule="auto"/>
        <w:rPr>
          <w:rFonts w:eastAsia="Times New Roman" w:cs="Arial"/>
          <w:b/>
          <w:bCs/>
          <w:color w:val="000000"/>
          <w:lang w:eastAsia="bg-BG"/>
        </w:rPr>
      </w:pPr>
    </w:p>
    <w:p w14:paraId="35165A73" w14:textId="43741FEE" w:rsidR="00CE189B" w:rsidRPr="00CE189B" w:rsidRDefault="00CE189B" w:rsidP="00CE189B">
      <w:pPr>
        <w:spacing w:line="240" w:lineRule="auto"/>
        <w:rPr>
          <w:rFonts w:eastAsia="Times New Roman" w:cs="Arial"/>
          <w:lang w:eastAsia="bg-BG"/>
        </w:rPr>
      </w:pPr>
      <w:r w:rsidRPr="00CE189B">
        <w:rPr>
          <w:rStyle w:val="Heading3Char"/>
          <w:b/>
          <w:u w:val="single"/>
          <w:lang w:eastAsia="bg-BG"/>
        </w:rPr>
        <w:t>Метаболизъм</w:t>
      </w:r>
      <w:r w:rsidRPr="00CE189B">
        <w:rPr>
          <w:rFonts w:eastAsia="Times New Roman" w:cs="Arial"/>
          <w:b/>
          <w:bCs/>
          <w:color w:val="000000"/>
          <w:lang w:eastAsia="bg-BG"/>
        </w:rPr>
        <w:t xml:space="preserve">: </w:t>
      </w:r>
      <w:r w:rsidRPr="00CE189B">
        <w:rPr>
          <w:rFonts w:eastAsia="Times New Roman" w:cs="Arial"/>
          <w:color w:val="000000"/>
          <w:lang w:eastAsia="bg-BG"/>
        </w:rPr>
        <w:t>метаболизмът е чрез Р 450 оксидазна система (70-90 %), главно чрез ацетилиране в черния дроб и отделяне на метаболитите през бъбреците. Степента на ацетилиране в черния дроб е генетично (фенотипно) обусловена и се различава в бързи и бавни ацетилатори.</w:t>
      </w:r>
    </w:p>
    <w:p w14:paraId="2D4ECF51" w14:textId="77777777" w:rsidR="00CE189B" w:rsidRPr="00CE189B" w:rsidRDefault="00CE189B" w:rsidP="00CE189B">
      <w:pPr>
        <w:rPr>
          <w:rFonts w:eastAsia="Times New Roman" w:cs="Arial"/>
          <w:b/>
          <w:bCs/>
          <w:color w:val="000000"/>
          <w:lang w:eastAsia="bg-BG"/>
        </w:rPr>
      </w:pPr>
    </w:p>
    <w:p w14:paraId="45551830" w14:textId="3F68AA01" w:rsidR="007A2185" w:rsidRPr="00CE189B" w:rsidRDefault="00CE189B" w:rsidP="00CE189B">
      <w:pPr>
        <w:rPr>
          <w:rFonts w:cs="Arial"/>
        </w:rPr>
      </w:pPr>
      <w:r w:rsidRPr="00CE189B">
        <w:rPr>
          <w:rStyle w:val="Heading3Char"/>
          <w:b/>
          <w:u w:val="single"/>
          <w:lang w:eastAsia="bg-BG"/>
        </w:rPr>
        <w:t>Екскреция:</w:t>
      </w:r>
      <w:r w:rsidRPr="00CE189B">
        <w:rPr>
          <w:rFonts w:eastAsia="Times New Roman" w:cs="Arial"/>
          <w:b/>
          <w:bCs/>
          <w:color w:val="000000"/>
          <w:lang w:eastAsia="bg-BG"/>
        </w:rPr>
        <w:t xml:space="preserve"> </w:t>
      </w:r>
      <w:r w:rsidRPr="00CE189B">
        <w:rPr>
          <w:rFonts w:eastAsia="Times New Roman" w:cs="Arial"/>
          <w:color w:val="000000"/>
          <w:lang w:eastAsia="bg-BG"/>
        </w:rPr>
        <w:t>малко количество изониазид се елиминира непроменен през бъбреците, затова трябва да се има предвид креатининовия клирънс.</w:t>
      </w:r>
    </w:p>
    <w:p w14:paraId="4EE1BB0B" w14:textId="77777777" w:rsidR="0091385D" w:rsidRPr="0091385D" w:rsidRDefault="0091385D" w:rsidP="0091385D"/>
    <w:p w14:paraId="648E39DA" w14:textId="44D16CBD" w:rsidR="00CF77F7" w:rsidRDefault="002C50EE" w:rsidP="004A448E">
      <w:pPr>
        <w:pStyle w:val="Heading2"/>
      </w:pPr>
      <w:r>
        <w:t>5.3. Предклинични данни за безопасност</w:t>
      </w:r>
    </w:p>
    <w:p w14:paraId="20E967BE" w14:textId="751DCF54" w:rsidR="0091385D" w:rsidRDefault="0091385D" w:rsidP="0091385D"/>
    <w:p w14:paraId="13A7B62A" w14:textId="2E7CFD1B" w:rsidR="007A2185" w:rsidRPr="00CE189B" w:rsidRDefault="00CE189B" w:rsidP="0091385D">
      <w:pPr>
        <w:rPr>
          <w:rFonts w:cs="Arial"/>
        </w:rPr>
      </w:pPr>
      <w:r w:rsidRPr="00CE189B">
        <w:rPr>
          <w:rFonts w:cs="Arial"/>
        </w:rPr>
        <w:t>Опитите върху животни не са установили тератогенен ефект на изониазида. Като се има предвид отсъствието на тератогенен ефект върху животните, не се очаква провокирането на малформации в човешкия вид.</w:t>
      </w:r>
      <w:bookmarkStart w:id="1" w:name="_GoBack"/>
      <w:bookmarkEnd w:id="1"/>
    </w:p>
    <w:p w14:paraId="12FFA9B2" w14:textId="77777777" w:rsidR="007A2185" w:rsidRPr="0091385D" w:rsidRDefault="007A2185" w:rsidP="0091385D"/>
    <w:p w14:paraId="6A7820AB" w14:textId="353DB6D2" w:rsidR="008A6AF2" w:rsidRDefault="002C50EE" w:rsidP="00395555">
      <w:pPr>
        <w:pStyle w:val="Heading1"/>
      </w:pPr>
      <w:r>
        <w:t>7. ПРИТЕЖАТЕЛ НА РАЗРЕШЕНИЕТО ЗА УПОТРЕБА</w:t>
      </w:r>
    </w:p>
    <w:p w14:paraId="1B9B651E" w14:textId="24042B6C" w:rsidR="0091385D" w:rsidRDefault="0091385D" w:rsidP="0091385D"/>
    <w:p w14:paraId="171E9D9E" w14:textId="77777777" w:rsidR="00CE189B" w:rsidRPr="00CE189B" w:rsidRDefault="00CE189B" w:rsidP="00CE189B">
      <w:pPr>
        <w:spacing w:line="240" w:lineRule="auto"/>
        <w:rPr>
          <w:rFonts w:eastAsia="Times New Roman" w:cs="Arial"/>
          <w:lang w:eastAsia="bg-BG"/>
        </w:rPr>
      </w:pPr>
      <w:r w:rsidRPr="00CE189B">
        <w:rPr>
          <w:rFonts w:eastAsia="Times New Roman" w:cs="Arial"/>
          <w:color w:val="000000"/>
          <w:lang w:eastAsia="bg-BG"/>
        </w:rPr>
        <w:t>ДАНСОН-БГ ООД</w:t>
      </w:r>
    </w:p>
    <w:p w14:paraId="0C9180BB" w14:textId="77777777" w:rsidR="00CE189B" w:rsidRPr="00CE189B" w:rsidRDefault="00CE189B" w:rsidP="00CE189B">
      <w:pPr>
        <w:spacing w:line="240" w:lineRule="auto"/>
        <w:rPr>
          <w:rFonts w:eastAsia="Times New Roman" w:cs="Arial"/>
          <w:lang w:eastAsia="bg-BG"/>
        </w:rPr>
      </w:pPr>
      <w:r w:rsidRPr="00CE189B">
        <w:rPr>
          <w:rFonts w:eastAsia="Times New Roman" w:cs="Arial"/>
          <w:color w:val="000000"/>
          <w:lang w:eastAsia="bg-BG"/>
        </w:rPr>
        <w:t>ул. ”Отец Паисий” №26</w:t>
      </w:r>
    </w:p>
    <w:p w14:paraId="4504409A" w14:textId="77777777" w:rsidR="00CE189B" w:rsidRPr="00CE189B" w:rsidRDefault="00CE189B" w:rsidP="00CE189B">
      <w:pPr>
        <w:spacing w:line="240" w:lineRule="auto"/>
        <w:rPr>
          <w:rFonts w:eastAsia="Times New Roman" w:cs="Arial"/>
          <w:lang w:eastAsia="bg-BG"/>
        </w:rPr>
      </w:pPr>
      <w:r w:rsidRPr="00CE189B">
        <w:rPr>
          <w:rFonts w:eastAsia="Times New Roman" w:cs="Arial"/>
          <w:color w:val="000000"/>
          <w:lang w:eastAsia="bg-BG"/>
        </w:rPr>
        <w:t>2400 гр. Радомир</w:t>
      </w:r>
    </w:p>
    <w:p w14:paraId="4F2F3667" w14:textId="77777777" w:rsidR="00CE189B" w:rsidRPr="00CE189B" w:rsidRDefault="00CE189B" w:rsidP="00CE189B">
      <w:pPr>
        <w:spacing w:line="240" w:lineRule="auto"/>
        <w:rPr>
          <w:rFonts w:eastAsia="Times New Roman" w:cs="Arial"/>
          <w:lang w:eastAsia="bg-BG"/>
        </w:rPr>
      </w:pPr>
      <w:r w:rsidRPr="00CE189B">
        <w:rPr>
          <w:rFonts w:eastAsia="Times New Roman" w:cs="Arial"/>
          <w:color w:val="000000"/>
          <w:lang w:eastAsia="bg-BG"/>
        </w:rPr>
        <w:t>България</w:t>
      </w:r>
    </w:p>
    <w:p w14:paraId="6146DAD1" w14:textId="77777777" w:rsidR="00CE189B" w:rsidRPr="00CE189B" w:rsidRDefault="00CE189B" w:rsidP="00CE189B">
      <w:pPr>
        <w:spacing w:line="240" w:lineRule="auto"/>
        <w:rPr>
          <w:rFonts w:eastAsia="Times New Roman" w:cs="Arial"/>
          <w:lang w:eastAsia="bg-BG"/>
        </w:rPr>
      </w:pPr>
      <w:r w:rsidRPr="00CE189B">
        <w:rPr>
          <w:rFonts w:eastAsia="Times New Roman" w:cs="Arial"/>
          <w:color w:val="000000"/>
          <w:lang w:eastAsia="bg-BG"/>
        </w:rPr>
        <w:t>тел.: 024519300</w:t>
      </w:r>
    </w:p>
    <w:p w14:paraId="4F02909F" w14:textId="7645761D" w:rsidR="007A2185" w:rsidRPr="00CE189B" w:rsidRDefault="00CE189B" w:rsidP="00CE189B">
      <w:pPr>
        <w:rPr>
          <w:rFonts w:cs="Arial"/>
        </w:rPr>
      </w:pPr>
      <w:proofErr w:type="gramStart"/>
      <w:r w:rsidRPr="00CE189B">
        <w:rPr>
          <w:rFonts w:eastAsia="Times New Roman" w:cs="Arial"/>
          <w:color w:val="000000"/>
          <w:lang w:val="en-US"/>
        </w:rPr>
        <w:t>e-mail</w:t>
      </w:r>
      <w:proofErr w:type="gramEnd"/>
      <w:r w:rsidRPr="00CE189B">
        <w:rPr>
          <w:rFonts w:eastAsia="Times New Roman" w:cs="Arial"/>
          <w:color w:val="000000"/>
          <w:lang w:val="en-US"/>
        </w:rPr>
        <w:t xml:space="preserve">: </w:t>
      </w:r>
      <w:hyperlink r:id="rId6" w:history="1">
        <w:r w:rsidRPr="00CE189B">
          <w:rPr>
            <w:rFonts w:eastAsia="Times New Roman" w:cs="Arial"/>
            <w:color w:val="000000"/>
            <w:lang w:val="en-US"/>
          </w:rPr>
          <w:t>office@danhson.bg</w:t>
        </w:r>
      </w:hyperlink>
    </w:p>
    <w:p w14:paraId="129C7566" w14:textId="77777777" w:rsidR="0091385D" w:rsidRPr="0091385D" w:rsidRDefault="0091385D" w:rsidP="0091385D"/>
    <w:p w14:paraId="7BA1BA64" w14:textId="17509450" w:rsidR="00CF77F7" w:rsidRDefault="002C50EE" w:rsidP="004A448E">
      <w:pPr>
        <w:pStyle w:val="Heading1"/>
      </w:pPr>
      <w:r>
        <w:t>8. НОМЕР НА РАЗРЕШЕНИЕТО ЗА УПОТРЕБА</w:t>
      </w:r>
    </w:p>
    <w:p w14:paraId="095674C4" w14:textId="3072FB0E" w:rsidR="0091385D" w:rsidRDefault="0091385D" w:rsidP="0091385D"/>
    <w:p w14:paraId="46161304" w14:textId="4B1ADB1A" w:rsidR="007A2185" w:rsidRPr="00CE189B" w:rsidRDefault="00CE189B" w:rsidP="0091385D">
      <w:pPr>
        <w:rPr>
          <w:rFonts w:cs="Arial"/>
        </w:rPr>
      </w:pPr>
      <w:proofErr w:type="spellStart"/>
      <w:r w:rsidRPr="00CE189B">
        <w:rPr>
          <w:rFonts w:cs="Arial"/>
          <w:lang w:val="en-US"/>
        </w:rPr>
        <w:t>Pe</w:t>
      </w:r>
      <w:proofErr w:type="spellEnd"/>
      <w:r w:rsidRPr="00CE189B">
        <w:rPr>
          <w:rFonts w:cs="Arial"/>
        </w:rPr>
        <w:t>г</w:t>
      </w:r>
      <w:r w:rsidRPr="00CE189B">
        <w:rPr>
          <w:rFonts w:cs="Arial"/>
          <w:lang w:val="en-US"/>
        </w:rPr>
        <w:t xml:space="preserve">. </w:t>
      </w:r>
      <w:r w:rsidRPr="00CE189B">
        <w:rPr>
          <w:rFonts w:cs="Arial"/>
        </w:rPr>
        <w:t>№: 20020205</w:t>
      </w:r>
    </w:p>
    <w:p w14:paraId="62EF7F8B" w14:textId="77777777" w:rsidR="0091385D" w:rsidRPr="0091385D" w:rsidRDefault="0091385D" w:rsidP="0091385D"/>
    <w:p w14:paraId="2CCB5832" w14:textId="18FCD95B" w:rsidR="007C605B" w:rsidRDefault="002C50EE" w:rsidP="007C605B">
      <w:pPr>
        <w:pStyle w:val="Heading1"/>
      </w:pPr>
      <w:r>
        <w:lastRenderedPageBreak/>
        <w:t>9. ДАТА НА ПЪРВО РАЗРЕШАВАНЕ/ПОДНОВЯВАНЕ НА РАЗРЕШЕНИЕТО ЗА УПОТРЕБА</w:t>
      </w:r>
    </w:p>
    <w:p w14:paraId="372B3414" w14:textId="57E44C81" w:rsidR="0091385D" w:rsidRDefault="0091385D" w:rsidP="0091385D"/>
    <w:p w14:paraId="3E97B067" w14:textId="77777777" w:rsidR="00CE189B" w:rsidRPr="00CE189B" w:rsidRDefault="00CE189B" w:rsidP="00CE189B">
      <w:pPr>
        <w:spacing w:line="240" w:lineRule="auto"/>
        <w:rPr>
          <w:rFonts w:eastAsia="Times New Roman" w:cs="Arial"/>
          <w:lang w:eastAsia="bg-BG"/>
        </w:rPr>
      </w:pPr>
      <w:r w:rsidRPr="00CE189B">
        <w:rPr>
          <w:rFonts w:eastAsia="Times New Roman" w:cs="Arial"/>
          <w:color w:val="000000"/>
          <w:lang w:eastAsia="bg-BG"/>
        </w:rPr>
        <w:t>Дата на първо разрешаване: 23.12.1993 г</w:t>
      </w:r>
    </w:p>
    <w:p w14:paraId="6C57D8B6" w14:textId="5C57435F" w:rsidR="007A2185" w:rsidRPr="00CE189B" w:rsidRDefault="00CE189B" w:rsidP="00CE189B">
      <w:pPr>
        <w:rPr>
          <w:rFonts w:cs="Arial"/>
        </w:rPr>
      </w:pPr>
      <w:r w:rsidRPr="00CE189B">
        <w:rPr>
          <w:rFonts w:eastAsia="Times New Roman" w:cs="Arial"/>
          <w:color w:val="000000"/>
          <w:lang w:eastAsia="bg-BG"/>
        </w:rPr>
        <w:t>Дата на последно подновяване: 25.07.2007 г</w:t>
      </w:r>
    </w:p>
    <w:p w14:paraId="0A56E09D" w14:textId="77777777" w:rsidR="0091385D" w:rsidRPr="0091385D" w:rsidRDefault="0091385D" w:rsidP="0091385D"/>
    <w:p w14:paraId="0E9D0119" w14:textId="1FEC128A" w:rsidR="002C50EE" w:rsidRDefault="002C50EE" w:rsidP="002C50EE">
      <w:pPr>
        <w:pStyle w:val="Heading1"/>
      </w:pPr>
      <w:r>
        <w:t>10. ДАТА НА АКТУАЛИЗИРАНЕ НА ТЕКСТА</w:t>
      </w:r>
    </w:p>
    <w:p w14:paraId="3E8FFCC4" w14:textId="0121B4E2" w:rsidR="0091385D" w:rsidRDefault="0091385D" w:rsidP="0091385D"/>
    <w:p w14:paraId="0524F1D6" w14:textId="6CB5D50E" w:rsidR="007A2185" w:rsidRPr="00CE189B" w:rsidRDefault="00CE189B" w:rsidP="0091385D">
      <w:pPr>
        <w:rPr>
          <w:rFonts w:cs="Arial"/>
        </w:rPr>
      </w:pPr>
      <w:r w:rsidRPr="00CE189B">
        <w:rPr>
          <w:rFonts w:cs="Arial"/>
        </w:rPr>
        <w:t>Декември, 2019 г.</w:t>
      </w:r>
    </w:p>
    <w:p w14:paraId="6B00148E" w14:textId="77777777" w:rsidR="0091385D" w:rsidRPr="0091385D" w:rsidRDefault="0091385D" w:rsidP="0091385D"/>
    <w:bookmarkEnd w:id="0"/>
    <w:p w14:paraId="43FB38A2" w14:textId="5500C507" w:rsidR="007C605B" w:rsidRPr="003E3126" w:rsidRDefault="007C605B" w:rsidP="00CF77F7"/>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E37773"/>
    <w:multiLevelType w:val="hybridMultilevel"/>
    <w:tmpl w:val="B43E418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8"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511AEE"/>
    <w:multiLevelType w:val="hybridMultilevel"/>
    <w:tmpl w:val="BC9A0C2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2"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BA5501"/>
    <w:multiLevelType w:val="hybridMultilevel"/>
    <w:tmpl w:val="9828D1B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333A6795"/>
    <w:multiLevelType w:val="hybridMultilevel"/>
    <w:tmpl w:val="0540A0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9"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4"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B103B8"/>
    <w:multiLevelType w:val="hybridMultilevel"/>
    <w:tmpl w:val="C9C8773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F76E7D"/>
    <w:multiLevelType w:val="hybridMultilevel"/>
    <w:tmpl w:val="202C94E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31"/>
  </w:num>
  <w:num w:numId="2">
    <w:abstractNumId w:val="0"/>
  </w:num>
  <w:num w:numId="3">
    <w:abstractNumId w:val="14"/>
  </w:num>
  <w:num w:numId="4">
    <w:abstractNumId w:val="3"/>
  </w:num>
  <w:num w:numId="5">
    <w:abstractNumId w:val="1"/>
  </w:num>
  <w:num w:numId="6">
    <w:abstractNumId w:val="19"/>
  </w:num>
  <w:num w:numId="7">
    <w:abstractNumId w:val="12"/>
  </w:num>
  <w:num w:numId="8">
    <w:abstractNumId w:val="18"/>
  </w:num>
  <w:num w:numId="9">
    <w:abstractNumId w:val="2"/>
  </w:num>
  <w:num w:numId="10">
    <w:abstractNumId w:val="4"/>
  </w:num>
  <w:num w:numId="11">
    <w:abstractNumId w:val="34"/>
  </w:num>
  <w:num w:numId="12">
    <w:abstractNumId w:val="17"/>
  </w:num>
  <w:num w:numId="13">
    <w:abstractNumId w:val="22"/>
  </w:num>
  <w:num w:numId="14">
    <w:abstractNumId w:val="13"/>
  </w:num>
  <w:num w:numId="15">
    <w:abstractNumId w:val="33"/>
  </w:num>
  <w:num w:numId="16">
    <w:abstractNumId w:val="11"/>
  </w:num>
  <w:num w:numId="17">
    <w:abstractNumId w:val="27"/>
  </w:num>
  <w:num w:numId="18">
    <w:abstractNumId w:val="8"/>
  </w:num>
  <w:num w:numId="19">
    <w:abstractNumId w:val="30"/>
  </w:num>
  <w:num w:numId="20">
    <w:abstractNumId w:val="26"/>
  </w:num>
  <w:num w:numId="21">
    <w:abstractNumId w:val="20"/>
  </w:num>
  <w:num w:numId="22">
    <w:abstractNumId w:val="29"/>
  </w:num>
  <w:num w:numId="23">
    <w:abstractNumId w:val="21"/>
  </w:num>
  <w:num w:numId="24">
    <w:abstractNumId w:val="10"/>
  </w:num>
  <w:num w:numId="25">
    <w:abstractNumId w:val="25"/>
  </w:num>
  <w:num w:numId="26">
    <w:abstractNumId w:val="24"/>
  </w:num>
  <w:num w:numId="27">
    <w:abstractNumId w:val="36"/>
  </w:num>
  <w:num w:numId="28">
    <w:abstractNumId w:val="7"/>
  </w:num>
  <w:num w:numId="29">
    <w:abstractNumId w:val="23"/>
  </w:num>
  <w:num w:numId="30">
    <w:abstractNumId w:val="39"/>
  </w:num>
  <w:num w:numId="31">
    <w:abstractNumId w:val="5"/>
  </w:num>
  <w:num w:numId="32">
    <w:abstractNumId w:val="38"/>
  </w:num>
  <w:num w:numId="33">
    <w:abstractNumId w:val="32"/>
  </w:num>
  <w:num w:numId="34">
    <w:abstractNumId w:val="37"/>
  </w:num>
  <w:num w:numId="35">
    <w:abstractNumId w:val="16"/>
  </w:num>
  <w:num w:numId="36">
    <w:abstractNumId w:val="35"/>
  </w:num>
  <w:num w:numId="37">
    <w:abstractNumId w:val="6"/>
  </w:num>
  <w:num w:numId="38">
    <w:abstractNumId w:val="15"/>
  </w:num>
  <w:num w:numId="39">
    <w:abstractNumId w:val="9"/>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B3C38"/>
    <w:rsid w:val="002B4DBB"/>
    <w:rsid w:val="002C50EE"/>
    <w:rsid w:val="00340A0A"/>
    <w:rsid w:val="003765DC"/>
    <w:rsid w:val="00395555"/>
    <w:rsid w:val="003E3126"/>
    <w:rsid w:val="00426E5F"/>
    <w:rsid w:val="004A448E"/>
    <w:rsid w:val="004D4D6B"/>
    <w:rsid w:val="004F1CE7"/>
    <w:rsid w:val="004F498A"/>
    <w:rsid w:val="00517A5B"/>
    <w:rsid w:val="00593A00"/>
    <w:rsid w:val="005A66D9"/>
    <w:rsid w:val="005B0F27"/>
    <w:rsid w:val="00605BCA"/>
    <w:rsid w:val="006158A1"/>
    <w:rsid w:val="00617B1F"/>
    <w:rsid w:val="00672487"/>
    <w:rsid w:val="00672600"/>
    <w:rsid w:val="00681D4A"/>
    <w:rsid w:val="00682341"/>
    <w:rsid w:val="00685882"/>
    <w:rsid w:val="0075649D"/>
    <w:rsid w:val="007A2185"/>
    <w:rsid w:val="007C605B"/>
    <w:rsid w:val="008134C8"/>
    <w:rsid w:val="00814073"/>
    <w:rsid w:val="00826F0D"/>
    <w:rsid w:val="00893B92"/>
    <w:rsid w:val="008A6AF2"/>
    <w:rsid w:val="008C70A2"/>
    <w:rsid w:val="008F1AF3"/>
    <w:rsid w:val="0091385D"/>
    <w:rsid w:val="009773E4"/>
    <w:rsid w:val="009B171C"/>
    <w:rsid w:val="009F1313"/>
    <w:rsid w:val="00A20351"/>
    <w:rsid w:val="00A65A81"/>
    <w:rsid w:val="00A73575"/>
    <w:rsid w:val="00AA23EC"/>
    <w:rsid w:val="00AC63CE"/>
    <w:rsid w:val="00AE2107"/>
    <w:rsid w:val="00B275A8"/>
    <w:rsid w:val="00BB3B9C"/>
    <w:rsid w:val="00BF2600"/>
    <w:rsid w:val="00C0049F"/>
    <w:rsid w:val="00C07B84"/>
    <w:rsid w:val="00C33464"/>
    <w:rsid w:val="00C40420"/>
    <w:rsid w:val="00C809A7"/>
    <w:rsid w:val="00C83063"/>
    <w:rsid w:val="00C87E90"/>
    <w:rsid w:val="00CA1B57"/>
    <w:rsid w:val="00CE189B"/>
    <w:rsid w:val="00CF77F7"/>
    <w:rsid w:val="00D86297"/>
    <w:rsid w:val="00DD466D"/>
    <w:rsid w:val="00EB6364"/>
    <w:rsid w:val="00EC41ED"/>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danhson.bg" TargetMode="External"/><Relationship Id="rId5" Type="http://schemas.openxmlformats.org/officeDocument/2006/relationships/hyperlink" Target="http://www.bda.b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1670</Words>
  <Characters>9522</Characters>
  <Application>Microsoft Office Word</Application>
  <DocSecurity>0</DocSecurity>
  <Lines>79</Lines>
  <Paragraphs>22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Потребител на Windows</cp:lastModifiedBy>
  <cp:revision>2</cp:revision>
  <dcterms:created xsi:type="dcterms:W3CDTF">2023-03-03T17:47:00Z</dcterms:created>
  <dcterms:modified xsi:type="dcterms:W3CDTF">2023-03-03T17:47:00Z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