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7E527020"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 xml:space="preserve">Изопринозин 1 000 </w:t>
      </w:r>
      <w:r w:rsidRPr="00A34260">
        <w:rPr>
          <w:rFonts w:eastAsia="Times New Roman" w:cs="Arial"/>
          <w:color w:val="000000"/>
          <w:szCs w:val="20"/>
          <w:lang w:val="en-US"/>
        </w:rPr>
        <w:t xml:space="preserve">mg </w:t>
      </w:r>
      <w:r w:rsidRPr="00A34260">
        <w:rPr>
          <w:rFonts w:eastAsia="Times New Roman" w:cs="Arial"/>
          <w:color w:val="000000"/>
          <w:szCs w:val="20"/>
          <w:lang w:eastAsia="bg-BG"/>
        </w:rPr>
        <w:t>прах за перорален разтвор</w:t>
      </w:r>
    </w:p>
    <w:p w14:paraId="69AC8148" w14:textId="3BA483C5" w:rsidR="00EC41ED" w:rsidRPr="00A34260" w:rsidRDefault="00A34260" w:rsidP="00A34260">
      <w:pPr>
        <w:rPr>
          <w:rFonts w:cs="Arial"/>
          <w:sz w:val="24"/>
        </w:rPr>
      </w:pPr>
      <w:r w:rsidRPr="00A34260">
        <w:rPr>
          <w:rFonts w:eastAsia="Times New Roman" w:cs="Arial"/>
          <w:color w:val="000000"/>
          <w:szCs w:val="20"/>
          <w:lang w:val="en-US"/>
        </w:rPr>
        <w:t xml:space="preserve">Isoprinosine </w:t>
      </w:r>
      <w:r w:rsidRPr="00A34260">
        <w:rPr>
          <w:rFonts w:eastAsia="Times New Roman" w:cs="Arial"/>
          <w:color w:val="000000"/>
          <w:szCs w:val="20"/>
          <w:lang w:eastAsia="bg-BG"/>
        </w:rPr>
        <w:t xml:space="preserve">1000 </w:t>
      </w:r>
      <w:r w:rsidRPr="00A34260">
        <w:rPr>
          <w:rFonts w:eastAsia="Times New Roman" w:cs="Arial"/>
          <w:color w:val="000000"/>
          <w:szCs w:val="20"/>
          <w:lang w:val="en-US"/>
        </w:rPr>
        <w:t>mg powder for oral solution</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0ECB14C5"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 xml:space="preserve">Едно саше съдържа 1 000 </w:t>
      </w:r>
      <w:r w:rsidRPr="00A34260">
        <w:rPr>
          <w:rFonts w:eastAsia="Times New Roman" w:cs="Arial"/>
          <w:color w:val="000000"/>
          <w:szCs w:val="20"/>
          <w:lang w:val="en-US"/>
        </w:rPr>
        <w:t xml:space="preserve">mg </w:t>
      </w:r>
      <w:r w:rsidRPr="00A34260">
        <w:rPr>
          <w:rFonts w:eastAsia="Times New Roman" w:cs="Arial"/>
          <w:color w:val="000000"/>
          <w:szCs w:val="20"/>
          <w:lang w:eastAsia="bg-BG"/>
        </w:rPr>
        <w:t xml:space="preserve">инозин ацедобен димепранол </w:t>
      </w:r>
      <w:r w:rsidRPr="00A34260">
        <w:rPr>
          <w:rFonts w:eastAsia="Times New Roman" w:cs="Arial"/>
          <w:color w:val="000000"/>
          <w:szCs w:val="20"/>
          <w:lang w:val="en-US"/>
        </w:rPr>
        <w:t xml:space="preserve">(inosine </w:t>
      </w:r>
      <w:proofErr w:type="spellStart"/>
      <w:r w:rsidRPr="00A34260">
        <w:rPr>
          <w:rFonts w:eastAsia="Times New Roman" w:cs="Arial"/>
          <w:color w:val="000000"/>
          <w:szCs w:val="20"/>
          <w:lang w:val="en-US"/>
        </w:rPr>
        <w:t>acedoben</w:t>
      </w:r>
      <w:proofErr w:type="spellEnd"/>
      <w:r w:rsidRPr="00A34260">
        <w:rPr>
          <w:rFonts w:eastAsia="Times New Roman" w:cs="Arial"/>
          <w:color w:val="000000"/>
          <w:szCs w:val="20"/>
          <w:lang w:val="en-US"/>
        </w:rPr>
        <w:t xml:space="preserve"> </w:t>
      </w:r>
      <w:proofErr w:type="spellStart"/>
      <w:r w:rsidRPr="00A34260">
        <w:rPr>
          <w:rFonts w:eastAsia="Times New Roman" w:cs="Arial"/>
          <w:color w:val="000000"/>
          <w:szCs w:val="20"/>
          <w:lang w:val="en-US"/>
        </w:rPr>
        <w:t>dimepranol</w:t>
      </w:r>
      <w:proofErr w:type="spellEnd"/>
      <w:r w:rsidRPr="00A34260">
        <w:rPr>
          <w:rFonts w:eastAsia="Times New Roman" w:cs="Arial"/>
          <w:color w:val="000000"/>
          <w:szCs w:val="20"/>
          <w:lang w:val="en-US"/>
        </w:rPr>
        <w:t>).</w:t>
      </w:r>
    </w:p>
    <w:p w14:paraId="5B115022" w14:textId="77777777" w:rsidR="00A34260" w:rsidRPr="00A34260" w:rsidRDefault="00A34260" w:rsidP="00A34260">
      <w:pPr>
        <w:spacing w:line="240" w:lineRule="auto"/>
        <w:rPr>
          <w:rFonts w:eastAsia="Times New Roman" w:cs="Arial"/>
          <w:color w:val="000000"/>
          <w:szCs w:val="20"/>
          <w:u w:val="single"/>
          <w:lang w:eastAsia="bg-BG"/>
        </w:rPr>
      </w:pPr>
    </w:p>
    <w:p w14:paraId="1FE87567" w14:textId="19D6A8AA"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Помошно вещество с известно действие</w:t>
      </w:r>
      <w:r w:rsidRPr="00A34260">
        <w:rPr>
          <w:rFonts w:eastAsia="Times New Roman" w:cs="Arial"/>
          <w:color w:val="000000"/>
          <w:szCs w:val="20"/>
          <w:lang w:eastAsia="bg-BG"/>
        </w:rPr>
        <w:t>: манитол</w:t>
      </w:r>
    </w:p>
    <w:p w14:paraId="132723BC" w14:textId="77777777" w:rsidR="00A34260" w:rsidRPr="00A34260" w:rsidRDefault="00A34260" w:rsidP="00A34260">
      <w:pPr>
        <w:rPr>
          <w:rFonts w:eastAsia="Times New Roman" w:cs="Arial"/>
          <w:color w:val="000000"/>
          <w:szCs w:val="20"/>
          <w:lang w:eastAsia="bg-BG"/>
        </w:rPr>
      </w:pPr>
    </w:p>
    <w:p w14:paraId="54632B43" w14:textId="423C020A" w:rsidR="00EC41ED" w:rsidRPr="00A34260" w:rsidRDefault="00A34260" w:rsidP="00A34260">
      <w:pPr>
        <w:rPr>
          <w:rFonts w:cs="Arial"/>
          <w:sz w:val="24"/>
        </w:rPr>
      </w:pPr>
      <w:r w:rsidRPr="00A34260">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2A3976E6"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Прах за перорален разтвор</w:t>
      </w:r>
    </w:p>
    <w:p w14:paraId="09081C83" w14:textId="77777777" w:rsidR="00A34260" w:rsidRDefault="00A34260" w:rsidP="00A34260">
      <w:pPr>
        <w:rPr>
          <w:rFonts w:ascii="Times New Roman" w:eastAsia="Times New Roman" w:hAnsi="Times New Roman" w:cs="Times New Roman"/>
          <w:color w:val="000000"/>
          <w:sz w:val="20"/>
          <w:szCs w:val="20"/>
          <w:lang w:eastAsia="bg-BG"/>
        </w:rPr>
      </w:pPr>
    </w:p>
    <w:p w14:paraId="743244F0" w14:textId="1CE49A82" w:rsidR="00EC41ED" w:rsidRPr="00A34260" w:rsidRDefault="00A34260" w:rsidP="00A34260">
      <w:pPr>
        <w:rPr>
          <w:rFonts w:cs="Arial"/>
          <w:sz w:val="24"/>
        </w:rPr>
      </w:pPr>
      <w:r w:rsidRPr="00A34260">
        <w:rPr>
          <w:rFonts w:eastAsia="Times New Roman" w:cs="Arial"/>
          <w:color w:val="000000"/>
          <w:szCs w:val="20"/>
          <w:lang w:eastAsia="bg-BG"/>
        </w:rPr>
        <w:t>Бели до почти бели гранули с цитрусов мирис, напълно разтворими във вода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5AFBA598"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Изопринозин е показан за лечение или повлияване на потиснатия или увреден клетъчен имунитет и на клиничната симптоматика, свързана с:</w:t>
      </w:r>
    </w:p>
    <w:p w14:paraId="536F0F24" w14:textId="77777777" w:rsidR="00A34260" w:rsidRPr="00A34260" w:rsidRDefault="00A34260" w:rsidP="00A34260">
      <w:pPr>
        <w:spacing w:line="240" w:lineRule="auto"/>
        <w:rPr>
          <w:rFonts w:eastAsia="Times New Roman" w:cs="Arial"/>
          <w:color w:val="000000"/>
          <w:szCs w:val="20"/>
          <w:lang w:eastAsia="bg-BG"/>
        </w:rPr>
      </w:pPr>
    </w:p>
    <w:p w14:paraId="24C895E6"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Вирусни инфекции на дихателните пътища, първични и вторични и имуносупресирани състояния</w:t>
      </w:r>
    </w:p>
    <w:p w14:paraId="5DD76FA8"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 xml:space="preserve">Инфекции, причинени от херпес вируси: херпес симплекс вирус тип 1 и 2 </w:t>
      </w:r>
      <w:r w:rsidRPr="00A34260">
        <w:rPr>
          <w:rFonts w:eastAsia="Times New Roman" w:cs="Arial"/>
          <w:color w:val="000000"/>
          <w:szCs w:val="20"/>
          <w:lang w:val="en-US"/>
        </w:rPr>
        <w:t xml:space="preserve">(herpes simplex virus </w:t>
      </w:r>
      <w:r w:rsidRPr="00A34260">
        <w:rPr>
          <w:rFonts w:eastAsia="Times New Roman" w:cs="Arial"/>
          <w:color w:val="000000"/>
          <w:szCs w:val="20"/>
          <w:lang w:eastAsia="bg-BG"/>
        </w:rPr>
        <w:t xml:space="preserve">, </w:t>
      </w:r>
      <w:r w:rsidRPr="00A34260">
        <w:rPr>
          <w:rFonts w:eastAsia="Times New Roman" w:cs="Arial"/>
          <w:color w:val="000000"/>
          <w:szCs w:val="20"/>
          <w:lang w:val="en-US"/>
        </w:rPr>
        <w:t xml:space="preserve">HSV), </w:t>
      </w:r>
      <w:r w:rsidRPr="00A34260">
        <w:rPr>
          <w:rFonts w:eastAsia="Times New Roman" w:cs="Arial"/>
          <w:color w:val="000000"/>
          <w:szCs w:val="20"/>
          <w:lang w:eastAsia="bg-BG"/>
        </w:rPr>
        <w:t xml:space="preserve">варицела-зостер вирус </w:t>
      </w:r>
      <w:r w:rsidRPr="00A34260">
        <w:rPr>
          <w:rFonts w:eastAsia="Times New Roman" w:cs="Arial"/>
          <w:color w:val="000000"/>
          <w:szCs w:val="20"/>
          <w:lang w:val="en-US"/>
        </w:rPr>
        <w:t xml:space="preserve">(varicella-zoster virus, VZV), </w:t>
      </w:r>
      <w:r w:rsidRPr="00A34260">
        <w:rPr>
          <w:rFonts w:eastAsia="Times New Roman" w:cs="Arial"/>
          <w:color w:val="000000"/>
          <w:szCs w:val="20"/>
          <w:lang w:eastAsia="bg-BG"/>
        </w:rPr>
        <w:t xml:space="preserve">инфекции, причинени от цитомегаловирус </w:t>
      </w:r>
      <w:r w:rsidRPr="00A34260">
        <w:rPr>
          <w:rFonts w:eastAsia="Times New Roman" w:cs="Arial"/>
          <w:color w:val="000000"/>
          <w:szCs w:val="20"/>
          <w:lang w:val="en-US"/>
        </w:rPr>
        <w:t>(</w:t>
      </w:r>
      <w:proofErr w:type="spellStart"/>
      <w:r w:rsidRPr="00A34260">
        <w:rPr>
          <w:rFonts w:eastAsia="Times New Roman" w:cs="Arial"/>
          <w:color w:val="000000"/>
          <w:szCs w:val="20"/>
          <w:lang w:val="en-US"/>
        </w:rPr>
        <w:t>Cytomegalovirus,CMV</w:t>
      </w:r>
      <w:proofErr w:type="spellEnd"/>
      <w:r w:rsidRPr="00A34260">
        <w:rPr>
          <w:rFonts w:eastAsia="Times New Roman" w:cs="Arial"/>
          <w:color w:val="000000"/>
          <w:szCs w:val="20"/>
          <w:lang w:val="en-US"/>
        </w:rPr>
        <w:t xml:space="preserve">) </w:t>
      </w:r>
      <w:r w:rsidRPr="00A34260">
        <w:rPr>
          <w:rFonts w:eastAsia="Times New Roman" w:cs="Arial"/>
          <w:color w:val="000000"/>
          <w:szCs w:val="20"/>
          <w:lang w:eastAsia="bg-BG"/>
        </w:rPr>
        <w:t xml:space="preserve">и </w:t>
      </w:r>
      <w:r w:rsidRPr="00A34260">
        <w:rPr>
          <w:rFonts w:eastAsia="Times New Roman" w:cs="Arial"/>
          <w:color w:val="000000"/>
          <w:szCs w:val="20"/>
          <w:lang w:val="en-US"/>
        </w:rPr>
        <w:t xml:space="preserve">Epstein-Barr </w:t>
      </w:r>
      <w:r w:rsidRPr="00A34260">
        <w:rPr>
          <w:rFonts w:eastAsia="Times New Roman" w:cs="Arial"/>
          <w:color w:val="000000"/>
          <w:szCs w:val="20"/>
          <w:lang w:eastAsia="bg-BG"/>
        </w:rPr>
        <w:t xml:space="preserve">вирус </w:t>
      </w:r>
      <w:r w:rsidRPr="00A34260">
        <w:rPr>
          <w:rFonts w:eastAsia="Times New Roman" w:cs="Arial"/>
          <w:color w:val="000000"/>
          <w:szCs w:val="20"/>
          <w:lang w:val="en-US"/>
        </w:rPr>
        <w:t>(Epstein-Barr virus, EBV).</w:t>
      </w:r>
    </w:p>
    <w:p w14:paraId="5153FF42"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 xml:space="preserve">генитални брадавици </w:t>
      </w:r>
      <w:r w:rsidRPr="00A34260">
        <w:rPr>
          <w:rFonts w:eastAsia="Times New Roman" w:cs="Arial"/>
          <w:color w:val="000000"/>
          <w:szCs w:val="20"/>
          <w:lang w:val="en-US"/>
        </w:rPr>
        <w:t>(</w:t>
      </w:r>
      <w:proofErr w:type="spellStart"/>
      <w:r w:rsidRPr="00A34260">
        <w:rPr>
          <w:rFonts w:eastAsia="Times New Roman" w:cs="Arial"/>
          <w:color w:val="000000"/>
          <w:szCs w:val="20"/>
          <w:lang w:val="en-US"/>
        </w:rPr>
        <w:t>condyloma</w:t>
      </w:r>
      <w:proofErr w:type="spellEnd"/>
      <w:r w:rsidRPr="00A34260">
        <w:rPr>
          <w:rFonts w:eastAsia="Times New Roman" w:cs="Arial"/>
          <w:color w:val="000000"/>
          <w:szCs w:val="20"/>
          <w:lang w:val="en-US"/>
        </w:rPr>
        <w:t xml:space="preserve"> </w:t>
      </w:r>
      <w:proofErr w:type="spellStart"/>
      <w:r w:rsidRPr="00A34260">
        <w:rPr>
          <w:rFonts w:eastAsia="Times New Roman" w:cs="Arial"/>
          <w:color w:val="000000"/>
          <w:szCs w:val="20"/>
          <w:lang w:val="en-US"/>
        </w:rPr>
        <w:t>accuminata</w:t>
      </w:r>
      <w:proofErr w:type="spellEnd"/>
      <w:r w:rsidRPr="00A34260">
        <w:rPr>
          <w:rFonts w:eastAsia="Times New Roman" w:cs="Arial"/>
          <w:color w:val="000000"/>
          <w:szCs w:val="20"/>
          <w:lang w:val="en-US"/>
        </w:rPr>
        <w:t xml:space="preserve">) - </w:t>
      </w:r>
      <w:r w:rsidRPr="00A34260">
        <w:rPr>
          <w:rFonts w:eastAsia="Times New Roman" w:cs="Arial"/>
          <w:color w:val="000000"/>
          <w:szCs w:val="20"/>
          <w:lang w:eastAsia="bg-BG"/>
        </w:rPr>
        <w:t>външни лезии (с изключение на перианална или меатална локализация) като монотерапия или като допълнение към конвенционалните локални или хирургични процедури.</w:t>
      </w:r>
    </w:p>
    <w:p w14:paraId="26E864B0"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 xml:space="preserve">Кожнолигавични, вулвовагинални (субклинична изява) или ендоцервикално-свързани с човешки папилома вирус инфекции </w:t>
      </w:r>
      <w:r w:rsidRPr="00A34260">
        <w:rPr>
          <w:rFonts w:eastAsia="Times New Roman" w:cs="Arial"/>
          <w:color w:val="000000"/>
          <w:szCs w:val="20"/>
          <w:lang w:val="en-US"/>
        </w:rPr>
        <w:t>(human papilloma virus, HPV).</w:t>
      </w:r>
    </w:p>
    <w:p w14:paraId="2B8660E4"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Вирусен хепатит.</w:t>
      </w:r>
    </w:p>
    <w:p w14:paraId="665776C2"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Морбили /тежка или усложнена инфекция/.</w:t>
      </w:r>
    </w:p>
    <w:p w14:paraId="4F143EC4"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lastRenderedPageBreak/>
        <w:t>Паротит.</w:t>
      </w:r>
    </w:p>
    <w:p w14:paraId="21F3A1B1"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 xml:space="preserve">Субакутен склерозиращ паненцефалит </w:t>
      </w:r>
      <w:r w:rsidRPr="00A34260">
        <w:rPr>
          <w:rFonts w:eastAsia="Times New Roman" w:cs="Arial"/>
          <w:color w:val="000000"/>
          <w:szCs w:val="20"/>
          <w:lang w:val="en-US"/>
        </w:rPr>
        <w:t>(SSPE).</w:t>
      </w:r>
    </w:p>
    <w:p w14:paraId="1C87CA5C" w14:textId="77777777" w:rsidR="00A34260"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Вирусен афтозен стоматит</w:t>
      </w:r>
    </w:p>
    <w:p w14:paraId="6DFA4B9D" w14:textId="6ED5D636" w:rsidR="0091385D" w:rsidRPr="00A34260" w:rsidRDefault="00A34260" w:rsidP="00A34260">
      <w:pPr>
        <w:pStyle w:val="ListParagraph"/>
        <w:numPr>
          <w:ilvl w:val="0"/>
          <w:numId w:val="37"/>
        </w:numPr>
        <w:spacing w:line="240" w:lineRule="auto"/>
        <w:rPr>
          <w:rFonts w:eastAsia="Times New Roman" w:cs="Arial"/>
          <w:color w:val="000000"/>
          <w:szCs w:val="20"/>
          <w:lang w:eastAsia="bg-BG"/>
        </w:rPr>
      </w:pPr>
      <w:r w:rsidRPr="00A34260">
        <w:rPr>
          <w:rFonts w:eastAsia="Times New Roman" w:cs="Arial"/>
          <w:color w:val="000000"/>
          <w:szCs w:val="20"/>
          <w:lang w:eastAsia="bg-BG"/>
        </w:rPr>
        <w:t>Грип</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1BC5C521" w14:textId="77777777" w:rsidR="00A34260" w:rsidRPr="00A34260" w:rsidRDefault="00A34260" w:rsidP="00A34260">
      <w:pPr>
        <w:pStyle w:val="Heading3"/>
        <w:rPr>
          <w:rFonts w:eastAsia="Times New Roman"/>
          <w:b/>
          <w:sz w:val="28"/>
          <w:u w:val="single"/>
          <w:lang w:eastAsia="bg-BG"/>
        </w:rPr>
      </w:pPr>
      <w:bookmarkStart w:id="1" w:name="bookmark0"/>
      <w:r w:rsidRPr="00A34260">
        <w:rPr>
          <w:rFonts w:eastAsia="Times New Roman"/>
          <w:b/>
          <w:u w:val="single"/>
          <w:lang w:eastAsia="bg-BG"/>
        </w:rPr>
        <w:t>Дозировка</w:t>
      </w:r>
      <w:bookmarkEnd w:id="1"/>
    </w:p>
    <w:p w14:paraId="0D2854AA"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Дозировката се определя индивидуално въз основа на телесното тегло на пациента и естеството и тежестта на заболяването. Дневният прием трябва да се разпредели поравно през часовете на будуване.</w:t>
      </w:r>
      <w:r w:rsidRPr="00A34260">
        <w:rPr>
          <w:rFonts w:eastAsia="Times New Roman" w:cs="Arial"/>
          <w:color w:val="000000"/>
          <w:szCs w:val="20"/>
          <w:lang w:eastAsia="bg-BG"/>
        </w:rPr>
        <w:tab/>
      </w:r>
    </w:p>
    <w:p w14:paraId="2BBA85A4" w14:textId="77777777" w:rsidR="00A34260" w:rsidRPr="00A34260" w:rsidRDefault="00A34260" w:rsidP="00A34260">
      <w:pPr>
        <w:rPr>
          <w:rFonts w:eastAsia="Times New Roman" w:cs="Arial"/>
          <w:color w:val="000000"/>
          <w:szCs w:val="20"/>
          <w:u w:val="single"/>
          <w:lang w:eastAsia="bg-BG"/>
        </w:rPr>
      </w:pPr>
    </w:p>
    <w:p w14:paraId="7FBF1BCE" w14:textId="2DA5B08F" w:rsidR="00EC41ED" w:rsidRPr="00A34260" w:rsidRDefault="00A34260" w:rsidP="00A34260">
      <w:pPr>
        <w:rPr>
          <w:rFonts w:eastAsia="Times New Roman" w:cs="Arial"/>
          <w:color w:val="000000"/>
          <w:szCs w:val="20"/>
          <w:u w:val="single"/>
          <w:lang w:eastAsia="bg-BG"/>
        </w:rPr>
      </w:pPr>
      <w:r w:rsidRPr="00A34260">
        <w:rPr>
          <w:rFonts w:eastAsia="Times New Roman" w:cs="Arial"/>
          <w:color w:val="000000"/>
          <w:szCs w:val="20"/>
          <w:u w:val="single"/>
          <w:lang w:eastAsia="bg-BG"/>
        </w:rPr>
        <w:t>Възрастни и пациенти в напреднала възраст</w:t>
      </w:r>
    </w:p>
    <w:p w14:paraId="4C1B86F8"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 xml:space="preserve">Препоръчителната дневна доза е 50 </w:t>
      </w:r>
      <w:r w:rsidRPr="00A34260">
        <w:rPr>
          <w:rFonts w:eastAsia="Times New Roman" w:cs="Arial"/>
          <w:color w:val="000000"/>
          <w:szCs w:val="20"/>
          <w:lang w:val="en-US"/>
        </w:rPr>
        <w:t xml:space="preserve">mg/kg </w:t>
      </w:r>
      <w:r w:rsidRPr="00A34260">
        <w:rPr>
          <w:rFonts w:eastAsia="Times New Roman" w:cs="Arial"/>
          <w:color w:val="000000"/>
          <w:szCs w:val="20"/>
          <w:lang w:eastAsia="bg-BG"/>
        </w:rPr>
        <w:t xml:space="preserve">телесно тегло, обикновено 3 </w:t>
      </w:r>
      <w:r w:rsidRPr="00A34260">
        <w:rPr>
          <w:rFonts w:eastAsia="Times New Roman" w:cs="Arial"/>
          <w:color w:val="000000"/>
          <w:szCs w:val="20"/>
          <w:lang w:val="en-US"/>
        </w:rPr>
        <w:t>g</w:t>
      </w:r>
      <w:r w:rsidRPr="00A34260">
        <w:rPr>
          <w:rFonts w:eastAsia="Times New Roman" w:cs="Arial"/>
          <w:color w:val="000000"/>
          <w:szCs w:val="20"/>
          <w:lang w:eastAsia="bg-BG"/>
        </w:rPr>
        <w:t xml:space="preserve">/дневно до не повече от 4 </w:t>
      </w:r>
      <w:r w:rsidRPr="00A34260">
        <w:rPr>
          <w:rFonts w:eastAsia="Times New Roman" w:cs="Arial"/>
          <w:color w:val="000000"/>
          <w:szCs w:val="20"/>
          <w:lang w:val="en-US"/>
        </w:rPr>
        <w:t>g</w:t>
      </w:r>
      <w:r w:rsidRPr="00A34260">
        <w:rPr>
          <w:rFonts w:eastAsia="Times New Roman" w:cs="Arial"/>
          <w:color w:val="000000"/>
          <w:szCs w:val="20"/>
          <w:lang w:eastAsia="bg-BG"/>
        </w:rPr>
        <w:t>/дневно, прилагани в 3-4 поравно разделени дози през деня (обикновено, 1 саше 3-4 пъти дневно).</w:t>
      </w:r>
    </w:p>
    <w:p w14:paraId="4ED3F14C" w14:textId="77777777" w:rsidR="00A34260" w:rsidRPr="00A34260" w:rsidRDefault="00A34260" w:rsidP="00A34260">
      <w:pPr>
        <w:spacing w:line="240" w:lineRule="auto"/>
        <w:rPr>
          <w:rFonts w:eastAsia="Times New Roman" w:cs="Arial"/>
          <w:color w:val="000000"/>
          <w:szCs w:val="20"/>
          <w:u w:val="single"/>
          <w:lang w:eastAsia="bg-BG"/>
        </w:rPr>
      </w:pPr>
    </w:p>
    <w:p w14:paraId="5715A68B" w14:textId="3CF64578"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Педиатрична популация</w:t>
      </w:r>
    </w:p>
    <w:p w14:paraId="74A30327"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 xml:space="preserve">Деца над 1-годишна възраст: 50 </w:t>
      </w:r>
      <w:r w:rsidRPr="00A34260">
        <w:rPr>
          <w:rFonts w:eastAsia="Times New Roman" w:cs="Arial"/>
          <w:color w:val="000000"/>
          <w:szCs w:val="20"/>
          <w:lang w:val="en-US"/>
        </w:rPr>
        <w:t xml:space="preserve">mg/kg </w:t>
      </w:r>
      <w:r w:rsidRPr="00A34260">
        <w:rPr>
          <w:rFonts w:eastAsia="Times New Roman" w:cs="Arial"/>
          <w:color w:val="000000"/>
          <w:szCs w:val="20"/>
          <w:lang w:eastAsia="bg-BG"/>
        </w:rPr>
        <w:t>телесно тегло, прилагани в 3-4 поравно разделени дози през деня.</w:t>
      </w:r>
    </w:p>
    <w:p w14:paraId="256C0B32" w14:textId="77777777" w:rsidR="00A34260" w:rsidRPr="00A34260" w:rsidRDefault="00A34260" w:rsidP="00A34260">
      <w:pPr>
        <w:spacing w:line="240" w:lineRule="auto"/>
        <w:rPr>
          <w:rFonts w:eastAsia="Times New Roman" w:cs="Arial"/>
          <w:color w:val="000000"/>
          <w:szCs w:val="20"/>
          <w:lang w:eastAsia="bg-BG"/>
        </w:rPr>
      </w:pPr>
    </w:p>
    <w:p w14:paraId="2CBCD526" w14:textId="5136266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ПРОДЪЛЖИТЕЛНОСТ НА ЛЕЧЕНИЕТО</w:t>
      </w:r>
    </w:p>
    <w:p w14:paraId="6349CE85"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Остри заболявания</w:t>
      </w:r>
      <w:r w:rsidRPr="00A34260">
        <w:rPr>
          <w:rFonts w:eastAsia="Times New Roman" w:cs="Arial"/>
          <w:color w:val="000000"/>
          <w:szCs w:val="20"/>
          <w:lang w:eastAsia="bg-BG"/>
        </w:rPr>
        <w:t>: при заболявания с бързо развитие, обичайната продължителност на лечението е от 5 до 14 дни. Лечението трябва да продължи 1 или 2 дни след отзвучаване на симптомите или по-дълго, според преценката на лекаря.</w:t>
      </w:r>
    </w:p>
    <w:p w14:paraId="52A9A545" w14:textId="77777777" w:rsidR="00A34260" w:rsidRPr="00A34260" w:rsidRDefault="00A34260" w:rsidP="00A34260">
      <w:pPr>
        <w:spacing w:line="240" w:lineRule="auto"/>
        <w:rPr>
          <w:rFonts w:eastAsia="Times New Roman" w:cs="Arial"/>
          <w:color w:val="000000"/>
          <w:szCs w:val="20"/>
          <w:u w:val="single"/>
          <w:lang w:eastAsia="bg-BG"/>
        </w:rPr>
      </w:pPr>
    </w:p>
    <w:p w14:paraId="2184BB9B" w14:textId="7AB6D22B"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Вирусни заболявания с удължено развитие</w:t>
      </w:r>
      <w:r w:rsidRPr="00A34260">
        <w:rPr>
          <w:rFonts w:eastAsia="Times New Roman" w:cs="Arial"/>
          <w:color w:val="000000"/>
          <w:szCs w:val="20"/>
          <w:lang w:eastAsia="bg-BG"/>
        </w:rPr>
        <w:t>: лечението трябва да продължи 1 до 2 седмици след отзвучаване на симптомите или по-дълго, според преценката на лекаря.</w:t>
      </w:r>
    </w:p>
    <w:p w14:paraId="3B4C571D" w14:textId="77777777" w:rsidR="00A34260" w:rsidRPr="00A34260" w:rsidRDefault="00A34260" w:rsidP="00A34260">
      <w:pPr>
        <w:spacing w:line="240" w:lineRule="auto"/>
        <w:rPr>
          <w:rFonts w:eastAsia="Times New Roman" w:cs="Arial"/>
          <w:color w:val="000000"/>
          <w:szCs w:val="20"/>
          <w:u w:val="single"/>
          <w:lang w:eastAsia="bg-BG"/>
        </w:rPr>
      </w:pPr>
    </w:p>
    <w:p w14:paraId="7C1DE360" w14:textId="7572419F"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Рекурентни заболявания</w:t>
      </w:r>
      <w:r w:rsidRPr="00A34260">
        <w:rPr>
          <w:rFonts w:eastAsia="Times New Roman" w:cs="Arial"/>
          <w:color w:val="000000"/>
          <w:szCs w:val="20"/>
          <w:lang w:eastAsia="bg-BG"/>
        </w:rPr>
        <w:t xml:space="preserve">: за началната фаза на лечението важат същите препоръки, както при острите заболявания. В хода на поддържащото лечение дозата може да се намали до 500-1 000 </w:t>
      </w:r>
      <w:r w:rsidRPr="00A34260">
        <w:rPr>
          <w:rFonts w:eastAsia="Times New Roman" w:cs="Arial"/>
          <w:color w:val="000000"/>
          <w:szCs w:val="20"/>
          <w:lang w:val="en-US"/>
        </w:rPr>
        <w:t xml:space="preserve">mg </w:t>
      </w:r>
      <w:r w:rsidRPr="00A34260">
        <w:rPr>
          <w:rFonts w:eastAsia="Times New Roman" w:cs="Arial"/>
          <w:color w:val="000000"/>
          <w:szCs w:val="20"/>
          <w:lang w:eastAsia="bg-BG"/>
        </w:rPr>
        <w:t>дневно. При поява на начални признаци на рецидив е необходимо завръщане към дневната дозировка, прилагана при остри заболявания, като тя трябва да се продължи 1-2 дни след отзвучаване на симптомите. При необходимост, този курс на лечение може да се повтори неколкократно, в съответствие с преценката на клиничния статус от лекаря и по негова препоръка.</w:t>
      </w:r>
    </w:p>
    <w:p w14:paraId="05A3BC0F" w14:textId="77777777" w:rsidR="00A34260" w:rsidRPr="00A34260" w:rsidRDefault="00A34260" w:rsidP="00A34260">
      <w:pPr>
        <w:spacing w:line="240" w:lineRule="auto"/>
        <w:rPr>
          <w:rFonts w:eastAsia="Times New Roman" w:cs="Arial"/>
          <w:color w:val="000000"/>
          <w:szCs w:val="20"/>
          <w:u w:val="single"/>
          <w:lang w:eastAsia="bg-BG"/>
        </w:rPr>
      </w:pPr>
    </w:p>
    <w:p w14:paraId="21A8D150" w14:textId="55C870FF"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Хронични заболявания</w:t>
      </w:r>
      <w:r w:rsidRPr="00A34260">
        <w:rPr>
          <w:rFonts w:eastAsia="Times New Roman" w:cs="Arial"/>
          <w:color w:val="000000"/>
          <w:szCs w:val="20"/>
          <w:lang w:eastAsia="bg-BG"/>
        </w:rPr>
        <w:t xml:space="preserve">: 50 </w:t>
      </w:r>
      <w:r w:rsidRPr="00A34260">
        <w:rPr>
          <w:rFonts w:eastAsia="Times New Roman" w:cs="Arial"/>
          <w:color w:val="000000"/>
          <w:szCs w:val="20"/>
          <w:lang w:val="en-US"/>
        </w:rPr>
        <w:t xml:space="preserve">mg/kg </w:t>
      </w:r>
      <w:r w:rsidRPr="00A34260">
        <w:rPr>
          <w:rFonts w:eastAsia="Times New Roman" w:cs="Arial"/>
          <w:color w:val="000000"/>
          <w:szCs w:val="20"/>
          <w:lang w:eastAsia="bg-BG"/>
        </w:rPr>
        <w:t xml:space="preserve">телесно тегло дневно, разделени както следва: </w:t>
      </w:r>
      <w:r w:rsidRPr="00A34260">
        <w:rPr>
          <w:rFonts w:eastAsia="Times New Roman" w:cs="Arial"/>
          <w:i/>
          <w:iCs/>
          <w:color w:val="000000"/>
          <w:szCs w:val="20"/>
          <w:lang w:eastAsia="bg-BG"/>
        </w:rPr>
        <w:t>Асимптоматични случаи:</w:t>
      </w:r>
      <w:r w:rsidRPr="00A34260">
        <w:rPr>
          <w:rFonts w:eastAsia="Times New Roman" w:cs="Arial"/>
          <w:color w:val="000000"/>
          <w:szCs w:val="20"/>
          <w:lang w:eastAsia="bg-BG"/>
        </w:rPr>
        <w:t xml:space="preserve"> 30-дневен прием, 60-дневно прекъсване.</w:t>
      </w:r>
    </w:p>
    <w:p w14:paraId="6472B237"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i/>
          <w:iCs/>
          <w:color w:val="000000"/>
          <w:szCs w:val="20"/>
          <w:lang w:eastAsia="bg-BG"/>
        </w:rPr>
        <w:t>Леко изразени симптоми:</w:t>
      </w:r>
      <w:r w:rsidRPr="00A34260">
        <w:rPr>
          <w:rFonts w:eastAsia="Times New Roman" w:cs="Arial"/>
          <w:color w:val="000000"/>
          <w:szCs w:val="20"/>
          <w:lang w:eastAsia="bg-BG"/>
        </w:rPr>
        <w:t xml:space="preserve"> 60-дневен прием, 30-дневно прекъсване.</w:t>
      </w:r>
    </w:p>
    <w:p w14:paraId="1F2BE51D"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i/>
          <w:iCs/>
          <w:color w:val="000000"/>
          <w:szCs w:val="20"/>
          <w:lang w:eastAsia="bg-BG"/>
        </w:rPr>
        <w:t>Тежко изразени симптоми:</w:t>
      </w:r>
      <w:r w:rsidRPr="00A34260">
        <w:rPr>
          <w:rFonts w:eastAsia="Times New Roman" w:cs="Arial"/>
          <w:color w:val="000000"/>
          <w:szCs w:val="20"/>
          <w:lang w:eastAsia="bg-BG"/>
        </w:rPr>
        <w:t xml:space="preserve"> 90-дневен прием, 30-дневно прекъсване.</w:t>
      </w:r>
    </w:p>
    <w:p w14:paraId="72014A0C"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Тази дозировка може да бъде повтаряна при необходимост, а пациентът трябва да бъде проследяван, както при рекурентни заболявания.</w:t>
      </w:r>
    </w:p>
    <w:p w14:paraId="575E3FF5" w14:textId="77777777" w:rsidR="00A34260" w:rsidRPr="00A34260" w:rsidRDefault="00A34260" w:rsidP="00A34260">
      <w:pPr>
        <w:spacing w:line="240" w:lineRule="auto"/>
        <w:rPr>
          <w:rFonts w:eastAsia="Times New Roman" w:cs="Arial"/>
          <w:color w:val="000000"/>
          <w:szCs w:val="20"/>
          <w:lang w:eastAsia="bg-BG"/>
        </w:rPr>
      </w:pPr>
    </w:p>
    <w:p w14:paraId="36829743" w14:textId="3A0E72FE"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ДОЗИРОВКА ПРИ СПЕЦИАЛНИ ПОКАЗАНИЯ</w:t>
      </w:r>
    </w:p>
    <w:p w14:paraId="4AF1A434"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Брадавици на външните полови органи (</w:t>
      </w:r>
      <w:proofErr w:type="spellStart"/>
      <w:r w:rsidRPr="00A34260">
        <w:rPr>
          <w:rFonts w:eastAsia="Times New Roman" w:cs="Arial"/>
          <w:i/>
          <w:iCs/>
          <w:color w:val="000000"/>
          <w:szCs w:val="20"/>
          <w:u w:val="single"/>
          <w:lang w:val="en-US"/>
        </w:rPr>
        <w:t>condyloma</w:t>
      </w:r>
      <w:proofErr w:type="spellEnd"/>
      <w:r w:rsidRPr="00A34260">
        <w:rPr>
          <w:rFonts w:eastAsia="Times New Roman" w:cs="Arial"/>
          <w:i/>
          <w:iCs/>
          <w:color w:val="000000"/>
          <w:szCs w:val="20"/>
          <w:u w:val="single"/>
          <w:lang w:val="en-US"/>
        </w:rPr>
        <w:t xml:space="preserve"> </w:t>
      </w:r>
      <w:proofErr w:type="spellStart"/>
      <w:r w:rsidRPr="00A34260">
        <w:rPr>
          <w:rFonts w:eastAsia="Times New Roman" w:cs="Arial"/>
          <w:i/>
          <w:iCs/>
          <w:color w:val="000000"/>
          <w:szCs w:val="20"/>
          <w:u w:val="single"/>
          <w:lang w:val="en-US"/>
        </w:rPr>
        <w:t>accuminata</w:t>
      </w:r>
      <w:proofErr w:type="spellEnd"/>
      <w:r w:rsidRPr="00A34260">
        <w:rPr>
          <w:rFonts w:eastAsia="Times New Roman" w:cs="Arial"/>
          <w:i/>
          <w:iCs/>
          <w:color w:val="000000"/>
          <w:szCs w:val="20"/>
          <w:u w:val="single"/>
          <w:lang w:val="en-US"/>
        </w:rPr>
        <w:t>)</w:t>
      </w:r>
      <w:r w:rsidRPr="00A34260">
        <w:rPr>
          <w:rFonts w:eastAsia="Times New Roman" w:cs="Arial"/>
          <w:color w:val="000000"/>
          <w:szCs w:val="20"/>
          <w:u w:val="single"/>
          <w:lang w:val="en-US"/>
        </w:rPr>
        <w:t xml:space="preserve"> </w:t>
      </w:r>
      <w:r w:rsidRPr="00A34260">
        <w:rPr>
          <w:rFonts w:eastAsia="Times New Roman" w:cs="Arial"/>
          <w:color w:val="000000"/>
          <w:szCs w:val="20"/>
          <w:u w:val="single"/>
          <w:lang w:eastAsia="bg-BG"/>
        </w:rPr>
        <w:t xml:space="preserve">или ендоцервикално-свързани инфекции с човешки папилома </w:t>
      </w:r>
      <w:r w:rsidRPr="00A34260">
        <w:rPr>
          <w:rFonts w:eastAsia="Times New Roman" w:cs="Arial"/>
          <w:smallCaps/>
          <w:color w:val="000000"/>
          <w:szCs w:val="20"/>
          <w:u w:val="single"/>
          <w:lang w:eastAsia="bg-BG"/>
        </w:rPr>
        <w:t xml:space="preserve">вирус </w:t>
      </w:r>
      <w:r w:rsidRPr="00A34260">
        <w:rPr>
          <w:rFonts w:eastAsia="Times New Roman" w:cs="Arial"/>
          <w:i/>
          <w:iCs/>
          <w:color w:val="000000"/>
          <w:szCs w:val="20"/>
          <w:u w:val="single"/>
          <w:lang w:val="en-US"/>
        </w:rPr>
        <w:t>(human papilloma virus, HPV)</w:t>
      </w:r>
      <w:r w:rsidRPr="00A34260">
        <w:rPr>
          <w:rFonts w:eastAsia="Times New Roman" w:cs="Arial"/>
          <w:i/>
          <w:iCs/>
          <w:color w:val="000000"/>
          <w:szCs w:val="20"/>
          <w:lang w:val="en-US"/>
        </w:rPr>
        <w:t>:</w:t>
      </w:r>
    </w:p>
    <w:p w14:paraId="333547F1" w14:textId="1705A446" w:rsidR="00A34260" w:rsidRPr="00A34260" w:rsidRDefault="00A34260" w:rsidP="00A34260">
      <w:pPr>
        <w:spacing w:line="240" w:lineRule="auto"/>
        <w:rPr>
          <w:rFonts w:eastAsia="Times New Roman" w:cs="Arial"/>
          <w:color w:val="000000"/>
          <w:szCs w:val="20"/>
          <w:lang w:eastAsia="bg-BG"/>
        </w:rPr>
      </w:pPr>
      <w:r w:rsidRPr="00A34260">
        <w:rPr>
          <w:rFonts w:eastAsia="Times New Roman" w:cs="Arial"/>
          <w:color w:val="000000"/>
          <w:szCs w:val="20"/>
          <w:lang w:eastAsia="bg-BG"/>
        </w:rPr>
        <w:lastRenderedPageBreak/>
        <w:t xml:space="preserve">Изопринозин се назначава в доза от 3 </w:t>
      </w:r>
      <w:r w:rsidRPr="00A34260">
        <w:rPr>
          <w:rFonts w:eastAsia="Times New Roman" w:cs="Arial"/>
          <w:color w:val="000000"/>
          <w:szCs w:val="20"/>
          <w:lang w:val="en-US"/>
        </w:rPr>
        <w:t xml:space="preserve">g </w:t>
      </w:r>
      <w:r w:rsidRPr="00A34260">
        <w:rPr>
          <w:rFonts w:eastAsia="Times New Roman" w:cs="Arial"/>
          <w:color w:val="000000"/>
          <w:szCs w:val="20"/>
          <w:lang w:eastAsia="bg-BG"/>
        </w:rPr>
        <w:t>дневно (1 саше 3 пъти дневно) за период от 14-28 дни, прилагана самостоятелно или като допълнение към конвенционалните локални или хирургични процедури, в съответствие със следните времеви графици:</w:t>
      </w:r>
    </w:p>
    <w:p w14:paraId="4E7BDC22" w14:textId="77777777" w:rsidR="00A34260" w:rsidRPr="00A34260" w:rsidRDefault="00A34260" w:rsidP="00A34260">
      <w:pPr>
        <w:spacing w:line="240" w:lineRule="auto"/>
        <w:rPr>
          <w:rFonts w:eastAsia="Times New Roman" w:cs="Arial"/>
          <w:sz w:val="28"/>
          <w:szCs w:val="24"/>
          <w:lang w:eastAsia="bg-BG"/>
        </w:rPr>
      </w:pPr>
    </w:p>
    <w:p w14:paraId="0826E7F3" w14:textId="77777777" w:rsidR="00A34260" w:rsidRPr="00A34260" w:rsidRDefault="00A34260" w:rsidP="00A34260">
      <w:pPr>
        <w:pStyle w:val="ListParagraph"/>
        <w:numPr>
          <w:ilvl w:val="0"/>
          <w:numId w:val="38"/>
        </w:numPr>
        <w:spacing w:line="240" w:lineRule="auto"/>
        <w:rPr>
          <w:rFonts w:eastAsia="Times New Roman" w:cs="Arial"/>
          <w:b/>
          <w:bCs/>
          <w:color w:val="000000"/>
          <w:szCs w:val="20"/>
          <w:lang w:eastAsia="bg-BG"/>
        </w:rPr>
      </w:pPr>
      <w:r w:rsidRPr="00A34260">
        <w:rPr>
          <w:rFonts w:eastAsia="Times New Roman" w:cs="Arial"/>
          <w:b/>
          <w:bCs/>
          <w:color w:val="000000"/>
          <w:szCs w:val="20"/>
          <w:lang w:eastAsia="bg-BG"/>
        </w:rPr>
        <w:t xml:space="preserve">Ниско-рискови пациенти </w:t>
      </w:r>
      <w:r w:rsidRPr="00A34260">
        <w:rPr>
          <w:rFonts w:eastAsia="Times New Roman" w:cs="Arial"/>
          <w:color w:val="000000"/>
          <w:szCs w:val="20"/>
          <w:lang w:eastAsia="bg-BG"/>
        </w:rPr>
        <w:t>(имунокомпетентни лица или пациенти с нисък риск за рецидив): в продължение на 14-28 дни, позволявайки постигане на максимално съотношение изчистване/рецидив на лезиите за 2 или повече месеца след прекъсване на лечението, без прилагане на друго лекарство.</w:t>
      </w:r>
    </w:p>
    <w:p w14:paraId="41DB1E81" w14:textId="38B162C5" w:rsidR="00A34260" w:rsidRPr="00A34260" w:rsidRDefault="00A34260" w:rsidP="00A34260">
      <w:pPr>
        <w:pStyle w:val="ListParagraph"/>
        <w:numPr>
          <w:ilvl w:val="0"/>
          <w:numId w:val="38"/>
        </w:numPr>
        <w:spacing w:line="240" w:lineRule="auto"/>
        <w:rPr>
          <w:rFonts w:eastAsia="Times New Roman" w:cs="Arial"/>
          <w:b/>
          <w:bCs/>
          <w:color w:val="000000"/>
          <w:szCs w:val="20"/>
          <w:lang w:eastAsia="bg-BG"/>
        </w:rPr>
      </w:pPr>
      <w:r w:rsidRPr="00A34260">
        <w:rPr>
          <w:rFonts w:eastAsia="Times New Roman" w:cs="Arial"/>
          <w:b/>
          <w:bCs/>
          <w:color w:val="000000"/>
          <w:szCs w:val="20"/>
          <w:lang w:eastAsia="bg-BG"/>
        </w:rPr>
        <w:t>Високо-рискови пациенти</w:t>
      </w:r>
      <w:r w:rsidRPr="00A34260">
        <w:rPr>
          <w:rFonts w:eastAsia="Times New Roman" w:cs="Arial"/>
          <w:b/>
          <w:bCs/>
          <w:color w:val="000000"/>
          <w:szCs w:val="20"/>
          <w:vertAlign w:val="superscript"/>
          <w:lang w:eastAsia="bg-BG"/>
        </w:rPr>
        <w:t>1</w:t>
      </w:r>
      <w:r w:rsidRPr="00A34260">
        <w:rPr>
          <w:rFonts w:eastAsia="Times New Roman" w:cs="Arial"/>
          <w:b/>
          <w:bCs/>
          <w:color w:val="000000"/>
          <w:szCs w:val="20"/>
          <w:lang w:eastAsia="bg-BG"/>
        </w:rPr>
        <w:t xml:space="preserve"> </w:t>
      </w:r>
      <w:r w:rsidRPr="00A34260">
        <w:rPr>
          <w:rFonts w:eastAsia="Times New Roman" w:cs="Arial"/>
          <w:color w:val="000000"/>
          <w:szCs w:val="20"/>
          <w:lang w:eastAsia="bg-BG"/>
        </w:rPr>
        <w:t>(пациенти с имунодефицит или такива с висок риск за рецидив): 5 дни седмично, в 2 последователни седмици на месеца, в продължение на 3 месеца, постигайки максимално съотношение изчистване/рецидив на лезиите до края на третия месец от лечението.</w:t>
      </w:r>
    </w:p>
    <w:p w14:paraId="4FBDA923" w14:textId="77777777" w:rsidR="00A34260" w:rsidRPr="00A34260" w:rsidRDefault="00A34260" w:rsidP="00A34260">
      <w:pPr>
        <w:rPr>
          <w:rFonts w:eastAsia="Times New Roman" w:cs="Arial"/>
          <w:color w:val="000000"/>
          <w:szCs w:val="20"/>
          <w:lang w:eastAsia="bg-BG"/>
        </w:rPr>
      </w:pPr>
    </w:p>
    <w:p w14:paraId="48731878" w14:textId="579D1A96" w:rsidR="00A34260" w:rsidRPr="00A34260" w:rsidRDefault="00A34260" w:rsidP="00A34260">
      <w:pPr>
        <w:rPr>
          <w:rFonts w:eastAsia="Times New Roman" w:cs="Arial"/>
          <w:color w:val="000000"/>
          <w:szCs w:val="20"/>
          <w:lang w:eastAsia="bg-BG"/>
        </w:rPr>
      </w:pPr>
      <w:r w:rsidRPr="00A34260">
        <w:rPr>
          <w:rFonts w:eastAsia="Times New Roman" w:cs="Arial"/>
          <w:color w:val="000000"/>
          <w:szCs w:val="20"/>
          <w:lang w:eastAsia="bg-BG"/>
        </w:rPr>
        <w:t>Тази дозировка може да бъде повтаряна при необходимост, а пациентът трябва да бъде проследяван, както при рекурентни заболявания.</w:t>
      </w:r>
    </w:p>
    <w:p w14:paraId="4111C701" w14:textId="620C5B63" w:rsidR="00A34260" w:rsidRDefault="00A34260" w:rsidP="00A34260">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9350"/>
      </w:tblGrid>
      <w:tr w:rsidR="00A34260" w14:paraId="481DEC10" w14:textId="77777777" w:rsidTr="00A34260">
        <w:tc>
          <w:tcPr>
            <w:tcW w:w="9350" w:type="dxa"/>
            <w:tcBorders>
              <w:left w:val="nil"/>
              <w:bottom w:val="nil"/>
              <w:right w:val="nil"/>
            </w:tcBorders>
          </w:tcPr>
          <w:p w14:paraId="2F08D5B8" w14:textId="77777777" w:rsidR="00A34260" w:rsidRPr="00A34260" w:rsidRDefault="00A34260" w:rsidP="00A34260">
            <w:pPr>
              <w:spacing w:line="240" w:lineRule="auto"/>
              <w:rPr>
                <w:rFonts w:eastAsia="Times New Roman" w:cs="Arial"/>
                <w:sz w:val="20"/>
                <w:lang w:eastAsia="bg-BG"/>
              </w:rPr>
            </w:pPr>
            <w:r w:rsidRPr="00A34260">
              <w:rPr>
                <w:rFonts w:eastAsia="Times New Roman" w:cs="Arial"/>
                <w:color w:val="000000"/>
                <w:sz w:val="20"/>
                <w:vertAlign w:val="superscript"/>
                <w:lang w:eastAsia="bg-BG"/>
              </w:rPr>
              <w:t>1</w:t>
            </w:r>
            <w:r w:rsidRPr="00A34260">
              <w:rPr>
                <w:rFonts w:eastAsia="Times New Roman" w:cs="Arial"/>
                <w:color w:val="000000"/>
                <w:sz w:val="20"/>
                <w:lang w:eastAsia="bg-BG"/>
              </w:rPr>
              <w:t xml:space="preserve"> Профилите на пациентите с висок риск за рецидив или с цервикална дисплазия, или с генитални брадавици са сходни с тези при други заболявания и включват:</w:t>
            </w:r>
          </w:p>
          <w:p w14:paraId="00FBB4BC" w14:textId="77777777" w:rsidR="00A34260" w:rsidRPr="00A34260" w:rsidRDefault="00A34260" w:rsidP="00A34260">
            <w:pPr>
              <w:pStyle w:val="ListParagraph"/>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имунодепресия, дължаща се на:</w:t>
            </w:r>
          </w:p>
          <w:p w14:paraId="5025CD98" w14:textId="77777777" w:rsidR="00A34260" w:rsidRPr="00A34260" w:rsidRDefault="00A34260" w:rsidP="00A34260">
            <w:pPr>
              <w:pStyle w:val="ListParagraph"/>
              <w:numPr>
                <w:ilvl w:val="0"/>
                <w:numId w:val="42"/>
              </w:numPr>
              <w:spacing w:line="240" w:lineRule="auto"/>
              <w:rPr>
                <w:rFonts w:eastAsia="Times New Roman" w:cs="Arial"/>
                <w:sz w:val="20"/>
                <w:lang w:eastAsia="bg-BG"/>
              </w:rPr>
            </w:pPr>
            <w:r w:rsidRPr="00A34260">
              <w:rPr>
                <w:rFonts w:eastAsia="Times New Roman" w:cs="Arial"/>
                <w:color w:val="000000"/>
                <w:sz w:val="20"/>
                <w:lang w:eastAsia="bg-BG"/>
              </w:rPr>
              <w:t>анамнеза за хронични или рекурентни инфекции или други сексуално</w:t>
            </w:r>
            <w:r w:rsidRPr="00A34260">
              <w:rPr>
                <w:rFonts w:eastAsia="Times New Roman" w:cs="Arial"/>
                <w:color w:val="000000"/>
                <w:sz w:val="20"/>
                <w:lang w:val="en-US"/>
              </w:rPr>
              <w:t xml:space="preserve"> </w:t>
            </w:r>
            <w:r w:rsidRPr="00A34260">
              <w:rPr>
                <w:rFonts w:eastAsia="Times New Roman" w:cs="Arial"/>
                <w:color w:val="000000"/>
                <w:sz w:val="20"/>
                <w:lang w:eastAsia="bg-BG"/>
              </w:rPr>
              <w:t>предавани болести (</w:t>
            </w:r>
            <w:r w:rsidRPr="00A34260">
              <w:rPr>
                <w:rFonts w:eastAsia="Times New Roman" w:cs="Arial"/>
                <w:color w:val="000000"/>
                <w:sz w:val="20"/>
                <w:lang w:val="en-US"/>
              </w:rPr>
              <w:t>sexually</w:t>
            </w:r>
            <w:r w:rsidRPr="00A34260">
              <w:rPr>
                <w:rFonts w:eastAsia="Times New Roman" w:cs="Arial"/>
                <w:color w:val="000000"/>
                <w:sz w:val="20"/>
              </w:rPr>
              <w:t xml:space="preserve"> </w:t>
            </w:r>
            <w:r w:rsidRPr="00A34260">
              <w:rPr>
                <w:rFonts w:eastAsia="Times New Roman" w:cs="Arial"/>
                <w:color w:val="000000"/>
                <w:sz w:val="20"/>
                <w:lang w:val="en-US"/>
              </w:rPr>
              <w:t>transmitted disease, STD)</w:t>
            </w:r>
          </w:p>
          <w:p w14:paraId="6C68FDE8" w14:textId="77777777" w:rsidR="00A34260" w:rsidRPr="00A34260" w:rsidRDefault="00A34260" w:rsidP="00A34260">
            <w:pPr>
              <w:pStyle w:val="ListParagraph"/>
              <w:numPr>
                <w:ilvl w:val="0"/>
                <w:numId w:val="42"/>
              </w:numPr>
              <w:spacing w:line="240" w:lineRule="auto"/>
              <w:rPr>
                <w:rFonts w:eastAsia="Times New Roman" w:cs="Arial"/>
                <w:sz w:val="20"/>
                <w:lang w:eastAsia="bg-BG"/>
              </w:rPr>
            </w:pPr>
            <w:r w:rsidRPr="00A34260">
              <w:rPr>
                <w:rFonts w:eastAsia="Times New Roman" w:cs="Arial"/>
                <w:color w:val="000000"/>
                <w:sz w:val="20"/>
                <w:lang w:eastAsia="bg-BG"/>
              </w:rPr>
              <w:t>противоракова химиотерапия</w:t>
            </w:r>
          </w:p>
          <w:p w14:paraId="7780A2E9" w14:textId="7AD22F2E" w:rsidR="00A34260" w:rsidRPr="00A34260" w:rsidRDefault="00A34260" w:rsidP="00A34260">
            <w:pPr>
              <w:pStyle w:val="ListParagraph"/>
              <w:numPr>
                <w:ilvl w:val="0"/>
                <w:numId w:val="42"/>
              </w:numPr>
              <w:spacing w:line="240" w:lineRule="auto"/>
              <w:rPr>
                <w:rFonts w:eastAsia="Times New Roman" w:cs="Arial"/>
                <w:sz w:val="20"/>
                <w:lang w:eastAsia="bg-BG"/>
              </w:rPr>
            </w:pPr>
            <w:r w:rsidRPr="00A34260">
              <w:rPr>
                <w:rFonts w:eastAsia="Times New Roman" w:cs="Arial"/>
                <w:color w:val="000000"/>
                <w:sz w:val="20"/>
                <w:lang w:eastAsia="bg-BG"/>
              </w:rPr>
              <w:t xml:space="preserve">инфекция </w:t>
            </w:r>
            <w:r w:rsidRPr="00A34260">
              <w:rPr>
                <w:rFonts w:eastAsia="Times New Roman" w:cs="Arial"/>
                <w:color w:val="000000"/>
                <w:sz w:val="20"/>
                <w:lang w:val="en-US"/>
              </w:rPr>
              <w:t>c human immunodeficiency virus (HIV)</w:t>
            </w:r>
          </w:p>
          <w:p w14:paraId="6D3C4C50" w14:textId="77777777" w:rsidR="00A34260" w:rsidRPr="00A34260" w:rsidRDefault="00A34260" w:rsidP="00A34260">
            <w:pPr>
              <w:pStyle w:val="ListParagraph"/>
              <w:numPr>
                <w:ilvl w:val="0"/>
                <w:numId w:val="39"/>
              </w:numPr>
              <w:spacing w:line="240" w:lineRule="auto"/>
              <w:rPr>
                <w:rFonts w:eastAsia="Times New Roman" w:cs="Arial"/>
                <w:sz w:val="20"/>
                <w:lang w:eastAsia="bg-BG"/>
              </w:rPr>
            </w:pPr>
            <w:r w:rsidRPr="00A34260">
              <w:rPr>
                <w:rFonts w:eastAsia="Times New Roman" w:cs="Arial"/>
                <w:color w:val="000000"/>
                <w:sz w:val="20"/>
                <w:lang w:eastAsia="bg-BG"/>
              </w:rPr>
              <w:t xml:space="preserve">концентрация на фолат (сол/естер на фолиевата киселина) в еритроцитите ≤ 660 </w:t>
            </w:r>
            <w:proofErr w:type="spellStart"/>
            <w:r w:rsidRPr="00A34260">
              <w:rPr>
                <w:rFonts w:eastAsia="Times New Roman" w:cs="Arial"/>
                <w:color w:val="000000"/>
                <w:sz w:val="20"/>
                <w:lang w:val="en-US"/>
              </w:rPr>
              <w:t>nmol</w:t>
            </w:r>
            <w:proofErr w:type="spellEnd"/>
            <w:r w:rsidRPr="00A34260">
              <w:rPr>
                <w:rFonts w:eastAsia="Times New Roman" w:cs="Arial"/>
                <w:color w:val="000000"/>
                <w:sz w:val="20"/>
                <w:lang w:val="en-US"/>
              </w:rPr>
              <w:t>/l</w:t>
            </w:r>
          </w:p>
          <w:p w14:paraId="7E7D00D3"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многобройни сексуални партньори или промяна на постоянен партньор</w:t>
            </w:r>
          </w:p>
          <w:p w14:paraId="1C9596EA"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чести вагинални сексуални контакти (≥ 2-6 седмично) или анален сексуален контакт</w:t>
            </w:r>
          </w:p>
          <w:p w14:paraId="31CB5704"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продължителна употреба на перорални контрацептиви (повече от 5 години)</w:t>
            </w:r>
          </w:p>
          <w:p w14:paraId="60D5FD48"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атопия (вродено предразположение към свръхчувствителност)</w:t>
            </w:r>
          </w:p>
          <w:p w14:paraId="0C62A247"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нелекуван захарен диабет</w:t>
            </w:r>
          </w:p>
          <w:p w14:paraId="3EF83F95"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продължително тютюнопушене</w:t>
            </w:r>
          </w:p>
          <w:p w14:paraId="54ABFD09" w14:textId="77777777"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ниски стойности на фолат (витамин В9) в еритроцитите</w:t>
            </w:r>
          </w:p>
          <w:p w14:paraId="584778D2" w14:textId="77777777" w:rsid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гениталии брадавици в продължение на &gt; 2 години или &gt; 3 неуспешни лечения, описани в анамнезата</w:t>
            </w:r>
          </w:p>
          <w:p w14:paraId="2D58F0E2" w14:textId="4F7F0DF6" w:rsidR="00A34260" w:rsidRPr="00A34260" w:rsidRDefault="00A34260" w:rsidP="00A34260">
            <w:pPr>
              <w:numPr>
                <w:ilvl w:val="0"/>
                <w:numId w:val="39"/>
              </w:numPr>
              <w:spacing w:line="240" w:lineRule="auto"/>
              <w:rPr>
                <w:rFonts w:eastAsia="Times New Roman" w:cs="Arial"/>
                <w:color w:val="000000"/>
                <w:sz w:val="20"/>
                <w:lang w:eastAsia="bg-BG"/>
              </w:rPr>
            </w:pPr>
            <w:r w:rsidRPr="00A34260">
              <w:rPr>
                <w:rFonts w:eastAsia="Times New Roman" w:cs="Arial"/>
                <w:color w:val="000000"/>
                <w:sz w:val="20"/>
                <w:lang w:eastAsia="bg-BG"/>
              </w:rPr>
              <w:t>отсъствие на анамнестични данни за брадавици по кожата в детството</w:t>
            </w:r>
          </w:p>
        </w:tc>
      </w:tr>
    </w:tbl>
    <w:p w14:paraId="0F1ABFA2" w14:textId="48F3040E" w:rsidR="00A34260" w:rsidRDefault="00A34260" w:rsidP="00A34260"/>
    <w:p w14:paraId="17A19ABD"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u w:val="single"/>
          <w:lang w:eastAsia="bg-BG"/>
        </w:rPr>
        <w:t xml:space="preserve">Дозировка при субакутен склерозираш паненцеФалит </w:t>
      </w:r>
      <w:r w:rsidRPr="00A34260">
        <w:rPr>
          <w:rFonts w:eastAsia="Times New Roman" w:cs="Arial"/>
          <w:color w:val="000000"/>
          <w:szCs w:val="20"/>
          <w:u w:val="single"/>
          <w:lang w:val="en-US"/>
        </w:rPr>
        <w:t xml:space="preserve">(subacute </w:t>
      </w:r>
      <w:proofErr w:type="spellStart"/>
      <w:r w:rsidRPr="00A34260">
        <w:rPr>
          <w:rFonts w:eastAsia="Times New Roman" w:cs="Arial"/>
          <w:color w:val="000000"/>
          <w:szCs w:val="20"/>
          <w:u w:val="single"/>
          <w:lang w:val="en-US"/>
        </w:rPr>
        <w:t>sclerosing</w:t>
      </w:r>
      <w:proofErr w:type="spellEnd"/>
      <w:r w:rsidRPr="00A34260">
        <w:rPr>
          <w:rFonts w:eastAsia="Times New Roman" w:cs="Arial"/>
          <w:color w:val="000000"/>
          <w:szCs w:val="20"/>
          <w:u w:val="single"/>
          <w:lang w:val="en-US"/>
        </w:rPr>
        <w:t xml:space="preserve"> </w:t>
      </w:r>
      <w:proofErr w:type="spellStart"/>
      <w:r w:rsidRPr="00A34260">
        <w:rPr>
          <w:rFonts w:eastAsia="Times New Roman" w:cs="Arial"/>
          <w:color w:val="000000"/>
          <w:szCs w:val="20"/>
          <w:u w:val="single"/>
          <w:lang w:val="en-US"/>
        </w:rPr>
        <w:t>panencephalitis</w:t>
      </w:r>
      <w:proofErr w:type="spellEnd"/>
      <w:r w:rsidRPr="00A34260">
        <w:rPr>
          <w:rFonts w:eastAsia="Times New Roman" w:cs="Arial"/>
          <w:color w:val="000000"/>
          <w:szCs w:val="20"/>
          <w:u w:val="single"/>
          <w:lang w:val="en-US"/>
        </w:rPr>
        <w:t>. SSPE)</w:t>
      </w:r>
      <w:r w:rsidRPr="00A34260">
        <w:rPr>
          <w:rFonts w:eastAsia="Times New Roman" w:cs="Arial"/>
          <w:color w:val="000000"/>
          <w:szCs w:val="20"/>
          <w:lang w:val="en-US"/>
        </w:rPr>
        <w:t>:</w:t>
      </w:r>
    </w:p>
    <w:p w14:paraId="2DB9FAD6"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val="en-US"/>
        </w:rPr>
        <w:t xml:space="preserve">100 mg/kg </w:t>
      </w:r>
      <w:r w:rsidRPr="00A34260">
        <w:rPr>
          <w:rFonts w:eastAsia="Times New Roman" w:cs="Arial"/>
          <w:color w:val="000000"/>
          <w:szCs w:val="20"/>
          <w:lang w:eastAsia="bg-BG"/>
        </w:rPr>
        <w:t xml:space="preserve">телесно тегло дневно, до не повече от 3-4 </w:t>
      </w:r>
      <w:r w:rsidRPr="00A34260">
        <w:rPr>
          <w:rFonts w:eastAsia="Times New Roman" w:cs="Arial"/>
          <w:color w:val="000000"/>
          <w:szCs w:val="20"/>
          <w:lang w:val="en-US"/>
        </w:rPr>
        <w:t xml:space="preserve">g, </w:t>
      </w:r>
      <w:r w:rsidRPr="00A34260">
        <w:rPr>
          <w:rFonts w:eastAsia="Times New Roman" w:cs="Arial"/>
          <w:color w:val="000000"/>
          <w:szCs w:val="20"/>
          <w:lang w:eastAsia="bg-BG"/>
        </w:rPr>
        <w:t>продължително, при редовно проследяване на състоянието на пациента и на необходимостта от удължаване на лечението.</w:t>
      </w:r>
    </w:p>
    <w:p w14:paraId="59636059" w14:textId="77777777" w:rsidR="00A34260" w:rsidRPr="00A34260" w:rsidRDefault="00A34260" w:rsidP="00A34260">
      <w:pPr>
        <w:spacing w:line="240" w:lineRule="auto"/>
        <w:rPr>
          <w:rFonts w:eastAsia="Times New Roman" w:cs="Arial"/>
          <w:b/>
          <w:bCs/>
          <w:color w:val="000000"/>
          <w:szCs w:val="20"/>
          <w:lang w:eastAsia="bg-BG"/>
        </w:rPr>
      </w:pPr>
    </w:p>
    <w:p w14:paraId="52D8A3BB" w14:textId="04C01E9F" w:rsidR="00A34260" w:rsidRPr="00A34260" w:rsidRDefault="00A34260" w:rsidP="00A34260">
      <w:pPr>
        <w:pStyle w:val="Heading3"/>
        <w:rPr>
          <w:rFonts w:eastAsia="Times New Roman"/>
          <w:b/>
          <w:sz w:val="28"/>
          <w:u w:val="single"/>
          <w:lang w:eastAsia="bg-BG"/>
        </w:rPr>
      </w:pPr>
      <w:r w:rsidRPr="00A34260">
        <w:rPr>
          <w:rFonts w:eastAsia="Times New Roman"/>
          <w:b/>
          <w:u w:val="single"/>
          <w:lang w:eastAsia="bg-BG"/>
        </w:rPr>
        <w:t>Начин на приложение</w:t>
      </w:r>
    </w:p>
    <w:p w14:paraId="5C0E1B6B"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Този лекарствен продукт е предназначен изключително за перорално приложение. Дневният прием трябва да се разпредели поравно през часовете на будуване.</w:t>
      </w:r>
    </w:p>
    <w:p w14:paraId="753170C5" w14:textId="77777777" w:rsidR="00A34260" w:rsidRPr="00A34260" w:rsidRDefault="00A34260" w:rsidP="00A34260">
      <w:pPr>
        <w:spacing w:line="240" w:lineRule="auto"/>
        <w:rPr>
          <w:rFonts w:eastAsia="Times New Roman" w:cs="Arial"/>
          <w:color w:val="000000"/>
          <w:szCs w:val="20"/>
          <w:lang w:eastAsia="bg-BG"/>
        </w:rPr>
      </w:pPr>
    </w:p>
    <w:p w14:paraId="243EB396" w14:textId="079B8B08"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Изопринозин, прах за перорален разтвор е предназначен да се прилага разтворен във вода, студена или със стайна температура.</w:t>
      </w:r>
    </w:p>
    <w:p w14:paraId="147C418F" w14:textId="77777777" w:rsidR="00A34260" w:rsidRPr="00A34260" w:rsidRDefault="00A34260" w:rsidP="00A34260">
      <w:pPr>
        <w:spacing w:line="240" w:lineRule="auto"/>
        <w:rPr>
          <w:rFonts w:eastAsia="Times New Roman" w:cs="Arial"/>
          <w:sz w:val="28"/>
          <w:szCs w:val="24"/>
          <w:lang w:eastAsia="bg-BG"/>
        </w:rPr>
      </w:pPr>
      <w:r w:rsidRPr="00A34260">
        <w:rPr>
          <w:rFonts w:eastAsia="Times New Roman" w:cs="Arial"/>
          <w:color w:val="000000"/>
          <w:szCs w:val="20"/>
          <w:lang w:eastAsia="bg-BG"/>
        </w:rPr>
        <w:t>Съдържанието на сашето трябва да се разтвори с разбъркване в чаша вода и да се приеме незабавно след приготвянето.</w:t>
      </w:r>
    </w:p>
    <w:p w14:paraId="3878A696" w14:textId="77777777" w:rsidR="00A34260" w:rsidRPr="00A34260" w:rsidRDefault="00A34260" w:rsidP="00A34260">
      <w:pPr>
        <w:rPr>
          <w:rFonts w:eastAsia="Times New Roman" w:cs="Arial"/>
          <w:color w:val="000000"/>
          <w:szCs w:val="20"/>
          <w:lang w:eastAsia="bg-BG"/>
        </w:rPr>
      </w:pPr>
    </w:p>
    <w:p w14:paraId="2DEF58EA" w14:textId="3A61EEA5" w:rsidR="00A34260" w:rsidRPr="00A34260" w:rsidRDefault="00A34260" w:rsidP="00A34260">
      <w:pPr>
        <w:rPr>
          <w:rFonts w:cs="Arial"/>
          <w:sz w:val="24"/>
        </w:rPr>
      </w:pPr>
      <w:r w:rsidRPr="00A34260">
        <w:rPr>
          <w:rFonts w:eastAsia="Times New Roman" w:cs="Arial"/>
          <w:color w:val="000000"/>
          <w:szCs w:val="20"/>
          <w:lang w:eastAsia="bg-BG"/>
        </w:rPr>
        <w:lastRenderedPageBreak/>
        <w:t>Изопринозин, прах за перорален разтвор може да се прилага независимо от времето за прием на храна.</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4140397A" w14:textId="77777777" w:rsidR="00A34260" w:rsidRPr="00A34260" w:rsidRDefault="00A34260" w:rsidP="00A34260">
      <w:pPr>
        <w:spacing w:line="240" w:lineRule="auto"/>
        <w:rPr>
          <w:rFonts w:eastAsia="Times New Roman" w:cs="Arial"/>
          <w:lang w:eastAsia="bg-BG"/>
        </w:rPr>
      </w:pPr>
      <w:r w:rsidRPr="00A34260">
        <w:rPr>
          <w:rFonts w:eastAsia="Times New Roman" w:cs="Arial"/>
          <w:color w:val="000000"/>
          <w:lang w:eastAsia="bg-BG"/>
        </w:rPr>
        <w:t>Изопринозин не трябва да се прилага:</w:t>
      </w:r>
    </w:p>
    <w:p w14:paraId="3880AAE8" w14:textId="77777777" w:rsidR="00A34260" w:rsidRPr="00DC5798" w:rsidRDefault="00A34260" w:rsidP="00A34260">
      <w:pPr>
        <w:pStyle w:val="ListParagraph"/>
        <w:numPr>
          <w:ilvl w:val="0"/>
          <w:numId w:val="44"/>
        </w:numPr>
        <w:spacing w:line="240" w:lineRule="auto"/>
        <w:rPr>
          <w:rFonts w:eastAsia="Times New Roman" w:cs="Arial"/>
          <w:color w:val="000000"/>
          <w:lang w:eastAsia="bg-BG"/>
        </w:rPr>
      </w:pPr>
      <w:r w:rsidRPr="00DC5798">
        <w:rPr>
          <w:rFonts w:eastAsia="Times New Roman" w:cs="Arial"/>
          <w:color w:val="000000"/>
          <w:lang w:eastAsia="bg-BG"/>
        </w:rPr>
        <w:t>при пациенти с известна свръхчувствителност към активното вещество или към някое от помощните вещества, изброени в точка 6.1.</w:t>
      </w:r>
    </w:p>
    <w:p w14:paraId="061C4F60" w14:textId="77777777" w:rsidR="00A34260" w:rsidRPr="00DC5798" w:rsidRDefault="00A34260" w:rsidP="00A34260">
      <w:pPr>
        <w:pStyle w:val="ListParagraph"/>
        <w:numPr>
          <w:ilvl w:val="0"/>
          <w:numId w:val="44"/>
        </w:numPr>
        <w:spacing w:line="240" w:lineRule="auto"/>
        <w:rPr>
          <w:rFonts w:eastAsia="Times New Roman" w:cs="Arial"/>
          <w:color w:val="000000"/>
          <w:lang w:eastAsia="bg-BG"/>
        </w:rPr>
      </w:pPr>
      <w:r w:rsidRPr="00DC5798">
        <w:rPr>
          <w:rFonts w:eastAsia="Times New Roman" w:cs="Arial"/>
          <w:color w:val="000000"/>
          <w:lang w:eastAsia="bg-BG"/>
        </w:rPr>
        <w:t>при пациенти, понастоящем страдащи от подагра</w:t>
      </w:r>
    </w:p>
    <w:p w14:paraId="030B6A4D" w14:textId="2A4A794D" w:rsidR="00EC41ED" w:rsidRPr="00DC5798" w:rsidRDefault="00A34260" w:rsidP="00A34260">
      <w:pPr>
        <w:pStyle w:val="ListParagraph"/>
        <w:numPr>
          <w:ilvl w:val="0"/>
          <w:numId w:val="44"/>
        </w:numPr>
        <w:spacing w:line="240" w:lineRule="auto"/>
        <w:rPr>
          <w:rFonts w:eastAsia="Times New Roman" w:cs="Arial"/>
          <w:color w:val="000000"/>
          <w:lang w:eastAsia="bg-BG"/>
        </w:rPr>
      </w:pPr>
      <w:r w:rsidRPr="00DC5798">
        <w:rPr>
          <w:rFonts w:eastAsia="Times New Roman" w:cs="Arial"/>
          <w:color w:val="000000"/>
          <w:lang w:eastAsia="bg-BG"/>
        </w:rPr>
        <w:t>при пациенти с повишени стойности на пикочната киселина в кръвта.</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0154EA4D" w14:textId="77777777" w:rsidR="00A34260" w:rsidRPr="00A34260" w:rsidRDefault="00A34260" w:rsidP="00A34260">
      <w:pPr>
        <w:spacing w:line="240" w:lineRule="auto"/>
        <w:rPr>
          <w:rFonts w:eastAsia="Times New Roman" w:cs="Arial"/>
          <w:lang w:eastAsia="bg-BG"/>
        </w:rPr>
      </w:pPr>
      <w:r w:rsidRPr="00A34260">
        <w:rPr>
          <w:rFonts w:eastAsia="Times New Roman" w:cs="Arial"/>
          <w:color w:val="000000"/>
          <w:lang w:eastAsia="bg-BG"/>
        </w:rPr>
        <w:t xml:space="preserve">Изопринозин може да причини преходно повишение на изходните нива на пикочната киселина в серума и урината, които обичайно остават в нормалните граници (приемайки 8 </w:t>
      </w:r>
      <w:r w:rsidRPr="00A34260">
        <w:rPr>
          <w:rFonts w:eastAsia="Times New Roman" w:cs="Arial"/>
          <w:color w:val="000000"/>
          <w:lang w:val="en-US"/>
        </w:rPr>
        <w:t xml:space="preserve">mg </w:t>
      </w:r>
      <w:r w:rsidRPr="00A34260">
        <w:rPr>
          <w:rFonts w:eastAsia="Times New Roman" w:cs="Arial"/>
          <w:color w:val="000000"/>
          <w:lang w:eastAsia="bg-BG"/>
        </w:rPr>
        <w:t xml:space="preserve">% или 0,420 </w:t>
      </w:r>
      <w:proofErr w:type="spellStart"/>
      <w:r w:rsidRPr="00A34260">
        <w:rPr>
          <w:rFonts w:eastAsia="Times New Roman" w:cs="Arial"/>
          <w:color w:val="000000"/>
          <w:lang w:val="en-US"/>
        </w:rPr>
        <w:t>mmol</w:t>
      </w:r>
      <w:proofErr w:type="spellEnd"/>
      <w:r w:rsidRPr="00A34260">
        <w:rPr>
          <w:rFonts w:eastAsia="Times New Roman" w:cs="Arial"/>
          <w:color w:val="000000"/>
          <w:lang w:val="en-US"/>
        </w:rPr>
        <w:t xml:space="preserve">/l, </w:t>
      </w:r>
      <w:r w:rsidRPr="00A34260">
        <w:rPr>
          <w:rFonts w:eastAsia="Times New Roman" w:cs="Arial"/>
          <w:color w:val="000000"/>
          <w:lang w:eastAsia="bg-BG"/>
        </w:rPr>
        <w:t xml:space="preserve">съответно, като горна граница), особено при мъжете и застаряващата популация от двата пола. Повишаването на стойностите на пикочната киселина се дължи на катаболитния метаболизъм на инозиновата съставка на продукта при хората до пикочна киселина. То не се дължи на основни лекарствено-индуцирани промени в активността на ензимите или в пречистващата функция на бъбреците. Следователно, Изопринозин може да се прилага с повишено внимание при пациенти с </w:t>
      </w:r>
      <w:r w:rsidRPr="00A34260">
        <w:rPr>
          <w:rFonts w:eastAsia="Times New Roman" w:cs="Arial"/>
          <w:color w:val="000000"/>
          <w:u w:val="single"/>
          <w:lang w:eastAsia="bg-BG"/>
        </w:rPr>
        <w:t>анамнестични данни</w:t>
      </w:r>
      <w:r w:rsidRPr="00A34260">
        <w:rPr>
          <w:rFonts w:eastAsia="Times New Roman" w:cs="Arial"/>
          <w:color w:val="000000"/>
          <w:lang w:eastAsia="bg-BG"/>
        </w:rPr>
        <w:t xml:space="preserve"> за подагра, хиперурикемия, уролитиаза или при пациенти с нарушена бъбречна функция. По време на лечението, стойностите на пикочната киселина при тези пациенти трябва да се проследяват редовно.</w:t>
      </w:r>
    </w:p>
    <w:p w14:paraId="54289202" w14:textId="77777777" w:rsidR="00A34260" w:rsidRPr="00DC5798" w:rsidRDefault="00A34260" w:rsidP="00A34260">
      <w:pPr>
        <w:spacing w:line="240" w:lineRule="auto"/>
        <w:rPr>
          <w:rFonts w:eastAsia="Times New Roman" w:cs="Arial"/>
          <w:color w:val="000000"/>
          <w:lang w:eastAsia="bg-BG"/>
        </w:rPr>
      </w:pPr>
    </w:p>
    <w:p w14:paraId="31AD2D8B" w14:textId="423A5DAD" w:rsidR="00A34260" w:rsidRPr="00A34260" w:rsidRDefault="00A34260" w:rsidP="00A34260">
      <w:pPr>
        <w:spacing w:line="240" w:lineRule="auto"/>
        <w:rPr>
          <w:rFonts w:eastAsia="Times New Roman" w:cs="Arial"/>
          <w:lang w:eastAsia="bg-BG"/>
        </w:rPr>
      </w:pPr>
      <w:r w:rsidRPr="00A34260">
        <w:rPr>
          <w:rFonts w:eastAsia="Times New Roman" w:cs="Arial"/>
          <w:color w:val="000000"/>
          <w:lang w:eastAsia="bg-BG"/>
        </w:rPr>
        <w:t>При някои индивиди може да настъпят остри реакции на свръхчувствителност (уртикария, ангиоедем, анафилаксия). В тези случаи, лечението с Изопринозин трябва да бъде преустановено.</w:t>
      </w:r>
    </w:p>
    <w:p w14:paraId="4564AC7F" w14:textId="77777777" w:rsidR="00A34260" w:rsidRPr="00DC5798" w:rsidRDefault="00A34260" w:rsidP="00A34260">
      <w:pPr>
        <w:rPr>
          <w:rFonts w:eastAsia="Times New Roman" w:cs="Arial"/>
          <w:color w:val="000000"/>
          <w:lang w:eastAsia="bg-BG"/>
        </w:rPr>
      </w:pPr>
    </w:p>
    <w:p w14:paraId="0E28BBDE" w14:textId="60C374CC" w:rsidR="007A2185" w:rsidRPr="00DC5798" w:rsidRDefault="00A34260" w:rsidP="00A34260">
      <w:pPr>
        <w:rPr>
          <w:rFonts w:cs="Arial"/>
        </w:rPr>
      </w:pPr>
      <w:r w:rsidRPr="00DC5798">
        <w:rPr>
          <w:rFonts w:eastAsia="Times New Roman" w:cs="Arial"/>
          <w:color w:val="000000"/>
          <w:lang w:eastAsia="bg-BG"/>
        </w:rPr>
        <w:t>При продължително лечение е възможно образуване на камъни в бъбреците. Стойностите на пикочната киселина в серума и/или урината, чернодробните изследвания, кръвната картина и бъбречните функционални изследвания трябва да се проверяват редовно при всички пациенти на продължително лечение с Изопринозин.</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28B15230" w14:textId="77777777" w:rsidR="00A34260" w:rsidRPr="00A34260" w:rsidRDefault="00A34260" w:rsidP="00A34260">
      <w:pPr>
        <w:spacing w:line="240" w:lineRule="auto"/>
        <w:rPr>
          <w:rFonts w:eastAsia="Times New Roman" w:cs="Arial"/>
          <w:lang w:eastAsia="bg-BG"/>
        </w:rPr>
      </w:pPr>
      <w:r w:rsidRPr="00A34260">
        <w:rPr>
          <w:rFonts w:eastAsia="Times New Roman" w:cs="Arial"/>
          <w:color w:val="000000"/>
          <w:lang w:eastAsia="bg-BG"/>
        </w:rPr>
        <w:t>Лекарственият продукт трябва да се използва с повишено внимание при едновременно прилагане с инхибитори на ксантиноксидаза (алопуринол) или урикозурични средства, диуретици - тиазидни диуретици (като хидрохлортиазид, хлорталидон, индапамид) или диуретици, повлияващи екскрецията през бъбречната бримка (като фуроземид, тораземид, етакринова киселина).</w:t>
      </w:r>
    </w:p>
    <w:p w14:paraId="74523717" w14:textId="77777777" w:rsidR="00A34260" w:rsidRPr="00DC5798" w:rsidRDefault="00A34260" w:rsidP="00A34260">
      <w:pPr>
        <w:spacing w:line="240" w:lineRule="auto"/>
        <w:rPr>
          <w:rFonts w:eastAsia="Times New Roman" w:cs="Arial"/>
          <w:color w:val="000000"/>
          <w:lang w:eastAsia="bg-BG"/>
        </w:rPr>
      </w:pPr>
    </w:p>
    <w:p w14:paraId="35AABB0D" w14:textId="571FA6E3" w:rsidR="00A34260" w:rsidRPr="00A34260" w:rsidRDefault="00A34260" w:rsidP="00A34260">
      <w:pPr>
        <w:spacing w:line="240" w:lineRule="auto"/>
        <w:rPr>
          <w:rFonts w:eastAsia="Times New Roman" w:cs="Arial"/>
          <w:lang w:eastAsia="bg-BG"/>
        </w:rPr>
      </w:pPr>
      <w:r w:rsidRPr="00A34260">
        <w:rPr>
          <w:rFonts w:eastAsia="Times New Roman" w:cs="Arial"/>
          <w:color w:val="000000"/>
          <w:lang w:eastAsia="bg-BG"/>
        </w:rPr>
        <w:t>Изопринозин може да се прилага след, но не и едновременно с имуносупресивни средства, тъй като е възможно упражняване на фармакокинетично повлияване върху желаните лечебни ефекти.</w:t>
      </w:r>
    </w:p>
    <w:p w14:paraId="70DC7C85" w14:textId="77777777" w:rsidR="00A34260" w:rsidRPr="00DC5798" w:rsidRDefault="00A34260" w:rsidP="00A34260">
      <w:pPr>
        <w:rPr>
          <w:rFonts w:eastAsia="Times New Roman" w:cs="Arial"/>
          <w:color w:val="000000"/>
          <w:lang w:eastAsia="bg-BG"/>
        </w:rPr>
      </w:pPr>
    </w:p>
    <w:p w14:paraId="5B2761C5" w14:textId="11186B63" w:rsidR="0091385D" w:rsidRPr="00DC5798" w:rsidRDefault="00A34260" w:rsidP="00A34260">
      <w:pPr>
        <w:rPr>
          <w:rFonts w:cs="Arial"/>
        </w:rPr>
      </w:pPr>
      <w:r w:rsidRPr="00DC5798">
        <w:rPr>
          <w:rFonts w:eastAsia="Times New Roman" w:cs="Arial"/>
          <w:color w:val="000000"/>
          <w:lang w:eastAsia="bg-BG"/>
        </w:rPr>
        <w:lastRenderedPageBreak/>
        <w:t xml:space="preserve">Едновременната употреба с азидотимидин </w:t>
      </w:r>
      <w:r w:rsidRPr="00DC5798">
        <w:rPr>
          <w:rFonts w:eastAsia="Times New Roman" w:cs="Arial"/>
          <w:color w:val="000000"/>
          <w:lang w:val="en-US"/>
        </w:rPr>
        <w:t>(</w:t>
      </w:r>
      <w:proofErr w:type="spellStart"/>
      <w:r w:rsidRPr="00DC5798">
        <w:rPr>
          <w:rFonts w:eastAsia="Times New Roman" w:cs="Arial"/>
          <w:color w:val="000000"/>
          <w:lang w:val="en-US"/>
        </w:rPr>
        <w:t>azidothymidine</w:t>
      </w:r>
      <w:proofErr w:type="spellEnd"/>
      <w:r w:rsidRPr="00DC5798">
        <w:rPr>
          <w:rFonts w:eastAsia="Times New Roman" w:cs="Arial"/>
          <w:color w:val="000000"/>
          <w:lang w:val="en-US"/>
        </w:rPr>
        <w:t xml:space="preserve">, AZT) </w:t>
      </w:r>
      <w:r w:rsidRPr="00DC5798">
        <w:rPr>
          <w:rFonts w:eastAsia="Times New Roman" w:cs="Arial"/>
          <w:color w:val="000000"/>
          <w:lang w:eastAsia="bg-BG"/>
        </w:rPr>
        <w:t xml:space="preserve">увеличава образуването на А2Т нуклеотиди чрез множество механизми, включващи повишена бионаличност на </w:t>
      </w:r>
      <w:r w:rsidRPr="00DC5798">
        <w:rPr>
          <w:rFonts w:eastAsia="Times New Roman" w:cs="Arial"/>
          <w:color w:val="000000"/>
          <w:lang w:val="en-US"/>
        </w:rPr>
        <w:t xml:space="preserve">AZT </w:t>
      </w:r>
      <w:r w:rsidRPr="00DC5798">
        <w:rPr>
          <w:rFonts w:eastAsia="Times New Roman" w:cs="Arial"/>
          <w:color w:val="000000"/>
          <w:lang w:eastAsia="bg-BG"/>
        </w:rPr>
        <w:t xml:space="preserve">в кръвната плазма и повишена интрацелуларна фосфорилация в моноцитите на човешката кръв. В резултат на това, Изопринозин повишава въздействието на </w:t>
      </w:r>
      <w:r w:rsidRPr="00DC5798">
        <w:rPr>
          <w:rFonts w:eastAsia="Times New Roman" w:cs="Arial"/>
          <w:color w:val="000000"/>
          <w:lang w:val="en-US"/>
        </w:rPr>
        <w:t>AZT.</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102F0D07" w14:textId="307D30D7" w:rsidR="007A2185" w:rsidRPr="00DC5798" w:rsidRDefault="00A34260" w:rsidP="0091385D">
      <w:pPr>
        <w:rPr>
          <w:rFonts w:cs="Arial"/>
        </w:rPr>
      </w:pPr>
      <w:r w:rsidRPr="00DC5798">
        <w:rPr>
          <w:rFonts w:cs="Arial"/>
        </w:rPr>
        <w:t>Липсват контролирани проучвания, проследяващи риска за фетуса и нарушаването на фертилитета при хора. Не е известно дали инозин ацедобен димепранол се екскретира в майчината кърма. Ето защо, Изопринозин не трябва да се прилага по време на бременност или кърмене, освен ако лекарят не прецени, че ползите надвишават потенциалния риск.</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4BBB910C" w:rsidR="007A2185" w:rsidRPr="00DC5798" w:rsidRDefault="00A34260" w:rsidP="0091385D">
      <w:pPr>
        <w:rPr>
          <w:rFonts w:cs="Arial"/>
        </w:rPr>
      </w:pPr>
      <w:r w:rsidRPr="00DC5798">
        <w:rPr>
          <w:rFonts w:cs="Arial"/>
        </w:rPr>
        <w:t>Изопринозин не повлиява или повлиява пренебрежимо способността за шофиране и работа с машини.</w:t>
      </w:r>
    </w:p>
    <w:p w14:paraId="35801A15" w14:textId="77777777" w:rsidR="0091385D" w:rsidRPr="0091385D" w:rsidRDefault="0091385D" w:rsidP="0091385D">
      <w:bookmarkStart w:id="2" w:name="_GoBack"/>
      <w:bookmarkEnd w:id="2"/>
    </w:p>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254AACC" w14:textId="51DD091F" w:rsidR="007A2185" w:rsidRPr="00DC5798" w:rsidRDefault="00A34260" w:rsidP="0091385D">
      <w:pPr>
        <w:rPr>
          <w:rFonts w:cs="Arial"/>
        </w:rPr>
      </w:pPr>
      <w:r w:rsidRPr="00DC5798">
        <w:rPr>
          <w:rFonts w:cs="Arial"/>
        </w:rPr>
        <w:t>По време на лечението с Изопринозин, единствената постоянно наблюдавана лекарствено-свързана нежелана реакция при възрастни, както и в педиатричната популация, е преходно повишение (обичайно оставащо в границите на нормата) на стойностите на пикочната киселина в серума и урината, които обикновено се завръщат към изходните си нива няколко дни след края на лечението.</w:t>
      </w:r>
    </w:p>
    <w:p w14:paraId="27B3C91F" w14:textId="37378274" w:rsidR="00A34260" w:rsidRPr="00DC5798" w:rsidRDefault="00A34260" w:rsidP="0091385D">
      <w:pPr>
        <w:rPr>
          <w:rFonts w:cs="Arial"/>
        </w:rPr>
      </w:pPr>
    </w:p>
    <w:p w14:paraId="67946DF6" w14:textId="58A76872" w:rsidR="00A34260" w:rsidRPr="00DC5798" w:rsidRDefault="00A34260" w:rsidP="0091385D">
      <w:pPr>
        <w:rPr>
          <w:rFonts w:cs="Arial"/>
          <w:i/>
          <w:iCs/>
          <w:u w:val="single"/>
        </w:rPr>
      </w:pPr>
      <w:r w:rsidRPr="00DC5798">
        <w:rPr>
          <w:rFonts w:cs="Arial"/>
          <w:i/>
          <w:iCs/>
          <w:u w:val="single"/>
        </w:rPr>
        <w:t xml:space="preserve">Честота </w:t>
      </w:r>
      <w:r w:rsidRPr="00DC5798">
        <w:rPr>
          <w:rFonts w:cs="Arial"/>
          <w:i/>
          <w:iCs/>
          <w:u w:val="single"/>
          <w:lang w:val="en-US"/>
        </w:rPr>
        <w:t xml:space="preserve">no </w:t>
      </w:r>
      <w:proofErr w:type="spellStart"/>
      <w:r w:rsidRPr="00DC5798">
        <w:rPr>
          <w:rFonts w:cs="Arial"/>
          <w:i/>
          <w:iCs/>
          <w:u w:val="single"/>
          <w:lang w:val="en-US"/>
        </w:rPr>
        <w:t>MedDRA</w:t>
      </w:r>
      <w:proofErr w:type="spellEnd"/>
      <w:r w:rsidRPr="00DC5798">
        <w:rPr>
          <w:rFonts w:cs="Arial"/>
          <w:i/>
          <w:iCs/>
          <w:u w:val="single"/>
          <w:lang w:val="en-US"/>
        </w:rPr>
        <w:t xml:space="preserve"> </w:t>
      </w:r>
      <w:r w:rsidRPr="00DC5798">
        <w:rPr>
          <w:rFonts w:cs="Arial"/>
          <w:i/>
          <w:iCs/>
          <w:u w:val="single"/>
        </w:rPr>
        <w:t>конвенцията</w:t>
      </w:r>
    </w:p>
    <w:tbl>
      <w:tblPr>
        <w:tblStyle w:val="TableGrid"/>
        <w:tblW w:w="0" w:type="auto"/>
        <w:tblLook w:val="04A0" w:firstRow="1" w:lastRow="0" w:firstColumn="1" w:lastColumn="0" w:noHBand="0" w:noVBand="1"/>
      </w:tblPr>
      <w:tblGrid>
        <w:gridCol w:w="4675"/>
        <w:gridCol w:w="4675"/>
      </w:tblGrid>
      <w:tr w:rsidR="00DC5798" w:rsidRPr="00DC5798" w14:paraId="19154E19" w14:textId="77777777" w:rsidTr="00DC5798">
        <w:tc>
          <w:tcPr>
            <w:tcW w:w="4675" w:type="dxa"/>
          </w:tcPr>
          <w:p w14:paraId="1F5BF72B" w14:textId="7815B14E" w:rsidR="00DC5798" w:rsidRPr="00DC5798" w:rsidRDefault="00DC5798" w:rsidP="00DC5798">
            <w:pPr>
              <w:rPr>
                <w:rFonts w:cs="Arial"/>
              </w:rPr>
            </w:pPr>
            <w:r w:rsidRPr="00DC5798">
              <w:rPr>
                <w:rFonts w:cs="Arial"/>
              </w:rPr>
              <w:t>Много чести</w:t>
            </w:r>
          </w:p>
        </w:tc>
        <w:tc>
          <w:tcPr>
            <w:tcW w:w="4675" w:type="dxa"/>
          </w:tcPr>
          <w:p w14:paraId="2625F42E" w14:textId="733FF2D2" w:rsidR="00DC5798" w:rsidRPr="00DC5798" w:rsidRDefault="00DC5798" w:rsidP="00DC5798">
            <w:pPr>
              <w:rPr>
                <w:rFonts w:cs="Arial"/>
              </w:rPr>
            </w:pPr>
            <w:r w:rsidRPr="00DC5798">
              <w:rPr>
                <w:rFonts w:cs="Arial"/>
              </w:rPr>
              <w:t>≥1/10</w:t>
            </w:r>
          </w:p>
        </w:tc>
      </w:tr>
      <w:tr w:rsidR="00DC5798" w:rsidRPr="00DC5798" w14:paraId="5A6BC8FF" w14:textId="77777777" w:rsidTr="00DC5798">
        <w:tc>
          <w:tcPr>
            <w:tcW w:w="4675" w:type="dxa"/>
          </w:tcPr>
          <w:p w14:paraId="6161D033" w14:textId="77535B4C" w:rsidR="00DC5798" w:rsidRPr="00DC5798" w:rsidRDefault="00DC5798" w:rsidP="00DC5798">
            <w:pPr>
              <w:rPr>
                <w:rFonts w:cs="Arial"/>
              </w:rPr>
            </w:pPr>
            <w:r w:rsidRPr="00DC5798">
              <w:rPr>
                <w:rFonts w:cs="Arial"/>
              </w:rPr>
              <w:t>Чести</w:t>
            </w:r>
          </w:p>
        </w:tc>
        <w:tc>
          <w:tcPr>
            <w:tcW w:w="4675" w:type="dxa"/>
          </w:tcPr>
          <w:p w14:paraId="007D1A6F" w14:textId="53E259EF" w:rsidR="00DC5798" w:rsidRPr="00DC5798" w:rsidRDefault="00DC5798" w:rsidP="00DC5798">
            <w:pPr>
              <w:rPr>
                <w:rFonts w:cs="Arial"/>
              </w:rPr>
            </w:pPr>
            <w:r w:rsidRPr="00DC5798">
              <w:rPr>
                <w:rFonts w:cs="Arial"/>
              </w:rPr>
              <w:t>≥1/100 до &lt;1/10</w:t>
            </w:r>
          </w:p>
        </w:tc>
      </w:tr>
      <w:tr w:rsidR="00DC5798" w:rsidRPr="00DC5798" w14:paraId="4ED41A36" w14:textId="77777777" w:rsidTr="00DC5798">
        <w:tc>
          <w:tcPr>
            <w:tcW w:w="4675" w:type="dxa"/>
          </w:tcPr>
          <w:p w14:paraId="740AD313" w14:textId="2DA1123F" w:rsidR="00DC5798" w:rsidRPr="00DC5798" w:rsidRDefault="00DC5798" w:rsidP="00DC5798">
            <w:pPr>
              <w:rPr>
                <w:rFonts w:cs="Arial"/>
              </w:rPr>
            </w:pPr>
            <w:r w:rsidRPr="00DC5798">
              <w:rPr>
                <w:rFonts w:cs="Arial"/>
              </w:rPr>
              <w:t>Нечести</w:t>
            </w:r>
          </w:p>
        </w:tc>
        <w:tc>
          <w:tcPr>
            <w:tcW w:w="4675" w:type="dxa"/>
          </w:tcPr>
          <w:p w14:paraId="5E506F8B" w14:textId="1745CE5C" w:rsidR="00DC5798" w:rsidRPr="00DC5798" w:rsidRDefault="00DC5798" w:rsidP="00DC5798">
            <w:pPr>
              <w:rPr>
                <w:rFonts w:cs="Arial"/>
              </w:rPr>
            </w:pPr>
            <w:r w:rsidRPr="00DC5798">
              <w:rPr>
                <w:rFonts w:cs="Arial"/>
              </w:rPr>
              <w:t>≥1/1 000 до &lt;1/100</w:t>
            </w:r>
          </w:p>
        </w:tc>
      </w:tr>
      <w:tr w:rsidR="00DC5798" w:rsidRPr="00DC5798" w14:paraId="6A367599" w14:textId="77777777" w:rsidTr="00DC5798">
        <w:tc>
          <w:tcPr>
            <w:tcW w:w="4675" w:type="dxa"/>
          </w:tcPr>
          <w:p w14:paraId="39FE66FB" w14:textId="6C0A603C" w:rsidR="00DC5798" w:rsidRPr="00DC5798" w:rsidRDefault="00DC5798" w:rsidP="00DC5798">
            <w:pPr>
              <w:rPr>
                <w:rFonts w:cs="Arial"/>
              </w:rPr>
            </w:pPr>
            <w:r w:rsidRPr="00DC5798">
              <w:rPr>
                <w:rFonts w:cs="Arial"/>
              </w:rPr>
              <w:t>Редки</w:t>
            </w:r>
          </w:p>
        </w:tc>
        <w:tc>
          <w:tcPr>
            <w:tcW w:w="4675" w:type="dxa"/>
          </w:tcPr>
          <w:p w14:paraId="6FC16B18" w14:textId="651ABC34" w:rsidR="00DC5798" w:rsidRPr="00DC5798" w:rsidRDefault="00DC5798" w:rsidP="00DC5798">
            <w:pPr>
              <w:rPr>
                <w:rFonts w:cs="Arial"/>
              </w:rPr>
            </w:pPr>
            <w:r w:rsidRPr="00DC5798">
              <w:rPr>
                <w:rFonts w:cs="Arial"/>
              </w:rPr>
              <w:t>≥1/10 000 до &lt;1/1 000</w:t>
            </w:r>
          </w:p>
        </w:tc>
      </w:tr>
      <w:tr w:rsidR="00DC5798" w:rsidRPr="00DC5798" w14:paraId="78343CEC" w14:textId="77777777" w:rsidTr="00DC5798">
        <w:tc>
          <w:tcPr>
            <w:tcW w:w="4675" w:type="dxa"/>
          </w:tcPr>
          <w:p w14:paraId="464A4E6A" w14:textId="4DB311FF" w:rsidR="00DC5798" w:rsidRPr="00DC5798" w:rsidRDefault="00DC5798" w:rsidP="00DC5798">
            <w:pPr>
              <w:rPr>
                <w:rFonts w:cs="Arial"/>
              </w:rPr>
            </w:pPr>
            <w:r w:rsidRPr="00DC5798">
              <w:rPr>
                <w:rFonts w:cs="Arial"/>
              </w:rPr>
              <w:t>Много редки</w:t>
            </w:r>
          </w:p>
        </w:tc>
        <w:tc>
          <w:tcPr>
            <w:tcW w:w="4675" w:type="dxa"/>
          </w:tcPr>
          <w:p w14:paraId="2BAF1E90" w14:textId="69C64E2F" w:rsidR="00DC5798" w:rsidRPr="00DC5798" w:rsidRDefault="00DC5798" w:rsidP="00DC5798">
            <w:pPr>
              <w:rPr>
                <w:rFonts w:cs="Arial"/>
              </w:rPr>
            </w:pPr>
            <w:r w:rsidRPr="00DC5798">
              <w:rPr>
                <w:rFonts w:cs="Arial"/>
              </w:rPr>
              <w:t>&lt;1/10 000</w:t>
            </w:r>
          </w:p>
        </w:tc>
      </w:tr>
      <w:tr w:rsidR="00DC5798" w:rsidRPr="00DC5798" w14:paraId="42AD3981" w14:textId="77777777" w:rsidTr="00DC5798">
        <w:tc>
          <w:tcPr>
            <w:tcW w:w="4675" w:type="dxa"/>
          </w:tcPr>
          <w:p w14:paraId="071215EF" w14:textId="77B24626" w:rsidR="00DC5798" w:rsidRPr="00DC5798" w:rsidRDefault="00DC5798" w:rsidP="00DC5798">
            <w:pPr>
              <w:rPr>
                <w:rFonts w:cs="Arial"/>
              </w:rPr>
            </w:pPr>
            <w:r w:rsidRPr="00DC5798">
              <w:rPr>
                <w:rFonts w:cs="Arial"/>
              </w:rPr>
              <w:t>С неизвестна честота</w:t>
            </w:r>
          </w:p>
        </w:tc>
        <w:tc>
          <w:tcPr>
            <w:tcW w:w="4675" w:type="dxa"/>
          </w:tcPr>
          <w:p w14:paraId="5BE03063" w14:textId="0D3A2149" w:rsidR="00DC5798" w:rsidRPr="00DC5798" w:rsidRDefault="00DC5798" w:rsidP="00DC5798">
            <w:pPr>
              <w:rPr>
                <w:rFonts w:cs="Arial"/>
              </w:rPr>
            </w:pPr>
            <w:r w:rsidRPr="00DC5798">
              <w:rPr>
                <w:rFonts w:cs="Arial"/>
              </w:rPr>
              <w:t>от наличните данни не може да бъде направена оценка</w:t>
            </w:r>
          </w:p>
        </w:tc>
      </w:tr>
    </w:tbl>
    <w:p w14:paraId="295EB382" w14:textId="77777777" w:rsidR="00A34260" w:rsidRPr="00DC5798" w:rsidRDefault="00A34260" w:rsidP="0091385D">
      <w:pPr>
        <w:rPr>
          <w:rFonts w:cs="Arial"/>
        </w:rPr>
      </w:pPr>
    </w:p>
    <w:tbl>
      <w:tblPr>
        <w:tblStyle w:val="TableGrid"/>
        <w:tblW w:w="0" w:type="auto"/>
        <w:tblLook w:val="04A0" w:firstRow="1" w:lastRow="0" w:firstColumn="1" w:lastColumn="0" w:noHBand="0" w:noVBand="1"/>
      </w:tblPr>
      <w:tblGrid>
        <w:gridCol w:w="4675"/>
        <w:gridCol w:w="4675"/>
      </w:tblGrid>
      <w:tr w:rsidR="00DC5798" w:rsidRPr="00DC5798" w14:paraId="5D9E68DE" w14:textId="77777777" w:rsidTr="00697757">
        <w:tc>
          <w:tcPr>
            <w:tcW w:w="4675" w:type="dxa"/>
          </w:tcPr>
          <w:p w14:paraId="0804BC4B" w14:textId="77777777" w:rsidR="00DC5798" w:rsidRPr="00DC5798" w:rsidRDefault="00DC5798" w:rsidP="00DC5798">
            <w:pPr>
              <w:rPr>
                <w:rFonts w:cs="Arial"/>
              </w:rPr>
            </w:pPr>
            <w:r w:rsidRPr="00DC5798">
              <w:rPr>
                <w:rFonts w:cs="Arial"/>
                <w:u w:val="single"/>
              </w:rPr>
              <w:t>Много чести</w:t>
            </w:r>
          </w:p>
          <w:p w14:paraId="0CC8CC72" w14:textId="38B83C20" w:rsidR="00DC5798" w:rsidRPr="00DC5798" w:rsidRDefault="00DC5798" w:rsidP="00DC5798">
            <w:pPr>
              <w:rPr>
                <w:rFonts w:cs="Arial"/>
              </w:rPr>
            </w:pPr>
            <w:r w:rsidRPr="00DC5798">
              <w:rPr>
                <w:rFonts w:cs="Arial"/>
                <w:i/>
                <w:iCs/>
              </w:rPr>
              <w:t>Изследвания</w:t>
            </w:r>
          </w:p>
        </w:tc>
        <w:tc>
          <w:tcPr>
            <w:tcW w:w="4675" w:type="dxa"/>
            <w:vAlign w:val="bottom"/>
          </w:tcPr>
          <w:p w14:paraId="0E57E950" w14:textId="0EE757EB" w:rsidR="00DC5798" w:rsidRPr="00DC5798" w:rsidRDefault="00DC5798" w:rsidP="00DC5798">
            <w:pPr>
              <w:rPr>
                <w:rFonts w:cs="Arial"/>
              </w:rPr>
            </w:pPr>
            <w:r w:rsidRPr="00DC5798">
              <w:rPr>
                <w:rFonts w:cs="Arial"/>
              </w:rPr>
              <w:t>Повишени стойности на пикочната киселина в кръвта и урината</w:t>
            </w:r>
          </w:p>
        </w:tc>
      </w:tr>
      <w:tr w:rsidR="00DC5798" w:rsidRPr="00DC5798" w14:paraId="28BF8B9C" w14:textId="77777777" w:rsidTr="0096067F">
        <w:trPr>
          <w:trHeight w:val="2698"/>
        </w:trPr>
        <w:tc>
          <w:tcPr>
            <w:tcW w:w="4675" w:type="dxa"/>
            <w:vAlign w:val="bottom"/>
          </w:tcPr>
          <w:p w14:paraId="5C248000" w14:textId="77777777" w:rsidR="00DC5798" w:rsidRPr="00DC5798" w:rsidRDefault="00DC5798" w:rsidP="00DC5798">
            <w:pPr>
              <w:rPr>
                <w:rFonts w:cs="Arial"/>
              </w:rPr>
            </w:pPr>
            <w:r w:rsidRPr="00DC5798">
              <w:rPr>
                <w:rFonts w:cs="Arial"/>
                <w:u w:val="single"/>
              </w:rPr>
              <w:lastRenderedPageBreak/>
              <w:t>Чести</w:t>
            </w:r>
          </w:p>
          <w:p w14:paraId="271524EA" w14:textId="77777777" w:rsidR="00DC5798" w:rsidRPr="00DC5798" w:rsidRDefault="00DC5798" w:rsidP="00DC5798">
            <w:pPr>
              <w:rPr>
                <w:rFonts w:cs="Arial"/>
                <w:i/>
                <w:iCs/>
              </w:rPr>
            </w:pPr>
          </w:p>
          <w:p w14:paraId="2B49E1FD" w14:textId="77777777" w:rsidR="00DC5798" w:rsidRPr="00DC5798" w:rsidRDefault="00DC5798" w:rsidP="00DC5798">
            <w:pPr>
              <w:rPr>
                <w:rFonts w:cs="Arial"/>
                <w:i/>
                <w:iCs/>
              </w:rPr>
            </w:pPr>
          </w:p>
          <w:p w14:paraId="6C187E04" w14:textId="77777777" w:rsidR="00DC5798" w:rsidRPr="00DC5798" w:rsidRDefault="00DC5798" w:rsidP="00DC5798">
            <w:pPr>
              <w:rPr>
                <w:rFonts w:cs="Arial"/>
                <w:i/>
                <w:iCs/>
              </w:rPr>
            </w:pPr>
          </w:p>
          <w:p w14:paraId="66FCC528" w14:textId="77777777" w:rsidR="00DC5798" w:rsidRPr="00DC5798" w:rsidRDefault="00DC5798" w:rsidP="00DC5798">
            <w:pPr>
              <w:rPr>
                <w:rFonts w:cs="Arial"/>
                <w:i/>
                <w:iCs/>
              </w:rPr>
            </w:pPr>
          </w:p>
          <w:p w14:paraId="7F4F7196" w14:textId="02A74B34" w:rsidR="00DC5798" w:rsidRPr="00DC5798" w:rsidRDefault="00DC5798" w:rsidP="00DC5798">
            <w:pPr>
              <w:rPr>
                <w:rFonts w:cs="Arial"/>
              </w:rPr>
            </w:pPr>
            <w:r w:rsidRPr="00DC5798">
              <w:rPr>
                <w:rFonts w:cs="Arial"/>
                <w:i/>
                <w:iCs/>
              </w:rPr>
              <w:t>Стомашно-чревни нарушения</w:t>
            </w:r>
          </w:p>
          <w:p w14:paraId="40E4E15B" w14:textId="77777777" w:rsidR="00DC5798" w:rsidRPr="00DC5798" w:rsidRDefault="00DC5798" w:rsidP="00DC5798">
            <w:pPr>
              <w:rPr>
                <w:rFonts w:cs="Arial"/>
                <w:i/>
                <w:iCs/>
              </w:rPr>
            </w:pPr>
          </w:p>
          <w:p w14:paraId="0C6C34B1" w14:textId="77777777" w:rsidR="00DC5798" w:rsidRPr="00DC5798" w:rsidRDefault="00DC5798" w:rsidP="00DC5798">
            <w:pPr>
              <w:rPr>
                <w:rFonts w:cs="Arial"/>
                <w:i/>
                <w:iCs/>
              </w:rPr>
            </w:pPr>
          </w:p>
          <w:p w14:paraId="2D413919" w14:textId="3A383545" w:rsidR="00DC5798" w:rsidRPr="00DC5798" w:rsidRDefault="00DC5798" w:rsidP="00DC5798">
            <w:pPr>
              <w:rPr>
                <w:rFonts w:cs="Arial"/>
                <w:i/>
                <w:iCs/>
              </w:rPr>
            </w:pPr>
          </w:p>
          <w:p w14:paraId="25C595C8" w14:textId="095216CC" w:rsidR="00DC5798" w:rsidRPr="00DC5798" w:rsidRDefault="00DC5798" w:rsidP="00DC5798">
            <w:pPr>
              <w:rPr>
                <w:rFonts w:cs="Arial"/>
              </w:rPr>
            </w:pPr>
            <w:r w:rsidRPr="00DC5798">
              <w:rPr>
                <w:rFonts w:cs="Arial"/>
                <w:i/>
                <w:iCs/>
              </w:rPr>
              <w:t>Общи нарушения и ефекти на мястото на</w:t>
            </w:r>
          </w:p>
          <w:p w14:paraId="280FF119" w14:textId="77777777" w:rsidR="00DC5798" w:rsidRPr="00DC5798" w:rsidRDefault="00DC5798" w:rsidP="00DC5798">
            <w:pPr>
              <w:rPr>
                <w:rFonts w:cs="Arial"/>
              </w:rPr>
            </w:pPr>
            <w:r w:rsidRPr="00DC5798">
              <w:rPr>
                <w:rFonts w:cs="Arial"/>
                <w:i/>
                <w:iCs/>
              </w:rPr>
              <w:t>приложение</w:t>
            </w:r>
          </w:p>
          <w:p w14:paraId="06A124F3" w14:textId="77777777" w:rsidR="00DC5798" w:rsidRPr="00DC5798" w:rsidRDefault="00DC5798" w:rsidP="00DC5798">
            <w:pPr>
              <w:rPr>
                <w:rFonts w:cs="Arial"/>
              </w:rPr>
            </w:pPr>
            <w:r w:rsidRPr="00DC5798">
              <w:rPr>
                <w:rFonts w:cs="Arial"/>
                <w:i/>
                <w:iCs/>
              </w:rPr>
              <w:t>Изследвания</w:t>
            </w:r>
          </w:p>
          <w:p w14:paraId="0C2F0E31" w14:textId="77777777" w:rsidR="00DC5798" w:rsidRPr="00DC5798" w:rsidRDefault="00DC5798" w:rsidP="00DC5798">
            <w:pPr>
              <w:rPr>
                <w:rFonts w:cs="Arial"/>
                <w:i/>
                <w:iCs/>
              </w:rPr>
            </w:pPr>
          </w:p>
          <w:p w14:paraId="2F21DBB8" w14:textId="77777777" w:rsidR="00DC5798" w:rsidRPr="00DC5798" w:rsidRDefault="00DC5798" w:rsidP="00DC5798">
            <w:pPr>
              <w:rPr>
                <w:rFonts w:cs="Arial"/>
                <w:i/>
                <w:iCs/>
              </w:rPr>
            </w:pPr>
          </w:p>
          <w:p w14:paraId="1C9565EC" w14:textId="77777777" w:rsidR="00DC5798" w:rsidRPr="00DC5798" w:rsidRDefault="00DC5798" w:rsidP="00DC5798">
            <w:pPr>
              <w:rPr>
                <w:rFonts w:cs="Arial"/>
                <w:i/>
                <w:iCs/>
              </w:rPr>
            </w:pPr>
          </w:p>
          <w:p w14:paraId="398BF9A6" w14:textId="77777777" w:rsidR="00DC5798" w:rsidRPr="00DC5798" w:rsidRDefault="00DC5798" w:rsidP="00DC5798">
            <w:pPr>
              <w:rPr>
                <w:rFonts w:cs="Arial"/>
                <w:i/>
                <w:iCs/>
              </w:rPr>
            </w:pPr>
          </w:p>
          <w:p w14:paraId="317A913A" w14:textId="26CB19B8" w:rsidR="00DC5798" w:rsidRPr="00DC5798" w:rsidRDefault="00DC5798" w:rsidP="00DC5798">
            <w:pPr>
              <w:rPr>
                <w:rFonts w:cs="Arial"/>
                <w:i/>
                <w:iCs/>
              </w:rPr>
            </w:pPr>
          </w:p>
          <w:p w14:paraId="1C57C3D7" w14:textId="49F51811" w:rsidR="00DC5798" w:rsidRPr="00DC5798" w:rsidRDefault="00DC5798" w:rsidP="00DC5798">
            <w:pPr>
              <w:rPr>
                <w:rFonts w:cs="Arial"/>
              </w:rPr>
            </w:pPr>
            <w:r w:rsidRPr="00DC5798">
              <w:rPr>
                <w:rFonts w:cs="Arial"/>
                <w:i/>
                <w:iCs/>
              </w:rPr>
              <w:t>Нарушения на кожата и подкожната</w:t>
            </w:r>
          </w:p>
          <w:p w14:paraId="6E00C7F9" w14:textId="77777777" w:rsidR="00DC5798" w:rsidRPr="00DC5798" w:rsidRDefault="00DC5798" w:rsidP="00DC5798">
            <w:pPr>
              <w:rPr>
                <w:rFonts w:cs="Arial"/>
              </w:rPr>
            </w:pPr>
            <w:r w:rsidRPr="00DC5798">
              <w:rPr>
                <w:rFonts w:cs="Arial"/>
                <w:i/>
                <w:iCs/>
              </w:rPr>
              <w:t>тъкан</w:t>
            </w:r>
          </w:p>
          <w:p w14:paraId="687F75EA" w14:textId="77777777" w:rsidR="00DC5798" w:rsidRPr="00DC5798" w:rsidRDefault="00DC5798" w:rsidP="00DC5798">
            <w:pPr>
              <w:rPr>
                <w:rFonts w:cs="Arial"/>
                <w:i/>
                <w:iCs/>
              </w:rPr>
            </w:pPr>
          </w:p>
          <w:p w14:paraId="5F0B7FA0" w14:textId="77777777" w:rsidR="00DC5798" w:rsidRPr="00DC5798" w:rsidRDefault="00DC5798" w:rsidP="00DC5798">
            <w:pPr>
              <w:rPr>
                <w:rFonts w:cs="Arial"/>
                <w:i/>
                <w:iCs/>
              </w:rPr>
            </w:pPr>
          </w:p>
          <w:p w14:paraId="4C1B99FF" w14:textId="77777777" w:rsidR="00DC5798" w:rsidRPr="00DC5798" w:rsidRDefault="00DC5798" w:rsidP="00DC5798">
            <w:pPr>
              <w:rPr>
                <w:rFonts w:cs="Arial"/>
                <w:i/>
                <w:iCs/>
              </w:rPr>
            </w:pPr>
          </w:p>
          <w:p w14:paraId="2129FF71" w14:textId="572BF324" w:rsidR="00DC5798" w:rsidRPr="00DC5798" w:rsidRDefault="00DC5798" w:rsidP="00DC5798">
            <w:pPr>
              <w:rPr>
                <w:rFonts w:cs="Arial"/>
              </w:rPr>
            </w:pPr>
            <w:r w:rsidRPr="00DC5798">
              <w:rPr>
                <w:rFonts w:cs="Arial"/>
                <w:i/>
                <w:iCs/>
              </w:rPr>
              <w:t>Нарушения на нервната система Нарушения на ухото и лабиринта Нарушения на мускулно-скелетната система и съединителната тъкан</w:t>
            </w:r>
          </w:p>
        </w:tc>
        <w:tc>
          <w:tcPr>
            <w:tcW w:w="4675" w:type="dxa"/>
            <w:vAlign w:val="bottom"/>
          </w:tcPr>
          <w:p w14:paraId="593EEB10" w14:textId="77777777" w:rsidR="00DC5798" w:rsidRPr="00DC5798" w:rsidRDefault="00DC5798" w:rsidP="00DC5798">
            <w:pPr>
              <w:rPr>
                <w:rFonts w:cs="Arial"/>
              </w:rPr>
            </w:pPr>
          </w:p>
          <w:p w14:paraId="6004A136" w14:textId="77777777" w:rsidR="00DC5798" w:rsidRPr="00DC5798" w:rsidRDefault="00DC5798" w:rsidP="00DC5798">
            <w:pPr>
              <w:rPr>
                <w:rFonts w:cs="Arial"/>
              </w:rPr>
            </w:pPr>
          </w:p>
          <w:p w14:paraId="7E5DA960" w14:textId="77777777" w:rsidR="00DC5798" w:rsidRPr="00DC5798" w:rsidRDefault="00DC5798" w:rsidP="00DC5798">
            <w:pPr>
              <w:rPr>
                <w:rFonts w:cs="Arial"/>
              </w:rPr>
            </w:pPr>
          </w:p>
          <w:p w14:paraId="77A4C8C9" w14:textId="77777777" w:rsidR="00DC5798" w:rsidRPr="00DC5798" w:rsidRDefault="00DC5798" w:rsidP="00DC5798">
            <w:pPr>
              <w:rPr>
                <w:rFonts w:cs="Arial"/>
              </w:rPr>
            </w:pPr>
          </w:p>
          <w:p w14:paraId="50DB2E97" w14:textId="6A37BEEF" w:rsidR="00DC5798" w:rsidRPr="00DC5798" w:rsidRDefault="00DC5798" w:rsidP="00DC5798">
            <w:pPr>
              <w:rPr>
                <w:rFonts w:cs="Arial"/>
              </w:rPr>
            </w:pPr>
            <w:r w:rsidRPr="00DC5798">
              <w:rPr>
                <w:rFonts w:cs="Arial"/>
              </w:rPr>
              <w:t>Повръщане, гадене, дискомфорт в епигастриума</w:t>
            </w:r>
          </w:p>
          <w:p w14:paraId="03974694" w14:textId="77777777" w:rsidR="00DC5798" w:rsidRPr="00DC5798" w:rsidRDefault="00DC5798" w:rsidP="00DC5798">
            <w:pPr>
              <w:rPr>
                <w:rFonts w:cs="Arial"/>
              </w:rPr>
            </w:pPr>
            <w:r w:rsidRPr="00DC5798">
              <w:rPr>
                <w:rFonts w:cs="Arial"/>
              </w:rPr>
              <w:t>Умора, неразположение</w:t>
            </w:r>
          </w:p>
          <w:p w14:paraId="2EEB3F85" w14:textId="77777777" w:rsidR="00DC5798" w:rsidRPr="00DC5798" w:rsidRDefault="00DC5798" w:rsidP="00DC5798">
            <w:pPr>
              <w:rPr>
                <w:rFonts w:cs="Arial"/>
              </w:rPr>
            </w:pPr>
          </w:p>
          <w:p w14:paraId="1E7117F9" w14:textId="77777777" w:rsidR="00DC5798" w:rsidRPr="00DC5798" w:rsidRDefault="00DC5798" w:rsidP="00DC5798">
            <w:pPr>
              <w:rPr>
                <w:rFonts w:cs="Arial"/>
              </w:rPr>
            </w:pPr>
          </w:p>
          <w:p w14:paraId="5D7B4892" w14:textId="10846037" w:rsidR="00DC5798" w:rsidRPr="00DC5798" w:rsidRDefault="00DC5798" w:rsidP="00DC5798">
            <w:pPr>
              <w:rPr>
                <w:rFonts w:cs="Arial"/>
              </w:rPr>
            </w:pPr>
            <w:r w:rsidRPr="00DC5798">
              <w:rPr>
                <w:rFonts w:cs="Arial"/>
              </w:rPr>
              <w:t>Повишени стойности на уреята в кръвта.</w:t>
            </w:r>
          </w:p>
          <w:p w14:paraId="5D9BFAB4" w14:textId="77777777" w:rsidR="00DC5798" w:rsidRPr="00DC5798" w:rsidRDefault="00DC5798" w:rsidP="00DC5798">
            <w:pPr>
              <w:rPr>
                <w:rFonts w:cs="Arial"/>
              </w:rPr>
            </w:pPr>
            <w:r w:rsidRPr="00DC5798">
              <w:rPr>
                <w:rFonts w:cs="Arial"/>
              </w:rPr>
              <w:t>повишени стойности на трансаминазите,</w:t>
            </w:r>
          </w:p>
          <w:p w14:paraId="121055C5" w14:textId="5632FE02" w:rsidR="00DC5798" w:rsidRPr="00DC5798" w:rsidRDefault="00DC5798" w:rsidP="00DC5798">
            <w:pPr>
              <w:rPr>
                <w:rFonts w:cs="Arial"/>
              </w:rPr>
            </w:pPr>
            <w:r w:rsidRPr="00DC5798">
              <w:rPr>
                <w:rFonts w:cs="Arial"/>
              </w:rPr>
              <w:t>повишени стойности на алкалната фосфатаза в</w:t>
            </w:r>
            <w:r w:rsidRPr="00DC5798">
              <w:rPr>
                <w:rFonts w:cs="Arial"/>
                <w:lang w:val="en-US"/>
              </w:rPr>
              <w:t xml:space="preserve"> </w:t>
            </w:r>
            <w:r w:rsidRPr="00DC5798">
              <w:rPr>
                <w:rFonts w:cs="Arial"/>
              </w:rPr>
              <w:t>кръвта</w:t>
            </w:r>
          </w:p>
          <w:p w14:paraId="0A836825" w14:textId="7BB6050F" w:rsidR="00DC5798" w:rsidRPr="00DC5798" w:rsidRDefault="00DC5798" w:rsidP="00DC5798">
            <w:pPr>
              <w:rPr>
                <w:rFonts w:cs="Arial"/>
              </w:rPr>
            </w:pPr>
          </w:p>
          <w:p w14:paraId="70EF907C" w14:textId="77777777" w:rsidR="00DC5798" w:rsidRPr="00DC5798" w:rsidRDefault="00DC5798" w:rsidP="00DC5798">
            <w:pPr>
              <w:rPr>
                <w:rFonts w:cs="Arial"/>
              </w:rPr>
            </w:pPr>
          </w:p>
          <w:p w14:paraId="274F6EBE" w14:textId="77777777" w:rsidR="00DC5798" w:rsidRPr="00DC5798" w:rsidRDefault="00DC5798" w:rsidP="00DC5798">
            <w:pPr>
              <w:rPr>
                <w:rFonts w:cs="Arial"/>
              </w:rPr>
            </w:pPr>
          </w:p>
          <w:p w14:paraId="35D0BD50" w14:textId="77777777" w:rsidR="00DC5798" w:rsidRPr="00DC5798" w:rsidRDefault="00DC5798" w:rsidP="00DC5798">
            <w:pPr>
              <w:rPr>
                <w:rFonts w:cs="Arial"/>
              </w:rPr>
            </w:pPr>
          </w:p>
          <w:p w14:paraId="7D1DAB94" w14:textId="60BC8242" w:rsidR="00DC5798" w:rsidRPr="00DC5798" w:rsidRDefault="00DC5798" w:rsidP="00DC5798">
            <w:pPr>
              <w:rPr>
                <w:rFonts w:cs="Arial"/>
              </w:rPr>
            </w:pPr>
            <w:r w:rsidRPr="00DC5798">
              <w:rPr>
                <w:rFonts w:cs="Arial"/>
              </w:rPr>
              <w:t>Обрив, пруритус</w:t>
            </w:r>
          </w:p>
          <w:p w14:paraId="0D2000B9" w14:textId="77777777" w:rsidR="00DC5798" w:rsidRPr="00DC5798" w:rsidRDefault="00DC5798" w:rsidP="00DC5798">
            <w:pPr>
              <w:rPr>
                <w:rFonts w:cs="Arial"/>
              </w:rPr>
            </w:pPr>
          </w:p>
          <w:p w14:paraId="3964799B" w14:textId="77777777" w:rsidR="00DC5798" w:rsidRPr="00DC5798" w:rsidRDefault="00DC5798" w:rsidP="00DC5798">
            <w:pPr>
              <w:rPr>
                <w:rFonts w:cs="Arial"/>
              </w:rPr>
            </w:pPr>
          </w:p>
          <w:p w14:paraId="54E2598C" w14:textId="77777777" w:rsidR="00DC5798" w:rsidRPr="00DC5798" w:rsidRDefault="00DC5798" w:rsidP="00DC5798">
            <w:pPr>
              <w:rPr>
                <w:rFonts w:cs="Arial"/>
              </w:rPr>
            </w:pPr>
          </w:p>
          <w:p w14:paraId="63395004" w14:textId="75AEA296" w:rsidR="00DC5798" w:rsidRPr="00DC5798" w:rsidRDefault="00DC5798" w:rsidP="00DC5798">
            <w:pPr>
              <w:rPr>
                <w:rFonts w:cs="Arial"/>
              </w:rPr>
            </w:pPr>
            <w:r w:rsidRPr="00DC5798">
              <w:rPr>
                <w:rFonts w:cs="Arial"/>
              </w:rPr>
              <w:t>Главоболие, Вертиго Артралгия</w:t>
            </w:r>
          </w:p>
        </w:tc>
      </w:tr>
      <w:tr w:rsidR="00DC5798" w:rsidRPr="00DC5798" w14:paraId="0770859C" w14:textId="77777777" w:rsidTr="00DC5798">
        <w:tc>
          <w:tcPr>
            <w:tcW w:w="4675" w:type="dxa"/>
          </w:tcPr>
          <w:p w14:paraId="7A6DD1D5" w14:textId="77777777" w:rsidR="00DC5798" w:rsidRPr="00DC5798" w:rsidRDefault="00DC5798" w:rsidP="00DC5798">
            <w:pPr>
              <w:rPr>
                <w:rFonts w:cs="Arial"/>
              </w:rPr>
            </w:pPr>
            <w:r w:rsidRPr="00DC5798">
              <w:rPr>
                <w:rFonts w:cs="Arial"/>
                <w:u w:val="single"/>
              </w:rPr>
              <w:t>Нечести</w:t>
            </w:r>
          </w:p>
          <w:p w14:paraId="6217DCA0" w14:textId="77777777" w:rsidR="00DC5798" w:rsidRPr="00DC5798" w:rsidRDefault="00DC5798" w:rsidP="00DC5798">
            <w:pPr>
              <w:rPr>
                <w:rFonts w:cs="Arial"/>
              </w:rPr>
            </w:pPr>
            <w:r w:rsidRPr="00DC5798">
              <w:rPr>
                <w:rFonts w:cs="Arial"/>
                <w:i/>
                <w:iCs/>
              </w:rPr>
              <w:t>Стомашно-чревни нарушения</w:t>
            </w:r>
          </w:p>
          <w:p w14:paraId="4877D6E4" w14:textId="77777777" w:rsidR="00DC5798" w:rsidRPr="00DC5798" w:rsidRDefault="00DC5798" w:rsidP="00DC5798">
            <w:pPr>
              <w:rPr>
                <w:rFonts w:cs="Arial"/>
              </w:rPr>
            </w:pPr>
            <w:r w:rsidRPr="00DC5798">
              <w:rPr>
                <w:rFonts w:cs="Arial"/>
                <w:i/>
                <w:iCs/>
              </w:rPr>
              <w:t>Нарушения на нервната система</w:t>
            </w:r>
          </w:p>
          <w:p w14:paraId="387BD0D4" w14:textId="77777777" w:rsidR="00DC5798" w:rsidRPr="00DC5798" w:rsidRDefault="00DC5798" w:rsidP="00DC5798">
            <w:pPr>
              <w:rPr>
                <w:rFonts w:cs="Arial"/>
              </w:rPr>
            </w:pPr>
            <w:r w:rsidRPr="00DC5798">
              <w:rPr>
                <w:rFonts w:cs="Arial"/>
                <w:i/>
                <w:iCs/>
              </w:rPr>
              <w:t>Психични нарушения</w:t>
            </w:r>
          </w:p>
          <w:p w14:paraId="691F0DF6" w14:textId="0107335B" w:rsidR="00DC5798" w:rsidRPr="00DC5798" w:rsidRDefault="00DC5798" w:rsidP="00DC5798">
            <w:pPr>
              <w:rPr>
                <w:rFonts w:cs="Arial"/>
              </w:rPr>
            </w:pPr>
            <w:r w:rsidRPr="00DC5798">
              <w:rPr>
                <w:rFonts w:cs="Arial"/>
                <w:i/>
                <w:iCs/>
              </w:rPr>
              <w:t>Нарушения на бъбреците и пикочните пътища</w:t>
            </w:r>
          </w:p>
        </w:tc>
        <w:tc>
          <w:tcPr>
            <w:tcW w:w="4675" w:type="dxa"/>
          </w:tcPr>
          <w:p w14:paraId="676777EC" w14:textId="0C49D179" w:rsidR="00DC5798" w:rsidRPr="00DC5798" w:rsidRDefault="00DC5798" w:rsidP="00DC5798">
            <w:pPr>
              <w:rPr>
                <w:rFonts w:cs="Arial"/>
              </w:rPr>
            </w:pPr>
            <w:r w:rsidRPr="00DC5798">
              <w:rPr>
                <w:rFonts w:cs="Arial"/>
              </w:rPr>
              <w:t>Диария, констипация Сомнолентност, Нервност, Инсомния Полиурия</w:t>
            </w:r>
          </w:p>
        </w:tc>
      </w:tr>
      <w:tr w:rsidR="00DC5798" w:rsidRPr="00DC5798" w14:paraId="6DC2E3F9" w14:textId="77777777" w:rsidTr="002E4FE9">
        <w:tc>
          <w:tcPr>
            <w:tcW w:w="9350" w:type="dxa"/>
            <w:gridSpan w:val="2"/>
          </w:tcPr>
          <w:p w14:paraId="763F1984" w14:textId="48C5E245" w:rsidR="00DC5798" w:rsidRPr="00DC5798" w:rsidRDefault="00DC5798" w:rsidP="0091385D">
            <w:pPr>
              <w:rPr>
                <w:rFonts w:cs="Arial"/>
              </w:rPr>
            </w:pPr>
            <w:r w:rsidRPr="00DC5798">
              <w:rPr>
                <w:rFonts w:cs="Arial"/>
              </w:rPr>
              <w:t>Следните нежелани реакции са съобщени при постмаркетинговото наблюдение. Честотата, с която възникват, не е известна (от наличните данни не може да бъде направена оценка).</w:t>
            </w:r>
          </w:p>
        </w:tc>
      </w:tr>
      <w:tr w:rsidR="00DC5798" w:rsidRPr="00DC5798" w14:paraId="38959607" w14:textId="77777777" w:rsidTr="00DC5798">
        <w:tc>
          <w:tcPr>
            <w:tcW w:w="4675" w:type="dxa"/>
          </w:tcPr>
          <w:p w14:paraId="68B0C483" w14:textId="5CED3FA0" w:rsidR="00DC5798" w:rsidRPr="00DC5798" w:rsidRDefault="00DC5798" w:rsidP="00DC5798">
            <w:pPr>
              <w:rPr>
                <w:rFonts w:cs="Arial"/>
              </w:rPr>
            </w:pPr>
            <w:r w:rsidRPr="00DC5798">
              <w:rPr>
                <w:rFonts w:cs="Arial"/>
                <w:i/>
                <w:iCs/>
              </w:rPr>
              <w:t>Стомашно-чревни нарушения Нарушения на имунната система Нарушения на нервната система Нарушения на кожата и подкожната тъкан</w:t>
            </w:r>
          </w:p>
        </w:tc>
        <w:tc>
          <w:tcPr>
            <w:tcW w:w="4675" w:type="dxa"/>
          </w:tcPr>
          <w:p w14:paraId="14AEBEC2" w14:textId="77777777" w:rsidR="00DC5798" w:rsidRPr="00DC5798" w:rsidRDefault="00DC5798" w:rsidP="00DC5798">
            <w:pPr>
              <w:rPr>
                <w:rFonts w:cs="Arial"/>
              </w:rPr>
            </w:pPr>
            <w:r w:rsidRPr="00DC5798">
              <w:rPr>
                <w:rFonts w:cs="Arial"/>
              </w:rPr>
              <w:t>Болка в горната част на корема</w:t>
            </w:r>
          </w:p>
          <w:p w14:paraId="0ED8E5F5" w14:textId="77777777" w:rsidR="00DC5798" w:rsidRPr="00DC5798" w:rsidRDefault="00DC5798" w:rsidP="00DC5798">
            <w:pPr>
              <w:rPr>
                <w:rFonts w:cs="Arial"/>
              </w:rPr>
            </w:pPr>
            <w:r w:rsidRPr="00DC5798">
              <w:rPr>
                <w:rFonts w:cs="Arial"/>
              </w:rPr>
              <w:t>Свръхчувствителност, Анафилактична реакция Замаяност</w:t>
            </w:r>
          </w:p>
          <w:p w14:paraId="606FB592" w14:textId="31FA9470" w:rsidR="00DC5798" w:rsidRPr="00DC5798" w:rsidRDefault="00DC5798" w:rsidP="00DC5798">
            <w:pPr>
              <w:rPr>
                <w:rFonts w:cs="Arial"/>
              </w:rPr>
            </w:pPr>
            <w:r w:rsidRPr="00DC5798">
              <w:rPr>
                <w:rFonts w:cs="Arial"/>
              </w:rPr>
              <w:t>Ангиоедем, Еритем, Уртикария</w:t>
            </w:r>
          </w:p>
        </w:tc>
      </w:tr>
    </w:tbl>
    <w:p w14:paraId="443BC107" w14:textId="47A05A3D" w:rsidR="005B0F27" w:rsidRDefault="005B0F27" w:rsidP="0091385D"/>
    <w:p w14:paraId="6EDE48E9" w14:textId="77777777" w:rsidR="00DC5798" w:rsidRPr="00DC5798" w:rsidRDefault="00DC5798" w:rsidP="00DC5798">
      <w:pPr>
        <w:spacing w:line="240" w:lineRule="auto"/>
        <w:rPr>
          <w:rFonts w:eastAsia="Times New Roman" w:cs="Arial"/>
          <w:lang w:eastAsia="bg-BG"/>
        </w:rPr>
      </w:pPr>
      <w:r w:rsidRPr="00DC5798">
        <w:rPr>
          <w:rFonts w:eastAsia="Times New Roman" w:cs="Arial"/>
          <w:color w:val="000000"/>
          <w:u w:val="single"/>
          <w:lang w:eastAsia="bg-BG"/>
        </w:rPr>
        <w:t>Съобщаване на подозирани нежелани реакции</w:t>
      </w:r>
    </w:p>
    <w:p w14:paraId="6DB2B8D7" w14:textId="609FFE77" w:rsidR="00DC5798" w:rsidRPr="00DC5798" w:rsidRDefault="00DC5798" w:rsidP="00DC5798">
      <w:pPr>
        <w:rPr>
          <w:rFonts w:cs="Arial"/>
        </w:rPr>
      </w:pPr>
      <w:r w:rsidRPr="00DC579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w:t>
      </w:r>
      <w:r w:rsidRPr="00DC5798">
        <w:rPr>
          <w:rFonts w:eastAsia="Times New Roman" w:cs="Arial"/>
          <w:color w:val="000000"/>
          <w:lang w:eastAsia="bg-BG"/>
        </w:rPr>
        <w:lastRenderedPageBreak/>
        <w:t xml:space="preserve">по лекарствата ул. .Дамян Груев“ № 8 1303 София Тел.:4-359 2 8903417 уебсайт: </w:t>
      </w:r>
      <w:r w:rsidRPr="00DC5798">
        <w:rPr>
          <w:rFonts w:eastAsia="Times New Roman" w:cs="Arial"/>
          <w:lang w:eastAsia="bg-BG"/>
        </w:rPr>
        <w:fldChar w:fldCharType="begin"/>
      </w:r>
      <w:r w:rsidRPr="00DC5798">
        <w:rPr>
          <w:rFonts w:eastAsia="Times New Roman" w:cs="Arial"/>
          <w:lang w:eastAsia="bg-BG"/>
        </w:rPr>
        <w:instrText xml:space="preserve"> HYPERLINK "http://www.bda.bg" </w:instrText>
      </w:r>
      <w:r w:rsidRPr="00DC5798">
        <w:rPr>
          <w:rFonts w:eastAsia="Times New Roman" w:cs="Arial"/>
          <w:lang w:eastAsia="bg-BG"/>
        </w:rPr>
      </w:r>
      <w:r w:rsidRPr="00DC5798">
        <w:rPr>
          <w:rFonts w:eastAsia="Times New Roman" w:cs="Arial"/>
          <w:lang w:eastAsia="bg-BG"/>
        </w:rPr>
        <w:fldChar w:fldCharType="separate"/>
      </w:r>
      <w:r w:rsidRPr="00DC5798">
        <w:rPr>
          <w:rFonts w:eastAsia="Times New Roman" w:cs="Arial"/>
          <w:color w:val="000000"/>
          <w:lang w:val="en-US"/>
        </w:rPr>
        <w:t>www.bda.bg</w:t>
      </w:r>
      <w:r w:rsidRPr="00DC5798">
        <w:rPr>
          <w:rFonts w:eastAsia="Times New Roman" w:cs="Arial"/>
          <w:lang w:eastAsia="bg-BG"/>
        </w:rPr>
        <w:fldChar w:fldCharType="end"/>
      </w:r>
    </w:p>
    <w:p w14:paraId="60443095" w14:textId="77777777" w:rsidR="00DC5798" w:rsidRPr="0091385D" w:rsidRDefault="00DC5798"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6A43B8F3" w14:textId="5BC8E308" w:rsidR="007A2185" w:rsidRPr="00DC5798" w:rsidRDefault="00DC5798" w:rsidP="0091385D">
      <w:pPr>
        <w:rPr>
          <w:rFonts w:cs="Arial"/>
        </w:rPr>
      </w:pPr>
      <w:r w:rsidRPr="00DC5798">
        <w:rPr>
          <w:rFonts w:cs="Arial"/>
        </w:rPr>
        <w:t>Няма съобщения за случаи на предозиране с инозин ацедобен димепранол. Сериозни нежелани реакции, обаче, освен повишените нива на пикочна киселина в организма, са малко вероятни, предвид резултатите от проучванията върху токсичността при животни. Лечението трябва да бъде ограничено до симптоматични и поддържащи мерки.</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1AC3E3D2" w14:textId="77777777"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 xml:space="preserve">Фармакотерапевтична трупа: други антивирусни средства АТС код: </w:t>
      </w:r>
      <w:r w:rsidRPr="00DC5798">
        <w:rPr>
          <w:rFonts w:eastAsia="Times New Roman" w:cs="Arial"/>
          <w:color w:val="000000"/>
          <w:szCs w:val="20"/>
          <w:lang w:val="en-US"/>
        </w:rPr>
        <w:t>J05AX05</w:t>
      </w:r>
    </w:p>
    <w:p w14:paraId="70F6D04A" w14:textId="77777777" w:rsidR="00DC5798" w:rsidRPr="00DC5798" w:rsidRDefault="00DC5798" w:rsidP="00DC5798">
      <w:pPr>
        <w:spacing w:line="240" w:lineRule="auto"/>
        <w:rPr>
          <w:rFonts w:eastAsia="Times New Roman" w:cs="Arial"/>
          <w:color w:val="000000"/>
          <w:szCs w:val="20"/>
          <w:lang w:eastAsia="bg-BG"/>
        </w:rPr>
      </w:pPr>
    </w:p>
    <w:p w14:paraId="6807B3B2" w14:textId="1774A551"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 xml:space="preserve">Изопринозин е синтетично пуриново производно с имуномодулиращи и противовирусни свойства, които са резултат от явно </w:t>
      </w:r>
      <w:r w:rsidRPr="00DC5798">
        <w:rPr>
          <w:rFonts w:eastAsia="Times New Roman" w:cs="Arial"/>
          <w:i/>
          <w:iCs/>
          <w:color w:val="000000"/>
          <w:szCs w:val="20"/>
          <w:lang w:val="en-US"/>
        </w:rPr>
        <w:t>in vivo</w:t>
      </w:r>
      <w:r w:rsidRPr="00DC5798">
        <w:rPr>
          <w:rFonts w:eastAsia="Times New Roman" w:cs="Arial"/>
          <w:color w:val="000000"/>
          <w:szCs w:val="20"/>
          <w:lang w:val="en-US"/>
        </w:rPr>
        <w:t xml:space="preserve"> </w:t>
      </w:r>
      <w:r w:rsidRPr="00DC5798">
        <w:rPr>
          <w:rFonts w:eastAsia="Times New Roman" w:cs="Arial"/>
          <w:color w:val="000000"/>
          <w:szCs w:val="20"/>
          <w:lang w:eastAsia="bg-BG"/>
        </w:rPr>
        <w:t>усилване на имунния отговор на организма, благодарение на лекарствения продукт.</w:t>
      </w:r>
    </w:p>
    <w:p w14:paraId="158B2E1C" w14:textId="77777777" w:rsidR="00DC5798" w:rsidRPr="00DC5798" w:rsidRDefault="00DC5798" w:rsidP="00DC5798">
      <w:pPr>
        <w:spacing w:line="240" w:lineRule="auto"/>
        <w:rPr>
          <w:rFonts w:eastAsia="Times New Roman" w:cs="Arial"/>
          <w:color w:val="000000"/>
          <w:szCs w:val="20"/>
          <w:lang w:eastAsia="bg-BG"/>
        </w:rPr>
      </w:pPr>
    </w:p>
    <w:p w14:paraId="24A84840" w14:textId="77777777" w:rsidR="00DC5798" w:rsidRPr="00DC5798" w:rsidRDefault="00DC5798" w:rsidP="00DC5798">
      <w:pPr>
        <w:rPr>
          <w:rFonts w:eastAsia="Times New Roman" w:cs="Arial"/>
          <w:sz w:val="28"/>
          <w:szCs w:val="24"/>
          <w:lang w:eastAsia="bg-BG"/>
        </w:rPr>
      </w:pPr>
      <w:r w:rsidRPr="00DC5798">
        <w:rPr>
          <w:rFonts w:eastAsia="Times New Roman" w:cs="Arial"/>
          <w:color w:val="000000"/>
          <w:szCs w:val="20"/>
          <w:lang w:eastAsia="bg-BG"/>
        </w:rPr>
        <w:t xml:space="preserve">Клиничните проучвания показват, че инозин ацедобен димепранол нормализира недостатъчния или нарушен клетъчно-медииран имунитет (до изходния за организма) чрез предизвикване на тип </w:t>
      </w:r>
      <w:r w:rsidRPr="00DC5798">
        <w:rPr>
          <w:rFonts w:eastAsia="Times New Roman" w:cs="Arial"/>
          <w:color w:val="000000"/>
          <w:szCs w:val="20"/>
          <w:lang w:val="en-US"/>
        </w:rPr>
        <w:t xml:space="preserve">Th1 </w:t>
      </w:r>
      <w:r w:rsidRPr="00DC5798">
        <w:rPr>
          <w:rFonts w:eastAsia="Times New Roman" w:cs="Arial"/>
          <w:color w:val="000000"/>
          <w:szCs w:val="20"/>
          <w:lang w:eastAsia="bg-BG"/>
        </w:rPr>
        <w:t xml:space="preserve">отговор, който инициира узряването и диференцирането на Т лимфоцитите и потенцирането на индуцираните лимфопролиферативни реакции в митоген- или антиген-активираните клетки. По подобен начин, лекарственият продукт модулира цитотоксичността на Т лимфоцитите и на естествените клетки-убийци, функциите на 18-супресорните и на Т4-хелперните клетки, а така също и повишава броя на </w:t>
      </w:r>
      <w:r w:rsidRPr="00DC5798">
        <w:rPr>
          <w:rFonts w:eastAsia="Times New Roman" w:cs="Arial"/>
          <w:color w:val="000000"/>
          <w:szCs w:val="20"/>
          <w:lang w:val="en-US"/>
        </w:rPr>
        <w:t xml:space="preserve">IgG </w:t>
      </w:r>
      <w:r w:rsidRPr="00DC5798">
        <w:rPr>
          <w:rFonts w:eastAsia="Times New Roman" w:cs="Arial"/>
          <w:color w:val="000000"/>
          <w:szCs w:val="20"/>
          <w:lang w:eastAsia="bg-BG"/>
        </w:rPr>
        <w:t xml:space="preserve">и комплемент- повърхностните маркери. Инозин ацедобен димепранол увеличава производството на цитокина </w:t>
      </w:r>
      <w:r w:rsidRPr="00DC5798">
        <w:rPr>
          <w:rFonts w:eastAsia="Times New Roman" w:cs="Arial"/>
          <w:color w:val="000000"/>
          <w:szCs w:val="20"/>
          <w:lang w:val="en-US"/>
        </w:rPr>
        <w:t xml:space="preserve">IL-1 </w:t>
      </w:r>
      <w:r w:rsidRPr="00DC5798">
        <w:rPr>
          <w:rFonts w:eastAsia="Times New Roman" w:cs="Arial"/>
          <w:color w:val="000000"/>
          <w:szCs w:val="20"/>
          <w:lang w:eastAsia="bg-BG"/>
        </w:rPr>
        <w:t xml:space="preserve">и подпомага продукцията на </w:t>
      </w:r>
      <w:r w:rsidRPr="00DC5798">
        <w:rPr>
          <w:rFonts w:eastAsia="Times New Roman" w:cs="Arial"/>
          <w:color w:val="000000"/>
          <w:szCs w:val="20"/>
          <w:lang w:val="en-US"/>
        </w:rPr>
        <w:t xml:space="preserve">IL-2, </w:t>
      </w:r>
      <w:r w:rsidRPr="00DC5798">
        <w:rPr>
          <w:rFonts w:eastAsia="Times New Roman" w:cs="Arial"/>
          <w:color w:val="000000"/>
          <w:szCs w:val="20"/>
          <w:lang w:eastAsia="bg-BG"/>
        </w:rPr>
        <w:t xml:space="preserve">регулирайки възходящо експресията на </w:t>
      </w:r>
      <w:r w:rsidRPr="00DC5798">
        <w:rPr>
          <w:rFonts w:eastAsia="Times New Roman" w:cs="Arial"/>
          <w:color w:val="000000"/>
          <w:szCs w:val="20"/>
          <w:lang w:val="en-US"/>
        </w:rPr>
        <w:t xml:space="preserve">IL-2 </w:t>
      </w:r>
      <w:r w:rsidRPr="00DC5798">
        <w:rPr>
          <w:rFonts w:eastAsia="Times New Roman" w:cs="Arial"/>
          <w:color w:val="000000"/>
          <w:szCs w:val="20"/>
          <w:lang w:eastAsia="bg-BG"/>
        </w:rPr>
        <w:t xml:space="preserve">рецептора </w:t>
      </w:r>
      <w:r w:rsidRPr="00DC5798">
        <w:rPr>
          <w:rFonts w:eastAsia="Times New Roman" w:cs="Arial"/>
          <w:i/>
          <w:iCs/>
          <w:color w:val="000000"/>
          <w:szCs w:val="20"/>
          <w:lang w:val="en-US"/>
        </w:rPr>
        <w:t>in vitro.</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Той увеличава значително ендогенната секреция на </w:t>
      </w:r>
      <w:r w:rsidRPr="00DC5798">
        <w:rPr>
          <w:rFonts w:eastAsia="Times New Roman" w:cs="Arial"/>
          <w:color w:val="000000"/>
          <w:szCs w:val="20"/>
          <w:lang w:val="en-US"/>
        </w:rPr>
        <w:t>IFN-</w:t>
      </w:r>
      <w:r w:rsidRPr="00DC5798">
        <w:rPr>
          <w:rFonts w:eastAsia="Times New Roman" w:cs="Arial"/>
          <w:color w:val="000000"/>
          <w:szCs w:val="20"/>
          <w:lang w:eastAsia="bg-BG"/>
        </w:rPr>
        <w:t>γ</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и намалява </w:t>
      </w:r>
      <w:r w:rsidRPr="00DC5798">
        <w:rPr>
          <w:rFonts w:eastAsia="Times New Roman" w:cs="Arial"/>
          <w:i/>
          <w:iCs/>
          <w:color w:val="000000"/>
          <w:szCs w:val="20"/>
          <w:lang w:val="en-US"/>
        </w:rPr>
        <w:t>in vivo</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продукцията на </w:t>
      </w:r>
      <w:r w:rsidRPr="00DC5798">
        <w:rPr>
          <w:rFonts w:eastAsia="Times New Roman" w:cs="Arial"/>
          <w:color w:val="000000"/>
          <w:szCs w:val="20"/>
          <w:lang w:val="en-US"/>
        </w:rPr>
        <w:t xml:space="preserve">IL-4. </w:t>
      </w:r>
      <w:r w:rsidRPr="00DC5798">
        <w:rPr>
          <w:rFonts w:eastAsia="Times New Roman" w:cs="Arial"/>
          <w:color w:val="000000"/>
          <w:szCs w:val="20"/>
          <w:lang w:eastAsia="bg-BG"/>
        </w:rPr>
        <w:t>Освен това, той потенцира химиотаксиса и фагоцитозата на неутрофилите, моноцитите и макрофагите.</w:t>
      </w:r>
    </w:p>
    <w:p w14:paraId="4D7F4F11" w14:textId="77777777" w:rsidR="00DC5798" w:rsidRPr="00DC5798" w:rsidRDefault="00DC5798" w:rsidP="00DC5798">
      <w:pPr>
        <w:spacing w:line="240" w:lineRule="auto"/>
        <w:rPr>
          <w:rFonts w:eastAsia="Times New Roman" w:cs="Arial"/>
          <w:i/>
          <w:iCs/>
          <w:color w:val="000000"/>
          <w:szCs w:val="20"/>
          <w:lang w:val="en-US"/>
        </w:rPr>
      </w:pPr>
    </w:p>
    <w:p w14:paraId="66E8974A" w14:textId="46BFF74E" w:rsidR="00DC5798" w:rsidRPr="00DC5798" w:rsidRDefault="00DC5798" w:rsidP="00DC5798">
      <w:pPr>
        <w:spacing w:line="240" w:lineRule="auto"/>
        <w:rPr>
          <w:rFonts w:eastAsia="Times New Roman" w:cs="Arial"/>
          <w:sz w:val="28"/>
          <w:szCs w:val="24"/>
          <w:lang w:eastAsia="bg-BG"/>
        </w:rPr>
      </w:pPr>
      <w:r w:rsidRPr="00DC5798">
        <w:rPr>
          <w:rFonts w:eastAsia="Times New Roman" w:cs="Arial"/>
          <w:i/>
          <w:iCs/>
          <w:color w:val="000000"/>
          <w:szCs w:val="20"/>
          <w:lang w:val="en-US"/>
        </w:rPr>
        <w:t>In vivo,</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инозин ацедобен димепранол подпомага потенцирането на потиснатия синтез и транслационната способност на информационната (матрична) РНК </w:t>
      </w:r>
      <w:r w:rsidRPr="00DC5798">
        <w:rPr>
          <w:rFonts w:eastAsia="Times New Roman" w:cs="Arial"/>
          <w:color w:val="000000"/>
          <w:szCs w:val="20"/>
          <w:lang w:val="en-US"/>
        </w:rPr>
        <w:t xml:space="preserve">(mRNA) </w:t>
      </w:r>
      <w:r w:rsidRPr="00DC5798">
        <w:rPr>
          <w:rFonts w:eastAsia="Times New Roman" w:cs="Arial"/>
          <w:color w:val="000000"/>
          <w:szCs w:val="20"/>
          <w:lang w:eastAsia="bg-BG"/>
        </w:rPr>
        <w:t>на лимфоцитите, като същевременно инхибира синтеза на вирусната РНК посредством все още неизяснени степени на</w:t>
      </w:r>
    </w:p>
    <w:p w14:paraId="06C8C5CD" w14:textId="77777777" w:rsidR="00DC5798" w:rsidRPr="00DC5798" w:rsidRDefault="00DC5798" w:rsidP="00DC5798">
      <w:pPr>
        <w:pStyle w:val="ListParagraph"/>
        <w:numPr>
          <w:ilvl w:val="0"/>
          <w:numId w:val="45"/>
        </w:numPr>
        <w:spacing w:line="240" w:lineRule="auto"/>
        <w:rPr>
          <w:rFonts w:eastAsia="Times New Roman" w:cs="Arial"/>
          <w:sz w:val="28"/>
          <w:szCs w:val="24"/>
          <w:lang w:eastAsia="bg-BG"/>
        </w:rPr>
      </w:pPr>
      <w:r w:rsidRPr="00DC5798">
        <w:rPr>
          <w:rFonts w:eastAsia="Times New Roman" w:cs="Arial"/>
          <w:color w:val="000000"/>
          <w:szCs w:val="20"/>
          <w:lang w:eastAsia="bg-BG"/>
        </w:rPr>
        <w:t>инозин-медиирано включване на оротовата киселина в полирибозомите;</w:t>
      </w:r>
    </w:p>
    <w:p w14:paraId="0B33740A" w14:textId="77777777" w:rsidR="00DC5798" w:rsidRPr="00DC5798" w:rsidRDefault="00DC5798" w:rsidP="00DC5798">
      <w:pPr>
        <w:pStyle w:val="ListParagraph"/>
        <w:numPr>
          <w:ilvl w:val="0"/>
          <w:numId w:val="45"/>
        </w:numPr>
        <w:spacing w:line="240" w:lineRule="auto"/>
        <w:rPr>
          <w:rFonts w:eastAsia="Times New Roman" w:cs="Arial"/>
          <w:sz w:val="28"/>
          <w:szCs w:val="24"/>
          <w:lang w:eastAsia="bg-BG"/>
        </w:rPr>
      </w:pPr>
      <w:r w:rsidRPr="00DC5798">
        <w:rPr>
          <w:rFonts w:eastAsia="Times New Roman" w:cs="Arial"/>
          <w:color w:val="000000"/>
          <w:szCs w:val="20"/>
          <w:lang w:eastAsia="bg-BG"/>
        </w:rPr>
        <w:t>потискане на залавянето на полиадениловата киселина към информационната (матрична) РНК на вируса; и</w:t>
      </w:r>
    </w:p>
    <w:p w14:paraId="031FAC30" w14:textId="06E49BA3" w:rsidR="00DC5798" w:rsidRPr="00DC5798" w:rsidRDefault="00DC5798" w:rsidP="00DC5798">
      <w:pPr>
        <w:pStyle w:val="ListParagraph"/>
        <w:numPr>
          <w:ilvl w:val="0"/>
          <w:numId w:val="45"/>
        </w:numPr>
        <w:spacing w:line="240" w:lineRule="auto"/>
        <w:rPr>
          <w:rFonts w:eastAsia="Times New Roman" w:cs="Arial"/>
          <w:sz w:val="28"/>
          <w:szCs w:val="24"/>
          <w:lang w:eastAsia="bg-BG"/>
        </w:rPr>
      </w:pPr>
      <w:r w:rsidRPr="00DC5798">
        <w:rPr>
          <w:rFonts w:eastAsia="Times New Roman" w:cs="Arial"/>
          <w:color w:val="000000"/>
          <w:szCs w:val="20"/>
          <w:lang w:eastAsia="bg-BG"/>
        </w:rPr>
        <w:t xml:space="preserve">молекулярна реорганизация на вътремембранните плазмени частици </w:t>
      </w:r>
      <w:r w:rsidRPr="00DC5798">
        <w:rPr>
          <w:rFonts w:eastAsia="Times New Roman" w:cs="Arial"/>
          <w:color w:val="000000"/>
          <w:szCs w:val="20"/>
          <w:lang w:val="en-US"/>
        </w:rPr>
        <w:t xml:space="preserve">(intramembrane plasma particles, IMP), </w:t>
      </w:r>
      <w:r w:rsidRPr="00DC5798">
        <w:rPr>
          <w:rFonts w:eastAsia="Times New Roman" w:cs="Arial"/>
          <w:color w:val="000000"/>
          <w:szCs w:val="20"/>
          <w:lang w:eastAsia="bg-BG"/>
        </w:rPr>
        <w:t>което увеличава почти трикратно плътността им.</w:t>
      </w:r>
    </w:p>
    <w:p w14:paraId="07EDBEDE" w14:textId="77777777" w:rsidR="00DC5798" w:rsidRPr="00DC5798" w:rsidRDefault="00DC5798" w:rsidP="00DC5798">
      <w:pPr>
        <w:spacing w:line="240" w:lineRule="auto"/>
        <w:rPr>
          <w:rFonts w:eastAsia="Times New Roman" w:cs="Arial"/>
          <w:color w:val="000000"/>
          <w:szCs w:val="20"/>
          <w:lang w:eastAsia="bg-BG"/>
        </w:rPr>
      </w:pPr>
    </w:p>
    <w:p w14:paraId="038F692B" w14:textId="0E2A4D8C" w:rsidR="007A2185"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lastRenderedPageBreak/>
        <w:t xml:space="preserve">Инозин ацедобен димепранол инхибира фосфодиестеразата на цикличния гуанозин 3',5'-монофосфат </w:t>
      </w:r>
      <w:r w:rsidRPr="00DC5798">
        <w:rPr>
          <w:rFonts w:eastAsia="Times New Roman" w:cs="Arial"/>
          <w:color w:val="000000"/>
          <w:szCs w:val="20"/>
          <w:lang w:val="en-US"/>
        </w:rPr>
        <w:t xml:space="preserve">(cyclic guanosine 3',5'-monophosphate, cGMP) </w:t>
      </w:r>
      <w:r w:rsidRPr="00DC5798">
        <w:rPr>
          <w:rFonts w:eastAsia="Times New Roman" w:cs="Arial"/>
          <w:color w:val="000000"/>
          <w:szCs w:val="20"/>
          <w:lang w:eastAsia="bg-BG"/>
        </w:rPr>
        <w:t xml:space="preserve">само при високи концентрации </w:t>
      </w:r>
      <w:r w:rsidRPr="00DC5798">
        <w:rPr>
          <w:rFonts w:eastAsia="Times New Roman" w:cs="Arial"/>
          <w:i/>
          <w:iCs/>
          <w:color w:val="000000"/>
          <w:szCs w:val="20"/>
          <w:lang w:val="en-US"/>
        </w:rPr>
        <w:t>in vitro</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и при нива, невключени в проявите на имунофармакологичните ефекти </w:t>
      </w:r>
      <w:r w:rsidRPr="00DC5798">
        <w:rPr>
          <w:rFonts w:eastAsia="Times New Roman" w:cs="Arial"/>
          <w:i/>
          <w:iCs/>
          <w:color w:val="000000"/>
          <w:szCs w:val="20"/>
          <w:lang w:val="en-US"/>
        </w:rPr>
        <w:t>in vivo.</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6341C4E8" w14:textId="77777777"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Всяка от съставките на лекарствения продукт показва собствени фармакологични свойства.</w:t>
      </w:r>
    </w:p>
    <w:p w14:paraId="2E574782" w14:textId="77777777" w:rsidR="00DC5798" w:rsidRPr="00DC5798" w:rsidRDefault="00DC5798" w:rsidP="00DC5798">
      <w:pPr>
        <w:spacing w:line="240" w:lineRule="auto"/>
        <w:rPr>
          <w:rFonts w:eastAsia="Times New Roman" w:cs="Arial"/>
          <w:color w:val="000000"/>
          <w:szCs w:val="20"/>
          <w:u w:val="single"/>
          <w:lang w:eastAsia="bg-BG"/>
        </w:rPr>
      </w:pPr>
    </w:p>
    <w:p w14:paraId="6D2BD650" w14:textId="70595679" w:rsidR="00DC5798" w:rsidRPr="00DC5798" w:rsidRDefault="00DC5798" w:rsidP="00DC5798">
      <w:pPr>
        <w:spacing w:line="240" w:lineRule="auto"/>
        <w:rPr>
          <w:rFonts w:eastAsia="Times New Roman" w:cs="Arial"/>
          <w:sz w:val="28"/>
          <w:szCs w:val="24"/>
          <w:lang w:eastAsia="bg-BG"/>
        </w:rPr>
      </w:pPr>
      <w:r w:rsidRPr="00DC5798">
        <w:rPr>
          <w:rStyle w:val="Heading3Char"/>
          <w:u w:val="single"/>
          <w:lang w:eastAsia="bg-BG"/>
        </w:rPr>
        <w:t>Абсорбция:</w:t>
      </w:r>
      <w:r w:rsidRPr="00DC5798">
        <w:rPr>
          <w:rFonts w:eastAsia="Times New Roman" w:cs="Arial"/>
          <w:color w:val="000000"/>
          <w:szCs w:val="20"/>
          <w:lang w:eastAsia="bg-BG"/>
        </w:rPr>
        <w:t xml:space="preserve"> Приложен перорапно при хора, инозин ацедобен димепранол се абсорбира бързо и напълно (≥ 90%) от стомашно-чревния тракт и преминава в кръвта. Също така, след пероралното му приложение при маймуни от рода </w:t>
      </w:r>
      <w:r w:rsidRPr="00DC5798">
        <w:rPr>
          <w:rFonts w:eastAsia="Times New Roman" w:cs="Arial"/>
          <w:color w:val="000000"/>
          <w:szCs w:val="20"/>
          <w:lang w:val="en-US"/>
        </w:rPr>
        <w:t>“</w:t>
      </w:r>
      <w:proofErr w:type="spellStart"/>
      <w:r w:rsidRPr="00DC5798">
        <w:rPr>
          <w:rFonts w:eastAsia="Times New Roman" w:cs="Arial"/>
          <w:color w:val="000000"/>
          <w:szCs w:val="20"/>
          <w:lang w:val="en-US"/>
        </w:rPr>
        <w:t>Macacus</w:t>
      </w:r>
      <w:proofErr w:type="spellEnd"/>
      <w:r w:rsidRPr="00DC5798">
        <w:rPr>
          <w:rFonts w:eastAsia="Times New Roman" w:cs="Arial"/>
          <w:color w:val="000000"/>
          <w:szCs w:val="20"/>
          <w:lang w:val="en-US"/>
        </w:rPr>
        <w:t xml:space="preserve"> rhesus”, </w:t>
      </w:r>
      <w:r w:rsidRPr="00DC5798">
        <w:rPr>
          <w:rFonts w:eastAsia="Times New Roman" w:cs="Arial"/>
          <w:color w:val="000000"/>
          <w:szCs w:val="20"/>
          <w:lang w:eastAsia="bg-BG"/>
        </w:rPr>
        <w:t xml:space="preserve">94-100% от интравенозните стойности на компонентите на </w:t>
      </w:r>
      <w:r w:rsidRPr="00DC5798">
        <w:rPr>
          <w:rFonts w:eastAsia="Times New Roman" w:cs="Arial"/>
          <w:color w:val="000000"/>
          <w:szCs w:val="20"/>
          <w:lang w:val="en-US"/>
        </w:rPr>
        <w:t>N,N</w:t>
      </w:r>
      <w:r w:rsidRPr="00DC5798">
        <w:rPr>
          <w:rFonts w:eastAsia="Times New Roman" w:cs="Arial"/>
          <w:color w:val="000000"/>
          <w:szCs w:val="20"/>
          <w:lang w:eastAsia="bg-BG"/>
        </w:rPr>
        <w:t xml:space="preserve">-диметиламино-2-пропанол </w:t>
      </w:r>
      <w:r w:rsidRPr="00DC5798">
        <w:rPr>
          <w:rFonts w:eastAsia="Times New Roman" w:cs="Arial"/>
          <w:color w:val="000000"/>
          <w:szCs w:val="20"/>
          <w:lang w:val="en-US"/>
        </w:rPr>
        <w:t xml:space="preserve">(DIP) </w:t>
      </w:r>
      <w:r w:rsidRPr="00DC5798">
        <w:rPr>
          <w:rFonts w:eastAsia="Times New Roman" w:cs="Arial"/>
          <w:color w:val="000000"/>
          <w:szCs w:val="20"/>
          <w:lang w:eastAsia="bg-BG"/>
        </w:rPr>
        <w:t>и р-ацетамидобензоената киселина (РАсВА) се откриват в урината им.</w:t>
      </w:r>
    </w:p>
    <w:p w14:paraId="5603F19F" w14:textId="77777777" w:rsidR="00DC5798" w:rsidRPr="00DC5798" w:rsidRDefault="00DC5798" w:rsidP="00DC5798">
      <w:pPr>
        <w:spacing w:line="240" w:lineRule="auto"/>
        <w:rPr>
          <w:rFonts w:eastAsia="Times New Roman" w:cs="Arial"/>
          <w:color w:val="000000"/>
          <w:szCs w:val="20"/>
          <w:u w:val="single"/>
          <w:lang w:eastAsia="bg-BG"/>
        </w:rPr>
      </w:pPr>
    </w:p>
    <w:p w14:paraId="45C9B9B1" w14:textId="6B6D2A7D" w:rsidR="00DC5798" w:rsidRPr="00DC5798" w:rsidRDefault="00DC5798" w:rsidP="00DC5798">
      <w:pPr>
        <w:spacing w:line="240" w:lineRule="auto"/>
        <w:rPr>
          <w:rFonts w:eastAsia="Times New Roman" w:cs="Arial"/>
          <w:sz w:val="28"/>
          <w:szCs w:val="24"/>
          <w:lang w:eastAsia="bg-BG"/>
        </w:rPr>
      </w:pPr>
      <w:r w:rsidRPr="00DC5798">
        <w:rPr>
          <w:rStyle w:val="Heading3Char"/>
          <w:u w:val="single"/>
          <w:lang w:eastAsia="bg-BG"/>
        </w:rPr>
        <w:t>Разпределение:</w:t>
      </w:r>
      <w:r w:rsidRPr="00DC5798">
        <w:rPr>
          <w:rFonts w:eastAsia="Times New Roman" w:cs="Arial"/>
          <w:color w:val="000000"/>
          <w:szCs w:val="20"/>
          <w:lang w:eastAsia="bg-BG"/>
        </w:rPr>
        <w:t xml:space="preserve"> След прилагането на лекарствения продукт при маймуни е установено радиобелязано остатъчно количество в следните тъкани (по реда на низходящата специфична активност): бъбреци, бели дробове, черен дроб, сърце, далак, тестиси, панкреас мозък и скелетна мускулатура.</w:t>
      </w:r>
    </w:p>
    <w:p w14:paraId="750F6A47" w14:textId="77777777" w:rsidR="00DC5798" w:rsidRPr="00DC5798" w:rsidRDefault="00DC5798" w:rsidP="00DC5798">
      <w:pPr>
        <w:spacing w:line="240" w:lineRule="auto"/>
        <w:rPr>
          <w:rFonts w:eastAsia="Times New Roman" w:cs="Arial"/>
          <w:color w:val="000000"/>
          <w:szCs w:val="20"/>
          <w:u w:val="single"/>
          <w:lang w:eastAsia="bg-BG"/>
        </w:rPr>
      </w:pPr>
    </w:p>
    <w:p w14:paraId="66E5943D" w14:textId="2826D6E9" w:rsidR="00DC5798" w:rsidRPr="00DC5798" w:rsidRDefault="00DC5798" w:rsidP="00DC5798">
      <w:pPr>
        <w:spacing w:line="240" w:lineRule="auto"/>
        <w:rPr>
          <w:rFonts w:eastAsia="Times New Roman" w:cs="Arial"/>
          <w:sz w:val="28"/>
          <w:szCs w:val="24"/>
          <w:lang w:eastAsia="bg-BG"/>
        </w:rPr>
      </w:pPr>
      <w:r w:rsidRPr="00DC5798">
        <w:rPr>
          <w:rStyle w:val="Heading3Char"/>
          <w:u w:val="single"/>
          <w:lang w:eastAsia="bg-BG"/>
        </w:rPr>
        <w:t>Метаболизъм:</w:t>
      </w:r>
      <w:r w:rsidRPr="00DC5798">
        <w:rPr>
          <w:rFonts w:eastAsia="Times New Roman" w:cs="Arial"/>
          <w:color w:val="000000"/>
          <w:szCs w:val="20"/>
          <w:lang w:eastAsia="bg-BG"/>
        </w:rPr>
        <w:t xml:space="preserve"> След перорално приложение на 1 </w:t>
      </w:r>
      <w:r w:rsidRPr="00DC5798">
        <w:rPr>
          <w:rFonts w:eastAsia="Times New Roman" w:cs="Arial"/>
          <w:color w:val="000000"/>
          <w:szCs w:val="20"/>
          <w:lang w:val="en-US"/>
        </w:rPr>
        <w:t xml:space="preserve">g </w:t>
      </w:r>
      <w:r w:rsidRPr="00DC5798">
        <w:rPr>
          <w:rFonts w:eastAsia="Times New Roman" w:cs="Arial"/>
          <w:color w:val="000000"/>
          <w:szCs w:val="20"/>
          <w:lang w:eastAsia="bg-BG"/>
        </w:rPr>
        <w:t xml:space="preserve">инозин ацедобен димепранол при хора са установени следните плазмени нива за </w:t>
      </w:r>
      <w:r w:rsidRPr="00DC5798">
        <w:rPr>
          <w:rFonts w:eastAsia="Times New Roman" w:cs="Arial"/>
          <w:color w:val="000000"/>
          <w:szCs w:val="20"/>
          <w:lang w:val="en-US"/>
        </w:rPr>
        <w:t>N,N</w:t>
      </w:r>
      <w:r w:rsidRPr="00DC5798">
        <w:rPr>
          <w:rFonts w:eastAsia="Times New Roman" w:cs="Arial"/>
          <w:color w:val="000000"/>
          <w:szCs w:val="20"/>
          <w:lang w:eastAsia="bg-BG"/>
        </w:rPr>
        <w:t xml:space="preserve">-диметиламино-2-пропанол </w:t>
      </w:r>
      <w:r w:rsidRPr="00DC5798">
        <w:rPr>
          <w:rFonts w:eastAsia="Times New Roman" w:cs="Arial"/>
          <w:color w:val="000000"/>
          <w:szCs w:val="20"/>
          <w:lang w:val="en-US"/>
        </w:rPr>
        <w:t xml:space="preserve">(DIP) </w:t>
      </w:r>
      <w:r w:rsidRPr="00DC5798">
        <w:rPr>
          <w:rFonts w:eastAsia="Times New Roman" w:cs="Arial"/>
          <w:color w:val="000000"/>
          <w:szCs w:val="20"/>
          <w:lang w:eastAsia="bg-BG"/>
        </w:rPr>
        <w:t>и р-ацетамидобензоената киселина (РАсВА): съответно, 3,7 микрограма</w:t>
      </w:r>
      <w:r w:rsidRPr="00DC5798">
        <w:rPr>
          <w:rFonts w:eastAsia="Times New Roman" w:cs="Arial"/>
          <w:color w:val="000000"/>
          <w:szCs w:val="20"/>
          <w:lang w:val="en-US"/>
        </w:rPr>
        <w:t xml:space="preserve">/ml </w:t>
      </w:r>
      <w:r w:rsidRPr="00DC5798">
        <w:rPr>
          <w:rFonts w:eastAsia="Times New Roman" w:cs="Arial"/>
          <w:color w:val="000000"/>
          <w:szCs w:val="20"/>
          <w:lang w:eastAsia="bg-BG"/>
        </w:rPr>
        <w:t>(след 2 часа) и 9,4 микрограма</w:t>
      </w:r>
      <w:r w:rsidRPr="00DC5798">
        <w:rPr>
          <w:rFonts w:eastAsia="Times New Roman" w:cs="Arial"/>
          <w:color w:val="000000"/>
          <w:szCs w:val="20"/>
          <w:lang w:val="en-US"/>
        </w:rPr>
        <w:t xml:space="preserve">/ml </w:t>
      </w:r>
      <w:r w:rsidRPr="00DC5798">
        <w:rPr>
          <w:rFonts w:eastAsia="Times New Roman" w:cs="Arial"/>
          <w:color w:val="000000"/>
          <w:szCs w:val="20"/>
          <w:lang w:eastAsia="bg-BG"/>
        </w:rPr>
        <w:t>(след 1 час).</w:t>
      </w:r>
    </w:p>
    <w:p w14:paraId="1074D94E" w14:textId="77777777"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В проучвания върху поносимостта на дозата при хора, максималното покачване на нивото на пикочната киселина след приема, като мярка за внесения с лекарствения продукт инозин, ие е линейно и може да варира с +</w:t>
      </w:r>
      <w:r w:rsidRPr="00DC5798">
        <w:rPr>
          <w:rFonts w:eastAsia="Times New Roman" w:cs="Arial"/>
          <w:color w:val="000000"/>
          <w:szCs w:val="20"/>
          <w:lang w:val="en-US"/>
        </w:rPr>
        <w:t xml:space="preserve"> 10</w:t>
      </w:r>
      <w:r w:rsidRPr="00DC5798">
        <w:rPr>
          <w:rFonts w:eastAsia="Times New Roman" w:cs="Arial"/>
          <w:color w:val="000000"/>
          <w:szCs w:val="20"/>
          <w:lang w:eastAsia="bg-BG"/>
        </w:rPr>
        <w:t>% в последващите приема 1-3 часа.</w:t>
      </w:r>
    </w:p>
    <w:p w14:paraId="571A5474" w14:textId="77777777" w:rsidR="00DC5798" w:rsidRPr="00DC5798" w:rsidRDefault="00DC5798" w:rsidP="00DC5798">
      <w:pPr>
        <w:spacing w:line="240" w:lineRule="auto"/>
        <w:rPr>
          <w:rFonts w:eastAsia="Times New Roman" w:cs="Arial"/>
          <w:color w:val="000000"/>
          <w:szCs w:val="20"/>
          <w:u w:val="single"/>
          <w:lang w:eastAsia="bg-BG"/>
        </w:rPr>
      </w:pPr>
    </w:p>
    <w:p w14:paraId="45551830" w14:textId="34EB4F3F" w:rsidR="007A2185" w:rsidRPr="00DC5798" w:rsidRDefault="00DC5798" w:rsidP="00DC5798">
      <w:pPr>
        <w:spacing w:line="240" w:lineRule="auto"/>
        <w:rPr>
          <w:rFonts w:eastAsia="Times New Roman" w:cs="Arial"/>
          <w:sz w:val="28"/>
          <w:szCs w:val="24"/>
          <w:lang w:eastAsia="bg-BG"/>
        </w:rPr>
      </w:pPr>
      <w:r w:rsidRPr="00DC5798">
        <w:rPr>
          <w:rStyle w:val="Heading3Char"/>
          <w:u w:val="single"/>
          <w:lang w:eastAsia="bg-BG"/>
        </w:rPr>
        <w:t>Екскреция:</w:t>
      </w:r>
      <w:r w:rsidRPr="00DC5798">
        <w:rPr>
          <w:rFonts w:eastAsia="Times New Roman" w:cs="Arial"/>
          <w:color w:val="000000"/>
          <w:szCs w:val="20"/>
          <w:lang w:eastAsia="bg-BG"/>
        </w:rPr>
        <w:t xml:space="preserve"> При доза от 4 </w:t>
      </w:r>
      <w:r w:rsidRPr="00DC5798">
        <w:rPr>
          <w:rFonts w:eastAsia="Times New Roman" w:cs="Arial"/>
          <w:color w:val="000000"/>
          <w:szCs w:val="20"/>
          <w:lang w:val="en-US"/>
        </w:rPr>
        <w:t xml:space="preserve">g </w:t>
      </w:r>
      <w:r w:rsidRPr="00DC5798">
        <w:rPr>
          <w:rFonts w:eastAsia="Times New Roman" w:cs="Arial"/>
          <w:color w:val="000000"/>
          <w:szCs w:val="20"/>
          <w:lang w:eastAsia="bg-BG"/>
        </w:rPr>
        <w:t xml:space="preserve">дневно и в условията на устойчиво състояние, 24-часовата екскреция в урината на р-ацетамидобензоената киселина (РАсВА) и нейния основен метаболит достига до около 85% от получената доза. 95% от радиоактивността в урината, дължаща се на </w:t>
      </w:r>
      <w:r w:rsidRPr="00DC5798">
        <w:rPr>
          <w:rFonts w:eastAsia="Times New Roman" w:cs="Arial"/>
          <w:color w:val="000000"/>
          <w:szCs w:val="20"/>
          <w:lang w:val="en-US"/>
        </w:rPr>
        <w:t>N,N</w:t>
      </w:r>
      <w:r w:rsidRPr="00DC5798">
        <w:rPr>
          <w:rFonts w:eastAsia="Times New Roman" w:cs="Arial"/>
          <w:color w:val="000000"/>
          <w:szCs w:val="20"/>
          <w:lang w:eastAsia="bg-BG"/>
        </w:rPr>
        <w:t xml:space="preserve">-диметиламино-2-пропанол </w:t>
      </w:r>
      <w:r w:rsidRPr="00DC5798">
        <w:rPr>
          <w:rFonts w:eastAsia="Times New Roman" w:cs="Arial"/>
          <w:color w:val="000000"/>
          <w:szCs w:val="20"/>
          <w:lang w:val="en-US"/>
        </w:rPr>
        <w:t xml:space="preserve">(DIP), </w:t>
      </w:r>
      <w:r w:rsidRPr="00DC5798">
        <w:rPr>
          <w:rFonts w:eastAsia="Times New Roman" w:cs="Arial"/>
          <w:color w:val="000000"/>
          <w:szCs w:val="20"/>
          <w:lang w:eastAsia="bg-BG"/>
        </w:rPr>
        <w:t xml:space="preserve">идва от неметаболизирания </w:t>
      </w:r>
      <w:r w:rsidRPr="00DC5798">
        <w:rPr>
          <w:rFonts w:eastAsia="Times New Roman" w:cs="Arial"/>
          <w:color w:val="000000"/>
          <w:szCs w:val="20"/>
          <w:lang w:val="en-US"/>
        </w:rPr>
        <w:t>N,N</w:t>
      </w:r>
      <w:r w:rsidRPr="00DC5798">
        <w:rPr>
          <w:rFonts w:eastAsia="Times New Roman" w:cs="Arial"/>
          <w:color w:val="000000"/>
          <w:szCs w:val="20"/>
          <w:lang w:eastAsia="bg-BG"/>
        </w:rPr>
        <w:t xml:space="preserve">-диметиламино-2-пропанол </w:t>
      </w:r>
      <w:r w:rsidRPr="00DC5798">
        <w:rPr>
          <w:rFonts w:eastAsia="Times New Roman" w:cs="Arial"/>
          <w:color w:val="000000"/>
          <w:szCs w:val="20"/>
          <w:lang w:val="en-US"/>
        </w:rPr>
        <w:t xml:space="preserve">(DIP) </w:t>
      </w:r>
      <w:r w:rsidRPr="00DC5798">
        <w:rPr>
          <w:rFonts w:eastAsia="Times New Roman" w:cs="Arial"/>
          <w:color w:val="000000"/>
          <w:szCs w:val="20"/>
          <w:lang w:eastAsia="bg-BG"/>
        </w:rPr>
        <w:t xml:space="preserve">и неговия </w:t>
      </w:r>
      <w:r w:rsidRPr="00DC5798">
        <w:rPr>
          <w:rFonts w:eastAsia="Times New Roman" w:cs="Arial"/>
          <w:color w:val="000000"/>
          <w:szCs w:val="20"/>
          <w:lang w:val="en-US"/>
        </w:rPr>
        <w:t>N</w:t>
      </w:r>
      <w:r w:rsidRPr="00DC5798">
        <w:rPr>
          <w:rFonts w:eastAsia="Times New Roman" w:cs="Arial"/>
          <w:color w:val="000000"/>
          <w:szCs w:val="20"/>
          <w:lang w:eastAsia="bg-BG"/>
        </w:rPr>
        <w:t>-оксид. Времето за полуелиминиране е 3,5 часа за</w:t>
      </w:r>
      <w:r w:rsidRPr="00DC5798">
        <w:rPr>
          <w:rFonts w:eastAsia="Times New Roman" w:cs="Arial"/>
          <w:sz w:val="28"/>
          <w:szCs w:val="24"/>
          <w:lang w:eastAsia="bg-BG"/>
        </w:rPr>
        <w:t xml:space="preserve"> </w:t>
      </w:r>
      <w:r w:rsidRPr="00DC5798">
        <w:rPr>
          <w:rFonts w:eastAsia="Times New Roman" w:cs="Arial"/>
          <w:color w:val="000000"/>
          <w:szCs w:val="20"/>
          <w:lang w:val="en-US"/>
        </w:rPr>
        <w:t>N,N</w:t>
      </w:r>
      <w:r w:rsidRPr="00DC5798">
        <w:rPr>
          <w:rFonts w:eastAsia="Times New Roman" w:cs="Arial"/>
          <w:color w:val="000000"/>
          <w:szCs w:val="20"/>
          <w:lang w:eastAsia="bg-BG"/>
        </w:rPr>
        <w:t xml:space="preserve">-диметиламино-2-пропанол </w:t>
      </w:r>
      <w:r w:rsidRPr="00DC5798">
        <w:rPr>
          <w:rFonts w:eastAsia="Times New Roman" w:cs="Arial"/>
          <w:color w:val="000000"/>
          <w:szCs w:val="20"/>
          <w:lang w:val="en-US"/>
        </w:rPr>
        <w:t xml:space="preserve">(DIP) </w:t>
      </w:r>
      <w:r w:rsidRPr="00DC5798">
        <w:rPr>
          <w:rFonts w:eastAsia="Times New Roman" w:cs="Arial"/>
          <w:color w:val="000000"/>
          <w:szCs w:val="20"/>
          <w:lang w:eastAsia="bg-BG"/>
        </w:rPr>
        <w:t xml:space="preserve">и 50 минути за р-ацетамидобензоената киселина (РАсВА). При хора, основен метаболит на </w:t>
      </w:r>
      <w:r w:rsidRPr="00DC5798">
        <w:rPr>
          <w:rFonts w:eastAsia="Times New Roman" w:cs="Arial"/>
          <w:color w:val="000000"/>
          <w:szCs w:val="20"/>
          <w:lang w:val="en-US"/>
        </w:rPr>
        <w:t>N,N</w:t>
      </w:r>
      <w:r w:rsidRPr="00DC5798">
        <w:rPr>
          <w:rFonts w:eastAsia="Times New Roman" w:cs="Arial"/>
          <w:color w:val="000000"/>
          <w:szCs w:val="20"/>
          <w:lang w:eastAsia="bg-BG"/>
        </w:rPr>
        <w:t xml:space="preserve">-диметиламино-2-пропанола </w:t>
      </w:r>
      <w:r w:rsidRPr="00DC5798">
        <w:rPr>
          <w:rFonts w:eastAsia="Times New Roman" w:cs="Arial"/>
          <w:color w:val="000000"/>
          <w:szCs w:val="20"/>
          <w:lang w:val="en-US"/>
        </w:rPr>
        <w:t xml:space="preserve">(DIP) </w:t>
      </w:r>
      <w:r w:rsidRPr="00DC5798">
        <w:rPr>
          <w:rFonts w:eastAsia="Times New Roman" w:cs="Arial"/>
          <w:color w:val="000000"/>
          <w:szCs w:val="20"/>
          <w:lang w:eastAsia="bg-BG"/>
        </w:rPr>
        <w:t xml:space="preserve">е </w:t>
      </w:r>
      <w:r w:rsidRPr="00DC5798">
        <w:rPr>
          <w:rFonts w:eastAsia="Times New Roman" w:cs="Arial"/>
          <w:color w:val="000000"/>
          <w:szCs w:val="20"/>
          <w:lang w:val="en-US"/>
        </w:rPr>
        <w:t>N</w:t>
      </w:r>
      <w:r w:rsidRPr="00DC5798">
        <w:rPr>
          <w:rFonts w:eastAsia="Times New Roman" w:cs="Arial"/>
          <w:color w:val="000000"/>
          <w:szCs w:val="20"/>
          <w:lang w:eastAsia="bg-BG"/>
        </w:rPr>
        <w:t>-оксид, а този на</w:t>
      </w:r>
      <w:r w:rsidRPr="00DC5798">
        <w:rPr>
          <w:rFonts w:eastAsia="Times New Roman" w:cs="Arial"/>
          <w:color w:val="000000"/>
          <w:szCs w:val="20"/>
          <w:u w:val="single"/>
          <w:lang w:eastAsia="bg-BG"/>
        </w:rPr>
        <w:t xml:space="preserve"> </w:t>
      </w:r>
      <w:r w:rsidRPr="00DC5798">
        <w:rPr>
          <w:rFonts w:eastAsia="Times New Roman" w:cs="Arial"/>
          <w:color w:val="000000"/>
          <w:szCs w:val="20"/>
          <w:lang w:eastAsia="bg-BG"/>
        </w:rPr>
        <w:t xml:space="preserve">р-ацетамидобензоената киселина (РАсВА) - о-ацилглюкуронид. Опитите с радиоизотопи са неподходящи при хора, тъй като инозиновата съставка се катаболизира по пътя на пуриновото разграждане до пикочна киселина. След пероралното приложение на таблетка при животни, до около 70% от получения инозин може да бъде установен под формата на пикочна киселина, а </w:t>
      </w:r>
      <w:r w:rsidRPr="00DC5798">
        <w:rPr>
          <w:rFonts w:eastAsia="Times New Roman" w:cs="Arial"/>
          <w:smallCaps/>
          <w:color w:val="000000"/>
          <w:szCs w:val="20"/>
          <w:lang w:eastAsia="bg-BG"/>
        </w:rPr>
        <w:t xml:space="preserve"> </w:t>
      </w:r>
      <w:r w:rsidRPr="00DC5798">
        <w:rPr>
          <w:rFonts w:eastAsia="Times New Roman" w:cs="Arial"/>
          <w:color w:val="000000"/>
          <w:szCs w:val="20"/>
          <w:lang w:eastAsia="bg-BG"/>
        </w:rPr>
        <w:t>остатъкът му - като нормалните метаболити ксантин и хипоксантин.</w:t>
      </w:r>
    </w:p>
    <w:p w14:paraId="4EE1BB0B" w14:textId="424BFC61" w:rsidR="0091385D" w:rsidRPr="00DC5798" w:rsidRDefault="0091385D" w:rsidP="0091385D">
      <w:pPr>
        <w:rPr>
          <w:rFonts w:cs="Arial"/>
          <w:sz w:val="24"/>
        </w:rPr>
      </w:pPr>
    </w:p>
    <w:p w14:paraId="781DDC91" w14:textId="42A5F552" w:rsidR="00DC5798" w:rsidRPr="00DC5798" w:rsidRDefault="00DC5798" w:rsidP="0091385D">
      <w:pPr>
        <w:rPr>
          <w:rFonts w:cs="Arial"/>
          <w:sz w:val="24"/>
        </w:rPr>
      </w:pPr>
      <w:r w:rsidRPr="00DC5798">
        <w:rPr>
          <w:rFonts w:cs="Arial"/>
          <w:szCs w:val="20"/>
          <w:u w:val="single"/>
        </w:rPr>
        <w:t xml:space="preserve">Бионаличност/Площ под кривата </w:t>
      </w:r>
      <w:r w:rsidRPr="00DC5798">
        <w:rPr>
          <w:rFonts w:cs="Arial"/>
          <w:szCs w:val="20"/>
          <w:u w:val="single"/>
          <w:lang w:val="en-US"/>
        </w:rPr>
        <w:t>(AUC)</w:t>
      </w:r>
      <w:r w:rsidRPr="00DC5798">
        <w:rPr>
          <w:rFonts w:cs="Arial"/>
          <w:szCs w:val="20"/>
          <w:lang w:val="en-US"/>
        </w:rPr>
        <w:t xml:space="preserve">: </w:t>
      </w:r>
      <w:r w:rsidRPr="00DC5798">
        <w:rPr>
          <w:rFonts w:cs="Arial"/>
          <w:szCs w:val="20"/>
        </w:rPr>
        <w:t xml:space="preserve">В условията на устойчиво състояние, находките в урината за съставката р-ацетамидобензоена киселина (РАсВА) и нейния метаболит са ≥90% от очакваната стойност за разтвора. Находката за съставката </w:t>
      </w:r>
      <w:r w:rsidRPr="00DC5798">
        <w:rPr>
          <w:rFonts w:cs="Arial"/>
          <w:szCs w:val="20"/>
          <w:lang w:val="en-US"/>
        </w:rPr>
        <w:t>N,N</w:t>
      </w:r>
      <w:r w:rsidRPr="00DC5798">
        <w:rPr>
          <w:rFonts w:cs="Arial"/>
          <w:szCs w:val="20"/>
        </w:rPr>
        <w:t xml:space="preserve">-диметиламино-2-пропанол </w:t>
      </w:r>
      <w:r w:rsidRPr="00DC5798">
        <w:rPr>
          <w:rFonts w:cs="Arial"/>
          <w:szCs w:val="20"/>
          <w:lang w:val="en-US"/>
        </w:rPr>
        <w:t xml:space="preserve">(DIP) </w:t>
      </w:r>
      <w:r w:rsidRPr="00DC5798">
        <w:rPr>
          <w:rFonts w:cs="Arial"/>
          <w:szCs w:val="20"/>
        </w:rPr>
        <w:t xml:space="preserve">и нейния метаболит са ≥76%. В плазмата, площта под кривата </w:t>
      </w:r>
      <w:r w:rsidRPr="00DC5798">
        <w:rPr>
          <w:rFonts w:cs="Arial"/>
          <w:szCs w:val="20"/>
          <w:lang w:val="en-US"/>
        </w:rPr>
        <w:t xml:space="preserve">(AUC) </w:t>
      </w:r>
      <w:r w:rsidRPr="00DC5798">
        <w:rPr>
          <w:rFonts w:cs="Arial"/>
          <w:szCs w:val="20"/>
        </w:rPr>
        <w:t xml:space="preserve">е ≥88% за </w:t>
      </w:r>
      <w:r w:rsidRPr="00DC5798">
        <w:rPr>
          <w:rFonts w:cs="Arial"/>
          <w:szCs w:val="20"/>
          <w:lang w:val="en-US"/>
        </w:rPr>
        <w:t xml:space="preserve">DIP </w:t>
      </w:r>
      <w:r w:rsidRPr="00DC5798">
        <w:rPr>
          <w:rFonts w:cs="Arial"/>
          <w:szCs w:val="20"/>
        </w:rPr>
        <w:t>и ≥77% за РАсВА.</w:t>
      </w:r>
    </w:p>
    <w:p w14:paraId="1CD2DCA9" w14:textId="77777777" w:rsidR="00DC5798" w:rsidRPr="0091385D" w:rsidRDefault="00DC5798" w:rsidP="0091385D"/>
    <w:p w14:paraId="648E39DA" w14:textId="44D16CBD" w:rsidR="00CF77F7" w:rsidRDefault="002C50EE" w:rsidP="004A448E">
      <w:pPr>
        <w:pStyle w:val="Heading2"/>
      </w:pPr>
      <w:r>
        <w:lastRenderedPageBreak/>
        <w:t>5.3. Предклинични данни за безопасност</w:t>
      </w:r>
    </w:p>
    <w:p w14:paraId="20E967BE" w14:textId="751DCF54" w:rsidR="0091385D" w:rsidRDefault="0091385D" w:rsidP="0091385D"/>
    <w:p w14:paraId="22DCB466" w14:textId="77777777"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 xml:space="preserve">Изопринозин показва нисък профил на токсичност при мултивариантни проучвания върху остра, подостра и хронична токсичност при мишки, плъхове, кучета, котки </w:t>
      </w:r>
      <w:r w:rsidRPr="00DC5798">
        <w:rPr>
          <w:rFonts w:eastAsia="Times New Roman" w:cs="Arial"/>
          <w:i/>
          <w:iCs/>
          <w:color w:val="000000"/>
          <w:szCs w:val="20"/>
          <w:lang w:eastAsia="bg-BG"/>
        </w:rPr>
        <w:t>и</w:t>
      </w:r>
      <w:r w:rsidRPr="00DC5798">
        <w:rPr>
          <w:rFonts w:eastAsia="Times New Roman" w:cs="Arial"/>
          <w:color w:val="000000"/>
          <w:szCs w:val="20"/>
          <w:lang w:eastAsia="bg-BG"/>
        </w:rPr>
        <w:t xml:space="preserve"> маймуни в дози до 1 500 </w:t>
      </w:r>
      <w:r w:rsidRPr="00DC5798">
        <w:rPr>
          <w:rFonts w:eastAsia="Times New Roman" w:cs="Arial"/>
          <w:color w:val="000000"/>
          <w:szCs w:val="20"/>
          <w:lang w:val="en-US"/>
        </w:rPr>
        <w:t>mg/kg</w:t>
      </w:r>
      <w:r w:rsidRPr="00DC5798">
        <w:rPr>
          <w:rFonts w:eastAsia="Times New Roman" w:cs="Arial"/>
          <w:color w:val="000000"/>
          <w:szCs w:val="20"/>
          <w:lang w:eastAsia="bg-BG"/>
        </w:rPr>
        <w:t xml:space="preserve">/дневно и произвежда най-ниската средна летална доза </w:t>
      </w:r>
      <w:r w:rsidRPr="00DC5798">
        <w:rPr>
          <w:rFonts w:eastAsia="Times New Roman" w:cs="Arial"/>
          <w:color w:val="000000"/>
          <w:szCs w:val="20"/>
          <w:lang w:val="en-US"/>
        </w:rPr>
        <w:t>(LD</w:t>
      </w:r>
      <w:r w:rsidRPr="00DC5798">
        <w:rPr>
          <w:rFonts w:eastAsia="Times New Roman" w:cs="Arial"/>
          <w:color w:val="000000"/>
          <w:szCs w:val="20"/>
          <w:vertAlign w:val="subscript"/>
          <w:lang w:val="en-US"/>
        </w:rPr>
        <w:t>50</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след перорално приложение, надвишаваща 50-кратно максималната терапевтична доза от 100 </w:t>
      </w:r>
      <w:r w:rsidRPr="00DC5798">
        <w:rPr>
          <w:rFonts w:eastAsia="Times New Roman" w:cs="Arial"/>
          <w:color w:val="000000"/>
          <w:szCs w:val="20"/>
          <w:lang w:val="en-US"/>
        </w:rPr>
        <w:t>mg/kg</w:t>
      </w:r>
      <w:r w:rsidRPr="00DC5798">
        <w:rPr>
          <w:rFonts w:eastAsia="Times New Roman" w:cs="Arial"/>
          <w:color w:val="000000"/>
          <w:szCs w:val="20"/>
          <w:lang w:eastAsia="bg-BG"/>
        </w:rPr>
        <w:t>/дневно.</w:t>
      </w:r>
    </w:p>
    <w:p w14:paraId="206D635E" w14:textId="77777777" w:rsidR="00DC5798" w:rsidRPr="00DC5798" w:rsidRDefault="00DC5798" w:rsidP="00DC5798">
      <w:pPr>
        <w:spacing w:line="240" w:lineRule="auto"/>
        <w:rPr>
          <w:rFonts w:eastAsia="Times New Roman" w:cs="Arial"/>
          <w:color w:val="000000"/>
          <w:szCs w:val="20"/>
          <w:lang w:eastAsia="bg-BG"/>
        </w:rPr>
      </w:pPr>
    </w:p>
    <w:p w14:paraId="08017E6E" w14:textId="784594E1"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Продължителните токсикологични проучвания при мишки и плъхове не показват карциногенен потенциал.</w:t>
      </w:r>
    </w:p>
    <w:p w14:paraId="6E637327" w14:textId="77777777" w:rsidR="00DC5798" w:rsidRPr="00DC5798" w:rsidRDefault="00DC5798" w:rsidP="00DC5798">
      <w:pPr>
        <w:spacing w:line="240" w:lineRule="auto"/>
        <w:rPr>
          <w:rFonts w:eastAsia="Times New Roman" w:cs="Arial"/>
          <w:color w:val="000000"/>
          <w:szCs w:val="20"/>
          <w:lang w:eastAsia="bg-BG"/>
        </w:rPr>
      </w:pPr>
    </w:p>
    <w:p w14:paraId="3C5BFF7A" w14:textId="45587A95" w:rsidR="00DC5798" w:rsidRPr="00DC5798" w:rsidRDefault="00DC5798" w:rsidP="00DC5798">
      <w:pPr>
        <w:spacing w:line="240" w:lineRule="auto"/>
        <w:rPr>
          <w:rFonts w:eastAsia="Times New Roman" w:cs="Arial"/>
          <w:sz w:val="28"/>
          <w:szCs w:val="24"/>
          <w:lang w:eastAsia="bg-BG"/>
        </w:rPr>
      </w:pPr>
      <w:r w:rsidRPr="00DC5798">
        <w:rPr>
          <w:rFonts w:eastAsia="Times New Roman" w:cs="Arial"/>
          <w:color w:val="000000"/>
          <w:szCs w:val="20"/>
          <w:lang w:eastAsia="bg-BG"/>
        </w:rPr>
        <w:t xml:space="preserve">Стандартните изследвания за мутагенност и </w:t>
      </w:r>
      <w:r w:rsidRPr="00DC5798">
        <w:rPr>
          <w:rFonts w:eastAsia="Times New Roman" w:cs="Arial"/>
          <w:i/>
          <w:iCs/>
          <w:color w:val="000000"/>
          <w:szCs w:val="20"/>
          <w:lang w:val="en-US"/>
        </w:rPr>
        <w:t>in vivo</w:t>
      </w:r>
      <w:r w:rsidRPr="00DC5798">
        <w:rPr>
          <w:rFonts w:eastAsia="Times New Roman" w:cs="Arial"/>
          <w:color w:val="000000"/>
          <w:szCs w:val="20"/>
          <w:lang w:val="en-US"/>
        </w:rPr>
        <w:t xml:space="preserve"> </w:t>
      </w:r>
      <w:r w:rsidRPr="00DC5798">
        <w:rPr>
          <w:rFonts w:eastAsia="Times New Roman" w:cs="Arial"/>
          <w:color w:val="000000"/>
          <w:szCs w:val="20"/>
          <w:lang w:eastAsia="bg-BG"/>
        </w:rPr>
        <w:t xml:space="preserve">проучвания при мишки и плъхове, както и </w:t>
      </w:r>
      <w:r w:rsidRPr="00DC5798">
        <w:rPr>
          <w:rFonts w:eastAsia="Times New Roman" w:cs="Arial"/>
          <w:i/>
          <w:iCs/>
          <w:color w:val="000000"/>
          <w:szCs w:val="20"/>
          <w:lang w:val="en-US"/>
        </w:rPr>
        <w:t>in vitro</w:t>
      </w:r>
      <w:r w:rsidRPr="00DC5798">
        <w:rPr>
          <w:rFonts w:eastAsia="Times New Roman" w:cs="Arial"/>
          <w:color w:val="000000"/>
          <w:szCs w:val="20"/>
          <w:lang w:val="en-US"/>
        </w:rPr>
        <w:t xml:space="preserve"> </w:t>
      </w:r>
      <w:r w:rsidRPr="00DC5798">
        <w:rPr>
          <w:rFonts w:eastAsia="Times New Roman" w:cs="Arial"/>
          <w:color w:val="000000"/>
          <w:szCs w:val="20"/>
          <w:lang w:eastAsia="bg-BG"/>
        </w:rPr>
        <w:t>проучванията върху лимфоцити от човешка периферна кръв, не показват аберентни свойства.</w:t>
      </w:r>
    </w:p>
    <w:p w14:paraId="20FA81F6" w14:textId="77777777" w:rsidR="00DC5798" w:rsidRPr="00DC5798" w:rsidRDefault="00DC5798" w:rsidP="00DC5798">
      <w:pPr>
        <w:rPr>
          <w:rFonts w:eastAsia="Times New Roman" w:cs="Arial"/>
          <w:color w:val="000000"/>
          <w:szCs w:val="20"/>
          <w:lang w:eastAsia="bg-BG"/>
        </w:rPr>
      </w:pPr>
    </w:p>
    <w:p w14:paraId="13A7B62A" w14:textId="25A75F2A" w:rsidR="007A2185" w:rsidRPr="00DC5798" w:rsidRDefault="00DC5798" w:rsidP="00DC5798">
      <w:pPr>
        <w:rPr>
          <w:rFonts w:cs="Arial"/>
          <w:sz w:val="24"/>
        </w:rPr>
      </w:pPr>
      <w:r w:rsidRPr="00DC5798">
        <w:rPr>
          <w:rFonts w:eastAsia="Times New Roman" w:cs="Arial"/>
          <w:color w:val="000000"/>
          <w:szCs w:val="20"/>
          <w:lang w:eastAsia="bg-BG"/>
        </w:rPr>
        <w:t xml:space="preserve">Няма данни за перинатална токсичност, ембриотоксичност, тератогенност или нарушена репродуктивна функция при мишки, плъхове и зайци при проучвания с продължително парентерално прилагане на дози, надвишаващи 20-кратно максималната препоръчителна терапевтична доза при хора (100 </w:t>
      </w:r>
      <w:r w:rsidRPr="00DC5798">
        <w:rPr>
          <w:rFonts w:eastAsia="Times New Roman" w:cs="Arial"/>
          <w:color w:val="000000"/>
          <w:szCs w:val="20"/>
          <w:lang w:val="en-US"/>
        </w:rPr>
        <w:t>mg/kg</w:t>
      </w:r>
      <w:r w:rsidRPr="00DC5798">
        <w:rPr>
          <w:rFonts w:eastAsia="Times New Roman" w:cs="Arial"/>
          <w:color w:val="000000"/>
          <w:szCs w:val="20"/>
          <w:lang w:eastAsia="bg-BG"/>
        </w:rPr>
        <w:t>/дневно) (вж. също точка 4.6, относно препоръките за употреба по време на бременност).</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1E17A771" w14:textId="77777777" w:rsidR="00A34260" w:rsidRPr="00A34260" w:rsidRDefault="00A34260" w:rsidP="00A34260">
      <w:pPr>
        <w:spacing w:line="240" w:lineRule="auto"/>
        <w:rPr>
          <w:rFonts w:eastAsia="Times New Roman" w:cs="Arial"/>
          <w:sz w:val="28"/>
          <w:szCs w:val="24"/>
          <w:lang w:val="en-US" w:eastAsia="bg-BG"/>
        </w:rPr>
      </w:pPr>
      <w:proofErr w:type="spellStart"/>
      <w:r w:rsidRPr="00A34260">
        <w:rPr>
          <w:rFonts w:eastAsia="Times New Roman" w:cs="Arial"/>
          <w:color w:val="000000"/>
          <w:szCs w:val="20"/>
          <w:lang w:val="en-US"/>
        </w:rPr>
        <w:t>Ewopharma</w:t>
      </w:r>
      <w:proofErr w:type="spellEnd"/>
      <w:r w:rsidRPr="00A34260">
        <w:rPr>
          <w:rFonts w:eastAsia="Times New Roman" w:cs="Arial"/>
          <w:color w:val="000000"/>
          <w:szCs w:val="20"/>
          <w:lang w:val="en-US"/>
        </w:rPr>
        <w:t xml:space="preserve"> International, </w:t>
      </w:r>
      <w:proofErr w:type="spellStart"/>
      <w:r w:rsidRPr="00A34260">
        <w:rPr>
          <w:rFonts w:eastAsia="Times New Roman" w:cs="Arial"/>
          <w:color w:val="000000"/>
          <w:szCs w:val="20"/>
          <w:lang w:val="en-US"/>
        </w:rPr>
        <w:t>s.r.o</w:t>
      </w:r>
      <w:proofErr w:type="spellEnd"/>
      <w:r w:rsidRPr="00A34260">
        <w:rPr>
          <w:rFonts w:eastAsia="Times New Roman" w:cs="Arial"/>
          <w:color w:val="000000"/>
          <w:szCs w:val="20"/>
          <w:lang w:val="en-US"/>
        </w:rPr>
        <w:t>.</w:t>
      </w:r>
    </w:p>
    <w:p w14:paraId="0C7F668E" w14:textId="77777777" w:rsidR="00A34260" w:rsidRPr="00A34260" w:rsidRDefault="00A34260" w:rsidP="00A34260">
      <w:pPr>
        <w:spacing w:line="240" w:lineRule="auto"/>
        <w:rPr>
          <w:rFonts w:eastAsia="Times New Roman" w:cs="Arial"/>
          <w:sz w:val="28"/>
          <w:szCs w:val="24"/>
          <w:lang w:val="en-US" w:eastAsia="bg-BG"/>
        </w:rPr>
      </w:pPr>
      <w:proofErr w:type="spellStart"/>
      <w:r w:rsidRPr="00A34260">
        <w:rPr>
          <w:rFonts w:eastAsia="Times New Roman" w:cs="Arial"/>
          <w:color w:val="000000"/>
          <w:szCs w:val="20"/>
          <w:lang w:val="en-US"/>
        </w:rPr>
        <w:t>Prokopa</w:t>
      </w:r>
      <w:proofErr w:type="spellEnd"/>
      <w:r w:rsidRPr="00A34260">
        <w:rPr>
          <w:rFonts w:eastAsia="Times New Roman" w:cs="Arial"/>
          <w:color w:val="000000"/>
          <w:szCs w:val="20"/>
          <w:lang w:val="en-US"/>
        </w:rPr>
        <w:t xml:space="preserve"> </w:t>
      </w:r>
      <w:proofErr w:type="spellStart"/>
      <w:r w:rsidRPr="00A34260">
        <w:rPr>
          <w:rFonts w:eastAsia="Times New Roman" w:cs="Arial"/>
          <w:color w:val="000000"/>
          <w:szCs w:val="20"/>
          <w:lang w:val="en-US"/>
        </w:rPr>
        <w:t>Vefkeho</w:t>
      </w:r>
      <w:proofErr w:type="spellEnd"/>
      <w:r w:rsidRPr="00A34260">
        <w:rPr>
          <w:rFonts w:eastAsia="Times New Roman" w:cs="Arial"/>
          <w:color w:val="000000"/>
          <w:szCs w:val="20"/>
          <w:lang w:val="en-US"/>
        </w:rPr>
        <w:t xml:space="preserve"> 52</w:t>
      </w:r>
    </w:p>
    <w:p w14:paraId="0E8E1A86" w14:textId="77777777" w:rsidR="00A34260" w:rsidRPr="00A34260" w:rsidRDefault="00A34260" w:rsidP="00A34260">
      <w:pPr>
        <w:spacing w:line="240" w:lineRule="auto"/>
        <w:rPr>
          <w:rFonts w:eastAsia="Times New Roman" w:cs="Arial"/>
          <w:sz w:val="28"/>
          <w:szCs w:val="24"/>
          <w:lang w:val="en-US" w:eastAsia="bg-BG"/>
        </w:rPr>
      </w:pPr>
      <w:r w:rsidRPr="00A34260">
        <w:rPr>
          <w:rFonts w:eastAsia="Times New Roman" w:cs="Arial"/>
          <w:color w:val="000000"/>
          <w:szCs w:val="20"/>
          <w:lang w:val="en-US"/>
        </w:rPr>
        <w:t>811 04 Bratislava</w:t>
      </w:r>
    </w:p>
    <w:p w14:paraId="7C9C3E59" w14:textId="77777777" w:rsidR="00A34260" w:rsidRPr="00A34260" w:rsidRDefault="00A34260" w:rsidP="00A34260">
      <w:pPr>
        <w:spacing w:line="240" w:lineRule="auto"/>
        <w:rPr>
          <w:rFonts w:eastAsia="Times New Roman" w:cs="Arial"/>
          <w:sz w:val="28"/>
          <w:szCs w:val="24"/>
          <w:lang w:val="en-US" w:eastAsia="bg-BG"/>
        </w:rPr>
      </w:pPr>
      <w:r w:rsidRPr="00A34260">
        <w:rPr>
          <w:rFonts w:eastAsia="Times New Roman" w:cs="Arial"/>
          <w:color w:val="000000"/>
          <w:szCs w:val="20"/>
          <w:lang w:eastAsia="bg-BG"/>
        </w:rPr>
        <w:t>Словакия</w:t>
      </w:r>
    </w:p>
    <w:p w14:paraId="1110DAF7" w14:textId="77777777" w:rsidR="00A34260" w:rsidRPr="00A34260" w:rsidRDefault="00A34260" w:rsidP="00A34260">
      <w:pPr>
        <w:spacing w:line="240" w:lineRule="auto"/>
        <w:rPr>
          <w:rFonts w:eastAsia="Times New Roman" w:cs="Arial"/>
          <w:sz w:val="28"/>
          <w:szCs w:val="24"/>
          <w:lang w:val="en-US" w:eastAsia="bg-BG"/>
        </w:rPr>
      </w:pPr>
      <w:r w:rsidRPr="00A34260">
        <w:rPr>
          <w:rFonts w:eastAsia="Times New Roman" w:cs="Arial"/>
          <w:color w:val="000000"/>
          <w:szCs w:val="20"/>
          <w:lang w:eastAsia="bg-BG"/>
        </w:rPr>
        <w:t xml:space="preserve">Тел: </w:t>
      </w:r>
      <w:r w:rsidRPr="00A34260">
        <w:rPr>
          <w:rFonts w:eastAsia="Times New Roman" w:cs="Arial"/>
          <w:color w:val="000000"/>
          <w:szCs w:val="20"/>
          <w:lang w:val="en-US"/>
        </w:rPr>
        <w:t>+421 2 5479 3508</w:t>
      </w:r>
    </w:p>
    <w:p w14:paraId="4F02909F" w14:textId="4EACE84E" w:rsidR="007A2185" w:rsidRPr="00A34260" w:rsidRDefault="00A34260" w:rsidP="00A34260">
      <w:pPr>
        <w:rPr>
          <w:rFonts w:cs="Arial"/>
          <w:sz w:val="24"/>
        </w:rPr>
      </w:pPr>
      <w:r w:rsidRPr="00A34260">
        <w:rPr>
          <w:rFonts w:eastAsia="Times New Roman" w:cs="Arial"/>
          <w:color w:val="000000"/>
          <w:szCs w:val="20"/>
          <w:lang w:eastAsia="bg-BG"/>
        </w:rPr>
        <w:t xml:space="preserve">Факс: </w:t>
      </w:r>
      <w:r w:rsidRPr="00A34260">
        <w:rPr>
          <w:rFonts w:eastAsia="Times New Roman" w:cs="Arial"/>
          <w:color w:val="000000"/>
          <w:szCs w:val="20"/>
          <w:lang w:val="en-US"/>
        </w:rPr>
        <w:t>+421 2 5479 3085</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7D3C1EDC" w:rsidR="007A2185" w:rsidRPr="00A34260" w:rsidRDefault="00A34260" w:rsidP="0091385D">
      <w:pPr>
        <w:rPr>
          <w:rFonts w:cs="Arial"/>
          <w:sz w:val="24"/>
        </w:rPr>
      </w:pPr>
      <w:proofErr w:type="spellStart"/>
      <w:r w:rsidRPr="00A34260">
        <w:rPr>
          <w:rFonts w:cs="Arial"/>
          <w:szCs w:val="20"/>
          <w:lang w:val="en-US"/>
        </w:rPr>
        <w:t>Pe</w:t>
      </w:r>
      <w:proofErr w:type="spellEnd"/>
      <w:r w:rsidRPr="00A34260">
        <w:rPr>
          <w:rFonts w:cs="Arial"/>
          <w:szCs w:val="20"/>
        </w:rPr>
        <w:t>г</w:t>
      </w:r>
      <w:r w:rsidRPr="00A34260">
        <w:rPr>
          <w:rFonts w:cs="Arial"/>
          <w:szCs w:val="20"/>
          <w:lang w:val="en-US"/>
        </w:rPr>
        <w:t xml:space="preserve">. </w:t>
      </w:r>
      <w:r w:rsidRPr="00A34260">
        <w:rPr>
          <w:rFonts w:cs="Arial"/>
          <w:szCs w:val="20"/>
        </w:rPr>
        <w:t>№ 20190071</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6C57D8B6" w14:textId="4D330709" w:rsidR="007A2185" w:rsidRPr="00A34260" w:rsidRDefault="00A34260" w:rsidP="0091385D">
      <w:pPr>
        <w:rPr>
          <w:rFonts w:cs="Arial"/>
          <w:sz w:val="24"/>
        </w:rPr>
      </w:pPr>
      <w:r w:rsidRPr="00A34260">
        <w:rPr>
          <w:rFonts w:cs="Arial"/>
          <w:szCs w:val="20"/>
        </w:rPr>
        <w:t>Дата на първо разрешаване: 04/04/2019</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77777777" w:rsidR="007A2185" w:rsidRDefault="007A2185"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0E431E7"/>
    <w:multiLevelType w:val="hybridMultilevel"/>
    <w:tmpl w:val="39EC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5131074"/>
    <w:multiLevelType w:val="hybridMultilevel"/>
    <w:tmpl w:val="C13A755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219B"/>
    <w:multiLevelType w:val="hybridMultilevel"/>
    <w:tmpl w:val="C8948E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B37CF"/>
    <w:multiLevelType w:val="hybridMultilevel"/>
    <w:tmpl w:val="76007556"/>
    <w:lvl w:ilvl="0" w:tplc="6E6ED86E">
      <w:start w:val="8"/>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80B2C"/>
    <w:multiLevelType w:val="hybridMultilevel"/>
    <w:tmpl w:val="B7501992"/>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3578B"/>
    <w:multiLevelType w:val="hybridMultilevel"/>
    <w:tmpl w:val="844CED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F7401B"/>
    <w:multiLevelType w:val="hybridMultilevel"/>
    <w:tmpl w:val="40707794"/>
    <w:lvl w:ilvl="0" w:tplc="04020011">
      <w:start w:val="1"/>
      <w:numFmt w:val="decimal"/>
      <w:lvlText w:val="%1)"/>
      <w:lvlJc w:val="left"/>
      <w:pPr>
        <w:ind w:left="765" w:hanging="360"/>
      </w:p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38" w15:restartNumberingAfterBreak="0">
    <w:nsid w:val="687B7A91"/>
    <w:multiLevelType w:val="hybridMultilevel"/>
    <w:tmpl w:val="A496873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421C9"/>
    <w:multiLevelType w:val="hybridMultilevel"/>
    <w:tmpl w:val="97400B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68A50B2"/>
    <w:multiLevelType w:val="hybridMultilevel"/>
    <w:tmpl w:val="09A2CFE4"/>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5"/>
  </w:num>
  <w:num w:numId="12">
    <w:abstractNumId w:val="16"/>
  </w:num>
  <w:num w:numId="13">
    <w:abstractNumId w:val="21"/>
  </w:num>
  <w:num w:numId="14">
    <w:abstractNumId w:val="13"/>
  </w:num>
  <w:num w:numId="15">
    <w:abstractNumId w:val="33"/>
  </w:num>
  <w:num w:numId="16">
    <w:abstractNumId w:val="10"/>
  </w:num>
  <w:num w:numId="17">
    <w:abstractNumId w:val="27"/>
  </w:num>
  <w:num w:numId="18">
    <w:abstractNumId w:val="8"/>
  </w:num>
  <w:num w:numId="19">
    <w:abstractNumId w:val="30"/>
  </w:num>
  <w:num w:numId="20">
    <w:abstractNumId w:val="26"/>
  </w:num>
  <w:num w:numId="21">
    <w:abstractNumId w:val="19"/>
  </w:num>
  <w:num w:numId="22">
    <w:abstractNumId w:val="28"/>
  </w:num>
  <w:num w:numId="23">
    <w:abstractNumId w:val="20"/>
  </w:num>
  <w:num w:numId="24">
    <w:abstractNumId w:val="9"/>
  </w:num>
  <w:num w:numId="25">
    <w:abstractNumId w:val="25"/>
  </w:num>
  <w:num w:numId="26">
    <w:abstractNumId w:val="23"/>
  </w:num>
  <w:num w:numId="27">
    <w:abstractNumId w:val="39"/>
  </w:num>
  <w:num w:numId="28">
    <w:abstractNumId w:val="6"/>
  </w:num>
  <w:num w:numId="29">
    <w:abstractNumId w:val="22"/>
  </w:num>
  <w:num w:numId="30">
    <w:abstractNumId w:val="44"/>
  </w:num>
  <w:num w:numId="31">
    <w:abstractNumId w:val="5"/>
  </w:num>
  <w:num w:numId="32">
    <w:abstractNumId w:val="43"/>
  </w:num>
  <w:num w:numId="33">
    <w:abstractNumId w:val="32"/>
  </w:num>
  <w:num w:numId="34">
    <w:abstractNumId w:val="40"/>
  </w:num>
  <w:num w:numId="35">
    <w:abstractNumId w:val="15"/>
  </w:num>
  <w:num w:numId="36">
    <w:abstractNumId w:val="36"/>
  </w:num>
  <w:num w:numId="37">
    <w:abstractNumId w:val="38"/>
  </w:num>
  <w:num w:numId="38">
    <w:abstractNumId w:val="24"/>
  </w:num>
  <w:num w:numId="39">
    <w:abstractNumId w:val="7"/>
  </w:num>
  <w:num w:numId="40">
    <w:abstractNumId w:val="29"/>
  </w:num>
  <w:num w:numId="41">
    <w:abstractNumId w:val="42"/>
  </w:num>
  <w:num w:numId="42">
    <w:abstractNumId w:val="34"/>
  </w:num>
  <w:num w:numId="43">
    <w:abstractNumId w:val="11"/>
  </w:num>
  <w:num w:numId="44">
    <w:abstractNumId w:val="4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34260"/>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C5798"/>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2749</Words>
  <Characters>15674</Characters>
  <Application>Microsoft Office Word</Application>
  <DocSecurity>0</DocSecurity>
  <Lines>130</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2023-03-02T14:56:00Z</dcterms:created>
  <dcterms:modified xsi:type="dcterms:W3CDTF">2023-03-02T14:56:00Z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