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Pr="002F6225" w:rsidRDefault="002C50EE" w:rsidP="002C50EE">
      <w:pPr>
        <w:pStyle w:val="Heading1"/>
        <w:jc w:val="center"/>
      </w:pPr>
      <w:bookmarkStart w:id="0" w:name="_Hlk63124480"/>
      <w:r w:rsidRPr="002F6225">
        <w:t>КРАТКА ХАРАКТЕРИСТИКА НА ПРОДУКТА</w:t>
      </w:r>
    </w:p>
    <w:p w14:paraId="2BE34EF6" w14:textId="2BF3DE1B" w:rsidR="007122AD" w:rsidRPr="002F6225" w:rsidRDefault="00DD466D" w:rsidP="00936AD0">
      <w:pPr>
        <w:pStyle w:val="Heading1"/>
      </w:pPr>
      <w:r w:rsidRPr="002F6225">
        <w:t>1.ИМЕ НА ЛЕКАРСТВЕНИЯ ПРОДУКТ</w:t>
      </w:r>
    </w:p>
    <w:p w14:paraId="459C6A4E" w14:textId="1CA70A87" w:rsidR="00B05EC8" w:rsidRPr="002F6225" w:rsidRDefault="00B05EC8" w:rsidP="00B05EC8"/>
    <w:p w14:paraId="1E0EF612" w14:textId="77777777" w:rsidR="00B05EC8" w:rsidRPr="002F6225" w:rsidRDefault="00B05EC8" w:rsidP="00B05EC8">
      <w:pPr>
        <w:rPr>
          <w:sz w:val="24"/>
          <w:szCs w:val="24"/>
        </w:rPr>
      </w:pPr>
      <w:proofErr w:type="spellStart"/>
      <w:r w:rsidRPr="002F6225">
        <w:rPr>
          <w:lang w:eastAsia="bg-BG"/>
        </w:rPr>
        <w:t>Ивабенор</w:t>
      </w:r>
      <w:proofErr w:type="spellEnd"/>
      <w:r w:rsidRPr="002F6225">
        <w:rPr>
          <w:lang w:eastAsia="bg-BG"/>
        </w:rPr>
        <w:t xml:space="preserve"> 5 </w:t>
      </w:r>
      <w:proofErr w:type="spellStart"/>
      <w:r w:rsidRPr="002F6225">
        <w:t>mg</w:t>
      </w:r>
      <w:proofErr w:type="spellEnd"/>
      <w:r w:rsidRPr="002F6225">
        <w:t xml:space="preserve"> </w:t>
      </w:r>
      <w:r w:rsidRPr="002F6225">
        <w:rPr>
          <w:lang w:eastAsia="bg-BG"/>
        </w:rPr>
        <w:t>филмирани таблетки</w:t>
      </w:r>
    </w:p>
    <w:p w14:paraId="3F02CC7B" w14:textId="77777777" w:rsidR="00B05EC8" w:rsidRPr="002F6225" w:rsidRDefault="00B05EC8" w:rsidP="00B05EC8">
      <w:pPr>
        <w:rPr>
          <w:sz w:val="24"/>
          <w:szCs w:val="24"/>
        </w:rPr>
      </w:pPr>
      <w:proofErr w:type="spellStart"/>
      <w:r w:rsidRPr="002F6225">
        <w:t>Ivabenor</w:t>
      </w:r>
      <w:proofErr w:type="spellEnd"/>
      <w:r w:rsidRPr="002F6225">
        <w:t xml:space="preserve"> </w:t>
      </w:r>
      <w:r w:rsidRPr="002F6225">
        <w:rPr>
          <w:lang w:eastAsia="bg-BG"/>
        </w:rPr>
        <w:t xml:space="preserve">5 </w:t>
      </w:r>
      <w:proofErr w:type="spellStart"/>
      <w:r w:rsidRPr="002F6225">
        <w:t>mg</w:t>
      </w:r>
      <w:proofErr w:type="spellEnd"/>
      <w:r w:rsidRPr="002F6225">
        <w:t xml:space="preserve"> </w:t>
      </w:r>
      <w:proofErr w:type="spellStart"/>
      <w:r w:rsidRPr="002F6225">
        <w:t>film-coated</w:t>
      </w:r>
      <w:proofErr w:type="spellEnd"/>
      <w:r w:rsidRPr="002F6225">
        <w:t xml:space="preserve"> </w:t>
      </w:r>
      <w:proofErr w:type="spellStart"/>
      <w:r w:rsidRPr="002F6225">
        <w:t>tablets</w:t>
      </w:r>
      <w:proofErr w:type="spellEnd"/>
    </w:p>
    <w:p w14:paraId="7DF302A8" w14:textId="77777777" w:rsidR="00B05EC8" w:rsidRPr="002F6225" w:rsidRDefault="00B05EC8" w:rsidP="00B05EC8">
      <w:pPr>
        <w:rPr>
          <w:lang w:eastAsia="bg-BG"/>
        </w:rPr>
      </w:pPr>
    </w:p>
    <w:p w14:paraId="696B7082" w14:textId="6E599697" w:rsidR="00B05EC8" w:rsidRPr="002F6225" w:rsidRDefault="00B05EC8" w:rsidP="00B05EC8">
      <w:pPr>
        <w:rPr>
          <w:sz w:val="24"/>
          <w:szCs w:val="24"/>
        </w:rPr>
      </w:pPr>
      <w:proofErr w:type="spellStart"/>
      <w:r w:rsidRPr="002F6225">
        <w:rPr>
          <w:lang w:eastAsia="bg-BG"/>
        </w:rPr>
        <w:t>Ивабенор</w:t>
      </w:r>
      <w:proofErr w:type="spellEnd"/>
      <w:r w:rsidRPr="002F6225">
        <w:rPr>
          <w:lang w:eastAsia="bg-BG"/>
        </w:rPr>
        <w:t xml:space="preserve"> </w:t>
      </w:r>
      <w:r w:rsidRPr="002F6225">
        <w:t xml:space="preserve">7,5 </w:t>
      </w:r>
      <w:proofErr w:type="spellStart"/>
      <w:r w:rsidRPr="002F6225">
        <w:t>mg</w:t>
      </w:r>
      <w:proofErr w:type="spellEnd"/>
      <w:r w:rsidRPr="002F6225">
        <w:t xml:space="preserve"> </w:t>
      </w:r>
      <w:r w:rsidRPr="002F6225">
        <w:rPr>
          <w:lang w:eastAsia="bg-BG"/>
        </w:rPr>
        <w:t>филмирани таблетки</w:t>
      </w:r>
    </w:p>
    <w:p w14:paraId="59C825A8" w14:textId="77777777" w:rsidR="00B05EC8" w:rsidRPr="002F6225" w:rsidRDefault="00B05EC8" w:rsidP="00B05EC8">
      <w:pPr>
        <w:rPr>
          <w:sz w:val="24"/>
          <w:szCs w:val="24"/>
        </w:rPr>
      </w:pPr>
      <w:proofErr w:type="spellStart"/>
      <w:r w:rsidRPr="002F6225">
        <w:t>Ivabenor</w:t>
      </w:r>
      <w:proofErr w:type="spellEnd"/>
      <w:r w:rsidRPr="002F6225">
        <w:t xml:space="preserve"> </w:t>
      </w:r>
      <w:r w:rsidRPr="002F6225">
        <w:rPr>
          <w:lang w:eastAsia="bg-BG"/>
        </w:rPr>
        <w:t xml:space="preserve">7,5 </w:t>
      </w:r>
      <w:proofErr w:type="spellStart"/>
      <w:r w:rsidRPr="002F6225">
        <w:t>mg</w:t>
      </w:r>
      <w:proofErr w:type="spellEnd"/>
      <w:r w:rsidRPr="002F6225">
        <w:t xml:space="preserve"> </w:t>
      </w:r>
      <w:proofErr w:type="spellStart"/>
      <w:r w:rsidRPr="002F6225">
        <w:t>film-coated</w:t>
      </w:r>
      <w:proofErr w:type="spellEnd"/>
      <w:r w:rsidRPr="002F6225">
        <w:t xml:space="preserve"> </w:t>
      </w:r>
      <w:proofErr w:type="spellStart"/>
      <w:r w:rsidRPr="002F6225">
        <w:t>tablets</w:t>
      </w:r>
      <w:proofErr w:type="spellEnd"/>
    </w:p>
    <w:p w14:paraId="4F4BAEDD" w14:textId="77777777" w:rsidR="00B05EC8" w:rsidRPr="002F6225" w:rsidRDefault="00B05EC8" w:rsidP="00B05EC8"/>
    <w:p w14:paraId="6920A680" w14:textId="6EB9E522" w:rsidR="00C40420" w:rsidRPr="002F6225" w:rsidRDefault="00DD466D" w:rsidP="004A448E">
      <w:pPr>
        <w:pStyle w:val="Heading1"/>
      </w:pPr>
      <w:r w:rsidRPr="002F6225">
        <w:t>2. КАЧЕСТВЕН И КОЛИЧЕСТВЕН СЪСТАВ</w:t>
      </w:r>
    </w:p>
    <w:p w14:paraId="6C983E2A" w14:textId="2795B1FE" w:rsidR="00B05EC8" w:rsidRPr="002F6225" w:rsidRDefault="00B05EC8" w:rsidP="00B05EC8"/>
    <w:p w14:paraId="599188FD" w14:textId="77777777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>Ивабенор</w:t>
      </w:r>
      <w:proofErr w:type="spellEnd"/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 xml:space="preserve"> 5 </w:t>
      </w:r>
      <w:proofErr w:type="spellStart"/>
      <w:r w:rsidRPr="002F6225">
        <w:rPr>
          <w:rFonts w:eastAsia="Times New Roman" w:cs="Arial"/>
          <w:color w:val="000000"/>
          <w:szCs w:val="20"/>
          <w:u w:val="single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  <w:u w:val="single"/>
        </w:rPr>
        <w:t xml:space="preserve"> </w:t>
      </w:r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>филмирани таблетки</w:t>
      </w:r>
    </w:p>
    <w:p w14:paraId="623BD82F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F41363D" w14:textId="56F72463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r w:rsidRPr="002F6225">
        <w:rPr>
          <w:rFonts w:eastAsia="Times New Roman" w:cs="Arial"/>
          <w:color w:val="000000"/>
          <w:szCs w:val="20"/>
          <w:lang w:eastAsia="bg-BG"/>
        </w:rPr>
        <w:t xml:space="preserve">Всяка филмирана таблетка съдържа 5 </w:t>
      </w:r>
      <w:proofErr w:type="spellStart"/>
      <w:r w:rsidRPr="002F6225">
        <w:rPr>
          <w:rFonts w:eastAsia="Times New Roman" w:cs="Arial"/>
          <w:color w:val="000000"/>
          <w:szCs w:val="20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2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2F6225">
        <w:rPr>
          <w:rFonts w:eastAsia="Times New Roman" w:cs="Arial"/>
          <w:color w:val="000000"/>
          <w:szCs w:val="20"/>
        </w:rPr>
        <w:t>(</w:t>
      </w:r>
      <w:proofErr w:type="spellStart"/>
      <w:r w:rsidRPr="002F6225">
        <w:rPr>
          <w:rFonts w:eastAsia="Times New Roman" w:cs="Arial"/>
          <w:color w:val="000000"/>
          <w:szCs w:val="20"/>
        </w:rPr>
        <w:t>ivabradine</w:t>
      </w:r>
      <w:proofErr w:type="spellEnd"/>
      <w:r w:rsidRPr="002F6225">
        <w:rPr>
          <w:rFonts w:eastAsia="Times New Roman" w:cs="Arial"/>
          <w:color w:val="000000"/>
          <w:szCs w:val="20"/>
        </w:rPr>
        <w:t xml:space="preserve">) </w:t>
      </w:r>
      <w:r w:rsidRPr="002F6225">
        <w:rPr>
          <w:rFonts w:eastAsia="Times New Roman" w:cs="Arial"/>
          <w:color w:val="000000"/>
          <w:szCs w:val="20"/>
          <w:lang w:eastAsia="bg-BG"/>
        </w:rPr>
        <w:t xml:space="preserve">(еквивалентно на 5,390 </w:t>
      </w:r>
      <w:proofErr w:type="spellStart"/>
      <w:r w:rsidRPr="002F6225">
        <w:rPr>
          <w:rFonts w:eastAsia="Times New Roman" w:cs="Arial"/>
          <w:color w:val="000000"/>
          <w:szCs w:val="20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2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20"/>
          <w:lang w:eastAsia="bg-BG"/>
        </w:rPr>
        <w:t xml:space="preserve"> хидрохлорид).</w:t>
      </w:r>
    </w:p>
    <w:p w14:paraId="580BC7A7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43CAA451" w14:textId="53615521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r w:rsidRPr="002F6225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Помощно вещество с известно действие</w:t>
      </w:r>
      <w:r w:rsidRPr="002F6225">
        <w:rPr>
          <w:rFonts w:eastAsia="Times New Roman" w:cs="Arial"/>
          <w:i/>
          <w:iCs/>
          <w:color w:val="000000"/>
          <w:szCs w:val="20"/>
          <w:lang w:eastAsia="bg-BG"/>
        </w:rPr>
        <w:t>:</w:t>
      </w:r>
    </w:p>
    <w:p w14:paraId="500E8F51" w14:textId="77777777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r w:rsidRPr="002F6225">
        <w:rPr>
          <w:rFonts w:eastAsia="Times New Roman" w:cs="Arial"/>
          <w:color w:val="000000"/>
          <w:szCs w:val="20"/>
          <w:lang w:eastAsia="bg-BG"/>
        </w:rPr>
        <w:t xml:space="preserve">Всяка филмирана таблетка от 5 </w:t>
      </w:r>
      <w:proofErr w:type="spellStart"/>
      <w:r w:rsidRPr="002F6225">
        <w:rPr>
          <w:rFonts w:eastAsia="Times New Roman" w:cs="Arial"/>
          <w:color w:val="000000"/>
          <w:szCs w:val="20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</w:rPr>
        <w:t xml:space="preserve"> </w:t>
      </w:r>
      <w:r w:rsidRPr="002F6225">
        <w:rPr>
          <w:rFonts w:eastAsia="Times New Roman" w:cs="Arial"/>
          <w:color w:val="000000"/>
          <w:szCs w:val="20"/>
          <w:lang w:eastAsia="bg-BG"/>
        </w:rPr>
        <w:t xml:space="preserve">съдържа 50 </w:t>
      </w:r>
      <w:proofErr w:type="spellStart"/>
      <w:r w:rsidRPr="002F6225">
        <w:rPr>
          <w:rFonts w:eastAsia="Times New Roman" w:cs="Arial"/>
          <w:color w:val="000000"/>
          <w:szCs w:val="20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</w:rPr>
        <w:t xml:space="preserve"> </w:t>
      </w:r>
      <w:r w:rsidRPr="002F6225">
        <w:rPr>
          <w:rFonts w:eastAsia="Times New Roman" w:cs="Arial"/>
          <w:color w:val="000000"/>
          <w:szCs w:val="20"/>
          <w:lang w:eastAsia="bg-BG"/>
        </w:rPr>
        <w:t xml:space="preserve">лактоза </w:t>
      </w:r>
      <w:proofErr w:type="spellStart"/>
      <w:r w:rsidRPr="002F6225">
        <w:rPr>
          <w:rFonts w:eastAsia="Times New Roman" w:cs="Arial"/>
          <w:color w:val="000000"/>
          <w:szCs w:val="20"/>
          <w:lang w:eastAsia="bg-BG"/>
        </w:rPr>
        <w:t>монохидрат</w:t>
      </w:r>
      <w:proofErr w:type="spellEnd"/>
      <w:r w:rsidRPr="002F6225">
        <w:rPr>
          <w:rFonts w:eastAsia="Times New Roman" w:cs="Arial"/>
          <w:color w:val="000000"/>
          <w:szCs w:val="20"/>
          <w:lang w:eastAsia="bg-BG"/>
        </w:rPr>
        <w:t>.</w:t>
      </w:r>
    </w:p>
    <w:p w14:paraId="5DD2E1E0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99CF2BC" w14:textId="2CE16455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>Ивабенор</w:t>
      </w:r>
      <w:proofErr w:type="spellEnd"/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 xml:space="preserve"> 7,5 </w:t>
      </w:r>
      <w:proofErr w:type="spellStart"/>
      <w:r w:rsidRPr="002F6225">
        <w:rPr>
          <w:rFonts w:eastAsia="Times New Roman" w:cs="Arial"/>
          <w:color w:val="000000"/>
          <w:szCs w:val="20"/>
          <w:u w:val="single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  <w:u w:val="single"/>
        </w:rPr>
        <w:t xml:space="preserve"> </w:t>
      </w:r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>филмирани таблетки</w:t>
      </w:r>
    </w:p>
    <w:p w14:paraId="1A8BE03F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5190E1B" w14:textId="7E3035C6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r w:rsidRPr="002F6225">
        <w:rPr>
          <w:rFonts w:eastAsia="Times New Roman" w:cs="Arial"/>
          <w:color w:val="000000"/>
          <w:szCs w:val="20"/>
          <w:lang w:eastAsia="bg-BG"/>
        </w:rPr>
        <w:t xml:space="preserve">Всяка филмирана таблетка съдържа 7,5 </w:t>
      </w:r>
      <w:proofErr w:type="spellStart"/>
      <w:r w:rsidRPr="002F6225">
        <w:rPr>
          <w:rFonts w:eastAsia="Times New Roman" w:cs="Arial"/>
          <w:color w:val="000000"/>
          <w:szCs w:val="20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2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2F6225">
        <w:rPr>
          <w:rFonts w:eastAsia="Times New Roman" w:cs="Arial"/>
          <w:color w:val="000000"/>
          <w:szCs w:val="20"/>
        </w:rPr>
        <w:t>(</w:t>
      </w:r>
      <w:proofErr w:type="spellStart"/>
      <w:r w:rsidRPr="002F6225">
        <w:rPr>
          <w:rFonts w:eastAsia="Times New Roman" w:cs="Arial"/>
          <w:color w:val="000000"/>
          <w:szCs w:val="20"/>
        </w:rPr>
        <w:t>ivabradine</w:t>
      </w:r>
      <w:proofErr w:type="spellEnd"/>
      <w:r w:rsidRPr="002F6225">
        <w:rPr>
          <w:rFonts w:eastAsia="Times New Roman" w:cs="Arial"/>
          <w:color w:val="000000"/>
          <w:szCs w:val="20"/>
        </w:rPr>
        <w:t xml:space="preserve">) </w:t>
      </w:r>
      <w:r w:rsidRPr="002F6225">
        <w:rPr>
          <w:rFonts w:eastAsia="Times New Roman" w:cs="Arial"/>
          <w:color w:val="000000"/>
          <w:szCs w:val="20"/>
          <w:lang w:eastAsia="bg-BG"/>
        </w:rPr>
        <w:t xml:space="preserve">(еквивалентно на 8,085 </w:t>
      </w:r>
      <w:proofErr w:type="spellStart"/>
      <w:r w:rsidRPr="002F6225">
        <w:rPr>
          <w:rFonts w:eastAsia="Times New Roman" w:cs="Arial"/>
          <w:color w:val="000000"/>
          <w:szCs w:val="20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2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20"/>
          <w:lang w:eastAsia="bg-BG"/>
        </w:rPr>
        <w:t xml:space="preserve"> хидрохлорид).</w:t>
      </w:r>
    </w:p>
    <w:p w14:paraId="7AD5913E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5D3F0CA8" w14:textId="03269959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r w:rsidRPr="002F6225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Помощно вещество с известно действие:</w:t>
      </w:r>
    </w:p>
    <w:p w14:paraId="34DA23EF" w14:textId="28565540" w:rsidR="00B05EC8" w:rsidRPr="002F6225" w:rsidRDefault="00B05EC8" w:rsidP="00B05EC8">
      <w:pPr>
        <w:rPr>
          <w:rFonts w:eastAsia="Times New Roman" w:cs="Arial"/>
          <w:color w:val="000000"/>
          <w:szCs w:val="20"/>
          <w:lang w:eastAsia="bg-BG"/>
        </w:rPr>
      </w:pPr>
      <w:r w:rsidRPr="002F6225">
        <w:rPr>
          <w:rFonts w:eastAsia="Times New Roman" w:cs="Arial"/>
          <w:color w:val="000000"/>
          <w:szCs w:val="20"/>
          <w:lang w:eastAsia="bg-BG"/>
        </w:rPr>
        <w:t xml:space="preserve">Всяка филмирана таблетка от 7,5 </w:t>
      </w:r>
      <w:proofErr w:type="spellStart"/>
      <w:r w:rsidRPr="002F6225">
        <w:rPr>
          <w:rFonts w:eastAsia="Times New Roman" w:cs="Arial"/>
          <w:color w:val="000000"/>
          <w:szCs w:val="20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</w:rPr>
        <w:t xml:space="preserve"> </w:t>
      </w:r>
      <w:r w:rsidRPr="002F6225">
        <w:rPr>
          <w:rFonts w:eastAsia="Times New Roman" w:cs="Arial"/>
          <w:color w:val="000000"/>
          <w:szCs w:val="20"/>
          <w:lang w:eastAsia="bg-BG"/>
        </w:rPr>
        <w:t xml:space="preserve">съдържа 75 </w:t>
      </w:r>
      <w:proofErr w:type="spellStart"/>
      <w:r w:rsidRPr="002F6225">
        <w:rPr>
          <w:rFonts w:eastAsia="Times New Roman" w:cs="Arial"/>
          <w:color w:val="000000"/>
          <w:szCs w:val="20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</w:rPr>
        <w:t xml:space="preserve"> </w:t>
      </w:r>
      <w:r w:rsidRPr="002F6225">
        <w:rPr>
          <w:rFonts w:eastAsia="Times New Roman" w:cs="Arial"/>
          <w:color w:val="000000"/>
          <w:szCs w:val="20"/>
          <w:lang w:eastAsia="bg-BG"/>
        </w:rPr>
        <w:t xml:space="preserve">лактоза </w:t>
      </w:r>
      <w:proofErr w:type="spellStart"/>
      <w:r w:rsidRPr="002F6225">
        <w:rPr>
          <w:rFonts w:eastAsia="Times New Roman" w:cs="Arial"/>
          <w:color w:val="000000"/>
          <w:szCs w:val="20"/>
          <w:lang w:eastAsia="bg-BG"/>
        </w:rPr>
        <w:t>монохидрат</w:t>
      </w:r>
      <w:proofErr w:type="spellEnd"/>
      <w:r w:rsidRPr="002F6225">
        <w:rPr>
          <w:rFonts w:eastAsia="Times New Roman" w:cs="Arial"/>
          <w:color w:val="000000"/>
          <w:szCs w:val="20"/>
          <w:lang w:eastAsia="bg-BG"/>
        </w:rPr>
        <w:t>.</w:t>
      </w:r>
    </w:p>
    <w:p w14:paraId="13113D7D" w14:textId="77777777" w:rsidR="00B05EC8" w:rsidRPr="002F6225" w:rsidRDefault="00B05EC8" w:rsidP="00B05EC8"/>
    <w:p w14:paraId="614984C4" w14:textId="27EF48B8" w:rsidR="008A6AF2" w:rsidRPr="002F6225" w:rsidRDefault="00DD466D" w:rsidP="002C50EE">
      <w:pPr>
        <w:pStyle w:val="Heading1"/>
      </w:pPr>
      <w:r w:rsidRPr="002F6225">
        <w:t>3. ЛЕКАРСТВЕНА ФОРМА</w:t>
      </w:r>
    </w:p>
    <w:p w14:paraId="21C574FE" w14:textId="2F25E5F4" w:rsidR="00B05EC8" w:rsidRPr="002F6225" w:rsidRDefault="00B05EC8" w:rsidP="00B05EC8"/>
    <w:p w14:paraId="0EDD9096" w14:textId="77777777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r w:rsidRPr="002F6225">
        <w:rPr>
          <w:rFonts w:eastAsia="Times New Roman" w:cs="Arial"/>
          <w:color w:val="000000"/>
          <w:szCs w:val="20"/>
          <w:lang w:eastAsia="bg-BG"/>
        </w:rPr>
        <w:t>Филмирана таблетка</w:t>
      </w:r>
    </w:p>
    <w:p w14:paraId="255CA35E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5007D5E" w14:textId="286AD43B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>Ивабенор</w:t>
      </w:r>
      <w:proofErr w:type="spellEnd"/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 xml:space="preserve"> 5 </w:t>
      </w:r>
      <w:proofErr w:type="spellStart"/>
      <w:r w:rsidRPr="002F6225">
        <w:rPr>
          <w:rFonts w:eastAsia="Times New Roman" w:cs="Arial"/>
          <w:color w:val="000000"/>
          <w:szCs w:val="20"/>
          <w:u w:val="single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  <w:u w:val="single"/>
        </w:rPr>
        <w:t xml:space="preserve"> </w:t>
      </w:r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>филмирани таблетки</w:t>
      </w:r>
    </w:p>
    <w:p w14:paraId="46F0B2F7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ED665CC" w14:textId="6DF40F02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r w:rsidRPr="002F6225">
        <w:rPr>
          <w:rFonts w:eastAsia="Times New Roman" w:cs="Arial"/>
          <w:color w:val="000000"/>
          <w:szCs w:val="20"/>
          <w:lang w:eastAsia="bg-BG"/>
        </w:rPr>
        <w:t xml:space="preserve">Бели, овални, двойноизпъкнали филмирани таблетки с делителна черта и гравирани с “5” от едната страна и гладки от другата страна, с </w:t>
      </w:r>
      <w:proofErr w:type="spellStart"/>
      <w:r w:rsidRPr="002F6225">
        <w:rPr>
          <w:rFonts w:eastAsia="Times New Roman" w:cs="Arial"/>
          <w:color w:val="000000"/>
          <w:szCs w:val="20"/>
          <w:lang w:eastAsia="bg-BG"/>
        </w:rPr>
        <w:t>дъжина</w:t>
      </w:r>
      <w:proofErr w:type="spellEnd"/>
      <w:r w:rsidRPr="002F6225">
        <w:rPr>
          <w:rFonts w:eastAsia="Times New Roman" w:cs="Arial"/>
          <w:color w:val="000000"/>
          <w:szCs w:val="20"/>
          <w:lang w:eastAsia="bg-BG"/>
        </w:rPr>
        <w:t xml:space="preserve"> 8,6 </w:t>
      </w:r>
      <w:r w:rsidRPr="002F6225">
        <w:rPr>
          <w:rFonts w:eastAsia="Times New Roman" w:cs="Arial"/>
          <w:color w:val="000000"/>
          <w:szCs w:val="20"/>
        </w:rPr>
        <w:t xml:space="preserve">mm </w:t>
      </w:r>
      <w:r w:rsidRPr="002F6225">
        <w:rPr>
          <w:rFonts w:eastAsia="Times New Roman" w:cs="Arial"/>
          <w:color w:val="000000"/>
          <w:szCs w:val="20"/>
          <w:lang w:eastAsia="bg-BG"/>
        </w:rPr>
        <w:t xml:space="preserve">и ширина 4,5 </w:t>
      </w:r>
      <w:r w:rsidRPr="002F6225">
        <w:rPr>
          <w:rFonts w:eastAsia="Times New Roman" w:cs="Arial"/>
          <w:color w:val="000000"/>
          <w:szCs w:val="20"/>
        </w:rPr>
        <w:t xml:space="preserve">mm. </w:t>
      </w:r>
      <w:r w:rsidRPr="002F6225">
        <w:rPr>
          <w:rFonts w:eastAsia="Times New Roman" w:cs="Arial"/>
          <w:color w:val="000000"/>
          <w:szCs w:val="20"/>
          <w:lang w:eastAsia="bg-BG"/>
        </w:rPr>
        <w:t>Таблетката може да бъде разделена на две равни дози.</w:t>
      </w:r>
    </w:p>
    <w:p w14:paraId="0EB09C5A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20C3D77" w14:textId="0E633338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>Ивабенор</w:t>
      </w:r>
      <w:proofErr w:type="spellEnd"/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 xml:space="preserve"> 7,5 </w:t>
      </w:r>
      <w:proofErr w:type="spellStart"/>
      <w:r w:rsidRPr="002F6225">
        <w:rPr>
          <w:rFonts w:eastAsia="Times New Roman" w:cs="Arial"/>
          <w:color w:val="000000"/>
          <w:szCs w:val="20"/>
          <w:u w:val="single"/>
        </w:rPr>
        <w:t>mg</w:t>
      </w:r>
      <w:proofErr w:type="spellEnd"/>
      <w:r w:rsidRPr="002F6225">
        <w:rPr>
          <w:rFonts w:eastAsia="Times New Roman" w:cs="Arial"/>
          <w:color w:val="000000"/>
          <w:szCs w:val="20"/>
          <w:u w:val="single"/>
        </w:rPr>
        <w:t xml:space="preserve"> </w:t>
      </w:r>
      <w:r w:rsidRPr="002F6225">
        <w:rPr>
          <w:rFonts w:eastAsia="Times New Roman" w:cs="Arial"/>
          <w:color w:val="000000"/>
          <w:szCs w:val="20"/>
          <w:u w:val="single"/>
          <w:lang w:eastAsia="bg-BG"/>
        </w:rPr>
        <w:t>филмирани таблетки</w:t>
      </w:r>
    </w:p>
    <w:p w14:paraId="19902566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A9EEFD3" w14:textId="1B0E95A9" w:rsidR="00B05EC8" w:rsidRPr="002F6225" w:rsidRDefault="00B05EC8" w:rsidP="00B05EC8">
      <w:pPr>
        <w:spacing w:line="240" w:lineRule="auto"/>
        <w:rPr>
          <w:rFonts w:eastAsia="Times New Roman" w:cs="Arial"/>
          <w:sz w:val="28"/>
          <w:szCs w:val="24"/>
        </w:rPr>
      </w:pPr>
      <w:r w:rsidRPr="002F6225">
        <w:rPr>
          <w:rFonts w:eastAsia="Times New Roman" w:cs="Arial"/>
          <w:color w:val="000000"/>
          <w:szCs w:val="20"/>
          <w:lang w:eastAsia="bg-BG"/>
        </w:rPr>
        <w:t xml:space="preserve">Бели кръгли, двойноизпъкнали, филмирани таблетки, гравирани с "7,5" от едната страна и гладки от другата страна, с диаметър 6,3 </w:t>
      </w:r>
      <w:r w:rsidRPr="002F6225">
        <w:rPr>
          <w:rFonts w:eastAsia="Times New Roman" w:cs="Arial"/>
          <w:color w:val="000000"/>
          <w:szCs w:val="20"/>
        </w:rPr>
        <w:t>mm.</w:t>
      </w:r>
    </w:p>
    <w:p w14:paraId="5BF38586" w14:textId="77777777" w:rsidR="00B05EC8" w:rsidRPr="002F6225" w:rsidRDefault="00B05EC8" w:rsidP="00B05EC8"/>
    <w:p w14:paraId="490FC2C4" w14:textId="0F4A4A75" w:rsidR="002C50EE" w:rsidRPr="002F6225" w:rsidRDefault="002C50EE" w:rsidP="002C50EE">
      <w:pPr>
        <w:pStyle w:val="Heading1"/>
      </w:pPr>
      <w:r w:rsidRPr="002F6225">
        <w:lastRenderedPageBreak/>
        <w:t>4. КЛИНИЧНИ ДАННИ</w:t>
      </w:r>
    </w:p>
    <w:p w14:paraId="74330405" w14:textId="487C028B" w:rsidR="007122AD" w:rsidRPr="002F6225" w:rsidRDefault="002C50EE" w:rsidP="00936AD0">
      <w:pPr>
        <w:pStyle w:val="Heading2"/>
      </w:pPr>
      <w:r w:rsidRPr="002F6225">
        <w:t>4.1. Терапевтични показания</w:t>
      </w:r>
    </w:p>
    <w:p w14:paraId="587A5800" w14:textId="688ED91B" w:rsidR="00B05EC8" w:rsidRPr="002F6225" w:rsidRDefault="00B05EC8" w:rsidP="00B05EC8"/>
    <w:p w14:paraId="2EF368E2" w14:textId="77777777" w:rsidR="00B05EC8" w:rsidRPr="002F6225" w:rsidRDefault="00B05EC8" w:rsidP="00B05EC8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u w:val="single"/>
          <w:lang w:eastAsia="bg-BG"/>
        </w:rPr>
        <w:t>Симптоматично лечение на хронична стабилна стенокардия</w:t>
      </w:r>
    </w:p>
    <w:p w14:paraId="5ECAFE80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0B7F57" w14:textId="6E9B81AF" w:rsidR="00B05EC8" w:rsidRPr="002F6225" w:rsidRDefault="00B05EC8" w:rsidP="00B05EC8">
      <w:pPr>
        <w:spacing w:line="240" w:lineRule="auto"/>
        <w:rPr>
          <w:rFonts w:eastAsia="Times New Roman" w:cs="Arial"/>
        </w:rPr>
      </w:pP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е показан за симптоматично лечение на хронична стабилна стенокардия при възрастни с исхемична болест на сърцето с нормален синусов ритъм и сърдечна честота ≥70 удара в минута.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е показан:</w:t>
      </w:r>
    </w:p>
    <w:p w14:paraId="028FC11B" w14:textId="77777777" w:rsidR="00B05EC8" w:rsidRPr="002F6225" w:rsidRDefault="00B05EC8" w:rsidP="00B05EC8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при възрастни, които имат непоносимост или противопоказание към бета-</w:t>
      </w:r>
      <w:proofErr w:type="spellStart"/>
      <w:r w:rsidRPr="002F6225">
        <w:rPr>
          <w:rFonts w:eastAsia="Times New Roman" w:cs="Arial"/>
          <w:color w:val="000000"/>
          <w:lang w:eastAsia="bg-BG"/>
        </w:rPr>
        <w:t>блокери</w:t>
      </w:r>
      <w:proofErr w:type="spellEnd"/>
    </w:p>
    <w:p w14:paraId="3D29F7E4" w14:textId="02BB8860" w:rsidR="00B05EC8" w:rsidRPr="002F6225" w:rsidRDefault="00B05EC8" w:rsidP="00B05EC8">
      <w:pPr>
        <w:pStyle w:val="ListParagraph"/>
        <w:numPr>
          <w:ilvl w:val="0"/>
          <w:numId w:val="37"/>
        </w:numPr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или в комбинация с бета-</w:t>
      </w:r>
      <w:proofErr w:type="spellStart"/>
      <w:r w:rsidRPr="002F6225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при пациенти, неадекватно контролирани с оптимална доза бета-</w:t>
      </w:r>
      <w:proofErr w:type="spellStart"/>
      <w:r w:rsidRPr="002F6225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2F6225">
        <w:rPr>
          <w:rFonts w:eastAsia="Times New Roman" w:cs="Arial"/>
          <w:color w:val="000000"/>
          <w:lang w:eastAsia="bg-BG"/>
        </w:rPr>
        <w:t>.</w:t>
      </w:r>
    </w:p>
    <w:p w14:paraId="3082137D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17A898" w14:textId="19D8E2D0" w:rsidR="00B05EC8" w:rsidRPr="002F6225" w:rsidRDefault="00B05EC8" w:rsidP="00B05EC8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u w:val="single"/>
          <w:lang w:eastAsia="bg-BG"/>
        </w:rPr>
        <w:t>Лечение на хронична сърдечна недостатъчност</w:t>
      </w:r>
    </w:p>
    <w:p w14:paraId="704B7B20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2BCA3B" w14:textId="78DC2C49" w:rsidR="00B05EC8" w:rsidRPr="002F6225" w:rsidRDefault="00B05EC8" w:rsidP="00B05EC8">
      <w:pPr>
        <w:spacing w:line="240" w:lineRule="auto"/>
        <w:rPr>
          <w:rFonts w:eastAsia="Times New Roman" w:cs="Arial"/>
        </w:rPr>
      </w:pP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е показан при хронична сърдечна недостатъчност клас II до IV по </w:t>
      </w:r>
      <w:r w:rsidRPr="002F6225">
        <w:rPr>
          <w:rFonts w:eastAsia="Times New Roman" w:cs="Arial"/>
          <w:color w:val="000000"/>
        </w:rPr>
        <w:t xml:space="preserve">NYHA </w:t>
      </w:r>
      <w:r w:rsidRPr="002F6225">
        <w:rPr>
          <w:rFonts w:eastAsia="Times New Roman" w:cs="Arial"/>
          <w:color w:val="000000"/>
          <w:lang w:eastAsia="bg-BG"/>
        </w:rPr>
        <w:t xml:space="preserve">със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систолна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дисфункция при възрастни пациенти в синусов ритъм, при които сърдечната честота е ≥ 75 удара в минута, в комбинация със стандартна терапия, включваща лечение с бета-</w:t>
      </w:r>
      <w:proofErr w:type="spellStart"/>
      <w:r w:rsidRPr="002F6225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или когато лечението с бета-</w:t>
      </w:r>
      <w:proofErr w:type="spellStart"/>
      <w:r w:rsidRPr="002F6225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е противопоказано или не се понася (вж. точка 5.1).</w:t>
      </w:r>
    </w:p>
    <w:p w14:paraId="0378356B" w14:textId="77777777" w:rsidR="00B05EC8" w:rsidRPr="002F6225" w:rsidRDefault="00B05EC8" w:rsidP="00B05EC8"/>
    <w:p w14:paraId="53F5B866" w14:textId="3B872014" w:rsidR="007122AD" w:rsidRPr="002F6225" w:rsidRDefault="002C50EE" w:rsidP="00936AD0">
      <w:pPr>
        <w:pStyle w:val="Heading2"/>
      </w:pPr>
      <w:r w:rsidRPr="002F6225">
        <w:t>4.2. Дозировка и начин на приложение</w:t>
      </w:r>
    </w:p>
    <w:p w14:paraId="49E67A14" w14:textId="29E630CD" w:rsidR="00B05EC8" w:rsidRPr="002F6225" w:rsidRDefault="00B05EC8" w:rsidP="00B05EC8"/>
    <w:p w14:paraId="6B70F67A" w14:textId="77777777" w:rsidR="00B05EC8" w:rsidRPr="002F6225" w:rsidRDefault="00B05EC8" w:rsidP="00B05EC8">
      <w:pPr>
        <w:pStyle w:val="Heading3"/>
        <w:rPr>
          <w:rFonts w:eastAsia="Times New Roman"/>
          <w:sz w:val="32"/>
          <w:u w:val="single"/>
        </w:rPr>
      </w:pPr>
      <w:r w:rsidRPr="002F6225">
        <w:rPr>
          <w:rFonts w:eastAsia="Times New Roman"/>
          <w:u w:val="single"/>
          <w:lang w:eastAsia="bg-BG"/>
        </w:rPr>
        <w:t>Дозировка</w:t>
      </w:r>
    </w:p>
    <w:p w14:paraId="0A22B129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67AC8DA5" w14:textId="5037DCE9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Симптоматично лечение на хронична стабилна стенокардия</w:t>
      </w:r>
    </w:p>
    <w:p w14:paraId="61C2DF5C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Препоръчва се решението за започване на лечение или за титриране на дозата да се извърши при наличието на поредица от измервания на сърдечната честота, ЕКГ или амбулаторно 24-часово проследяване. Началната доза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трябва да превишава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при пациенти под 75-годишна възраст. След три до четири седмици лечение, ако пациентът все още има симптоми, ако началната доза се понася добре и ако сърдечната честота в покой остава над 60 удара в минута, дозата може да се увеличи до следващата по-висока доза при пациенти, приемащи 2,5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или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дневно. Поддържащата доза не трябва да превишава 7,5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два пъти дневно.</w:t>
      </w:r>
    </w:p>
    <w:p w14:paraId="0BFFC642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Ако няма подобрение на симптомите на стенокардия след 3 месеца от началото на лечението, лечението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трябва да се прекрати.</w:t>
      </w:r>
    </w:p>
    <w:p w14:paraId="6E6592C9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В допълнение, прекратяване на лечението трябва да се обмисли, в случай че има само ограничен симптоматичен отговор и когато няма клинично значимо намаляване на сърдечната честота в покой в рамките на три месеца.</w:t>
      </w:r>
    </w:p>
    <w:p w14:paraId="49BD2DCB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Ако по време на лечението, сърдечната честота в покой се понижи под 50 удара в минута (удара</w:t>
      </w:r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)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или пациентът, получи симптоми, свързани с брадикардия, като световъртеж, уморяемост или хипотония, дозата трябва да бъде постепенно намалена, включително до най- ниската допустима доза от 2,5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(по половин таблетка от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два пъти дневно). След намаляване на дозата, сърдечната честота трябва да се проследява (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вж.точка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4.4). Лечението трябва да бъде прекратено, ако сърдечната честота остане под 50 удара</w:t>
      </w:r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или при трайни прояви на брадикардия въпреки намаляването на дозата.</w:t>
      </w:r>
    </w:p>
    <w:p w14:paraId="605A633F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7992997D" w14:textId="6FF3358D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Лечение на хронична сърдечна недостатъчност</w:t>
      </w:r>
    </w:p>
    <w:p w14:paraId="08173AF6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lastRenderedPageBreak/>
        <w:t>Лечението трябва да се започне само при пациенти със стабилна сърдечна недостатъчност. Препоръчително е лекуващият лекар да има опит в лечението на хроничната сърдечна недостатъчност.</w:t>
      </w:r>
    </w:p>
    <w:p w14:paraId="7E3DAE3B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Обичайната препоръчителна начална доза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дневно. След две седмици лечение, дозата може да се увеличи до 7,5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дневно, ако сърдечната честота в покой е трайно над 60 удара в минута или да се намали до 2,5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(половин таблетка от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дневно), ако сърдечната честота в покой е трайно под 50 удара в минута или в случай, че се появят симптоми, свързани с брадикардия, като замайване, умора или хипотония. Ако сърдечната честота е между 50 и 60 удара в минута, трябва да се поддържа дозата от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два пъти дневно.</w:t>
      </w:r>
    </w:p>
    <w:p w14:paraId="1F51F67C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Ако по време на лечението, сърдечната честота се понижи трайно под 50 удара в минута в покой или ако пациентът получи симптоми, свързани с брадикардия, дозата трябва да се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титрира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 понижаване до следващата по-ниска доза при пациенти, приемащи 7,5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или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дневно. Ако сърдечната честота нарасне трайно над 60 удара в минута в покой, дозата може да се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титрира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до следващата по-висока доза при пациенти, приемащи 2,5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или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два пъти дневно.</w:t>
      </w:r>
    </w:p>
    <w:p w14:paraId="2669C000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Лечението трябва да се спре, ако сърдечната честота остава под 50 удара в минута или симптомите на брадикардията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персистират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(вж. точка 4.4).</w:t>
      </w:r>
    </w:p>
    <w:p w14:paraId="04D59A00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41F78862" w14:textId="118195BE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Специални популации</w:t>
      </w:r>
    </w:p>
    <w:p w14:paraId="335A6627" w14:textId="2E0DAEA0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529CDCAD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Старческа възраст</w:t>
      </w:r>
    </w:p>
    <w:p w14:paraId="66CACC89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пациенти на възраст 75 или повече години трябва да се има предвид по-ниска начална доза (2,5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дневно, т.е. половин таблетка от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два пъти дневно) преди увеличаване на дозата, ако това се налага.</w:t>
      </w:r>
    </w:p>
    <w:p w14:paraId="4B58403F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0D158EFF" w14:textId="3FD78D65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Бъбречно увреждане</w:t>
      </w:r>
    </w:p>
    <w:p w14:paraId="0F1B7D58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Не се изисква корекция на дозата при пациенти с бъбречна недостатъчност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креатининов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клирьнс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над 15 </w:t>
      </w:r>
      <w:r w:rsidRPr="002F6225">
        <w:rPr>
          <w:rFonts w:eastAsia="Times New Roman" w:cs="Arial"/>
          <w:color w:val="000000"/>
          <w:szCs w:val="18"/>
        </w:rPr>
        <w:t>ml/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(вж. точка 5.2).</w:t>
      </w:r>
    </w:p>
    <w:p w14:paraId="2CA44EFE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Липсват данни при пациенти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креатининов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клирьнс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под 15 </w:t>
      </w:r>
      <w:r w:rsidRPr="002F6225">
        <w:rPr>
          <w:rFonts w:eastAsia="Times New Roman" w:cs="Arial"/>
          <w:color w:val="000000"/>
          <w:szCs w:val="18"/>
        </w:rPr>
        <w:t>ml/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.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Следователно, сред тази популация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трябва да се употребява с повишено внимание.</w:t>
      </w:r>
    </w:p>
    <w:p w14:paraId="4F692305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36773EB1" w14:textId="13A58196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Чернодробно увреждане</w:t>
      </w:r>
    </w:p>
    <w:p w14:paraId="17ACCCAB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пациенти с леко чернодробно увреждане не се изисква корекция на дозата. Необходимо е повишено внимание при употреба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при пациенти с умерено чернодробно увреждане.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противопоказан за употреба при пациенти с тежка чернодробна недостатъчност, тъй като не е изучен при тази популация и се очаква голямо нарастване на системната експозиция (вж. точки 4.3 и 5.2).</w:t>
      </w:r>
    </w:p>
    <w:p w14:paraId="09BA0880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5B3470B8" w14:textId="0F715441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Педиатрична популация</w:t>
      </w:r>
    </w:p>
    <w:p w14:paraId="05D53051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Безопасността и ефикасността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при деца на възраст под 18 години не са установени. Наличните към момента данни за лечение на хронична сърдечна недостатъчност са описани в точки 5.1 и 5.2, но препоръки за дозировката не могат да бъдат направени.</w:t>
      </w:r>
    </w:p>
    <w:p w14:paraId="5EAB555C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Липсват данни за симптоматично лечение на хронична стабилна ангина.</w:t>
      </w:r>
    </w:p>
    <w:p w14:paraId="232E189E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6DF6A4A1" w14:textId="40E4C388" w:rsidR="00B05EC8" w:rsidRPr="002F6225" w:rsidRDefault="00B05EC8" w:rsidP="00B05EC8">
      <w:pPr>
        <w:pStyle w:val="Heading3"/>
        <w:rPr>
          <w:rFonts w:eastAsia="Times New Roman"/>
          <w:sz w:val="32"/>
          <w:u w:val="single"/>
        </w:rPr>
      </w:pPr>
      <w:r w:rsidRPr="002F6225">
        <w:rPr>
          <w:rFonts w:eastAsia="Times New Roman"/>
          <w:u w:val="single"/>
          <w:lang w:eastAsia="bg-BG"/>
        </w:rPr>
        <w:t>Начин на приложение</w:t>
      </w:r>
    </w:p>
    <w:p w14:paraId="6DDB8C0B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2A169825" w14:textId="3A732191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Таблетките трябва да бъдат приемани перорално два пъти дневно, т.е. веднъж сутрин и веднъж вечер по време на хранене (вж. точка 5.2).</w:t>
      </w:r>
    </w:p>
    <w:p w14:paraId="5DF0FC67" w14:textId="77777777" w:rsidR="00B05EC8" w:rsidRPr="002F6225" w:rsidRDefault="00B05EC8" w:rsidP="00B05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AF2A6" w14:textId="77777777" w:rsidR="00B05EC8" w:rsidRPr="002F6225" w:rsidRDefault="00B05EC8" w:rsidP="00B05EC8"/>
    <w:p w14:paraId="0F253247" w14:textId="3432343F" w:rsidR="007122AD" w:rsidRPr="002F6225" w:rsidRDefault="002C50EE" w:rsidP="00936AD0">
      <w:pPr>
        <w:pStyle w:val="Heading2"/>
      </w:pPr>
      <w:r w:rsidRPr="002F6225">
        <w:t>4.3. Противопоказания</w:t>
      </w:r>
    </w:p>
    <w:p w14:paraId="050B376C" w14:textId="1A59D83E" w:rsidR="00B05EC8" w:rsidRPr="002F6225" w:rsidRDefault="00B05EC8" w:rsidP="00B05EC8"/>
    <w:p w14:paraId="39FAC47D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>Свръхчувствителност към активното вещество някое от помощните вещества (изброени в точка 6.1);</w:t>
      </w:r>
    </w:p>
    <w:p w14:paraId="6450BC5C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>Сърдечна честота в покой под 70 удара</w:t>
      </w:r>
      <w:r w:rsidRPr="002F6225">
        <w:t>/</w:t>
      </w:r>
      <w:proofErr w:type="spellStart"/>
      <w:r w:rsidRPr="002F6225">
        <w:t>min</w:t>
      </w:r>
      <w:proofErr w:type="spellEnd"/>
      <w:r w:rsidRPr="002F6225">
        <w:t xml:space="preserve"> </w:t>
      </w:r>
      <w:r w:rsidRPr="002F6225">
        <w:rPr>
          <w:lang w:eastAsia="bg-BG"/>
        </w:rPr>
        <w:t>преди началото на лечението;</w:t>
      </w:r>
    </w:p>
    <w:p w14:paraId="0857042B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spellStart"/>
      <w:r w:rsidRPr="002F6225">
        <w:rPr>
          <w:lang w:eastAsia="bg-BG"/>
        </w:rPr>
        <w:t>Кардиогенен</w:t>
      </w:r>
      <w:proofErr w:type="spellEnd"/>
      <w:r w:rsidRPr="002F6225">
        <w:rPr>
          <w:lang w:eastAsia="bg-BG"/>
        </w:rPr>
        <w:t xml:space="preserve"> шок;</w:t>
      </w:r>
    </w:p>
    <w:p w14:paraId="0D47AAEF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>Остър миокарден инфаркт;</w:t>
      </w:r>
    </w:p>
    <w:p w14:paraId="117546FA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 xml:space="preserve">Тежка хипотония (&lt; 90/50 </w:t>
      </w:r>
      <w:r w:rsidRPr="002F6225">
        <w:t xml:space="preserve">mm </w:t>
      </w:r>
      <w:proofErr w:type="spellStart"/>
      <w:r w:rsidRPr="002F6225">
        <w:t>Hg</w:t>
      </w:r>
      <w:proofErr w:type="spellEnd"/>
      <w:r w:rsidRPr="002F6225">
        <w:t>);</w:t>
      </w:r>
    </w:p>
    <w:p w14:paraId="5B30A87B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>Тежка чернодробна недостатъчност;</w:t>
      </w:r>
    </w:p>
    <w:p w14:paraId="74BC5158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>Синдром на болния синусов възел;</w:t>
      </w:r>
    </w:p>
    <w:p w14:paraId="778994ED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spellStart"/>
      <w:r w:rsidRPr="002F6225">
        <w:rPr>
          <w:lang w:eastAsia="bg-BG"/>
        </w:rPr>
        <w:t>Сино-атриален</w:t>
      </w:r>
      <w:proofErr w:type="spellEnd"/>
      <w:r w:rsidRPr="002F6225">
        <w:rPr>
          <w:lang w:eastAsia="bg-BG"/>
        </w:rPr>
        <w:t xml:space="preserve"> блок;</w:t>
      </w:r>
    </w:p>
    <w:p w14:paraId="742340F4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>Нестабилна или остра сърдечна недостатъчност;</w:t>
      </w:r>
    </w:p>
    <w:p w14:paraId="077FD066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 xml:space="preserve">Зависимост от </w:t>
      </w:r>
      <w:proofErr w:type="spellStart"/>
      <w:r w:rsidRPr="002F6225">
        <w:rPr>
          <w:lang w:eastAsia="bg-BG"/>
        </w:rPr>
        <w:t>пейсмейкьр</w:t>
      </w:r>
      <w:proofErr w:type="spellEnd"/>
      <w:r w:rsidRPr="002F6225">
        <w:rPr>
          <w:lang w:eastAsia="bg-BG"/>
        </w:rPr>
        <w:t xml:space="preserve"> (сърдечна честота, определена само от пейсмейкъра);</w:t>
      </w:r>
    </w:p>
    <w:p w14:paraId="4D6A80FE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>Нестабилна стенокардия;</w:t>
      </w:r>
    </w:p>
    <w:p w14:paraId="09E362FF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t xml:space="preserve">AV </w:t>
      </w:r>
      <w:r w:rsidRPr="002F6225">
        <w:rPr>
          <w:lang w:eastAsia="bg-BG"/>
        </w:rPr>
        <w:t>блок III степен;</w:t>
      </w:r>
    </w:p>
    <w:p w14:paraId="7359987D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 xml:space="preserve">Комбиниране със силни инхибитори на </w:t>
      </w:r>
      <w:proofErr w:type="spellStart"/>
      <w:r w:rsidRPr="002F6225">
        <w:rPr>
          <w:lang w:eastAsia="bg-BG"/>
        </w:rPr>
        <w:t>цитохром</w:t>
      </w:r>
      <w:proofErr w:type="spellEnd"/>
      <w:r w:rsidRPr="002F6225">
        <w:rPr>
          <w:lang w:eastAsia="bg-BG"/>
        </w:rPr>
        <w:t xml:space="preserve"> Р450 ЗА4, като </w:t>
      </w:r>
      <w:proofErr w:type="spellStart"/>
      <w:r w:rsidRPr="002F6225">
        <w:rPr>
          <w:lang w:eastAsia="bg-BG"/>
        </w:rPr>
        <w:t>азолови</w:t>
      </w:r>
      <w:proofErr w:type="spellEnd"/>
      <w:r w:rsidRPr="002F6225">
        <w:rPr>
          <w:lang w:eastAsia="bg-BG"/>
        </w:rPr>
        <w:t xml:space="preserve"> </w:t>
      </w:r>
      <w:proofErr w:type="spellStart"/>
      <w:r w:rsidRPr="002F6225">
        <w:rPr>
          <w:lang w:eastAsia="bg-BG"/>
        </w:rPr>
        <w:t>антимикотици</w:t>
      </w:r>
      <w:proofErr w:type="spellEnd"/>
      <w:r w:rsidRPr="002F6225">
        <w:rPr>
          <w:lang w:eastAsia="bg-BG"/>
        </w:rPr>
        <w:t xml:space="preserve"> (</w:t>
      </w:r>
      <w:proofErr w:type="spellStart"/>
      <w:r w:rsidRPr="002F6225">
        <w:rPr>
          <w:lang w:eastAsia="bg-BG"/>
        </w:rPr>
        <w:t>кетоконазол</w:t>
      </w:r>
      <w:proofErr w:type="spellEnd"/>
      <w:r w:rsidRPr="002F6225">
        <w:rPr>
          <w:lang w:eastAsia="bg-BG"/>
        </w:rPr>
        <w:t xml:space="preserve">, </w:t>
      </w:r>
      <w:proofErr w:type="spellStart"/>
      <w:r w:rsidRPr="002F6225">
        <w:rPr>
          <w:lang w:eastAsia="bg-BG"/>
        </w:rPr>
        <w:t>итраконазол</w:t>
      </w:r>
      <w:proofErr w:type="spellEnd"/>
      <w:r w:rsidRPr="002F6225">
        <w:rPr>
          <w:lang w:eastAsia="bg-BG"/>
        </w:rPr>
        <w:t xml:space="preserve">), </w:t>
      </w:r>
      <w:proofErr w:type="spellStart"/>
      <w:r w:rsidRPr="002F6225">
        <w:rPr>
          <w:lang w:eastAsia="bg-BG"/>
        </w:rPr>
        <w:t>макролидни</w:t>
      </w:r>
      <w:proofErr w:type="spellEnd"/>
      <w:r w:rsidRPr="002F6225">
        <w:rPr>
          <w:lang w:eastAsia="bg-BG"/>
        </w:rPr>
        <w:t xml:space="preserve"> антибиотици (</w:t>
      </w:r>
      <w:proofErr w:type="spellStart"/>
      <w:r w:rsidRPr="002F6225">
        <w:rPr>
          <w:lang w:eastAsia="bg-BG"/>
        </w:rPr>
        <w:t>кларитромицин</w:t>
      </w:r>
      <w:proofErr w:type="spellEnd"/>
      <w:r w:rsidRPr="002F6225">
        <w:rPr>
          <w:lang w:eastAsia="bg-BG"/>
        </w:rPr>
        <w:t xml:space="preserve">, </w:t>
      </w:r>
      <w:proofErr w:type="spellStart"/>
      <w:r w:rsidRPr="002F6225">
        <w:rPr>
          <w:lang w:eastAsia="bg-BG"/>
        </w:rPr>
        <w:t>еритромицин</w:t>
      </w:r>
      <w:proofErr w:type="spellEnd"/>
      <w:r w:rsidRPr="002F6225">
        <w:rPr>
          <w:lang w:eastAsia="bg-BG"/>
        </w:rPr>
        <w:t xml:space="preserve"> </w:t>
      </w:r>
      <w:proofErr w:type="spellStart"/>
      <w:r w:rsidRPr="002F6225">
        <w:rPr>
          <w:i/>
          <w:iCs/>
        </w:rPr>
        <w:t>per</w:t>
      </w:r>
      <w:proofErr w:type="spellEnd"/>
      <w:r w:rsidRPr="002F6225">
        <w:rPr>
          <w:i/>
          <w:iCs/>
        </w:rPr>
        <w:t xml:space="preserve"> </w:t>
      </w:r>
      <w:proofErr w:type="spellStart"/>
      <w:r w:rsidRPr="002F6225">
        <w:rPr>
          <w:i/>
          <w:iCs/>
        </w:rPr>
        <w:t>os</w:t>
      </w:r>
      <w:proofErr w:type="spellEnd"/>
      <w:r w:rsidRPr="002F6225">
        <w:rPr>
          <w:i/>
          <w:iCs/>
        </w:rPr>
        <w:t>,</w:t>
      </w:r>
      <w:r w:rsidRPr="002F6225">
        <w:t xml:space="preserve"> </w:t>
      </w:r>
      <w:proofErr w:type="spellStart"/>
      <w:r w:rsidRPr="002F6225">
        <w:rPr>
          <w:lang w:eastAsia="bg-BG"/>
        </w:rPr>
        <w:t>йозамицин</w:t>
      </w:r>
      <w:proofErr w:type="spellEnd"/>
      <w:r w:rsidRPr="002F6225">
        <w:rPr>
          <w:lang w:eastAsia="bg-BG"/>
        </w:rPr>
        <w:t xml:space="preserve">, </w:t>
      </w:r>
      <w:proofErr w:type="spellStart"/>
      <w:r w:rsidRPr="002F6225">
        <w:rPr>
          <w:lang w:eastAsia="bg-BG"/>
        </w:rPr>
        <w:t>телитромицин</w:t>
      </w:r>
      <w:proofErr w:type="spellEnd"/>
      <w:r w:rsidRPr="002F6225">
        <w:rPr>
          <w:lang w:eastAsia="bg-BG"/>
        </w:rPr>
        <w:t>), Н</w:t>
      </w:r>
      <w:r w:rsidRPr="002F6225">
        <w:t>IV</w:t>
      </w:r>
      <w:r w:rsidRPr="002F6225">
        <w:rPr>
          <w:lang w:eastAsia="bg-BG"/>
        </w:rPr>
        <w:t xml:space="preserve"> </w:t>
      </w:r>
      <w:proofErr w:type="spellStart"/>
      <w:r w:rsidRPr="002F6225">
        <w:rPr>
          <w:lang w:eastAsia="bg-BG"/>
        </w:rPr>
        <w:t>протеазни</w:t>
      </w:r>
      <w:proofErr w:type="spellEnd"/>
      <w:r w:rsidRPr="002F6225">
        <w:rPr>
          <w:lang w:eastAsia="bg-BG"/>
        </w:rPr>
        <w:t xml:space="preserve"> инхибитори (</w:t>
      </w:r>
      <w:proofErr w:type="spellStart"/>
      <w:r w:rsidRPr="002F6225">
        <w:rPr>
          <w:lang w:eastAsia="bg-BG"/>
        </w:rPr>
        <w:t>нелфинавир</w:t>
      </w:r>
      <w:proofErr w:type="spellEnd"/>
      <w:r w:rsidRPr="002F6225">
        <w:rPr>
          <w:lang w:eastAsia="bg-BG"/>
        </w:rPr>
        <w:t xml:space="preserve">, ритонавир) и </w:t>
      </w:r>
      <w:proofErr w:type="spellStart"/>
      <w:r w:rsidRPr="002F6225">
        <w:rPr>
          <w:lang w:eastAsia="bg-BG"/>
        </w:rPr>
        <w:t>нефазодон</w:t>
      </w:r>
      <w:proofErr w:type="spellEnd"/>
      <w:r w:rsidRPr="002F6225">
        <w:rPr>
          <w:lang w:eastAsia="bg-BG"/>
        </w:rPr>
        <w:t xml:space="preserve"> (вж. точки 4.5 и 5.2).</w:t>
      </w:r>
    </w:p>
    <w:p w14:paraId="4F3BFB08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 xml:space="preserve">Комбиниране с </w:t>
      </w:r>
      <w:proofErr w:type="spellStart"/>
      <w:r w:rsidRPr="002F6225">
        <w:rPr>
          <w:lang w:eastAsia="bg-BG"/>
        </w:rPr>
        <w:t>верапамил</w:t>
      </w:r>
      <w:proofErr w:type="spellEnd"/>
      <w:r w:rsidRPr="002F6225">
        <w:rPr>
          <w:lang w:eastAsia="bg-BG"/>
        </w:rPr>
        <w:t xml:space="preserve"> или </w:t>
      </w:r>
      <w:proofErr w:type="spellStart"/>
      <w:r w:rsidRPr="002F6225">
        <w:rPr>
          <w:lang w:eastAsia="bg-BG"/>
        </w:rPr>
        <w:t>дилтиазем</w:t>
      </w:r>
      <w:proofErr w:type="spellEnd"/>
      <w:r w:rsidRPr="002F6225">
        <w:rPr>
          <w:lang w:eastAsia="bg-BG"/>
        </w:rPr>
        <w:t xml:space="preserve">, които са умерени </w:t>
      </w:r>
      <w:r w:rsidRPr="002F6225">
        <w:t xml:space="preserve">CYP3A4 </w:t>
      </w:r>
      <w:r w:rsidRPr="002F6225">
        <w:rPr>
          <w:lang w:eastAsia="bg-BG"/>
        </w:rPr>
        <w:t>инхибитори и имат понижаващи сърдечната честота свойства (</w:t>
      </w:r>
      <w:proofErr w:type="spellStart"/>
      <w:r w:rsidRPr="002F6225">
        <w:rPr>
          <w:lang w:eastAsia="bg-BG"/>
        </w:rPr>
        <w:t>вж.точка</w:t>
      </w:r>
      <w:proofErr w:type="spellEnd"/>
      <w:r w:rsidRPr="002F6225">
        <w:rPr>
          <w:lang w:eastAsia="bg-BG"/>
        </w:rPr>
        <w:t xml:space="preserve"> 4.5).</w:t>
      </w:r>
    </w:p>
    <w:p w14:paraId="4B1A330E" w14:textId="77777777" w:rsidR="00B05EC8" w:rsidRPr="002F6225" w:rsidRDefault="00B05EC8" w:rsidP="00B05E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6225">
        <w:rPr>
          <w:lang w:eastAsia="bg-BG"/>
        </w:rPr>
        <w:t>Бременност, кърмене и жени с детероден потенциал, които не използват подходящи контрацептивни мерки (вж. точка 4.6).</w:t>
      </w:r>
    </w:p>
    <w:p w14:paraId="03C98A3C" w14:textId="77777777" w:rsidR="00B05EC8" w:rsidRPr="002F6225" w:rsidRDefault="00B05EC8" w:rsidP="00B05EC8"/>
    <w:p w14:paraId="0E0BDCC7" w14:textId="2815F85E" w:rsidR="007122AD" w:rsidRPr="002F6225" w:rsidRDefault="002C50EE" w:rsidP="00936AD0">
      <w:pPr>
        <w:pStyle w:val="Heading2"/>
      </w:pPr>
      <w:r w:rsidRPr="002F6225">
        <w:t>4.4. Специални предупреждения и предпазни мерки при употреба</w:t>
      </w:r>
    </w:p>
    <w:p w14:paraId="6DE60703" w14:textId="2CA7E844" w:rsidR="00B05EC8" w:rsidRPr="002F6225" w:rsidRDefault="00B05EC8" w:rsidP="00B05EC8"/>
    <w:p w14:paraId="42AD654A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Липса на ползи във връзка с клиничния изход при пациенти със симптоматична хронична стабилна стенокардия</w:t>
      </w:r>
    </w:p>
    <w:p w14:paraId="1113AAF1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показан само за симптоматично лечение на хронична стабилна стенокардия, тъй като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носи ползи във връзка с клиничния изход по отношение на сърдечносъдовата система напр. инфаркт на миокарда или сърдечносъдова смъртност (вж. точка 5.1).</w:t>
      </w:r>
    </w:p>
    <w:p w14:paraId="44F029C6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3A9197F9" w14:textId="5B180E79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Измерване на сърдечната честота</w:t>
      </w:r>
    </w:p>
    <w:p w14:paraId="7E7FFCAD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Предвид това, че сърдечната честота може да варира значително във времето, трябва да се обмисли извършването на поредица измервания на сърдечната честота, ЕКГ или амбулаторно 24- часово проследяване, когато се определя сърдечната честота в покой, преди започването лечението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при пациенти на лечение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, когато се обмисля титриране на дозата. Това се отнася и за пациенти с ниска сърдечна честота, по-специално когато сърдечната честота се понижи под 50 удара</w:t>
      </w:r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, </w:t>
      </w:r>
      <w:r w:rsidRPr="002F6225">
        <w:rPr>
          <w:rFonts w:eastAsia="Times New Roman" w:cs="Arial"/>
          <w:color w:val="000000"/>
          <w:szCs w:val="18"/>
          <w:lang w:eastAsia="bg-BG"/>
        </w:rPr>
        <w:t>или след намаляване на дозата (вж. точка 4.2).</w:t>
      </w:r>
    </w:p>
    <w:p w14:paraId="4EAE7F0F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0F0D7528" w14:textId="4C7F6766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Сърдечни аритмии</w:t>
      </w:r>
    </w:p>
    <w:p w14:paraId="12544033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е ефективен при лечението или превенцията на сърдечни аритмии и вероятно губи ефекта си при настъпване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тахиаритмия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(напр. камерна или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надкамерна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lastRenderedPageBreak/>
        <w:t xml:space="preserve">тахикардия). Следователно,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се препоръчва при пациенти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предсърдно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мъждене или други сърдечни аритмии, които пречат на функцията на синусовия възел.</w:t>
      </w:r>
    </w:p>
    <w:p w14:paraId="452F8EA3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пациенти, лекувани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се повишава рискът от развиване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предсърдно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мъждене (вж. точка 4.8).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Предсърдното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мъждене е по-често при пациенти, използващи едновременно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амиодарон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или мощни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антиаритмични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средства клас I. Препоръчва се редовно клинично наблюдение на пациенти, лекуващи се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за поява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предсърдно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мъждене (трайно или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пристьпно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), включително при клинични показания и ЕКГ мониториране (напр. в случай на влошаваща се стенокардия,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палпитации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, неравномерен пулс).</w:t>
      </w:r>
    </w:p>
    <w:p w14:paraId="4C7FE033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Пациентите трябва да са информирани за признаците и симптомите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предсърдно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мъждене и да бъдат посъветвани да се свържат с техния лекар, ако те се появят.</w:t>
      </w:r>
    </w:p>
    <w:p w14:paraId="60C8EE53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Ако по време на лечението настъпи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предсърдно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мъждене, съотношението полза/риск за продължаване на терапията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трябва да се обсъди внимателно.</w:t>
      </w:r>
    </w:p>
    <w:p w14:paraId="176BD247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Пациентите с хронична сърдечна недостатъчност, с дефекти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интравентрикуларната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проводимост (ляв бедрен блок, десен бедрен блок) 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вентрикуларна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диссинхрония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трябва да се наблюдават внимателно.</w:t>
      </w:r>
    </w:p>
    <w:p w14:paraId="08092054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1E6EA564" w14:textId="174D3579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 xml:space="preserve">Употреба при </w:t>
      </w:r>
      <w:proofErr w:type="spellStart"/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папиенти</w:t>
      </w:r>
      <w:proofErr w:type="spellEnd"/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 xml:space="preserve"> с </w:t>
      </w:r>
      <w:r w:rsidRPr="002F6225">
        <w:rPr>
          <w:rFonts w:eastAsia="Times New Roman" w:cs="Arial"/>
          <w:color w:val="000000"/>
          <w:szCs w:val="18"/>
          <w:u w:val="single"/>
        </w:rPr>
        <w:t xml:space="preserve">AV </w:t>
      </w: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блок II степен</w:t>
      </w:r>
    </w:p>
    <w:p w14:paraId="15CBBEA1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се препоръчва при пациенти с </w:t>
      </w:r>
      <w:r w:rsidRPr="002F6225">
        <w:rPr>
          <w:rFonts w:eastAsia="Times New Roman" w:cs="Arial"/>
          <w:color w:val="000000"/>
          <w:szCs w:val="18"/>
        </w:rPr>
        <w:t xml:space="preserve">AV </w:t>
      </w:r>
      <w:r w:rsidRPr="002F6225">
        <w:rPr>
          <w:rFonts w:eastAsia="Times New Roman" w:cs="Arial"/>
          <w:color w:val="000000"/>
          <w:szCs w:val="18"/>
          <w:lang w:eastAsia="bg-BG"/>
        </w:rPr>
        <w:t>блок II степен.</w:t>
      </w:r>
    </w:p>
    <w:p w14:paraId="1EA6B699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445CDD09" w14:textId="6129E0EC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Употреба при пациенти с ниска сърдечна честота</w:t>
      </w:r>
    </w:p>
    <w:p w14:paraId="3998851A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трябва да бъде започван при пациенти със сърдечна честота в покой преди лечението под 70 удара/в минута (удара</w:t>
      </w:r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) </w:t>
      </w:r>
      <w:r w:rsidRPr="002F6225">
        <w:rPr>
          <w:rFonts w:eastAsia="Times New Roman" w:cs="Arial"/>
          <w:color w:val="000000"/>
          <w:szCs w:val="18"/>
          <w:lang w:eastAsia="bg-BG"/>
        </w:rPr>
        <w:t>(вж. точка 4.3).</w:t>
      </w:r>
    </w:p>
    <w:p w14:paraId="2B370054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Ако по време на лечението сърдечната честота в покой се понижи трайно под 50 удара в минута (удара</w:t>
      </w:r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) </w:t>
      </w:r>
      <w:r w:rsidRPr="002F6225">
        <w:rPr>
          <w:rFonts w:eastAsia="Times New Roman" w:cs="Arial"/>
          <w:color w:val="000000"/>
          <w:szCs w:val="18"/>
          <w:lang w:eastAsia="bg-BG"/>
        </w:rPr>
        <w:t>или пациентът получи симптоми свързани с брадикардия, като световъртеж, уморяемост или хипотония, дозата трябва постепенно да бъде намалена или лечението трябва да бъде прекратено, ако сърдечната честота остане трайно под 50 удара</w:t>
      </w:r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или при трайни прояви на брадикардия (вж. точка 4.2).</w:t>
      </w:r>
    </w:p>
    <w:p w14:paraId="30155507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78144DBC" w14:textId="7CB7BE88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Комбинация с калциеви антагонисти</w:t>
      </w:r>
    </w:p>
    <w:p w14:paraId="3DF7207B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Едновременната употреба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 понижаващи сърдечната честота калциеви антагонисти, като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верапамил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дилтиазем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е противопоказана (вж. точки 4.3 и 4.5). Досега не са повдигани въпроси относно безопасността на комбиниране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 нитрати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дихидропиридинови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калциеви антагонисти, като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. Не е установена допълнителната ефикасност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в комбинация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дихидропиридинови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калциеви антагонисти (вж. точка 5.1).</w:t>
      </w:r>
    </w:p>
    <w:p w14:paraId="69515D58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4CA5D9D6" w14:textId="3D6BBD7E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Хронична сърдечна недостатъчност</w:t>
      </w:r>
    </w:p>
    <w:p w14:paraId="11A2C7B4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Сърдечната недостатъчност трябва да е стабилна, преди да се мисли за лечение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.</w:t>
      </w:r>
    </w:p>
    <w:p w14:paraId="7A5B3088" w14:textId="77777777" w:rsidR="00B05EC8" w:rsidRPr="002F6225" w:rsidRDefault="00B05EC8" w:rsidP="00B05EC8">
      <w:pPr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трябва да се използва с повишено внимание при пациенти със сърдечна недостатъчност функционален клас IV по </w:t>
      </w:r>
      <w:r w:rsidRPr="002F6225">
        <w:rPr>
          <w:rFonts w:eastAsia="Times New Roman" w:cs="Arial"/>
          <w:color w:val="000000"/>
          <w:szCs w:val="18"/>
        </w:rPr>
        <w:t xml:space="preserve">NYHA, </w:t>
      </w:r>
      <w:r w:rsidRPr="002F6225">
        <w:rPr>
          <w:rFonts w:eastAsia="Times New Roman" w:cs="Arial"/>
          <w:color w:val="000000"/>
          <w:szCs w:val="18"/>
          <w:lang w:eastAsia="bg-BG"/>
        </w:rPr>
        <w:t>поради ограничено количество данни за тази популация.</w:t>
      </w:r>
    </w:p>
    <w:p w14:paraId="495DC654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1761CC71" w14:textId="5AF3785F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Инсулт</w:t>
      </w:r>
    </w:p>
    <w:p w14:paraId="1DECC86B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Употребата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се препоръчва непосредствено след инсулт, заради липса на експериментални клинични данни при това състояние.</w:t>
      </w:r>
    </w:p>
    <w:p w14:paraId="4945408D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1FD181A5" w14:textId="2D8E5AFC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Зрителна Функция</w:t>
      </w:r>
    </w:p>
    <w:p w14:paraId="43676970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повлиява функцията на ретината. Липсват доказателства за токсичен ефект при дългосрочно лечение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върху ретината (вж. точка 5.1). При поява на </w:t>
      </w:r>
      <w:r w:rsidRPr="002F6225">
        <w:rPr>
          <w:rFonts w:eastAsia="Times New Roman" w:cs="Arial"/>
          <w:color w:val="000000"/>
          <w:szCs w:val="18"/>
          <w:lang w:eastAsia="bg-BG"/>
        </w:rPr>
        <w:lastRenderedPageBreak/>
        <w:t xml:space="preserve">неочаквано влошаване на зрителната функция трябва да се обсъди спиране на лечението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. При пациенти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пигментозен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ретинит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нужно повишено внимание.</w:t>
      </w:r>
    </w:p>
    <w:p w14:paraId="68431240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7144C700" w14:textId="00CA343F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Пациенти с хипотония</w:t>
      </w:r>
    </w:p>
    <w:p w14:paraId="7693389E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Данните при пациенти с лека до умерена хипотония са ограничени и следователно,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трябва да се използван с повишено внимание при тях.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противопоказан при пациенти с тежка хипотония (кръвно налягане &lt; 90/50 </w:t>
      </w:r>
      <w:r w:rsidRPr="002F6225">
        <w:rPr>
          <w:rFonts w:eastAsia="Times New Roman" w:cs="Arial"/>
          <w:color w:val="000000"/>
          <w:szCs w:val="18"/>
        </w:rPr>
        <w:t xml:space="preserve">mm </w:t>
      </w:r>
      <w:proofErr w:type="spellStart"/>
      <w:r w:rsidRPr="002F6225">
        <w:rPr>
          <w:rFonts w:eastAsia="Times New Roman" w:cs="Arial"/>
          <w:color w:val="000000"/>
          <w:szCs w:val="18"/>
        </w:rPr>
        <w:t>Hg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) </w:t>
      </w:r>
      <w:r w:rsidRPr="002F6225">
        <w:rPr>
          <w:rFonts w:eastAsia="Times New Roman" w:cs="Arial"/>
          <w:color w:val="000000"/>
          <w:szCs w:val="18"/>
          <w:lang w:eastAsia="bg-BG"/>
        </w:rPr>
        <w:t>(вж. точка 4.3).</w:t>
      </w:r>
    </w:p>
    <w:p w14:paraId="1A546BED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08EFFBB7" w14:textId="70201862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Предсърдно</w:t>
      </w:r>
      <w:proofErr w:type="spellEnd"/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 xml:space="preserve"> мъждене - сърдечни аритмии</w:t>
      </w:r>
    </w:p>
    <w:p w14:paraId="799847C3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Липсват доказателства за риск от (прекомерна) брадикардия при възстановяване на синусовия ритъм, когато при пациента, лекувани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се предприеме фармакологична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кардиоверсия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. Все пак, поради отсъствие на достатъчно данни, неспешна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кардиоверсия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 прав ток трябва да се предвижда 24 часа след последния прием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.</w:t>
      </w:r>
    </w:p>
    <w:p w14:paraId="7C95A357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6205EB17" w14:textId="33BD348C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 xml:space="preserve">Употреба при пациенти с вроден ОТ-синдром или лекувани с лекарствени продукти удължаващи </w:t>
      </w:r>
      <w:r w:rsidRPr="002F6225">
        <w:rPr>
          <w:rFonts w:eastAsia="Times New Roman" w:cs="Arial"/>
          <w:color w:val="000000"/>
          <w:szCs w:val="18"/>
          <w:u w:val="single"/>
        </w:rPr>
        <w:t>Q</w:t>
      </w: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Т</w:t>
      </w:r>
    </w:p>
    <w:p w14:paraId="1818B6E3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Употребата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при пациенти с вроден </w:t>
      </w:r>
      <w:r w:rsidRPr="002F6225">
        <w:rPr>
          <w:rFonts w:eastAsia="Times New Roman" w:cs="Arial"/>
          <w:color w:val="000000"/>
          <w:szCs w:val="18"/>
        </w:rPr>
        <w:t xml:space="preserve">QT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синдром или лекувани с лекарствени продукти удължаващи </w:t>
      </w:r>
      <w:r w:rsidRPr="002F6225">
        <w:rPr>
          <w:rFonts w:eastAsia="Times New Roman" w:cs="Arial"/>
          <w:color w:val="000000"/>
          <w:szCs w:val="18"/>
        </w:rPr>
        <w:t xml:space="preserve">QT </w:t>
      </w:r>
      <w:r w:rsidRPr="002F6225">
        <w:rPr>
          <w:rFonts w:eastAsia="Times New Roman" w:cs="Arial"/>
          <w:color w:val="000000"/>
          <w:szCs w:val="18"/>
          <w:lang w:eastAsia="bg-BG"/>
        </w:rPr>
        <w:t>трябва да бъде избягвана (вж. точка 4.5). Ако комбинацията се счете за необходима, тогава се налага чест кардиологичен контрол.</w:t>
      </w:r>
    </w:p>
    <w:p w14:paraId="072CDAAA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Намаляването на сърдечния ритъм, причинено от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може да усили удължаването на </w:t>
      </w:r>
      <w:r w:rsidRPr="002F6225">
        <w:rPr>
          <w:rFonts w:eastAsia="Times New Roman" w:cs="Arial"/>
          <w:color w:val="000000"/>
          <w:szCs w:val="18"/>
        </w:rPr>
        <w:t>QT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- интервала, което е възможно да доведе до тежки аритмии, по-специално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</w:rPr>
        <w:t>Torsade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</w:rPr>
        <w:t xml:space="preserve">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</w:rPr>
        <w:t>de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</w:rPr>
        <w:t xml:space="preserve">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</w:rPr>
        <w:t>pointes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</w:rPr>
        <w:t>.</w:t>
      </w:r>
    </w:p>
    <w:p w14:paraId="38E7D5A7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5ECD6813" w14:textId="13A8418F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Пациенти с хипертония, при които се налага промяна в лечението на кръвното налягане</w:t>
      </w:r>
    </w:p>
    <w:p w14:paraId="091E8336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Когато са направени промени в лечението при пациенти с хронична сърдечна недостатъчност, лекувани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кръвното налягане трябва да се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мониторира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на подходящи интервали (вж. точка 4.8).</w:t>
      </w:r>
    </w:p>
    <w:p w14:paraId="58F6C38F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729C6E14" w14:textId="30FC452E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Помощни вещества</w:t>
      </w:r>
    </w:p>
    <w:p w14:paraId="7637EFB2" w14:textId="77777777" w:rsidR="00B05EC8" w:rsidRPr="002F6225" w:rsidRDefault="00B05EC8" w:rsidP="00B05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Този лекарствен продукт съдържа лактоза. Пациенти с редките наследствени проблеми на непоносимост към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галактоза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пълен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лактазен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дефицит или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глюкозо-галактозна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малабсорбция не трябва да приемат този лекарствен продукт.</w:t>
      </w:r>
    </w:p>
    <w:p w14:paraId="40863B04" w14:textId="7176D940" w:rsidR="00B05EC8" w:rsidRPr="002F6225" w:rsidRDefault="00B05EC8" w:rsidP="00B05EC8"/>
    <w:p w14:paraId="0734264C" w14:textId="1931D584" w:rsidR="007122AD" w:rsidRPr="002F6225" w:rsidRDefault="002C50EE" w:rsidP="00936AD0">
      <w:pPr>
        <w:pStyle w:val="Heading2"/>
      </w:pPr>
      <w:r w:rsidRPr="002F6225">
        <w:t>4.5. Взаимодействие с други лекарствени продукти и други форми на</w:t>
      </w:r>
      <w:r w:rsidR="004F1CE7" w:rsidRPr="002F6225">
        <w:t xml:space="preserve"> взаимодействие</w:t>
      </w:r>
      <w:r w:rsidRPr="002F6225">
        <w:t xml:space="preserve"> </w:t>
      </w:r>
    </w:p>
    <w:p w14:paraId="27D8DB4F" w14:textId="45621B93" w:rsidR="00B05EC8" w:rsidRPr="002F6225" w:rsidRDefault="00B05EC8" w:rsidP="00B05EC8"/>
    <w:p w14:paraId="577D9B10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Фармакодинамични</w:t>
      </w:r>
      <w:proofErr w:type="spellEnd"/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 xml:space="preserve"> взаимодействия</w:t>
      </w:r>
    </w:p>
    <w:p w14:paraId="1E35DE6B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08B29B05" w14:textId="1E4D800B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Едновременна употреба не се препоръчва</w:t>
      </w:r>
    </w:p>
    <w:p w14:paraId="5C18EEA9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u w:val="single"/>
          <w:lang w:eastAsia="bg-BG"/>
        </w:rPr>
      </w:pPr>
    </w:p>
    <w:p w14:paraId="46F1B900" w14:textId="13A28019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Лекарствени продукти, удължаващи ОТ</w:t>
      </w:r>
    </w:p>
    <w:p w14:paraId="425318F4" w14:textId="148665DA" w:rsidR="00B05EC8" w:rsidRPr="002F6225" w:rsidRDefault="00B05EC8" w:rsidP="00B05EC8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Сърдечносъдови лекарствени продукти удължаващи </w:t>
      </w:r>
      <w:r w:rsidRPr="002F6225">
        <w:rPr>
          <w:rFonts w:eastAsia="Times New Roman" w:cs="Arial"/>
          <w:color w:val="000000"/>
          <w:szCs w:val="18"/>
        </w:rPr>
        <w:t xml:space="preserve">QT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(напр.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хинидин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дизопирамид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бепридил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соталол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ибутилид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амиодарон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).</w:t>
      </w:r>
    </w:p>
    <w:p w14:paraId="08F12E52" w14:textId="513C50CD" w:rsidR="00B05EC8" w:rsidRPr="002F6225" w:rsidRDefault="00B05EC8" w:rsidP="00B05EC8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Несърдечносъдови лекарствени продукти удължаващи </w:t>
      </w:r>
      <w:r w:rsidRPr="002F6225">
        <w:rPr>
          <w:rFonts w:eastAsia="Times New Roman" w:cs="Arial"/>
          <w:color w:val="000000"/>
          <w:szCs w:val="18"/>
        </w:rPr>
        <w:t xml:space="preserve">QT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(напр.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пимозид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зипразидон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сертиндол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мефлокин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халофантрин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пентамидин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цизаприд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интравенозен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еритромицин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IV).</w:t>
      </w:r>
    </w:p>
    <w:p w14:paraId="49EF4D87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278AC5EC" w14:textId="511912B3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lastRenderedPageBreak/>
        <w:t>Едновременна употреба с повишено внимание</w:t>
      </w:r>
    </w:p>
    <w:p w14:paraId="0B1B2673" w14:textId="77777777" w:rsidR="00B05EC8" w:rsidRPr="002F6225" w:rsidRDefault="00B05EC8" w:rsidP="00B05EC8">
      <w:pPr>
        <w:rPr>
          <w:rFonts w:eastAsia="Times New Roman" w:cs="Arial"/>
          <w:i/>
          <w:iCs/>
          <w:color w:val="000000"/>
          <w:szCs w:val="18"/>
          <w:u w:val="single"/>
          <w:lang w:eastAsia="bg-BG"/>
        </w:rPr>
      </w:pPr>
    </w:p>
    <w:p w14:paraId="5FC8A0E1" w14:textId="2B9EBF5A" w:rsidR="00B05EC8" w:rsidRPr="002F6225" w:rsidRDefault="00B05EC8" w:rsidP="00B05EC8">
      <w:pPr>
        <w:rPr>
          <w:rFonts w:eastAsia="Times New Roman" w:cs="Arial"/>
          <w:i/>
          <w:iCs/>
          <w:color w:val="000000"/>
          <w:szCs w:val="18"/>
          <w:lang w:eastAsia="bg-BG"/>
        </w:rPr>
      </w:pPr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Калий-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изчерпваши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диупетиии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 xml:space="preserve"> (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тиазидни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 xml:space="preserve"> или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бримкови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диуретиии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)</w:t>
      </w: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:</w:t>
      </w:r>
    </w:p>
    <w:p w14:paraId="041FB4AB" w14:textId="4F62B6D9" w:rsidR="00B05EC8" w:rsidRPr="002F6225" w:rsidRDefault="00B05EC8" w:rsidP="00B05EC8">
      <w:pPr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393A4620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Хипокалемията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може да увеличи риска от аритмия. Тъй като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може да предизвика брадикардия, крайната комбинация от хипокалиемия и брадикардия е предразполагащ фактор за появата на тежки аритмии, особено при пациенти със синдром на удължен </w:t>
      </w:r>
      <w:r w:rsidRPr="002F6225">
        <w:rPr>
          <w:rFonts w:eastAsia="Times New Roman" w:cs="Arial"/>
          <w:color w:val="000000"/>
          <w:szCs w:val="18"/>
        </w:rPr>
        <w:t>QT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-интервал, независимо дали е от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конгенитален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произход, или предизвикан от активно вещество.</w:t>
      </w:r>
    </w:p>
    <w:p w14:paraId="264AB19A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0BA11245" w14:textId="41EC6E2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Фармакокинетични взаимодействия</w:t>
      </w:r>
    </w:p>
    <w:p w14:paraId="0B2EE274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3D468FF9" w14:textId="1A8C15D9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се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метаболизира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само от </w:t>
      </w:r>
      <w:r w:rsidRPr="002F6225">
        <w:rPr>
          <w:rFonts w:eastAsia="Times New Roman" w:cs="Arial"/>
          <w:color w:val="000000"/>
          <w:szCs w:val="18"/>
        </w:rPr>
        <w:t xml:space="preserve">CYP3A4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и е много слаб инхибитор на този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цитохром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. Има данни, че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повлиява метаболизма и плазмените концентрации на други субстрати на </w:t>
      </w:r>
      <w:r w:rsidRPr="002F6225">
        <w:rPr>
          <w:rFonts w:eastAsia="Times New Roman" w:cs="Arial"/>
          <w:color w:val="000000"/>
          <w:szCs w:val="18"/>
        </w:rPr>
        <w:t xml:space="preserve">CYP3A4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(леки, умерени и силни инхибитори). Инхибиторите и индукторите на </w:t>
      </w:r>
      <w:r w:rsidRPr="002F6225">
        <w:rPr>
          <w:rFonts w:eastAsia="Times New Roman" w:cs="Arial"/>
          <w:color w:val="000000"/>
          <w:szCs w:val="18"/>
        </w:rPr>
        <w:t xml:space="preserve">CYP3A4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са склонни да взаимодействат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да повлияват неговия метаболизъм и фармакокинетика до клинично значима степен.</w:t>
      </w:r>
    </w:p>
    <w:p w14:paraId="570E120E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проучвания за взаимодействия е установено, че </w:t>
      </w:r>
      <w:r w:rsidRPr="002F6225">
        <w:rPr>
          <w:rFonts w:eastAsia="Times New Roman" w:cs="Arial"/>
          <w:color w:val="000000"/>
          <w:szCs w:val="18"/>
        </w:rPr>
        <w:t xml:space="preserve">CYP3A4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инхибиторите повишават плазмените концентрации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докато индукторите ги понижават. Повишените плазмени концентрации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могат да бъдат свързани с риск от прекомерна брадикардия (вж. точка 4.4).</w:t>
      </w:r>
    </w:p>
    <w:p w14:paraId="6E8BF58F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51D791AE" w14:textId="20B22D98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Противопоказание за едновременна употреба</w:t>
      </w:r>
    </w:p>
    <w:p w14:paraId="7D09245C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u w:val="single"/>
          <w:lang w:eastAsia="bg-BG"/>
        </w:rPr>
      </w:pPr>
    </w:p>
    <w:p w14:paraId="55FC9DF2" w14:textId="0A586AE2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Мошни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 xml:space="preserve"> </w:t>
      </w:r>
      <w:r w:rsidRPr="002F6225">
        <w:rPr>
          <w:rFonts w:eastAsia="Times New Roman" w:cs="Arial"/>
          <w:i/>
          <w:iCs/>
          <w:color w:val="000000"/>
          <w:szCs w:val="18"/>
          <w:u w:val="single"/>
        </w:rPr>
        <w:t xml:space="preserve">CYP3A4 </w:t>
      </w:r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инхибитори</w:t>
      </w:r>
    </w:p>
    <w:p w14:paraId="57442FAB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Едновременната употреба на мощни инхибитори на </w:t>
      </w:r>
      <w:r w:rsidRPr="002F6225">
        <w:rPr>
          <w:rFonts w:eastAsia="Times New Roman" w:cs="Arial"/>
          <w:color w:val="000000"/>
          <w:szCs w:val="18"/>
        </w:rPr>
        <w:t xml:space="preserve">CYP3A4,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като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азолови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антимикотици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кетоконазол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итраконазол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),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макролидни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антибиотици (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кларитромицин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еритромицин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</w:rPr>
        <w:t>per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</w:rPr>
        <w:t>os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йозамицин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телитромицин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), инхибитори на </w:t>
      </w:r>
      <w:r w:rsidRPr="002F6225">
        <w:rPr>
          <w:rFonts w:eastAsia="Times New Roman" w:cs="Arial"/>
          <w:color w:val="000000"/>
          <w:szCs w:val="18"/>
        </w:rPr>
        <w:t xml:space="preserve">HIV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протеазага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нелфинавир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ритонавир)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нефазодон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е противопоказано (вж. раздел 4.3). Мощните </w:t>
      </w:r>
      <w:r w:rsidRPr="002F6225">
        <w:rPr>
          <w:rFonts w:eastAsia="Times New Roman" w:cs="Arial"/>
          <w:color w:val="000000"/>
          <w:szCs w:val="18"/>
        </w:rPr>
        <w:t xml:space="preserve">CYP3A4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инхибитори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кетоконазол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(200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веднъж дневно)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йозамицин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(1 </w:t>
      </w:r>
      <w:r w:rsidRPr="002F6225">
        <w:rPr>
          <w:rFonts w:eastAsia="Times New Roman" w:cs="Arial"/>
          <w:color w:val="000000"/>
          <w:szCs w:val="18"/>
        </w:rPr>
        <w:t xml:space="preserve">g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дневно) са увеличили от 7- до 8-кратно средната плазмена експозиция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.</w:t>
      </w:r>
    </w:p>
    <w:p w14:paraId="3271D7BD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u w:val="single"/>
          <w:lang w:eastAsia="bg-BG"/>
        </w:rPr>
      </w:pPr>
    </w:p>
    <w:p w14:paraId="6DE59C65" w14:textId="62C4C9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 xml:space="preserve">Умерени </w:t>
      </w:r>
      <w:r w:rsidRPr="002F6225">
        <w:rPr>
          <w:rFonts w:eastAsia="Times New Roman" w:cs="Arial"/>
          <w:i/>
          <w:iCs/>
          <w:color w:val="000000"/>
          <w:szCs w:val="18"/>
          <w:u w:val="single"/>
        </w:rPr>
        <w:t xml:space="preserve">CYP3A4 </w:t>
      </w:r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инхибитори</w:t>
      </w:r>
    </w:p>
    <w:p w14:paraId="1CADB066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Специфични изпитвания за взаимодействие при здрави доброволци и пациенти са показали, че комбинацията от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средствата, забавящи сърдечната честота -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дилтиазем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верапамил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е довела до нарастване на експозицията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(2- до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3-кратно нарастване на </w:t>
      </w:r>
      <w:r w:rsidRPr="002F6225">
        <w:rPr>
          <w:rFonts w:eastAsia="Times New Roman" w:cs="Arial"/>
          <w:color w:val="000000"/>
          <w:szCs w:val="18"/>
        </w:rPr>
        <w:t xml:space="preserve">AUC) </w:t>
      </w:r>
      <w:r w:rsidRPr="002F6225">
        <w:rPr>
          <w:rFonts w:eastAsia="Times New Roman" w:cs="Arial"/>
          <w:color w:val="000000"/>
          <w:szCs w:val="18"/>
          <w:lang w:eastAsia="bg-BG"/>
        </w:rPr>
        <w:t>и допълнително забавяне на сърдечната дейност с 5 удара</w:t>
      </w:r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.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Едновременната употреба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 тези лекарствени продукти е противопоказана (вж. точка 4.3).</w:t>
      </w:r>
    </w:p>
    <w:p w14:paraId="21671CF7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4E550D80" w14:textId="546E2AA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Едновременна употреба, която не се препоръчва</w:t>
      </w:r>
    </w:p>
    <w:p w14:paraId="2FF3B62D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Експозицията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нараства двукратно след едновременно приложение със сок от грейпфрут. Следователно приемът на сок от грейпфрут трябва да се избягва.</w:t>
      </w:r>
    </w:p>
    <w:p w14:paraId="1CEC030A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33A0AB8C" w14:textId="0BCEF079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Едновременна употреба с повишено внимание</w:t>
      </w:r>
    </w:p>
    <w:p w14:paraId="3B2B8787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u w:val="single"/>
          <w:lang w:eastAsia="bg-BG"/>
        </w:rPr>
      </w:pPr>
    </w:p>
    <w:p w14:paraId="35E1F379" w14:textId="253D4923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 xml:space="preserve">Умерени </w:t>
      </w:r>
      <w:r w:rsidRPr="002F6225">
        <w:rPr>
          <w:rFonts w:eastAsia="Times New Roman" w:cs="Arial"/>
          <w:i/>
          <w:iCs/>
          <w:color w:val="000000"/>
          <w:szCs w:val="18"/>
          <w:u w:val="single"/>
        </w:rPr>
        <w:t xml:space="preserve">CYP3A4 </w:t>
      </w:r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инхибитори</w:t>
      </w:r>
    </w:p>
    <w:p w14:paraId="38464C17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Едновременната употреба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 други умерени </w:t>
      </w:r>
      <w:r w:rsidRPr="002F6225">
        <w:rPr>
          <w:rFonts w:eastAsia="Times New Roman" w:cs="Arial"/>
          <w:color w:val="000000"/>
          <w:szCs w:val="18"/>
        </w:rPr>
        <w:t xml:space="preserve">CYP3A4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инхибитори (напр.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флуконазол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) може да се обсъжда, при начална доза 2,5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два пъти дневно и ако сърдечната честота в покой е над 70 удара</w:t>
      </w:r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, </w:t>
      </w:r>
      <w:r w:rsidRPr="002F6225">
        <w:rPr>
          <w:rFonts w:eastAsia="Times New Roman" w:cs="Arial"/>
          <w:color w:val="000000"/>
          <w:szCs w:val="18"/>
          <w:lang w:eastAsia="bg-BG"/>
        </w:rPr>
        <w:t>с проследяване на сърдечната честота.</w:t>
      </w:r>
    </w:p>
    <w:p w14:paraId="2C797B83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u w:val="single"/>
        </w:rPr>
      </w:pPr>
    </w:p>
    <w:p w14:paraId="7BE1CDBE" w14:textId="0FFB0848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u w:val="single"/>
        </w:rPr>
        <w:lastRenderedPageBreak/>
        <w:t xml:space="preserve">CYP3A4 </w:t>
      </w:r>
      <w:r w:rsidRPr="002F6225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индуктори</w:t>
      </w:r>
    </w:p>
    <w:p w14:paraId="209EE57D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Индукторите на </w:t>
      </w:r>
      <w:r w:rsidRPr="002F6225">
        <w:rPr>
          <w:rFonts w:eastAsia="Times New Roman" w:cs="Arial"/>
          <w:color w:val="000000"/>
          <w:szCs w:val="18"/>
        </w:rPr>
        <w:t xml:space="preserve">CYP3A4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[напр.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рифампицин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барбитурати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фенитоин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</w:rPr>
        <w:t>Hypericum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</w:rPr>
        <w:t>perforatum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(жълт кантарион)] могат да понижат експозицията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неговото действие. Едновременната употреба на </w:t>
      </w:r>
      <w:r w:rsidRPr="002F6225">
        <w:rPr>
          <w:rFonts w:eastAsia="Times New Roman" w:cs="Arial"/>
          <w:color w:val="000000"/>
          <w:szCs w:val="18"/>
        </w:rPr>
        <w:t xml:space="preserve">CYP3A4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индуциращи лекарствени продукти може да наложи корекция на дозата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. Беше доказано, че комбинацията от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10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с жълт кантарион намалява </w:t>
      </w:r>
      <w:r w:rsidRPr="002F6225">
        <w:rPr>
          <w:rFonts w:eastAsia="Times New Roman" w:cs="Arial"/>
          <w:color w:val="000000"/>
          <w:szCs w:val="18"/>
        </w:rPr>
        <w:t xml:space="preserve">AUC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наполовина. По време на лечение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приемът на жълт кантарион трябва да бъде ограничен.</w:t>
      </w:r>
    </w:p>
    <w:p w14:paraId="275CBB25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0AD6C2CE" w14:textId="4B8423C3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Едновременна употреба с други средства</w:t>
      </w:r>
    </w:p>
    <w:p w14:paraId="0C0A1DB5" w14:textId="77777777" w:rsidR="00B05EC8" w:rsidRPr="002F6225" w:rsidRDefault="00B05EC8" w:rsidP="00B05EC8">
      <w:pPr>
        <w:rPr>
          <w:rFonts w:eastAsia="Times New Roman" w:cs="Arial"/>
          <w:color w:val="000000"/>
          <w:szCs w:val="18"/>
          <w:lang w:eastAsia="bg-BG"/>
        </w:rPr>
      </w:pPr>
    </w:p>
    <w:p w14:paraId="4F95F03A" w14:textId="77777777" w:rsidR="00B05EC8" w:rsidRPr="002F6225" w:rsidRDefault="00B05EC8" w:rsidP="00B05EC8">
      <w:pPr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Специфични проучвания за взаимодействия не са показали значим ефект на следните лекарствени продукти върху фармакокинетиката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фармакодинамиката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инхибитори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протонната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помпа (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омепразол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ланзопразол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),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силденафил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инхибитори на </w:t>
      </w:r>
      <w:r w:rsidRPr="002F6225">
        <w:rPr>
          <w:rFonts w:eastAsia="Times New Roman" w:cs="Arial"/>
          <w:color w:val="000000"/>
          <w:szCs w:val="18"/>
        </w:rPr>
        <w:t xml:space="preserve">HMG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СоА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редуктазата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симвастагин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),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дихидропиридинови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калциеви антагонисти (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ласидипин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),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дигоксин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варфарин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. Освен това, не е настъпил клинично значим ефект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върху фармакокинетиката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симвастатин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ласидипин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върху фармакокинетиката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фармакодинамиката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дигоксин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варфарин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върху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фармакодинамиката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на аспирин.</w:t>
      </w:r>
    </w:p>
    <w:p w14:paraId="462DC4BA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В клинични изпитвания фаза III следните лекарствени продукти са били комбинирани рутинно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без данни за проблеми, свързани с лекарствената безопасност: инхибитори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-конвертиращия ензим,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-рецепторни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блокери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, бета-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блокери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диуретици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антагонисти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алдостерона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кратко-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дългодействащи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нитрати, инхибитори на </w:t>
      </w:r>
      <w:r w:rsidRPr="002F6225">
        <w:rPr>
          <w:rFonts w:eastAsia="Times New Roman" w:cs="Arial"/>
          <w:color w:val="000000"/>
          <w:szCs w:val="18"/>
        </w:rPr>
        <w:t xml:space="preserve">HMG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СоА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редуктазата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фибрата, инхибитори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протонната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помпа, орални противодиабетни средства, аспирин и други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антитромбоцитни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лекарствени продукти.</w:t>
      </w:r>
    </w:p>
    <w:p w14:paraId="5FCBDB42" w14:textId="77777777" w:rsidR="00B05EC8" w:rsidRPr="002F6225" w:rsidRDefault="00B05EC8" w:rsidP="00B05EC8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64E0DD5F" w14:textId="192FF4B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Педиатрична популация</w:t>
      </w:r>
    </w:p>
    <w:p w14:paraId="2199827F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Проучвания за взаимодействията са провеждани само при възрастни.</w:t>
      </w:r>
    </w:p>
    <w:p w14:paraId="0530BC01" w14:textId="39A92611" w:rsidR="00B05EC8" w:rsidRPr="002F6225" w:rsidRDefault="00B05EC8" w:rsidP="00B05EC8"/>
    <w:p w14:paraId="5D9F40EA" w14:textId="0AAC7299" w:rsidR="007122AD" w:rsidRPr="002F6225" w:rsidRDefault="002C50EE" w:rsidP="00936AD0">
      <w:pPr>
        <w:pStyle w:val="Heading2"/>
      </w:pPr>
      <w:r w:rsidRPr="002F6225">
        <w:t>4.6. Фертилитет, бременност и кърмене</w:t>
      </w:r>
    </w:p>
    <w:p w14:paraId="14B5151A" w14:textId="29263162" w:rsidR="00B05EC8" w:rsidRPr="002F6225" w:rsidRDefault="00B05EC8" w:rsidP="00B05EC8"/>
    <w:p w14:paraId="769DA9C6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Жени с детероден потенциал</w:t>
      </w:r>
    </w:p>
    <w:p w14:paraId="1987073E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Жени с детероден потенциал трябва да използват подходящи контрацептивни мерки по време на лечението (вж. точка 4.3).</w:t>
      </w:r>
    </w:p>
    <w:p w14:paraId="5E3F41F2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6C2DA82B" w14:textId="2306FDB1" w:rsidR="00B05EC8" w:rsidRPr="002F6225" w:rsidRDefault="00B05EC8" w:rsidP="00B05EC8">
      <w:pPr>
        <w:pStyle w:val="Heading3"/>
        <w:rPr>
          <w:rFonts w:eastAsia="Times New Roman"/>
          <w:sz w:val="32"/>
          <w:u w:val="single"/>
        </w:rPr>
      </w:pPr>
      <w:r w:rsidRPr="002F6225">
        <w:rPr>
          <w:rFonts w:eastAsia="Times New Roman"/>
          <w:u w:val="single"/>
          <w:lang w:eastAsia="bg-BG"/>
        </w:rPr>
        <w:t>Бременност</w:t>
      </w:r>
    </w:p>
    <w:p w14:paraId="2E9960E0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Липсват или има ограничени данни за употребата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при бременни жени. Проучванията при животни показват репродуктивна токсичност. Тези проучвания са показали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ембриотоксичен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тератогенен ефект (вж. точка 5.3). Потенциалният риск за хората е неизвестен. Поради това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противопоказан по време на бременност (вж. точка 4.3).</w:t>
      </w:r>
    </w:p>
    <w:p w14:paraId="0D12BDC6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4D26308A" w14:textId="0803990A" w:rsidR="00B05EC8" w:rsidRPr="002F6225" w:rsidRDefault="00B05EC8" w:rsidP="00B05EC8">
      <w:pPr>
        <w:pStyle w:val="Heading3"/>
        <w:rPr>
          <w:rFonts w:eastAsia="Times New Roman"/>
          <w:sz w:val="32"/>
          <w:u w:val="single"/>
        </w:rPr>
      </w:pPr>
      <w:r w:rsidRPr="002F6225">
        <w:rPr>
          <w:rFonts w:eastAsia="Times New Roman"/>
          <w:u w:val="single"/>
          <w:lang w:eastAsia="bg-BG"/>
        </w:rPr>
        <w:t>Кърмене</w:t>
      </w:r>
    </w:p>
    <w:p w14:paraId="4D20FCB1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Проучванията при животни показват, че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се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екскретира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в кърмата. Поради това,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противопоказан по време на кърмене (вж. точка 4.3).</w:t>
      </w:r>
    </w:p>
    <w:p w14:paraId="058AF4FC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Жени, които се нуждаят от лечение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, трябва да спрат да кърмят и да изберат друг начин за хранене на тяхното дете.</w:t>
      </w:r>
    </w:p>
    <w:p w14:paraId="1064D9C8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3EE5237D" w14:textId="5138F03B" w:rsidR="00B05EC8" w:rsidRPr="002F6225" w:rsidRDefault="00B05EC8" w:rsidP="00B05EC8">
      <w:pPr>
        <w:pStyle w:val="Heading3"/>
        <w:rPr>
          <w:rFonts w:eastAsia="Times New Roman"/>
          <w:sz w:val="32"/>
          <w:u w:val="single"/>
        </w:rPr>
      </w:pPr>
      <w:r w:rsidRPr="002F6225">
        <w:rPr>
          <w:rFonts w:eastAsia="Times New Roman"/>
          <w:u w:val="single"/>
          <w:lang w:eastAsia="bg-BG"/>
        </w:rPr>
        <w:lastRenderedPageBreak/>
        <w:t>Фертилитет</w:t>
      </w:r>
    </w:p>
    <w:p w14:paraId="778F583C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Проучванията при плъхове не са показали ефект върху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фертилитета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при мъжките и женските индивиди (вж. точка 5.3)</w:t>
      </w:r>
    </w:p>
    <w:p w14:paraId="394157A4" w14:textId="77777777" w:rsidR="00B05EC8" w:rsidRPr="002F6225" w:rsidRDefault="00B05EC8" w:rsidP="00B05EC8"/>
    <w:p w14:paraId="5DD7A76D" w14:textId="4BC80450" w:rsidR="007122AD" w:rsidRPr="002F6225" w:rsidRDefault="002C50EE" w:rsidP="00936AD0">
      <w:pPr>
        <w:pStyle w:val="Heading2"/>
      </w:pPr>
      <w:r w:rsidRPr="002F6225">
        <w:t>4.7. Ефекти върху способността за шофиране и работа с машини</w:t>
      </w:r>
    </w:p>
    <w:p w14:paraId="535A5DEF" w14:textId="4CD270BE" w:rsidR="00B05EC8" w:rsidRPr="002F6225" w:rsidRDefault="00B05EC8" w:rsidP="00B05EC8"/>
    <w:p w14:paraId="5E2B0627" w14:textId="77777777" w:rsidR="00B05EC8" w:rsidRPr="002F6225" w:rsidRDefault="00B05EC8" w:rsidP="00B05EC8">
      <w:pPr>
        <w:rPr>
          <w:sz w:val="24"/>
          <w:szCs w:val="24"/>
        </w:rPr>
      </w:pPr>
      <w:proofErr w:type="spellStart"/>
      <w:r w:rsidRPr="002F6225">
        <w:rPr>
          <w:lang w:eastAsia="bg-BG"/>
        </w:rPr>
        <w:t>Ивабрадин</w:t>
      </w:r>
      <w:proofErr w:type="spellEnd"/>
      <w:r w:rsidRPr="002F6225">
        <w:rPr>
          <w:lang w:eastAsia="bg-BG"/>
        </w:rPr>
        <w:t xml:space="preserve"> не повлиява или повлиява пренебрежимо способността за работа с машини.</w:t>
      </w:r>
    </w:p>
    <w:p w14:paraId="403BF779" w14:textId="67F7762D" w:rsidR="00B05EC8" w:rsidRPr="002F6225" w:rsidRDefault="00B05EC8" w:rsidP="00B05EC8">
      <w:pPr>
        <w:rPr>
          <w:lang w:eastAsia="bg-BG"/>
        </w:rPr>
      </w:pPr>
      <w:r w:rsidRPr="002F6225">
        <w:rPr>
          <w:lang w:eastAsia="bg-BG"/>
        </w:rPr>
        <w:t xml:space="preserve">Специфично проучване за оценка на възможното влияние на </w:t>
      </w:r>
      <w:proofErr w:type="spellStart"/>
      <w:r w:rsidRPr="002F6225">
        <w:rPr>
          <w:lang w:eastAsia="bg-BG"/>
        </w:rPr>
        <w:t>ивабрадин</w:t>
      </w:r>
      <w:proofErr w:type="spellEnd"/>
      <w:r w:rsidRPr="002F6225">
        <w:rPr>
          <w:lang w:eastAsia="bg-BG"/>
        </w:rPr>
        <w:t xml:space="preserve"> върху способността за шофиране при здрави доброволци не показа нарушения на способността за шофиране. Обаче при пост-маркетинговия опит, са съобщени случаи на нарушена способност за шофиране, в резултат на зрителни симптоми. </w:t>
      </w:r>
      <w:proofErr w:type="spellStart"/>
      <w:r w:rsidRPr="002F6225">
        <w:rPr>
          <w:lang w:eastAsia="bg-BG"/>
        </w:rPr>
        <w:t>Ивабрадин</w:t>
      </w:r>
      <w:proofErr w:type="spellEnd"/>
      <w:r w:rsidRPr="002F6225">
        <w:rPr>
          <w:lang w:eastAsia="bg-BG"/>
        </w:rPr>
        <w:t xml:space="preserve"> може да предизвика преходни светлинни възприятия, състоящи се главно от </w:t>
      </w:r>
      <w:proofErr w:type="spellStart"/>
      <w:r w:rsidRPr="002F6225">
        <w:rPr>
          <w:lang w:eastAsia="bg-BG"/>
        </w:rPr>
        <w:t>фосфени</w:t>
      </w:r>
      <w:proofErr w:type="spellEnd"/>
      <w:r w:rsidRPr="002F6225">
        <w:rPr>
          <w:lang w:eastAsia="bg-BG"/>
        </w:rPr>
        <w:t xml:space="preserve"> (вж. точка 4.8). Възможната поява на подобни светлинни възприятия трябва да се има предвид при шофиране или работа с машини в ситуации, при които може да настъпи внезапна промяна на интензитета на светлината, особено при нощно кормуване.</w:t>
      </w:r>
    </w:p>
    <w:p w14:paraId="1B7D8C71" w14:textId="77777777" w:rsidR="00B05EC8" w:rsidRPr="002F6225" w:rsidRDefault="00B05EC8" w:rsidP="00B05EC8"/>
    <w:p w14:paraId="44CE30A3" w14:textId="3A819AB3" w:rsidR="007122AD" w:rsidRPr="002F6225" w:rsidRDefault="002C50EE" w:rsidP="00936AD0">
      <w:pPr>
        <w:pStyle w:val="Heading2"/>
      </w:pPr>
      <w:r w:rsidRPr="002F6225">
        <w:t>4.8. Нежелани лекарствени реакции</w:t>
      </w:r>
    </w:p>
    <w:p w14:paraId="1918A217" w14:textId="610F16C2" w:rsidR="00B05EC8" w:rsidRPr="002F6225" w:rsidRDefault="00B05EC8" w:rsidP="00B05EC8"/>
    <w:p w14:paraId="03F717A8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Обобщение на профила за безопасност</w:t>
      </w:r>
    </w:p>
    <w:p w14:paraId="39534878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Най-честите нежелани лекарствени реакции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са светлинни феномени (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фосфени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) (14.5%) и брадикардия (3.3%). Те са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дозозависими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са свързани с фармакологичния ефект на лекарствения продукт.</w:t>
      </w:r>
    </w:p>
    <w:p w14:paraId="5A032837" w14:textId="77777777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4B100586" w14:textId="462ABCAB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Списък на нежеланите реакции в табличен вид</w:t>
      </w:r>
    </w:p>
    <w:p w14:paraId="7094BB2B" w14:textId="14DD52AA" w:rsidR="00B05EC8" w:rsidRPr="002F6225" w:rsidRDefault="00B05EC8" w:rsidP="00B05EC8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584F44A6" w14:textId="77777777" w:rsidR="00B05EC8" w:rsidRPr="002F6225" w:rsidRDefault="00B05EC8" w:rsidP="00B05EC8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Следните нежелани реакции или събития се съобщават по време на клинични изпитвания и се класифицират по следната честота: много чести (≥ 1/10); чести (≥ 1/100 до &lt; 1/10); нечести (≥ 1/1000 до &lt; 1/100); редки (≥ 1/10 000 до &lt; 1/1000); много редки (&lt; 1/10 000); с неизвестна честота (от наличните данни не може да бъде направена оценка).</w:t>
      </w:r>
    </w:p>
    <w:p w14:paraId="09B908EC" w14:textId="77777777" w:rsidR="00B05EC8" w:rsidRPr="002F6225" w:rsidRDefault="00B05EC8" w:rsidP="00B05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092"/>
        <w:gridCol w:w="3130"/>
      </w:tblGrid>
      <w:tr w:rsidR="00B05EC8" w:rsidRPr="002F6225" w14:paraId="24C47B95" w14:textId="77777777" w:rsidTr="001E032E">
        <w:tc>
          <w:tcPr>
            <w:tcW w:w="3192" w:type="dxa"/>
            <w:vAlign w:val="bottom"/>
          </w:tcPr>
          <w:p w14:paraId="6C457B20" w14:textId="4499FFA4" w:rsidR="00B05EC8" w:rsidRPr="002F6225" w:rsidRDefault="00B05EC8" w:rsidP="00B05EC8">
            <w:proofErr w:type="spellStart"/>
            <w:r w:rsidRPr="002F6225">
              <w:rPr>
                <w:b/>
                <w:bCs/>
                <w:szCs w:val="18"/>
              </w:rPr>
              <w:t>Системо</w:t>
            </w:r>
            <w:proofErr w:type="spellEnd"/>
            <w:r w:rsidRPr="002F6225">
              <w:rPr>
                <w:b/>
                <w:bCs/>
                <w:szCs w:val="18"/>
              </w:rPr>
              <w:t>-органен клас</w:t>
            </w:r>
          </w:p>
        </w:tc>
        <w:tc>
          <w:tcPr>
            <w:tcW w:w="3192" w:type="dxa"/>
            <w:vAlign w:val="bottom"/>
          </w:tcPr>
          <w:p w14:paraId="409164B9" w14:textId="62F10720" w:rsidR="00B05EC8" w:rsidRPr="002F6225" w:rsidRDefault="00B05EC8" w:rsidP="00B05EC8">
            <w:r w:rsidRPr="002F6225">
              <w:rPr>
                <w:b/>
                <w:bCs/>
                <w:szCs w:val="18"/>
              </w:rPr>
              <w:t>Честота</w:t>
            </w:r>
          </w:p>
        </w:tc>
        <w:tc>
          <w:tcPr>
            <w:tcW w:w="3192" w:type="dxa"/>
            <w:vAlign w:val="bottom"/>
          </w:tcPr>
          <w:p w14:paraId="24D1EED7" w14:textId="53AB3A94" w:rsidR="00B05EC8" w:rsidRPr="002F6225" w:rsidRDefault="00B05EC8" w:rsidP="00B05EC8">
            <w:r w:rsidRPr="002F6225">
              <w:rPr>
                <w:b/>
                <w:bCs/>
                <w:szCs w:val="18"/>
              </w:rPr>
              <w:t>Предпочитан термин</w:t>
            </w:r>
          </w:p>
        </w:tc>
      </w:tr>
      <w:tr w:rsidR="00B05EC8" w:rsidRPr="002F6225" w14:paraId="190ED963" w14:textId="77777777" w:rsidTr="001E032E">
        <w:tc>
          <w:tcPr>
            <w:tcW w:w="3192" w:type="dxa"/>
          </w:tcPr>
          <w:p w14:paraId="20C5D5ED" w14:textId="6AF32571" w:rsidR="00B05EC8" w:rsidRPr="002F6225" w:rsidRDefault="00B05EC8" w:rsidP="00B05EC8">
            <w:r w:rsidRPr="002F6225">
              <w:rPr>
                <w:szCs w:val="18"/>
              </w:rPr>
              <w:t>Нарушения на кръвта и лимфната система</w:t>
            </w:r>
          </w:p>
        </w:tc>
        <w:tc>
          <w:tcPr>
            <w:tcW w:w="3192" w:type="dxa"/>
            <w:vAlign w:val="center"/>
          </w:tcPr>
          <w:p w14:paraId="60ACB3EC" w14:textId="0CF04C8D" w:rsidR="00B05EC8" w:rsidRPr="002F6225" w:rsidRDefault="00B05EC8" w:rsidP="00B05EC8">
            <w:r w:rsidRPr="002F6225">
              <w:rPr>
                <w:szCs w:val="18"/>
              </w:rPr>
              <w:t>Нечести</w:t>
            </w:r>
          </w:p>
        </w:tc>
        <w:tc>
          <w:tcPr>
            <w:tcW w:w="3192" w:type="dxa"/>
            <w:vAlign w:val="center"/>
          </w:tcPr>
          <w:p w14:paraId="5C7F41DE" w14:textId="79B5714B" w:rsidR="00B05EC8" w:rsidRPr="002F6225" w:rsidRDefault="00B05EC8" w:rsidP="00B05EC8">
            <w:proofErr w:type="spellStart"/>
            <w:r w:rsidRPr="002F6225">
              <w:rPr>
                <w:szCs w:val="18"/>
              </w:rPr>
              <w:t>Еозинофилия</w:t>
            </w:r>
            <w:proofErr w:type="spellEnd"/>
          </w:p>
        </w:tc>
      </w:tr>
      <w:tr w:rsidR="00B05EC8" w:rsidRPr="002F6225" w14:paraId="3D9A56FA" w14:textId="77777777" w:rsidTr="001E032E">
        <w:tc>
          <w:tcPr>
            <w:tcW w:w="3192" w:type="dxa"/>
            <w:vAlign w:val="bottom"/>
          </w:tcPr>
          <w:p w14:paraId="69B6687B" w14:textId="40C853AA" w:rsidR="00B05EC8" w:rsidRPr="002F6225" w:rsidRDefault="00B05EC8" w:rsidP="00B05EC8">
            <w:r w:rsidRPr="002F6225">
              <w:rPr>
                <w:szCs w:val="18"/>
              </w:rPr>
              <w:t>Нарушения на метаболизма и храненето</w:t>
            </w:r>
          </w:p>
        </w:tc>
        <w:tc>
          <w:tcPr>
            <w:tcW w:w="3192" w:type="dxa"/>
            <w:vAlign w:val="center"/>
          </w:tcPr>
          <w:p w14:paraId="15D31565" w14:textId="603E7FB1" w:rsidR="00B05EC8" w:rsidRPr="002F6225" w:rsidRDefault="00B05EC8" w:rsidP="00B05EC8">
            <w:r w:rsidRPr="002F6225">
              <w:rPr>
                <w:szCs w:val="18"/>
              </w:rPr>
              <w:t>Нечести</w:t>
            </w:r>
          </w:p>
        </w:tc>
        <w:tc>
          <w:tcPr>
            <w:tcW w:w="3192" w:type="dxa"/>
            <w:vAlign w:val="center"/>
          </w:tcPr>
          <w:p w14:paraId="5DE88DF2" w14:textId="58B58875" w:rsidR="00B05EC8" w:rsidRPr="002F6225" w:rsidRDefault="00B05EC8" w:rsidP="00B05EC8">
            <w:proofErr w:type="spellStart"/>
            <w:r w:rsidRPr="002F6225">
              <w:rPr>
                <w:szCs w:val="18"/>
              </w:rPr>
              <w:t>Хиперурикемия</w:t>
            </w:r>
            <w:proofErr w:type="spellEnd"/>
          </w:p>
        </w:tc>
      </w:tr>
      <w:tr w:rsidR="00B05EC8" w:rsidRPr="002F6225" w14:paraId="68BF4F72" w14:textId="77777777" w:rsidTr="001E032E">
        <w:tc>
          <w:tcPr>
            <w:tcW w:w="3192" w:type="dxa"/>
            <w:vMerge w:val="restart"/>
            <w:vAlign w:val="center"/>
          </w:tcPr>
          <w:p w14:paraId="65079B65" w14:textId="4740E491" w:rsidR="00B05EC8" w:rsidRPr="002F6225" w:rsidRDefault="00B05EC8" w:rsidP="00B05EC8">
            <w:r w:rsidRPr="002F6225">
              <w:rPr>
                <w:szCs w:val="18"/>
              </w:rPr>
              <w:t>Нарушения на нервната система</w:t>
            </w:r>
          </w:p>
        </w:tc>
        <w:tc>
          <w:tcPr>
            <w:tcW w:w="3192" w:type="dxa"/>
            <w:vMerge w:val="restart"/>
            <w:vAlign w:val="center"/>
          </w:tcPr>
          <w:p w14:paraId="6FE16514" w14:textId="1F8D7661" w:rsidR="00B05EC8" w:rsidRPr="002F6225" w:rsidRDefault="00B05EC8" w:rsidP="00B05EC8">
            <w:r w:rsidRPr="002F6225">
              <w:rPr>
                <w:szCs w:val="18"/>
              </w:rPr>
              <w:t>Чести</w:t>
            </w:r>
          </w:p>
        </w:tc>
        <w:tc>
          <w:tcPr>
            <w:tcW w:w="3192" w:type="dxa"/>
            <w:vAlign w:val="center"/>
          </w:tcPr>
          <w:p w14:paraId="34EFA5FB" w14:textId="110329B4" w:rsidR="00B05EC8" w:rsidRPr="002F6225" w:rsidRDefault="00B05EC8" w:rsidP="00B05EC8">
            <w:r w:rsidRPr="002F6225">
              <w:rPr>
                <w:szCs w:val="18"/>
              </w:rPr>
              <w:t>Главоболие, обикновено през първия месец от лечението</w:t>
            </w:r>
          </w:p>
        </w:tc>
      </w:tr>
      <w:tr w:rsidR="00B05EC8" w:rsidRPr="002F6225" w14:paraId="3D1EB491" w14:textId="77777777" w:rsidTr="001E032E">
        <w:tc>
          <w:tcPr>
            <w:tcW w:w="3192" w:type="dxa"/>
            <w:vMerge/>
            <w:vAlign w:val="center"/>
          </w:tcPr>
          <w:p w14:paraId="0E57AA46" w14:textId="77777777" w:rsidR="00B05EC8" w:rsidRPr="002F6225" w:rsidRDefault="00B05EC8" w:rsidP="00B05EC8"/>
        </w:tc>
        <w:tc>
          <w:tcPr>
            <w:tcW w:w="3192" w:type="dxa"/>
            <w:vMerge/>
            <w:vAlign w:val="center"/>
          </w:tcPr>
          <w:p w14:paraId="542BFB72" w14:textId="77777777" w:rsidR="00B05EC8" w:rsidRPr="002F6225" w:rsidRDefault="00B05EC8" w:rsidP="00B05EC8"/>
        </w:tc>
        <w:tc>
          <w:tcPr>
            <w:tcW w:w="3192" w:type="dxa"/>
            <w:vAlign w:val="bottom"/>
          </w:tcPr>
          <w:p w14:paraId="365A3136" w14:textId="4163964A" w:rsidR="00B05EC8" w:rsidRPr="002F6225" w:rsidRDefault="00B05EC8" w:rsidP="00B05EC8">
            <w:r w:rsidRPr="002F6225">
              <w:rPr>
                <w:szCs w:val="18"/>
              </w:rPr>
              <w:t>Замайване, вероятно свързано с брадикардия</w:t>
            </w:r>
          </w:p>
        </w:tc>
      </w:tr>
      <w:tr w:rsidR="00B05EC8" w:rsidRPr="002F6225" w14:paraId="7B3FD282" w14:textId="77777777" w:rsidTr="001E032E">
        <w:tc>
          <w:tcPr>
            <w:tcW w:w="3192" w:type="dxa"/>
            <w:vMerge/>
            <w:vAlign w:val="center"/>
          </w:tcPr>
          <w:p w14:paraId="5E01F13F" w14:textId="77777777" w:rsidR="00B05EC8" w:rsidRPr="002F6225" w:rsidRDefault="00B05EC8" w:rsidP="00B05EC8"/>
        </w:tc>
        <w:tc>
          <w:tcPr>
            <w:tcW w:w="3192" w:type="dxa"/>
            <w:vAlign w:val="center"/>
          </w:tcPr>
          <w:p w14:paraId="0B90DE2C" w14:textId="24895BB1" w:rsidR="00B05EC8" w:rsidRPr="002F6225" w:rsidRDefault="00B05EC8" w:rsidP="00B05EC8">
            <w:r w:rsidRPr="002F6225">
              <w:rPr>
                <w:szCs w:val="18"/>
              </w:rPr>
              <w:t>Нечести*</w:t>
            </w:r>
          </w:p>
        </w:tc>
        <w:tc>
          <w:tcPr>
            <w:tcW w:w="3192" w:type="dxa"/>
            <w:vAlign w:val="bottom"/>
          </w:tcPr>
          <w:p w14:paraId="4FA8011F" w14:textId="448F61BA" w:rsidR="00B05EC8" w:rsidRPr="002F6225" w:rsidRDefault="00B05EC8" w:rsidP="00B05EC8">
            <w:proofErr w:type="spellStart"/>
            <w:r w:rsidRPr="002F6225">
              <w:rPr>
                <w:szCs w:val="18"/>
              </w:rPr>
              <w:t>Синкоп</w:t>
            </w:r>
            <w:proofErr w:type="spellEnd"/>
            <w:r w:rsidRPr="002F6225">
              <w:rPr>
                <w:szCs w:val="18"/>
              </w:rPr>
              <w:t>, вероятно свързан с брадикардия</w:t>
            </w:r>
          </w:p>
        </w:tc>
      </w:tr>
      <w:tr w:rsidR="001E032E" w:rsidRPr="002F6225" w14:paraId="7D669A79" w14:textId="77777777" w:rsidTr="001E032E">
        <w:tc>
          <w:tcPr>
            <w:tcW w:w="3192" w:type="dxa"/>
            <w:vMerge w:val="restart"/>
            <w:vAlign w:val="center"/>
          </w:tcPr>
          <w:p w14:paraId="5A7BB3AB" w14:textId="26E821C6" w:rsidR="001E032E" w:rsidRPr="002F6225" w:rsidRDefault="001E032E" w:rsidP="001E032E">
            <w:r w:rsidRPr="002F6225">
              <w:rPr>
                <w:szCs w:val="18"/>
              </w:rPr>
              <w:t>Нарушения на очите</w:t>
            </w:r>
          </w:p>
        </w:tc>
        <w:tc>
          <w:tcPr>
            <w:tcW w:w="3192" w:type="dxa"/>
            <w:vAlign w:val="center"/>
          </w:tcPr>
          <w:p w14:paraId="56A89D6F" w14:textId="326467CC" w:rsidR="001E032E" w:rsidRPr="002F6225" w:rsidRDefault="001E032E" w:rsidP="001E032E">
            <w:r w:rsidRPr="002F6225">
              <w:rPr>
                <w:szCs w:val="18"/>
              </w:rPr>
              <w:t>Много чести</w:t>
            </w:r>
          </w:p>
        </w:tc>
        <w:tc>
          <w:tcPr>
            <w:tcW w:w="3192" w:type="dxa"/>
            <w:vAlign w:val="center"/>
          </w:tcPr>
          <w:p w14:paraId="1DAC7DE6" w14:textId="50EEBFCB" w:rsidR="001E032E" w:rsidRPr="002F6225" w:rsidRDefault="001E032E" w:rsidP="001E032E">
            <w:r w:rsidRPr="002F6225">
              <w:rPr>
                <w:szCs w:val="18"/>
              </w:rPr>
              <w:t>Светлинни феномени (</w:t>
            </w:r>
            <w:proofErr w:type="spellStart"/>
            <w:r w:rsidRPr="002F6225">
              <w:rPr>
                <w:szCs w:val="18"/>
              </w:rPr>
              <w:t>фосфени</w:t>
            </w:r>
            <w:proofErr w:type="spellEnd"/>
            <w:r w:rsidRPr="002F6225">
              <w:rPr>
                <w:szCs w:val="18"/>
              </w:rPr>
              <w:t>)</w:t>
            </w:r>
          </w:p>
        </w:tc>
      </w:tr>
      <w:tr w:rsidR="001E032E" w:rsidRPr="002F6225" w14:paraId="45AABAF6" w14:textId="77777777" w:rsidTr="001E032E">
        <w:tc>
          <w:tcPr>
            <w:tcW w:w="3192" w:type="dxa"/>
            <w:vMerge/>
            <w:vAlign w:val="center"/>
          </w:tcPr>
          <w:p w14:paraId="6440FD74" w14:textId="77777777" w:rsidR="001E032E" w:rsidRPr="002F6225" w:rsidRDefault="001E032E" w:rsidP="001E032E"/>
        </w:tc>
        <w:tc>
          <w:tcPr>
            <w:tcW w:w="3192" w:type="dxa"/>
            <w:vAlign w:val="center"/>
          </w:tcPr>
          <w:p w14:paraId="2C4841C1" w14:textId="7240C1E8" w:rsidR="001E032E" w:rsidRPr="002F6225" w:rsidRDefault="001E032E" w:rsidP="001E032E">
            <w:r w:rsidRPr="002F6225">
              <w:rPr>
                <w:szCs w:val="18"/>
              </w:rPr>
              <w:t>Чести</w:t>
            </w:r>
          </w:p>
        </w:tc>
        <w:tc>
          <w:tcPr>
            <w:tcW w:w="3192" w:type="dxa"/>
            <w:vAlign w:val="center"/>
          </w:tcPr>
          <w:p w14:paraId="6B0F5131" w14:textId="395BE874" w:rsidR="001E032E" w:rsidRPr="002F6225" w:rsidRDefault="001E032E" w:rsidP="001E032E">
            <w:r w:rsidRPr="002F6225">
              <w:rPr>
                <w:szCs w:val="18"/>
              </w:rPr>
              <w:t>Замъглено виждане</w:t>
            </w:r>
          </w:p>
        </w:tc>
      </w:tr>
      <w:tr w:rsidR="001E032E" w:rsidRPr="002F6225" w14:paraId="79BE2045" w14:textId="77777777" w:rsidTr="001E032E">
        <w:tc>
          <w:tcPr>
            <w:tcW w:w="3192" w:type="dxa"/>
            <w:vMerge/>
            <w:vAlign w:val="center"/>
          </w:tcPr>
          <w:p w14:paraId="41D35A71" w14:textId="77777777" w:rsidR="001E032E" w:rsidRPr="002F6225" w:rsidRDefault="001E032E" w:rsidP="001E032E"/>
        </w:tc>
        <w:tc>
          <w:tcPr>
            <w:tcW w:w="3192" w:type="dxa"/>
            <w:vAlign w:val="center"/>
          </w:tcPr>
          <w:p w14:paraId="64416A2E" w14:textId="15F177B2" w:rsidR="001E032E" w:rsidRPr="002F6225" w:rsidRDefault="001E032E" w:rsidP="001E032E">
            <w:r w:rsidRPr="002F6225">
              <w:rPr>
                <w:szCs w:val="18"/>
              </w:rPr>
              <w:t>Нечести*</w:t>
            </w:r>
          </w:p>
        </w:tc>
        <w:tc>
          <w:tcPr>
            <w:tcW w:w="3192" w:type="dxa"/>
            <w:vAlign w:val="bottom"/>
          </w:tcPr>
          <w:p w14:paraId="3C934B57" w14:textId="6B899B10" w:rsidR="001E032E" w:rsidRPr="002F6225" w:rsidRDefault="001E032E" w:rsidP="001E032E">
            <w:proofErr w:type="spellStart"/>
            <w:r w:rsidRPr="002F6225">
              <w:rPr>
                <w:szCs w:val="18"/>
              </w:rPr>
              <w:t>Диплопия</w:t>
            </w:r>
            <w:proofErr w:type="spellEnd"/>
          </w:p>
        </w:tc>
      </w:tr>
      <w:tr w:rsidR="001E032E" w:rsidRPr="002F6225" w14:paraId="69B84FF5" w14:textId="77777777" w:rsidTr="001E032E">
        <w:tc>
          <w:tcPr>
            <w:tcW w:w="3192" w:type="dxa"/>
            <w:vMerge/>
            <w:vAlign w:val="center"/>
          </w:tcPr>
          <w:p w14:paraId="0DE8E4D7" w14:textId="77777777" w:rsidR="001E032E" w:rsidRPr="002F6225" w:rsidRDefault="001E032E" w:rsidP="001E032E"/>
        </w:tc>
        <w:tc>
          <w:tcPr>
            <w:tcW w:w="3192" w:type="dxa"/>
            <w:vAlign w:val="center"/>
          </w:tcPr>
          <w:p w14:paraId="3A9FC3A1" w14:textId="77777777" w:rsidR="001E032E" w:rsidRPr="002F6225" w:rsidRDefault="001E032E" w:rsidP="001E032E"/>
        </w:tc>
        <w:tc>
          <w:tcPr>
            <w:tcW w:w="3192" w:type="dxa"/>
            <w:vAlign w:val="bottom"/>
          </w:tcPr>
          <w:p w14:paraId="1E20C1D2" w14:textId="190EA5E2" w:rsidR="001E032E" w:rsidRPr="002F6225" w:rsidRDefault="001E032E" w:rsidP="001E032E">
            <w:r w:rsidRPr="002F6225">
              <w:rPr>
                <w:szCs w:val="18"/>
              </w:rPr>
              <w:t>Нарушение на зрението</w:t>
            </w:r>
          </w:p>
        </w:tc>
      </w:tr>
      <w:tr w:rsidR="001E032E" w:rsidRPr="002F6225" w14:paraId="6BDF5622" w14:textId="77777777" w:rsidTr="001E032E">
        <w:tc>
          <w:tcPr>
            <w:tcW w:w="3192" w:type="dxa"/>
            <w:vAlign w:val="center"/>
          </w:tcPr>
          <w:p w14:paraId="5EE04C75" w14:textId="61FE8652" w:rsidR="001E032E" w:rsidRPr="002F6225" w:rsidRDefault="001E032E" w:rsidP="001E032E">
            <w:r w:rsidRPr="002F6225">
              <w:rPr>
                <w:szCs w:val="18"/>
              </w:rPr>
              <w:lastRenderedPageBreak/>
              <w:t>Нарушения на ухото и лабиринта</w:t>
            </w:r>
          </w:p>
        </w:tc>
        <w:tc>
          <w:tcPr>
            <w:tcW w:w="3192" w:type="dxa"/>
            <w:vAlign w:val="center"/>
          </w:tcPr>
          <w:p w14:paraId="5DE21844" w14:textId="7C73F2F8" w:rsidR="001E032E" w:rsidRPr="002F6225" w:rsidRDefault="001E032E" w:rsidP="001E032E">
            <w:r w:rsidRPr="002F6225">
              <w:rPr>
                <w:szCs w:val="18"/>
              </w:rPr>
              <w:t>Нечести</w:t>
            </w:r>
          </w:p>
        </w:tc>
        <w:tc>
          <w:tcPr>
            <w:tcW w:w="3192" w:type="dxa"/>
            <w:vAlign w:val="center"/>
          </w:tcPr>
          <w:p w14:paraId="45C9DAE5" w14:textId="073D059D" w:rsidR="001E032E" w:rsidRPr="002F6225" w:rsidRDefault="001E032E" w:rsidP="001E032E">
            <w:r w:rsidRPr="002F6225">
              <w:rPr>
                <w:szCs w:val="18"/>
              </w:rPr>
              <w:t>Световъртеж</w:t>
            </w:r>
          </w:p>
        </w:tc>
      </w:tr>
      <w:tr w:rsidR="001E032E" w:rsidRPr="002F6225" w14:paraId="6FDFC7EE" w14:textId="77777777" w:rsidTr="001E032E">
        <w:tc>
          <w:tcPr>
            <w:tcW w:w="3192" w:type="dxa"/>
            <w:vMerge w:val="restart"/>
            <w:vAlign w:val="center"/>
          </w:tcPr>
          <w:p w14:paraId="71F85979" w14:textId="4B0D12B4" w:rsidR="001E032E" w:rsidRPr="002F6225" w:rsidRDefault="001E032E" w:rsidP="001E032E">
            <w:r w:rsidRPr="002F6225">
              <w:rPr>
                <w:szCs w:val="18"/>
              </w:rPr>
              <w:t>Сърдечни нарушения</w:t>
            </w:r>
          </w:p>
        </w:tc>
        <w:tc>
          <w:tcPr>
            <w:tcW w:w="3192" w:type="dxa"/>
            <w:vMerge w:val="restart"/>
            <w:vAlign w:val="center"/>
          </w:tcPr>
          <w:p w14:paraId="5F8D725D" w14:textId="4F9365D9" w:rsidR="001E032E" w:rsidRPr="002F6225" w:rsidRDefault="001E032E" w:rsidP="001E032E">
            <w:r w:rsidRPr="002F6225">
              <w:rPr>
                <w:szCs w:val="18"/>
              </w:rPr>
              <w:t>Чести</w:t>
            </w:r>
          </w:p>
        </w:tc>
        <w:tc>
          <w:tcPr>
            <w:tcW w:w="3192" w:type="dxa"/>
            <w:vAlign w:val="bottom"/>
          </w:tcPr>
          <w:p w14:paraId="506939EB" w14:textId="64B7033B" w:rsidR="001E032E" w:rsidRPr="002F6225" w:rsidRDefault="001E032E" w:rsidP="001E032E">
            <w:r w:rsidRPr="002F6225">
              <w:rPr>
                <w:szCs w:val="18"/>
              </w:rPr>
              <w:t>Брадикардия</w:t>
            </w:r>
          </w:p>
        </w:tc>
      </w:tr>
      <w:tr w:rsidR="001E032E" w:rsidRPr="002F6225" w14:paraId="77417E07" w14:textId="77777777" w:rsidTr="001E032E">
        <w:tc>
          <w:tcPr>
            <w:tcW w:w="3192" w:type="dxa"/>
            <w:vMerge/>
            <w:vAlign w:val="center"/>
          </w:tcPr>
          <w:p w14:paraId="7705F450" w14:textId="77777777" w:rsidR="001E032E" w:rsidRPr="002F6225" w:rsidRDefault="001E032E" w:rsidP="001E032E"/>
        </w:tc>
        <w:tc>
          <w:tcPr>
            <w:tcW w:w="3192" w:type="dxa"/>
            <w:vMerge/>
            <w:vAlign w:val="center"/>
          </w:tcPr>
          <w:p w14:paraId="3A7A8ED5" w14:textId="77777777" w:rsidR="001E032E" w:rsidRPr="002F6225" w:rsidRDefault="001E032E" w:rsidP="001E032E"/>
        </w:tc>
        <w:tc>
          <w:tcPr>
            <w:tcW w:w="3192" w:type="dxa"/>
            <w:vAlign w:val="bottom"/>
          </w:tcPr>
          <w:p w14:paraId="0AC65F45" w14:textId="5C03E09F" w:rsidR="001E032E" w:rsidRPr="002F6225" w:rsidRDefault="001E032E" w:rsidP="001E032E">
            <w:r w:rsidRPr="002F6225">
              <w:rPr>
                <w:szCs w:val="18"/>
              </w:rPr>
              <w:t>AV блок I степен (удължен PQ- интервал на ЕКГ)</w:t>
            </w:r>
          </w:p>
        </w:tc>
      </w:tr>
      <w:tr w:rsidR="001E032E" w:rsidRPr="002F6225" w14:paraId="6DE40EAF" w14:textId="77777777" w:rsidTr="001E032E">
        <w:tc>
          <w:tcPr>
            <w:tcW w:w="3192" w:type="dxa"/>
            <w:vMerge/>
            <w:vAlign w:val="center"/>
          </w:tcPr>
          <w:p w14:paraId="268CD9F1" w14:textId="77777777" w:rsidR="001E032E" w:rsidRPr="002F6225" w:rsidRDefault="001E032E" w:rsidP="001E032E"/>
        </w:tc>
        <w:tc>
          <w:tcPr>
            <w:tcW w:w="3192" w:type="dxa"/>
            <w:vMerge/>
            <w:vAlign w:val="center"/>
          </w:tcPr>
          <w:p w14:paraId="0491AEB9" w14:textId="77777777" w:rsidR="001E032E" w:rsidRPr="002F6225" w:rsidRDefault="001E032E" w:rsidP="001E032E"/>
        </w:tc>
        <w:tc>
          <w:tcPr>
            <w:tcW w:w="3192" w:type="dxa"/>
            <w:vAlign w:val="bottom"/>
          </w:tcPr>
          <w:p w14:paraId="63E89D36" w14:textId="1BCD2D13" w:rsidR="001E032E" w:rsidRPr="002F6225" w:rsidRDefault="001E032E" w:rsidP="001E032E">
            <w:r w:rsidRPr="002F6225">
              <w:rPr>
                <w:szCs w:val="18"/>
              </w:rPr>
              <w:t xml:space="preserve">Камерни </w:t>
            </w:r>
            <w:proofErr w:type="spellStart"/>
            <w:r w:rsidRPr="002F6225">
              <w:rPr>
                <w:szCs w:val="18"/>
              </w:rPr>
              <w:t>екстрасистоли</w:t>
            </w:r>
            <w:proofErr w:type="spellEnd"/>
          </w:p>
        </w:tc>
      </w:tr>
      <w:tr w:rsidR="001E032E" w:rsidRPr="002F6225" w14:paraId="0FFC00D9" w14:textId="77777777" w:rsidTr="001E032E">
        <w:tc>
          <w:tcPr>
            <w:tcW w:w="3192" w:type="dxa"/>
            <w:vMerge/>
            <w:vAlign w:val="center"/>
          </w:tcPr>
          <w:p w14:paraId="61144942" w14:textId="77777777" w:rsidR="001E032E" w:rsidRPr="002F6225" w:rsidRDefault="001E032E" w:rsidP="001E032E"/>
        </w:tc>
        <w:tc>
          <w:tcPr>
            <w:tcW w:w="3192" w:type="dxa"/>
            <w:vMerge/>
            <w:vAlign w:val="center"/>
          </w:tcPr>
          <w:p w14:paraId="624B4237" w14:textId="77777777" w:rsidR="001E032E" w:rsidRPr="002F6225" w:rsidRDefault="001E032E" w:rsidP="001E032E"/>
        </w:tc>
        <w:tc>
          <w:tcPr>
            <w:tcW w:w="3192" w:type="dxa"/>
            <w:vAlign w:val="bottom"/>
          </w:tcPr>
          <w:p w14:paraId="7C381EA1" w14:textId="2946E84D" w:rsidR="001E032E" w:rsidRPr="002F6225" w:rsidRDefault="001E032E" w:rsidP="001E032E">
            <w:proofErr w:type="spellStart"/>
            <w:r w:rsidRPr="002F6225">
              <w:rPr>
                <w:szCs w:val="18"/>
              </w:rPr>
              <w:t>Предсърдно</w:t>
            </w:r>
            <w:proofErr w:type="spellEnd"/>
            <w:r w:rsidRPr="002F6225">
              <w:rPr>
                <w:szCs w:val="18"/>
              </w:rPr>
              <w:t xml:space="preserve"> мъждене</w:t>
            </w:r>
          </w:p>
        </w:tc>
      </w:tr>
      <w:tr w:rsidR="001E032E" w:rsidRPr="002F6225" w14:paraId="58B1AD9F" w14:textId="77777777" w:rsidTr="001E032E">
        <w:tc>
          <w:tcPr>
            <w:tcW w:w="3192" w:type="dxa"/>
            <w:vMerge/>
            <w:vAlign w:val="center"/>
          </w:tcPr>
          <w:p w14:paraId="51B95022" w14:textId="77777777" w:rsidR="001E032E" w:rsidRPr="002F6225" w:rsidRDefault="001E032E" w:rsidP="001E032E"/>
        </w:tc>
        <w:tc>
          <w:tcPr>
            <w:tcW w:w="3192" w:type="dxa"/>
            <w:vAlign w:val="center"/>
          </w:tcPr>
          <w:p w14:paraId="4D44173F" w14:textId="204AA6DE" w:rsidR="001E032E" w:rsidRPr="002F6225" w:rsidRDefault="001E032E" w:rsidP="001E032E">
            <w:r w:rsidRPr="002F6225">
              <w:rPr>
                <w:szCs w:val="18"/>
              </w:rPr>
              <w:t>Нечести</w:t>
            </w:r>
          </w:p>
        </w:tc>
        <w:tc>
          <w:tcPr>
            <w:tcW w:w="3192" w:type="dxa"/>
            <w:vAlign w:val="bottom"/>
          </w:tcPr>
          <w:p w14:paraId="6AF064C4" w14:textId="77777777" w:rsidR="001E032E" w:rsidRPr="002F6225" w:rsidRDefault="001E032E" w:rsidP="001E032E">
            <w:proofErr w:type="spellStart"/>
            <w:r w:rsidRPr="002F6225">
              <w:rPr>
                <w:szCs w:val="18"/>
              </w:rPr>
              <w:t>Палпитации</w:t>
            </w:r>
            <w:proofErr w:type="spellEnd"/>
            <w:r w:rsidRPr="002F6225">
              <w:rPr>
                <w:szCs w:val="18"/>
              </w:rPr>
              <w:t>,</w:t>
            </w:r>
            <w:r w:rsidRPr="002F6225">
              <w:rPr>
                <w:szCs w:val="18"/>
              </w:rPr>
              <w:tab/>
            </w:r>
            <w:proofErr w:type="spellStart"/>
            <w:r w:rsidRPr="002F6225">
              <w:rPr>
                <w:szCs w:val="18"/>
              </w:rPr>
              <w:t>надкамерни</w:t>
            </w:r>
            <w:proofErr w:type="spellEnd"/>
          </w:p>
          <w:p w14:paraId="483C9F22" w14:textId="2356B668" w:rsidR="001E032E" w:rsidRPr="002F6225" w:rsidRDefault="001E032E" w:rsidP="001E032E">
            <w:proofErr w:type="spellStart"/>
            <w:r w:rsidRPr="002F6225">
              <w:rPr>
                <w:szCs w:val="18"/>
              </w:rPr>
              <w:t>екстрасистоли</w:t>
            </w:r>
            <w:proofErr w:type="spellEnd"/>
            <w:r w:rsidRPr="002F6225">
              <w:rPr>
                <w:szCs w:val="18"/>
              </w:rPr>
              <w:t>, удължен QT интервал на ЕКГ</w:t>
            </w:r>
          </w:p>
        </w:tc>
      </w:tr>
      <w:tr w:rsidR="001E032E" w:rsidRPr="002F6225" w14:paraId="427AFA6F" w14:textId="77777777" w:rsidTr="001E032E">
        <w:tc>
          <w:tcPr>
            <w:tcW w:w="3192" w:type="dxa"/>
            <w:vMerge/>
            <w:vAlign w:val="center"/>
          </w:tcPr>
          <w:p w14:paraId="335E9789" w14:textId="77777777" w:rsidR="001E032E" w:rsidRPr="002F6225" w:rsidRDefault="001E032E" w:rsidP="001E032E"/>
        </w:tc>
        <w:tc>
          <w:tcPr>
            <w:tcW w:w="3192" w:type="dxa"/>
            <w:vMerge w:val="restart"/>
            <w:vAlign w:val="center"/>
          </w:tcPr>
          <w:p w14:paraId="4EE83664" w14:textId="50A0695B" w:rsidR="001E032E" w:rsidRPr="002F6225" w:rsidRDefault="001E032E" w:rsidP="001E032E">
            <w:r w:rsidRPr="002F6225">
              <w:rPr>
                <w:szCs w:val="18"/>
              </w:rPr>
              <w:t>Много редки</w:t>
            </w:r>
          </w:p>
        </w:tc>
        <w:tc>
          <w:tcPr>
            <w:tcW w:w="3192" w:type="dxa"/>
            <w:vAlign w:val="bottom"/>
          </w:tcPr>
          <w:p w14:paraId="3D7B6914" w14:textId="34F69D07" w:rsidR="001E032E" w:rsidRPr="002F6225" w:rsidRDefault="001E032E" w:rsidP="001E032E">
            <w:r w:rsidRPr="002F6225">
              <w:rPr>
                <w:szCs w:val="18"/>
              </w:rPr>
              <w:t>AV блок II степен, AV блок III степен</w:t>
            </w:r>
          </w:p>
        </w:tc>
      </w:tr>
      <w:tr w:rsidR="001E032E" w:rsidRPr="002F6225" w14:paraId="77117DA9" w14:textId="77777777" w:rsidTr="001E032E">
        <w:tc>
          <w:tcPr>
            <w:tcW w:w="3192" w:type="dxa"/>
            <w:vMerge/>
            <w:vAlign w:val="center"/>
          </w:tcPr>
          <w:p w14:paraId="02E649D2" w14:textId="77777777" w:rsidR="001E032E" w:rsidRPr="002F6225" w:rsidRDefault="001E032E" w:rsidP="001E032E"/>
        </w:tc>
        <w:tc>
          <w:tcPr>
            <w:tcW w:w="3192" w:type="dxa"/>
            <w:vMerge/>
            <w:vAlign w:val="center"/>
          </w:tcPr>
          <w:p w14:paraId="57AABA6E" w14:textId="77777777" w:rsidR="001E032E" w:rsidRPr="002F6225" w:rsidRDefault="001E032E" w:rsidP="001E032E"/>
        </w:tc>
        <w:tc>
          <w:tcPr>
            <w:tcW w:w="3192" w:type="dxa"/>
            <w:vAlign w:val="center"/>
          </w:tcPr>
          <w:p w14:paraId="4BBEF032" w14:textId="73F2EEA1" w:rsidR="001E032E" w:rsidRPr="002F6225" w:rsidRDefault="001E032E" w:rsidP="001E032E">
            <w:r w:rsidRPr="002F6225">
              <w:rPr>
                <w:szCs w:val="18"/>
              </w:rPr>
              <w:t>Синдром на болния синусов възел</w:t>
            </w:r>
          </w:p>
        </w:tc>
      </w:tr>
      <w:tr w:rsidR="001E032E" w:rsidRPr="002F6225" w14:paraId="694B8576" w14:textId="77777777" w:rsidTr="001E032E">
        <w:tc>
          <w:tcPr>
            <w:tcW w:w="3192" w:type="dxa"/>
            <w:vMerge w:val="restart"/>
            <w:vAlign w:val="center"/>
          </w:tcPr>
          <w:p w14:paraId="750EB1E1" w14:textId="73D6225D" w:rsidR="001E032E" w:rsidRPr="002F6225" w:rsidRDefault="001E032E" w:rsidP="001E032E">
            <w:r w:rsidRPr="002F6225">
              <w:rPr>
                <w:szCs w:val="18"/>
              </w:rPr>
              <w:t>Съдови нарушения</w:t>
            </w:r>
          </w:p>
        </w:tc>
        <w:tc>
          <w:tcPr>
            <w:tcW w:w="3192" w:type="dxa"/>
            <w:vAlign w:val="center"/>
          </w:tcPr>
          <w:p w14:paraId="4FCAFDBF" w14:textId="78F12DF6" w:rsidR="001E032E" w:rsidRPr="002F6225" w:rsidRDefault="001E032E" w:rsidP="001E032E">
            <w:r w:rsidRPr="002F6225">
              <w:rPr>
                <w:szCs w:val="18"/>
              </w:rPr>
              <w:t>Чести</w:t>
            </w:r>
          </w:p>
        </w:tc>
        <w:tc>
          <w:tcPr>
            <w:tcW w:w="3192" w:type="dxa"/>
            <w:vAlign w:val="center"/>
          </w:tcPr>
          <w:p w14:paraId="39756FB7" w14:textId="577D3106" w:rsidR="001E032E" w:rsidRPr="002F6225" w:rsidRDefault="001E032E" w:rsidP="001E032E">
            <w:r w:rsidRPr="002F6225">
              <w:rPr>
                <w:szCs w:val="18"/>
              </w:rPr>
              <w:t>Неконтролирано кръвно налягане</w:t>
            </w:r>
          </w:p>
        </w:tc>
      </w:tr>
      <w:tr w:rsidR="001E032E" w:rsidRPr="002F6225" w14:paraId="287D87DC" w14:textId="77777777" w:rsidTr="001E032E">
        <w:tc>
          <w:tcPr>
            <w:tcW w:w="3192" w:type="dxa"/>
            <w:vMerge/>
            <w:vAlign w:val="center"/>
          </w:tcPr>
          <w:p w14:paraId="114BF2BC" w14:textId="77777777" w:rsidR="001E032E" w:rsidRPr="002F6225" w:rsidRDefault="001E032E" w:rsidP="001E032E"/>
        </w:tc>
        <w:tc>
          <w:tcPr>
            <w:tcW w:w="3192" w:type="dxa"/>
            <w:vAlign w:val="center"/>
          </w:tcPr>
          <w:p w14:paraId="29ABDB3C" w14:textId="78CE9A5A" w:rsidR="001E032E" w:rsidRPr="002F6225" w:rsidRDefault="001E032E" w:rsidP="001E032E">
            <w:r w:rsidRPr="002F6225">
              <w:rPr>
                <w:szCs w:val="18"/>
              </w:rPr>
              <w:t>Нечести*</w:t>
            </w:r>
          </w:p>
        </w:tc>
        <w:tc>
          <w:tcPr>
            <w:tcW w:w="3192" w:type="dxa"/>
            <w:vAlign w:val="bottom"/>
          </w:tcPr>
          <w:p w14:paraId="41064478" w14:textId="29047378" w:rsidR="001E032E" w:rsidRPr="002F6225" w:rsidRDefault="001E032E" w:rsidP="001E032E">
            <w:r w:rsidRPr="002F6225">
              <w:rPr>
                <w:szCs w:val="18"/>
              </w:rPr>
              <w:t>Хипотония, вероятно свързана с брадикардия</w:t>
            </w:r>
          </w:p>
        </w:tc>
      </w:tr>
      <w:tr w:rsidR="001E032E" w:rsidRPr="002F6225" w14:paraId="734B80A4" w14:textId="77777777" w:rsidTr="001E032E">
        <w:tc>
          <w:tcPr>
            <w:tcW w:w="3192" w:type="dxa"/>
            <w:vAlign w:val="center"/>
          </w:tcPr>
          <w:p w14:paraId="2ACE9757" w14:textId="5A4B27BF" w:rsidR="001E032E" w:rsidRPr="002F6225" w:rsidRDefault="001E032E" w:rsidP="001E032E">
            <w:r w:rsidRPr="002F6225">
              <w:rPr>
                <w:szCs w:val="18"/>
              </w:rPr>
              <w:t>Респираторни, гръдни и</w:t>
            </w:r>
          </w:p>
          <w:p w14:paraId="72D1DBB6" w14:textId="5290A8CA" w:rsidR="001E032E" w:rsidRPr="002F6225" w:rsidRDefault="001E032E" w:rsidP="001E032E">
            <w:proofErr w:type="spellStart"/>
            <w:r w:rsidRPr="002F6225">
              <w:rPr>
                <w:szCs w:val="18"/>
              </w:rPr>
              <w:t>медиастинални</w:t>
            </w:r>
            <w:proofErr w:type="spellEnd"/>
            <w:r w:rsidRPr="002F6225">
              <w:rPr>
                <w:szCs w:val="18"/>
              </w:rPr>
              <w:t xml:space="preserve"> нарушения</w:t>
            </w:r>
          </w:p>
        </w:tc>
        <w:tc>
          <w:tcPr>
            <w:tcW w:w="3192" w:type="dxa"/>
            <w:vAlign w:val="center"/>
          </w:tcPr>
          <w:p w14:paraId="77E6B852" w14:textId="12A83277" w:rsidR="001E032E" w:rsidRPr="002F6225" w:rsidRDefault="001E032E" w:rsidP="001E032E">
            <w:r w:rsidRPr="002F6225">
              <w:rPr>
                <w:szCs w:val="18"/>
              </w:rPr>
              <w:t>Нечести</w:t>
            </w:r>
          </w:p>
        </w:tc>
        <w:tc>
          <w:tcPr>
            <w:tcW w:w="3192" w:type="dxa"/>
            <w:vAlign w:val="center"/>
          </w:tcPr>
          <w:p w14:paraId="693A0E82" w14:textId="59A4B3FB" w:rsidR="001E032E" w:rsidRPr="002F6225" w:rsidRDefault="001E032E" w:rsidP="001E032E">
            <w:proofErr w:type="spellStart"/>
            <w:r w:rsidRPr="002F6225">
              <w:rPr>
                <w:szCs w:val="18"/>
              </w:rPr>
              <w:t>Диспнея</w:t>
            </w:r>
            <w:proofErr w:type="spellEnd"/>
          </w:p>
        </w:tc>
      </w:tr>
      <w:tr w:rsidR="001E032E" w:rsidRPr="002F6225" w14:paraId="6D19ACA0" w14:textId="77777777" w:rsidTr="001E032E">
        <w:tc>
          <w:tcPr>
            <w:tcW w:w="3192" w:type="dxa"/>
            <w:vMerge w:val="restart"/>
            <w:vAlign w:val="center"/>
          </w:tcPr>
          <w:p w14:paraId="3293179A" w14:textId="1E99793B" w:rsidR="001E032E" w:rsidRPr="002F6225" w:rsidRDefault="001E032E" w:rsidP="001E032E">
            <w:r w:rsidRPr="002F6225">
              <w:rPr>
                <w:szCs w:val="18"/>
              </w:rPr>
              <w:t>Стомашно-чревни нарушения</w:t>
            </w:r>
          </w:p>
        </w:tc>
        <w:tc>
          <w:tcPr>
            <w:tcW w:w="3192" w:type="dxa"/>
            <w:vMerge w:val="restart"/>
            <w:vAlign w:val="center"/>
          </w:tcPr>
          <w:p w14:paraId="4FFD4AE2" w14:textId="00CC8622" w:rsidR="001E032E" w:rsidRPr="002F6225" w:rsidRDefault="001E032E" w:rsidP="001E032E">
            <w:r w:rsidRPr="002F6225">
              <w:rPr>
                <w:szCs w:val="18"/>
              </w:rPr>
              <w:t>Нечести</w:t>
            </w:r>
          </w:p>
        </w:tc>
        <w:tc>
          <w:tcPr>
            <w:tcW w:w="3192" w:type="dxa"/>
            <w:vAlign w:val="bottom"/>
          </w:tcPr>
          <w:p w14:paraId="432E9512" w14:textId="41427495" w:rsidR="001E032E" w:rsidRPr="002F6225" w:rsidRDefault="001E032E" w:rsidP="001E032E">
            <w:r w:rsidRPr="002F6225">
              <w:rPr>
                <w:szCs w:val="18"/>
              </w:rPr>
              <w:t>Гадене</w:t>
            </w:r>
          </w:p>
        </w:tc>
      </w:tr>
      <w:tr w:rsidR="001E032E" w:rsidRPr="002F6225" w14:paraId="39647833" w14:textId="77777777" w:rsidTr="001E032E">
        <w:tc>
          <w:tcPr>
            <w:tcW w:w="3192" w:type="dxa"/>
            <w:vMerge/>
            <w:vAlign w:val="center"/>
          </w:tcPr>
          <w:p w14:paraId="0D007535" w14:textId="77777777" w:rsidR="001E032E" w:rsidRPr="002F6225" w:rsidRDefault="001E032E" w:rsidP="001E032E"/>
        </w:tc>
        <w:tc>
          <w:tcPr>
            <w:tcW w:w="3192" w:type="dxa"/>
            <w:vMerge/>
            <w:vAlign w:val="center"/>
          </w:tcPr>
          <w:p w14:paraId="659D2820" w14:textId="77777777" w:rsidR="001E032E" w:rsidRPr="002F6225" w:rsidRDefault="001E032E" w:rsidP="001E032E"/>
        </w:tc>
        <w:tc>
          <w:tcPr>
            <w:tcW w:w="3192" w:type="dxa"/>
            <w:vAlign w:val="bottom"/>
          </w:tcPr>
          <w:p w14:paraId="59194477" w14:textId="2D7F54BE" w:rsidR="001E032E" w:rsidRPr="002F6225" w:rsidRDefault="001E032E" w:rsidP="001E032E">
            <w:r w:rsidRPr="002F6225">
              <w:rPr>
                <w:szCs w:val="18"/>
              </w:rPr>
              <w:t>Запек</w:t>
            </w:r>
          </w:p>
        </w:tc>
      </w:tr>
      <w:tr w:rsidR="001E032E" w:rsidRPr="002F6225" w14:paraId="4792AC73" w14:textId="77777777" w:rsidTr="001E032E">
        <w:tc>
          <w:tcPr>
            <w:tcW w:w="3192" w:type="dxa"/>
            <w:vMerge/>
            <w:vAlign w:val="center"/>
          </w:tcPr>
          <w:p w14:paraId="5E6416BD" w14:textId="77777777" w:rsidR="001E032E" w:rsidRPr="002F6225" w:rsidRDefault="001E032E" w:rsidP="001E032E"/>
        </w:tc>
        <w:tc>
          <w:tcPr>
            <w:tcW w:w="3192" w:type="dxa"/>
            <w:vMerge/>
            <w:vAlign w:val="center"/>
          </w:tcPr>
          <w:p w14:paraId="40C9452D" w14:textId="77777777" w:rsidR="001E032E" w:rsidRPr="002F6225" w:rsidRDefault="001E032E" w:rsidP="001E032E"/>
        </w:tc>
        <w:tc>
          <w:tcPr>
            <w:tcW w:w="3192" w:type="dxa"/>
            <w:vAlign w:val="center"/>
          </w:tcPr>
          <w:p w14:paraId="046F9423" w14:textId="08E2CF73" w:rsidR="001E032E" w:rsidRPr="002F6225" w:rsidRDefault="001E032E" w:rsidP="001E032E">
            <w:r w:rsidRPr="002F6225">
              <w:rPr>
                <w:szCs w:val="18"/>
              </w:rPr>
              <w:t>Диария</w:t>
            </w:r>
          </w:p>
        </w:tc>
      </w:tr>
      <w:tr w:rsidR="001E032E" w:rsidRPr="002F6225" w14:paraId="2F5B65BC" w14:textId="77777777" w:rsidTr="001E032E">
        <w:tc>
          <w:tcPr>
            <w:tcW w:w="3192" w:type="dxa"/>
            <w:vMerge/>
            <w:vAlign w:val="center"/>
          </w:tcPr>
          <w:p w14:paraId="60EE9849" w14:textId="77777777" w:rsidR="001E032E" w:rsidRPr="002F6225" w:rsidRDefault="001E032E" w:rsidP="001E032E"/>
        </w:tc>
        <w:tc>
          <w:tcPr>
            <w:tcW w:w="3192" w:type="dxa"/>
            <w:vMerge/>
            <w:vAlign w:val="center"/>
          </w:tcPr>
          <w:p w14:paraId="3C550090" w14:textId="77777777" w:rsidR="001E032E" w:rsidRPr="002F6225" w:rsidRDefault="001E032E" w:rsidP="001E032E"/>
        </w:tc>
        <w:tc>
          <w:tcPr>
            <w:tcW w:w="3192" w:type="dxa"/>
            <w:vAlign w:val="bottom"/>
          </w:tcPr>
          <w:p w14:paraId="24035833" w14:textId="003D1AC4" w:rsidR="001E032E" w:rsidRPr="002F6225" w:rsidRDefault="001E032E" w:rsidP="001E032E">
            <w:r w:rsidRPr="002F6225">
              <w:rPr>
                <w:szCs w:val="18"/>
              </w:rPr>
              <w:t>Коремна болка*</w:t>
            </w:r>
          </w:p>
        </w:tc>
      </w:tr>
      <w:tr w:rsidR="001E032E" w:rsidRPr="002F6225" w14:paraId="21E4FF86" w14:textId="77777777" w:rsidTr="001E032E">
        <w:tc>
          <w:tcPr>
            <w:tcW w:w="3192" w:type="dxa"/>
            <w:vMerge w:val="restart"/>
            <w:vAlign w:val="center"/>
          </w:tcPr>
          <w:p w14:paraId="605AA287" w14:textId="43387638" w:rsidR="001E032E" w:rsidRPr="002F6225" w:rsidRDefault="001E032E" w:rsidP="001E032E">
            <w:r w:rsidRPr="002F6225">
              <w:rPr>
                <w:szCs w:val="18"/>
              </w:rPr>
              <w:t>Нарушения на кожата и подкожната тъкан</w:t>
            </w:r>
          </w:p>
        </w:tc>
        <w:tc>
          <w:tcPr>
            <w:tcW w:w="3192" w:type="dxa"/>
            <w:vMerge w:val="restart"/>
            <w:vAlign w:val="center"/>
          </w:tcPr>
          <w:p w14:paraId="101A0EF4" w14:textId="681C11D8" w:rsidR="001E032E" w:rsidRPr="002F6225" w:rsidRDefault="001E032E" w:rsidP="001E032E">
            <w:r w:rsidRPr="002F6225">
              <w:rPr>
                <w:szCs w:val="18"/>
              </w:rPr>
              <w:t>Нечести*</w:t>
            </w:r>
          </w:p>
        </w:tc>
        <w:tc>
          <w:tcPr>
            <w:tcW w:w="3192" w:type="dxa"/>
            <w:vAlign w:val="bottom"/>
          </w:tcPr>
          <w:p w14:paraId="52BC6E6C" w14:textId="17E568FB" w:rsidR="001E032E" w:rsidRPr="002F6225" w:rsidRDefault="001E032E" w:rsidP="001E032E">
            <w:r w:rsidRPr="002F6225">
              <w:rPr>
                <w:szCs w:val="18"/>
              </w:rPr>
              <w:t>Ангиоедем</w:t>
            </w:r>
          </w:p>
        </w:tc>
      </w:tr>
      <w:tr w:rsidR="001E032E" w:rsidRPr="002F6225" w14:paraId="4A8E3E6C" w14:textId="77777777" w:rsidTr="001E032E">
        <w:tc>
          <w:tcPr>
            <w:tcW w:w="3192" w:type="dxa"/>
            <w:vMerge/>
            <w:vAlign w:val="center"/>
          </w:tcPr>
          <w:p w14:paraId="692B8CCC" w14:textId="77777777" w:rsidR="001E032E" w:rsidRPr="002F6225" w:rsidRDefault="001E032E" w:rsidP="001E032E"/>
        </w:tc>
        <w:tc>
          <w:tcPr>
            <w:tcW w:w="3192" w:type="dxa"/>
            <w:vMerge/>
            <w:vAlign w:val="center"/>
          </w:tcPr>
          <w:p w14:paraId="46C55523" w14:textId="77777777" w:rsidR="001E032E" w:rsidRPr="002F6225" w:rsidRDefault="001E032E" w:rsidP="001E032E"/>
        </w:tc>
        <w:tc>
          <w:tcPr>
            <w:tcW w:w="3192" w:type="dxa"/>
            <w:vAlign w:val="bottom"/>
          </w:tcPr>
          <w:p w14:paraId="1B5FF031" w14:textId="56F93308" w:rsidR="001E032E" w:rsidRPr="002F6225" w:rsidRDefault="001E032E" w:rsidP="001E032E">
            <w:r w:rsidRPr="002F6225">
              <w:rPr>
                <w:szCs w:val="18"/>
              </w:rPr>
              <w:t>Обрив</w:t>
            </w:r>
          </w:p>
        </w:tc>
      </w:tr>
      <w:tr w:rsidR="001E032E" w:rsidRPr="002F6225" w14:paraId="030F9A2A" w14:textId="77777777" w:rsidTr="001E032E">
        <w:tc>
          <w:tcPr>
            <w:tcW w:w="3192" w:type="dxa"/>
            <w:vMerge/>
            <w:vAlign w:val="center"/>
          </w:tcPr>
          <w:p w14:paraId="4DFD9F08" w14:textId="77777777" w:rsidR="001E032E" w:rsidRPr="002F6225" w:rsidRDefault="001E032E" w:rsidP="001E032E"/>
        </w:tc>
        <w:tc>
          <w:tcPr>
            <w:tcW w:w="3192" w:type="dxa"/>
            <w:vMerge w:val="restart"/>
            <w:vAlign w:val="center"/>
          </w:tcPr>
          <w:p w14:paraId="15CAE208" w14:textId="3127AF8B" w:rsidR="001E032E" w:rsidRPr="002F6225" w:rsidRDefault="001E032E" w:rsidP="001E032E">
            <w:r w:rsidRPr="002F6225">
              <w:rPr>
                <w:szCs w:val="18"/>
              </w:rPr>
              <w:t>Редки*</w:t>
            </w:r>
          </w:p>
        </w:tc>
        <w:tc>
          <w:tcPr>
            <w:tcW w:w="3192" w:type="dxa"/>
            <w:vAlign w:val="center"/>
          </w:tcPr>
          <w:p w14:paraId="234E0481" w14:textId="5A864814" w:rsidR="001E032E" w:rsidRPr="002F6225" w:rsidRDefault="001E032E" w:rsidP="001E032E">
            <w:r w:rsidRPr="002F6225">
              <w:rPr>
                <w:szCs w:val="18"/>
              </w:rPr>
              <w:t>Еритема</w:t>
            </w:r>
          </w:p>
        </w:tc>
      </w:tr>
      <w:tr w:rsidR="001E032E" w:rsidRPr="002F6225" w14:paraId="0AE0C3E9" w14:textId="77777777" w:rsidTr="00B05EC8">
        <w:tc>
          <w:tcPr>
            <w:tcW w:w="3192" w:type="dxa"/>
            <w:vMerge/>
          </w:tcPr>
          <w:p w14:paraId="0899F3CF" w14:textId="77777777" w:rsidR="001E032E" w:rsidRPr="002F6225" w:rsidRDefault="001E032E" w:rsidP="001E032E"/>
        </w:tc>
        <w:tc>
          <w:tcPr>
            <w:tcW w:w="3192" w:type="dxa"/>
            <w:vMerge/>
          </w:tcPr>
          <w:p w14:paraId="152B08AC" w14:textId="77777777" w:rsidR="001E032E" w:rsidRPr="002F6225" w:rsidRDefault="001E032E" w:rsidP="001E032E"/>
        </w:tc>
        <w:tc>
          <w:tcPr>
            <w:tcW w:w="3192" w:type="dxa"/>
          </w:tcPr>
          <w:p w14:paraId="2EF868FF" w14:textId="624440E0" w:rsidR="001E032E" w:rsidRPr="002F6225" w:rsidRDefault="001E032E" w:rsidP="001E032E">
            <w:proofErr w:type="spellStart"/>
            <w:r w:rsidRPr="002F6225">
              <w:t>Пруритус</w:t>
            </w:r>
            <w:proofErr w:type="spellEnd"/>
          </w:p>
        </w:tc>
      </w:tr>
      <w:tr w:rsidR="001E032E" w:rsidRPr="002F6225" w14:paraId="19CB8152" w14:textId="77777777" w:rsidTr="00B05EC8">
        <w:tc>
          <w:tcPr>
            <w:tcW w:w="3192" w:type="dxa"/>
            <w:vMerge/>
          </w:tcPr>
          <w:p w14:paraId="6BC8857D" w14:textId="77777777" w:rsidR="001E032E" w:rsidRPr="002F6225" w:rsidRDefault="001E032E" w:rsidP="001E032E"/>
        </w:tc>
        <w:tc>
          <w:tcPr>
            <w:tcW w:w="3192" w:type="dxa"/>
            <w:vMerge/>
          </w:tcPr>
          <w:p w14:paraId="06B60BAE" w14:textId="77777777" w:rsidR="001E032E" w:rsidRPr="002F6225" w:rsidRDefault="001E032E" w:rsidP="001E032E"/>
        </w:tc>
        <w:tc>
          <w:tcPr>
            <w:tcW w:w="3192" w:type="dxa"/>
          </w:tcPr>
          <w:p w14:paraId="10EAC670" w14:textId="6F79C2BD" w:rsidR="001E032E" w:rsidRPr="002F6225" w:rsidRDefault="001E032E" w:rsidP="001E032E">
            <w:r w:rsidRPr="002F6225">
              <w:t>Уртикария</w:t>
            </w:r>
          </w:p>
        </w:tc>
      </w:tr>
      <w:tr w:rsidR="001E032E" w:rsidRPr="002F6225" w14:paraId="5180D601" w14:textId="77777777" w:rsidTr="00B05EC8">
        <w:tc>
          <w:tcPr>
            <w:tcW w:w="3192" w:type="dxa"/>
          </w:tcPr>
          <w:p w14:paraId="2F2CD6F8" w14:textId="5EE639D8" w:rsidR="001E032E" w:rsidRPr="002F6225" w:rsidRDefault="001E032E" w:rsidP="001E032E">
            <w:r w:rsidRPr="002F6225">
              <w:rPr>
                <w:szCs w:val="18"/>
              </w:rP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663FBA10" w14:textId="4145FDDE" w:rsidR="001E032E" w:rsidRPr="002F6225" w:rsidRDefault="001E032E" w:rsidP="001E032E">
            <w:r w:rsidRPr="002F6225">
              <w:rPr>
                <w:szCs w:val="18"/>
              </w:rPr>
              <w:t>Нечести</w:t>
            </w:r>
          </w:p>
        </w:tc>
        <w:tc>
          <w:tcPr>
            <w:tcW w:w="3192" w:type="dxa"/>
          </w:tcPr>
          <w:p w14:paraId="35D1ED14" w14:textId="352904CB" w:rsidR="001E032E" w:rsidRPr="002F6225" w:rsidRDefault="001E032E" w:rsidP="001E032E">
            <w:r w:rsidRPr="002F6225">
              <w:rPr>
                <w:szCs w:val="18"/>
              </w:rPr>
              <w:t>Мускулни спазми</w:t>
            </w:r>
          </w:p>
        </w:tc>
      </w:tr>
      <w:tr w:rsidR="001E032E" w:rsidRPr="002F6225" w14:paraId="2F47585E" w14:textId="77777777" w:rsidTr="00B05EC8">
        <w:tc>
          <w:tcPr>
            <w:tcW w:w="3192" w:type="dxa"/>
            <w:vMerge w:val="restart"/>
          </w:tcPr>
          <w:p w14:paraId="569ED7FA" w14:textId="01A99CBE" w:rsidR="001E032E" w:rsidRPr="002F6225" w:rsidRDefault="001E032E" w:rsidP="001E032E">
            <w:r w:rsidRPr="002F6225">
              <w:rPr>
                <w:szCs w:val="18"/>
              </w:rPr>
              <w:t xml:space="preserve">Общи нарушения </w:t>
            </w:r>
            <w:r w:rsidRPr="002F6225">
              <w:rPr>
                <w:i/>
                <w:iCs/>
                <w:szCs w:val="18"/>
              </w:rPr>
              <w:t xml:space="preserve">и ефекти на </w:t>
            </w:r>
            <w:r w:rsidRPr="002F6225">
              <w:rPr>
                <w:szCs w:val="18"/>
              </w:rPr>
              <w:t>мястото на приложение</w:t>
            </w:r>
          </w:p>
        </w:tc>
        <w:tc>
          <w:tcPr>
            <w:tcW w:w="3192" w:type="dxa"/>
            <w:vMerge w:val="restart"/>
          </w:tcPr>
          <w:p w14:paraId="26D07614" w14:textId="62EED2F4" w:rsidR="001E032E" w:rsidRPr="002F6225" w:rsidRDefault="001E032E" w:rsidP="001E032E">
            <w:r w:rsidRPr="002F6225">
              <w:rPr>
                <w:szCs w:val="18"/>
              </w:rPr>
              <w:t>Нечести*</w:t>
            </w:r>
          </w:p>
        </w:tc>
        <w:tc>
          <w:tcPr>
            <w:tcW w:w="3192" w:type="dxa"/>
          </w:tcPr>
          <w:p w14:paraId="264E9218" w14:textId="7F1FC1BD" w:rsidR="001E032E" w:rsidRPr="002F6225" w:rsidRDefault="001E032E" w:rsidP="001E032E">
            <w:proofErr w:type="spellStart"/>
            <w:r w:rsidRPr="002F6225">
              <w:rPr>
                <w:szCs w:val="18"/>
              </w:rPr>
              <w:t>Астения</w:t>
            </w:r>
            <w:proofErr w:type="spellEnd"/>
            <w:r w:rsidRPr="002F6225">
              <w:rPr>
                <w:szCs w:val="18"/>
              </w:rPr>
              <w:t>, свързана вероятно с брадикардия</w:t>
            </w:r>
          </w:p>
        </w:tc>
      </w:tr>
      <w:tr w:rsidR="001E032E" w:rsidRPr="002F6225" w14:paraId="3CB83138" w14:textId="77777777" w:rsidTr="00B05EC8">
        <w:tc>
          <w:tcPr>
            <w:tcW w:w="3192" w:type="dxa"/>
            <w:vMerge/>
          </w:tcPr>
          <w:p w14:paraId="5F15EA15" w14:textId="77777777" w:rsidR="001E032E" w:rsidRPr="002F6225" w:rsidRDefault="001E032E" w:rsidP="001E032E"/>
        </w:tc>
        <w:tc>
          <w:tcPr>
            <w:tcW w:w="3192" w:type="dxa"/>
            <w:vMerge/>
          </w:tcPr>
          <w:p w14:paraId="66C222F5" w14:textId="77777777" w:rsidR="001E032E" w:rsidRPr="002F6225" w:rsidRDefault="001E032E" w:rsidP="001E032E"/>
        </w:tc>
        <w:tc>
          <w:tcPr>
            <w:tcW w:w="3192" w:type="dxa"/>
          </w:tcPr>
          <w:p w14:paraId="40C41075" w14:textId="005878EF" w:rsidR="001E032E" w:rsidRPr="002F6225" w:rsidRDefault="001E032E" w:rsidP="001E032E">
            <w:r w:rsidRPr="002F6225">
              <w:rPr>
                <w:szCs w:val="18"/>
              </w:rPr>
              <w:t>Умора, свързана вероятно с брадикардия</w:t>
            </w:r>
          </w:p>
        </w:tc>
      </w:tr>
      <w:tr w:rsidR="001E032E" w:rsidRPr="002F6225" w14:paraId="228A3D79" w14:textId="77777777" w:rsidTr="00B05EC8">
        <w:tc>
          <w:tcPr>
            <w:tcW w:w="3192" w:type="dxa"/>
            <w:vMerge/>
          </w:tcPr>
          <w:p w14:paraId="01450D96" w14:textId="77777777" w:rsidR="001E032E" w:rsidRPr="002F6225" w:rsidRDefault="001E032E" w:rsidP="001E032E"/>
        </w:tc>
        <w:tc>
          <w:tcPr>
            <w:tcW w:w="3192" w:type="dxa"/>
          </w:tcPr>
          <w:p w14:paraId="5126D79B" w14:textId="5D24134F" w:rsidR="001E032E" w:rsidRPr="002F6225" w:rsidRDefault="001E032E" w:rsidP="001E032E">
            <w:r w:rsidRPr="002F6225">
              <w:rPr>
                <w:szCs w:val="18"/>
              </w:rPr>
              <w:t>Редки*</w:t>
            </w:r>
          </w:p>
        </w:tc>
        <w:tc>
          <w:tcPr>
            <w:tcW w:w="3192" w:type="dxa"/>
          </w:tcPr>
          <w:p w14:paraId="5A2A4447" w14:textId="4C05972A" w:rsidR="001E032E" w:rsidRPr="002F6225" w:rsidRDefault="001E032E" w:rsidP="001E032E">
            <w:r w:rsidRPr="002F6225">
              <w:rPr>
                <w:szCs w:val="18"/>
              </w:rPr>
              <w:t>Прималяване, вероятно свързано с брадикардия</w:t>
            </w:r>
          </w:p>
        </w:tc>
      </w:tr>
    </w:tbl>
    <w:p w14:paraId="3115ADB0" w14:textId="77777777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i/>
          <w:iCs/>
          <w:color w:val="000000"/>
          <w:lang w:eastAsia="bg-BG"/>
        </w:rPr>
        <w:t>* Честота на нежелани събития от спонтанни доклади, изчислена при клиничните изпитвания</w:t>
      </w:r>
    </w:p>
    <w:p w14:paraId="3FE8EF75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B5031E" w14:textId="6CFCF8FD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u w:val="single"/>
          <w:lang w:eastAsia="bg-BG"/>
        </w:rPr>
        <w:t>Описание на избрани нежелани лекарствени реакции</w:t>
      </w:r>
    </w:p>
    <w:p w14:paraId="664568FE" w14:textId="77777777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Светлинни феномени (</w:t>
      </w:r>
      <w:proofErr w:type="spellStart"/>
      <w:r w:rsidRPr="002F6225">
        <w:rPr>
          <w:rFonts w:eastAsia="Times New Roman" w:cs="Arial"/>
          <w:color w:val="000000"/>
          <w:lang w:eastAsia="bg-BG"/>
        </w:rPr>
        <w:t>фосфени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) са били съобщени от 14,5% от пациентите, описват се като преходна увеличена яркост в ограничена зона от зрителното поле. Те обикновено се провокират от внезапни промени в интензивността на светлината.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Фосфените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могат също да се опишат като ореол, разпадане на изображението (</w:t>
      </w:r>
      <w:proofErr w:type="spellStart"/>
      <w:r w:rsidRPr="002F6225">
        <w:rPr>
          <w:rFonts w:eastAsia="Times New Roman" w:cs="Arial"/>
          <w:color w:val="000000"/>
          <w:lang w:eastAsia="bg-BG"/>
        </w:rPr>
        <w:t>стробоскопски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калейдоскопски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ефекти), цветни ярки светлини или двойно виждане (</w:t>
      </w:r>
      <w:proofErr w:type="spellStart"/>
      <w:r w:rsidRPr="002F6225">
        <w:rPr>
          <w:rFonts w:eastAsia="Times New Roman" w:cs="Arial"/>
          <w:color w:val="000000"/>
          <w:lang w:eastAsia="bg-BG"/>
        </w:rPr>
        <w:t>ретинална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lang w:eastAsia="bg-BG"/>
        </w:rPr>
        <w:lastRenderedPageBreak/>
        <w:t>персистенция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). Появата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фосфени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става обикновено през първите два месеца от лечението, след което те могат да се явяват многократно. В повечето случаи се съобщава за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фосфени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с лека до умерена интензивност. Всички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фосфени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отзвучават по време на или след прекратяване на терапията, </w:t>
      </w:r>
      <w:r w:rsidRPr="002F6225">
        <w:rPr>
          <w:rFonts w:eastAsia="Times New Roman" w:cs="Arial"/>
          <w:i/>
          <w:iCs/>
          <w:color w:val="000000"/>
          <w:lang w:eastAsia="bg-BG"/>
        </w:rPr>
        <w:t>в</w:t>
      </w:r>
      <w:r w:rsidRPr="002F6225">
        <w:rPr>
          <w:rFonts w:eastAsia="Times New Roman" w:cs="Arial"/>
          <w:color w:val="000000"/>
          <w:lang w:eastAsia="bg-BG"/>
        </w:rPr>
        <w:t xml:space="preserve"> по-голямата си част (77,5%) по време на лечението. По-малко от 1% от пациентите са променили ежедневните си навици или са преустановили терапията във връзка с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фосфени</w:t>
      </w:r>
      <w:proofErr w:type="spellEnd"/>
      <w:r w:rsidRPr="002F6225">
        <w:rPr>
          <w:rFonts w:eastAsia="Times New Roman" w:cs="Arial"/>
          <w:color w:val="000000"/>
          <w:lang w:eastAsia="bg-BG"/>
        </w:rPr>
        <w:t>.</w:t>
      </w:r>
    </w:p>
    <w:p w14:paraId="6E374BF3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D9C2F9" w14:textId="66372FF2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Брадикардия е била съобщена от 3,3% от пациентите особено през първите 2 до 3 месеца от започване на лечението. 0,5% от пациентите са получили изразена брадикардия 40 или по-малко удара</w:t>
      </w:r>
      <w:r w:rsidRPr="002F6225">
        <w:rPr>
          <w:rFonts w:eastAsia="Times New Roman" w:cs="Arial"/>
          <w:color w:val="000000"/>
        </w:rPr>
        <w:t>/</w:t>
      </w:r>
      <w:proofErr w:type="spellStart"/>
      <w:r w:rsidRPr="002F6225">
        <w:rPr>
          <w:rFonts w:eastAsia="Times New Roman" w:cs="Arial"/>
          <w:color w:val="000000"/>
        </w:rPr>
        <w:t>min</w:t>
      </w:r>
      <w:proofErr w:type="spellEnd"/>
      <w:r w:rsidRPr="002F6225">
        <w:rPr>
          <w:rFonts w:eastAsia="Times New Roman" w:cs="Arial"/>
          <w:color w:val="000000"/>
        </w:rPr>
        <w:t>.</w:t>
      </w:r>
    </w:p>
    <w:p w14:paraId="20FF77CC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19971C" w14:textId="5A699ED7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В проучването </w:t>
      </w:r>
      <w:r w:rsidRPr="002F6225">
        <w:rPr>
          <w:rFonts w:eastAsia="Times New Roman" w:cs="Arial"/>
          <w:color w:val="000000"/>
        </w:rPr>
        <w:t xml:space="preserve">SIGNIFY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мьждене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е наблюдавано при 5,3% от пациентите, приемащи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, в сравнение с 3,8% в плацебо групата. В сборни анализи на всички двойнослепи контролирани клинични проучвания фази </w:t>
      </w:r>
      <w:r w:rsidRPr="002F6225">
        <w:rPr>
          <w:rFonts w:eastAsia="Times New Roman" w:cs="Arial"/>
          <w:color w:val="000000"/>
        </w:rPr>
        <w:t xml:space="preserve">II/1II </w:t>
      </w:r>
      <w:r w:rsidRPr="002F6225">
        <w:rPr>
          <w:rFonts w:eastAsia="Times New Roman" w:cs="Arial"/>
          <w:color w:val="000000"/>
          <w:lang w:eastAsia="bg-BG"/>
        </w:rPr>
        <w:t xml:space="preserve">с продължителност от най-малко 3 месеца, включващи повече от 40 000 пациенти, честотата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мьждене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е била 4,86% при пациентите, лекувани с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, в сравнение с 4,08% при контролите, съответстващи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коефицент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на риск 1,26,95% </w:t>
      </w:r>
      <w:r w:rsidRPr="002F6225">
        <w:rPr>
          <w:rFonts w:eastAsia="Times New Roman" w:cs="Arial"/>
          <w:color w:val="000000"/>
        </w:rPr>
        <w:t xml:space="preserve">CI </w:t>
      </w:r>
      <w:r w:rsidRPr="002F6225">
        <w:rPr>
          <w:rFonts w:eastAsia="Times New Roman" w:cs="Arial"/>
          <w:color w:val="000000"/>
          <w:lang w:eastAsia="bg-BG"/>
        </w:rPr>
        <w:t>[1,15-1,39].</w:t>
      </w:r>
    </w:p>
    <w:p w14:paraId="34F8901A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C6E00A" w14:textId="03A390D9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При проучването </w:t>
      </w:r>
      <w:r w:rsidRPr="002F6225">
        <w:rPr>
          <w:rFonts w:eastAsia="Times New Roman" w:cs="Arial"/>
          <w:color w:val="000000"/>
        </w:rPr>
        <w:t xml:space="preserve">SHIFT, </w:t>
      </w:r>
      <w:r w:rsidRPr="002F6225">
        <w:rPr>
          <w:rFonts w:eastAsia="Times New Roman" w:cs="Arial"/>
          <w:color w:val="000000"/>
          <w:lang w:eastAsia="bg-BG"/>
        </w:rPr>
        <w:t xml:space="preserve">повечето пациенти са имали епизоди на повишено кръвно налягане, когато са били лекувани с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(7,1%), в сравнение с пациенти, лекувани с плацебо (6,1%). Тези епизоди са се появили най-често скоро след промяна в терапията на кръвното налягане, били са преходни и не са повлияли терапевтичния ефект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>.</w:t>
      </w:r>
    </w:p>
    <w:p w14:paraId="7425EA87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8DDBCA" w14:textId="3EBD02EC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535AD67" w14:textId="77777777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Съобщаването на подозирани нежелани лекарствени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28CADE92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49F3CC" w14:textId="6DA3323A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Изпълнителна агенция по лекарствата.</w:t>
      </w:r>
    </w:p>
    <w:p w14:paraId="0C5477E6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2F6225">
        <w:rPr>
          <w:rFonts w:eastAsia="Times New Roman" w:cs="Arial"/>
          <w:color w:val="000000"/>
          <w:lang w:eastAsia="bg-BG"/>
        </w:rPr>
        <w:t xml:space="preserve">ул. .Дамян Груев” № 8 </w:t>
      </w:r>
    </w:p>
    <w:p w14:paraId="6B1ADFD4" w14:textId="09C9587D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1303 София</w:t>
      </w:r>
    </w:p>
    <w:p w14:paraId="4EDBD149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2F6225">
        <w:rPr>
          <w:rFonts w:eastAsia="Times New Roman" w:cs="Arial"/>
          <w:color w:val="000000"/>
          <w:lang w:eastAsia="bg-BG"/>
        </w:rPr>
        <w:t xml:space="preserve">Тел.:+359 2 890 3417 </w:t>
      </w:r>
    </w:p>
    <w:p w14:paraId="0109B8A3" w14:textId="1F8866C8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2F6225">
          <w:rPr>
            <w:rFonts w:eastAsia="Times New Roman" w:cs="Arial"/>
            <w:color w:val="000000"/>
            <w:u w:val="single"/>
          </w:rPr>
          <w:t>www.bda.bg</w:t>
        </w:r>
      </w:hyperlink>
    </w:p>
    <w:p w14:paraId="43D73FF1" w14:textId="33BCDB4A" w:rsidR="001E032E" w:rsidRPr="002F6225" w:rsidRDefault="001E032E" w:rsidP="00B05EC8"/>
    <w:p w14:paraId="5A87DBA3" w14:textId="3D55894E" w:rsidR="007122AD" w:rsidRPr="002F6225" w:rsidRDefault="002C50EE" w:rsidP="00936AD0">
      <w:pPr>
        <w:pStyle w:val="Heading2"/>
      </w:pPr>
      <w:r w:rsidRPr="002F6225">
        <w:t>4.9. Предозиране</w:t>
      </w:r>
    </w:p>
    <w:p w14:paraId="15814D3B" w14:textId="1C7C8662" w:rsidR="001E032E" w:rsidRPr="002F6225" w:rsidRDefault="001E032E" w:rsidP="001E032E"/>
    <w:p w14:paraId="307BF700" w14:textId="77777777" w:rsidR="001E032E" w:rsidRPr="002F6225" w:rsidRDefault="001E032E" w:rsidP="001E032E">
      <w:pPr>
        <w:pStyle w:val="Heading3"/>
        <w:rPr>
          <w:rFonts w:eastAsia="Times New Roman"/>
          <w:sz w:val="32"/>
          <w:u w:val="single"/>
        </w:rPr>
      </w:pPr>
      <w:r w:rsidRPr="002F6225">
        <w:rPr>
          <w:rFonts w:eastAsia="Times New Roman"/>
          <w:u w:val="single"/>
          <w:lang w:eastAsia="bg-BG"/>
        </w:rPr>
        <w:t>Симптоми</w:t>
      </w:r>
    </w:p>
    <w:p w14:paraId="1EBF796B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Предозирането може да доведе до тежка и продължителна брадикардия (вж. точка 4.8)</w:t>
      </w:r>
    </w:p>
    <w:p w14:paraId="040B6A2E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32A1BD1D" w14:textId="264D7197" w:rsidR="001E032E" w:rsidRPr="002F6225" w:rsidRDefault="001E032E" w:rsidP="001E032E">
      <w:pPr>
        <w:pStyle w:val="Heading3"/>
        <w:rPr>
          <w:rFonts w:eastAsia="Times New Roman"/>
          <w:sz w:val="32"/>
          <w:u w:val="single"/>
        </w:rPr>
      </w:pPr>
      <w:r w:rsidRPr="002F6225">
        <w:rPr>
          <w:rFonts w:eastAsia="Times New Roman"/>
          <w:u w:val="single"/>
          <w:lang w:eastAsia="bg-BG"/>
        </w:rPr>
        <w:t>Лечение</w:t>
      </w:r>
    </w:p>
    <w:p w14:paraId="01E0C0B4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Тежката брадикардия трябва да се лекува симптоматично в специализирани условия. В случай на брадикардия с лоша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хемодинамична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поносимост може да бъде обсъдено симптоматично лечение включващо интравенозни бета-стимулиращи лекарствени продукти, като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изопреналин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. При нужда може да се предприеме временна сърдечна електростимулация.</w:t>
      </w:r>
    </w:p>
    <w:p w14:paraId="703C2F0C" w14:textId="77777777" w:rsidR="001E032E" w:rsidRPr="002F6225" w:rsidRDefault="001E032E" w:rsidP="001E032E"/>
    <w:p w14:paraId="02081B24" w14:textId="1F46E296" w:rsidR="00395555" w:rsidRPr="002F6225" w:rsidRDefault="002C50EE" w:rsidP="008A6AF2">
      <w:pPr>
        <w:pStyle w:val="Heading1"/>
      </w:pPr>
      <w:r w:rsidRPr="002F6225">
        <w:lastRenderedPageBreak/>
        <w:t>5. ФАРМАКОЛОГИЧНИ СВОЙСТВА</w:t>
      </w:r>
    </w:p>
    <w:p w14:paraId="7DE36AC8" w14:textId="2C8488B9" w:rsidR="00B6672E" w:rsidRPr="002F6225" w:rsidRDefault="002C50EE" w:rsidP="00936AD0">
      <w:pPr>
        <w:pStyle w:val="Heading2"/>
      </w:pPr>
      <w:r w:rsidRPr="002F6225">
        <w:t xml:space="preserve">5.1. </w:t>
      </w:r>
      <w:proofErr w:type="spellStart"/>
      <w:r w:rsidRPr="002F6225">
        <w:t>Фармакодинамични</w:t>
      </w:r>
      <w:proofErr w:type="spellEnd"/>
      <w:r w:rsidRPr="002F6225">
        <w:t xml:space="preserve"> свойства</w:t>
      </w:r>
    </w:p>
    <w:p w14:paraId="737DFE6A" w14:textId="43962736" w:rsidR="001E032E" w:rsidRPr="002F6225" w:rsidRDefault="001E032E" w:rsidP="001E032E"/>
    <w:p w14:paraId="618448ED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Фармакотерапевтична група: Лечение на сърдечни заболявания, други сърдечни препарати, АТС код: С01ЕВ17.</w:t>
      </w:r>
    </w:p>
    <w:p w14:paraId="16CA6F78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2AEE9DFE" w14:textId="3FEA339A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Механизъм на действие</w:t>
      </w:r>
    </w:p>
    <w:p w14:paraId="2C724574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1F2FD059" w14:textId="6F22FDDF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средство единствено за понижаване на сърдечната честота, действащо чрез селективна и специфична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инхибиция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на електрическия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</w:rPr>
        <w:t>If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поток на сърдечния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пейсмекър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който контролира спонтанната диастолна деполяризация в синусовия възел и регулира сърдечната честота. Сърдечните ефекти са специфични за синусовия възел, без ефект върху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интра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-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атриалното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атриовентрикуларното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интравентрикуларното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проводно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време, нито върху миокардния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контрактилигет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или камерната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реполяризация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.</w:t>
      </w:r>
    </w:p>
    <w:p w14:paraId="2FA48A57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0858AD38" w14:textId="36DF4D48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може да взаимодейства и с електрическия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</w:rPr>
        <w:t>Ih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поток в ретината, който е много сходен със сърдечния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</w:rPr>
        <w:t>If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</w:rPr>
        <w:t>.</w:t>
      </w:r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Той участва в темпоралната резолюция на зрителната система чрез скъсяване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ретиналния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отговор към ярки светлинни стимули.</w:t>
      </w:r>
    </w:p>
    <w:p w14:paraId="4CF9EA60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провокиращи обстоятелства (напр. бързи промени в яркостта) частичната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инхибиция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на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</w:rPr>
        <w:t>Ih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</w:rPr>
        <w:t xml:space="preserve"> </w:t>
      </w: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от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засилва светлинните възприятия, които могат понякога да бъдат усетени от пациентите. Светлинните възприятия (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фосфени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) се описват като преходно усилване на яркостта в ограничена зона на зрителното поле (вж. точка 4.8).</w:t>
      </w:r>
    </w:p>
    <w:p w14:paraId="20C01551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2AA14516" w14:textId="565BF482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Фармакодинамични</w:t>
      </w:r>
      <w:proofErr w:type="spellEnd"/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 xml:space="preserve"> ефекти</w:t>
      </w:r>
    </w:p>
    <w:p w14:paraId="07E4192A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Главното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фармакодинамично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свойство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при човека е специфично доза-зависимо понижение на сърдечната честота. Анализът на редукциите на сърдечната честота с дози до 20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два пъти дневно показва тенденция към плато-ефект, който отговаря на намален риск от тежка брадикардия под 40 удара</w:t>
      </w:r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(вж. точка 4.8).</w:t>
      </w:r>
    </w:p>
    <w:p w14:paraId="55D19900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54A60E43" w14:textId="03FE8219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При обичайните препоръчвани дози понижението на сърдечната честота е приблизително 10 удара</w:t>
      </w:r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min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в покой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физическо усилие.</w:t>
      </w:r>
    </w:p>
    <w:p w14:paraId="017E0E6A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Това води до намаляване на сърдечната работа и консумацията на кислород от миокарда.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повлиява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вътресърдечната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проводимост,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контрактилитета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(няма негативен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инотропен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ефект) или камерната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реполяризация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:</w:t>
      </w:r>
    </w:p>
    <w:p w14:paraId="5BFBA577" w14:textId="3F709A39" w:rsidR="001E032E" w:rsidRPr="002F6225" w:rsidRDefault="001E032E" w:rsidP="001E032E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szCs w:val="18"/>
          <w:lang w:eastAsia="bg-BG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в клинични електрофизиологични проучвания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е показал ефект върху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атриовентрикуларното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интравентрикуларното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проводно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време или коригираните </w:t>
      </w:r>
      <w:r w:rsidRPr="002F6225">
        <w:rPr>
          <w:rFonts w:eastAsia="Times New Roman" w:cs="Arial"/>
          <w:color w:val="000000"/>
          <w:szCs w:val="18"/>
        </w:rPr>
        <w:t>QT</w:t>
      </w:r>
      <w:r w:rsidRPr="002F6225">
        <w:rPr>
          <w:rFonts w:eastAsia="Times New Roman" w:cs="Arial"/>
          <w:color w:val="000000"/>
          <w:szCs w:val="18"/>
          <w:lang w:eastAsia="bg-BG"/>
        </w:rPr>
        <w:t>- интервали;</w:t>
      </w:r>
    </w:p>
    <w:p w14:paraId="60079F78" w14:textId="63248D78" w:rsidR="001E032E" w:rsidRPr="002F6225" w:rsidRDefault="001E032E" w:rsidP="001E032E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пациенти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левокамерна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дисфункция [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левокамерна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изтласкваща фракция </w:t>
      </w:r>
      <w:r w:rsidRPr="002F6225">
        <w:rPr>
          <w:rFonts w:eastAsia="Times New Roman" w:cs="Arial"/>
          <w:color w:val="000000"/>
          <w:szCs w:val="18"/>
        </w:rPr>
        <w:t xml:space="preserve">(LVEF)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между 30 и 45%]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е имал неблагоприятен ефект върху </w:t>
      </w:r>
      <w:r w:rsidRPr="002F6225">
        <w:rPr>
          <w:rFonts w:eastAsia="Times New Roman" w:cs="Arial"/>
          <w:color w:val="000000"/>
          <w:szCs w:val="18"/>
        </w:rPr>
        <w:t>LVEF.</w:t>
      </w:r>
    </w:p>
    <w:p w14:paraId="15733691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1F7DB0B6" w14:textId="651944D9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Клинична ефикасност и безопасност</w:t>
      </w:r>
    </w:p>
    <w:p w14:paraId="4527EA59" w14:textId="77777777" w:rsidR="001E032E" w:rsidRPr="002F6225" w:rsidRDefault="001E032E" w:rsidP="001E032E">
      <w:pPr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Антиангинозната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антиисхемичната ефикасност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проучена в пет двойно-слепи рандомизирани проучвания (три спрямо плацебо и по едно спрямо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атенопол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). Тези проучвания са включвали общо 4111 пациенти с хронична стабилна стенокардия, от които 2617 са получавали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.</w:t>
      </w:r>
    </w:p>
    <w:p w14:paraId="2D0E08D1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275620F0" w14:textId="569BAB78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Те показват, че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оказва ефект върху изпитваните параметри при натоварване в рамките на 3 до 4 седмици след започване на лечението. Доказана е ефикасност със 7,5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дневно. Допълнителната полза спрямо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lastRenderedPageBreak/>
        <w:t xml:space="preserve">два пъти дневно е била установена в сравнително контролирано проучване спрямо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атенолол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: общата продължителност на физическото натоварване в момента на минимална плазмена концентрация е нараснала с около 1 минута след едномесечно лечение с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и се е подобрила с почти 25 секунди в резултат на допълнителен 3-месечен период на лечение след директно преминаване на 7,5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дневно. Това проучване потвърждава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антиангинозната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антиисхемичната полза от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при пациенти на възраст 65 или повече години.</w:t>
      </w:r>
    </w:p>
    <w:p w14:paraId="2E3A7167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Ефикасността на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и 7,5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върху параметрите на теста с натоварване (обща продължителност на натоварването, време до достигане на лимитираща стенокардия, време до начало на стенокардия и време до достигане на </w:t>
      </w:r>
      <w:r w:rsidRPr="002F6225">
        <w:rPr>
          <w:rFonts w:eastAsia="Times New Roman" w:cs="Arial"/>
          <w:color w:val="000000"/>
          <w:szCs w:val="18"/>
        </w:rPr>
        <w:t>ST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-депресия от 1 </w:t>
      </w:r>
      <w:r w:rsidRPr="002F6225">
        <w:rPr>
          <w:rFonts w:eastAsia="Times New Roman" w:cs="Arial"/>
          <w:color w:val="000000"/>
          <w:szCs w:val="18"/>
        </w:rPr>
        <w:t xml:space="preserve">mm)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е била потвърдена във всички проучвания и е била свързана с намаляване на честотата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ангинозните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пристъпи с около 70%.</w:t>
      </w:r>
    </w:p>
    <w:p w14:paraId="131D4A92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двукратен дневен прием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има постоянна 24-часова ефикасност.</w:t>
      </w:r>
    </w:p>
    <w:p w14:paraId="37E0ED4A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65C287D2" w14:textId="0E74F4D3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В рандомизирано плацебо контролирано проучване с 889 пациенти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добавен към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атенолол</w:t>
      </w:r>
      <w:proofErr w:type="spellEnd"/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 xml:space="preserve"> 50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еднократно дневно, показва допълнителна ефикасност при всички параметри на стрес-теста в края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дозовия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интервал на лекарствена активност (12 часа след перорален прием).</w:t>
      </w:r>
    </w:p>
    <w:p w14:paraId="3E565AB0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72E179BF" w14:textId="4AFBF0EC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В рандомизирано плацебо контролирано проучване със 725 пациенти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е показал по- голяма ефикасност след прибавяне към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10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веднъж дневно при минимума на лекарствената активност (12 часа след перорален прием), показал </w:t>
      </w: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е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по-голяма ефикасност при пика (3-4 часа след перорален прием).</w:t>
      </w:r>
    </w:p>
    <w:p w14:paraId="2081411A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585A4F3E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В рандомизирано плацебо-контролирано проучване при 1277 пациенти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добавен към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едноркатно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дневно или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нифедипин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2F6225">
        <w:rPr>
          <w:rFonts w:eastAsia="Times New Roman" w:cs="Arial"/>
          <w:color w:val="000000"/>
          <w:szCs w:val="18"/>
        </w:rPr>
        <w:t xml:space="preserve">GITS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30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еднократно дневно, е показал статистически значима допълнителна ефикасност по отношение на отговора към лечението (дефиниран като намаление с най-малко 3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ангинозни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пристъпа за седмица и/или увеличение на времето до </w:t>
      </w:r>
      <w:r w:rsidRPr="002F6225">
        <w:rPr>
          <w:rFonts w:eastAsia="Times New Roman" w:cs="Arial"/>
          <w:color w:val="000000"/>
          <w:szCs w:val="18"/>
        </w:rPr>
        <w:t>ST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-депресия от 1 </w:t>
      </w:r>
      <w:r w:rsidRPr="002F6225">
        <w:rPr>
          <w:rFonts w:eastAsia="Times New Roman" w:cs="Arial"/>
          <w:color w:val="000000"/>
          <w:szCs w:val="18"/>
        </w:rPr>
        <w:t xml:space="preserve">mm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с най-малко 60 </w:t>
      </w:r>
      <w:r w:rsidRPr="002F6225">
        <w:rPr>
          <w:rFonts w:eastAsia="Times New Roman" w:cs="Arial"/>
          <w:color w:val="000000"/>
          <w:szCs w:val="18"/>
        </w:rPr>
        <w:t xml:space="preserve">s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по време на стрес-теста с бягаща пътека) при най-ниската лекарствена активност (12 часа след перорален прием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) след 6- седмичен период на лечение </w:t>
      </w:r>
      <w:r w:rsidRPr="002F6225">
        <w:rPr>
          <w:rFonts w:eastAsia="Times New Roman" w:cs="Arial"/>
          <w:color w:val="000000"/>
          <w:szCs w:val="18"/>
        </w:rPr>
        <w:t xml:space="preserve">(OR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= 1,3; 95% </w:t>
      </w:r>
      <w:r w:rsidRPr="002F6225">
        <w:rPr>
          <w:rFonts w:eastAsia="Times New Roman" w:cs="Arial"/>
          <w:color w:val="000000"/>
          <w:szCs w:val="18"/>
        </w:rPr>
        <w:t xml:space="preserve">CI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[1,0-1,7]; р = 0,012).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не е показал допълнителна ефикасност върху вторичните крайни точки на параметрите на стрес-теста при най-ниската лекарствена активност, въпреки че е показал допълнителна </w:t>
      </w:r>
    </w:p>
    <w:p w14:paraId="4F089B42" w14:textId="19AB3699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ефикасност при пика </w:t>
      </w:r>
      <w:r w:rsidRPr="002F6225">
        <w:rPr>
          <w:rFonts w:eastAsia="Times New Roman" w:cs="Arial"/>
          <w:i/>
          <w:iCs/>
          <w:color w:val="000000"/>
          <w:szCs w:val="18"/>
          <w:lang w:eastAsia="bg-BG"/>
        </w:rPr>
        <w:t>(3- 4 часа след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перорален прием).</w:t>
      </w:r>
    </w:p>
    <w:p w14:paraId="37D87B09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18390B05" w14:textId="1B9ED830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Ефикасността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се запазва напълно през целия 3- или 4-месечен период на лечение при проучванията за ефикасност. Липсват данни за фармакологичен толеранс (загуба на ефективност), възникващ по време на лечение, както и за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ребаунд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ефект след рязко спиране на лечението.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Антиангинозните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антиисхемични ефекти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се свързват с доза-зависимо понижение на сърдечната честота и със значимо намаление на произведението на честота и налягане (сърдечна честота х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систолно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кръвно налягане) в покой и по време на натоварване. Действието върху кръвното налягане и периферното съдово съпротивление е пренебрежимо и няма клинично значение.</w:t>
      </w:r>
    </w:p>
    <w:p w14:paraId="7A768AA5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5F6882B3" w14:textId="06F4DAB2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Трайно понижение на сърдечната честота е било демонстрирано при пациенти, лекувани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минимум една година (</w:t>
      </w:r>
      <w:r w:rsidRPr="002F6225">
        <w:rPr>
          <w:rFonts w:eastAsia="Times New Roman" w:cs="Arial"/>
          <w:color w:val="000000"/>
          <w:szCs w:val="18"/>
        </w:rPr>
        <w:t>n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= 713). Не се наблюдава влияние върху кръвната захар или липидния метаболизъм.</w:t>
      </w:r>
    </w:p>
    <w:p w14:paraId="302C8239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476AFC98" w14:textId="30B1CDAF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Антиангинозната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антиисхемичната ефикасност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се е запазила при диабетици (</w:t>
      </w:r>
      <w:r w:rsidRPr="002F6225">
        <w:rPr>
          <w:rFonts w:eastAsia="Times New Roman" w:cs="Arial"/>
          <w:color w:val="000000"/>
          <w:szCs w:val="18"/>
        </w:rPr>
        <w:t>n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= 457) при профил на безопасност, сравним с този в общата популация.</w:t>
      </w:r>
    </w:p>
    <w:p w14:paraId="4C26CCF8" w14:textId="77777777" w:rsidR="001E032E" w:rsidRPr="002F6225" w:rsidRDefault="001E032E" w:rsidP="001E032E">
      <w:pPr>
        <w:rPr>
          <w:rFonts w:eastAsia="Times New Roman" w:cs="Arial"/>
          <w:color w:val="000000"/>
          <w:szCs w:val="18"/>
          <w:lang w:eastAsia="bg-BG"/>
        </w:rPr>
      </w:pPr>
    </w:p>
    <w:p w14:paraId="7E1A2214" w14:textId="77777777" w:rsidR="001E032E" w:rsidRPr="002F6225" w:rsidRDefault="001E032E" w:rsidP="001E032E">
      <w:pPr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Мащабно проучване за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заболяемост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-смъртност, </w:t>
      </w:r>
      <w:r w:rsidRPr="002F6225">
        <w:rPr>
          <w:rFonts w:eastAsia="Times New Roman" w:cs="Arial"/>
          <w:color w:val="000000"/>
          <w:szCs w:val="18"/>
        </w:rPr>
        <w:t xml:space="preserve">BEAUTIFUL,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е проведено при 10 917 пациенти с исхемична болест на сърцето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левокамерна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дисфункция (ЛКФИ &lt; 40%) на фона на оптимално лечение, като 86,9% от пациентите са получавали бета-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блокери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. Основният критерий за ефикасност е комбинацията от сърдечно-съдова смърт, хоспитализация при остър инфаркт на миокарда или хоспитализация поради нововъзникнала или влошаваща се сърдечна недостатъчност. Проучването не показва разлика в процента при първичния комбиниран краен резултат в групата на пациентите, лекувани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в сравнение с плацебо групата (релативен риск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: плацебо 1,00, р - 0,945),</w:t>
      </w:r>
    </w:p>
    <w:p w14:paraId="4B9A647B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</w:t>
      </w:r>
      <w:proofErr w:type="spellStart"/>
      <w:r w:rsidRPr="002F6225">
        <w:rPr>
          <w:rFonts w:eastAsia="Times New Roman" w:cs="Arial"/>
          <w:i/>
          <w:iCs/>
          <w:color w:val="000000"/>
          <w:szCs w:val="18"/>
        </w:rPr>
        <w:t>post-hoc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подгрупа пациенти със симптоматична стенокардия по време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рандомизацията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(п = 1507) не е идентифициран сигнал във връзка с безопасността по отношение на сърдечно-съдова смърт, хоспитализация при остър инфаркт на миокарда или сърдечна недостатъчност (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12,0% срещу плацебо 15,5%, р = 0,05).</w:t>
      </w:r>
    </w:p>
    <w:p w14:paraId="6ADF6698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7D0DAF67" w14:textId="40A3E6F0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Проведено е мащабно проучване по отношение на изхода, </w:t>
      </w:r>
      <w:r w:rsidRPr="002F6225">
        <w:rPr>
          <w:rFonts w:eastAsia="Times New Roman" w:cs="Arial"/>
          <w:color w:val="000000"/>
          <w:szCs w:val="18"/>
        </w:rPr>
        <w:t xml:space="preserve">SIGNIFY,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19102-ма пациенти с исхемична болест на сърцето и без клинична сърдечна недостатъчност (ЛКФИ &gt; 40%) на фона на оптимално основно лечение. Използвана е била по-висока терапевтична схема от одобрената дозировка [начална доза 7,5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(5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дневно, ако възрастта е ≥ 75 години) и титриране до 10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дневно]. Основният критерий за ефикасност е бил комбинацията от сърдечносъдова смърт или нефатален инфаркт на миокарда. Проучването не показва разлика в процента при първичната съставна крайна точка (ПСКТ) в групата на пациентите, лекувани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в сравнение с плацебо групата (относителен риск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/плацебо 1,08, р = 0,197). Съобщена е брадикардия при 17,9% в групата на пациентите, лекувани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(2,1% в плацебо групата).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Верапамил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дилтиазем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или мощни </w:t>
      </w:r>
      <w:r w:rsidRPr="002F6225">
        <w:rPr>
          <w:rFonts w:eastAsia="Times New Roman" w:cs="Arial"/>
          <w:color w:val="000000"/>
          <w:szCs w:val="18"/>
        </w:rPr>
        <w:t xml:space="preserve">CYP </w:t>
      </w:r>
      <w:r w:rsidRPr="002F6225">
        <w:rPr>
          <w:rFonts w:eastAsia="Times New Roman" w:cs="Arial"/>
          <w:color w:val="000000"/>
          <w:szCs w:val="18"/>
          <w:lang w:eastAsia="bg-BG"/>
        </w:rPr>
        <w:t>ЗА4 инхибитори са били приемани от 7,1% от пациентите по време на проучването.</w:t>
      </w:r>
    </w:p>
    <w:p w14:paraId="110EF1C4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Малко статистически значимо увеличение на ПСКТ е наблюдавано в предварително определена подгрупа пациенти със стенокардия клас II по </w:t>
      </w:r>
      <w:r w:rsidRPr="002F6225">
        <w:rPr>
          <w:rFonts w:eastAsia="Times New Roman" w:cs="Arial"/>
          <w:color w:val="000000"/>
          <w:szCs w:val="18"/>
        </w:rPr>
        <w:t xml:space="preserve">CCS </w:t>
      </w:r>
      <w:r w:rsidRPr="002F6225">
        <w:rPr>
          <w:rFonts w:eastAsia="Times New Roman" w:cs="Arial"/>
          <w:color w:val="000000"/>
          <w:szCs w:val="18"/>
          <w:lang w:eastAsia="bg-BG"/>
        </w:rPr>
        <w:t>или по-висок при включването (</w:t>
      </w:r>
      <w:r w:rsidRPr="002F6225">
        <w:rPr>
          <w:rFonts w:eastAsia="Times New Roman" w:cs="Arial"/>
          <w:color w:val="000000"/>
          <w:szCs w:val="18"/>
        </w:rPr>
        <w:t>n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= 12049) (честота на поява 3,4% срещу 2,9% годишно, относителен риск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/плацебо 1,18, р = 0,018), но не и в подгрупата от цялата популация със стенокардия клас ≥ </w:t>
      </w:r>
      <w:r w:rsidRPr="002F6225">
        <w:rPr>
          <w:rFonts w:eastAsia="Times New Roman" w:cs="Arial"/>
          <w:color w:val="000000"/>
          <w:szCs w:val="18"/>
        </w:rPr>
        <w:t xml:space="preserve">I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по </w:t>
      </w:r>
      <w:r w:rsidRPr="002F6225">
        <w:rPr>
          <w:rFonts w:eastAsia="Times New Roman" w:cs="Arial"/>
          <w:color w:val="000000"/>
          <w:szCs w:val="18"/>
        </w:rPr>
        <w:t xml:space="preserve">CCS </w:t>
      </w:r>
      <w:r w:rsidRPr="002F6225">
        <w:rPr>
          <w:rFonts w:eastAsia="Times New Roman" w:cs="Arial"/>
          <w:color w:val="000000"/>
          <w:szCs w:val="18"/>
          <w:lang w:eastAsia="bg-BG"/>
        </w:rPr>
        <w:t>(</w:t>
      </w:r>
      <w:r w:rsidRPr="002F6225">
        <w:rPr>
          <w:rFonts w:eastAsia="Times New Roman" w:cs="Arial"/>
          <w:color w:val="000000"/>
          <w:szCs w:val="18"/>
        </w:rPr>
        <w:t>n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= 14286) (относителен риск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/плацебо 1,11, р = 0,110).</w:t>
      </w:r>
    </w:p>
    <w:p w14:paraId="055D9CB0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По-високата от одобрената доза, използвана в проучването, не обяснява напълно тези изводи.</w:t>
      </w:r>
    </w:p>
    <w:p w14:paraId="335F1B67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7350AD0E" w14:textId="176FB428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Проучването </w:t>
      </w:r>
      <w:r w:rsidRPr="002F6225">
        <w:rPr>
          <w:rFonts w:eastAsia="Times New Roman" w:cs="Arial"/>
          <w:color w:val="000000"/>
          <w:szCs w:val="18"/>
        </w:rPr>
        <w:t xml:space="preserve">SHIFT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е голямо,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многоцентрово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международно, рандомизирано, двойно сляпо, с плацебо-контролирани резултати изпитване, проведено при 6505 възрастни пациенти със стабилна хронична ЗСН (за ≥ 4 седмици), от II до IV клас по </w:t>
      </w:r>
      <w:r w:rsidRPr="002F6225">
        <w:rPr>
          <w:rFonts w:eastAsia="Times New Roman" w:cs="Arial"/>
          <w:color w:val="000000"/>
          <w:szCs w:val="18"/>
        </w:rPr>
        <w:t xml:space="preserve">NYHA,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с намалена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левокамерна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фракция на изтласкване (ЛКФИ &lt; 35%) и сърдечна честота в покой ≥ 70 удара в минута. Пациентите са получавали стандартно лечение, включващо бета-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блокери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(89%), АСЕ инхибитори и/или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II антагонисти (91%),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диуретици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(83%) и антагонисти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алдостерона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(60%). В групата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67% от пациентите са лекувани със 7,5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дневно. Медианата на продължителността на периода на проследяване е била 22,9 месеца. Лечението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било свързано с намаляване на сърдечната честота средно с 15 удара в минута от изходната стойност от 80 удара в минута. Разликата в сърдечната честота между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плацебо-групите е била 10,8 удара в минута на 28 ден, 9,1 удара в минута на 12 месец и 8,3 удара в минута на 24 месец.</w:t>
      </w:r>
    </w:p>
    <w:p w14:paraId="58081692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790BD6DD" w14:textId="62AB1316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lastRenderedPageBreak/>
        <w:t xml:space="preserve">Проучването демонстрира клинично и статистически значимо намаление на относителния риск с 18%, на честотата на първичната съставна крайна точка на сърдечносъдова смъртност и хоспитализация, поради влошаване на сърдечната недостатъчност (коефициент на риска: 0,82, 95% </w:t>
      </w:r>
      <w:r w:rsidRPr="002F6225">
        <w:rPr>
          <w:rFonts w:eastAsia="Times New Roman" w:cs="Arial"/>
          <w:color w:val="000000"/>
          <w:szCs w:val="18"/>
        </w:rPr>
        <w:t xml:space="preserve">CI </w:t>
      </w:r>
      <w:r w:rsidRPr="002F6225">
        <w:rPr>
          <w:rFonts w:eastAsia="Times New Roman" w:cs="Arial"/>
          <w:color w:val="000000"/>
          <w:szCs w:val="18"/>
          <w:lang w:eastAsia="bg-BG"/>
        </w:rPr>
        <w:t>[0,75;0,90] -р &lt; 0,0001), установено до 3 месеца след започване на лечението. Редукцията на абсолютния риск е 4,2%. Резултатите по първичната крайна точка са изведени главно чрез крайните точки сърдечната недостатъчност, хоспитализация поради влошаване на сърдечната недостатъчност (абсолютен риск, намален с 4,7%) и смърт поради сърдечна недостатъчност (абсолютен риск, намален с 1,1%).</w:t>
      </w:r>
    </w:p>
    <w:p w14:paraId="214CA6E7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563EC1F6" w14:textId="363BED20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Ефект от лечението върху първичната съставна крайна точка, нейните компоненти и вторичните крайни точки.</w:t>
      </w:r>
    </w:p>
    <w:p w14:paraId="3404C5E2" w14:textId="3628401A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1498"/>
        <w:gridCol w:w="1429"/>
        <w:gridCol w:w="1781"/>
        <w:gridCol w:w="1214"/>
      </w:tblGrid>
      <w:tr w:rsidR="001E032E" w:rsidRPr="002F6225" w14:paraId="4F0FEBAC" w14:textId="77777777" w:rsidTr="001E032E">
        <w:tc>
          <w:tcPr>
            <w:tcW w:w="3466" w:type="dxa"/>
          </w:tcPr>
          <w:p w14:paraId="778606F8" w14:textId="77777777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7" w:type="dxa"/>
          </w:tcPr>
          <w:p w14:paraId="6BC6573F" w14:textId="78683B3D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F6225">
              <w:rPr>
                <w:b/>
                <w:bCs/>
                <w:szCs w:val="18"/>
              </w:rPr>
              <w:t>Ивабрадин</w:t>
            </w:r>
            <w:proofErr w:type="spellEnd"/>
            <w:r w:rsidRPr="002F6225">
              <w:rPr>
                <w:b/>
                <w:bCs/>
                <w:szCs w:val="18"/>
              </w:rPr>
              <w:t xml:space="preserve"> (N = 3241) п(%)</w:t>
            </w:r>
          </w:p>
        </w:tc>
        <w:tc>
          <w:tcPr>
            <w:tcW w:w="1494" w:type="dxa"/>
          </w:tcPr>
          <w:p w14:paraId="330DEF2B" w14:textId="51B594A3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b/>
                <w:bCs/>
                <w:szCs w:val="18"/>
              </w:rPr>
              <w:t>Плацебо (N=3264) n (%)</w:t>
            </w:r>
          </w:p>
        </w:tc>
        <w:tc>
          <w:tcPr>
            <w:tcW w:w="1875" w:type="dxa"/>
          </w:tcPr>
          <w:p w14:paraId="389D1206" w14:textId="3E140642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b/>
                <w:bCs/>
                <w:szCs w:val="18"/>
              </w:rPr>
              <w:t xml:space="preserve">Коефициент на риска [95% </w:t>
            </w:r>
            <w:proofErr w:type="spellStart"/>
            <w:r w:rsidRPr="002F6225">
              <w:rPr>
                <w:b/>
                <w:bCs/>
                <w:szCs w:val="18"/>
              </w:rPr>
              <w:t>Сl</w:t>
            </w:r>
            <w:proofErr w:type="spellEnd"/>
            <w:r w:rsidRPr="002F6225">
              <w:rPr>
                <w:b/>
                <w:bCs/>
                <w:szCs w:val="18"/>
              </w:rPr>
              <w:t>]</w:t>
            </w:r>
          </w:p>
        </w:tc>
        <w:tc>
          <w:tcPr>
            <w:tcW w:w="1214" w:type="dxa"/>
          </w:tcPr>
          <w:p w14:paraId="7CC93C01" w14:textId="2140F209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b/>
                <w:bCs/>
                <w:szCs w:val="18"/>
              </w:rPr>
              <w:t>р-стойност</w:t>
            </w:r>
          </w:p>
        </w:tc>
      </w:tr>
      <w:tr w:rsidR="001E032E" w:rsidRPr="002F6225" w14:paraId="77BDBD2D" w14:textId="77777777" w:rsidTr="001E032E">
        <w:tc>
          <w:tcPr>
            <w:tcW w:w="3466" w:type="dxa"/>
          </w:tcPr>
          <w:p w14:paraId="539217DD" w14:textId="77777777" w:rsidR="001E032E" w:rsidRPr="002F6225" w:rsidRDefault="001E032E" w:rsidP="001E032E">
            <w:r w:rsidRPr="002F6225">
              <w:rPr>
                <w:i/>
                <w:iCs/>
                <w:szCs w:val="18"/>
              </w:rPr>
              <w:t>Първична</w:t>
            </w:r>
            <w:r w:rsidRPr="002F6225">
              <w:rPr>
                <w:i/>
                <w:iCs/>
                <w:szCs w:val="18"/>
              </w:rPr>
              <w:tab/>
              <w:t>съставна</w:t>
            </w:r>
          </w:p>
          <w:p w14:paraId="30D10252" w14:textId="26AA55E6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i/>
                <w:iCs/>
                <w:szCs w:val="18"/>
              </w:rPr>
              <w:t>крайна точка</w:t>
            </w:r>
          </w:p>
        </w:tc>
        <w:tc>
          <w:tcPr>
            <w:tcW w:w="1527" w:type="dxa"/>
          </w:tcPr>
          <w:p w14:paraId="5D52DFA6" w14:textId="6FAE1F82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793 (24,47)</w:t>
            </w:r>
          </w:p>
        </w:tc>
        <w:tc>
          <w:tcPr>
            <w:tcW w:w="1494" w:type="dxa"/>
          </w:tcPr>
          <w:p w14:paraId="4F5AD7AB" w14:textId="05FBBEF5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937(28,71)</w:t>
            </w:r>
          </w:p>
        </w:tc>
        <w:tc>
          <w:tcPr>
            <w:tcW w:w="1875" w:type="dxa"/>
          </w:tcPr>
          <w:p w14:paraId="6B109854" w14:textId="25D972E1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0,82 [0,75; 0,90]</w:t>
            </w:r>
          </w:p>
        </w:tc>
        <w:tc>
          <w:tcPr>
            <w:tcW w:w="1214" w:type="dxa"/>
          </w:tcPr>
          <w:p w14:paraId="76B0CD37" w14:textId="2218EC38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&lt;0,0001</w:t>
            </w:r>
          </w:p>
        </w:tc>
      </w:tr>
      <w:tr w:rsidR="001E032E" w:rsidRPr="002F6225" w14:paraId="43AB1640" w14:textId="77777777" w:rsidTr="001E032E">
        <w:tc>
          <w:tcPr>
            <w:tcW w:w="3466" w:type="dxa"/>
          </w:tcPr>
          <w:p w14:paraId="312AE8F3" w14:textId="77777777" w:rsidR="001E032E" w:rsidRPr="002F6225" w:rsidRDefault="001E032E" w:rsidP="001E032E">
            <w:r w:rsidRPr="002F6225">
              <w:rPr>
                <w:i/>
                <w:iCs/>
                <w:szCs w:val="18"/>
              </w:rPr>
              <w:t>Компоненти:</w:t>
            </w:r>
          </w:p>
          <w:p w14:paraId="56378C7D" w14:textId="77777777" w:rsidR="001E032E" w:rsidRPr="002F6225" w:rsidRDefault="001E032E" w:rsidP="001E032E">
            <w:r w:rsidRPr="002F6225">
              <w:rPr>
                <w:szCs w:val="18"/>
              </w:rPr>
              <w:t>- Сърдечно-съдова смърт</w:t>
            </w:r>
          </w:p>
          <w:p w14:paraId="450F4D7A" w14:textId="2C158BED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- Хоспитализация поради влошаване на СН</w:t>
            </w:r>
          </w:p>
        </w:tc>
        <w:tc>
          <w:tcPr>
            <w:tcW w:w="1527" w:type="dxa"/>
          </w:tcPr>
          <w:p w14:paraId="51A5C7E2" w14:textId="77777777" w:rsidR="001E032E" w:rsidRPr="002F6225" w:rsidRDefault="001E032E" w:rsidP="001E032E">
            <w:r w:rsidRPr="002F6225">
              <w:rPr>
                <w:szCs w:val="18"/>
              </w:rPr>
              <w:t>449(13,85)</w:t>
            </w:r>
          </w:p>
          <w:p w14:paraId="771C0AF9" w14:textId="5FF1F933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514(15,86)</w:t>
            </w:r>
          </w:p>
        </w:tc>
        <w:tc>
          <w:tcPr>
            <w:tcW w:w="1494" w:type="dxa"/>
          </w:tcPr>
          <w:p w14:paraId="60F1FA09" w14:textId="77777777" w:rsidR="001E032E" w:rsidRPr="002F6225" w:rsidRDefault="001E032E" w:rsidP="001E032E">
            <w:r w:rsidRPr="002F6225">
              <w:rPr>
                <w:szCs w:val="18"/>
              </w:rPr>
              <w:t>491 (15,04)</w:t>
            </w:r>
          </w:p>
          <w:p w14:paraId="09DDE181" w14:textId="3E120350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672 (20,59)</w:t>
            </w:r>
          </w:p>
        </w:tc>
        <w:tc>
          <w:tcPr>
            <w:tcW w:w="1875" w:type="dxa"/>
          </w:tcPr>
          <w:p w14:paraId="5415D7F2" w14:textId="77777777" w:rsidR="001E032E" w:rsidRPr="002F6225" w:rsidRDefault="001E032E" w:rsidP="001E032E">
            <w:r w:rsidRPr="002F6225">
              <w:rPr>
                <w:szCs w:val="18"/>
              </w:rPr>
              <w:t>0,91 [0,80; 1,03]</w:t>
            </w:r>
          </w:p>
          <w:p w14:paraId="2020CCD6" w14:textId="650A4E7B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0,74 [0,66; 0,83]</w:t>
            </w:r>
          </w:p>
        </w:tc>
        <w:tc>
          <w:tcPr>
            <w:tcW w:w="1214" w:type="dxa"/>
          </w:tcPr>
          <w:p w14:paraId="5771B048" w14:textId="77777777" w:rsidR="001E032E" w:rsidRPr="002F6225" w:rsidRDefault="001E032E" w:rsidP="001E032E">
            <w:r w:rsidRPr="002F6225">
              <w:rPr>
                <w:szCs w:val="18"/>
              </w:rPr>
              <w:t>0,128</w:t>
            </w:r>
          </w:p>
          <w:p w14:paraId="255EDF59" w14:textId="3F848DB4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&lt;0,0001</w:t>
            </w:r>
          </w:p>
        </w:tc>
      </w:tr>
      <w:tr w:rsidR="001E032E" w:rsidRPr="002F6225" w14:paraId="71B10BEB" w14:textId="77777777" w:rsidTr="001E032E">
        <w:tc>
          <w:tcPr>
            <w:tcW w:w="3466" w:type="dxa"/>
          </w:tcPr>
          <w:p w14:paraId="5B3CFA2C" w14:textId="77777777" w:rsidR="001E032E" w:rsidRPr="002F6225" w:rsidRDefault="001E032E" w:rsidP="001E032E">
            <w:r w:rsidRPr="002F6225">
              <w:rPr>
                <w:i/>
                <w:iCs/>
                <w:szCs w:val="18"/>
              </w:rPr>
              <w:t>Други вторични крайни точки:</w:t>
            </w:r>
          </w:p>
          <w:p w14:paraId="4D564446" w14:textId="1D90E200" w:rsidR="001E032E" w:rsidRPr="002F6225" w:rsidRDefault="001E032E" w:rsidP="001E032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Cs w:val="18"/>
              </w:rPr>
            </w:pPr>
            <w:r w:rsidRPr="002F6225">
              <w:rPr>
                <w:szCs w:val="18"/>
              </w:rPr>
              <w:t>Обща смъртност</w:t>
            </w:r>
          </w:p>
          <w:p w14:paraId="0186068D" w14:textId="41AE10AD" w:rsidR="001E032E" w:rsidRPr="002F6225" w:rsidRDefault="001E032E" w:rsidP="001E032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Cs w:val="18"/>
              </w:rPr>
            </w:pPr>
            <w:r w:rsidRPr="002F6225">
              <w:rPr>
                <w:szCs w:val="18"/>
              </w:rPr>
              <w:t>Смърт от СН</w:t>
            </w:r>
          </w:p>
          <w:p w14:paraId="1C8C47F1" w14:textId="6DD1B795" w:rsidR="001E032E" w:rsidRPr="002F6225" w:rsidRDefault="001E032E" w:rsidP="001E032E">
            <w:pPr>
              <w:pStyle w:val="ListParagraph"/>
              <w:numPr>
                <w:ilvl w:val="0"/>
                <w:numId w:val="2"/>
              </w:numPr>
            </w:pPr>
            <w:r w:rsidRPr="002F6225">
              <w:rPr>
                <w:szCs w:val="18"/>
              </w:rPr>
              <w:t>Общ брой хоспитализации</w:t>
            </w:r>
          </w:p>
          <w:p w14:paraId="15816294" w14:textId="5AADFA8F" w:rsidR="001E032E" w:rsidRPr="002F6225" w:rsidRDefault="001E032E" w:rsidP="001E032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Хоспитализация поради сърдечно-съдови причини</w:t>
            </w:r>
          </w:p>
        </w:tc>
        <w:tc>
          <w:tcPr>
            <w:tcW w:w="1527" w:type="dxa"/>
          </w:tcPr>
          <w:p w14:paraId="309080EF" w14:textId="33031FD3" w:rsidR="001E032E" w:rsidRPr="002F6225" w:rsidRDefault="001E032E" w:rsidP="001E032E">
            <w:r w:rsidRPr="002F6225">
              <w:rPr>
                <w:szCs w:val="18"/>
              </w:rPr>
              <w:t>503 (15,52)</w:t>
            </w:r>
          </w:p>
          <w:p w14:paraId="32AF16F5" w14:textId="77777777" w:rsidR="001E032E" w:rsidRPr="002F6225" w:rsidRDefault="001E032E" w:rsidP="001E032E">
            <w:r w:rsidRPr="002F6225">
              <w:rPr>
                <w:szCs w:val="18"/>
              </w:rPr>
              <w:t>113 (3,49)</w:t>
            </w:r>
          </w:p>
          <w:p w14:paraId="02108F72" w14:textId="77777777" w:rsidR="001E032E" w:rsidRPr="002F6225" w:rsidRDefault="001E032E" w:rsidP="001E032E">
            <w:r w:rsidRPr="002F6225">
              <w:rPr>
                <w:szCs w:val="18"/>
              </w:rPr>
              <w:t>1231 (37,98)</w:t>
            </w:r>
          </w:p>
          <w:p w14:paraId="1FAF8CA1" w14:textId="505BC51B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977 (30,15)</w:t>
            </w:r>
          </w:p>
        </w:tc>
        <w:tc>
          <w:tcPr>
            <w:tcW w:w="1494" w:type="dxa"/>
          </w:tcPr>
          <w:p w14:paraId="6BA57B98" w14:textId="77777777" w:rsidR="001E032E" w:rsidRPr="002F6225" w:rsidRDefault="001E032E" w:rsidP="001E032E">
            <w:r w:rsidRPr="002F6225">
              <w:rPr>
                <w:szCs w:val="18"/>
              </w:rPr>
              <w:t>552(16,91) 151 (4,63)</w:t>
            </w:r>
          </w:p>
          <w:p w14:paraId="46835E72" w14:textId="77777777" w:rsidR="001E032E" w:rsidRPr="002F6225" w:rsidRDefault="001E032E" w:rsidP="001E032E">
            <w:r w:rsidRPr="002F6225">
              <w:rPr>
                <w:szCs w:val="18"/>
              </w:rPr>
              <w:t>1356 (41,54)</w:t>
            </w:r>
          </w:p>
          <w:p w14:paraId="2CB2AD31" w14:textId="38CB085E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1122 (34,38)</w:t>
            </w:r>
          </w:p>
        </w:tc>
        <w:tc>
          <w:tcPr>
            <w:tcW w:w="1875" w:type="dxa"/>
          </w:tcPr>
          <w:p w14:paraId="600CC687" w14:textId="77777777" w:rsidR="001E032E" w:rsidRPr="002F6225" w:rsidRDefault="001E032E" w:rsidP="001E032E">
            <w:r w:rsidRPr="002F6225">
              <w:rPr>
                <w:szCs w:val="18"/>
              </w:rPr>
              <w:t>0,90 [0,80; 1,02] 0,74 [0,58;0,94]</w:t>
            </w:r>
          </w:p>
          <w:p w14:paraId="652914B7" w14:textId="77777777" w:rsidR="001E032E" w:rsidRPr="002F6225" w:rsidRDefault="001E032E" w:rsidP="001E032E">
            <w:r w:rsidRPr="002F6225">
              <w:rPr>
                <w:szCs w:val="18"/>
              </w:rPr>
              <w:t>0,89 [0,82;0,96]</w:t>
            </w:r>
          </w:p>
          <w:p w14:paraId="5DAB0D30" w14:textId="740C8AFE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0,85 [0,78; 0,92]</w:t>
            </w:r>
          </w:p>
        </w:tc>
        <w:tc>
          <w:tcPr>
            <w:tcW w:w="1214" w:type="dxa"/>
          </w:tcPr>
          <w:p w14:paraId="203D1C4D" w14:textId="77777777" w:rsidR="001E032E" w:rsidRPr="002F6225" w:rsidRDefault="001E032E" w:rsidP="001E032E">
            <w:r w:rsidRPr="002F6225">
              <w:rPr>
                <w:szCs w:val="18"/>
              </w:rPr>
              <w:t>0,092</w:t>
            </w:r>
          </w:p>
          <w:p w14:paraId="63736A58" w14:textId="77777777" w:rsidR="001E032E" w:rsidRPr="002F6225" w:rsidRDefault="001E032E" w:rsidP="001E032E">
            <w:r w:rsidRPr="002F6225">
              <w:rPr>
                <w:szCs w:val="18"/>
              </w:rPr>
              <w:t>0,014</w:t>
            </w:r>
          </w:p>
          <w:p w14:paraId="5DC3B0E5" w14:textId="77777777" w:rsidR="001E032E" w:rsidRPr="002F6225" w:rsidRDefault="001E032E" w:rsidP="001E032E">
            <w:r w:rsidRPr="002F6225">
              <w:rPr>
                <w:szCs w:val="18"/>
              </w:rPr>
              <w:t>0,003</w:t>
            </w:r>
          </w:p>
          <w:p w14:paraId="0625C2DB" w14:textId="376635DB" w:rsidR="001E032E" w:rsidRPr="002F6225" w:rsidRDefault="001E032E" w:rsidP="001E03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F6225">
              <w:rPr>
                <w:szCs w:val="18"/>
              </w:rPr>
              <w:t>0,0002</w:t>
            </w:r>
          </w:p>
        </w:tc>
      </w:tr>
    </w:tbl>
    <w:p w14:paraId="412FE67C" w14:textId="59DBA3AD" w:rsidR="001E032E" w:rsidRPr="002F6225" w:rsidRDefault="001E032E" w:rsidP="001E0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D633C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Намаляването в първичната крайна цел е наблюдавано постоянно, независимо от пола, класа по </w:t>
      </w:r>
      <w:r w:rsidRPr="002F6225">
        <w:rPr>
          <w:rFonts w:eastAsia="Times New Roman" w:cs="Arial"/>
          <w:color w:val="000000"/>
          <w:szCs w:val="18"/>
        </w:rPr>
        <w:t xml:space="preserve">NYHA,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исхемичната или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неисхемичната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етиология на сърдечната недостатъчност и анамнеза за съпътстващ диабет или хипертония.</w:t>
      </w:r>
    </w:p>
    <w:p w14:paraId="74E0A79C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3594ABB8" w14:textId="0228DE31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В подгрупата пациенти със сърдечна честота ≥75 удара в минута (</w:t>
      </w:r>
      <w:r w:rsidRPr="002F6225">
        <w:rPr>
          <w:rFonts w:eastAsia="Times New Roman" w:cs="Arial"/>
          <w:color w:val="000000"/>
          <w:szCs w:val="18"/>
        </w:rPr>
        <w:t>n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= 4150) е наблюдавано по- голямо намаляване на първичната съставна крайна точка от 24% (коефициент на риска: 0,76,95% </w:t>
      </w:r>
      <w:r w:rsidRPr="002F6225">
        <w:rPr>
          <w:rFonts w:eastAsia="Times New Roman" w:cs="Arial"/>
          <w:color w:val="000000"/>
          <w:szCs w:val="18"/>
        </w:rPr>
        <w:t xml:space="preserve">CI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[0,68; 0,85] - р &lt; 0,0001) и на другите вторични крайни точки, включително обща смъртност (коефициент на риска: 0,83, 95% </w:t>
      </w:r>
      <w:r w:rsidRPr="002F6225">
        <w:rPr>
          <w:rFonts w:eastAsia="Times New Roman" w:cs="Arial"/>
          <w:color w:val="000000"/>
          <w:szCs w:val="18"/>
        </w:rPr>
        <w:t xml:space="preserve">CI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[0,72; 0,96] - р = 0,0109) и сърдечно-съдова смърт (коефициент на риска: 0,83, 95% </w:t>
      </w:r>
      <w:r w:rsidRPr="002F6225">
        <w:rPr>
          <w:rFonts w:eastAsia="Times New Roman" w:cs="Arial"/>
          <w:color w:val="000000"/>
          <w:szCs w:val="18"/>
        </w:rPr>
        <w:t xml:space="preserve">CI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[0,71; 0,97] - р = 0,0166). При тази подгрупа пациенти профилът на безопасност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съответства с този на общата популация.</w:t>
      </w:r>
    </w:p>
    <w:p w14:paraId="129EE3BB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238C9128" w14:textId="698AF326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Наблюдаван е значителен ефект върху първичната съставна крайна точка при общата група пациенти, приемащи лечение с бета-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блокери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(коефициент на риска: 0,85,95%С1 [0,76;0,94]). При подгрупата пациенти, със сърдечна честота ≥ 75 удара в минута и на препоръчителната таргетна доза на бета-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блокер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не е била наблюдавана статистически значима полза върху първичната съставна крайна точка (коефициент на риска: 0,97, </w:t>
      </w:r>
      <w:r w:rsidRPr="002F6225">
        <w:rPr>
          <w:rFonts w:eastAsia="Times New Roman" w:cs="Arial"/>
          <w:color w:val="000000"/>
          <w:szCs w:val="18"/>
          <w:lang w:eastAsia="bg-BG"/>
        </w:rPr>
        <w:lastRenderedPageBreak/>
        <w:t>95%С</w:t>
      </w:r>
      <w:r w:rsidRPr="002F6225">
        <w:rPr>
          <w:rFonts w:eastAsia="Times New Roman" w:cs="Arial"/>
          <w:color w:val="000000"/>
          <w:szCs w:val="18"/>
        </w:rPr>
        <w:t>l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[0,74; 1,28]) и върху другите вторични крайни точки, включително хоспитализация поради влошаване на СН (коефициент на риска: 0,79, 95%С</w:t>
      </w:r>
      <w:r w:rsidRPr="002F6225">
        <w:rPr>
          <w:rFonts w:eastAsia="Times New Roman" w:cs="Arial"/>
          <w:color w:val="000000"/>
          <w:szCs w:val="18"/>
        </w:rPr>
        <w:t>l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[0,56; 1,10]) или смърт от сърдечна недостатъчност (коефициент на риска: 0,69, 95%С</w:t>
      </w:r>
      <w:r w:rsidRPr="002F6225">
        <w:rPr>
          <w:rFonts w:eastAsia="Times New Roman" w:cs="Arial"/>
          <w:color w:val="000000"/>
          <w:szCs w:val="18"/>
        </w:rPr>
        <w:t>l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 [0,31; 1,53]).</w:t>
      </w:r>
    </w:p>
    <w:p w14:paraId="4EDD107F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62A960CE" w14:textId="74933820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Има значително подобрение на класа по </w:t>
      </w:r>
      <w:r w:rsidRPr="002F6225">
        <w:rPr>
          <w:rFonts w:eastAsia="Times New Roman" w:cs="Arial"/>
          <w:color w:val="000000"/>
          <w:szCs w:val="18"/>
        </w:rPr>
        <w:t xml:space="preserve">NYHA,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спрямо последната отчетена стойност: 887 (28%) от пациентите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са имали подобрение, в сравнение със 776 (24%) от пациентите на плацебо (р = 0,001).</w:t>
      </w:r>
    </w:p>
    <w:p w14:paraId="41215A68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16F39E4C" w14:textId="11CEAF22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рандомизирано плацебо-контролирано проучване с 97 пациенти данните, събрани по време на специфичните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офтамологични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проучвания, целящи документиране на функцията на системите от пръчици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колбички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на възходящия зрителен път (напр.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електроретинограма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статични и кинетични зрителни полета, цветно виждане, зрителна острота) при пациенти, лекувани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за хронична стабилна стенокардия, в продължение на повече от 3 години, не са показали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ретинална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токсичност.</w:t>
      </w:r>
    </w:p>
    <w:p w14:paraId="15FC1DC8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1B0C8CD3" w14:textId="37962452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u w:val="single"/>
          <w:lang w:eastAsia="bg-BG"/>
        </w:rPr>
        <w:t>Педиатрична популация</w:t>
      </w:r>
    </w:p>
    <w:p w14:paraId="769506B4" w14:textId="77777777" w:rsidR="001E032E" w:rsidRPr="002F6225" w:rsidRDefault="001E032E" w:rsidP="001E032E">
      <w:pPr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Проведено е рандомизирано, двойносляпо, плацебо-контролирано проучване със 116 педиатрични пациенти (17 на възраст 6-12 месеца, 36 на възраст 1-3 години и 63 на възраст 3-18 години) хронична сърдечна недостатъчност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дилатативна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кардиомиопатия </w:t>
      </w:r>
      <w:r w:rsidRPr="002F6225">
        <w:rPr>
          <w:rFonts w:eastAsia="Times New Roman" w:cs="Arial"/>
          <w:color w:val="000000"/>
          <w:szCs w:val="18"/>
        </w:rPr>
        <w:t xml:space="preserve">(DCM)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на фона на оптимално основно лечение. 74 са получили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(съотношение 2:1). Началната доза е 0,02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kg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във възрастовата подгрупа 6-12 месеца, 0,05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kg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, </w:t>
      </w:r>
      <w:r w:rsidRPr="002F6225">
        <w:rPr>
          <w:rFonts w:eastAsia="Times New Roman" w:cs="Arial"/>
          <w:color w:val="000000"/>
          <w:szCs w:val="18"/>
          <w:lang w:eastAsia="bg-BG"/>
        </w:rPr>
        <w:t>два пъти дневно при 1-3 години и 3-18 години</w:t>
      </w:r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&lt;40 </w:t>
      </w:r>
      <w:proofErr w:type="spellStart"/>
      <w:r w:rsidRPr="002F6225">
        <w:rPr>
          <w:rFonts w:eastAsia="Times New Roman" w:cs="Arial"/>
          <w:color w:val="000000"/>
          <w:szCs w:val="18"/>
        </w:rPr>
        <w:t>kg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,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и 2,5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при 3-18 години и ≥40 </w:t>
      </w:r>
      <w:proofErr w:type="spellStart"/>
      <w:r w:rsidRPr="002F6225">
        <w:rPr>
          <w:rFonts w:eastAsia="Times New Roman" w:cs="Arial"/>
          <w:color w:val="000000"/>
          <w:szCs w:val="18"/>
        </w:rPr>
        <w:t>kg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.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Дозата е адаптирана в зависимост от терапевтичния отговор с максимални дози от 0,2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kg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дневно, 0,3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kg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съотвено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15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дневно. В това проучване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бил приложен или като перорална течна форма, или като таблетка два пъти дневно. Липсата на разлика във фармакокинетиката между тези две форми е била показана в открито рандомизирано кръстосано проучване с два периода при 24 здрави възрастни доброволци.</w:t>
      </w:r>
    </w:p>
    <w:p w14:paraId="4E2F1C64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69,9% от пациентите в групата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е било постигнато намаляване на сърдечната честота с 20% без брадикардия спрямо 12,2% в плацебо групата по време на периода на титриране от 2 до 8 седмици (съотношение на шансовете: Е = 17,24,</w:t>
      </w:r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95% </w:t>
      </w:r>
      <w:r w:rsidRPr="002F6225">
        <w:rPr>
          <w:rFonts w:eastAsia="Times New Roman" w:cs="Arial"/>
          <w:color w:val="000000"/>
          <w:szCs w:val="18"/>
        </w:rPr>
        <w:t xml:space="preserve">CI </w:t>
      </w:r>
      <w:r w:rsidRPr="002F6225">
        <w:rPr>
          <w:rFonts w:eastAsia="Times New Roman" w:cs="Arial"/>
          <w:color w:val="000000"/>
          <w:szCs w:val="18"/>
          <w:lang w:eastAsia="bg-BG"/>
        </w:rPr>
        <w:t>[5,91; 50,30]).</w:t>
      </w:r>
    </w:p>
    <w:p w14:paraId="271B2096" w14:textId="39BBCC80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Средните дози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, които позволяват да се постигне намаляване на сърдечната честота с 20% са съответно 0,13 ± 0,04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kg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дневно, 0,10 ± 0,04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>/</w:t>
      </w:r>
      <w:proofErr w:type="spellStart"/>
      <w:r w:rsidRPr="002F6225">
        <w:rPr>
          <w:rFonts w:eastAsia="Times New Roman" w:cs="Arial"/>
          <w:color w:val="000000"/>
          <w:szCs w:val="18"/>
        </w:rPr>
        <w:t>kg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и 4,1 ± 2,2 </w:t>
      </w:r>
      <w:proofErr w:type="spellStart"/>
      <w:r w:rsidRPr="002F6225">
        <w:rPr>
          <w:rFonts w:eastAsia="Times New Roman" w:cs="Arial"/>
          <w:color w:val="000000"/>
          <w:szCs w:val="18"/>
        </w:rPr>
        <w:t>mg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два пъти дневно във възрастовите подгрупи 1-3 години, 3-18 години и &lt; 40 </w:t>
      </w:r>
      <w:proofErr w:type="spellStart"/>
      <w:r w:rsidRPr="002F6225">
        <w:rPr>
          <w:rFonts w:eastAsia="Times New Roman" w:cs="Arial"/>
          <w:color w:val="000000"/>
          <w:szCs w:val="18"/>
        </w:rPr>
        <w:t>kg</w:t>
      </w:r>
      <w:proofErr w:type="spellEnd"/>
      <w:r w:rsidRPr="002F6225">
        <w:rPr>
          <w:rFonts w:eastAsia="Times New Roman" w:cs="Arial"/>
          <w:color w:val="000000"/>
          <w:szCs w:val="18"/>
        </w:rPr>
        <w:t xml:space="preserve">, </w:t>
      </w:r>
      <w:r w:rsidRPr="002F6225">
        <w:rPr>
          <w:rFonts w:eastAsia="Times New Roman" w:cs="Arial"/>
          <w:color w:val="000000"/>
          <w:szCs w:val="18"/>
          <w:lang w:eastAsia="bg-BG"/>
        </w:rPr>
        <w:t>и 3-18 години и</w:t>
      </w:r>
      <w:r w:rsidRPr="002F6225">
        <w:rPr>
          <w:rFonts w:eastAsia="Times New Roman" w:cs="Arial"/>
          <w:sz w:val="32"/>
          <w:szCs w:val="24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≥ 40 </w:t>
      </w:r>
      <w:proofErr w:type="spellStart"/>
      <w:r w:rsidRPr="002F6225">
        <w:rPr>
          <w:rFonts w:eastAsia="Times New Roman" w:cs="Arial"/>
          <w:color w:val="000000"/>
          <w:szCs w:val="18"/>
        </w:rPr>
        <w:t>kg</w:t>
      </w:r>
      <w:proofErr w:type="spellEnd"/>
      <w:r w:rsidRPr="002F6225">
        <w:rPr>
          <w:rFonts w:eastAsia="Times New Roman" w:cs="Arial"/>
          <w:color w:val="000000"/>
          <w:szCs w:val="18"/>
        </w:rPr>
        <w:t>.</w:t>
      </w:r>
    </w:p>
    <w:p w14:paraId="56BDD35D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>Средната ЛКФИ е нараснала от 31,8% до 45,3%</w:t>
      </w:r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>на</w:t>
      </w:r>
      <w:r w:rsidRPr="002F6225">
        <w:rPr>
          <w:rFonts w:eastAsia="Times New Roman" w:cs="Arial"/>
          <w:color w:val="000000"/>
          <w:szCs w:val="18"/>
        </w:rPr>
        <w:t xml:space="preserve">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М012 в групата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спрямо 35,4% до 42,3% в плацебо групата. Има подобрение по </w:t>
      </w:r>
      <w:r w:rsidRPr="002F6225">
        <w:rPr>
          <w:rFonts w:eastAsia="Times New Roman" w:cs="Arial"/>
          <w:color w:val="000000"/>
          <w:szCs w:val="18"/>
        </w:rPr>
        <w:t xml:space="preserve">NYHA </w:t>
      </w:r>
      <w:r w:rsidRPr="002F6225">
        <w:rPr>
          <w:rFonts w:eastAsia="Times New Roman" w:cs="Arial"/>
          <w:color w:val="000000"/>
          <w:szCs w:val="18"/>
          <w:lang w:eastAsia="bg-BG"/>
        </w:rPr>
        <w:t xml:space="preserve">при 37,7% от пациентите, приемащи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>, спрямо 25,0% в плацебо трупата. Тези подобрения не са били статистически значими. Профилът на безопасност, след 1 година, е бил подобен на този, описан при възрастни пациенти с хронична сърдечна недостатъчност.</w:t>
      </w:r>
    </w:p>
    <w:p w14:paraId="4B6279D7" w14:textId="77777777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Дългосрочните ефекти на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върху растежа, пубертета и общото развитие, както и дългосрочната ефикасност на лечението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в детска възраст за намаляване на сърдечносъдовата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заболяемост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и смъртност не са проучвани.</w:t>
      </w:r>
    </w:p>
    <w:p w14:paraId="5A4A1BB5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1BE90BE4" w14:textId="20A0F7AB" w:rsidR="001E032E" w:rsidRPr="002F6225" w:rsidRDefault="001E032E" w:rsidP="001E032E">
      <w:pPr>
        <w:spacing w:line="240" w:lineRule="auto"/>
        <w:rPr>
          <w:rFonts w:eastAsia="Times New Roman" w:cs="Arial"/>
          <w:sz w:val="32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t xml:space="preserve">Европейската агенция по лекарствата освобождава от задължението за предоставяне на резултатите от проучванията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Ивабенор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във всички подгрупи на педиатричната популация в лечението на стенокардия.</w:t>
      </w:r>
    </w:p>
    <w:p w14:paraId="5679FB0D" w14:textId="77777777" w:rsidR="001E032E" w:rsidRPr="002F6225" w:rsidRDefault="001E032E" w:rsidP="001E0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225">
        <w:rPr>
          <w:rFonts w:eastAsia="Times New Roman" w:cs="Arial"/>
          <w:color w:val="000000"/>
          <w:szCs w:val="18"/>
          <w:lang w:eastAsia="bg-BG"/>
        </w:rPr>
        <w:lastRenderedPageBreak/>
        <w:t xml:space="preserve">Европейската агенция по лекарствата освобождава от задължението за предоставяне на резултатите от проучванията с </w:t>
      </w:r>
      <w:proofErr w:type="spellStart"/>
      <w:r w:rsidRPr="002F6225">
        <w:rPr>
          <w:rFonts w:eastAsia="Times New Roman" w:cs="Arial"/>
          <w:color w:val="000000"/>
          <w:szCs w:val="18"/>
          <w:lang w:eastAsia="bg-BG"/>
        </w:rPr>
        <w:t>Ивабенор</w:t>
      </w:r>
      <w:proofErr w:type="spellEnd"/>
      <w:r w:rsidRPr="002F6225">
        <w:rPr>
          <w:rFonts w:eastAsia="Times New Roman" w:cs="Arial"/>
          <w:color w:val="000000"/>
          <w:szCs w:val="18"/>
          <w:lang w:eastAsia="bg-BG"/>
        </w:rPr>
        <w:t xml:space="preserve"> при деца на възраст от 0 до 6 месеца за лечението на хронична сърдечна недостатъчност.</w:t>
      </w:r>
    </w:p>
    <w:p w14:paraId="726B2273" w14:textId="74A12144" w:rsidR="001E032E" w:rsidRPr="002F6225" w:rsidRDefault="001E032E" w:rsidP="001E032E"/>
    <w:p w14:paraId="78DD93AA" w14:textId="64861494" w:rsidR="00B6672E" w:rsidRPr="002F6225" w:rsidRDefault="002C50EE" w:rsidP="00936AD0">
      <w:pPr>
        <w:pStyle w:val="Heading2"/>
      </w:pPr>
      <w:r w:rsidRPr="002F6225">
        <w:t>5.2. Фармакокинетични свойства</w:t>
      </w:r>
    </w:p>
    <w:p w14:paraId="06D05ABE" w14:textId="0235F0DC" w:rsidR="001E032E" w:rsidRPr="002F6225" w:rsidRDefault="001E032E" w:rsidP="001E032E"/>
    <w:p w14:paraId="1D82EEAD" w14:textId="77777777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При физиологични условия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се освобождава бързо от таблетките и има висока водоразтворимост (&gt; 10 </w:t>
      </w:r>
      <w:proofErr w:type="spellStart"/>
      <w:r w:rsidRPr="002F6225">
        <w:rPr>
          <w:rFonts w:eastAsia="Times New Roman" w:cs="Arial"/>
          <w:color w:val="000000"/>
        </w:rPr>
        <w:t>mg</w:t>
      </w:r>
      <w:proofErr w:type="spellEnd"/>
      <w:r w:rsidRPr="002F6225">
        <w:rPr>
          <w:rFonts w:eastAsia="Times New Roman" w:cs="Arial"/>
          <w:color w:val="000000"/>
        </w:rPr>
        <w:t xml:space="preserve">/ml).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представлява </w:t>
      </w:r>
      <w:r w:rsidRPr="002F6225">
        <w:rPr>
          <w:rFonts w:eastAsia="Times New Roman" w:cs="Arial"/>
          <w:color w:val="000000"/>
        </w:rPr>
        <w:t>S</w:t>
      </w:r>
      <w:r w:rsidRPr="002F6225">
        <w:rPr>
          <w:rFonts w:eastAsia="Times New Roman" w:cs="Arial"/>
          <w:color w:val="000000"/>
          <w:lang w:eastAsia="bg-BG"/>
        </w:rPr>
        <w:t>-</w:t>
      </w:r>
      <w:proofErr w:type="spellStart"/>
      <w:r w:rsidRPr="002F6225">
        <w:rPr>
          <w:rFonts w:eastAsia="Times New Roman" w:cs="Arial"/>
          <w:color w:val="000000"/>
          <w:lang w:eastAsia="bg-BG"/>
        </w:rPr>
        <w:t>енантиомер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, който не претърпява биоконверсия </w:t>
      </w:r>
      <w:proofErr w:type="spellStart"/>
      <w:r w:rsidRPr="002F6225">
        <w:rPr>
          <w:rFonts w:eastAsia="Times New Roman" w:cs="Arial"/>
          <w:i/>
          <w:iCs/>
          <w:color w:val="000000"/>
        </w:rPr>
        <w:t>in</w:t>
      </w:r>
      <w:proofErr w:type="spellEnd"/>
      <w:r w:rsidRPr="002F6225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2F6225">
        <w:rPr>
          <w:rFonts w:eastAsia="Times New Roman" w:cs="Arial"/>
          <w:i/>
          <w:iCs/>
          <w:color w:val="000000"/>
        </w:rPr>
        <w:t>vivo</w:t>
      </w:r>
      <w:proofErr w:type="spellEnd"/>
      <w:r w:rsidRPr="002F6225">
        <w:rPr>
          <w:rFonts w:eastAsia="Times New Roman" w:cs="Arial"/>
          <w:i/>
          <w:iCs/>
          <w:color w:val="000000"/>
        </w:rPr>
        <w:t>.</w:t>
      </w:r>
      <w:r w:rsidRPr="002F6225">
        <w:rPr>
          <w:rFonts w:eastAsia="Times New Roman" w:cs="Arial"/>
          <w:color w:val="000000"/>
        </w:rPr>
        <w:t xml:space="preserve"> N</w:t>
      </w:r>
      <w:r w:rsidRPr="002F6225">
        <w:rPr>
          <w:rFonts w:eastAsia="Times New Roman" w:cs="Arial"/>
          <w:color w:val="000000"/>
          <w:lang w:eastAsia="bg-BG"/>
        </w:rPr>
        <w:t>-</w:t>
      </w:r>
      <w:proofErr w:type="spellStart"/>
      <w:r w:rsidRPr="002F6225">
        <w:rPr>
          <w:rFonts w:eastAsia="Times New Roman" w:cs="Arial"/>
          <w:color w:val="000000"/>
          <w:lang w:eastAsia="bg-BG"/>
        </w:rPr>
        <w:t>дезметилираният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дериват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беше идентифициран като главен активен метаболит при човека.</w:t>
      </w:r>
    </w:p>
    <w:p w14:paraId="4D5BDC32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30B13ED" w14:textId="123D1BB0" w:rsidR="001E032E" w:rsidRPr="002F6225" w:rsidRDefault="001E032E" w:rsidP="001E032E">
      <w:pPr>
        <w:pStyle w:val="Heading3"/>
        <w:rPr>
          <w:rFonts w:eastAsia="Times New Roman" w:cs="Arial"/>
          <w:sz w:val="22"/>
          <w:szCs w:val="22"/>
          <w:u w:val="single"/>
        </w:rPr>
      </w:pPr>
      <w:r w:rsidRPr="002F6225">
        <w:rPr>
          <w:rFonts w:eastAsia="Times New Roman" w:cs="Arial"/>
          <w:sz w:val="22"/>
          <w:szCs w:val="22"/>
          <w:u w:val="single"/>
          <w:lang w:eastAsia="bg-BG"/>
        </w:rPr>
        <w:t>Абсорбция и бионаличност</w:t>
      </w:r>
    </w:p>
    <w:p w14:paraId="1B0843F7" w14:textId="3320F3FE" w:rsidR="001E032E" w:rsidRPr="002F6225" w:rsidRDefault="001E032E" w:rsidP="001E032E">
      <w:pPr>
        <w:spacing w:line="240" w:lineRule="auto"/>
        <w:rPr>
          <w:rFonts w:eastAsia="Times New Roman" w:cs="Arial"/>
        </w:rPr>
      </w:pP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се абсорбира бързо и почти напълно след перорално приложение с достигане на максимална плазмена концентрация след около 1 час при прием на гладно. Абсолютната бионаличност на филмираните таблетки е около 40%, поради ефекта на първо преминаване в червата и черния дроб.</w:t>
      </w:r>
    </w:p>
    <w:p w14:paraId="27241E8B" w14:textId="77777777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Храната забавя абсорбцията с приблизително 1 час и увеличава експозицията с 20 до 30%. Приемът на таблетката по време на хранене се препоръчва, за да се намалят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интраиндивидуалните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промени в експозицията (вж. точка 4.2).</w:t>
      </w:r>
    </w:p>
    <w:p w14:paraId="27633F2D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FB47CBC" w14:textId="581B38EA" w:rsidR="001E032E" w:rsidRPr="002F6225" w:rsidRDefault="001E032E" w:rsidP="001E032E">
      <w:pPr>
        <w:pStyle w:val="Heading3"/>
        <w:rPr>
          <w:rFonts w:eastAsia="Times New Roman" w:cs="Arial"/>
          <w:sz w:val="22"/>
          <w:szCs w:val="22"/>
          <w:u w:val="single"/>
        </w:rPr>
      </w:pPr>
      <w:r w:rsidRPr="002F6225">
        <w:rPr>
          <w:rFonts w:eastAsia="Times New Roman" w:cs="Arial"/>
          <w:sz w:val="22"/>
          <w:szCs w:val="22"/>
          <w:u w:val="single"/>
          <w:lang w:eastAsia="bg-BG"/>
        </w:rPr>
        <w:t>Разпределение</w:t>
      </w:r>
    </w:p>
    <w:p w14:paraId="3A2201A7" w14:textId="77777777" w:rsidR="001E032E" w:rsidRPr="002F6225" w:rsidRDefault="001E032E" w:rsidP="001E032E">
      <w:pPr>
        <w:spacing w:line="240" w:lineRule="auto"/>
        <w:rPr>
          <w:rFonts w:eastAsia="Times New Roman" w:cs="Arial"/>
        </w:rPr>
      </w:pP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е приблизително 70% свързан с плазмените белтъци и стационарният обем на разпределение при пациенти е близък до 100 1. Максималната плазмена концентрация след хронично приложение в препоръчваната доза от 5 </w:t>
      </w:r>
      <w:proofErr w:type="spellStart"/>
      <w:r w:rsidRPr="002F6225">
        <w:rPr>
          <w:rFonts w:eastAsia="Times New Roman" w:cs="Arial"/>
          <w:color w:val="000000"/>
        </w:rPr>
        <w:t>mg</w:t>
      </w:r>
      <w:proofErr w:type="spellEnd"/>
      <w:r w:rsidRPr="002F6225">
        <w:rPr>
          <w:rFonts w:eastAsia="Times New Roman" w:cs="Arial"/>
          <w:color w:val="000000"/>
        </w:rPr>
        <w:t xml:space="preserve"> </w:t>
      </w:r>
      <w:r w:rsidRPr="002F6225">
        <w:rPr>
          <w:rFonts w:eastAsia="Times New Roman" w:cs="Arial"/>
          <w:color w:val="000000"/>
          <w:lang w:eastAsia="bg-BG"/>
        </w:rPr>
        <w:t xml:space="preserve">два пъти дневно е 22 </w:t>
      </w:r>
      <w:proofErr w:type="spellStart"/>
      <w:r w:rsidRPr="002F6225">
        <w:rPr>
          <w:rFonts w:eastAsia="Times New Roman" w:cs="Arial"/>
          <w:color w:val="000000"/>
        </w:rPr>
        <w:t>ng</w:t>
      </w:r>
      <w:proofErr w:type="spellEnd"/>
      <w:r w:rsidRPr="002F6225">
        <w:rPr>
          <w:rFonts w:eastAsia="Times New Roman" w:cs="Arial"/>
          <w:color w:val="000000"/>
        </w:rPr>
        <w:t xml:space="preserve">/ml (CV </w:t>
      </w:r>
      <w:r w:rsidRPr="002F6225">
        <w:rPr>
          <w:rFonts w:eastAsia="Times New Roman" w:cs="Arial"/>
          <w:color w:val="000000"/>
          <w:lang w:eastAsia="bg-BG"/>
        </w:rPr>
        <w:t xml:space="preserve">= 29%). Средната стационарна плазмена концентрация е 10 </w:t>
      </w:r>
      <w:proofErr w:type="spellStart"/>
      <w:r w:rsidRPr="002F6225">
        <w:rPr>
          <w:rFonts w:eastAsia="Times New Roman" w:cs="Arial"/>
          <w:color w:val="000000"/>
        </w:rPr>
        <w:t>ng</w:t>
      </w:r>
      <w:proofErr w:type="spellEnd"/>
      <w:r w:rsidRPr="002F6225">
        <w:rPr>
          <w:rFonts w:eastAsia="Times New Roman" w:cs="Arial"/>
          <w:color w:val="000000"/>
        </w:rPr>
        <w:t xml:space="preserve">/ml (CV </w:t>
      </w:r>
      <w:r w:rsidRPr="002F6225">
        <w:rPr>
          <w:rFonts w:eastAsia="Times New Roman" w:cs="Arial"/>
          <w:color w:val="000000"/>
          <w:lang w:eastAsia="bg-BG"/>
        </w:rPr>
        <w:t>= 38%).</w:t>
      </w:r>
    </w:p>
    <w:p w14:paraId="0C8AF99D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5A636D7" w14:textId="257B76D8" w:rsidR="001E032E" w:rsidRPr="002F6225" w:rsidRDefault="001E032E" w:rsidP="001E032E">
      <w:pPr>
        <w:pStyle w:val="Heading3"/>
        <w:rPr>
          <w:rFonts w:eastAsia="Times New Roman" w:cs="Arial"/>
          <w:sz w:val="22"/>
          <w:szCs w:val="22"/>
          <w:u w:val="single"/>
        </w:rPr>
      </w:pPr>
      <w:r w:rsidRPr="002F6225">
        <w:rPr>
          <w:rFonts w:eastAsia="Times New Roman" w:cs="Arial"/>
          <w:sz w:val="22"/>
          <w:szCs w:val="22"/>
          <w:u w:val="single"/>
          <w:lang w:eastAsia="bg-BG"/>
        </w:rPr>
        <w:t>Биотрансформация</w:t>
      </w:r>
    </w:p>
    <w:p w14:paraId="47A593BC" w14:textId="77777777" w:rsidR="001E032E" w:rsidRPr="002F6225" w:rsidRDefault="001E032E" w:rsidP="001E032E">
      <w:pPr>
        <w:rPr>
          <w:rFonts w:eastAsia="Times New Roman" w:cs="Arial"/>
        </w:rPr>
      </w:pP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главно от черния дроб и червата само чрез оксидация с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цитохром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Р450 ЗА4 </w:t>
      </w:r>
      <w:r w:rsidRPr="002F6225">
        <w:rPr>
          <w:rFonts w:eastAsia="Times New Roman" w:cs="Arial"/>
          <w:color w:val="000000"/>
        </w:rPr>
        <w:t xml:space="preserve">(CYP3A4). </w:t>
      </w:r>
      <w:r w:rsidRPr="002F6225">
        <w:rPr>
          <w:rFonts w:eastAsia="Times New Roman" w:cs="Arial"/>
          <w:color w:val="000000"/>
          <w:lang w:eastAsia="bg-BG"/>
        </w:rPr>
        <w:t xml:space="preserve">Главният активен метаболит е </w:t>
      </w:r>
      <w:r w:rsidRPr="002F6225">
        <w:rPr>
          <w:rFonts w:eastAsia="Times New Roman" w:cs="Arial"/>
          <w:color w:val="000000"/>
        </w:rPr>
        <w:t>N</w:t>
      </w:r>
      <w:r w:rsidRPr="002F6225">
        <w:rPr>
          <w:rFonts w:eastAsia="Times New Roman" w:cs="Arial"/>
          <w:color w:val="000000"/>
          <w:lang w:eastAsia="bg-BG"/>
        </w:rPr>
        <w:t>-</w:t>
      </w:r>
      <w:proofErr w:type="spellStart"/>
      <w:r w:rsidRPr="002F6225">
        <w:rPr>
          <w:rFonts w:eastAsia="Times New Roman" w:cs="Arial"/>
          <w:color w:val="000000"/>
          <w:lang w:eastAsia="bg-BG"/>
        </w:rPr>
        <w:t>дезметилираният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дериват </w:t>
      </w:r>
      <w:r w:rsidRPr="002F6225">
        <w:rPr>
          <w:rFonts w:eastAsia="Times New Roman" w:cs="Arial"/>
          <w:color w:val="000000"/>
        </w:rPr>
        <w:t xml:space="preserve">(S </w:t>
      </w:r>
      <w:r w:rsidRPr="002F6225">
        <w:rPr>
          <w:rFonts w:eastAsia="Times New Roman" w:cs="Arial"/>
          <w:color w:val="000000"/>
          <w:lang w:eastAsia="bg-BG"/>
        </w:rPr>
        <w:t xml:space="preserve">18982) с експозиция около 40% от тази на изходното вещество. Метаболизмът на този активен метаболит също включва </w:t>
      </w:r>
      <w:r w:rsidRPr="002F6225">
        <w:rPr>
          <w:rFonts w:eastAsia="Times New Roman" w:cs="Arial"/>
          <w:color w:val="000000"/>
        </w:rPr>
        <w:t xml:space="preserve">CYP3A4.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има нисък афинитет към </w:t>
      </w:r>
      <w:r w:rsidRPr="002F6225">
        <w:rPr>
          <w:rFonts w:eastAsia="Times New Roman" w:cs="Arial"/>
          <w:color w:val="000000"/>
        </w:rPr>
        <w:t xml:space="preserve">CYP3A4, </w:t>
      </w:r>
      <w:r w:rsidRPr="002F6225">
        <w:rPr>
          <w:rFonts w:eastAsia="Times New Roman" w:cs="Arial"/>
          <w:color w:val="000000"/>
          <w:lang w:eastAsia="bg-BG"/>
        </w:rPr>
        <w:t xml:space="preserve">не води до клинично значима индукция или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инхибиция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на </w:t>
      </w:r>
      <w:r w:rsidRPr="002F6225">
        <w:rPr>
          <w:rFonts w:eastAsia="Times New Roman" w:cs="Arial"/>
          <w:color w:val="000000"/>
        </w:rPr>
        <w:t xml:space="preserve">CYP3A4 </w:t>
      </w:r>
      <w:r w:rsidRPr="002F6225">
        <w:rPr>
          <w:rFonts w:eastAsia="Times New Roman" w:cs="Arial"/>
          <w:color w:val="000000"/>
          <w:lang w:eastAsia="bg-BG"/>
        </w:rPr>
        <w:t xml:space="preserve">и следователно е малко вероятно да промени метаболизма или плазмената концентрация на субстратите на </w:t>
      </w:r>
      <w:r w:rsidRPr="002F6225">
        <w:rPr>
          <w:rFonts w:eastAsia="Times New Roman" w:cs="Arial"/>
          <w:color w:val="000000"/>
        </w:rPr>
        <w:t xml:space="preserve">CYP3A4. </w:t>
      </w:r>
      <w:r w:rsidRPr="002F6225">
        <w:rPr>
          <w:rFonts w:eastAsia="Times New Roman" w:cs="Arial"/>
          <w:color w:val="000000"/>
          <w:lang w:eastAsia="bg-BG"/>
        </w:rPr>
        <w:t xml:space="preserve">Напротив, мощните инхибитори и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индукгори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могат значително да засегнат плазмените концентрации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(вж. точка 4.5)</w:t>
      </w:r>
    </w:p>
    <w:p w14:paraId="5CAF3AA8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6216CD6" w14:textId="72E1D4D7" w:rsidR="001E032E" w:rsidRPr="002F6225" w:rsidRDefault="001E032E" w:rsidP="001E032E">
      <w:pPr>
        <w:pStyle w:val="Heading3"/>
        <w:rPr>
          <w:rFonts w:eastAsia="Times New Roman" w:cs="Arial"/>
          <w:sz w:val="22"/>
          <w:szCs w:val="22"/>
          <w:u w:val="single"/>
        </w:rPr>
      </w:pPr>
      <w:r w:rsidRPr="002F6225">
        <w:rPr>
          <w:rFonts w:eastAsia="Times New Roman" w:cs="Arial"/>
          <w:sz w:val="22"/>
          <w:szCs w:val="22"/>
          <w:u w:val="single"/>
          <w:lang w:eastAsia="bg-BG"/>
        </w:rPr>
        <w:t>Елиминиране</w:t>
      </w:r>
    </w:p>
    <w:p w14:paraId="3B5929E8" w14:textId="77777777" w:rsidR="001E032E" w:rsidRPr="002F6225" w:rsidRDefault="001E032E" w:rsidP="001E032E">
      <w:pPr>
        <w:spacing w:line="240" w:lineRule="auto"/>
        <w:rPr>
          <w:rFonts w:eastAsia="Times New Roman" w:cs="Arial"/>
        </w:rPr>
      </w:pP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се елиминира с основен полуживот 2 часа (70-75% от </w:t>
      </w:r>
      <w:r w:rsidRPr="002F6225">
        <w:rPr>
          <w:rFonts w:eastAsia="Times New Roman" w:cs="Arial"/>
          <w:color w:val="000000"/>
        </w:rPr>
        <w:t xml:space="preserve">AUC) </w:t>
      </w:r>
      <w:r w:rsidRPr="002F6225">
        <w:rPr>
          <w:rFonts w:eastAsia="Times New Roman" w:cs="Arial"/>
          <w:color w:val="000000"/>
          <w:lang w:eastAsia="bg-BG"/>
        </w:rPr>
        <w:t xml:space="preserve">в плазмата и ефективен полу-живот 11 часа. Тоталният клирънс е почти 400 </w:t>
      </w:r>
      <w:r w:rsidRPr="002F6225">
        <w:rPr>
          <w:rFonts w:eastAsia="Times New Roman" w:cs="Arial"/>
          <w:color w:val="000000"/>
        </w:rPr>
        <w:t>ml/</w:t>
      </w:r>
      <w:proofErr w:type="spellStart"/>
      <w:r w:rsidRPr="002F6225">
        <w:rPr>
          <w:rFonts w:eastAsia="Times New Roman" w:cs="Arial"/>
          <w:color w:val="000000"/>
        </w:rPr>
        <w:t>min</w:t>
      </w:r>
      <w:proofErr w:type="spellEnd"/>
      <w:r w:rsidRPr="002F6225">
        <w:rPr>
          <w:rFonts w:eastAsia="Times New Roman" w:cs="Arial"/>
          <w:color w:val="000000"/>
        </w:rPr>
        <w:t xml:space="preserve">, </w:t>
      </w:r>
      <w:r w:rsidRPr="002F6225">
        <w:rPr>
          <w:rFonts w:eastAsia="Times New Roman" w:cs="Arial"/>
          <w:color w:val="000000"/>
          <w:lang w:eastAsia="bg-BG"/>
        </w:rPr>
        <w:t xml:space="preserve">а бъбречният клирънс е около 70 </w:t>
      </w:r>
      <w:r w:rsidRPr="002F6225">
        <w:rPr>
          <w:rFonts w:eastAsia="Times New Roman" w:cs="Arial"/>
          <w:color w:val="000000"/>
        </w:rPr>
        <w:t>ml/</w:t>
      </w:r>
      <w:proofErr w:type="spellStart"/>
      <w:r w:rsidRPr="002F6225">
        <w:rPr>
          <w:rFonts w:eastAsia="Times New Roman" w:cs="Arial"/>
          <w:color w:val="000000"/>
        </w:rPr>
        <w:t>min</w:t>
      </w:r>
      <w:proofErr w:type="spellEnd"/>
      <w:r w:rsidRPr="002F6225">
        <w:rPr>
          <w:rFonts w:eastAsia="Times New Roman" w:cs="Arial"/>
          <w:color w:val="000000"/>
        </w:rPr>
        <w:t xml:space="preserve">. </w:t>
      </w:r>
      <w:r w:rsidRPr="002F6225">
        <w:rPr>
          <w:rFonts w:eastAsia="Times New Roman" w:cs="Arial"/>
          <w:color w:val="000000"/>
          <w:lang w:eastAsia="bg-BG"/>
        </w:rPr>
        <w:t xml:space="preserve">Екскрецията на метаболитите се осъществява в сходна степен чрез изпражненията и урината. Около 4% от оралната доза се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в непроменен вид в урината.</w:t>
      </w:r>
    </w:p>
    <w:p w14:paraId="0AD8002E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A96CCA" w14:textId="496A374A" w:rsidR="001E032E" w:rsidRPr="002F6225" w:rsidRDefault="001E032E" w:rsidP="001E032E">
      <w:pPr>
        <w:pStyle w:val="Heading3"/>
        <w:rPr>
          <w:rFonts w:eastAsia="Times New Roman" w:cs="Arial"/>
          <w:sz w:val="22"/>
          <w:szCs w:val="22"/>
          <w:u w:val="single"/>
        </w:rPr>
      </w:pPr>
      <w:r w:rsidRPr="002F6225">
        <w:rPr>
          <w:rFonts w:eastAsia="Times New Roman" w:cs="Arial"/>
          <w:sz w:val="22"/>
          <w:szCs w:val="22"/>
          <w:u w:val="single"/>
          <w:lang w:eastAsia="bg-BG"/>
        </w:rPr>
        <w:t>Линейност/нелинейност</w:t>
      </w:r>
    </w:p>
    <w:p w14:paraId="0CBF747A" w14:textId="77777777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Кинетиката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има линеен характер в диапазона на орално дозиране 0,5-24 </w:t>
      </w:r>
      <w:proofErr w:type="spellStart"/>
      <w:r w:rsidRPr="002F6225">
        <w:rPr>
          <w:rFonts w:eastAsia="Times New Roman" w:cs="Arial"/>
          <w:color w:val="000000"/>
        </w:rPr>
        <w:t>mg</w:t>
      </w:r>
      <w:proofErr w:type="spellEnd"/>
      <w:r w:rsidRPr="002F6225">
        <w:rPr>
          <w:rFonts w:eastAsia="Times New Roman" w:cs="Arial"/>
          <w:color w:val="000000"/>
        </w:rPr>
        <w:t>.</w:t>
      </w:r>
    </w:p>
    <w:p w14:paraId="57822247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E41FCC" w14:textId="1B8BA693" w:rsidR="001E032E" w:rsidRPr="002F6225" w:rsidRDefault="001E032E" w:rsidP="001E032E">
      <w:pPr>
        <w:pStyle w:val="Heading3"/>
        <w:rPr>
          <w:rFonts w:eastAsia="Times New Roman" w:cs="Arial"/>
          <w:sz w:val="22"/>
          <w:szCs w:val="22"/>
          <w:u w:val="single"/>
        </w:rPr>
      </w:pPr>
      <w:r w:rsidRPr="002F6225">
        <w:rPr>
          <w:rFonts w:eastAsia="Times New Roman" w:cs="Arial"/>
          <w:sz w:val="22"/>
          <w:szCs w:val="22"/>
          <w:u w:val="single"/>
          <w:lang w:eastAsia="bg-BG"/>
        </w:rPr>
        <w:lastRenderedPageBreak/>
        <w:t>Специални популации</w:t>
      </w:r>
    </w:p>
    <w:p w14:paraId="1798DB79" w14:textId="77777777" w:rsidR="001E032E" w:rsidRPr="002F6225" w:rsidRDefault="001E032E" w:rsidP="001E032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5A4A6C7" w14:textId="3669E592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i/>
          <w:iCs/>
          <w:color w:val="000000"/>
          <w:lang w:eastAsia="bg-BG"/>
        </w:rPr>
        <w:t>Старческа възраст:</w:t>
      </w:r>
    </w:p>
    <w:p w14:paraId="489F200C" w14:textId="3DEC00CA" w:rsidR="001E032E" w:rsidRPr="002F6225" w:rsidRDefault="001E032E" w:rsidP="001E032E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Не са наблюдавани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разлики </w:t>
      </w:r>
      <w:r w:rsidRPr="002F6225">
        <w:rPr>
          <w:rFonts w:eastAsia="Times New Roman" w:cs="Arial"/>
          <w:color w:val="000000"/>
        </w:rPr>
        <w:t xml:space="preserve">(AUC </w:t>
      </w:r>
      <w:r w:rsidRPr="002F6225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С</w:t>
      </w:r>
      <w:r w:rsidRPr="002F6225">
        <w:rPr>
          <w:rFonts w:eastAsia="Times New Roman" w:cs="Arial"/>
          <w:color w:val="000000"/>
          <w:vertAlign w:val="subscript"/>
        </w:rPr>
        <w:t>max</w:t>
      </w:r>
      <w:proofErr w:type="spellEnd"/>
      <w:r w:rsidRPr="002F6225">
        <w:rPr>
          <w:rFonts w:eastAsia="Times New Roman" w:cs="Arial"/>
          <w:color w:val="000000"/>
          <w:lang w:eastAsia="bg-BG"/>
        </w:rPr>
        <w:t>) между по-възрастни (&gt; 65 години) или много възрастни пациенти (≥ 75 години) и общата популация, (вж. точка 4.2).</w:t>
      </w:r>
    </w:p>
    <w:p w14:paraId="4EAD477A" w14:textId="77777777" w:rsidR="001E032E" w:rsidRPr="002F6225" w:rsidRDefault="001E032E" w:rsidP="001E032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B9D3AA9" w14:textId="5E2864BB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i/>
          <w:iCs/>
          <w:color w:val="000000"/>
          <w:lang w:eastAsia="bg-BG"/>
        </w:rPr>
        <w:t>Бъбречно увреждане:</w:t>
      </w:r>
    </w:p>
    <w:p w14:paraId="79E0381D" w14:textId="5CBBE53E" w:rsidR="001E032E" w:rsidRPr="002F6225" w:rsidRDefault="001E032E" w:rsidP="001E032E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Влиянието на бъбречната недостатъчност (</w:t>
      </w:r>
      <w:proofErr w:type="spellStart"/>
      <w:r w:rsidRPr="002F6225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клирънс от 15 до 60 </w:t>
      </w:r>
      <w:r w:rsidRPr="002F6225">
        <w:rPr>
          <w:rFonts w:eastAsia="Times New Roman" w:cs="Arial"/>
          <w:color w:val="000000"/>
        </w:rPr>
        <w:t>ml/</w:t>
      </w:r>
      <w:proofErr w:type="spellStart"/>
      <w:r w:rsidRPr="002F6225">
        <w:rPr>
          <w:rFonts w:eastAsia="Times New Roman" w:cs="Arial"/>
          <w:color w:val="000000"/>
        </w:rPr>
        <w:t>min</w:t>
      </w:r>
      <w:proofErr w:type="spellEnd"/>
      <w:r w:rsidRPr="002F6225">
        <w:rPr>
          <w:rFonts w:eastAsia="Times New Roman" w:cs="Arial"/>
          <w:color w:val="000000"/>
        </w:rPr>
        <w:t xml:space="preserve">) </w:t>
      </w:r>
      <w:r w:rsidRPr="002F6225">
        <w:rPr>
          <w:rFonts w:eastAsia="Times New Roman" w:cs="Arial"/>
          <w:color w:val="000000"/>
          <w:lang w:eastAsia="bg-BG"/>
        </w:rPr>
        <w:t xml:space="preserve">върху фармакокинетиката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е минимално във връзка с ниския принос на бъбречния клирънс (около 20%) към общата елиминация както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, така и на главния му метаболит </w:t>
      </w:r>
      <w:r w:rsidRPr="002F6225">
        <w:rPr>
          <w:rFonts w:eastAsia="Times New Roman" w:cs="Arial"/>
          <w:color w:val="000000"/>
        </w:rPr>
        <w:t xml:space="preserve">S </w:t>
      </w:r>
      <w:r w:rsidRPr="002F6225">
        <w:rPr>
          <w:rFonts w:eastAsia="Times New Roman" w:cs="Arial"/>
          <w:color w:val="000000"/>
          <w:lang w:eastAsia="bg-BG"/>
        </w:rPr>
        <w:t>18982 (вж. точка 4.2).</w:t>
      </w:r>
    </w:p>
    <w:p w14:paraId="441C2A94" w14:textId="77777777" w:rsidR="001E032E" w:rsidRPr="002F6225" w:rsidRDefault="001E032E" w:rsidP="001E032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9D59EC2" w14:textId="689C0296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i/>
          <w:iCs/>
          <w:color w:val="000000"/>
          <w:lang w:eastAsia="bg-BG"/>
        </w:rPr>
        <w:t>Чернодробно увреждане:</w:t>
      </w:r>
    </w:p>
    <w:p w14:paraId="03383373" w14:textId="22C6F3DB" w:rsidR="001E032E" w:rsidRPr="002F6225" w:rsidRDefault="001E032E" w:rsidP="001E032E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При пациенти с леко чернодробно увреждане </w:t>
      </w:r>
      <w:r w:rsidRPr="002F6225">
        <w:rPr>
          <w:rFonts w:eastAsia="Times New Roman" w:cs="Arial"/>
          <w:color w:val="000000"/>
        </w:rPr>
        <w:t>(</w:t>
      </w:r>
      <w:proofErr w:type="spellStart"/>
      <w:r w:rsidRPr="002F6225">
        <w:rPr>
          <w:rFonts w:eastAsia="Times New Roman" w:cs="Arial"/>
          <w:color w:val="000000"/>
        </w:rPr>
        <w:t>Child</w:t>
      </w:r>
      <w:proofErr w:type="spellEnd"/>
      <w:r w:rsidRPr="002F6225">
        <w:rPr>
          <w:rFonts w:eastAsia="Times New Roman" w:cs="Arial"/>
          <w:color w:val="000000"/>
        </w:rPr>
        <w:t xml:space="preserve"> </w:t>
      </w:r>
      <w:proofErr w:type="spellStart"/>
      <w:r w:rsidRPr="002F6225">
        <w:rPr>
          <w:rFonts w:eastAsia="Times New Roman" w:cs="Arial"/>
          <w:color w:val="000000"/>
        </w:rPr>
        <w:t>Pugh</w:t>
      </w:r>
      <w:proofErr w:type="spellEnd"/>
      <w:r w:rsidRPr="002F6225">
        <w:rPr>
          <w:rFonts w:eastAsia="Times New Roman" w:cs="Arial"/>
          <w:color w:val="000000"/>
        </w:rPr>
        <w:t xml:space="preserve">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скор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до 7) </w:t>
      </w:r>
      <w:r w:rsidRPr="002F6225">
        <w:rPr>
          <w:rFonts w:eastAsia="Times New Roman" w:cs="Arial"/>
          <w:color w:val="000000"/>
        </w:rPr>
        <w:t xml:space="preserve">AUC </w:t>
      </w:r>
      <w:r w:rsidRPr="002F6225">
        <w:rPr>
          <w:rFonts w:eastAsia="Times New Roman" w:cs="Arial"/>
          <w:color w:val="000000"/>
          <w:lang w:eastAsia="bg-BG"/>
        </w:rPr>
        <w:t xml:space="preserve">на несвързания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и главния активен метаболит са били с около 20% по-високи, отколкото при лица с нормална чернодробна функция. Данните са недостатъчни, за да се направят изводи при пациенти с умерено чернодробно увреждане. Липсват данни при пациенти с тежка чернодробна недостатъчност (вж. точки 4.2 и 4.3).</w:t>
      </w:r>
    </w:p>
    <w:p w14:paraId="468D7F64" w14:textId="77777777" w:rsidR="001E032E" w:rsidRPr="002F6225" w:rsidRDefault="001E032E" w:rsidP="001E032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E1A7462" w14:textId="079A53CC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i/>
          <w:iCs/>
          <w:color w:val="000000"/>
          <w:lang w:eastAsia="bg-BG"/>
        </w:rPr>
        <w:t>Педиатрична популация:</w:t>
      </w:r>
    </w:p>
    <w:p w14:paraId="77EF9084" w14:textId="3FEFA1FB" w:rsidR="001E032E" w:rsidRPr="002F6225" w:rsidRDefault="001E032E" w:rsidP="001E032E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</w:rPr>
      </w:pPr>
      <w:proofErr w:type="spellStart"/>
      <w:r w:rsidRPr="002F6225">
        <w:rPr>
          <w:rFonts w:eastAsia="Times New Roman" w:cs="Arial"/>
          <w:color w:val="000000"/>
          <w:lang w:eastAsia="bg-BG"/>
        </w:rPr>
        <w:t>Фармакокинетичният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профил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при педиатричните пациенти с хронична сърдечна недостатъчност на възраст от 6 месеца до по-малко от 18 години е подобен на фармакокинетиката, описана при възрастни, когато се прилага схема за титриране на дозата, базирана от възраст и тегло.</w:t>
      </w:r>
    </w:p>
    <w:p w14:paraId="34FD5F34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C8822A5" w14:textId="3D5D07B4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u w:val="single"/>
          <w:lang w:eastAsia="bg-BG"/>
        </w:rPr>
        <w:t>Връзка фармакокинетика/</w:t>
      </w:r>
      <w:proofErr w:type="spellStart"/>
      <w:r w:rsidRPr="002F6225">
        <w:rPr>
          <w:rFonts w:eastAsia="Times New Roman" w:cs="Arial"/>
          <w:color w:val="000000"/>
          <w:u w:val="single"/>
          <w:lang w:eastAsia="bg-BG"/>
        </w:rPr>
        <w:t>фапмакодинамика</w:t>
      </w:r>
      <w:proofErr w:type="spellEnd"/>
      <w:r w:rsidRPr="002F6225">
        <w:rPr>
          <w:rFonts w:eastAsia="Times New Roman" w:cs="Arial"/>
          <w:color w:val="000000"/>
          <w:u w:val="single"/>
          <w:lang w:eastAsia="bg-BG"/>
        </w:rPr>
        <w:t>(ФК/ФД)</w:t>
      </w:r>
    </w:p>
    <w:p w14:paraId="0DED78C8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A5F62C" w14:textId="773A2D6C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Анализът на отношението ФК/ФД показва, че сърдечната честота намалява почти линейно с нарастване на плазмените концентрации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и </w:t>
      </w:r>
      <w:r w:rsidRPr="002F6225">
        <w:rPr>
          <w:rFonts w:eastAsia="Times New Roman" w:cs="Arial"/>
          <w:color w:val="000000"/>
        </w:rPr>
        <w:t xml:space="preserve">S </w:t>
      </w:r>
      <w:r w:rsidRPr="002F6225">
        <w:rPr>
          <w:rFonts w:eastAsia="Times New Roman" w:cs="Arial"/>
          <w:color w:val="000000"/>
          <w:lang w:eastAsia="bg-BG"/>
        </w:rPr>
        <w:t xml:space="preserve">18982 за дози до 15-20 </w:t>
      </w:r>
      <w:proofErr w:type="spellStart"/>
      <w:r w:rsidRPr="002F6225">
        <w:rPr>
          <w:rFonts w:eastAsia="Times New Roman" w:cs="Arial"/>
          <w:color w:val="000000"/>
        </w:rPr>
        <w:t>mg</w:t>
      </w:r>
      <w:proofErr w:type="spellEnd"/>
      <w:r w:rsidRPr="002F6225">
        <w:rPr>
          <w:rFonts w:eastAsia="Times New Roman" w:cs="Arial"/>
          <w:color w:val="000000"/>
        </w:rPr>
        <w:t xml:space="preserve"> </w:t>
      </w:r>
      <w:r w:rsidRPr="002F6225">
        <w:rPr>
          <w:rFonts w:eastAsia="Times New Roman" w:cs="Arial"/>
          <w:color w:val="000000"/>
          <w:lang w:eastAsia="bg-BG"/>
        </w:rPr>
        <w:t xml:space="preserve">два пъти дневно. При по-високи дози понижението на сърдечната честота вече не е пропорционално на плазмените концентрации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и показва тенденция към достигане на плато. Високите експозиции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, които могат да настъпят, когато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се приложи в комбинация със силни </w:t>
      </w:r>
      <w:r w:rsidRPr="002F6225">
        <w:rPr>
          <w:rFonts w:eastAsia="Times New Roman" w:cs="Arial"/>
          <w:color w:val="000000"/>
        </w:rPr>
        <w:t xml:space="preserve">CYP3A4 </w:t>
      </w:r>
      <w:r w:rsidRPr="002F6225">
        <w:rPr>
          <w:rFonts w:eastAsia="Times New Roman" w:cs="Arial"/>
          <w:color w:val="000000"/>
          <w:lang w:eastAsia="bg-BG"/>
        </w:rPr>
        <w:t xml:space="preserve">инхибитори, могат да доведат до прекомерно понижение на сърдечната честота, въпреки че този риск намалява при умерени </w:t>
      </w:r>
      <w:r w:rsidRPr="002F6225">
        <w:rPr>
          <w:rFonts w:eastAsia="Times New Roman" w:cs="Arial"/>
          <w:color w:val="000000"/>
        </w:rPr>
        <w:t xml:space="preserve">CYP3A4 </w:t>
      </w:r>
      <w:r w:rsidRPr="002F6225">
        <w:rPr>
          <w:rFonts w:eastAsia="Times New Roman" w:cs="Arial"/>
          <w:color w:val="000000"/>
          <w:lang w:eastAsia="bg-BG"/>
        </w:rPr>
        <w:t xml:space="preserve">инхибитори (вж. точки 4.3, 4.4 и 4.5). Връзката ФК/ФД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при педиатричните пациенти с хронична сърдечна недостатъчност на възраст от 6 месеца до по-малко от 18 години е подобна на връзката ФК/ФД, описана при възрастни.</w:t>
      </w:r>
    </w:p>
    <w:p w14:paraId="6A65E67C" w14:textId="4A96B7E7" w:rsidR="001E032E" w:rsidRPr="002F6225" w:rsidRDefault="001E032E" w:rsidP="001E032E"/>
    <w:p w14:paraId="4FB791BE" w14:textId="0CFE2792" w:rsidR="00B6672E" w:rsidRPr="002F6225" w:rsidRDefault="002C50EE" w:rsidP="00936AD0">
      <w:pPr>
        <w:pStyle w:val="Heading2"/>
      </w:pPr>
      <w:r w:rsidRPr="002F6225">
        <w:t>5.3. Предклинични данни за безопасност</w:t>
      </w:r>
    </w:p>
    <w:p w14:paraId="0D40C80F" w14:textId="0947ADE3" w:rsidR="001E032E" w:rsidRPr="002F6225" w:rsidRDefault="001E032E" w:rsidP="001E032E"/>
    <w:p w14:paraId="7D1058CD" w14:textId="77777777" w:rsidR="001E032E" w:rsidRPr="002F6225" w:rsidRDefault="001E032E" w:rsidP="001E032E">
      <w:pPr>
        <w:rPr>
          <w:rFonts w:eastAsia="Times New Roman" w:cs="Arial"/>
        </w:rPr>
      </w:pPr>
      <w:r w:rsidRPr="002F6225">
        <w:rPr>
          <w:rFonts w:cs="Arial"/>
        </w:rPr>
        <w:t xml:space="preserve">Неклиничните данни не показват особен риск за хора на базата на конвенционалните фармакологични изпитвания за безопасност, токсичност при многократно прилагане, </w:t>
      </w:r>
      <w:proofErr w:type="spellStart"/>
      <w:r w:rsidRPr="002F6225">
        <w:rPr>
          <w:rFonts w:cs="Arial"/>
        </w:rPr>
        <w:t>генотоксичност</w:t>
      </w:r>
      <w:proofErr w:type="spellEnd"/>
      <w:r w:rsidRPr="002F6225">
        <w:rPr>
          <w:rFonts w:cs="Arial"/>
        </w:rPr>
        <w:t xml:space="preserve">, карциногенен потенциал. Проучванията за репродуктивна токсичност са </w:t>
      </w:r>
      <w:r w:rsidRPr="002F6225">
        <w:rPr>
          <w:rFonts w:eastAsia="Times New Roman" w:cs="Arial"/>
          <w:color w:val="000000"/>
          <w:lang w:eastAsia="bg-BG"/>
        </w:rPr>
        <w:t xml:space="preserve">показали липса на ефект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върху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при мъжки и женски плъхове. Когато бременни лабораторни животни са били третирани по време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органогенезата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с </w:t>
      </w:r>
      <w:r w:rsidRPr="002F6225">
        <w:rPr>
          <w:rFonts w:eastAsia="Times New Roman" w:cs="Arial"/>
          <w:color w:val="000000"/>
          <w:lang w:eastAsia="bg-BG"/>
        </w:rPr>
        <w:lastRenderedPageBreak/>
        <w:t xml:space="preserve">експозиции, близки до терапевтичните дози, е наблюдавана по-висока честота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фетуси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със сърдечни дефекти при плъхове и малък брой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фетуси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ектродактилия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при зайци.</w:t>
      </w:r>
    </w:p>
    <w:p w14:paraId="772BA7AE" w14:textId="77777777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При кучета, на които е даван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(дози от 2, 7 или 24 </w:t>
      </w:r>
      <w:proofErr w:type="spellStart"/>
      <w:r w:rsidRPr="002F6225">
        <w:rPr>
          <w:rFonts w:eastAsia="Times New Roman" w:cs="Arial"/>
          <w:color w:val="000000"/>
        </w:rPr>
        <w:t>mg</w:t>
      </w:r>
      <w:proofErr w:type="spellEnd"/>
      <w:r w:rsidRPr="002F6225">
        <w:rPr>
          <w:rFonts w:eastAsia="Times New Roman" w:cs="Arial"/>
          <w:color w:val="000000"/>
        </w:rPr>
        <w:t>/</w:t>
      </w:r>
      <w:proofErr w:type="spellStart"/>
      <w:r w:rsidRPr="002F6225">
        <w:rPr>
          <w:rFonts w:eastAsia="Times New Roman" w:cs="Arial"/>
          <w:color w:val="000000"/>
        </w:rPr>
        <w:t>kg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/ден) за една година, са наблюдавани обратими промени на функцията на ретината, но те не са били свързани с увреждане на очните структури. Тези данни съответстват на фармакологичния ефект на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, свързан с взаимодействието му с </w:t>
      </w:r>
      <w:proofErr w:type="spellStart"/>
      <w:r w:rsidRPr="002F6225">
        <w:rPr>
          <w:rFonts w:eastAsia="Times New Roman" w:cs="Arial"/>
          <w:color w:val="000000"/>
          <w:lang w:eastAsia="bg-BG"/>
        </w:rPr>
        <w:t>хиперполяризационно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-активираните </w:t>
      </w:r>
      <w:proofErr w:type="spellStart"/>
      <w:r w:rsidRPr="002F6225">
        <w:rPr>
          <w:rFonts w:eastAsia="Times New Roman" w:cs="Arial"/>
          <w:color w:val="000000"/>
        </w:rPr>
        <w:t>I</w:t>
      </w:r>
      <w:r w:rsidRPr="002F6225">
        <w:rPr>
          <w:rFonts w:eastAsia="Times New Roman" w:cs="Arial"/>
          <w:color w:val="000000"/>
          <w:vertAlign w:val="subscript"/>
        </w:rPr>
        <w:t>h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токове в ретината, които са много сходни с </w:t>
      </w:r>
      <w:proofErr w:type="spellStart"/>
      <w:r w:rsidRPr="002F6225">
        <w:rPr>
          <w:rFonts w:eastAsia="Times New Roman" w:cs="Arial"/>
          <w:color w:val="000000"/>
        </w:rPr>
        <w:t>I</w:t>
      </w:r>
      <w:r w:rsidRPr="002F6225">
        <w:rPr>
          <w:rFonts w:eastAsia="Times New Roman" w:cs="Arial"/>
          <w:color w:val="000000"/>
          <w:vertAlign w:val="subscript"/>
        </w:rPr>
        <w:t>f</w:t>
      </w:r>
      <w:proofErr w:type="spellEnd"/>
      <w:r w:rsidRPr="002F6225">
        <w:rPr>
          <w:rFonts w:eastAsia="Times New Roman" w:cs="Arial"/>
          <w:color w:val="000000"/>
        </w:rPr>
        <w:t xml:space="preserve"> </w:t>
      </w:r>
      <w:r w:rsidRPr="002F6225">
        <w:rPr>
          <w:rFonts w:eastAsia="Times New Roman" w:cs="Arial"/>
          <w:color w:val="000000"/>
          <w:lang w:eastAsia="bg-BG"/>
        </w:rPr>
        <w:t>тока на сърдечния пейсмейкър.</w:t>
      </w:r>
    </w:p>
    <w:p w14:paraId="60CCBE1D" w14:textId="77777777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Други дългосрочни проучвания с многократни дози и проучвания за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карциногенност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не са довели до разкриване на клинично значими промени.</w:t>
      </w:r>
    </w:p>
    <w:p w14:paraId="11D1E0E2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A63AC6" w14:textId="63215BF6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u w:val="single"/>
          <w:lang w:eastAsia="bg-BG"/>
        </w:rPr>
        <w:t xml:space="preserve">Оценка на риска за околната среда </w:t>
      </w:r>
      <w:r w:rsidRPr="002F6225">
        <w:rPr>
          <w:rFonts w:eastAsia="Times New Roman" w:cs="Arial"/>
          <w:color w:val="000000"/>
          <w:u w:val="single"/>
        </w:rPr>
        <w:t>(ERA)</w:t>
      </w:r>
    </w:p>
    <w:p w14:paraId="77548E8F" w14:textId="77777777" w:rsidR="001E032E" w:rsidRPr="002F6225" w:rsidRDefault="001E032E" w:rsidP="001E03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298868" w14:textId="3BAD02E3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Оценката на риска за околната среда от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е проведена в съответствие с европейското ръководство за </w:t>
      </w:r>
      <w:r w:rsidRPr="002F6225">
        <w:rPr>
          <w:rFonts w:eastAsia="Times New Roman" w:cs="Arial"/>
          <w:color w:val="000000"/>
        </w:rPr>
        <w:t>ERA.</w:t>
      </w:r>
    </w:p>
    <w:p w14:paraId="7962ECBF" w14:textId="77777777" w:rsidR="001E032E" w:rsidRPr="002F6225" w:rsidRDefault="001E032E" w:rsidP="001E032E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 xml:space="preserve">Резултатите от тези проучвания подкрепят липсата на риск за околната среда от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2F6225">
        <w:rPr>
          <w:rFonts w:eastAsia="Times New Roman" w:cs="Arial"/>
          <w:color w:val="000000"/>
          <w:lang w:eastAsia="bg-BG"/>
        </w:rPr>
        <w:t>ивабрадин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не представлява заплаха за околната среда.</w:t>
      </w:r>
    </w:p>
    <w:p w14:paraId="1DE6870D" w14:textId="4BDCCB4C" w:rsidR="001E032E" w:rsidRPr="002F6225" w:rsidRDefault="001E032E" w:rsidP="001E032E"/>
    <w:p w14:paraId="1BA6531D" w14:textId="3A6F1C0D" w:rsidR="00B6672E" w:rsidRPr="002F6225" w:rsidRDefault="002C50EE" w:rsidP="00936AD0">
      <w:pPr>
        <w:pStyle w:val="Heading1"/>
      </w:pPr>
      <w:r w:rsidRPr="002F6225">
        <w:t>7. ПРИТЕЖАТЕЛ НА РАЗРЕШЕНИЕТО ЗА УПОТРЕБА</w:t>
      </w:r>
    </w:p>
    <w:p w14:paraId="5393F20B" w14:textId="6DB9693C" w:rsidR="000E1542" w:rsidRPr="002F6225" w:rsidRDefault="000E1542" w:rsidP="000E1542"/>
    <w:p w14:paraId="3176DF21" w14:textId="77777777" w:rsidR="000E1542" w:rsidRPr="002F6225" w:rsidRDefault="000E1542" w:rsidP="000E1542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„</w:t>
      </w:r>
      <w:proofErr w:type="spellStart"/>
      <w:r w:rsidRPr="002F6225">
        <w:rPr>
          <w:rFonts w:eastAsia="Times New Roman" w:cs="Arial"/>
          <w:color w:val="000000"/>
          <w:lang w:eastAsia="bg-BG"/>
        </w:rPr>
        <w:t>Чайкафарма</w:t>
      </w:r>
      <w:proofErr w:type="spellEnd"/>
      <w:r w:rsidRPr="002F6225">
        <w:rPr>
          <w:rFonts w:eastAsia="Times New Roman" w:cs="Arial"/>
          <w:color w:val="000000"/>
          <w:lang w:eastAsia="bg-BG"/>
        </w:rPr>
        <w:t xml:space="preserve"> Висококачествените Лекарства” АД,</w:t>
      </w:r>
    </w:p>
    <w:p w14:paraId="385AB773" w14:textId="77777777" w:rsidR="000E1542" w:rsidRPr="002F6225" w:rsidRDefault="000E1542" w:rsidP="000E1542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бул. „Г. М. Димитров” № 1,</w:t>
      </w:r>
    </w:p>
    <w:p w14:paraId="64C79475" w14:textId="77777777" w:rsidR="000E1542" w:rsidRPr="002F6225" w:rsidRDefault="000E1542" w:rsidP="000E154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2F6225">
        <w:rPr>
          <w:rFonts w:eastAsia="Times New Roman" w:cs="Arial"/>
          <w:color w:val="000000"/>
          <w:lang w:eastAsia="bg-BG"/>
        </w:rPr>
        <w:t xml:space="preserve">гр. София 1172, България </w:t>
      </w:r>
    </w:p>
    <w:p w14:paraId="0B3C950A" w14:textId="3C27FAA6" w:rsidR="000E1542" w:rsidRPr="002F6225" w:rsidRDefault="000E1542" w:rsidP="000E1542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тел.:+359 2 962 54 54</w:t>
      </w:r>
    </w:p>
    <w:p w14:paraId="2E2E6771" w14:textId="77777777" w:rsidR="000E1542" w:rsidRPr="002F6225" w:rsidRDefault="000E1542" w:rsidP="000E1542">
      <w:pPr>
        <w:spacing w:line="240" w:lineRule="auto"/>
        <w:rPr>
          <w:rFonts w:eastAsia="Times New Roman" w:cs="Arial"/>
        </w:rPr>
      </w:pPr>
      <w:r w:rsidRPr="002F6225">
        <w:rPr>
          <w:rFonts w:eastAsia="Times New Roman" w:cs="Arial"/>
          <w:color w:val="000000"/>
          <w:lang w:eastAsia="bg-BG"/>
        </w:rPr>
        <w:t>факс: +3592 9603 703</w:t>
      </w:r>
    </w:p>
    <w:p w14:paraId="7D070972" w14:textId="4543267A" w:rsidR="000E1542" w:rsidRPr="002F6225" w:rsidRDefault="000E1542" w:rsidP="000E1542">
      <w:pPr>
        <w:rPr>
          <w:rFonts w:cs="Arial"/>
        </w:rPr>
      </w:pPr>
      <w:r w:rsidRPr="002F6225">
        <w:rPr>
          <w:rFonts w:eastAsia="Times New Roman" w:cs="Arial"/>
          <w:color w:val="000000"/>
        </w:rPr>
        <w:t>e-</w:t>
      </w:r>
      <w:proofErr w:type="spellStart"/>
      <w:r w:rsidRPr="002F6225">
        <w:rPr>
          <w:rFonts w:eastAsia="Times New Roman" w:cs="Arial"/>
          <w:color w:val="000000"/>
        </w:rPr>
        <w:t>mail</w:t>
      </w:r>
      <w:proofErr w:type="spellEnd"/>
      <w:r w:rsidRPr="002F6225">
        <w:rPr>
          <w:rFonts w:eastAsia="Times New Roman" w:cs="Arial"/>
          <w:color w:val="000000"/>
        </w:rPr>
        <w:t xml:space="preserve">: </w:t>
      </w:r>
      <w:hyperlink r:id="rId6" w:history="1">
        <w:r w:rsidRPr="002F6225">
          <w:rPr>
            <w:rFonts w:eastAsia="Times New Roman" w:cs="Arial"/>
            <w:color w:val="000000"/>
          </w:rPr>
          <w:t>info@tchaikapharma.com</w:t>
        </w:r>
      </w:hyperlink>
    </w:p>
    <w:p w14:paraId="508F3A54" w14:textId="5AC565C9" w:rsidR="00B6672E" w:rsidRPr="002F6225" w:rsidRDefault="00936AD0" w:rsidP="00936AD0">
      <w:pPr>
        <w:pStyle w:val="Heading1"/>
      </w:pPr>
      <w:r w:rsidRPr="002F6225">
        <w:t>8.</w:t>
      </w:r>
      <w:r w:rsidR="002C50EE" w:rsidRPr="002F6225">
        <w:t>НОМЕР НА РАЗРЕШЕНИЕТО ЗА УПОТРЕБА</w:t>
      </w:r>
    </w:p>
    <w:p w14:paraId="61DEB027" w14:textId="3718A3BB" w:rsidR="000E1542" w:rsidRPr="002F6225" w:rsidRDefault="000E1542" w:rsidP="000E1542"/>
    <w:p w14:paraId="1B48C351" w14:textId="77777777" w:rsidR="000E1542" w:rsidRPr="002F6225" w:rsidRDefault="000E1542" w:rsidP="000E1542">
      <w:pPr>
        <w:rPr>
          <w:sz w:val="24"/>
          <w:szCs w:val="24"/>
        </w:rPr>
      </w:pPr>
      <w:proofErr w:type="spellStart"/>
      <w:r w:rsidRPr="002F6225">
        <w:rPr>
          <w:lang w:eastAsia="bg-BG"/>
        </w:rPr>
        <w:t>Ивабенор</w:t>
      </w:r>
      <w:proofErr w:type="spellEnd"/>
      <w:r w:rsidRPr="002F6225">
        <w:rPr>
          <w:lang w:eastAsia="bg-BG"/>
        </w:rPr>
        <w:t xml:space="preserve"> 5 </w:t>
      </w:r>
      <w:proofErr w:type="spellStart"/>
      <w:r w:rsidRPr="002F6225">
        <w:t>mg</w:t>
      </w:r>
      <w:proofErr w:type="spellEnd"/>
      <w:r w:rsidRPr="002F6225">
        <w:t xml:space="preserve"> </w:t>
      </w:r>
      <w:r w:rsidRPr="002F6225">
        <w:rPr>
          <w:lang w:eastAsia="bg-BG"/>
        </w:rPr>
        <w:t xml:space="preserve">- </w:t>
      </w:r>
      <w:proofErr w:type="spellStart"/>
      <w:r w:rsidRPr="002F6225">
        <w:t>Per</w:t>
      </w:r>
      <w:proofErr w:type="spellEnd"/>
      <w:r w:rsidRPr="002F6225">
        <w:t xml:space="preserve">. </w:t>
      </w:r>
      <w:r w:rsidRPr="002F6225">
        <w:rPr>
          <w:lang w:eastAsia="bg-BG"/>
        </w:rPr>
        <w:t>№: 20170128</w:t>
      </w:r>
    </w:p>
    <w:p w14:paraId="474E156C" w14:textId="5179C787" w:rsidR="000E1542" w:rsidRPr="002F6225" w:rsidRDefault="000E1542" w:rsidP="000E1542">
      <w:proofErr w:type="spellStart"/>
      <w:r w:rsidRPr="002F6225">
        <w:rPr>
          <w:lang w:eastAsia="bg-BG"/>
        </w:rPr>
        <w:t>Ивабенор</w:t>
      </w:r>
      <w:proofErr w:type="spellEnd"/>
      <w:r w:rsidRPr="002F6225">
        <w:rPr>
          <w:lang w:eastAsia="bg-BG"/>
        </w:rPr>
        <w:t xml:space="preserve"> 7,5 </w:t>
      </w:r>
      <w:proofErr w:type="spellStart"/>
      <w:r w:rsidRPr="002F6225">
        <w:t>mg</w:t>
      </w:r>
      <w:proofErr w:type="spellEnd"/>
      <w:r w:rsidRPr="002F6225">
        <w:t xml:space="preserve"> </w:t>
      </w:r>
      <w:proofErr w:type="spellStart"/>
      <w:r w:rsidRPr="002F6225">
        <w:t>per</w:t>
      </w:r>
      <w:proofErr w:type="spellEnd"/>
      <w:r w:rsidRPr="002F6225">
        <w:t xml:space="preserve">. </w:t>
      </w:r>
      <w:r w:rsidRPr="002F6225">
        <w:rPr>
          <w:lang w:eastAsia="bg-BG"/>
        </w:rPr>
        <w:t>№ 20170129</w:t>
      </w:r>
    </w:p>
    <w:p w14:paraId="2CCB5832" w14:textId="47E85C5C" w:rsidR="007C605B" w:rsidRPr="002F6225" w:rsidRDefault="002C50EE" w:rsidP="007C605B">
      <w:pPr>
        <w:pStyle w:val="Heading1"/>
      </w:pPr>
      <w:r w:rsidRPr="002F6225">
        <w:t>9. ДАТА НА ПЪРВО РАЗРЕШАВАНЕ/ПОДНОВЯВАНЕ НА РАЗРЕШЕНИЕТО ЗА УПОТРЕБА</w:t>
      </w:r>
    </w:p>
    <w:p w14:paraId="382C18DA" w14:textId="0EC23E76" w:rsidR="000E1542" w:rsidRPr="002F6225" w:rsidRDefault="000E1542" w:rsidP="000E1542"/>
    <w:p w14:paraId="4CE2F17C" w14:textId="294E779B" w:rsidR="000E1542" w:rsidRPr="002F6225" w:rsidRDefault="000E1542" w:rsidP="000E1542">
      <w:pPr>
        <w:rPr>
          <w:sz w:val="24"/>
          <w:szCs w:val="24"/>
        </w:rPr>
      </w:pPr>
      <w:r w:rsidRPr="002F6225">
        <w:rPr>
          <w:lang w:eastAsia="bg-BG"/>
        </w:rPr>
        <w:t>Дата на първо разрешаване: 06.04.2017</w:t>
      </w:r>
    </w:p>
    <w:p w14:paraId="0E9D0119" w14:textId="0245C6D7" w:rsidR="002C50EE" w:rsidRPr="002F6225" w:rsidRDefault="002C50EE" w:rsidP="002C50EE">
      <w:pPr>
        <w:pStyle w:val="Heading1"/>
      </w:pPr>
      <w:r w:rsidRPr="002F6225">
        <w:t>10. ДАТА НА АКТУАЛИЗИРАНЕ НА ТЕКСТА</w:t>
      </w:r>
    </w:p>
    <w:bookmarkEnd w:id="0"/>
    <w:p w14:paraId="43FB38A2" w14:textId="2469DA45" w:rsidR="007C605B" w:rsidRPr="002F6225" w:rsidRDefault="000E1542" w:rsidP="000E1542">
      <w:r w:rsidRPr="002F6225">
        <w:t>Ноември, 2021</w:t>
      </w:r>
    </w:p>
    <w:sectPr w:rsidR="007C605B" w:rsidRPr="002F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60F08"/>
    <w:multiLevelType w:val="hybridMultilevel"/>
    <w:tmpl w:val="C408231E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F0A5E"/>
    <w:multiLevelType w:val="hybridMultilevel"/>
    <w:tmpl w:val="5CACB588"/>
    <w:lvl w:ilvl="0" w:tplc="A52AA6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731467715">
    <w:abstractNumId w:val="30"/>
  </w:num>
  <w:num w:numId="2" w16cid:durableId="2032416349">
    <w:abstractNumId w:val="0"/>
  </w:num>
  <w:num w:numId="3" w16cid:durableId="409159556">
    <w:abstractNumId w:val="15"/>
  </w:num>
  <w:num w:numId="4" w16cid:durableId="261845638">
    <w:abstractNumId w:val="3"/>
  </w:num>
  <w:num w:numId="5" w16cid:durableId="1454441297">
    <w:abstractNumId w:val="1"/>
  </w:num>
  <w:num w:numId="6" w16cid:durableId="901059956">
    <w:abstractNumId w:val="18"/>
  </w:num>
  <w:num w:numId="7" w16cid:durableId="1715999717">
    <w:abstractNumId w:val="13"/>
  </w:num>
  <w:num w:numId="8" w16cid:durableId="688483889">
    <w:abstractNumId w:val="17"/>
  </w:num>
  <w:num w:numId="9" w16cid:durableId="403646748">
    <w:abstractNumId w:val="2"/>
  </w:num>
  <w:num w:numId="10" w16cid:durableId="284584865">
    <w:abstractNumId w:val="4"/>
  </w:num>
  <w:num w:numId="11" w16cid:durableId="1109155611">
    <w:abstractNumId w:val="33"/>
  </w:num>
  <w:num w:numId="12" w16cid:durableId="55588101">
    <w:abstractNumId w:val="16"/>
  </w:num>
  <w:num w:numId="13" w16cid:durableId="1292705336">
    <w:abstractNumId w:val="21"/>
  </w:num>
  <w:num w:numId="14" w16cid:durableId="629364421">
    <w:abstractNumId w:val="14"/>
  </w:num>
  <w:num w:numId="15" w16cid:durableId="307514064">
    <w:abstractNumId w:val="32"/>
  </w:num>
  <w:num w:numId="16" w16cid:durableId="282812827">
    <w:abstractNumId w:val="12"/>
  </w:num>
  <w:num w:numId="17" w16cid:durableId="1606420183">
    <w:abstractNumId w:val="26"/>
  </w:num>
  <w:num w:numId="18" w16cid:durableId="485706510">
    <w:abstractNumId w:val="9"/>
  </w:num>
  <w:num w:numId="19" w16cid:durableId="232011823">
    <w:abstractNumId w:val="28"/>
  </w:num>
  <w:num w:numId="20" w16cid:durableId="1454249930">
    <w:abstractNumId w:val="25"/>
  </w:num>
  <w:num w:numId="21" w16cid:durableId="1513447257">
    <w:abstractNumId w:val="19"/>
  </w:num>
  <w:num w:numId="22" w16cid:durableId="900284620">
    <w:abstractNumId w:val="27"/>
  </w:num>
  <w:num w:numId="23" w16cid:durableId="727998164">
    <w:abstractNumId w:val="20"/>
  </w:num>
  <w:num w:numId="24" w16cid:durableId="1228230036">
    <w:abstractNumId w:val="10"/>
  </w:num>
  <w:num w:numId="25" w16cid:durableId="1703050074">
    <w:abstractNumId w:val="24"/>
  </w:num>
  <w:num w:numId="26" w16cid:durableId="1306163800">
    <w:abstractNumId w:val="23"/>
  </w:num>
  <w:num w:numId="27" w16cid:durableId="1507869149">
    <w:abstractNumId w:val="34"/>
  </w:num>
  <w:num w:numId="28" w16cid:durableId="1152481438">
    <w:abstractNumId w:val="7"/>
  </w:num>
  <w:num w:numId="29" w16cid:durableId="1997565381">
    <w:abstractNumId w:val="22"/>
  </w:num>
  <w:num w:numId="30" w16cid:durableId="640236639">
    <w:abstractNumId w:val="37"/>
  </w:num>
  <w:num w:numId="31" w16cid:durableId="471018039">
    <w:abstractNumId w:val="5"/>
  </w:num>
  <w:num w:numId="32" w16cid:durableId="1001933637">
    <w:abstractNumId w:val="36"/>
  </w:num>
  <w:num w:numId="33" w16cid:durableId="1223128797">
    <w:abstractNumId w:val="31"/>
  </w:num>
  <w:num w:numId="34" w16cid:durableId="72314255">
    <w:abstractNumId w:val="35"/>
  </w:num>
  <w:num w:numId="35" w16cid:durableId="151726541">
    <w:abstractNumId w:val="8"/>
  </w:num>
  <w:num w:numId="36" w16cid:durableId="1226919169">
    <w:abstractNumId w:val="11"/>
  </w:num>
  <w:num w:numId="37" w16cid:durableId="700981682">
    <w:abstractNumId w:val="29"/>
  </w:num>
  <w:num w:numId="38" w16cid:durableId="655690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0"/>
    <w:rsid w:val="000E1542"/>
    <w:rsid w:val="00185A46"/>
    <w:rsid w:val="001915B6"/>
    <w:rsid w:val="001956E7"/>
    <w:rsid w:val="001D1B23"/>
    <w:rsid w:val="001E032E"/>
    <w:rsid w:val="002B3C38"/>
    <w:rsid w:val="002B4DBB"/>
    <w:rsid w:val="002C50EE"/>
    <w:rsid w:val="002F6225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93B92"/>
    <w:rsid w:val="008A6AF2"/>
    <w:rsid w:val="008C70A2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05EC8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chaikapharma.com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7074</Words>
  <Characters>40327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Maria Vasileva</cp:lastModifiedBy>
  <cp:revision>3</cp:revision>
  <dcterms:created xsi:type="dcterms:W3CDTF">2022-09-02T17:06:00Z</dcterms:created>
  <dcterms:modified xsi:type="dcterms:W3CDTF">2022-09-07T08:15:00Z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