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5B9CD3F" w:rsidR="007122AD" w:rsidRDefault="00DD466D" w:rsidP="00936AD0">
      <w:pPr>
        <w:pStyle w:val="Heading1"/>
      </w:pPr>
      <w:r>
        <w:t>1.ИМЕ НА ЛЕКАРСТВЕНИЯ ПРОДУКТ</w:t>
      </w:r>
    </w:p>
    <w:p w14:paraId="5403C659" w14:textId="2FDD23B8" w:rsidR="00603C66" w:rsidRDefault="00603C66" w:rsidP="00603C66"/>
    <w:p w14:paraId="412C61EF" w14:textId="77777777" w:rsidR="00603C66" w:rsidRPr="00603C66" w:rsidRDefault="00603C66" w:rsidP="00603C66">
      <w:pPr>
        <w:rPr>
          <w:sz w:val="24"/>
          <w:szCs w:val="24"/>
        </w:rPr>
      </w:pPr>
      <w:r w:rsidRPr="00603C66">
        <w:rPr>
          <w:lang w:eastAsia="bg-BG"/>
        </w:rPr>
        <w:t xml:space="preserve">Ивабрадин Майлан 5 </w:t>
      </w:r>
      <w:r w:rsidRPr="00603C66">
        <w:rPr>
          <w:lang w:val="en-US"/>
        </w:rPr>
        <w:t>mg</w:t>
      </w:r>
      <w:r w:rsidRPr="00603C66">
        <w:t xml:space="preserve"> </w:t>
      </w:r>
      <w:r w:rsidRPr="00603C66">
        <w:rPr>
          <w:lang w:eastAsia="bg-BG"/>
        </w:rPr>
        <w:t>филмирани таблетки</w:t>
      </w:r>
    </w:p>
    <w:p w14:paraId="5EB5DBF9" w14:textId="77777777" w:rsidR="00603C66" w:rsidRPr="00603C66" w:rsidRDefault="00603C66" w:rsidP="00603C66">
      <w:pPr>
        <w:rPr>
          <w:sz w:val="24"/>
          <w:szCs w:val="24"/>
        </w:rPr>
      </w:pPr>
      <w:proofErr w:type="spellStart"/>
      <w:r w:rsidRPr="00603C66">
        <w:rPr>
          <w:lang w:val="en-US"/>
        </w:rPr>
        <w:t>Ivabradine</w:t>
      </w:r>
      <w:proofErr w:type="spellEnd"/>
      <w:r w:rsidRPr="00603C66">
        <w:t xml:space="preserve"> </w:t>
      </w:r>
      <w:r w:rsidRPr="00603C66">
        <w:rPr>
          <w:lang w:val="en-US"/>
        </w:rPr>
        <w:t>Mylan</w:t>
      </w:r>
      <w:r w:rsidRPr="00603C66">
        <w:t xml:space="preserve"> </w:t>
      </w:r>
      <w:r w:rsidRPr="00603C66">
        <w:rPr>
          <w:lang w:eastAsia="bg-BG"/>
        </w:rPr>
        <w:t xml:space="preserve">5 </w:t>
      </w:r>
      <w:r w:rsidRPr="00603C66">
        <w:rPr>
          <w:lang w:val="en-US"/>
        </w:rPr>
        <w:t>mg</w:t>
      </w:r>
      <w:r w:rsidRPr="00603C66">
        <w:t xml:space="preserve"> </w:t>
      </w:r>
      <w:r w:rsidRPr="00603C66">
        <w:rPr>
          <w:lang w:val="en-US"/>
        </w:rPr>
        <w:t>film</w:t>
      </w:r>
      <w:r w:rsidRPr="00603C66">
        <w:t>-</w:t>
      </w:r>
      <w:r w:rsidRPr="00603C66">
        <w:rPr>
          <w:lang w:val="en-US"/>
        </w:rPr>
        <w:t>coated</w:t>
      </w:r>
      <w:r w:rsidRPr="00603C66">
        <w:t xml:space="preserve"> </w:t>
      </w:r>
      <w:r w:rsidRPr="00603C66">
        <w:rPr>
          <w:lang w:val="en-US"/>
        </w:rPr>
        <w:t>tablets</w:t>
      </w:r>
    </w:p>
    <w:p w14:paraId="5348B000" w14:textId="77777777" w:rsidR="00603C66" w:rsidRDefault="00603C66" w:rsidP="00603C66">
      <w:pPr>
        <w:rPr>
          <w:lang w:eastAsia="bg-BG"/>
        </w:rPr>
      </w:pPr>
    </w:p>
    <w:p w14:paraId="01C4CA9C" w14:textId="3354B24B" w:rsidR="00603C66" w:rsidRPr="00603C66" w:rsidRDefault="00603C66" w:rsidP="00603C66">
      <w:pPr>
        <w:rPr>
          <w:sz w:val="24"/>
          <w:szCs w:val="24"/>
        </w:rPr>
      </w:pPr>
      <w:r w:rsidRPr="00603C66">
        <w:rPr>
          <w:lang w:eastAsia="bg-BG"/>
        </w:rPr>
        <w:t xml:space="preserve">Ивабрадин Майлан </w:t>
      </w:r>
      <w:r w:rsidRPr="00603C66">
        <w:t xml:space="preserve">7,5 </w:t>
      </w:r>
      <w:r w:rsidRPr="00603C66">
        <w:rPr>
          <w:lang w:val="en-US"/>
        </w:rPr>
        <w:t>mg</w:t>
      </w:r>
      <w:r w:rsidRPr="00603C66">
        <w:t xml:space="preserve"> </w:t>
      </w:r>
      <w:r w:rsidRPr="00603C66">
        <w:rPr>
          <w:lang w:eastAsia="bg-BG"/>
        </w:rPr>
        <w:t>филмирани таблетки</w:t>
      </w:r>
    </w:p>
    <w:p w14:paraId="759D6C67" w14:textId="77777777" w:rsidR="00603C66" w:rsidRPr="00603C66" w:rsidRDefault="00603C66" w:rsidP="00603C66">
      <w:pPr>
        <w:rPr>
          <w:sz w:val="24"/>
          <w:szCs w:val="24"/>
        </w:rPr>
      </w:pPr>
      <w:proofErr w:type="spellStart"/>
      <w:r w:rsidRPr="00603C66">
        <w:rPr>
          <w:lang w:val="en-US"/>
        </w:rPr>
        <w:t>Ivabradine</w:t>
      </w:r>
      <w:proofErr w:type="spellEnd"/>
      <w:r w:rsidRPr="00603C66">
        <w:t xml:space="preserve"> </w:t>
      </w:r>
      <w:r w:rsidRPr="00603C66">
        <w:rPr>
          <w:lang w:val="en-US"/>
        </w:rPr>
        <w:t>Mylan</w:t>
      </w:r>
      <w:r w:rsidRPr="00603C66">
        <w:t xml:space="preserve"> 7</w:t>
      </w:r>
      <w:proofErr w:type="gramStart"/>
      <w:r w:rsidRPr="00603C66">
        <w:t>,5</w:t>
      </w:r>
      <w:proofErr w:type="gramEnd"/>
      <w:r w:rsidRPr="00603C66">
        <w:t xml:space="preserve"> </w:t>
      </w:r>
      <w:r w:rsidRPr="00603C66">
        <w:rPr>
          <w:lang w:val="en-US"/>
        </w:rPr>
        <w:t>mg</w:t>
      </w:r>
      <w:r w:rsidRPr="00603C66">
        <w:t xml:space="preserve"> </w:t>
      </w:r>
      <w:r w:rsidRPr="00603C66">
        <w:rPr>
          <w:lang w:val="en-US"/>
        </w:rPr>
        <w:t>film</w:t>
      </w:r>
      <w:r w:rsidRPr="00603C66">
        <w:t>-</w:t>
      </w:r>
      <w:r w:rsidRPr="00603C66">
        <w:rPr>
          <w:lang w:val="en-US"/>
        </w:rPr>
        <w:t>coated</w:t>
      </w:r>
      <w:r w:rsidRPr="00603C66">
        <w:t xml:space="preserve"> </w:t>
      </w:r>
      <w:r w:rsidRPr="00603C66">
        <w:rPr>
          <w:lang w:val="en-US"/>
        </w:rPr>
        <w:t>tablets</w:t>
      </w:r>
    </w:p>
    <w:p w14:paraId="51B00616" w14:textId="77777777" w:rsidR="00603C66" w:rsidRPr="00603C66" w:rsidRDefault="00603C66" w:rsidP="00603C66"/>
    <w:p w14:paraId="6920A680" w14:textId="2694D827" w:rsidR="00C40420" w:rsidRDefault="00DD466D" w:rsidP="004A448E">
      <w:pPr>
        <w:pStyle w:val="Heading1"/>
      </w:pPr>
      <w:r>
        <w:t>2. КАЧЕСТВЕН И КОЛИЧЕСТВЕН СЪСТАВ</w:t>
      </w:r>
    </w:p>
    <w:p w14:paraId="37351614" w14:textId="0A9CC2CD" w:rsidR="00603C66" w:rsidRDefault="00603C66" w:rsidP="00603C66"/>
    <w:p w14:paraId="5940699A" w14:textId="77777777" w:rsidR="00603C66" w:rsidRPr="00603C66" w:rsidRDefault="00603C66" w:rsidP="00603C66">
      <w:pPr>
        <w:rPr>
          <w:sz w:val="24"/>
          <w:szCs w:val="24"/>
        </w:rPr>
      </w:pPr>
      <w:r w:rsidRPr="00603C66">
        <w:rPr>
          <w:lang w:eastAsia="bg-BG"/>
        </w:rPr>
        <w:t xml:space="preserve">Ивабрадин Майлан 5 </w:t>
      </w:r>
      <w:r w:rsidRPr="00603C66">
        <w:rPr>
          <w:lang w:val="en-US"/>
        </w:rPr>
        <w:t>mg</w:t>
      </w:r>
      <w:r w:rsidRPr="00603C66">
        <w:t xml:space="preserve"> </w:t>
      </w:r>
      <w:r w:rsidRPr="00603C66">
        <w:rPr>
          <w:lang w:eastAsia="bg-BG"/>
        </w:rPr>
        <w:t>филмирани таблетки</w:t>
      </w:r>
    </w:p>
    <w:p w14:paraId="17200B85" w14:textId="77777777" w:rsidR="00603C66" w:rsidRPr="00603C66" w:rsidRDefault="00603C66" w:rsidP="00603C66">
      <w:pPr>
        <w:rPr>
          <w:sz w:val="24"/>
          <w:szCs w:val="24"/>
        </w:rPr>
      </w:pPr>
      <w:r w:rsidRPr="00603C66">
        <w:rPr>
          <w:lang w:eastAsia="bg-BG"/>
        </w:rPr>
        <w:t xml:space="preserve">Една филмирана таблетка съдържа 5 </w:t>
      </w:r>
      <w:r w:rsidRPr="00603C66">
        <w:rPr>
          <w:lang w:val="en-US"/>
        </w:rPr>
        <w:t>mg</w:t>
      </w:r>
      <w:r w:rsidRPr="00603C66">
        <w:t xml:space="preserve"> </w:t>
      </w:r>
      <w:r w:rsidRPr="00603C66">
        <w:rPr>
          <w:lang w:eastAsia="bg-BG"/>
        </w:rPr>
        <w:t xml:space="preserve">ивабрадин </w:t>
      </w:r>
      <w:r w:rsidRPr="00603C66">
        <w:t>(</w:t>
      </w:r>
      <w:proofErr w:type="spellStart"/>
      <w:r w:rsidRPr="00603C66">
        <w:rPr>
          <w:lang w:val="en-US"/>
        </w:rPr>
        <w:t>ivabradine</w:t>
      </w:r>
      <w:proofErr w:type="spellEnd"/>
      <w:r w:rsidRPr="00603C66">
        <w:t xml:space="preserve">) </w:t>
      </w:r>
      <w:r w:rsidRPr="00603C66">
        <w:rPr>
          <w:lang w:eastAsia="bg-BG"/>
        </w:rPr>
        <w:t xml:space="preserve">(съответстващо на 5,961 </w:t>
      </w:r>
      <w:r w:rsidRPr="00603C66">
        <w:rPr>
          <w:lang w:val="en-US"/>
        </w:rPr>
        <w:t>mg</w:t>
      </w:r>
      <w:r w:rsidRPr="00603C66">
        <w:t xml:space="preserve"> </w:t>
      </w:r>
      <w:r w:rsidRPr="00603C66">
        <w:rPr>
          <w:lang w:eastAsia="bg-BG"/>
        </w:rPr>
        <w:t>ивабрадин като оксалат) (</w:t>
      </w:r>
      <w:proofErr w:type="spellStart"/>
      <w:r w:rsidRPr="00603C66">
        <w:rPr>
          <w:lang w:val="en-US"/>
        </w:rPr>
        <w:t>ivabradine</w:t>
      </w:r>
      <w:proofErr w:type="spellEnd"/>
      <w:r w:rsidRPr="00603C66">
        <w:t xml:space="preserve"> </w:t>
      </w:r>
      <w:r w:rsidRPr="00603C66">
        <w:rPr>
          <w:lang w:val="en-US"/>
        </w:rPr>
        <w:t>as</w:t>
      </w:r>
      <w:r w:rsidRPr="00603C66">
        <w:t xml:space="preserve"> </w:t>
      </w:r>
      <w:r w:rsidRPr="00603C66">
        <w:rPr>
          <w:lang w:val="en-US"/>
        </w:rPr>
        <w:t>oxalate</w:t>
      </w:r>
      <w:r w:rsidRPr="00603C66">
        <w:t>).</w:t>
      </w:r>
    </w:p>
    <w:p w14:paraId="08BDC58B" w14:textId="77777777" w:rsidR="00603C66" w:rsidRDefault="00603C66" w:rsidP="00603C66">
      <w:pPr>
        <w:rPr>
          <w:lang w:eastAsia="bg-BG"/>
        </w:rPr>
      </w:pPr>
    </w:p>
    <w:p w14:paraId="4366A73C" w14:textId="674CCF68" w:rsidR="00603C66" w:rsidRPr="00603C66" w:rsidRDefault="00603C66" w:rsidP="00603C66">
      <w:pPr>
        <w:rPr>
          <w:sz w:val="24"/>
          <w:szCs w:val="24"/>
        </w:rPr>
      </w:pPr>
      <w:r w:rsidRPr="00603C66">
        <w:rPr>
          <w:lang w:eastAsia="bg-BG"/>
        </w:rPr>
        <w:t xml:space="preserve">Ивабрадин Майлан 7,5 </w:t>
      </w:r>
      <w:r w:rsidRPr="00603C66">
        <w:rPr>
          <w:lang w:val="en-US"/>
        </w:rPr>
        <w:t>mg</w:t>
      </w:r>
      <w:r w:rsidRPr="00603C66">
        <w:t xml:space="preserve"> </w:t>
      </w:r>
      <w:r w:rsidRPr="00603C66">
        <w:rPr>
          <w:lang w:eastAsia="bg-BG"/>
        </w:rPr>
        <w:t>филмирани таблетки</w:t>
      </w:r>
    </w:p>
    <w:p w14:paraId="542A924C" w14:textId="77777777" w:rsidR="00603C66" w:rsidRPr="00603C66" w:rsidRDefault="00603C66" w:rsidP="00603C66">
      <w:pPr>
        <w:rPr>
          <w:sz w:val="24"/>
          <w:szCs w:val="24"/>
        </w:rPr>
      </w:pPr>
      <w:r w:rsidRPr="00603C66">
        <w:rPr>
          <w:lang w:eastAsia="bg-BG"/>
        </w:rPr>
        <w:t xml:space="preserve">Една филмирана таблетка съдържа 7,5 </w:t>
      </w:r>
      <w:r w:rsidRPr="00603C66">
        <w:rPr>
          <w:lang w:val="en-US"/>
        </w:rPr>
        <w:t>mg</w:t>
      </w:r>
      <w:r w:rsidRPr="00603C66">
        <w:t xml:space="preserve"> </w:t>
      </w:r>
      <w:r w:rsidRPr="00603C66">
        <w:rPr>
          <w:lang w:eastAsia="bg-BG"/>
        </w:rPr>
        <w:t xml:space="preserve">ивабрадин </w:t>
      </w:r>
      <w:r w:rsidRPr="00603C66">
        <w:t>(</w:t>
      </w:r>
      <w:proofErr w:type="spellStart"/>
      <w:r w:rsidRPr="00603C66">
        <w:rPr>
          <w:lang w:val="en-US"/>
        </w:rPr>
        <w:t>ivabradine</w:t>
      </w:r>
      <w:proofErr w:type="spellEnd"/>
      <w:r w:rsidRPr="00603C66">
        <w:t xml:space="preserve">) </w:t>
      </w:r>
      <w:r w:rsidRPr="00603C66">
        <w:rPr>
          <w:lang w:eastAsia="bg-BG"/>
        </w:rPr>
        <w:t xml:space="preserve">(съответстващо на 8,941 </w:t>
      </w:r>
      <w:r w:rsidRPr="00603C66">
        <w:rPr>
          <w:lang w:val="en-US"/>
        </w:rPr>
        <w:t>mg</w:t>
      </w:r>
      <w:r w:rsidRPr="00603C66">
        <w:t xml:space="preserve"> </w:t>
      </w:r>
      <w:r w:rsidRPr="00603C66">
        <w:rPr>
          <w:lang w:eastAsia="bg-BG"/>
        </w:rPr>
        <w:t>ивабрадин като оксалат) (</w:t>
      </w:r>
      <w:proofErr w:type="spellStart"/>
      <w:r w:rsidRPr="00603C66">
        <w:rPr>
          <w:lang w:val="en-US"/>
        </w:rPr>
        <w:t>ivabradine</w:t>
      </w:r>
      <w:proofErr w:type="spellEnd"/>
      <w:r w:rsidRPr="00603C66">
        <w:t xml:space="preserve"> </w:t>
      </w:r>
      <w:r w:rsidRPr="00603C66">
        <w:rPr>
          <w:lang w:val="en-US"/>
        </w:rPr>
        <w:t>as</w:t>
      </w:r>
      <w:r w:rsidRPr="00603C66">
        <w:t xml:space="preserve"> </w:t>
      </w:r>
      <w:r w:rsidRPr="00603C66">
        <w:rPr>
          <w:lang w:val="en-US"/>
        </w:rPr>
        <w:t>oxalate</w:t>
      </w:r>
      <w:r w:rsidRPr="00603C66">
        <w:t>).</w:t>
      </w:r>
    </w:p>
    <w:p w14:paraId="02D9598B" w14:textId="77777777" w:rsidR="00603C66" w:rsidRDefault="00603C66" w:rsidP="00603C66">
      <w:pPr>
        <w:rPr>
          <w:lang w:eastAsia="bg-BG"/>
        </w:rPr>
      </w:pPr>
    </w:p>
    <w:p w14:paraId="003B3DDD" w14:textId="427AFA19" w:rsidR="00603C66" w:rsidRPr="00603C66" w:rsidRDefault="00603C66" w:rsidP="00603C66">
      <w:pPr>
        <w:rPr>
          <w:sz w:val="24"/>
          <w:szCs w:val="24"/>
        </w:rPr>
      </w:pPr>
      <w:r w:rsidRPr="00603C66">
        <w:rPr>
          <w:lang w:eastAsia="bg-BG"/>
        </w:rPr>
        <w:t xml:space="preserve">Ивабрадин Майлан 5 </w:t>
      </w:r>
      <w:r w:rsidRPr="00603C66">
        <w:rPr>
          <w:lang w:val="en-US"/>
        </w:rPr>
        <w:t>mg</w:t>
      </w:r>
      <w:r w:rsidRPr="00603C66">
        <w:rPr>
          <w:lang w:val="ru-RU"/>
        </w:rPr>
        <w:t xml:space="preserve"> </w:t>
      </w:r>
      <w:r w:rsidRPr="00603C66">
        <w:rPr>
          <w:lang w:eastAsia="bg-BG"/>
        </w:rPr>
        <w:t>филмирани таблетки</w:t>
      </w:r>
    </w:p>
    <w:p w14:paraId="7BC0E900" w14:textId="423C4692" w:rsidR="00603C66" w:rsidRPr="00603C66" w:rsidRDefault="00603C66" w:rsidP="00603C66">
      <w:pPr>
        <w:rPr>
          <w:sz w:val="24"/>
          <w:szCs w:val="24"/>
        </w:rPr>
      </w:pPr>
      <w:r w:rsidRPr="00603C66">
        <w:rPr>
          <w:u w:val="single"/>
          <w:lang w:eastAsia="bg-BG"/>
        </w:rPr>
        <w:t>Помощно вещество с известно действие:</w:t>
      </w:r>
      <w:r w:rsidRPr="00603C66">
        <w:rPr>
          <w:lang w:eastAsia="bg-BG"/>
        </w:rPr>
        <w:t xml:space="preserve"> 70.965 </w:t>
      </w:r>
      <w:r w:rsidRPr="00603C66">
        <w:rPr>
          <w:lang w:val="en-US"/>
        </w:rPr>
        <w:t>mg</w:t>
      </w:r>
      <w:r w:rsidRPr="00603C66">
        <w:rPr>
          <w:lang w:val="ru-RU"/>
        </w:rPr>
        <w:t xml:space="preserve"> </w:t>
      </w:r>
      <w:r w:rsidRPr="00603C66">
        <w:rPr>
          <w:lang w:eastAsia="bg-BG"/>
        </w:rPr>
        <w:t>лактоза безводна.</w:t>
      </w:r>
    </w:p>
    <w:p w14:paraId="29191658" w14:textId="77777777" w:rsidR="00603C66" w:rsidRDefault="00603C66" w:rsidP="00603C66">
      <w:pPr>
        <w:rPr>
          <w:lang w:eastAsia="bg-BG"/>
        </w:rPr>
      </w:pPr>
    </w:p>
    <w:p w14:paraId="32B79B2A" w14:textId="58329F60" w:rsidR="00603C66" w:rsidRPr="00603C66" w:rsidRDefault="00603C66" w:rsidP="00603C66">
      <w:pPr>
        <w:rPr>
          <w:sz w:val="24"/>
          <w:szCs w:val="24"/>
        </w:rPr>
      </w:pPr>
      <w:r w:rsidRPr="00603C66">
        <w:rPr>
          <w:lang w:eastAsia="bg-BG"/>
        </w:rPr>
        <w:t xml:space="preserve">Ивабрадин Майлан 7,5 </w:t>
      </w:r>
      <w:r w:rsidRPr="00603C66">
        <w:rPr>
          <w:lang w:val="en-US"/>
        </w:rPr>
        <w:t>mg</w:t>
      </w:r>
      <w:r w:rsidRPr="00603C66">
        <w:rPr>
          <w:lang w:val="ru-RU"/>
        </w:rPr>
        <w:t xml:space="preserve"> </w:t>
      </w:r>
      <w:r w:rsidRPr="00603C66">
        <w:rPr>
          <w:lang w:eastAsia="bg-BG"/>
        </w:rPr>
        <w:t>филмирани таблетки</w:t>
      </w:r>
    </w:p>
    <w:p w14:paraId="48C86D5A" w14:textId="1D6C20CA" w:rsidR="00603C66" w:rsidRPr="00603C66" w:rsidRDefault="00603C66" w:rsidP="00603C66">
      <w:pPr>
        <w:rPr>
          <w:sz w:val="24"/>
          <w:szCs w:val="24"/>
        </w:rPr>
      </w:pPr>
      <w:r w:rsidRPr="00603C66">
        <w:rPr>
          <w:u w:val="single"/>
          <w:lang w:eastAsia="bg-BG"/>
        </w:rPr>
        <w:t xml:space="preserve">Помощно вещество с известно действие: </w:t>
      </w:r>
      <w:r w:rsidRPr="00603C66">
        <w:rPr>
          <w:i/>
          <w:iCs/>
          <w:u w:val="single"/>
          <w:lang w:eastAsia="bg-BG"/>
        </w:rPr>
        <w:t>1</w:t>
      </w:r>
      <w:r w:rsidRPr="00603C66">
        <w:rPr>
          <w:i/>
          <w:iCs/>
          <w:lang w:eastAsia="bg-BG"/>
        </w:rPr>
        <w:t>06.449</w:t>
      </w:r>
      <w:r w:rsidRPr="00603C66">
        <w:rPr>
          <w:lang w:eastAsia="bg-BG"/>
        </w:rPr>
        <w:t xml:space="preserve"> </w:t>
      </w:r>
      <w:r w:rsidRPr="00603C66">
        <w:rPr>
          <w:lang w:val="en-US"/>
        </w:rPr>
        <w:t>mg</w:t>
      </w:r>
      <w:r w:rsidRPr="00603C66">
        <w:rPr>
          <w:lang w:val="ru-RU"/>
        </w:rPr>
        <w:t xml:space="preserve"> </w:t>
      </w:r>
      <w:r w:rsidRPr="00603C66">
        <w:rPr>
          <w:lang w:eastAsia="bg-BG"/>
        </w:rPr>
        <w:t>лактоза безводна.</w:t>
      </w:r>
    </w:p>
    <w:p w14:paraId="3AE9FB87" w14:textId="77777777" w:rsidR="00603C66" w:rsidRPr="00603C66" w:rsidRDefault="00603C66" w:rsidP="00603C66"/>
    <w:p w14:paraId="614984C4" w14:textId="73501A2B" w:rsidR="008A6AF2" w:rsidRDefault="00DD466D" w:rsidP="002C50EE">
      <w:pPr>
        <w:pStyle w:val="Heading1"/>
      </w:pPr>
      <w:r>
        <w:t>3. ЛЕКАРСТВЕНА ФОРМА</w:t>
      </w:r>
    </w:p>
    <w:p w14:paraId="6308D80F" w14:textId="65559BC7" w:rsidR="00603C66" w:rsidRDefault="00603C66" w:rsidP="00603C66"/>
    <w:p w14:paraId="5D3F5E33"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Филмирана таблетка</w:t>
      </w:r>
    </w:p>
    <w:p w14:paraId="19CCF595" w14:textId="77777777" w:rsidR="00603C66" w:rsidRPr="00603C66" w:rsidRDefault="00603C66" w:rsidP="00603C66">
      <w:pPr>
        <w:spacing w:line="240" w:lineRule="auto"/>
        <w:rPr>
          <w:rFonts w:eastAsia="Times New Roman" w:cs="Arial"/>
          <w:color w:val="000000"/>
          <w:lang w:eastAsia="bg-BG"/>
        </w:rPr>
      </w:pPr>
    </w:p>
    <w:p w14:paraId="630DA6D6" w14:textId="18373A86"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Ивабрадин Майлан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филмирани таблетки</w:t>
      </w:r>
    </w:p>
    <w:p w14:paraId="1DC6578E"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Жълти на цвят, кръгли (6,0 </w:t>
      </w:r>
      <w:r w:rsidRPr="00603C66">
        <w:rPr>
          <w:rFonts w:eastAsia="Times New Roman" w:cs="Arial"/>
          <w:color w:val="000000"/>
          <w:lang w:val="en-US"/>
        </w:rPr>
        <w:t>mm</w:t>
      </w:r>
      <w:r w:rsidRPr="00603C66">
        <w:rPr>
          <w:rFonts w:eastAsia="Times New Roman" w:cs="Arial"/>
          <w:color w:val="000000"/>
          <w:lang w:val="ru-RU"/>
        </w:rPr>
        <w:t xml:space="preserve">) </w:t>
      </w:r>
      <w:r w:rsidRPr="00603C66">
        <w:rPr>
          <w:rFonts w:eastAsia="Times New Roman" w:cs="Arial"/>
          <w:color w:val="000000"/>
          <w:lang w:eastAsia="bg-BG"/>
        </w:rPr>
        <w:t>филмирани таблетки, с вдлъбнато релефно означение „5“ от едната страна и делителна черта от другата страна. Таблетката може да бъде разделена на равни дози.</w:t>
      </w:r>
    </w:p>
    <w:p w14:paraId="00C4C7F2" w14:textId="77777777" w:rsidR="00603C66" w:rsidRPr="00603C66" w:rsidRDefault="00603C66" w:rsidP="00603C66">
      <w:pPr>
        <w:spacing w:line="240" w:lineRule="auto"/>
        <w:rPr>
          <w:rFonts w:eastAsia="Times New Roman" w:cs="Arial"/>
          <w:color w:val="000000"/>
          <w:lang w:eastAsia="bg-BG"/>
        </w:rPr>
      </w:pPr>
    </w:p>
    <w:p w14:paraId="5D19A712" w14:textId="6115149D"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Ивабрадин Майлан 7,5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филмирани таблетки</w:t>
      </w:r>
    </w:p>
    <w:p w14:paraId="3C2B3821"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Оранжево-жълти на цвят, кръгли (6,5 </w:t>
      </w:r>
      <w:r w:rsidRPr="00603C66">
        <w:rPr>
          <w:rFonts w:eastAsia="Times New Roman" w:cs="Arial"/>
          <w:color w:val="000000"/>
          <w:lang w:val="en-US"/>
        </w:rPr>
        <w:t>mm</w:t>
      </w:r>
      <w:r w:rsidRPr="00603C66">
        <w:rPr>
          <w:rFonts w:eastAsia="Times New Roman" w:cs="Arial"/>
          <w:color w:val="000000"/>
          <w:lang w:val="ru-RU"/>
        </w:rPr>
        <w:t xml:space="preserve">), </w:t>
      </w:r>
      <w:r w:rsidRPr="00603C66">
        <w:rPr>
          <w:rFonts w:eastAsia="Times New Roman" w:cs="Arial"/>
          <w:color w:val="000000"/>
          <w:lang w:eastAsia="bg-BG"/>
        </w:rPr>
        <w:t>двойно изпъкнали филмирани таблетки, с вдлъбнато релефно означение „7,5" от едната страна.</w:t>
      </w:r>
    </w:p>
    <w:p w14:paraId="20460374" w14:textId="77777777" w:rsidR="00603C66" w:rsidRPr="00603C66" w:rsidRDefault="00603C66" w:rsidP="00603C66"/>
    <w:p w14:paraId="490FC2C4" w14:textId="0F4A4A75" w:rsidR="002C50EE" w:rsidRDefault="002C50EE" w:rsidP="002C50EE">
      <w:pPr>
        <w:pStyle w:val="Heading1"/>
      </w:pPr>
      <w:r>
        <w:t>4. КЛИНИЧНИ ДАННИ</w:t>
      </w:r>
    </w:p>
    <w:p w14:paraId="74330405" w14:textId="522F4BE1" w:rsidR="007122AD" w:rsidRDefault="002C50EE" w:rsidP="00936AD0">
      <w:pPr>
        <w:pStyle w:val="Heading2"/>
      </w:pPr>
      <w:r>
        <w:t>4.1. Терапевтични показания</w:t>
      </w:r>
    </w:p>
    <w:p w14:paraId="7B7ED4EB" w14:textId="4BBB47F0" w:rsidR="00603C66" w:rsidRDefault="00603C66" w:rsidP="00603C66"/>
    <w:p w14:paraId="47896910"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lastRenderedPageBreak/>
        <w:t>Симптоматично лечение на хронична стабилна стенокардия.</w:t>
      </w:r>
    </w:p>
    <w:p w14:paraId="7D906685"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Ивабрадин е показан за симптоматично лечение на хронична стабилна стенокрадия при възрастни с исхемична болест на сърцето с нормален синусов ритъм и сърдечна честота</w:t>
      </w:r>
    </w:p>
    <w:p w14:paraId="27BA091C"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70 удара в минута. Ивабрадин е показан:</w:t>
      </w:r>
    </w:p>
    <w:p w14:paraId="0F96A099" w14:textId="77777777" w:rsidR="00603C66" w:rsidRPr="00603C66" w:rsidRDefault="00603C66" w:rsidP="00603C66">
      <w:pPr>
        <w:pStyle w:val="ListParagraph"/>
        <w:numPr>
          <w:ilvl w:val="0"/>
          <w:numId w:val="37"/>
        </w:numPr>
        <w:rPr>
          <w:rFonts w:eastAsia="Times New Roman" w:cs="Arial"/>
          <w:color w:val="000000"/>
          <w:lang w:eastAsia="bg-BG"/>
        </w:rPr>
      </w:pPr>
      <w:r w:rsidRPr="00603C66">
        <w:rPr>
          <w:rFonts w:eastAsia="Times New Roman" w:cs="Arial"/>
          <w:color w:val="000000"/>
          <w:lang w:eastAsia="bg-BG"/>
        </w:rPr>
        <w:t>при възрастни, които имат непоносимост или противопоказание към бета-блокери</w:t>
      </w:r>
    </w:p>
    <w:p w14:paraId="7CAE7046" w14:textId="7FF25AE9" w:rsidR="00603C66" w:rsidRPr="00603C66" w:rsidRDefault="00603C66" w:rsidP="00603C66">
      <w:pPr>
        <w:pStyle w:val="ListParagraph"/>
        <w:numPr>
          <w:ilvl w:val="0"/>
          <w:numId w:val="37"/>
        </w:numPr>
        <w:rPr>
          <w:rFonts w:eastAsia="Times New Roman" w:cs="Arial"/>
          <w:color w:val="000000"/>
          <w:lang w:eastAsia="bg-BG"/>
        </w:rPr>
      </w:pPr>
      <w:r w:rsidRPr="00603C66">
        <w:rPr>
          <w:rFonts w:eastAsia="Times New Roman" w:cs="Arial"/>
          <w:color w:val="000000"/>
          <w:lang w:eastAsia="bg-BG"/>
        </w:rPr>
        <w:t>или в комбинация с бета-блокери при пациенти, неадекватно контролирани с оптимална доза бета-блокер.</w:t>
      </w:r>
    </w:p>
    <w:p w14:paraId="09366767" w14:textId="77777777" w:rsidR="00603C66" w:rsidRPr="00603C66" w:rsidRDefault="00603C66" w:rsidP="00603C66">
      <w:pPr>
        <w:spacing w:line="240" w:lineRule="auto"/>
        <w:rPr>
          <w:rFonts w:eastAsia="Times New Roman" w:cs="Arial"/>
          <w:color w:val="000000"/>
          <w:lang w:eastAsia="bg-BG"/>
        </w:rPr>
      </w:pPr>
    </w:p>
    <w:p w14:paraId="4B162AA2" w14:textId="4022918B"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Лечение на хронична сърдечна недостатъчност</w:t>
      </w:r>
    </w:p>
    <w:p w14:paraId="2C6E76C6"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Ивабрадин е показан при хронична сърдечна недостатъчност клас </w:t>
      </w:r>
      <w:r w:rsidRPr="00603C66">
        <w:rPr>
          <w:rFonts w:eastAsia="Times New Roman" w:cs="Arial"/>
          <w:color w:val="000000"/>
          <w:lang w:val="en-US"/>
        </w:rPr>
        <w:t>II</w:t>
      </w:r>
      <w:r w:rsidRPr="00603C66">
        <w:rPr>
          <w:rFonts w:eastAsia="Times New Roman" w:cs="Arial"/>
          <w:color w:val="000000"/>
          <w:lang w:eastAsia="bg-BG"/>
        </w:rPr>
        <w:t xml:space="preserve"> до IV по </w:t>
      </w:r>
      <w:r w:rsidRPr="00603C66">
        <w:rPr>
          <w:rFonts w:eastAsia="Times New Roman" w:cs="Arial"/>
          <w:color w:val="000000"/>
          <w:lang w:val="en-US"/>
        </w:rPr>
        <w:t>NYHA</w:t>
      </w:r>
      <w:r w:rsidRPr="00603C66">
        <w:rPr>
          <w:rFonts w:eastAsia="Times New Roman" w:cs="Arial"/>
          <w:color w:val="000000"/>
          <w:lang w:val="ru-RU"/>
        </w:rPr>
        <w:t xml:space="preserve"> </w:t>
      </w:r>
      <w:r w:rsidRPr="00603C66">
        <w:rPr>
          <w:rFonts w:eastAsia="Times New Roman" w:cs="Arial"/>
          <w:color w:val="000000"/>
          <w:lang w:eastAsia="bg-BG"/>
        </w:rPr>
        <w:t>със систолна дисфункция, при пациенти в синусов ритъм, при които сърдечната честота е</w:t>
      </w:r>
    </w:p>
    <w:p w14:paraId="24CF4F51" w14:textId="77777777" w:rsidR="00603C66" w:rsidRPr="00603C66" w:rsidRDefault="00603C66" w:rsidP="00603C66">
      <w:pPr>
        <w:spacing w:line="240" w:lineRule="auto"/>
        <w:rPr>
          <w:rFonts w:ascii="Times New Roman" w:eastAsia="Times New Roman" w:hAnsi="Times New Roman" w:cs="Times New Roman"/>
          <w:sz w:val="24"/>
          <w:szCs w:val="24"/>
        </w:rPr>
      </w:pPr>
      <w:r w:rsidRPr="00603C66">
        <w:rPr>
          <w:rFonts w:eastAsia="Times New Roman" w:cs="Arial"/>
          <w:color w:val="000000"/>
          <w:lang w:eastAsia="bg-BG"/>
        </w:rPr>
        <w:t>≥75 удара в минута, в комбинация със стандартна терапия, включваща лечение с бета-блокер или когато лечението с бета-блокер е противопоказано или не се понася (вижте точка 5.1).</w:t>
      </w:r>
    </w:p>
    <w:p w14:paraId="60111E27" w14:textId="77777777" w:rsidR="00603C66" w:rsidRPr="00603C66" w:rsidRDefault="00603C66" w:rsidP="00603C66"/>
    <w:p w14:paraId="53F5B866" w14:textId="46126E97" w:rsidR="007122AD" w:rsidRDefault="002C50EE" w:rsidP="00936AD0">
      <w:pPr>
        <w:pStyle w:val="Heading2"/>
      </w:pPr>
      <w:r>
        <w:t>4.2. Дозировка и начин на приложение</w:t>
      </w:r>
    </w:p>
    <w:p w14:paraId="4C297411" w14:textId="6D568884" w:rsidR="00603C66" w:rsidRDefault="00603C66" w:rsidP="00603C66"/>
    <w:p w14:paraId="1D2DE4D8" w14:textId="77777777" w:rsidR="00603C66" w:rsidRPr="00603C66" w:rsidRDefault="00603C66" w:rsidP="00603C66">
      <w:pPr>
        <w:pStyle w:val="Heading3"/>
        <w:rPr>
          <w:rFonts w:eastAsia="Times New Roman"/>
          <w:u w:val="single"/>
        </w:rPr>
      </w:pPr>
      <w:r w:rsidRPr="00603C66">
        <w:rPr>
          <w:rFonts w:eastAsia="Times New Roman"/>
          <w:u w:val="single"/>
          <w:lang w:eastAsia="bg-BG"/>
        </w:rPr>
        <w:t>Дозировка</w:t>
      </w:r>
    </w:p>
    <w:p w14:paraId="512DDA18" w14:textId="77777777" w:rsidR="00603C66" w:rsidRPr="00603C66" w:rsidRDefault="00603C66" w:rsidP="00603C66">
      <w:pPr>
        <w:spacing w:line="240" w:lineRule="auto"/>
        <w:rPr>
          <w:rFonts w:eastAsia="Times New Roman" w:cs="Arial"/>
          <w:color w:val="000000"/>
          <w:lang w:eastAsia="bg-BG"/>
        </w:rPr>
      </w:pPr>
    </w:p>
    <w:p w14:paraId="04B10245" w14:textId="2D2A7742"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За различните дози се предлагат филмирани таблетки, съдържащи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и 7,5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ивабрадин.</w:t>
      </w:r>
    </w:p>
    <w:p w14:paraId="1FC89ECD" w14:textId="77777777" w:rsidR="00603C66" w:rsidRPr="00603C66" w:rsidRDefault="00603C66" w:rsidP="00603C66">
      <w:pPr>
        <w:spacing w:line="240" w:lineRule="auto"/>
        <w:rPr>
          <w:rFonts w:eastAsia="Times New Roman" w:cs="Arial"/>
          <w:color w:val="000000"/>
          <w:lang w:eastAsia="bg-BG"/>
        </w:rPr>
      </w:pPr>
    </w:p>
    <w:p w14:paraId="15B0D5B4" w14:textId="6714B09F"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Симптоматично лечение на хронична стабилна стенокардия</w:t>
      </w:r>
    </w:p>
    <w:p w14:paraId="3C031C8E"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Препоръчва се решението за започване на лечение или за титриране на дозата да се извърши при наличието на поредица от измервания на сърдечната честота, ЕКГ или амбулаторно 24 часово проследяване.</w:t>
      </w:r>
    </w:p>
    <w:p w14:paraId="5E6B35F9"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Началната доза на ивабрадин не трябва да превишава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при пациенти на възраст под 75 години. След три до четири седмици лечение, ако пациентът все още има симптоми, ако началната доза се понася добре и ако сърдечната честота в покой остава над 60 удара в минута, дозата може да се увеличи до следващата по-висока доза при пациенти, приемащи 2,5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или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Поддържащата доза не трябва да превишава 7,5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два пъти дневно.</w:t>
      </w:r>
    </w:p>
    <w:p w14:paraId="520268BF"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Ако няма подобрение на симптомите на стенокардия след 3 месеца от началото на лечението, лечението с ивабрадин трябва да се прекрати.</w:t>
      </w:r>
    </w:p>
    <w:p w14:paraId="417958AE"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В допълнение, прекратяване на лечението трябва да се обмисли в случай, че има само ограничен симптоматичен отговор и когато няма клинично значимо намаляване на сърдечната честота в покой в рамките на три месеца. Ако по време на лечението, сърдечната честота в покой се понижи под 50 удара в минута (удара</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 xml:space="preserve">или пациентът получи симптоми свързани с брадикардия, като световъртеж, уморяемост или хипотония, дозата трябва да бъде постепенно намалена, включително до най-ниската допустима доза от 2,5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(половин таблетка от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два пъти дневно). След намаляване на дозата, сърдечната честота трябва да се проследява (вижте точка 4.4).Лечението трябва да бъде прекратено, ако сърдечната честота остане под 50 удара</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или при трайни прояви на брадикардия въпреки намаляването на дозата.</w:t>
      </w:r>
    </w:p>
    <w:p w14:paraId="62FF9B09" w14:textId="77777777" w:rsidR="00603C66" w:rsidRPr="00603C66" w:rsidRDefault="00603C66" w:rsidP="00603C66">
      <w:pPr>
        <w:spacing w:line="240" w:lineRule="auto"/>
        <w:rPr>
          <w:rFonts w:eastAsia="Times New Roman" w:cs="Arial"/>
          <w:color w:val="000000"/>
          <w:lang w:eastAsia="bg-BG"/>
        </w:rPr>
      </w:pPr>
    </w:p>
    <w:p w14:paraId="674BD743" w14:textId="6E80EC8C"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Лечение на хронична сърдечна недостатъчност</w:t>
      </w:r>
    </w:p>
    <w:p w14:paraId="638E0D30"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Лечението трябва да се започне само при пациенти със стабилна сърдечна недостатъчност. Препоръчително е лекуващия лекар да има опит в лечението на хроничната сърдечна недостатъчност.</w:t>
      </w:r>
    </w:p>
    <w:p w14:paraId="5B9CE133"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lastRenderedPageBreak/>
        <w:t xml:space="preserve">Обичайната препоръчителна начална доза на ивабрадин е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След две седмици лечение, дозата може да се увеличи до 7,5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ако сърдечната честота в покой е трайно над 60 удара в минута или да се намали до 2,5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(половин таблетка от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ако сърдечната честота в покой е трайно под 50 удара в минута или в случай, че се появят симптоми,свързани с брадикардия като замайване, умора или хипотония. Ако сърдечната честота е между 50 и 60 удара в минута, трябва да се поддържа дозата от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два пъти дневно.</w:t>
      </w:r>
    </w:p>
    <w:p w14:paraId="2C78378C"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Ако по време на лечението, сърдечната честота се понижи трайно под 50 удара в минута в покой или ако пациентът получи симптоми, свързани с брадикардия, дозата трябва да се титрира с понижаване до следващата по-ниска доза при пациенти, приемащи 7,5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или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два пъти дневно. Ако сърдечната честота нарасне трайно над 60 удара в минута в покой, дозата може да се титрира до следващата по-висока доза при пациенти</w:t>
      </w:r>
    </w:p>
    <w:p w14:paraId="2BC00FB7" w14:textId="02EBA2EE" w:rsidR="00603C66" w:rsidRPr="00603C66" w:rsidRDefault="00603C66" w:rsidP="00603C66">
      <w:pPr>
        <w:rPr>
          <w:rFonts w:eastAsia="Times New Roman" w:cs="Arial"/>
          <w:color w:val="000000"/>
          <w:lang w:eastAsia="bg-BG"/>
        </w:rPr>
      </w:pPr>
      <w:r w:rsidRPr="00603C66">
        <w:rPr>
          <w:rFonts w:eastAsia="Times New Roman" w:cs="Arial"/>
          <w:color w:val="000000"/>
          <w:lang w:eastAsia="bg-BG"/>
        </w:rPr>
        <w:t xml:space="preserve">приемащи 2,5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или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два пъти дневно.</w:t>
      </w:r>
    </w:p>
    <w:p w14:paraId="24D64533" w14:textId="4B298CF8" w:rsidR="00603C66" w:rsidRPr="00603C66" w:rsidRDefault="00603C66" w:rsidP="00603C66">
      <w:pPr>
        <w:rPr>
          <w:rFonts w:eastAsia="Times New Roman" w:cs="Arial"/>
          <w:color w:val="000000"/>
          <w:lang w:eastAsia="bg-BG"/>
        </w:rPr>
      </w:pPr>
    </w:p>
    <w:p w14:paraId="01EDAB3D"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Лечението трябва да се спре, ако сърдечната честота остава под 50 удара в минута или симптомите на брадикардията персистират (вижте точка 4.4).</w:t>
      </w:r>
    </w:p>
    <w:p w14:paraId="3B311EE1" w14:textId="77777777" w:rsidR="00603C66" w:rsidRPr="00603C66" w:rsidRDefault="00603C66" w:rsidP="00603C66">
      <w:pPr>
        <w:spacing w:line="240" w:lineRule="auto"/>
        <w:rPr>
          <w:rFonts w:eastAsia="Times New Roman" w:cs="Arial"/>
          <w:color w:val="000000"/>
          <w:u w:val="single"/>
          <w:lang w:eastAsia="bg-BG"/>
        </w:rPr>
      </w:pPr>
    </w:p>
    <w:p w14:paraId="15CF0181" w14:textId="42FB3BC7" w:rsidR="00603C66" w:rsidRPr="00603C66" w:rsidRDefault="00603C66" w:rsidP="00603C66">
      <w:pPr>
        <w:spacing w:line="240" w:lineRule="auto"/>
        <w:rPr>
          <w:rFonts w:eastAsia="Times New Roman" w:cs="Arial"/>
          <w:sz w:val="24"/>
          <w:szCs w:val="24"/>
        </w:rPr>
      </w:pPr>
      <w:r w:rsidRPr="00603C66">
        <w:rPr>
          <w:rFonts w:eastAsia="Times New Roman" w:cs="Arial"/>
          <w:color w:val="000000"/>
          <w:u w:val="single"/>
          <w:lang w:eastAsia="bg-BG"/>
        </w:rPr>
        <w:t>Специална популация</w:t>
      </w:r>
    </w:p>
    <w:p w14:paraId="0289A31B" w14:textId="77777777" w:rsidR="00603C66" w:rsidRPr="00603C66" w:rsidRDefault="00603C66" w:rsidP="00603C66">
      <w:pPr>
        <w:spacing w:line="240" w:lineRule="auto"/>
        <w:rPr>
          <w:rFonts w:eastAsia="Times New Roman" w:cs="Arial"/>
          <w:i/>
          <w:iCs/>
          <w:color w:val="000000"/>
          <w:lang w:eastAsia="bg-BG"/>
        </w:rPr>
      </w:pPr>
    </w:p>
    <w:p w14:paraId="41796A23" w14:textId="667A728E"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Старческа възраст</w:t>
      </w:r>
    </w:p>
    <w:p w14:paraId="69E99B00"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При пациенти на възраст 75 или повече години, трябва да се има предвид по-ниска начална доза (2,5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т.е. половин таблетка от 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два пъти дневно) преди увеличаване на дозата, ако това се налага.</w:t>
      </w:r>
    </w:p>
    <w:p w14:paraId="260033E9" w14:textId="77777777" w:rsidR="00603C66" w:rsidRPr="00603C66" w:rsidRDefault="00603C66" w:rsidP="00603C66">
      <w:pPr>
        <w:spacing w:line="240" w:lineRule="auto"/>
        <w:rPr>
          <w:rFonts w:eastAsia="Times New Roman" w:cs="Arial"/>
          <w:i/>
          <w:iCs/>
          <w:color w:val="000000"/>
          <w:lang w:eastAsia="bg-BG"/>
        </w:rPr>
      </w:pPr>
    </w:p>
    <w:p w14:paraId="41EC4A7B" w14:textId="7542FD66"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Увреждане на бъбреците</w:t>
      </w:r>
    </w:p>
    <w:p w14:paraId="20F237B6"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Не се изисква корекция на дозата при пациенти с бъбречна недостатъчност и креатининов клирънс над 15 </w:t>
      </w:r>
      <w:r w:rsidRPr="00603C66">
        <w:rPr>
          <w:rFonts w:eastAsia="Times New Roman" w:cs="Arial"/>
          <w:color w:val="000000"/>
          <w:lang w:val="en-US"/>
        </w:rPr>
        <w:t>ml</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(вижте точка 5.2).</w:t>
      </w:r>
    </w:p>
    <w:p w14:paraId="07501198"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Липсват данни при пациенти с креатининов клирънс под </w:t>
      </w:r>
      <w:r w:rsidRPr="00603C66">
        <w:rPr>
          <w:rFonts w:eastAsia="Times New Roman" w:cs="Arial"/>
          <w:color w:val="000000"/>
          <w:lang w:val="ru-RU"/>
        </w:rPr>
        <w:t xml:space="preserve">15 </w:t>
      </w:r>
      <w:r w:rsidRPr="00603C66">
        <w:rPr>
          <w:rFonts w:eastAsia="Times New Roman" w:cs="Arial"/>
          <w:color w:val="000000"/>
          <w:lang w:val="en-US"/>
        </w:rPr>
        <w:t>ml</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Следователно, сред тази популация ивабрадин трябва да бъде употребяван с повишено внимание.</w:t>
      </w:r>
    </w:p>
    <w:p w14:paraId="17D44E97" w14:textId="77777777" w:rsidR="00603C66" w:rsidRPr="00603C66" w:rsidRDefault="00603C66" w:rsidP="00603C66">
      <w:pPr>
        <w:spacing w:line="240" w:lineRule="auto"/>
        <w:rPr>
          <w:rFonts w:eastAsia="Times New Roman" w:cs="Arial"/>
          <w:i/>
          <w:iCs/>
          <w:color w:val="000000"/>
          <w:lang w:eastAsia="bg-BG"/>
        </w:rPr>
      </w:pPr>
    </w:p>
    <w:p w14:paraId="25BFAAD8" w14:textId="70D433CE"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Увреждане на черния дроб</w:t>
      </w:r>
    </w:p>
    <w:p w14:paraId="4509E3E7"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При пациенти с увреждане на черния дроб в лека степен не се изисква корекция на дозата. Необходимо е повишено внимание при употреба на ивабрадин при пациенти с увреждане на черния дроб в умерена степен. Ивабрадин е противопоказан за употреба при пациенти с тежка чернодробна недостатъчност, тъй като не е изучен при тази популация и се очаква голямо нарастване на системната експозиция (вижте точки 4.3 и 5.2).</w:t>
      </w:r>
    </w:p>
    <w:p w14:paraId="5A5254B0" w14:textId="77777777" w:rsidR="00603C66" w:rsidRPr="00603C66" w:rsidRDefault="00603C66" w:rsidP="00603C66">
      <w:pPr>
        <w:spacing w:line="240" w:lineRule="auto"/>
        <w:rPr>
          <w:rFonts w:eastAsia="Times New Roman" w:cs="Arial"/>
          <w:i/>
          <w:iCs/>
          <w:color w:val="000000"/>
          <w:lang w:eastAsia="bg-BG"/>
        </w:rPr>
      </w:pPr>
    </w:p>
    <w:p w14:paraId="2779010B" w14:textId="46D7A7EF"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Педиатрична популация</w:t>
      </w:r>
    </w:p>
    <w:p w14:paraId="6829BA97"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Безопасността и ефикасността на ивабрадин при лечението на хронична сърдечна недостатъчност при деца на възраст под 18 години не са установени.</w:t>
      </w:r>
    </w:p>
    <w:p w14:paraId="23E82A85"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Наличните данни са описани в точки 5.1 и 5.2, но препоръки за дозировката не може да бъдат направени.</w:t>
      </w:r>
    </w:p>
    <w:p w14:paraId="2BFAF0C6" w14:textId="77777777" w:rsidR="00603C66" w:rsidRPr="00603C66" w:rsidRDefault="00603C66" w:rsidP="00603C66">
      <w:pPr>
        <w:spacing w:line="240" w:lineRule="auto"/>
        <w:rPr>
          <w:rFonts w:eastAsia="Times New Roman" w:cs="Arial"/>
          <w:color w:val="000000"/>
          <w:u w:val="single"/>
          <w:lang w:eastAsia="bg-BG"/>
        </w:rPr>
      </w:pPr>
    </w:p>
    <w:p w14:paraId="1CB3E6DE" w14:textId="2387CE1D" w:rsidR="00603C66" w:rsidRPr="00603C66" w:rsidRDefault="00603C66" w:rsidP="00603C66">
      <w:pPr>
        <w:pStyle w:val="Heading3"/>
        <w:rPr>
          <w:rFonts w:eastAsia="Times New Roman"/>
          <w:u w:val="single"/>
        </w:rPr>
      </w:pPr>
      <w:r w:rsidRPr="00603C66">
        <w:rPr>
          <w:rFonts w:eastAsia="Times New Roman"/>
          <w:u w:val="single"/>
          <w:lang w:eastAsia="bg-BG"/>
        </w:rPr>
        <w:t>Начин на приложение</w:t>
      </w:r>
    </w:p>
    <w:p w14:paraId="2218B4B1" w14:textId="77777777" w:rsidR="00603C66" w:rsidRPr="00603C66" w:rsidRDefault="00603C66" w:rsidP="00603C66">
      <w:pPr>
        <w:spacing w:line="240" w:lineRule="auto"/>
        <w:rPr>
          <w:rFonts w:eastAsia="Times New Roman" w:cs="Arial"/>
          <w:color w:val="000000"/>
          <w:lang w:eastAsia="bg-BG"/>
        </w:rPr>
      </w:pPr>
    </w:p>
    <w:p w14:paraId="3CAC8F1E" w14:textId="54F3A549"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Таблетките трябва да бъдат приемани перорално два пъти дневно, т.е. веднъж сутрин и веднъж вечер по време на хранене (вижте точка 5.2).</w:t>
      </w:r>
    </w:p>
    <w:p w14:paraId="1411F5F7" w14:textId="77777777" w:rsidR="00603C66" w:rsidRPr="00603C66" w:rsidRDefault="00603C66" w:rsidP="00603C66"/>
    <w:p w14:paraId="0F253247" w14:textId="20D3B681" w:rsidR="007122AD" w:rsidRDefault="002C50EE" w:rsidP="00936AD0">
      <w:pPr>
        <w:pStyle w:val="Heading2"/>
      </w:pPr>
      <w:r>
        <w:lastRenderedPageBreak/>
        <w:t>4.3. Противопоказания</w:t>
      </w:r>
    </w:p>
    <w:p w14:paraId="6285C45E" w14:textId="77777777" w:rsidR="00603C66" w:rsidRDefault="00603C66" w:rsidP="00603C66">
      <w:pPr>
        <w:spacing w:line="240" w:lineRule="auto"/>
      </w:pPr>
    </w:p>
    <w:p w14:paraId="6F93D563"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Свръхчувствителност към активното вещество или някое от помощните вещества (изброени в точка 6.1).</w:t>
      </w:r>
    </w:p>
    <w:p w14:paraId="45AA8252"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Сърдечна честота в покой под 70 удара</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преди началото на лечението</w:t>
      </w:r>
    </w:p>
    <w:p w14:paraId="0ABF17EB"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Кардиогенен шок</w:t>
      </w:r>
    </w:p>
    <w:p w14:paraId="2992A78F"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Остър миокарден инфаркт</w:t>
      </w:r>
    </w:p>
    <w:p w14:paraId="5D3D3676"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 xml:space="preserve">Тежка хипотония (&lt; 90/50 </w:t>
      </w:r>
      <w:r w:rsidRPr="00603C66">
        <w:rPr>
          <w:rFonts w:eastAsia="Times New Roman" w:cs="Arial"/>
          <w:color w:val="000000"/>
          <w:lang w:val="en-US"/>
        </w:rPr>
        <w:t>mm Hg)</w:t>
      </w:r>
    </w:p>
    <w:p w14:paraId="08FAC502"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Тежка чернодробна недостатъчност</w:t>
      </w:r>
    </w:p>
    <w:p w14:paraId="6E949952"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Синдром на болния синусов възел</w:t>
      </w:r>
    </w:p>
    <w:p w14:paraId="3C600B56"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Сино-атриален блок</w:t>
      </w:r>
    </w:p>
    <w:p w14:paraId="191EC953"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Нестабилна или остра сърдечна недостатъчност</w:t>
      </w:r>
    </w:p>
    <w:p w14:paraId="2C929D24"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Зависимост от пейсмейкър (сърдечна честота определена само от пейсмейкъра)</w:t>
      </w:r>
    </w:p>
    <w:p w14:paraId="0EAE6A9C"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Нестабилна стенокардия</w:t>
      </w:r>
    </w:p>
    <w:p w14:paraId="534BD5B4"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val="en-US"/>
        </w:rPr>
        <w:t xml:space="preserve">AV </w:t>
      </w:r>
      <w:r w:rsidRPr="00603C66">
        <w:rPr>
          <w:rFonts w:eastAsia="Times New Roman" w:cs="Arial"/>
          <w:color w:val="000000"/>
          <w:lang w:eastAsia="bg-BG"/>
        </w:rPr>
        <w:t>блок III степен</w:t>
      </w:r>
    </w:p>
    <w:p w14:paraId="6212FE11"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 xml:space="preserve">Комбиниране със силни инхибитори на цитохром Р450 ЗА4, като азолови антимикотици (кетоконазол, итраконазол), макролидни антибиотици (кларитромицин, еритромицин </w:t>
      </w:r>
      <w:r w:rsidRPr="00603C66">
        <w:rPr>
          <w:rFonts w:eastAsia="Times New Roman" w:cs="Arial"/>
          <w:i/>
          <w:iCs/>
          <w:color w:val="000000"/>
          <w:lang w:eastAsia="bg-BG"/>
        </w:rPr>
        <w:t>перорално приети,</w:t>
      </w:r>
      <w:r w:rsidRPr="00603C66">
        <w:rPr>
          <w:rFonts w:eastAsia="Times New Roman" w:cs="Arial"/>
          <w:color w:val="000000"/>
          <w:lang w:eastAsia="bg-BG"/>
        </w:rPr>
        <w:t xml:space="preserve"> йозамицин, телитромицин), </w:t>
      </w:r>
      <w:r w:rsidRPr="00603C66">
        <w:rPr>
          <w:rFonts w:eastAsia="Times New Roman" w:cs="Arial"/>
          <w:color w:val="000000"/>
          <w:lang w:val="en-US"/>
        </w:rPr>
        <w:t>HIV</w:t>
      </w:r>
      <w:r w:rsidRPr="00603C66">
        <w:rPr>
          <w:rFonts w:eastAsia="Times New Roman" w:cs="Arial"/>
          <w:color w:val="000000"/>
          <w:lang w:eastAsia="bg-BG"/>
        </w:rPr>
        <w:t>-протезни инхибитори (нелфиновир ритонавир) и нефазодон (вижте точки 4.5 и 5.2)</w:t>
      </w:r>
    </w:p>
    <w:p w14:paraId="4EC66816"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 xml:space="preserve">Комбиниране сверапамил или дилтиазем, които са умерени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инхибиори, </w:t>
      </w:r>
      <w:r w:rsidRPr="00603C66">
        <w:rPr>
          <w:rFonts w:eastAsia="Times New Roman" w:cs="Arial"/>
          <w:color w:val="000000"/>
          <w:lang w:val="ru-RU" w:eastAsia="bg-BG"/>
        </w:rPr>
        <w:t xml:space="preserve"> </w:t>
      </w:r>
      <w:r w:rsidRPr="00603C66">
        <w:rPr>
          <w:rFonts w:eastAsia="Times New Roman" w:cs="Arial"/>
          <w:color w:val="000000"/>
          <w:lang w:eastAsia="bg-BG"/>
        </w:rPr>
        <w:t>които имат понижаващи сърдечната честота свойства (вижте точка 4.5)</w:t>
      </w:r>
    </w:p>
    <w:p w14:paraId="4F52E82E" w14:textId="6E97C0A5"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Бременност, кърмене и жени с детероден потенциал, които не използват подходящи контрацептивни мерки (вижте точка 4.6)</w:t>
      </w:r>
    </w:p>
    <w:p w14:paraId="32C221C5" w14:textId="77777777" w:rsidR="00603C66" w:rsidRPr="00603C66" w:rsidRDefault="00603C66" w:rsidP="00603C66">
      <w:pPr>
        <w:spacing w:line="240" w:lineRule="auto"/>
        <w:rPr>
          <w:rFonts w:ascii="Times New Roman" w:eastAsia="Times New Roman" w:hAnsi="Times New Roman" w:cs="Times New Roman"/>
          <w:color w:val="000000"/>
          <w:lang w:eastAsia="bg-BG"/>
        </w:rPr>
      </w:pPr>
    </w:p>
    <w:p w14:paraId="0E0BDCC7" w14:textId="19AED93D" w:rsidR="007122AD" w:rsidRDefault="002C50EE" w:rsidP="00936AD0">
      <w:pPr>
        <w:pStyle w:val="Heading2"/>
      </w:pPr>
      <w:r>
        <w:t>4.4. Специални предупреждения и предпазни мерки при употреба</w:t>
      </w:r>
    </w:p>
    <w:p w14:paraId="63D0CA61" w14:textId="5BF0E78B" w:rsidR="00603C66" w:rsidRDefault="00603C66" w:rsidP="00603C66"/>
    <w:p w14:paraId="48004C4B" w14:textId="77777777" w:rsidR="00603C66" w:rsidRPr="00603C66" w:rsidRDefault="00603C66" w:rsidP="00603C66">
      <w:pPr>
        <w:spacing w:line="240" w:lineRule="auto"/>
        <w:rPr>
          <w:rFonts w:eastAsia="Times New Roman" w:cs="Arial"/>
        </w:rPr>
      </w:pPr>
      <w:r w:rsidRPr="00603C66">
        <w:rPr>
          <w:rFonts w:eastAsia="Times New Roman" w:cs="Arial"/>
          <w:color w:val="000000"/>
          <w:u w:val="single"/>
          <w:lang w:eastAsia="bg-BG"/>
        </w:rPr>
        <w:t>Специални предупреждения</w:t>
      </w:r>
    </w:p>
    <w:p w14:paraId="0BD97DBC" w14:textId="77777777" w:rsidR="00603C66" w:rsidRPr="00603C66" w:rsidRDefault="00603C66" w:rsidP="00603C66">
      <w:pPr>
        <w:spacing w:line="240" w:lineRule="auto"/>
        <w:rPr>
          <w:rFonts w:eastAsia="Times New Roman" w:cs="Arial"/>
          <w:i/>
          <w:iCs/>
          <w:color w:val="000000"/>
          <w:lang w:eastAsia="bg-BG"/>
        </w:rPr>
      </w:pPr>
    </w:p>
    <w:p w14:paraId="4E7BB1E3" w14:textId="783E5F43"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Липса на полза по отношение на клиничния изход при пациенти със симптоматична хронична стабилна стенокардия</w:t>
      </w:r>
    </w:p>
    <w:p w14:paraId="7A6426BB"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Иврабадин е показан само за симптоматично лечение на хронична стабилна стенокардия, тъй като ивабрадин не носи ползи във връзка с клиничния изход по отношение на сърдечносъдовата система (напр. инфаркт на миокарда или сърдечно-съдова смъртност) (вижте точка 5.1).</w:t>
      </w:r>
    </w:p>
    <w:p w14:paraId="2ED00715" w14:textId="77777777" w:rsidR="00603C66" w:rsidRPr="00603C66" w:rsidRDefault="00603C66" w:rsidP="00603C66">
      <w:pPr>
        <w:spacing w:line="240" w:lineRule="auto"/>
        <w:rPr>
          <w:rFonts w:eastAsia="Times New Roman" w:cs="Arial"/>
          <w:i/>
          <w:iCs/>
          <w:color w:val="000000"/>
          <w:lang w:eastAsia="bg-BG"/>
        </w:rPr>
      </w:pPr>
    </w:p>
    <w:p w14:paraId="6F2EC8E5" w14:textId="31B95A75"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Измерване на сърдечната честота</w:t>
      </w:r>
    </w:p>
    <w:p w14:paraId="70DDE7DC"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Предвид това, че сърдечната честота може да варира значително във времето, трябва да се обмисли извършването на поредица измервания на сърдечната честота, ЕКГ или амбулаторно 24 часово проследяване, когато се определя сърдечната честота в покой преди започването на лечението с ивабрадин и при пациенти на лечение с ивабрадин, когато се обмисля титриране на дозата. Това се отнася и за пациенти с ниска сърдечна честота, по-специално когато сърдечната честота се понижи под 50 удара</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или след намаляване на дозата (вижте. точка 4.2).</w:t>
      </w:r>
    </w:p>
    <w:p w14:paraId="5D324752" w14:textId="77777777" w:rsidR="00603C66" w:rsidRPr="00603C66" w:rsidRDefault="00603C66" w:rsidP="00603C66">
      <w:pPr>
        <w:spacing w:line="240" w:lineRule="auto"/>
        <w:rPr>
          <w:rFonts w:eastAsia="Times New Roman" w:cs="Arial"/>
          <w:i/>
          <w:iCs/>
          <w:color w:val="000000"/>
          <w:lang w:eastAsia="bg-BG"/>
        </w:rPr>
      </w:pPr>
    </w:p>
    <w:p w14:paraId="0C14C7B4" w14:textId="7DAC7C87"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Сърдечни аритмии</w:t>
      </w:r>
    </w:p>
    <w:p w14:paraId="143E03B5"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lastRenderedPageBreak/>
        <w:t>Ивабрадин не е ефективен при лечението или превенцията на сърдечни аритмии и вероятно губи ефекта си при настъпване на тахиаритмия (напр. камерна или надкамерна тахикардия). Следователно, ивабрадин не се препоръчва при пациенти с предсърдно мъждене или други сърдечни аритмии, които пречат на функцията на синусовия възел.</w:t>
      </w:r>
    </w:p>
    <w:p w14:paraId="2A20FCE3"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При пациенти, лекувани с ивабрадин, се повишава риска от развиване на предсърдно мъждене (вижте точка 4.8). Предсърдното мъждене е по-често при пациенти, използващи едновременно амиодарон или мощни антиаритмитици клас I. Препоръчва се редовно клинично наблюдение на пациенти, лекуващи се с ивабрадин, за поява на предсърдно мъждене (трайно или пристьпно), което трябва да включва ЕКГ мониториране, ако е клинично показано (напр. в случай на влошаваща се стенокардия, палпитации, неравномерен пулс).Пациентите трябва да бъдат информирани за признаците и симптомите на предсърдно мъждене и да бъдат посъветвани да се свържат с техния лекар, ако те се появят.</w:t>
      </w:r>
    </w:p>
    <w:p w14:paraId="722F6A3A" w14:textId="77777777" w:rsidR="00603C66" w:rsidRPr="00603C66" w:rsidRDefault="00603C66" w:rsidP="00603C66">
      <w:pPr>
        <w:spacing w:line="240" w:lineRule="auto"/>
        <w:rPr>
          <w:rFonts w:eastAsia="Times New Roman" w:cs="Arial"/>
          <w:color w:val="000000"/>
          <w:lang w:eastAsia="bg-BG"/>
        </w:rPr>
      </w:pPr>
    </w:p>
    <w:p w14:paraId="4E926AE7" w14:textId="6CE6ED6D" w:rsidR="00603C66" w:rsidRPr="00603C66" w:rsidRDefault="00603C66" w:rsidP="00603C66">
      <w:pPr>
        <w:spacing w:line="240" w:lineRule="auto"/>
        <w:rPr>
          <w:rFonts w:eastAsia="Times New Roman" w:cs="Arial"/>
        </w:rPr>
      </w:pPr>
      <w:r w:rsidRPr="00603C66">
        <w:rPr>
          <w:rFonts w:eastAsia="Times New Roman" w:cs="Arial"/>
          <w:color w:val="000000"/>
          <w:lang w:eastAsia="bg-BG"/>
        </w:rPr>
        <w:t>Ако по време на лечението настъпи предсърдно мъждене, съотношението полза/риск за продължаване на лечението с ивабрадин трябва да се обсъди внимателно.</w:t>
      </w:r>
    </w:p>
    <w:p w14:paraId="621C02F9"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Пациентите с хронична сърдечна недостатъчност, с дефекти на интравентрикуларната проводимост (ляв бедрен блок, десен бедрен блок) и вентрикуларна диссинхрония трябва да се наблюдават внимателно.</w:t>
      </w:r>
    </w:p>
    <w:p w14:paraId="67116951" w14:textId="77777777" w:rsidR="00603C66" w:rsidRPr="00603C66" w:rsidRDefault="00603C66" w:rsidP="00603C66">
      <w:pPr>
        <w:spacing w:line="240" w:lineRule="auto"/>
        <w:rPr>
          <w:rFonts w:eastAsia="Times New Roman" w:cs="Arial"/>
          <w:i/>
          <w:iCs/>
          <w:color w:val="000000"/>
          <w:lang w:eastAsia="bg-BG"/>
        </w:rPr>
      </w:pPr>
    </w:p>
    <w:p w14:paraId="67AAE93D" w14:textId="200B282F"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 xml:space="preserve">Употреба при пациенти </w:t>
      </w:r>
      <w:r w:rsidRPr="00603C66">
        <w:rPr>
          <w:rFonts w:eastAsia="Times New Roman" w:cs="Arial"/>
          <w:i/>
          <w:iCs/>
          <w:color w:val="000000"/>
          <w:lang w:val="en-US"/>
        </w:rPr>
        <w:t>c</w:t>
      </w:r>
      <w:r w:rsidRPr="00603C66">
        <w:rPr>
          <w:rFonts w:eastAsia="Times New Roman" w:cs="Arial"/>
          <w:i/>
          <w:iCs/>
          <w:color w:val="000000"/>
          <w:lang w:eastAsia="bg-BG"/>
        </w:rPr>
        <w:t xml:space="preserve"> </w:t>
      </w:r>
      <w:r w:rsidRPr="00603C66">
        <w:rPr>
          <w:rFonts w:eastAsia="Times New Roman" w:cs="Arial"/>
          <w:i/>
          <w:iCs/>
          <w:color w:val="000000"/>
          <w:lang w:val="en-US"/>
        </w:rPr>
        <w:t>AV</w:t>
      </w:r>
      <w:r w:rsidRPr="00603C66">
        <w:rPr>
          <w:rFonts w:eastAsia="Times New Roman" w:cs="Arial"/>
          <w:i/>
          <w:iCs/>
          <w:color w:val="000000"/>
          <w:lang w:val="ru-RU"/>
        </w:rPr>
        <w:t xml:space="preserve"> </w:t>
      </w:r>
      <w:r w:rsidRPr="00603C66">
        <w:rPr>
          <w:rFonts w:eastAsia="Times New Roman" w:cs="Arial"/>
          <w:i/>
          <w:iCs/>
          <w:color w:val="000000"/>
          <w:lang w:eastAsia="bg-BG"/>
        </w:rPr>
        <w:t>блок П степен</w:t>
      </w:r>
    </w:p>
    <w:p w14:paraId="22C2C0BF"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 xml:space="preserve">Ивабрадин не се препоръчва при пациенти с </w:t>
      </w:r>
      <w:r w:rsidRPr="00603C66">
        <w:rPr>
          <w:rFonts w:eastAsia="Times New Roman" w:cs="Arial"/>
          <w:color w:val="000000"/>
          <w:lang w:val="en-US"/>
        </w:rPr>
        <w:t>AV</w:t>
      </w:r>
      <w:r w:rsidRPr="00603C66">
        <w:rPr>
          <w:rFonts w:eastAsia="Times New Roman" w:cs="Arial"/>
          <w:color w:val="000000"/>
          <w:lang w:val="ru-RU"/>
        </w:rPr>
        <w:t xml:space="preserve"> </w:t>
      </w:r>
      <w:r w:rsidRPr="00603C66">
        <w:rPr>
          <w:rFonts w:eastAsia="Times New Roman" w:cs="Arial"/>
          <w:color w:val="000000"/>
          <w:lang w:eastAsia="bg-BG"/>
        </w:rPr>
        <w:t>блок II степен.</w:t>
      </w:r>
    </w:p>
    <w:p w14:paraId="474DF7D9" w14:textId="77777777" w:rsidR="00603C66" w:rsidRPr="00603C66" w:rsidRDefault="00603C66" w:rsidP="00603C66">
      <w:pPr>
        <w:spacing w:line="240" w:lineRule="auto"/>
        <w:rPr>
          <w:rFonts w:eastAsia="Times New Roman" w:cs="Arial"/>
          <w:i/>
          <w:iCs/>
          <w:color w:val="000000"/>
          <w:lang w:eastAsia="bg-BG"/>
        </w:rPr>
      </w:pPr>
    </w:p>
    <w:p w14:paraId="24693555" w14:textId="220224E4"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Употреба при пациенти с ниска сърдечна честота</w:t>
      </w:r>
    </w:p>
    <w:p w14:paraId="732FBE77"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Ивабрадин не трябва да се започва при пациенти със сърдечна честота в покой преди лечението под 70 удара</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(вижте точка 4.3).</w:t>
      </w:r>
    </w:p>
    <w:p w14:paraId="09AACB1A"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Ако по време на лечението сърдечната честота в покой се понижи трайно под 50 удара в минута или пациентът получи симптоми свързани с брадикардия, като световъртеж, уморяемост или хипотония, дозата трябва да се намали постепенно или лечението да се прекрати, ако сърдечната честота остане под 50 удара</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или симптомите на брадикардия персистират (вижте точка 4.2).</w:t>
      </w:r>
    </w:p>
    <w:p w14:paraId="43EFA673" w14:textId="152A2271" w:rsidR="00603C66" w:rsidRPr="00603C66" w:rsidRDefault="00603C66" w:rsidP="00603C66">
      <w:pPr>
        <w:rPr>
          <w:rFonts w:cs="Arial"/>
        </w:rPr>
      </w:pPr>
    </w:p>
    <w:p w14:paraId="3E24FABD" w14:textId="77777777"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Комбинация с калциеви антагонисти</w:t>
      </w:r>
    </w:p>
    <w:p w14:paraId="2BB3EBC5"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Едновременната употреба на ивабрадин с понижаващи сърдечната честота калциеви антагонисти, като верапамил или дилтиазем е противопоказана (вижте точки 4.3 и 4.5). Досега не са повдигани въпроси относно безопасността при комбиниране на ивабрадин с нитрати и дихидропиридинови калциеви антагонисти, като амлодипин. Не е установена допълнителната ефикасност на ивабрадин в комбинация с дихидропиридинови калциеви антагонисти (вижте точка 5.1).</w:t>
      </w:r>
    </w:p>
    <w:p w14:paraId="224B806C" w14:textId="77777777" w:rsidR="00603C66" w:rsidRPr="00603C66" w:rsidRDefault="00603C66" w:rsidP="00603C66">
      <w:pPr>
        <w:spacing w:line="240" w:lineRule="auto"/>
        <w:rPr>
          <w:rFonts w:eastAsia="Times New Roman" w:cs="Arial"/>
          <w:i/>
          <w:iCs/>
          <w:color w:val="000000"/>
          <w:lang w:eastAsia="bg-BG"/>
        </w:rPr>
      </w:pPr>
    </w:p>
    <w:p w14:paraId="3068A681" w14:textId="750A2C1E"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Хронична сърдечна недостатъчност</w:t>
      </w:r>
    </w:p>
    <w:p w14:paraId="39C876B5"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 xml:space="preserve">Сърдечната недостатъчност трябва да е стабилна, преди да се обмисли за лечение с ивабрадин. Ивабрадин трябва да се използва с повишено внимание при пациенти със сърдечна недостатъчност от функционален клас IV по </w:t>
      </w:r>
      <w:r w:rsidRPr="00603C66">
        <w:rPr>
          <w:rFonts w:eastAsia="Times New Roman" w:cs="Arial"/>
          <w:color w:val="000000"/>
          <w:lang w:val="en-US"/>
        </w:rPr>
        <w:t>NYHA</w:t>
      </w:r>
      <w:r w:rsidRPr="00603C66">
        <w:rPr>
          <w:rFonts w:eastAsia="Times New Roman" w:cs="Arial"/>
          <w:color w:val="000000"/>
          <w:lang w:val="ru-RU"/>
        </w:rPr>
        <w:t xml:space="preserve">, </w:t>
      </w:r>
      <w:r w:rsidRPr="00603C66">
        <w:rPr>
          <w:rFonts w:eastAsia="Times New Roman" w:cs="Arial"/>
          <w:color w:val="000000"/>
          <w:lang w:eastAsia="bg-BG"/>
        </w:rPr>
        <w:t>поради ограничено количество данни за тази популация.</w:t>
      </w:r>
    </w:p>
    <w:p w14:paraId="6CED8444" w14:textId="77777777" w:rsidR="00603C66" w:rsidRPr="00603C66" w:rsidRDefault="00603C66" w:rsidP="00603C66">
      <w:pPr>
        <w:spacing w:line="240" w:lineRule="auto"/>
        <w:rPr>
          <w:rFonts w:eastAsia="Times New Roman" w:cs="Arial"/>
          <w:i/>
          <w:iCs/>
          <w:color w:val="000000"/>
          <w:lang w:eastAsia="bg-BG"/>
        </w:rPr>
      </w:pPr>
    </w:p>
    <w:p w14:paraId="5A7EE168" w14:textId="458A7D16"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Инсулт</w:t>
      </w:r>
    </w:p>
    <w:p w14:paraId="509A42F3"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Употребата на ивабрадин не се препоръчва непосредствено след инсулт, поради липса на данни при това състояние.</w:t>
      </w:r>
    </w:p>
    <w:p w14:paraId="49073AE5" w14:textId="77777777"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Зрителна функция</w:t>
      </w:r>
    </w:p>
    <w:p w14:paraId="356B3C22"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lastRenderedPageBreak/>
        <w:t xml:space="preserve">Ивабрадин повлиява функцията на ретината. Липсват доказателства за токсичен ефект при дългосрочно лечение с ивабрадин върху ретината (вижте точка 5.1). При поява на неочаквано влошаване на зрителната функция трябва да се обсъди спиране на лечението с ивабрадин. При пациенти </w:t>
      </w:r>
      <w:r w:rsidRPr="00603C66">
        <w:rPr>
          <w:rFonts w:eastAsia="Times New Roman" w:cs="Arial"/>
          <w:i/>
          <w:iCs/>
          <w:color w:val="000000"/>
          <w:lang w:eastAsia="bg-BG"/>
        </w:rPr>
        <w:t>с</w:t>
      </w:r>
      <w:r w:rsidRPr="00603C66">
        <w:rPr>
          <w:rFonts w:eastAsia="Times New Roman" w:cs="Arial"/>
          <w:color w:val="000000"/>
          <w:lang w:eastAsia="bg-BG"/>
        </w:rPr>
        <w:t xml:space="preserve"> пигментозен ретинит е необходимо повишено внимание.</w:t>
      </w:r>
    </w:p>
    <w:p w14:paraId="3BEFA09B" w14:textId="77777777" w:rsidR="00603C66" w:rsidRPr="00603C66" w:rsidRDefault="00603C66" w:rsidP="00603C66">
      <w:pPr>
        <w:spacing w:line="240" w:lineRule="auto"/>
        <w:rPr>
          <w:rFonts w:eastAsia="Times New Roman" w:cs="Arial"/>
          <w:color w:val="000000"/>
          <w:u w:val="single"/>
          <w:lang w:eastAsia="bg-BG"/>
        </w:rPr>
      </w:pPr>
    </w:p>
    <w:p w14:paraId="6DEEAF21" w14:textId="6EF80548" w:rsidR="00603C66" w:rsidRPr="00603C66" w:rsidRDefault="00603C66" w:rsidP="00603C66">
      <w:pPr>
        <w:spacing w:line="240" w:lineRule="auto"/>
        <w:rPr>
          <w:rFonts w:eastAsia="Times New Roman" w:cs="Arial"/>
        </w:rPr>
      </w:pPr>
      <w:r w:rsidRPr="00603C66">
        <w:rPr>
          <w:rFonts w:eastAsia="Times New Roman" w:cs="Arial"/>
          <w:color w:val="000000"/>
          <w:u w:val="single"/>
          <w:lang w:eastAsia="bg-BG"/>
        </w:rPr>
        <w:t>Предпазни мерки при употреба</w:t>
      </w:r>
    </w:p>
    <w:p w14:paraId="27904854" w14:textId="77777777" w:rsidR="00603C66" w:rsidRPr="00603C66" w:rsidRDefault="00603C66" w:rsidP="00603C66">
      <w:pPr>
        <w:spacing w:line="240" w:lineRule="auto"/>
        <w:rPr>
          <w:rFonts w:eastAsia="Times New Roman" w:cs="Arial"/>
          <w:i/>
          <w:iCs/>
          <w:color w:val="000000"/>
          <w:lang w:eastAsia="bg-BG"/>
        </w:rPr>
      </w:pPr>
    </w:p>
    <w:p w14:paraId="78C16977" w14:textId="72F1211D"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Пациенти с хипотония</w:t>
      </w:r>
    </w:p>
    <w:p w14:paraId="2EF7EA66"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 xml:space="preserve">Данните при пациенти с лека до умерена хипотония са ограничени и следователно, ивабрадин трябва да бъде използван с повишено внимание при тези пациенти. Ивабрадин е противопоказан при пациенти с тежка хипотония (кръвно налягане &lt; 90/50 </w:t>
      </w:r>
      <w:r w:rsidRPr="00603C66">
        <w:rPr>
          <w:rFonts w:eastAsia="Times New Roman" w:cs="Arial"/>
          <w:color w:val="000000"/>
          <w:lang w:val="en-US"/>
        </w:rPr>
        <w:t>mmHg</w:t>
      </w:r>
      <w:r w:rsidRPr="00603C66">
        <w:rPr>
          <w:rFonts w:eastAsia="Times New Roman" w:cs="Arial"/>
          <w:color w:val="000000"/>
          <w:lang w:val="ru-RU"/>
        </w:rPr>
        <w:t xml:space="preserve">) </w:t>
      </w:r>
      <w:r w:rsidRPr="00603C66">
        <w:rPr>
          <w:rFonts w:eastAsia="Times New Roman" w:cs="Arial"/>
          <w:color w:val="000000"/>
          <w:lang w:eastAsia="bg-BG"/>
        </w:rPr>
        <w:t>(вижте точка 4.3).</w:t>
      </w:r>
    </w:p>
    <w:p w14:paraId="033B5CD8" w14:textId="77777777" w:rsidR="00603C66" w:rsidRPr="00603C66" w:rsidRDefault="00603C66" w:rsidP="00603C66">
      <w:pPr>
        <w:spacing w:line="240" w:lineRule="auto"/>
        <w:rPr>
          <w:rFonts w:eastAsia="Times New Roman" w:cs="Arial"/>
          <w:i/>
          <w:iCs/>
          <w:color w:val="000000"/>
          <w:lang w:eastAsia="bg-BG"/>
        </w:rPr>
      </w:pPr>
    </w:p>
    <w:p w14:paraId="77E821BE" w14:textId="65337C7B"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Предсърдно мъждене - сърдечни аритмии</w:t>
      </w:r>
    </w:p>
    <w:p w14:paraId="1F637C4C"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Липсват доказателства за риск от (прекомерна) брадикардия при възстановяване на синусовия ритъм, когато при пациенти лекувани с ивабрадин се предприеме фармакологична кардиоверсия. Все пак, поради отсъствие на достатъчно данни, неспешна кардиоверсия с прав ток трябва да се предвижда 24 часа след последния прием на ивабрадин.</w:t>
      </w:r>
    </w:p>
    <w:p w14:paraId="2B52C1F4" w14:textId="77777777" w:rsidR="00603C66" w:rsidRPr="00603C66" w:rsidRDefault="00603C66" w:rsidP="00603C66">
      <w:pPr>
        <w:spacing w:line="240" w:lineRule="auto"/>
        <w:rPr>
          <w:rFonts w:eastAsia="Times New Roman" w:cs="Arial"/>
          <w:i/>
          <w:iCs/>
          <w:color w:val="000000"/>
          <w:lang w:eastAsia="bg-BG"/>
        </w:rPr>
      </w:pPr>
    </w:p>
    <w:p w14:paraId="46A43644" w14:textId="17657C00"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 xml:space="preserve">Употреба при пациенти с вроден </w:t>
      </w:r>
      <w:r w:rsidRPr="00603C66">
        <w:rPr>
          <w:rFonts w:eastAsia="Times New Roman" w:cs="Arial"/>
          <w:i/>
          <w:iCs/>
          <w:color w:val="000000"/>
          <w:lang w:val="en-US"/>
        </w:rPr>
        <w:t>QT</w:t>
      </w:r>
      <w:r w:rsidRPr="00603C66">
        <w:rPr>
          <w:rFonts w:eastAsia="Times New Roman" w:cs="Arial"/>
          <w:i/>
          <w:iCs/>
          <w:color w:val="000000"/>
          <w:lang w:val="ru-RU"/>
        </w:rPr>
        <w:t xml:space="preserve"> </w:t>
      </w:r>
      <w:r w:rsidRPr="00603C66">
        <w:rPr>
          <w:rFonts w:eastAsia="Times New Roman" w:cs="Arial"/>
          <w:i/>
          <w:iCs/>
          <w:color w:val="000000"/>
          <w:lang w:eastAsia="bg-BG"/>
        </w:rPr>
        <w:t xml:space="preserve">синдром или лекувани с лекарствени продукти удължаващи </w:t>
      </w:r>
      <w:r w:rsidRPr="00603C66">
        <w:rPr>
          <w:rFonts w:eastAsia="Times New Roman" w:cs="Arial"/>
          <w:i/>
          <w:iCs/>
          <w:color w:val="000000"/>
          <w:lang w:val="en-US"/>
        </w:rPr>
        <w:t>QT</w:t>
      </w:r>
    </w:p>
    <w:p w14:paraId="24C2B38F"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 xml:space="preserve">Употребата на ивабрадин при пациенти с вроден </w:t>
      </w:r>
      <w:r w:rsidRPr="00603C66">
        <w:rPr>
          <w:rFonts w:eastAsia="Times New Roman" w:cs="Arial"/>
          <w:color w:val="000000"/>
          <w:lang w:val="en-US"/>
        </w:rPr>
        <w:t>QT</w:t>
      </w:r>
      <w:r w:rsidRPr="00603C66">
        <w:rPr>
          <w:rFonts w:eastAsia="Times New Roman" w:cs="Arial"/>
          <w:color w:val="000000"/>
          <w:lang w:val="ru-RU"/>
        </w:rPr>
        <w:t xml:space="preserve"> </w:t>
      </w:r>
      <w:r w:rsidRPr="00603C66">
        <w:rPr>
          <w:rFonts w:eastAsia="Times New Roman" w:cs="Arial"/>
          <w:color w:val="000000"/>
          <w:lang w:eastAsia="bg-BG"/>
        </w:rPr>
        <w:t xml:space="preserve">синдром или лекувани с лекарствени продукти удължаващи </w:t>
      </w:r>
      <w:r w:rsidRPr="00603C66">
        <w:rPr>
          <w:rFonts w:eastAsia="Times New Roman" w:cs="Arial"/>
          <w:color w:val="000000"/>
          <w:lang w:val="en-US"/>
        </w:rPr>
        <w:t>QT</w:t>
      </w:r>
      <w:r w:rsidRPr="00603C66">
        <w:rPr>
          <w:rFonts w:eastAsia="Times New Roman" w:cs="Arial"/>
          <w:color w:val="000000"/>
          <w:lang w:val="ru-RU"/>
        </w:rPr>
        <w:t xml:space="preserve"> </w:t>
      </w:r>
      <w:r w:rsidRPr="00603C66">
        <w:rPr>
          <w:rFonts w:eastAsia="Times New Roman" w:cs="Arial"/>
          <w:color w:val="000000"/>
          <w:lang w:eastAsia="bg-BG"/>
        </w:rPr>
        <w:t>трябва да се избягва (вижте точка 4.5). Ако комбинацията се счете за необходима, тогава се налага чест кардиологичен контрол.</w:t>
      </w:r>
    </w:p>
    <w:p w14:paraId="69B61459" w14:textId="77777777" w:rsidR="00603C66" w:rsidRPr="00603C66" w:rsidRDefault="00603C66" w:rsidP="00603C66">
      <w:pPr>
        <w:spacing w:line="240" w:lineRule="auto"/>
        <w:rPr>
          <w:rFonts w:eastAsia="Times New Roman" w:cs="Arial"/>
          <w:color w:val="000000"/>
          <w:lang w:eastAsia="bg-BG"/>
        </w:rPr>
      </w:pPr>
    </w:p>
    <w:p w14:paraId="5C6F3B28" w14:textId="20E76FBB" w:rsidR="00603C66" w:rsidRPr="00603C66" w:rsidRDefault="00603C66" w:rsidP="00603C66">
      <w:pPr>
        <w:spacing w:line="240" w:lineRule="auto"/>
        <w:rPr>
          <w:rFonts w:eastAsia="Times New Roman" w:cs="Arial"/>
        </w:rPr>
      </w:pPr>
      <w:r w:rsidRPr="00603C66">
        <w:rPr>
          <w:rFonts w:eastAsia="Times New Roman" w:cs="Arial"/>
          <w:color w:val="000000"/>
          <w:lang w:eastAsia="bg-BG"/>
        </w:rPr>
        <w:t xml:space="preserve">Намаляването на сърдечния ритъм, причинено от ивабрадин, може да усили удължаването на </w:t>
      </w:r>
      <w:r w:rsidRPr="00603C66">
        <w:rPr>
          <w:rFonts w:eastAsia="Times New Roman" w:cs="Arial"/>
          <w:color w:val="000000"/>
          <w:lang w:val="en-US"/>
        </w:rPr>
        <w:t>QT</w:t>
      </w:r>
      <w:r w:rsidRPr="00603C66">
        <w:rPr>
          <w:rFonts w:eastAsia="Times New Roman" w:cs="Arial"/>
          <w:color w:val="000000"/>
          <w:lang w:val="ru-RU"/>
        </w:rPr>
        <w:t xml:space="preserve"> </w:t>
      </w:r>
      <w:r w:rsidRPr="00603C66">
        <w:rPr>
          <w:rFonts w:eastAsia="Times New Roman" w:cs="Arial"/>
          <w:color w:val="000000"/>
          <w:lang w:eastAsia="bg-BG"/>
        </w:rPr>
        <w:t xml:space="preserve">интервала, което може да доведе до тежки аритмии, по-специално </w:t>
      </w:r>
      <w:r w:rsidRPr="00603C66">
        <w:rPr>
          <w:rFonts w:eastAsia="Times New Roman" w:cs="Arial"/>
          <w:i/>
          <w:iCs/>
          <w:color w:val="000000"/>
          <w:lang w:val="en-US"/>
        </w:rPr>
        <w:t>Torsade</w:t>
      </w:r>
      <w:r w:rsidRPr="00603C66">
        <w:rPr>
          <w:rFonts w:eastAsia="Times New Roman" w:cs="Arial"/>
          <w:i/>
          <w:iCs/>
          <w:color w:val="000000"/>
          <w:lang w:val="ru-RU"/>
        </w:rPr>
        <w:t xml:space="preserve"> </w:t>
      </w:r>
      <w:r w:rsidRPr="00603C66">
        <w:rPr>
          <w:rFonts w:eastAsia="Times New Roman" w:cs="Arial"/>
          <w:i/>
          <w:iCs/>
          <w:color w:val="000000"/>
          <w:lang w:val="en-US"/>
        </w:rPr>
        <w:t>de</w:t>
      </w:r>
      <w:r w:rsidRPr="00603C66">
        <w:rPr>
          <w:rFonts w:eastAsia="Times New Roman" w:cs="Arial"/>
          <w:i/>
          <w:iCs/>
          <w:color w:val="000000"/>
          <w:lang w:val="ru-RU"/>
        </w:rPr>
        <w:t xml:space="preserve"> </w:t>
      </w:r>
      <w:r w:rsidRPr="00603C66">
        <w:rPr>
          <w:rFonts w:eastAsia="Times New Roman" w:cs="Arial"/>
          <w:i/>
          <w:iCs/>
          <w:color w:val="000000"/>
          <w:lang w:val="en-US"/>
        </w:rPr>
        <w:t>pointes</w:t>
      </w:r>
      <w:r w:rsidRPr="00603C66">
        <w:rPr>
          <w:rFonts w:eastAsia="Times New Roman" w:cs="Arial"/>
          <w:i/>
          <w:iCs/>
          <w:color w:val="000000"/>
          <w:lang w:val="ru-RU"/>
        </w:rPr>
        <w:t>.</w:t>
      </w:r>
    </w:p>
    <w:p w14:paraId="356CA8BA" w14:textId="77777777" w:rsidR="00603C66" w:rsidRPr="00603C66" w:rsidRDefault="00603C66" w:rsidP="00603C66">
      <w:pPr>
        <w:spacing w:line="240" w:lineRule="auto"/>
        <w:rPr>
          <w:rFonts w:eastAsia="Times New Roman" w:cs="Arial"/>
          <w:i/>
          <w:iCs/>
          <w:color w:val="000000"/>
          <w:lang w:eastAsia="bg-BG"/>
        </w:rPr>
      </w:pPr>
    </w:p>
    <w:p w14:paraId="323D4EF0" w14:textId="09379C1D"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 xml:space="preserve">Пациенти с хипертония, при които се налага промяна в лечението на кръвното налягане </w:t>
      </w:r>
      <w:r w:rsidRPr="00603C66">
        <w:rPr>
          <w:rFonts w:eastAsia="Times New Roman" w:cs="Arial"/>
          <w:color w:val="000000"/>
          <w:lang w:eastAsia="bg-BG"/>
        </w:rPr>
        <w:t xml:space="preserve">При проучването </w:t>
      </w:r>
      <w:r w:rsidRPr="00603C66">
        <w:rPr>
          <w:rFonts w:eastAsia="Times New Roman" w:cs="Arial"/>
          <w:color w:val="000000"/>
          <w:lang w:val="en-US"/>
        </w:rPr>
        <w:t>SHIFT</w:t>
      </w:r>
      <w:r w:rsidRPr="00603C66">
        <w:rPr>
          <w:rFonts w:eastAsia="Times New Roman" w:cs="Arial"/>
          <w:color w:val="000000"/>
          <w:lang w:val="ru-RU"/>
        </w:rPr>
        <w:t xml:space="preserve">, </w:t>
      </w:r>
      <w:r w:rsidRPr="00603C66">
        <w:rPr>
          <w:rFonts w:eastAsia="Times New Roman" w:cs="Arial"/>
          <w:color w:val="000000"/>
          <w:lang w:eastAsia="bg-BG"/>
        </w:rPr>
        <w:t>повечето пациенти са имали епизоди на повишено кръвно налягане, когато са били лекувани с ивабрадин (7,1%), в сравнение с пациенти, лекувани с плацебо (6,1%). Тези епизоди са се появили най-често скоро след промяна в терапията на кръвното налягане, били са преходни и не са засегнали лечебния ефект на ивабрадин. Когато са направени промени в лечението при пациенти с хронична сърдечна недостатъчност, лекувани с ивабрадин, кръвното налягане трябва да се мониторира на подходящи интервали (вижте точка 4.8)</w:t>
      </w:r>
    </w:p>
    <w:p w14:paraId="0C77FE07" w14:textId="2491B725" w:rsidR="00603C66" w:rsidRPr="00603C66" w:rsidRDefault="00603C66" w:rsidP="00603C66">
      <w:pPr>
        <w:rPr>
          <w:rFonts w:cs="Arial"/>
        </w:rPr>
      </w:pPr>
    </w:p>
    <w:p w14:paraId="746FE01C" w14:textId="77777777" w:rsidR="00603C66" w:rsidRPr="00603C66" w:rsidRDefault="00603C66" w:rsidP="00603C66">
      <w:pPr>
        <w:spacing w:line="240" w:lineRule="auto"/>
        <w:rPr>
          <w:rFonts w:eastAsia="Times New Roman" w:cs="Arial"/>
        </w:rPr>
      </w:pPr>
      <w:r w:rsidRPr="00603C66">
        <w:rPr>
          <w:rFonts w:eastAsia="Times New Roman" w:cs="Arial"/>
          <w:i/>
          <w:iCs/>
          <w:color w:val="000000"/>
          <w:lang w:eastAsia="bg-BG"/>
        </w:rPr>
        <w:t>Помощни вещества с известно действие</w:t>
      </w:r>
    </w:p>
    <w:p w14:paraId="02F58963"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Тъй като това лекарство съдържа лактоза, пациенти с редките наследствени проблеми на галактозна непоносимост, пълен лактазен дефицит или глюкозо-галактозна малабсорбция не трябва да приемат това лекарство.</w:t>
      </w:r>
    </w:p>
    <w:p w14:paraId="20A44E25" w14:textId="77777777" w:rsidR="00603C66" w:rsidRPr="00603C66" w:rsidRDefault="00603C66" w:rsidP="00603C66">
      <w:pPr>
        <w:spacing w:line="240" w:lineRule="auto"/>
        <w:rPr>
          <w:rFonts w:eastAsia="Times New Roman" w:cs="Arial"/>
        </w:rPr>
      </w:pPr>
      <w:r w:rsidRPr="00603C66">
        <w:rPr>
          <w:rFonts w:eastAsia="Times New Roman" w:cs="Arial"/>
          <w:color w:val="000000"/>
          <w:lang w:eastAsia="bg-BG"/>
        </w:rPr>
        <w:t xml:space="preserve">Това лекарство съдържа по-малко от 1 </w:t>
      </w:r>
      <w:proofErr w:type="spellStart"/>
      <w:r w:rsidRPr="00603C66">
        <w:rPr>
          <w:rFonts w:eastAsia="Times New Roman" w:cs="Arial"/>
          <w:color w:val="000000"/>
          <w:lang w:val="en-US"/>
        </w:rPr>
        <w:t>mmol</w:t>
      </w:r>
      <w:proofErr w:type="spellEnd"/>
      <w:r w:rsidRPr="00603C66">
        <w:rPr>
          <w:rFonts w:eastAsia="Times New Roman" w:cs="Arial"/>
          <w:color w:val="000000"/>
          <w:lang w:val="ru-RU"/>
        </w:rPr>
        <w:t xml:space="preserve"> </w:t>
      </w:r>
      <w:r w:rsidRPr="00603C66">
        <w:rPr>
          <w:rFonts w:eastAsia="Times New Roman" w:cs="Arial"/>
          <w:color w:val="000000"/>
          <w:lang w:eastAsia="bg-BG"/>
        </w:rPr>
        <w:t xml:space="preserve">натрий (23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на филмирана таблетка, т.е. може да се каже, че практически не съдържа натрий.</w:t>
      </w:r>
    </w:p>
    <w:p w14:paraId="052BDC8A" w14:textId="77777777" w:rsidR="00603C66" w:rsidRPr="00603C66" w:rsidRDefault="00603C66" w:rsidP="00603C66"/>
    <w:p w14:paraId="0734264C" w14:textId="13CCB23F"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EDEC6F2" w14:textId="33830443" w:rsidR="00603C66" w:rsidRDefault="00603C66" w:rsidP="00603C66"/>
    <w:p w14:paraId="102D0C04"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u w:val="single"/>
          <w:lang w:eastAsia="bg-BG"/>
        </w:rPr>
        <w:lastRenderedPageBreak/>
        <w:t>Фармакодинамични взаимодействия</w:t>
      </w:r>
    </w:p>
    <w:p w14:paraId="2B32AB54" w14:textId="77777777"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Едновременна употреба не се препоръчва</w:t>
      </w:r>
    </w:p>
    <w:p w14:paraId="51E37FFE"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Лекарствени продукти удължаващи </w:t>
      </w:r>
      <w:r w:rsidRPr="00603C66">
        <w:rPr>
          <w:rFonts w:eastAsia="Times New Roman" w:cs="Arial"/>
          <w:color w:val="000000"/>
          <w:lang w:val="en-US"/>
        </w:rPr>
        <w:t>QT</w:t>
      </w:r>
    </w:p>
    <w:p w14:paraId="7C730231"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 xml:space="preserve">Сърдечносъдови лекарствени продукти удължаващи </w:t>
      </w:r>
      <w:r w:rsidRPr="00603C66">
        <w:rPr>
          <w:rFonts w:eastAsia="Times New Roman" w:cs="Arial"/>
          <w:color w:val="000000"/>
          <w:lang w:val="en-US"/>
        </w:rPr>
        <w:t>QT</w:t>
      </w:r>
      <w:r w:rsidRPr="00603C66">
        <w:rPr>
          <w:rFonts w:eastAsia="Times New Roman" w:cs="Arial"/>
          <w:color w:val="000000"/>
          <w:lang w:val="ru-RU"/>
        </w:rPr>
        <w:t xml:space="preserve"> </w:t>
      </w:r>
      <w:r w:rsidRPr="00603C66">
        <w:rPr>
          <w:rFonts w:eastAsia="Times New Roman" w:cs="Arial"/>
          <w:color w:val="000000"/>
          <w:lang w:eastAsia="bg-BG"/>
        </w:rPr>
        <w:t>(напр. хинидни, дизопирамид, бепридил, соталол, ибутилид, амиодарон).</w:t>
      </w:r>
    </w:p>
    <w:p w14:paraId="0FD87EBE" w14:textId="15D3E132"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 xml:space="preserve">Не-сърдечносъдови лекарствени продукти удължаващи </w:t>
      </w:r>
      <w:r w:rsidRPr="00603C66">
        <w:rPr>
          <w:rFonts w:eastAsia="Times New Roman" w:cs="Arial"/>
          <w:color w:val="000000"/>
          <w:lang w:val="en-US"/>
        </w:rPr>
        <w:t>QT</w:t>
      </w:r>
      <w:r w:rsidRPr="00603C66">
        <w:rPr>
          <w:rFonts w:eastAsia="Times New Roman" w:cs="Arial"/>
          <w:color w:val="000000"/>
        </w:rPr>
        <w:t xml:space="preserve"> </w:t>
      </w:r>
      <w:r w:rsidRPr="00603C66">
        <w:rPr>
          <w:rFonts w:eastAsia="Times New Roman" w:cs="Arial"/>
          <w:color w:val="000000"/>
          <w:lang w:eastAsia="bg-BG"/>
        </w:rPr>
        <w:t>(напр. пимозид, зипрасидон, сертиндол, мефлокин, халофантрин, пентамидин, цизаприд, интравенозно еритромицин).</w:t>
      </w:r>
    </w:p>
    <w:p w14:paraId="7F82E6CF"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Едновременната употреба на сърдечносъдови и не-сърдечносъдови лекарствени продукти удължаващи </w:t>
      </w:r>
      <w:r w:rsidRPr="00603C66">
        <w:rPr>
          <w:rFonts w:eastAsia="Times New Roman" w:cs="Arial"/>
          <w:color w:val="000000"/>
          <w:lang w:val="en-US"/>
        </w:rPr>
        <w:t>QT</w:t>
      </w:r>
      <w:r w:rsidRPr="00603C66">
        <w:rPr>
          <w:rFonts w:eastAsia="Times New Roman" w:cs="Arial"/>
          <w:color w:val="000000"/>
          <w:lang w:val="ru-RU"/>
        </w:rPr>
        <w:t xml:space="preserve"> </w:t>
      </w:r>
      <w:r w:rsidRPr="00603C66">
        <w:rPr>
          <w:rFonts w:eastAsia="Times New Roman" w:cs="Arial"/>
          <w:color w:val="000000"/>
          <w:lang w:eastAsia="bg-BG"/>
        </w:rPr>
        <w:t xml:space="preserve">с ивабрадин трябва да се избягва, тъй като удължаването на </w:t>
      </w:r>
      <w:r w:rsidRPr="00603C66">
        <w:rPr>
          <w:rFonts w:eastAsia="Times New Roman" w:cs="Arial"/>
          <w:color w:val="000000"/>
          <w:lang w:val="en-US"/>
        </w:rPr>
        <w:t>QT</w:t>
      </w:r>
      <w:r w:rsidRPr="00603C66">
        <w:rPr>
          <w:rFonts w:eastAsia="Times New Roman" w:cs="Arial"/>
          <w:color w:val="000000"/>
          <w:lang w:val="ru-RU"/>
        </w:rPr>
        <w:t xml:space="preserve"> </w:t>
      </w:r>
      <w:r w:rsidRPr="00603C66">
        <w:rPr>
          <w:rFonts w:eastAsia="Times New Roman" w:cs="Arial"/>
          <w:color w:val="000000"/>
          <w:lang w:eastAsia="bg-BG"/>
        </w:rPr>
        <w:t>може да екзацербира при забавяне на сърдечната честота. Ако комбинацията се счете за необходима, тогава се налага чест кардиологичен контрол (вижте точка 4.4).</w:t>
      </w:r>
    </w:p>
    <w:p w14:paraId="1466F52E" w14:textId="77777777" w:rsidR="00603C66" w:rsidRPr="00603C66" w:rsidRDefault="00603C66" w:rsidP="00603C66">
      <w:pPr>
        <w:spacing w:line="240" w:lineRule="auto"/>
        <w:rPr>
          <w:rFonts w:eastAsia="Times New Roman" w:cs="Arial"/>
          <w:i/>
          <w:iCs/>
          <w:color w:val="000000"/>
          <w:lang w:eastAsia="bg-BG"/>
        </w:rPr>
      </w:pPr>
    </w:p>
    <w:p w14:paraId="5BDD7E58" w14:textId="6328197E"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Едновременна употреба с повишено внимание</w:t>
      </w:r>
    </w:p>
    <w:p w14:paraId="5B44EC94"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Калий-изчерпващи диуретици (тиазидни или бримкови диуретици): хипокалемията може да увеличи риска от аритмия. Тъй като ивабрадин може да предизвика брадикардия, крайната комбинация от хипокалемия и брадикардия е предразполагащ фактор за появата на тежки аритмии, особено при пациенти със синдром на удължен </w:t>
      </w:r>
      <w:r w:rsidRPr="00603C66">
        <w:rPr>
          <w:rFonts w:eastAsia="Times New Roman" w:cs="Arial"/>
          <w:color w:val="000000"/>
          <w:lang w:val="en-US"/>
        </w:rPr>
        <w:t>QT</w:t>
      </w:r>
      <w:r w:rsidRPr="00603C66">
        <w:rPr>
          <w:rFonts w:eastAsia="Times New Roman" w:cs="Arial"/>
          <w:color w:val="000000"/>
          <w:lang w:val="ru-RU"/>
        </w:rPr>
        <w:t xml:space="preserve"> </w:t>
      </w:r>
      <w:r w:rsidRPr="00603C66">
        <w:rPr>
          <w:rFonts w:eastAsia="Times New Roman" w:cs="Arial"/>
          <w:color w:val="000000"/>
          <w:lang w:eastAsia="bg-BG"/>
        </w:rPr>
        <w:t>интервал, независимо дали е от конгенитален произход или предизвикан от активно вещество.</w:t>
      </w:r>
    </w:p>
    <w:p w14:paraId="2EEF1BCA" w14:textId="77777777" w:rsidR="00603C66" w:rsidRPr="00603C66" w:rsidRDefault="00603C66" w:rsidP="00603C66">
      <w:pPr>
        <w:spacing w:line="240" w:lineRule="auto"/>
        <w:rPr>
          <w:rFonts w:eastAsia="Times New Roman" w:cs="Arial"/>
          <w:color w:val="000000"/>
          <w:u w:val="single"/>
          <w:lang w:eastAsia="bg-BG"/>
        </w:rPr>
      </w:pPr>
    </w:p>
    <w:p w14:paraId="7E34D835" w14:textId="4CD8A998" w:rsidR="00603C66" w:rsidRPr="00603C66" w:rsidRDefault="00603C66" w:rsidP="00603C66">
      <w:pPr>
        <w:spacing w:line="240" w:lineRule="auto"/>
        <w:rPr>
          <w:rFonts w:eastAsia="Times New Roman" w:cs="Arial"/>
          <w:sz w:val="24"/>
          <w:szCs w:val="24"/>
        </w:rPr>
      </w:pPr>
      <w:r w:rsidRPr="00603C66">
        <w:rPr>
          <w:rFonts w:eastAsia="Times New Roman" w:cs="Arial"/>
          <w:color w:val="000000"/>
          <w:u w:val="single"/>
          <w:lang w:eastAsia="bg-BG"/>
        </w:rPr>
        <w:t>Фармакокинетични взаимодействия</w:t>
      </w:r>
    </w:p>
    <w:p w14:paraId="62EE55F1" w14:textId="77777777" w:rsidR="00603C66" w:rsidRPr="00603C66" w:rsidRDefault="00603C66" w:rsidP="00603C66">
      <w:pPr>
        <w:spacing w:line="240" w:lineRule="auto"/>
        <w:rPr>
          <w:rFonts w:eastAsia="Times New Roman" w:cs="Arial"/>
          <w:color w:val="000000"/>
          <w:lang w:eastAsia="bg-BG"/>
        </w:rPr>
      </w:pPr>
    </w:p>
    <w:p w14:paraId="4C575F6A" w14:textId="2609D99E"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Цигохром Р450 ЗА4 </w:t>
      </w:r>
      <w:r w:rsidRPr="00603C66">
        <w:rPr>
          <w:rFonts w:eastAsia="Times New Roman" w:cs="Arial"/>
          <w:color w:val="000000"/>
          <w:lang w:val="ru-RU"/>
        </w:rPr>
        <w:t>(</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4)</w:t>
      </w:r>
    </w:p>
    <w:p w14:paraId="4EF45094"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Ивабрадин се метаболизира само от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и е много слаб инхибитор на този цитохром. Има данни, че ивабрадин не повлиява метаболизма и концентрациите на други субстрати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(слаби, умерени и мощни инхибитори) в плазмата. Инхибиторите и индукторите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са склонни да взаимодействат с ивабрадин и да повлияват неговия метаболизъм и фармакокинетика до клинично значима степен. При проучвания за лекарствени взаимодействия е установено, че инхибиторите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повишават концентрациите на ивабрадин в плазмата, докато индукторите ги понижават. Повишените концентрации на ивабрадин в плазмата може да бъдат свързани с риск от прекомерна брадикардия (вижте точка 4.4).</w:t>
      </w:r>
    </w:p>
    <w:p w14:paraId="507C42F4" w14:textId="77777777" w:rsidR="00603C66" w:rsidRPr="00603C66" w:rsidRDefault="00603C66" w:rsidP="00603C66">
      <w:pPr>
        <w:spacing w:line="240" w:lineRule="auto"/>
        <w:rPr>
          <w:rFonts w:eastAsia="Times New Roman" w:cs="Arial"/>
          <w:i/>
          <w:iCs/>
          <w:color w:val="000000"/>
          <w:lang w:eastAsia="bg-BG"/>
        </w:rPr>
      </w:pPr>
    </w:p>
    <w:p w14:paraId="0DC42D43" w14:textId="6C63ECB1"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Противопоказание за едновременна употреба</w:t>
      </w:r>
    </w:p>
    <w:p w14:paraId="3A09219B"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Едновременната употреба на мощни инхибитори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като азолови антимикотици (кетоконазол, итраконазол), макролидни антибиотици (кларитромицин, еритромицин перорално, йозамицин, телитромицин), инхибитори на </w:t>
      </w:r>
      <w:r w:rsidRPr="00603C66">
        <w:rPr>
          <w:rFonts w:eastAsia="Times New Roman" w:cs="Arial"/>
          <w:color w:val="000000"/>
          <w:lang w:val="en-US"/>
        </w:rPr>
        <w:t>HIV</w:t>
      </w:r>
      <w:r w:rsidRPr="00603C66">
        <w:rPr>
          <w:rFonts w:eastAsia="Times New Roman" w:cs="Arial"/>
          <w:color w:val="000000"/>
          <w:lang w:val="ru-RU"/>
        </w:rPr>
        <w:t xml:space="preserve"> </w:t>
      </w:r>
      <w:r w:rsidRPr="00603C66">
        <w:rPr>
          <w:rFonts w:eastAsia="Times New Roman" w:cs="Arial"/>
          <w:color w:val="000000"/>
          <w:lang w:eastAsia="bg-BG"/>
        </w:rPr>
        <w:t xml:space="preserve">протеазата (нелфинавир, ритонавир) и нефазодон е противопоказано (вижте точка 4.3). Мощните инхибитори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кетоконазол (200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веднъж дневно) и йозамицин </w:t>
      </w:r>
      <w:r w:rsidRPr="00603C66">
        <w:rPr>
          <w:rFonts w:eastAsia="Times New Roman" w:cs="Arial"/>
          <w:color w:val="000000"/>
          <w:lang w:val="ru-RU"/>
        </w:rPr>
        <w:t>(1</w:t>
      </w:r>
      <w:r w:rsidRPr="00603C66">
        <w:rPr>
          <w:rFonts w:eastAsia="Times New Roman" w:cs="Arial"/>
          <w:color w:val="000000"/>
          <w:lang w:val="en-US"/>
        </w:rPr>
        <w:t>g</w:t>
      </w:r>
      <w:r w:rsidRPr="00603C66">
        <w:rPr>
          <w:rFonts w:eastAsia="Times New Roman" w:cs="Arial"/>
          <w:color w:val="000000"/>
          <w:lang w:val="ru-RU"/>
        </w:rPr>
        <w:t xml:space="preserve"> </w:t>
      </w:r>
      <w:r w:rsidRPr="00603C66">
        <w:rPr>
          <w:rFonts w:eastAsia="Times New Roman" w:cs="Arial"/>
          <w:color w:val="000000"/>
          <w:lang w:eastAsia="bg-BG"/>
        </w:rPr>
        <w:t>два пъти дневно) увеличиват 7- до 8-кратно средната концентрацияна ивабрадин в плазмата.</w:t>
      </w:r>
    </w:p>
    <w:p w14:paraId="7D665C5F" w14:textId="77777777" w:rsidR="00603C66" w:rsidRPr="00603C66" w:rsidRDefault="00603C66" w:rsidP="00603C66">
      <w:pPr>
        <w:spacing w:line="240" w:lineRule="auto"/>
        <w:rPr>
          <w:rFonts w:eastAsia="Times New Roman" w:cs="Arial"/>
          <w:color w:val="000000"/>
          <w:lang w:eastAsia="bg-BG"/>
        </w:rPr>
      </w:pPr>
    </w:p>
    <w:p w14:paraId="0B5B0EFA" w14:textId="4A215FD5"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Умерени инхибитори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проучвания за специфично взаимодействие при здрави доброволци и пациенти са показали, че комбинацията от ивабрадин и средствата забавящи сърдечната честота дилтиазем или верапамил е довела до нарастване на експозицията на ивабрадин (2- до 3-кратно нарастване на </w:t>
      </w:r>
      <w:r w:rsidRPr="00603C66">
        <w:rPr>
          <w:rFonts w:eastAsia="Times New Roman" w:cs="Arial"/>
          <w:color w:val="000000"/>
          <w:lang w:val="en-US"/>
        </w:rPr>
        <w:t>AUC</w:t>
      </w:r>
      <w:r w:rsidRPr="00603C66">
        <w:rPr>
          <w:rFonts w:eastAsia="Times New Roman" w:cs="Arial"/>
          <w:color w:val="000000"/>
          <w:lang w:val="ru-RU"/>
        </w:rPr>
        <w:t xml:space="preserve">) </w:t>
      </w:r>
      <w:r w:rsidRPr="00603C66">
        <w:rPr>
          <w:rFonts w:eastAsia="Times New Roman" w:cs="Arial"/>
          <w:color w:val="000000"/>
          <w:lang w:eastAsia="bg-BG"/>
        </w:rPr>
        <w:t>и допълнително забавяне на сърдечната дейност</w:t>
      </w:r>
    </w:p>
    <w:p w14:paraId="444749B8" w14:textId="5AF29B3A" w:rsidR="00603C66" w:rsidRPr="00603C66" w:rsidRDefault="00603C66" w:rsidP="00603C66">
      <w:pPr>
        <w:rPr>
          <w:rFonts w:eastAsia="Times New Roman" w:cs="Arial"/>
          <w:color w:val="000000"/>
          <w:lang w:eastAsia="bg-BG"/>
        </w:rPr>
      </w:pPr>
      <w:r w:rsidRPr="00603C66">
        <w:rPr>
          <w:rFonts w:eastAsia="Times New Roman" w:cs="Arial"/>
          <w:color w:val="000000"/>
          <w:lang w:eastAsia="bg-BG"/>
        </w:rPr>
        <w:t>с 5 удара</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Едновременната употреба на ивабрадин с тези лекарствени продукти противопоказана (вижте точка 4.3).</w:t>
      </w:r>
    </w:p>
    <w:p w14:paraId="2839DD82" w14:textId="4EF38B1C" w:rsidR="00603C66" w:rsidRPr="00603C66" w:rsidRDefault="00603C66" w:rsidP="00603C66">
      <w:pPr>
        <w:rPr>
          <w:rFonts w:eastAsia="Times New Roman" w:cs="Arial"/>
          <w:color w:val="000000"/>
          <w:lang w:eastAsia="bg-BG"/>
        </w:rPr>
      </w:pPr>
    </w:p>
    <w:p w14:paraId="6692C235" w14:textId="77777777"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Едновременна употреба, която не се препоръчва</w:t>
      </w:r>
    </w:p>
    <w:p w14:paraId="273148B1"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lastRenderedPageBreak/>
        <w:t>Сок от грейпфрут: експозицията на ивабрадин нараства двукратно след едновременно приложение със сок от грейпфрут. Следователно приемът на сок от грейпфрут трябва да се избягва.</w:t>
      </w:r>
    </w:p>
    <w:p w14:paraId="28BE752F" w14:textId="77777777"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Едновременна употреба с повишено вимание</w:t>
      </w:r>
    </w:p>
    <w:p w14:paraId="793B4917" w14:textId="77777777"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 xml:space="preserve">Умерени инхибитори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едновременната употреба на ивабрадин с други умерени инхибитори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(напр. флуконазол) може да се обсъжда, при начална доза 2,5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два пъти дневно и ако сърдечната честота в покой е над 70 удара</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 xml:space="preserve">, </w:t>
      </w:r>
      <w:r w:rsidRPr="00603C66">
        <w:rPr>
          <w:rFonts w:eastAsia="Times New Roman" w:cs="Arial"/>
          <w:color w:val="000000"/>
          <w:lang w:eastAsia="bg-BG"/>
        </w:rPr>
        <w:t>с проследяване на сърдечната честота.</w:t>
      </w:r>
    </w:p>
    <w:p w14:paraId="49355ECD" w14:textId="58ACD384" w:rsidR="00603C66" w:rsidRPr="00603C66" w:rsidRDefault="00603C66" w:rsidP="00603C66">
      <w:pPr>
        <w:pStyle w:val="ListParagraph"/>
        <w:numPr>
          <w:ilvl w:val="0"/>
          <w:numId w:val="2"/>
        </w:numPr>
        <w:spacing w:line="240" w:lineRule="auto"/>
        <w:rPr>
          <w:rFonts w:eastAsia="Times New Roman" w:cs="Arial"/>
          <w:color w:val="000000"/>
          <w:lang w:eastAsia="bg-BG"/>
        </w:rPr>
      </w:pPr>
      <w:r w:rsidRPr="00603C66">
        <w:rPr>
          <w:rFonts w:eastAsia="Times New Roman" w:cs="Arial"/>
          <w:color w:val="000000"/>
          <w:lang w:eastAsia="bg-BG"/>
        </w:rPr>
        <w:t xml:space="preserve">Индуктори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 индукторите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(напр. рифампицин, барбитурати, фенитоин, </w:t>
      </w:r>
      <w:proofErr w:type="spellStart"/>
      <w:r w:rsidRPr="00603C66">
        <w:rPr>
          <w:rFonts w:eastAsia="Times New Roman" w:cs="Arial"/>
          <w:i/>
          <w:iCs/>
          <w:color w:val="000000"/>
          <w:lang w:val="en-US"/>
        </w:rPr>
        <w:t>Hypericum</w:t>
      </w:r>
      <w:proofErr w:type="spellEnd"/>
      <w:r w:rsidRPr="00603C66">
        <w:rPr>
          <w:rFonts w:eastAsia="Times New Roman" w:cs="Arial"/>
          <w:i/>
          <w:iCs/>
          <w:color w:val="000000"/>
          <w:lang w:val="ru-RU"/>
        </w:rPr>
        <w:t xml:space="preserve"> </w:t>
      </w:r>
      <w:proofErr w:type="spellStart"/>
      <w:r w:rsidRPr="00603C66">
        <w:rPr>
          <w:rFonts w:eastAsia="Times New Roman" w:cs="Arial"/>
          <w:i/>
          <w:iCs/>
          <w:color w:val="000000"/>
          <w:lang w:val="en-US"/>
        </w:rPr>
        <w:t>perforatum</w:t>
      </w:r>
      <w:proofErr w:type="spellEnd"/>
      <w:r w:rsidRPr="00603C66">
        <w:rPr>
          <w:rFonts w:eastAsia="Times New Roman" w:cs="Arial"/>
          <w:color w:val="000000"/>
          <w:lang w:val="ru-RU"/>
        </w:rPr>
        <w:t xml:space="preserve"> </w:t>
      </w:r>
      <w:r w:rsidRPr="00603C66">
        <w:rPr>
          <w:rFonts w:eastAsia="Times New Roman" w:cs="Arial"/>
          <w:color w:val="000000"/>
          <w:lang w:eastAsia="bg-BG"/>
        </w:rPr>
        <w:t xml:space="preserve">[жълт кантарион]) може да понижат експозицията на ивабрадин и неговото действие. Едновременната употреба на лекарствени продукти индуктори на </w:t>
      </w:r>
      <w:r w:rsidRPr="00603C66">
        <w:rPr>
          <w:rFonts w:eastAsia="Times New Roman" w:cs="Arial"/>
          <w:color w:val="000000"/>
          <w:lang w:val="en-US"/>
        </w:rPr>
        <w:t>CYP</w:t>
      </w:r>
      <w:r w:rsidRPr="00603C66">
        <w:rPr>
          <w:rFonts w:eastAsia="Times New Roman" w:cs="Arial"/>
          <w:color w:val="000000"/>
          <w:lang w:val="ru-RU"/>
        </w:rPr>
        <w:t>3</w:t>
      </w:r>
      <w:r w:rsidRPr="00603C66">
        <w:rPr>
          <w:rFonts w:eastAsia="Times New Roman" w:cs="Arial"/>
          <w:color w:val="000000"/>
          <w:lang w:val="en-US"/>
        </w:rPr>
        <w:t>A</w:t>
      </w:r>
      <w:r w:rsidRPr="00603C66">
        <w:rPr>
          <w:rFonts w:eastAsia="Times New Roman" w:cs="Arial"/>
          <w:color w:val="000000"/>
          <w:lang w:val="ru-RU"/>
        </w:rPr>
        <w:t xml:space="preserve">4 </w:t>
      </w:r>
      <w:r w:rsidRPr="00603C66">
        <w:rPr>
          <w:rFonts w:eastAsia="Times New Roman" w:cs="Arial"/>
          <w:color w:val="000000"/>
          <w:lang w:eastAsia="bg-BG"/>
        </w:rPr>
        <w:t xml:space="preserve">може да наложи корекция на дозата на ивабрадин. Доказано е, че комбинацията от ивабрадин 10 </w:t>
      </w:r>
      <w:r w:rsidRPr="00603C66">
        <w:rPr>
          <w:rFonts w:eastAsia="Times New Roman" w:cs="Arial"/>
          <w:color w:val="000000"/>
          <w:lang w:val="en-US"/>
        </w:rPr>
        <w:t>mg</w:t>
      </w:r>
      <w:r w:rsidRPr="00603C66">
        <w:rPr>
          <w:rFonts w:eastAsia="Times New Roman" w:cs="Arial"/>
          <w:color w:val="000000"/>
          <w:lang w:val="ru-RU"/>
        </w:rPr>
        <w:t xml:space="preserve"> </w:t>
      </w:r>
      <w:r w:rsidRPr="00603C66">
        <w:rPr>
          <w:rFonts w:eastAsia="Times New Roman" w:cs="Arial"/>
          <w:color w:val="000000"/>
          <w:lang w:eastAsia="bg-BG"/>
        </w:rPr>
        <w:t xml:space="preserve">два пъти дневно с жълт кантарион намалява </w:t>
      </w:r>
      <w:r w:rsidRPr="00603C66">
        <w:rPr>
          <w:rFonts w:eastAsia="Times New Roman" w:cs="Arial"/>
          <w:color w:val="000000"/>
          <w:lang w:val="en-US"/>
        </w:rPr>
        <w:t>AUC</w:t>
      </w:r>
      <w:r w:rsidRPr="00603C66">
        <w:rPr>
          <w:rFonts w:eastAsia="Times New Roman" w:cs="Arial"/>
          <w:color w:val="000000"/>
          <w:lang w:val="ru-RU"/>
        </w:rPr>
        <w:t xml:space="preserve"> </w:t>
      </w:r>
      <w:r w:rsidRPr="00603C66">
        <w:rPr>
          <w:rFonts w:eastAsia="Times New Roman" w:cs="Arial"/>
          <w:color w:val="000000"/>
          <w:lang w:eastAsia="bg-BG"/>
        </w:rPr>
        <w:t>на ивабрадин наполовина. По време на лечение с ивабрадин приемът на жълт кантарион трябва да бъде ограничен.</w:t>
      </w:r>
    </w:p>
    <w:p w14:paraId="49AD3AF9" w14:textId="77777777" w:rsidR="00603C66" w:rsidRPr="00603C66" w:rsidRDefault="00603C66" w:rsidP="00603C66">
      <w:pPr>
        <w:spacing w:line="240" w:lineRule="auto"/>
        <w:rPr>
          <w:rFonts w:eastAsia="Times New Roman" w:cs="Arial"/>
          <w:i/>
          <w:iCs/>
          <w:color w:val="000000"/>
          <w:lang w:eastAsia="bg-BG"/>
        </w:rPr>
      </w:pPr>
    </w:p>
    <w:p w14:paraId="1F82C101" w14:textId="726FE4E6"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Едновременна употреба с други средства</w:t>
      </w:r>
    </w:p>
    <w:p w14:paraId="763317BB"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Специфични проучвания за лекарствени взаимодействия не са показали значим ефект на следните лекарствени продукти върху фармакокинетиката и фармакодинамиката на ивабрадин: инхибитори на протонната помпа (омепразол, лансопразол), силденафил, инхибитори на </w:t>
      </w:r>
      <w:r w:rsidRPr="00603C66">
        <w:rPr>
          <w:rFonts w:eastAsia="Times New Roman" w:cs="Arial"/>
          <w:color w:val="000000"/>
          <w:lang w:val="en-US"/>
        </w:rPr>
        <w:t>HMG</w:t>
      </w:r>
      <w:r w:rsidRPr="00603C66">
        <w:rPr>
          <w:rFonts w:eastAsia="Times New Roman" w:cs="Arial"/>
          <w:color w:val="000000"/>
          <w:lang w:val="ru-RU"/>
        </w:rPr>
        <w:t xml:space="preserve"> </w:t>
      </w:r>
      <w:r w:rsidRPr="00603C66">
        <w:rPr>
          <w:rFonts w:eastAsia="Times New Roman" w:cs="Arial"/>
          <w:color w:val="000000"/>
          <w:lang w:eastAsia="bg-BG"/>
        </w:rPr>
        <w:t>СоА редуктазата (симвастатин), дихидропиридинови калциеви антагонисти (амлодипин, ласидипин), дигоксин и варфарин. Освен това, не е настъпил клинично значим ефект на ивабрадин върху фармакокинетиката на симвастатин, амлодипин, ласидипин, върху фармакокинетиката и фармакодинамиката на дигоксин, варфарин и върху фармакодинамиката на аспирин.</w:t>
      </w:r>
    </w:p>
    <w:p w14:paraId="21224F01"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В основните клинични проучвания фаза </w:t>
      </w:r>
      <w:r w:rsidRPr="00603C66">
        <w:rPr>
          <w:rFonts w:eastAsia="Times New Roman" w:cs="Arial"/>
          <w:color w:val="000000"/>
          <w:lang w:val="en-US"/>
        </w:rPr>
        <w:t>III</w:t>
      </w:r>
      <w:r w:rsidRPr="00603C66">
        <w:rPr>
          <w:rFonts w:eastAsia="Times New Roman" w:cs="Arial"/>
          <w:color w:val="000000"/>
          <w:lang w:eastAsia="bg-BG"/>
        </w:rPr>
        <w:t xml:space="preserve"> следните лекарствени продукти са били комбинирани рутинно с ивабрадин, без данни за проблеми свързани с лекарствената безопасност: инхибитори на ангиотензин-конвертиращия ензим, ангиотензин </w:t>
      </w:r>
      <w:r w:rsidRPr="00603C66">
        <w:rPr>
          <w:rFonts w:eastAsia="Times New Roman" w:cs="Arial"/>
          <w:color w:val="000000"/>
          <w:lang w:val="en-US"/>
        </w:rPr>
        <w:t>II</w:t>
      </w:r>
      <w:r w:rsidRPr="00603C66">
        <w:rPr>
          <w:rFonts w:eastAsia="Times New Roman" w:cs="Arial"/>
          <w:color w:val="000000"/>
          <w:lang w:eastAsia="bg-BG"/>
        </w:rPr>
        <w:t xml:space="preserve">-рецепторни блокери, бета-блокери, диуретици, антагонисти на алдостерона, нитрати с кратко и дългодействие, инхибитори на </w:t>
      </w:r>
      <w:r w:rsidRPr="00603C66">
        <w:rPr>
          <w:rFonts w:eastAsia="Times New Roman" w:cs="Arial"/>
          <w:color w:val="000000"/>
          <w:lang w:val="en-US"/>
        </w:rPr>
        <w:t>HMG</w:t>
      </w:r>
      <w:r w:rsidRPr="00603C66">
        <w:rPr>
          <w:rFonts w:eastAsia="Times New Roman" w:cs="Arial"/>
          <w:color w:val="000000"/>
          <w:lang w:val="ru-RU"/>
        </w:rPr>
        <w:t xml:space="preserve"> </w:t>
      </w:r>
      <w:r w:rsidRPr="00603C66">
        <w:rPr>
          <w:rFonts w:eastAsia="Times New Roman" w:cs="Arial"/>
          <w:color w:val="000000"/>
          <w:lang w:eastAsia="bg-BG"/>
        </w:rPr>
        <w:t>СоА редуктазата, фибрати, инхибитори на протонната помпа, перорални противодиабетци, аспирин и други антитромбоцитни лекарствени продукти.</w:t>
      </w:r>
    </w:p>
    <w:p w14:paraId="71F77A8E" w14:textId="77777777" w:rsidR="00603C66" w:rsidRPr="00603C66" w:rsidRDefault="00603C66" w:rsidP="00603C66">
      <w:pPr>
        <w:spacing w:line="240" w:lineRule="auto"/>
        <w:rPr>
          <w:rFonts w:eastAsia="Times New Roman" w:cs="Arial"/>
          <w:i/>
          <w:iCs/>
          <w:color w:val="000000"/>
          <w:lang w:eastAsia="bg-BG"/>
        </w:rPr>
      </w:pPr>
    </w:p>
    <w:p w14:paraId="3C3DACC2" w14:textId="15BC4032" w:rsidR="00603C66" w:rsidRPr="00603C66" w:rsidRDefault="00603C66" w:rsidP="00603C66">
      <w:pPr>
        <w:spacing w:line="240" w:lineRule="auto"/>
        <w:rPr>
          <w:rFonts w:eastAsia="Times New Roman" w:cs="Arial"/>
          <w:sz w:val="24"/>
          <w:szCs w:val="24"/>
        </w:rPr>
      </w:pPr>
      <w:r w:rsidRPr="00603C66">
        <w:rPr>
          <w:rFonts w:eastAsia="Times New Roman" w:cs="Arial"/>
          <w:i/>
          <w:iCs/>
          <w:color w:val="000000"/>
          <w:lang w:eastAsia="bg-BG"/>
        </w:rPr>
        <w:t>Педиатрична популация</w:t>
      </w:r>
    </w:p>
    <w:p w14:paraId="702C8490" w14:textId="51FDC09D" w:rsidR="00603C66" w:rsidRDefault="00603C66" w:rsidP="00603C66">
      <w:pPr>
        <w:rPr>
          <w:rFonts w:eastAsia="Times New Roman" w:cs="Arial"/>
          <w:color w:val="000000"/>
          <w:lang w:eastAsia="bg-BG"/>
        </w:rPr>
      </w:pPr>
      <w:r w:rsidRPr="00603C66">
        <w:rPr>
          <w:rFonts w:eastAsia="Times New Roman" w:cs="Arial"/>
          <w:color w:val="000000"/>
          <w:lang w:eastAsia="bg-BG"/>
        </w:rPr>
        <w:t>Проучвания за взаимодействията са провеждани само при възрастни.</w:t>
      </w:r>
    </w:p>
    <w:p w14:paraId="0ED32EAA" w14:textId="77777777" w:rsidR="00603C66" w:rsidRPr="00603C66" w:rsidRDefault="00603C66" w:rsidP="00603C66">
      <w:pPr>
        <w:rPr>
          <w:rFonts w:cs="Arial"/>
        </w:rPr>
      </w:pPr>
    </w:p>
    <w:p w14:paraId="5D9F40EA" w14:textId="4372BBCE" w:rsidR="007122AD" w:rsidRDefault="002C50EE" w:rsidP="00936AD0">
      <w:pPr>
        <w:pStyle w:val="Heading2"/>
      </w:pPr>
      <w:r>
        <w:t>4.6. Фертилитет, бременност и кърмене</w:t>
      </w:r>
    </w:p>
    <w:p w14:paraId="239B9864" w14:textId="233203E7" w:rsidR="00603C66" w:rsidRDefault="00603C66" w:rsidP="00603C66"/>
    <w:p w14:paraId="00931FBC"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u w:val="single"/>
          <w:lang w:eastAsia="bg-BG"/>
        </w:rPr>
        <w:t>Жени с детероден потенциал</w:t>
      </w:r>
    </w:p>
    <w:p w14:paraId="27350EC5"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Жени с детероден потенциал трябва да използват подходящи контрацептивни мерки по време на лечението (вижте точка 4.3).</w:t>
      </w:r>
    </w:p>
    <w:p w14:paraId="2CAE79A3" w14:textId="77777777" w:rsidR="00603C66" w:rsidRPr="00603C66" w:rsidRDefault="00603C66" w:rsidP="00603C66">
      <w:pPr>
        <w:spacing w:line="240" w:lineRule="auto"/>
        <w:rPr>
          <w:rFonts w:eastAsia="Times New Roman" w:cs="Arial"/>
          <w:color w:val="000000"/>
          <w:u w:val="single"/>
          <w:lang w:eastAsia="bg-BG"/>
        </w:rPr>
      </w:pPr>
    </w:p>
    <w:p w14:paraId="39845A22" w14:textId="5E48DF61" w:rsidR="00603C66" w:rsidRPr="00603C66" w:rsidRDefault="00603C66" w:rsidP="00603C66">
      <w:pPr>
        <w:pStyle w:val="Heading3"/>
        <w:rPr>
          <w:rFonts w:eastAsia="Times New Roman"/>
          <w:u w:val="single"/>
        </w:rPr>
      </w:pPr>
      <w:r w:rsidRPr="00603C66">
        <w:rPr>
          <w:rFonts w:eastAsia="Times New Roman"/>
          <w:u w:val="single"/>
          <w:lang w:eastAsia="bg-BG"/>
        </w:rPr>
        <w:t>Бременност</w:t>
      </w:r>
    </w:p>
    <w:p w14:paraId="2582A308"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Липсват или има ограничени данни за употребата на ивабрадин при бременни жени. Проучванията при животни показват репродуктивна токсичност. Тези проучвания са показали ембриотоксичен и тератогенен ефект (вижте точка 5.3). Потенциалният риск за хората е неизвестен. Поради това, ивабрадин е противопоказан по време на бременност (вижте точка 4.3).</w:t>
      </w:r>
    </w:p>
    <w:p w14:paraId="26D56C0B" w14:textId="77777777" w:rsidR="00603C66" w:rsidRPr="00603C66" w:rsidRDefault="00603C66" w:rsidP="00603C66">
      <w:pPr>
        <w:spacing w:line="240" w:lineRule="auto"/>
        <w:rPr>
          <w:rFonts w:eastAsia="Times New Roman" w:cs="Arial"/>
          <w:color w:val="000000"/>
          <w:u w:val="single"/>
          <w:lang w:eastAsia="bg-BG"/>
        </w:rPr>
      </w:pPr>
    </w:p>
    <w:p w14:paraId="1FB52F71" w14:textId="3C7D1D2F" w:rsidR="00603C66" w:rsidRPr="00603C66" w:rsidRDefault="00603C66" w:rsidP="00603C66">
      <w:pPr>
        <w:pStyle w:val="Heading3"/>
        <w:rPr>
          <w:rFonts w:eastAsia="Times New Roman"/>
          <w:u w:val="single"/>
        </w:rPr>
      </w:pPr>
      <w:r w:rsidRPr="00603C66">
        <w:rPr>
          <w:rFonts w:eastAsia="Times New Roman"/>
          <w:u w:val="single"/>
          <w:lang w:eastAsia="bg-BG"/>
        </w:rPr>
        <w:lastRenderedPageBreak/>
        <w:t>Кърмене</w:t>
      </w:r>
    </w:p>
    <w:p w14:paraId="04E9CB1C"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Проучванията при животни показват, че ивабрадин се екскретира в кърмата. Поради това, ивабрадин е противопоказан по време на кърмене (вижте точка 4.3).</w:t>
      </w:r>
    </w:p>
    <w:p w14:paraId="029AD8A3" w14:textId="649E9EE9" w:rsidR="00603C66" w:rsidRPr="00603C66" w:rsidRDefault="00603C66" w:rsidP="00603C66">
      <w:pPr>
        <w:rPr>
          <w:rFonts w:eastAsia="Times New Roman" w:cs="Arial"/>
          <w:color w:val="000000"/>
          <w:lang w:eastAsia="bg-BG"/>
        </w:rPr>
      </w:pPr>
      <w:r w:rsidRPr="00603C66">
        <w:rPr>
          <w:rFonts w:eastAsia="Times New Roman" w:cs="Arial"/>
          <w:color w:val="000000"/>
          <w:lang w:eastAsia="bg-BG"/>
        </w:rPr>
        <w:t>Жени, които се нуждаят от лечение с ивабрадин, трябва да спрат да кърмят и да изберат друг</w:t>
      </w:r>
      <w:r w:rsidRPr="00603C66">
        <w:rPr>
          <w:rFonts w:eastAsia="Times New Roman" w:cs="Arial"/>
          <w:b/>
          <w:bCs/>
          <w:color w:val="000000"/>
          <w:lang w:eastAsia="bg-BG"/>
        </w:rPr>
        <w:t xml:space="preserve"> </w:t>
      </w:r>
      <w:r w:rsidRPr="00603C66">
        <w:rPr>
          <w:rFonts w:eastAsia="Times New Roman" w:cs="Arial"/>
          <w:color w:val="000000"/>
          <w:lang w:eastAsia="bg-BG"/>
        </w:rPr>
        <w:t>начин за хранене на тяхното дете.</w:t>
      </w:r>
    </w:p>
    <w:p w14:paraId="34434456" w14:textId="13A15C1B" w:rsidR="00603C66" w:rsidRPr="00603C66" w:rsidRDefault="00603C66" w:rsidP="00603C66">
      <w:pPr>
        <w:rPr>
          <w:rFonts w:eastAsia="Times New Roman" w:cs="Arial"/>
          <w:color w:val="000000"/>
          <w:lang w:eastAsia="bg-BG"/>
        </w:rPr>
      </w:pPr>
    </w:p>
    <w:p w14:paraId="200E667D" w14:textId="77777777" w:rsidR="00603C66" w:rsidRPr="00603C66" w:rsidRDefault="00603C66" w:rsidP="00603C66">
      <w:pPr>
        <w:pStyle w:val="Heading3"/>
        <w:rPr>
          <w:rFonts w:eastAsia="Times New Roman"/>
          <w:u w:val="single"/>
        </w:rPr>
      </w:pPr>
      <w:r w:rsidRPr="00603C66">
        <w:rPr>
          <w:rFonts w:eastAsia="Times New Roman"/>
          <w:u w:val="single"/>
          <w:lang w:eastAsia="bg-BG"/>
        </w:rPr>
        <w:t>Фертилитет</w:t>
      </w:r>
    </w:p>
    <w:p w14:paraId="637E889C"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Проучванията при плъхове не са показали ефект върху фертилитета при мъжките и женските индивиди (вижте точка 5.3)</w:t>
      </w:r>
    </w:p>
    <w:p w14:paraId="30572883" w14:textId="77777777" w:rsidR="00603C66" w:rsidRPr="00603C66" w:rsidRDefault="00603C66" w:rsidP="00603C66"/>
    <w:p w14:paraId="5DD7A76D" w14:textId="70787BB3" w:rsidR="007122AD" w:rsidRDefault="002C50EE" w:rsidP="00936AD0">
      <w:pPr>
        <w:pStyle w:val="Heading2"/>
      </w:pPr>
      <w:r>
        <w:t>4.7. Ефекти върху способността за шофиране и работа с машини</w:t>
      </w:r>
    </w:p>
    <w:p w14:paraId="592E7737" w14:textId="66A0561D" w:rsidR="00603C66" w:rsidRDefault="00603C66" w:rsidP="00603C66"/>
    <w:p w14:paraId="3FBFE576" w14:textId="77777777" w:rsidR="00603C66" w:rsidRPr="00603C66" w:rsidRDefault="00603C66" w:rsidP="00603C66">
      <w:pPr>
        <w:rPr>
          <w:sz w:val="24"/>
          <w:szCs w:val="24"/>
        </w:rPr>
      </w:pPr>
      <w:r w:rsidRPr="00603C66">
        <w:rPr>
          <w:lang w:eastAsia="bg-BG"/>
        </w:rPr>
        <w:t>Специфично проучване за оценка на възможното влияние на ивабрадин върху способността за шофиране при здрави доброволци не показа нарушения на способността за шофиране. Обаче, при пост-маркетинговия опит, са съобщени случаи на нарушена способност за шофиране, в резултат на зрителни симптоми. Ивабрадин може да предизвика преходни светлинни възприятия състоящи се главно от фосфени (вижте точка 4.8). Възможната поява на такива светлинни възприятия трябва да се има предвид при шофиране или работа с машини в ситуации, при които може да настъпи внезапна промяна на интензитета на светлината, особено при нощно кормуване.</w:t>
      </w:r>
    </w:p>
    <w:p w14:paraId="3FD2B450" w14:textId="77777777" w:rsidR="00603C66" w:rsidRPr="00603C66" w:rsidRDefault="00603C66" w:rsidP="00603C66">
      <w:pPr>
        <w:rPr>
          <w:sz w:val="24"/>
          <w:szCs w:val="24"/>
        </w:rPr>
      </w:pPr>
      <w:r w:rsidRPr="00603C66">
        <w:rPr>
          <w:lang w:eastAsia="bg-BG"/>
        </w:rPr>
        <w:t>Ивабрадин не повлиява способността за работа с машини.</w:t>
      </w:r>
    </w:p>
    <w:p w14:paraId="30148E46" w14:textId="77777777" w:rsidR="00603C66" w:rsidRPr="00603C66" w:rsidRDefault="00603C66" w:rsidP="00603C66"/>
    <w:p w14:paraId="44CE30A3" w14:textId="115C2FBE" w:rsidR="007122AD" w:rsidRDefault="002C50EE" w:rsidP="00936AD0">
      <w:pPr>
        <w:pStyle w:val="Heading2"/>
      </w:pPr>
      <w:r>
        <w:t>4.8. Нежелани лекарствени реакции</w:t>
      </w:r>
    </w:p>
    <w:p w14:paraId="18A034DD" w14:textId="5518B589" w:rsidR="00603C66" w:rsidRDefault="00603C66" w:rsidP="00603C66"/>
    <w:p w14:paraId="143716BC"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u w:val="single"/>
          <w:lang w:eastAsia="bg-BG"/>
        </w:rPr>
        <w:t>Резюме на профила за безопасност</w:t>
      </w:r>
    </w:p>
    <w:p w14:paraId="206FD4A2"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Ивабрадин е проучен в клинични проучвания обхващащи почти 45 000 участници.</w:t>
      </w:r>
    </w:p>
    <w:p w14:paraId="7D3D1660"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Най-честите нежелани реакции с ивабрадин, светлинни феномени (фосфени) и брадикардия, са дозозависими и свързани с фармакологичния ефект на лекарствения продукт.</w:t>
      </w:r>
    </w:p>
    <w:p w14:paraId="7BE8349C" w14:textId="77777777" w:rsidR="00603C66" w:rsidRPr="00603C66" w:rsidRDefault="00603C66" w:rsidP="00603C66">
      <w:pPr>
        <w:spacing w:line="240" w:lineRule="auto"/>
        <w:rPr>
          <w:rFonts w:eastAsia="Times New Roman" w:cs="Arial"/>
          <w:color w:val="000000"/>
          <w:u w:val="single"/>
          <w:lang w:eastAsia="bg-BG"/>
        </w:rPr>
      </w:pPr>
    </w:p>
    <w:p w14:paraId="2B9064AD" w14:textId="20FF4434" w:rsidR="00603C66" w:rsidRPr="00603C66" w:rsidRDefault="00603C66" w:rsidP="00603C66">
      <w:pPr>
        <w:spacing w:line="240" w:lineRule="auto"/>
        <w:rPr>
          <w:rFonts w:eastAsia="Times New Roman" w:cs="Arial"/>
          <w:sz w:val="24"/>
          <w:szCs w:val="24"/>
        </w:rPr>
      </w:pPr>
      <w:r w:rsidRPr="00603C66">
        <w:rPr>
          <w:rFonts w:eastAsia="Times New Roman" w:cs="Arial"/>
          <w:color w:val="000000"/>
          <w:u w:val="single"/>
          <w:lang w:eastAsia="bg-BG"/>
        </w:rPr>
        <w:t>Списък на нежеланите лекарствени реакции в табличен вид</w:t>
      </w:r>
    </w:p>
    <w:p w14:paraId="5D7307CE"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Следните нежелани реакции се съобщават по време на клинични проучвания и са представени по следната класифицират за честота: много чести (≥1/10); чести (≥1/100 до &lt; 1/10); нечести (≥1/1 000 до &lt; 1/100); редки (≥1/10 000 до &lt; 1/1 000); много редки (&lt; 1/10 000); с неизвестна честота (от наличните данни не може да бъде направена оценка).</w:t>
      </w:r>
    </w:p>
    <w:p w14:paraId="2FF92BE7" w14:textId="777B0D84" w:rsidR="00603C66" w:rsidRDefault="00603C66" w:rsidP="00603C66"/>
    <w:tbl>
      <w:tblPr>
        <w:tblStyle w:val="TableGrid"/>
        <w:tblW w:w="0" w:type="auto"/>
        <w:tblLook w:val="04A0" w:firstRow="1" w:lastRow="0" w:firstColumn="1" w:lastColumn="0" w:noHBand="0" w:noVBand="1"/>
      </w:tblPr>
      <w:tblGrid>
        <w:gridCol w:w="3128"/>
        <w:gridCol w:w="3092"/>
        <w:gridCol w:w="3130"/>
      </w:tblGrid>
      <w:tr w:rsidR="00603C66" w14:paraId="02898C37" w14:textId="77777777" w:rsidTr="00603C66">
        <w:tc>
          <w:tcPr>
            <w:tcW w:w="3192" w:type="dxa"/>
          </w:tcPr>
          <w:p w14:paraId="65BB2ED7" w14:textId="1BC47A25" w:rsidR="00603C66" w:rsidRPr="00603C66" w:rsidRDefault="00603C66" w:rsidP="00603C66">
            <w:pPr>
              <w:rPr>
                <w:rFonts w:cs="Arial"/>
              </w:rPr>
            </w:pPr>
            <w:r w:rsidRPr="00603C66">
              <w:rPr>
                <w:rFonts w:cs="Arial"/>
              </w:rPr>
              <w:t>Системо-органен клас</w:t>
            </w:r>
          </w:p>
        </w:tc>
        <w:tc>
          <w:tcPr>
            <w:tcW w:w="3192" w:type="dxa"/>
          </w:tcPr>
          <w:p w14:paraId="5900E89D" w14:textId="5B8EAF56" w:rsidR="00603C66" w:rsidRPr="00603C66" w:rsidRDefault="00603C66" w:rsidP="00603C66">
            <w:pPr>
              <w:rPr>
                <w:rFonts w:cs="Arial"/>
              </w:rPr>
            </w:pPr>
            <w:r w:rsidRPr="00603C66">
              <w:rPr>
                <w:rFonts w:cs="Arial"/>
              </w:rPr>
              <w:t>Честота</w:t>
            </w:r>
          </w:p>
        </w:tc>
        <w:tc>
          <w:tcPr>
            <w:tcW w:w="3192" w:type="dxa"/>
          </w:tcPr>
          <w:p w14:paraId="12E8A834" w14:textId="0BE9648A" w:rsidR="00603C66" w:rsidRPr="00603C66" w:rsidRDefault="00603C66" w:rsidP="00603C66">
            <w:pPr>
              <w:rPr>
                <w:rFonts w:cs="Arial"/>
              </w:rPr>
            </w:pPr>
            <w:r w:rsidRPr="00603C66">
              <w:rPr>
                <w:rFonts w:cs="Arial"/>
              </w:rPr>
              <w:t>Нежелана реакция</w:t>
            </w:r>
          </w:p>
        </w:tc>
      </w:tr>
      <w:tr w:rsidR="00603C66" w14:paraId="5ADEEA84" w14:textId="77777777" w:rsidTr="00603C66">
        <w:tc>
          <w:tcPr>
            <w:tcW w:w="3192" w:type="dxa"/>
          </w:tcPr>
          <w:p w14:paraId="71D4CBBB" w14:textId="13C2C3FF" w:rsidR="00603C66" w:rsidRPr="00603C66" w:rsidRDefault="00603C66" w:rsidP="00603C66">
            <w:pPr>
              <w:rPr>
                <w:rFonts w:cs="Arial"/>
              </w:rPr>
            </w:pPr>
            <w:r w:rsidRPr="00603C66">
              <w:rPr>
                <w:rFonts w:cs="Arial"/>
              </w:rPr>
              <w:t>Нарушения на кръвта и лимфната система</w:t>
            </w:r>
          </w:p>
        </w:tc>
        <w:tc>
          <w:tcPr>
            <w:tcW w:w="3192" w:type="dxa"/>
          </w:tcPr>
          <w:p w14:paraId="0B98B628" w14:textId="31E5DA84" w:rsidR="00603C66" w:rsidRPr="00603C66" w:rsidRDefault="00603C66" w:rsidP="00603C66">
            <w:pPr>
              <w:rPr>
                <w:rFonts w:cs="Arial"/>
              </w:rPr>
            </w:pPr>
            <w:r w:rsidRPr="00603C66">
              <w:rPr>
                <w:rFonts w:cs="Arial"/>
              </w:rPr>
              <w:t>Нечести</w:t>
            </w:r>
          </w:p>
        </w:tc>
        <w:tc>
          <w:tcPr>
            <w:tcW w:w="3192" w:type="dxa"/>
          </w:tcPr>
          <w:p w14:paraId="7C90D240" w14:textId="59FCBB5D" w:rsidR="00603C66" w:rsidRPr="00603C66" w:rsidRDefault="00603C66" w:rsidP="00603C66">
            <w:pPr>
              <w:rPr>
                <w:rFonts w:cs="Arial"/>
              </w:rPr>
            </w:pPr>
            <w:r w:rsidRPr="00603C66">
              <w:rPr>
                <w:rFonts w:cs="Arial"/>
              </w:rPr>
              <w:t>Еозинофилия</w:t>
            </w:r>
          </w:p>
        </w:tc>
      </w:tr>
      <w:tr w:rsidR="00603C66" w14:paraId="6785D60C" w14:textId="77777777" w:rsidTr="00603C66">
        <w:tc>
          <w:tcPr>
            <w:tcW w:w="3192" w:type="dxa"/>
          </w:tcPr>
          <w:p w14:paraId="34D7C12A" w14:textId="4FACCE94" w:rsidR="00603C66" w:rsidRPr="00603C66" w:rsidRDefault="00603C66" w:rsidP="00603C66">
            <w:pPr>
              <w:rPr>
                <w:rFonts w:cs="Arial"/>
              </w:rPr>
            </w:pPr>
            <w:r w:rsidRPr="00603C66">
              <w:rPr>
                <w:rFonts w:cs="Arial"/>
              </w:rPr>
              <w:t>Нарушения на метаболизма и храненето</w:t>
            </w:r>
          </w:p>
        </w:tc>
        <w:tc>
          <w:tcPr>
            <w:tcW w:w="3192" w:type="dxa"/>
          </w:tcPr>
          <w:p w14:paraId="541A41B9" w14:textId="337DDDE8" w:rsidR="00603C66" w:rsidRPr="00603C66" w:rsidRDefault="00603C66" w:rsidP="00603C66">
            <w:pPr>
              <w:rPr>
                <w:rFonts w:cs="Arial"/>
              </w:rPr>
            </w:pPr>
            <w:r w:rsidRPr="00603C66">
              <w:rPr>
                <w:rFonts w:cs="Arial"/>
              </w:rPr>
              <w:t>Нечести</w:t>
            </w:r>
          </w:p>
        </w:tc>
        <w:tc>
          <w:tcPr>
            <w:tcW w:w="3192" w:type="dxa"/>
          </w:tcPr>
          <w:p w14:paraId="0E582B67" w14:textId="7EB6D476" w:rsidR="00603C66" w:rsidRPr="00603C66" w:rsidRDefault="00603C66" w:rsidP="00603C66">
            <w:pPr>
              <w:rPr>
                <w:rFonts w:cs="Arial"/>
              </w:rPr>
            </w:pPr>
            <w:r w:rsidRPr="00603C66">
              <w:rPr>
                <w:rFonts w:cs="Arial"/>
              </w:rPr>
              <w:t>Хиперурикемия</w:t>
            </w:r>
          </w:p>
        </w:tc>
      </w:tr>
      <w:tr w:rsidR="00603C66" w14:paraId="13AD0BEB" w14:textId="77777777" w:rsidTr="00603C66">
        <w:tc>
          <w:tcPr>
            <w:tcW w:w="3192" w:type="dxa"/>
            <w:vMerge w:val="restart"/>
          </w:tcPr>
          <w:p w14:paraId="14717D14" w14:textId="4701A223" w:rsidR="00603C66" w:rsidRPr="00603C66" w:rsidRDefault="00603C66" w:rsidP="00603C66">
            <w:pPr>
              <w:rPr>
                <w:rFonts w:cs="Arial"/>
              </w:rPr>
            </w:pPr>
            <w:r w:rsidRPr="00603C66">
              <w:rPr>
                <w:rFonts w:cs="Arial"/>
              </w:rPr>
              <w:t>Нарушения на нервната система</w:t>
            </w:r>
          </w:p>
        </w:tc>
        <w:tc>
          <w:tcPr>
            <w:tcW w:w="3192" w:type="dxa"/>
            <w:vMerge w:val="restart"/>
          </w:tcPr>
          <w:p w14:paraId="60D81F43" w14:textId="24B5E884" w:rsidR="00603C66" w:rsidRPr="00603C66" w:rsidRDefault="00603C66" w:rsidP="00603C66">
            <w:pPr>
              <w:rPr>
                <w:rFonts w:cs="Arial"/>
              </w:rPr>
            </w:pPr>
            <w:r w:rsidRPr="00603C66">
              <w:rPr>
                <w:rFonts w:cs="Arial"/>
              </w:rPr>
              <w:t>Чести</w:t>
            </w:r>
          </w:p>
        </w:tc>
        <w:tc>
          <w:tcPr>
            <w:tcW w:w="3192" w:type="dxa"/>
          </w:tcPr>
          <w:p w14:paraId="5E34339E" w14:textId="71A5D496" w:rsidR="00603C66" w:rsidRPr="00603C66" w:rsidRDefault="00603C66" w:rsidP="00603C66">
            <w:pPr>
              <w:rPr>
                <w:rFonts w:cs="Arial"/>
              </w:rPr>
            </w:pPr>
            <w:r w:rsidRPr="00603C66">
              <w:rPr>
                <w:rFonts w:cs="Arial"/>
              </w:rPr>
              <w:t>Главоболие, обикновено през първия месец от лечението</w:t>
            </w:r>
          </w:p>
        </w:tc>
      </w:tr>
      <w:tr w:rsidR="00603C66" w14:paraId="220324CE" w14:textId="77777777" w:rsidTr="00603C66">
        <w:tc>
          <w:tcPr>
            <w:tcW w:w="3192" w:type="dxa"/>
            <w:vMerge/>
          </w:tcPr>
          <w:p w14:paraId="70AEEFD7" w14:textId="77777777" w:rsidR="00603C66" w:rsidRPr="00603C66" w:rsidRDefault="00603C66" w:rsidP="00603C66">
            <w:pPr>
              <w:rPr>
                <w:rFonts w:cs="Arial"/>
              </w:rPr>
            </w:pPr>
          </w:p>
        </w:tc>
        <w:tc>
          <w:tcPr>
            <w:tcW w:w="3192" w:type="dxa"/>
            <w:vMerge/>
          </w:tcPr>
          <w:p w14:paraId="0233F129" w14:textId="77777777" w:rsidR="00603C66" w:rsidRPr="00603C66" w:rsidRDefault="00603C66" w:rsidP="00603C66">
            <w:pPr>
              <w:rPr>
                <w:rFonts w:cs="Arial"/>
              </w:rPr>
            </w:pPr>
          </w:p>
        </w:tc>
        <w:tc>
          <w:tcPr>
            <w:tcW w:w="3192" w:type="dxa"/>
          </w:tcPr>
          <w:p w14:paraId="1DB774A8" w14:textId="01D96705" w:rsidR="00603C66" w:rsidRPr="00603C66" w:rsidRDefault="00603C66" w:rsidP="00603C66">
            <w:pPr>
              <w:rPr>
                <w:rFonts w:cs="Arial"/>
              </w:rPr>
            </w:pPr>
            <w:r w:rsidRPr="00603C66">
              <w:rPr>
                <w:rFonts w:cs="Arial"/>
              </w:rPr>
              <w:t>Замайване, вероятно свързано с брадикардия</w:t>
            </w:r>
          </w:p>
        </w:tc>
      </w:tr>
      <w:tr w:rsidR="00603C66" w14:paraId="3A2CF0FD" w14:textId="77777777" w:rsidTr="00603C66">
        <w:tc>
          <w:tcPr>
            <w:tcW w:w="3192" w:type="dxa"/>
            <w:vMerge/>
          </w:tcPr>
          <w:p w14:paraId="6DA7C029" w14:textId="77777777" w:rsidR="00603C66" w:rsidRPr="00603C66" w:rsidRDefault="00603C66" w:rsidP="00603C66">
            <w:pPr>
              <w:rPr>
                <w:rFonts w:cs="Arial"/>
              </w:rPr>
            </w:pPr>
          </w:p>
        </w:tc>
        <w:tc>
          <w:tcPr>
            <w:tcW w:w="3192" w:type="dxa"/>
          </w:tcPr>
          <w:p w14:paraId="5783D01E" w14:textId="0C51ED48" w:rsidR="00603C66" w:rsidRPr="00603C66" w:rsidRDefault="00603C66" w:rsidP="00603C66">
            <w:pPr>
              <w:rPr>
                <w:rFonts w:cs="Arial"/>
              </w:rPr>
            </w:pPr>
            <w:r w:rsidRPr="00603C66">
              <w:rPr>
                <w:rFonts w:cs="Arial"/>
              </w:rPr>
              <w:t>Нечести*</w:t>
            </w:r>
          </w:p>
        </w:tc>
        <w:tc>
          <w:tcPr>
            <w:tcW w:w="3192" w:type="dxa"/>
          </w:tcPr>
          <w:p w14:paraId="76D3E609" w14:textId="3E089B0E" w:rsidR="00603C66" w:rsidRPr="00603C66" w:rsidRDefault="00603C66" w:rsidP="00603C66">
            <w:pPr>
              <w:rPr>
                <w:rFonts w:cs="Arial"/>
              </w:rPr>
            </w:pPr>
            <w:r w:rsidRPr="00603C66">
              <w:rPr>
                <w:rFonts w:cs="Arial"/>
              </w:rPr>
              <w:t>Синкоп, вероятно свързан с брадикардия</w:t>
            </w:r>
          </w:p>
        </w:tc>
      </w:tr>
      <w:tr w:rsidR="00603C66" w14:paraId="04226FD4" w14:textId="77777777" w:rsidTr="00603C66">
        <w:tc>
          <w:tcPr>
            <w:tcW w:w="3192" w:type="dxa"/>
            <w:vMerge w:val="restart"/>
          </w:tcPr>
          <w:p w14:paraId="6925EE5A" w14:textId="78AE9201" w:rsidR="00603C66" w:rsidRPr="00603C66" w:rsidRDefault="00603C66" w:rsidP="00603C66">
            <w:pPr>
              <w:rPr>
                <w:rFonts w:cs="Arial"/>
              </w:rPr>
            </w:pPr>
            <w:r w:rsidRPr="00603C66">
              <w:rPr>
                <w:rFonts w:cs="Arial"/>
              </w:rPr>
              <w:t>Нарушения на окото</w:t>
            </w:r>
          </w:p>
        </w:tc>
        <w:tc>
          <w:tcPr>
            <w:tcW w:w="3192" w:type="dxa"/>
          </w:tcPr>
          <w:p w14:paraId="6F35E7BB" w14:textId="5C2433B6" w:rsidR="00603C66" w:rsidRPr="00603C66" w:rsidRDefault="00603C66" w:rsidP="00603C66">
            <w:pPr>
              <w:rPr>
                <w:rFonts w:cs="Arial"/>
              </w:rPr>
            </w:pPr>
            <w:r w:rsidRPr="00603C66">
              <w:rPr>
                <w:rFonts w:cs="Arial"/>
              </w:rPr>
              <w:t>Много чести</w:t>
            </w:r>
          </w:p>
        </w:tc>
        <w:tc>
          <w:tcPr>
            <w:tcW w:w="3192" w:type="dxa"/>
          </w:tcPr>
          <w:p w14:paraId="0207E680" w14:textId="73E0B6FD" w:rsidR="00603C66" w:rsidRPr="00603C66" w:rsidRDefault="00603C66" w:rsidP="00603C66">
            <w:pPr>
              <w:rPr>
                <w:rFonts w:cs="Arial"/>
              </w:rPr>
            </w:pPr>
            <w:r w:rsidRPr="00603C66">
              <w:rPr>
                <w:rFonts w:cs="Arial"/>
              </w:rPr>
              <w:t>Светлинни феномени (фосфени)</w:t>
            </w:r>
          </w:p>
        </w:tc>
      </w:tr>
      <w:tr w:rsidR="00603C66" w14:paraId="6B24BC4E" w14:textId="77777777" w:rsidTr="00603C66">
        <w:tc>
          <w:tcPr>
            <w:tcW w:w="3192" w:type="dxa"/>
            <w:vMerge/>
          </w:tcPr>
          <w:p w14:paraId="3828DBC1" w14:textId="77777777" w:rsidR="00603C66" w:rsidRPr="00603C66" w:rsidRDefault="00603C66" w:rsidP="00603C66">
            <w:pPr>
              <w:rPr>
                <w:rFonts w:cs="Arial"/>
              </w:rPr>
            </w:pPr>
          </w:p>
        </w:tc>
        <w:tc>
          <w:tcPr>
            <w:tcW w:w="3192" w:type="dxa"/>
          </w:tcPr>
          <w:p w14:paraId="12834D61" w14:textId="0ED8FB01" w:rsidR="00603C66" w:rsidRPr="00603C66" w:rsidRDefault="00603C66" w:rsidP="00603C66">
            <w:pPr>
              <w:rPr>
                <w:rFonts w:cs="Arial"/>
              </w:rPr>
            </w:pPr>
            <w:r w:rsidRPr="00603C66">
              <w:rPr>
                <w:rFonts w:cs="Arial"/>
              </w:rPr>
              <w:t>Чести</w:t>
            </w:r>
          </w:p>
        </w:tc>
        <w:tc>
          <w:tcPr>
            <w:tcW w:w="3192" w:type="dxa"/>
          </w:tcPr>
          <w:p w14:paraId="523C375D" w14:textId="352208D7" w:rsidR="00603C66" w:rsidRPr="00603C66" w:rsidRDefault="00603C66" w:rsidP="00603C66">
            <w:pPr>
              <w:rPr>
                <w:rFonts w:cs="Arial"/>
              </w:rPr>
            </w:pPr>
            <w:r w:rsidRPr="00603C66">
              <w:rPr>
                <w:rFonts w:cs="Arial"/>
              </w:rPr>
              <w:t>Неясно виждане</w:t>
            </w:r>
          </w:p>
        </w:tc>
      </w:tr>
      <w:tr w:rsidR="00603C66" w14:paraId="57011D20" w14:textId="77777777" w:rsidTr="00603C66">
        <w:tc>
          <w:tcPr>
            <w:tcW w:w="3192" w:type="dxa"/>
            <w:vMerge/>
          </w:tcPr>
          <w:p w14:paraId="7B58EE26" w14:textId="77777777" w:rsidR="00603C66" w:rsidRPr="00603C66" w:rsidRDefault="00603C66" w:rsidP="00603C66">
            <w:pPr>
              <w:rPr>
                <w:rFonts w:cs="Arial"/>
              </w:rPr>
            </w:pPr>
          </w:p>
        </w:tc>
        <w:tc>
          <w:tcPr>
            <w:tcW w:w="3192" w:type="dxa"/>
            <w:vMerge w:val="restart"/>
          </w:tcPr>
          <w:p w14:paraId="1DB524B6" w14:textId="75B9F1C6" w:rsidR="00603C66" w:rsidRPr="00603C66" w:rsidRDefault="00603C66" w:rsidP="00603C66">
            <w:pPr>
              <w:rPr>
                <w:rFonts w:cs="Arial"/>
              </w:rPr>
            </w:pPr>
            <w:r w:rsidRPr="00603C66">
              <w:rPr>
                <w:rFonts w:cs="Arial"/>
              </w:rPr>
              <w:t>Нечести*</w:t>
            </w:r>
          </w:p>
        </w:tc>
        <w:tc>
          <w:tcPr>
            <w:tcW w:w="3192" w:type="dxa"/>
          </w:tcPr>
          <w:p w14:paraId="494E2C2A" w14:textId="797D38AE" w:rsidR="00603C66" w:rsidRPr="00603C66" w:rsidRDefault="00603C66" w:rsidP="00603C66">
            <w:pPr>
              <w:rPr>
                <w:rFonts w:cs="Arial"/>
              </w:rPr>
            </w:pPr>
            <w:r w:rsidRPr="00603C66">
              <w:rPr>
                <w:rFonts w:cs="Arial"/>
              </w:rPr>
              <w:t>Диплопия</w:t>
            </w:r>
          </w:p>
        </w:tc>
      </w:tr>
      <w:tr w:rsidR="00603C66" w14:paraId="44E4CC8D" w14:textId="77777777" w:rsidTr="00603C66">
        <w:tc>
          <w:tcPr>
            <w:tcW w:w="3192" w:type="dxa"/>
            <w:vMerge/>
          </w:tcPr>
          <w:p w14:paraId="60C7349B" w14:textId="77777777" w:rsidR="00603C66" w:rsidRPr="00603C66" w:rsidRDefault="00603C66" w:rsidP="00603C66">
            <w:pPr>
              <w:rPr>
                <w:rFonts w:cs="Arial"/>
              </w:rPr>
            </w:pPr>
          </w:p>
        </w:tc>
        <w:tc>
          <w:tcPr>
            <w:tcW w:w="3192" w:type="dxa"/>
            <w:vMerge/>
          </w:tcPr>
          <w:p w14:paraId="553A124C" w14:textId="77777777" w:rsidR="00603C66" w:rsidRPr="00603C66" w:rsidRDefault="00603C66" w:rsidP="00603C66">
            <w:pPr>
              <w:rPr>
                <w:rFonts w:cs="Arial"/>
              </w:rPr>
            </w:pPr>
          </w:p>
        </w:tc>
        <w:tc>
          <w:tcPr>
            <w:tcW w:w="3192" w:type="dxa"/>
          </w:tcPr>
          <w:p w14:paraId="2FDCCE58" w14:textId="53F45FE0" w:rsidR="00603C66" w:rsidRPr="00603C66" w:rsidRDefault="00603C66" w:rsidP="00603C66">
            <w:pPr>
              <w:rPr>
                <w:rFonts w:cs="Arial"/>
              </w:rPr>
            </w:pPr>
            <w:r w:rsidRPr="00603C66">
              <w:rPr>
                <w:rFonts w:cs="Arial"/>
              </w:rPr>
              <w:t>Нарушение на зрението</w:t>
            </w:r>
          </w:p>
        </w:tc>
      </w:tr>
      <w:tr w:rsidR="00603C66" w14:paraId="172319DD" w14:textId="77777777" w:rsidTr="00603C66">
        <w:tc>
          <w:tcPr>
            <w:tcW w:w="3192" w:type="dxa"/>
          </w:tcPr>
          <w:p w14:paraId="18881B1C" w14:textId="610EE72B" w:rsidR="00603C66" w:rsidRPr="00603C66" w:rsidRDefault="00603C66" w:rsidP="00603C66">
            <w:pPr>
              <w:rPr>
                <w:rFonts w:cs="Arial"/>
              </w:rPr>
            </w:pPr>
            <w:r w:rsidRPr="00603C66">
              <w:rPr>
                <w:rFonts w:cs="Arial"/>
              </w:rPr>
              <w:t>Нарушения на ухото и лабиринта</w:t>
            </w:r>
          </w:p>
        </w:tc>
        <w:tc>
          <w:tcPr>
            <w:tcW w:w="3192" w:type="dxa"/>
          </w:tcPr>
          <w:p w14:paraId="3884CB80" w14:textId="13C751D0" w:rsidR="00603C66" w:rsidRPr="00603C66" w:rsidRDefault="00603C66" w:rsidP="00603C66">
            <w:pPr>
              <w:rPr>
                <w:rFonts w:cs="Arial"/>
              </w:rPr>
            </w:pPr>
            <w:r w:rsidRPr="00603C66">
              <w:rPr>
                <w:rFonts w:cs="Arial"/>
              </w:rPr>
              <w:t>Нечести</w:t>
            </w:r>
          </w:p>
        </w:tc>
        <w:tc>
          <w:tcPr>
            <w:tcW w:w="3192" w:type="dxa"/>
          </w:tcPr>
          <w:p w14:paraId="597FCE88" w14:textId="609A4F55" w:rsidR="00603C66" w:rsidRPr="00603C66" w:rsidRDefault="00603C66" w:rsidP="00603C66">
            <w:pPr>
              <w:rPr>
                <w:rFonts w:cs="Arial"/>
              </w:rPr>
            </w:pPr>
            <w:r w:rsidRPr="00603C66">
              <w:rPr>
                <w:rFonts w:cs="Arial"/>
              </w:rPr>
              <w:t>Световъртеж</w:t>
            </w:r>
          </w:p>
        </w:tc>
      </w:tr>
      <w:tr w:rsidR="00603C66" w14:paraId="49867B91" w14:textId="77777777" w:rsidTr="00603C66">
        <w:tc>
          <w:tcPr>
            <w:tcW w:w="3192" w:type="dxa"/>
            <w:vMerge w:val="restart"/>
          </w:tcPr>
          <w:p w14:paraId="38A400B0" w14:textId="1AE2679E" w:rsidR="00603C66" w:rsidRPr="00603C66" w:rsidRDefault="00603C66" w:rsidP="00603C66">
            <w:pPr>
              <w:rPr>
                <w:rFonts w:cs="Arial"/>
              </w:rPr>
            </w:pPr>
            <w:r w:rsidRPr="00603C66">
              <w:rPr>
                <w:rFonts w:cs="Arial"/>
              </w:rPr>
              <w:t>Сърдечни нарушения</w:t>
            </w:r>
          </w:p>
        </w:tc>
        <w:tc>
          <w:tcPr>
            <w:tcW w:w="3192" w:type="dxa"/>
            <w:vMerge w:val="restart"/>
          </w:tcPr>
          <w:p w14:paraId="06BB2BC5" w14:textId="7AADD5E9" w:rsidR="00603C66" w:rsidRPr="00603C66" w:rsidRDefault="00603C66" w:rsidP="00603C66">
            <w:pPr>
              <w:rPr>
                <w:rFonts w:cs="Arial"/>
              </w:rPr>
            </w:pPr>
            <w:r w:rsidRPr="00603C66">
              <w:rPr>
                <w:rFonts w:cs="Arial"/>
              </w:rPr>
              <w:t>Чести</w:t>
            </w:r>
          </w:p>
        </w:tc>
        <w:tc>
          <w:tcPr>
            <w:tcW w:w="3192" w:type="dxa"/>
          </w:tcPr>
          <w:p w14:paraId="558AD126" w14:textId="79F450B7" w:rsidR="00603C66" w:rsidRPr="00603C66" w:rsidRDefault="00603C66" w:rsidP="00603C66">
            <w:pPr>
              <w:rPr>
                <w:rFonts w:cs="Arial"/>
              </w:rPr>
            </w:pPr>
            <w:r w:rsidRPr="00603C66">
              <w:rPr>
                <w:rFonts w:cs="Arial"/>
              </w:rPr>
              <w:t>Брадикардия</w:t>
            </w:r>
          </w:p>
        </w:tc>
      </w:tr>
      <w:tr w:rsidR="00603C66" w14:paraId="2347FFCC" w14:textId="77777777" w:rsidTr="00603C66">
        <w:tc>
          <w:tcPr>
            <w:tcW w:w="3192" w:type="dxa"/>
            <w:vMerge/>
          </w:tcPr>
          <w:p w14:paraId="473F3E92" w14:textId="77777777" w:rsidR="00603C66" w:rsidRPr="00603C66" w:rsidRDefault="00603C66" w:rsidP="00603C66">
            <w:pPr>
              <w:rPr>
                <w:rFonts w:cs="Arial"/>
              </w:rPr>
            </w:pPr>
          </w:p>
        </w:tc>
        <w:tc>
          <w:tcPr>
            <w:tcW w:w="3192" w:type="dxa"/>
            <w:vMerge/>
          </w:tcPr>
          <w:p w14:paraId="60503929" w14:textId="77777777" w:rsidR="00603C66" w:rsidRPr="00603C66" w:rsidRDefault="00603C66" w:rsidP="00603C66">
            <w:pPr>
              <w:rPr>
                <w:rFonts w:cs="Arial"/>
              </w:rPr>
            </w:pPr>
          </w:p>
        </w:tc>
        <w:tc>
          <w:tcPr>
            <w:tcW w:w="3192" w:type="dxa"/>
          </w:tcPr>
          <w:p w14:paraId="00ADB6BC" w14:textId="2CC96D19" w:rsidR="00603C66" w:rsidRPr="00603C66" w:rsidRDefault="00603C66" w:rsidP="00603C66">
            <w:pPr>
              <w:rPr>
                <w:rFonts w:cs="Arial"/>
              </w:rPr>
            </w:pPr>
            <w:r w:rsidRPr="00603C66">
              <w:rPr>
                <w:rFonts w:cs="Arial"/>
                <w:lang w:val="en-US"/>
              </w:rPr>
              <w:t>AV</w:t>
            </w:r>
            <w:r w:rsidRPr="00603C66">
              <w:rPr>
                <w:rFonts w:cs="Arial"/>
                <w:lang w:val="ru-RU"/>
              </w:rPr>
              <w:t xml:space="preserve"> </w:t>
            </w:r>
            <w:r w:rsidRPr="00603C66">
              <w:rPr>
                <w:rFonts w:cs="Arial"/>
              </w:rPr>
              <w:t xml:space="preserve">блок I степен (удължен </w:t>
            </w:r>
            <w:r w:rsidRPr="00603C66">
              <w:rPr>
                <w:rFonts w:cs="Arial"/>
                <w:lang w:val="en-US"/>
              </w:rPr>
              <w:t>PQ</w:t>
            </w:r>
            <w:r w:rsidRPr="00603C66">
              <w:rPr>
                <w:rFonts w:cs="Arial"/>
                <w:lang w:val="ru-RU"/>
              </w:rPr>
              <w:t xml:space="preserve"> </w:t>
            </w:r>
            <w:r w:rsidRPr="00603C66">
              <w:rPr>
                <w:rFonts w:cs="Arial"/>
              </w:rPr>
              <w:t>интервал на ЕКГ)</w:t>
            </w:r>
          </w:p>
        </w:tc>
      </w:tr>
      <w:tr w:rsidR="00603C66" w14:paraId="63245C86" w14:textId="77777777" w:rsidTr="00603C66">
        <w:tc>
          <w:tcPr>
            <w:tcW w:w="3192" w:type="dxa"/>
            <w:vMerge/>
          </w:tcPr>
          <w:p w14:paraId="1C2D031D" w14:textId="77777777" w:rsidR="00603C66" w:rsidRPr="00603C66" w:rsidRDefault="00603C66" w:rsidP="00603C66">
            <w:pPr>
              <w:rPr>
                <w:rFonts w:cs="Arial"/>
              </w:rPr>
            </w:pPr>
          </w:p>
        </w:tc>
        <w:tc>
          <w:tcPr>
            <w:tcW w:w="3192" w:type="dxa"/>
            <w:vMerge/>
          </w:tcPr>
          <w:p w14:paraId="05DD31E3" w14:textId="77777777" w:rsidR="00603C66" w:rsidRPr="00603C66" w:rsidRDefault="00603C66" w:rsidP="00603C66">
            <w:pPr>
              <w:rPr>
                <w:rFonts w:cs="Arial"/>
              </w:rPr>
            </w:pPr>
          </w:p>
        </w:tc>
        <w:tc>
          <w:tcPr>
            <w:tcW w:w="3192" w:type="dxa"/>
          </w:tcPr>
          <w:p w14:paraId="11CF9218" w14:textId="466B3238" w:rsidR="00603C66" w:rsidRPr="00603C66" w:rsidRDefault="00603C66" w:rsidP="00603C66">
            <w:pPr>
              <w:rPr>
                <w:rFonts w:cs="Arial"/>
              </w:rPr>
            </w:pPr>
            <w:r w:rsidRPr="00603C66">
              <w:rPr>
                <w:rFonts w:cs="Arial"/>
              </w:rPr>
              <w:t>Камерни екстрасистоли</w:t>
            </w:r>
          </w:p>
        </w:tc>
      </w:tr>
      <w:tr w:rsidR="00603C66" w14:paraId="26271725" w14:textId="77777777" w:rsidTr="00603C66">
        <w:tc>
          <w:tcPr>
            <w:tcW w:w="3192" w:type="dxa"/>
            <w:vMerge/>
          </w:tcPr>
          <w:p w14:paraId="04FE72E9" w14:textId="77777777" w:rsidR="00603C66" w:rsidRPr="00603C66" w:rsidRDefault="00603C66" w:rsidP="00603C66">
            <w:pPr>
              <w:rPr>
                <w:rFonts w:cs="Arial"/>
              </w:rPr>
            </w:pPr>
          </w:p>
        </w:tc>
        <w:tc>
          <w:tcPr>
            <w:tcW w:w="3192" w:type="dxa"/>
            <w:vMerge/>
          </w:tcPr>
          <w:p w14:paraId="308B17EE" w14:textId="77777777" w:rsidR="00603C66" w:rsidRPr="00603C66" w:rsidRDefault="00603C66" w:rsidP="00603C66">
            <w:pPr>
              <w:rPr>
                <w:rFonts w:cs="Arial"/>
              </w:rPr>
            </w:pPr>
          </w:p>
        </w:tc>
        <w:tc>
          <w:tcPr>
            <w:tcW w:w="3192" w:type="dxa"/>
          </w:tcPr>
          <w:p w14:paraId="6321E3A5" w14:textId="19727BE4" w:rsidR="00603C66" w:rsidRPr="00603C66" w:rsidRDefault="00603C66" w:rsidP="00603C66">
            <w:pPr>
              <w:rPr>
                <w:rFonts w:cs="Arial"/>
              </w:rPr>
            </w:pPr>
            <w:r w:rsidRPr="00603C66">
              <w:rPr>
                <w:rFonts w:cs="Arial"/>
              </w:rPr>
              <w:t>Предсърдно мъждене</w:t>
            </w:r>
          </w:p>
        </w:tc>
      </w:tr>
      <w:tr w:rsidR="00603C66" w14:paraId="3E3563DD" w14:textId="77777777" w:rsidTr="00603C66">
        <w:tc>
          <w:tcPr>
            <w:tcW w:w="3192" w:type="dxa"/>
            <w:vMerge/>
          </w:tcPr>
          <w:p w14:paraId="44AFB6FD" w14:textId="77777777" w:rsidR="00603C66" w:rsidRPr="00603C66" w:rsidRDefault="00603C66" w:rsidP="00603C66">
            <w:pPr>
              <w:rPr>
                <w:rFonts w:cs="Arial"/>
              </w:rPr>
            </w:pPr>
          </w:p>
        </w:tc>
        <w:tc>
          <w:tcPr>
            <w:tcW w:w="3192" w:type="dxa"/>
          </w:tcPr>
          <w:p w14:paraId="240BEBDE" w14:textId="5807A2BB" w:rsidR="00603C66" w:rsidRPr="00603C66" w:rsidRDefault="00603C66" w:rsidP="00603C66">
            <w:pPr>
              <w:rPr>
                <w:rFonts w:cs="Arial"/>
              </w:rPr>
            </w:pPr>
            <w:r w:rsidRPr="00603C66">
              <w:rPr>
                <w:rFonts w:cs="Arial"/>
              </w:rPr>
              <w:t>Нечести</w:t>
            </w:r>
          </w:p>
        </w:tc>
        <w:tc>
          <w:tcPr>
            <w:tcW w:w="3192" w:type="dxa"/>
          </w:tcPr>
          <w:p w14:paraId="37FAD605" w14:textId="77777777" w:rsidR="00603C66" w:rsidRPr="00603C66" w:rsidRDefault="00603C66" w:rsidP="00603C66">
            <w:pPr>
              <w:rPr>
                <w:rFonts w:cs="Arial"/>
              </w:rPr>
            </w:pPr>
          </w:p>
          <w:p w14:paraId="786462F6" w14:textId="2CF161D9" w:rsidR="00603C66" w:rsidRPr="00603C66" w:rsidRDefault="00603C66" w:rsidP="00603C66">
            <w:pPr>
              <w:rPr>
                <w:rFonts w:cs="Arial"/>
              </w:rPr>
            </w:pPr>
            <w:r w:rsidRPr="00603C66">
              <w:rPr>
                <w:rFonts w:cs="Arial"/>
              </w:rPr>
              <w:t>Палпитации, надкамерни екстрасистоли</w:t>
            </w:r>
          </w:p>
        </w:tc>
      </w:tr>
      <w:tr w:rsidR="00603C66" w14:paraId="091968ED" w14:textId="77777777" w:rsidTr="00603C66">
        <w:tc>
          <w:tcPr>
            <w:tcW w:w="3192" w:type="dxa"/>
            <w:vMerge/>
          </w:tcPr>
          <w:p w14:paraId="2144EFBA" w14:textId="77777777" w:rsidR="00603C66" w:rsidRPr="00603C66" w:rsidRDefault="00603C66" w:rsidP="00603C66">
            <w:pPr>
              <w:rPr>
                <w:rFonts w:cs="Arial"/>
              </w:rPr>
            </w:pPr>
          </w:p>
        </w:tc>
        <w:tc>
          <w:tcPr>
            <w:tcW w:w="3192" w:type="dxa"/>
            <w:vMerge w:val="restart"/>
          </w:tcPr>
          <w:p w14:paraId="6CAD6F43" w14:textId="4343881D" w:rsidR="00603C66" w:rsidRPr="00603C66" w:rsidRDefault="00603C66" w:rsidP="00603C66">
            <w:pPr>
              <w:rPr>
                <w:rFonts w:cs="Arial"/>
              </w:rPr>
            </w:pPr>
            <w:r w:rsidRPr="00603C66">
              <w:rPr>
                <w:rFonts w:cs="Arial"/>
              </w:rPr>
              <w:t>Много редки</w:t>
            </w:r>
          </w:p>
        </w:tc>
        <w:tc>
          <w:tcPr>
            <w:tcW w:w="3192" w:type="dxa"/>
          </w:tcPr>
          <w:p w14:paraId="54923C20" w14:textId="10C9A8EA" w:rsidR="00603C66" w:rsidRPr="00603C66" w:rsidRDefault="00603C66" w:rsidP="00603C66">
            <w:pPr>
              <w:rPr>
                <w:rFonts w:cs="Arial"/>
              </w:rPr>
            </w:pPr>
            <w:r w:rsidRPr="00603C66">
              <w:rPr>
                <w:rFonts w:cs="Arial"/>
                <w:lang w:val="en-US"/>
              </w:rPr>
              <w:t>AV</w:t>
            </w:r>
            <w:r w:rsidRPr="00603C66">
              <w:rPr>
                <w:rFonts w:cs="Arial"/>
                <w:lang w:val="ru-RU"/>
              </w:rPr>
              <w:t xml:space="preserve"> </w:t>
            </w:r>
            <w:r w:rsidRPr="00603C66">
              <w:rPr>
                <w:rFonts w:cs="Arial"/>
              </w:rPr>
              <w:t xml:space="preserve">блок </w:t>
            </w:r>
            <w:r w:rsidRPr="00603C66">
              <w:rPr>
                <w:rFonts w:cs="Arial"/>
                <w:lang w:val="en-US"/>
              </w:rPr>
              <w:t>II</w:t>
            </w:r>
            <w:r w:rsidRPr="00603C66">
              <w:rPr>
                <w:rFonts w:cs="Arial"/>
              </w:rPr>
              <w:t xml:space="preserve"> степен, </w:t>
            </w:r>
            <w:r w:rsidRPr="00603C66">
              <w:rPr>
                <w:rFonts w:cs="Arial"/>
                <w:lang w:val="en-US"/>
              </w:rPr>
              <w:t>AV</w:t>
            </w:r>
            <w:r w:rsidRPr="00603C66">
              <w:rPr>
                <w:rFonts w:cs="Arial"/>
                <w:lang w:val="ru-RU"/>
              </w:rPr>
              <w:t xml:space="preserve"> </w:t>
            </w:r>
            <w:r w:rsidRPr="00603C66">
              <w:rPr>
                <w:rFonts w:cs="Arial"/>
              </w:rPr>
              <w:t xml:space="preserve">блок </w:t>
            </w:r>
            <w:r w:rsidRPr="00603C66">
              <w:rPr>
                <w:rFonts w:cs="Arial"/>
                <w:lang w:val="en-US"/>
              </w:rPr>
              <w:t>III</w:t>
            </w:r>
            <w:r w:rsidRPr="00603C66">
              <w:rPr>
                <w:rFonts w:cs="Arial"/>
                <w:lang w:val="ru-RU"/>
              </w:rPr>
              <w:t xml:space="preserve"> </w:t>
            </w:r>
            <w:r w:rsidRPr="00603C66">
              <w:rPr>
                <w:rFonts w:cs="Arial"/>
              </w:rPr>
              <w:t>степен</w:t>
            </w:r>
          </w:p>
        </w:tc>
      </w:tr>
      <w:tr w:rsidR="00603C66" w14:paraId="6980E9C8" w14:textId="77777777" w:rsidTr="00603C66">
        <w:tc>
          <w:tcPr>
            <w:tcW w:w="3192" w:type="dxa"/>
            <w:vMerge/>
          </w:tcPr>
          <w:p w14:paraId="2EDB02A6" w14:textId="77777777" w:rsidR="00603C66" w:rsidRPr="00603C66" w:rsidRDefault="00603C66" w:rsidP="00603C66">
            <w:pPr>
              <w:rPr>
                <w:rFonts w:cs="Arial"/>
              </w:rPr>
            </w:pPr>
          </w:p>
        </w:tc>
        <w:tc>
          <w:tcPr>
            <w:tcW w:w="3192" w:type="dxa"/>
            <w:vMerge/>
          </w:tcPr>
          <w:p w14:paraId="230156C6" w14:textId="77777777" w:rsidR="00603C66" w:rsidRPr="00603C66" w:rsidRDefault="00603C66" w:rsidP="00603C66">
            <w:pPr>
              <w:rPr>
                <w:rFonts w:cs="Arial"/>
              </w:rPr>
            </w:pPr>
          </w:p>
        </w:tc>
        <w:tc>
          <w:tcPr>
            <w:tcW w:w="3192" w:type="dxa"/>
          </w:tcPr>
          <w:p w14:paraId="056AB3D0" w14:textId="2361CD76" w:rsidR="00603C66" w:rsidRPr="00603C66" w:rsidRDefault="00603C66" w:rsidP="00603C66">
            <w:pPr>
              <w:rPr>
                <w:rFonts w:cs="Arial"/>
              </w:rPr>
            </w:pPr>
            <w:r w:rsidRPr="00603C66">
              <w:rPr>
                <w:rFonts w:cs="Arial"/>
              </w:rPr>
              <w:t>Синдром на болния синусов възел</w:t>
            </w:r>
          </w:p>
        </w:tc>
      </w:tr>
      <w:tr w:rsidR="00603C66" w14:paraId="20C83350" w14:textId="77777777" w:rsidTr="00603C66">
        <w:tc>
          <w:tcPr>
            <w:tcW w:w="3192" w:type="dxa"/>
          </w:tcPr>
          <w:p w14:paraId="119598D7" w14:textId="435EAE23" w:rsidR="00603C66" w:rsidRPr="00603C66" w:rsidRDefault="00603C66" w:rsidP="00603C66">
            <w:pPr>
              <w:rPr>
                <w:rFonts w:cs="Arial"/>
              </w:rPr>
            </w:pPr>
            <w:r w:rsidRPr="00603C66">
              <w:rPr>
                <w:rFonts w:cs="Arial"/>
              </w:rPr>
              <w:t>Системо-органен клас</w:t>
            </w:r>
          </w:p>
        </w:tc>
        <w:tc>
          <w:tcPr>
            <w:tcW w:w="3192" w:type="dxa"/>
          </w:tcPr>
          <w:p w14:paraId="33153B42" w14:textId="224B4BB5" w:rsidR="00603C66" w:rsidRPr="00603C66" w:rsidRDefault="00603C66" w:rsidP="00603C66">
            <w:pPr>
              <w:rPr>
                <w:rFonts w:cs="Arial"/>
              </w:rPr>
            </w:pPr>
            <w:r w:rsidRPr="00603C66">
              <w:rPr>
                <w:rFonts w:cs="Arial"/>
              </w:rPr>
              <w:t>Честота</w:t>
            </w:r>
          </w:p>
        </w:tc>
        <w:tc>
          <w:tcPr>
            <w:tcW w:w="3192" w:type="dxa"/>
          </w:tcPr>
          <w:p w14:paraId="508F33EF" w14:textId="3DA4342C" w:rsidR="00603C66" w:rsidRPr="00603C66" w:rsidRDefault="00603C66" w:rsidP="00603C66">
            <w:pPr>
              <w:rPr>
                <w:rFonts w:cs="Arial"/>
              </w:rPr>
            </w:pPr>
            <w:r w:rsidRPr="00603C66">
              <w:rPr>
                <w:rFonts w:cs="Arial"/>
              </w:rPr>
              <w:t>Нежелана реакция</w:t>
            </w:r>
          </w:p>
        </w:tc>
      </w:tr>
      <w:tr w:rsidR="00603C66" w14:paraId="7BD2C29A" w14:textId="77777777" w:rsidTr="00603C66">
        <w:tc>
          <w:tcPr>
            <w:tcW w:w="3192" w:type="dxa"/>
            <w:vMerge w:val="restart"/>
          </w:tcPr>
          <w:p w14:paraId="3B655596" w14:textId="5F725885" w:rsidR="00603C66" w:rsidRPr="00603C66" w:rsidRDefault="00603C66" w:rsidP="00603C66">
            <w:pPr>
              <w:rPr>
                <w:rFonts w:cs="Arial"/>
              </w:rPr>
            </w:pPr>
            <w:r w:rsidRPr="00603C66">
              <w:rPr>
                <w:rFonts w:cs="Arial"/>
              </w:rPr>
              <w:t>Съдови нарушения</w:t>
            </w:r>
          </w:p>
        </w:tc>
        <w:tc>
          <w:tcPr>
            <w:tcW w:w="3192" w:type="dxa"/>
          </w:tcPr>
          <w:p w14:paraId="399126F2" w14:textId="40BACCAB" w:rsidR="00603C66" w:rsidRPr="00603C66" w:rsidRDefault="00603C66" w:rsidP="00603C66">
            <w:pPr>
              <w:rPr>
                <w:rFonts w:cs="Arial"/>
              </w:rPr>
            </w:pPr>
            <w:r w:rsidRPr="00603C66">
              <w:rPr>
                <w:rFonts w:cs="Arial"/>
              </w:rPr>
              <w:t>Чести</w:t>
            </w:r>
          </w:p>
        </w:tc>
        <w:tc>
          <w:tcPr>
            <w:tcW w:w="3192" w:type="dxa"/>
          </w:tcPr>
          <w:p w14:paraId="108FE862" w14:textId="594A9A9B" w:rsidR="00603C66" w:rsidRPr="00603C66" w:rsidRDefault="00603C66" w:rsidP="00603C66">
            <w:pPr>
              <w:rPr>
                <w:rFonts w:cs="Arial"/>
              </w:rPr>
            </w:pPr>
            <w:r w:rsidRPr="00603C66">
              <w:rPr>
                <w:rFonts w:cs="Arial"/>
              </w:rPr>
              <w:t>Неконтролирано кръвно налягане</w:t>
            </w:r>
          </w:p>
        </w:tc>
      </w:tr>
      <w:tr w:rsidR="00603C66" w14:paraId="67EF2FE3" w14:textId="77777777" w:rsidTr="00603C66">
        <w:tc>
          <w:tcPr>
            <w:tcW w:w="3192" w:type="dxa"/>
            <w:vMerge/>
          </w:tcPr>
          <w:p w14:paraId="5F808754" w14:textId="77777777" w:rsidR="00603C66" w:rsidRPr="00603C66" w:rsidRDefault="00603C66" w:rsidP="00603C66">
            <w:pPr>
              <w:rPr>
                <w:rFonts w:cs="Arial"/>
              </w:rPr>
            </w:pPr>
          </w:p>
        </w:tc>
        <w:tc>
          <w:tcPr>
            <w:tcW w:w="3192" w:type="dxa"/>
          </w:tcPr>
          <w:p w14:paraId="60D4853E" w14:textId="1E1A0806" w:rsidR="00603C66" w:rsidRPr="00603C66" w:rsidRDefault="00603C66" w:rsidP="00603C66">
            <w:pPr>
              <w:rPr>
                <w:rFonts w:cs="Arial"/>
              </w:rPr>
            </w:pPr>
            <w:r w:rsidRPr="00603C66">
              <w:rPr>
                <w:rFonts w:cs="Arial"/>
              </w:rPr>
              <w:t>Нечести*</w:t>
            </w:r>
          </w:p>
        </w:tc>
        <w:tc>
          <w:tcPr>
            <w:tcW w:w="3192" w:type="dxa"/>
          </w:tcPr>
          <w:p w14:paraId="540892A9" w14:textId="67B28E3E" w:rsidR="00603C66" w:rsidRPr="00603C66" w:rsidRDefault="00603C66" w:rsidP="00603C66">
            <w:pPr>
              <w:rPr>
                <w:rFonts w:cs="Arial"/>
              </w:rPr>
            </w:pPr>
            <w:r w:rsidRPr="00603C66">
              <w:rPr>
                <w:rFonts w:cs="Arial"/>
              </w:rPr>
              <w:t>Хипотония, вероятно свързана с брадикардия</w:t>
            </w:r>
          </w:p>
        </w:tc>
      </w:tr>
      <w:tr w:rsidR="00603C66" w14:paraId="55C71885" w14:textId="77777777" w:rsidTr="00603C66">
        <w:tc>
          <w:tcPr>
            <w:tcW w:w="3192" w:type="dxa"/>
          </w:tcPr>
          <w:p w14:paraId="5E0D1724" w14:textId="4807C5FA" w:rsidR="00603C66" w:rsidRPr="00603C66" w:rsidRDefault="00603C66" w:rsidP="00603C66">
            <w:pPr>
              <w:rPr>
                <w:rFonts w:cs="Arial"/>
              </w:rPr>
            </w:pPr>
            <w:r w:rsidRPr="00603C66">
              <w:rPr>
                <w:rFonts w:cs="Arial"/>
              </w:rPr>
              <w:t>Респираторни, гръдни и медиастинални нарушения</w:t>
            </w:r>
          </w:p>
        </w:tc>
        <w:tc>
          <w:tcPr>
            <w:tcW w:w="3192" w:type="dxa"/>
          </w:tcPr>
          <w:p w14:paraId="373DADB3" w14:textId="6D42DF69" w:rsidR="00603C66" w:rsidRPr="00603C66" w:rsidRDefault="00603C66" w:rsidP="00603C66">
            <w:pPr>
              <w:rPr>
                <w:rFonts w:cs="Arial"/>
              </w:rPr>
            </w:pPr>
            <w:r w:rsidRPr="00603C66">
              <w:rPr>
                <w:rFonts w:cs="Arial"/>
              </w:rPr>
              <w:t>Нечести</w:t>
            </w:r>
          </w:p>
        </w:tc>
        <w:tc>
          <w:tcPr>
            <w:tcW w:w="3192" w:type="dxa"/>
          </w:tcPr>
          <w:p w14:paraId="543D7BE6" w14:textId="3981A5F2" w:rsidR="00603C66" w:rsidRPr="00603C66" w:rsidRDefault="00603C66" w:rsidP="00603C66">
            <w:pPr>
              <w:rPr>
                <w:rFonts w:cs="Arial"/>
              </w:rPr>
            </w:pPr>
            <w:r w:rsidRPr="00603C66">
              <w:rPr>
                <w:rFonts w:cs="Arial"/>
              </w:rPr>
              <w:t>Диспнея</w:t>
            </w:r>
          </w:p>
        </w:tc>
      </w:tr>
      <w:tr w:rsidR="00603C66" w14:paraId="466328F9" w14:textId="77777777" w:rsidTr="00603C66">
        <w:tc>
          <w:tcPr>
            <w:tcW w:w="3192" w:type="dxa"/>
            <w:vMerge w:val="restart"/>
          </w:tcPr>
          <w:p w14:paraId="52048AB8" w14:textId="3DC816D9" w:rsidR="00603C66" w:rsidRPr="00603C66" w:rsidRDefault="00603C66" w:rsidP="00603C66">
            <w:pPr>
              <w:rPr>
                <w:rFonts w:cs="Arial"/>
              </w:rPr>
            </w:pPr>
            <w:r w:rsidRPr="00603C66">
              <w:rPr>
                <w:rFonts w:cs="Arial"/>
              </w:rPr>
              <w:t>Стомашно-чревни нарушения</w:t>
            </w:r>
          </w:p>
        </w:tc>
        <w:tc>
          <w:tcPr>
            <w:tcW w:w="3192" w:type="dxa"/>
            <w:vMerge w:val="restart"/>
          </w:tcPr>
          <w:p w14:paraId="134A9DF9" w14:textId="402145D1" w:rsidR="00603C66" w:rsidRPr="00603C66" w:rsidRDefault="00603C66" w:rsidP="00603C66">
            <w:pPr>
              <w:rPr>
                <w:rFonts w:cs="Arial"/>
              </w:rPr>
            </w:pPr>
            <w:r w:rsidRPr="00603C66">
              <w:rPr>
                <w:rFonts w:cs="Arial"/>
              </w:rPr>
              <w:t>Нечести</w:t>
            </w:r>
          </w:p>
        </w:tc>
        <w:tc>
          <w:tcPr>
            <w:tcW w:w="3192" w:type="dxa"/>
          </w:tcPr>
          <w:p w14:paraId="309B06DD" w14:textId="57804B99" w:rsidR="00603C66" w:rsidRPr="00603C66" w:rsidRDefault="00603C66" w:rsidP="00603C66">
            <w:pPr>
              <w:rPr>
                <w:rFonts w:cs="Arial"/>
              </w:rPr>
            </w:pPr>
            <w:r w:rsidRPr="00603C66">
              <w:rPr>
                <w:rFonts w:cs="Arial"/>
              </w:rPr>
              <w:t>Гадене</w:t>
            </w:r>
          </w:p>
        </w:tc>
      </w:tr>
      <w:tr w:rsidR="00603C66" w14:paraId="4B7D46D8" w14:textId="77777777" w:rsidTr="00603C66">
        <w:tc>
          <w:tcPr>
            <w:tcW w:w="3192" w:type="dxa"/>
            <w:vMerge/>
          </w:tcPr>
          <w:p w14:paraId="6527A661" w14:textId="77777777" w:rsidR="00603C66" w:rsidRPr="00603C66" w:rsidRDefault="00603C66" w:rsidP="00603C66">
            <w:pPr>
              <w:rPr>
                <w:rFonts w:cs="Arial"/>
              </w:rPr>
            </w:pPr>
          </w:p>
        </w:tc>
        <w:tc>
          <w:tcPr>
            <w:tcW w:w="3192" w:type="dxa"/>
            <w:vMerge/>
          </w:tcPr>
          <w:p w14:paraId="3D26D3D8" w14:textId="77777777" w:rsidR="00603C66" w:rsidRPr="00603C66" w:rsidRDefault="00603C66" w:rsidP="00603C66">
            <w:pPr>
              <w:rPr>
                <w:rFonts w:cs="Arial"/>
              </w:rPr>
            </w:pPr>
          </w:p>
        </w:tc>
        <w:tc>
          <w:tcPr>
            <w:tcW w:w="3192" w:type="dxa"/>
          </w:tcPr>
          <w:p w14:paraId="1599E1EF" w14:textId="6FE12344" w:rsidR="00603C66" w:rsidRPr="00603C66" w:rsidRDefault="00603C66" w:rsidP="00603C66">
            <w:pPr>
              <w:rPr>
                <w:rFonts w:cs="Arial"/>
              </w:rPr>
            </w:pPr>
            <w:r w:rsidRPr="00603C66">
              <w:rPr>
                <w:rFonts w:cs="Arial"/>
              </w:rPr>
              <w:t>Запек</w:t>
            </w:r>
          </w:p>
        </w:tc>
      </w:tr>
      <w:tr w:rsidR="00603C66" w14:paraId="197ADADF" w14:textId="77777777" w:rsidTr="00603C66">
        <w:tc>
          <w:tcPr>
            <w:tcW w:w="3192" w:type="dxa"/>
            <w:vMerge/>
          </w:tcPr>
          <w:p w14:paraId="2013AF14" w14:textId="77777777" w:rsidR="00603C66" w:rsidRPr="00603C66" w:rsidRDefault="00603C66" w:rsidP="00603C66">
            <w:pPr>
              <w:rPr>
                <w:rFonts w:cs="Arial"/>
              </w:rPr>
            </w:pPr>
          </w:p>
        </w:tc>
        <w:tc>
          <w:tcPr>
            <w:tcW w:w="3192" w:type="dxa"/>
            <w:vMerge/>
          </w:tcPr>
          <w:p w14:paraId="2E30473E" w14:textId="77777777" w:rsidR="00603C66" w:rsidRPr="00603C66" w:rsidRDefault="00603C66" w:rsidP="00603C66">
            <w:pPr>
              <w:rPr>
                <w:rFonts w:cs="Arial"/>
              </w:rPr>
            </w:pPr>
          </w:p>
        </w:tc>
        <w:tc>
          <w:tcPr>
            <w:tcW w:w="3192" w:type="dxa"/>
          </w:tcPr>
          <w:p w14:paraId="0D29D91D" w14:textId="2B12DD1E" w:rsidR="00603C66" w:rsidRPr="00603C66" w:rsidRDefault="00603C66" w:rsidP="00603C66">
            <w:pPr>
              <w:rPr>
                <w:rFonts w:cs="Arial"/>
              </w:rPr>
            </w:pPr>
            <w:r w:rsidRPr="00603C66">
              <w:rPr>
                <w:rFonts w:cs="Arial"/>
              </w:rPr>
              <w:t>Диария</w:t>
            </w:r>
          </w:p>
        </w:tc>
      </w:tr>
      <w:tr w:rsidR="00603C66" w14:paraId="28893AE4" w14:textId="77777777" w:rsidTr="00603C66">
        <w:trPr>
          <w:trHeight w:val="64"/>
        </w:trPr>
        <w:tc>
          <w:tcPr>
            <w:tcW w:w="3192" w:type="dxa"/>
            <w:vMerge/>
          </w:tcPr>
          <w:p w14:paraId="192B4C5E" w14:textId="77777777" w:rsidR="00603C66" w:rsidRPr="00603C66" w:rsidRDefault="00603C66" w:rsidP="00603C66">
            <w:pPr>
              <w:rPr>
                <w:rFonts w:cs="Arial"/>
              </w:rPr>
            </w:pPr>
          </w:p>
        </w:tc>
        <w:tc>
          <w:tcPr>
            <w:tcW w:w="3192" w:type="dxa"/>
            <w:vMerge/>
          </w:tcPr>
          <w:p w14:paraId="2D1D8432" w14:textId="77777777" w:rsidR="00603C66" w:rsidRPr="00603C66" w:rsidRDefault="00603C66" w:rsidP="00603C66">
            <w:pPr>
              <w:rPr>
                <w:rFonts w:cs="Arial"/>
              </w:rPr>
            </w:pPr>
          </w:p>
        </w:tc>
        <w:tc>
          <w:tcPr>
            <w:tcW w:w="3192" w:type="dxa"/>
          </w:tcPr>
          <w:p w14:paraId="60654808" w14:textId="0DB993A8" w:rsidR="00603C66" w:rsidRPr="00603C66" w:rsidRDefault="00603C66" w:rsidP="00603C66">
            <w:pPr>
              <w:rPr>
                <w:rFonts w:cs="Arial"/>
              </w:rPr>
            </w:pPr>
            <w:r w:rsidRPr="00603C66">
              <w:rPr>
                <w:rFonts w:cs="Arial"/>
              </w:rPr>
              <w:t>Коремна болка*</w:t>
            </w:r>
          </w:p>
        </w:tc>
      </w:tr>
      <w:tr w:rsidR="00603C66" w14:paraId="6B7633E3" w14:textId="77777777" w:rsidTr="00603C66">
        <w:tc>
          <w:tcPr>
            <w:tcW w:w="3192" w:type="dxa"/>
            <w:vMerge w:val="restart"/>
          </w:tcPr>
          <w:p w14:paraId="33A50A74" w14:textId="5480FAE4" w:rsidR="00603C66" w:rsidRPr="00603C66" w:rsidRDefault="00603C66" w:rsidP="00603C66">
            <w:pPr>
              <w:rPr>
                <w:rFonts w:cs="Arial"/>
              </w:rPr>
            </w:pPr>
            <w:r w:rsidRPr="00603C66">
              <w:rPr>
                <w:rFonts w:cs="Arial"/>
              </w:rPr>
              <w:t>Нарушения на кожата и подкожната тъкан</w:t>
            </w:r>
          </w:p>
        </w:tc>
        <w:tc>
          <w:tcPr>
            <w:tcW w:w="3192" w:type="dxa"/>
            <w:vMerge w:val="restart"/>
          </w:tcPr>
          <w:p w14:paraId="5D8EE4DF" w14:textId="7325EAE5" w:rsidR="00603C66" w:rsidRPr="00603C66" w:rsidRDefault="00603C66" w:rsidP="00603C66">
            <w:pPr>
              <w:rPr>
                <w:rFonts w:cs="Arial"/>
              </w:rPr>
            </w:pPr>
            <w:r w:rsidRPr="00603C66">
              <w:rPr>
                <w:rFonts w:cs="Arial"/>
              </w:rPr>
              <w:t>Нечести*</w:t>
            </w:r>
          </w:p>
        </w:tc>
        <w:tc>
          <w:tcPr>
            <w:tcW w:w="3192" w:type="dxa"/>
          </w:tcPr>
          <w:p w14:paraId="4DEF2BF5" w14:textId="10B14CE1" w:rsidR="00603C66" w:rsidRPr="00603C66" w:rsidRDefault="00603C66" w:rsidP="00603C66">
            <w:pPr>
              <w:rPr>
                <w:rFonts w:cs="Arial"/>
              </w:rPr>
            </w:pPr>
            <w:r w:rsidRPr="00603C66">
              <w:rPr>
                <w:rFonts w:cs="Arial"/>
              </w:rPr>
              <w:t>Ангиоедем</w:t>
            </w:r>
          </w:p>
        </w:tc>
      </w:tr>
      <w:tr w:rsidR="00603C66" w14:paraId="75FEB3F7" w14:textId="77777777" w:rsidTr="00603C66">
        <w:tc>
          <w:tcPr>
            <w:tcW w:w="3192" w:type="dxa"/>
            <w:vMerge/>
          </w:tcPr>
          <w:p w14:paraId="30B17C29" w14:textId="77777777" w:rsidR="00603C66" w:rsidRPr="00603C66" w:rsidRDefault="00603C66" w:rsidP="00603C66">
            <w:pPr>
              <w:rPr>
                <w:rFonts w:cs="Arial"/>
              </w:rPr>
            </w:pPr>
          </w:p>
        </w:tc>
        <w:tc>
          <w:tcPr>
            <w:tcW w:w="3192" w:type="dxa"/>
            <w:vMerge/>
          </w:tcPr>
          <w:p w14:paraId="23F4EB91" w14:textId="77777777" w:rsidR="00603C66" w:rsidRPr="00603C66" w:rsidRDefault="00603C66" w:rsidP="00603C66">
            <w:pPr>
              <w:rPr>
                <w:rFonts w:cs="Arial"/>
              </w:rPr>
            </w:pPr>
          </w:p>
        </w:tc>
        <w:tc>
          <w:tcPr>
            <w:tcW w:w="3192" w:type="dxa"/>
          </w:tcPr>
          <w:p w14:paraId="05FDD5C6" w14:textId="7CDF069C" w:rsidR="00603C66" w:rsidRPr="00603C66" w:rsidRDefault="00603C66" w:rsidP="00603C66">
            <w:pPr>
              <w:rPr>
                <w:rFonts w:cs="Arial"/>
              </w:rPr>
            </w:pPr>
            <w:r w:rsidRPr="00603C66">
              <w:rPr>
                <w:rFonts w:cs="Arial"/>
              </w:rPr>
              <w:t>Обрив</w:t>
            </w:r>
          </w:p>
        </w:tc>
      </w:tr>
      <w:tr w:rsidR="00603C66" w14:paraId="296D945A" w14:textId="77777777" w:rsidTr="00603C66">
        <w:tc>
          <w:tcPr>
            <w:tcW w:w="3192" w:type="dxa"/>
            <w:vMerge/>
          </w:tcPr>
          <w:p w14:paraId="474AFCEC" w14:textId="77777777" w:rsidR="00603C66" w:rsidRPr="00603C66" w:rsidRDefault="00603C66" w:rsidP="00603C66">
            <w:pPr>
              <w:rPr>
                <w:rFonts w:cs="Arial"/>
              </w:rPr>
            </w:pPr>
          </w:p>
        </w:tc>
        <w:tc>
          <w:tcPr>
            <w:tcW w:w="3192" w:type="dxa"/>
            <w:vMerge w:val="restart"/>
          </w:tcPr>
          <w:p w14:paraId="22D5BCAF" w14:textId="130D9BB1" w:rsidR="00603C66" w:rsidRPr="00603C66" w:rsidRDefault="00603C66" w:rsidP="00603C66">
            <w:pPr>
              <w:rPr>
                <w:rFonts w:cs="Arial"/>
              </w:rPr>
            </w:pPr>
            <w:r w:rsidRPr="00603C66">
              <w:rPr>
                <w:rFonts w:cs="Arial"/>
              </w:rPr>
              <w:t>Редки*</w:t>
            </w:r>
          </w:p>
        </w:tc>
        <w:tc>
          <w:tcPr>
            <w:tcW w:w="3192" w:type="dxa"/>
          </w:tcPr>
          <w:p w14:paraId="7CB43BF8" w14:textId="0C1A8316" w:rsidR="00603C66" w:rsidRPr="00603C66" w:rsidRDefault="00603C66" w:rsidP="00603C66">
            <w:pPr>
              <w:rPr>
                <w:rFonts w:cs="Arial"/>
              </w:rPr>
            </w:pPr>
            <w:r w:rsidRPr="00603C66">
              <w:rPr>
                <w:rFonts w:cs="Arial"/>
              </w:rPr>
              <w:t>Еритема</w:t>
            </w:r>
          </w:p>
        </w:tc>
      </w:tr>
      <w:tr w:rsidR="00603C66" w14:paraId="48D0D398" w14:textId="77777777" w:rsidTr="00603C66">
        <w:tc>
          <w:tcPr>
            <w:tcW w:w="3192" w:type="dxa"/>
            <w:vMerge/>
          </w:tcPr>
          <w:p w14:paraId="6BE112E4" w14:textId="77777777" w:rsidR="00603C66" w:rsidRPr="00603C66" w:rsidRDefault="00603C66" w:rsidP="00603C66">
            <w:pPr>
              <w:rPr>
                <w:rFonts w:cs="Arial"/>
              </w:rPr>
            </w:pPr>
          </w:p>
        </w:tc>
        <w:tc>
          <w:tcPr>
            <w:tcW w:w="3192" w:type="dxa"/>
            <w:vMerge/>
          </w:tcPr>
          <w:p w14:paraId="349E98A2" w14:textId="77777777" w:rsidR="00603C66" w:rsidRPr="00603C66" w:rsidRDefault="00603C66" w:rsidP="00603C66">
            <w:pPr>
              <w:rPr>
                <w:rFonts w:cs="Arial"/>
              </w:rPr>
            </w:pPr>
          </w:p>
        </w:tc>
        <w:tc>
          <w:tcPr>
            <w:tcW w:w="3192" w:type="dxa"/>
          </w:tcPr>
          <w:p w14:paraId="43525698" w14:textId="702395CA" w:rsidR="00603C66" w:rsidRPr="00603C66" w:rsidRDefault="00603C66" w:rsidP="00603C66">
            <w:pPr>
              <w:rPr>
                <w:rFonts w:cs="Arial"/>
              </w:rPr>
            </w:pPr>
            <w:r w:rsidRPr="00603C66">
              <w:rPr>
                <w:rFonts w:cs="Arial"/>
              </w:rPr>
              <w:t>Пруритус</w:t>
            </w:r>
          </w:p>
        </w:tc>
      </w:tr>
      <w:tr w:rsidR="00603C66" w14:paraId="77D8BB7C" w14:textId="77777777" w:rsidTr="00603C66">
        <w:tc>
          <w:tcPr>
            <w:tcW w:w="3192" w:type="dxa"/>
            <w:vMerge/>
          </w:tcPr>
          <w:p w14:paraId="0E5247E9" w14:textId="77777777" w:rsidR="00603C66" w:rsidRPr="00603C66" w:rsidRDefault="00603C66" w:rsidP="00603C66">
            <w:pPr>
              <w:rPr>
                <w:rFonts w:cs="Arial"/>
              </w:rPr>
            </w:pPr>
          </w:p>
        </w:tc>
        <w:tc>
          <w:tcPr>
            <w:tcW w:w="3192" w:type="dxa"/>
            <w:vMerge/>
          </w:tcPr>
          <w:p w14:paraId="059D7962" w14:textId="77777777" w:rsidR="00603C66" w:rsidRPr="00603C66" w:rsidRDefault="00603C66" w:rsidP="00603C66">
            <w:pPr>
              <w:rPr>
                <w:rFonts w:cs="Arial"/>
              </w:rPr>
            </w:pPr>
          </w:p>
        </w:tc>
        <w:tc>
          <w:tcPr>
            <w:tcW w:w="3192" w:type="dxa"/>
          </w:tcPr>
          <w:p w14:paraId="05465FE0" w14:textId="20366C6F" w:rsidR="00603C66" w:rsidRPr="00603C66" w:rsidRDefault="00603C66" w:rsidP="00603C66">
            <w:pPr>
              <w:rPr>
                <w:rFonts w:cs="Arial"/>
              </w:rPr>
            </w:pPr>
            <w:r w:rsidRPr="00603C66">
              <w:rPr>
                <w:rFonts w:cs="Arial"/>
              </w:rPr>
              <w:t>Уртикария</w:t>
            </w:r>
          </w:p>
        </w:tc>
      </w:tr>
      <w:tr w:rsidR="00603C66" w14:paraId="3193C7AF" w14:textId="77777777" w:rsidTr="00603C66">
        <w:tc>
          <w:tcPr>
            <w:tcW w:w="3192" w:type="dxa"/>
          </w:tcPr>
          <w:p w14:paraId="62EA9026" w14:textId="7FB13120" w:rsidR="00603C66" w:rsidRPr="00603C66" w:rsidRDefault="00603C66" w:rsidP="00603C66">
            <w:pPr>
              <w:rPr>
                <w:rFonts w:cs="Arial"/>
              </w:rPr>
            </w:pPr>
            <w:r w:rsidRPr="00603C66">
              <w:rPr>
                <w:rFonts w:cs="Arial"/>
              </w:rPr>
              <w:t>Нарушения на мускулно- скелетната система и</w:t>
            </w:r>
          </w:p>
          <w:p w14:paraId="509D7D35" w14:textId="5BA8F9FD" w:rsidR="00603C66" w:rsidRPr="00603C66" w:rsidRDefault="00603C66" w:rsidP="00603C66">
            <w:pPr>
              <w:rPr>
                <w:rFonts w:cs="Arial"/>
              </w:rPr>
            </w:pPr>
            <w:r w:rsidRPr="00603C66">
              <w:rPr>
                <w:rFonts w:cs="Arial"/>
              </w:rPr>
              <w:t>съединителната тъкан</w:t>
            </w:r>
          </w:p>
        </w:tc>
        <w:tc>
          <w:tcPr>
            <w:tcW w:w="3192" w:type="dxa"/>
          </w:tcPr>
          <w:p w14:paraId="44D92927" w14:textId="7C8B463C" w:rsidR="00603C66" w:rsidRPr="00603C66" w:rsidRDefault="00603C66" w:rsidP="00603C66">
            <w:pPr>
              <w:rPr>
                <w:rFonts w:cs="Arial"/>
              </w:rPr>
            </w:pPr>
            <w:r w:rsidRPr="00603C66">
              <w:rPr>
                <w:rFonts w:cs="Arial"/>
              </w:rPr>
              <w:t>Нечести</w:t>
            </w:r>
          </w:p>
        </w:tc>
        <w:tc>
          <w:tcPr>
            <w:tcW w:w="3192" w:type="dxa"/>
          </w:tcPr>
          <w:p w14:paraId="5A0CA145" w14:textId="06125826" w:rsidR="00603C66" w:rsidRPr="00603C66" w:rsidRDefault="00603C66" w:rsidP="00603C66">
            <w:pPr>
              <w:rPr>
                <w:rFonts w:cs="Arial"/>
              </w:rPr>
            </w:pPr>
            <w:r w:rsidRPr="00603C66">
              <w:rPr>
                <w:rFonts w:cs="Arial"/>
              </w:rPr>
              <w:t>Мускулни крампи</w:t>
            </w:r>
          </w:p>
        </w:tc>
      </w:tr>
      <w:tr w:rsidR="00603C66" w14:paraId="5DFF0809" w14:textId="77777777" w:rsidTr="00603C66">
        <w:tc>
          <w:tcPr>
            <w:tcW w:w="3192" w:type="dxa"/>
            <w:vMerge w:val="restart"/>
          </w:tcPr>
          <w:p w14:paraId="0D604278" w14:textId="79CAB3A9" w:rsidR="00603C66" w:rsidRPr="00603C66" w:rsidRDefault="00603C66" w:rsidP="00603C66">
            <w:pPr>
              <w:rPr>
                <w:rFonts w:cs="Arial"/>
              </w:rPr>
            </w:pPr>
            <w:r w:rsidRPr="00603C66">
              <w:rPr>
                <w:rFonts w:cs="Arial"/>
              </w:rPr>
              <w:t>Общи нарушения и ефекти на мястото на приложение</w:t>
            </w:r>
          </w:p>
        </w:tc>
        <w:tc>
          <w:tcPr>
            <w:tcW w:w="3192" w:type="dxa"/>
            <w:vMerge w:val="restart"/>
          </w:tcPr>
          <w:p w14:paraId="40E2AA6B" w14:textId="705B4D55" w:rsidR="00603C66" w:rsidRPr="00603C66" w:rsidRDefault="00603C66" w:rsidP="00603C66">
            <w:pPr>
              <w:rPr>
                <w:rFonts w:cs="Arial"/>
              </w:rPr>
            </w:pPr>
            <w:r w:rsidRPr="00603C66">
              <w:rPr>
                <w:rFonts w:cs="Arial"/>
              </w:rPr>
              <w:t>Нечести*</w:t>
            </w:r>
          </w:p>
        </w:tc>
        <w:tc>
          <w:tcPr>
            <w:tcW w:w="3192" w:type="dxa"/>
          </w:tcPr>
          <w:p w14:paraId="52B0A6E2" w14:textId="79B2A84B" w:rsidR="00603C66" w:rsidRPr="00603C66" w:rsidRDefault="00603C66" w:rsidP="00603C66">
            <w:pPr>
              <w:rPr>
                <w:rFonts w:cs="Arial"/>
              </w:rPr>
            </w:pPr>
            <w:r w:rsidRPr="00603C66">
              <w:rPr>
                <w:rFonts w:cs="Arial"/>
              </w:rPr>
              <w:t>Астения, свързана вероятно с брадикардия</w:t>
            </w:r>
          </w:p>
        </w:tc>
      </w:tr>
      <w:tr w:rsidR="00603C66" w14:paraId="0123ADCA" w14:textId="77777777" w:rsidTr="00603C66">
        <w:tc>
          <w:tcPr>
            <w:tcW w:w="3192" w:type="dxa"/>
            <w:vMerge/>
          </w:tcPr>
          <w:p w14:paraId="1BE43C9B" w14:textId="77777777" w:rsidR="00603C66" w:rsidRPr="00603C66" w:rsidRDefault="00603C66" w:rsidP="00603C66">
            <w:pPr>
              <w:rPr>
                <w:rFonts w:cs="Arial"/>
              </w:rPr>
            </w:pPr>
          </w:p>
        </w:tc>
        <w:tc>
          <w:tcPr>
            <w:tcW w:w="3192" w:type="dxa"/>
            <w:vMerge/>
          </w:tcPr>
          <w:p w14:paraId="1DF5B90A" w14:textId="77777777" w:rsidR="00603C66" w:rsidRPr="00603C66" w:rsidRDefault="00603C66" w:rsidP="00603C66">
            <w:pPr>
              <w:rPr>
                <w:rFonts w:cs="Arial"/>
              </w:rPr>
            </w:pPr>
          </w:p>
        </w:tc>
        <w:tc>
          <w:tcPr>
            <w:tcW w:w="3192" w:type="dxa"/>
          </w:tcPr>
          <w:p w14:paraId="76C866FB" w14:textId="55EF2D2C" w:rsidR="00603C66" w:rsidRPr="00603C66" w:rsidRDefault="00603C66" w:rsidP="00603C66">
            <w:pPr>
              <w:rPr>
                <w:rFonts w:cs="Arial"/>
              </w:rPr>
            </w:pPr>
            <w:r w:rsidRPr="00603C66">
              <w:rPr>
                <w:rFonts w:cs="Arial"/>
              </w:rPr>
              <w:t>Умора, свързана вероятно с брадикардия</w:t>
            </w:r>
          </w:p>
        </w:tc>
      </w:tr>
      <w:tr w:rsidR="00603C66" w14:paraId="276717BF" w14:textId="77777777" w:rsidTr="00603C66">
        <w:tc>
          <w:tcPr>
            <w:tcW w:w="3192" w:type="dxa"/>
            <w:vMerge/>
          </w:tcPr>
          <w:p w14:paraId="50CEC293" w14:textId="77777777" w:rsidR="00603C66" w:rsidRPr="00603C66" w:rsidRDefault="00603C66" w:rsidP="00603C66">
            <w:pPr>
              <w:rPr>
                <w:rFonts w:cs="Arial"/>
              </w:rPr>
            </w:pPr>
          </w:p>
        </w:tc>
        <w:tc>
          <w:tcPr>
            <w:tcW w:w="3192" w:type="dxa"/>
          </w:tcPr>
          <w:p w14:paraId="270B50FB" w14:textId="53A4C86D" w:rsidR="00603C66" w:rsidRPr="00603C66" w:rsidRDefault="00603C66" w:rsidP="00603C66">
            <w:pPr>
              <w:rPr>
                <w:rFonts w:cs="Arial"/>
              </w:rPr>
            </w:pPr>
            <w:r w:rsidRPr="00603C66">
              <w:rPr>
                <w:rFonts w:cs="Arial"/>
              </w:rPr>
              <w:t>Редки*</w:t>
            </w:r>
          </w:p>
        </w:tc>
        <w:tc>
          <w:tcPr>
            <w:tcW w:w="3192" w:type="dxa"/>
          </w:tcPr>
          <w:p w14:paraId="782E6860" w14:textId="4D95FC43" w:rsidR="00603C66" w:rsidRPr="00603C66" w:rsidRDefault="00603C66" w:rsidP="00603C66">
            <w:pPr>
              <w:rPr>
                <w:rFonts w:cs="Arial"/>
              </w:rPr>
            </w:pPr>
            <w:r w:rsidRPr="00603C66">
              <w:rPr>
                <w:rFonts w:cs="Arial"/>
              </w:rPr>
              <w:t>Прималяване, вероятно свързанос брадикардия</w:t>
            </w:r>
          </w:p>
        </w:tc>
      </w:tr>
      <w:tr w:rsidR="00603C66" w14:paraId="6F96C906" w14:textId="77777777" w:rsidTr="00603C66">
        <w:tc>
          <w:tcPr>
            <w:tcW w:w="3192" w:type="dxa"/>
            <w:vMerge w:val="restart"/>
          </w:tcPr>
          <w:p w14:paraId="3906D161" w14:textId="5D39034E" w:rsidR="00603C66" w:rsidRPr="00603C66" w:rsidRDefault="00603C66" w:rsidP="00603C66">
            <w:pPr>
              <w:rPr>
                <w:rFonts w:cs="Arial"/>
              </w:rPr>
            </w:pPr>
            <w:r w:rsidRPr="00603C66">
              <w:rPr>
                <w:rFonts w:cs="Arial"/>
              </w:rPr>
              <w:lastRenderedPageBreak/>
              <w:t>Изследвания</w:t>
            </w:r>
          </w:p>
        </w:tc>
        <w:tc>
          <w:tcPr>
            <w:tcW w:w="3192" w:type="dxa"/>
            <w:vMerge w:val="restart"/>
          </w:tcPr>
          <w:p w14:paraId="559B4BA8" w14:textId="6F40BE05" w:rsidR="00603C66" w:rsidRPr="00603C66" w:rsidRDefault="00603C66" w:rsidP="00603C66">
            <w:pPr>
              <w:rPr>
                <w:rFonts w:cs="Arial"/>
              </w:rPr>
            </w:pPr>
            <w:r w:rsidRPr="00603C66">
              <w:rPr>
                <w:rFonts w:cs="Arial"/>
              </w:rPr>
              <w:t>Нечести</w:t>
            </w:r>
          </w:p>
        </w:tc>
        <w:tc>
          <w:tcPr>
            <w:tcW w:w="3192" w:type="dxa"/>
          </w:tcPr>
          <w:p w14:paraId="41B24891" w14:textId="21C6BB3B" w:rsidR="00603C66" w:rsidRPr="00603C66" w:rsidRDefault="00603C66" w:rsidP="00603C66">
            <w:pPr>
              <w:rPr>
                <w:rFonts w:cs="Arial"/>
              </w:rPr>
            </w:pPr>
            <w:r w:rsidRPr="00603C66">
              <w:rPr>
                <w:rFonts w:cs="Arial"/>
              </w:rPr>
              <w:t>Повишен креатинин в кръвта</w:t>
            </w:r>
          </w:p>
        </w:tc>
      </w:tr>
      <w:tr w:rsidR="00603C66" w14:paraId="53F03AFA" w14:textId="77777777" w:rsidTr="00603C66">
        <w:tc>
          <w:tcPr>
            <w:tcW w:w="3192" w:type="dxa"/>
            <w:vMerge/>
          </w:tcPr>
          <w:p w14:paraId="06AAF008" w14:textId="77777777" w:rsidR="00603C66" w:rsidRPr="00603C66" w:rsidRDefault="00603C66" w:rsidP="00603C66">
            <w:pPr>
              <w:rPr>
                <w:rFonts w:cs="Arial"/>
              </w:rPr>
            </w:pPr>
          </w:p>
        </w:tc>
        <w:tc>
          <w:tcPr>
            <w:tcW w:w="3192" w:type="dxa"/>
            <w:vMerge/>
          </w:tcPr>
          <w:p w14:paraId="66C71854" w14:textId="77777777" w:rsidR="00603C66" w:rsidRPr="00603C66" w:rsidRDefault="00603C66" w:rsidP="00603C66">
            <w:pPr>
              <w:rPr>
                <w:rFonts w:cs="Arial"/>
              </w:rPr>
            </w:pPr>
          </w:p>
        </w:tc>
        <w:tc>
          <w:tcPr>
            <w:tcW w:w="3192" w:type="dxa"/>
          </w:tcPr>
          <w:p w14:paraId="7EFD3BE8" w14:textId="6009922F" w:rsidR="00603C66" w:rsidRPr="00603C66" w:rsidRDefault="00603C66" w:rsidP="00603C66">
            <w:pPr>
              <w:rPr>
                <w:rFonts w:cs="Arial"/>
              </w:rPr>
            </w:pPr>
            <w:r w:rsidRPr="00603C66">
              <w:rPr>
                <w:rFonts w:cs="Arial"/>
              </w:rPr>
              <w:t xml:space="preserve">Удължен </w:t>
            </w:r>
            <w:r w:rsidRPr="00603C66">
              <w:rPr>
                <w:rFonts w:cs="Arial"/>
                <w:lang w:val="en-US"/>
              </w:rPr>
              <w:t>QT</w:t>
            </w:r>
            <w:r w:rsidRPr="00603C66">
              <w:rPr>
                <w:rFonts w:cs="Arial"/>
                <w:lang w:val="ru-RU"/>
              </w:rPr>
              <w:t xml:space="preserve"> </w:t>
            </w:r>
            <w:r w:rsidRPr="00603C66">
              <w:rPr>
                <w:rFonts w:cs="Arial"/>
              </w:rPr>
              <w:t>интервал в ЕКГ</w:t>
            </w:r>
          </w:p>
        </w:tc>
      </w:tr>
    </w:tbl>
    <w:p w14:paraId="7B3B2F3B"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Честота на нежелани събития от спонтанни доклади, изчислена при клиничните проучвания</w:t>
      </w:r>
    </w:p>
    <w:p w14:paraId="4640D8CA" w14:textId="77777777" w:rsidR="00603C66" w:rsidRPr="00603C66" w:rsidRDefault="00603C66" w:rsidP="00603C66">
      <w:pPr>
        <w:spacing w:line="240" w:lineRule="auto"/>
        <w:rPr>
          <w:rFonts w:eastAsia="Times New Roman" w:cs="Arial"/>
          <w:color w:val="000000"/>
          <w:u w:val="single"/>
          <w:lang w:eastAsia="bg-BG"/>
        </w:rPr>
      </w:pPr>
    </w:p>
    <w:p w14:paraId="288FF3EE" w14:textId="5A533C65" w:rsidR="00603C66" w:rsidRPr="00603C66" w:rsidRDefault="00603C66" w:rsidP="00603C66">
      <w:pPr>
        <w:spacing w:line="240" w:lineRule="auto"/>
        <w:rPr>
          <w:rFonts w:eastAsia="Times New Roman" w:cs="Arial"/>
          <w:sz w:val="24"/>
          <w:szCs w:val="24"/>
        </w:rPr>
      </w:pPr>
      <w:r w:rsidRPr="00603C66">
        <w:rPr>
          <w:rFonts w:eastAsia="Times New Roman" w:cs="Arial"/>
          <w:color w:val="000000"/>
          <w:u w:val="single"/>
          <w:lang w:eastAsia="bg-BG"/>
        </w:rPr>
        <w:t>Описание на избраните нежелани реакции</w:t>
      </w:r>
    </w:p>
    <w:p w14:paraId="358DB0ED"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Светлинни феномени (фосфени) са били съобщени от 14,5% от пациентите, описани като преходна увеличена яркост в ограничена зона от зрителното поле. Те обикновено се провокират от внезапни промени в интензивността на светлината. Фосфените може също да се опишат като ореол, разпадане на изображението (стробоскопски или калейдоскопски ефекти), цветни ярки светлини или двойно виждане (ретинална персистенция). Появата на фосфени е обикновено в първите два месеца от лечението, след което те може да се появявят многократно. В повечето случаи се съобщава за фосфени с лека до умерена интензивност. Всички фосфени отзвучават по време на или след прекратяване на лечението, в по-голямата си част (77,5%) по време на лечението. По-малко от 1% от пациентите са променили ежедневните си навици или са преустановили лечението във връзка с фосфени.</w:t>
      </w:r>
    </w:p>
    <w:p w14:paraId="11E629EF" w14:textId="77777777" w:rsidR="00603C66" w:rsidRPr="00603C66" w:rsidRDefault="00603C66" w:rsidP="00603C66">
      <w:pPr>
        <w:spacing w:line="240" w:lineRule="auto"/>
        <w:rPr>
          <w:rFonts w:eastAsia="Times New Roman" w:cs="Arial"/>
          <w:color w:val="000000"/>
          <w:lang w:eastAsia="bg-BG"/>
        </w:rPr>
      </w:pPr>
    </w:p>
    <w:p w14:paraId="17C9482C" w14:textId="40C99F04"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Брадикардия е била съобщена от 3,3% от пациентите особено през първите 2 до 3 месеца от започване на лечението. Половин процент от пациентите са получили изразена брадикардия 40 или по-малко удара</w:t>
      </w:r>
      <w:r w:rsidRPr="00603C66">
        <w:rPr>
          <w:rFonts w:eastAsia="Times New Roman" w:cs="Arial"/>
          <w:color w:val="000000"/>
          <w:lang w:val="ru-RU"/>
        </w:rPr>
        <w:t>/</w:t>
      </w:r>
      <w:r w:rsidRPr="00603C66">
        <w:rPr>
          <w:rFonts w:eastAsia="Times New Roman" w:cs="Arial"/>
          <w:color w:val="000000"/>
          <w:lang w:val="en-US"/>
        </w:rPr>
        <w:t>min</w:t>
      </w:r>
      <w:r w:rsidRPr="00603C66">
        <w:rPr>
          <w:rFonts w:eastAsia="Times New Roman" w:cs="Arial"/>
          <w:color w:val="000000"/>
          <w:lang w:val="ru-RU"/>
        </w:rPr>
        <w:t>.</w:t>
      </w:r>
    </w:p>
    <w:p w14:paraId="3F3D4CCD" w14:textId="77777777" w:rsidR="00603C66" w:rsidRPr="00603C66" w:rsidRDefault="00603C66" w:rsidP="00603C66">
      <w:pPr>
        <w:spacing w:line="240" w:lineRule="auto"/>
        <w:rPr>
          <w:rFonts w:eastAsia="Times New Roman" w:cs="Arial"/>
          <w:color w:val="000000"/>
          <w:lang w:eastAsia="bg-BG"/>
        </w:rPr>
      </w:pPr>
    </w:p>
    <w:p w14:paraId="1FE26BD2" w14:textId="45E36242"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 xml:space="preserve">В проучването </w:t>
      </w:r>
      <w:r w:rsidRPr="00603C66">
        <w:rPr>
          <w:rFonts w:eastAsia="Times New Roman" w:cs="Arial"/>
          <w:color w:val="000000"/>
          <w:lang w:val="en-US"/>
        </w:rPr>
        <w:t>SIGNIFY</w:t>
      </w:r>
      <w:r w:rsidRPr="00603C66">
        <w:rPr>
          <w:rFonts w:eastAsia="Times New Roman" w:cs="Arial"/>
          <w:color w:val="000000"/>
          <w:lang w:val="ru-RU"/>
        </w:rPr>
        <w:t xml:space="preserve">, </w:t>
      </w:r>
      <w:r w:rsidRPr="00603C66">
        <w:rPr>
          <w:rFonts w:eastAsia="Times New Roman" w:cs="Arial"/>
          <w:color w:val="000000"/>
          <w:lang w:eastAsia="bg-BG"/>
        </w:rPr>
        <w:t xml:space="preserve">предсърдно мъждене е било наблюдавано в 5,3% от пациентите, приемащи ивабрадин в сравнение с 3,8% в плацебо групата. В сборни анализи на всички двойнослепи контролирани клинични проучвания фази </w:t>
      </w:r>
      <w:r w:rsidRPr="00603C66">
        <w:rPr>
          <w:rFonts w:eastAsia="Times New Roman" w:cs="Arial"/>
          <w:color w:val="000000"/>
          <w:lang w:val="en-US"/>
        </w:rPr>
        <w:t>II</w:t>
      </w:r>
      <w:r w:rsidRPr="00603C66">
        <w:rPr>
          <w:rFonts w:eastAsia="Times New Roman" w:cs="Arial"/>
          <w:color w:val="000000"/>
          <w:lang w:val="ru-RU"/>
        </w:rPr>
        <w:t>/</w:t>
      </w:r>
      <w:r w:rsidRPr="00603C66">
        <w:rPr>
          <w:rFonts w:eastAsia="Times New Roman" w:cs="Arial"/>
          <w:color w:val="000000"/>
          <w:lang w:val="en-US"/>
        </w:rPr>
        <w:t>III</w:t>
      </w:r>
      <w:r w:rsidRPr="00603C66">
        <w:rPr>
          <w:rFonts w:eastAsia="Times New Roman" w:cs="Arial"/>
          <w:color w:val="000000"/>
          <w:lang w:eastAsia="bg-BG"/>
        </w:rPr>
        <w:t xml:space="preserve"> с продължителност от най-малко 3 месеца, включващи повече от 40 000 пациенти, честотата на предсърдно мъждене е била 4,86% при пациентите, лекувани с ивабрадин, в сравнение с 4,08% при контролите, съответстващи на коефицент на риск 1,26, 95% С1 [1,15-1,39].</w:t>
      </w:r>
    </w:p>
    <w:p w14:paraId="0E53FF0C" w14:textId="77777777" w:rsidR="00603C66" w:rsidRPr="00603C66" w:rsidRDefault="00603C66" w:rsidP="00603C66">
      <w:pPr>
        <w:spacing w:line="240" w:lineRule="auto"/>
        <w:rPr>
          <w:rFonts w:eastAsia="Times New Roman" w:cs="Arial"/>
          <w:color w:val="000000"/>
          <w:u w:val="single"/>
          <w:lang w:eastAsia="bg-BG"/>
        </w:rPr>
      </w:pPr>
    </w:p>
    <w:p w14:paraId="4C4F14BB" w14:textId="2DB8319C" w:rsidR="00603C66" w:rsidRPr="00603C66" w:rsidRDefault="00603C66" w:rsidP="00603C66">
      <w:pPr>
        <w:spacing w:line="240" w:lineRule="auto"/>
        <w:rPr>
          <w:rFonts w:eastAsia="Times New Roman" w:cs="Arial"/>
          <w:sz w:val="24"/>
          <w:szCs w:val="24"/>
        </w:rPr>
      </w:pPr>
      <w:r w:rsidRPr="00603C66">
        <w:rPr>
          <w:rFonts w:eastAsia="Times New Roman" w:cs="Arial"/>
          <w:color w:val="000000"/>
          <w:u w:val="single"/>
          <w:lang w:eastAsia="bg-BG"/>
        </w:rPr>
        <w:t>Съобщаване на подозирани нежелани реакции</w:t>
      </w:r>
    </w:p>
    <w:p w14:paraId="10DB21AE" w14:textId="77777777" w:rsidR="00603C66" w:rsidRPr="00603C66" w:rsidRDefault="00603C66" w:rsidP="00603C66">
      <w:pPr>
        <w:spacing w:line="240" w:lineRule="auto"/>
        <w:rPr>
          <w:rFonts w:eastAsia="Times New Roman" w:cs="Arial"/>
          <w:sz w:val="24"/>
          <w:szCs w:val="24"/>
        </w:rPr>
      </w:pPr>
      <w:r w:rsidRPr="00603C6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p>
    <w:p w14:paraId="46C27C83" w14:textId="7A201D42" w:rsidR="00603C66" w:rsidRDefault="00603C66" w:rsidP="00603C66">
      <w:pPr>
        <w:rPr>
          <w:rFonts w:cs="Arial"/>
          <w:lang w:val="en-US"/>
        </w:rPr>
      </w:pPr>
      <w:r w:rsidRPr="00603C66">
        <w:rPr>
          <w:rFonts w:eastAsia="Times New Roman" w:cs="Arial"/>
          <w:color w:val="000000"/>
          <w:lang w:eastAsia="bg-BG"/>
        </w:rPr>
        <w:t>подозирана нежелана реакция чрез национална система за съобщаване, в Изпълнителната</w:t>
      </w:r>
      <w:r w:rsidRPr="00603C66">
        <w:rPr>
          <w:rFonts w:eastAsia="Times New Roman" w:cs="Arial"/>
          <w:color w:val="000000"/>
          <w:lang w:val="ru-RU" w:eastAsia="bg-BG"/>
        </w:rPr>
        <w:t xml:space="preserve"> </w:t>
      </w:r>
      <w:r w:rsidRPr="00603C66">
        <w:rPr>
          <w:rFonts w:cs="Arial"/>
        </w:rPr>
        <w:t xml:space="preserve">агенция по лекарствата ул. „Дамян Груев” № 8, 1303 София, Тел.: +359 2 8903417, уебсайт: </w:t>
      </w:r>
      <w:r w:rsidRPr="00603C66">
        <w:rPr>
          <w:rFonts w:cs="Arial"/>
        </w:rPr>
        <w:fldChar w:fldCharType="begin"/>
      </w:r>
      <w:r w:rsidRPr="00603C66">
        <w:rPr>
          <w:rFonts w:cs="Arial"/>
        </w:rPr>
        <w:instrText xml:space="preserve"> HYPERLINK "http://www.bda.bg" </w:instrText>
      </w:r>
      <w:r w:rsidRPr="00603C66">
        <w:rPr>
          <w:rFonts w:cs="Arial"/>
        </w:rPr>
      </w:r>
      <w:r w:rsidRPr="00603C66">
        <w:rPr>
          <w:rFonts w:cs="Arial"/>
        </w:rPr>
        <w:fldChar w:fldCharType="separate"/>
      </w:r>
      <w:r w:rsidRPr="00603C66">
        <w:rPr>
          <w:rFonts w:cs="Arial"/>
          <w:u w:val="single"/>
          <w:lang w:val="en-US"/>
        </w:rPr>
        <w:t>www.bda.bg</w:t>
      </w:r>
      <w:r w:rsidRPr="00603C66">
        <w:rPr>
          <w:rFonts w:cs="Arial"/>
        </w:rPr>
        <w:fldChar w:fldCharType="end"/>
      </w:r>
      <w:r w:rsidRPr="00603C66">
        <w:rPr>
          <w:rFonts w:cs="Arial"/>
          <w:lang w:val="en-US"/>
        </w:rPr>
        <w:t>.</w:t>
      </w:r>
    </w:p>
    <w:p w14:paraId="3D0F67B6" w14:textId="77777777" w:rsidR="00603C66" w:rsidRPr="00603C66" w:rsidRDefault="00603C66" w:rsidP="00603C66">
      <w:pPr>
        <w:rPr>
          <w:rFonts w:cs="Arial"/>
          <w:lang w:val="ru-RU"/>
        </w:rPr>
      </w:pPr>
    </w:p>
    <w:p w14:paraId="5A87DBA3" w14:textId="2046D353" w:rsidR="007122AD" w:rsidRDefault="002C50EE" w:rsidP="00936AD0">
      <w:pPr>
        <w:pStyle w:val="Heading2"/>
      </w:pPr>
      <w:r>
        <w:t>4.9. Предозиране</w:t>
      </w:r>
    </w:p>
    <w:p w14:paraId="5825DE09" w14:textId="3FC3D2AA" w:rsidR="00603C66" w:rsidRDefault="00603C66" w:rsidP="00603C66"/>
    <w:p w14:paraId="75ECABCE" w14:textId="77777777" w:rsidR="00603C66" w:rsidRPr="00603C66" w:rsidRDefault="00603C66" w:rsidP="00603C66">
      <w:pPr>
        <w:pStyle w:val="Heading3"/>
        <w:rPr>
          <w:rFonts w:eastAsia="Times New Roman"/>
          <w:u w:val="single"/>
        </w:rPr>
      </w:pPr>
      <w:r w:rsidRPr="00603C66">
        <w:rPr>
          <w:rFonts w:eastAsia="Times New Roman"/>
          <w:u w:val="single"/>
          <w:lang w:eastAsia="bg-BG"/>
        </w:rPr>
        <w:t>Симптоми</w:t>
      </w:r>
    </w:p>
    <w:p w14:paraId="1387F773" w14:textId="77777777" w:rsidR="00603C66" w:rsidRPr="00603C66" w:rsidRDefault="00603C66" w:rsidP="00603C66">
      <w:pPr>
        <w:rPr>
          <w:sz w:val="24"/>
          <w:szCs w:val="24"/>
        </w:rPr>
      </w:pPr>
      <w:r w:rsidRPr="00603C66">
        <w:rPr>
          <w:lang w:eastAsia="bg-BG"/>
        </w:rPr>
        <w:t>Предозирането може да доведе до тежка и продължителна брадикардия (вижте точка 4.8).</w:t>
      </w:r>
    </w:p>
    <w:p w14:paraId="3BD30298" w14:textId="77777777" w:rsidR="00603C66" w:rsidRDefault="00603C66" w:rsidP="00603C66">
      <w:pPr>
        <w:rPr>
          <w:lang w:eastAsia="bg-BG"/>
        </w:rPr>
      </w:pPr>
    </w:p>
    <w:p w14:paraId="622CA2C2" w14:textId="1C95D9D8" w:rsidR="00603C66" w:rsidRPr="00603C66" w:rsidRDefault="00603C66" w:rsidP="00603C66">
      <w:pPr>
        <w:pStyle w:val="Heading3"/>
        <w:rPr>
          <w:rFonts w:eastAsia="Times New Roman"/>
          <w:u w:val="single"/>
        </w:rPr>
      </w:pPr>
      <w:r w:rsidRPr="00603C66">
        <w:rPr>
          <w:rFonts w:eastAsia="Times New Roman"/>
          <w:u w:val="single"/>
          <w:lang w:eastAsia="bg-BG"/>
        </w:rPr>
        <w:t>Лечение</w:t>
      </w:r>
    </w:p>
    <w:p w14:paraId="656CDE37" w14:textId="77777777" w:rsidR="00603C66" w:rsidRPr="00603C66" w:rsidRDefault="00603C66" w:rsidP="00603C66">
      <w:pPr>
        <w:rPr>
          <w:sz w:val="24"/>
          <w:szCs w:val="24"/>
        </w:rPr>
      </w:pPr>
      <w:r w:rsidRPr="00603C66">
        <w:rPr>
          <w:lang w:eastAsia="bg-BG"/>
        </w:rPr>
        <w:t xml:space="preserve">Тежката брадикардия трябва да бъде лекувана симптоматично в специализирани условия. В случай на брадикардия с лоша хемодинамична поносимост може да бъде </w:t>
      </w:r>
      <w:r w:rsidRPr="00603C66">
        <w:rPr>
          <w:lang w:eastAsia="bg-BG"/>
        </w:rPr>
        <w:lastRenderedPageBreak/>
        <w:t>обсъдено симптоматично лечение включващо интравенозни бета-стимулиращи лекарствени продукти, като изопреналин. При нужда може да се предприеме временна сърдечна електростимулация.</w:t>
      </w:r>
    </w:p>
    <w:p w14:paraId="13CFC9B8" w14:textId="257A427B" w:rsidR="00603C66" w:rsidRPr="00603C66" w:rsidRDefault="00603C66" w:rsidP="00603C66"/>
    <w:p w14:paraId="02081B24" w14:textId="1F46E296" w:rsidR="00395555" w:rsidRPr="00395555" w:rsidRDefault="002C50EE" w:rsidP="008A6AF2">
      <w:pPr>
        <w:pStyle w:val="Heading1"/>
      </w:pPr>
      <w:r>
        <w:t>5. ФАРМАКОЛОГИЧНИ СВОЙСТВА</w:t>
      </w:r>
    </w:p>
    <w:p w14:paraId="7DE36AC8" w14:textId="3D344563" w:rsidR="00B6672E" w:rsidRDefault="002C50EE" w:rsidP="00936AD0">
      <w:pPr>
        <w:pStyle w:val="Heading2"/>
      </w:pPr>
      <w:r>
        <w:t>5.1. Фармакодинамични свойства</w:t>
      </w:r>
    </w:p>
    <w:p w14:paraId="1956C72D" w14:textId="3123C584" w:rsidR="00603C66" w:rsidRDefault="00603C66" w:rsidP="00603C66"/>
    <w:p w14:paraId="14AEF7D7"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Фармакотерапевтична група: Лечение на сърдечни заболявания, други сърдечни препарати, АТС код: С01ЕВ17.</w:t>
      </w:r>
    </w:p>
    <w:p w14:paraId="55916966" w14:textId="77777777" w:rsidR="00603C66" w:rsidRPr="0051782B" w:rsidRDefault="00603C66" w:rsidP="00603C66">
      <w:pPr>
        <w:spacing w:line="240" w:lineRule="auto"/>
        <w:rPr>
          <w:rFonts w:eastAsia="Times New Roman" w:cs="Arial"/>
          <w:color w:val="000000"/>
          <w:u w:val="single"/>
          <w:lang w:eastAsia="bg-BG"/>
        </w:rPr>
      </w:pPr>
    </w:p>
    <w:p w14:paraId="1766A78F" w14:textId="28C2D5D1" w:rsidR="00603C66" w:rsidRPr="0051782B" w:rsidRDefault="00603C66" w:rsidP="00603C66">
      <w:pPr>
        <w:spacing w:line="240" w:lineRule="auto"/>
        <w:rPr>
          <w:rFonts w:eastAsia="Times New Roman" w:cs="Arial"/>
        </w:rPr>
      </w:pPr>
      <w:r w:rsidRPr="0051782B">
        <w:rPr>
          <w:rFonts w:eastAsia="Times New Roman" w:cs="Arial"/>
          <w:color w:val="000000"/>
          <w:u w:val="single"/>
          <w:lang w:eastAsia="bg-BG"/>
        </w:rPr>
        <w:t>Механизъм на действие</w:t>
      </w:r>
    </w:p>
    <w:p w14:paraId="02718A60" w14:textId="77777777" w:rsidR="00603C66" w:rsidRPr="0051782B" w:rsidRDefault="00603C66" w:rsidP="00603C66">
      <w:pPr>
        <w:spacing w:line="240" w:lineRule="auto"/>
        <w:rPr>
          <w:rFonts w:eastAsia="Times New Roman" w:cs="Arial"/>
          <w:color w:val="000000"/>
          <w:lang w:eastAsia="bg-BG"/>
        </w:rPr>
      </w:pPr>
    </w:p>
    <w:p w14:paraId="5836D21E" w14:textId="468549EB"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Ивабрадин е средство единствено за понижаване на сърдечната честота, действащо чрез селективна и специфична инхибиция на електрическия </w:t>
      </w:r>
      <w:r w:rsidRPr="0051782B">
        <w:rPr>
          <w:rFonts w:eastAsia="Times New Roman" w:cs="Arial"/>
          <w:color w:val="000000"/>
          <w:lang w:val="en-US"/>
        </w:rPr>
        <w:t>I</w:t>
      </w:r>
      <w:r w:rsidRPr="0051782B">
        <w:rPr>
          <w:rFonts w:eastAsia="Times New Roman" w:cs="Arial"/>
          <w:color w:val="000000"/>
          <w:vertAlign w:val="subscript"/>
          <w:lang w:val="en-US"/>
        </w:rPr>
        <w:t>f</w:t>
      </w:r>
      <w:r w:rsidRPr="0051782B">
        <w:rPr>
          <w:rFonts w:eastAsia="Times New Roman" w:cs="Arial"/>
          <w:color w:val="000000"/>
          <w:lang w:eastAsia="bg-BG"/>
        </w:rPr>
        <w:t xml:space="preserve"> поток на сърдечния пейсмекър, който контролира спонтанната диастолна деполяризация в синусовия възел и регулира сърдечната честота. Сърдечните ефекти са специфични за синусовия възел, без ефект върху интра- атриалното, атриовентрикуларното или интравентрикуларното проводно време, нито върху миокардния контрактилитет или камерната реполяризация.</w:t>
      </w:r>
    </w:p>
    <w:p w14:paraId="4A27B971"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Ивабрадин може да взаимодейства и с електрическия </w:t>
      </w:r>
      <w:proofErr w:type="spellStart"/>
      <w:r w:rsidRPr="0051782B">
        <w:rPr>
          <w:rFonts w:eastAsia="Times New Roman" w:cs="Arial"/>
          <w:color w:val="000000"/>
          <w:lang w:val="en-US"/>
        </w:rPr>
        <w:t>I</w:t>
      </w:r>
      <w:r w:rsidRPr="0051782B">
        <w:rPr>
          <w:rFonts w:eastAsia="Times New Roman" w:cs="Arial"/>
          <w:color w:val="000000"/>
          <w:vertAlign w:val="subscript"/>
          <w:lang w:val="en-US"/>
        </w:rPr>
        <w:t>h</w:t>
      </w:r>
      <w:proofErr w:type="spellEnd"/>
      <w:r w:rsidRPr="0051782B">
        <w:rPr>
          <w:rFonts w:eastAsia="Times New Roman" w:cs="Arial"/>
          <w:color w:val="000000"/>
          <w:lang w:eastAsia="bg-BG"/>
        </w:rPr>
        <w:t xml:space="preserve"> поток в ретината, който е много сходен със сърдечния </w:t>
      </w:r>
      <w:r w:rsidRPr="0051782B">
        <w:rPr>
          <w:rFonts w:eastAsia="Times New Roman" w:cs="Arial"/>
          <w:color w:val="000000"/>
          <w:lang w:val="en-US"/>
        </w:rPr>
        <w:t>I</w:t>
      </w:r>
      <w:r w:rsidRPr="0051782B">
        <w:rPr>
          <w:rFonts w:eastAsia="Times New Roman" w:cs="Arial"/>
          <w:color w:val="000000"/>
          <w:vertAlign w:val="subscript"/>
          <w:lang w:val="en-US"/>
        </w:rPr>
        <w:t>f</w:t>
      </w:r>
      <w:r w:rsidRPr="0051782B">
        <w:rPr>
          <w:rFonts w:eastAsia="Times New Roman" w:cs="Arial"/>
          <w:color w:val="000000"/>
          <w:lang w:val="ru-RU"/>
        </w:rPr>
        <w:t xml:space="preserve">. </w:t>
      </w:r>
      <w:r w:rsidRPr="0051782B">
        <w:rPr>
          <w:rFonts w:eastAsia="Times New Roman" w:cs="Arial"/>
          <w:color w:val="000000"/>
          <w:lang w:eastAsia="bg-BG"/>
        </w:rPr>
        <w:t xml:space="preserve">Той участва в темпоралната резолюция на зрителната система чрез скъсяване на ретиналния отговор към ярки светлинни стимули. При провокиращи обстоятелства (напр. бързи промени в яркостта) частичната инхибиция на </w:t>
      </w:r>
      <w:r w:rsidRPr="0051782B">
        <w:rPr>
          <w:rFonts w:eastAsia="Times New Roman" w:cs="Arial"/>
          <w:color w:val="000000"/>
          <w:lang w:eastAsia="bg-BG"/>
        </w:rPr>
        <w:tab/>
      </w:r>
      <w:proofErr w:type="spellStart"/>
      <w:r w:rsidRPr="0051782B">
        <w:rPr>
          <w:rFonts w:eastAsia="Times New Roman" w:cs="Arial"/>
          <w:color w:val="000000"/>
          <w:lang w:val="en-US"/>
        </w:rPr>
        <w:t>I</w:t>
      </w:r>
      <w:r w:rsidRPr="0051782B">
        <w:rPr>
          <w:rFonts w:eastAsia="Times New Roman" w:cs="Arial"/>
          <w:color w:val="000000"/>
          <w:vertAlign w:val="subscript"/>
          <w:lang w:val="en-US"/>
        </w:rPr>
        <w:t>h</w:t>
      </w:r>
      <w:proofErr w:type="spellEnd"/>
      <w:r w:rsidRPr="0051782B">
        <w:rPr>
          <w:rFonts w:eastAsia="Times New Roman" w:cs="Arial"/>
          <w:color w:val="000000"/>
          <w:lang w:eastAsia="bg-BG"/>
        </w:rPr>
        <w:t xml:space="preserve"> от ивабрадин засилва светлинните възприятия, които могат да бъдат понякога усетени от пациентите. Светлинните възприятия (фосфени) се описват като преходно усилване на яркостта в ограничена зона на зрителното поле (вижте точка 4.8).</w:t>
      </w:r>
    </w:p>
    <w:p w14:paraId="2DBE008D" w14:textId="77777777" w:rsidR="00603C66" w:rsidRPr="0051782B" w:rsidRDefault="00603C66" w:rsidP="00603C66">
      <w:pPr>
        <w:spacing w:line="240" w:lineRule="auto"/>
        <w:rPr>
          <w:rFonts w:eastAsia="Times New Roman" w:cs="Arial"/>
          <w:color w:val="000000"/>
          <w:u w:val="single"/>
          <w:lang w:eastAsia="bg-BG"/>
        </w:rPr>
      </w:pPr>
    </w:p>
    <w:p w14:paraId="7101F725" w14:textId="58D63BB9" w:rsidR="00603C66" w:rsidRPr="0051782B" w:rsidRDefault="00603C66" w:rsidP="00603C66">
      <w:pPr>
        <w:spacing w:line="240" w:lineRule="auto"/>
        <w:rPr>
          <w:rFonts w:eastAsia="Times New Roman" w:cs="Arial"/>
        </w:rPr>
      </w:pPr>
      <w:r w:rsidRPr="0051782B">
        <w:rPr>
          <w:rFonts w:eastAsia="Times New Roman" w:cs="Arial"/>
          <w:color w:val="000000"/>
          <w:u w:val="single"/>
          <w:lang w:eastAsia="bg-BG"/>
        </w:rPr>
        <w:t>Фармакодинамични ефекти</w:t>
      </w:r>
    </w:p>
    <w:p w14:paraId="306D36C8" w14:textId="77777777" w:rsidR="00603C66" w:rsidRPr="0051782B" w:rsidRDefault="00603C66" w:rsidP="00603C66">
      <w:pPr>
        <w:spacing w:line="240" w:lineRule="auto"/>
        <w:rPr>
          <w:rFonts w:eastAsia="Times New Roman" w:cs="Arial"/>
          <w:color w:val="000000"/>
          <w:lang w:eastAsia="bg-BG"/>
        </w:rPr>
      </w:pPr>
    </w:p>
    <w:p w14:paraId="73733123" w14:textId="6D27F19E"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Основното фармакодинамично свойство на ивабрадин при човека е специфично доза-зависимо понижение на сърдечната честота. Анализът на редукциите на сърдечната честота с дози до 20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два пъти дневно показва тенденция към плато-ефект, който е в съответствие с намаления риск от тежка брадикардия под 40 удара</w:t>
      </w:r>
      <w:r w:rsidRPr="0051782B">
        <w:rPr>
          <w:rFonts w:eastAsia="Times New Roman" w:cs="Arial"/>
          <w:color w:val="000000"/>
          <w:lang w:val="ru-RU"/>
        </w:rPr>
        <w:t>/</w:t>
      </w:r>
      <w:r w:rsidRPr="0051782B">
        <w:rPr>
          <w:rFonts w:eastAsia="Times New Roman" w:cs="Arial"/>
          <w:color w:val="000000"/>
          <w:lang w:val="en-US"/>
        </w:rPr>
        <w:t>min</w:t>
      </w:r>
      <w:r w:rsidRPr="0051782B">
        <w:rPr>
          <w:rFonts w:eastAsia="Times New Roman" w:cs="Arial"/>
          <w:color w:val="000000"/>
          <w:lang w:val="ru-RU"/>
        </w:rPr>
        <w:t xml:space="preserve"> </w:t>
      </w:r>
      <w:r w:rsidRPr="0051782B">
        <w:rPr>
          <w:rFonts w:eastAsia="Times New Roman" w:cs="Arial"/>
          <w:color w:val="000000"/>
          <w:lang w:eastAsia="bg-BG"/>
        </w:rPr>
        <w:t>(вижте точка 4.8).</w:t>
      </w:r>
    </w:p>
    <w:p w14:paraId="2530FEBB"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При обичайните препоръчителни дози понижението на сърдечната честота е приблизително 10 удара</w:t>
      </w:r>
      <w:r w:rsidRPr="0051782B">
        <w:rPr>
          <w:rFonts w:eastAsia="Times New Roman" w:cs="Arial"/>
          <w:color w:val="000000"/>
          <w:lang w:val="ru-RU"/>
        </w:rPr>
        <w:t>/</w:t>
      </w:r>
      <w:r w:rsidRPr="0051782B">
        <w:rPr>
          <w:rFonts w:eastAsia="Times New Roman" w:cs="Arial"/>
          <w:color w:val="000000"/>
          <w:lang w:val="en-US"/>
        </w:rPr>
        <w:t>min</w:t>
      </w:r>
      <w:r w:rsidRPr="0051782B">
        <w:rPr>
          <w:rFonts w:eastAsia="Times New Roman" w:cs="Arial"/>
          <w:color w:val="000000"/>
          <w:lang w:val="ru-RU"/>
        </w:rPr>
        <w:t xml:space="preserve"> </w:t>
      </w:r>
      <w:r w:rsidRPr="0051782B">
        <w:rPr>
          <w:rFonts w:eastAsia="Times New Roman" w:cs="Arial"/>
          <w:color w:val="000000"/>
          <w:lang w:eastAsia="bg-BG"/>
        </w:rPr>
        <w:t>в покой и при физическо усилие. Това води до намаляване на сърдечната работа и консумацията на кислород от миокарда. Ивабрадин не повлиява вътресърдечната проводимост, контрактилитета (няма негативен инотропен ефект) или камерната реполяризация:</w:t>
      </w:r>
    </w:p>
    <w:p w14:paraId="7D8538AE" w14:textId="77777777" w:rsidR="00603C66" w:rsidRPr="0051782B" w:rsidRDefault="00603C66" w:rsidP="00603C66">
      <w:pPr>
        <w:pStyle w:val="ListParagraph"/>
        <w:numPr>
          <w:ilvl w:val="0"/>
          <w:numId w:val="2"/>
        </w:numPr>
        <w:spacing w:line="240" w:lineRule="auto"/>
        <w:rPr>
          <w:rFonts w:eastAsia="Times New Roman" w:cs="Arial"/>
          <w:color w:val="000000"/>
          <w:lang w:eastAsia="bg-BG"/>
        </w:rPr>
      </w:pPr>
      <w:r w:rsidRPr="0051782B">
        <w:rPr>
          <w:rFonts w:eastAsia="Times New Roman" w:cs="Arial"/>
          <w:color w:val="000000"/>
          <w:lang w:eastAsia="bg-BG"/>
        </w:rPr>
        <w:t>в клинични електрофизиологични проучвания ивабрадин не е показал ефект върху атриовентрикуларното или интравентрикуларното проводни времена или кори</w:t>
      </w:r>
      <w:r w:rsidRPr="0051782B">
        <w:rPr>
          <w:rFonts w:eastAsia="Times New Roman" w:cs="Arial"/>
          <w:color w:val="000000"/>
          <w:u w:val="single"/>
          <w:lang w:eastAsia="bg-BG"/>
        </w:rPr>
        <w:t>гиранит</w:t>
      </w:r>
      <w:r w:rsidRPr="0051782B">
        <w:rPr>
          <w:rFonts w:eastAsia="Times New Roman" w:cs="Arial"/>
          <w:color w:val="000000"/>
          <w:lang w:eastAsia="bg-BG"/>
        </w:rPr>
        <w:t xml:space="preserve">е </w:t>
      </w:r>
      <w:r w:rsidRPr="0051782B">
        <w:rPr>
          <w:rFonts w:eastAsia="Times New Roman" w:cs="Arial"/>
          <w:color w:val="000000"/>
          <w:lang w:val="en-US"/>
        </w:rPr>
        <w:t>QT</w:t>
      </w:r>
      <w:r w:rsidRPr="0051782B">
        <w:rPr>
          <w:rFonts w:eastAsia="Times New Roman" w:cs="Arial"/>
          <w:color w:val="000000"/>
          <w:lang w:val="ru-RU"/>
        </w:rPr>
        <w:t xml:space="preserve"> </w:t>
      </w:r>
      <w:r w:rsidRPr="0051782B">
        <w:rPr>
          <w:rFonts w:eastAsia="Times New Roman" w:cs="Arial"/>
          <w:color w:val="000000"/>
          <w:lang w:eastAsia="bg-BG"/>
        </w:rPr>
        <w:t>интервали;</w:t>
      </w:r>
    </w:p>
    <w:p w14:paraId="445D2D53" w14:textId="7B3E7955" w:rsidR="00603C66" w:rsidRPr="0051782B" w:rsidRDefault="00603C66" w:rsidP="00603C66">
      <w:pPr>
        <w:pStyle w:val="ListParagraph"/>
        <w:numPr>
          <w:ilvl w:val="0"/>
          <w:numId w:val="2"/>
        </w:numPr>
        <w:spacing w:line="240" w:lineRule="auto"/>
        <w:rPr>
          <w:rFonts w:eastAsia="Times New Roman" w:cs="Arial"/>
          <w:color w:val="000000"/>
          <w:lang w:eastAsia="bg-BG"/>
        </w:rPr>
      </w:pPr>
      <w:r w:rsidRPr="0051782B">
        <w:rPr>
          <w:rFonts w:eastAsia="Times New Roman" w:cs="Arial"/>
          <w:color w:val="000000"/>
          <w:lang w:eastAsia="bg-BG"/>
        </w:rPr>
        <w:t>при пациенти с</w:t>
      </w:r>
      <w:r w:rsidRPr="0051782B">
        <w:rPr>
          <w:rFonts w:eastAsia="Times New Roman" w:cs="Arial"/>
          <w:color w:val="000000"/>
          <w:lang w:val="ru-RU"/>
        </w:rPr>
        <w:t xml:space="preserve"> </w:t>
      </w:r>
      <w:r w:rsidRPr="0051782B">
        <w:rPr>
          <w:rFonts w:eastAsia="Times New Roman" w:cs="Arial"/>
          <w:color w:val="000000"/>
          <w:lang w:eastAsia="bg-BG"/>
        </w:rPr>
        <w:t>левокамерна дисфункция (левокамерна фракция на</w:t>
      </w:r>
      <w:r w:rsidRPr="0051782B">
        <w:rPr>
          <w:rFonts w:eastAsia="Times New Roman" w:cs="Arial"/>
          <w:color w:val="000000"/>
          <w:lang w:val="ru-RU"/>
        </w:rPr>
        <w:t xml:space="preserve"> </w:t>
      </w:r>
      <w:r w:rsidRPr="0051782B">
        <w:rPr>
          <w:rFonts w:eastAsia="Times New Roman" w:cs="Arial"/>
          <w:color w:val="000000"/>
          <w:lang w:eastAsia="bg-BG"/>
        </w:rPr>
        <w:t>изтласкване [</w:t>
      </w:r>
      <w:r w:rsidRPr="0051782B">
        <w:rPr>
          <w:rFonts w:eastAsia="Times New Roman" w:cs="Arial"/>
          <w:color w:val="000000"/>
          <w:lang w:val="en-US"/>
        </w:rPr>
        <w:t>LVEF</w:t>
      </w:r>
      <w:r w:rsidRPr="0051782B">
        <w:rPr>
          <w:rFonts w:eastAsia="Times New Roman" w:cs="Arial"/>
          <w:color w:val="000000"/>
          <w:lang w:val="ru-RU"/>
        </w:rPr>
        <w:t xml:space="preserve">] </w:t>
      </w:r>
      <w:r w:rsidRPr="0051782B">
        <w:rPr>
          <w:rFonts w:eastAsia="Times New Roman" w:cs="Arial"/>
          <w:color w:val="000000"/>
          <w:lang w:eastAsia="bg-BG"/>
        </w:rPr>
        <w:t xml:space="preserve">между 30 и 45%) ивабрадин няма неблагоприятен ефект върху </w:t>
      </w:r>
      <w:r w:rsidRPr="0051782B">
        <w:rPr>
          <w:rFonts w:eastAsia="Times New Roman" w:cs="Arial"/>
          <w:color w:val="000000"/>
          <w:lang w:val="en-US"/>
        </w:rPr>
        <w:t>LVEF</w:t>
      </w:r>
      <w:r w:rsidRPr="0051782B">
        <w:rPr>
          <w:rFonts w:eastAsia="Times New Roman" w:cs="Arial"/>
          <w:color w:val="000000"/>
          <w:lang w:val="ru-RU"/>
        </w:rPr>
        <w:t>.</w:t>
      </w:r>
    </w:p>
    <w:p w14:paraId="26C1AFFC" w14:textId="5D57C52C" w:rsidR="00603C66" w:rsidRPr="0051782B" w:rsidRDefault="00603C66" w:rsidP="00603C66">
      <w:pPr>
        <w:spacing w:line="240" w:lineRule="auto"/>
        <w:rPr>
          <w:rFonts w:eastAsia="Times New Roman" w:cs="Arial"/>
          <w:color w:val="000000"/>
          <w:lang w:eastAsia="bg-BG"/>
        </w:rPr>
      </w:pPr>
    </w:p>
    <w:p w14:paraId="0EB8289A" w14:textId="77777777" w:rsidR="00603C66" w:rsidRPr="0051782B" w:rsidRDefault="00603C66" w:rsidP="00603C66">
      <w:pPr>
        <w:spacing w:line="240" w:lineRule="auto"/>
        <w:rPr>
          <w:rFonts w:eastAsia="Times New Roman" w:cs="Arial"/>
        </w:rPr>
      </w:pPr>
      <w:r w:rsidRPr="0051782B">
        <w:rPr>
          <w:rFonts w:eastAsia="Times New Roman" w:cs="Arial"/>
          <w:color w:val="000000"/>
          <w:u w:val="single"/>
          <w:lang w:eastAsia="bg-BG"/>
        </w:rPr>
        <w:t>Клинична ефикасност и безопасност</w:t>
      </w:r>
    </w:p>
    <w:p w14:paraId="6C49F432" w14:textId="77777777" w:rsidR="00603C66" w:rsidRPr="0051782B" w:rsidRDefault="00603C66" w:rsidP="00603C66">
      <w:pPr>
        <w:spacing w:line="240" w:lineRule="auto"/>
        <w:rPr>
          <w:rFonts w:eastAsia="Times New Roman" w:cs="Arial"/>
          <w:color w:val="000000"/>
          <w:lang w:eastAsia="bg-BG"/>
        </w:rPr>
      </w:pPr>
    </w:p>
    <w:p w14:paraId="49FA4874" w14:textId="7E465C25"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Антиангинозната и антиисхемичната ефикасност на ивабрадин е била проучена в пет двойно- слепи рандомизирани проучвания (три спрямо плацебо и по едно спрямо </w:t>
      </w:r>
      <w:r w:rsidRPr="0051782B">
        <w:rPr>
          <w:rFonts w:eastAsia="Times New Roman" w:cs="Arial"/>
          <w:color w:val="000000"/>
          <w:lang w:eastAsia="bg-BG"/>
        </w:rPr>
        <w:lastRenderedPageBreak/>
        <w:t>атенолол и амлодипин). Тези проучвания са включвали общо 4 111 пациенти с хронична стабилна стенокардия, от които 2 617 са получавали ивабрадин.</w:t>
      </w:r>
    </w:p>
    <w:p w14:paraId="2433A767" w14:textId="77777777" w:rsidR="00603C66" w:rsidRPr="0051782B" w:rsidRDefault="00603C66" w:rsidP="00603C66">
      <w:pPr>
        <w:spacing w:line="240" w:lineRule="auto"/>
        <w:rPr>
          <w:rFonts w:eastAsia="Times New Roman" w:cs="Arial"/>
          <w:color w:val="000000"/>
          <w:lang w:eastAsia="bg-BG"/>
        </w:rPr>
      </w:pPr>
    </w:p>
    <w:p w14:paraId="21BA5FF0" w14:textId="6C2A0CA3"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Те показват, че ивабрадин 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оказва ефект върху проучваните параметри при натоварване в рамките на 3 до 4 седмици след започване на лечението. Доказана е ефикасност със 7,5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Допълнителната полза спрямо 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е била установена в сравнително контролирано проучване спрямо атенолол: общата продължителност на физическото натоварване в момента на минимална концентрация в плазмата е нараснала с около 1 минута след едномесечно лечение с 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и се е подобрила с почти 25 секунди след допълнителен 3-месечен период на лечение след директно преминаване на 7,5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два пъти дневно. Това проучване потвърждава антиангинозната и антиисхемична полза от ивабрадин при пациенти на възраст 65 или повече години.</w:t>
      </w:r>
    </w:p>
    <w:p w14:paraId="05FF2CD8"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Ефикасността на 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и 7,5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върху параметрите на теста с натоварване (обща продължителност на натоварването, време до достигане на лимитираща стенокардия, време до начало на стенокардия и време до достигане на </w:t>
      </w:r>
      <w:r w:rsidRPr="0051782B">
        <w:rPr>
          <w:rFonts w:eastAsia="Times New Roman" w:cs="Arial"/>
          <w:color w:val="000000"/>
          <w:lang w:val="en-US"/>
        </w:rPr>
        <w:t>ST</w:t>
      </w:r>
      <w:r w:rsidRPr="0051782B">
        <w:rPr>
          <w:rFonts w:eastAsia="Times New Roman" w:cs="Arial"/>
          <w:color w:val="000000"/>
          <w:lang w:val="ru-RU"/>
        </w:rPr>
        <w:t xml:space="preserve"> </w:t>
      </w:r>
      <w:r w:rsidRPr="0051782B">
        <w:rPr>
          <w:rFonts w:eastAsia="Times New Roman" w:cs="Arial"/>
          <w:color w:val="000000"/>
          <w:lang w:eastAsia="bg-BG"/>
        </w:rPr>
        <w:t xml:space="preserve">депресия от 1 </w:t>
      </w:r>
      <w:r w:rsidRPr="0051782B">
        <w:rPr>
          <w:rFonts w:eastAsia="Times New Roman" w:cs="Arial"/>
          <w:color w:val="000000"/>
          <w:lang w:val="en-US"/>
        </w:rPr>
        <w:t>mm</w:t>
      </w:r>
      <w:r w:rsidRPr="0051782B">
        <w:rPr>
          <w:rFonts w:eastAsia="Times New Roman" w:cs="Arial"/>
          <w:color w:val="000000"/>
          <w:lang w:val="ru-RU"/>
        </w:rPr>
        <w:t xml:space="preserve">) </w:t>
      </w:r>
      <w:r w:rsidRPr="0051782B">
        <w:rPr>
          <w:rFonts w:eastAsia="Times New Roman" w:cs="Arial"/>
          <w:color w:val="000000"/>
          <w:lang w:eastAsia="bg-BG"/>
        </w:rPr>
        <w:t>е била потвърдена във всички проучвания и е била свързана с намаляване на честотата на ангинозните пристъпи с около 70%. При двукратен дневен прием ивабрадин има постоянна 24-часова ефикасност.</w:t>
      </w:r>
    </w:p>
    <w:p w14:paraId="4B29C665" w14:textId="77777777" w:rsidR="00603C66" w:rsidRPr="0051782B" w:rsidRDefault="00603C66" w:rsidP="00603C66">
      <w:pPr>
        <w:spacing w:line="240" w:lineRule="auto"/>
        <w:rPr>
          <w:rFonts w:eastAsia="Times New Roman" w:cs="Arial"/>
          <w:color w:val="000000"/>
          <w:lang w:eastAsia="bg-BG"/>
        </w:rPr>
      </w:pPr>
    </w:p>
    <w:p w14:paraId="296805DB" w14:textId="6CA9DA54"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В рандомизирано плацебо контролирано проучване с 889 пациенти, ивабрадин, добавен към атенолол 50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еднократно дневно, показва допълнителна ефикасност при всички параметри на стрес-теста в края на дозовия интервал на лекарствена активност (12 часа след перорален прием).</w:t>
      </w:r>
    </w:p>
    <w:p w14:paraId="16B55C8E"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В рандомизирано плацебо-контролирано проучване със 725 пациенти ивабрадин не е показал по-голяма ефикасност след прибавяне към амлодипин 10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веднъж дневно при минимума на лекарствената активност (12 часа след перорален прием), показал по-голяма ефикасност при максимума (3-4 часа след перорален прием).</w:t>
      </w:r>
    </w:p>
    <w:p w14:paraId="31942ABC" w14:textId="77777777" w:rsidR="00603C66" w:rsidRPr="0051782B" w:rsidRDefault="00603C66" w:rsidP="00603C66">
      <w:pPr>
        <w:spacing w:line="240" w:lineRule="auto"/>
        <w:rPr>
          <w:rFonts w:eastAsia="Times New Roman" w:cs="Arial"/>
          <w:color w:val="000000"/>
          <w:lang w:eastAsia="bg-BG"/>
        </w:rPr>
      </w:pPr>
    </w:p>
    <w:p w14:paraId="46AC7DB1" w14:textId="1CACF08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В рандомизирано плацебо-контролирано проучване при 1 277 пациенти, ивабрадин, добавен към амлодипин 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еднократно дневно или нифедипин </w:t>
      </w:r>
      <w:r w:rsidRPr="0051782B">
        <w:rPr>
          <w:rFonts w:eastAsia="Times New Roman" w:cs="Arial"/>
          <w:color w:val="000000"/>
          <w:lang w:val="en-US"/>
        </w:rPr>
        <w:t>GITS</w:t>
      </w:r>
      <w:r w:rsidRPr="0051782B">
        <w:rPr>
          <w:rFonts w:eastAsia="Times New Roman" w:cs="Arial"/>
          <w:color w:val="000000"/>
          <w:lang w:val="ru-RU"/>
        </w:rPr>
        <w:t xml:space="preserve"> </w:t>
      </w:r>
      <w:r w:rsidRPr="0051782B">
        <w:rPr>
          <w:rFonts w:eastAsia="Times New Roman" w:cs="Arial"/>
          <w:color w:val="000000"/>
          <w:lang w:eastAsia="bg-BG"/>
        </w:rPr>
        <w:t xml:space="preserve">30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еднократно дневно, е показал статистически значима допълнителна ефикасност по отношение на отговора към лечението (дефиниран като намаление с най-малко 3 ангинознни пристъпа за седмица и/или увеличение на времето до достигане на </w:t>
      </w:r>
      <w:r w:rsidRPr="0051782B">
        <w:rPr>
          <w:rFonts w:eastAsia="Times New Roman" w:cs="Arial"/>
          <w:color w:val="000000"/>
          <w:lang w:val="en-US"/>
        </w:rPr>
        <w:t>ST</w:t>
      </w:r>
      <w:r w:rsidRPr="0051782B">
        <w:rPr>
          <w:rFonts w:eastAsia="Times New Roman" w:cs="Arial"/>
          <w:color w:val="000000"/>
          <w:lang w:val="ru-RU"/>
        </w:rPr>
        <w:t xml:space="preserve"> </w:t>
      </w:r>
      <w:r w:rsidRPr="0051782B">
        <w:rPr>
          <w:rFonts w:eastAsia="Times New Roman" w:cs="Arial"/>
          <w:color w:val="000000"/>
          <w:lang w:eastAsia="bg-BG"/>
        </w:rPr>
        <w:t xml:space="preserve">депресия от 1 </w:t>
      </w:r>
      <w:r w:rsidRPr="0051782B">
        <w:rPr>
          <w:rFonts w:eastAsia="Times New Roman" w:cs="Arial"/>
          <w:color w:val="000000"/>
          <w:lang w:val="en-US"/>
        </w:rPr>
        <w:t>mm</w:t>
      </w:r>
      <w:r w:rsidRPr="0051782B">
        <w:rPr>
          <w:rFonts w:eastAsia="Times New Roman" w:cs="Arial"/>
          <w:color w:val="000000"/>
          <w:lang w:val="ru-RU"/>
        </w:rPr>
        <w:t xml:space="preserve"> </w:t>
      </w:r>
      <w:r w:rsidRPr="0051782B">
        <w:rPr>
          <w:rFonts w:eastAsia="Times New Roman" w:cs="Arial"/>
          <w:color w:val="000000"/>
          <w:lang w:eastAsia="bg-BG"/>
        </w:rPr>
        <w:t xml:space="preserve">с най-малко 60 </w:t>
      </w:r>
      <w:r w:rsidRPr="0051782B">
        <w:rPr>
          <w:rFonts w:eastAsia="Times New Roman" w:cs="Arial"/>
          <w:color w:val="000000"/>
          <w:lang w:val="en-US"/>
        </w:rPr>
        <w:t>s</w:t>
      </w:r>
      <w:r w:rsidRPr="0051782B">
        <w:rPr>
          <w:rFonts w:eastAsia="Times New Roman" w:cs="Arial"/>
          <w:color w:val="000000"/>
          <w:lang w:val="ru-RU"/>
        </w:rPr>
        <w:t xml:space="preserve"> </w:t>
      </w:r>
      <w:r w:rsidRPr="0051782B">
        <w:rPr>
          <w:rFonts w:eastAsia="Times New Roman" w:cs="Arial"/>
          <w:color w:val="000000"/>
          <w:lang w:eastAsia="bg-BG"/>
        </w:rPr>
        <w:t xml:space="preserve">по време на стрес-теста с бягаща пътека) при най-ниската лекарствена активност (12 часа след перорален прием на ивабрадин) след 6-седмичен период на лечение </w:t>
      </w:r>
      <w:r w:rsidRPr="0051782B">
        <w:rPr>
          <w:rFonts w:eastAsia="Times New Roman" w:cs="Arial"/>
          <w:color w:val="000000"/>
          <w:lang w:val="ru-RU"/>
        </w:rPr>
        <w:t>(</w:t>
      </w:r>
      <w:r w:rsidRPr="0051782B">
        <w:rPr>
          <w:rFonts w:eastAsia="Times New Roman" w:cs="Arial"/>
          <w:color w:val="000000"/>
          <w:lang w:val="en-US"/>
        </w:rPr>
        <w:t>OR</w:t>
      </w:r>
      <w:r w:rsidRPr="0051782B">
        <w:rPr>
          <w:rFonts w:eastAsia="Times New Roman" w:cs="Arial"/>
          <w:color w:val="000000"/>
          <w:lang w:val="ru-RU"/>
        </w:rPr>
        <w:t xml:space="preserve">= </w:t>
      </w:r>
      <w:r w:rsidRPr="0051782B">
        <w:rPr>
          <w:rFonts w:eastAsia="Times New Roman" w:cs="Arial"/>
          <w:color w:val="000000"/>
          <w:lang w:eastAsia="bg-BG"/>
        </w:rPr>
        <w:t xml:space="preserve">1,3; 95% </w:t>
      </w:r>
      <w:r w:rsidRPr="0051782B">
        <w:rPr>
          <w:rFonts w:eastAsia="Times New Roman" w:cs="Arial"/>
          <w:color w:val="000000"/>
          <w:lang w:val="en-US"/>
        </w:rPr>
        <w:t>CI</w:t>
      </w:r>
      <w:r w:rsidRPr="0051782B">
        <w:rPr>
          <w:rFonts w:eastAsia="Times New Roman" w:cs="Arial"/>
          <w:color w:val="000000"/>
          <w:lang w:val="ru-RU"/>
        </w:rPr>
        <w:t xml:space="preserve"> </w:t>
      </w:r>
      <w:r w:rsidRPr="0051782B">
        <w:rPr>
          <w:rFonts w:eastAsia="Times New Roman" w:cs="Arial"/>
          <w:color w:val="000000"/>
          <w:lang w:eastAsia="bg-BG"/>
        </w:rPr>
        <w:t>[1 ,.0-1,7]; р=0,012). Ивабрадин не е показал допълнителна ефикасност върху вторичните крайни точки на параметрите на стрес-теста при най-ниската лекарствена активност, въпреки че е показал допълнителна ефикасност при максимума (3-4 часа след перорален прием).</w:t>
      </w:r>
    </w:p>
    <w:p w14:paraId="32B9207B" w14:textId="77777777" w:rsidR="00603C66" w:rsidRPr="0051782B" w:rsidRDefault="00603C66" w:rsidP="00603C66">
      <w:pPr>
        <w:spacing w:line="240" w:lineRule="auto"/>
        <w:rPr>
          <w:rFonts w:eastAsia="Times New Roman" w:cs="Arial"/>
          <w:color w:val="000000"/>
          <w:lang w:eastAsia="bg-BG"/>
        </w:rPr>
      </w:pPr>
    </w:p>
    <w:p w14:paraId="7611DD6C" w14:textId="77777777" w:rsidR="00603C66" w:rsidRPr="0051782B" w:rsidRDefault="00603C66" w:rsidP="00603C66">
      <w:pPr>
        <w:spacing w:line="240" w:lineRule="auto"/>
        <w:rPr>
          <w:rFonts w:eastAsia="Times New Roman" w:cs="Arial"/>
          <w:color w:val="000000"/>
          <w:lang w:eastAsia="bg-BG"/>
        </w:rPr>
      </w:pPr>
      <w:r w:rsidRPr="0051782B">
        <w:rPr>
          <w:rFonts w:eastAsia="Times New Roman" w:cs="Arial"/>
          <w:color w:val="000000"/>
          <w:lang w:eastAsia="bg-BG"/>
        </w:rPr>
        <w:t xml:space="preserve">Ефикасността на ивабрадин се запазва напълно през целия 3 или 4 месечен период на лечение при проучванията за ефикасност. Липсват данни за фармакологичен толеранс (загуба на ефективност), възникващ по време на лечение, както и за ребаунд ефект след рязко спиране на лечението. Антиангинозните и антиисхемични ефекти на ивабрадин се свързват с доза- зависимо понижение на сърдечната честота и със значимо намаление на произведението на честота и налягане (сърдечна честота х систолно кръвно налягане) в покой и по време на натоварване. Действието върху кръвното налягане и периферното съдово съпротивление е пренебрежимо и няма клинично </w:t>
      </w:r>
    </w:p>
    <w:p w14:paraId="625EBB6D" w14:textId="031FCD41" w:rsidR="00603C66" w:rsidRPr="0051782B" w:rsidRDefault="00603C66" w:rsidP="00603C66">
      <w:pPr>
        <w:spacing w:line="240" w:lineRule="auto"/>
        <w:rPr>
          <w:rFonts w:eastAsia="Times New Roman" w:cs="Arial"/>
        </w:rPr>
      </w:pPr>
      <w:r w:rsidRPr="0051782B">
        <w:rPr>
          <w:rFonts w:eastAsia="Times New Roman" w:cs="Arial"/>
          <w:color w:val="000000"/>
          <w:lang w:eastAsia="bg-BG"/>
        </w:rPr>
        <w:t>значение.</w:t>
      </w:r>
    </w:p>
    <w:p w14:paraId="1165836B" w14:textId="77777777" w:rsidR="00603C66" w:rsidRPr="0051782B" w:rsidRDefault="00603C66" w:rsidP="00603C66">
      <w:pPr>
        <w:spacing w:line="240" w:lineRule="auto"/>
        <w:rPr>
          <w:rFonts w:eastAsia="Times New Roman" w:cs="Arial"/>
          <w:color w:val="000000"/>
          <w:lang w:eastAsia="bg-BG"/>
        </w:rPr>
      </w:pPr>
    </w:p>
    <w:p w14:paraId="0B341961" w14:textId="7E6F4C13" w:rsidR="00603C66" w:rsidRPr="0051782B" w:rsidRDefault="00603C66" w:rsidP="00603C66">
      <w:pPr>
        <w:spacing w:line="240" w:lineRule="auto"/>
        <w:rPr>
          <w:rFonts w:eastAsia="Times New Roman" w:cs="Arial"/>
          <w:color w:val="000000"/>
          <w:lang w:eastAsia="bg-BG"/>
        </w:rPr>
      </w:pPr>
      <w:r w:rsidRPr="0051782B">
        <w:rPr>
          <w:rFonts w:eastAsia="Times New Roman" w:cs="Arial"/>
          <w:color w:val="000000"/>
          <w:lang w:eastAsia="bg-BG"/>
        </w:rPr>
        <w:lastRenderedPageBreak/>
        <w:t>Трайно понижение на сърдечната честота е било демонстрирано при пациенти лекувани с ивабрадин минимум една година (</w:t>
      </w:r>
      <w:r w:rsidRPr="0051782B">
        <w:rPr>
          <w:rFonts w:eastAsia="Times New Roman" w:cs="Arial"/>
          <w:color w:val="000000"/>
          <w:lang w:val="en-US"/>
        </w:rPr>
        <w:t>n</w:t>
      </w:r>
      <w:r w:rsidRPr="0051782B">
        <w:rPr>
          <w:rFonts w:eastAsia="Times New Roman" w:cs="Arial"/>
          <w:color w:val="000000"/>
          <w:lang w:eastAsia="bg-BG"/>
        </w:rPr>
        <w:t>= 713). Не се наблюдава влияние върху стойностите на захар в кръвта или метаболизма на липидите.</w:t>
      </w:r>
    </w:p>
    <w:p w14:paraId="0EC67B8D" w14:textId="6F7E936E" w:rsidR="00603C66" w:rsidRPr="0051782B" w:rsidRDefault="00603C66" w:rsidP="00603C66">
      <w:pPr>
        <w:spacing w:line="240" w:lineRule="auto"/>
        <w:rPr>
          <w:rFonts w:eastAsia="Times New Roman" w:cs="Arial"/>
          <w:color w:val="000000"/>
          <w:lang w:eastAsia="bg-BG"/>
        </w:rPr>
      </w:pPr>
    </w:p>
    <w:p w14:paraId="21F70A92"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Антиангинозната и антиисхемична ефикасност на ивабрадин се е запазила при диабетици (</w:t>
      </w:r>
      <w:r w:rsidRPr="0051782B">
        <w:rPr>
          <w:rFonts w:eastAsia="Times New Roman" w:cs="Arial"/>
          <w:color w:val="000000"/>
          <w:lang w:val="en-US"/>
        </w:rPr>
        <w:t>n</w:t>
      </w:r>
      <w:r w:rsidRPr="0051782B">
        <w:rPr>
          <w:rFonts w:eastAsia="Times New Roman" w:cs="Arial"/>
          <w:color w:val="000000"/>
          <w:lang w:val="ru-RU"/>
        </w:rPr>
        <w:t>=</w:t>
      </w:r>
      <w:r w:rsidRPr="0051782B">
        <w:rPr>
          <w:rFonts w:eastAsia="Times New Roman" w:cs="Arial"/>
          <w:color w:val="000000"/>
          <w:lang w:eastAsia="bg-BG"/>
        </w:rPr>
        <w:t>457) при профил на безопасност сравним с този в общата популация.</w:t>
      </w:r>
    </w:p>
    <w:p w14:paraId="559CED4B" w14:textId="77777777" w:rsidR="00603C66" w:rsidRPr="0051782B" w:rsidRDefault="00603C66" w:rsidP="00603C66">
      <w:pPr>
        <w:spacing w:line="240" w:lineRule="auto"/>
        <w:rPr>
          <w:rFonts w:eastAsia="Times New Roman" w:cs="Arial"/>
          <w:color w:val="000000"/>
          <w:lang w:eastAsia="bg-BG"/>
        </w:rPr>
      </w:pPr>
    </w:p>
    <w:p w14:paraId="1D5D4235" w14:textId="542975E6"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Мащабно проучване по отношение на изхода, </w:t>
      </w:r>
      <w:r w:rsidRPr="0051782B">
        <w:rPr>
          <w:rFonts w:eastAsia="Times New Roman" w:cs="Arial"/>
          <w:color w:val="000000"/>
          <w:lang w:val="en-US"/>
        </w:rPr>
        <w:t>BEAUTIFUL</w:t>
      </w:r>
      <w:r w:rsidRPr="0051782B">
        <w:rPr>
          <w:rFonts w:eastAsia="Times New Roman" w:cs="Arial"/>
          <w:color w:val="000000"/>
          <w:lang w:val="ru-RU"/>
        </w:rPr>
        <w:t xml:space="preserve">, </w:t>
      </w:r>
      <w:r w:rsidRPr="0051782B">
        <w:rPr>
          <w:rFonts w:eastAsia="Times New Roman" w:cs="Arial"/>
          <w:color w:val="000000"/>
          <w:lang w:eastAsia="bg-BG"/>
        </w:rPr>
        <w:t>е проведено при 10 917 пациенти с исхемична болест на сърцето и левокамерна дисфункция (ЛКФИ&lt; 40%) на фона на оптимално лечение, като 86,9% от пациентите са получавали бета-блокери. Основният критерий за ефикасност е комбинацията от сърдечно-съдова смърт, хоспитализация при остър инфаркт на миокарда или хоспитализация поради нововъзникнала или влошаваща се сърдечна недостатъчност. Проучването не показва разлика при първичния комбиниран краен резултат в групата на пациентите, лекувани с ивабрадин в сравнение с плацебо групата (релативен риск ивабрадин: плацебо 1,00, р=0,945).</w:t>
      </w:r>
    </w:p>
    <w:p w14:paraId="1DC1A374"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При </w:t>
      </w:r>
      <w:r w:rsidRPr="0051782B">
        <w:rPr>
          <w:rFonts w:eastAsia="Times New Roman" w:cs="Arial"/>
          <w:color w:val="000000"/>
          <w:lang w:val="en-US"/>
        </w:rPr>
        <w:t>post</w:t>
      </w:r>
      <w:r w:rsidRPr="0051782B">
        <w:rPr>
          <w:rFonts w:eastAsia="Times New Roman" w:cs="Arial"/>
          <w:color w:val="000000"/>
          <w:lang w:val="ru-RU"/>
        </w:rPr>
        <w:t>-</w:t>
      </w:r>
      <w:r w:rsidRPr="0051782B">
        <w:rPr>
          <w:rFonts w:eastAsia="Times New Roman" w:cs="Arial"/>
          <w:color w:val="000000"/>
          <w:lang w:val="en-US"/>
        </w:rPr>
        <w:t>hoc</w:t>
      </w:r>
      <w:r w:rsidRPr="0051782B">
        <w:rPr>
          <w:rFonts w:eastAsia="Times New Roman" w:cs="Arial"/>
          <w:color w:val="000000"/>
          <w:lang w:val="ru-RU"/>
        </w:rPr>
        <w:t xml:space="preserve"> </w:t>
      </w:r>
      <w:r w:rsidRPr="0051782B">
        <w:rPr>
          <w:rFonts w:eastAsia="Times New Roman" w:cs="Arial"/>
          <w:color w:val="000000"/>
          <w:lang w:eastAsia="bg-BG"/>
        </w:rPr>
        <w:t xml:space="preserve">подгрупа пациенти със симптоматична стенокардия по време на рандомизацията </w:t>
      </w:r>
      <w:r w:rsidRPr="0051782B">
        <w:rPr>
          <w:rFonts w:eastAsia="Times New Roman" w:cs="Arial"/>
          <w:i/>
          <w:iCs/>
          <w:color w:val="000000"/>
          <w:lang w:eastAsia="bg-BG"/>
        </w:rPr>
        <w:t>(п=1507) не е</w:t>
      </w:r>
      <w:r w:rsidRPr="0051782B">
        <w:rPr>
          <w:rFonts w:eastAsia="Times New Roman" w:cs="Arial"/>
          <w:color w:val="000000"/>
          <w:lang w:eastAsia="bg-BG"/>
        </w:rPr>
        <w:t xml:space="preserve"> идентифициран сигнал във връзка с безопасността по отношение на сърдечно</w:t>
      </w:r>
      <w:r w:rsidRPr="0051782B">
        <w:rPr>
          <w:rFonts w:eastAsia="Times New Roman" w:cs="Arial"/>
          <w:color w:val="000000"/>
          <w:lang w:eastAsia="bg-BG"/>
        </w:rPr>
        <w:softHyphen/>
        <w:t>съдова смърт, хоспитализация при остър инфаркт на миокарда или сърдечна недостатъчност (ивабрадин 12,0% срещу плацебо 15,5%, р=0,05).</w:t>
      </w:r>
    </w:p>
    <w:p w14:paraId="6C63CDEC" w14:textId="77777777" w:rsidR="00603C66" w:rsidRPr="0051782B" w:rsidRDefault="00603C66" w:rsidP="00603C66">
      <w:pPr>
        <w:spacing w:line="240" w:lineRule="auto"/>
        <w:rPr>
          <w:rFonts w:eastAsia="Times New Roman" w:cs="Arial"/>
          <w:color w:val="000000"/>
          <w:lang w:eastAsia="bg-BG"/>
        </w:rPr>
      </w:pPr>
    </w:p>
    <w:p w14:paraId="5CE34BCF" w14:textId="21A734C5"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Проведено е мащабно проучване по отношение на изхода, </w:t>
      </w:r>
      <w:r w:rsidRPr="0051782B">
        <w:rPr>
          <w:rFonts w:eastAsia="Times New Roman" w:cs="Arial"/>
          <w:color w:val="000000"/>
          <w:lang w:val="en-US"/>
        </w:rPr>
        <w:t>SIGNIFY</w:t>
      </w:r>
      <w:r w:rsidRPr="0051782B">
        <w:rPr>
          <w:rFonts w:eastAsia="Times New Roman" w:cs="Arial"/>
          <w:color w:val="000000"/>
          <w:lang w:val="ru-RU"/>
        </w:rPr>
        <w:t xml:space="preserve">, </w:t>
      </w:r>
      <w:r w:rsidRPr="0051782B">
        <w:rPr>
          <w:rFonts w:eastAsia="Times New Roman" w:cs="Arial"/>
          <w:color w:val="000000"/>
          <w:lang w:eastAsia="bg-BG"/>
        </w:rPr>
        <w:t xml:space="preserve">при 19 102 пациенти с исхемична болест на сърцето и без клинична сърдечна недостатъчност (ЛКФИ &gt; 40%) на фона на оптимално основно лечение. Използвана е по-висока терапевтична схема от одобрената дозировка (начална доза 7,5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два пъти дневно, ако възрастта е</w:t>
      </w:r>
      <w:r w:rsidR="0051782B" w:rsidRPr="0051782B">
        <w:rPr>
          <w:rFonts w:eastAsia="Times New Roman" w:cs="Arial"/>
          <w:lang w:val="ru-RU"/>
        </w:rPr>
        <w:t xml:space="preserve"> </w:t>
      </w:r>
      <w:r w:rsidRPr="0051782B">
        <w:rPr>
          <w:rFonts w:eastAsia="Times New Roman" w:cs="Arial"/>
          <w:color w:val="000000"/>
          <w:lang w:eastAsia="bg-BG"/>
        </w:rPr>
        <w:t xml:space="preserve">≥ 75 години) и титриране до 10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Основният критерий за ефикасност е бил комбинацията от сърдечносъдова смърт или нефатален инфаркт на миокарда. Проучването не показва разлика при първичната съставна крайна точка (ПСКТ) в групата на пациентите, лекувани с ивабрадин в сравнение с плацебо групата (относителен риск ивабрадин/плацебо 1,08, р=0,197). Съобщена е брадикардия при 17,9% в групата на пациентите, лекувани с ивабрадин (2,1% в плацебо групата). Верапамил, дилтиазем или мощни </w:t>
      </w:r>
      <w:r w:rsidRPr="0051782B">
        <w:rPr>
          <w:rFonts w:eastAsia="Times New Roman" w:cs="Arial"/>
          <w:color w:val="000000"/>
          <w:lang w:val="en-US"/>
        </w:rPr>
        <w:t>CYP</w:t>
      </w:r>
      <w:r w:rsidRPr="0051782B">
        <w:rPr>
          <w:rFonts w:eastAsia="Times New Roman" w:cs="Arial"/>
          <w:color w:val="000000"/>
          <w:lang w:val="ru-RU"/>
        </w:rPr>
        <w:t>3</w:t>
      </w:r>
      <w:r w:rsidRPr="0051782B">
        <w:rPr>
          <w:rFonts w:eastAsia="Times New Roman" w:cs="Arial"/>
          <w:color w:val="000000"/>
          <w:lang w:val="en-US"/>
        </w:rPr>
        <w:t>A</w:t>
      </w:r>
      <w:r w:rsidRPr="0051782B">
        <w:rPr>
          <w:rFonts w:eastAsia="Times New Roman" w:cs="Arial"/>
          <w:color w:val="000000"/>
          <w:lang w:val="ru-RU"/>
        </w:rPr>
        <w:t xml:space="preserve">4 </w:t>
      </w:r>
      <w:r w:rsidRPr="0051782B">
        <w:rPr>
          <w:rFonts w:eastAsia="Times New Roman" w:cs="Arial"/>
          <w:color w:val="000000"/>
          <w:lang w:eastAsia="bg-BG"/>
        </w:rPr>
        <w:t xml:space="preserve">инхибитори са били приемани от 7,1% от пациентите по време на проучването. Малко статистически значимо увеличение на ПСКТ е наблюдавано в предварително определена подгрупа от пациенти със стенокардия клас П по </w:t>
      </w:r>
      <w:r w:rsidRPr="0051782B">
        <w:rPr>
          <w:rFonts w:eastAsia="Times New Roman" w:cs="Arial"/>
          <w:color w:val="000000"/>
          <w:lang w:val="en-US"/>
        </w:rPr>
        <w:t>CCS</w:t>
      </w:r>
      <w:r w:rsidRPr="0051782B">
        <w:rPr>
          <w:rFonts w:eastAsia="Times New Roman" w:cs="Arial"/>
          <w:color w:val="000000"/>
          <w:lang w:val="ru-RU"/>
        </w:rPr>
        <w:t xml:space="preserve"> </w:t>
      </w:r>
      <w:r w:rsidRPr="0051782B">
        <w:rPr>
          <w:rFonts w:eastAsia="Times New Roman" w:cs="Arial"/>
          <w:color w:val="000000"/>
          <w:lang w:eastAsia="bg-BG"/>
        </w:rPr>
        <w:t>или по-висок при включването (</w:t>
      </w:r>
      <w:r w:rsidRPr="0051782B">
        <w:rPr>
          <w:rFonts w:eastAsia="Times New Roman" w:cs="Arial"/>
          <w:color w:val="000000"/>
          <w:lang w:val="en-US"/>
        </w:rPr>
        <w:t>n</w:t>
      </w:r>
      <w:r w:rsidRPr="0051782B">
        <w:rPr>
          <w:rFonts w:eastAsia="Times New Roman" w:cs="Arial"/>
          <w:color w:val="000000"/>
          <w:lang w:eastAsia="bg-BG"/>
        </w:rPr>
        <w:t xml:space="preserve">=12 049) (честота на поява 3,4% срещу 2,9% годишно, относителен риск </w:t>
      </w:r>
      <w:r w:rsidRPr="0051782B">
        <w:rPr>
          <w:rFonts w:eastAsia="Times New Roman" w:cs="Arial"/>
          <w:i/>
          <w:iCs/>
          <w:color w:val="000000"/>
          <w:lang w:eastAsia="bg-BG"/>
        </w:rPr>
        <w:t>ивабрадин/плацебо 1,18, р=0,018), но</w:t>
      </w:r>
      <w:r w:rsidRPr="0051782B">
        <w:rPr>
          <w:rFonts w:eastAsia="Times New Roman" w:cs="Arial"/>
          <w:color w:val="000000"/>
          <w:lang w:eastAsia="bg-BG"/>
        </w:rPr>
        <w:t xml:space="preserve"> не в подгрупата от цялата популация със стенокардия клас ≥ </w:t>
      </w:r>
      <w:r w:rsidRPr="0051782B">
        <w:rPr>
          <w:rFonts w:eastAsia="Times New Roman" w:cs="Arial"/>
          <w:color w:val="000000"/>
          <w:lang w:val="en-US"/>
        </w:rPr>
        <w:t>I</w:t>
      </w:r>
      <w:r w:rsidRPr="0051782B">
        <w:rPr>
          <w:rFonts w:eastAsia="Times New Roman" w:cs="Arial"/>
          <w:color w:val="000000"/>
          <w:lang w:val="ru-RU"/>
        </w:rPr>
        <w:t xml:space="preserve"> </w:t>
      </w:r>
      <w:r w:rsidRPr="0051782B">
        <w:rPr>
          <w:rFonts w:eastAsia="Times New Roman" w:cs="Arial"/>
          <w:color w:val="000000"/>
          <w:lang w:eastAsia="bg-BG"/>
        </w:rPr>
        <w:t xml:space="preserve">по </w:t>
      </w:r>
      <w:r w:rsidRPr="0051782B">
        <w:rPr>
          <w:rFonts w:eastAsia="Times New Roman" w:cs="Arial"/>
          <w:color w:val="000000"/>
          <w:lang w:val="en-US"/>
        </w:rPr>
        <w:t>CCS</w:t>
      </w:r>
      <w:r w:rsidRPr="0051782B">
        <w:rPr>
          <w:rFonts w:eastAsia="Times New Roman" w:cs="Arial"/>
          <w:color w:val="000000"/>
          <w:lang w:val="ru-RU"/>
        </w:rPr>
        <w:t xml:space="preserve"> </w:t>
      </w:r>
      <w:r w:rsidRPr="0051782B">
        <w:rPr>
          <w:rFonts w:eastAsia="Times New Roman" w:cs="Arial"/>
          <w:color w:val="000000"/>
          <w:lang w:eastAsia="bg-BG"/>
        </w:rPr>
        <w:t>(</w:t>
      </w:r>
      <w:r w:rsidRPr="0051782B">
        <w:rPr>
          <w:rFonts w:eastAsia="Times New Roman" w:cs="Arial"/>
          <w:color w:val="000000"/>
          <w:lang w:val="en-US"/>
        </w:rPr>
        <w:t>n</w:t>
      </w:r>
      <w:r w:rsidRPr="0051782B">
        <w:rPr>
          <w:rFonts w:eastAsia="Times New Roman" w:cs="Arial"/>
          <w:color w:val="000000"/>
          <w:lang w:eastAsia="bg-BG"/>
        </w:rPr>
        <w:t>=14286) (относителен риск ивабрадин/плацебо 1,11,</w:t>
      </w:r>
      <w:r w:rsidRPr="0051782B">
        <w:rPr>
          <w:rFonts w:eastAsia="Times New Roman" w:cs="Arial"/>
          <w:color w:val="000000"/>
          <w:lang w:val="ru-RU"/>
        </w:rPr>
        <w:t xml:space="preserve"> </w:t>
      </w:r>
      <w:r w:rsidRPr="0051782B">
        <w:rPr>
          <w:rFonts w:eastAsia="Times New Roman" w:cs="Arial"/>
          <w:color w:val="000000"/>
          <w:lang w:eastAsia="bg-BG"/>
        </w:rPr>
        <w:t>р=0,110).</w:t>
      </w:r>
    </w:p>
    <w:p w14:paraId="16E02A08"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По-високата от одобрената доза, използвана в проучването, не обяснява напълно тези изводи.</w:t>
      </w:r>
    </w:p>
    <w:p w14:paraId="60B0CA15" w14:textId="77777777" w:rsidR="00603C66" w:rsidRPr="0051782B" w:rsidRDefault="00603C66" w:rsidP="00603C66">
      <w:pPr>
        <w:spacing w:line="240" w:lineRule="auto"/>
        <w:rPr>
          <w:rFonts w:eastAsia="Times New Roman" w:cs="Arial"/>
          <w:color w:val="000000"/>
          <w:lang w:eastAsia="bg-BG"/>
        </w:rPr>
      </w:pPr>
    </w:p>
    <w:p w14:paraId="30B9229D" w14:textId="4BDFB85E"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Проучването </w:t>
      </w:r>
      <w:r w:rsidRPr="0051782B">
        <w:rPr>
          <w:rFonts w:eastAsia="Times New Roman" w:cs="Arial"/>
          <w:color w:val="000000"/>
          <w:lang w:val="en-US"/>
        </w:rPr>
        <w:t>SHIFT</w:t>
      </w:r>
      <w:r w:rsidRPr="0051782B">
        <w:rPr>
          <w:rFonts w:eastAsia="Times New Roman" w:cs="Arial"/>
          <w:color w:val="000000"/>
          <w:lang w:val="ru-RU"/>
        </w:rPr>
        <w:t xml:space="preserve"> </w:t>
      </w:r>
      <w:r w:rsidRPr="0051782B">
        <w:rPr>
          <w:rFonts w:eastAsia="Times New Roman" w:cs="Arial"/>
          <w:color w:val="000000"/>
          <w:lang w:eastAsia="bg-BG"/>
        </w:rPr>
        <w:t xml:space="preserve">е голямо, многоцентрово, международно, рандомизирано, двойно сляпо, с плацебо-контролирани резултати изпитване, проведено при 6 505 възрастни пациенти със стабилна хронична ЗСН (за ≥ 4 седмици), от II до IV клас по </w:t>
      </w:r>
      <w:r w:rsidRPr="0051782B">
        <w:rPr>
          <w:rFonts w:eastAsia="Times New Roman" w:cs="Arial"/>
          <w:color w:val="000000"/>
          <w:lang w:val="en-US"/>
        </w:rPr>
        <w:t>NYHA</w:t>
      </w:r>
      <w:r w:rsidRPr="0051782B">
        <w:rPr>
          <w:rFonts w:eastAsia="Times New Roman" w:cs="Arial"/>
          <w:color w:val="000000"/>
          <w:lang w:val="ru-RU"/>
        </w:rPr>
        <w:t xml:space="preserve">, </w:t>
      </w:r>
      <w:r w:rsidRPr="0051782B">
        <w:rPr>
          <w:rFonts w:eastAsia="Times New Roman" w:cs="Arial"/>
          <w:color w:val="000000"/>
          <w:lang w:eastAsia="bg-BG"/>
        </w:rPr>
        <w:t>с намалена левокамерна фракция на изтласкване (ЛКФИ &lt; 35%) и сърдечна честота в покой ≥ 70 удара в минута.</w:t>
      </w:r>
    </w:p>
    <w:p w14:paraId="4971B33B"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Пациентите са получавали стандартно лечение, включващо бета-блокери (89%), АСЕ- инхибитори и/или ангиотензин </w:t>
      </w:r>
      <w:r w:rsidRPr="0051782B">
        <w:rPr>
          <w:rFonts w:eastAsia="Times New Roman" w:cs="Arial"/>
          <w:color w:val="000000"/>
          <w:lang w:val="en-US"/>
        </w:rPr>
        <w:t>II</w:t>
      </w:r>
      <w:r w:rsidRPr="0051782B">
        <w:rPr>
          <w:rFonts w:eastAsia="Times New Roman" w:cs="Arial"/>
          <w:color w:val="000000"/>
          <w:lang w:eastAsia="bg-BG"/>
        </w:rPr>
        <w:t xml:space="preserve"> антагонисти (91%), диуретици (83%) и антагонисти на алдостерона (60%). В групата на ивабрадин, 67% от пациентите са лекувани със 7,5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Средната продължителността на периода на проследяване е 22,9 месеца. Лечението с ивабрадин е свързано с намаляване на сърдечната честота средно </w:t>
      </w:r>
      <w:r w:rsidRPr="0051782B">
        <w:rPr>
          <w:rFonts w:eastAsia="Times New Roman" w:cs="Arial"/>
          <w:color w:val="000000"/>
          <w:lang w:eastAsia="bg-BG"/>
        </w:rPr>
        <w:lastRenderedPageBreak/>
        <w:t>с 15 удара в минута от изходната стойност от 80 удара в минута. Разликата в сърдечната честота между ивабрадин и плацебо групите е 10,8 удара в минута на 28 ден, 9,1 удара в минута на 12 месец и 8,3 удара в минута на 24 месец.</w:t>
      </w:r>
    </w:p>
    <w:p w14:paraId="7ABDF074" w14:textId="77777777" w:rsidR="00603C66" w:rsidRPr="0051782B" w:rsidRDefault="00603C66" w:rsidP="00603C66">
      <w:pPr>
        <w:spacing w:line="240" w:lineRule="auto"/>
        <w:rPr>
          <w:rFonts w:eastAsia="Times New Roman" w:cs="Arial"/>
          <w:color w:val="000000"/>
          <w:lang w:eastAsia="bg-BG"/>
        </w:rPr>
      </w:pPr>
    </w:p>
    <w:p w14:paraId="3ADBE5B8" w14:textId="77777777" w:rsidR="00603C66" w:rsidRPr="0051782B" w:rsidRDefault="00603C66" w:rsidP="00603C66">
      <w:pPr>
        <w:rPr>
          <w:rFonts w:eastAsia="Times New Roman" w:cs="Arial"/>
        </w:rPr>
      </w:pPr>
      <w:r w:rsidRPr="0051782B">
        <w:rPr>
          <w:rFonts w:eastAsia="Times New Roman" w:cs="Arial"/>
          <w:color w:val="000000"/>
          <w:lang w:eastAsia="bg-BG"/>
        </w:rPr>
        <w:t>Проучването демонстрира клинично и статистически значимо намаление на относителния риск с 18%, на честотата на първичната съставна крайна точка на сърдечносъдова</w:t>
      </w:r>
      <w:r w:rsidRPr="0051782B">
        <w:rPr>
          <w:rFonts w:eastAsia="Times New Roman" w:cs="Arial"/>
          <w:color w:val="000000"/>
          <w:lang w:val="ru-RU"/>
        </w:rPr>
        <w:t xml:space="preserve"> </w:t>
      </w:r>
      <w:r w:rsidRPr="0051782B">
        <w:rPr>
          <w:rFonts w:eastAsia="Times New Roman" w:cs="Arial"/>
          <w:color w:val="000000"/>
          <w:lang w:eastAsia="bg-BG"/>
        </w:rPr>
        <w:t xml:space="preserve">смъртност и хоспитализация, поради влошаване на сърдечната недостатъчност (коефицент на риска: 0,82, 95% </w:t>
      </w:r>
      <w:r w:rsidRPr="0051782B">
        <w:rPr>
          <w:rFonts w:eastAsia="Times New Roman" w:cs="Arial"/>
          <w:color w:val="000000"/>
          <w:lang w:val="en-US"/>
        </w:rPr>
        <w:t>CI</w:t>
      </w:r>
      <w:r w:rsidRPr="0051782B">
        <w:rPr>
          <w:rFonts w:eastAsia="Times New Roman" w:cs="Arial"/>
          <w:color w:val="000000"/>
          <w:lang w:val="ru-RU"/>
        </w:rPr>
        <w:t xml:space="preserve"> </w:t>
      </w:r>
      <w:r w:rsidRPr="0051782B">
        <w:rPr>
          <w:rFonts w:eastAsia="Times New Roman" w:cs="Arial"/>
          <w:color w:val="000000"/>
          <w:lang w:eastAsia="bg-BG"/>
        </w:rPr>
        <w:t>[0,75;0,90] - р&lt;0,0001), установено до 3 месеца след започване на лечението Понижаването на абсолютния риск е 4,2%. Резултатите по първичната крайна точка се изведени главно чрез крайните точки сърдечната недостатъчност, хоспитализация поради влошаване на</w:t>
      </w:r>
      <w:r w:rsidRPr="0051782B">
        <w:rPr>
          <w:rFonts w:eastAsia="Times New Roman" w:cs="Arial"/>
          <w:color w:val="000000"/>
          <w:lang w:val="ru-RU" w:eastAsia="bg-BG"/>
        </w:rPr>
        <w:t xml:space="preserve"> </w:t>
      </w:r>
      <w:r w:rsidRPr="0051782B">
        <w:rPr>
          <w:rFonts w:eastAsia="Times New Roman" w:cs="Arial"/>
          <w:color w:val="000000"/>
          <w:lang w:eastAsia="bg-BG"/>
        </w:rPr>
        <w:t>сърдечната недостатъчност (абсолютен риск намален с4,7%) и смърт поради сърдечна недостатъчност (абсолютен риск намален с 1,1%).</w:t>
      </w:r>
    </w:p>
    <w:p w14:paraId="721C90AB" w14:textId="77777777" w:rsidR="00603C66" w:rsidRPr="0051782B" w:rsidRDefault="00603C66" w:rsidP="00603C66">
      <w:pPr>
        <w:spacing w:line="240" w:lineRule="auto"/>
        <w:rPr>
          <w:rFonts w:eastAsia="Times New Roman" w:cs="Arial"/>
          <w:color w:val="000000"/>
          <w:lang w:eastAsia="bg-BG"/>
        </w:rPr>
      </w:pPr>
    </w:p>
    <w:p w14:paraId="210888DB" w14:textId="5F76F832" w:rsidR="00603C66" w:rsidRPr="0051782B" w:rsidRDefault="00603C66" w:rsidP="00603C66">
      <w:pPr>
        <w:spacing w:line="240" w:lineRule="auto"/>
        <w:rPr>
          <w:rFonts w:eastAsia="Times New Roman" w:cs="Arial"/>
        </w:rPr>
      </w:pPr>
      <w:r w:rsidRPr="0051782B">
        <w:rPr>
          <w:rFonts w:eastAsia="Times New Roman" w:cs="Arial"/>
          <w:color w:val="000000"/>
          <w:lang w:eastAsia="bg-BG"/>
        </w:rPr>
        <w:t>Ефект от лечението върху първичната съставна крайна точка, нейните компоненти и вторичните крайни точки</w:t>
      </w:r>
    </w:p>
    <w:p w14:paraId="29F5C23D" w14:textId="4CE6EFA6" w:rsidR="00603C66" w:rsidRPr="0051782B" w:rsidRDefault="00603C66" w:rsidP="00603C66">
      <w:pPr>
        <w:spacing w:line="240" w:lineRule="auto"/>
        <w:rPr>
          <w:rFonts w:eastAsia="Times New Roman" w:cs="Arial"/>
        </w:rPr>
      </w:pPr>
    </w:p>
    <w:tbl>
      <w:tblPr>
        <w:tblStyle w:val="TableGrid"/>
        <w:tblW w:w="0" w:type="auto"/>
        <w:tblLook w:val="04A0" w:firstRow="1" w:lastRow="0" w:firstColumn="1" w:lastColumn="0" w:noHBand="0" w:noVBand="1"/>
      </w:tblPr>
      <w:tblGrid>
        <w:gridCol w:w="2857"/>
        <w:gridCol w:w="1434"/>
        <w:gridCol w:w="1644"/>
        <w:gridCol w:w="1769"/>
        <w:gridCol w:w="1646"/>
      </w:tblGrid>
      <w:tr w:rsidR="00603C66" w:rsidRPr="0051782B" w14:paraId="1D298F13" w14:textId="77777777" w:rsidTr="00603C66">
        <w:tc>
          <w:tcPr>
            <w:tcW w:w="2943" w:type="dxa"/>
          </w:tcPr>
          <w:p w14:paraId="582E50B6" w14:textId="77777777" w:rsidR="00603C66" w:rsidRPr="0051782B" w:rsidRDefault="00603C66" w:rsidP="00603C66">
            <w:pPr>
              <w:spacing w:line="240" w:lineRule="auto"/>
              <w:rPr>
                <w:rFonts w:eastAsia="Times New Roman" w:cs="Arial"/>
              </w:rPr>
            </w:pPr>
          </w:p>
        </w:tc>
        <w:tc>
          <w:tcPr>
            <w:tcW w:w="1442" w:type="dxa"/>
          </w:tcPr>
          <w:p w14:paraId="03DB34E8" w14:textId="1CA34524" w:rsidR="00603C66" w:rsidRPr="0051782B" w:rsidRDefault="00603C66" w:rsidP="00603C66">
            <w:pPr>
              <w:spacing w:line="240" w:lineRule="auto"/>
              <w:rPr>
                <w:rFonts w:eastAsia="Times New Roman" w:cs="Arial"/>
              </w:rPr>
            </w:pPr>
            <w:r w:rsidRPr="0051782B">
              <w:rPr>
                <w:rFonts w:cs="Arial"/>
              </w:rPr>
              <w:t xml:space="preserve">Ивабрадин </w:t>
            </w:r>
            <w:r w:rsidRPr="0051782B">
              <w:rPr>
                <w:rFonts w:cs="Arial"/>
                <w:lang w:val="en-US"/>
              </w:rPr>
              <w:t xml:space="preserve">(N=3 </w:t>
            </w:r>
            <w:r w:rsidRPr="0051782B">
              <w:rPr>
                <w:rFonts w:cs="Arial"/>
              </w:rPr>
              <w:t xml:space="preserve">241) </w:t>
            </w:r>
            <w:r w:rsidRPr="0051782B">
              <w:rPr>
                <w:rFonts w:cs="Arial"/>
                <w:lang w:val="en-US"/>
              </w:rPr>
              <w:t>n</w:t>
            </w:r>
            <w:r w:rsidRPr="0051782B">
              <w:rPr>
                <w:rFonts w:cs="Arial"/>
              </w:rPr>
              <w:t>(%)</w:t>
            </w:r>
          </w:p>
        </w:tc>
        <w:tc>
          <w:tcPr>
            <w:tcW w:w="1696" w:type="dxa"/>
          </w:tcPr>
          <w:p w14:paraId="0B895325" w14:textId="3EA03970" w:rsidR="00603C66" w:rsidRPr="0051782B" w:rsidRDefault="00603C66" w:rsidP="00603C66">
            <w:pPr>
              <w:spacing w:line="240" w:lineRule="auto"/>
              <w:rPr>
                <w:rFonts w:eastAsia="Times New Roman" w:cs="Arial"/>
              </w:rPr>
            </w:pPr>
            <w:r w:rsidRPr="0051782B">
              <w:rPr>
                <w:rFonts w:cs="Arial"/>
              </w:rPr>
              <w:t xml:space="preserve">Плацебо </w:t>
            </w:r>
            <w:r w:rsidRPr="0051782B">
              <w:rPr>
                <w:rFonts w:cs="Arial"/>
                <w:lang w:val="en-US"/>
              </w:rPr>
              <w:t xml:space="preserve">(N=3 </w:t>
            </w:r>
            <w:r w:rsidRPr="0051782B">
              <w:rPr>
                <w:rFonts w:cs="Arial"/>
              </w:rPr>
              <w:t xml:space="preserve">264) </w:t>
            </w:r>
            <w:r w:rsidRPr="0051782B">
              <w:rPr>
                <w:rFonts w:cs="Arial"/>
                <w:lang w:val="en-US"/>
              </w:rPr>
              <w:t>n</w:t>
            </w:r>
            <w:r w:rsidRPr="0051782B">
              <w:rPr>
                <w:rFonts w:cs="Arial"/>
              </w:rPr>
              <w:t>(%)</w:t>
            </w:r>
          </w:p>
        </w:tc>
        <w:tc>
          <w:tcPr>
            <w:tcW w:w="1797" w:type="dxa"/>
          </w:tcPr>
          <w:p w14:paraId="2E476206" w14:textId="23C862D8" w:rsidR="00603C66" w:rsidRPr="0051782B" w:rsidRDefault="00603C66" w:rsidP="00603C66">
            <w:pPr>
              <w:spacing w:line="240" w:lineRule="auto"/>
              <w:rPr>
                <w:rFonts w:eastAsia="Times New Roman" w:cs="Arial"/>
              </w:rPr>
            </w:pPr>
            <w:r w:rsidRPr="0051782B">
              <w:rPr>
                <w:rFonts w:cs="Arial"/>
              </w:rPr>
              <w:t xml:space="preserve">Коефициент на риска [95% </w:t>
            </w:r>
            <w:r w:rsidRPr="0051782B">
              <w:rPr>
                <w:rFonts w:cs="Arial"/>
                <w:lang w:val="en-US"/>
              </w:rPr>
              <w:t>CI]</w:t>
            </w:r>
          </w:p>
        </w:tc>
        <w:tc>
          <w:tcPr>
            <w:tcW w:w="1698" w:type="dxa"/>
          </w:tcPr>
          <w:p w14:paraId="038840C6" w14:textId="5984B42F" w:rsidR="00603C66" w:rsidRPr="0051782B" w:rsidRDefault="00603C66" w:rsidP="00603C66">
            <w:pPr>
              <w:spacing w:line="240" w:lineRule="auto"/>
              <w:rPr>
                <w:rFonts w:eastAsia="Times New Roman" w:cs="Arial"/>
              </w:rPr>
            </w:pPr>
            <w:r w:rsidRPr="0051782B">
              <w:rPr>
                <w:rFonts w:cs="Arial"/>
              </w:rPr>
              <w:t>р-стойност</w:t>
            </w:r>
          </w:p>
        </w:tc>
      </w:tr>
      <w:tr w:rsidR="00603C66" w:rsidRPr="0051782B" w14:paraId="37C477BB" w14:textId="77777777" w:rsidTr="00603C66">
        <w:tc>
          <w:tcPr>
            <w:tcW w:w="2943" w:type="dxa"/>
          </w:tcPr>
          <w:p w14:paraId="5E6286A5" w14:textId="5301665C" w:rsidR="00603C66" w:rsidRPr="0051782B" w:rsidRDefault="00603C66" w:rsidP="00603C66">
            <w:pPr>
              <w:spacing w:line="240" w:lineRule="auto"/>
              <w:rPr>
                <w:rFonts w:eastAsia="Times New Roman" w:cs="Arial"/>
              </w:rPr>
            </w:pPr>
            <w:r w:rsidRPr="0051782B">
              <w:rPr>
                <w:rFonts w:cs="Arial"/>
              </w:rPr>
              <w:t>Първична съставна крайна точка</w:t>
            </w:r>
          </w:p>
        </w:tc>
        <w:tc>
          <w:tcPr>
            <w:tcW w:w="1442" w:type="dxa"/>
          </w:tcPr>
          <w:p w14:paraId="04D4515F" w14:textId="77C0B7DA" w:rsidR="00603C66" w:rsidRPr="0051782B" w:rsidRDefault="00603C66" w:rsidP="00603C66">
            <w:pPr>
              <w:spacing w:line="240" w:lineRule="auto"/>
              <w:rPr>
                <w:rFonts w:eastAsia="Times New Roman" w:cs="Arial"/>
              </w:rPr>
            </w:pPr>
            <w:r w:rsidRPr="0051782B">
              <w:rPr>
                <w:rFonts w:cs="Arial"/>
              </w:rPr>
              <w:t>793 (24,47)</w:t>
            </w:r>
          </w:p>
        </w:tc>
        <w:tc>
          <w:tcPr>
            <w:tcW w:w="1696" w:type="dxa"/>
          </w:tcPr>
          <w:p w14:paraId="60424C6D" w14:textId="375A1DA2" w:rsidR="00603C66" w:rsidRPr="0051782B" w:rsidRDefault="00603C66" w:rsidP="00603C66">
            <w:pPr>
              <w:spacing w:line="240" w:lineRule="auto"/>
              <w:rPr>
                <w:rFonts w:eastAsia="Times New Roman" w:cs="Arial"/>
              </w:rPr>
            </w:pPr>
            <w:r w:rsidRPr="0051782B">
              <w:rPr>
                <w:rFonts w:cs="Arial"/>
              </w:rPr>
              <w:t>937 (28,71)</w:t>
            </w:r>
          </w:p>
        </w:tc>
        <w:tc>
          <w:tcPr>
            <w:tcW w:w="1797" w:type="dxa"/>
          </w:tcPr>
          <w:p w14:paraId="6A7AE429" w14:textId="172F9803" w:rsidR="00603C66" w:rsidRPr="0051782B" w:rsidRDefault="00603C66" w:rsidP="00603C66">
            <w:pPr>
              <w:spacing w:line="240" w:lineRule="auto"/>
              <w:rPr>
                <w:rFonts w:eastAsia="Times New Roman" w:cs="Arial"/>
              </w:rPr>
            </w:pPr>
            <w:r w:rsidRPr="0051782B">
              <w:rPr>
                <w:rFonts w:cs="Arial"/>
              </w:rPr>
              <w:t>0,82 [0,75; 0,90]</w:t>
            </w:r>
          </w:p>
        </w:tc>
        <w:tc>
          <w:tcPr>
            <w:tcW w:w="1698" w:type="dxa"/>
          </w:tcPr>
          <w:p w14:paraId="078FEEB0" w14:textId="17E75B7F" w:rsidR="00603C66" w:rsidRPr="0051782B" w:rsidRDefault="00603C66" w:rsidP="00603C66">
            <w:pPr>
              <w:spacing w:line="240" w:lineRule="auto"/>
              <w:rPr>
                <w:rFonts w:eastAsia="Times New Roman" w:cs="Arial"/>
              </w:rPr>
            </w:pPr>
            <w:r w:rsidRPr="0051782B">
              <w:rPr>
                <w:rFonts w:cs="Arial"/>
              </w:rPr>
              <w:t>&lt;0,0001</w:t>
            </w:r>
          </w:p>
        </w:tc>
      </w:tr>
      <w:tr w:rsidR="00603C66" w:rsidRPr="0051782B" w14:paraId="329B6F4C" w14:textId="77777777" w:rsidTr="00603C66">
        <w:tc>
          <w:tcPr>
            <w:tcW w:w="2943" w:type="dxa"/>
          </w:tcPr>
          <w:p w14:paraId="21ADD7A7" w14:textId="77777777" w:rsidR="00603C66" w:rsidRPr="0051782B" w:rsidRDefault="00603C66" w:rsidP="00603C66">
            <w:pPr>
              <w:rPr>
                <w:rFonts w:cs="Arial"/>
              </w:rPr>
            </w:pPr>
            <w:r w:rsidRPr="0051782B">
              <w:rPr>
                <w:rFonts w:cs="Arial"/>
              </w:rPr>
              <w:t>Компоненти:</w:t>
            </w:r>
          </w:p>
          <w:p w14:paraId="2536E435" w14:textId="77777777" w:rsidR="00603C66" w:rsidRPr="0051782B" w:rsidRDefault="00603C66" w:rsidP="00603C66">
            <w:pPr>
              <w:rPr>
                <w:rFonts w:cs="Arial"/>
              </w:rPr>
            </w:pPr>
            <w:r w:rsidRPr="0051782B">
              <w:rPr>
                <w:rFonts w:cs="Arial"/>
              </w:rPr>
              <w:t>- Сърдечносъдова смърт</w:t>
            </w:r>
          </w:p>
          <w:p w14:paraId="45DD841E" w14:textId="41C7DF92" w:rsidR="00603C66" w:rsidRPr="0051782B" w:rsidRDefault="00603C66" w:rsidP="00603C66">
            <w:pPr>
              <w:rPr>
                <w:rFonts w:cs="Arial"/>
              </w:rPr>
            </w:pPr>
            <w:r w:rsidRPr="0051782B">
              <w:rPr>
                <w:rFonts w:cs="Arial"/>
              </w:rPr>
              <w:t>- Хоспитализация поради</w:t>
            </w:r>
          </w:p>
          <w:p w14:paraId="073217B4" w14:textId="5E225BF2" w:rsidR="00603C66" w:rsidRPr="0051782B" w:rsidRDefault="00603C66" w:rsidP="00603C66">
            <w:pPr>
              <w:spacing w:line="240" w:lineRule="auto"/>
              <w:rPr>
                <w:rFonts w:eastAsia="Times New Roman" w:cs="Arial"/>
              </w:rPr>
            </w:pPr>
            <w:r w:rsidRPr="0051782B">
              <w:rPr>
                <w:rFonts w:cs="Arial"/>
              </w:rPr>
              <w:t>влошаване на СН</w:t>
            </w:r>
          </w:p>
        </w:tc>
        <w:tc>
          <w:tcPr>
            <w:tcW w:w="1442" w:type="dxa"/>
          </w:tcPr>
          <w:p w14:paraId="672E4614" w14:textId="77777777" w:rsidR="00603C66" w:rsidRPr="0051782B" w:rsidRDefault="00603C66" w:rsidP="00603C66">
            <w:pPr>
              <w:rPr>
                <w:rFonts w:cs="Arial"/>
              </w:rPr>
            </w:pPr>
            <w:r w:rsidRPr="0051782B">
              <w:rPr>
                <w:rFonts w:cs="Arial"/>
              </w:rPr>
              <w:t>449(13,85)</w:t>
            </w:r>
          </w:p>
          <w:p w14:paraId="27C414E8" w14:textId="75434E12" w:rsidR="00603C66" w:rsidRPr="0051782B" w:rsidRDefault="00603C66" w:rsidP="00603C66">
            <w:pPr>
              <w:spacing w:line="240" w:lineRule="auto"/>
              <w:rPr>
                <w:rFonts w:eastAsia="Times New Roman" w:cs="Arial"/>
              </w:rPr>
            </w:pPr>
            <w:r w:rsidRPr="0051782B">
              <w:rPr>
                <w:rFonts w:cs="Arial"/>
              </w:rPr>
              <w:t>514(15,86)</w:t>
            </w:r>
          </w:p>
        </w:tc>
        <w:tc>
          <w:tcPr>
            <w:tcW w:w="1696" w:type="dxa"/>
          </w:tcPr>
          <w:p w14:paraId="3216FC74" w14:textId="77777777" w:rsidR="00603C66" w:rsidRPr="0051782B" w:rsidRDefault="00603C66" w:rsidP="00603C66">
            <w:pPr>
              <w:rPr>
                <w:rFonts w:cs="Arial"/>
              </w:rPr>
            </w:pPr>
            <w:r w:rsidRPr="0051782B">
              <w:rPr>
                <w:rFonts w:cs="Arial"/>
              </w:rPr>
              <w:t>491 (15,04)</w:t>
            </w:r>
          </w:p>
          <w:p w14:paraId="2862CAD2" w14:textId="36DFC7FB" w:rsidR="00603C66" w:rsidRPr="0051782B" w:rsidRDefault="00603C66" w:rsidP="00603C66">
            <w:pPr>
              <w:spacing w:line="240" w:lineRule="auto"/>
              <w:rPr>
                <w:rFonts w:eastAsia="Times New Roman" w:cs="Arial"/>
              </w:rPr>
            </w:pPr>
            <w:r w:rsidRPr="0051782B">
              <w:rPr>
                <w:rFonts w:cs="Arial"/>
              </w:rPr>
              <w:t>672 (20,59)</w:t>
            </w:r>
          </w:p>
        </w:tc>
        <w:tc>
          <w:tcPr>
            <w:tcW w:w="1797" w:type="dxa"/>
          </w:tcPr>
          <w:p w14:paraId="4207B9DB" w14:textId="77777777" w:rsidR="00603C66" w:rsidRPr="0051782B" w:rsidRDefault="00603C66" w:rsidP="00603C66">
            <w:pPr>
              <w:rPr>
                <w:rFonts w:cs="Arial"/>
              </w:rPr>
            </w:pPr>
            <w:r w:rsidRPr="0051782B">
              <w:rPr>
                <w:rFonts w:cs="Arial"/>
              </w:rPr>
              <w:t>0,91 [0,80; 1,03]</w:t>
            </w:r>
          </w:p>
          <w:p w14:paraId="710B9927" w14:textId="3D71DFF3" w:rsidR="00603C66" w:rsidRPr="0051782B" w:rsidRDefault="00603C66" w:rsidP="00603C66">
            <w:pPr>
              <w:spacing w:line="240" w:lineRule="auto"/>
              <w:rPr>
                <w:rFonts w:eastAsia="Times New Roman" w:cs="Arial"/>
              </w:rPr>
            </w:pPr>
            <w:r w:rsidRPr="0051782B">
              <w:rPr>
                <w:rFonts w:cs="Arial"/>
              </w:rPr>
              <w:t>0,74 [0,66; 0,83]</w:t>
            </w:r>
          </w:p>
        </w:tc>
        <w:tc>
          <w:tcPr>
            <w:tcW w:w="1698" w:type="dxa"/>
          </w:tcPr>
          <w:p w14:paraId="54A93B80" w14:textId="77777777" w:rsidR="00603C66" w:rsidRPr="0051782B" w:rsidRDefault="00603C66" w:rsidP="00603C66">
            <w:pPr>
              <w:rPr>
                <w:rFonts w:cs="Arial"/>
              </w:rPr>
            </w:pPr>
            <w:r w:rsidRPr="0051782B">
              <w:rPr>
                <w:rFonts w:cs="Arial"/>
              </w:rPr>
              <w:t>0,128</w:t>
            </w:r>
          </w:p>
          <w:p w14:paraId="64FF5637" w14:textId="7B5C8F9D" w:rsidR="00603C66" w:rsidRPr="0051782B" w:rsidRDefault="00603C66" w:rsidP="00603C66">
            <w:pPr>
              <w:spacing w:line="240" w:lineRule="auto"/>
              <w:rPr>
                <w:rFonts w:eastAsia="Times New Roman" w:cs="Arial"/>
              </w:rPr>
            </w:pPr>
            <w:r w:rsidRPr="0051782B">
              <w:rPr>
                <w:rFonts w:cs="Arial"/>
              </w:rPr>
              <w:t>&lt;0,0001</w:t>
            </w:r>
          </w:p>
        </w:tc>
      </w:tr>
      <w:tr w:rsidR="00603C66" w:rsidRPr="0051782B" w14:paraId="38623E45" w14:textId="77777777" w:rsidTr="00603C66">
        <w:tc>
          <w:tcPr>
            <w:tcW w:w="2943" w:type="dxa"/>
          </w:tcPr>
          <w:p w14:paraId="28FE6C61" w14:textId="77777777" w:rsidR="00603C66" w:rsidRPr="0051782B" w:rsidRDefault="00603C66" w:rsidP="00603C66">
            <w:pPr>
              <w:rPr>
                <w:rFonts w:cs="Arial"/>
              </w:rPr>
            </w:pPr>
            <w:r w:rsidRPr="0051782B">
              <w:rPr>
                <w:rFonts w:cs="Arial"/>
              </w:rPr>
              <w:t>Други вторични крайни точки:</w:t>
            </w:r>
          </w:p>
          <w:p w14:paraId="43907FE8" w14:textId="1BE338CC" w:rsidR="00603C66" w:rsidRPr="0051782B" w:rsidRDefault="00603C66" w:rsidP="00603C66">
            <w:pPr>
              <w:spacing w:line="240" w:lineRule="auto"/>
              <w:rPr>
                <w:rFonts w:cs="Arial"/>
              </w:rPr>
            </w:pPr>
            <w:r w:rsidRPr="0051782B">
              <w:rPr>
                <w:rFonts w:cs="Arial"/>
                <w:lang w:val="ru-RU"/>
              </w:rPr>
              <w:t>-</w:t>
            </w:r>
            <w:r w:rsidRPr="0051782B">
              <w:rPr>
                <w:rFonts w:cs="Arial"/>
              </w:rPr>
              <w:t>Обща смъртност</w:t>
            </w:r>
          </w:p>
          <w:p w14:paraId="1987C9BD" w14:textId="7706A513" w:rsidR="00603C66" w:rsidRPr="0051782B" w:rsidRDefault="00603C66" w:rsidP="00603C66">
            <w:pPr>
              <w:spacing w:line="240" w:lineRule="auto"/>
              <w:rPr>
                <w:rFonts w:cs="Arial"/>
              </w:rPr>
            </w:pPr>
            <w:r w:rsidRPr="0051782B">
              <w:rPr>
                <w:rFonts w:cs="Arial"/>
                <w:lang w:val="ru-RU"/>
              </w:rPr>
              <w:t>-</w:t>
            </w:r>
            <w:r w:rsidRPr="0051782B">
              <w:rPr>
                <w:rFonts w:cs="Arial"/>
              </w:rPr>
              <w:t>Смърт от СН</w:t>
            </w:r>
          </w:p>
          <w:p w14:paraId="09532511" w14:textId="08E2938D" w:rsidR="00603C66" w:rsidRPr="0051782B" w:rsidRDefault="00603C66" w:rsidP="00603C66">
            <w:pPr>
              <w:spacing w:line="240" w:lineRule="auto"/>
              <w:rPr>
                <w:rFonts w:cs="Arial"/>
              </w:rPr>
            </w:pPr>
            <w:r w:rsidRPr="0051782B">
              <w:rPr>
                <w:rFonts w:cs="Arial"/>
                <w:lang w:val="ru-RU"/>
              </w:rPr>
              <w:t>-</w:t>
            </w:r>
            <w:r w:rsidRPr="0051782B">
              <w:rPr>
                <w:rFonts w:cs="Arial"/>
              </w:rPr>
              <w:t>Общ брой хоспитализации</w:t>
            </w:r>
          </w:p>
          <w:p w14:paraId="55C1A2A4" w14:textId="5C0876D5" w:rsidR="00603C66" w:rsidRPr="0051782B" w:rsidRDefault="00603C66" w:rsidP="00603C66">
            <w:pPr>
              <w:spacing w:line="240" w:lineRule="auto"/>
              <w:rPr>
                <w:rFonts w:cs="Arial"/>
              </w:rPr>
            </w:pPr>
            <w:r w:rsidRPr="0051782B">
              <w:rPr>
                <w:rFonts w:cs="Arial"/>
                <w:lang w:val="ru-RU"/>
              </w:rPr>
              <w:t>-</w:t>
            </w:r>
            <w:r w:rsidRPr="0051782B">
              <w:rPr>
                <w:rFonts w:cs="Arial"/>
              </w:rPr>
              <w:t>Хоспитализация поради</w:t>
            </w:r>
          </w:p>
          <w:p w14:paraId="10097EFE" w14:textId="00894087" w:rsidR="00603C66" w:rsidRPr="0051782B" w:rsidRDefault="00603C66" w:rsidP="00603C66">
            <w:pPr>
              <w:spacing w:line="240" w:lineRule="auto"/>
              <w:rPr>
                <w:rFonts w:eastAsia="Times New Roman" w:cs="Arial"/>
              </w:rPr>
            </w:pPr>
            <w:r w:rsidRPr="0051782B">
              <w:rPr>
                <w:rFonts w:cs="Arial"/>
              </w:rPr>
              <w:t>сърдечносъдови причини</w:t>
            </w:r>
          </w:p>
        </w:tc>
        <w:tc>
          <w:tcPr>
            <w:tcW w:w="1442" w:type="dxa"/>
          </w:tcPr>
          <w:p w14:paraId="2C7D3171" w14:textId="77777777" w:rsidR="00603C66" w:rsidRPr="0051782B" w:rsidRDefault="00603C66" w:rsidP="00603C66">
            <w:pPr>
              <w:rPr>
                <w:rFonts w:cs="Arial"/>
              </w:rPr>
            </w:pPr>
            <w:r w:rsidRPr="0051782B">
              <w:rPr>
                <w:rFonts w:cs="Arial"/>
              </w:rPr>
              <w:t>503(15,52) 113(3,49)</w:t>
            </w:r>
          </w:p>
          <w:p w14:paraId="57599B95" w14:textId="59DE90F2" w:rsidR="00603C66" w:rsidRPr="0051782B" w:rsidRDefault="00603C66" w:rsidP="00603C66">
            <w:pPr>
              <w:spacing w:line="240" w:lineRule="auto"/>
              <w:rPr>
                <w:rFonts w:eastAsia="Times New Roman" w:cs="Arial"/>
              </w:rPr>
            </w:pPr>
            <w:r w:rsidRPr="0051782B">
              <w:rPr>
                <w:rFonts w:cs="Arial"/>
              </w:rPr>
              <w:t>1231 (37,98) 977 (30,15)</w:t>
            </w:r>
          </w:p>
        </w:tc>
        <w:tc>
          <w:tcPr>
            <w:tcW w:w="1696" w:type="dxa"/>
          </w:tcPr>
          <w:p w14:paraId="4A6B7189" w14:textId="77777777" w:rsidR="00603C66" w:rsidRPr="0051782B" w:rsidRDefault="00603C66" w:rsidP="00603C66">
            <w:pPr>
              <w:rPr>
                <w:rFonts w:cs="Arial"/>
              </w:rPr>
            </w:pPr>
            <w:r w:rsidRPr="0051782B">
              <w:rPr>
                <w:rFonts w:cs="Arial"/>
              </w:rPr>
              <w:t>552 (16,91)</w:t>
            </w:r>
          </w:p>
          <w:p w14:paraId="16EF8038" w14:textId="77777777" w:rsidR="00603C66" w:rsidRPr="0051782B" w:rsidRDefault="00603C66" w:rsidP="00603C66">
            <w:pPr>
              <w:rPr>
                <w:rFonts w:cs="Arial"/>
              </w:rPr>
            </w:pPr>
            <w:r w:rsidRPr="0051782B">
              <w:rPr>
                <w:rFonts w:cs="Arial"/>
              </w:rPr>
              <w:t>151 (4,63) 1356 (41,54)</w:t>
            </w:r>
          </w:p>
          <w:p w14:paraId="23B27DA5" w14:textId="7D16A9F3" w:rsidR="00603C66" w:rsidRPr="0051782B" w:rsidRDefault="00603C66" w:rsidP="00603C66">
            <w:pPr>
              <w:spacing w:line="240" w:lineRule="auto"/>
              <w:rPr>
                <w:rFonts w:eastAsia="Times New Roman" w:cs="Arial"/>
              </w:rPr>
            </w:pPr>
            <w:r w:rsidRPr="0051782B">
              <w:rPr>
                <w:rFonts w:cs="Arial"/>
              </w:rPr>
              <w:t>1122 (34,38)</w:t>
            </w:r>
          </w:p>
        </w:tc>
        <w:tc>
          <w:tcPr>
            <w:tcW w:w="1797" w:type="dxa"/>
          </w:tcPr>
          <w:p w14:paraId="6982C5A9" w14:textId="77777777" w:rsidR="00603C66" w:rsidRPr="0051782B" w:rsidRDefault="00603C66" w:rsidP="00603C66">
            <w:pPr>
              <w:rPr>
                <w:rFonts w:cs="Arial"/>
              </w:rPr>
            </w:pPr>
            <w:r w:rsidRPr="0051782B">
              <w:rPr>
                <w:rFonts w:cs="Arial"/>
              </w:rPr>
              <w:t>0,90 [0,80; 1,02]</w:t>
            </w:r>
          </w:p>
          <w:p w14:paraId="58E5E44C" w14:textId="77777777" w:rsidR="00603C66" w:rsidRPr="0051782B" w:rsidRDefault="00603C66" w:rsidP="00603C66">
            <w:pPr>
              <w:rPr>
                <w:rFonts w:cs="Arial"/>
              </w:rPr>
            </w:pPr>
            <w:r w:rsidRPr="0051782B">
              <w:rPr>
                <w:rFonts w:cs="Arial"/>
              </w:rPr>
              <w:t>0,74 [0,58; 0,94]</w:t>
            </w:r>
          </w:p>
          <w:p w14:paraId="067413C6" w14:textId="77777777" w:rsidR="00603C66" w:rsidRPr="0051782B" w:rsidRDefault="00603C66" w:rsidP="00603C66">
            <w:pPr>
              <w:rPr>
                <w:rFonts w:cs="Arial"/>
              </w:rPr>
            </w:pPr>
            <w:r w:rsidRPr="0051782B">
              <w:rPr>
                <w:rFonts w:cs="Arial"/>
              </w:rPr>
              <w:t>0,89 [0,82; 0,96]</w:t>
            </w:r>
          </w:p>
          <w:p w14:paraId="118AE69B" w14:textId="2E275671" w:rsidR="00603C66" w:rsidRPr="0051782B" w:rsidRDefault="00603C66" w:rsidP="00603C66">
            <w:pPr>
              <w:spacing w:line="240" w:lineRule="auto"/>
              <w:rPr>
                <w:rFonts w:eastAsia="Times New Roman" w:cs="Arial"/>
              </w:rPr>
            </w:pPr>
            <w:r w:rsidRPr="0051782B">
              <w:rPr>
                <w:rFonts w:cs="Arial"/>
              </w:rPr>
              <w:t>0,85 [0,78; 0,92]</w:t>
            </w:r>
          </w:p>
        </w:tc>
        <w:tc>
          <w:tcPr>
            <w:tcW w:w="1698" w:type="dxa"/>
          </w:tcPr>
          <w:p w14:paraId="362BF9C7" w14:textId="77777777" w:rsidR="00603C66" w:rsidRPr="0051782B" w:rsidRDefault="00603C66" w:rsidP="00603C66">
            <w:pPr>
              <w:rPr>
                <w:rFonts w:cs="Arial"/>
              </w:rPr>
            </w:pPr>
            <w:r w:rsidRPr="0051782B">
              <w:rPr>
                <w:rFonts w:cs="Arial"/>
              </w:rPr>
              <w:t>0,092</w:t>
            </w:r>
          </w:p>
          <w:p w14:paraId="501A2122" w14:textId="77777777" w:rsidR="00603C66" w:rsidRPr="0051782B" w:rsidRDefault="00603C66" w:rsidP="00603C66">
            <w:pPr>
              <w:rPr>
                <w:rFonts w:cs="Arial"/>
              </w:rPr>
            </w:pPr>
            <w:r w:rsidRPr="0051782B">
              <w:rPr>
                <w:rFonts w:cs="Arial"/>
              </w:rPr>
              <w:t>0,014</w:t>
            </w:r>
          </w:p>
          <w:p w14:paraId="1575E707" w14:textId="77777777" w:rsidR="00603C66" w:rsidRPr="0051782B" w:rsidRDefault="00603C66" w:rsidP="00603C66">
            <w:pPr>
              <w:rPr>
                <w:rFonts w:cs="Arial"/>
              </w:rPr>
            </w:pPr>
            <w:r w:rsidRPr="0051782B">
              <w:rPr>
                <w:rFonts w:cs="Arial"/>
              </w:rPr>
              <w:t>0,003</w:t>
            </w:r>
          </w:p>
          <w:p w14:paraId="18BD7C9C" w14:textId="672CAA91" w:rsidR="00603C66" w:rsidRPr="0051782B" w:rsidRDefault="00603C66" w:rsidP="00603C66">
            <w:pPr>
              <w:spacing w:line="240" w:lineRule="auto"/>
              <w:rPr>
                <w:rFonts w:eastAsia="Times New Roman" w:cs="Arial"/>
              </w:rPr>
            </w:pPr>
            <w:r w:rsidRPr="0051782B">
              <w:rPr>
                <w:rFonts w:cs="Arial"/>
              </w:rPr>
              <w:t>0,0002</w:t>
            </w:r>
          </w:p>
        </w:tc>
      </w:tr>
    </w:tbl>
    <w:p w14:paraId="52849323" w14:textId="77777777" w:rsidR="00603C66" w:rsidRPr="0051782B" w:rsidRDefault="00603C66" w:rsidP="00603C66">
      <w:pPr>
        <w:spacing w:line="240" w:lineRule="auto"/>
        <w:rPr>
          <w:rFonts w:eastAsia="Times New Roman" w:cs="Arial"/>
        </w:rPr>
      </w:pPr>
    </w:p>
    <w:p w14:paraId="548A42A1"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Намаляването в първичната крайна цел е наблюдавано постоянно, независимо от пол, клас по </w:t>
      </w:r>
      <w:r w:rsidRPr="0051782B">
        <w:rPr>
          <w:rFonts w:eastAsia="Times New Roman" w:cs="Arial"/>
          <w:color w:val="000000"/>
          <w:lang w:val="en-US"/>
        </w:rPr>
        <w:t>NYHA</w:t>
      </w:r>
      <w:r w:rsidRPr="0051782B">
        <w:rPr>
          <w:rFonts w:eastAsia="Times New Roman" w:cs="Arial"/>
          <w:color w:val="000000"/>
          <w:lang w:val="ru-RU"/>
        </w:rPr>
        <w:t xml:space="preserve">, </w:t>
      </w:r>
      <w:r w:rsidRPr="0051782B">
        <w:rPr>
          <w:rFonts w:eastAsia="Times New Roman" w:cs="Arial"/>
          <w:color w:val="000000"/>
          <w:lang w:eastAsia="bg-BG"/>
        </w:rPr>
        <w:t>исхемична или не-исхемична етиология на сърдечната недостатъчност и анамнеза за съпътстващ диабет или хипертония.</w:t>
      </w:r>
    </w:p>
    <w:p w14:paraId="6EA94E1B" w14:textId="77777777" w:rsidR="00603C66" w:rsidRPr="0051782B" w:rsidRDefault="00603C66" w:rsidP="00603C66">
      <w:pPr>
        <w:spacing w:line="240" w:lineRule="auto"/>
        <w:rPr>
          <w:rFonts w:eastAsia="Times New Roman" w:cs="Arial"/>
          <w:color w:val="000000"/>
          <w:lang w:eastAsia="bg-BG"/>
        </w:rPr>
      </w:pPr>
    </w:p>
    <w:p w14:paraId="572AF274" w14:textId="017E8B0E" w:rsidR="00603C66" w:rsidRPr="0051782B" w:rsidRDefault="00603C66" w:rsidP="00603C66">
      <w:pPr>
        <w:spacing w:line="240" w:lineRule="auto"/>
        <w:rPr>
          <w:rFonts w:eastAsia="Times New Roman" w:cs="Arial"/>
        </w:rPr>
      </w:pPr>
      <w:r w:rsidRPr="0051782B">
        <w:rPr>
          <w:rFonts w:eastAsia="Times New Roman" w:cs="Arial"/>
          <w:color w:val="000000"/>
          <w:lang w:eastAsia="bg-BG"/>
        </w:rPr>
        <w:t>При подгрупата пациенти със сърдечна честота ≥75 удара в минута (</w:t>
      </w:r>
      <w:r w:rsidRPr="0051782B">
        <w:rPr>
          <w:rFonts w:eastAsia="Times New Roman" w:cs="Arial"/>
          <w:color w:val="000000"/>
          <w:lang w:val="en-US"/>
        </w:rPr>
        <w:t>n</w:t>
      </w:r>
      <w:r w:rsidRPr="0051782B">
        <w:rPr>
          <w:rFonts w:eastAsia="Times New Roman" w:cs="Arial"/>
          <w:color w:val="000000"/>
          <w:lang w:eastAsia="bg-BG"/>
        </w:rPr>
        <w:t>=4 150) е наблюдавано по-голямо намаляване на първичната съставна крайна точка от 24% (коефициент на риска: 0,76, 95%С</w:t>
      </w:r>
      <w:r w:rsidRPr="0051782B">
        <w:rPr>
          <w:rFonts w:eastAsia="Times New Roman" w:cs="Arial"/>
          <w:color w:val="000000"/>
          <w:lang w:val="en-US"/>
        </w:rPr>
        <w:t>I</w:t>
      </w:r>
      <w:r w:rsidRPr="0051782B">
        <w:rPr>
          <w:rFonts w:eastAsia="Times New Roman" w:cs="Arial"/>
          <w:color w:val="000000"/>
          <w:lang w:eastAsia="bg-BG"/>
        </w:rPr>
        <w:t xml:space="preserve"> [0,68;0,85] - р&lt;0,0001) и на другите вторични крайни точки, включително обща смъртност (коефициент на риска: 0,83, 95% </w:t>
      </w:r>
      <w:r w:rsidRPr="0051782B">
        <w:rPr>
          <w:rFonts w:eastAsia="Times New Roman" w:cs="Arial"/>
          <w:color w:val="000000"/>
          <w:lang w:val="en-US"/>
        </w:rPr>
        <w:t>CI</w:t>
      </w:r>
      <w:r w:rsidRPr="0051782B">
        <w:rPr>
          <w:rFonts w:eastAsia="Times New Roman" w:cs="Arial"/>
          <w:color w:val="000000"/>
          <w:lang w:val="ru-RU"/>
        </w:rPr>
        <w:t xml:space="preserve"> </w:t>
      </w:r>
      <w:r w:rsidRPr="0051782B">
        <w:rPr>
          <w:rFonts w:eastAsia="Times New Roman" w:cs="Arial"/>
          <w:color w:val="000000"/>
          <w:lang w:eastAsia="bg-BG"/>
        </w:rPr>
        <w:t xml:space="preserve">[0,72;0,96] - р=0,0109) и сърдечносъдова смърт (коефициент на риска: 0,83, </w:t>
      </w:r>
      <w:r w:rsidRPr="0051782B">
        <w:rPr>
          <w:rFonts w:eastAsia="Times New Roman" w:cs="Arial"/>
          <w:i/>
          <w:iCs/>
          <w:color w:val="000000"/>
          <w:lang w:eastAsia="bg-BG"/>
        </w:rPr>
        <w:t xml:space="preserve">95% </w:t>
      </w:r>
      <w:r w:rsidRPr="0051782B">
        <w:rPr>
          <w:rFonts w:eastAsia="Times New Roman" w:cs="Arial"/>
          <w:i/>
          <w:iCs/>
          <w:color w:val="000000"/>
          <w:lang w:val="en-US"/>
        </w:rPr>
        <w:t>CI</w:t>
      </w:r>
      <w:r w:rsidRPr="0051782B">
        <w:rPr>
          <w:rFonts w:eastAsia="Times New Roman" w:cs="Arial"/>
          <w:i/>
          <w:iCs/>
          <w:color w:val="000000"/>
          <w:lang w:val="ru-RU"/>
        </w:rPr>
        <w:t xml:space="preserve"> </w:t>
      </w:r>
      <w:r w:rsidRPr="0051782B">
        <w:rPr>
          <w:rFonts w:eastAsia="Times New Roman" w:cs="Arial"/>
          <w:i/>
          <w:iCs/>
          <w:color w:val="000000"/>
          <w:lang w:eastAsia="bg-BG"/>
        </w:rPr>
        <w:t>[0,71 ;0,</w:t>
      </w:r>
      <w:r w:rsidRPr="0051782B">
        <w:rPr>
          <w:rFonts w:eastAsia="Times New Roman" w:cs="Arial"/>
          <w:color w:val="000000"/>
          <w:lang w:eastAsia="bg-BG"/>
        </w:rPr>
        <w:t>97]- р=0,0166). При тази подгрупа пациенти, профилът на безопасност на ивабрадин, съответства с този на общата популация.</w:t>
      </w:r>
    </w:p>
    <w:p w14:paraId="625FCD96" w14:textId="77777777" w:rsidR="00603C66" w:rsidRPr="0051782B" w:rsidRDefault="00603C66" w:rsidP="00603C66">
      <w:pPr>
        <w:spacing w:line="240" w:lineRule="auto"/>
        <w:rPr>
          <w:rFonts w:eastAsia="Times New Roman" w:cs="Arial"/>
          <w:color w:val="000000"/>
          <w:lang w:eastAsia="bg-BG"/>
        </w:rPr>
      </w:pPr>
    </w:p>
    <w:p w14:paraId="25A42F6C" w14:textId="17383541" w:rsidR="00603C66" w:rsidRPr="0051782B" w:rsidRDefault="00603C66" w:rsidP="00603C66">
      <w:pPr>
        <w:spacing w:line="240" w:lineRule="auto"/>
        <w:rPr>
          <w:rFonts w:eastAsia="Times New Roman" w:cs="Arial"/>
        </w:rPr>
      </w:pPr>
      <w:r w:rsidRPr="0051782B">
        <w:rPr>
          <w:rFonts w:eastAsia="Times New Roman" w:cs="Arial"/>
          <w:color w:val="000000"/>
          <w:lang w:eastAsia="bg-BG"/>
        </w:rPr>
        <w:t>Наблюдаван е значителен ефект върху първичната съставна крайна точка, при общата група пациенти, приемащи лечение с бета-блокери (коефициент на риска: 0,85, 95%С</w:t>
      </w:r>
      <w:r w:rsidRPr="0051782B">
        <w:rPr>
          <w:rFonts w:eastAsia="Times New Roman" w:cs="Arial"/>
          <w:color w:val="000000"/>
          <w:lang w:val="en-US"/>
        </w:rPr>
        <w:t>I</w:t>
      </w:r>
      <w:r w:rsidRPr="0051782B">
        <w:rPr>
          <w:rFonts w:eastAsia="Times New Roman" w:cs="Arial"/>
          <w:color w:val="000000"/>
          <w:lang w:eastAsia="bg-BG"/>
        </w:rPr>
        <w:t xml:space="preserve"> </w:t>
      </w:r>
      <w:r w:rsidRPr="0051782B">
        <w:rPr>
          <w:rFonts w:eastAsia="Times New Roman" w:cs="Arial"/>
          <w:color w:val="000000"/>
          <w:lang w:eastAsia="bg-BG"/>
        </w:rPr>
        <w:lastRenderedPageBreak/>
        <w:t>[0,76;0,94]). При подгрупата пациенти, със сърдечна честота ≥ 75 удара в минута и на препоръчителната таргетна доза на бета-блокер, не е наблюдавана статистически значима полза върху първичната съставна крайна точка (коефициент на риска: 0,97, 95%С1 [0,74; 1,28]) и върху другите вторични крайни точки, включително хоспитализация поради влошаване на СН (коефициент на риска: 0,79, 95%С</w:t>
      </w:r>
      <w:r w:rsidRPr="0051782B">
        <w:rPr>
          <w:rFonts w:eastAsia="Times New Roman" w:cs="Arial"/>
          <w:color w:val="000000"/>
          <w:lang w:val="en-US"/>
        </w:rPr>
        <w:t>I</w:t>
      </w:r>
      <w:r w:rsidRPr="0051782B">
        <w:rPr>
          <w:rFonts w:eastAsia="Times New Roman" w:cs="Arial"/>
          <w:color w:val="000000"/>
          <w:lang w:eastAsia="bg-BG"/>
        </w:rPr>
        <w:t xml:space="preserve"> [0,56;1,10]) или смърт от сърдечна недостатъчност (коефициент на риска: 0,69, 95%С</w:t>
      </w:r>
      <w:r w:rsidRPr="0051782B">
        <w:rPr>
          <w:rFonts w:eastAsia="Times New Roman" w:cs="Arial"/>
          <w:color w:val="000000"/>
          <w:lang w:val="en-US"/>
        </w:rPr>
        <w:t>I</w:t>
      </w:r>
      <w:r w:rsidRPr="0051782B">
        <w:rPr>
          <w:rFonts w:eastAsia="Times New Roman" w:cs="Arial"/>
          <w:color w:val="000000"/>
          <w:lang w:eastAsia="bg-BG"/>
        </w:rPr>
        <w:t xml:space="preserve"> [0,31; 1,53]).</w:t>
      </w:r>
    </w:p>
    <w:p w14:paraId="07AD1CD8" w14:textId="77777777" w:rsidR="00603C66" w:rsidRPr="0051782B" w:rsidRDefault="00603C66" w:rsidP="00603C66">
      <w:pPr>
        <w:spacing w:line="240" w:lineRule="auto"/>
        <w:rPr>
          <w:rFonts w:eastAsia="Times New Roman" w:cs="Arial"/>
          <w:color w:val="000000"/>
          <w:lang w:eastAsia="bg-BG"/>
        </w:rPr>
      </w:pPr>
    </w:p>
    <w:p w14:paraId="26BC0F90" w14:textId="3C1188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Има значително подобрение на класа по </w:t>
      </w:r>
      <w:r w:rsidRPr="0051782B">
        <w:rPr>
          <w:rFonts w:eastAsia="Times New Roman" w:cs="Arial"/>
          <w:color w:val="000000"/>
          <w:lang w:val="en-US"/>
        </w:rPr>
        <w:t>NYHA</w:t>
      </w:r>
      <w:r w:rsidRPr="0051782B">
        <w:rPr>
          <w:rFonts w:eastAsia="Times New Roman" w:cs="Arial"/>
          <w:color w:val="000000"/>
          <w:lang w:val="ru-RU"/>
        </w:rPr>
        <w:t xml:space="preserve">, </w:t>
      </w:r>
      <w:r w:rsidRPr="0051782B">
        <w:rPr>
          <w:rFonts w:eastAsia="Times New Roman" w:cs="Arial"/>
          <w:color w:val="000000"/>
          <w:lang w:eastAsia="bg-BG"/>
        </w:rPr>
        <w:t>спрямо последната отчетена стойност: 887 (28%) от пациентите на ивабрадин са имали подобрение, в сравнение със 776 (24%) от пациентите на плацебо (р=0,001).</w:t>
      </w:r>
    </w:p>
    <w:p w14:paraId="0B544CC3" w14:textId="77777777" w:rsidR="00603C66" w:rsidRPr="0051782B" w:rsidRDefault="00603C66" w:rsidP="00603C66">
      <w:pPr>
        <w:spacing w:line="240" w:lineRule="auto"/>
        <w:rPr>
          <w:rFonts w:eastAsia="Times New Roman" w:cs="Arial"/>
          <w:color w:val="000000"/>
          <w:lang w:eastAsia="bg-BG"/>
        </w:rPr>
      </w:pPr>
    </w:p>
    <w:p w14:paraId="65EAE08A" w14:textId="105EDE91" w:rsidR="00603C66" w:rsidRPr="0051782B" w:rsidRDefault="00603C66" w:rsidP="00603C66">
      <w:pPr>
        <w:spacing w:line="240" w:lineRule="auto"/>
        <w:rPr>
          <w:rFonts w:eastAsia="Times New Roman" w:cs="Arial"/>
          <w:color w:val="000000"/>
          <w:lang w:eastAsia="bg-BG"/>
        </w:rPr>
      </w:pPr>
      <w:r w:rsidRPr="0051782B">
        <w:rPr>
          <w:rFonts w:eastAsia="Times New Roman" w:cs="Arial"/>
          <w:color w:val="000000"/>
          <w:lang w:eastAsia="bg-BG"/>
        </w:rPr>
        <w:t>При рандомизирано плацебо-контролирано проучване с 97 пациенти данните, събрани по време на специфични офталмологични проучвания, целящи документиране на функцията на системите от пръчици и колбички и на възходящия зрителен път (напр. електроретинограма, статични и кинетични зрителни полета, цветно виждане, зрителна острота) при пациенти, лекувани с ивабрадин за хронична стабилна стенокардия в продължение на повече от 3 години, не са показали ретинална токсичност.</w:t>
      </w:r>
    </w:p>
    <w:p w14:paraId="228D29CF" w14:textId="1C89A878" w:rsidR="00603C66" w:rsidRPr="0051782B" w:rsidRDefault="00603C66" w:rsidP="00603C66">
      <w:pPr>
        <w:spacing w:line="240" w:lineRule="auto"/>
        <w:rPr>
          <w:rFonts w:eastAsia="Times New Roman" w:cs="Arial"/>
          <w:color w:val="000000"/>
          <w:lang w:eastAsia="bg-BG"/>
        </w:rPr>
      </w:pPr>
    </w:p>
    <w:p w14:paraId="44037223" w14:textId="77777777" w:rsidR="00603C66" w:rsidRPr="0051782B" w:rsidRDefault="00603C66" w:rsidP="00603C66">
      <w:pPr>
        <w:spacing w:line="240" w:lineRule="auto"/>
        <w:rPr>
          <w:rFonts w:eastAsia="Times New Roman" w:cs="Arial"/>
        </w:rPr>
      </w:pPr>
      <w:r w:rsidRPr="0051782B">
        <w:rPr>
          <w:rFonts w:eastAsia="Times New Roman" w:cs="Arial"/>
          <w:color w:val="000000"/>
          <w:u w:val="single"/>
          <w:lang w:eastAsia="bg-BG"/>
        </w:rPr>
        <w:t>Педиатрична популация</w:t>
      </w:r>
    </w:p>
    <w:p w14:paraId="5C206865" w14:textId="77777777" w:rsidR="00603C66" w:rsidRPr="0051782B" w:rsidRDefault="00603C66" w:rsidP="00603C66">
      <w:pPr>
        <w:spacing w:line="240" w:lineRule="auto"/>
        <w:rPr>
          <w:rFonts w:eastAsia="Times New Roman" w:cs="Arial"/>
          <w:color w:val="000000"/>
          <w:lang w:eastAsia="bg-BG"/>
        </w:rPr>
      </w:pPr>
    </w:p>
    <w:p w14:paraId="533E86C0" w14:textId="7035D45A"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Проведено е рандомизирано, двойносляпо, плацебо-контролирано проучване със 116 педиатрични пациенти (17 на възраст 6-12 месеца, 36 на възраст 1-3 години и 63 на възраст 3- 18 години) с хронична сърдечна недостатъчност и дилатативна кардиомиопатия </w:t>
      </w:r>
      <w:r w:rsidRPr="0051782B">
        <w:rPr>
          <w:rFonts w:eastAsia="Times New Roman" w:cs="Arial"/>
          <w:color w:val="000000"/>
          <w:lang w:val="ru-RU"/>
        </w:rPr>
        <w:t>(</w:t>
      </w:r>
      <w:r w:rsidRPr="0051782B">
        <w:rPr>
          <w:rFonts w:eastAsia="Times New Roman" w:cs="Arial"/>
          <w:color w:val="000000"/>
          <w:lang w:val="en-US"/>
        </w:rPr>
        <w:t>DCM</w:t>
      </w:r>
      <w:r w:rsidRPr="0051782B">
        <w:rPr>
          <w:rFonts w:eastAsia="Times New Roman" w:cs="Arial"/>
          <w:color w:val="000000"/>
          <w:lang w:val="ru-RU"/>
        </w:rPr>
        <w:t xml:space="preserve">) </w:t>
      </w:r>
      <w:r w:rsidRPr="0051782B">
        <w:rPr>
          <w:rFonts w:eastAsia="Times New Roman" w:cs="Arial"/>
          <w:color w:val="000000"/>
          <w:lang w:eastAsia="bg-BG"/>
        </w:rPr>
        <w:t xml:space="preserve">на фона на оптимално основно лечение. Седемдесет и четири са получили ивабрадин (съотношение 2:1). Началната доза е била 0,02 </w:t>
      </w:r>
      <w:r w:rsidRPr="0051782B">
        <w:rPr>
          <w:rFonts w:eastAsia="Times New Roman" w:cs="Arial"/>
          <w:color w:val="000000"/>
          <w:lang w:val="en-US"/>
        </w:rPr>
        <w:t>mg</w:t>
      </w:r>
      <w:r w:rsidRPr="0051782B">
        <w:rPr>
          <w:rFonts w:eastAsia="Times New Roman" w:cs="Arial"/>
          <w:color w:val="000000"/>
          <w:lang w:val="ru-RU"/>
        </w:rPr>
        <w:t>/</w:t>
      </w:r>
      <w:r w:rsidRPr="0051782B">
        <w:rPr>
          <w:rFonts w:eastAsia="Times New Roman" w:cs="Arial"/>
          <w:color w:val="000000"/>
          <w:lang w:val="en-US"/>
        </w:rPr>
        <w:t>kg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във възрастовата подгрупа 6-12 месеца, 0,05 </w:t>
      </w:r>
      <w:r w:rsidRPr="0051782B">
        <w:rPr>
          <w:rFonts w:eastAsia="Times New Roman" w:cs="Arial"/>
          <w:color w:val="000000"/>
          <w:lang w:val="en-US"/>
        </w:rPr>
        <w:t>mg</w:t>
      </w:r>
      <w:r w:rsidRPr="0051782B">
        <w:rPr>
          <w:rFonts w:eastAsia="Times New Roman" w:cs="Arial"/>
          <w:color w:val="000000"/>
          <w:lang w:val="ru-RU"/>
        </w:rPr>
        <w:t>/</w:t>
      </w:r>
      <w:r w:rsidRPr="0051782B">
        <w:rPr>
          <w:rFonts w:eastAsia="Times New Roman" w:cs="Arial"/>
          <w:color w:val="000000"/>
          <w:lang w:val="en-US"/>
        </w:rPr>
        <w:t>kg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при 1-3 години и 3-18 години &lt; 40 </w:t>
      </w:r>
      <w:r w:rsidRPr="0051782B">
        <w:rPr>
          <w:rFonts w:eastAsia="Times New Roman" w:cs="Arial"/>
          <w:color w:val="000000"/>
          <w:lang w:val="en-US"/>
        </w:rPr>
        <w:t>kg</w:t>
      </w:r>
      <w:r w:rsidRPr="0051782B">
        <w:rPr>
          <w:rFonts w:eastAsia="Times New Roman" w:cs="Arial"/>
          <w:color w:val="000000"/>
          <w:lang w:val="ru-RU"/>
        </w:rPr>
        <w:t xml:space="preserve">, </w:t>
      </w:r>
      <w:r w:rsidRPr="0051782B">
        <w:rPr>
          <w:rFonts w:eastAsia="Times New Roman" w:cs="Arial"/>
          <w:color w:val="000000"/>
          <w:lang w:eastAsia="bg-BG"/>
        </w:rPr>
        <w:t xml:space="preserve">и 2,5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при 3-18 години и ≥ 40 </w:t>
      </w:r>
      <w:r w:rsidRPr="0051782B">
        <w:rPr>
          <w:rFonts w:eastAsia="Times New Roman" w:cs="Arial"/>
          <w:color w:val="000000"/>
          <w:lang w:val="en-US"/>
        </w:rPr>
        <w:t>kg</w:t>
      </w:r>
      <w:r w:rsidRPr="0051782B">
        <w:rPr>
          <w:rFonts w:eastAsia="Times New Roman" w:cs="Arial"/>
          <w:color w:val="000000"/>
          <w:lang w:val="ru-RU"/>
        </w:rPr>
        <w:t xml:space="preserve">. </w:t>
      </w:r>
      <w:r w:rsidRPr="0051782B">
        <w:rPr>
          <w:rFonts w:eastAsia="Times New Roman" w:cs="Arial"/>
          <w:color w:val="000000"/>
          <w:lang w:eastAsia="bg-BG"/>
        </w:rPr>
        <w:t xml:space="preserve">Дозата е адаптирана в зависимост от терапевтичния отговор с максимални дози от 0,2 </w:t>
      </w:r>
      <w:r w:rsidRPr="0051782B">
        <w:rPr>
          <w:rFonts w:eastAsia="Times New Roman" w:cs="Arial"/>
          <w:color w:val="000000"/>
          <w:lang w:val="en-US"/>
        </w:rPr>
        <w:t>mg</w:t>
      </w:r>
      <w:r w:rsidRPr="0051782B">
        <w:rPr>
          <w:rFonts w:eastAsia="Times New Roman" w:cs="Arial"/>
          <w:color w:val="000000"/>
          <w:lang w:val="ru-RU"/>
        </w:rPr>
        <w:t>/</w:t>
      </w:r>
      <w:r w:rsidRPr="0051782B">
        <w:rPr>
          <w:rFonts w:eastAsia="Times New Roman" w:cs="Arial"/>
          <w:color w:val="000000"/>
          <w:lang w:val="en-US"/>
        </w:rPr>
        <w:t>kg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0,3 </w:t>
      </w:r>
      <w:r w:rsidRPr="0051782B">
        <w:rPr>
          <w:rFonts w:eastAsia="Times New Roman" w:cs="Arial"/>
          <w:color w:val="000000"/>
          <w:lang w:val="en-US"/>
        </w:rPr>
        <w:t>mg</w:t>
      </w:r>
      <w:r w:rsidRPr="0051782B">
        <w:rPr>
          <w:rFonts w:eastAsia="Times New Roman" w:cs="Arial"/>
          <w:color w:val="000000"/>
          <w:lang w:val="ru-RU"/>
        </w:rPr>
        <w:t>/</w:t>
      </w:r>
      <w:r w:rsidRPr="0051782B">
        <w:rPr>
          <w:rFonts w:eastAsia="Times New Roman" w:cs="Arial"/>
          <w:color w:val="000000"/>
          <w:lang w:val="en-US"/>
        </w:rPr>
        <w:t>kg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и съответно 15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два пъти дневно. В това проучване ивабрадин е приложен или като перорална течна форма или като таблетка два пъти дневно. Липсата на разлика във фармакокинетиката между тези две форми е показана в отворено рандомизирано кръстосано проучване с два периода при 24 здрави възрастни доброволци.</w:t>
      </w:r>
    </w:p>
    <w:p w14:paraId="20C44C05"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При 69,9% от пациентите в групата на ивабрадин е постигнато намаляване на сърдечната честота с 20% без брадикардия спрямо 12,2% в плацебо групата по време на периода на титриране от 2 до 8 седмици (съотношение на шансовете: Е-17,24, 95% </w:t>
      </w:r>
      <w:r w:rsidRPr="0051782B">
        <w:rPr>
          <w:rFonts w:eastAsia="Times New Roman" w:cs="Arial"/>
          <w:color w:val="000000"/>
          <w:lang w:val="en-US"/>
        </w:rPr>
        <w:t>CI</w:t>
      </w:r>
      <w:r w:rsidRPr="0051782B">
        <w:rPr>
          <w:rFonts w:eastAsia="Times New Roman" w:cs="Arial"/>
          <w:color w:val="000000"/>
          <w:lang w:val="ru-RU"/>
        </w:rPr>
        <w:t xml:space="preserve"> </w:t>
      </w:r>
      <w:r w:rsidRPr="0051782B">
        <w:rPr>
          <w:rFonts w:eastAsia="Times New Roman" w:cs="Arial"/>
          <w:color w:val="000000"/>
          <w:lang w:eastAsia="bg-BG"/>
        </w:rPr>
        <w:t>[5,91; 50,30]).</w:t>
      </w:r>
    </w:p>
    <w:p w14:paraId="25A50E3F"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Средните дози ивабрадин, които позволяват да се постигне намаляване на сърдечната честота с 20% са съответно 0,13 ± </w:t>
      </w:r>
      <w:r w:rsidRPr="0051782B">
        <w:rPr>
          <w:rFonts w:eastAsia="Times New Roman" w:cs="Arial"/>
          <w:i/>
          <w:iCs/>
          <w:color w:val="000000"/>
          <w:lang w:eastAsia="bg-BG"/>
        </w:rPr>
        <w:t>0,04</w:t>
      </w:r>
      <w:r w:rsidRPr="0051782B">
        <w:rPr>
          <w:rFonts w:eastAsia="Times New Roman" w:cs="Arial"/>
          <w:color w:val="000000"/>
          <w:lang w:eastAsia="bg-BG"/>
        </w:rPr>
        <w:t xml:space="preserve"> </w:t>
      </w:r>
      <w:r w:rsidRPr="0051782B">
        <w:rPr>
          <w:rFonts w:eastAsia="Times New Roman" w:cs="Arial"/>
          <w:color w:val="000000"/>
          <w:lang w:val="en-US"/>
        </w:rPr>
        <w:t>mg</w:t>
      </w:r>
      <w:r w:rsidRPr="0051782B">
        <w:rPr>
          <w:rFonts w:eastAsia="Times New Roman" w:cs="Arial"/>
          <w:color w:val="000000"/>
          <w:lang w:val="ru-RU"/>
        </w:rPr>
        <w:t>/</w:t>
      </w:r>
      <w:r w:rsidRPr="0051782B">
        <w:rPr>
          <w:rFonts w:eastAsia="Times New Roman" w:cs="Arial"/>
          <w:color w:val="000000"/>
          <w:lang w:val="en-US"/>
        </w:rPr>
        <w:t>kg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0,10 ± 0,04 </w:t>
      </w:r>
      <w:r w:rsidRPr="0051782B">
        <w:rPr>
          <w:rFonts w:eastAsia="Times New Roman" w:cs="Arial"/>
          <w:color w:val="000000"/>
          <w:lang w:val="en-US"/>
        </w:rPr>
        <w:t>mg</w:t>
      </w:r>
      <w:r w:rsidRPr="0051782B">
        <w:rPr>
          <w:rFonts w:eastAsia="Times New Roman" w:cs="Arial"/>
          <w:color w:val="000000"/>
          <w:lang w:val="ru-RU"/>
        </w:rPr>
        <w:t>/</w:t>
      </w:r>
      <w:r w:rsidRPr="0051782B">
        <w:rPr>
          <w:rFonts w:eastAsia="Times New Roman" w:cs="Arial"/>
          <w:color w:val="000000"/>
          <w:lang w:val="en-US"/>
        </w:rPr>
        <w:t>kg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и 4,1 ± 2,2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във възрастовите подгрупи 1-3 години, 3-18 години и &lt; 40 </w:t>
      </w:r>
      <w:r w:rsidRPr="0051782B">
        <w:rPr>
          <w:rFonts w:eastAsia="Times New Roman" w:cs="Arial"/>
          <w:color w:val="000000"/>
          <w:lang w:val="en-US"/>
        </w:rPr>
        <w:t>kg</w:t>
      </w:r>
      <w:r w:rsidRPr="0051782B">
        <w:rPr>
          <w:rFonts w:eastAsia="Times New Roman" w:cs="Arial"/>
          <w:color w:val="000000"/>
          <w:lang w:val="ru-RU"/>
        </w:rPr>
        <w:t xml:space="preserve">, </w:t>
      </w:r>
      <w:r w:rsidRPr="0051782B">
        <w:rPr>
          <w:rFonts w:eastAsia="Times New Roman" w:cs="Arial"/>
          <w:color w:val="000000"/>
          <w:lang w:eastAsia="bg-BG"/>
        </w:rPr>
        <w:t xml:space="preserve">и 3- 18 години и ≥ 40 </w:t>
      </w:r>
      <w:r w:rsidRPr="0051782B">
        <w:rPr>
          <w:rFonts w:eastAsia="Times New Roman" w:cs="Arial"/>
          <w:color w:val="000000"/>
          <w:lang w:val="en-US"/>
        </w:rPr>
        <w:t>kg</w:t>
      </w:r>
      <w:r w:rsidRPr="0051782B">
        <w:rPr>
          <w:rFonts w:eastAsia="Times New Roman" w:cs="Arial"/>
          <w:color w:val="000000"/>
          <w:lang w:val="ru-RU"/>
        </w:rPr>
        <w:t>.</w:t>
      </w:r>
    </w:p>
    <w:p w14:paraId="482043BA"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 xml:space="preserve">Средната ЛКФИ е нарастнала от 31,8% до 45,3% на М012 в групата на ивабрадин спрямо 35,4% до 42,3% в плацебо групата. Има подобрение в класа по </w:t>
      </w:r>
      <w:r w:rsidRPr="0051782B">
        <w:rPr>
          <w:rFonts w:eastAsia="Times New Roman" w:cs="Arial"/>
          <w:color w:val="000000"/>
          <w:lang w:val="en-US"/>
        </w:rPr>
        <w:t>NYHA</w:t>
      </w:r>
      <w:r w:rsidRPr="0051782B">
        <w:rPr>
          <w:rFonts w:eastAsia="Times New Roman" w:cs="Arial"/>
          <w:color w:val="000000"/>
          <w:lang w:val="ru-RU"/>
        </w:rPr>
        <w:t xml:space="preserve"> </w:t>
      </w:r>
      <w:r w:rsidRPr="0051782B">
        <w:rPr>
          <w:rFonts w:eastAsia="Times New Roman" w:cs="Arial"/>
          <w:color w:val="000000"/>
          <w:lang w:eastAsia="bg-BG"/>
        </w:rPr>
        <w:t>при 37,7% от пациентите, приемащи ивабрадин, спрямо 25,0% в плацебо групата. Тези подобрения не са били статистически значими.</w:t>
      </w:r>
    </w:p>
    <w:p w14:paraId="18D3234B"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Профилът на безопасност, след 1 година, е подобен на този, описан при възрастни пациенти с хронична сърдечна недостатъчност.</w:t>
      </w:r>
    </w:p>
    <w:p w14:paraId="09FD7618" w14:textId="77777777" w:rsidR="0051782B" w:rsidRPr="0051782B" w:rsidRDefault="0051782B" w:rsidP="00603C66">
      <w:pPr>
        <w:spacing w:line="240" w:lineRule="auto"/>
        <w:rPr>
          <w:rFonts w:eastAsia="Times New Roman" w:cs="Arial"/>
          <w:color w:val="000000"/>
          <w:lang w:eastAsia="bg-BG"/>
        </w:rPr>
      </w:pPr>
    </w:p>
    <w:p w14:paraId="76FDBD39" w14:textId="0DD39B67" w:rsidR="00603C66" w:rsidRPr="0051782B" w:rsidRDefault="00603C66" w:rsidP="00603C66">
      <w:pPr>
        <w:spacing w:line="240" w:lineRule="auto"/>
        <w:rPr>
          <w:rFonts w:eastAsia="Times New Roman" w:cs="Arial"/>
        </w:rPr>
      </w:pPr>
      <w:r w:rsidRPr="0051782B">
        <w:rPr>
          <w:rFonts w:eastAsia="Times New Roman" w:cs="Arial"/>
          <w:color w:val="000000"/>
          <w:lang w:eastAsia="bg-BG"/>
        </w:rPr>
        <w:t>Дългосрочните ефекти на ивабрадин върху растежа, пубертета и общото развитие, както и дългосрочната ефикасност на лечението с ивабрадин в детска възраст за намаляване на сърдечносъдовата заболеваемост и смъртност не са проучвани.</w:t>
      </w:r>
    </w:p>
    <w:p w14:paraId="1306FAE3" w14:textId="77777777" w:rsidR="0051782B" w:rsidRPr="0051782B" w:rsidRDefault="0051782B" w:rsidP="00603C66">
      <w:pPr>
        <w:spacing w:line="240" w:lineRule="auto"/>
        <w:rPr>
          <w:rFonts w:eastAsia="Times New Roman" w:cs="Arial"/>
          <w:color w:val="000000"/>
          <w:lang w:eastAsia="bg-BG"/>
        </w:rPr>
      </w:pPr>
    </w:p>
    <w:p w14:paraId="7F5130C2" w14:textId="569AFDC9" w:rsidR="00603C66" w:rsidRPr="0051782B" w:rsidRDefault="00603C66" w:rsidP="00603C66">
      <w:pPr>
        <w:spacing w:line="240" w:lineRule="auto"/>
        <w:rPr>
          <w:rFonts w:eastAsia="Times New Roman" w:cs="Arial"/>
        </w:rPr>
      </w:pPr>
      <w:r w:rsidRPr="0051782B">
        <w:rPr>
          <w:rFonts w:eastAsia="Times New Roman" w:cs="Arial"/>
          <w:color w:val="000000"/>
          <w:lang w:eastAsia="bg-BG"/>
        </w:rPr>
        <w:lastRenderedPageBreak/>
        <w:t>Европейската агенция по лекарствата освобождава от задължението за предоставяне на резултатите от проучванията среферентен лекарствен продукт, съдържащ ивабрадин, във всички подгрупи на педиатричната популация за лечението на стенокардия.</w:t>
      </w:r>
    </w:p>
    <w:p w14:paraId="68C888D2" w14:textId="77777777" w:rsidR="00603C66" w:rsidRPr="0051782B" w:rsidRDefault="00603C66" w:rsidP="00603C66">
      <w:pPr>
        <w:spacing w:line="240" w:lineRule="auto"/>
        <w:rPr>
          <w:rFonts w:eastAsia="Times New Roman" w:cs="Arial"/>
        </w:rPr>
      </w:pPr>
      <w:r w:rsidRPr="0051782B">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референтен лекарствен продукт, съдържащ ивабрадин при деца на възраст от 0 до 6 месеца за лечението на хронична сърдечна недостатъчност.</w:t>
      </w:r>
    </w:p>
    <w:p w14:paraId="6810B4E5" w14:textId="77777777" w:rsidR="00603C66" w:rsidRPr="00603C66" w:rsidRDefault="00603C66" w:rsidP="00603C66">
      <w:pPr>
        <w:spacing w:line="240" w:lineRule="auto"/>
        <w:rPr>
          <w:rFonts w:ascii="Times New Roman" w:eastAsia="Times New Roman" w:hAnsi="Times New Roman" w:cs="Times New Roman"/>
          <w:color w:val="000000"/>
          <w:lang w:eastAsia="bg-BG"/>
        </w:rPr>
      </w:pPr>
    </w:p>
    <w:p w14:paraId="78DD93AA" w14:textId="26A04043" w:rsidR="00B6672E" w:rsidRDefault="002C50EE" w:rsidP="00936AD0">
      <w:pPr>
        <w:pStyle w:val="Heading2"/>
      </w:pPr>
      <w:r>
        <w:t>5.2. Фармакокинетични свойства</w:t>
      </w:r>
    </w:p>
    <w:p w14:paraId="6CCE03E2" w14:textId="3677E220" w:rsidR="0051782B" w:rsidRDefault="0051782B" w:rsidP="0051782B"/>
    <w:p w14:paraId="06364B7C"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 xml:space="preserve">При физиологични условия ивабрадин се освобождава бързо от таблетките и има висока водоразтворимост </w:t>
      </w:r>
      <w:r w:rsidRPr="0051782B">
        <w:rPr>
          <w:rFonts w:eastAsia="Times New Roman" w:cs="Arial"/>
          <w:color w:val="000000"/>
          <w:lang w:val="ru-RU"/>
        </w:rPr>
        <w:t>(&gt;10</w:t>
      </w:r>
      <w:r w:rsidRPr="0051782B">
        <w:rPr>
          <w:rFonts w:eastAsia="Times New Roman" w:cs="Arial"/>
          <w:color w:val="000000"/>
          <w:lang w:val="en-US"/>
        </w:rPr>
        <w:t>mg</w:t>
      </w:r>
      <w:r w:rsidRPr="0051782B">
        <w:rPr>
          <w:rFonts w:eastAsia="Times New Roman" w:cs="Arial"/>
          <w:color w:val="000000"/>
          <w:lang w:val="ru-RU"/>
        </w:rPr>
        <w:t>/</w:t>
      </w:r>
      <w:r w:rsidRPr="0051782B">
        <w:rPr>
          <w:rFonts w:eastAsia="Times New Roman" w:cs="Arial"/>
          <w:color w:val="000000"/>
          <w:lang w:val="en-US"/>
        </w:rPr>
        <w:t>ml</w:t>
      </w:r>
      <w:r w:rsidRPr="0051782B">
        <w:rPr>
          <w:rFonts w:eastAsia="Times New Roman" w:cs="Arial"/>
          <w:color w:val="000000"/>
          <w:lang w:val="ru-RU"/>
        </w:rPr>
        <w:t xml:space="preserve">). </w:t>
      </w:r>
      <w:r w:rsidRPr="0051782B">
        <w:rPr>
          <w:rFonts w:eastAsia="Times New Roman" w:cs="Arial"/>
          <w:color w:val="000000"/>
          <w:lang w:eastAsia="bg-BG"/>
        </w:rPr>
        <w:t xml:space="preserve">Ивабрадин представлява </w:t>
      </w:r>
      <w:r w:rsidRPr="0051782B">
        <w:rPr>
          <w:rFonts w:eastAsia="Times New Roman" w:cs="Arial"/>
          <w:color w:val="000000"/>
          <w:lang w:val="en-US"/>
        </w:rPr>
        <w:t>S</w:t>
      </w:r>
      <w:r w:rsidRPr="0051782B">
        <w:rPr>
          <w:rFonts w:eastAsia="Times New Roman" w:cs="Arial"/>
          <w:color w:val="000000"/>
          <w:lang w:eastAsia="bg-BG"/>
        </w:rPr>
        <w:t xml:space="preserve">-енантиомер, който не претърпява биоконверсия </w:t>
      </w:r>
      <w:r w:rsidRPr="0051782B">
        <w:rPr>
          <w:rFonts w:eastAsia="Times New Roman" w:cs="Arial"/>
          <w:i/>
          <w:iCs/>
          <w:color w:val="000000"/>
          <w:lang w:val="en-US"/>
        </w:rPr>
        <w:t>in</w:t>
      </w:r>
      <w:r w:rsidRPr="0051782B">
        <w:rPr>
          <w:rFonts w:eastAsia="Times New Roman" w:cs="Arial"/>
          <w:i/>
          <w:iCs/>
          <w:color w:val="000000"/>
          <w:lang w:val="ru-RU"/>
        </w:rPr>
        <w:t xml:space="preserve"> </w:t>
      </w:r>
      <w:r w:rsidRPr="0051782B">
        <w:rPr>
          <w:rFonts w:eastAsia="Times New Roman" w:cs="Arial"/>
          <w:i/>
          <w:iCs/>
          <w:color w:val="000000"/>
          <w:lang w:val="en-US"/>
        </w:rPr>
        <w:t>vivo</w:t>
      </w:r>
      <w:r w:rsidRPr="0051782B">
        <w:rPr>
          <w:rFonts w:eastAsia="Times New Roman" w:cs="Arial"/>
          <w:i/>
          <w:iCs/>
          <w:color w:val="000000"/>
          <w:lang w:val="ru-RU"/>
        </w:rPr>
        <w:t>.</w:t>
      </w:r>
      <w:r w:rsidRPr="0051782B">
        <w:rPr>
          <w:rFonts w:eastAsia="Times New Roman" w:cs="Arial"/>
          <w:color w:val="000000"/>
          <w:lang w:val="ru-RU"/>
        </w:rPr>
        <w:t xml:space="preserve"> </w:t>
      </w:r>
      <w:r w:rsidRPr="0051782B">
        <w:rPr>
          <w:rFonts w:eastAsia="Times New Roman" w:cs="Arial"/>
          <w:color w:val="000000"/>
          <w:lang w:val="en-US"/>
        </w:rPr>
        <w:t>N</w:t>
      </w:r>
      <w:r w:rsidRPr="0051782B">
        <w:rPr>
          <w:rFonts w:eastAsia="Times New Roman" w:cs="Arial"/>
          <w:color w:val="000000"/>
          <w:lang w:eastAsia="bg-BG"/>
        </w:rPr>
        <w:t>-дезметилираният дериват на ивабрадин беше идентифициран като главен активен метаболит при човека.</w:t>
      </w:r>
    </w:p>
    <w:p w14:paraId="6CE29FCA" w14:textId="77777777" w:rsidR="0051782B" w:rsidRPr="0051782B" w:rsidRDefault="0051782B" w:rsidP="0051782B">
      <w:pPr>
        <w:spacing w:line="240" w:lineRule="auto"/>
        <w:rPr>
          <w:rFonts w:eastAsia="Times New Roman" w:cs="Arial"/>
          <w:color w:val="000000"/>
          <w:u w:val="single"/>
          <w:lang w:eastAsia="bg-BG"/>
        </w:rPr>
      </w:pPr>
    </w:p>
    <w:p w14:paraId="6BFA7FBA" w14:textId="15796349" w:rsidR="0051782B" w:rsidRPr="0051782B" w:rsidRDefault="0051782B" w:rsidP="0051782B">
      <w:pPr>
        <w:pStyle w:val="Heading3"/>
        <w:rPr>
          <w:rFonts w:eastAsia="Times New Roman"/>
          <w:sz w:val="22"/>
          <w:szCs w:val="22"/>
          <w:u w:val="single"/>
          <w:lang w:eastAsia="bg-BG"/>
        </w:rPr>
      </w:pPr>
      <w:r w:rsidRPr="0051782B">
        <w:rPr>
          <w:rFonts w:eastAsia="Times New Roman"/>
          <w:u w:val="single"/>
          <w:lang w:eastAsia="bg-BG"/>
        </w:rPr>
        <w:t>Абсорбция и бионапичност</w:t>
      </w:r>
    </w:p>
    <w:p w14:paraId="0402FECE"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Ивабрадин се резорбира бързо и почти напълно след перорално приложение с достигане на максимална концентрация в плазмата след около 1 час при прием на гладно. Абсолютната бионаличност на филмираните таблетки е около 40%, поради ефекта на първото преминаване в червата и черния дроб.</w:t>
      </w:r>
    </w:p>
    <w:p w14:paraId="01F5DE9C"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Храната забавя резорбцията с приблизително 1 час и увеличава експозицията с 20 до 30% Приемът на таблетката по време на хранене се препоръчва,  за да се намлят</w:t>
      </w:r>
    </w:p>
    <w:p w14:paraId="302AA431" w14:textId="4D18F208" w:rsidR="0051782B" w:rsidRPr="0051782B" w:rsidRDefault="0051782B" w:rsidP="0051782B">
      <w:pPr>
        <w:rPr>
          <w:rFonts w:eastAsia="Times New Roman" w:cs="Arial"/>
          <w:color w:val="000000"/>
          <w:lang w:eastAsia="bg-BG"/>
        </w:rPr>
      </w:pPr>
      <w:r w:rsidRPr="0051782B">
        <w:rPr>
          <w:rFonts w:eastAsia="Times New Roman" w:cs="Arial"/>
          <w:color w:val="000000"/>
          <w:lang w:eastAsia="bg-BG"/>
        </w:rPr>
        <w:t>интраиндивидуалните промени в експозицията (вижте точка 4.2).</w:t>
      </w:r>
    </w:p>
    <w:p w14:paraId="5109FB3E" w14:textId="06F8474E" w:rsidR="0051782B" w:rsidRPr="0051782B" w:rsidRDefault="0051782B" w:rsidP="0051782B">
      <w:pPr>
        <w:rPr>
          <w:rFonts w:eastAsia="Times New Roman" w:cs="Arial"/>
          <w:color w:val="000000"/>
          <w:lang w:eastAsia="bg-BG"/>
        </w:rPr>
      </w:pPr>
    </w:p>
    <w:p w14:paraId="71BDE474" w14:textId="77777777" w:rsidR="0051782B" w:rsidRPr="0051782B" w:rsidRDefault="0051782B" w:rsidP="0051782B">
      <w:pPr>
        <w:pStyle w:val="Heading3"/>
        <w:rPr>
          <w:rFonts w:eastAsia="Times New Roman"/>
          <w:u w:val="single"/>
        </w:rPr>
      </w:pPr>
      <w:r w:rsidRPr="0051782B">
        <w:rPr>
          <w:rFonts w:eastAsia="Times New Roman"/>
          <w:u w:val="single"/>
          <w:lang w:eastAsia="bg-BG"/>
        </w:rPr>
        <w:t>Разпределение</w:t>
      </w:r>
    </w:p>
    <w:p w14:paraId="1CF22FC0"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 xml:space="preserve">Ивабрадин се свързва приблизително 70% с плазмените белтъци и равновесния обем на разпределение при пациенти е близък до 1001. Максималната концентрация в плазмата след многократно приложение в препоръчителната доза от 5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 xml:space="preserve">два пъти дневно е 22 </w:t>
      </w:r>
      <w:r w:rsidRPr="0051782B">
        <w:rPr>
          <w:rFonts w:eastAsia="Times New Roman" w:cs="Arial"/>
          <w:color w:val="000000"/>
          <w:lang w:val="en-US"/>
        </w:rPr>
        <w:t>ng</w:t>
      </w:r>
      <w:r w:rsidRPr="0051782B">
        <w:rPr>
          <w:rFonts w:eastAsia="Times New Roman" w:cs="Arial"/>
          <w:color w:val="000000"/>
          <w:lang w:val="ru-RU"/>
        </w:rPr>
        <w:t>/</w:t>
      </w:r>
      <w:r w:rsidRPr="0051782B">
        <w:rPr>
          <w:rFonts w:eastAsia="Times New Roman" w:cs="Arial"/>
          <w:color w:val="000000"/>
          <w:lang w:val="en-US"/>
        </w:rPr>
        <w:t>ml</w:t>
      </w:r>
      <w:r w:rsidRPr="0051782B">
        <w:rPr>
          <w:rFonts w:eastAsia="Times New Roman" w:cs="Arial"/>
          <w:color w:val="000000"/>
          <w:lang w:val="ru-RU"/>
        </w:rPr>
        <w:t xml:space="preserve"> (</w:t>
      </w:r>
      <w:r w:rsidRPr="0051782B">
        <w:rPr>
          <w:rFonts w:eastAsia="Times New Roman" w:cs="Arial"/>
          <w:color w:val="000000"/>
          <w:lang w:val="en-US"/>
        </w:rPr>
        <w:t>CV</w:t>
      </w:r>
      <w:r w:rsidRPr="0051782B">
        <w:rPr>
          <w:rFonts w:eastAsia="Times New Roman" w:cs="Arial"/>
          <w:color w:val="000000"/>
          <w:lang w:val="ru-RU"/>
        </w:rPr>
        <w:t xml:space="preserve">=29%). </w:t>
      </w:r>
      <w:r w:rsidRPr="0051782B">
        <w:rPr>
          <w:rFonts w:eastAsia="Times New Roman" w:cs="Arial"/>
          <w:color w:val="000000"/>
          <w:lang w:eastAsia="bg-BG"/>
        </w:rPr>
        <w:t xml:space="preserve">Средната равновесна концентрация в плазмата е 10 </w:t>
      </w:r>
      <w:r w:rsidRPr="0051782B">
        <w:rPr>
          <w:rFonts w:eastAsia="Times New Roman" w:cs="Arial"/>
          <w:color w:val="000000"/>
          <w:lang w:val="en-US"/>
        </w:rPr>
        <w:t>ng</w:t>
      </w:r>
      <w:r w:rsidRPr="0051782B">
        <w:rPr>
          <w:rFonts w:eastAsia="Times New Roman" w:cs="Arial"/>
          <w:color w:val="000000"/>
          <w:lang w:val="ru-RU"/>
        </w:rPr>
        <w:t>/</w:t>
      </w:r>
      <w:r w:rsidRPr="0051782B">
        <w:rPr>
          <w:rFonts w:eastAsia="Times New Roman" w:cs="Arial"/>
          <w:color w:val="000000"/>
          <w:lang w:val="en-US"/>
        </w:rPr>
        <w:t>ml</w:t>
      </w:r>
      <w:r w:rsidRPr="0051782B">
        <w:rPr>
          <w:rFonts w:eastAsia="Times New Roman" w:cs="Arial"/>
          <w:color w:val="000000"/>
          <w:lang w:val="ru-RU"/>
        </w:rPr>
        <w:t xml:space="preserve"> (</w:t>
      </w:r>
      <w:r w:rsidRPr="0051782B">
        <w:rPr>
          <w:rFonts w:eastAsia="Times New Roman" w:cs="Arial"/>
          <w:color w:val="000000"/>
          <w:lang w:val="en-US"/>
        </w:rPr>
        <w:t>CV</w:t>
      </w:r>
      <w:r w:rsidRPr="0051782B">
        <w:rPr>
          <w:rFonts w:eastAsia="Times New Roman" w:cs="Arial"/>
          <w:color w:val="000000"/>
          <w:lang w:val="ru-RU"/>
        </w:rPr>
        <w:t>=38%).</w:t>
      </w:r>
    </w:p>
    <w:p w14:paraId="31B00713" w14:textId="77777777" w:rsidR="0051782B" w:rsidRPr="0051782B" w:rsidRDefault="0051782B" w:rsidP="0051782B">
      <w:pPr>
        <w:spacing w:line="240" w:lineRule="auto"/>
        <w:rPr>
          <w:rFonts w:eastAsia="Times New Roman" w:cs="Arial"/>
          <w:color w:val="000000"/>
          <w:u w:val="single"/>
          <w:lang w:eastAsia="bg-BG"/>
        </w:rPr>
      </w:pPr>
    </w:p>
    <w:p w14:paraId="121EAB19" w14:textId="0A1062EE" w:rsidR="0051782B" w:rsidRPr="0051782B" w:rsidRDefault="0051782B" w:rsidP="0051782B">
      <w:pPr>
        <w:pStyle w:val="Heading3"/>
        <w:rPr>
          <w:rFonts w:eastAsia="Times New Roman"/>
          <w:u w:val="single"/>
        </w:rPr>
      </w:pPr>
      <w:r w:rsidRPr="0051782B">
        <w:rPr>
          <w:rFonts w:eastAsia="Times New Roman"/>
          <w:u w:val="single"/>
          <w:lang w:eastAsia="bg-BG"/>
        </w:rPr>
        <w:t>Биотрансформация</w:t>
      </w:r>
    </w:p>
    <w:p w14:paraId="3D96A976"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 xml:space="preserve">Ивабрадин се метаболизира главно от черния дроб и червата само чрез оксидация с цитохром Р450 ЗА4 </w:t>
      </w:r>
      <w:r w:rsidRPr="0051782B">
        <w:rPr>
          <w:rFonts w:eastAsia="Times New Roman" w:cs="Arial"/>
          <w:color w:val="000000"/>
          <w:lang w:val="ru-RU"/>
        </w:rPr>
        <w:t>(</w:t>
      </w:r>
      <w:r w:rsidRPr="0051782B">
        <w:rPr>
          <w:rFonts w:eastAsia="Times New Roman" w:cs="Arial"/>
          <w:color w:val="000000"/>
          <w:lang w:val="en-US"/>
        </w:rPr>
        <w:t>CYP</w:t>
      </w:r>
      <w:r w:rsidRPr="0051782B">
        <w:rPr>
          <w:rFonts w:eastAsia="Times New Roman" w:cs="Arial"/>
          <w:color w:val="000000"/>
          <w:lang w:val="ru-RU"/>
        </w:rPr>
        <w:t>3</w:t>
      </w:r>
      <w:r w:rsidRPr="0051782B">
        <w:rPr>
          <w:rFonts w:eastAsia="Times New Roman" w:cs="Arial"/>
          <w:color w:val="000000"/>
          <w:lang w:val="en-US"/>
        </w:rPr>
        <w:t>A</w:t>
      </w:r>
      <w:r w:rsidRPr="0051782B">
        <w:rPr>
          <w:rFonts w:eastAsia="Times New Roman" w:cs="Arial"/>
          <w:color w:val="000000"/>
          <w:lang w:val="ru-RU"/>
        </w:rPr>
        <w:t xml:space="preserve">4). </w:t>
      </w:r>
      <w:r w:rsidRPr="0051782B">
        <w:rPr>
          <w:rFonts w:eastAsia="Times New Roman" w:cs="Arial"/>
          <w:color w:val="000000"/>
          <w:lang w:eastAsia="bg-BG"/>
        </w:rPr>
        <w:t xml:space="preserve">Главният активен метаболит е </w:t>
      </w:r>
      <w:r w:rsidRPr="0051782B">
        <w:rPr>
          <w:rFonts w:eastAsia="Times New Roman" w:cs="Arial"/>
          <w:color w:val="000000"/>
          <w:lang w:val="en-US"/>
        </w:rPr>
        <w:t>N</w:t>
      </w:r>
      <w:r w:rsidRPr="0051782B">
        <w:rPr>
          <w:rFonts w:eastAsia="Times New Roman" w:cs="Arial"/>
          <w:color w:val="000000"/>
          <w:lang w:eastAsia="bg-BG"/>
        </w:rPr>
        <w:t xml:space="preserve">-дезметилираният дериват </w:t>
      </w:r>
      <w:r w:rsidRPr="0051782B">
        <w:rPr>
          <w:rFonts w:eastAsia="Times New Roman" w:cs="Arial"/>
          <w:color w:val="000000"/>
          <w:lang w:val="ru-RU"/>
        </w:rPr>
        <w:t>(</w:t>
      </w:r>
      <w:r w:rsidRPr="0051782B">
        <w:rPr>
          <w:rFonts w:eastAsia="Times New Roman" w:cs="Arial"/>
          <w:color w:val="000000"/>
          <w:lang w:val="en-US"/>
        </w:rPr>
        <w:t>S</w:t>
      </w:r>
      <w:r w:rsidRPr="0051782B">
        <w:rPr>
          <w:rFonts w:eastAsia="Times New Roman" w:cs="Arial"/>
          <w:color w:val="000000"/>
          <w:lang w:val="ru-RU"/>
        </w:rPr>
        <w:t xml:space="preserve"> </w:t>
      </w:r>
      <w:r w:rsidRPr="0051782B">
        <w:rPr>
          <w:rFonts w:eastAsia="Times New Roman" w:cs="Arial"/>
          <w:color w:val="000000"/>
          <w:lang w:eastAsia="bg-BG"/>
        </w:rPr>
        <w:t xml:space="preserve">18982) с експозиция около 40% от тази на изходното вещество. Метаболизмът на този активен метаболит също включва </w:t>
      </w:r>
      <w:r w:rsidRPr="0051782B">
        <w:rPr>
          <w:rFonts w:eastAsia="Times New Roman" w:cs="Arial"/>
          <w:color w:val="000000"/>
          <w:lang w:val="en-US"/>
        </w:rPr>
        <w:t>CYP</w:t>
      </w:r>
      <w:r w:rsidRPr="0051782B">
        <w:rPr>
          <w:rFonts w:eastAsia="Times New Roman" w:cs="Arial"/>
          <w:color w:val="000000"/>
          <w:lang w:val="ru-RU"/>
        </w:rPr>
        <w:t>3</w:t>
      </w:r>
      <w:r w:rsidRPr="0051782B">
        <w:rPr>
          <w:rFonts w:eastAsia="Times New Roman" w:cs="Arial"/>
          <w:color w:val="000000"/>
          <w:lang w:val="en-US"/>
        </w:rPr>
        <w:t>A</w:t>
      </w:r>
      <w:r w:rsidRPr="0051782B">
        <w:rPr>
          <w:rFonts w:eastAsia="Times New Roman" w:cs="Arial"/>
          <w:color w:val="000000"/>
          <w:lang w:val="ru-RU"/>
        </w:rPr>
        <w:t xml:space="preserve">4. </w:t>
      </w:r>
      <w:r w:rsidRPr="0051782B">
        <w:rPr>
          <w:rFonts w:eastAsia="Times New Roman" w:cs="Arial"/>
          <w:color w:val="000000"/>
          <w:lang w:eastAsia="bg-BG"/>
        </w:rPr>
        <w:t xml:space="preserve">Ивабрадин има нисък афинитет към </w:t>
      </w:r>
      <w:r w:rsidRPr="0051782B">
        <w:rPr>
          <w:rFonts w:eastAsia="Times New Roman" w:cs="Arial"/>
          <w:color w:val="000000"/>
          <w:lang w:val="en-US"/>
        </w:rPr>
        <w:t>CYP</w:t>
      </w:r>
      <w:r w:rsidRPr="0051782B">
        <w:rPr>
          <w:rFonts w:eastAsia="Times New Roman" w:cs="Arial"/>
          <w:color w:val="000000"/>
          <w:lang w:val="ru-RU"/>
        </w:rPr>
        <w:t>3</w:t>
      </w:r>
      <w:r w:rsidRPr="0051782B">
        <w:rPr>
          <w:rFonts w:eastAsia="Times New Roman" w:cs="Arial"/>
          <w:color w:val="000000"/>
          <w:lang w:val="en-US"/>
        </w:rPr>
        <w:t>A</w:t>
      </w:r>
      <w:r w:rsidRPr="0051782B">
        <w:rPr>
          <w:rFonts w:eastAsia="Times New Roman" w:cs="Arial"/>
          <w:color w:val="000000"/>
          <w:lang w:val="ru-RU"/>
        </w:rPr>
        <w:t xml:space="preserve">4, </w:t>
      </w:r>
      <w:r w:rsidRPr="0051782B">
        <w:rPr>
          <w:rFonts w:eastAsia="Times New Roman" w:cs="Arial"/>
          <w:color w:val="000000"/>
          <w:lang w:eastAsia="bg-BG"/>
        </w:rPr>
        <w:t xml:space="preserve">не води до клинично значима индукция или инхибиция на </w:t>
      </w:r>
      <w:r w:rsidRPr="0051782B">
        <w:rPr>
          <w:rFonts w:eastAsia="Times New Roman" w:cs="Arial"/>
          <w:color w:val="000000"/>
          <w:lang w:val="en-US"/>
        </w:rPr>
        <w:t>CYP</w:t>
      </w:r>
      <w:r w:rsidRPr="0051782B">
        <w:rPr>
          <w:rFonts w:eastAsia="Times New Roman" w:cs="Arial"/>
          <w:color w:val="000000"/>
          <w:lang w:val="ru-RU"/>
        </w:rPr>
        <w:t>3</w:t>
      </w:r>
      <w:r w:rsidRPr="0051782B">
        <w:rPr>
          <w:rFonts w:eastAsia="Times New Roman" w:cs="Arial"/>
          <w:color w:val="000000"/>
          <w:lang w:val="en-US"/>
        </w:rPr>
        <w:t>A</w:t>
      </w:r>
      <w:r w:rsidRPr="0051782B">
        <w:rPr>
          <w:rFonts w:eastAsia="Times New Roman" w:cs="Arial"/>
          <w:color w:val="000000"/>
          <w:lang w:val="ru-RU"/>
        </w:rPr>
        <w:t xml:space="preserve">4 </w:t>
      </w:r>
      <w:r w:rsidRPr="0051782B">
        <w:rPr>
          <w:rFonts w:eastAsia="Times New Roman" w:cs="Arial"/>
          <w:color w:val="000000"/>
          <w:lang w:eastAsia="bg-BG"/>
        </w:rPr>
        <w:t xml:space="preserve">и следователно е малко вероятно да промени метаболизма или концентрацията на субстратите на </w:t>
      </w:r>
      <w:r w:rsidRPr="0051782B">
        <w:rPr>
          <w:rFonts w:eastAsia="Times New Roman" w:cs="Arial"/>
          <w:color w:val="000000"/>
          <w:lang w:val="en-US"/>
        </w:rPr>
        <w:t>CYP</w:t>
      </w:r>
      <w:r w:rsidRPr="0051782B">
        <w:rPr>
          <w:rFonts w:eastAsia="Times New Roman" w:cs="Arial"/>
          <w:color w:val="000000"/>
          <w:lang w:val="ru-RU"/>
        </w:rPr>
        <w:t>3</w:t>
      </w:r>
      <w:r w:rsidRPr="0051782B">
        <w:rPr>
          <w:rFonts w:eastAsia="Times New Roman" w:cs="Arial"/>
          <w:color w:val="000000"/>
          <w:lang w:val="en-US"/>
        </w:rPr>
        <w:t>A</w:t>
      </w:r>
      <w:r w:rsidRPr="0051782B">
        <w:rPr>
          <w:rFonts w:eastAsia="Times New Roman" w:cs="Arial"/>
          <w:color w:val="000000"/>
          <w:lang w:val="ru-RU"/>
        </w:rPr>
        <w:t xml:space="preserve">4 </w:t>
      </w:r>
      <w:r w:rsidRPr="0051782B">
        <w:rPr>
          <w:rFonts w:eastAsia="Times New Roman" w:cs="Arial"/>
          <w:color w:val="000000"/>
          <w:lang w:eastAsia="bg-BG"/>
        </w:rPr>
        <w:t>в плазмата. Напротив, мощните инхибитори и индуктори може значително да засегнат концентрациите на ивабрадин в плазмата (вижте точка 4.5)</w:t>
      </w:r>
    </w:p>
    <w:p w14:paraId="72A9F639" w14:textId="77777777" w:rsidR="0051782B" w:rsidRPr="0051782B" w:rsidRDefault="0051782B" w:rsidP="0051782B">
      <w:pPr>
        <w:spacing w:line="240" w:lineRule="auto"/>
        <w:rPr>
          <w:rFonts w:eastAsia="Times New Roman" w:cs="Arial"/>
          <w:color w:val="000000"/>
          <w:u w:val="single"/>
          <w:lang w:eastAsia="bg-BG"/>
        </w:rPr>
      </w:pPr>
    </w:p>
    <w:p w14:paraId="57EFE35D" w14:textId="490C29BC" w:rsidR="0051782B" w:rsidRPr="0051782B" w:rsidRDefault="0051782B" w:rsidP="0051782B">
      <w:pPr>
        <w:pStyle w:val="Heading3"/>
        <w:rPr>
          <w:rFonts w:eastAsia="Times New Roman"/>
          <w:u w:val="single"/>
        </w:rPr>
      </w:pPr>
      <w:r w:rsidRPr="0051782B">
        <w:rPr>
          <w:rFonts w:eastAsia="Times New Roman"/>
          <w:u w:val="single"/>
          <w:lang w:eastAsia="bg-BG"/>
        </w:rPr>
        <w:t>Елиминиране</w:t>
      </w:r>
    </w:p>
    <w:p w14:paraId="28F25C46"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 xml:space="preserve">Ивабрадин се елиминира с основен полуживот 2 часа (70-75% от </w:t>
      </w:r>
      <w:r w:rsidRPr="0051782B">
        <w:rPr>
          <w:rFonts w:eastAsia="Times New Roman" w:cs="Arial"/>
          <w:color w:val="000000"/>
          <w:lang w:val="en-US"/>
        </w:rPr>
        <w:t>AUC</w:t>
      </w:r>
      <w:r w:rsidRPr="0051782B">
        <w:rPr>
          <w:rFonts w:eastAsia="Times New Roman" w:cs="Arial"/>
          <w:color w:val="000000"/>
          <w:lang w:val="ru-RU"/>
        </w:rPr>
        <w:t xml:space="preserve">) </w:t>
      </w:r>
      <w:r w:rsidRPr="0051782B">
        <w:rPr>
          <w:rFonts w:eastAsia="Times New Roman" w:cs="Arial"/>
          <w:color w:val="000000"/>
          <w:lang w:eastAsia="bg-BG"/>
        </w:rPr>
        <w:t xml:space="preserve">в плазмата и ефективен полуживот 11 часа. Тоталният клирънс е почти 400 </w:t>
      </w:r>
      <w:r w:rsidRPr="0051782B">
        <w:rPr>
          <w:rFonts w:eastAsia="Times New Roman" w:cs="Arial"/>
          <w:color w:val="000000"/>
          <w:lang w:val="en-US"/>
        </w:rPr>
        <w:t>ml</w:t>
      </w:r>
      <w:r w:rsidRPr="0051782B">
        <w:rPr>
          <w:rFonts w:eastAsia="Times New Roman" w:cs="Arial"/>
          <w:color w:val="000000"/>
        </w:rPr>
        <w:t>/</w:t>
      </w:r>
      <w:r w:rsidRPr="0051782B">
        <w:rPr>
          <w:rFonts w:eastAsia="Times New Roman" w:cs="Arial"/>
          <w:color w:val="000000"/>
          <w:lang w:val="en-US"/>
        </w:rPr>
        <w:t>min</w:t>
      </w:r>
      <w:r w:rsidRPr="0051782B">
        <w:rPr>
          <w:rFonts w:eastAsia="Times New Roman" w:cs="Arial"/>
          <w:color w:val="000000"/>
        </w:rPr>
        <w:t xml:space="preserve">, </w:t>
      </w:r>
      <w:r w:rsidRPr="0051782B">
        <w:rPr>
          <w:rFonts w:eastAsia="Times New Roman" w:cs="Arial"/>
          <w:color w:val="000000"/>
          <w:lang w:eastAsia="bg-BG"/>
        </w:rPr>
        <w:t xml:space="preserve">а бъбречният клирънс е около 70 </w:t>
      </w:r>
      <w:r w:rsidRPr="0051782B">
        <w:rPr>
          <w:rFonts w:eastAsia="Times New Roman" w:cs="Arial"/>
          <w:color w:val="000000"/>
          <w:lang w:val="en-US"/>
        </w:rPr>
        <w:t>ml</w:t>
      </w:r>
      <w:r w:rsidRPr="0051782B">
        <w:rPr>
          <w:rFonts w:eastAsia="Times New Roman" w:cs="Arial"/>
          <w:color w:val="000000"/>
        </w:rPr>
        <w:t>/</w:t>
      </w:r>
      <w:r w:rsidRPr="0051782B">
        <w:rPr>
          <w:rFonts w:eastAsia="Times New Roman" w:cs="Arial"/>
          <w:color w:val="000000"/>
          <w:lang w:val="en-US"/>
        </w:rPr>
        <w:t>min</w:t>
      </w:r>
      <w:r w:rsidRPr="0051782B">
        <w:rPr>
          <w:rFonts w:eastAsia="Times New Roman" w:cs="Arial"/>
          <w:color w:val="000000"/>
        </w:rPr>
        <w:t xml:space="preserve">. </w:t>
      </w:r>
      <w:r w:rsidRPr="0051782B">
        <w:rPr>
          <w:rFonts w:eastAsia="Times New Roman" w:cs="Arial"/>
          <w:color w:val="000000"/>
          <w:lang w:eastAsia="bg-BG"/>
        </w:rPr>
        <w:t>Екскрецията на метаболитите се осъществява в сходна степен чрез изпражненията и урината. Около 4% от пероралната доза се екскретира в непроменен вид в урината</w:t>
      </w:r>
    </w:p>
    <w:p w14:paraId="2EA93A53" w14:textId="77777777" w:rsidR="0051782B" w:rsidRPr="0051782B" w:rsidRDefault="0051782B" w:rsidP="0051782B">
      <w:pPr>
        <w:spacing w:line="240" w:lineRule="auto"/>
        <w:rPr>
          <w:rFonts w:eastAsia="Times New Roman" w:cs="Arial"/>
          <w:color w:val="000000"/>
          <w:u w:val="single"/>
          <w:lang w:eastAsia="bg-BG"/>
        </w:rPr>
      </w:pPr>
    </w:p>
    <w:p w14:paraId="74CABC13" w14:textId="7D57DC3E" w:rsidR="0051782B" w:rsidRPr="0051782B" w:rsidRDefault="0051782B" w:rsidP="0051782B">
      <w:pPr>
        <w:spacing w:line="240" w:lineRule="auto"/>
        <w:rPr>
          <w:rFonts w:eastAsia="Times New Roman" w:cs="Arial"/>
          <w:sz w:val="24"/>
          <w:szCs w:val="24"/>
        </w:rPr>
      </w:pPr>
      <w:r w:rsidRPr="0051782B">
        <w:rPr>
          <w:rFonts w:eastAsia="Times New Roman" w:cs="Arial"/>
          <w:color w:val="000000"/>
          <w:u w:val="single"/>
          <w:lang w:eastAsia="bg-BG"/>
        </w:rPr>
        <w:t>Линейност/нелинейност</w:t>
      </w:r>
    </w:p>
    <w:p w14:paraId="209E0C28"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lastRenderedPageBreak/>
        <w:t xml:space="preserve">Кинетиката на ивабрадин има линеен характер в диапазона на перорално дозиране 0,5 - 24 </w:t>
      </w:r>
      <w:r w:rsidRPr="0051782B">
        <w:rPr>
          <w:rFonts w:eastAsia="Times New Roman" w:cs="Arial"/>
          <w:color w:val="000000"/>
          <w:lang w:val="en-US"/>
        </w:rPr>
        <w:t>mg</w:t>
      </w:r>
      <w:r w:rsidRPr="0051782B">
        <w:rPr>
          <w:rFonts w:eastAsia="Times New Roman" w:cs="Arial"/>
          <w:color w:val="000000"/>
          <w:lang w:val="ru-RU"/>
        </w:rPr>
        <w:t>.</w:t>
      </w:r>
    </w:p>
    <w:p w14:paraId="0A14918A" w14:textId="77777777" w:rsidR="0051782B" w:rsidRPr="0051782B" w:rsidRDefault="0051782B" w:rsidP="0051782B">
      <w:pPr>
        <w:spacing w:line="240" w:lineRule="auto"/>
        <w:rPr>
          <w:rFonts w:eastAsia="Times New Roman" w:cs="Arial"/>
          <w:color w:val="000000"/>
          <w:u w:val="single"/>
          <w:lang w:eastAsia="bg-BG"/>
        </w:rPr>
      </w:pPr>
    </w:p>
    <w:p w14:paraId="6A4519B2" w14:textId="2D2F491C" w:rsidR="0051782B" w:rsidRPr="0051782B" w:rsidRDefault="0051782B" w:rsidP="0051782B">
      <w:pPr>
        <w:spacing w:line="240" w:lineRule="auto"/>
        <w:rPr>
          <w:rFonts w:eastAsia="Times New Roman" w:cs="Arial"/>
          <w:sz w:val="24"/>
          <w:szCs w:val="24"/>
        </w:rPr>
      </w:pPr>
      <w:r w:rsidRPr="0051782B">
        <w:rPr>
          <w:rFonts w:eastAsia="Times New Roman" w:cs="Arial"/>
          <w:color w:val="000000"/>
          <w:u w:val="single"/>
          <w:lang w:eastAsia="bg-BG"/>
        </w:rPr>
        <w:t>Специални популации</w:t>
      </w:r>
    </w:p>
    <w:p w14:paraId="62289AB2" w14:textId="77777777" w:rsidR="0051782B" w:rsidRPr="0051782B" w:rsidRDefault="0051782B" w:rsidP="0051782B">
      <w:pPr>
        <w:pStyle w:val="ListParagraph"/>
        <w:numPr>
          <w:ilvl w:val="0"/>
          <w:numId w:val="2"/>
        </w:numPr>
        <w:spacing w:line="240" w:lineRule="auto"/>
        <w:rPr>
          <w:rFonts w:eastAsia="Times New Roman" w:cs="Arial"/>
          <w:sz w:val="24"/>
          <w:szCs w:val="24"/>
        </w:rPr>
      </w:pPr>
      <w:r w:rsidRPr="0051782B">
        <w:rPr>
          <w:rFonts w:eastAsia="Times New Roman" w:cs="Arial"/>
          <w:color w:val="000000"/>
          <w:lang w:eastAsia="bg-BG"/>
        </w:rPr>
        <w:t xml:space="preserve">Старческа възраст: не са наблюдавани фармакокинетични разлики </w:t>
      </w:r>
      <w:r w:rsidRPr="0051782B">
        <w:rPr>
          <w:rFonts w:eastAsia="Times New Roman" w:cs="Arial"/>
          <w:color w:val="000000"/>
          <w:lang w:val="ru-RU"/>
        </w:rPr>
        <w:t>(</w:t>
      </w:r>
      <w:r w:rsidRPr="0051782B">
        <w:rPr>
          <w:rFonts w:eastAsia="Times New Roman" w:cs="Arial"/>
          <w:color w:val="000000"/>
          <w:lang w:val="en-US"/>
        </w:rPr>
        <w:t>AUC</w:t>
      </w:r>
      <w:r w:rsidRPr="0051782B">
        <w:rPr>
          <w:rFonts w:eastAsia="Times New Roman" w:cs="Arial"/>
          <w:color w:val="000000"/>
          <w:lang w:val="ru-RU"/>
        </w:rPr>
        <w:t xml:space="preserve"> </w:t>
      </w:r>
      <w:r w:rsidRPr="0051782B">
        <w:rPr>
          <w:rFonts w:eastAsia="Times New Roman" w:cs="Arial"/>
          <w:color w:val="000000"/>
          <w:lang w:eastAsia="bg-BG"/>
        </w:rPr>
        <w:t>и С</w:t>
      </w:r>
      <w:r w:rsidRPr="0051782B">
        <w:rPr>
          <w:rFonts w:eastAsia="Times New Roman" w:cs="Arial"/>
          <w:color w:val="000000"/>
          <w:lang w:val="en-US"/>
        </w:rPr>
        <w:t>max</w:t>
      </w:r>
      <w:r w:rsidRPr="0051782B">
        <w:rPr>
          <w:rFonts w:eastAsia="Times New Roman" w:cs="Arial"/>
          <w:color w:val="000000"/>
          <w:lang w:eastAsia="bg-BG"/>
        </w:rPr>
        <w:t>) между пациенти в старческа възраст (&gt; 65 години) или пациенти в напреднала възраст (≥ 75 години) и общата популация, (вижте, точка 4.2).</w:t>
      </w:r>
    </w:p>
    <w:p w14:paraId="04548B81" w14:textId="77777777" w:rsidR="0051782B" w:rsidRPr="0051782B" w:rsidRDefault="0051782B" w:rsidP="0051782B">
      <w:pPr>
        <w:pStyle w:val="ListParagraph"/>
        <w:numPr>
          <w:ilvl w:val="0"/>
          <w:numId w:val="2"/>
        </w:numPr>
        <w:spacing w:line="240" w:lineRule="auto"/>
        <w:rPr>
          <w:rFonts w:eastAsia="Times New Roman" w:cs="Arial"/>
          <w:sz w:val="24"/>
          <w:szCs w:val="24"/>
        </w:rPr>
      </w:pPr>
      <w:r w:rsidRPr="0051782B">
        <w:rPr>
          <w:rFonts w:eastAsia="Times New Roman" w:cs="Arial"/>
          <w:color w:val="000000"/>
          <w:lang w:eastAsia="bg-BG"/>
        </w:rPr>
        <w:t xml:space="preserve">Увреждане на бъбреците: Влиянието на бъбречната недостатъчност (креатининов клирънс от 15 до 60 </w:t>
      </w:r>
      <w:r w:rsidRPr="0051782B">
        <w:rPr>
          <w:rFonts w:eastAsia="Times New Roman" w:cs="Arial"/>
          <w:color w:val="000000"/>
          <w:lang w:val="en-US"/>
        </w:rPr>
        <w:t>ml</w:t>
      </w:r>
      <w:r w:rsidRPr="0051782B">
        <w:rPr>
          <w:rFonts w:eastAsia="Times New Roman" w:cs="Arial"/>
          <w:color w:val="000000"/>
          <w:lang w:val="ru-RU"/>
        </w:rPr>
        <w:t>/</w:t>
      </w:r>
      <w:r w:rsidRPr="0051782B">
        <w:rPr>
          <w:rFonts w:eastAsia="Times New Roman" w:cs="Arial"/>
          <w:color w:val="000000"/>
          <w:lang w:val="en-US"/>
        </w:rPr>
        <w:t>min</w:t>
      </w:r>
      <w:r w:rsidRPr="0051782B">
        <w:rPr>
          <w:rFonts w:eastAsia="Times New Roman" w:cs="Arial"/>
          <w:color w:val="000000"/>
          <w:lang w:val="ru-RU"/>
        </w:rPr>
        <w:t xml:space="preserve">) </w:t>
      </w:r>
      <w:r w:rsidRPr="0051782B">
        <w:rPr>
          <w:rFonts w:eastAsia="Times New Roman" w:cs="Arial"/>
          <w:color w:val="000000"/>
          <w:lang w:eastAsia="bg-BG"/>
        </w:rPr>
        <w:t xml:space="preserve">върху фармакокинетиката на ивабрадин е минимално във връзка с ниския принос на бъбречния клирънс (около 20%) към общата елиминация както на ивабрадин, така и на главния му метаболит </w:t>
      </w:r>
      <w:r w:rsidRPr="0051782B">
        <w:rPr>
          <w:rFonts w:eastAsia="Times New Roman" w:cs="Arial"/>
          <w:color w:val="000000"/>
          <w:lang w:val="en-US"/>
        </w:rPr>
        <w:t>S</w:t>
      </w:r>
      <w:r w:rsidRPr="0051782B">
        <w:rPr>
          <w:rFonts w:eastAsia="Times New Roman" w:cs="Arial"/>
          <w:color w:val="000000"/>
          <w:lang w:val="ru-RU"/>
        </w:rPr>
        <w:t xml:space="preserve"> </w:t>
      </w:r>
      <w:r w:rsidRPr="0051782B">
        <w:rPr>
          <w:rFonts w:eastAsia="Times New Roman" w:cs="Arial"/>
          <w:color w:val="000000"/>
          <w:lang w:eastAsia="bg-BG"/>
        </w:rPr>
        <w:t>18982 (вижте точка 4.2).</w:t>
      </w:r>
    </w:p>
    <w:p w14:paraId="5FD73DE6" w14:textId="77777777" w:rsidR="0051782B" w:rsidRPr="0051782B" w:rsidRDefault="0051782B" w:rsidP="0051782B">
      <w:pPr>
        <w:pStyle w:val="ListParagraph"/>
        <w:numPr>
          <w:ilvl w:val="0"/>
          <w:numId w:val="2"/>
        </w:numPr>
        <w:spacing w:line="240" w:lineRule="auto"/>
        <w:rPr>
          <w:rFonts w:eastAsia="Times New Roman" w:cs="Arial"/>
          <w:sz w:val="24"/>
          <w:szCs w:val="24"/>
        </w:rPr>
      </w:pPr>
      <w:r w:rsidRPr="0051782B">
        <w:rPr>
          <w:rFonts w:eastAsia="Times New Roman" w:cs="Arial"/>
          <w:color w:val="000000"/>
          <w:lang w:eastAsia="bg-BG"/>
        </w:rPr>
        <w:t xml:space="preserve">Увреждане на черния дроб: при пациенти с увреждане на черния дроб в лека степен </w:t>
      </w:r>
      <w:r w:rsidRPr="0051782B">
        <w:rPr>
          <w:rFonts w:eastAsia="Times New Roman" w:cs="Arial"/>
          <w:color w:val="000000"/>
          <w:lang w:val="ru-RU"/>
        </w:rPr>
        <w:t>(</w:t>
      </w:r>
      <w:r w:rsidRPr="0051782B">
        <w:rPr>
          <w:rFonts w:eastAsia="Times New Roman" w:cs="Arial"/>
          <w:color w:val="000000"/>
          <w:lang w:val="en-US"/>
        </w:rPr>
        <w:t>Child</w:t>
      </w:r>
      <w:r w:rsidRPr="0051782B">
        <w:rPr>
          <w:rFonts w:eastAsia="Times New Roman" w:cs="Arial"/>
          <w:color w:val="000000"/>
          <w:lang w:val="ru-RU"/>
        </w:rPr>
        <w:t xml:space="preserve"> </w:t>
      </w:r>
      <w:r w:rsidRPr="0051782B">
        <w:rPr>
          <w:rFonts w:eastAsia="Times New Roman" w:cs="Arial"/>
          <w:color w:val="000000"/>
          <w:lang w:val="en-US"/>
        </w:rPr>
        <w:t>Pugh</w:t>
      </w:r>
      <w:r w:rsidRPr="0051782B">
        <w:rPr>
          <w:rFonts w:eastAsia="Times New Roman" w:cs="Arial"/>
          <w:color w:val="000000"/>
          <w:lang w:val="ru-RU"/>
        </w:rPr>
        <w:t xml:space="preserve"> </w:t>
      </w:r>
      <w:r w:rsidRPr="0051782B">
        <w:rPr>
          <w:rFonts w:eastAsia="Times New Roman" w:cs="Arial"/>
          <w:color w:val="000000"/>
          <w:lang w:eastAsia="bg-BG"/>
        </w:rPr>
        <w:t xml:space="preserve">сстойност до 7) </w:t>
      </w:r>
      <w:r w:rsidRPr="0051782B">
        <w:rPr>
          <w:rFonts w:eastAsia="Times New Roman" w:cs="Arial"/>
          <w:color w:val="000000"/>
          <w:lang w:val="en-US"/>
        </w:rPr>
        <w:t>AUC</w:t>
      </w:r>
      <w:r w:rsidRPr="0051782B">
        <w:rPr>
          <w:rFonts w:eastAsia="Times New Roman" w:cs="Arial"/>
          <w:color w:val="000000"/>
          <w:lang w:val="ru-RU"/>
        </w:rPr>
        <w:t xml:space="preserve"> </w:t>
      </w:r>
      <w:r w:rsidRPr="0051782B">
        <w:rPr>
          <w:rFonts w:eastAsia="Times New Roman" w:cs="Arial"/>
          <w:color w:val="000000"/>
          <w:lang w:eastAsia="bg-BG"/>
        </w:rPr>
        <w:t>на несвързания ивабрадин и главния активен метаболит са с около 20% по-високи, отколкото при лица с нормална функция на черния дроб. Данните са недостатъчни, за да се направят изводи при пациенти с увреждане на черния дроб в умерена степен. Липсват данни при пациенти с увреждане на черния дроб в тежка степен (вижте точки 4.2 и 4.3).</w:t>
      </w:r>
    </w:p>
    <w:p w14:paraId="269DA9D7" w14:textId="3E550CC2" w:rsidR="0051782B" w:rsidRPr="0051782B" w:rsidRDefault="0051782B" w:rsidP="0051782B">
      <w:pPr>
        <w:pStyle w:val="ListParagraph"/>
        <w:numPr>
          <w:ilvl w:val="0"/>
          <w:numId w:val="2"/>
        </w:numPr>
        <w:spacing w:line="240" w:lineRule="auto"/>
        <w:rPr>
          <w:rFonts w:eastAsia="Times New Roman" w:cs="Arial"/>
          <w:sz w:val="24"/>
          <w:szCs w:val="24"/>
        </w:rPr>
      </w:pPr>
      <w:r w:rsidRPr="0051782B">
        <w:rPr>
          <w:rFonts w:eastAsia="Times New Roman" w:cs="Arial"/>
          <w:color w:val="000000"/>
          <w:lang w:eastAsia="bg-BG"/>
        </w:rPr>
        <w:t>Педиатрична популация: Фармакокинетичният профил на ивабрадин при педиатричните пациенти с хронична сърдечна недостатъчност на възраст от 6 месеца до по-малко от 18 години е подобен на фармакокинетиката, описана при възрастни, когато се прилага схема за титриране на дозата, базирана от възраст и тегло.</w:t>
      </w:r>
    </w:p>
    <w:p w14:paraId="2F73A2AC" w14:textId="77777777" w:rsidR="0051782B" w:rsidRPr="0051782B" w:rsidRDefault="0051782B" w:rsidP="0051782B">
      <w:pPr>
        <w:spacing w:line="240" w:lineRule="auto"/>
        <w:rPr>
          <w:rFonts w:eastAsia="Times New Roman" w:cs="Arial"/>
          <w:color w:val="000000"/>
          <w:u w:val="single"/>
          <w:lang w:eastAsia="bg-BG"/>
        </w:rPr>
      </w:pPr>
    </w:p>
    <w:p w14:paraId="09897407" w14:textId="5F6E8F13" w:rsidR="0051782B" w:rsidRPr="0051782B" w:rsidRDefault="0051782B" w:rsidP="0051782B">
      <w:pPr>
        <w:spacing w:line="240" w:lineRule="auto"/>
        <w:rPr>
          <w:rFonts w:eastAsia="Times New Roman" w:cs="Arial"/>
          <w:sz w:val="24"/>
          <w:szCs w:val="24"/>
        </w:rPr>
      </w:pPr>
      <w:r w:rsidRPr="0051782B">
        <w:rPr>
          <w:rFonts w:eastAsia="Times New Roman" w:cs="Arial"/>
          <w:color w:val="000000"/>
          <w:u w:val="single"/>
          <w:lang w:eastAsia="bg-BG"/>
        </w:rPr>
        <w:t>Връзка фармакокинетика/фармакодинамика (ФК/ФД)</w:t>
      </w:r>
    </w:p>
    <w:p w14:paraId="7DD41D46" w14:textId="194D1001" w:rsidR="0051782B" w:rsidRPr="0051782B" w:rsidRDefault="0051782B" w:rsidP="0051782B">
      <w:pPr>
        <w:spacing w:line="240" w:lineRule="auto"/>
        <w:rPr>
          <w:rFonts w:eastAsia="Times New Roman" w:cs="Arial"/>
          <w:color w:val="000000"/>
          <w:lang w:eastAsia="bg-BG"/>
        </w:rPr>
      </w:pPr>
      <w:r w:rsidRPr="0051782B">
        <w:rPr>
          <w:rFonts w:eastAsia="Times New Roman" w:cs="Arial"/>
          <w:color w:val="000000"/>
          <w:lang w:eastAsia="bg-BG"/>
        </w:rPr>
        <w:t xml:space="preserve">Анализът на отношението ФК/ФД показва, че сърдечната честота намалява почти линейно с нарастване на концентрациите на ивабрадин и </w:t>
      </w:r>
      <w:r w:rsidRPr="0051782B">
        <w:rPr>
          <w:rFonts w:eastAsia="Times New Roman" w:cs="Arial"/>
          <w:color w:val="000000"/>
          <w:lang w:val="en-US"/>
        </w:rPr>
        <w:t>S</w:t>
      </w:r>
      <w:r w:rsidRPr="0051782B">
        <w:rPr>
          <w:rFonts w:eastAsia="Times New Roman" w:cs="Arial"/>
          <w:color w:val="000000"/>
          <w:lang w:val="ru-RU"/>
        </w:rPr>
        <w:t xml:space="preserve"> </w:t>
      </w:r>
      <w:r w:rsidRPr="0051782B">
        <w:rPr>
          <w:rFonts w:eastAsia="Times New Roman" w:cs="Arial"/>
          <w:color w:val="000000"/>
          <w:lang w:eastAsia="bg-BG"/>
        </w:rPr>
        <w:t xml:space="preserve">18982 в плазмата за дози до 15-20 </w:t>
      </w:r>
      <w:r w:rsidRPr="0051782B">
        <w:rPr>
          <w:rFonts w:eastAsia="Times New Roman" w:cs="Arial"/>
          <w:color w:val="000000"/>
          <w:lang w:val="en-US"/>
        </w:rPr>
        <w:t>mg</w:t>
      </w:r>
      <w:r w:rsidRPr="0051782B">
        <w:rPr>
          <w:rFonts w:eastAsia="Times New Roman" w:cs="Arial"/>
          <w:color w:val="000000"/>
          <w:lang w:val="ru-RU"/>
        </w:rPr>
        <w:t xml:space="preserve"> </w:t>
      </w:r>
      <w:r w:rsidRPr="0051782B">
        <w:rPr>
          <w:rFonts w:eastAsia="Times New Roman" w:cs="Arial"/>
          <w:color w:val="000000"/>
          <w:lang w:eastAsia="bg-BG"/>
        </w:rPr>
        <w:t>два пъти дневно. При по-високи дози понижението на сърдечната честота вече не е пропорционално на концентрациите на ивабрадин в плазмата и показва тенденция към достигане на плато. Високите експозиции на ивабрадин, които може да наст</w:t>
      </w:r>
      <w:r w:rsidRPr="0051782B">
        <w:rPr>
          <w:rFonts w:eastAsia="Times New Roman" w:cs="Arial"/>
          <w:color w:val="000000"/>
          <w:u w:val="single"/>
          <w:lang w:eastAsia="bg-BG"/>
        </w:rPr>
        <w:t>ъпят,, к</w:t>
      </w:r>
      <w:r w:rsidRPr="0051782B">
        <w:rPr>
          <w:rFonts w:eastAsia="Times New Roman" w:cs="Arial"/>
          <w:color w:val="000000"/>
          <w:lang w:eastAsia="bg-BG"/>
        </w:rPr>
        <w:t xml:space="preserve">огато ивабрадин се приложи в комбинация със силни </w:t>
      </w:r>
      <w:r w:rsidRPr="0051782B">
        <w:rPr>
          <w:rFonts w:eastAsia="Times New Roman" w:cs="Arial"/>
          <w:color w:val="000000"/>
          <w:lang w:val="en-US"/>
        </w:rPr>
        <w:t>CYP</w:t>
      </w:r>
      <w:r w:rsidRPr="0051782B">
        <w:rPr>
          <w:rFonts w:eastAsia="Times New Roman" w:cs="Arial"/>
          <w:color w:val="000000"/>
          <w:lang w:val="ru-RU"/>
        </w:rPr>
        <w:t>3</w:t>
      </w:r>
      <w:r w:rsidRPr="0051782B">
        <w:rPr>
          <w:rFonts w:eastAsia="Times New Roman" w:cs="Arial"/>
          <w:color w:val="000000"/>
          <w:lang w:val="en-US"/>
        </w:rPr>
        <w:t>A</w:t>
      </w:r>
      <w:r w:rsidRPr="0051782B">
        <w:rPr>
          <w:rFonts w:eastAsia="Times New Roman" w:cs="Arial"/>
          <w:color w:val="000000"/>
          <w:lang w:val="ru-RU"/>
        </w:rPr>
        <w:t xml:space="preserve">4 </w:t>
      </w:r>
      <w:r w:rsidRPr="0051782B">
        <w:rPr>
          <w:rFonts w:eastAsia="Times New Roman" w:cs="Arial"/>
          <w:color w:val="000000"/>
          <w:lang w:eastAsia="bg-BG"/>
        </w:rPr>
        <w:t>инхибитори,</w:t>
      </w:r>
      <w:r w:rsidRPr="0051782B">
        <w:rPr>
          <w:rFonts w:eastAsia="Times New Roman" w:cs="Arial"/>
          <w:color w:val="000000"/>
          <w:lang w:val="ru-RU"/>
        </w:rPr>
        <w:t xml:space="preserve"> </w:t>
      </w:r>
      <w:r w:rsidRPr="0051782B">
        <w:rPr>
          <w:rFonts w:eastAsia="Times New Roman" w:cs="Arial"/>
          <w:color w:val="000000"/>
          <w:lang w:eastAsia="bg-BG"/>
        </w:rPr>
        <w:t xml:space="preserve">мо да доведат до прекомерно понижение на сърдечната честота, въпреки че този риск намалява при умерени </w:t>
      </w:r>
      <w:r w:rsidRPr="0051782B">
        <w:rPr>
          <w:rFonts w:eastAsia="Times New Roman" w:cs="Arial"/>
          <w:color w:val="000000"/>
          <w:lang w:val="en-US"/>
        </w:rPr>
        <w:t>CYP</w:t>
      </w:r>
      <w:r w:rsidRPr="0051782B">
        <w:rPr>
          <w:rFonts w:eastAsia="Times New Roman" w:cs="Arial"/>
          <w:color w:val="000000"/>
          <w:lang w:val="ru-RU"/>
        </w:rPr>
        <w:t>3</w:t>
      </w:r>
      <w:r w:rsidRPr="0051782B">
        <w:rPr>
          <w:rFonts w:eastAsia="Times New Roman" w:cs="Arial"/>
          <w:color w:val="000000"/>
          <w:lang w:val="en-US"/>
        </w:rPr>
        <w:t>A</w:t>
      </w:r>
      <w:r w:rsidRPr="0051782B">
        <w:rPr>
          <w:rFonts w:eastAsia="Times New Roman" w:cs="Arial"/>
          <w:color w:val="000000"/>
          <w:lang w:val="ru-RU"/>
        </w:rPr>
        <w:t xml:space="preserve">4 </w:t>
      </w:r>
      <w:r w:rsidRPr="0051782B">
        <w:rPr>
          <w:rFonts w:eastAsia="Times New Roman" w:cs="Arial"/>
          <w:color w:val="000000"/>
          <w:lang w:eastAsia="bg-BG"/>
        </w:rPr>
        <w:t>инхибитори (вижте точки 4.3, 4.4 и 4.5). Връзката ФК/ФД на ивабрадин при педиатричните пациенти с хронична сърдечна недостатъчност на възраст от 6 месеца до по-малко от 18 години е подобна на връзката ФК/ФД, описана при възрастни.</w:t>
      </w:r>
    </w:p>
    <w:p w14:paraId="3C6BA9B1" w14:textId="77777777" w:rsidR="0051782B" w:rsidRPr="0051782B" w:rsidRDefault="0051782B" w:rsidP="0051782B">
      <w:pPr>
        <w:spacing w:line="240" w:lineRule="auto"/>
        <w:rPr>
          <w:rFonts w:ascii="Times New Roman" w:eastAsia="Times New Roman" w:hAnsi="Times New Roman" w:cs="Times New Roman"/>
          <w:sz w:val="24"/>
          <w:szCs w:val="24"/>
        </w:rPr>
      </w:pPr>
    </w:p>
    <w:p w14:paraId="4FB791BE" w14:textId="2A93E465" w:rsidR="00B6672E" w:rsidRDefault="002C50EE" w:rsidP="00936AD0">
      <w:pPr>
        <w:pStyle w:val="Heading2"/>
      </w:pPr>
      <w:r>
        <w:t>5.3. Предклинични данни за безопасност</w:t>
      </w:r>
    </w:p>
    <w:p w14:paraId="06ADC97E" w14:textId="54178F3C" w:rsidR="0051782B" w:rsidRDefault="0051782B" w:rsidP="0051782B"/>
    <w:p w14:paraId="53D0ED15"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Неклиничните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приложение, генотоксичност, карциногенен потенциал. Проучванията за репродуктивна токсичност са показали липса на ефект на ивабрадин върху фертилитета при мъжки и женски плъхове. Когато бременни животни са третирани по време на органогенезата с експозиции, близки до терапевтичните дози е наблюдавана по-висока честота на фетуси със сърдечни дефекти при плъхове и малък брой фетуси с ектродактилия при зайци.</w:t>
      </w:r>
    </w:p>
    <w:p w14:paraId="112432EC"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 xml:space="preserve">При кучета, на които е даван ивабрадин (дози от 2, 7 или 24 </w:t>
      </w:r>
      <w:r w:rsidRPr="0051782B">
        <w:rPr>
          <w:rFonts w:eastAsia="Times New Roman" w:cs="Arial"/>
          <w:color w:val="000000"/>
          <w:lang w:val="en-US"/>
        </w:rPr>
        <w:t>mg</w:t>
      </w:r>
      <w:r w:rsidRPr="0051782B">
        <w:rPr>
          <w:rFonts w:eastAsia="Times New Roman" w:cs="Arial"/>
          <w:color w:val="000000"/>
          <w:lang w:val="ru-RU"/>
        </w:rPr>
        <w:t>/</w:t>
      </w:r>
      <w:r w:rsidRPr="0051782B">
        <w:rPr>
          <w:rFonts w:eastAsia="Times New Roman" w:cs="Arial"/>
          <w:color w:val="000000"/>
          <w:lang w:val="en-US"/>
        </w:rPr>
        <w:t>kg</w:t>
      </w:r>
      <w:r w:rsidRPr="0051782B">
        <w:rPr>
          <w:rFonts w:eastAsia="Times New Roman" w:cs="Arial"/>
          <w:color w:val="000000"/>
          <w:lang w:eastAsia="bg-BG"/>
        </w:rPr>
        <w:t xml:space="preserve">/ден) за една година, са наблюдавани обратими промени на функцията на ретината, но те не са свързани с увреждане на очните структури. Тези данни съответстват на фармакологичния ефект на </w:t>
      </w:r>
      <w:r w:rsidRPr="0051782B">
        <w:rPr>
          <w:rFonts w:eastAsia="Times New Roman" w:cs="Arial"/>
          <w:color w:val="000000"/>
          <w:lang w:eastAsia="bg-BG"/>
        </w:rPr>
        <w:lastRenderedPageBreak/>
        <w:t xml:space="preserve">ивабрадин, свързан с взаимодействието му с хиперполяризационно-активираните </w:t>
      </w:r>
      <w:proofErr w:type="spellStart"/>
      <w:r w:rsidRPr="0051782B">
        <w:rPr>
          <w:rFonts w:eastAsia="Times New Roman" w:cs="Arial"/>
          <w:color w:val="000000"/>
          <w:lang w:val="en-US"/>
        </w:rPr>
        <w:t>I</w:t>
      </w:r>
      <w:r w:rsidRPr="0051782B">
        <w:rPr>
          <w:rFonts w:eastAsia="Times New Roman" w:cs="Arial"/>
          <w:color w:val="000000"/>
          <w:vertAlign w:val="subscript"/>
          <w:lang w:val="en-US"/>
        </w:rPr>
        <w:t>h</w:t>
      </w:r>
      <w:proofErr w:type="spellEnd"/>
      <w:r w:rsidRPr="0051782B">
        <w:rPr>
          <w:rFonts w:eastAsia="Times New Roman" w:cs="Arial"/>
          <w:color w:val="000000"/>
          <w:lang w:val="ru-RU"/>
        </w:rPr>
        <w:t xml:space="preserve"> </w:t>
      </w:r>
      <w:r w:rsidRPr="0051782B">
        <w:rPr>
          <w:rFonts w:eastAsia="Times New Roman" w:cs="Arial"/>
          <w:color w:val="000000"/>
          <w:lang w:eastAsia="bg-BG"/>
        </w:rPr>
        <w:t xml:space="preserve">токове в ретината, които са много сходни </w:t>
      </w:r>
      <w:r w:rsidRPr="0051782B">
        <w:rPr>
          <w:rFonts w:eastAsia="Times New Roman" w:cs="Arial"/>
          <w:color w:val="000000"/>
          <w:lang w:val="en-US"/>
        </w:rPr>
        <w:t>c</w:t>
      </w:r>
      <w:r w:rsidRPr="0051782B">
        <w:rPr>
          <w:rFonts w:eastAsia="Times New Roman" w:cs="Arial"/>
          <w:color w:val="000000"/>
          <w:lang w:val="ru-RU"/>
        </w:rPr>
        <w:t xml:space="preserve"> </w:t>
      </w:r>
      <w:r w:rsidRPr="0051782B">
        <w:rPr>
          <w:rFonts w:eastAsia="Times New Roman" w:cs="Arial"/>
          <w:color w:val="000000"/>
          <w:lang w:val="en-US"/>
        </w:rPr>
        <w:t>I</w:t>
      </w:r>
      <w:r w:rsidRPr="0051782B">
        <w:rPr>
          <w:rFonts w:eastAsia="Times New Roman" w:cs="Arial"/>
          <w:color w:val="000000"/>
          <w:vertAlign w:val="subscript"/>
          <w:lang w:val="en-US"/>
        </w:rPr>
        <w:t>f</w:t>
      </w:r>
      <w:r w:rsidRPr="0051782B">
        <w:rPr>
          <w:rFonts w:eastAsia="Times New Roman" w:cs="Arial"/>
          <w:color w:val="000000"/>
          <w:lang w:val="ru-RU"/>
        </w:rPr>
        <w:t xml:space="preserve"> </w:t>
      </w:r>
      <w:r w:rsidRPr="0051782B">
        <w:rPr>
          <w:rFonts w:eastAsia="Times New Roman" w:cs="Arial"/>
          <w:color w:val="000000"/>
          <w:lang w:eastAsia="bg-BG"/>
        </w:rPr>
        <w:t>тока на сърдечния пейсмейкър.</w:t>
      </w:r>
    </w:p>
    <w:p w14:paraId="34C2379D"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Други дългосрочни проучвания с многократни дози и проучвания за карциногенност не са довели до разкриване на клинично значими промени.</w:t>
      </w:r>
    </w:p>
    <w:p w14:paraId="3A2FE27D" w14:textId="77777777" w:rsidR="0051782B" w:rsidRPr="0051782B" w:rsidRDefault="0051782B" w:rsidP="0051782B">
      <w:pPr>
        <w:spacing w:line="240" w:lineRule="auto"/>
        <w:rPr>
          <w:rFonts w:eastAsia="Times New Roman" w:cs="Arial"/>
          <w:color w:val="000000"/>
          <w:u w:val="single"/>
          <w:lang w:eastAsia="bg-BG"/>
        </w:rPr>
      </w:pPr>
    </w:p>
    <w:p w14:paraId="19DC5E80" w14:textId="2C50FE13" w:rsidR="0051782B" w:rsidRPr="0051782B" w:rsidRDefault="0051782B" w:rsidP="0051782B">
      <w:pPr>
        <w:spacing w:line="240" w:lineRule="auto"/>
        <w:rPr>
          <w:rFonts w:eastAsia="Times New Roman" w:cs="Arial"/>
          <w:sz w:val="24"/>
          <w:szCs w:val="24"/>
        </w:rPr>
      </w:pPr>
      <w:r w:rsidRPr="0051782B">
        <w:rPr>
          <w:rFonts w:eastAsia="Times New Roman" w:cs="Arial"/>
          <w:color w:val="000000"/>
          <w:u w:val="single"/>
          <w:lang w:eastAsia="bg-BG"/>
        </w:rPr>
        <w:t xml:space="preserve">Оценка на риска за околната среда </w:t>
      </w:r>
      <w:r w:rsidRPr="0051782B">
        <w:rPr>
          <w:rFonts w:eastAsia="Times New Roman" w:cs="Arial"/>
          <w:color w:val="000000"/>
          <w:u w:val="single"/>
          <w:lang w:val="ru-RU"/>
        </w:rPr>
        <w:t>(</w:t>
      </w:r>
      <w:r w:rsidRPr="0051782B">
        <w:rPr>
          <w:rFonts w:eastAsia="Times New Roman" w:cs="Arial"/>
          <w:color w:val="000000"/>
          <w:u w:val="single"/>
          <w:lang w:val="en-US"/>
        </w:rPr>
        <w:t>ERA</w:t>
      </w:r>
      <w:r w:rsidRPr="0051782B">
        <w:rPr>
          <w:rFonts w:eastAsia="Times New Roman" w:cs="Arial"/>
          <w:color w:val="000000"/>
          <w:u w:val="single"/>
          <w:lang w:val="ru-RU"/>
        </w:rPr>
        <w:t>)</w:t>
      </w:r>
    </w:p>
    <w:p w14:paraId="36220D85"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 xml:space="preserve">Оценката на риска за околната среда от ивабрадин е проведена в съответствие с европейското ръководство за </w:t>
      </w:r>
      <w:r w:rsidRPr="0051782B">
        <w:rPr>
          <w:rFonts w:eastAsia="Times New Roman" w:cs="Arial"/>
          <w:color w:val="000000"/>
          <w:lang w:val="en-US"/>
        </w:rPr>
        <w:t>ERA</w:t>
      </w:r>
      <w:r w:rsidRPr="0051782B">
        <w:rPr>
          <w:rFonts w:eastAsia="Times New Roman" w:cs="Arial"/>
          <w:color w:val="000000"/>
          <w:lang w:val="ru-RU"/>
        </w:rPr>
        <w:t>.</w:t>
      </w:r>
    </w:p>
    <w:p w14:paraId="536D89EC" w14:textId="77777777" w:rsidR="0051782B" w:rsidRPr="0051782B" w:rsidRDefault="0051782B" w:rsidP="0051782B">
      <w:pPr>
        <w:spacing w:line="240" w:lineRule="auto"/>
        <w:rPr>
          <w:rFonts w:eastAsia="Times New Roman" w:cs="Arial"/>
          <w:sz w:val="24"/>
          <w:szCs w:val="24"/>
        </w:rPr>
      </w:pPr>
      <w:r w:rsidRPr="0051782B">
        <w:rPr>
          <w:rFonts w:eastAsia="Times New Roman" w:cs="Arial"/>
          <w:color w:val="000000"/>
          <w:lang w:eastAsia="bg-BG"/>
        </w:rPr>
        <w:t>Резултатите от тези проучвания подкрепят липсата на риск за околната среда от ивабрадин и ивабрадин не представлява заплаха за околната среда.</w:t>
      </w:r>
    </w:p>
    <w:p w14:paraId="26DECDEF" w14:textId="77777777" w:rsidR="0051782B" w:rsidRPr="0051782B" w:rsidRDefault="0051782B" w:rsidP="0051782B"/>
    <w:p w14:paraId="1BA6531D" w14:textId="4BAA67F1" w:rsidR="00B6672E" w:rsidRDefault="002C50EE" w:rsidP="00936AD0">
      <w:pPr>
        <w:pStyle w:val="Heading1"/>
      </w:pPr>
      <w:r>
        <w:t>7. ПРИТЕЖАТЕЛ НА РАЗРЕШЕНИЕТО ЗА УПОТРЕБА</w:t>
      </w:r>
    </w:p>
    <w:p w14:paraId="63626995" w14:textId="51795B95" w:rsidR="0051782B" w:rsidRDefault="0051782B" w:rsidP="0051782B"/>
    <w:p w14:paraId="33DEBF83" w14:textId="77777777" w:rsidR="0051782B" w:rsidRPr="0051782B" w:rsidRDefault="0051782B" w:rsidP="0051782B">
      <w:pPr>
        <w:rPr>
          <w:sz w:val="24"/>
          <w:szCs w:val="24"/>
          <w:lang w:val="en-US"/>
        </w:rPr>
      </w:pPr>
      <w:r w:rsidRPr="0051782B">
        <w:rPr>
          <w:lang w:val="en-US"/>
        </w:rPr>
        <w:t>Mylan Pharmaceuticals Limited</w:t>
      </w:r>
    </w:p>
    <w:p w14:paraId="0365D01F" w14:textId="77777777" w:rsidR="0051782B" w:rsidRPr="0051782B" w:rsidRDefault="0051782B" w:rsidP="0051782B">
      <w:pPr>
        <w:rPr>
          <w:sz w:val="24"/>
          <w:szCs w:val="24"/>
          <w:lang w:val="en-US"/>
        </w:rPr>
      </w:pPr>
      <w:proofErr w:type="spellStart"/>
      <w:r w:rsidRPr="0051782B">
        <w:rPr>
          <w:lang w:val="en-US"/>
        </w:rPr>
        <w:t>Damastown</w:t>
      </w:r>
      <w:proofErr w:type="spellEnd"/>
      <w:r w:rsidRPr="0051782B">
        <w:rPr>
          <w:lang w:val="en-US"/>
        </w:rPr>
        <w:t xml:space="preserve"> Industrial Park</w:t>
      </w:r>
    </w:p>
    <w:p w14:paraId="73EDEC55" w14:textId="77777777" w:rsidR="0051782B" w:rsidRPr="0051782B" w:rsidRDefault="0051782B" w:rsidP="0051782B">
      <w:pPr>
        <w:rPr>
          <w:sz w:val="24"/>
          <w:szCs w:val="24"/>
          <w:lang w:val="ru-RU"/>
        </w:rPr>
      </w:pPr>
      <w:proofErr w:type="spellStart"/>
      <w:r w:rsidRPr="0051782B">
        <w:rPr>
          <w:lang w:val="en-US"/>
        </w:rPr>
        <w:t>Mulhuddart</w:t>
      </w:r>
      <w:proofErr w:type="spellEnd"/>
      <w:r w:rsidRPr="0051782B">
        <w:rPr>
          <w:lang w:val="ru-RU"/>
        </w:rPr>
        <w:t xml:space="preserve">, </w:t>
      </w:r>
      <w:r w:rsidRPr="0051782B">
        <w:rPr>
          <w:lang w:val="en-US"/>
        </w:rPr>
        <w:t>Dublin</w:t>
      </w:r>
      <w:r w:rsidRPr="0051782B">
        <w:rPr>
          <w:lang w:val="ru-RU"/>
        </w:rPr>
        <w:t xml:space="preserve"> 15</w:t>
      </w:r>
    </w:p>
    <w:p w14:paraId="09906621" w14:textId="77777777" w:rsidR="0051782B" w:rsidRPr="0051782B" w:rsidRDefault="0051782B" w:rsidP="0051782B">
      <w:pPr>
        <w:rPr>
          <w:sz w:val="24"/>
          <w:szCs w:val="24"/>
          <w:lang w:val="ru-RU"/>
        </w:rPr>
      </w:pPr>
      <w:r w:rsidRPr="0051782B">
        <w:rPr>
          <w:lang w:val="en-US"/>
        </w:rPr>
        <w:t>DUBLIN</w:t>
      </w:r>
    </w:p>
    <w:p w14:paraId="37BB56E5" w14:textId="03AAAD2D" w:rsidR="0051782B" w:rsidRPr="0051782B" w:rsidRDefault="0051782B" w:rsidP="0051782B">
      <w:r w:rsidRPr="0051782B">
        <w:rPr>
          <w:lang w:eastAsia="bg-BG"/>
        </w:rPr>
        <w:t>Ирландия</w:t>
      </w:r>
    </w:p>
    <w:p w14:paraId="508F3A54" w14:textId="45C238C4" w:rsidR="00B6672E" w:rsidRDefault="00936AD0" w:rsidP="00936AD0">
      <w:pPr>
        <w:pStyle w:val="Heading1"/>
      </w:pPr>
      <w:r>
        <w:t>8.</w:t>
      </w:r>
      <w:r w:rsidR="002C50EE">
        <w:t>НОМЕР НА РАЗРЕШЕНИЕТО ЗА УПОТРЕБА</w:t>
      </w:r>
    </w:p>
    <w:p w14:paraId="4708917E" w14:textId="2EC263E5" w:rsidR="0051782B" w:rsidRDefault="0051782B" w:rsidP="0051782B"/>
    <w:p w14:paraId="308F6A0F" w14:textId="77777777" w:rsidR="0051782B" w:rsidRPr="0051782B" w:rsidRDefault="0051782B" w:rsidP="0051782B">
      <w:pPr>
        <w:rPr>
          <w:sz w:val="24"/>
          <w:szCs w:val="24"/>
        </w:rPr>
      </w:pPr>
      <w:r w:rsidRPr="0051782B">
        <w:rPr>
          <w:lang w:eastAsia="bg-BG"/>
        </w:rPr>
        <w:t xml:space="preserve">Ивабрадин Майлан 5 </w:t>
      </w:r>
      <w:r w:rsidRPr="0051782B">
        <w:rPr>
          <w:lang w:val="en-US"/>
        </w:rPr>
        <w:t>mg</w:t>
      </w:r>
      <w:r w:rsidRPr="0051782B">
        <w:rPr>
          <w:lang w:val="ru-RU"/>
        </w:rPr>
        <w:t xml:space="preserve"> </w:t>
      </w:r>
      <w:r w:rsidRPr="0051782B">
        <w:rPr>
          <w:lang w:eastAsia="bg-BG"/>
        </w:rPr>
        <w:t xml:space="preserve">филмирани таблетки </w:t>
      </w:r>
      <w:r w:rsidRPr="0051782B">
        <w:rPr>
          <w:lang w:val="en-US"/>
        </w:rPr>
        <w:t>Per</w:t>
      </w:r>
      <w:r w:rsidRPr="0051782B">
        <w:rPr>
          <w:lang w:val="ru-RU"/>
        </w:rPr>
        <w:t xml:space="preserve">. </w:t>
      </w:r>
      <w:r w:rsidRPr="0051782B">
        <w:rPr>
          <w:lang w:eastAsia="bg-BG"/>
        </w:rPr>
        <w:t>№ 20160420</w:t>
      </w:r>
    </w:p>
    <w:p w14:paraId="727F08DA" w14:textId="08E4966C" w:rsidR="0051782B" w:rsidRPr="0051782B" w:rsidRDefault="0051782B" w:rsidP="0051782B">
      <w:r w:rsidRPr="0051782B">
        <w:rPr>
          <w:lang w:eastAsia="bg-BG"/>
        </w:rPr>
        <w:t xml:space="preserve">Ивабрадин Майлан 7,5 </w:t>
      </w:r>
      <w:r w:rsidRPr="0051782B">
        <w:rPr>
          <w:lang w:val="en-US"/>
        </w:rPr>
        <w:t>mg</w:t>
      </w:r>
      <w:r w:rsidRPr="0051782B">
        <w:rPr>
          <w:lang w:val="ru-RU"/>
        </w:rPr>
        <w:t xml:space="preserve"> </w:t>
      </w:r>
      <w:r w:rsidRPr="0051782B">
        <w:rPr>
          <w:lang w:eastAsia="bg-BG"/>
        </w:rPr>
        <w:t xml:space="preserve">филмирани таблетки </w:t>
      </w:r>
      <w:r w:rsidRPr="0051782B">
        <w:rPr>
          <w:lang w:val="en-US"/>
        </w:rPr>
        <w:t>Per</w:t>
      </w:r>
      <w:r w:rsidRPr="0051782B">
        <w:rPr>
          <w:lang w:val="ru-RU"/>
        </w:rPr>
        <w:t xml:space="preserve">. </w:t>
      </w:r>
      <w:r w:rsidRPr="0051782B">
        <w:rPr>
          <w:lang w:eastAsia="bg-BG"/>
        </w:rPr>
        <w:t>№ 20160421</w:t>
      </w:r>
    </w:p>
    <w:p w14:paraId="2CCB5832" w14:textId="446B5FF6" w:rsidR="007C605B" w:rsidRDefault="002C50EE" w:rsidP="007C605B">
      <w:pPr>
        <w:pStyle w:val="Heading1"/>
      </w:pPr>
      <w:r>
        <w:t>9. ДАТА НА ПЪРВО РАЗРЕШАВАНЕ/ПОДНОВЯВАНЕ НА РАЗРЕШЕНИЕТО ЗА УПОТРЕБА</w:t>
      </w:r>
    </w:p>
    <w:p w14:paraId="664D3915" w14:textId="3B93B6DE" w:rsidR="0051782B" w:rsidRDefault="0051782B" w:rsidP="0051782B"/>
    <w:p w14:paraId="2CDB2D21" w14:textId="58669DC7" w:rsidR="0051782B" w:rsidRPr="0051782B" w:rsidRDefault="0051782B" w:rsidP="0051782B">
      <w:r>
        <w:t>19.12.2016</w:t>
      </w:r>
    </w:p>
    <w:p w14:paraId="0E9D0119" w14:textId="0245C6D7" w:rsidR="002C50EE" w:rsidRDefault="002C50EE" w:rsidP="002C50EE">
      <w:pPr>
        <w:pStyle w:val="Heading1"/>
      </w:pPr>
      <w:r>
        <w:t>10. ДАТА НА АКТУАЛИЗИРАНЕ НА ТЕКСТА</w:t>
      </w:r>
    </w:p>
    <w:bookmarkEnd w:id="0"/>
    <w:p w14:paraId="43FB38A2" w14:textId="0FF609F0" w:rsidR="007C605B" w:rsidRPr="003E3126" w:rsidRDefault="0051782B" w:rsidP="0051782B">
      <w:r>
        <w:t>09/2021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30698"/>
    <w:multiLevelType w:val="hybridMultilevel"/>
    <w:tmpl w:val="46E2AAA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82B"/>
    <w:rsid w:val="00517A5B"/>
    <w:rsid w:val="00593A00"/>
    <w:rsid w:val="005A66D9"/>
    <w:rsid w:val="00603C66"/>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7200</Words>
  <Characters>41045</Characters>
  <Application>Microsoft Office Word</Application>
  <DocSecurity>0</DocSecurity>
  <Lines>342</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2022-10-04T19:40:00Z</dcterms:created>
  <dcterms:modified xsi:type="dcterms:W3CDTF">2022-10-04T19:40:00Z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