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7A328C" w14:textId="16329281" w:rsidR="002C50EE" w:rsidRDefault="002C50EE" w:rsidP="002C50EE">
      <w:pPr>
        <w:pStyle w:val="Heading1"/>
        <w:jc w:val="center"/>
      </w:pPr>
      <w:bookmarkStart w:id="0" w:name="_Hlk63124480"/>
      <w:r>
        <w:t>КРАТКА ХАРАКТЕРИСТИКА НА ПРОДУКТА</w:t>
      </w:r>
    </w:p>
    <w:p w14:paraId="2BE34EF6" w14:textId="5E2E3EF2" w:rsidR="007122AD" w:rsidRDefault="00DD466D" w:rsidP="00936AD0">
      <w:pPr>
        <w:pStyle w:val="Heading1"/>
      </w:pPr>
      <w:r>
        <w:t>1.ИМЕ НА ЛЕКАРСТВЕНИЯ ПРОДУКТ</w:t>
      </w:r>
    </w:p>
    <w:p w14:paraId="2F31C03A" w14:textId="22A843A5" w:rsidR="00B26DE5" w:rsidRDefault="00B26DE5" w:rsidP="00B26DE5"/>
    <w:p w14:paraId="6EDE7DEB" w14:textId="77777777" w:rsidR="00B26DE5" w:rsidRPr="00B26DE5" w:rsidRDefault="00B26DE5" w:rsidP="00B26DE5">
      <w:pPr>
        <w:rPr>
          <w:sz w:val="24"/>
          <w:szCs w:val="24"/>
          <w:lang w:val="ru-RU"/>
        </w:rPr>
      </w:pPr>
      <w:r w:rsidRPr="00B26DE5">
        <w:rPr>
          <w:lang w:eastAsia="bg-BG"/>
        </w:rPr>
        <w:t xml:space="preserve">Карбис 4 </w:t>
      </w:r>
      <w:r w:rsidRPr="00B26DE5">
        <w:rPr>
          <w:lang w:val="en-US"/>
        </w:rPr>
        <w:t>mg</w:t>
      </w:r>
      <w:r w:rsidRPr="00B26DE5">
        <w:rPr>
          <w:lang w:val="ru-RU"/>
        </w:rPr>
        <w:t xml:space="preserve"> </w:t>
      </w:r>
      <w:r w:rsidRPr="00B26DE5">
        <w:rPr>
          <w:lang w:eastAsia="bg-BG"/>
        </w:rPr>
        <w:t>таблетки</w:t>
      </w:r>
    </w:p>
    <w:p w14:paraId="6891805A" w14:textId="77777777" w:rsidR="00B26DE5" w:rsidRPr="00B26DE5" w:rsidRDefault="00B26DE5" w:rsidP="00B26DE5">
      <w:pPr>
        <w:rPr>
          <w:sz w:val="24"/>
          <w:szCs w:val="24"/>
          <w:lang w:val="ru-RU"/>
        </w:rPr>
      </w:pPr>
      <w:r w:rsidRPr="00B26DE5">
        <w:rPr>
          <w:lang w:eastAsia="bg-BG"/>
        </w:rPr>
        <w:t xml:space="preserve">Карбис 8 </w:t>
      </w:r>
      <w:r w:rsidRPr="00B26DE5">
        <w:rPr>
          <w:lang w:val="en-US"/>
        </w:rPr>
        <w:t>mg</w:t>
      </w:r>
      <w:r w:rsidRPr="00B26DE5">
        <w:rPr>
          <w:lang w:val="ru-RU"/>
        </w:rPr>
        <w:t xml:space="preserve"> </w:t>
      </w:r>
      <w:r w:rsidRPr="00B26DE5">
        <w:rPr>
          <w:lang w:eastAsia="bg-BG"/>
        </w:rPr>
        <w:t>таблетки</w:t>
      </w:r>
    </w:p>
    <w:p w14:paraId="30F5F0C3" w14:textId="77777777" w:rsidR="00B26DE5" w:rsidRPr="00B26DE5" w:rsidRDefault="00B26DE5" w:rsidP="00B26DE5">
      <w:pPr>
        <w:rPr>
          <w:sz w:val="24"/>
          <w:szCs w:val="24"/>
          <w:lang w:val="ru-RU"/>
        </w:rPr>
      </w:pPr>
      <w:r w:rsidRPr="00B26DE5">
        <w:rPr>
          <w:lang w:eastAsia="bg-BG"/>
        </w:rPr>
        <w:t xml:space="preserve">Карбис 16 </w:t>
      </w:r>
      <w:r w:rsidRPr="00B26DE5">
        <w:rPr>
          <w:lang w:val="en-US"/>
        </w:rPr>
        <w:t>mg</w:t>
      </w:r>
      <w:r w:rsidRPr="00B26DE5">
        <w:rPr>
          <w:lang w:val="ru-RU"/>
        </w:rPr>
        <w:t xml:space="preserve"> </w:t>
      </w:r>
      <w:r w:rsidRPr="00B26DE5">
        <w:rPr>
          <w:lang w:eastAsia="bg-BG"/>
        </w:rPr>
        <w:t>таблетки</w:t>
      </w:r>
    </w:p>
    <w:p w14:paraId="66222A2D" w14:textId="77777777" w:rsidR="00B26DE5" w:rsidRPr="00B26DE5" w:rsidRDefault="00B26DE5" w:rsidP="00B26DE5">
      <w:pPr>
        <w:rPr>
          <w:sz w:val="24"/>
          <w:szCs w:val="24"/>
          <w:lang w:val="ru-RU"/>
        </w:rPr>
      </w:pPr>
      <w:r w:rsidRPr="00B26DE5">
        <w:rPr>
          <w:lang w:eastAsia="bg-BG"/>
        </w:rPr>
        <w:t xml:space="preserve">Карбис 32 </w:t>
      </w:r>
      <w:r w:rsidRPr="00B26DE5">
        <w:rPr>
          <w:lang w:val="en-US"/>
        </w:rPr>
        <w:t>mg</w:t>
      </w:r>
      <w:r w:rsidRPr="00B26DE5">
        <w:rPr>
          <w:lang w:val="ru-RU"/>
        </w:rPr>
        <w:t xml:space="preserve"> </w:t>
      </w:r>
      <w:r w:rsidRPr="00B26DE5">
        <w:rPr>
          <w:lang w:eastAsia="bg-BG"/>
        </w:rPr>
        <w:t>таблетки</w:t>
      </w:r>
    </w:p>
    <w:p w14:paraId="103D78BC" w14:textId="77777777" w:rsidR="00B26DE5" w:rsidRPr="00B26DE5" w:rsidRDefault="00B26DE5" w:rsidP="00B26DE5">
      <w:pPr>
        <w:rPr>
          <w:lang w:val="ru-RU"/>
        </w:rPr>
      </w:pPr>
    </w:p>
    <w:p w14:paraId="47B8E92C" w14:textId="19B001B0" w:rsidR="00B26DE5" w:rsidRPr="00B26DE5" w:rsidRDefault="00B26DE5" w:rsidP="00B26DE5">
      <w:pPr>
        <w:rPr>
          <w:sz w:val="24"/>
          <w:szCs w:val="24"/>
          <w:lang w:val="en-US"/>
        </w:rPr>
      </w:pPr>
      <w:proofErr w:type="spellStart"/>
      <w:r w:rsidRPr="00B26DE5">
        <w:rPr>
          <w:lang w:val="en-US"/>
        </w:rPr>
        <w:t>Karbis</w:t>
      </w:r>
      <w:proofErr w:type="spellEnd"/>
      <w:r w:rsidRPr="00B26DE5">
        <w:rPr>
          <w:lang w:val="en-US"/>
        </w:rPr>
        <w:t xml:space="preserve"> </w:t>
      </w:r>
      <w:r w:rsidRPr="00B26DE5">
        <w:rPr>
          <w:lang w:eastAsia="bg-BG"/>
        </w:rPr>
        <w:t xml:space="preserve">4 </w:t>
      </w:r>
      <w:r w:rsidRPr="00B26DE5">
        <w:rPr>
          <w:lang w:val="en-US"/>
        </w:rPr>
        <w:t>mg tablets</w:t>
      </w:r>
    </w:p>
    <w:p w14:paraId="1BD61B3F" w14:textId="77777777" w:rsidR="00B26DE5" w:rsidRPr="00B26DE5" w:rsidRDefault="00B26DE5" w:rsidP="00B26DE5">
      <w:pPr>
        <w:rPr>
          <w:sz w:val="24"/>
          <w:szCs w:val="24"/>
          <w:lang w:val="en-US"/>
        </w:rPr>
      </w:pPr>
      <w:proofErr w:type="spellStart"/>
      <w:r w:rsidRPr="00B26DE5">
        <w:rPr>
          <w:lang w:val="en-US"/>
        </w:rPr>
        <w:t>Karbis</w:t>
      </w:r>
      <w:proofErr w:type="spellEnd"/>
      <w:r w:rsidRPr="00B26DE5">
        <w:rPr>
          <w:lang w:val="en-US"/>
        </w:rPr>
        <w:t xml:space="preserve"> 8 mg tablets</w:t>
      </w:r>
    </w:p>
    <w:p w14:paraId="7FE006B1" w14:textId="77777777" w:rsidR="00B26DE5" w:rsidRPr="00B26DE5" w:rsidRDefault="00B26DE5" w:rsidP="00B26DE5">
      <w:pPr>
        <w:rPr>
          <w:sz w:val="24"/>
          <w:szCs w:val="24"/>
          <w:lang w:val="en-US"/>
        </w:rPr>
      </w:pPr>
      <w:proofErr w:type="spellStart"/>
      <w:r w:rsidRPr="00B26DE5">
        <w:rPr>
          <w:lang w:val="en-US"/>
        </w:rPr>
        <w:t>Karbis</w:t>
      </w:r>
      <w:proofErr w:type="spellEnd"/>
      <w:r w:rsidRPr="00B26DE5">
        <w:rPr>
          <w:lang w:val="en-US"/>
        </w:rPr>
        <w:t xml:space="preserve"> 1</w:t>
      </w:r>
      <w:r w:rsidRPr="00B26DE5">
        <w:rPr>
          <w:i/>
          <w:iCs/>
          <w:lang w:val="en-US"/>
        </w:rPr>
        <w:t>6</w:t>
      </w:r>
      <w:r w:rsidRPr="00B26DE5">
        <w:rPr>
          <w:lang w:val="en-US"/>
        </w:rPr>
        <w:t xml:space="preserve"> mg tablets</w:t>
      </w:r>
    </w:p>
    <w:p w14:paraId="506DA717" w14:textId="77777777" w:rsidR="00B26DE5" w:rsidRPr="00B26DE5" w:rsidRDefault="00B26DE5" w:rsidP="00B26DE5">
      <w:pPr>
        <w:rPr>
          <w:sz w:val="24"/>
          <w:szCs w:val="24"/>
          <w:lang w:val="en-US"/>
        </w:rPr>
      </w:pPr>
      <w:proofErr w:type="spellStart"/>
      <w:r w:rsidRPr="00B26DE5">
        <w:rPr>
          <w:lang w:val="en-US"/>
        </w:rPr>
        <w:t>Karbis</w:t>
      </w:r>
      <w:proofErr w:type="spellEnd"/>
      <w:r w:rsidRPr="00B26DE5">
        <w:rPr>
          <w:lang w:val="en-US"/>
        </w:rPr>
        <w:t xml:space="preserve"> 32 mg tablets</w:t>
      </w:r>
    </w:p>
    <w:p w14:paraId="2C37CADD" w14:textId="77777777" w:rsidR="00B26DE5" w:rsidRPr="00B26DE5" w:rsidRDefault="00B26DE5" w:rsidP="00B26DE5"/>
    <w:p w14:paraId="6920A680" w14:textId="214D75D4" w:rsidR="00C40420" w:rsidRDefault="00DD466D" w:rsidP="004A448E">
      <w:pPr>
        <w:pStyle w:val="Heading1"/>
      </w:pPr>
      <w:r>
        <w:t>2. КАЧЕСТВЕН И КОЛИЧЕСТВЕН СЪСТАВ</w:t>
      </w:r>
    </w:p>
    <w:p w14:paraId="33ADFBF7" w14:textId="34A8042E" w:rsidR="00B26DE5" w:rsidRDefault="00B26DE5" w:rsidP="00B26DE5"/>
    <w:p w14:paraId="361C9846" w14:textId="77777777" w:rsidR="00B26DE5" w:rsidRPr="00B26DE5" w:rsidRDefault="00B26DE5" w:rsidP="00B26DE5">
      <w:pPr>
        <w:rPr>
          <w:sz w:val="24"/>
          <w:szCs w:val="24"/>
        </w:rPr>
      </w:pPr>
      <w:r w:rsidRPr="00B26DE5">
        <w:rPr>
          <w:lang w:eastAsia="bg-BG"/>
        </w:rPr>
        <w:t xml:space="preserve">Всяка таблетка съдържа 4 </w:t>
      </w:r>
      <w:r w:rsidRPr="00B26DE5">
        <w:rPr>
          <w:lang w:val="en-US"/>
        </w:rPr>
        <w:t>mg</w:t>
      </w:r>
      <w:r w:rsidRPr="00B26DE5">
        <w:t xml:space="preserve"> </w:t>
      </w:r>
      <w:r w:rsidRPr="00B26DE5">
        <w:rPr>
          <w:lang w:eastAsia="bg-BG"/>
        </w:rPr>
        <w:t xml:space="preserve">кандесартан цилексетил </w:t>
      </w:r>
      <w:r w:rsidRPr="00B26DE5">
        <w:rPr>
          <w:i/>
          <w:iCs/>
        </w:rPr>
        <w:t>(</w:t>
      </w:r>
      <w:r w:rsidRPr="00B26DE5">
        <w:rPr>
          <w:i/>
          <w:iCs/>
          <w:lang w:val="en-US"/>
        </w:rPr>
        <w:t>candesartan</w:t>
      </w:r>
      <w:r w:rsidRPr="00B26DE5">
        <w:rPr>
          <w:i/>
          <w:iCs/>
        </w:rPr>
        <w:t xml:space="preserve"> </w:t>
      </w:r>
      <w:proofErr w:type="spellStart"/>
      <w:r w:rsidRPr="00B26DE5">
        <w:rPr>
          <w:i/>
          <w:iCs/>
          <w:lang w:val="en-US"/>
        </w:rPr>
        <w:t>cilexetil</w:t>
      </w:r>
      <w:proofErr w:type="spellEnd"/>
      <w:r w:rsidRPr="00B26DE5">
        <w:rPr>
          <w:i/>
          <w:iCs/>
        </w:rPr>
        <w:t>).</w:t>
      </w:r>
    </w:p>
    <w:p w14:paraId="020A9664" w14:textId="77777777" w:rsidR="00B26DE5" w:rsidRPr="00B26DE5" w:rsidRDefault="00B26DE5" w:rsidP="00B26DE5">
      <w:pPr>
        <w:rPr>
          <w:sz w:val="24"/>
          <w:szCs w:val="24"/>
        </w:rPr>
      </w:pPr>
      <w:r w:rsidRPr="00B26DE5">
        <w:rPr>
          <w:lang w:eastAsia="bg-BG"/>
        </w:rPr>
        <w:t xml:space="preserve">Всяка таблетка съдържа 8 </w:t>
      </w:r>
      <w:r w:rsidRPr="00B26DE5">
        <w:rPr>
          <w:lang w:val="en-US"/>
        </w:rPr>
        <w:t>mg</w:t>
      </w:r>
      <w:r w:rsidRPr="00B26DE5">
        <w:t xml:space="preserve"> </w:t>
      </w:r>
      <w:r w:rsidRPr="00B26DE5">
        <w:rPr>
          <w:lang w:eastAsia="bg-BG"/>
        </w:rPr>
        <w:t xml:space="preserve">кандесартан цилексетил </w:t>
      </w:r>
      <w:r w:rsidRPr="00B26DE5">
        <w:rPr>
          <w:i/>
          <w:iCs/>
        </w:rPr>
        <w:t>(</w:t>
      </w:r>
      <w:r w:rsidRPr="00B26DE5">
        <w:rPr>
          <w:i/>
          <w:iCs/>
          <w:lang w:val="en-US"/>
        </w:rPr>
        <w:t>candesartan</w:t>
      </w:r>
      <w:r w:rsidRPr="00B26DE5">
        <w:rPr>
          <w:i/>
          <w:iCs/>
        </w:rPr>
        <w:t xml:space="preserve"> </w:t>
      </w:r>
      <w:proofErr w:type="spellStart"/>
      <w:r w:rsidRPr="00B26DE5">
        <w:rPr>
          <w:i/>
          <w:iCs/>
          <w:lang w:val="en-US"/>
        </w:rPr>
        <w:t>cilexetil</w:t>
      </w:r>
      <w:proofErr w:type="spellEnd"/>
      <w:r w:rsidRPr="00B26DE5">
        <w:rPr>
          <w:i/>
          <w:iCs/>
        </w:rPr>
        <w:t>).</w:t>
      </w:r>
    </w:p>
    <w:p w14:paraId="6B382F73" w14:textId="77777777" w:rsidR="00B26DE5" w:rsidRPr="00B26DE5" w:rsidRDefault="00B26DE5" w:rsidP="00B26DE5">
      <w:pPr>
        <w:rPr>
          <w:sz w:val="24"/>
          <w:szCs w:val="24"/>
        </w:rPr>
      </w:pPr>
      <w:r w:rsidRPr="00B26DE5">
        <w:rPr>
          <w:lang w:eastAsia="bg-BG"/>
        </w:rPr>
        <w:t xml:space="preserve">Всяка таблетка съдържа 16 </w:t>
      </w:r>
      <w:r w:rsidRPr="00B26DE5">
        <w:rPr>
          <w:lang w:val="en-US"/>
        </w:rPr>
        <w:t>mg</w:t>
      </w:r>
      <w:r w:rsidRPr="00B26DE5">
        <w:t xml:space="preserve"> </w:t>
      </w:r>
      <w:r w:rsidRPr="00B26DE5">
        <w:rPr>
          <w:lang w:eastAsia="bg-BG"/>
        </w:rPr>
        <w:t xml:space="preserve">кандесартан цилексетил </w:t>
      </w:r>
      <w:r w:rsidRPr="00B26DE5">
        <w:rPr>
          <w:i/>
          <w:iCs/>
        </w:rPr>
        <w:t>(</w:t>
      </w:r>
      <w:r w:rsidRPr="00B26DE5">
        <w:rPr>
          <w:i/>
          <w:iCs/>
          <w:lang w:val="en-US"/>
        </w:rPr>
        <w:t>candesartan</w:t>
      </w:r>
      <w:r w:rsidRPr="00B26DE5">
        <w:rPr>
          <w:i/>
          <w:iCs/>
        </w:rPr>
        <w:t xml:space="preserve"> </w:t>
      </w:r>
      <w:proofErr w:type="spellStart"/>
      <w:r w:rsidRPr="00B26DE5">
        <w:rPr>
          <w:i/>
          <w:iCs/>
          <w:lang w:val="en-US"/>
        </w:rPr>
        <w:t>cilexetil</w:t>
      </w:r>
      <w:proofErr w:type="spellEnd"/>
      <w:r w:rsidRPr="00B26DE5">
        <w:rPr>
          <w:i/>
          <w:iCs/>
        </w:rPr>
        <w:t>).</w:t>
      </w:r>
    </w:p>
    <w:p w14:paraId="658146AA" w14:textId="77777777" w:rsidR="00B26DE5" w:rsidRPr="00B26DE5" w:rsidRDefault="00B26DE5" w:rsidP="00B26DE5">
      <w:pPr>
        <w:rPr>
          <w:sz w:val="24"/>
          <w:szCs w:val="24"/>
        </w:rPr>
      </w:pPr>
      <w:r w:rsidRPr="00B26DE5">
        <w:rPr>
          <w:lang w:eastAsia="bg-BG"/>
        </w:rPr>
        <w:t xml:space="preserve">Всяка таблетка съдържа 32 </w:t>
      </w:r>
      <w:r w:rsidRPr="00B26DE5">
        <w:rPr>
          <w:lang w:val="en-US"/>
        </w:rPr>
        <w:t>mg</w:t>
      </w:r>
      <w:r w:rsidRPr="00B26DE5">
        <w:t xml:space="preserve"> </w:t>
      </w:r>
      <w:r w:rsidRPr="00B26DE5">
        <w:rPr>
          <w:lang w:eastAsia="bg-BG"/>
        </w:rPr>
        <w:t xml:space="preserve">кандесартан цилексетил </w:t>
      </w:r>
      <w:r w:rsidRPr="00B26DE5">
        <w:rPr>
          <w:i/>
          <w:iCs/>
        </w:rPr>
        <w:t>(</w:t>
      </w:r>
      <w:r w:rsidRPr="00B26DE5">
        <w:rPr>
          <w:i/>
          <w:iCs/>
          <w:lang w:val="en-US"/>
        </w:rPr>
        <w:t>candesartan</w:t>
      </w:r>
      <w:r w:rsidRPr="00B26DE5">
        <w:rPr>
          <w:i/>
          <w:iCs/>
        </w:rPr>
        <w:t xml:space="preserve"> </w:t>
      </w:r>
      <w:proofErr w:type="spellStart"/>
      <w:r w:rsidRPr="00B26DE5">
        <w:rPr>
          <w:i/>
          <w:iCs/>
          <w:lang w:val="en-US"/>
        </w:rPr>
        <w:t>cilexetil</w:t>
      </w:r>
      <w:proofErr w:type="spellEnd"/>
      <w:r w:rsidRPr="00B26DE5">
        <w:rPr>
          <w:i/>
          <w:iCs/>
        </w:rPr>
        <w:t>).</w:t>
      </w:r>
    </w:p>
    <w:p w14:paraId="72E97E51" w14:textId="77777777" w:rsidR="00B26DE5" w:rsidRDefault="00B26DE5" w:rsidP="00B26DE5">
      <w:pPr>
        <w:rPr>
          <w:u w:val="single"/>
          <w:lang w:eastAsia="bg-BG"/>
        </w:rPr>
      </w:pPr>
    </w:p>
    <w:p w14:paraId="2CB51D32" w14:textId="285F89EE" w:rsidR="00B26DE5" w:rsidRDefault="00B26DE5" w:rsidP="00B26DE5">
      <w:pPr>
        <w:rPr>
          <w:u w:val="single"/>
          <w:lang w:eastAsia="bg-BG"/>
        </w:rPr>
      </w:pPr>
      <w:r w:rsidRPr="00B26DE5">
        <w:rPr>
          <w:u w:val="single"/>
          <w:lang w:eastAsia="bg-BG"/>
        </w:rPr>
        <w:t>Помощно вещество с известно действие:</w:t>
      </w:r>
    </w:p>
    <w:tbl>
      <w:tblPr>
        <w:tblStyle w:val="TableGrid"/>
        <w:tblW w:w="0" w:type="auto"/>
        <w:tblLook w:val="04A0" w:firstRow="1" w:lastRow="0" w:firstColumn="1" w:lastColumn="0" w:noHBand="0" w:noVBand="1"/>
      </w:tblPr>
      <w:tblGrid>
        <w:gridCol w:w="1865"/>
        <w:gridCol w:w="1871"/>
        <w:gridCol w:w="1871"/>
        <w:gridCol w:w="1871"/>
        <w:gridCol w:w="1872"/>
      </w:tblGrid>
      <w:tr w:rsidR="00B26DE5" w14:paraId="593BCAAE" w14:textId="77777777" w:rsidTr="00B26DE5">
        <w:tc>
          <w:tcPr>
            <w:tcW w:w="1915" w:type="dxa"/>
          </w:tcPr>
          <w:p w14:paraId="4A850AE9" w14:textId="77777777" w:rsidR="00B26DE5" w:rsidRPr="00B26DE5" w:rsidRDefault="00B26DE5" w:rsidP="00B26DE5"/>
        </w:tc>
        <w:tc>
          <w:tcPr>
            <w:tcW w:w="1915" w:type="dxa"/>
          </w:tcPr>
          <w:p w14:paraId="6D00764A" w14:textId="260E625B" w:rsidR="00B26DE5" w:rsidRPr="00B26DE5" w:rsidRDefault="00B26DE5" w:rsidP="00B26DE5">
            <w:r w:rsidRPr="00B26DE5">
              <w:t xml:space="preserve">4 </w:t>
            </w:r>
            <w:r w:rsidRPr="00B26DE5">
              <w:rPr>
                <w:lang w:val="en-US"/>
              </w:rPr>
              <w:t xml:space="preserve">mg </w:t>
            </w:r>
            <w:r w:rsidRPr="00B26DE5">
              <w:t>таблетки</w:t>
            </w:r>
          </w:p>
        </w:tc>
        <w:tc>
          <w:tcPr>
            <w:tcW w:w="1915" w:type="dxa"/>
          </w:tcPr>
          <w:p w14:paraId="45C6F96E" w14:textId="10E00EA9" w:rsidR="00B26DE5" w:rsidRPr="00B26DE5" w:rsidRDefault="00B26DE5" w:rsidP="00B26DE5">
            <w:r w:rsidRPr="00B26DE5">
              <w:t xml:space="preserve">8 </w:t>
            </w:r>
            <w:r w:rsidRPr="00B26DE5">
              <w:rPr>
                <w:lang w:val="en-US"/>
              </w:rPr>
              <w:t xml:space="preserve">mg </w:t>
            </w:r>
            <w:r w:rsidRPr="00B26DE5">
              <w:t>таблетки</w:t>
            </w:r>
          </w:p>
        </w:tc>
        <w:tc>
          <w:tcPr>
            <w:tcW w:w="1915" w:type="dxa"/>
          </w:tcPr>
          <w:p w14:paraId="7D5BD73C" w14:textId="7E9F23D6" w:rsidR="00B26DE5" w:rsidRPr="00B26DE5" w:rsidRDefault="00B26DE5" w:rsidP="00B26DE5">
            <w:r w:rsidRPr="00B26DE5">
              <w:t xml:space="preserve">16 </w:t>
            </w:r>
            <w:r w:rsidRPr="00B26DE5">
              <w:rPr>
                <w:lang w:val="en-US"/>
              </w:rPr>
              <w:t xml:space="preserve">mg </w:t>
            </w:r>
            <w:r w:rsidRPr="00B26DE5">
              <w:t>таблетки</w:t>
            </w:r>
          </w:p>
        </w:tc>
        <w:tc>
          <w:tcPr>
            <w:tcW w:w="1916" w:type="dxa"/>
          </w:tcPr>
          <w:p w14:paraId="475D16AD" w14:textId="3A2EBCA8" w:rsidR="00B26DE5" w:rsidRPr="00B26DE5" w:rsidRDefault="00B26DE5" w:rsidP="00B26DE5">
            <w:r w:rsidRPr="00B26DE5">
              <w:t xml:space="preserve">3 2 </w:t>
            </w:r>
            <w:r w:rsidRPr="00B26DE5">
              <w:rPr>
                <w:lang w:val="en-US"/>
              </w:rPr>
              <w:t xml:space="preserve">mg </w:t>
            </w:r>
            <w:r w:rsidRPr="00B26DE5">
              <w:t>таблетки</w:t>
            </w:r>
          </w:p>
        </w:tc>
      </w:tr>
      <w:tr w:rsidR="00B26DE5" w14:paraId="586449CA" w14:textId="77777777" w:rsidTr="00B26DE5">
        <w:tc>
          <w:tcPr>
            <w:tcW w:w="1915" w:type="dxa"/>
          </w:tcPr>
          <w:p w14:paraId="65DB5B43" w14:textId="2E0852DF" w:rsidR="00B26DE5" w:rsidRPr="00B26DE5" w:rsidRDefault="00B26DE5" w:rsidP="00B26DE5">
            <w:r w:rsidRPr="00B26DE5">
              <w:t>Лактоза</w:t>
            </w:r>
          </w:p>
        </w:tc>
        <w:tc>
          <w:tcPr>
            <w:tcW w:w="1915" w:type="dxa"/>
          </w:tcPr>
          <w:p w14:paraId="2B490251" w14:textId="106006B0" w:rsidR="00B26DE5" w:rsidRPr="00B26DE5" w:rsidRDefault="00B26DE5" w:rsidP="00B26DE5">
            <w:r w:rsidRPr="00B26DE5">
              <w:t xml:space="preserve">88,73 </w:t>
            </w:r>
            <w:r w:rsidRPr="00B26DE5">
              <w:rPr>
                <w:lang w:val="en-US"/>
              </w:rPr>
              <w:t>mg</w:t>
            </w:r>
          </w:p>
        </w:tc>
        <w:tc>
          <w:tcPr>
            <w:tcW w:w="1915" w:type="dxa"/>
          </w:tcPr>
          <w:p w14:paraId="2AEAA343" w14:textId="4EED40F7" w:rsidR="00B26DE5" w:rsidRPr="00B26DE5" w:rsidRDefault="00B26DE5" w:rsidP="00B26DE5">
            <w:r w:rsidRPr="00B26DE5">
              <w:t xml:space="preserve">84,93 </w:t>
            </w:r>
            <w:r w:rsidRPr="00B26DE5">
              <w:rPr>
                <w:lang w:val="en-US"/>
              </w:rPr>
              <w:t>mg</w:t>
            </w:r>
          </w:p>
        </w:tc>
        <w:tc>
          <w:tcPr>
            <w:tcW w:w="1915" w:type="dxa"/>
          </w:tcPr>
          <w:p w14:paraId="0685FFE9" w14:textId="7EE211F4" w:rsidR="00B26DE5" w:rsidRPr="00B26DE5" w:rsidRDefault="00B26DE5" w:rsidP="00B26DE5">
            <w:r w:rsidRPr="00B26DE5">
              <w:t xml:space="preserve">77,33 </w:t>
            </w:r>
            <w:r w:rsidRPr="00B26DE5">
              <w:rPr>
                <w:lang w:val="en-US"/>
              </w:rPr>
              <w:t>mg</w:t>
            </w:r>
          </w:p>
        </w:tc>
        <w:tc>
          <w:tcPr>
            <w:tcW w:w="1916" w:type="dxa"/>
          </w:tcPr>
          <w:p w14:paraId="5DB73475" w14:textId="41D7AFC2" w:rsidR="00B26DE5" w:rsidRPr="00B26DE5" w:rsidRDefault="00B26DE5" w:rsidP="00B26DE5">
            <w:r w:rsidRPr="00B26DE5">
              <w:rPr>
                <w:lang w:val="en-US"/>
              </w:rPr>
              <w:t>154,66 mg</w:t>
            </w:r>
          </w:p>
        </w:tc>
      </w:tr>
    </w:tbl>
    <w:p w14:paraId="743B4853" w14:textId="77777777" w:rsidR="00B26DE5" w:rsidRPr="00B26DE5" w:rsidRDefault="00B26DE5" w:rsidP="00B26DE5"/>
    <w:p w14:paraId="614984C4" w14:textId="6F0FDCCC" w:rsidR="008A6AF2" w:rsidRDefault="00DD466D" w:rsidP="002C50EE">
      <w:pPr>
        <w:pStyle w:val="Heading1"/>
      </w:pPr>
      <w:r>
        <w:t>3. ЛЕКАРСТВЕНА ФОРМА</w:t>
      </w:r>
    </w:p>
    <w:p w14:paraId="4E96691B" w14:textId="7B4B1955" w:rsidR="00B26DE5" w:rsidRDefault="00B26DE5" w:rsidP="00B26DE5"/>
    <w:p w14:paraId="186822EC" w14:textId="77777777" w:rsidR="00B26DE5" w:rsidRPr="00B26DE5" w:rsidRDefault="00B26DE5" w:rsidP="00B26DE5">
      <w:pPr>
        <w:spacing w:line="240" w:lineRule="auto"/>
        <w:rPr>
          <w:rFonts w:eastAsia="Times New Roman" w:cs="Arial"/>
        </w:rPr>
      </w:pPr>
      <w:r w:rsidRPr="00B26DE5">
        <w:rPr>
          <w:rFonts w:eastAsia="Times New Roman" w:cs="Arial"/>
          <w:color w:val="000000"/>
          <w:lang w:eastAsia="bg-BG"/>
        </w:rPr>
        <w:t>Таблетка</w:t>
      </w:r>
    </w:p>
    <w:p w14:paraId="7A7D9020" w14:textId="77777777" w:rsidR="00B26DE5" w:rsidRDefault="00B26DE5" w:rsidP="00B26DE5">
      <w:pPr>
        <w:spacing w:line="240" w:lineRule="auto"/>
        <w:rPr>
          <w:rFonts w:eastAsia="Times New Roman" w:cs="Arial"/>
          <w:color w:val="000000"/>
          <w:lang w:eastAsia="bg-BG"/>
        </w:rPr>
      </w:pPr>
    </w:p>
    <w:p w14:paraId="6E107B9E" w14:textId="2DB45715" w:rsidR="00B26DE5" w:rsidRPr="00B26DE5" w:rsidRDefault="00B26DE5" w:rsidP="00B26DE5">
      <w:pPr>
        <w:spacing w:line="240" w:lineRule="auto"/>
        <w:rPr>
          <w:rFonts w:eastAsia="Times New Roman" w:cs="Arial"/>
        </w:rPr>
      </w:pPr>
      <w:r w:rsidRPr="00B26DE5">
        <w:rPr>
          <w:rFonts w:eastAsia="Times New Roman" w:cs="Arial"/>
          <w:color w:val="000000"/>
          <w:lang w:eastAsia="bg-BG"/>
        </w:rPr>
        <w:t xml:space="preserve">4 </w:t>
      </w:r>
      <w:r w:rsidRPr="00B26DE5">
        <w:rPr>
          <w:rFonts w:eastAsia="Times New Roman" w:cs="Arial"/>
          <w:color w:val="000000"/>
          <w:lang w:val="en-US"/>
        </w:rPr>
        <w:t>mg</w:t>
      </w:r>
      <w:r w:rsidRPr="00B26DE5">
        <w:rPr>
          <w:rFonts w:eastAsia="Times New Roman" w:cs="Arial"/>
          <w:color w:val="000000"/>
          <w:lang w:val="ru-RU"/>
        </w:rPr>
        <w:t xml:space="preserve">: </w:t>
      </w:r>
      <w:r w:rsidRPr="00B26DE5">
        <w:rPr>
          <w:rFonts w:eastAsia="Times New Roman" w:cs="Arial"/>
          <w:color w:val="000000"/>
          <w:lang w:eastAsia="bg-BG"/>
        </w:rPr>
        <w:t xml:space="preserve">Кръгли, бели, леко двойноизпъкнали, диаметър 7 </w:t>
      </w:r>
      <w:r w:rsidRPr="00B26DE5">
        <w:rPr>
          <w:rFonts w:eastAsia="Times New Roman" w:cs="Arial"/>
          <w:color w:val="000000"/>
          <w:lang w:val="en-US"/>
        </w:rPr>
        <w:t>mm</w:t>
      </w:r>
      <w:r w:rsidRPr="00B26DE5">
        <w:rPr>
          <w:rFonts w:eastAsia="Times New Roman" w:cs="Arial"/>
          <w:color w:val="000000"/>
          <w:lang w:val="ru-RU"/>
        </w:rPr>
        <w:t xml:space="preserve">, </w:t>
      </w:r>
      <w:r w:rsidRPr="00B26DE5">
        <w:rPr>
          <w:rFonts w:eastAsia="Times New Roman" w:cs="Arial"/>
          <w:color w:val="000000"/>
          <w:lang w:eastAsia="bg-BG"/>
        </w:rPr>
        <w:t>от едната страна с делителна черта със скосени ръбове.</w:t>
      </w:r>
    </w:p>
    <w:p w14:paraId="09634BF8" w14:textId="77777777" w:rsidR="00B26DE5" w:rsidRPr="00B26DE5" w:rsidRDefault="00B26DE5" w:rsidP="00B26DE5">
      <w:pPr>
        <w:spacing w:line="240" w:lineRule="auto"/>
        <w:rPr>
          <w:rFonts w:eastAsia="Times New Roman" w:cs="Arial"/>
        </w:rPr>
      </w:pPr>
      <w:r w:rsidRPr="00B26DE5">
        <w:rPr>
          <w:rFonts w:eastAsia="Times New Roman" w:cs="Arial"/>
          <w:color w:val="000000"/>
          <w:lang w:eastAsia="bg-BG"/>
        </w:rPr>
        <w:t xml:space="preserve">8 </w:t>
      </w:r>
      <w:r w:rsidRPr="00B26DE5">
        <w:rPr>
          <w:rFonts w:eastAsia="Times New Roman" w:cs="Arial"/>
          <w:color w:val="000000"/>
          <w:lang w:val="en-US"/>
        </w:rPr>
        <w:t>mg</w:t>
      </w:r>
      <w:r w:rsidRPr="00B26DE5">
        <w:rPr>
          <w:rFonts w:eastAsia="Times New Roman" w:cs="Arial"/>
          <w:color w:val="000000"/>
          <w:lang w:val="ru-RU"/>
        </w:rPr>
        <w:t xml:space="preserve">: </w:t>
      </w:r>
      <w:r w:rsidRPr="00B26DE5">
        <w:rPr>
          <w:rFonts w:eastAsia="Times New Roman" w:cs="Arial"/>
          <w:color w:val="000000"/>
          <w:lang w:eastAsia="bg-BG"/>
        </w:rPr>
        <w:t xml:space="preserve">Кръгли, светло розови, леко двойноизпъкнали, диаметър 7 </w:t>
      </w:r>
      <w:r w:rsidRPr="00B26DE5">
        <w:rPr>
          <w:rFonts w:eastAsia="Times New Roman" w:cs="Arial"/>
          <w:color w:val="000000"/>
          <w:lang w:val="en-US"/>
        </w:rPr>
        <w:t>mm</w:t>
      </w:r>
      <w:r w:rsidRPr="00B26DE5">
        <w:rPr>
          <w:rFonts w:eastAsia="Times New Roman" w:cs="Arial"/>
          <w:color w:val="000000"/>
          <w:lang w:val="ru-RU"/>
        </w:rPr>
        <w:t xml:space="preserve">, </w:t>
      </w:r>
      <w:r w:rsidRPr="00B26DE5">
        <w:rPr>
          <w:rFonts w:eastAsia="Times New Roman" w:cs="Arial"/>
          <w:color w:val="000000"/>
          <w:lang w:eastAsia="bg-BG"/>
        </w:rPr>
        <w:t>от едната страна с делителна черта със скосени ръбове.</w:t>
      </w:r>
    </w:p>
    <w:p w14:paraId="41662E67" w14:textId="77777777" w:rsidR="00B26DE5" w:rsidRPr="00B26DE5" w:rsidRDefault="00B26DE5" w:rsidP="00B26DE5">
      <w:pPr>
        <w:spacing w:line="240" w:lineRule="auto"/>
        <w:rPr>
          <w:rFonts w:eastAsia="Times New Roman" w:cs="Arial"/>
        </w:rPr>
      </w:pPr>
      <w:r w:rsidRPr="00B26DE5">
        <w:rPr>
          <w:rFonts w:eastAsia="Times New Roman" w:cs="Arial"/>
          <w:color w:val="000000"/>
          <w:lang w:eastAsia="bg-BG"/>
        </w:rPr>
        <w:t xml:space="preserve">16 </w:t>
      </w:r>
      <w:r w:rsidRPr="00B26DE5">
        <w:rPr>
          <w:rFonts w:eastAsia="Times New Roman" w:cs="Arial"/>
          <w:color w:val="000000"/>
          <w:lang w:val="en-US"/>
        </w:rPr>
        <w:t>mg</w:t>
      </w:r>
      <w:r w:rsidRPr="00B26DE5">
        <w:rPr>
          <w:rFonts w:eastAsia="Times New Roman" w:cs="Arial"/>
          <w:color w:val="000000"/>
          <w:lang w:val="ru-RU"/>
        </w:rPr>
        <w:t xml:space="preserve">: </w:t>
      </w:r>
      <w:r w:rsidRPr="00B26DE5">
        <w:rPr>
          <w:rFonts w:eastAsia="Times New Roman" w:cs="Arial"/>
          <w:color w:val="000000"/>
          <w:lang w:eastAsia="bg-BG"/>
        </w:rPr>
        <w:t xml:space="preserve">Кръгли, светло розови, леко двойноизпъкнали, диаметър 7 </w:t>
      </w:r>
      <w:r w:rsidRPr="00B26DE5">
        <w:rPr>
          <w:rFonts w:eastAsia="Times New Roman" w:cs="Arial"/>
          <w:color w:val="000000"/>
          <w:lang w:val="en-US"/>
        </w:rPr>
        <w:t>mm</w:t>
      </w:r>
      <w:r w:rsidRPr="00B26DE5">
        <w:rPr>
          <w:rFonts w:eastAsia="Times New Roman" w:cs="Arial"/>
          <w:color w:val="000000"/>
          <w:lang w:val="ru-RU"/>
        </w:rPr>
        <w:t xml:space="preserve">, </w:t>
      </w:r>
      <w:r w:rsidRPr="00B26DE5">
        <w:rPr>
          <w:rFonts w:eastAsia="Times New Roman" w:cs="Arial"/>
          <w:color w:val="000000"/>
          <w:lang w:eastAsia="bg-BG"/>
        </w:rPr>
        <w:t>от едната страна с делителна черта със скосени ръбове.</w:t>
      </w:r>
    </w:p>
    <w:p w14:paraId="080EFFEF" w14:textId="77777777" w:rsidR="00B26DE5" w:rsidRPr="00B26DE5" w:rsidRDefault="00B26DE5" w:rsidP="00B26DE5">
      <w:pPr>
        <w:spacing w:line="240" w:lineRule="auto"/>
        <w:rPr>
          <w:rFonts w:eastAsia="Times New Roman" w:cs="Arial"/>
        </w:rPr>
      </w:pPr>
      <w:r w:rsidRPr="00B26DE5">
        <w:rPr>
          <w:rFonts w:eastAsia="Times New Roman" w:cs="Arial"/>
          <w:color w:val="000000"/>
          <w:lang w:eastAsia="bg-BG"/>
        </w:rPr>
        <w:t xml:space="preserve">32 </w:t>
      </w:r>
      <w:r w:rsidRPr="00B26DE5">
        <w:rPr>
          <w:rFonts w:eastAsia="Times New Roman" w:cs="Arial"/>
          <w:color w:val="000000"/>
          <w:lang w:val="en-US"/>
        </w:rPr>
        <w:t>mg</w:t>
      </w:r>
      <w:r w:rsidRPr="00B26DE5">
        <w:rPr>
          <w:rFonts w:eastAsia="Times New Roman" w:cs="Arial"/>
          <w:color w:val="000000"/>
          <w:lang w:val="ru-RU"/>
        </w:rPr>
        <w:t xml:space="preserve">: </w:t>
      </w:r>
      <w:r w:rsidRPr="00B26DE5">
        <w:rPr>
          <w:rFonts w:eastAsia="Times New Roman" w:cs="Arial"/>
          <w:color w:val="000000"/>
          <w:lang w:eastAsia="bg-BG"/>
        </w:rPr>
        <w:t xml:space="preserve">Кръгли, светло розови, леко двойноизпъкнали, диаметър 9 </w:t>
      </w:r>
      <w:r w:rsidRPr="00B26DE5">
        <w:rPr>
          <w:rFonts w:eastAsia="Times New Roman" w:cs="Arial"/>
          <w:color w:val="000000"/>
          <w:lang w:val="en-US"/>
        </w:rPr>
        <w:t>mm</w:t>
      </w:r>
      <w:r w:rsidRPr="00B26DE5">
        <w:rPr>
          <w:rFonts w:eastAsia="Times New Roman" w:cs="Arial"/>
          <w:color w:val="000000"/>
          <w:lang w:val="ru-RU"/>
        </w:rPr>
        <w:t xml:space="preserve">, </w:t>
      </w:r>
      <w:r w:rsidRPr="00B26DE5">
        <w:rPr>
          <w:rFonts w:eastAsia="Times New Roman" w:cs="Arial"/>
          <w:color w:val="000000"/>
          <w:lang w:eastAsia="bg-BG"/>
        </w:rPr>
        <w:t>от едната страна с делителна черта със скосени ръбове.</w:t>
      </w:r>
    </w:p>
    <w:p w14:paraId="23271744" w14:textId="77777777" w:rsidR="00B26DE5" w:rsidRDefault="00B26DE5" w:rsidP="00B26DE5">
      <w:pPr>
        <w:spacing w:line="240" w:lineRule="auto"/>
        <w:rPr>
          <w:rFonts w:eastAsia="Times New Roman" w:cs="Arial"/>
          <w:color w:val="000000"/>
          <w:lang w:eastAsia="bg-BG"/>
        </w:rPr>
      </w:pPr>
    </w:p>
    <w:p w14:paraId="427D377C" w14:textId="322DD3E7" w:rsidR="00B26DE5" w:rsidRPr="00B26DE5" w:rsidRDefault="00B26DE5" w:rsidP="00B26DE5">
      <w:pPr>
        <w:spacing w:line="240" w:lineRule="auto"/>
        <w:rPr>
          <w:rFonts w:ascii="Times New Roman" w:eastAsia="Times New Roman" w:hAnsi="Times New Roman" w:cs="Times New Roman"/>
          <w:sz w:val="24"/>
          <w:szCs w:val="24"/>
        </w:rPr>
      </w:pPr>
      <w:r w:rsidRPr="00B26DE5">
        <w:rPr>
          <w:rFonts w:eastAsia="Times New Roman" w:cs="Arial"/>
          <w:color w:val="000000"/>
          <w:lang w:eastAsia="bg-BG"/>
        </w:rPr>
        <w:t>Таблетките могат да се делят на равни дози.</w:t>
      </w:r>
    </w:p>
    <w:p w14:paraId="0B17BAA2" w14:textId="77777777" w:rsidR="00B26DE5" w:rsidRPr="00B26DE5" w:rsidRDefault="00B26DE5" w:rsidP="00B26DE5"/>
    <w:p w14:paraId="490FC2C4" w14:textId="0F4A4A75" w:rsidR="002C50EE" w:rsidRDefault="002C50EE" w:rsidP="002C50EE">
      <w:pPr>
        <w:pStyle w:val="Heading1"/>
      </w:pPr>
      <w:r>
        <w:lastRenderedPageBreak/>
        <w:t>4. КЛИНИЧНИ ДАННИ</w:t>
      </w:r>
    </w:p>
    <w:p w14:paraId="74330405" w14:textId="3E0F111D" w:rsidR="007122AD" w:rsidRDefault="002C50EE" w:rsidP="00936AD0">
      <w:pPr>
        <w:pStyle w:val="Heading2"/>
      </w:pPr>
      <w:r>
        <w:t>4.1. Терапевтични показания</w:t>
      </w:r>
    </w:p>
    <w:p w14:paraId="6310582E" w14:textId="0513C3F7" w:rsidR="00B26DE5" w:rsidRDefault="00B26DE5" w:rsidP="00B26DE5"/>
    <w:p w14:paraId="70FBFB4C" w14:textId="77777777" w:rsidR="00B26DE5" w:rsidRPr="00B26DE5" w:rsidRDefault="00B26DE5" w:rsidP="00B26DE5">
      <w:pPr>
        <w:spacing w:line="240" w:lineRule="auto"/>
        <w:rPr>
          <w:rFonts w:eastAsia="Times New Roman" w:cs="Arial"/>
        </w:rPr>
      </w:pPr>
      <w:r w:rsidRPr="00B26DE5">
        <w:rPr>
          <w:rFonts w:eastAsia="Times New Roman" w:cs="Arial"/>
          <w:color w:val="000000"/>
          <w:lang w:eastAsia="bg-BG"/>
        </w:rPr>
        <w:t>Карбис е показан за:</w:t>
      </w:r>
    </w:p>
    <w:p w14:paraId="3F5BE071" w14:textId="77777777" w:rsidR="00B26DE5" w:rsidRPr="00B26DE5" w:rsidRDefault="00B26DE5" w:rsidP="00B26DE5">
      <w:pPr>
        <w:spacing w:line="240" w:lineRule="auto"/>
        <w:rPr>
          <w:rFonts w:eastAsia="Times New Roman" w:cs="Arial"/>
          <w:color w:val="000000"/>
          <w:lang w:eastAsia="bg-BG"/>
        </w:rPr>
      </w:pPr>
    </w:p>
    <w:p w14:paraId="0DE47D3C" w14:textId="2832C929" w:rsidR="00B26DE5" w:rsidRPr="00B26DE5" w:rsidRDefault="00B26DE5" w:rsidP="00B26DE5">
      <w:pPr>
        <w:pStyle w:val="ListParagraph"/>
        <w:numPr>
          <w:ilvl w:val="0"/>
          <w:numId w:val="37"/>
        </w:numPr>
        <w:spacing w:line="240" w:lineRule="auto"/>
        <w:rPr>
          <w:rFonts w:eastAsia="Times New Roman" w:cs="Arial"/>
        </w:rPr>
      </w:pPr>
      <w:r w:rsidRPr="00B26DE5">
        <w:rPr>
          <w:rFonts w:eastAsia="Times New Roman" w:cs="Arial"/>
          <w:color w:val="000000"/>
          <w:lang w:eastAsia="bg-BG"/>
        </w:rPr>
        <w:t>Лечение на есенциална хипертония при възрастни.</w:t>
      </w:r>
    </w:p>
    <w:p w14:paraId="11A52C8F" w14:textId="77777777" w:rsidR="00B26DE5" w:rsidRPr="00B26DE5" w:rsidRDefault="00B26DE5" w:rsidP="00B26DE5">
      <w:pPr>
        <w:pStyle w:val="ListParagraph"/>
        <w:numPr>
          <w:ilvl w:val="0"/>
          <w:numId w:val="37"/>
        </w:numPr>
        <w:spacing w:line="240" w:lineRule="auto"/>
        <w:rPr>
          <w:rFonts w:eastAsia="Times New Roman" w:cs="Arial"/>
        </w:rPr>
      </w:pPr>
      <w:r w:rsidRPr="00B26DE5">
        <w:rPr>
          <w:rFonts w:eastAsia="Times New Roman" w:cs="Arial"/>
          <w:color w:val="000000"/>
          <w:lang w:eastAsia="bg-BG"/>
        </w:rPr>
        <w:t>Лечение на есенциална хипертония при деца и юноши на възраст от 6 до &lt;18 години.</w:t>
      </w:r>
    </w:p>
    <w:p w14:paraId="588DE75D" w14:textId="77777777" w:rsidR="00B26DE5" w:rsidRPr="00B26DE5" w:rsidRDefault="00B26DE5" w:rsidP="00B26DE5">
      <w:pPr>
        <w:pStyle w:val="ListParagraph"/>
        <w:numPr>
          <w:ilvl w:val="0"/>
          <w:numId w:val="37"/>
        </w:numPr>
        <w:rPr>
          <w:rFonts w:eastAsia="Times New Roman" w:cs="Arial"/>
        </w:rPr>
      </w:pPr>
      <w:r w:rsidRPr="00B26DE5">
        <w:rPr>
          <w:rFonts w:eastAsia="Times New Roman" w:cs="Arial"/>
          <w:color w:val="000000"/>
          <w:lang w:eastAsia="bg-BG"/>
        </w:rPr>
        <w:t xml:space="preserve">Лечение на възрастни пациенти със сърдечна недостатъчност и нарушена левокаморна систолна функция (левокамерна фракция на изтласкване ≤ 40%), когато </w:t>
      </w:r>
      <w:r w:rsidRPr="00B26DE5">
        <w:rPr>
          <w:rFonts w:eastAsia="Times New Roman" w:cs="Arial"/>
          <w:color w:val="000000"/>
          <w:lang w:val="en-US"/>
        </w:rPr>
        <w:t>ACE</w:t>
      </w:r>
      <w:r w:rsidRPr="00B26DE5">
        <w:rPr>
          <w:rFonts w:eastAsia="Times New Roman" w:cs="Arial"/>
          <w:color w:val="000000"/>
          <w:lang w:val="ru-RU"/>
        </w:rPr>
        <w:t xml:space="preserve"> </w:t>
      </w:r>
      <w:r w:rsidRPr="00B26DE5">
        <w:rPr>
          <w:rFonts w:eastAsia="Times New Roman" w:cs="Arial"/>
          <w:color w:val="000000"/>
          <w:lang w:eastAsia="bg-BG"/>
        </w:rPr>
        <w:t xml:space="preserve">инхибитори </w:t>
      </w:r>
      <w:r w:rsidRPr="00B26DE5">
        <w:rPr>
          <w:rFonts w:eastAsia="Times New Roman" w:cs="Arial"/>
          <w:i/>
          <w:iCs/>
          <w:color w:val="000000"/>
          <w:lang w:eastAsia="bg-BG"/>
        </w:rPr>
        <w:t>не</w:t>
      </w:r>
      <w:r w:rsidRPr="00B26DE5">
        <w:rPr>
          <w:rFonts w:eastAsia="Times New Roman" w:cs="Arial"/>
          <w:color w:val="000000"/>
          <w:lang w:eastAsia="bg-BG"/>
        </w:rPr>
        <w:t xml:space="preserve"> се понасят, или като допълваща терапията към АСЕ инхибитори при пациенти със симптоматична сърдечна недостатъчност, въпреки оптималната терапия, когато минералкортикоидни рецепторни антагонисти не се понасят (вж. точки 4.2, 4.4, 4.5 и 5.1).</w:t>
      </w:r>
    </w:p>
    <w:p w14:paraId="08AB218D" w14:textId="42BE31E2" w:rsidR="00B26DE5" w:rsidRPr="00B26DE5" w:rsidRDefault="00B26DE5" w:rsidP="00B26DE5">
      <w:pPr>
        <w:spacing w:line="240" w:lineRule="auto"/>
        <w:rPr>
          <w:rFonts w:ascii="Times New Roman" w:eastAsia="Times New Roman" w:hAnsi="Times New Roman" w:cs="Times New Roman"/>
          <w:sz w:val="24"/>
          <w:szCs w:val="24"/>
        </w:rPr>
      </w:pPr>
    </w:p>
    <w:p w14:paraId="625199BE" w14:textId="77777777" w:rsidR="00B26DE5" w:rsidRPr="00B26DE5" w:rsidRDefault="00B26DE5" w:rsidP="00B26DE5"/>
    <w:p w14:paraId="53F5B866" w14:textId="17A35F16" w:rsidR="007122AD" w:rsidRDefault="002C50EE" w:rsidP="00936AD0">
      <w:pPr>
        <w:pStyle w:val="Heading2"/>
      </w:pPr>
      <w:r>
        <w:t>4.2. Дозировка и начин на приложение</w:t>
      </w:r>
    </w:p>
    <w:p w14:paraId="7183A036" w14:textId="61A633EC" w:rsidR="00B26DE5" w:rsidRDefault="00B26DE5" w:rsidP="00B26DE5"/>
    <w:p w14:paraId="4F45BDE7" w14:textId="77777777" w:rsidR="00B26DE5" w:rsidRPr="00B26DE5" w:rsidRDefault="00B26DE5" w:rsidP="00B26DE5">
      <w:pPr>
        <w:spacing w:line="240" w:lineRule="auto"/>
        <w:rPr>
          <w:rFonts w:eastAsia="Times New Roman" w:cs="Arial"/>
        </w:rPr>
      </w:pPr>
      <w:r w:rsidRPr="00B26DE5">
        <w:rPr>
          <w:rFonts w:eastAsia="Times New Roman" w:cs="Arial"/>
          <w:color w:val="000000"/>
          <w:u w:val="single"/>
          <w:lang w:eastAsia="bg-BG"/>
        </w:rPr>
        <w:t>Приложение при хипертония</w:t>
      </w:r>
    </w:p>
    <w:p w14:paraId="792D0E03" w14:textId="77777777" w:rsidR="00B26DE5" w:rsidRDefault="00B26DE5" w:rsidP="00B26DE5">
      <w:pPr>
        <w:spacing w:line="240" w:lineRule="auto"/>
        <w:rPr>
          <w:rFonts w:eastAsia="Times New Roman" w:cs="Arial"/>
          <w:color w:val="000000"/>
          <w:lang w:eastAsia="bg-BG"/>
        </w:rPr>
      </w:pPr>
    </w:p>
    <w:p w14:paraId="41933942" w14:textId="01857D85" w:rsidR="00B26DE5" w:rsidRPr="00B26DE5" w:rsidRDefault="00B26DE5" w:rsidP="00B26DE5">
      <w:pPr>
        <w:spacing w:line="240" w:lineRule="auto"/>
        <w:rPr>
          <w:rFonts w:eastAsia="Times New Roman" w:cs="Arial"/>
        </w:rPr>
      </w:pPr>
      <w:r w:rsidRPr="00B26DE5">
        <w:rPr>
          <w:rFonts w:eastAsia="Times New Roman" w:cs="Arial"/>
          <w:color w:val="000000"/>
          <w:lang w:eastAsia="bg-BG"/>
        </w:rPr>
        <w:t xml:space="preserve">Препоръчителната начална доза и обичайната поддържаща доза на Карбис е 8 </w:t>
      </w:r>
      <w:r w:rsidRPr="00B26DE5">
        <w:rPr>
          <w:rFonts w:eastAsia="Times New Roman" w:cs="Arial"/>
          <w:color w:val="000000"/>
          <w:lang w:val="en-US"/>
        </w:rPr>
        <w:t>mg</w:t>
      </w:r>
      <w:r w:rsidRPr="00B26DE5">
        <w:rPr>
          <w:rFonts w:eastAsia="Times New Roman" w:cs="Arial"/>
          <w:color w:val="000000"/>
          <w:lang w:val="ru-RU"/>
        </w:rPr>
        <w:t xml:space="preserve"> </w:t>
      </w:r>
      <w:r w:rsidRPr="00B26DE5">
        <w:rPr>
          <w:rFonts w:eastAsia="Times New Roman" w:cs="Arial"/>
          <w:color w:val="000000"/>
          <w:lang w:eastAsia="bg-BG"/>
        </w:rPr>
        <w:t xml:space="preserve">веднъж дневно. По-голямата част от антихипертензивния ефект се постига в рамките на 4 седмици. При някои пациенти, чието кръвно налягане не се контролира адекватно, дозата може да бъде увеличена до 16 </w:t>
      </w:r>
      <w:r w:rsidRPr="00B26DE5">
        <w:rPr>
          <w:rFonts w:eastAsia="Times New Roman" w:cs="Arial"/>
          <w:color w:val="000000"/>
          <w:lang w:val="en-US"/>
        </w:rPr>
        <w:t>mg</w:t>
      </w:r>
      <w:r w:rsidRPr="00B26DE5">
        <w:rPr>
          <w:rFonts w:eastAsia="Times New Roman" w:cs="Arial"/>
          <w:color w:val="000000"/>
          <w:lang w:val="ru-RU"/>
        </w:rPr>
        <w:t xml:space="preserve"> </w:t>
      </w:r>
      <w:r w:rsidRPr="00B26DE5">
        <w:rPr>
          <w:rFonts w:eastAsia="Times New Roman" w:cs="Arial"/>
          <w:color w:val="000000"/>
          <w:lang w:eastAsia="bg-BG"/>
        </w:rPr>
        <w:t xml:space="preserve">веднъж дневно и до максимум 32 </w:t>
      </w:r>
      <w:r w:rsidRPr="00B26DE5">
        <w:rPr>
          <w:rFonts w:eastAsia="Times New Roman" w:cs="Arial"/>
          <w:color w:val="000000"/>
          <w:lang w:val="en-US"/>
        </w:rPr>
        <w:t>mg</w:t>
      </w:r>
      <w:r w:rsidRPr="00B26DE5">
        <w:rPr>
          <w:rFonts w:eastAsia="Times New Roman" w:cs="Arial"/>
          <w:color w:val="000000"/>
          <w:lang w:val="ru-RU"/>
        </w:rPr>
        <w:t xml:space="preserve"> </w:t>
      </w:r>
      <w:r w:rsidRPr="00B26DE5">
        <w:rPr>
          <w:rFonts w:eastAsia="Times New Roman" w:cs="Arial"/>
          <w:color w:val="000000"/>
          <w:lang w:eastAsia="bg-BG"/>
        </w:rPr>
        <w:t>веднъж дневно. Терапията трябва да се коригира според повлияването на кръвното налягане.</w:t>
      </w:r>
    </w:p>
    <w:p w14:paraId="480879DC" w14:textId="77777777" w:rsidR="00B26DE5" w:rsidRPr="00B26DE5" w:rsidRDefault="00B26DE5" w:rsidP="00B26DE5">
      <w:pPr>
        <w:spacing w:line="240" w:lineRule="auto"/>
        <w:rPr>
          <w:rFonts w:eastAsia="Times New Roman" w:cs="Arial"/>
        </w:rPr>
      </w:pPr>
      <w:r w:rsidRPr="00B26DE5">
        <w:rPr>
          <w:rFonts w:eastAsia="Times New Roman" w:cs="Arial"/>
          <w:color w:val="000000"/>
          <w:lang w:eastAsia="bg-BG"/>
        </w:rPr>
        <w:t>Карбис може да се прилага с други антихипертензивни лекарства (вж. точки 4.3, 4.4, 4.5 и 5.1). Доказано е, че добавянето на хидрохлоротиазид има адитивен антихипертензивен ефект за различните дози Карбис.</w:t>
      </w:r>
    </w:p>
    <w:p w14:paraId="4572BA2C" w14:textId="77777777" w:rsidR="00B26DE5" w:rsidRDefault="00B26DE5" w:rsidP="00B26DE5">
      <w:pPr>
        <w:spacing w:line="240" w:lineRule="auto"/>
        <w:rPr>
          <w:rFonts w:eastAsia="Times New Roman" w:cs="Arial"/>
          <w:i/>
          <w:iCs/>
          <w:color w:val="000000"/>
          <w:lang w:eastAsia="bg-BG"/>
        </w:rPr>
      </w:pPr>
    </w:p>
    <w:p w14:paraId="0837C172" w14:textId="507F79DC" w:rsidR="00B26DE5" w:rsidRPr="00B26DE5" w:rsidRDefault="00B26DE5" w:rsidP="00B26DE5">
      <w:pPr>
        <w:spacing w:line="240" w:lineRule="auto"/>
        <w:rPr>
          <w:rFonts w:eastAsia="Times New Roman" w:cs="Arial"/>
        </w:rPr>
      </w:pPr>
      <w:r w:rsidRPr="00B26DE5">
        <w:rPr>
          <w:rFonts w:eastAsia="Times New Roman" w:cs="Arial"/>
          <w:i/>
          <w:iCs/>
          <w:color w:val="000000"/>
          <w:lang w:eastAsia="bg-BG"/>
        </w:rPr>
        <w:t>Пациенти е старческа възраст</w:t>
      </w:r>
    </w:p>
    <w:p w14:paraId="5E04E1B1" w14:textId="77777777" w:rsidR="00B26DE5" w:rsidRPr="00B26DE5" w:rsidRDefault="00B26DE5" w:rsidP="00B26DE5">
      <w:pPr>
        <w:spacing w:line="240" w:lineRule="auto"/>
        <w:rPr>
          <w:rFonts w:eastAsia="Times New Roman" w:cs="Arial"/>
        </w:rPr>
      </w:pPr>
      <w:r w:rsidRPr="00B26DE5">
        <w:rPr>
          <w:rFonts w:eastAsia="Times New Roman" w:cs="Arial"/>
          <w:color w:val="000000"/>
          <w:lang w:eastAsia="bg-BG"/>
        </w:rPr>
        <w:t>Не е необходимо начално контролиране на дозата при пациенти в старческа възраст.</w:t>
      </w:r>
    </w:p>
    <w:p w14:paraId="55F81559" w14:textId="77777777" w:rsidR="00B26DE5" w:rsidRDefault="00B26DE5" w:rsidP="00B26DE5">
      <w:pPr>
        <w:spacing w:line="240" w:lineRule="auto"/>
        <w:rPr>
          <w:rFonts w:eastAsia="Times New Roman" w:cs="Arial"/>
          <w:i/>
          <w:iCs/>
          <w:color w:val="000000"/>
          <w:lang w:eastAsia="bg-BG"/>
        </w:rPr>
      </w:pPr>
    </w:p>
    <w:p w14:paraId="7C5334BD" w14:textId="5D5D0E3D" w:rsidR="00B26DE5" w:rsidRPr="00B26DE5" w:rsidRDefault="00B26DE5" w:rsidP="00B26DE5">
      <w:pPr>
        <w:spacing w:line="240" w:lineRule="auto"/>
        <w:rPr>
          <w:rFonts w:eastAsia="Times New Roman" w:cs="Arial"/>
        </w:rPr>
      </w:pPr>
      <w:r w:rsidRPr="00B26DE5">
        <w:rPr>
          <w:rFonts w:eastAsia="Times New Roman" w:cs="Arial"/>
          <w:i/>
          <w:iCs/>
          <w:color w:val="000000"/>
          <w:lang w:eastAsia="bg-BG"/>
        </w:rPr>
        <w:t>Пациенти с намален вътресъдов обем</w:t>
      </w:r>
    </w:p>
    <w:p w14:paraId="1F1B3704" w14:textId="77777777" w:rsidR="00B26DE5" w:rsidRPr="00B26DE5" w:rsidRDefault="00B26DE5" w:rsidP="00B26DE5">
      <w:pPr>
        <w:spacing w:line="240" w:lineRule="auto"/>
        <w:rPr>
          <w:rFonts w:eastAsia="Times New Roman" w:cs="Arial"/>
        </w:rPr>
      </w:pPr>
      <w:r w:rsidRPr="00B26DE5">
        <w:rPr>
          <w:rFonts w:eastAsia="Times New Roman" w:cs="Arial"/>
          <w:color w:val="000000"/>
          <w:lang w:eastAsia="bg-BG"/>
        </w:rPr>
        <w:t xml:space="preserve">При пациенти с риск от хипотония, като болни с вероятност за намален обем, може да се има предвид приложението на доза от 4 </w:t>
      </w:r>
      <w:r w:rsidRPr="00B26DE5">
        <w:rPr>
          <w:rFonts w:eastAsia="Times New Roman" w:cs="Arial"/>
          <w:color w:val="000000"/>
          <w:lang w:val="en-US"/>
        </w:rPr>
        <w:t>mg</w:t>
      </w:r>
      <w:r w:rsidRPr="00B26DE5">
        <w:rPr>
          <w:rFonts w:eastAsia="Times New Roman" w:cs="Arial"/>
          <w:color w:val="000000"/>
          <w:lang w:val="ru-RU"/>
        </w:rPr>
        <w:t xml:space="preserve"> </w:t>
      </w:r>
      <w:r w:rsidRPr="00B26DE5">
        <w:rPr>
          <w:rFonts w:eastAsia="Times New Roman" w:cs="Arial"/>
          <w:color w:val="000000"/>
          <w:lang w:eastAsia="bg-BG"/>
        </w:rPr>
        <w:t>(виж точка 4.4).</w:t>
      </w:r>
    </w:p>
    <w:p w14:paraId="2953B2E8" w14:textId="77777777" w:rsidR="00B26DE5" w:rsidRDefault="00B26DE5" w:rsidP="00B26DE5">
      <w:pPr>
        <w:spacing w:line="240" w:lineRule="auto"/>
        <w:rPr>
          <w:rFonts w:eastAsia="Times New Roman" w:cs="Arial"/>
          <w:i/>
          <w:iCs/>
          <w:color w:val="000000"/>
          <w:lang w:eastAsia="bg-BG"/>
        </w:rPr>
      </w:pPr>
    </w:p>
    <w:p w14:paraId="721A4DC5" w14:textId="2957D358" w:rsidR="00B26DE5" w:rsidRPr="00B26DE5" w:rsidRDefault="00B26DE5" w:rsidP="00B26DE5">
      <w:pPr>
        <w:spacing w:line="240" w:lineRule="auto"/>
        <w:rPr>
          <w:rFonts w:eastAsia="Times New Roman" w:cs="Arial"/>
        </w:rPr>
      </w:pPr>
      <w:r w:rsidRPr="00B26DE5">
        <w:rPr>
          <w:rFonts w:eastAsia="Times New Roman" w:cs="Arial"/>
          <w:i/>
          <w:iCs/>
          <w:color w:val="000000"/>
          <w:lang w:eastAsia="bg-BG"/>
        </w:rPr>
        <w:t>Пациенти с бъбречно увреждане</w:t>
      </w:r>
    </w:p>
    <w:p w14:paraId="76267D0B" w14:textId="77777777" w:rsidR="00B26DE5" w:rsidRPr="00B26DE5" w:rsidRDefault="00B26DE5" w:rsidP="00B26DE5">
      <w:pPr>
        <w:spacing w:line="240" w:lineRule="auto"/>
        <w:rPr>
          <w:rFonts w:eastAsia="Times New Roman" w:cs="Arial"/>
        </w:rPr>
      </w:pPr>
      <w:r w:rsidRPr="00B26DE5">
        <w:rPr>
          <w:rFonts w:eastAsia="Times New Roman" w:cs="Arial"/>
          <w:color w:val="000000"/>
          <w:lang w:eastAsia="bg-BG"/>
        </w:rPr>
        <w:t xml:space="preserve">Началната доза при пациенти с бъбречно увреждане, включително болни на хемодиализа е 4 </w:t>
      </w:r>
      <w:r w:rsidRPr="00B26DE5">
        <w:rPr>
          <w:rFonts w:eastAsia="Times New Roman" w:cs="Arial"/>
          <w:color w:val="000000"/>
          <w:lang w:val="en-US"/>
        </w:rPr>
        <w:t>mg</w:t>
      </w:r>
      <w:r w:rsidRPr="00B26DE5">
        <w:rPr>
          <w:rFonts w:eastAsia="Times New Roman" w:cs="Arial"/>
          <w:color w:val="000000"/>
          <w:lang w:val="ru-RU"/>
        </w:rPr>
        <w:t xml:space="preserve">. </w:t>
      </w:r>
      <w:r w:rsidRPr="00B26DE5">
        <w:rPr>
          <w:rFonts w:eastAsia="Times New Roman" w:cs="Arial"/>
          <w:color w:val="000000"/>
          <w:lang w:eastAsia="bg-BG"/>
        </w:rPr>
        <w:t>Дозата трябва да се увеличава постепенно според отговора. Опитът с пациенти с много тежко или терминално бъбречно увреждане (С</w:t>
      </w:r>
      <w:proofErr w:type="spellStart"/>
      <w:r w:rsidRPr="00B26DE5">
        <w:rPr>
          <w:rFonts w:eastAsia="Times New Roman" w:cs="Arial"/>
          <w:color w:val="000000"/>
          <w:lang w:val="en-US"/>
        </w:rPr>
        <w:t>l</w:t>
      </w:r>
      <w:r w:rsidRPr="00B26DE5">
        <w:rPr>
          <w:rFonts w:eastAsia="Times New Roman" w:cs="Arial"/>
          <w:color w:val="000000"/>
          <w:vertAlign w:val="subscript"/>
          <w:lang w:val="en-US"/>
        </w:rPr>
        <w:t>creatinine</w:t>
      </w:r>
      <w:proofErr w:type="spellEnd"/>
      <w:r w:rsidRPr="00B26DE5">
        <w:rPr>
          <w:rFonts w:eastAsia="Times New Roman" w:cs="Arial"/>
          <w:color w:val="000000"/>
          <w:lang w:eastAsia="bg-BG"/>
        </w:rPr>
        <w:t xml:space="preserve"> &lt;15 </w:t>
      </w:r>
      <w:r w:rsidRPr="00B26DE5">
        <w:rPr>
          <w:rFonts w:eastAsia="Times New Roman" w:cs="Arial"/>
          <w:color w:val="000000"/>
          <w:lang w:val="en-US"/>
        </w:rPr>
        <w:t>ml</w:t>
      </w:r>
      <w:r w:rsidRPr="00B26DE5">
        <w:rPr>
          <w:rFonts w:eastAsia="Times New Roman" w:cs="Arial"/>
          <w:color w:val="000000"/>
          <w:lang w:val="ru-RU"/>
        </w:rPr>
        <w:t>/</w:t>
      </w:r>
      <w:r w:rsidRPr="00B26DE5">
        <w:rPr>
          <w:rFonts w:eastAsia="Times New Roman" w:cs="Arial"/>
          <w:color w:val="000000"/>
          <w:lang w:val="en-US"/>
        </w:rPr>
        <w:t>min</w:t>
      </w:r>
      <w:r w:rsidRPr="00B26DE5">
        <w:rPr>
          <w:rFonts w:eastAsia="Times New Roman" w:cs="Arial"/>
          <w:color w:val="000000"/>
          <w:lang w:val="ru-RU"/>
        </w:rPr>
        <w:t xml:space="preserve">) </w:t>
      </w:r>
      <w:r w:rsidRPr="00B26DE5">
        <w:rPr>
          <w:rFonts w:eastAsia="Times New Roman" w:cs="Arial"/>
          <w:color w:val="000000"/>
          <w:lang w:eastAsia="bg-BG"/>
        </w:rPr>
        <w:t>е ограничен, (виж точка 4.4).</w:t>
      </w:r>
    </w:p>
    <w:p w14:paraId="1737C758" w14:textId="77777777" w:rsidR="00B26DE5" w:rsidRDefault="00B26DE5" w:rsidP="00B26DE5">
      <w:pPr>
        <w:spacing w:line="240" w:lineRule="auto"/>
        <w:rPr>
          <w:rFonts w:eastAsia="Times New Roman" w:cs="Arial"/>
          <w:i/>
          <w:iCs/>
          <w:color w:val="000000"/>
          <w:lang w:eastAsia="bg-BG"/>
        </w:rPr>
      </w:pPr>
    </w:p>
    <w:p w14:paraId="3D980037" w14:textId="0B034341" w:rsidR="00B26DE5" w:rsidRPr="00B26DE5" w:rsidRDefault="00B26DE5" w:rsidP="00B26DE5">
      <w:pPr>
        <w:spacing w:line="240" w:lineRule="auto"/>
        <w:rPr>
          <w:rFonts w:eastAsia="Times New Roman" w:cs="Arial"/>
        </w:rPr>
      </w:pPr>
      <w:r w:rsidRPr="00B26DE5">
        <w:rPr>
          <w:rFonts w:eastAsia="Times New Roman" w:cs="Arial"/>
          <w:i/>
          <w:iCs/>
          <w:color w:val="000000"/>
          <w:lang w:eastAsia="bg-BG"/>
        </w:rPr>
        <w:t>Пациенти с чернодробно увреждане</w:t>
      </w:r>
    </w:p>
    <w:p w14:paraId="0B4D0325" w14:textId="77777777" w:rsidR="00B26DE5" w:rsidRPr="00B26DE5" w:rsidRDefault="00B26DE5" w:rsidP="00B26DE5">
      <w:pPr>
        <w:spacing w:line="240" w:lineRule="auto"/>
        <w:rPr>
          <w:rFonts w:eastAsia="Times New Roman" w:cs="Arial"/>
        </w:rPr>
      </w:pPr>
      <w:r w:rsidRPr="00B26DE5">
        <w:rPr>
          <w:rFonts w:eastAsia="Times New Roman" w:cs="Arial"/>
          <w:color w:val="000000"/>
          <w:lang w:eastAsia="bg-BG"/>
        </w:rPr>
        <w:t xml:space="preserve">При пациенти с леко до умерено чернодробно увреждане се препоръчва доза от 4 </w:t>
      </w:r>
      <w:r w:rsidRPr="00B26DE5">
        <w:rPr>
          <w:rFonts w:eastAsia="Times New Roman" w:cs="Arial"/>
          <w:color w:val="000000"/>
          <w:lang w:val="en-US"/>
        </w:rPr>
        <w:t>mg</w:t>
      </w:r>
      <w:r w:rsidRPr="00B26DE5">
        <w:rPr>
          <w:rFonts w:eastAsia="Times New Roman" w:cs="Arial"/>
          <w:color w:val="000000"/>
          <w:lang w:val="ru-RU"/>
        </w:rPr>
        <w:t xml:space="preserve"> </w:t>
      </w:r>
      <w:r w:rsidRPr="00B26DE5">
        <w:rPr>
          <w:rFonts w:eastAsia="Times New Roman" w:cs="Arial"/>
          <w:color w:val="000000"/>
          <w:lang w:eastAsia="bg-BG"/>
        </w:rPr>
        <w:t>веднъж дневно. Дозата може да се коригира според отговора. Карбис е противопоказан при пациенти с тежко чернодробно увреждане и/или холестаза (вж. точки .4.3 и 5.2).</w:t>
      </w:r>
    </w:p>
    <w:p w14:paraId="2CC27F07" w14:textId="77777777" w:rsidR="00B26DE5" w:rsidRDefault="00B26DE5" w:rsidP="00B26DE5">
      <w:pPr>
        <w:spacing w:line="240" w:lineRule="auto"/>
        <w:rPr>
          <w:rFonts w:eastAsia="Times New Roman" w:cs="Arial"/>
          <w:i/>
          <w:iCs/>
          <w:color w:val="000000"/>
          <w:lang w:eastAsia="bg-BG"/>
        </w:rPr>
      </w:pPr>
    </w:p>
    <w:p w14:paraId="247E48A8" w14:textId="51E72D52" w:rsidR="00B26DE5" w:rsidRPr="00B26DE5" w:rsidRDefault="00B26DE5" w:rsidP="00B26DE5">
      <w:pPr>
        <w:spacing w:line="240" w:lineRule="auto"/>
        <w:rPr>
          <w:rFonts w:eastAsia="Times New Roman" w:cs="Arial"/>
        </w:rPr>
      </w:pPr>
      <w:r w:rsidRPr="00B26DE5">
        <w:rPr>
          <w:rFonts w:eastAsia="Times New Roman" w:cs="Arial"/>
          <w:i/>
          <w:iCs/>
          <w:color w:val="000000"/>
          <w:lang w:eastAsia="bg-BG"/>
        </w:rPr>
        <w:t>Чернокожи пациенти</w:t>
      </w:r>
    </w:p>
    <w:p w14:paraId="1BB620F0" w14:textId="77777777" w:rsidR="00B26DE5" w:rsidRPr="00B26DE5" w:rsidRDefault="00B26DE5" w:rsidP="00B26DE5">
      <w:pPr>
        <w:spacing w:line="240" w:lineRule="auto"/>
        <w:rPr>
          <w:rFonts w:eastAsia="Times New Roman" w:cs="Arial"/>
        </w:rPr>
      </w:pPr>
      <w:r w:rsidRPr="00B26DE5">
        <w:rPr>
          <w:rFonts w:eastAsia="Times New Roman" w:cs="Arial"/>
          <w:color w:val="000000"/>
          <w:lang w:eastAsia="bg-BG"/>
        </w:rPr>
        <w:lastRenderedPageBreak/>
        <w:t>Антихипертензивният ефект на кандесартан е по-слабо изразен при чернокожи пациенти в сравнение с нечернокожи пациенти. Поради това, повишаването на дозата на Карбис и комбинираното лечение може да са необходими по-често за контрол на артериалното налягане при чернокожи пациенти в сравнение с нечернокожи пациенти (виж точка 5.1).</w:t>
      </w:r>
    </w:p>
    <w:p w14:paraId="7A7780C8" w14:textId="77777777" w:rsidR="00B26DE5" w:rsidRDefault="00B26DE5" w:rsidP="00B26DE5">
      <w:pPr>
        <w:spacing w:line="240" w:lineRule="auto"/>
        <w:rPr>
          <w:rFonts w:eastAsia="Times New Roman" w:cs="Arial"/>
          <w:i/>
          <w:iCs/>
          <w:color w:val="000000"/>
          <w:lang w:eastAsia="bg-BG"/>
        </w:rPr>
      </w:pPr>
    </w:p>
    <w:p w14:paraId="351A4ABD" w14:textId="3C8FFA06" w:rsidR="00B26DE5" w:rsidRPr="00B26DE5" w:rsidRDefault="00B26DE5" w:rsidP="00B26DE5">
      <w:pPr>
        <w:spacing w:line="240" w:lineRule="auto"/>
        <w:rPr>
          <w:rFonts w:eastAsia="Times New Roman" w:cs="Arial"/>
        </w:rPr>
      </w:pPr>
      <w:r w:rsidRPr="00B26DE5">
        <w:rPr>
          <w:rFonts w:eastAsia="Times New Roman" w:cs="Arial"/>
          <w:i/>
          <w:iCs/>
          <w:color w:val="000000"/>
          <w:lang w:eastAsia="bg-BG"/>
        </w:rPr>
        <w:t>Педиатрична популация</w:t>
      </w:r>
    </w:p>
    <w:p w14:paraId="3BFBC0F3" w14:textId="77777777" w:rsidR="00B26DE5" w:rsidRDefault="00B26DE5" w:rsidP="00B26DE5">
      <w:pPr>
        <w:spacing w:line="240" w:lineRule="auto"/>
        <w:rPr>
          <w:rFonts w:eastAsia="Times New Roman" w:cs="Arial"/>
          <w:i/>
          <w:iCs/>
          <w:color w:val="000000"/>
          <w:lang w:eastAsia="bg-BG"/>
        </w:rPr>
      </w:pPr>
    </w:p>
    <w:p w14:paraId="4CB20D4D" w14:textId="5594793B" w:rsidR="00B26DE5" w:rsidRPr="00B26DE5" w:rsidRDefault="00B26DE5" w:rsidP="00B26DE5">
      <w:pPr>
        <w:spacing w:line="240" w:lineRule="auto"/>
        <w:rPr>
          <w:rFonts w:eastAsia="Times New Roman" w:cs="Arial"/>
        </w:rPr>
      </w:pPr>
      <w:r w:rsidRPr="00B26DE5">
        <w:rPr>
          <w:rFonts w:eastAsia="Times New Roman" w:cs="Arial"/>
          <w:i/>
          <w:iCs/>
          <w:color w:val="000000"/>
          <w:lang w:eastAsia="bg-BG"/>
        </w:rPr>
        <w:t>Деца и юноши на възраст от 6 до &lt; 18 години:</w:t>
      </w:r>
    </w:p>
    <w:p w14:paraId="7E5108E8" w14:textId="77777777" w:rsidR="00B26DE5" w:rsidRDefault="00B26DE5" w:rsidP="00B26DE5">
      <w:pPr>
        <w:spacing w:line="240" w:lineRule="auto"/>
        <w:rPr>
          <w:rFonts w:eastAsia="Times New Roman" w:cs="Arial"/>
          <w:color w:val="000000"/>
          <w:lang w:eastAsia="bg-BG"/>
        </w:rPr>
      </w:pPr>
    </w:p>
    <w:p w14:paraId="65B5183D" w14:textId="4425EF10" w:rsidR="00B26DE5" w:rsidRPr="00B26DE5" w:rsidRDefault="00B26DE5" w:rsidP="00B26DE5">
      <w:pPr>
        <w:spacing w:line="240" w:lineRule="auto"/>
        <w:rPr>
          <w:rFonts w:eastAsia="Times New Roman" w:cs="Arial"/>
        </w:rPr>
      </w:pPr>
      <w:r w:rsidRPr="00B26DE5">
        <w:rPr>
          <w:rFonts w:eastAsia="Times New Roman" w:cs="Arial"/>
          <w:color w:val="000000"/>
          <w:lang w:eastAsia="bg-BG"/>
        </w:rPr>
        <w:t xml:space="preserve">Препоръчителната начална доза е 4 </w:t>
      </w:r>
      <w:r w:rsidRPr="00B26DE5">
        <w:rPr>
          <w:rFonts w:eastAsia="Times New Roman" w:cs="Arial"/>
          <w:color w:val="000000"/>
          <w:lang w:val="en-US"/>
        </w:rPr>
        <w:t>mg</w:t>
      </w:r>
      <w:r w:rsidRPr="00B26DE5">
        <w:rPr>
          <w:rFonts w:eastAsia="Times New Roman" w:cs="Arial"/>
          <w:color w:val="000000"/>
          <w:lang w:val="ru-RU"/>
        </w:rPr>
        <w:t xml:space="preserve"> </w:t>
      </w:r>
      <w:r w:rsidRPr="00B26DE5">
        <w:rPr>
          <w:rFonts w:eastAsia="Times New Roman" w:cs="Arial"/>
          <w:color w:val="000000"/>
          <w:lang w:eastAsia="bg-BG"/>
        </w:rPr>
        <w:t>веднъж дневно.</w:t>
      </w:r>
    </w:p>
    <w:p w14:paraId="0C18B736" w14:textId="77777777" w:rsidR="00B26DE5" w:rsidRDefault="00B26DE5" w:rsidP="00B26DE5">
      <w:pPr>
        <w:spacing w:line="240" w:lineRule="auto"/>
        <w:rPr>
          <w:rFonts w:eastAsia="Times New Roman" w:cs="Arial"/>
          <w:color w:val="000000"/>
          <w:lang w:eastAsia="bg-BG"/>
        </w:rPr>
      </w:pPr>
    </w:p>
    <w:p w14:paraId="67A649CE" w14:textId="77777777" w:rsidR="00B26DE5" w:rsidRPr="00B26DE5" w:rsidRDefault="00B26DE5" w:rsidP="00B26DE5">
      <w:pPr>
        <w:pStyle w:val="ListParagraph"/>
        <w:numPr>
          <w:ilvl w:val="0"/>
          <w:numId w:val="37"/>
        </w:numPr>
        <w:spacing w:line="240" w:lineRule="auto"/>
        <w:rPr>
          <w:rFonts w:eastAsia="Times New Roman" w:cs="Arial"/>
        </w:rPr>
      </w:pPr>
      <w:r w:rsidRPr="00B26DE5">
        <w:rPr>
          <w:rFonts w:eastAsia="Times New Roman" w:cs="Arial"/>
          <w:color w:val="000000"/>
          <w:lang w:eastAsia="bg-BG"/>
        </w:rPr>
        <w:t xml:space="preserve">Пациенти с телесно тегло &lt; 50 </w:t>
      </w:r>
      <w:r w:rsidRPr="00B26DE5">
        <w:rPr>
          <w:rFonts w:eastAsia="Times New Roman" w:cs="Arial"/>
          <w:color w:val="000000"/>
          <w:lang w:val="en-US"/>
        </w:rPr>
        <w:t>kg</w:t>
      </w:r>
      <w:r w:rsidRPr="00B26DE5">
        <w:rPr>
          <w:rFonts w:eastAsia="Times New Roman" w:cs="Arial"/>
          <w:color w:val="000000"/>
          <w:lang w:val="ru-RU"/>
        </w:rPr>
        <w:t xml:space="preserve">: </w:t>
      </w:r>
      <w:r w:rsidRPr="00B26DE5">
        <w:rPr>
          <w:rFonts w:eastAsia="Times New Roman" w:cs="Arial"/>
          <w:color w:val="000000"/>
          <w:lang w:eastAsia="bg-BG"/>
        </w:rPr>
        <w:t xml:space="preserve">При пациенти, чието артериално налягане не е под адекватен контрол, дозата може да бъде повишена до максимум 8 </w:t>
      </w:r>
      <w:r w:rsidRPr="00B26DE5">
        <w:rPr>
          <w:rFonts w:eastAsia="Times New Roman" w:cs="Arial"/>
          <w:color w:val="000000"/>
          <w:lang w:val="en-US"/>
        </w:rPr>
        <w:t>mg</w:t>
      </w:r>
      <w:r w:rsidRPr="00B26DE5">
        <w:rPr>
          <w:rFonts w:eastAsia="Times New Roman" w:cs="Arial"/>
          <w:color w:val="000000"/>
          <w:lang w:val="ru-RU"/>
        </w:rPr>
        <w:t xml:space="preserve"> </w:t>
      </w:r>
      <w:r w:rsidRPr="00B26DE5">
        <w:rPr>
          <w:rFonts w:eastAsia="Times New Roman" w:cs="Arial"/>
          <w:color w:val="000000"/>
          <w:lang w:eastAsia="bg-BG"/>
        </w:rPr>
        <w:t>веднъж дневно.</w:t>
      </w:r>
    </w:p>
    <w:p w14:paraId="2FB680DB" w14:textId="18A406D1" w:rsidR="00B26DE5" w:rsidRPr="00B26DE5" w:rsidRDefault="00B26DE5" w:rsidP="00B26DE5">
      <w:pPr>
        <w:pStyle w:val="ListParagraph"/>
        <w:numPr>
          <w:ilvl w:val="0"/>
          <w:numId w:val="37"/>
        </w:numPr>
        <w:spacing w:line="240" w:lineRule="auto"/>
        <w:rPr>
          <w:rFonts w:eastAsia="Times New Roman" w:cs="Arial"/>
        </w:rPr>
      </w:pPr>
      <w:r w:rsidRPr="00B26DE5">
        <w:rPr>
          <w:rFonts w:eastAsia="Times New Roman" w:cs="Arial"/>
          <w:color w:val="000000"/>
          <w:lang w:eastAsia="bg-BG"/>
        </w:rPr>
        <w:t xml:space="preserve">Пациенти с телесно тегло ≥ 50 </w:t>
      </w:r>
      <w:r w:rsidRPr="00B26DE5">
        <w:rPr>
          <w:rFonts w:eastAsia="Times New Roman" w:cs="Arial"/>
          <w:color w:val="000000"/>
          <w:lang w:val="en-US"/>
        </w:rPr>
        <w:t>kg</w:t>
      </w:r>
      <w:r w:rsidRPr="00B26DE5">
        <w:rPr>
          <w:rFonts w:eastAsia="Times New Roman" w:cs="Arial"/>
          <w:color w:val="000000"/>
          <w:lang w:val="ru-RU"/>
        </w:rPr>
        <w:t xml:space="preserve">: </w:t>
      </w:r>
      <w:r w:rsidRPr="00B26DE5">
        <w:rPr>
          <w:rFonts w:eastAsia="Times New Roman" w:cs="Arial"/>
          <w:color w:val="000000"/>
          <w:lang w:eastAsia="bg-BG"/>
        </w:rPr>
        <w:t xml:space="preserve">При пациенти, чието артериално налагане не е под адекватен контрол, дозата може да бъде повишена до 8 </w:t>
      </w:r>
      <w:r w:rsidRPr="00B26DE5">
        <w:rPr>
          <w:rFonts w:eastAsia="Times New Roman" w:cs="Arial"/>
          <w:color w:val="000000"/>
          <w:lang w:val="en-US"/>
        </w:rPr>
        <w:t>mg</w:t>
      </w:r>
      <w:r w:rsidRPr="00B26DE5">
        <w:rPr>
          <w:rFonts w:eastAsia="Times New Roman" w:cs="Arial"/>
          <w:color w:val="000000"/>
          <w:lang w:val="ru-RU"/>
        </w:rPr>
        <w:t xml:space="preserve"> </w:t>
      </w:r>
      <w:r w:rsidRPr="00B26DE5">
        <w:rPr>
          <w:rFonts w:eastAsia="Times New Roman" w:cs="Arial"/>
          <w:color w:val="000000"/>
          <w:lang w:eastAsia="bg-BG"/>
        </w:rPr>
        <w:t xml:space="preserve">веднъж дневно, след което, ако е необходимо - до 16 </w:t>
      </w:r>
      <w:r w:rsidRPr="00B26DE5">
        <w:rPr>
          <w:rFonts w:eastAsia="Times New Roman" w:cs="Arial"/>
          <w:color w:val="000000"/>
          <w:lang w:val="en-US"/>
        </w:rPr>
        <w:t>mg</w:t>
      </w:r>
      <w:r w:rsidRPr="00B26DE5">
        <w:rPr>
          <w:rFonts w:eastAsia="Times New Roman" w:cs="Arial"/>
          <w:color w:val="000000"/>
          <w:lang w:val="ru-RU"/>
        </w:rPr>
        <w:t xml:space="preserve"> </w:t>
      </w:r>
      <w:r w:rsidRPr="00B26DE5">
        <w:rPr>
          <w:rFonts w:eastAsia="Times New Roman" w:cs="Arial"/>
          <w:color w:val="000000"/>
          <w:lang w:eastAsia="bg-BG"/>
        </w:rPr>
        <w:t>веднъж дневно (вж. точка 5.1).</w:t>
      </w:r>
    </w:p>
    <w:p w14:paraId="1683D047" w14:textId="77777777" w:rsidR="00B26DE5" w:rsidRDefault="00B26DE5" w:rsidP="00B26DE5">
      <w:pPr>
        <w:spacing w:line="240" w:lineRule="auto"/>
        <w:rPr>
          <w:rFonts w:eastAsia="Times New Roman" w:cs="Arial"/>
          <w:color w:val="000000"/>
          <w:lang w:eastAsia="bg-BG"/>
        </w:rPr>
      </w:pPr>
    </w:p>
    <w:p w14:paraId="077A2F4C" w14:textId="716A4FC9" w:rsidR="00B26DE5" w:rsidRPr="00B26DE5" w:rsidRDefault="00B26DE5" w:rsidP="00B26DE5">
      <w:pPr>
        <w:spacing w:line="240" w:lineRule="auto"/>
        <w:rPr>
          <w:rFonts w:eastAsia="Times New Roman" w:cs="Arial"/>
        </w:rPr>
      </w:pPr>
      <w:r w:rsidRPr="00B26DE5">
        <w:rPr>
          <w:rFonts w:eastAsia="Times New Roman" w:cs="Arial"/>
          <w:color w:val="000000"/>
          <w:lang w:eastAsia="bg-BG"/>
        </w:rPr>
        <w:t xml:space="preserve">Дозировки над 32 </w:t>
      </w:r>
      <w:r w:rsidRPr="00B26DE5">
        <w:rPr>
          <w:rFonts w:eastAsia="Times New Roman" w:cs="Arial"/>
          <w:color w:val="000000"/>
          <w:lang w:val="en-US"/>
        </w:rPr>
        <w:t>mg</w:t>
      </w:r>
      <w:r w:rsidRPr="00B26DE5">
        <w:rPr>
          <w:rFonts w:eastAsia="Times New Roman" w:cs="Arial"/>
          <w:color w:val="000000"/>
          <w:lang w:val="ru-RU"/>
        </w:rPr>
        <w:t xml:space="preserve"> </w:t>
      </w:r>
      <w:r w:rsidRPr="00B26DE5">
        <w:rPr>
          <w:rFonts w:eastAsia="Times New Roman" w:cs="Arial"/>
          <w:color w:val="000000"/>
          <w:lang w:eastAsia="bg-BG"/>
        </w:rPr>
        <w:t>не са проучени при педиатрични пациенти.</w:t>
      </w:r>
    </w:p>
    <w:p w14:paraId="17EBCF58" w14:textId="77777777" w:rsidR="00B26DE5" w:rsidRDefault="00B26DE5" w:rsidP="00B26DE5">
      <w:pPr>
        <w:rPr>
          <w:rFonts w:eastAsia="Times New Roman" w:cs="Arial"/>
          <w:color w:val="000000"/>
          <w:lang w:eastAsia="bg-BG"/>
        </w:rPr>
      </w:pPr>
    </w:p>
    <w:p w14:paraId="4022CBC3" w14:textId="59D9E9D1" w:rsidR="00B26DE5" w:rsidRPr="00B26DE5" w:rsidRDefault="00B26DE5" w:rsidP="00B26DE5">
      <w:pPr>
        <w:rPr>
          <w:rFonts w:eastAsia="Times New Roman" w:cs="Arial"/>
          <w:color w:val="000000"/>
          <w:lang w:eastAsia="bg-BG"/>
        </w:rPr>
      </w:pPr>
      <w:r w:rsidRPr="00B26DE5">
        <w:rPr>
          <w:rFonts w:eastAsia="Times New Roman" w:cs="Arial"/>
          <w:color w:val="000000"/>
          <w:lang w:eastAsia="bg-BG"/>
        </w:rPr>
        <w:t>Основната част от антихипертензивния ефект се разгръща до 4 седмици.</w:t>
      </w:r>
    </w:p>
    <w:p w14:paraId="260A0F37" w14:textId="4C7E2355" w:rsidR="00B26DE5" w:rsidRDefault="00B26DE5" w:rsidP="00B26DE5"/>
    <w:p w14:paraId="59DDA362" w14:textId="77777777" w:rsidR="00B26DE5" w:rsidRPr="00B26DE5" w:rsidRDefault="00B26DE5" w:rsidP="00B26DE5">
      <w:pPr>
        <w:spacing w:line="240" w:lineRule="auto"/>
        <w:rPr>
          <w:rFonts w:eastAsia="Times New Roman" w:cs="Arial"/>
        </w:rPr>
      </w:pPr>
      <w:r w:rsidRPr="00B26DE5">
        <w:rPr>
          <w:rFonts w:eastAsia="Times New Roman" w:cs="Arial"/>
          <w:color w:val="000000"/>
          <w:lang w:eastAsia="bg-BG"/>
        </w:rPr>
        <w:t>При деца е възможно вътресъдово обемно изчерпване (напр. при пациенти, лекувани с диуретици, особено такива с нарушена бъбречна функция), лечението с Карбис трябва да се инициира под строго медицинско наблюдение и следва да се обсъди по-ниска начална доза от обичайната (вж. точка 4.4).</w:t>
      </w:r>
    </w:p>
    <w:p w14:paraId="7C4F46DF" w14:textId="77777777" w:rsidR="00B26DE5" w:rsidRDefault="00B26DE5" w:rsidP="00B26DE5">
      <w:pPr>
        <w:spacing w:line="240" w:lineRule="auto"/>
        <w:rPr>
          <w:rFonts w:eastAsia="Times New Roman" w:cs="Arial"/>
          <w:color w:val="000000"/>
          <w:lang w:eastAsia="bg-BG"/>
        </w:rPr>
      </w:pPr>
    </w:p>
    <w:p w14:paraId="26D1C0BE" w14:textId="478CB6D8" w:rsidR="00B26DE5" w:rsidRPr="00B26DE5" w:rsidRDefault="00B26DE5" w:rsidP="00B26DE5">
      <w:pPr>
        <w:spacing w:line="240" w:lineRule="auto"/>
        <w:rPr>
          <w:rFonts w:eastAsia="Times New Roman" w:cs="Arial"/>
        </w:rPr>
      </w:pPr>
      <w:r w:rsidRPr="00B26DE5">
        <w:rPr>
          <w:rFonts w:eastAsia="Times New Roman" w:cs="Arial"/>
          <w:color w:val="000000"/>
          <w:lang w:eastAsia="bg-BG"/>
        </w:rPr>
        <w:t xml:space="preserve">Карбис не е проучван при деца със скорост на гломерулна филтарция под 30 </w:t>
      </w:r>
      <w:r w:rsidRPr="00B26DE5">
        <w:rPr>
          <w:rFonts w:eastAsia="Times New Roman" w:cs="Arial"/>
          <w:color w:val="000000"/>
          <w:lang w:val="en-US"/>
        </w:rPr>
        <w:t>ml</w:t>
      </w:r>
      <w:r w:rsidRPr="00B26DE5">
        <w:rPr>
          <w:rFonts w:eastAsia="Times New Roman" w:cs="Arial"/>
          <w:color w:val="000000"/>
          <w:lang w:val="ru-RU"/>
        </w:rPr>
        <w:t>/</w:t>
      </w:r>
      <w:r w:rsidRPr="00B26DE5">
        <w:rPr>
          <w:rFonts w:eastAsia="Times New Roman" w:cs="Arial"/>
          <w:color w:val="000000"/>
          <w:lang w:val="en-US"/>
        </w:rPr>
        <w:t>min</w:t>
      </w:r>
      <w:r w:rsidRPr="00B26DE5">
        <w:rPr>
          <w:rFonts w:eastAsia="Times New Roman" w:cs="Arial"/>
          <w:color w:val="000000"/>
          <w:lang w:val="ru-RU"/>
        </w:rPr>
        <w:t>/</w:t>
      </w:r>
      <w:r w:rsidRPr="00B26DE5">
        <w:rPr>
          <w:rFonts w:eastAsia="Times New Roman" w:cs="Arial"/>
          <w:color w:val="000000"/>
          <w:lang w:eastAsia="bg-BG"/>
        </w:rPr>
        <w:t>1,73</w:t>
      </w:r>
      <w:r w:rsidRPr="00B26DE5">
        <w:rPr>
          <w:rFonts w:eastAsia="Times New Roman" w:cs="Arial"/>
          <w:color w:val="000000"/>
          <w:lang w:val="en-US"/>
        </w:rPr>
        <w:t>m</w:t>
      </w:r>
      <w:r w:rsidRPr="00B26DE5">
        <w:rPr>
          <w:rFonts w:eastAsia="Times New Roman" w:cs="Arial"/>
          <w:color w:val="000000"/>
          <w:vertAlign w:val="superscript"/>
          <w:lang w:eastAsia="bg-BG"/>
        </w:rPr>
        <w:t>2</w:t>
      </w:r>
      <w:r w:rsidRPr="00B26DE5">
        <w:rPr>
          <w:rFonts w:eastAsia="Times New Roman" w:cs="Arial"/>
          <w:color w:val="000000"/>
          <w:lang w:eastAsia="bg-BG"/>
        </w:rPr>
        <w:t>(вж. точка 4.4).</w:t>
      </w:r>
    </w:p>
    <w:p w14:paraId="2C99097E" w14:textId="77777777" w:rsidR="00B26DE5" w:rsidRDefault="00B26DE5" w:rsidP="00B26DE5">
      <w:pPr>
        <w:spacing w:line="240" w:lineRule="auto"/>
        <w:rPr>
          <w:rFonts w:eastAsia="Times New Roman" w:cs="Arial"/>
          <w:i/>
          <w:iCs/>
          <w:color w:val="000000"/>
          <w:lang w:eastAsia="bg-BG"/>
        </w:rPr>
      </w:pPr>
    </w:p>
    <w:p w14:paraId="57DC0034" w14:textId="0CC6402F" w:rsidR="00B26DE5" w:rsidRPr="00B26DE5" w:rsidRDefault="00B26DE5" w:rsidP="00B26DE5">
      <w:pPr>
        <w:spacing w:line="240" w:lineRule="auto"/>
        <w:rPr>
          <w:rFonts w:eastAsia="Times New Roman" w:cs="Arial"/>
        </w:rPr>
      </w:pPr>
      <w:r w:rsidRPr="00B26DE5">
        <w:rPr>
          <w:rFonts w:eastAsia="Times New Roman" w:cs="Arial"/>
          <w:i/>
          <w:iCs/>
          <w:color w:val="000000"/>
          <w:lang w:eastAsia="bg-BG"/>
        </w:rPr>
        <w:t>Чернокожи педиатрични пациенти</w:t>
      </w:r>
    </w:p>
    <w:p w14:paraId="2E00BA29" w14:textId="6EDC195F" w:rsidR="00B26DE5" w:rsidRPr="00B26DE5" w:rsidRDefault="00B26DE5" w:rsidP="00B26DE5">
      <w:pPr>
        <w:spacing w:line="240" w:lineRule="auto"/>
        <w:rPr>
          <w:rFonts w:eastAsia="Times New Roman" w:cs="Arial"/>
        </w:rPr>
      </w:pPr>
      <w:r w:rsidRPr="00B26DE5">
        <w:rPr>
          <w:rFonts w:eastAsia="Times New Roman" w:cs="Arial"/>
          <w:color w:val="000000"/>
          <w:lang w:eastAsia="bg-BG"/>
        </w:rPr>
        <w:t>При чернокожи пациенти антихипертензивният ефект на кандесартан е по-слабо изразен, отколкото при нечернокожи пациенти (вж. точка 5.1).</w:t>
      </w:r>
    </w:p>
    <w:p w14:paraId="5E3DE69E" w14:textId="77777777" w:rsidR="00B26DE5" w:rsidRDefault="00B26DE5" w:rsidP="00B26DE5">
      <w:pPr>
        <w:spacing w:line="240" w:lineRule="auto"/>
        <w:rPr>
          <w:rFonts w:eastAsia="Times New Roman" w:cs="Arial"/>
          <w:i/>
          <w:iCs/>
          <w:color w:val="000000"/>
          <w:lang w:eastAsia="bg-BG"/>
        </w:rPr>
      </w:pPr>
    </w:p>
    <w:p w14:paraId="6CF2869E" w14:textId="060DE604" w:rsidR="00B26DE5" w:rsidRPr="00B26DE5" w:rsidRDefault="00B26DE5" w:rsidP="00B26DE5">
      <w:pPr>
        <w:spacing w:line="240" w:lineRule="auto"/>
        <w:rPr>
          <w:rFonts w:eastAsia="Times New Roman" w:cs="Arial"/>
        </w:rPr>
      </w:pPr>
      <w:r w:rsidRPr="00B26DE5">
        <w:rPr>
          <w:rFonts w:eastAsia="Times New Roman" w:cs="Arial"/>
          <w:i/>
          <w:iCs/>
          <w:color w:val="000000"/>
          <w:lang w:eastAsia="bg-BG"/>
        </w:rPr>
        <w:t>Деца на възраст от 1 до &lt;6 години</w:t>
      </w:r>
    </w:p>
    <w:p w14:paraId="250E362C" w14:textId="77777777" w:rsidR="00B26DE5" w:rsidRPr="00B26DE5" w:rsidRDefault="00B26DE5" w:rsidP="00B26DE5">
      <w:pPr>
        <w:pStyle w:val="ListParagraph"/>
        <w:numPr>
          <w:ilvl w:val="0"/>
          <w:numId w:val="37"/>
        </w:numPr>
        <w:spacing w:line="240" w:lineRule="auto"/>
        <w:rPr>
          <w:rFonts w:eastAsia="Times New Roman" w:cs="Arial"/>
        </w:rPr>
      </w:pPr>
      <w:r w:rsidRPr="00B26DE5">
        <w:rPr>
          <w:rFonts w:eastAsia="Times New Roman" w:cs="Arial"/>
          <w:color w:val="000000"/>
          <w:lang w:eastAsia="bg-BG"/>
        </w:rPr>
        <w:t>Безопасността и ефикасността при деца на възраст от 1 до &lt; 6 години не са установени. Наличните понастоящем данни са описани в точка 5.1, но препоръки за дозировка не могат да бъдат дадени.</w:t>
      </w:r>
    </w:p>
    <w:p w14:paraId="76452551" w14:textId="2E2037EC" w:rsidR="00B26DE5" w:rsidRPr="00B26DE5" w:rsidRDefault="00B26DE5" w:rsidP="00B26DE5">
      <w:pPr>
        <w:pStyle w:val="ListParagraph"/>
        <w:numPr>
          <w:ilvl w:val="0"/>
          <w:numId w:val="37"/>
        </w:numPr>
        <w:spacing w:line="240" w:lineRule="auto"/>
        <w:rPr>
          <w:rFonts w:eastAsia="Times New Roman" w:cs="Arial"/>
        </w:rPr>
      </w:pPr>
      <w:r w:rsidRPr="00B26DE5">
        <w:rPr>
          <w:rFonts w:eastAsia="Times New Roman" w:cs="Arial"/>
          <w:color w:val="000000"/>
          <w:lang w:eastAsia="bg-BG"/>
        </w:rPr>
        <w:t>Карбис е противопоказан при деца на възраст под 1 година (вж. точка 4.3).</w:t>
      </w:r>
    </w:p>
    <w:p w14:paraId="3131A40B" w14:textId="77777777" w:rsidR="00B26DE5" w:rsidRDefault="00B26DE5" w:rsidP="00B26DE5">
      <w:pPr>
        <w:spacing w:line="240" w:lineRule="auto"/>
        <w:rPr>
          <w:rFonts w:eastAsia="Times New Roman" w:cs="Arial"/>
          <w:color w:val="000000"/>
          <w:u w:val="single"/>
          <w:lang w:eastAsia="bg-BG"/>
        </w:rPr>
      </w:pPr>
    </w:p>
    <w:p w14:paraId="55B583C5" w14:textId="2D40FCDE" w:rsidR="00B26DE5" w:rsidRPr="00B26DE5" w:rsidRDefault="00B26DE5" w:rsidP="00B26DE5">
      <w:pPr>
        <w:spacing w:line="240" w:lineRule="auto"/>
        <w:rPr>
          <w:rFonts w:eastAsia="Times New Roman" w:cs="Arial"/>
        </w:rPr>
      </w:pPr>
      <w:r w:rsidRPr="00B26DE5">
        <w:rPr>
          <w:rFonts w:eastAsia="Times New Roman" w:cs="Arial"/>
          <w:color w:val="000000"/>
          <w:u w:val="single"/>
          <w:lang w:eastAsia="bg-BG"/>
        </w:rPr>
        <w:t>Приложение при сърдечна недостатъчност</w:t>
      </w:r>
    </w:p>
    <w:p w14:paraId="394D1F6C" w14:textId="77777777" w:rsidR="00B26DE5" w:rsidRDefault="00B26DE5" w:rsidP="00B26DE5">
      <w:pPr>
        <w:spacing w:line="240" w:lineRule="auto"/>
        <w:rPr>
          <w:rFonts w:eastAsia="Times New Roman" w:cs="Arial"/>
          <w:color w:val="000000"/>
          <w:lang w:eastAsia="bg-BG"/>
        </w:rPr>
      </w:pPr>
    </w:p>
    <w:p w14:paraId="2F8CF369" w14:textId="586F1A34" w:rsidR="00B26DE5" w:rsidRPr="00B26DE5" w:rsidRDefault="00B26DE5" w:rsidP="00B26DE5">
      <w:pPr>
        <w:spacing w:line="240" w:lineRule="auto"/>
        <w:rPr>
          <w:rFonts w:eastAsia="Times New Roman" w:cs="Arial"/>
        </w:rPr>
      </w:pPr>
      <w:r w:rsidRPr="00B26DE5">
        <w:rPr>
          <w:rFonts w:eastAsia="Times New Roman" w:cs="Arial"/>
          <w:color w:val="000000"/>
          <w:lang w:eastAsia="bg-BG"/>
        </w:rPr>
        <w:t xml:space="preserve">Обичайната препоръчвана начална доза на Карбис е 4 </w:t>
      </w:r>
      <w:r w:rsidRPr="00B26DE5">
        <w:rPr>
          <w:rFonts w:eastAsia="Times New Roman" w:cs="Arial"/>
          <w:color w:val="000000"/>
          <w:lang w:val="en-US"/>
        </w:rPr>
        <w:t>mg</w:t>
      </w:r>
      <w:r w:rsidRPr="00B26DE5">
        <w:rPr>
          <w:rFonts w:eastAsia="Times New Roman" w:cs="Arial"/>
          <w:color w:val="000000"/>
          <w:lang w:val="ru-RU"/>
        </w:rPr>
        <w:t xml:space="preserve"> </w:t>
      </w:r>
      <w:r w:rsidRPr="00B26DE5">
        <w:rPr>
          <w:rFonts w:eastAsia="Times New Roman" w:cs="Arial"/>
          <w:color w:val="000000"/>
          <w:lang w:eastAsia="bg-BG"/>
        </w:rPr>
        <w:t xml:space="preserve">веднъж дневно. Повишаването на дозата до таргетната доза от 32 </w:t>
      </w:r>
      <w:r w:rsidRPr="00B26DE5">
        <w:rPr>
          <w:rFonts w:eastAsia="Times New Roman" w:cs="Arial"/>
          <w:color w:val="000000"/>
          <w:lang w:val="en-US"/>
        </w:rPr>
        <w:t>mg</w:t>
      </w:r>
      <w:r w:rsidRPr="00B26DE5">
        <w:rPr>
          <w:rFonts w:eastAsia="Times New Roman" w:cs="Arial"/>
          <w:color w:val="000000"/>
          <w:lang w:val="ru-RU"/>
        </w:rPr>
        <w:t xml:space="preserve"> </w:t>
      </w:r>
      <w:r w:rsidRPr="00B26DE5">
        <w:rPr>
          <w:rFonts w:eastAsia="Times New Roman" w:cs="Arial"/>
          <w:color w:val="000000"/>
          <w:lang w:eastAsia="bg-BG"/>
        </w:rPr>
        <w:t xml:space="preserve">веднъж дневно (максимална доза) или до най-високата поносима доза се извършва чрез удвояване на дозата на интервали най-малко от 2 седмици (виж точка 4.4). Оценката на пациенти със сърдечна недостатъчност винаги трябва да включва оценка на бъбречната функция, включително мониторинг на серумния креатинин и калий. Карбис може да се прилага с друго лечение за сърдечна недостатъчност, включително АСЕ инхибитори, бета блокери, диуретици и дигиталис или комбинация от тези лекарствени продукти. Карбис може да се прилага заедно с АСЕ инхибитор при пациенти със симптоматична сърдечна недостатъчност въпреки </w:t>
      </w:r>
      <w:r w:rsidRPr="00B26DE5">
        <w:rPr>
          <w:rFonts w:eastAsia="Times New Roman" w:cs="Arial"/>
          <w:color w:val="000000"/>
          <w:lang w:eastAsia="bg-BG"/>
        </w:rPr>
        <w:lastRenderedPageBreak/>
        <w:t>оптималната стандартна терапия за сърдечна недостатъчност, когато минералкортикоидни рецепторни антагонисти не се понасят. Комбинацията от АСЕ инхибитор, калий-съхраняващ диуретик и Карбис не се препоръчва и трябва да се обмисля само след внимателна оценка на възможните ползи и рискове (вж. точки 4.4, 4.8 и 5.1</w:t>
      </w:r>
    </w:p>
    <w:p w14:paraId="51907004" w14:textId="77777777" w:rsidR="00B26DE5" w:rsidRDefault="00B26DE5" w:rsidP="00B26DE5">
      <w:pPr>
        <w:spacing w:line="240" w:lineRule="auto"/>
        <w:rPr>
          <w:rFonts w:eastAsia="Times New Roman" w:cs="Arial"/>
          <w:i/>
          <w:iCs/>
          <w:color w:val="000000"/>
          <w:lang w:eastAsia="bg-BG"/>
        </w:rPr>
      </w:pPr>
    </w:p>
    <w:p w14:paraId="4D62CAA0" w14:textId="5EBB469A" w:rsidR="00B26DE5" w:rsidRPr="00B26DE5" w:rsidRDefault="00B26DE5" w:rsidP="00B26DE5">
      <w:pPr>
        <w:spacing w:line="240" w:lineRule="auto"/>
        <w:rPr>
          <w:rFonts w:eastAsia="Times New Roman" w:cs="Arial"/>
        </w:rPr>
      </w:pPr>
      <w:r w:rsidRPr="00B26DE5">
        <w:rPr>
          <w:rFonts w:eastAsia="Times New Roman" w:cs="Arial"/>
          <w:i/>
          <w:iCs/>
          <w:color w:val="000000"/>
          <w:lang w:eastAsia="bg-BG"/>
        </w:rPr>
        <w:t>Специални популации пациенти</w:t>
      </w:r>
    </w:p>
    <w:p w14:paraId="2A2AB12C" w14:textId="77777777" w:rsidR="00B26DE5" w:rsidRDefault="00B26DE5" w:rsidP="00B26DE5">
      <w:pPr>
        <w:spacing w:line="240" w:lineRule="auto"/>
        <w:rPr>
          <w:rFonts w:eastAsia="Times New Roman" w:cs="Arial"/>
          <w:color w:val="000000"/>
          <w:lang w:eastAsia="bg-BG"/>
        </w:rPr>
      </w:pPr>
    </w:p>
    <w:p w14:paraId="7F60426C" w14:textId="77777777" w:rsidR="00B26DE5" w:rsidRDefault="00B26DE5" w:rsidP="00B26DE5">
      <w:pPr>
        <w:spacing w:line="240" w:lineRule="auto"/>
        <w:rPr>
          <w:rFonts w:eastAsia="Times New Roman" w:cs="Arial"/>
          <w:color w:val="000000"/>
          <w:lang w:eastAsia="bg-BG"/>
        </w:rPr>
      </w:pPr>
      <w:r w:rsidRPr="00B26DE5">
        <w:rPr>
          <w:rFonts w:eastAsia="Times New Roman" w:cs="Arial"/>
          <w:color w:val="000000"/>
          <w:lang w:eastAsia="bg-BG"/>
        </w:rPr>
        <w:t xml:space="preserve">Не е необходимо начално коригиране на дозата при пациенти в напреднала възраст или болни с намален вътресъдов обем или бъбречно увреждане, или леко до умерено </w:t>
      </w:r>
    </w:p>
    <w:p w14:paraId="620440E7" w14:textId="42DBA546" w:rsidR="00B26DE5" w:rsidRPr="00B26DE5" w:rsidRDefault="00B26DE5" w:rsidP="00B26DE5">
      <w:pPr>
        <w:spacing w:line="240" w:lineRule="auto"/>
        <w:rPr>
          <w:rFonts w:eastAsia="Times New Roman" w:cs="Arial"/>
        </w:rPr>
      </w:pPr>
      <w:r w:rsidRPr="00B26DE5">
        <w:rPr>
          <w:rFonts w:eastAsia="Times New Roman" w:cs="Arial"/>
          <w:color w:val="000000"/>
          <w:lang w:eastAsia="bg-BG"/>
        </w:rPr>
        <w:t>чернодробно увреждане.</w:t>
      </w:r>
    </w:p>
    <w:p w14:paraId="18CEF895" w14:textId="77777777" w:rsidR="00B26DE5" w:rsidRDefault="00B26DE5" w:rsidP="00B26DE5">
      <w:pPr>
        <w:spacing w:line="240" w:lineRule="auto"/>
        <w:rPr>
          <w:rFonts w:eastAsia="Times New Roman" w:cs="Arial"/>
          <w:color w:val="000000"/>
          <w:u w:val="single"/>
          <w:lang w:eastAsia="bg-BG"/>
        </w:rPr>
      </w:pPr>
    </w:p>
    <w:p w14:paraId="583AC385" w14:textId="2AE11AD4" w:rsidR="00B26DE5" w:rsidRPr="00B26DE5" w:rsidRDefault="00B26DE5" w:rsidP="00B26DE5">
      <w:pPr>
        <w:spacing w:line="240" w:lineRule="auto"/>
        <w:rPr>
          <w:rFonts w:eastAsia="Times New Roman" w:cs="Arial"/>
        </w:rPr>
      </w:pPr>
      <w:r w:rsidRPr="00B26DE5">
        <w:rPr>
          <w:rFonts w:eastAsia="Times New Roman" w:cs="Arial"/>
          <w:color w:val="000000"/>
          <w:u w:val="single"/>
          <w:lang w:eastAsia="bg-BG"/>
        </w:rPr>
        <w:t>Педиатрична популация</w:t>
      </w:r>
    </w:p>
    <w:p w14:paraId="616BAAD8" w14:textId="77777777" w:rsidR="00B26DE5" w:rsidRPr="00B26DE5" w:rsidRDefault="00B26DE5" w:rsidP="00B26DE5">
      <w:pPr>
        <w:spacing w:line="240" w:lineRule="auto"/>
        <w:rPr>
          <w:rFonts w:eastAsia="Times New Roman" w:cs="Arial"/>
        </w:rPr>
      </w:pPr>
      <w:r w:rsidRPr="00B26DE5">
        <w:rPr>
          <w:rFonts w:eastAsia="Times New Roman" w:cs="Arial"/>
          <w:color w:val="000000"/>
          <w:lang w:eastAsia="bg-BG"/>
        </w:rPr>
        <w:t>Безопасността и ефикасността на Карбис при деца на възраст до 18 години не са били установени при лечението на сърдечна недостатъчност. Няма налични данни.</w:t>
      </w:r>
    </w:p>
    <w:p w14:paraId="7921733F" w14:textId="77777777" w:rsidR="00B26DE5" w:rsidRDefault="00B26DE5" w:rsidP="00B26DE5">
      <w:pPr>
        <w:spacing w:line="240" w:lineRule="auto"/>
        <w:rPr>
          <w:rFonts w:eastAsia="Times New Roman" w:cs="Arial"/>
          <w:color w:val="000000"/>
          <w:u w:val="single"/>
          <w:lang w:eastAsia="bg-BG"/>
        </w:rPr>
      </w:pPr>
    </w:p>
    <w:p w14:paraId="7A85FF06" w14:textId="57231D22" w:rsidR="00B26DE5" w:rsidRPr="00B26DE5" w:rsidRDefault="00B26DE5" w:rsidP="00B26DE5">
      <w:pPr>
        <w:pStyle w:val="Heading3"/>
        <w:rPr>
          <w:rFonts w:eastAsia="Times New Roman"/>
          <w:u w:val="single"/>
        </w:rPr>
      </w:pPr>
      <w:r w:rsidRPr="00B26DE5">
        <w:rPr>
          <w:rFonts w:eastAsia="Times New Roman"/>
          <w:u w:val="single"/>
          <w:lang w:eastAsia="bg-BG"/>
        </w:rPr>
        <w:t>Начин на приложение</w:t>
      </w:r>
    </w:p>
    <w:p w14:paraId="5E789AEF" w14:textId="77777777" w:rsidR="00B26DE5" w:rsidRDefault="00B26DE5" w:rsidP="00B26DE5">
      <w:pPr>
        <w:spacing w:line="240" w:lineRule="auto"/>
        <w:rPr>
          <w:rFonts w:eastAsia="Times New Roman" w:cs="Arial"/>
          <w:color w:val="000000"/>
          <w:lang w:eastAsia="bg-BG"/>
        </w:rPr>
      </w:pPr>
    </w:p>
    <w:p w14:paraId="0195923A" w14:textId="134F262F" w:rsidR="00B26DE5" w:rsidRPr="00B26DE5" w:rsidRDefault="00B26DE5" w:rsidP="00B26DE5">
      <w:pPr>
        <w:spacing w:line="240" w:lineRule="auto"/>
        <w:rPr>
          <w:rFonts w:eastAsia="Times New Roman" w:cs="Arial"/>
        </w:rPr>
      </w:pPr>
      <w:r w:rsidRPr="00B26DE5">
        <w:rPr>
          <w:rFonts w:eastAsia="Times New Roman" w:cs="Arial"/>
          <w:color w:val="000000"/>
          <w:lang w:eastAsia="bg-BG"/>
        </w:rPr>
        <w:t>Перорална употреба.</w:t>
      </w:r>
    </w:p>
    <w:p w14:paraId="62177716" w14:textId="77777777" w:rsidR="00B26DE5" w:rsidRPr="00B26DE5" w:rsidRDefault="00B26DE5" w:rsidP="00B26DE5">
      <w:pPr>
        <w:spacing w:line="240" w:lineRule="auto"/>
        <w:rPr>
          <w:rFonts w:eastAsia="Times New Roman" w:cs="Arial"/>
        </w:rPr>
      </w:pPr>
      <w:r w:rsidRPr="00B26DE5">
        <w:rPr>
          <w:rFonts w:eastAsia="Times New Roman" w:cs="Arial"/>
          <w:color w:val="000000"/>
          <w:lang w:eastAsia="bg-BG"/>
        </w:rPr>
        <w:t>Карбис трябва да се приема веднъж дневно, с или без храна. Храната не повлиява бионаличността на кандесартан.</w:t>
      </w:r>
    </w:p>
    <w:p w14:paraId="4A0D4FA8" w14:textId="7BB5CD93" w:rsidR="00B26DE5" w:rsidRPr="00B26DE5" w:rsidRDefault="00B26DE5" w:rsidP="00B26DE5"/>
    <w:p w14:paraId="0F253247" w14:textId="53DCB610" w:rsidR="007122AD" w:rsidRDefault="002C50EE" w:rsidP="00936AD0">
      <w:pPr>
        <w:pStyle w:val="Heading2"/>
      </w:pPr>
      <w:r>
        <w:t>4.3. Противопоказания</w:t>
      </w:r>
    </w:p>
    <w:p w14:paraId="55416B96" w14:textId="089C6FAD" w:rsidR="00B26DE5" w:rsidRDefault="00B26DE5" w:rsidP="00B26DE5"/>
    <w:p w14:paraId="12B7EA53" w14:textId="77777777" w:rsidR="00B26DE5" w:rsidRPr="00B26DE5" w:rsidRDefault="00B26DE5" w:rsidP="00B26DE5">
      <w:pPr>
        <w:spacing w:line="240" w:lineRule="auto"/>
        <w:rPr>
          <w:rFonts w:eastAsia="Times New Roman" w:cs="Arial"/>
        </w:rPr>
      </w:pPr>
      <w:r w:rsidRPr="00B26DE5">
        <w:rPr>
          <w:rFonts w:eastAsia="Times New Roman" w:cs="Arial"/>
          <w:color w:val="000000"/>
          <w:lang w:eastAsia="bg-BG"/>
        </w:rPr>
        <w:t>Свръхчувствителност към активното вещество или към някое от помощните вещества изброени в точка 6.1.</w:t>
      </w:r>
    </w:p>
    <w:p w14:paraId="34A53F68" w14:textId="77777777" w:rsidR="00B26DE5" w:rsidRPr="00B26DE5" w:rsidRDefault="00B26DE5" w:rsidP="00B26DE5">
      <w:pPr>
        <w:spacing w:line="240" w:lineRule="auto"/>
        <w:rPr>
          <w:rFonts w:eastAsia="Times New Roman" w:cs="Arial"/>
        </w:rPr>
      </w:pPr>
      <w:r w:rsidRPr="00B26DE5">
        <w:rPr>
          <w:rFonts w:eastAsia="Times New Roman" w:cs="Arial"/>
          <w:color w:val="000000"/>
          <w:lang w:eastAsia="bg-BG"/>
        </w:rPr>
        <w:t>Втори и трети триместър от бременността ( виж точки 4.4 и 4.6). Тежко чернодробно увреждане и/или холестаза.</w:t>
      </w:r>
    </w:p>
    <w:p w14:paraId="7474E948" w14:textId="427E36AC" w:rsidR="00B26DE5" w:rsidRPr="00B26DE5" w:rsidRDefault="00B26DE5" w:rsidP="00B26DE5">
      <w:pPr>
        <w:rPr>
          <w:rFonts w:cs="Arial"/>
        </w:rPr>
      </w:pPr>
    </w:p>
    <w:p w14:paraId="4E2197BA" w14:textId="77777777" w:rsidR="00B26DE5" w:rsidRPr="00B26DE5" w:rsidRDefault="00B26DE5" w:rsidP="00B26DE5">
      <w:pPr>
        <w:spacing w:line="240" w:lineRule="auto"/>
        <w:rPr>
          <w:rFonts w:eastAsia="Times New Roman" w:cs="Arial"/>
        </w:rPr>
      </w:pPr>
      <w:r w:rsidRPr="00B26DE5">
        <w:rPr>
          <w:rFonts w:eastAsia="Times New Roman" w:cs="Arial"/>
          <w:color w:val="000000"/>
          <w:lang w:eastAsia="bg-BG"/>
        </w:rPr>
        <w:t>Деца на възраст под 1 година (вж. точка 5.3).</w:t>
      </w:r>
    </w:p>
    <w:p w14:paraId="79C68D37" w14:textId="77777777" w:rsidR="00B26DE5" w:rsidRPr="00B26DE5" w:rsidRDefault="00B26DE5" w:rsidP="00B26DE5">
      <w:pPr>
        <w:spacing w:line="240" w:lineRule="auto"/>
        <w:rPr>
          <w:rFonts w:eastAsia="Times New Roman" w:cs="Arial"/>
        </w:rPr>
      </w:pPr>
      <w:r w:rsidRPr="00B26DE5">
        <w:rPr>
          <w:rFonts w:eastAsia="Times New Roman" w:cs="Arial"/>
          <w:color w:val="000000"/>
          <w:lang w:eastAsia="bg-BG"/>
        </w:rPr>
        <w:t xml:space="preserve">Едновременната употреба на Карбис с алискирен-съдържащи продукти е противопоказана при пациенти със захарен диабет или бъбречно увреждане </w:t>
      </w:r>
      <w:r w:rsidRPr="00B26DE5">
        <w:rPr>
          <w:rFonts w:eastAsia="Times New Roman" w:cs="Arial"/>
          <w:color w:val="000000"/>
          <w:lang w:val="ru-RU"/>
        </w:rPr>
        <w:t>(</w:t>
      </w:r>
      <w:r w:rsidRPr="00B26DE5">
        <w:rPr>
          <w:rFonts w:eastAsia="Times New Roman" w:cs="Arial"/>
          <w:color w:val="000000"/>
          <w:lang w:val="en-US"/>
        </w:rPr>
        <w:t>GFR</w:t>
      </w:r>
      <w:r w:rsidRPr="00B26DE5">
        <w:rPr>
          <w:rFonts w:eastAsia="Times New Roman" w:cs="Arial"/>
          <w:color w:val="000000"/>
          <w:lang w:val="ru-RU"/>
        </w:rPr>
        <w:t xml:space="preserve"> </w:t>
      </w:r>
      <w:r w:rsidRPr="00B26DE5">
        <w:rPr>
          <w:rFonts w:eastAsia="Times New Roman" w:cs="Arial"/>
          <w:color w:val="000000"/>
          <w:lang w:eastAsia="bg-BG"/>
        </w:rPr>
        <w:t xml:space="preserve">&lt; 60 </w:t>
      </w:r>
      <w:r w:rsidRPr="00B26DE5">
        <w:rPr>
          <w:rFonts w:eastAsia="Times New Roman" w:cs="Arial"/>
          <w:color w:val="000000"/>
          <w:lang w:val="en-US"/>
        </w:rPr>
        <w:t>ml</w:t>
      </w:r>
      <w:r w:rsidRPr="00B26DE5">
        <w:rPr>
          <w:rFonts w:eastAsia="Times New Roman" w:cs="Arial"/>
          <w:color w:val="000000"/>
          <w:lang w:val="ru-RU"/>
        </w:rPr>
        <w:t>/</w:t>
      </w:r>
      <w:r w:rsidRPr="00B26DE5">
        <w:rPr>
          <w:rFonts w:eastAsia="Times New Roman" w:cs="Arial"/>
          <w:color w:val="000000"/>
          <w:lang w:val="en-US"/>
        </w:rPr>
        <w:t>min</w:t>
      </w:r>
      <w:r w:rsidRPr="00B26DE5">
        <w:rPr>
          <w:rFonts w:eastAsia="Times New Roman" w:cs="Arial"/>
          <w:color w:val="000000"/>
          <w:lang w:val="ru-RU"/>
        </w:rPr>
        <w:t>/1</w:t>
      </w:r>
      <w:r w:rsidRPr="00B26DE5">
        <w:rPr>
          <w:rFonts w:eastAsia="Times New Roman" w:cs="Arial"/>
          <w:color w:val="000000"/>
          <w:lang w:eastAsia="bg-BG"/>
        </w:rPr>
        <w:t>,73 m2) (вж. точки 4.5 и 5.1).</w:t>
      </w:r>
    </w:p>
    <w:p w14:paraId="1DC988D9" w14:textId="5793B61C" w:rsidR="00B26DE5" w:rsidRPr="00B26DE5" w:rsidRDefault="00B26DE5" w:rsidP="00B26DE5"/>
    <w:p w14:paraId="0E0BDCC7" w14:textId="57D3BF57" w:rsidR="007122AD" w:rsidRDefault="002C50EE" w:rsidP="00936AD0">
      <w:pPr>
        <w:pStyle w:val="Heading2"/>
      </w:pPr>
      <w:r>
        <w:t>4.4. Специални предупреждения и предпазни мерки при употреба</w:t>
      </w:r>
    </w:p>
    <w:p w14:paraId="71604A57" w14:textId="58BE42BC" w:rsidR="00B26DE5" w:rsidRDefault="00B26DE5" w:rsidP="00B26DE5"/>
    <w:p w14:paraId="2E336DED" w14:textId="77777777" w:rsidR="00B26DE5" w:rsidRPr="00B26DE5" w:rsidRDefault="00B26DE5" w:rsidP="00B26DE5">
      <w:pPr>
        <w:spacing w:line="240" w:lineRule="auto"/>
        <w:rPr>
          <w:rFonts w:eastAsia="Times New Roman" w:cs="Arial"/>
        </w:rPr>
      </w:pPr>
      <w:r w:rsidRPr="00B26DE5">
        <w:rPr>
          <w:rFonts w:eastAsia="Times New Roman" w:cs="Arial"/>
          <w:color w:val="000000"/>
          <w:u w:val="single"/>
          <w:lang w:eastAsia="bg-BG"/>
        </w:rPr>
        <w:t>Бъбречно увреждане</w:t>
      </w:r>
    </w:p>
    <w:p w14:paraId="3B72F6D8" w14:textId="77777777" w:rsidR="00B26DE5" w:rsidRDefault="00B26DE5" w:rsidP="00B26DE5">
      <w:pPr>
        <w:spacing w:line="240" w:lineRule="auto"/>
        <w:rPr>
          <w:rFonts w:eastAsia="Times New Roman" w:cs="Arial"/>
          <w:color w:val="000000"/>
          <w:lang w:eastAsia="bg-BG"/>
        </w:rPr>
      </w:pPr>
    </w:p>
    <w:p w14:paraId="060CD945" w14:textId="11B081DF" w:rsidR="00B26DE5" w:rsidRPr="00B26DE5" w:rsidRDefault="00B26DE5" w:rsidP="00B26DE5">
      <w:pPr>
        <w:spacing w:line="240" w:lineRule="auto"/>
        <w:rPr>
          <w:rFonts w:eastAsia="Times New Roman" w:cs="Arial"/>
        </w:rPr>
      </w:pPr>
      <w:r w:rsidRPr="00B26DE5">
        <w:rPr>
          <w:rFonts w:eastAsia="Times New Roman" w:cs="Arial"/>
          <w:color w:val="000000"/>
          <w:lang w:eastAsia="bg-BG"/>
        </w:rPr>
        <w:t>Както при други лекарства, които инхибират ренин-ангиотензин-алдостероновата система, може да се очакват промени в бъбречната функция при чувствителни пациенти, лекувани с Карбис.</w:t>
      </w:r>
    </w:p>
    <w:p w14:paraId="35F7DA13" w14:textId="77777777" w:rsidR="00B26DE5" w:rsidRPr="00B26DE5" w:rsidRDefault="00B26DE5" w:rsidP="00B26DE5">
      <w:pPr>
        <w:spacing w:line="240" w:lineRule="auto"/>
        <w:rPr>
          <w:rFonts w:eastAsia="Times New Roman" w:cs="Arial"/>
        </w:rPr>
      </w:pPr>
      <w:r w:rsidRPr="00B26DE5">
        <w:rPr>
          <w:rFonts w:eastAsia="Times New Roman" w:cs="Arial"/>
          <w:color w:val="000000"/>
          <w:lang w:eastAsia="bg-BG"/>
        </w:rPr>
        <w:t xml:space="preserve">Когато Карбис се прилага при хипертензивни пациенти с бъбречно увреждане, се препоръчва периодично проследяване на серумния калий и нивата на креатинина. Има ограничен опит при болни с много тежко или терминално бъбречно увреждане </w:t>
      </w:r>
      <w:r w:rsidRPr="00B26DE5">
        <w:rPr>
          <w:rFonts w:eastAsia="Times New Roman" w:cs="Arial"/>
          <w:color w:val="000000"/>
          <w:lang w:val="ru-RU"/>
        </w:rPr>
        <w:t>(</w:t>
      </w:r>
      <w:proofErr w:type="spellStart"/>
      <w:r w:rsidRPr="00B26DE5">
        <w:rPr>
          <w:rFonts w:eastAsia="Times New Roman" w:cs="Arial"/>
          <w:color w:val="000000"/>
          <w:lang w:val="en-US"/>
        </w:rPr>
        <w:t>Cl</w:t>
      </w:r>
      <w:r w:rsidRPr="00B26DE5">
        <w:rPr>
          <w:rFonts w:eastAsia="Times New Roman" w:cs="Arial"/>
          <w:color w:val="000000"/>
          <w:vertAlign w:val="subscript"/>
          <w:lang w:val="en-US"/>
        </w:rPr>
        <w:t>creatinine</w:t>
      </w:r>
      <w:proofErr w:type="spellEnd"/>
      <w:r w:rsidRPr="00B26DE5">
        <w:rPr>
          <w:rFonts w:eastAsia="Times New Roman" w:cs="Arial"/>
          <w:color w:val="000000"/>
          <w:lang w:val="ru-RU"/>
        </w:rPr>
        <w:t xml:space="preserve"> </w:t>
      </w:r>
      <w:r w:rsidRPr="00B26DE5">
        <w:rPr>
          <w:rFonts w:eastAsia="Times New Roman" w:cs="Arial"/>
          <w:color w:val="000000"/>
          <w:lang w:eastAsia="bg-BG"/>
        </w:rPr>
        <w:t xml:space="preserve">&lt; 15 </w:t>
      </w:r>
      <w:r w:rsidRPr="00B26DE5">
        <w:rPr>
          <w:rFonts w:eastAsia="Times New Roman" w:cs="Arial"/>
          <w:color w:val="000000"/>
          <w:lang w:val="en-US"/>
        </w:rPr>
        <w:t>ml</w:t>
      </w:r>
      <w:r w:rsidRPr="00B26DE5">
        <w:rPr>
          <w:rFonts w:eastAsia="Times New Roman" w:cs="Arial"/>
          <w:color w:val="000000"/>
          <w:lang w:val="ru-RU"/>
        </w:rPr>
        <w:t>/</w:t>
      </w:r>
      <w:r w:rsidRPr="00B26DE5">
        <w:rPr>
          <w:rFonts w:eastAsia="Times New Roman" w:cs="Arial"/>
          <w:color w:val="000000"/>
          <w:lang w:val="en-US"/>
        </w:rPr>
        <w:t>min</w:t>
      </w:r>
      <w:r w:rsidRPr="00B26DE5">
        <w:rPr>
          <w:rFonts w:eastAsia="Times New Roman" w:cs="Arial"/>
          <w:color w:val="000000"/>
          <w:lang w:val="ru-RU"/>
        </w:rPr>
        <w:t xml:space="preserve">). </w:t>
      </w:r>
      <w:r w:rsidRPr="00B26DE5">
        <w:rPr>
          <w:rFonts w:eastAsia="Times New Roman" w:cs="Arial"/>
          <w:color w:val="000000"/>
          <w:lang w:eastAsia="bg-BG"/>
        </w:rPr>
        <w:t>При тези пациенти дозата на Карбис трябва внимателно да се повишава при щателно следене на артериалното налягане.</w:t>
      </w:r>
    </w:p>
    <w:p w14:paraId="0075D29D" w14:textId="77777777" w:rsidR="00B26DE5" w:rsidRPr="00B26DE5" w:rsidRDefault="00B26DE5" w:rsidP="00B26DE5">
      <w:pPr>
        <w:spacing w:line="240" w:lineRule="auto"/>
        <w:rPr>
          <w:rFonts w:eastAsia="Times New Roman" w:cs="Arial"/>
        </w:rPr>
      </w:pPr>
      <w:r w:rsidRPr="00B26DE5">
        <w:rPr>
          <w:rFonts w:eastAsia="Times New Roman" w:cs="Arial"/>
          <w:color w:val="000000"/>
          <w:lang w:eastAsia="bg-BG"/>
        </w:rPr>
        <w:t xml:space="preserve">Оценката на пациентите със сърдечна недостатъчност трябва да включва периодично изследване на бъбречната функция, особено при пациенти в старческа възраст, на 75 години и по-възрастни, и при болни с увредена бъбречна функция. По време на </w:t>
      </w:r>
      <w:r w:rsidRPr="00B26DE5">
        <w:rPr>
          <w:rFonts w:eastAsia="Times New Roman" w:cs="Arial"/>
          <w:color w:val="000000"/>
          <w:lang w:eastAsia="bg-BG"/>
        </w:rPr>
        <w:lastRenderedPageBreak/>
        <w:t>повишаване на дозата на Карбис, се препоръчва мониториране на сурумния креатинин и калия. Клиничните изпитвания при сърдечна недостатъчност не са включвали болни със серумен креатинин &gt;265 μ</w:t>
      </w:r>
      <w:proofErr w:type="spellStart"/>
      <w:r w:rsidRPr="00B26DE5">
        <w:rPr>
          <w:rFonts w:eastAsia="Times New Roman" w:cs="Arial"/>
          <w:color w:val="000000"/>
          <w:lang w:val="en-US"/>
        </w:rPr>
        <w:t>mol</w:t>
      </w:r>
      <w:proofErr w:type="spellEnd"/>
      <w:r w:rsidRPr="00B26DE5">
        <w:rPr>
          <w:rFonts w:eastAsia="Times New Roman" w:cs="Arial"/>
          <w:color w:val="000000"/>
          <w:lang w:val="ru-RU"/>
        </w:rPr>
        <w:t xml:space="preserve">/1 </w:t>
      </w:r>
      <w:r w:rsidRPr="00B26DE5">
        <w:rPr>
          <w:rFonts w:eastAsia="Times New Roman" w:cs="Arial"/>
          <w:color w:val="000000"/>
          <w:lang w:eastAsia="bg-BG"/>
        </w:rPr>
        <w:t xml:space="preserve">(&gt;3 </w:t>
      </w:r>
      <w:r w:rsidRPr="00B26DE5">
        <w:rPr>
          <w:rFonts w:eastAsia="Times New Roman" w:cs="Arial"/>
          <w:color w:val="000000"/>
          <w:lang w:val="en-US"/>
        </w:rPr>
        <w:t>mg</w:t>
      </w:r>
      <w:r w:rsidRPr="00B26DE5">
        <w:rPr>
          <w:rFonts w:eastAsia="Times New Roman" w:cs="Arial"/>
          <w:color w:val="000000"/>
          <w:lang w:val="ru-RU"/>
        </w:rPr>
        <w:t>/</w:t>
      </w:r>
      <w:r w:rsidRPr="00B26DE5">
        <w:rPr>
          <w:rFonts w:eastAsia="Times New Roman" w:cs="Arial"/>
          <w:color w:val="000000"/>
          <w:lang w:val="en-US"/>
        </w:rPr>
        <w:t>dl</w:t>
      </w:r>
      <w:r w:rsidRPr="00B26DE5">
        <w:rPr>
          <w:rFonts w:eastAsia="Times New Roman" w:cs="Arial"/>
          <w:color w:val="000000"/>
          <w:lang w:val="ru-RU"/>
        </w:rPr>
        <w:t>).</w:t>
      </w:r>
    </w:p>
    <w:p w14:paraId="44FCA5CC" w14:textId="77777777" w:rsidR="00B26DE5" w:rsidRDefault="00B26DE5" w:rsidP="00B26DE5">
      <w:pPr>
        <w:spacing w:line="240" w:lineRule="auto"/>
        <w:rPr>
          <w:rFonts w:eastAsia="Times New Roman" w:cs="Arial"/>
          <w:color w:val="000000"/>
          <w:u w:val="single"/>
          <w:lang w:eastAsia="bg-BG"/>
        </w:rPr>
      </w:pPr>
    </w:p>
    <w:p w14:paraId="431D7DFE" w14:textId="4474841A" w:rsidR="00B26DE5" w:rsidRPr="00B26DE5" w:rsidRDefault="00B26DE5" w:rsidP="00B26DE5">
      <w:pPr>
        <w:spacing w:line="240" w:lineRule="auto"/>
        <w:rPr>
          <w:rFonts w:eastAsia="Times New Roman" w:cs="Arial"/>
        </w:rPr>
      </w:pPr>
      <w:r w:rsidRPr="00B26DE5">
        <w:rPr>
          <w:rFonts w:eastAsia="Times New Roman" w:cs="Arial"/>
          <w:color w:val="000000"/>
          <w:u w:val="single"/>
          <w:lang w:eastAsia="bg-BG"/>
        </w:rPr>
        <w:t xml:space="preserve">Употреба при педиатрични пациенти, включително и пациенти с бъбречно увреждане </w:t>
      </w:r>
      <w:r w:rsidRPr="00B26DE5">
        <w:rPr>
          <w:rFonts w:eastAsia="Times New Roman" w:cs="Arial"/>
          <w:color w:val="000000"/>
          <w:lang w:eastAsia="bg-BG"/>
        </w:rPr>
        <w:t xml:space="preserve">Карбис не е проучван при деца със скорост на гломерулна филтрация под 30 </w:t>
      </w:r>
      <w:r w:rsidRPr="00B26DE5">
        <w:rPr>
          <w:rFonts w:eastAsia="Times New Roman" w:cs="Arial"/>
          <w:color w:val="000000"/>
          <w:lang w:val="en-US"/>
        </w:rPr>
        <w:t>ml</w:t>
      </w:r>
      <w:r w:rsidRPr="00B26DE5">
        <w:rPr>
          <w:rFonts w:eastAsia="Times New Roman" w:cs="Arial"/>
          <w:color w:val="000000"/>
          <w:lang w:val="ru-RU"/>
        </w:rPr>
        <w:t>/</w:t>
      </w:r>
      <w:r w:rsidRPr="00B26DE5">
        <w:rPr>
          <w:rFonts w:eastAsia="Times New Roman" w:cs="Arial"/>
          <w:color w:val="000000"/>
          <w:lang w:val="en-US"/>
        </w:rPr>
        <w:t>min</w:t>
      </w:r>
      <w:r w:rsidRPr="00B26DE5">
        <w:rPr>
          <w:rFonts w:eastAsia="Times New Roman" w:cs="Arial"/>
          <w:color w:val="000000"/>
          <w:lang w:val="ru-RU"/>
        </w:rPr>
        <w:t>/1</w:t>
      </w:r>
      <w:r w:rsidRPr="00B26DE5">
        <w:rPr>
          <w:rFonts w:eastAsia="Times New Roman" w:cs="Arial"/>
          <w:color w:val="000000"/>
          <w:lang w:eastAsia="bg-BG"/>
        </w:rPr>
        <w:t xml:space="preserve">,73 </w:t>
      </w:r>
      <w:r w:rsidRPr="00B26DE5">
        <w:rPr>
          <w:rFonts w:eastAsia="Times New Roman" w:cs="Arial"/>
          <w:color w:val="000000"/>
          <w:lang w:val="en-US"/>
        </w:rPr>
        <w:t>m</w:t>
      </w:r>
      <w:r w:rsidRPr="00B26DE5">
        <w:rPr>
          <w:rFonts w:eastAsia="Times New Roman" w:cs="Arial"/>
          <w:color w:val="000000"/>
          <w:vertAlign w:val="superscript"/>
          <w:lang w:val="ru-RU"/>
        </w:rPr>
        <w:t>2</w:t>
      </w:r>
      <w:r w:rsidRPr="00B26DE5">
        <w:rPr>
          <w:rFonts w:eastAsia="Times New Roman" w:cs="Arial"/>
          <w:color w:val="000000"/>
          <w:lang w:val="ru-RU"/>
        </w:rPr>
        <w:t xml:space="preserve"> </w:t>
      </w:r>
      <w:r w:rsidRPr="00B26DE5">
        <w:rPr>
          <w:rFonts w:eastAsia="Times New Roman" w:cs="Arial"/>
          <w:color w:val="000000"/>
          <w:lang w:eastAsia="bg-BG"/>
        </w:rPr>
        <w:t>(вж. точка 4.2).</w:t>
      </w:r>
    </w:p>
    <w:p w14:paraId="378EC1DF" w14:textId="77777777" w:rsidR="00B26DE5" w:rsidRDefault="00B26DE5" w:rsidP="00B26DE5">
      <w:pPr>
        <w:spacing w:line="240" w:lineRule="auto"/>
        <w:rPr>
          <w:rFonts w:eastAsia="Times New Roman" w:cs="Arial"/>
          <w:color w:val="000000"/>
          <w:u w:val="single"/>
          <w:lang w:eastAsia="bg-BG"/>
        </w:rPr>
      </w:pPr>
    </w:p>
    <w:p w14:paraId="5D775283" w14:textId="2B716079" w:rsidR="00B26DE5" w:rsidRPr="00B26DE5" w:rsidRDefault="00B26DE5" w:rsidP="00B26DE5">
      <w:pPr>
        <w:spacing w:line="240" w:lineRule="auto"/>
        <w:rPr>
          <w:rFonts w:eastAsia="Times New Roman" w:cs="Arial"/>
        </w:rPr>
      </w:pPr>
      <w:r w:rsidRPr="00B26DE5">
        <w:rPr>
          <w:rFonts w:eastAsia="Times New Roman" w:cs="Arial"/>
          <w:color w:val="000000"/>
          <w:u w:val="single"/>
          <w:lang w:eastAsia="bg-BG"/>
        </w:rPr>
        <w:t>Комбинирано лечение с АСЕ инхибитор при сърдечна недостатъчност</w:t>
      </w:r>
    </w:p>
    <w:p w14:paraId="5B4D9DE0" w14:textId="77777777" w:rsidR="00B26DE5" w:rsidRDefault="00B26DE5" w:rsidP="00B26DE5">
      <w:pPr>
        <w:spacing w:line="240" w:lineRule="auto"/>
        <w:rPr>
          <w:rFonts w:eastAsia="Times New Roman" w:cs="Arial"/>
          <w:color w:val="000000"/>
          <w:lang w:eastAsia="bg-BG"/>
        </w:rPr>
      </w:pPr>
    </w:p>
    <w:p w14:paraId="45A55DB5" w14:textId="7AB05F86" w:rsidR="00B26DE5" w:rsidRPr="00B26DE5" w:rsidRDefault="00B26DE5" w:rsidP="00B26DE5">
      <w:pPr>
        <w:spacing w:line="240" w:lineRule="auto"/>
        <w:rPr>
          <w:rFonts w:eastAsia="Times New Roman" w:cs="Arial"/>
        </w:rPr>
      </w:pPr>
      <w:r w:rsidRPr="00B26DE5">
        <w:rPr>
          <w:rFonts w:eastAsia="Times New Roman" w:cs="Arial"/>
          <w:color w:val="000000"/>
          <w:lang w:eastAsia="bg-BG"/>
        </w:rPr>
        <w:t>Рискът от нежелани лекарствени реакции, особено хипотония, хиперкалиемия и намаляване на бъбречната функция (включително остра бъбречна недостатъчност), може да се повиши, когато Карбис се използва в комбинация с АСЕ инхибитор. Тройна комбинация от АСЕ инхибитор, минералкортикоиден рецепторен антагонист и кандесартан също не се препоръчва. Тези комбинации трябва да се използват под наблюдението на специалист и при често внимателно мониториране на бъбречната функция, електролитите и кръвното налягане.</w:t>
      </w:r>
    </w:p>
    <w:p w14:paraId="7408B4BA" w14:textId="77777777" w:rsidR="00B26DE5" w:rsidRPr="00B26DE5" w:rsidRDefault="00B26DE5" w:rsidP="00B26DE5">
      <w:pPr>
        <w:spacing w:line="240" w:lineRule="auto"/>
        <w:rPr>
          <w:rFonts w:eastAsia="Times New Roman" w:cs="Arial"/>
        </w:rPr>
      </w:pPr>
      <w:r w:rsidRPr="00B26DE5">
        <w:rPr>
          <w:rFonts w:eastAsia="Times New Roman" w:cs="Arial"/>
          <w:color w:val="000000"/>
          <w:lang w:eastAsia="bg-BG"/>
        </w:rPr>
        <w:t xml:space="preserve">АСЕ инхибитори и ангиотензин </w:t>
      </w:r>
      <w:r w:rsidRPr="00B26DE5">
        <w:rPr>
          <w:rFonts w:eastAsia="Times New Roman" w:cs="Arial"/>
          <w:color w:val="000000"/>
          <w:lang w:val="en-US"/>
        </w:rPr>
        <w:t>II</w:t>
      </w:r>
      <w:r w:rsidRPr="00B26DE5">
        <w:rPr>
          <w:rFonts w:eastAsia="Times New Roman" w:cs="Arial"/>
          <w:color w:val="000000"/>
          <w:lang w:eastAsia="bg-BG"/>
        </w:rPr>
        <w:t>-рецепторни блокери не трябва да се използват едновременно при пациенти с диабетна нефропатия.</w:t>
      </w:r>
    </w:p>
    <w:p w14:paraId="00849E72" w14:textId="77777777" w:rsidR="00B26DE5" w:rsidRDefault="00B26DE5" w:rsidP="00B26DE5">
      <w:pPr>
        <w:spacing w:line="240" w:lineRule="auto"/>
        <w:rPr>
          <w:rFonts w:eastAsia="Times New Roman" w:cs="Arial"/>
          <w:color w:val="000000"/>
          <w:u w:val="single"/>
          <w:lang w:eastAsia="bg-BG"/>
        </w:rPr>
      </w:pPr>
    </w:p>
    <w:p w14:paraId="0D0A4AD2" w14:textId="4BAE8080" w:rsidR="00B26DE5" w:rsidRPr="00B26DE5" w:rsidRDefault="00B26DE5" w:rsidP="00B26DE5">
      <w:pPr>
        <w:spacing w:line="240" w:lineRule="auto"/>
        <w:rPr>
          <w:rFonts w:eastAsia="Times New Roman" w:cs="Arial"/>
        </w:rPr>
      </w:pPr>
      <w:r w:rsidRPr="00B26DE5">
        <w:rPr>
          <w:rFonts w:eastAsia="Times New Roman" w:cs="Arial"/>
          <w:color w:val="000000"/>
          <w:u w:val="single"/>
          <w:lang w:eastAsia="bg-BG"/>
        </w:rPr>
        <w:t>Хемодиализа</w:t>
      </w:r>
    </w:p>
    <w:p w14:paraId="1598D9EF" w14:textId="77777777" w:rsidR="00B26DE5" w:rsidRDefault="00B26DE5" w:rsidP="00B26DE5">
      <w:pPr>
        <w:spacing w:line="240" w:lineRule="auto"/>
        <w:rPr>
          <w:rFonts w:eastAsia="Times New Roman" w:cs="Arial"/>
          <w:color w:val="000000"/>
          <w:lang w:eastAsia="bg-BG"/>
        </w:rPr>
      </w:pPr>
    </w:p>
    <w:p w14:paraId="5EE50885" w14:textId="7ABF3D1F" w:rsidR="00B26DE5" w:rsidRPr="00B26DE5" w:rsidRDefault="00B26DE5" w:rsidP="00B26DE5">
      <w:pPr>
        <w:spacing w:line="240" w:lineRule="auto"/>
        <w:rPr>
          <w:rFonts w:eastAsia="Times New Roman" w:cs="Arial"/>
        </w:rPr>
      </w:pPr>
      <w:r w:rsidRPr="00B26DE5">
        <w:rPr>
          <w:rFonts w:eastAsia="Times New Roman" w:cs="Arial"/>
          <w:color w:val="000000"/>
          <w:lang w:eastAsia="bg-BG"/>
        </w:rPr>
        <w:t>По време на диализа артериалното налягане може да бъде особено чувствително към блокада на АТ</w:t>
      </w:r>
      <w:r w:rsidRPr="00B26DE5">
        <w:rPr>
          <w:rFonts w:eastAsia="Times New Roman" w:cs="Arial"/>
          <w:color w:val="000000"/>
          <w:vertAlign w:val="subscript"/>
          <w:lang w:eastAsia="bg-BG"/>
        </w:rPr>
        <w:t>1</w:t>
      </w:r>
      <w:r w:rsidRPr="00B26DE5">
        <w:rPr>
          <w:rFonts w:eastAsia="Times New Roman" w:cs="Arial"/>
          <w:color w:val="000000"/>
          <w:lang w:eastAsia="bg-BG"/>
        </w:rPr>
        <w:t>-рецепторите, поради намален плазмен обем и активиране на ренин-ангиотензин- алдостероновата система. Поради това, дозата на Карбис трябва да се повишава внимателно, като се проследява щателно артериалното налягане на пациентите на хемодиализа.</w:t>
      </w:r>
    </w:p>
    <w:p w14:paraId="62D578A9" w14:textId="77777777" w:rsidR="00B26DE5" w:rsidRDefault="00B26DE5" w:rsidP="00B26DE5">
      <w:pPr>
        <w:spacing w:line="240" w:lineRule="auto"/>
        <w:rPr>
          <w:rFonts w:eastAsia="Times New Roman" w:cs="Arial"/>
          <w:color w:val="000000"/>
          <w:u w:val="single"/>
          <w:lang w:eastAsia="bg-BG"/>
        </w:rPr>
      </w:pPr>
    </w:p>
    <w:p w14:paraId="1384B2EE" w14:textId="23ED54A8" w:rsidR="00B26DE5" w:rsidRPr="00B26DE5" w:rsidRDefault="00B26DE5" w:rsidP="00B26DE5">
      <w:pPr>
        <w:spacing w:line="240" w:lineRule="auto"/>
        <w:rPr>
          <w:rFonts w:eastAsia="Times New Roman" w:cs="Arial"/>
        </w:rPr>
      </w:pPr>
      <w:r w:rsidRPr="00B26DE5">
        <w:rPr>
          <w:rFonts w:eastAsia="Times New Roman" w:cs="Arial"/>
          <w:color w:val="000000"/>
          <w:u w:val="single"/>
          <w:lang w:eastAsia="bg-BG"/>
        </w:rPr>
        <w:t>Стеноза на бъбречната артерия</w:t>
      </w:r>
    </w:p>
    <w:p w14:paraId="618FB588" w14:textId="77777777" w:rsidR="00B26DE5" w:rsidRDefault="00B26DE5" w:rsidP="00B26DE5">
      <w:pPr>
        <w:spacing w:line="240" w:lineRule="auto"/>
        <w:rPr>
          <w:rFonts w:eastAsia="Times New Roman" w:cs="Arial"/>
          <w:color w:val="000000"/>
          <w:lang w:eastAsia="bg-BG"/>
        </w:rPr>
      </w:pPr>
    </w:p>
    <w:p w14:paraId="64D11B6B" w14:textId="3282DE1C" w:rsidR="00B26DE5" w:rsidRPr="00B26DE5" w:rsidRDefault="00B26DE5" w:rsidP="00B26DE5">
      <w:pPr>
        <w:spacing w:line="240" w:lineRule="auto"/>
        <w:rPr>
          <w:rFonts w:eastAsia="Times New Roman" w:cs="Arial"/>
        </w:rPr>
      </w:pPr>
      <w:r w:rsidRPr="00B26DE5">
        <w:rPr>
          <w:rFonts w:eastAsia="Times New Roman" w:cs="Arial"/>
          <w:color w:val="000000"/>
          <w:lang w:eastAsia="bg-BG"/>
        </w:rPr>
        <w:t>Лекарствени продукти, които повлияват ренин-ангиотензин-алдостероновата система, включително ангиотензин II рецепторните антагонисти- (А</w:t>
      </w:r>
      <w:r w:rsidRPr="00B26DE5">
        <w:rPr>
          <w:rFonts w:eastAsia="Times New Roman" w:cs="Arial"/>
          <w:color w:val="000000"/>
          <w:lang w:val="en-US"/>
        </w:rPr>
        <w:t>II</w:t>
      </w:r>
      <w:r w:rsidRPr="00B26DE5">
        <w:rPr>
          <w:rFonts w:eastAsia="Times New Roman" w:cs="Arial"/>
          <w:color w:val="000000"/>
          <w:lang w:eastAsia="bg-BG"/>
        </w:rPr>
        <w:t>РАи) може да повишат кръвната урея и серумния креатинин при пациенти с двустранна стеноза на бъбречната артерия о;о стеноза на артерията при единствен бъбрек.</w:t>
      </w:r>
    </w:p>
    <w:p w14:paraId="4515B23C" w14:textId="77777777" w:rsidR="00B26DE5" w:rsidRPr="00B26DE5" w:rsidRDefault="00B26DE5" w:rsidP="00B26DE5">
      <w:pPr>
        <w:spacing w:line="240" w:lineRule="auto"/>
        <w:rPr>
          <w:rFonts w:eastAsia="Times New Roman" w:cs="Arial"/>
        </w:rPr>
      </w:pPr>
    </w:p>
    <w:p w14:paraId="16131C16" w14:textId="613408AF" w:rsidR="00B26DE5" w:rsidRDefault="00B26DE5" w:rsidP="00B26DE5">
      <w:pPr>
        <w:rPr>
          <w:rFonts w:eastAsia="Times New Roman" w:cs="Arial"/>
          <w:color w:val="000000"/>
          <w:u w:val="single"/>
          <w:lang w:eastAsia="bg-BG"/>
        </w:rPr>
      </w:pPr>
      <w:r w:rsidRPr="00B26DE5">
        <w:rPr>
          <w:rFonts w:eastAsia="Times New Roman" w:cs="Arial"/>
          <w:color w:val="000000"/>
          <w:u w:val="single"/>
          <w:lang w:eastAsia="bg-BG"/>
        </w:rPr>
        <w:t>Бъбречна трасплантация</w:t>
      </w:r>
    </w:p>
    <w:p w14:paraId="243DF918" w14:textId="7889C730" w:rsidR="00B26DE5" w:rsidRDefault="00B26DE5" w:rsidP="00B26DE5">
      <w:pPr>
        <w:rPr>
          <w:rFonts w:eastAsia="Times New Roman" w:cs="Arial"/>
          <w:color w:val="000000"/>
          <w:u w:val="single"/>
          <w:lang w:eastAsia="bg-BG"/>
        </w:rPr>
      </w:pPr>
    </w:p>
    <w:p w14:paraId="211CDD1F" w14:textId="77777777" w:rsidR="00B26DE5" w:rsidRPr="00B26DE5" w:rsidRDefault="00B26DE5" w:rsidP="00B26DE5">
      <w:pPr>
        <w:spacing w:line="240" w:lineRule="auto"/>
        <w:rPr>
          <w:rFonts w:eastAsia="Times New Roman" w:cs="Arial"/>
        </w:rPr>
      </w:pPr>
      <w:r w:rsidRPr="00B26DE5">
        <w:rPr>
          <w:rFonts w:eastAsia="Times New Roman" w:cs="Arial"/>
          <w:color w:val="000000"/>
          <w:lang w:eastAsia="bg-BG"/>
        </w:rPr>
        <w:t>Няма опит по отношение на приложението на Карбис при пациенти с наскоро направена бъбречна транс плантация.</w:t>
      </w:r>
    </w:p>
    <w:p w14:paraId="0E24CA4E" w14:textId="77777777" w:rsidR="00B26DE5" w:rsidRDefault="00B26DE5" w:rsidP="00B26DE5">
      <w:pPr>
        <w:spacing w:line="240" w:lineRule="auto"/>
        <w:rPr>
          <w:rFonts w:eastAsia="Times New Roman" w:cs="Arial"/>
          <w:color w:val="000000"/>
          <w:u w:val="single"/>
          <w:lang w:eastAsia="bg-BG"/>
        </w:rPr>
      </w:pPr>
    </w:p>
    <w:p w14:paraId="6B5BB464" w14:textId="1FA16823" w:rsidR="00B26DE5" w:rsidRPr="00B26DE5" w:rsidRDefault="00B26DE5" w:rsidP="00B26DE5">
      <w:pPr>
        <w:spacing w:line="240" w:lineRule="auto"/>
        <w:rPr>
          <w:rFonts w:eastAsia="Times New Roman" w:cs="Arial"/>
        </w:rPr>
      </w:pPr>
      <w:r w:rsidRPr="00B26DE5">
        <w:rPr>
          <w:rFonts w:eastAsia="Times New Roman" w:cs="Arial"/>
          <w:color w:val="000000"/>
          <w:u w:val="single"/>
          <w:lang w:eastAsia="bg-BG"/>
        </w:rPr>
        <w:t>Хипотония</w:t>
      </w:r>
    </w:p>
    <w:p w14:paraId="0E455124" w14:textId="77777777" w:rsidR="00B26DE5" w:rsidRDefault="00B26DE5" w:rsidP="00B26DE5">
      <w:pPr>
        <w:spacing w:line="240" w:lineRule="auto"/>
        <w:rPr>
          <w:rFonts w:eastAsia="Times New Roman" w:cs="Arial"/>
          <w:color w:val="000000"/>
          <w:lang w:eastAsia="bg-BG"/>
        </w:rPr>
      </w:pPr>
    </w:p>
    <w:p w14:paraId="38246121" w14:textId="3471D6AC" w:rsidR="00B26DE5" w:rsidRPr="00B26DE5" w:rsidRDefault="00B26DE5" w:rsidP="00B26DE5">
      <w:pPr>
        <w:spacing w:line="240" w:lineRule="auto"/>
        <w:rPr>
          <w:rFonts w:eastAsia="Times New Roman" w:cs="Arial"/>
        </w:rPr>
      </w:pPr>
      <w:r w:rsidRPr="00B26DE5">
        <w:rPr>
          <w:rFonts w:eastAsia="Times New Roman" w:cs="Arial"/>
          <w:color w:val="000000"/>
          <w:lang w:eastAsia="bg-BG"/>
        </w:rPr>
        <w:t>По време на лечение на пациенти със сърдечна недостатъчност с Карбис може да възникне хипотония. Тя може да се появи също и при хипертензивни пациенти с намален вътресъдов обем, както и при болни, получаващи високи дози диуретици. Трябва да се внимава, когато се започва лечението и трябва да се направи опит за коригиране на хиповолемията.</w:t>
      </w:r>
    </w:p>
    <w:p w14:paraId="6F731648" w14:textId="77777777" w:rsidR="00B26DE5" w:rsidRDefault="00B26DE5" w:rsidP="00B26DE5">
      <w:pPr>
        <w:spacing w:line="240" w:lineRule="auto"/>
        <w:rPr>
          <w:rFonts w:eastAsia="Times New Roman" w:cs="Arial"/>
          <w:color w:val="000000"/>
          <w:lang w:eastAsia="bg-BG"/>
        </w:rPr>
      </w:pPr>
    </w:p>
    <w:p w14:paraId="66AF121E" w14:textId="14467E97" w:rsidR="00B26DE5" w:rsidRPr="00B26DE5" w:rsidRDefault="00B26DE5" w:rsidP="00B26DE5">
      <w:pPr>
        <w:spacing w:line="240" w:lineRule="auto"/>
        <w:rPr>
          <w:rFonts w:eastAsia="Times New Roman" w:cs="Arial"/>
        </w:rPr>
      </w:pPr>
      <w:r w:rsidRPr="00B26DE5">
        <w:rPr>
          <w:rFonts w:eastAsia="Times New Roman" w:cs="Arial"/>
          <w:color w:val="000000"/>
          <w:lang w:eastAsia="bg-BG"/>
        </w:rPr>
        <w:t xml:space="preserve">При деца с възможно вътресъдово обемно изчерпване (например пациенти, лекувани с диуретици, особено такива с нарушена бъбречна функция), лечението с Карбис трябва да </w:t>
      </w:r>
      <w:r w:rsidRPr="00B26DE5">
        <w:rPr>
          <w:rFonts w:eastAsia="Times New Roman" w:cs="Arial"/>
          <w:color w:val="000000"/>
          <w:lang w:eastAsia="bg-BG"/>
        </w:rPr>
        <w:lastRenderedPageBreak/>
        <w:t>започне под строго медицинско наблюдение и следва да се обмисли по-ниска начална доза от обичайната (вж. точка 4.2).</w:t>
      </w:r>
    </w:p>
    <w:p w14:paraId="5D35A484" w14:textId="77777777" w:rsidR="00B26DE5" w:rsidRDefault="00B26DE5" w:rsidP="00B26DE5">
      <w:pPr>
        <w:spacing w:line="240" w:lineRule="auto"/>
        <w:rPr>
          <w:rFonts w:eastAsia="Times New Roman" w:cs="Arial"/>
          <w:color w:val="000000"/>
          <w:u w:val="single"/>
          <w:lang w:eastAsia="bg-BG"/>
        </w:rPr>
      </w:pPr>
    </w:p>
    <w:p w14:paraId="6556EEA6" w14:textId="2D2AC789" w:rsidR="00B26DE5" w:rsidRPr="00B26DE5" w:rsidRDefault="00B26DE5" w:rsidP="00B26DE5">
      <w:pPr>
        <w:spacing w:line="240" w:lineRule="auto"/>
        <w:rPr>
          <w:rFonts w:eastAsia="Times New Roman" w:cs="Arial"/>
        </w:rPr>
      </w:pPr>
      <w:r w:rsidRPr="00B26DE5">
        <w:rPr>
          <w:rFonts w:eastAsia="Times New Roman" w:cs="Arial"/>
          <w:color w:val="000000"/>
          <w:u w:val="single"/>
          <w:lang w:eastAsia="bg-BG"/>
        </w:rPr>
        <w:t>Анестезия и оперативно лечение</w:t>
      </w:r>
    </w:p>
    <w:p w14:paraId="7417932A" w14:textId="77777777" w:rsidR="00B26DE5" w:rsidRDefault="00B26DE5" w:rsidP="00B26DE5">
      <w:pPr>
        <w:spacing w:line="240" w:lineRule="auto"/>
        <w:rPr>
          <w:rFonts w:eastAsia="Times New Roman" w:cs="Arial"/>
          <w:color w:val="000000"/>
          <w:lang w:eastAsia="bg-BG"/>
        </w:rPr>
      </w:pPr>
    </w:p>
    <w:p w14:paraId="530E49C5" w14:textId="6DF53C4F" w:rsidR="00B26DE5" w:rsidRPr="00B26DE5" w:rsidRDefault="00B26DE5" w:rsidP="00B26DE5">
      <w:pPr>
        <w:spacing w:line="240" w:lineRule="auto"/>
        <w:rPr>
          <w:rFonts w:eastAsia="Times New Roman" w:cs="Arial"/>
        </w:rPr>
      </w:pPr>
      <w:r w:rsidRPr="00B26DE5">
        <w:rPr>
          <w:rFonts w:eastAsia="Times New Roman" w:cs="Arial"/>
          <w:color w:val="000000"/>
          <w:lang w:eastAsia="bg-BG"/>
        </w:rPr>
        <w:t>По време на анестезия и оперативна намеса при пациенти, лекувани с антагонисти на ангиотензин II, може да възникне хипотония поради блокада на системата ренин-ангиотензин. Много рядко, хипотонията може да бъде тежка, като може да се наложи приложението на интравенозни течности и/или вазопресори.</w:t>
      </w:r>
    </w:p>
    <w:p w14:paraId="07410228" w14:textId="77777777" w:rsidR="00B26DE5" w:rsidRDefault="00B26DE5" w:rsidP="00B26DE5">
      <w:pPr>
        <w:spacing w:line="240" w:lineRule="auto"/>
        <w:rPr>
          <w:rFonts w:eastAsia="Times New Roman" w:cs="Arial"/>
          <w:color w:val="000000"/>
          <w:u w:val="single"/>
          <w:lang w:eastAsia="bg-BG"/>
        </w:rPr>
      </w:pPr>
    </w:p>
    <w:p w14:paraId="6630E0E2" w14:textId="4775A4D3" w:rsidR="00B26DE5" w:rsidRPr="00B26DE5" w:rsidRDefault="00B26DE5" w:rsidP="00B26DE5">
      <w:pPr>
        <w:spacing w:line="240" w:lineRule="auto"/>
        <w:rPr>
          <w:rFonts w:eastAsia="Times New Roman" w:cs="Arial"/>
        </w:rPr>
      </w:pPr>
      <w:r w:rsidRPr="00B26DE5">
        <w:rPr>
          <w:rFonts w:eastAsia="Times New Roman" w:cs="Arial"/>
          <w:color w:val="000000"/>
          <w:u w:val="single"/>
          <w:lang w:eastAsia="bg-BG"/>
        </w:rPr>
        <w:t>Стеноза на аортната и митралната клапа (обструктивна хипертрофна кардиомиопатия)</w:t>
      </w:r>
    </w:p>
    <w:p w14:paraId="7C302187" w14:textId="77777777" w:rsidR="00B26DE5" w:rsidRPr="00B26DE5" w:rsidRDefault="00B26DE5" w:rsidP="00B26DE5">
      <w:pPr>
        <w:spacing w:line="240" w:lineRule="auto"/>
        <w:rPr>
          <w:rFonts w:eastAsia="Times New Roman" w:cs="Arial"/>
        </w:rPr>
      </w:pPr>
      <w:r w:rsidRPr="00B26DE5">
        <w:rPr>
          <w:rFonts w:eastAsia="Times New Roman" w:cs="Arial"/>
          <w:color w:val="000000"/>
          <w:lang w:eastAsia="bg-BG"/>
        </w:rPr>
        <w:t>Както при другите вазодилататори, специално внимание е необходимо при пациенти, страдащи от стеноза на аортната и митралната клапа с хемодинамично значение или обструктивна хипертрофна кардиомиопатия.</w:t>
      </w:r>
    </w:p>
    <w:p w14:paraId="642D4CE4" w14:textId="77777777" w:rsidR="00B26DE5" w:rsidRDefault="00B26DE5" w:rsidP="00B26DE5">
      <w:pPr>
        <w:spacing w:line="240" w:lineRule="auto"/>
        <w:rPr>
          <w:rFonts w:eastAsia="Times New Roman" w:cs="Arial"/>
          <w:color w:val="000000"/>
          <w:u w:val="single"/>
          <w:lang w:eastAsia="bg-BG"/>
        </w:rPr>
      </w:pPr>
    </w:p>
    <w:p w14:paraId="5D8339AB" w14:textId="63FC614A" w:rsidR="00B26DE5" w:rsidRPr="00B26DE5" w:rsidRDefault="00B26DE5" w:rsidP="00B26DE5">
      <w:pPr>
        <w:spacing w:line="240" w:lineRule="auto"/>
        <w:rPr>
          <w:rFonts w:eastAsia="Times New Roman" w:cs="Arial"/>
        </w:rPr>
      </w:pPr>
      <w:r w:rsidRPr="00B26DE5">
        <w:rPr>
          <w:rFonts w:eastAsia="Times New Roman" w:cs="Arial"/>
          <w:color w:val="000000"/>
          <w:u w:val="single"/>
          <w:lang w:eastAsia="bg-BG"/>
        </w:rPr>
        <w:t>Първичен хипералдостеронизъм</w:t>
      </w:r>
    </w:p>
    <w:p w14:paraId="58380F91" w14:textId="77777777" w:rsidR="00B26DE5" w:rsidRDefault="00B26DE5" w:rsidP="00B26DE5">
      <w:pPr>
        <w:spacing w:line="240" w:lineRule="auto"/>
        <w:rPr>
          <w:rFonts w:eastAsia="Times New Roman" w:cs="Arial"/>
          <w:color w:val="000000"/>
          <w:lang w:eastAsia="bg-BG"/>
        </w:rPr>
      </w:pPr>
    </w:p>
    <w:p w14:paraId="0E483841" w14:textId="7BADDE5A" w:rsidR="00B26DE5" w:rsidRPr="00B26DE5" w:rsidRDefault="00B26DE5" w:rsidP="00B26DE5">
      <w:pPr>
        <w:spacing w:line="240" w:lineRule="auto"/>
        <w:rPr>
          <w:rFonts w:eastAsia="Times New Roman" w:cs="Arial"/>
          <w:color w:val="000000"/>
          <w:lang w:eastAsia="bg-BG"/>
        </w:rPr>
      </w:pPr>
      <w:r w:rsidRPr="00B26DE5">
        <w:rPr>
          <w:rFonts w:eastAsia="Times New Roman" w:cs="Arial"/>
          <w:color w:val="000000"/>
          <w:lang w:eastAsia="bg-BG"/>
        </w:rPr>
        <w:t>Пациенти с първичен хипералдостеронизъм обикновено няма да се повлияят от лечение с антихипертензивни лекарствени продукти, действащи чрез инхибиране на ренин-ангиотензин- алдостероновата система. Поради това, приложението на Карбис не се препоръчва при тази популация.</w:t>
      </w:r>
    </w:p>
    <w:p w14:paraId="7051E989" w14:textId="77777777" w:rsidR="00B26DE5" w:rsidRDefault="00B26DE5" w:rsidP="00B26DE5">
      <w:pPr>
        <w:spacing w:line="240" w:lineRule="auto"/>
        <w:rPr>
          <w:rFonts w:eastAsia="Times New Roman" w:cs="Arial"/>
          <w:color w:val="000000"/>
          <w:u w:val="single"/>
          <w:lang w:eastAsia="bg-BG"/>
        </w:rPr>
      </w:pPr>
    </w:p>
    <w:p w14:paraId="03A2D502" w14:textId="79BA04AA" w:rsidR="00B26DE5" w:rsidRPr="00B26DE5" w:rsidRDefault="00B26DE5" w:rsidP="00B26DE5">
      <w:pPr>
        <w:spacing w:line="240" w:lineRule="auto"/>
        <w:rPr>
          <w:rFonts w:eastAsia="Times New Roman" w:cs="Arial"/>
        </w:rPr>
      </w:pPr>
      <w:r w:rsidRPr="00B26DE5">
        <w:rPr>
          <w:rFonts w:eastAsia="Times New Roman" w:cs="Arial"/>
          <w:color w:val="000000"/>
          <w:u w:val="single"/>
          <w:lang w:eastAsia="bg-BG"/>
        </w:rPr>
        <w:t>Хиперкалиемия</w:t>
      </w:r>
    </w:p>
    <w:p w14:paraId="7126998C" w14:textId="77777777" w:rsidR="00B26DE5" w:rsidRDefault="00B26DE5" w:rsidP="00B26DE5">
      <w:pPr>
        <w:spacing w:line="240" w:lineRule="auto"/>
        <w:rPr>
          <w:rFonts w:eastAsia="Times New Roman" w:cs="Arial"/>
          <w:color w:val="000000"/>
          <w:lang w:eastAsia="bg-BG"/>
        </w:rPr>
      </w:pPr>
    </w:p>
    <w:p w14:paraId="18D25478" w14:textId="11792FAC" w:rsidR="00B26DE5" w:rsidRPr="00B26DE5" w:rsidRDefault="00B26DE5" w:rsidP="00B26DE5">
      <w:pPr>
        <w:spacing w:line="240" w:lineRule="auto"/>
        <w:rPr>
          <w:rFonts w:eastAsia="Times New Roman" w:cs="Arial"/>
        </w:rPr>
      </w:pPr>
      <w:r w:rsidRPr="00B26DE5">
        <w:rPr>
          <w:rFonts w:eastAsia="Times New Roman" w:cs="Arial"/>
          <w:color w:val="000000"/>
          <w:lang w:eastAsia="bg-BG"/>
        </w:rPr>
        <w:t>Едновременното приложение на Карбис с калий- съхраняващи диуретици, калиеви добавки, заместители на солта, съдържащи калий или други лекарствени продукти, които могат да повлияят нивата на калия (напр. хепарин) може да доведе до повишаване на серумния калий при хипертензивни пациенти.</w:t>
      </w:r>
    </w:p>
    <w:p w14:paraId="57FF2F8C" w14:textId="77777777" w:rsidR="00B26DE5" w:rsidRPr="00B26DE5" w:rsidRDefault="00B26DE5" w:rsidP="00B26DE5">
      <w:pPr>
        <w:spacing w:line="240" w:lineRule="auto"/>
        <w:rPr>
          <w:rFonts w:eastAsia="Times New Roman" w:cs="Arial"/>
        </w:rPr>
      </w:pPr>
      <w:r w:rsidRPr="00B26DE5">
        <w:rPr>
          <w:rFonts w:eastAsia="Times New Roman" w:cs="Arial"/>
          <w:color w:val="000000"/>
          <w:lang w:eastAsia="bg-BG"/>
        </w:rPr>
        <w:t>Необходимо е подходящо мониториране на нивата на калия.</w:t>
      </w:r>
    </w:p>
    <w:p w14:paraId="73CFF149" w14:textId="77777777" w:rsidR="00B26DE5" w:rsidRPr="00B26DE5" w:rsidRDefault="00B26DE5" w:rsidP="00B26DE5">
      <w:pPr>
        <w:spacing w:line="240" w:lineRule="auto"/>
        <w:rPr>
          <w:rFonts w:eastAsia="Times New Roman" w:cs="Arial"/>
        </w:rPr>
      </w:pPr>
      <w:r w:rsidRPr="00B26DE5">
        <w:rPr>
          <w:rFonts w:eastAsia="Times New Roman" w:cs="Arial"/>
          <w:color w:val="000000"/>
          <w:lang w:eastAsia="bg-BG"/>
        </w:rPr>
        <w:t>При болни със сърдечна недостатъчност, лекувани с Карбис, може да възникне хиперкалиемия.</w:t>
      </w:r>
    </w:p>
    <w:p w14:paraId="0B687F26" w14:textId="77777777" w:rsidR="00B26DE5" w:rsidRPr="00B26DE5" w:rsidRDefault="00B26DE5" w:rsidP="00B26DE5">
      <w:pPr>
        <w:spacing w:line="240" w:lineRule="auto"/>
        <w:rPr>
          <w:rFonts w:eastAsia="Times New Roman" w:cs="Arial"/>
        </w:rPr>
      </w:pPr>
      <w:r w:rsidRPr="00B26DE5">
        <w:rPr>
          <w:rFonts w:eastAsia="Times New Roman" w:cs="Arial"/>
          <w:color w:val="000000"/>
          <w:lang w:eastAsia="bg-BG"/>
        </w:rPr>
        <w:t>Препоръчва се периодично проследяване на серумния калий. Комбинацията от АСЕ- инхибитор, калий-съхраняващи диуретик (напр. спиронолактон) и Карбис не се препоръчва и трябва да се разглежда само след внимателна оценка на потенциалните ползи и рискове.</w:t>
      </w:r>
    </w:p>
    <w:p w14:paraId="7AEA55CD" w14:textId="77777777" w:rsidR="00B26DE5" w:rsidRDefault="00B26DE5" w:rsidP="00B26DE5">
      <w:pPr>
        <w:spacing w:line="240" w:lineRule="auto"/>
        <w:rPr>
          <w:rFonts w:eastAsia="Times New Roman" w:cs="Arial"/>
          <w:color w:val="000000"/>
          <w:u w:val="single"/>
          <w:lang w:eastAsia="bg-BG"/>
        </w:rPr>
      </w:pPr>
    </w:p>
    <w:p w14:paraId="42E29192" w14:textId="70DD754F" w:rsidR="00B26DE5" w:rsidRPr="00B26DE5" w:rsidRDefault="00B26DE5" w:rsidP="00B26DE5">
      <w:pPr>
        <w:spacing w:line="240" w:lineRule="auto"/>
        <w:rPr>
          <w:rFonts w:eastAsia="Times New Roman" w:cs="Arial"/>
        </w:rPr>
      </w:pPr>
      <w:r w:rsidRPr="00B26DE5">
        <w:rPr>
          <w:rFonts w:eastAsia="Times New Roman" w:cs="Arial"/>
          <w:color w:val="000000"/>
          <w:u w:val="single"/>
          <w:lang w:eastAsia="bg-BG"/>
        </w:rPr>
        <w:t>Бременност</w:t>
      </w:r>
    </w:p>
    <w:p w14:paraId="63616740" w14:textId="77777777" w:rsidR="00B26DE5" w:rsidRDefault="00B26DE5" w:rsidP="00B26DE5">
      <w:pPr>
        <w:spacing w:line="240" w:lineRule="auto"/>
        <w:rPr>
          <w:rFonts w:eastAsia="Times New Roman" w:cs="Arial"/>
          <w:color w:val="000000"/>
          <w:lang w:eastAsia="bg-BG"/>
        </w:rPr>
      </w:pPr>
    </w:p>
    <w:p w14:paraId="08F773CC" w14:textId="0AEA8E4A" w:rsidR="00B26DE5" w:rsidRPr="00B26DE5" w:rsidRDefault="00B26DE5" w:rsidP="00B26DE5">
      <w:pPr>
        <w:spacing w:line="240" w:lineRule="auto"/>
        <w:rPr>
          <w:rFonts w:eastAsia="Times New Roman" w:cs="Arial"/>
        </w:rPr>
      </w:pPr>
      <w:r w:rsidRPr="00B26DE5">
        <w:rPr>
          <w:rFonts w:eastAsia="Times New Roman" w:cs="Arial"/>
          <w:color w:val="000000"/>
          <w:lang w:eastAsia="bg-BG"/>
        </w:rPr>
        <w:t>АПРАи не трябва да се назначават по време на бременност. Освен ако продължаването на лечението с АПРАи не се счита за жизнено важно, пациентките, планиращи бременност</w:t>
      </w:r>
      <w:r w:rsidRPr="00B26DE5">
        <w:rPr>
          <w:rFonts w:eastAsia="Times New Roman" w:cs="Arial"/>
          <w:color w:val="000000"/>
          <w:lang w:val="ru-RU"/>
        </w:rPr>
        <w:t xml:space="preserve"> </w:t>
      </w:r>
      <w:r w:rsidRPr="00B26DE5">
        <w:rPr>
          <w:rFonts w:eastAsia="Times New Roman" w:cs="Arial"/>
          <w:color w:val="000000"/>
          <w:lang w:eastAsia="bg-BG"/>
        </w:rPr>
        <w:t xml:space="preserve">трябва да преминат на алтернативно антихипертензивно лечение с установен профил на безопасност за употреба по време на бременност. При установяване на бременност, лечението с </w:t>
      </w:r>
      <w:r w:rsidRPr="00B26DE5">
        <w:rPr>
          <w:rFonts w:eastAsia="Times New Roman" w:cs="Arial"/>
          <w:color w:val="000000"/>
          <w:lang w:val="en-US"/>
        </w:rPr>
        <w:t>AIIPA</w:t>
      </w:r>
      <w:r w:rsidRPr="00B26DE5">
        <w:rPr>
          <w:rFonts w:eastAsia="Times New Roman" w:cs="Arial"/>
          <w:color w:val="000000"/>
          <w:lang w:val="ru-RU"/>
        </w:rPr>
        <w:t xml:space="preserve"> </w:t>
      </w:r>
      <w:r w:rsidRPr="00B26DE5">
        <w:rPr>
          <w:rFonts w:eastAsia="Times New Roman" w:cs="Arial"/>
          <w:color w:val="000000"/>
          <w:lang w:eastAsia="bg-BG"/>
        </w:rPr>
        <w:t>трябва да бъде преустановено незабавно и, ако е необходимо, да се започне алтернативно лечение (вж.</w:t>
      </w:r>
    </w:p>
    <w:p w14:paraId="58AB627D" w14:textId="2AC2EF33" w:rsidR="00B26DE5" w:rsidRDefault="00B26DE5" w:rsidP="00B26DE5">
      <w:pPr>
        <w:rPr>
          <w:rFonts w:eastAsia="Times New Roman" w:cs="Arial"/>
          <w:color w:val="000000"/>
          <w:lang w:eastAsia="bg-BG"/>
        </w:rPr>
      </w:pPr>
      <w:r w:rsidRPr="00B26DE5">
        <w:rPr>
          <w:rFonts w:eastAsia="Times New Roman" w:cs="Arial"/>
          <w:color w:val="000000"/>
          <w:lang w:eastAsia="bg-BG"/>
        </w:rPr>
        <w:t>точки 43 и 4.6).</w:t>
      </w:r>
    </w:p>
    <w:p w14:paraId="135F2F0D" w14:textId="459CD00D" w:rsidR="00B26DE5" w:rsidRDefault="00B26DE5" w:rsidP="00B26DE5">
      <w:pPr>
        <w:rPr>
          <w:rFonts w:eastAsia="Times New Roman" w:cs="Arial"/>
          <w:color w:val="000000"/>
          <w:lang w:eastAsia="bg-BG"/>
        </w:rPr>
      </w:pPr>
    </w:p>
    <w:p w14:paraId="19F6E1E4" w14:textId="77777777" w:rsidR="00B26DE5" w:rsidRPr="00B26DE5" w:rsidRDefault="00B26DE5" w:rsidP="00B26DE5">
      <w:pPr>
        <w:spacing w:line="240" w:lineRule="auto"/>
        <w:rPr>
          <w:rFonts w:eastAsia="Times New Roman" w:cs="Arial"/>
        </w:rPr>
      </w:pPr>
      <w:r w:rsidRPr="00B26DE5">
        <w:rPr>
          <w:rFonts w:eastAsia="Times New Roman" w:cs="Arial"/>
          <w:color w:val="000000"/>
          <w:lang w:eastAsia="bg-BG"/>
        </w:rPr>
        <w:t>При пациентки след менархе вероятността за бременност трябва да се проверява редовно. Трябва да се дава редовна информация и/или да се предприемат мерки за предотвратяване на риска за експозиция по време на бременност (вж. точка 4.3 и 4.6).</w:t>
      </w:r>
    </w:p>
    <w:p w14:paraId="6C6E8F10" w14:textId="77777777" w:rsidR="00B26DE5" w:rsidRDefault="00B26DE5" w:rsidP="00B26DE5">
      <w:pPr>
        <w:spacing w:line="240" w:lineRule="auto"/>
        <w:rPr>
          <w:rFonts w:eastAsia="Times New Roman" w:cs="Arial"/>
          <w:color w:val="000000"/>
          <w:u w:val="single"/>
          <w:lang w:eastAsia="bg-BG"/>
        </w:rPr>
      </w:pPr>
    </w:p>
    <w:p w14:paraId="2F44ACB0" w14:textId="114DB03B" w:rsidR="00B26DE5" w:rsidRPr="00B26DE5" w:rsidRDefault="00B26DE5" w:rsidP="00B26DE5">
      <w:pPr>
        <w:spacing w:line="240" w:lineRule="auto"/>
        <w:rPr>
          <w:rFonts w:eastAsia="Times New Roman" w:cs="Arial"/>
        </w:rPr>
      </w:pPr>
      <w:r w:rsidRPr="00B26DE5">
        <w:rPr>
          <w:rFonts w:eastAsia="Times New Roman" w:cs="Arial"/>
          <w:color w:val="000000"/>
          <w:u w:val="single"/>
          <w:lang w:eastAsia="bg-BG"/>
        </w:rPr>
        <w:t>Общи</w:t>
      </w:r>
    </w:p>
    <w:p w14:paraId="2A25577B" w14:textId="77777777" w:rsidR="00B26DE5" w:rsidRDefault="00B26DE5" w:rsidP="00B26DE5">
      <w:pPr>
        <w:spacing w:line="240" w:lineRule="auto"/>
        <w:rPr>
          <w:rFonts w:eastAsia="Times New Roman" w:cs="Arial"/>
          <w:color w:val="000000"/>
          <w:lang w:eastAsia="bg-BG"/>
        </w:rPr>
      </w:pPr>
    </w:p>
    <w:p w14:paraId="78A1B300" w14:textId="68734B87" w:rsidR="00B26DE5" w:rsidRPr="00B26DE5" w:rsidRDefault="00B26DE5" w:rsidP="00B26DE5">
      <w:pPr>
        <w:spacing w:line="240" w:lineRule="auto"/>
        <w:rPr>
          <w:rFonts w:eastAsia="Times New Roman" w:cs="Arial"/>
        </w:rPr>
      </w:pPr>
      <w:r w:rsidRPr="00B26DE5">
        <w:rPr>
          <w:rFonts w:eastAsia="Times New Roman" w:cs="Arial"/>
          <w:color w:val="000000"/>
          <w:lang w:eastAsia="bg-BG"/>
        </w:rPr>
        <w:t>При пациенти, чийто съдов тонус и бъбречна функция зависят предимно от активността на системата ренин-ангиотензин-алдостерон (напр. пациенти с тежка застойна сърдечна недостатъчност или бъбречно заболяване, включително стеноза на бъбречната артерия), лечението с други лекарствени продукти, повлияващи тази система, са свързани с остра хипотония, азотемия, олигурия или рядко остра бъбречна недостатъчност. Възможността за подобни ефекти не може да се изключи при ангиотензин II рецепторите. Както при всички антихипертензивни средства, прекомерното понижение на кръвното налягане при пациенти с исхемична кардиопатия или исхемично мозъчно-съдова болест може да доведе до инфаркт на миокарда или инсулт.</w:t>
      </w:r>
    </w:p>
    <w:p w14:paraId="157295C1" w14:textId="77777777" w:rsidR="00B26DE5" w:rsidRDefault="00B26DE5" w:rsidP="00B26DE5">
      <w:pPr>
        <w:spacing w:line="240" w:lineRule="auto"/>
        <w:rPr>
          <w:rFonts w:eastAsia="Times New Roman" w:cs="Arial"/>
          <w:color w:val="000000"/>
          <w:lang w:eastAsia="bg-BG"/>
        </w:rPr>
      </w:pPr>
    </w:p>
    <w:p w14:paraId="6E5D09BF" w14:textId="76A79100" w:rsidR="00B26DE5" w:rsidRPr="00B26DE5" w:rsidRDefault="00B26DE5" w:rsidP="00B26DE5">
      <w:pPr>
        <w:spacing w:line="240" w:lineRule="auto"/>
        <w:rPr>
          <w:rFonts w:eastAsia="Times New Roman" w:cs="Arial"/>
        </w:rPr>
      </w:pPr>
      <w:r w:rsidRPr="00B26DE5">
        <w:rPr>
          <w:rFonts w:eastAsia="Times New Roman" w:cs="Arial"/>
          <w:color w:val="000000"/>
          <w:lang w:eastAsia="bg-BG"/>
        </w:rPr>
        <w:t>Антихипертензивният ефект на кандесартан може да се засили от други лекарствени продукти с понижаващи кръвното налягане свойства, независимо дали са предписани като антихипертензивни или са предписани за други показания.</w:t>
      </w:r>
    </w:p>
    <w:p w14:paraId="613A30EE" w14:textId="77777777" w:rsidR="00B26DE5" w:rsidRDefault="00B26DE5" w:rsidP="00B26DE5">
      <w:pPr>
        <w:spacing w:line="240" w:lineRule="auto"/>
        <w:rPr>
          <w:rFonts w:eastAsia="Times New Roman" w:cs="Arial"/>
          <w:color w:val="000000"/>
          <w:u w:val="single"/>
          <w:lang w:eastAsia="bg-BG"/>
        </w:rPr>
      </w:pPr>
    </w:p>
    <w:p w14:paraId="024BE33F" w14:textId="32938AA2" w:rsidR="00B26DE5" w:rsidRPr="00B26DE5" w:rsidRDefault="00B26DE5" w:rsidP="00B26DE5">
      <w:pPr>
        <w:spacing w:line="240" w:lineRule="auto"/>
        <w:rPr>
          <w:rFonts w:eastAsia="Times New Roman" w:cs="Arial"/>
        </w:rPr>
      </w:pPr>
      <w:r w:rsidRPr="00B26DE5">
        <w:rPr>
          <w:rFonts w:eastAsia="Times New Roman" w:cs="Arial"/>
          <w:color w:val="000000"/>
          <w:u w:val="single"/>
          <w:lang w:eastAsia="bg-BG"/>
        </w:rPr>
        <w:t>Двойно блокиране на ренин-ангиотензин-алдостероновата система (РААС)</w:t>
      </w:r>
    </w:p>
    <w:p w14:paraId="4FAE8EC2" w14:textId="77777777" w:rsidR="00B26DE5" w:rsidRDefault="00B26DE5" w:rsidP="00B26DE5">
      <w:pPr>
        <w:spacing w:line="240" w:lineRule="auto"/>
        <w:rPr>
          <w:rFonts w:eastAsia="Times New Roman" w:cs="Arial"/>
          <w:color w:val="000000"/>
          <w:lang w:eastAsia="bg-BG"/>
        </w:rPr>
      </w:pPr>
    </w:p>
    <w:p w14:paraId="345988EE" w14:textId="107410A0" w:rsidR="00B26DE5" w:rsidRPr="00B26DE5" w:rsidRDefault="00B26DE5" w:rsidP="00B26DE5">
      <w:pPr>
        <w:spacing w:line="240" w:lineRule="auto"/>
        <w:rPr>
          <w:rFonts w:eastAsia="Times New Roman" w:cs="Arial"/>
        </w:rPr>
      </w:pPr>
      <w:r w:rsidRPr="00B26DE5">
        <w:rPr>
          <w:rFonts w:eastAsia="Times New Roman" w:cs="Arial"/>
          <w:color w:val="000000"/>
          <w:lang w:eastAsia="bg-BG"/>
        </w:rPr>
        <w:t xml:space="preserve">Има данни, че едновременната употреба на АСЕ инхибитори, ангиотензин </w:t>
      </w:r>
      <w:r w:rsidRPr="00B26DE5">
        <w:rPr>
          <w:rFonts w:eastAsia="Times New Roman" w:cs="Arial"/>
          <w:color w:val="000000"/>
          <w:lang w:val="en-US"/>
        </w:rPr>
        <w:t>II</w:t>
      </w:r>
      <w:r w:rsidRPr="00B26DE5">
        <w:rPr>
          <w:rFonts w:eastAsia="Times New Roman" w:cs="Arial"/>
          <w:color w:val="000000"/>
          <w:lang w:eastAsia="bg-BG"/>
        </w:rPr>
        <w:t xml:space="preserve">-рецепторни блокери или алискирен повишава риска от хипотония, хиперкалиемия и намаляване на бъбречната функция (включително остра бъбречна недостатъчност). Поради това не се препоръчва двойно блокиране на РААС чрез комбинираната употреба на АСЕ инхибитори, ангиотензин </w:t>
      </w:r>
      <w:r w:rsidRPr="00B26DE5">
        <w:rPr>
          <w:rFonts w:eastAsia="Times New Roman" w:cs="Arial"/>
          <w:color w:val="000000"/>
          <w:lang w:val="en-US"/>
        </w:rPr>
        <w:t>II</w:t>
      </w:r>
      <w:r w:rsidRPr="00B26DE5">
        <w:rPr>
          <w:rFonts w:eastAsia="Times New Roman" w:cs="Arial"/>
          <w:color w:val="000000"/>
          <w:lang w:eastAsia="bg-BG"/>
        </w:rPr>
        <w:t>-рецепторни блокери или алискирен (вж. точки 4.5 и 5.1).</w:t>
      </w:r>
    </w:p>
    <w:p w14:paraId="69E6F045" w14:textId="77777777" w:rsidR="00B26DE5" w:rsidRPr="00B26DE5" w:rsidRDefault="00B26DE5" w:rsidP="00B26DE5">
      <w:pPr>
        <w:spacing w:line="240" w:lineRule="auto"/>
        <w:rPr>
          <w:rFonts w:eastAsia="Times New Roman" w:cs="Arial"/>
        </w:rPr>
      </w:pPr>
      <w:r w:rsidRPr="00B26DE5">
        <w:rPr>
          <w:rFonts w:eastAsia="Times New Roman" w:cs="Arial"/>
          <w:color w:val="000000"/>
          <w:lang w:eastAsia="bg-BG"/>
        </w:rPr>
        <w:t>Ако се прецени, че терапията с двойно блокиране е абсолютно необходима, това трябва да става само под наблюдението на специалист и при често внимателно мониториране на бъбречната функция, електролитите и кръвното налягане.</w:t>
      </w:r>
    </w:p>
    <w:p w14:paraId="5B9C87CB" w14:textId="77777777" w:rsidR="00B26DE5" w:rsidRPr="00B26DE5" w:rsidRDefault="00B26DE5" w:rsidP="00B26DE5">
      <w:pPr>
        <w:spacing w:line="240" w:lineRule="auto"/>
        <w:rPr>
          <w:rFonts w:eastAsia="Times New Roman" w:cs="Arial"/>
        </w:rPr>
      </w:pPr>
      <w:r w:rsidRPr="00B26DE5">
        <w:rPr>
          <w:rFonts w:eastAsia="Times New Roman" w:cs="Arial"/>
          <w:color w:val="000000"/>
          <w:lang w:eastAsia="bg-BG"/>
        </w:rPr>
        <w:t xml:space="preserve">АСЕ инхибитори и ангиотензин </w:t>
      </w:r>
      <w:r w:rsidRPr="00B26DE5">
        <w:rPr>
          <w:rFonts w:eastAsia="Times New Roman" w:cs="Arial"/>
          <w:color w:val="000000"/>
          <w:lang w:val="en-US"/>
        </w:rPr>
        <w:t>II</w:t>
      </w:r>
      <w:r w:rsidRPr="00B26DE5">
        <w:rPr>
          <w:rFonts w:eastAsia="Times New Roman" w:cs="Arial"/>
          <w:color w:val="000000"/>
          <w:lang w:eastAsia="bg-BG"/>
        </w:rPr>
        <w:t>-рецепторни блокери не трябва да се използват едновременно при пациенти с диабетна нефропатия.</w:t>
      </w:r>
    </w:p>
    <w:p w14:paraId="407836AB" w14:textId="77777777" w:rsidR="00B26DE5" w:rsidRDefault="00B26DE5" w:rsidP="00B26DE5">
      <w:pPr>
        <w:spacing w:line="240" w:lineRule="auto"/>
        <w:rPr>
          <w:rFonts w:eastAsia="Times New Roman" w:cs="Arial"/>
          <w:color w:val="000000"/>
          <w:lang w:eastAsia="bg-BG"/>
        </w:rPr>
      </w:pPr>
    </w:p>
    <w:p w14:paraId="1F1252D6" w14:textId="67E7BE30" w:rsidR="00B26DE5" w:rsidRPr="00B26DE5" w:rsidRDefault="00B26DE5" w:rsidP="00B26DE5">
      <w:pPr>
        <w:spacing w:line="240" w:lineRule="auto"/>
        <w:rPr>
          <w:rFonts w:eastAsia="Times New Roman" w:cs="Arial"/>
        </w:rPr>
      </w:pPr>
      <w:r w:rsidRPr="00B26DE5">
        <w:rPr>
          <w:rFonts w:eastAsia="Times New Roman" w:cs="Arial"/>
          <w:color w:val="000000"/>
          <w:lang w:eastAsia="bg-BG"/>
        </w:rPr>
        <w:t>Този лекарствен продукт съдържа лактоза монохидрат.</w:t>
      </w:r>
    </w:p>
    <w:p w14:paraId="2BE663C2" w14:textId="1DCA820D" w:rsidR="00B26DE5" w:rsidRDefault="00B26DE5" w:rsidP="00B26DE5">
      <w:pPr>
        <w:rPr>
          <w:rFonts w:eastAsia="Times New Roman" w:cs="Arial"/>
          <w:color w:val="000000"/>
          <w:lang w:eastAsia="bg-BG"/>
        </w:rPr>
      </w:pPr>
      <w:r w:rsidRPr="00B26DE5">
        <w:rPr>
          <w:rFonts w:eastAsia="Times New Roman" w:cs="Arial"/>
          <w:color w:val="000000"/>
          <w:lang w:eastAsia="bg-BG"/>
        </w:rPr>
        <w:t>Пациенти с редки наследствени проблеми на непоносимост към галактоза, пълен лактазен дефицит или глюкозно-галактозна малабсорбция не трябва да приемат това лекарство.</w:t>
      </w:r>
    </w:p>
    <w:p w14:paraId="7CEBF553" w14:textId="77777777" w:rsidR="00B26DE5" w:rsidRPr="00B26DE5" w:rsidRDefault="00B26DE5" w:rsidP="00B26DE5">
      <w:pPr>
        <w:rPr>
          <w:rFonts w:cs="Arial"/>
        </w:rPr>
      </w:pPr>
    </w:p>
    <w:p w14:paraId="0734264C" w14:textId="5ED601EE" w:rsidR="007122AD" w:rsidRDefault="002C50EE" w:rsidP="00936AD0">
      <w:pPr>
        <w:pStyle w:val="Heading2"/>
      </w:pPr>
      <w:r>
        <w:t>4.5. Взаимодействие с други лекарствени продукти и други форми на</w:t>
      </w:r>
      <w:r w:rsidR="004F1CE7" w:rsidRPr="004F1CE7">
        <w:rPr>
          <w:lang w:val="ru-RU"/>
        </w:rPr>
        <w:t xml:space="preserve"> </w:t>
      </w:r>
      <w:r w:rsidR="004F1CE7">
        <w:t>взаимодействие</w:t>
      </w:r>
      <w:r>
        <w:t xml:space="preserve"> </w:t>
      </w:r>
    </w:p>
    <w:p w14:paraId="5314F00F" w14:textId="654A5F2A" w:rsidR="00B26DE5" w:rsidRDefault="00B26DE5" w:rsidP="00B26DE5"/>
    <w:p w14:paraId="65D82CC1" w14:textId="77777777" w:rsidR="00B26DE5" w:rsidRPr="00B26DE5" w:rsidRDefault="00B26DE5" w:rsidP="00B26DE5">
      <w:pPr>
        <w:spacing w:line="240" w:lineRule="auto"/>
        <w:rPr>
          <w:rFonts w:eastAsia="Times New Roman" w:cs="Arial"/>
        </w:rPr>
      </w:pPr>
      <w:r w:rsidRPr="00B26DE5">
        <w:rPr>
          <w:rFonts w:eastAsia="Times New Roman" w:cs="Arial"/>
          <w:color w:val="000000"/>
          <w:lang w:eastAsia="bg-BG"/>
        </w:rPr>
        <w:t>Съединенията, които са били изследвани при клиничните фармакокинетични проучвания, включват хидрохлоротиазид, варфарин, дигоксин, перорални контрацептиви (т.е. етинилестрадиол/левоноргестрел), глибенкламид, нифедипин и еналаприл. Няма идентифицирани клинично значими фармакокинетични взаимодействия с тези лекарствени продукти.</w:t>
      </w:r>
    </w:p>
    <w:p w14:paraId="6680ADDD" w14:textId="77777777" w:rsidR="00B26DE5" w:rsidRDefault="00B26DE5" w:rsidP="00B26DE5">
      <w:pPr>
        <w:spacing w:line="240" w:lineRule="auto"/>
        <w:rPr>
          <w:rFonts w:eastAsia="Times New Roman" w:cs="Arial"/>
          <w:color w:val="000000"/>
          <w:lang w:eastAsia="bg-BG"/>
        </w:rPr>
      </w:pPr>
    </w:p>
    <w:p w14:paraId="5EBF62FB" w14:textId="77777777" w:rsidR="00B26DE5" w:rsidRDefault="00B26DE5" w:rsidP="00B26DE5">
      <w:pPr>
        <w:spacing w:line="240" w:lineRule="auto"/>
        <w:rPr>
          <w:rFonts w:eastAsia="Times New Roman" w:cs="Arial"/>
          <w:color w:val="000000"/>
          <w:lang w:eastAsia="bg-BG"/>
        </w:rPr>
      </w:pPr>
      <w:r w:rsidRPr="00B26DE5">
        <w:rPr>
          <w:rFonts w:eastAsia="Times New Roman" w:cs="Arial"/>
          <w:color w:val="000000"/>
          <w:lang w:eastAsia="bg-BG"/>
        </w:rPr>
        <w:t xml:space="preserve">Едновременното приложение на калий-съхраняващи диуретици, калиеви добавки, заместители на солта, съдържащи калий, или други лекарствени продукти, които повишат нивата на калия (напр. хепарин), може да доведе до повишаване на серумния калий. </w:t>
      </w:r>
    </w:p>
    <w:p w14:paraId="3139C447" w14:textId="19697DEE" w:rsidR="00B26DE5" w:rsidRPr="00B26DE5" w:rsidRDefault="00B26DE5" w:rsidP="00B26DE5">
      <w:pPr>
        <w:spacing w:line="240" w:lineRule="auto"/>
        <w:rPr>
          <w:rFonts w:eastAsia="Times New Roman" w:cs="Arial"/>
        </w:rPr>
      </w:pPr>
      <w:r w:rsidRPr="00B26DE5">
        <w:rPr>
          <w:rFonts w:eastAsia="Times New Roman" w:cs="Arial"/>
          <w:color w:val="000000"/>
          <w:lang w:eastAsia="bg-BG"/>
        </w:rPr>
        <w:t>Необходимо е подходящо мониториране на нивата на калия (вж.точка 4.4).</w:t>
      </w:r>
    </w:p>
    <w:p w14:paraId="45EE25D8" w14:textId="77777777" w:rsidR="00B26DE5" w:rsidRDefault="00B26DE5" w:rsidP="00B26DE5">
      <w:pPr>
        <w:rPr>
          <w:rFonts w:eastAsia="Times New Roman" w:cs="Arial"/>
          <w:color w:val="000000"/>
          <w:lang w:eastAsia="bg-BG"/>
        </w:rPr>
      </w:pPr>
    </w:p>
    <w:p w14:paraId="4E2AE115" w14:textId="5C2EB3F2" w:rsidR="00B26DE5" w:rsidRDefault="00B26DE5" w:rsidP="00B26DE5">
      <w:pPr>
        <w:rPr>
          <w:rFonts w:eastAsia="Times New Roman" w:cs="Arial"/>
          <w:color w:val="000000"/>
          <w:lang w:eastAsia="bg-BG"/>
        </w:rPr>
      </w:pPr>
      <w:r w:rsidRPr="00B26DE5">
        <w:rPr>
          <w:rFonts w:eastAsia="Times New Roman" w:cs="Arial"/>
          <w:color w:val="000000"/>
          <w:lang w:eastAsia="bg-BG"/>
        </w:rPr>
        <w:t>Има съобщения за обратимо повишение на серумните концентрации и токсичността</w:t>
      </w:r>
      <w:r w:rsidRPr="00B26DE5">
        <w:rPr>
          <w:rFonts w:eastAsia="Times New Roman" w:cs="Arial"/>
          <w:color w:val="000000"/>
          <w:lang w:val="ru-RU"/>
        </w:rPr>
        <w:t xml:space="preserve"> </w:t>
      </w:r>
      <w:r w:rsidRPr="00B26DE5">
        <w:rPr>
          <w:rFonts w:eastAsia="Times New Roman" w:cs="Arial"/>
          <w:color w:val="000000"/>
          <w:lang w:eastAsia="bg-BG"/>
        </w:rPr>
        <w:t xml:space="preserve">на лития по време на едновременно приложение на литий с АСЕ инхибитори. Подобен </w:t>
      </w:r>
      <w:r w:rsidRPr="00B26DE5">
        <w:rPr>
          <w:rFonts w:eastAsia="Times New Roman" w:cs="Arial"/>
          <w:color w:val="000000"/>
          <w:lang w:eastAsia="bg-BG"/>
        </w:rPr>
        <w:lastRenderedPageBreak/>
        <w:t>ефект може да възникне и при приложение на АПРАи. Употребата на кандесартан с литий не се препоръчва</w:t>
      </w:r>
      <w:r w:rsidRPr="00B26DE5">
        <w:rPr>
          <w:rFonts w:eastAsia="Times New Roman" w:cs="Arial"/>
          <w:color w:val="000000"/>
          <w:u w:val="single"/>
          <w:lang w:eastAsia="bg-BG"/>
        </w:rPr>
        <w:t xml:space="preserve"> </w:t>
      </w:r>
      <w:r w:rsidRPr="00B26DE5">
        <w:rPr>
          <w:rFonts w:eastAsia="Times New Roman" w:cs="Arial"/>
          <w:color w:val="000000"/>
          <w:lang w:eastAsia="bg-BG"/>
        </w:rPr>
        <w:t xml:space="preserve">Ако комбинацията е необходима, се препоръчва внимателно мониториране на </w:t>
      </w:r>
      <w:r w:rsidRPr="00B26DE5">
        <w:rPr>
          <w:rFonts w:eastAsia="Times New Roman" w:cs="Arial"/>
          <w:i/>
          <w:iCs/>
          <w:color w:val="000000"/>
          <w:lang w:eastAsia="bg-BG"/>
        </w:rPr>
        <w:t xml:space="preserve">серумните нива </w:t>
      </w:r>
      <w:r w:rsidRPr="00B26DE5">
        <w:rPr>
          <w:rFonts w:eastAsia="Times New Roman" w:cs="Arial"/>
          <w:color w:val="000000"/>
          <w:lang w:eastAsia="bg-BG"/>
        </w:rPr>
        <w:t>на лития.</w:t>
      </w:r>
    </w:p>
    <w:p w14:paraId="06BA3B03" w14:textId="31768B60" w:rsidR="00B26DE5" w:rsidRDefault="00B26DE5" w:rsidP="00B26DE5">
      <w:pPr>
        <w:rPr>
          <w:rFonts w:eastAsia="Times New Roman" w:cs="Arial"/>
          <w:color w:val="000000"/>
          <w:lang w:eastAsia="bg-BG"/>
        </w:rPr>
      </w:pPr>
    </w:p>
    <w:p w14:paraId="08B7E81D" w14:textId="036D337D" w:rsidR="00B26DE5" w:rsidRPr="00B26DE5" w:rsidRDefault="00B26DE5" w:rsidP="00B26DE5">
      <w:pPr>
        <w:spacing w:line="240" w:lineRule="auto"/>
        <w:rPr>
          <w:rFonts w:eastAsia="Times New Roman" w:cs="Arial"/>
        </w:rPr>
      </w:pPr>
      <w:r>
        <w:rPr>
          <w:rFonts w:eastAsia="Times New Roman" w:cs="Arial"/>
          <w:color w:val="000000"/>
          <w:lang w:eastAsia="bg-BG"/>
        </w:rPr>
        <w:t>Когато А</w:t>
      </w:r>
      <w:r>
        <w:rPr>
          <w:rFonts w:eastAsia="Times New Roman" w:cs="Arial"/>
          <w:color w:val="000000"/>
          <w:lang w:val="en-US" w:eastAsia="bg-BG"/>
        </w:rPr>
        <w:t>II</w:t>
      </w:r>
      <w:r w:rsidRPr="00B26DE5">
        <w:rPr>
          <w:rFonts w:eastAsia="Times New Roman" w:cs="Arial"/>
          <w:color w:val="000000"/>
          <w:lang w:eastAsia="bg-BG"/>
        </w:rPr>
        <w:t>РАи се прилагат едновременно с нестероидни противовъзпалителни средства (НСПВС) (като селективни СОХ-2 инхибитори, ацетилсалицилова киселина (&gt; З</w:t>
      </w:r>
      <w:r w:rsidRPr="00B26DE5">
        <w:rPr>
          <w:rFonts w:eastAsia="Times New Roman" w:cs="Arial"/>
          <w:color w:val="000000"/>
          <w:lang w:val="en-US"/>
        </w:rPr>
        <w:t>g</w:t>
      </w:r>
      <w:r w:rsidRPr="00B26DE5">
        <w:rPr>
          <w:rFonts w:eastAsia="Times New Roman" w:cs="Arial"/>
          <w:color w:val="000000"/>
          <w:lang w:val="ru-RU"/>
        </w:rPr>
        <w:t>/</w:t>
      </w:r>
      <w:r w:rsidRPr="00B26DE5">
        <w:rPr>
          <w:rFonts w:eastAsia="Times New Roman" w:cs="Arial"/>
          <w:color w:val="000000"/>
          <w:lang w:eastAsia="bg-BG"/>
        </w:rPr>
        <w:t>дн.) и неселективни НПВС), може да настъпи намаляване на антихипертензивния ефект.</w:t>
      </w:r>
    </w:p>
    <w:p w14:paraId="79F9122A" w14:textId="77777777" w:rsidR="00B26DE5" w:rsidRDefault="00B26DE5" w:rsidP="00B26DE5">
      <w:pPr>
        <w:spacing w:line="240" w:lineRule="auto"/>
        <w:rPr>
          <w:rFonts w:eastAsia="Times New Roman" w:cs="Arial"/>
          <w:color w:val="000000"/>
          <w:lang w:eastAsia="bg-BG"/>
        </w:rPr>
      </w:pPr>
    </w:p>
    <w:p w14:paraId="12505314" w14:textId="0F5CE63B" w:rsidR="00B26DE5" w:rsidRPr="00B26DE5" w:rsidRDefault="00B26DE5" w:rsidP="00B26DE5">
      <w:pPr>
        <w:spacing w:line="240" w:lineRule="auto"/>
        <w:rPr>
          <w:rFonts w:eastAsia="Times New Roman" w:cs="Arial"/>
        </w:rPr>
      </w:pPr>
      <w:r w:rsidRPr="00B26DE5">
        <w:rPr>
          <w:rFonts w:eastAsia="Times New Roman" w:cs="Arial"/>
          <w:color w:val="000000"/>
          <w:lang w:eastAsia="bg-BG"/>
        </w:rPr>
        <w:t>Както и при АСЕ инхибитори, едновременната употреба на А</w:t>
      </w:r>
      <w:r w:rsidRPr="00B26DE5">
        <w:rPr>
          <w:rFonts w:eastAsia="Times New Roman" w:cs="Arial"/>
          <w:color w:val="000000"/>
          <w:lang w:val="en-US"/>
        </w:rPr>
        <w:t>II</w:t>
      </w:r>
      <w:r w:rsidRPr="00B26DE5">
        <w:rPr>
          <w:rFonts w:eastAsia="Times New Roman" w:cs="Arial"/>
          <w:color w:val="000000"/>
          <w:lang w:eastAsia="bg-BG"/>
        </w:rPr>
        <w:t>РАи и нестероидни противовъзпалителни средства може да доведе до повишен риск от влошаване на бъбречната функция, включително възможността за развитие на остра бъбречна недостатъчност, повишение на серумния калий, особено при пациенти с предшестващо увреждане на бъбречната функция. Комбинацията трябва да се прилага с повишено внимание, особено в старческа възраст. Пациентите трябва да бъдат адекватно хидратирани и да се проследява бъбречната функция след започване на комбинираното лечение и периодично след това.</w:t>
      </w:r>
    </w:p>
    <w:p w14:paraId="5FE2E6A7" w14:textId="77777777" w:rsidR="00B26DE5" w:rsidRDefault="00B26DE5" w:rsidP="00B26DE5">
      <w:pPr>
        <w:spacing w:line="240" w:lineRule="auto"/>
        <w:rPr>
          <w:rFonts w:eastAsia="Times New Roman" w:cs="Arial"/>
          <w:color w:val="000000"/>
          <w:lang w:eastAsia="bg-BG"/>
        </w:rPr>
      </w:pPr>
    </w:p>
    <w:p w14:paraId="2E8FDA61" w14:textId="633ABFF4" w:rsidR="00B26DE5" w:rsidRPr="00B26DE5" w:rsidRDefault="00B26DE5" w:rsidP="00B26DE5">
      <w:pPr>
        <w:spacing w:line="240" w:lineRule="auto"/>
        <w:rPr>
          <w:rFonts w:eastAsia="Times New Roman" w:cs="Arial"/>
        </w:rPr>
      </w:pPr>
      <w:r w:rsidRPr="00B26DE5">
        <w:rPr>
          <w:rFonts w:eastAsia="Times New Roman" w:cs="Arial"/>
          <w:color w:val="000000"/>
          <w:lang w:eastAsia="bg-BG"/>
        </w:rPr>
        <w:t xml:space="preserve">Данни от клинични проучвания показват, че двойното блокиране на ренин ангиотензин алдостероновата система (РААС) чрез комбинираната употреба на АСЕ инхибитори, ангиотензин </w:t>
      </w:r>
      <w:r w:rsidRPr="00B26DE5">
        <w:rPr>
          <w:rFonts w:eastAsia="Times New Roman" w:cs="Arial"/>
          <w:color w:val="000000"/>
          <w:lang w:val="en-US"/>
        </w:rPr>
        <w:t>II</w:t>
      </w:r>
      <w:r w:rsidRPr="00B26DE5">
        <w:rPr>
          <w:rFonts w:eastAsia="Times New Roman" w:cs="Arial"/>
          <w:color w:val="000000"/>
          <w:lang w:eastAsia="bg-BG"/>
        </w:rPr>
        <w:t>-рецепторни блокери или алискирен се свързва с по-висока честота на нежелани събития, като например хипотония, хиперкалиемия и намаляване на бъбречната функция (включително остра бъбречна недостатъчност), в сравнение с употребата само на едно средство, действащо върху РААС (вж. точки 4.3,</w:t>
      </w:r>
      <w:r w:rsidRPr="00B26DE5">
        <w:rPr>
          <w:rFonts w:eastAsia="Times New Roman" w:cs="Arial"/>
          <w:color w:val="000000"/>
          <w:lang w:val="ru-RU"/>
        </w:rPr>
        <w:t xml:space="preserve"> </w:t>
      </w:r>
      <w:r w:rsidRPr="00B26DE5">
        <w:rPr>
          <w:rFonts w:eastAsia="Times New Roman" w:cs="Arial"/>
          <w:color w:val="000000"/>
          <w:lang w:eastAsia="bg-BG"/>
        </w:rPr>
        <w:t>4.4 и 5.1).</w:t>
      </w:r>
    </w:p>
    <w:p w14:paraId="02CBACB7" w14:textId="77777777" w:rsidR="00B26DE5" w:rsidRDefault="00B26DE5" w:rsidP="00B26DE5">
      <w:pPr>
        <w:spacing w:line="240" w:lineRule="auto"/>
        <w:rPr>
          <w:rFonts w:eastAsia="Times New Roman" w:cs="Arial"/>
          <w:color w:val="000000"/>
          <w:u w:val="single"/>
          <w:lang w:eastAsia="bg-BG"/>
        </w:rPr>
      </w:pPr>
    </w:p>
    <w:p w14:paraId="5FB98E98" w14:textId="1EB78DE8" w:rsidR="00B26DE5" w:rsidRPr="00B26DE5" w:rsidRDefault="00B26DE5" w:rsidP="00B26DE5">
      <w:pPr>
        <w:spacing w:line="240" w:lineRule="auto"/>
        <w:rPr>
          <w:rFonts w:eastAsia="Times New Roman" w:cs="Arial"/>
        </w:rPr>
      </w:pPr>
      <w:r w:rsidRPr="00B26DE5">
        <w:rPr>
          <w:rFonts w:eastAsia="Times New Roman" w:cs="Arial"/>
          <w:color w:val="000000"/>
          <w:u w:val="single"/>
          <w:lang w:eastAsia="bg-BG"/>
        </w:rPr>
        <w:t>Педиатрична популация</w:t>
      </w:r>
    </w:p>
    <w:p w14:paraId="5125391A" w14:textId="77777777" w:rsidR="00B26DE5" w:rsidRDefault="00B26DE5" w:rsidP="00B26DE5">
      <w:pPr>
        <w:spacing w:line="240" w:lineRule="auto"/>
        <w:rPr>
          <w:rFonts w:eastAsia="Times New Roman" w:cs="Arial"/>
          <w:color w:val="000000"/>
          <w:lang w:eastAsia="bg-BG"/>
        </w:rPr>
      </w:pPr>
    </w:p>
    <w:p w14:paraId="6CA04D1F" w14:textId="5AAD9B21" w:rsidR="00B26DE5" w:rsidRPr="00B26DE5" w:rsidRDefault="00B26DE5" w:rsidP="00B26DE5">
      <w:pPr>
        <w:spacing w:line="240" w:lineRule="auto"/>
        <w:rPr>
          <w:rFonts w:eastAsia="Times New Roman" w:cs="Arial"/>
        </w:rPr>
      </w:pPr>
      <w:r w:rsidRPr="00B26DE5">
        <w:rPr>
          <w:rFonts w:eastAsia="Times New Roman" w:cs="Arial"/>
          <w:color w:val="000000"/>
          <w:lang w:eastAsia="bg-BG"/>
        </w:rPr>
        <w:t>Проучвания за взаимодействията са провеждани само при възрастни.</w:t>
      </w:r>
    </w:p>
    <w:p w14:paraId="2BCDBEF0" w14:textId="77777777" w:rsidR="00B26DE5" w:rsidRPr="00B26DE5" w:rsidRDefault="00B26DE5" w:rsidP="00B26DE5">
      <w:pPr>
        <w:rPr>
          <w:rFonts w:cs="Arial"/>
        </w:rPr>
      </w:pPr>
    </w:p>
    <w:p w14:paraId="5D9F40EA" w14:textId="1C0C6B72" w:rsidR="007122AD" w:rsidRDefault="002C50EE" w:rsidP="00936AD0">
      <w:pPr>
        <w:pStyle w:val="Heading2"/>
      </w:pPr>
      <w:r>
        <w:t>4.6. Фертилитет, бременност и кърмене</w:t>
      </w:r>
    </w:p>
    <w:p w14:paraId="2382B574" w14:textId="6877F017" w:rsidR="00B26DE5" w:rsidRDefault="00B26DE5" w:rsidP="00B26DE5"/>
    <w:p w14:paraId="5C429119" w14:textId="18CDC79D" w:rsidR="00B26DE5" w:rsidRPr="00B26DE5" w:rsidRDefault="00B26DE5" w:rsidP="00B26DE5">
      <w:pPr>
        <w:pStyle w:val="Heading3"/>
        <w:rPr>
          <w:u w:val="single"/>
        </w:rPr>
      </w:pPr>
      <w:r w:rsidRPr="00B26DE5">
        <w:rPr>
          <w:u w:val="single"/>
        </w:rPr>
        <w:t>Бременност</w:t>
      </w:r>
    </w:p>
    <w:p w14:paraId="296F8955" w14:textId="36F45DAB" w:rsidR="00B26DE5" w:rsidRPr="00B26DE5" w:rsidRDefault="00B26DE5" w:rsidP="00B26DE5">
      <w:pPr>
        <w:rPr>
          <w:rFonts w:cs="Arial"/>
          <w:u w:val="single"/>
        </w:rPr>
      </w:pPr>
    </w:p>
    <w:tbl>
      <w:tblPr>
        <w:tblStyle w:val="TableGrid"/>
        <w:tblW w:w="0" w:type="auto"/>
        <w:tblLook w:val="04A0" w:firstRow="1" w:lastRow="0" w:firstColumn="1" w:lastColumn="0" w:noHBand="0" w:noVBand="1"/>
      </w:tblPr>
      <w:tblGrid>
        <w:gridCol w:w="9350"/>
      </w:tblGrid>
      <w:tr w:rsidR="00B26DE5" w:rsidRPr="00B26DE5" w14:paraId="4F8309E3" w14:textId="77777777" w:rsidTr="00B26DE5">
        <w:tc>
          <w:tcPr>
            <w:tcW w:w="9576" w:type="dxa"/>
          </w:tcPr>
          <w:p w14:paraId="37E10B80" w14:textId="206BC899" w:rsidR="00B26DE5" w:rsidRPr="00B26DE5" w:rsidRDefault="00B26DE5" w:rsidP="00B26DE5">
            <w:pPr>
              <w:rPr>
                <w:rFonts w:cs="Arial"/>
              </w:rPr>
            </w:pPr>
            <w:r w:rsidRPr="00B26DE5">
              <w:rPr>
                <w:rFonts w:cs="Arial"/>
              </w:rPr>
              <w:t>Употребата на А</w:t>
            </w:r>
            <w:r w:rsidRPr="00B26DE5">
              <w:rPr>
                <w:rFonts w:cs="Arial"/>
                <w:lang w:val="en-US"/>
              </w:rPr>
              <w:t>II</w:t>
            </w:r>
            <w:r w:rsidRPr="00B26DE5">
              <w:rPr>
                <w:rFonts w:cs="Arial"/>
              </w:rPr>
              <w:t>РАи не се препоръчва по време на първия триместър на бременността (вж. точка 4.4). Употребата на А</w:t>
            </w:r>
            <w:r w:rsidRPr="00B26DE5">
              <w:rPr>
                <w:rFonts w:cs="Arial"/>
                <w:lang w:val="en-US"/>
              </w:rPr>
              <w:t>II</w:t>
            </w:r>
            <w:r w:rsidRPr="00B26DE5">
              <w:rPr>
                <w:rFonts w:cs="Arial"/>
              </w:rPr>
              <w:t>РАи е противопоказана по време на втория и третия триместър на бременността (вж. точки 4.3 и 4.4).</w:t>
            </w:r>
          </w:p>
        </w:tc>
      </w:tr>
    </w:tbl>
    <w:p w14:paraId="57BA3027" w14:textId="61FB5E69" w:rsidR="00B26DE5" w:rsidRPr="00B26DE5" w:rsidRDefault="00B26DE5" w:rsidP="00B26DE5">
      <w:pPr>
        <w:rPr>
          <w:rFonts w:cs="Arial"/>
        </w:rPr>
      </w:pPr>
    </w:p>
    <w:p w14:paraId="18118562" w14:textId="5BD0D958" w:rsidR="00B26DE5" w:rsidRPr="00B26DE5" w:rsidRDefault="00B26DE5" w:rsidP="00B26DE5">
      <w:pPr>
        <w:spacing w:line="240" w:lineRule="auto"/>
        <w:rPr>
          <w:rFonts w:eastAsia="Times New Roman" w:cs="Arial"/>
        </w:rPr>
      </w:pPr>
      <w:r w:rsidRPr="00B26DE5">
        <w:rPr>
          <w:rFonts w:eastAsia="Times New Roman" w:cs="Arial"/>
          <w:color w:val="000000"/>
          <w:lang w:eastAsia="bg-BG"/>
        </w:rPr>
        <w:t>Епидемиологичните данни относно риска от тератогенност след експозиция на АСЕ- инхибитори през първия триместър на бременността не са убедителни, но леко повишение на риска не може да се изключи. Макар, че няма контролирани епидемиологични данни за риска с А</w:t>
      </w:r>
      <w:r w:rsidRPr="00B26DE5">
        <w:rPr>
          <w:rFonts w:eastAsia="Times New Roman" w:cs="Arial"/>
          <w:color w:val="000000"/>
          <w:lang w:val="en-US"/>
        </w:rPr>
        <w:t>II</w:t>
      </w:r>
      <w:r w:rsidRPr="00B26DE5">
        <w:rPr>
          <w:rFonts w:eastAsia="Times New Roman" w:cs="Arial"/>
          <w:color w:val="000000"/>
          <w:lang w:eastAsia="bg-BG"/>
        </w:rPr>
        <w:t>РАи, подобен риск може да съществува за този клас лекарства.</w:t>
      </w:r>
    </w:p>
    <w:p w14:paraId="7336B679" w14:textId="49396EA0" w:rsidR="00B26DE5" w:rsidRPr="00B26DE5" w:rsidRDefault="00B26DE5" w:rsidP="00B26DE5">
      <w:pPr>
        <w:spacing w:line="240" w:lineRule="auto"/>
        <w:rPr>
          <w:rFonts w:eastAsia="Times New Roman" w:cs="Arial"/>
        </w:rPr>
      </w:pPr>
      <w:r w:rsidRPr="00B26DE5">
        <w:rPr>
          <w:rFonts w:eastAsia="Times New Roman" w:cs="Arial"/>
          <w:color w:val="000000"/>
          <w:lang w:eastAsia="bg-BG"/>
        </w:rPr>
        <w:t>Освен, ако продължаването на приема на А</w:t>
      </w:r>
      <w:r w:rsidRPr="00B26DE5">
        <w:rPr>
          <w:rFonts w:eastAsia="Times New Roman" w:cs="Arial"/>
          <w:color w:val="000000"/>
          <w:lang w:val="en-US"/>
        </w:rPr>
        <w:t>II</w:t>
      </w:r>
      <w:r w:rsidRPr="00B26DE5">
        <w:rPr>
          <w:rFonts w:eastAsia="Times New Roman" w:cs="Arial"/>
          <w:color w:val="000000"/>
          <w:lang w:eastAsia="bg-BG"/>
        </w:rPr>
        <w:t>РА-и не се счита за жизнено необходима, пациентките, планиращи бременност, трябва да преминат на алтернативно антихипертензивно лечение с установен профил на безопасност при употреба по време на бременност. При установяване на бременност, лечението с А</w:t>
      </w:r>
      <w:r w:rsidRPr="00B26DE5">
        <w:rPr>
          <w:rFonts w:eastAsia="Times New Roman" w:cs="Arial"/>
          <w:color w:val="000000"/>
          <w:lang w:val="en-US"/>
        </w:rPr>
        <w:t>II</w:t>
      </w:r>
      <w:r w:rsidRPr="00B26DE5">
        <w:rPr>
          <w:rFonts w:eastAsia="Times New Roman" w:cs="Arial"/>
          <w:color w:val="000000"/>
          <w:lang w:eastAsia="bg-BG"/>
        </w:rPr>
        <w:t>РАи трябва да бъде преустановено незабавно и, ако е необходимо, да започне алтернативно лечение.</w:t>
      </w:r>
    </w:p>
    <w:p w14:paraId="7D45D731" w14:textId="77777777" w:rsidR="00B26DE5" w:rsidRDefault="00B26DE5" w:rsidP="00B26DE5">
      <w:pPr>
        <w:spacing w:line="240" w:lineRule="auto"/>
        <w:rPr>
          <w:rFonts w:eastAsia="Times New Roman" w:cs="Arial"/>
          <w:color w:val="000000"/>
          <w:lang w:eastAsia="bg-BG"/>
        </w:rPr>
      </w:pPr>
    </w:p>
    <w:p w14:paraId="150330CD" w14:textId="561EF911" w:rsidR="00B26DE5" w:rsidRPr="00B26DE5" w:rsidRDefault="00B26DE5" w:rsidP="00B26DE5">
      <w:pPr>
        <w:spacing w:line="240" w:lineRule="auto"/>
        <w:rPr>
          <w:rFonts w:eastAsia="Times New Roman" w:cs="Arial"/>
        </w:rPr>
      </w:pPr>
      <w:r w:rsidRPr="00B26DE5">
        <w:rPr>
          <w:rFonts w:eastAsia="Times New Roman" w:cs="Arial"/>
          <w:color w:val="000000"/>
          <w:lang w:eastAsia="bg-BG"/>
        </w:rPr>
        <w:t>Експозицията с А</w:t>
      </w:r>
      <w:r w:rsidRPr="00B26DE5">
        <w:rPr>
          <w:rFonts w:eastAsia="Times New Roman" w:cs="Arial"/>
          <w:color w:val="000000"/>
          <w:lang w:val="en-US"/>
        </w:rPr>
        <w:t>II</w:t>
      </w:r>
      <w:r w:rsidRPr="00B26DE5">
        <w:rPr>
          <w:rFonts w:eastAsia="Times New Roman" w:cs="Arial"/>
          <w:color w:val="000000"/>
          <w:lang w:eastAsia="bg-BG"/>
        </w:rPr>
        <w:t xml:space="preserve">РАи по време на втория и третия триместър е известно, че индуцира фетотоксичност (намалена бъбречна функция, олигохидрамнион, забавена осификация </w:t>
      </w:r>
      <w:r w:rsidRPr="00B26DE5">
        <w:rPr>
          <w:rFonts w:eastAsia="Times New Roman" w:cs="Arial"/>
          <w:color w:val="000000"/>
          <w:lang w:eastAsia="bg-BG"/>
        </w:rPr>
        <w:lastRenderedPageBreak/>
        <w:t>на черепа) и неонатална токсичност (бъбречна недостатъчност, хипотония, хиперкалиемия). (Виж точка 5.3).</w:t>
      </w:r>
    </w:p>
    <w:p w14:paraId="3673F13B" w14:textId="77777777" w:rsidR="00B26DE5" w:rsidRPr="00B26DE5" w:rsidRDefault="00B26DE5" w:rsidP="00B26DE5">
      <w:pPr>
        <w:spacing w:line="240" w:lineRule="auto"/>
        <w:rPr>
          <w:rFonts w:eastAsia="Times New Roman" w:cs="Arial"/>
        </w:rPr>
      </w:pPr>
      <w:r w:rsidRPr="00B26DE5">
        <w:rPr>
          <w:rFonts w:eastAsia="Times New Roman" w:cs="Arial"/>
          <w:color w:val="000000"/>
          <w:lang w:eastAsia="bg-BG"/>
        </w:rPr>
        <w:t>В случай на експозиция на А</w:t>
      </w:r>
      <w:r w:rsidRPr="00B26DE5">
        <w:rPr>
          <w:rFonts w:eastAsia="Times New Roman" w:cs="Arial"/>
          <w:color w:val="000000"/>
          <w:lang w:val="en-US"/>
        </w:rPr>
        <w:t>II</w:t>
      </w:r>
      <w:r w:rsidRPr="00B26DE5">
        <w:rPr>
          <w:rFonts w:eastAsia="Times New Roman" w:cs="Arial"/>
          <w:color w:val="000000"/>
          <w:lang w:eastAsia="bg-BG"/>
        </w:rPr>
        <w:t>РАи през втория триместър на бременността се препоръчва проверка на бъбречната функция и черепа.</w:t>
      </w:r>
    </w:p>
    <w:p w14:paraId="18FA2639" w14:textId="77777777" w:rsidR="00B26DE5" w:rsidRPr="00B26DE5" w:rsidRDefault="00B26DE5" w:rsidP="00B26DE5">
      <w:pPr>
        <w:spacing w:line="240" w:lineRule="auto"/>
        <w:rPr>
          <w:rFonts w:eastAsia="Times New Roman" w:cs="Arial"/>
        </w:rPr>
      </w:pPr>
      <w:r w:rsidRPr="00B26DE5">
        <w:rPr>
          <w:rFonts w:eastAsia="Times New Roman" w:cs="Arial"/>
          <w:color w:val="000000"/>
          <w:lang w:eastAsia="bg-BG"/>
        </w:rPr>
        <w:t>Бебета, чиито майки са приемали А</w:t>
      </w:r>
      <w:r w:rsidRPr="00B26DE5">
        <w:rPr>
          <w:rFonts w:eastAsia="Times New Roman" w:cs="Arial"/>
          <w:color w:val="000000"/>
          <w:lang w:val="en-US"/>
        </w:rPr>
        <w:t>II</w:t>
      </w:r>
      <w:r w:rsidRPr="00B26DE5">
        <w:rPr>
          <w:rFonts w:eastAsia="Times New Roman" w:cs="Arial"/>
          <w:color w:val="000000"/>
          <w:lang w:eastAsia="bg-BG"/>
        </w:rPr>
        <w:t>РАи трябва да се наблюдават внимателно за хипотония (вж. точки 4.3 и 4.4).</w:t>
      </w:r>
    </w:p>
    <w:p w14:paraId="64C78AA6" w14:textId="77777777" w:rsidR="00B26DE5" w:rsidRDefault="00B26DE5" w:rsidP="00B26DE5">
      <w:pPr>
        <w:spacing w:line="240" w:lineRule="auto"/>
        <w:rPr>
          <w:rFonts w:eastAsia="Times New Roman" w:cs="Arial"/>
          <w:strike/>
          <w:color w:val="000000"/>
          <w:lang w:eastAsia="bg-BG"/>
        </w:rPr>
      </w:pPr>
    </w:p>
    <w:p w14:paraId="4F991E9D" w14:textId="3B55C732" w:rsidR="00B26DE5" w:rsidRPr="00B26DE5" w:rsidRDefault="00B26DE5" w:rsidP="00B26DE5">
      <w:pPr>
        <w:pStyle w:val="Heading3"/>
        <w:rPr>
          <w:rFonts w:eastAsia="Times New Roman"/>
          <w:u w:val="single"/>
        </w:rPr>
      </w:pPr>
      <w:r w:rsidRPr="00B26DE5">
        <w:rPr>
          <w:rFonts w:eastAsia="Times New Roman"/>
          <w:u w:val="single"/>
          <w:lang w:eastAsia="bg-BG"/>
        </w:rPr>
        <w:t>Кърмене</w:t>
      </w:r>
    </w:p>
    <w:p w14:paraId="287BAAAF" w14:textId="60391AE8" w:rsidR="00B26DE5" w:rsidRDefault="00B26DE5" w:rsidP="00B26DE5">
      <w:pPr>
        <w:spacing w:line="240" w:lineRule="auto"/>
        <w:rPr>
          <w:rFonts w:eastAsia="Times New Roman" w:cs="Arial"/>
          <w:color w:val="000000"/>
          <w:lang w:eastAsia="bg-BG"/>
        </w:rPr>
      </w:pPr>
      <w:r w:rsidRPr="00B26DE5">
        <w:rPr>
          <w:rFonts w:eastAsia="Times New Roman" w:cs="Arial"/>
          <w:color w:val="000000"/>
          <w:lang w:eastAsia="bg-BG"/>
        </w:rPr>
        <w:t>Тъй като няма налична информация относно използването на Карбис по време на кърмене,</w:t>
      </w:r>
      <w:r w:rsidRPr="00B26DE5">
        <w:rPr>
          <w:rFonts w:eastAsia="Times New Roman" w:cs="Arial"/>
          <w:lang w:val="ru-RU"/>
        </w:rPr>
        <w:t xml:space="preserve"> </w:t>
      </w:r>
      <w:r w:rsidRPr="00B26DE5">
        <w:rPr>
          <w:rFonts w:eastAsia="Times New Roman" w:cs="Arial"/>
          <w:color w:val="000000"/>
          <w:lang w:eastAsia="bg-BG"/>
        </w:rPr>
        <w:t>Карбис не се препоръчва за употреба като за предпочитане е алтернативно лечение с по-добър профил за безопасност, установени по време на кърмене, особено по време на кърмене на новородено или на недоносено бебе.</w:t>
      </w:r>
    </w:p>
    <w:p w14:paraId="09CA0D94" w14:textId="77777777" w:rsidR="00B26DE5" w:rsidRPr="00B26DE5" w:rsidRDefault="00B26DE5" w:rsidP="00B26DE5">
      <w:pPr>
        <w:spacing w:line="240" w:lineRule="auto"/>
        <w:rPr>
          <w:rFonts w:eastAsia="Times New Roman" w:cs="Arial"/>
        </w:rPr>
      </w:pPr>
    </w:p>
    <w:p w14:paraId="5DD7A76D" w14:textId="27778B55" w:rsidR="007122AD" w:rsidRDefault="002C50EE" w:rsidP="00936AD0">
      <w:pPr>
        <w:pStyle w:val="Heading2"/>
      </w:pPr>
      <w:r>
        <w:t>4.7. Ефекти върху способността за шофиране и работа с машини</w:t>
      </w:r>
    </w:p>
    <w:p w14:paraId="302907EF" w14:textId="31221D50" w:rsidR="00B26DE5" w:rsidRDefault="00B26DE5" w:rsidP="00B26DE5"/>
    <w:p w14:paraId="7E8E2EFF" w14:textId="77777777" w:rsidR="00B26DE5" w:rsidRPr="00B26DE5" w:rsidRDefault="00B26DE5" w:rsidP="00B26DE5">
      <w:pPr>
        <w:rPr>
          <w:sz w:val="24"/>
          <w:szCs w:val="24"/>
        </w:rPr>
      </w:pPr>
      <w:r w:rsidRPr="00B26DE5">
        <w:rPr>
          <w:lang w:eastAsia="bg-BG"/>
        </w:rPr>
        <w:t>Няма проучвания за ефекта на кандесартан върху способността за шофиране и работа с машини. Въпреки това, трябва да се има предвид, че по време на лечение с Карбис може да възникнат замайване или умора.</w:t>
      </w:r>
    </w:p>
    <w:p w14:paraId="04CB5677" w14:textId="77777777" w:rsidR="00B26DE5" w:rsidRPr="00B26DE5" w:rsidRDefault="00B26DE5" w:rsidP="00B26DE5"/>
    <w:p w14:paraId="44CE30A3" w14:textId="2FADE619" w:rsidR="007122AD" w:rsidRDefault="002C50EE" w:rsidP="00936AD0">
      <w:pPr>
        <w:pStyle w:val="Heading2"/>
      </w:pPr>
      <w:r>
        <w:t>4.8. Нежелани лекарствени реакции</w:t>
      </w:r>
    </w:p>
    <w:p w14:paraId="3D61117E" w14:textId="4FE8E265" w:rsidR="00B26DE5" w:rsidRDefault="00B26DE5" w:rsidP="00B26DE5"/>
    <w:p w14:paraId="03FE59F0" w14:textId="77777777" w:rsidR="00B26DE5" w:rsidRPr="00B26DE5" w:rsidRDefault="00B26DE5" w:rsidP="00B26DE5">
      <w:pPr>
        <w:spacing w:line="240" w:lineRule="auto"/>
        <w:rPr>
          <w:rFonts w:eastAsia="Times New Roman" w:cs="Arial"/>
        </w:rPr>
      </w:pPr>
      <w:r w:rsidRPr="00B26DE5">
        <w:rPr>
          <w:rFonts w:eastAsia="Times New Roman" w:cs="Arial"/>
          <w:color w:val="000000"/>
          <w:u w:val="single"/>
          <w:lang w:eastAsia="bg-BG"/>
        </w:rPr>
        <w:t>Лечение на хипертония</w:t>
      </w:r>
    </w:p>
    <w:p w14:paraId="32719F01" w14:textId="77777777" w:rsidR="00B26DE5" w:rsidRDefault="00B26DE5" w:rsidP="00B26DE5">
      <w:pPr>
        <w:spacing w:line="240" w:lineRule="auto"/>
        <w:rPr>
          <w:rFonts w:eastAsia="Times New Roman" w:cs="Arial"/>
          <w:color w:val="000000"/>
          <w:lang w:eastAsia="bg-BG"/>
        </w:rPr>
      </w:pPr>
    </w:p>
    <w:p w14:paraId="4FCCF579" w14:textId="7DD012E4" w:rsidR="00B26DE5" w:rsidRPr="00B26DE5" w:rsidRDefault="00B26DE5" w:rsidP="00B26DE5">
      <w:pPr>
        <w:spacing w:line="240" w:lineRule="auto"/>
        <w:rPr>
          <w:rFonts w:eastAsia="Times New Roman" w:cs="Arial"/>
        </w:rPr>
      </w:pPr>
      <w:r w:rsidRPr="00B26DE5">
        <w:rPr>
          <w:rFonts w:eastAsia="Times New Roman" w:cs="Arial"/>
          <w:color w:val="000000"/>
          <w:lang w:eastAsia="bg-BG"/>
        </w:rPr>
        <w:t>При контролирани клинични проучвания нежеланите реакции са били леки и преходни. Общата честота на нежеланите събития не показва връзка с дозата или възрастта. Честотата на прекъсване на лечението поради нежелани събития е била подобна в групата с кандесартан цилексетил (3,1%) и плацебо (3,2%).</w:t>
      </w:r>
    </w:p>
    <w:p w14:paraId="77DFDC2B" w14:textId="77777777" w:rsidR="00B26DE5" w:rsidRDefault="00B26DE5" w:rsidP="00B26DE5">
      <w:pPr>
        <w:spacing w:line="240" w:lineRule="auto"/>
        <w:rPr>
          <w:rFonts w:eastAsia="Times New Roman" w:cs="Arial"/>
          <w:color w:val="000000"/>
          <w:lang w:eastAsia="bg-BG"/>
        </w:rPr>
      </w:pPr>
    </w:p>
    <w:p w14:paraId="04F20006" w14:textId="4BEDABAD" w:rsidR="00B26DE5" w:rsidRPr="00B26DE5" w:rsidRDefault="00B26DE5" w:rsidP="00B26DE5">
      <w:pPr>
        <w:spacing w:line="240" w:lineRule="auto"/>
        <w:rPr>
          <w:rFonts w:eastAsia="Times New Roman" w:cs="Arial"/>
        </w:rPr>
      </w:pPr>
      <w:r w:rsidRPr="00B26DE5">
        <w:rPr>
          <w:rFonts w:eastAsia="Times New Roman" w:cs="Arial"/>
          <w:color w:val="000000"/>
          <w:lang w:eastAsia="bg-BG"/>
        </w:rPr>
        <w:t>При един обобщен анализ на данни от клинични изпитвания на пациенти с хипертензия нежелани реакции с кандесартан цилексетил са били определени с честота най-малко с 1 % по- висока от наблюдаваната при плацебо. Съгласно това определение, най-често докладваните нежелани реакции са били замаяност/световъртеж, главоболие и респираторна инфекция.</w:t>
      </w:r>
    </w:p>
    <w:p w14:paraId="5A944C05" w14:textId="77777777" w:rsidR="00B26DE5" w:rsidRDefault="00B26DE5" w:rsidP="00B26DE5">
      <w:pPr>
        <w:spacing w:line="240" w:lineRule="auto"/>
        <w:rPr>
          <w:rFonts w:eastAsia="Times New Roman" w:cs="Arial"/>
          <w:color w:val="000000"/>
          <w:lang w:eastAsia="bg-BG"/>
        </w:rPr>
      </w:pPr>
    </w:p>
    <w:p w14:paraId="52F78A38" w14:textId="620E5308" w:rsidR="00B26DE5" w:rsidRPr="00B26DE5" w:rsidRDefault="00B26DE5" w:rsidP="00B26DE5">
      <w:pPr>
        <w:spacing w:line="240" w:lineRule="auto"/>
        <w:rPr>
          <w:rFonts w:eastAsia="Times New Roman" w:cs="Arial"/>
        </w:rPr>
      </w:pPr>
      <w:r w:rsidRPr="00B26DE5">
        <w:rPr>
          <w:rFonts w:eastAsia="Times New Roman" w:cs="Arial"/>
          <w:color w:val="000000"/>
          <w:lang w:eastAsia="bg-BG"/>
        </w:rPr>
        <w:t>В таблицата по-долу са представени нежеланите лекарствени реакции от клиничните проучвания и постмаркетинговия опит.</w:t>
      </w:r>
    </w:p>
    <w:p w14:paraId="4604356A" w14:textId="77777777" w:rsidR="00B26DE5" w:rsidRDefault="00B26DE5" w:rsidP="00B26DE5">
      <w:pPr>
        <w:spacing w:line="240" w:lineRule="auto"/>
        <w:rPr>
          <w:rFonts w:eastAsia="Times New Roman" w:cs="Arial"/>
          <w:color w:val="000000"/>
          <w:lang w:eastAsia="bg-BG"/>
        </w:rPr>
      </w:pPr>
    </w:p>
    <w:p w14:paraId="7D7E6E57" w14:textId="06354E29" w:rsidR="00B26DE5" w:rsidRPr="00B26DE5" w:rsidRDefault="00B26DE5" w:rsidP="00B26DE5">
      <w:pPr>
        <w:spacing w:line="240" w:lineRule="auto"/>
        <w:rPr>
          <w:rFonts w:eastAsia="Times New Roman" w:cs="Arial"/>
        </w:rPr>
      </w:pPr>
      <w:r w:rsidRPr="00B26DE5">
        <w:rPr>
          <w:rFonts w:eastAsia="Times New Roman" w:cs="Arial"/>
          <w:color w:val="000000"/>
          <w:lang w:eastAsia="bg-BG"/>
        </w:rPr>
        <w:t>Честотата се определя съгласно следна класификация:</w:t>
      </w:r>
    </w:p>
    <w:p w14:paraId="765C044D" w14:textId="77777777" w:rsidR="00B26DE5" w:rsidRPr="00B26DE5" w:rsidRDefault="00B26DE5" w:rsidP="00B26DE5">
      <w:pPr>
        <w:pStyle w:val="ListParagraph"/>
        <w:numPr>
          <w:ilvl w:val="0"/>
          <w:numId w:val="38"/>
        </w:numPr>
        <w:spacing w:line="240" w:lineRule="auto"/>
        <w:rPr>
          <w:rFonts w:eastAsia="Times New Roman" w:cs="Arial"/>
        </w:rPr>
      </w:pPr>
      <w:r w:rsidRPr="00B26DE5">
        <w:rPr>
          <w:rFonts w:eastAsia="Times New Roman" w:cs="Arial"/>
          <w:color w:val="000000"/>
          <w:lang w:eastAsia="bg-BG"/>
        </w:rPr>
        <w:t>Много чести (&gt;1/10)</w:t>
      </w:r>
    </w:p>
    <w:p w14:paraId="431DF230" w14:textId="77777777" w:rsidR="00B26DE5" w:rsidRPr="00B26DE5" w:rsidRDefault="00B26DE5" w:rsidP="00B26DE5">
      <w:pPr>
        <w:pStyle w:val="ListParagraph"/>
        <w:numPr>
          <w:ilvl w:val="0"/>
          <w:numId w:val="38"/>
        </w:numPr>
        <w:spacing w:line="240" w:lineRule="auto"/>
        <w:rPr>
          <w:rFonts w:eastAsia="Times New Roman" w:cs="Arial"/>
        </w:rPr>
      </w:pPr>
      <w:r w:rsidRPr="00B26DE5">
        <w:rPr>
          <w:rFonts w:eastAsia="Times New Roman" w:cs="Arial"/>
          <w:color w:val="000000"/>
          <w:lang w:eastAsia="bg-BG"/>
        </w:rPr>
        <w:t>Чести (&gt;1/100 до &lt;1/10)</w:t>
      </w:r>
    </w:p>
    <w:p w14:paraId="6EE0EAC9" w14:textId="77777777" w:rsidR="00B26DE5" w:rsidRPr="00B26DE5" w:rsidRDefault="00B26DE5" w:rsidP="00B26DE5">
      <w:pPr>
        <w:pStyle w:val="ListParagraph"/>
        <w:numPr>
          <w:ilvl w:val="0"/>
          <w:numId w:val="38"/>
        </w:numPr>
        <w:spacing w:line="240" w:lineRule="auto"/>
        <w:rPr>
          <w:rFonts w:eastAsia="Times New Roman" w:cs="Arial"/>
        </w:rPr>
      </w:pPr>
      <w:r w:rsidRPr="00B26DE5">
        <w:rPr>
          <w:rFonts w:eastAsia="Times New Roman" w:cs="Arial"/>
          <w:color w:val="000000"/>
          <w:lang w:eastAsia="bg-BG"/>
        </w:rPr>
        <w:t>Нечести (&gt;1/1 000 до &lt;1/100)</w:t>
      </w:r>
    </w:p>
    <w:p w14:paraId="459C0892" w14:textId="77777777" w:rsidR="00B26DE5" w:rsidRPr="00B26DE5" w:rsidRDefault="00B26DE5" w:rsidP="00B26DE5">
      <w:pPr>
        <w:pStyle w:val="ListParagraph"/>
        <w:numPr>
          <w:ilvl w:val="0"/>
          <w:numId w:val="38"/>
        </w:numPr>
        <w:spacing w:line="240" w:lineRule="auto"/>
        <w:rPr>
          <w:rFonts w:eastAsia="Times New Roman" w:cs="Arial"/>
        </w:rPr>
      </w:pPr>
      <w:r w:rsidRPr="00B26DE5">
        <w:rPr>
          <w:rFonts w:eastAsia="Times New Roman" w:cs="Arial"/>
          <w:color w:val="000000"/>
          <w:lang w:eastAsia="bg-BG"/>
        </w:rPr>
        <w:t>Редки (&gt;1/10 000 до &lt;1/1 000)</w:t>
      </w:r>
    </w:p>
    <w:p w14:paraId="0E01A415" w14:textId="77777777" w:rsidR="00B26DE5" w:rsidRPr="00B26DE5" w:rsidRDefault="00B26DE5" w:rsidP="00B26DE5">
      <w:pPr>
        <w:pStyle w:val="ListParagraph"/>
        <w:numPr>
          <w:ilvl w:val="0"/>
          <w:numId w:val="38"/>
        </w:numPr>
        <w:spacing w:line="240" w:lineRule="auto"/>
        <w:rPr>
          <w:rFonts w:eastAsia="Times New Roman" w:cs="Arial"/>
        </w:rPr>
      </w:pPr>
      <w:r w:rsidRPr="00B26DE5">
        <w:rPr>
          <w:rFonts w:eastAsia="Times New Roman" w:cs="Arial"/>
          <w:color w:val="000000"/>
          <w:lang w:eastAsia="bg-BG"/>
        </w:rPr>
        <w:t>Много редки (&lt;1/10 000),</w:t>
      </w:r>
    </w:p>
    <w:p w14:paraId="70006157" w14:textId="77777777" w:rsidR="00B26DE5" w:rsidRPr="00B26DE5" w:rsidRDefault="00B26DE5" w:rsidP="00B26DE5">
      <w:pPr>
        <w:pStyle w:val="ListParagraph"/>
        <w:numPr>
          <w:ilvl w:val="0"/>
          <w:numId w:val="38"/>
        </w:numPr>
        <w:spacing w:line="240" w:lineRule="auto"/>
        <w:rPr>
          <w:rFonts w:eastAsia="Times New Roman" w:cs="Arial"/>
        </w:rPr>
      </w:pPr>
      <w:r w:rsidRPr="00B26DE5">
        <w:rPr>
          <w:rFonts w:eastAsia="Times New Roman" w:cs="Arial"/>
          <w:color w:val="000000"/>
          <w:lang w:eastAsia="bg-BG"/>
        </w:rPr>
        <w:t>С неизвестна честота (честотата не може да се установи от наличните данни)</w:t>
      </w:r>
    </w:p>
    <w:p w14:paraId="34420B71" w14:textId="5A750C50" w:rsidR="00B26DE5" w:rsidRDefault="00B26DE5" w:rsidP="00B26DE5"/>
    <w:tbl>
      <w:tblPr>
        <w:tblStyle w:val="TableGrid"/>
        <w:tblW w:w="0" w:type="auto"/>
        <w:tblLook w:val="04A0" w:firstRow="1" w:lastRow="0" w:firstColumn="1" w:lastColumn="0" w:noHBand="0" w:noVBand="1"/>
      </w:tblPr>
      <w:tblGrid>
        <w:gridCol w:w="3122"/>
        <w:gridCol w:w="3089"/>
        <w:gridCol w:w="3139"/>
      </w:tblGrid>
      <w:tr w:rsidR="00B26DE5" w14:paraId="35CB5C3F" w14:textId="77777777" w:rsidTr="005D6908">
        <w:tc>
          <w:tcPr>
            <w:tcW w:w="3192" w:type="dxa"/>
            <w:vAlign w:val="bottom"/>
          </w:tcPr>
          <w:p w14:paraId="733F79D6" w14:textId="273BDC81" w:rsidR="00B26DE5" w:rsidRPr="00B26DE5" w:rsidRDefault="00B26DE5" w:rsidP="00B26DE5">
            <w:r w:rsidRPr="00B26DE5">
              <w:rPr>
                <w:b/>
                <w:bCs/>
              </w:rPr>
              <w:t>Класификация по органи и системи</w:t>
            </w:r>
          </w:p>
        </w:tc>
        <w:tc>
          <w:tcPr>
            <w:tcW w:w="3192" w:type="dxa"/>
          </w:tcPr>
          <w:p w14:paraId="6531FAF4" w14:textId="3E871B61" w:rsidR="00B26DE5" w:rsidRPr="00B26DE5" w:rsidRDefault="00B26DE5" w:rsidP="00B26DE5">
            <w:r w:rsidRPr="00B26DE5">
              <w:rPr>
                <w:b/>
                <w:bCs/>
              </w:rPr>
              <w:t>Честота</w:t>
            </w:r>
          </w:p>
        </w:tc>
        <w:tc>
          <w:tcPr>
            <w:tcW w:w="3192" w:type="dxa"/>
          </w:tcPr>
          <w:p w14:paraId="4975585A" w14:textId="60321BE6" w:rsidR="00B26DE5" w:rsidRPr="00B26DE5" w:rsidRDefault="00B26DE5" w:rsidP="00B26DE5">
            <w:r w:rsidRPr="00B26DE5">
              <w:rPr>
                <w:b/>
                <w:bCs/>
              </w:rPr>
              <w:t>Нежелани реакции</w:t>
            </w:r>
          </w:p>
        </w:tc>
      </w:tr>
      <w:tr w:rsidR="00B26DE5" w14:paraId="02828013" w14:textId="77777777" w:rsidTr="005D6908">
        <w:tc>
          <w:tcPr>
            <w:tcW w:w="3192" w:type="dxa"/>
            <w:vAlign w:val="bottom"/>
          </w:tcPr>
          <w:p w14:paraId="559EB7C6" w14:textId="7D652137" w:rsidR="00B26DE5" w:rsidRPr="00B26DE5" w:rsidRDefault="00B26DE5" w:rsidP="00B26DE5">
            <w:r w:rsidRPr="00B26DE5">
              <w:t>Инфекции и опаразитяване</w:t>
            </w:r>
          </w:p>
        </w:tc>
        <w:tc>
          <w:tcPr>
            <w:tcW w:w="3192" w:type="dxa"/>
            <w:vAlign w:val="bottom"/>
          </w:tcPr>
          <w:p w14:paraId="44FD0D6E" w14:textId="2BB832F1" w:rsidR="00B26DE5" w:rsidRPr="00B26DE5" w:rsidRDefault="00B26DE5" w:rsidP="00B26DE5">
            <w:r w:rsidRPr="00B26DE5">
              <w:t>Чести</w:t>
            </w:r>
          </w:p>
        </w:tc>
        <w:tc>
          <w:tcPr>
            <w:tcW w:w="3192" w:type="dxa"/>
            <w:vAlign w:val="bottom"/>
          </w:tcPr>
          <w:p w14:paraId="3AF92162" w14:textId="54871A0C" w:rsidR="00B26DE5" w:rsidRPr="00B26DE5" w:rsidRDefault="00B26DE5" w:rsidP="00B26DE5">
            <w:r w:rsidRPr="00B26DE5">
              <w:t>Респираторни инфекции</w:t>
            </w:r>
          </w:p>
        </w:tc>
      </w:tr>
      <w:tr w:rsidR="00B26DE5" w14:paraId="1FA67DE3" w14:textId="77777777" w:rsidTr="00B26DE5">
        <w:tc>
          <w:tcPr>
            <w:tcW w:w="3192" w:type="dxa"/>
          </w:tcPr>
          <w:p w14:paraId="637819B7" w14:textId="5DFF17AC" w:rsidR="00B26DE5" w:rsidRPr="00B26DE5" w:rsidRDefault="00B26DE5" w:rsidP="00B26DE5">
            <w:r w:rsidRPr="00B26DE5">
              <w:lastRenderedPageBreak/>
              <w:t>Нарушения на кръвта и лимфната система</w:t>
            </w:r>
          </w:p>
        </w:tc>
        <w:tc>
          <w:tcPr>
            <w:tcW w:w="3192" w:type="dxa"/>
          </w:tcPr>
          <w:p w14:paraId="117F5FE5" w14:textId="1E3C0F1B" w:rsidR="00B26DE5" w:rsidRPr="00B26DE5" w:rsidRDefault="00B26DE5" w:rsidP="00B26DE5">
            <w:r w:rsidRPr="00B26DE5">
              <w:t>Много редки</w:t>
            </w:r>
          </w:p>
        </w:tc>
        <w:tc>
          <w:tcPr>
            <w:tcW w:w="3192" w:type="dxa"/>
          </w:tcPr>
          <w:p w14:paraId="5E8E9993" w14:textId="011C4EB0" w:rsidR="00B26DE5" w:rsidRPr="00B26DE5" w:rsidRDefault="00B26DE5" w:rsidP="00B26DE5">
            <w:r w:rsidRPr="00B26DE5">
              <w:t>Левкопения, неутропения и агранулоцитоза</w:t>
            </w:r>
          </w:p>
        </w:tc>
      </w:tr>
      <w:tr w:rsidR="00B26DE5" w14:paraId="4BA3991A" w14:textId="77777777" w:rsidTr="005D6908">
        <w:tc>
          <w:tcPr>
            <w:tcW w:w="3192" w:type="dxa"/>
            <w:vAlign w:val="bottom"/>
          </w:tcPr>
          <w:p w14:paraId="51382D01" w14:textId="36035B2E" w:rsidR="00B26DE5" w:rsidRPr="00B26DE5" w:rsidRDefault="00B26DE5" w:rsidP="00B26DE5">
            <w:r w:rsidRPr="00B26DE5">
              <w:t>Нарушения на метаболизма и храненето</w:t>
            </w:r>
          </w:p>
        </w:tc>
        <w:tc>
          <w:tcPr>
            <w:tcW w:w="3192" w:type="dxa"/>
          </w:tcPr>
          <w:p w14:paraId="73235A66" w14:textId="39CDB1C1" w:rsidR="00B26DE5" w:rsidRPr="00B26DE5" w:rsidRDefault="00B26DE5" w:rsidP="00B26DE5">
            <w:r w:rsidRPr="00B26DE5">
              <w:t>Много редки</w:t>
            </w:r>
          </w:p>
        </w:tc>
        <w:tc>
          <w:tcPr>
            <w:tcW w:w="3192" w:type="dxa"/>
          </w:tcPr>
          <w:p w14:paraId="2E4FEF7F" w14:textId="23290757" w:rsidR="00B26DE5" w:rsidRPr="00B26DE5" w:rsidRDefault="00B26DE5" w:rsidP="00B26DE5">
            <w:r w:rsidRPr="00B26DE5">
              <w:t>Хиперкалиемия, хипонатриемия</w:t>
            </w:r>
          </w:p>
        </w:tc>
      </w:tr>
      <w:tr w:rsidR="00B26DE5" w14:paraId="2952AF89" w14:textId="77777777" w:rsidTr="00B26DE5">
        <w:tc>
          <w:tcPr>
            <w:tcW w:w="3192" w:type="dxa"/>
          </w:tcPr>
          <w:p w14:paraId="5E355C9A" w14:textId="780B605B" w:rsidR="00B26DE5" w:rsidRPr="00B26DE5" w:rsidRDefault="00B26DE5" w:rsidP="00B26DE5">
            <w:r w:rsidRPr="00B26DE5">
              <w:t>Нарушения на нервната система</w:t>
            </w:r>
          </w:p>
        </w:tc>
        <w:tc>
          <w:tcPr>
            <w:tcW w:w="3192" w:type="dxa"/>
          </w:tcPr>
          <w:p w14:paraId="402E57D6" w14:textId="677C7566" w:rsidR="00B26DE5" w:rsidRPr="00B26DE5" w:rsidRDefault="00B26DE5" w:rsidP="00B26DE5">
            <w:r w:rsidRPr="00B26DE5">
              <w:t>Чести</w:t>
            </w:r>
          </w:p>
        </w:tc>
        <w:tc>
          <w:tcPr>
            <w:tcW w:w="3192" w:type="dxa"/>
          </w:tcPr>
          <w:p w14:paraId="4CEC890E" w14:textId="2CB0AB17" w:rsidR="00B26DE5" w:rsidRPr="00B26DE5" w:rsidRDefault="00B26DE5" w:rsidP="00B26DE5">
            <w:r w:rsidRPr="00B26DE5">
              <w:t>Замайване/вертиго, главоболие</w:t>
            </w:r>
          </w:p>
        </w:tc>
      </w:tr>
      <w:tr w:rsidR="00B26DE5" w14:paraId="6A9E98DB" w14:textId="77777777" w:rsidTr="005D6908">
        <w:tc>
          <w:tcPr>
            <w:tcW w:w="3192" w:type="dxa"/>
            <w:vAlign w:val="bottom"/>
          </w:tcPr>
          <w:p w14:paraId="6424DF41" w14:textId="10A04D74" w:rsidR="00B26DE5" w:rsidRPr="00B26DE5" w:rsidRDefault="00B26DE5" w:rsidP="00B26DE5">
            <w:r w:rsidRPr="00B26DE5">
              <w:t>Респираторни, гръдни и медиастинални нарушения</w:t>
            </w:r>
          </w:p>
        </w:tc>
        <w:tc>
          <w:tcPr>
            <w:tcW w:w="3192" w:type="dxa"/>
          </w:tcPr>
          <w:p w14:paraId="75959B33" w14:textId="70C8022D" w:rsidR="00B26DE5" w:rsidRPr="00B26DE5" w:rsidRDefault="00B26DE5" w:rsidP="00B26DE5">
            <w:r w:rsidRPr="00B26DE5">
              <w:t>Много редки</w:t>
            </w:r>
          </w:p>
        </w:tc>
        <w:tc>
          <w:tcPr>
            <w:tcW w:w="3192" w:type="dxa"/>
          </w:tcPr>
          <w:p w14:paraId="076FE486" w14:textId="44086A8A" w:rsidR="00B26DE5" w:rsidRPr="00B26DE5" w:rsidRDefault="00B26DE5" w:rsidP="00B26DE5">
            <w:r w:rsidRPr="00B26DE5">
              <w:t>Кашлица</w:t>
            </w:r>
          </w:p>
        </w:tc>
      </w:tr>
      <w:tr w:rsidR="00B26DE5" w14:paraId="3200DF1F" w14:textId="77777777" w:rsidTr="00B26DE5">
        <w:tc>
          <w:tcPr>
            <w:tcW w:w="3192" w:type="dxa"/>
            <w:vMerge w:val="restart"/>
          </w:tcPr>
          <w:p w14:paraId="615B01E4" w14:textId="11EC0315" w:rsidR="00B26DE5" w:rsidRPr="00B26DE5" w:rsidRDefault="00B26DE5" w:rsidP="00B26DE5">
            <w:r w:rsidRPr="00B26DE5">
              <w:t>Стомашно-чревни нарушения</w:t>
            </w:r>
          </w:p>
        </w:tc>
        <w:tc>
          <w:tcPr>
            <w:tcW w:w="3192" w:type="dxa"/>
          </w:tcPr>
          <w:p w14:paraId="7B647D16" w14:textId="263EF307" w:rsidR="00B26DE5" w:rsidRPr="00B26DE5" w:rsidRDefault="00B26DE5" w:rsidP="00B26DE5">
            <w:r w:rsidRPr="00B26DE5">
              <w:t>Много редки</w:t>
            </w:r>
          </w:p>
        </w:tc>
        <w:tc>
          <w:tcPr>
            <w:tcW w:w="3192" w:type="dxa"/>
          </w:tcPr>
          <w:p w14:paraId="591FBF75" w14:textId="57FE2870" w:rsidR="00B26DE5" w:rsidRPr="00B26DE5" w:rsidRDefault="00B26DE5" w:rsidP="00B26DE5">
            <w:r w:rsidRPr="00B26DE5">
              <w:t>Гадене</w:t>
            </w:r>
          </w:p>
        </w:tc>
      </w:tr>
      <w:tr w:rsidR="00B26DE5" w14:paraId="417D3A7A" w14:textId="77777777" w:rsidTr="00B26DE5">
        <w:tc>
          <w:tcPr>
            <w:tcW w:w="3192" w:type="dxa"/>
            <w:vMerge/>
          </w:tcPr>
          <w:p w14:paraId="667C6627" w14:textId="77777777" w:rsidR="00B26DE5" w:rsidRPr="00B26DE5" w:rsidRDefault="00B26DE5" w:rsidP="00B26DE5"/>
        </w:tc>
        <w:tc>
          <w:tcPr>
            <w:tcW w:w="3192" w:type="dxa"/>
          </w:tcPr>
          <w:p w14:paraId="4D67C15B" w14:textId="4C6222CF" w:rsidR="00B26DE5" w:rsidRPr="00B26DE5" w:rsidRDefault="00B26DE5" w:rsidP="00B26DE5">
            <w:r w:rsidRPr="00B26DE5">
              <w:t>С неизвестна честота</w:t>
            </w:r>
          </w:p>
        </w:tc>
        <w:tc>
          <w:tcPr>
            <w:tcW w:w="3192" w:type="dxa"/>
          </w:tcPr>
          <w:p w14:paraId="20719C13" w14:textId="6BDE3C08" w:rsidR="00B26DE5" w:rsidRPr="00B26DE5" w:rsidRDefault="00B26DE5" w:rsidP="00B26DE5">
            <w:r w:rsidRPr="00B26DE5">
              <w:t>Диария</w:t>
            </w:r>
          </w:p>
        </w:tc>
      </w:tr>
      <w:tr w:rsidR="00B26DE5" w14:paraId="0778CB18" w14:textId="77777777" w:rsidTr="005D6908">
        <w:tc>
          <w:tcPr>
            <w:tcW w:w="3192" w:type="dxa"/>
          </w:tcPr>
          <w:p w14:paraId="7C392F49" w14:textId="47B20122" w:rsidR="00B26DE5" w:rsidRPr="00B26DE5" w:rsidRDefault="00B26DE5" w:rsidP="00B26DE5">
            <w:r w:rsidRPr="00B26DE5">
              <w:t>Хепатобилиарни нарушения</w:t>
            </w:r>
          </w:p>
        </w:tc>
        <w:tc>
          <w:tcPr>
            <w:tcW w:w="3192" w:type="dxa"/>
          </w:tcPr>
          <w:p w14:paraId="38D802F9" w14:textId="12E24381" w:rsidR="00B26DE5" w:rsidRPr="00B26DE5" w:rsidRDefault="00B26DE5" w:rsidP="00B26DE5">
            <w:r w:rsidRPr="00B26DE5">
              <w:t>Много редки</w:t>
            </w:r>
          </w:p>
        </w:tc>
        <w:tc>
          <w:tcPr>
            <w:tcW w:w="3192" w:type="dxa"/>
            <w:vAlign w:val="bottom"/>
          </w:tcPr>
          <w:p w14:paraId="51F6E33F" w14:textId="0D4470A7" w:rsidR="00B26DE5" w:rsidRPr="00B26DE5" w:rsidRDefault="00B26DE5" w:rsidP="00B26DE5">
            <w:r w:rsidRPr="00B26DE5">
              <w:t>Повишени стойности на чернодробните ензими, нарушена чернодробна функция или хепатит</w:t>
            </w:r>
          </w:p>
        </w:tc>
      </w:tr>
      <w:tr w:rsidR="00B26DE5" w14:paraId="10A576AD" w14:textId="77777777" w:rsidTr="005D6908">
        <w:tc>
          <w:tcPr>
            <w:tcW w:w="3192" w:type="dxa"/>
          </w:tcPr>
          <w:p w14:paraId="40141E14" w14:textId="15A26068" w:rsidR="00B26DE5" w:rsidRPr="00B26DE5" w:rsidRDefault="00B26DE5" w:rsidP="00B26DE5">
            <w:r w:rsidRPr="00B26DE5">
              <w:t>Нарушения на кожата и подкожната тъкан</w:t>
            </w:r>
          </w:p>
        </w:tc>
        <w:tc>
          <w:tcPr>
            <w:tcW w:w="3192" w:type="dxa"/>
          </w:tcPr>
          <w:p w14:paraId="5ED2AE3F" w14:textId="11592FEE" w:rsidR="00B26DE5" w:rsidRPr="00B26DE5" w:rsidRDefault="00B26DE5" w:rsidP="00B26DE5">
            <w:r w:rsidRPr="00B26DE5">
              <w:t>Много редки</w:t>
            </w:r>
          </w:p>
        </w:tc>
        <w:tc>
          <w:tcPr>
            <w:tcW w:w="3192" w:type="dxa"/>
            <w:vAlign w:val="bottom"/>
          </w:tcPr>
          <w:p w14:paraId="53737D94" w14:textId="25906F24" w:rsidR="00B26DE5" w:rsidRPr="00B26DE5" w:rsidRDefault="00B26DE5" w:rsidP="00B26DE5">
            <w:r w:rsidRPr="00B26DE5">
              <w:t>Ангиоедем, обрив, уртикария, сърбеж</w:t>
            </w:r>
          </w:p>
        </w:tc>
      </w:tr>
      <w:tr w:rsidR="00B26DE5" w14:paraId="4977BF34" w14:textId="77777777" w:rsidTr="00B26DE5">
        <w:tc>
          <w:tcPr>
            <w:tcW w:w="3192" w:type="dxa"/>
          </w:tcPr>
          <w:p w14:paraId="36C69182" w14:textId="220CDF9E" w:rsidR="00B26DE5" w:rsidRDefault="00B26DE5" w:rsidP="00B26DE5">
            <w:r>
              <w:t>Нарушения на мускулно- скелетната система и съединителната тъкан</w:t>
            </w:r>
          </w:p>
        </w:tc>
        <w:tc>
          <w:tcPr>
            <w:tcW w:w="3192" w:type="dxa"/>
          </w:tcPr>
          <w:p w14:paraId="7AC8E6B7" w14:textId="62EB696B" w:rsidR="00B26DE5" w:rsidRDefault="00B26DE5" w:rsidP="00B26DE5">
            <w:r>
              <w:t>Много редки</w:t>
            </w:r>
          </w:p>
        </w:tc>
        <w:tc>
          <w:tcPr>
            <w:tcW w:w="3192" w:type="dxa"/>
          </w:tcPr>
          <w:p w14:paraId="0847E70E" w14:textId="7C381079" w:rsidR="00B26DE5" w:rsidRDefault="00B26DE5" w:rsidP="00B26DE5">
            <w:r>
              <w:t>Болки в гърба, артралгия, миалгия</w:t>
            </w:r>
          </w:p>
        </w:tc>
      </w:tr>
      <w:tr w:rsidR="00B26DE5" w14:paraId="2401EAE6" w14:textId="77777777" w:rsidTr="00B26DE5">
        <w:tc>
          <w:tcPr>
            <w:tcW w:w="3192" w:type="dxa"/>
          </w:tcPr>
          <w:p w14:paraId="11EF13CC" w14:textId="0DDCF3A9" w:rsidR="00B26DE5" w:rsidRDefault="00B26DE5" w:rsidP="00B26DE5">
            <w:r>
              <w:t>Нарушения на бъбреците и пикочните пътища</w:t>
            </w:r>
          </w:p>
        </w:tc>
        <w:tc>
          <w:tcPr>
            <w:tcW w:w="3192" w:type="dxa"/>
          </w:tcPr>
          <w:p w14:paraId="1BD72DC9" w14:textId="707C5E0D" w:rsidR="00B26DE5" w:rsidRDefault="00B26DE5" w:rsidP="00B26DE5">
            <w:r>
              <w:t>Много редки</w:t>
            </w:r>
          </w:p>
        </w:tc>
        <w:tc>
          <w:tcPr>
            <w:tcW w:w="3192" w:type="dxa"/>
          </w:tcPr>
          <w:p w14:paraId="29044619" w14:textId="6E3119BF" w:rsidR="00B26DE5" w:rsidRDefault="00B26DE5" w:rsidP="00B26DE5">
            <w:r>
              <w:t>Бъбречно увреждане, включително бъбречна недостатъчност при предразположени пациенти (вж. точка 4.4)</w:t>
            </w:r>
          </w:p>
        </w:tc>
      </w:tr>
    </w:tbl>
    <w:p w14:paraId="57663EE4" w14:textId="6CB5AC7F" w:rsidR="00B26DE5" w:rsidRDefault="00B26DE5" w:rsidP="00B26DE5"/>
    <w:p w14:paraId="5E6ED6BD" w14:textId="77777777" w:rsidR="00B26DE5" w:rsidRPr="00B26DE5" w:rsidRDefault="00B26DE5" w:rsidP="00B26DE5">
      <w:pPr>
        <w:spacing w:line="240" w:lineRule="auto"/>
        <w:rPr>
          <w:rFonts w:eastAsia="Times New Roman" w:cs="Arial"/>
        </w:rPr>
      </w:pPr>
      <w:r w:rsidRPr="00B26DE5">
        <w:rPr>
          <w:rFonts w:eastAsia="Times New Roman" w:cs="Arial"/>
          <w:i/>
          <w:iCs/>
          <w:color w:val="000000"/>
          <w:lang w:eastAsia="bg-BG"/>
        </w:rPr>
        <w:t>Лабораторни изследвания</w:t>
      </w:r>
    </w:p>
    <w:p w14:paraId="7A4EFA17" w14:textId="77777777" w:rsidR="00B26DE5" w:rsidRDefault="00B26DE5" w:rsidP="00B26DE5">
      <w:pPr>
        <w:spacing w:line="240" w:lineRule="auto"/>
        <w:rPr>
          <w:rFonts w:eastAsia="Times New Roman" w:cs="Arial"/>
          <w:color w:val="000000"/>
          <w:lang w:eastAsia="bg-BG"/>
        </w:rPr>
      </w:pPr>
    </w:p>
    <w:p w14:paraId="5D31089E" w14:textId="7F3DA0CE" w:rsidR="00B26DE5" w:rsidRPr="00B26DE5" w:rsidRDefault="00B26DE5" w:rsidP="00B26DE5">
      <w:pPr>
        <w:spacing w:line="240" w:lineRule="auto"/>
        <w:rPr>
          <w:rFonts w:eastAsia="Times New Roman" w:cs="Arial"/>
        </w:rPr>
      </w:pPr>
      <w:r w:rsidRPr="00B26DE5">
        <w:rPr>
          <w:rFonts w:eastAsia="Times New Roman" w:cs="Arial"/>
          <w:color w:val="000000"/>
          <w:lang w:eastAsia="bg-BG"/>
        </w:rPr>
        <w:t>По принцип, не е открито клинически значимо повлияване на рутинните лабораторни показатели от кандесартан цилексетил. Както при другите инхибитори на ренин-ангиотензин- алдостероновата система, наблюдавано е слабо понижение на хемоглобина. Не се налага рутинно проследяване на лабораторните показатели при пациенти получаващи кандесартан цилексетил. При пациенти с бъбречно увреждане обаче, се препоръчва периодическо мониториране на нивата на серумния калий и креатинина.</w:t>
      </w:r>
    </w:p>
    <w:p w14:paraId="3C76C0E3" w14:textId="77777777" w:rsidR="00B26DE5" w:rsidRDefault="00B26DE5" w:rsidP="00B26DE5">
      <w:pPr>
        <w:spacing w:line="240" w:lineRule="auto"/>
        <w:rPr>
          <w:rFonts w:eastAsia="Times New Roman" w:cs="Arial"/>
          <w:color w:val="000000"/>
          <w:u w:val="single"/>
          <w:lang w:eastAsia="bg-BG"/>
        </w:rPr>
      </w:pPr>
    </w:p>
    <w:p w14:paraId="3D248E2F" w14:textId="42DD3CEA" w:rsidR="00B26DE5" w:rsidRPr="00B26DE5" w:rsidRDefault="00B26DE5" w:rsidP="00B26DE5">
      <w:pPr>
        <w:spacing w:line="240" w:lineRule="auto"/>
        <w:rPr>
          <w:rFonts w:eastAsia="Times New Roman" w:cs="Arial"/>
        </w:rPr>
      </w:pPr>
      <w:r w:rsidRPr="00B26DE5">
        <w:rPr>
          <w:rFonts w:eastAsia="Times New Roman" w:cs="Arial"/>
          <w:color w:val="000000"/>
          <w:u w:val="single"/>
          <w:lang w:eastAsia="bg-BG"/>
        </w:rPr>
        <w:t>Педиатрична популация</w:t>
      </w:r>
    </w:p>
    <w:p w14:paraId="55CABF9A" w14:textId="77777777" w:rsidR="00B26DE5" w:rsidRDefault="00B26DE5" w:rsidP="00B26DE5">
      <w:pPr>
        <w:spacing w:line="240" w:lineRule="auto"/>
        <w:rPr>
          <w:rFonts w:eastAsia="Times New Roman" w:cs="Arial"/>
          <w:color w:val="000000"/>
          <w:lang w:eastAsia="bg-BG"/>
        </w:rPr>
      </w:pPr>
    </w:p>
    <w:p w14:paraId="3E6F736C" w14:textId="32D2A32D" w:rsidR="00B26DE5" w:rsidRPr="00B26DE5" w:rsidRDefault="00B26DE5" w:rsidP="00B26DE5">
      <w:pPr>
        <w:spacing w:line="240" w:lineRule="auto"/>
        <w:rPr>
          <w:rFonts w:eastAsia="Times New Roman" w:cs="Arial"/>
        </w:rPr>
      </w:pPr>
      <w:r w:rsidRPr="00B26DE5">
        <w:rPr>
          <w:rFonts w:eastAsia="Times New Roman" w:cs="Arial"/>
          <w:color w:val="000000"/>
          <w:lang w:eastAsia="bg-BG"/>
        </w:rPr>
        <w:t>Безопасността на кандесартан цилексетил е проследявана в хода на 4-седмично клинично проучване за оценка на ефикасността и едногодишно открито проучване при 255 деца и юноши на възраст от 6 до &lt;18 години с артериална хипертония (вж. Точка 5.1). В почти всички отделни системно-органни класове, честотата на нежеланите лекарствени реакции при деца е в границите на честите/нечестите нежелани реакции. Макар по характер и тежест нежеланите лекарствени реакции да са сходни с тези при възрастни пациенти (вж. таблицата по-горе), при децата и юношите нежеланите лекарствени реакции са с по-висока честота, особено що се касае за:</w:t>
      </w:r>
    </w:p>
    <w:p w14:paraId="2B63E4ED" w14:textId="77777777" w:rsidR="00B26DE5" w:rsidRPr="00B26DE5" w:rsidRDefault="00B26DE5" w:rsidP="00B26DE5">
      <w:pPr>
        <w:pStyle w:val="ListParagraph"/>
        <w:numPr>
          <w:ilvl w:val="0"/>
          <w:numId w:val="38"/>
        </w:numPr>
        <w:spacing w:line="240" w:lineRule="auto"/>
        <w:rPr>
          <w:rFonts w:eastAsia="Times New Roman" w:cs="Arial"/>
        </w:rPr>
      </w:pPr>
      <w:r w:rsidRPr="00B26DE5">
        <w:rPr>
          <w:rFonts w:eastAsia="Times New Roman" w:cs="Arial"/>
          <w:color w:val="000000"/>
          <w:lang w:eastAsia="bg-BG"/>
        </w:rPr>
        <w:t>Главоболие, замайване и инфекции на горните дихателни пътища са „много чести“ (т.е.</w:t>
      </w:r>
      <w:r w:rsidRPr="00B26DE5">
        <w:rPr>
          <w:rFonts w:eastAsia="Times New Roman" w:cs="Arial"/>
          <w:color w:val="000000"/>
          <w:lang w:val="ru-RU" w:eastAsia="bg-BG"/>
        </w:rPr>
        <w:t xml:space="preserve"> </w:t>
      </w:r>
      <w:r w:rsidRPr="00B26DE5">
        <w:rPr>
          <w:rFonts w:eastAsia="Times New Roman" w:cs="Arial"/>
          <w:color w:val="000000"/>
          <w:lang w:eastAsia="bg-BG"/>
        </w:rPr>
        <w:t>≥1/10) при децата и „чести“ (≥1/100 до &lt; 1/10) при възрастните.</w:t>
      </w:r>
    </w:p>
    <w:p w14:paraId="12058A88" w14:textId="77777777" w:rsidR="00B26DE5" w:rsidRPr="00B26DE5" w:rsidRDefault="00B26DE5" w:rsidP="00B26DE5">
      <w:pPr>
        <w:pStyle w:val="ListParagraph"/>
        <w:numPr>
          <w:ilvl w:val="0"/>
          <w:numId w:val="38"/>
        </w:numPr>
        <w:spacing w:line="240" w:lineRule="auto"/>
        <w:rPr>
          <w:rFonts w:eastAsia="Times New Roman" w:cs="Arial"/>
        </w:rPr>
      </w:pPr>
      <w:r w:rsidRPr="00B26DE5">
        <w:rPr>
          <w:rFonts w:eastAsia="Times New Roman" w:cs="Arial"/>
          <w:color w:val="000000"/>
          <w:lang w:eastAsia="bg-BG"/>
        </w:rPr>
        <w:t>Кашлица е „много честа“ (т.е. &gt;1/10) при децата и „много рядка“ (&lt; 1/10 000) при възрастните.</w:t>
      </w:r>
    </w:p>
    <w:p w14:paraId="6BDE5B9F" w14:textId="77777777" w:rsidR="00B26DE5" w:rsidRPr="00B26DE5" w:rsidRDefault="00B26DE5" w:rsidP="00B26DE5">
      <w:pPr>
        <w:pStyle w:val="ListParagraph"/>
        <w:numPr>
          <w:ilvl w:val="0"/>
          <w:numId w:val="38"/>
        </w:numPr>
        <w:spacing w:line="240" w:lineRule="auto"/>
        <w:rPr>
          <w:rFonts w:eastAsia="Times New Roman" w:cs="Arial"/>
        </w:rPr>
      </w:pPr>
      <w:r w:rsidRPr="00B26DE5">
        <w:rPr>
          <w:rFonts w:eastAsia="Times New Roman" w:cs="Arial"/>
          <w:color w:val="000000"/>
          <w:lang w:eastAsia="bg-BG"/>
        </w:rPr>
        <w:lastRenderedPageBreak/>
        <w:t>Обрив е „чест“ (т.е. ≥1/100 до &lt; 1/10) при децата и „много рядък“ (&lt; 1/10 000) при възрастните.</w:t>
      </w:r>
    </w:p>
    <w:p w14:paraId="39B75D60" w14:textId="77777777" w:rsidR="00B26DE5" w:rsidRPr="00B26DE5" w:rsidRDefault="00B26DE5" w:rsidP="00B26DE5">
      <w:pPr>
        <w:pStyle w:val="ListParagraph"/>
        <w:numPr>
          <w:ilvl w:val="0"/>
          <w:numId w:val="38"/>
        </w:numPr>
        <w:spacing w:line="240" w:lineRule="auto"/>
        <w:rPr>
          <w:rFonts w:eastAsia="Times New Roman" w:cs="Arial"/>
        </w:rPr>
      </w:pPr>
      <w:r w:rsidRPr="00B26DE5">
        <w:rPr>
          <w:rFonts w:eastAsia="Times New Roman" w:cs="Arial"/>
          <w:color w:val="000000"/>
          <w:lang w:eastAsia="bg-BG"/>
        </w:rPr>
        <w:t>Хиперкалиемия, хипонатриемия и отклонения в чернодробната функция са „нечести“ (≥1/1 000 до &lt;1/100) при децата и „много редки“ (&lt; 1/10 000) при възрастните.</w:t>
      </w:r>
    </w:p>
    <w:p w14:paraId="180B19A7" w14:textId="1D17EBA2" w:rsidR="00B26DE5" w:rsidRPr="00B26DE5" w:rsidRDefault="00B26DE5" w:rsidP="00B26DE5">
      <w:pPr>
        <w:pStyle w:val="ListParagraph"/>
        <w:numPr>
          <w:ilvl w:val="0"/>
          <w:numId w:val="38"/>
        </w:numPr>
        <w:spacing w:line="240" w:lineRule="auto"/>
        <w:rPr>
          <w:rFonts w:eastAsia="Times New Roman" w:cs="Arial"/>
        </w:rPr>
      </w:pPr>
      <w:r w:rsidRPr="00B26DE5">
        <w:rPr>
          <w:rFonts w:eastAsia="Times New Roman" w:cs="Arial"/>
          <w:color w:val="000000"/>
          <w:lang w:eastAsia="bg-BG"/>
        </w:rPr>
        <w:t>Синусова аритмия, назофарингит и хиперпирексия са „чести“ (т.е. ≥1/100 до &lt; 1/10) при децата, а орофарингиалната болка - „много честа“ (т.е. ≥1/10), докато при възрастните няма съобщения за нито една от тези нежелани реакции. Те обаче са временни и широко разпространени детски заболявания.</w:t>
      </w:r>
    </w:p>
    <w:p w14:paraId="104309ED" w14:textId="77777777" w:rsidR="00B26DE5" w:rsidRDefault="00B26DE5" w:rsidP="00B26DE5">
      <w:pPr>
        <w:spacing w:line="240" w:lineRule="auto"/>
        <w:rPr>
          <w:rFonts w:eastAsia="Times New Roman" w:cs="Arial"/>
          <w:color w:val="000000"/>
          <w:lang w:eastAsia="bg-BG"/>
        </w:rPr>
      </w:pPr>
    </w:p>
    <w:p w14:paraId="7CE3EC4A" w14:textId="6E0FF80C" w:rsidR="00B26DE5" w:rsidRPr="00B26DE5" w:rsidRDefault="00B26DE5" w:rsidP="00B26DE5">
      <w:pPr>
        <w:spacing w:line="240" w:lineRule="auto"/>
        <w:rPr>
          <w:rFonts w:eastAsia="Times New Roman" w:cs="Arial"/>
        </w:rPr>
      </w:pPr>
      <w:r w:rsidRPr="00B26DE5">
        <w:rPr>
          <w:rFonts w:eastAsia="Times New Roman" w:cs="Arial"/>
          <w:color w:val="000000"/>
          <w:lang w:eastAsia="bg-BG"/>
        </w:rPr>
        <w:t>Цялостният профил на безопасност на кандесартан цилекстил при педиатрични пациенти не се различава значитено от профила н</w:t>
      </w:r>
      <w:r>
        <w:rPr>
          <w:rFonts w:eastAsia="Times New Roman" w:cs="Arial"/>
          <w:color w:val="000000"/>
          <w:lang w:eastAsia="bg-BG"/>
        </w:rPr>
        <w:t>а безопасност при възрастните.</w:t>
      </w:r>
    </w:p>
    <w:p w14:paraId="1E627634" w14:textId="77777777" w:rsidR="00B26DE5" w:rsidRDefault="00B26DE5" w:rsidP="00B26DE5">
      <w:pPr>
        <w:spacing w:line="240" w:lineRule="auto"/>
        <w:rPr>
          <w:rFonts w:eastAsia="Times New Roman" w:cs="Arial"/>
          <w:color w:val="000000"/>
          <w:u w:val="single"/>
          <w:lang w:eastAsia="bg-BG"/>
        </w:rPr>
      </w:pPr>
    </w:p>
    <w:p w14:paraId="4EECBDCE" w14:textId="76E08530" w:rsidR="00B26DE5" w:rsidRPr="00B26DE5" w:rsidRDefault="00B26DE5" w:rsidP="00B26DE5">
      <w:pPr>
        <w:spacing w:line="240" w:lineRule="auto"/>
        <w:rPr>
          <w:rFonts w:eastAsia="Times New Roman" w:cs="Arial"/>
        </w:rPr>
      </w:pPr>
      <w:r w:rsidRPr="00B26DE5">
        <w:rPr>
          <w:rFonts w:eastAsia="Times New Roman" w:cs="Arial"/>
          <w:color w:val="000000"/>
          <w:u w:val="single"/>
          <w:lang w:eastAsia="bg-BG"/>
        </w:rPr>
        <w:t>Лечение на сърдечна недостатъчност</w:t>
      </w:r>
    </w:p>
    <w:p w14:paraId="165669AA" w14:textId="77777777" w:rsidR="00B26DE5" w:rsidRDefault="00B26DE5" w:rsidP="00B26DE5">
      <w:pPr>
        <w:spacing w:line="240" w:lineRule="auto"/>
        <w:rPr>
          <w:rFonts w:eastAsia="Times New Roman" w:cs="Arial"/>
          <w:color w:val="000000"/>
          <w:lang w:eastAsia="bg-BG"/>
        </w:rPr>
      </w:pPr>
    </w:p>
    <w:p w14:paraId="6B3A6977" w14:textId="75ABCDA1" w:rsidR="00B26DE5" w:rsidRDefault="00B26DE5" w:rsidP="00B26DE5">
      <w:pPr>
        <w:spacing w:line="240" w:lineRule="auto"/>
        <w:rPr>
          <w:rFonts w:eastAsia="Times New Roman" w:cs="Arial"/>
          <w:color w:val="000000"/>
          <w:lang w:eastAsia="bg-BG"/>
        </w:rPr>
      </w:pPr>
      <w:r w:rsidRPr="00B26DE5">
        <w:rPr>
          <w:rFonts w:eastAsia="Times New Roman" w:cs="Arial"/>
          <w:color w:val="000000"/>
          <w:lang w:eastAsia="bg-BG"/>
        </w:rPr>
        <w:t xml:space="preserve">Профилът на нежеланите събития на кандесартан цилексетил при възрастни пациенти със сърдечна недостатъчност съответства на фармакологичните свойства на лекарството и на здравното състояние на пациентите. В клиничната програма </w:t>
      </w:r>
      <w:r w:rsidRPr="00B26DE5">
        <w:rPr>
          <w:rFonts w:eastAsia="Times New Roman" w:cs="Arial"/>
          <w:color w:val="000000"/>
          <w:lang w:val="en-US"/>
        </w:rPr>
        <w:t>CHARM</w:t>
      </w:r>
      <w:r w:rsidRPr="00B26DE5">
        <w:rPr>
          <w:rFonts w:eastAsia="Times New Roman" w:cs="Arial"/>
          <w:color w:val="000000"/>
          <w:lang w:val="ru-RU"/>
        </w:rPr>
        <w:t xml:space="preserve">, </w:t>
      </w:r>
      <w:r w:rsidRPr="00B26DE5">
        <w:rPr>
          <w:rFonts w:eastAsia="Times New Roman" w:cs="Arial"/>
          <w:color w:val="000000"/>
          <w:lang w:eastAsia="bg-BG"/>
        </w:rPr>
        <w:t xml:space="preserve">сравняваща кандесартан цилексетил в дози до 32 </w:t>
      </w:r>
      <w:r w:rsidRPr="00B26DE5">
        <w:rPr>
          <w:rFonts w:eastAsia="Times New Roman" w:cs="Arial"/>
          <w:color w:val="000000"/>
          <w:lang w:val="en-US"/>
        </w:rPr>
        <w:t>mg</w:t>
      </w:r>
      <w:r w:rsidRPr="00B26DE5">
        <w:rPr>
          <w:rFonts w:eastAsia="Times New Roman" w:cs="Arial"/>
          <w:color w:val="000000"/>
          <w:lang w:val="ru-RU"/>
        </w:rPr>
        <w:t xml:space="preserve"> </w:t>
      </w:r>
      <w:r w:rsidRPr="00B26DE5">
        <w:rPr>
          <w:rFonts w:eastAsia="Times New Roman" w:cs="Arial"/>
          <w:color w:val="000000"/>
          <w:lang w:eastAsia="bg-BG"/>
        </w:rPr>
        <w:t>(</w:t>
      </w:r>
      <w:r w:rsidRPr="00B26DE5">
        <w:rPr>
          <w:rFonts w:eastAsia="Times New Roman" w:cs="Arial"/>
          <w:color w:val="000000"/>
          <w:lang w:val="en-US"/>
        </w:rPr>
        <w:t>n</w:t>
      </w:r>
      <w:r w:rsidRPr="00B26DE5">
        <w:rPr>
          <w:rFonts w:eastAsia="Times New Roman" w:cs="Arial"/>
          <w:color w:val="000000"/>
          <w:lang w:eastAsia="bg-BG"/>
        </w:rPr>
        <w:t>=3,803) с плацебо (</w:t>
      </w:r>
      <w:r w:rsidRPr="00B26DE5">
        <w:rPr>
          <w:rFonts w:eastAsia="Times New Roman" w:cs="Arial"/>
          <w:color w:val="000000"/>
          <w:lang w:val="en-US"/>
        </w:rPr>
        <w:t>n</w:t>
      </w:r>
      <w:r w:rsidRPr="00B26DE5">
        <w:rPr>
          <w:rFonts w:eastAsia="Times New Roman" w:cs="Arial"/>
          <w:color w:val="000000"/>
          <w:lang w:eastAsia="bg-BG"/>
        </w:rPr>
        <w:t>=3,796), 21,0% от болните в групата с кандесартан цилексетил и 16,1 % от групата с плацебо са преустановили лечението поради нежелани събития. Най-често докладваните нежелани реакции са хиперкалиемия,</w:t>
      </w:r>
      <w:r w:rsidRPr="00B26DE5">
        <w:rPr>
          <w:rFonts w:eastAsia="Times New Roman" w:cs="Arial"/>
          <w:color w:val="000000"/>
          <w:lang w:val="ru-RU"/>
        </w:rPr>
        <w:t xml:space="preserve"> </w:t>
      </w:r>
      <w:r w:rsidRPr="00B26DE5">
        <w:rPr>
          <w:rFonts w:eastAsia="Times New Roman" w:cs="Arial"/>
          <w:color w:val="000000"/>
          <w:lang w:eastAsia="bg-BG"/>
        </w:rPr>
        <w:t>хипотония и бъбречна недостатъчност. Тези събития са по-чести при пациенти над 70-годишна възраст, диабетици, или лицата, които са получавали други лекарствени продукти, които влияят на системата ренин-ангиотензин-алдостерон, по-специално АСЕ-инхибитор и/или спиронолактон</w:t>
      </w:r>
    </w:p>
    <w:p w14:paraId="5AFCA1A2" w14:textId="28D19F57" w:rsidR="00B26DE5" w:rsidRDefault="00B26DE5" w:rsidP="00B26DE5">
      <w:pPr>
        <w:spacing w:line="240" w:lineRule="auto"/>
        <w:rPr>
          <w:rFonts w:eastAsia="Times New Roman" w:cs="Arial"/>
          <w:color w:val="000000"/>
          <w:lang w:eastAsia="bg-BG"/>
        </w:rPr>
      </w:pPr>
    </w:p>
    <w:p w14:paraId="1289A5D1" w14:textId="473BF8E1" w:rsidR="00B26DE5" w:rsidRDefault="00B26DE5" w:rsidP="00B26DE5">
      <w:pPr>
        <w:rPr>
          <w:lang w:eastAsia="bg-BG"/>
        </w:rPr>
      </w:pPr>
      <w:r w:rsidRPr="00B26DE5">
        <w:rPr>
          <w:lang w:eastAsia="bg-BG"/>
        </w:rPr>
        <w:t>В таблицата по-долу са представени нежелани лекарствени реакции от клинични изпитвания и пост-маркетингов опит</w:t>
      </w:r>
    </w:p>
    <w:p w14:paraId="62C7B51D" w14:textId="77777777" w:rsidR="00B26DE5" w:rsidRPr="00B26DE5" w:rsidRDefault="00B26DE5" w:rsidP="00B26DE5">
      <w:pPr>
        <w:rPr>
          <w:sz w:val="24"/>
          <w:szCs w:val="24"/>
        </w:rPr>
      </w:pPr>
    </w:p>
    <w:tbl>
      <w:tblPr>
        <w:tblStyle w:val="TableGrid"/>
        <w:tblW w:w="0" w:type="auto"/>
        <w:tblLook w:val="04A0" w:firstRow="1" w:lastRow="0" w:firstColumn="1" w:lastColumn="0" w:noHBand="0" w:noVBand="1"/>
      </w:tblPr>
      <w:tblGrid>
        <w:gridCol w:w="3129"/>
        <w:gridCol w:w="3086"/>
        <w:gridCol w:w="3135"/>
      </w:tblGrid>
      <w:tr w:rsidR="00B26DE5" w14:paraId="67F24CC1" w14:textId="77777777" w:rsidTr="00D10460">
        <w:tc>
          <w:tcPr>
            <w:tcW w:w="3192" w:type="dxa"/>
            <w:vAlign w:val="bottom"/>
          </w:tcPr>
          <w:p w14:paraId="038CC5F8" w14:textId="0DC58E53" w:rsidR="00B26DE5" w:rsidRPr="00B26DE5" w:rsidRDefault="00B26DE5" w:rsidP="00B26DE5">
            <w:pPr>
              <w:spacing w:line="240" w:lineRule="auto"/>
              <w:rPr>
                <w:rFonts w:eastAsia="Times New Roman" w:cs="Arial"/>
              </w:rPr>
            </w:pPr>
            <w:r w:rsidRPr="00B26DE5">
              <w:rPr>
                <w:b/>
                <w:bCs/>
              </w:rPr>
              <w:t>Класификация по органи и системи</w:t>
            </w:r>
          </w:p>
        </w:tc>
        <w:tc>
          <w:tcPr>
            <w:tcW w:w="3192" w:type="dxa"/>
          </w:tcPr>
          <w:p w14:paraId="4A936AF9" w14:textId="6EF1C23E" w:rsidR="00B26DE5" w:rsidRPr="00B26DE5" w:rsidRDefault="00B26DE5" w:rsidP="00B26DE5">
            <w:pPr>
              <w:spacing w:line="240" w:lineRule="auto"/>
              <w:rPr>
                <w:rFonts w:eastAsia="Times New Roman" w:cs="Arial"/>
              </w:rPr>
            </w:pPr>
            <w:r w:rsidRPr="00B26DE5">
              <w:rPr>
                <w:b/>
                <w:bCs/>
              </w:rPr>
              <w:t>Честота</w:t>
            </w:r>
          </w:p>
        </w:tc>
        <w:tc>
          <w:tcPr>
            <w:tcW w:w="3192" w:type="dxa"/>
          </w:tcPr>
          <w:p w14:paraId="147BAEEC" w14:textId="4BB5B84A" w:rsidR="00B26DE5" w:rsidRPr="00B26DE5" w:rsidRDefault="00B26DE5" w:rsidP="00B26DE5">
            <w:pPr>
              <w:spacing w:line="240" w:lineRule="auto"/>
              <w:rPr>
                <w:rFonts w:eastAsia="Times New Roman" w:cs="Arial"/>
              </w:rPr>
            </w:pPr>
            <w:r w:rsidRPr="00B26DE5">
              <w:rPr>
                <w:b/>
                <w:bCs/>
              </w:rPr>
              <w:t>Нежелани реакции</w:t>
            </w:r>
          </w:p>
        </w:tc>
      </w:tr>
      <w:tr w:rsidR="00B26DE5" w14:paraId="74056D16" w14:textId="77777777" w:rsidTr="00D10460">
        <w:tc>
          <w:tcPr>
            <w:tcW w:w="3192" w:type="dxa"/>
            <w:vAlign w:val="bottom"/>
          </w:tcPr>
          <w:p w14:paraId="55776AB8" w14:textId="156BBACA" w:rsidR="00B26DE5" w:rsidRPr="00B26DE5" w:rsidRDefault="00B26DE5" w:rsidP="00B26DE5">
            <w:pPr>
              <w:spacing w:line="240" w:lineRule="auto"/>
              <w:rPr>
                <w:rFonts w:eastAsia="Times New Roman" w:cs="Arial"/>
              </w:rPr>
            </w:pPr>
            <w:r w:rsidRPr="00B26DE5">
              <w:t>Нарушения на кръвта и лимфната система</w:t>
            </w:r>
          </w:p>
        </w:tc>
        <w:tc>
          <w:tcPr>
            <w:tcW w:w="3192" w:type="dxa"/>
            <w:vAlign w:val="bottom"/>
          </w:tcPr>
          <w:p w14:paraId="6145F02E" w14:textId="60E98AEF" w:rsidR="00B26DE5" w:rsidRPr="00B26DE5" w:rsidRDefault="00B26DE5" w:rsidP="00B26DE5">
            <w:pPr>
              <w:spacing w:line="240" w:lineRule="auto"/>
              <w:rPr>
                <w:rFonts w:eastAsia="Times New Roman" w:cs="Arial"/>
              </w:rPr>
            </w:pPr>
            <w:r w:rsidRPr="00B26DE5">
              <w:t>Много редки</w:t>
            </w:r>
          </w:p>
        </w:tc>
        <w:tc>
          <w:tcPr>
            <w:tcW w:w="3192" w:type="dxa"/>
            <w:vAlign w:val="bottom"/>
          </w:tcPr>
          <w:p w14:paraId="531BFEA9" w14:textId="7A83CB76" w:rsidR="00B26DE5" w:rsidRPr="00B26DE5" w:rsidRDefault="00B26DE5" w:rsidP="00B26DE5">
            <w:pPr>
              <w:spacing w:line="240" w:lineRule="auto"/>
              <w:rPr>
                <w:rFonts w:eastAsia="Times New Roman" w:cs="Arial"/>
              </w:rPr>
            </w:pPr>
            <w:r w:rsidRPr="00B26DE5">
              <w:t>Левкопения, неутропения и агранулоцитоза</w:t>
            </w:r>
          </w:p>
        </w:tc>
      </w:tr>
      <w:tr w:rsidR="00B26DE5" w14:paraId="101F8A6E" w14:textId="77777777" w:rsidTr="00B26DE5">
        <w:tc>
          <w:tcPr>
            <w:tcW w:w="3192" w:type="dxa"/>
            <w:vMerge w:val="restart"/>
          </w:tcPr>
          <w:p w14:paraId="0F36E114" w14:textId="2D216980" w:rsidR="00B26DE5" w:rsidRPr="00B26DE5" w:rsidRDefault="00B26DE5" w:rsidP="00B26DE5">
            <w:pPr>
              <w:spacing w:line="240" w:lineRule="auto"/>
              <w:rPr>
                <w:rFonts w:eastAsia="Times New Roman" w:cs="Arial"/>
              </w:rPr>
            </w:pPr>
            <w:r w:rsidRPr="00B26DE5">
              <w:t>Нарушения на метаболизма и храненето</w:t>
            </w:r>
          </w:p>
        </w:tc>
        <w:tc>
          <w:tcPr>
            <w:tcW w:w="3192" w:type="dxa"/>
          </w:tcPr>
          <w:p w14:paraId="476567F3" w14:textId="75D9223F" w:rsidR="00B26DE5" w:rsidRPr="00B26DE5" w:rsidRDefault="00B26DE5" w:rsidP="00B26DE5">
            <w:pPr>
              <w:spacing w:line="240" w:lineRule="auto"/>
              <w:rPr>
                <w:rFonts w:eastAsia="Times New Roman" w:cs="Arial"/>
              </w:rPr>
            </w:pPr>
            <w:r w:rsidRPr="00B26DE5">
              <w:t>Чести</w:t>
            </w:r>
          </w:p>
        </w:tc>
        <w:tc>
          <w:tcPr>
            <w:tcW w:w="3192" w:type="dxa"/>
          </w:tcPr>
          <w:p w14:paraId="1851AB26" w14:textId="2603C76B" w:rsidR="00B26DE5" w:rsidRPr="00B26DE5" w:rsidRDefault="00B26DE5" w:rsidP="00B26DE5">
            <w:pPr>
              <w:spacing w:line="240" w:lineRule="auto"/>
              <w:rPr>
                <w:rFonts w:eastAsia="Times New Roman" w:cs="Arial"/>
              </w:rPr>
            </w:pPr>
            <w:r w:rsidRPr="00B26DE5">
              <w:t>Хиперкалиемия</w:t>
            </w:r>
          </w:p>
        </w:tc>
      </w:tr>
      <w:tr w:rsidR="00B26DE5" w14:paraId="04CD41BE" w14:textId="77777777" w:rsidTr="00D10460">
        <w:tc>
          <w:tcPr>
            <w:tcW w:w="3192" w:type="dxa"/>
            <w:vMerge/>
          </w:tcPr>
          <w:p w14:paraId="250E453A" w14:textId="77777777" w:rsidR="00B26DE5" w:rsidRPr="00B26DE5" w:rsidRDefault="00B26DE5" w:rsidP="00B26DE5">
            <w:pPr>
              <w:spacing w:line="240" w:lineRule="auto"/>
              <w:rPr>
                <w:rFonts w:eastAsia="Times New Roman" w:cs="Arial"/>
              </w:rPr>
            </w:pPr>
          </w:p>
        </w:tc>
        <w:tc>
          <w:tcPr>
            <w:tcW w:w="3192" w:type="dxa"/>
            <w:vAlign w:val="bottom"/>
          </w:tcPr>
          <w:p w14:paraId="2F827C71" w14:textId="7A062983" w:rsidR="00B26DE5" w:rsidRPr="00B26DE5" w:rsidRDefault="00B26DE5" w:rsidP="00B26DE5">
            <w:pPr>
              <w:spacing w:line="240" w:lineRule="auto"/>
              <w:rPr>
                <w:rFonts w:eastAsia="Times New Roman" w:cs="Arial"/>
              </w:rPr>
            </w:pPr>
            <w:r w:rsidRPr="00B26DE5">
              <w:t>Много редки</w:t>
            </w:r>
          </w:p>
        </w:tc>
        <w:tc>
          <w:tcPr>
            <w:tcW w:w="3192" w:type="dxa"/>
          </w:tcPr>
          <w:p w14:paraId="3BECC1A2" w14:textId="59737808" w:rsidR="00B26DE5" w:rsidRPr="00B26DE5" w:rsidRDefault="00B26DE5" w:rsidP="00B26DE5">
            <w:pPr>
              <w:spacing w:line="240" w:lineRule="auto"/>
              <w:rPr>
                <w:rFonts w:eastAsia="Times New Roman" w:cs="Arial"/>
              </w:rPr>
            </w:pPr>
            <w:r w:rsidRPr="00B26DE5">
              <w:t>Замаяност, главоболие</w:t>
            </w:r>
          </w:p>
        </w:tc>
      </w:tr>
      <w:tr w:rsidR="00B26DE5" w14:paraId="2C435121" w14:textId="77777777" w:rsidTr="00D10460">
        <w:tc>
          <w:tcPr>
            <w:tcW w:w="3192" w:type="dxa"/>
            <w:vAlign w:val="bottom"/>
          </w:tcPr>
          <w:p w14:paraId="515FB9FD" w14:textId="3DD0A50C" w:rsidR="00B26DE5" w:rsidRPr="00B26DE5" w:rsidRDefault="00B26DE5" w:rsidP="00B26DE5">
            <w:pPr>
              <w:spacing w:line="240" w:lineRule="auto"/>
              <w:rPr>
                <w:rFonts w:eastAsia="Times New Roman" w:cs="Arial"/>
              </w:rPr>
            </w:pPr>
            <w:r w:rsidRPr="00B26DE5">
              <w:t>Съдови нарушения</w:t>
            </w:r>
          </w:p>
        </w:tc>
        <w:tc>
          <w:tcPr>
            <w:tcW w:w="3192" w:type="dxa"/>
            <w:vAlign w:val="bottom"/>
          </w:tcPr>
          <w:p w14:paraId="606EFFF1" w14:textId="0858848C" w:rsidR="00B26DE5" w:rsidRPr="00B26DE5" w:rsidRDefault="00B26DE5" w:rsidP="00B26DE5">
            <w:pPr>
              <w:spacing w:line="240" w:lineRule="auto"/>
              <w:rPr>
                <w:rFonts w:eastAsia="Times New Roman" w:cs="Arial"/>
              </w:rPr>
            </w:pPr>
            <w:r w:rsidRPr="00B26DE5">
              <w:t>Чести</w:t>
            </w:r>
          </w:p>
        </w:tc>
        <w:tc>
          <w:tcPr>
            <w:tcW w:w="3192" w:type="dxa"/>
            <w:vAlign w:val="bottom"/>
          </w:tcPr>
          <w:p w14:paraId="1D5DA302" w14:textId="46E19167" w:rsidR="00B26DE5" w:rsidRPr="00B26DE5" w:rsidRDefault="00B26DE5" w:rsidP="00B26DE5">
            <w:pPr>
              <w:spacing w:line="240" w:lineRule="auto"/>
              <w:rPr>
                <w:rFonts w:eastAsia="Times New Roman" w:cs="Arial"/>
              </w:rPr>
            </w:pPr>
            <w:r w:rsidRPr="00B26DE5">
              <w:t>Хипотензия</w:t>
            </w:r>
          </w:p>
        </w:tc>
      </w:tr>
      <w:tr w:rsidR="00B26DE5" w14:paraId="244D61FA" w14:textId="77777777" w:rsidTr="00D10460">
        <w:tc>
          <w:tcPr>
            <w:tcW w:w="3192" w:type="dxa"/>
          </w:tcPr>
          <w:p w14:paraId="2D8C2AD1" w14:textId="5693EC24" w:rsidR="00B26DE5" w:rsidRPr="00B26DE5" w:rsidRDefault="00B26DE5" w:rsidP="00B26DE5">
            <w:pPr>
              <w:spacing w:line="240" w:lineRule="auto"/>
              <w:rPr>
                <w:rFonts w:eastAsia="Times New Roman" w:cs="Arial"/>
              </w:rPr>
            </w:pPr>
            <w:r w:rsidRPr="00B26DE5">
              <w:t>Стомашно-чревни нарушения</w:t>
            </w:r>
          </w:p>
        </w:tc>
        <w:tc>
          <w:tcPr>
            <w:tcW w:w="3192" w:type="dxa"/>
            <w:vAlign w:val="bottom"/>
          </w:tcPr>
          <w:p w14:paraId="755366DE" w14:textId="03D7051D" w:rsidR="00B26DE5" w:rsidRPr="00B26DE5" w:rsidRDefault="00B26DE5" w:rsidP="00B26DE5">
            <w:pPr>
              <w:spacing w:line="240" w:lineRule="auto"/>
              <w:rPr>
                <w:rFonts w:eastAsia="Times New Roman" w:cs="Arial"/>
              </w:rPr>
            </w:pPr>
            <w:r w:rsidRPr="00B26DE5">
              <w:t>Много редки</w:t>
            </w:r>
          </w:p>
        </w:tc>
        <w:tc>
          <w:tcPr>
            <w:tcW w:w="3192" w:type="dxa"/>
          </w:tcPr>
          <w:p w14:paraId="1B9E55C7" w14:textId="6AEBC974" w:rsidR="00B26DE5" w:rsidRPr="00B26DE5" w:rsidRDefault="00B26DE5" w:rsidP="00B26DE5">
            <w:pPr>
              <w:spacing w:line="240" w:lineRule="auto"/>
              <w:rPr>
                <w:rFonts w:eastAsia="Times New Roman" w:cs="Arial"/>
              </w:rPr>
            </w:pPr>
            <w:r w:rsidRPr="00B26DE5">
              <w:t>Гадене</w:t>
            </w:r>
          </w:p>
        </w:tc>
      </w:tr>
      <w:tr w:rsidR="00B26DE5" w14:paraId="72C8A0E9" w14:textId="77777777" w:rsidTr="00D10460">
        <w:tc>
          <w:tcPr>
            <w:tcW w:w="3192" w:type="dxa"/>
          </w:tcPr>
          <w:p w14:paraId="47B46D84" w14:textId="729C4F83" w:rsidR="00B26DE5" w:rsidRPr="00B26DE5" w:rsidRDefault="00B26DE5" w:rsidP="00B26DE5">
            <w:pPr>
              <w:spacing w:line="240" w:lineRule="auto"/>
              <w:rPr>
                <w:rFonts w:eastAsia="Times New Roman" w:cs="Arial"/>
              </w:rPr>
            </w:pPr>
            <w:r w:rsidRPr="00B26DE5">
              <w:t>Хепатобилиарни нарушения</w:t>
            </w:r>
          </w:p>
        </w:tc>
        <w:tc>
          <w:tcPr>
            <w:tcW w:w="3192" w:type="dxa"/>
          </w:tcPr>
          <w:p w14:paraId="6FDA358B" w14:textId="71A355D7" w:rsidR="00B26DE5" w:rsidRPr="00B26DE5" w:rsidRDefault="00B26DE5" w:rsidP="00B26DE5">
            <w:pPr>
              <w:spacing w:line="240" w:lineRule="auto"/>
              <w:rPr>
                <w:rFonts w:eastAsia="Times New Roman" w:cs="Arial"/>
              </w:rPr>
            </w:pPr>
            <w:r w:rsidRPr="00B26DE5">
              <w:t>Много редки</w:t>
            </w:r>
          </w:p>
        </w:tc>
        <w:tc>
          <w:tcPr>
            <w:tcW w:w="3192" w:type="dxa"/>
            <w:vAlign w:val="bottom"/>
          </w:tcPr>
          <w:p w14:paraId="21451879" w14:textId="2220FFAF" w:rsidR="00B26DE5" w:rsidRPr="00B26DE5" w:rsidRDefault="00B26DE5" w:rsidP="00B26DE5">
            <w:pPr>
              <w:spacing w:line="240" w:lineRule="auto"/>
              <w:rPr>
                <w:rFonts w:eastAsia="Times New Roman" w:cs="Arial"/>
              </w:rPr>
            </w:pPr>
            <w:r w:rsidRPr="00B26DE5">
              <w:t>Повишени стойности на чернодробните ензими, нарушена чернодробна функция или хепатит</w:t>
            </w:r>
          </w:p>
        </w:tc>
      </w:tr>
      <w:tr w:rsidR="00B26DE5" w14:paraId="6C3EFF09" w14:textId="77777777" w:rsidTr="00D10460">
        <w:tc>
          <w:tcPr>
            <w:tcW w:w="3192" w:type="dxa"/>
            <w:vAlign w:val="bottom"/>
          </w:tcPr>
          <w:p w14:paraId="15D20B60" w14:textId="66FDA9AC" w:rsidR="00B26DE5" w:rsidRPr="00B26DE5" w:rsidRDefault="00B26DE5" w:rsidP="00B26DE5">
            <w:pPr>
              <w:spacing w:line="240" w:lineRule="auto"/>
              <w:rPr>
                <w:rFonts w:eastAsia="Times New Roman" w:cs="Arial"/>
              </w:rPr>
            </w:pPr>
            <w:r w:rsidRPr="00B26DE5">
              <w:t>Нарушения на кожата и подкожната тъкан</w:t>
            </w:r>
          </w:p>
        </w:tc>
        <w:tc>
          <w:tcPr>
            <w:tcW w:w="3192" w:type="dxa"/>
            <w:vAlign w:val="bottom"/>
          </w:tcPr>
          <w:p w14:paraId="360B17C0" w14:textId="2C63282B" w:rsidR="00B26DE5" w:rsidRPr="00B26DE5" w:rsidRDefault="00B26DE5" w:rsidP="00B26DE5">
            <w:pPr>
              <w:spacing w:line="240" w:lineRule="auto"/>
              <w:rPr>
                <w:rFonts w:eastAsia="Times New Roman" w:cs="Arial"/>
              </w:rPr>
            </w:pPr>
            <w:r w:rsidRPr="00B26DE5">
              <w:t>Много редки</w:t>
            </w:r>
          </w:p>
        </w:tc>
        <w:tc>
          <w:tcPr>
            <w:tcW w:w="3192" w:type="dxa"/>
          </w:tcPr>
          <w:p w14:paraId="629AEB3A" w14:textId="7308B6AF" w:rsidR="00B26DE5" w:rsidRPr="00B26DE5" w:rsidRDefault="00B26DE5" w:rsidP="00B26DE5">
            <w:pPr>
              <w:spacing w:line="240" w:lineRule="auto"/>
              <w:rPr>
                <w:rFonts w:eastAsia="Times New Roman" w:cs="Arial"/>
              </w:rPr>
            </w:pPr>
            <w:r w:rsidRPr="00B26DE5">
              <w:t>Ангиоедем, обрив, уртикария, сърбеж</w:t>
            </w:r>
          </w:p>
        </w:tc>
      </w:tr>
      <w:tr w:rsidR="00B26DE5" w14:paraId="269B42FB" w14:textId="77777777" w:rsidTr="00D10460">
        <w:tc>
          <w:tcPr>
            <w:tcW w:w="3192" w:type="dxa"/>
            <w:vAlign w:val="bottom"/>
          </w:tcPr>
          <w:p w14:paraId="47CAFCD9" w14:textId="30555934" w:rsidR="00B26DE5" w:rsidRPr="00B26DE5" w:rsidRDefault="00B26DE5" w:rsidP="00B26DE5">
            <w:pPr>
              <w:spacing w:line="240" w:lineRule="auto"/>
              <w:rPr>
                <w:rFonts w:eastAsia="Times New Roman" w:cs="Arial"/>
              </w:rPr>
            </w:pPr>
            <w:r w:rsidRPr="00B26DE5">
              <w:t>Нарушения на мускулно- скелетната система и съединителната тъкан</w:t>
            </w:r>
          </w:p>
        </w:tc>
        <w:tc>
          <w:tcPr>
            <w:tcW w:w="3192" w:type="dxa"/>
          </w:tcPr>
          <w:p w14:paraId="5152DEFB" w14:textId="554BDCA8" w:rsidR="00B26DE5" w:rsidRPr="00B26DE5" w:rsidRDefault="00B26DE5" w:rsidP="00B26DE5">
            <w:pPr>
              <w:spacing w:line="240" w:lineRule="auto"/>
              <w:rPr>
                <w:rFonts w:eastAsia="Times New Roman" w:cs="Arial"/>
              </w:rPr>
            </w:pPr>
            <w:r w:rsidRPr="00B26DE5">
              <w:t>Много редки</w:t>
            </w:r>
          </w:p>
        </w:tc>
        <w:tc>
          <w:tcPr>
            <w:tcW w:w="3192" w:type="dxa"/>
          </w:tcPr>
          <w:p w14:paraId="73412E54" w14:textId="5A5CFEC8" w:rsidR="00B26DE5" w:rsidRPr="00B26DE5" w:rsidRDefault="00B26DE5" w:rsidP="00B26DE5">
            <w:pPr>
              <w:spacing w:line="240" w:lineRule="auto"/>
              <w:rPr>
                <w:rFonts w:eastAsia="Times New Roman" w:cs="Arial"/>
              </w:rPr>
            </w:pPr>
            <w:r w:rsidRPr="00B26DE5">
              <w:t>Болки в гьрба,артралгия, миалгия</w:t>
            </w:r>
          </w:p>
        </w:tc>
      </w:tr>
      <w:tr w:rsidR="00B26DE5" w14:paraId="799AEB26" w14:textId="77777777" w:rsidTr="00D10460">
        <w:tc>
          <w:tcPr>
            <w:tcW w:w="3192" w:type="dxa"/>
          </w:tcPr>
          <w:p w14:paraId="2D655168" w14:textId="3CA7321F" w:rsidR="00B26DE5" w:rsidRPr="00B26DE5" w:rsidRDefault="00B26DE5" w:rsidP="00B26DE5">
            <w:pPr>
              <w:spacing w:line="240" w:lineRule="auto"/>
              <w:rPr>
                <w:rFonts w:eastAsia="Times New Roman" w:cs="Arial"/>
              </w:rPr>
            </w:pPr>
            <w:r w:rsidRPr="00B26DE5">
              <w:t>Нарушения на бъбреците и пикочните пътища</w:t>
            </w:r>
          </w:p>
        </w:tc>
        <w:tc>
          <w:tcPr>
            <w:tcW w:w="3192" w:type="dxa"/>
          </w:tcPr>
          <w:p w14:paraId="22F0BB6E" w14:textId="753AA594" w:rsidR="00B26DE5" w:rsidRPr="00B26DE5" w:rsidRDefault="00B26DE5" w:rsidP="00B26DE5">
            <w:pPr>
              <w:spacing w:line="240" w:lineRule="auto"/>
              <w:rPr>
                <w:rFonts w:eastAsia="Times New Roman" w:cs="Arial"/>
              </w:rPr>
            </w:pPr>
            <w:r w:rsidRPr="00B26DE5">
              <w:t>Чести</w:t>
            </w:r>
          </w:p>
        </w:tc>
        <w:tc>
          <w:tcPr>
            <w:tcW w:w="3192" w:type="dxa"/>
            <w:vAlign w:val="bottom"/>
          </w:tcPr>
          <w:p w14:paraId="08532ABB" w14:textId="65EF0232" w:rsidR="00B26DE5" w:rsidRPr="00B26DE5" w:rsidRDefault="00B26DE5" w:rsidP="00B26DE5">
            <w:pPr>
              <w:spacing w:line="240" w:lineRule="auto"/>
              <w:rPr>
                <w:rFonts w:eastAsia="Times New Roman" w:cs="Arial"/>
              </w:rPr>
            </w:pPr>
            <w:r w:rsidRPr="00B26DE5">
              <w:t xml:space="preserve">Бъбречно увреждане, включително бъбречна недостатъчност при </w:t>
            </w:r>
            <w:r w:rsidRPr="00B26DE5">
              <w:lastRenderedPageBreak/>
              <w:t>предразположени пациенти (вж. точка 4.4)</w:t>
            </w:r>
          </w:p>
        </w:tc>
      </w:tr>
    </w:tbl>
    <w:p w14:paraId="0CDA9E22" w14:textId="1D341381" w:rsidR="00B26DE5" w:rsidRDefault="00B26DE5" w:rsidP="00B26DE5">
      <w:pPr>
        <w:spacing w:line="240" w:lineRule="auto"/>
        <w:rPr>
          <w:rFonts w:eastAsia="Times New Roman" w:cs="Arial"/>
        </w:rPr>
      </w:pPr>
    </w:p>
    <w:p w14:paraId="48BF2FDD" w14:textId="77777777" w:rsidR="00B26DE5" w:rsidRPr="00B26DE5" w:rsidRDefault="00B26DE5" w:rsidP="00B26DE5">
      <w:pPr>
        <w:spacing w:line="240" w:lineRule="auto"/>
        <w:rPr>
          <w:rFonts w:eastAsia="Times New Roman" w:cs="Arial"/>
        </w:rPr>
      </w:pPr>
      <w:r w:rsidRPr="00B26DE5">
        <w:rPr>
          <w:rFonts w:eastAsia="Times New Roman" w:cs="Arial"/>
          <w:i/>
          <w:iCs/>
          <w:color w:val="000000"/>
          <w:lang w:eastAsia="bg-BG"/>
        </w:rPr>
        <w:t>Лабораторни изследвания:</w:t>
      </w:r>
    </w:p>
    <w:p w14:paraId="2A496F07" w14:textId="77777777" w:rsidR="00B26DE5" w:rsidRDefault="00B26DE5" w:rsidP="00B26DE5">
      <w:pPr>
        <w:spacing w:line="240" w:lineRule="auto"/>
        <w:rPr>
          <w:rFonts w:eastAsia="Times New Roman" w:cs="Arial"/>
          <w:color w:val="000000"/>
          <w:lang w:eastAsia="bg-BG"/>
        </w:rPr>
      </w:pPr>
    </w:p>
    <w:p w14:paraId="699C1384" w14:textId="77D46591" w:rsidR="00B26DE5" w:rsidRPr="00B26DE5" w:rsidRDefault="00B26DE5" w:rsidP="00B26DE5">
      <w:pPr>
        <w:spacing w:line="240" w:lineRule="auto"/>
        <w:rPr>
          <w:rFonts w:eastAsia="Times New Roman" w:cs="Arial"/>
        </w:rPr>
      </w:pPr>
      <w:r w:rsidRPr="00B26DE5">
        <w:rPr>
          <w:rFonts w:eastAsia="Times New Roman" w:cs="Arial"/>
          <w:color w:val="000000"/>
          <w:lang w:eastAsia="bg-BG"/>
        </w:rPr>
        <w:t>Хиперкалиемията и бъбречното увреждане са чести при пациентите, лекувани с Карбис за показанието сърдечна недостатъчност. Препоръчва се периодично проследяване на серумния креатинин и калий (вж. точка 4.4).</w:t>
      </w:r>
    </w:p>
    <w:p w14:paraId="3CB145ED" w14:textId="77777777" w:rsidR="00B26DE5" w:rsidRDefault="00B26DE5" w:rsidP="00B26DE5">
      <w:pPr>
        <w:spacing w:line="240" w:lineRule="auto"/>
        <w:rPr>
          <w:rFonts w:eastAsia="Times New Roman" w:cs="Arial"/>
          <w:color w:val="000000"/>
          <w:u w:val="single"/>
          <w:lang w:eastAsia="bg-BG"/>
        </w:rPr>
      </w:pPr>
    </w:p>
    <w:p w14:paraId="23A58DD0" w14:textId="1261601F" w:rsidR="00B26DE5" w:rsidRPr="00B26DE5" w:rsidRDefault="00B26DE5" w:rsidP="00B26DE5">
      <w:pPr>
        <w:spacing w:line="240" w:lineRule="auto"/>
        <w:rPr>
          <w:rFonts w:eastAsia="Times New Roman" w:cs="Arial"/>
        </w:rPr>
      </w:pPr>
      <w:r w:rsidRPr="00B26DE5">
        <w:rPr>
          <w:rFonts w:eastAsia="Times New Roman" w:cs="Arial"/>
          <w:color w:val="000000"/>
          <w:u w:val="single"/>
          <w:lang w:eastAsia="bg-BG"/>
        </w:rPr>
        <w:t>Съобщаване на подозирани нежелани реакции</w:t>
      </w:r>
    </w:p>
    <w:p w14:paraId="213E3CC1" w14:textId="77777777" w:rsidR="00B26DE5" w:rsidRPr="00B26DE5" w:rsidRDefault="00B26DE5" w:rsidP="00B26DE5">
      <w:pPr>
        <w:spacing w:line="240" w:lineRule="auto"/>
        <w:rPr>
          <w:rFonts w:eastAsia="Times New Roman" w:cs="Arial"/>
        </w:rPr>
      </w:pPr>
      <w:r w:rsidRPr="00B26DE5">
        <w:rPr>
          <w:rFonts w:eastAsia="Times New Roman" w:cs="Arial"/>
          <w:color w:val="000000"/>
          <w:lang w:eastAsia="bg-BG"/>
        </w:rPr>
        <w:t>Съобщаването на подозирани нежелани реакции след разрешаване за употреба на лекарствения продукт е важно. Това позволява да продължи наблюдението на съотношението полза/риск за лекарствения продукт. От медицинските специалисти се изисква да съобщават всяка подозирана нежелана реакция чрез</w:t>
      </w:r>
    </w:p>
    <w:p w14:paraId="6BAD89EF" w14:textId="77777777" w:rsidR="00B26DE5" w:rsidRPr="00B26DE5" w:rsidRDefault="00B26DE5" w:rsidP="00B26DE5">
      <w:pPr>
        <w:spacing w:line="240" w:lineRule="auto"/>
        <w:rPr>
          <w:rFonts w:eastAsia="Times New Roman" w:cs="Arial"/>
        </w:rPr>
      </w:pPr>
      <w:r w:rsidRPr="00B26DE5">
        <w:rPr>
          <w:rFonts w:eastAsia="Times New Roman" w:cs="Arial"/>
          <w:color w:val="000000"/>
          <w:lang w:eastAsia="bg-BG"/>
        </w:rPr>
        <w:t>Изпълнителна агенция по лекарствата ул., Дамян Груев” № 8</w:t>
      </w:r>
    </w:p>
    <w:p w14:paraId="7B917D26" w14:textId="77777777" w:rsidR="00B26DE5" w:rsidRPr="00B26DE5" w:rsidRDefault="00B26DE5" w:rsidP="00B26DE5">
      <w:pPr>
        <w:spacing w:line="240" w:lineRule="auto"/>
        <w:rPr>
          <w:rFonts w:eastAsia="Times New Roman" w:cs="Arial"/>
        </w:rPr>
      </w:pPr>
      <w:r w:rsidRPr="00B26DE5">
        <w:rPr>
          <w:rFonts w:eastAsia="Times New Roman" w:cs="Arial"/>
          <w:color w:val="000000"/>
          <w:lang w:eastAsia="bg-BG"/>
        </w:rPr>
        <w:t>1303 София</w:t>
      </w:r>
    </w:p>
    <w:p w14:paraId="177B073B" w14:textId="77777777" w:rsidR="00B26DE5" w:rsidRPr="00B26DE5" w:rsidRDefault="00B26DE5" w:rsidP="00B26DE5">
      <w:pPr>
        <w:spacing w:line="240" w:lineRule="auto"/>
        <w:rPr>
          <w:rFonts w:eastAsia="Times New Roman" w:cs="Arial"/>
        </w:rPr>
      </w:pPr>
      <w:r w:rsidRPr="00B26DE5">
        <w:rPr>
          <w:rFonts w:eastAsia="Times New Roman" w:cs="Arial"/>
          <w:color w:val="000000"/>
          <w:lang w:eastAsia="bg-BG"/>
        </w:rPr>
        <w:t>Тел.:+35 928903417</w:t>
      </w:r>
    </w:p>
    <w:p w14:paraId="65D10F9D" w14:textId="77777777" w:rsidR="00B26DE5" w:rsidRPr="00B26DE5" w:rsidRDefault="00B26DE5" w:rsidP="00B26DE5">
      <w:pPr>
        <w:spacing w:line="240" w:lineRule="auto"/>
        <w:rPr>
          <w:rFonts w:eastAsia="Times New Roman" w:cs="Arial"/>
        </w:rPr>
      </w:pPr>
      <w:r w:rsidRPr="00B26DE5">
        <w:rPr>
          <w:rFonts w:eastAsia="Times New Roman" w:cs="Arial"/>
          <w:color w:val="000000"/>
          <w:lang w:eastAsia="bg-BG"/>
        </w:rPr>
        <w:t xml:space="preserve">уебсайт: </w:t>
      </w:r>
      <w:r w:rsidRPr="00B26DE5">
        <w:rPr>
          <w:rFonts w:eastAsia="Times New Roman" w:cs="Arial"/>
        </w:rPr>
        <w:fldChar w:fldCharType="begin"/>
      </w:r>
      <w:r w:rsidRPr="00B26DE5">
        <w:rPr>
          <w:rFonts w:eastAsia="Times New Roman" w:cs="Arial"/>
        </w:rPr>
        <w:instrText xml:space="preserve"> HYPERLINK "http://www.bda.bg" </w:instrText>
      </w:r>
      <w:r w:rsidRPr="00B26DE5">
        <w:rPr>
          <w:rFonts w:eastAsia="Times New Roman" w:cs="Arial"/>
        </w:rPr>
      </w:r>
      <w:r w:rsidRPr="00B26DE5">
        <w:rPr>
          <w:rFonts w:eastAsia="Times New Roman" w:cs="Arial"/>
        </w:rPr>
        <w:fldChar w:fldCharType="separate"/>
      </w:r>
      <w:r w:rsidRPr="00B26DE5">
        <w:rPr>
          <w:rFonts w:eastAsia="Times New Roman" w:cs="Arial"/>
          <w:color w:val="000000"/>
          <w:lang w:val="en-US"/>
        </w:rPr>
        <w:t>www</w:t>
      </w:r>
      <w:r w:rsidRPr="00B26DE5">
        <w:rPr>
          <w:rFonts w:eastAsia="Times New Roman" w:cs="Arial"/>
          <w:color w:val="000000"/>
          <w:lang w:val="ru-RU"/>
        </w:rPr>
        <w:t>.</w:t>
      </w:r>
      <w:proofErr w:type="spellStart"/>
      <w:r w:rsidRPr="00B26DE5">
        <w:rPr>
          <w:rFonts w:eastAsia="Times New Roman" w:cs="Arial"/>
          <w:color w:val="000000"/>
          <w:lang w:val="en-US"/>
        </w:rPr>
        <w:t>bda</w:t>
      </w:r>
      <w:proofErr w:type="spellEnd"/>
      <w:r w:rsidRPr="00B26DE5">
        <w:rPr>
          <w:rFonts w:eastAsia="Times New Roman" w:cs="Arial"/>
          <w:color w:val="000000"/>
          <w:lang w:val="ru-RU"/>
        </w:rPr>
        <w:t>.</w:t>
      </w:r>
      <w:proofErr w:type="spellStart"/>
      <w:r w:rsidRPr="00B26DE5">
        <w:rPr>
          <w:rFonts w:eastAsia="Times New Roman" w:cs="Arial"/>
          <w:color w:val="000000"/>
          <w:lang w:val="en-US"/>
        </w:rPr>
        <w:t>bg</w:t>
      </w:r>
      <w:proofErr w:type="spellEnd"/>
      <w:r w:rsidRPr="00B26DE5">
        <w:rPr>
          <w:rFonts w:eastAsia="Times New Roman" w:cs="Arial"/>
        </w:rPr>
        <w:fldChar w:fldCharType="end"/>
      </w:r>
    </w:p>
    <w:p w14:paraId="71DCFF72" w14:textId="77777777" w:rsidR="00B26DE5" w:rsidRPr="00B26DE5" w:rsidRDefault="00B26DE5" w:rsidP="00B26DE5">
      <w:pPr>
        <w:spacing w:line="240" w:lineRule="auto"/>
        <w:rPr>
          <w:rFonts w:eastAsia="Times New Roman" w:cs="Arial"/>
        </w:rPr>
      </w:pPr>
    </w:p>
    <w:p w14:paraId="10A76493" w14:textId="77777777" w:rsidR="00B26DE5" w:rsidRPr="00B26DE5" w:rsidRDefault="00B26DE5" w:rsidP="00B26DE5"/>
    <w:p w14:paraId="5A87DBA3" w14:textId="5E35230D" w:rsidR="007122AD" w:rsidRDefault="002C50EE" w:rsidP="00936AD0">
      <w:pPr>
        <w:pStyle w:val="Heading2"/>
      </w:pPr>
      <w:r>
        <w:t>4.9. Предозиране</w:t>
      </w:r>
    </w:p>
    <w:p w14:paraId="378E9CD0" w14:textId="7522B166" w:rsidR="00B26DE5" w:rsidRDefault="00B26DE5" w:rsidP="00B26DE5"/>
    <w:p w14:paraId="3EDA9EFB" w14:textId="77777777" w:rsidR="00B26DE5" w:rsidRPr="00B26DE5" w:rsidRDefault="00B26DE5" w:rsidP="00B26DE5">
      <w:pPr>
        <w:pStyle w:val="Heading3"/>
        <w:rPr>
          <w:rFonts w:eastAsia="Times New Roman"/>
          <w:u w:val="single"/>
        </w:rPr>
      </w:pPr>
      <w:r w:rsidRPr="00B26DE5">
        <w:rPr>
          <w:rFonts w:eastAsia="Times New Roman"/>
          <w:u w:val="single"/>
          <w:lang w:eastAsia="bg-BG"/>
        </w:rPr>
        <w:t>Симптоми</w:t>
      </w:r>
    </w:p>
    <w:p w14:paraId="6665A807" w14:textId="77777777" w:rsidR="00B26DE5" w:rsidRDefault="00B26DE5" w:rsidP="00B26DE5">
      <w:pPr>
        <w:spacing w:line="240" w:lineRule="auto"/>
        <w:rPr>
          <w:rFonts w:eastAsia="Times New Roman" w:cs="Arial"/>
          <w:color w:val="000000"/>
          <w:lang w:eastAsia="bg-BG"/>
        </w:rPr>
      </w:pPr>
    </w:p>
    <w:p w14:paraId="6411DA9F" w14:textId="4CFECF5B" w:rsidR="00B26DE5" w:rsidRPr="00B26DE5" w:rsidRDefault="00B26DE5" w:rsidP="00B26DE5">
      <w:pPr>
        <w:spacing w:line="240" w:lineRule="auto"/>
        <w:rPr>
          <w:rFonts w:eastAsia="Times New Roman" w:cs="Arial"/>
        </w:rPr>
      </w:pPr>
      <w:r w:rsidRPr="00B26DE5">
        <w:rPr>
          <w:rFonts w:eastAsia="Times New Roman" w:cs="Arial"/>
          <w:color w:val="000000"/>
          <w:lang w:eastAsia="bg-BG"/>
        </w:rPr>
        <w:t xml:space="preserve">Въз основа на фармакологични съображения, се счита, че най-вероятно основната проява на предозиране ще бъде симптоматична хипотония и замайване. При отделните съобщения за предозиране (с до 672 </w:t>
      </w:r>
      <w:r w:rsidRPr="00B26DE5">
        <w:rPr>
          <w:rFonts w:eastAsia="Times New Roman" w:cs="Arial"/>
          <w:color w:val="000000"/>
          <w:lang w:val="en-US"/>
        </w:rPr>
        <w:t>mg</w:t>
      </w:r>
      <w:r w:rsidRPr="00B26DE5">
        <w:rPr>
          <w:rFonts w:eastAsia="Times New Roman" w:cs="Arial"/>
          <w:color w:val="000000"/>
          <w:lang w:val="ru-RU"/>
        </w:rPr>
        <w:t xml:space="preserve"> </w:t>
      </w:r>
      <w:r w:rsidRPr="00B26DE5">
        <w:rPr>
          <w:rFonts w:eastAsia="Times New Roman" w:cs="Arial"/>
          <w:color w:val="000000"/>
          <w:lang w:eastAsia="bg-BG"/>
        </w:rPr>
        <w:t>кандесартан цилексетил) пациентите са се възстановили без проблеми.</w:t>
      </w:r>
    </w:p>
    <w:p w14:paraId="4F2EAF10" w14:textId="77777777" w:rsidR="00B26DE5" w:rsidRDefault="00B26DE5" w:rsidP="00B26DE5">
      <w:pPr>
        <w:spacing w:line="240" w:lineRule="auto"/>
        <w:rPr>
          <w:rFonts w:eastAsia="Times New Roman" w:cs="Arial"/>
          <w:color w:val="000000"/>
          <w:u w:val="single"/>
          <w:lang w:eastAsia="bg-BG"/>
        </w:rPr>
      </w:pPr>
    </w:p>
    <w:p w14:paraId="1BFD04FE" w14:textId="6932713A" w:rsidR="00B26DE5" w:rsidRPr="00B26DE5" w:rsidRDefault="00B26DE5" w:rsidP="00B26DE5">
      <w:pPr>
        <w:pStyle w:val="Heading3"/>
        <w:rPr>
          <w:rFonts w:eastAsia="Times New Roman"/>
          <w:u w:val="single"/>
        </w:rPr>
      </w:pPr>
      <w:r w:rsidRPr="00B26DE5">
        <w:rPr>
          <w:rFonts w:eastAsia="Times New Roman"/>
          <w:u w:val="single"/>
          <w:lang w:eastAsia="bg-BG"/>
        </w:rPr>
        <w:t>Лечение</w:t>
      </w:r>
    </w:p>
    <w:p w14:paraId="54B54815" w14:textId="77777777" w:rsidR="00B26DE5" w:rsidRPr="00B26DE5" w:rsidRDefault="00B26DE5" w:rsidP="00B26DE5">
      <w:pPr>
        <w:spacing w:line="240" w:lineRule="auto"/>
        <w:rPr>
          <w:rFonts w:eastAsia="Times New Roman" w:cs="Arial"/>
        </w:rPr>
      </w:pPr>
    </w:p>
    <w:p w14:paraId="4EFC8E17" w14:textId="79534F34" w:rsidR="00B26DE5" w:rsidRPr="00B26DE5" w:rsidRDefault="00B26DE5" w:rsidP="00B26DE5">
      <w:pPr>
        <w:rPr>
          <w:rFonts w:cs="Arial"/>
          <w:lang w:val="en-US"/>
        </w:rPr>
      </w:pPr>
      <w:r w:rsidRPr="00B26DE5">
        <w:rPr>
          <w:rFonts w:eastAsia="Times New Roman" w:cs="Arial"/>
          <w:color w:val="000000"/>
          <w:lang w:eastAsia="bg-BG"/>
        </w:rPr>
        <w:t>Ако се появи симптоматична хипотензия, трябва да се започне симптоматична лечение и да се проследяват виталните показатели. Пациентът трябва да се сложи в легнало положение с</w:t>
      </w:r>
      <w:r w:rsidRPr="00B26DE5">
        <w:rPr>
          <w:rFonts w:eastAsia="Times New Roman" w:cs="Arial"/>
          <w:color w:val="000000"/>
          <w:lang w:val="ru-RU" w:eastAsia="bg-BG"/>
        </w:rPr>
        <w:t xml:space="preserve"> </w:t>
      </w:r>
      <w:r w:rsidRPr="00B26DE5">
        <w:rPr>
          <w:rFonts w:cs="Arial"/>
        </w:rPr>
        <w:t>повдигнати крака. Ако това не е достатъчно, трябва да се увеличи плазмения обем чрез инфузия, например на изотоничен физиологичен разтвор. Може да се приложат симпатомиметични лекарства, ако гореспоменатите мерки не са достатъчни. Кандесартан не се отстранява чрез хемодиализа.</w:t>
      </w:r>
    </w:p>
    <w:p w14:paraId="02081B24" w14:textId="1F46E296" w:rsidR="00395555" w:rsidRPr="00395555" w:rsidRDefault="002C50EE" w:rsidP="008A6AF2">
      <w:pPr>
        <w:pStyle w:val="Heading1"/>
      </w:pPr>
      <w:r>
        <w:t>5. ФАРМАКОЛОГИЧНИ СВОЙСТВА</w:t>
      </w:r>
    </w:p>
    <w:p w14:paraId="7DE36AC8" w14:textId="190F43C3" w:rsidR="00B6672E" w:rsidRDefault="002C50EE" w:rsidP="00936AD0">
      <w:pPr>
        <w:pStyle w:val="Heading2"/>
      </w:pPr>
      <w:r>
        <w:t>5.1. Фармакодинамични свойства</w:t>
      </w:r>
    </w:p>
    <w:p w14:paraId="79A7458F" w14:textId="21248838" w:rsidR="00DA6AE5" w:rsidRDefault="00DA6AE5" w:rsidP="00DA6AE5"/>
    <w:p w14:paraId="620E6897" w14:textId="77777777" w:rsidR="00DA6AE5" w:rsidRPr="00DA6AE5" w:rsidRDefault="00DA6AE5" w:rsidP="00DA6AE5">
      <w:pPr>
        <w:spacing w:line="240" w:lineRule="auto"/>
        <w:rPr>
          <w:rFonts w:eastAsia="Times New Roman" w:cs="Arial"/>
        </w:rPr>
      </w:pPr>
      <w:r w:rsidRPr="00DA6AE5">
        <w:rPr>
          <w:rFonts w:eastAsia="Times New Roman" w:cs="Arial"/>
          <w:color w:val="000000"/>
          <w:lang w:eastAsia="bg-BG"/>
        </w:rPr>
        <w:t>Фармакотерапевтична група: Антагонисти на ангиотензин II (кандесартан), АТС код С09СА06.</w:t>
      </w:r>
    </w:p>
    <w:p w14:paraId="0C1F4E2E" w14:textId="77777777" w:rsidR="00DA6AE5" w:rsidRDefault="00DA6AE5" w:rsidP="00DA6AE5">
      <w:pPr>
        <w:spacing w:line="240" w:lineRule="auto"/>
        <w:rPr>
          <w:rFonts w:eastAsia="Times New Roman" w:cs="Arial"/>
          <w:color w:val="000000"/>
          <w:u w:val="single"/>
          <w:lang w:eastAsia="bg-BG"/>
        </w:rPr>
      </w:pPr>
    </w:p>
    <w:p w14:paraId="5DCF5A98" w14:textId="0013A14A" w:rsidR="00DA6AE5" w:rsidRPr="00DA6AE5" w:rsidRDefault="00DA6AE5" w:rsidP="00DA6AE5">
      <w:pPr>
        <w:spacing w:line="240" w:lineRule="auto"/>
        <w:rPr>
          <w:rFonts w:eastAsia="Times New Roman" w:cs="Arial"/>
        </w:rPr>
      </w:pPr>
      <w:r w:rsidRPr="00DA6AE5">
        <w:rPr>
          <w:rFonts w:eastAsia="Times New Roman" w:cs="Arial"/>
          <w:color w:val="000000"/>
          <w:u w:val="single"/>
          <w:lang w:eastAsia="bg-BG"/>
        </w:rPr>
        <w:t>Механизъм на действие</w:t>
      </w:r>
    </w:p>
    <w:p w14:paraId="2EBE31D1" w14:textId="77777777" w:rsidR="00DA6AE5" w:rsidRDefault="00DA6AE5" w:rsidP="00DA6AE5">
      <w:pPr>
        <w:spacing w:line="240" w:lineRule="auto"/>
        <w:rPr>
          <w:rFonts w:eastAsia="Times New Roman" w:cs="Arial"/>
          <w:color w:val="000000"/>
          <w:lang w:eastAsia="bg-BG"/>
        </w:rPr>
      </w:pPr>
    </w:p>
    <w:p w14:paraId="76D36F14" w14:textId="2806FA54" w:rsidR="00DA6AE5" w:rsidRPr="00DA6AE5" w:rsidRDefault="00DA6AE5" w:rsidP="00DA6AE5">
      <w:pPr>
        <w:spacing w:line="240" w:lineRule="auto"/>
        <w:rPr>
          <w:rFonts w:eastAsia="Times New Roman" w:cs="Arial"/>
        </w:rPr>
      </w:pPr>
      <w:r w:rsidRPr="00DA6AE5">
        <w:rPr>
          <w:rFonts w:eastAsia="Times New Roman" w:cs="Arial"/>
          <w:color w:val="000000"/>
          <w:lang w:eastAsia="bg-BG"/>
        </w:rPr>
        <w:t xml:space="preserve">Ангиотензин II е предимно вазоактивен хормон от ренин-ангиотензин-алдостероновата система и играе важна роля в патофизиологията на хипертонията, сърдечната </w:t>
      </w:r>
      <w:r w:rsidRPr="00DA6AE5">
        <w:rPr>
          <w:rFonts w:eastAsia="Times New Roman" w:cs="Arial"/>
          <w:color w:val="000000"/>
          <w:lang w:eastAsia="bg-BG"/>
        </w:rPr>
        <w:lastRenderedPageBreak/>
        <w:t xml:space="preserve">недостатъчност и други сърдечно-съдови нарушения. Той играе важна роля и в патогенезата на органното увреждане. Основните физиологични ефекти на ангиотензин II като вазоконстрикция, стимулиране на алдостерона, регулиране на солевата и водната хомеостаза и стимулиране на клетъчния растеж се медиират чрез рецептор от типа 1 </w:t>
      </w:r>
      <w:r w:rsidRPr="00DA6AE5">
        <w:rPr>
          <w:rFonts w:eastAsia="Times New Roman" w:cs="Arial"/>
          <w:color w:val="000000"/>
          <w:lang w:val="ru-RU"/>
        </w:rPr>
        <w:t>(</w:t>
      </w:r>
      <w:r w:rsidRPr="00DA6AE5">
        <w:rPr>
          <w:rFonts w:eastAsia="Times New Roman" w:cs="Arial"/>
          <w:color w:val="000000"/>
          <w:lang w:val="en-US"/>
        </w:rPr>
        <w:t>AT</w:t>
      </w:r>
      <w:r w:rsidRPr="00DA6AE5">
        <w:rPr>
          <w:rFonts w:eastAsia="Times New Roman" w:cs="Arial"/>
          <w:color w:val="000000"/>
          <w:vertAlign w:val="subscript"/>
          <w:lang w:val="ru-RU"/>
        </w:rPr>
        <w:t>1</w:t>
      </w:r>
      <w:r w:rsidRPr="00DA6AE5">
        <w:rPr>
          <w:rFonts w:eastAsia="Times New Roman" w:cs="Arial"/>
          <w:color w:val="000000"/>
          <w:lang w:val="ru-RU"/>
        </w:rPr>
        <w:t>).</w:t>
      </w:r>
    </w:p>
    <w:p w14:paraId="31E04DFE" w14:textId="77777777" w:rsidR="00DA6AE5" w:rsidRDefault="00DA6AE5" w:rsidP="00DA6AE5">
      <w:pPr>
        <w:spacing w:line="240" w:lineRule="auto"/>
        <w:rPr>
          <w:rFonts w:eastAsia="Times New Roman" w:cs="Arial"/>
          <w:color w:val="000000"/>
          <w:u w:val="single"/>
          <w:lang w:eastAsia="bg-BG"/>
        </w:rPr>
      </w:pPr>
    </w:p>
    <w:p w14:paraId="285947C1" w14:textId="5189E342" w:rsidR="00DA6AE5" w:rsidRPr="00DA6AE5" w:rsidRDefault="00DA6AE5" w:rsidP="00DA6AE5">
      <w:pPr>
        <w:spacing w:line="240" w:lineRule="auto"/>
        <w:rPr>
          <w:rFonts w:eastAsia="Times New Roman" w:cs="Arial"/>
        </w:rPr>
      </w:pPr>
      <w:r w:rsidRPr="00DA6AE5">
        <w:rPr>
          <w:rFonts w:eastAsia="Times New Roman" w:cs="Arial"/>
          <w:color w:val="000000"/>
          <w:u w:val="single"/>
          <w:lang w:eastAsia="bg-BG"/>
        </w:rPr>
        <w:t>Фармакодинамични ефекти</w:t>
      </w:r>
    </w:p>
    <w:p w14:paraId="3F364D3C" w14:textId="77777777" w:rsidR="00DA6AE5" w:rsidRDefault="00DA6AE5" w:rsidP="00DA6AE5">
      <w:pPr>
        <w:spacing w:line="240" w:lineRule="auto"/>
        <w:rPr>
          <w:rFonts w:eastAsia="Times New Roman" w:cs="Arial"/>
          <w:color w:val="000000"/>
          <w:lang w:eastAsia="bg-BG"/>
        </w:rPr>
      </w:pPr>
    </w:p>
    <w:p w14:paraId="042289C3" w14:textId="051CDC26" w:rsidR="00DA6AE5" w:rsidRPr="00DA6AE5" w:rsidRDefault="00DA6AE5" w:rsidP="00DA6AE5">
      <w:pPr>
        <w:spacing w:line="240" w:lineRule="auto"/>
        <w:rPr>
          <w:rFonts w:eastAsia="Times New Roman" w:cs="Arial"/>
        </w:rPr>
      </w:pPr>
      <w:r w:rsidRPr="00DA6AE5">
        <w:rPr>
          <w:rFonts w:eastAsia="Times New Roman" w:cs="Arial"/>
          <w:color w:val="000000"/>
          <w:lang w:eastAsia="bg-BG"/>
        </w:rPr>
        <w:t>Кандесартан цилексетил е прекурсор, подходящ за перорално приложение. Чрез естерна хидролиза по време на резорбцията в стомашно-чревния тракт той бързо се превръща в активното лекарство кандесартан. Кандесартан е А</w:t>
      </w:r>
      <w:r w:rsidRPr="00DA6AE5">
        <w:rPr>
          <w:rFonts w:eastAsia="Times New Roman" w:cs="Arial"/>
          <w:color w:val="000000"/>
          <w:lang w:val="en-US"/>
        </w:rPr>
        <w:t>II</w:t>
      </w:r>
      <w:r w:rsidRPr="00DA6AE5">
        <w:rPr>
          <w:rFonts w:eastAsia="Times New Roman" w:cs="Arial"/>
          <w:color w:val="000000"/>
          <w:lang w:eastAsia="bg-BG"/>
        </w:rPr>
        <w:t xml:space="preserve">РА, селективен за </w:t>
      </w:r>
      <w:r w:rsidRPr="00DA6AE5">
        <w:rPr>
          <w:rFonts w:eastAsia="Times New Roman" w:cs="Arial"/>
          <w:color w:val="000000"/>
          <w:lang w:val="en-US"/>
        </w:rPr>
        <w:t>AT</w:t>
      </w:r>
      <w:r w:rsidRPr="00DA6AE5">
        <w:rPr>
          <w:rFonts w:eastAsia="Times New Roman" w:cs="Arial"/>
          <w:color w:val="000000"/>
          <w:vertAlign w:val="subscript"/>
          <w:lang w:val="ru-RU"/>
        </w:rPr>
        <w:t>1</w:t>
      </w:r>
      <w:r w:rsidRPr="00DA6AE5">
        <w:rPr>
          <w:rFonts w:eastAsia="Times New Roman" w:cs="Arial"/>
          <w:color w:val="000000"/>
          <w:lang w:val="ru-RU"/>
        </w:rPr>
        <w:t xml:space="preserve"> </w:t>
      </w:r>
      <w:r w:rsidRPr="00DA6AE5">
        <w:rPr>
          <w:rFonts w:eastAsia="Times New Roman" w:cs="Arial"/>
          <w:color w:val="000000"/>
          <w:lang w:eastAsia="bg-BG"/>
        </w:rPr>
        <w:t>рецепторите, който се свързва здраво с рецептора и се дисоциира бавно. Той няма агонистично действие.</w:t>
      </w:r>
    </w:p>
    <w:p w14:paraId="5B5A304F" w14:textId="77777777" w:rsidR="00DA6AE5" w:rsidRDefault="00DA6AE5" w:rsidP="00DA6AE5">
      <w:pPr>
        <w:spacing w:line="240" w:lineRule="auto"/>
        <w:rPr>
          <w:rFonts w:eastAsia="Times New Roman" w:cs="Arial"/>
          <w:color w:val="000000"/>
          <w:lang w:eastAsia="bg-BG"/>
        </w:rPr>
      </w:pPr>
    </w:p>
    <w:p w14:paraId="3C0BBEBA" w14:textId="213DCFD0" w:rsidR="00DA6AE5" w:rsidRPr="00DA6AE5" w:rsidRDefault="00DA6AE5" w:rsidP="00DA6AE5">
      <w:pPr>
        <w:spacing w:line="240" w:lineRule="auto"/>
        <w:rPr>
          <w:rFonts w:eastAsia="Times New Roman" w:cs="Arial"/>
        </w:rPr>
      </w:pPr>
      <w:r w:rsidRPr="00DA6AE5">
        <w:rPr>
          <w:rFonts w:eastAsia="Times New Roman" w:cs="Arial"/>
          <w:color w:val="000000"/>
          <w:lang w:eastAsia="bg-BG"/>
        </w:rPr>
        <w:t>Кандесартан не инхибира ангиотензин-конвертиращия ензим, който превръща ангиотензин I в ангиотензин II и разгражда брадикинина. Няма ефект върху АСЕ и не се потенцира брадикинина или субстанция Р. При контролирани клинични изпитвания, сравняващи кандесартан с АСЕ инхибитори, честотата на кашлицата е била по-ниска при пациентите, получавали кандесартан цилексетил. Кандесартан не се свързва и не блокира други хормонални рецептори или йонни канали, за които се знае, че имат значение за регулирането на сърдечно</w:t>
      </w:r>
      <w:r w:rsidRPr="00DA6AE5">
        <w:rPr>
          <w:rFonts w:eastAsia="Times New Roman" w:cs="Arial"/>
          <w:color w:val="000000"/>
          <w:lang w:eastAsia="bg-BG"/>
        </w:rPr>
        <w:softHyphen/>
        <w:t xml:space="preserve">съдовата дейност. Антагонизмът на ангиотензин 11 </w:t>
      </w:r>
      <w:r w:rsidRPr="00DA6AE5">
        <w:rPr>
          <w:rFonts w:eastAsia="Times New Roman" w:cs="Arial"/>
          <w:color w:val="000000"/>
          <w:lang w:val="ru-RU"/>
        </w:rPr>
        <w:t>(</w:t>
      </w:r>
      <w:r w:rsidRPr="00DA6AE5">
        <w:rPr>
          <w:rFonts w:eastAsia="Times New Roman" w:cs="Arial"/>
          <w:color w:val="000000"/>
          <w:lang w:val="en-US"/>
        </w:rPr>
        <w:t>AT</w:t>
      </w:r>
      <w:r w:rsidRPr="00DA6AE5">
        <w:rPr>
          <w:rFonts w:eastAsia="Times New Roman" w:cs="Arial"/>
          <w:color w:val="000000"/>
          <w:vertAlign w:val="subscript"/>
          <w:lang w:val="ru-RU"/>
        </w:rPr>
        <w:t>1</w:t>
      </w:r>
      <w:r w:rsidRPr="00DA6AE5">
        <w:rPr>
          <w:rFonts w:eastAsia="Times New Roman" w:cs="Arial"/>
          <w:color w:val="000000"/>
          <w:lang w:val="ru-RU"/>
        </w:rPr>
        <w:t xml:space="preserve">) </w:t>
      </w:r>
      <w:r w:rsidRPr="00DA6AE5">
        <w:rPr>
          <w:rFonts w:eastAsia="Times New Roman" w:cs="Arial"/>
          <w:color w:val="000000"/>
          <w:lang w:eastAsia="bg-BG"/>
        </w:rPr>
        <w:t>рецепторите води до свързано с дозата повишение на нивата на плазмения ренин, нивата на ангиотензин I и ангиотензин II и до понижение на плазмените концентрации на алдостерона.</w:t>
      </w:r>
    </w:p>
    <w:p w14:paraId="3D73348E" w14:textId="77777777" w:rsidR="00DA6AE5" w:rsidRDefault="00DA6AE5" w:rsidP="00DA6AE5">
      <w:pPr>
        <w:spacing w:line="240" w:lineRule="auto"/>
        <w:rPr>
          <w:rFonts w:eastAsia="Times New Roman" w:cs="Arial"/>
          <w:color w:val="000000"/>
          <w:u w:val="single"/>
          <w:lang w:eastAsia="bg-BG"/>
        </w:rPr>
      </w:pPr>
    </w:p>
    <w:p w14:paraId="29A0CAF3" w14:textId="2DFC270F" w:rsidR="00DA6AE5" w:rsidRPr="00DA6AE5" w:rsidRDefault="00DA6AE5" w:rsidP="00DA6AE5">
      <w:pPr>
        <w:spacing w:line="240" w:lineRule="auto"/>
        <w:rPr>
          <w:rFonts w:eastAsia="Times New Roman" w:cs="Arial"/>
        </w:rPr>
      </w:pPr>
      <w:r w:rsidRPr="00DA6AE5">
        <w:rPr>
          <w:rFonts w:eastAsia="Times New Roman" w:cs="Arial"/>
          <w:color w:val="000000"/>
          <w:u w:val="single"/>
          <w:lang w:eastAsia="bg-BG"/>
        </w:rPr>
        <w:t>Клинична ефикасност и безопасност</w:t>
      </w:r>
    </w:p>
    <w:p w14:paraId="1E32EFF0" w14:textId="77777777" w:rsidR="00DA6AE5" w:rsidRDefault="00DA6AE5" w:rsidP="00DA6AE5">
      <w:pPr>
        <w:spacing w:line="240" w:lineRule="auto"/>
        <w:rPr>
          <w:rFonts w:eastAsia="Times New Roman" w:cs="Arial"/>
          <w:color w:val="000000"/>
          <w:u w:val="single"/>
          <w:lang w:eastAsia="bg-BG"/>
        </w:rPr>
      </w:pPr>
    </w:p>
    <w:p w14:paraId="18969CE7" w14:textId="07B3F7B8" w:rsidR="00DA6AE5" w:rsidRPr="00DA6AE5" w:rsidRDefault="00DA6AE5" w:rsidP="00DA6AE5">
      <w:pPr>
        <w:spacing w:line="240" w:lineRule="auto"/>
        <w:rPr>
          <w:rFonts w:eastAsia="Times New Roman" w:cs="Arial"/>
        </w:rPr>
      </w:pPr>
      <w:r w:rsidRPr="00DA6AE5">
        <w:rPr>
          <w:rFonts w:eastAsia="Times New Roman" w:cs="Arial"/>
          <w:color w:val="000000"/>
          <w:u w:val="single"/>
          <w:lang w:eastAsia="bg-BG"/>
        </w:rPr>
        <w:t>Хипертония</w:t>
      </w:r>
    </w:p>
    <w:p w14:paraId="5A38299F" w14:textId="77777777" w:rsidR="00DA6AE5" w:rsidRDefault="00DA6AE5" w:rsidP="00DA6AE5">
      <w:pPr>
        <w:spacing w:line="240" w:lineRule="auto"/>
        <w:rPr>
          <w:rFonts w:eastAsia="Times New Roman" w:cs="Arial"/>
          <w:color w:val="000000"/>
          <w:lang w:eastAsia="bg-BG"/>
        </w:rPr>
      </w:pPr>
    </w:p>
    <w:p w14:paraId="650E0E7A" w14:textId="232B9677" w:rsidR="00DA6AE5" w:rsidRPr="00DA6AE5" w:rsidRDefault="00DA6AE5" w:rsidP="00DA6AE5">
      <w:pPr>
        <w:spacing w:line="240" w:lineRule="auto"/>
        <w:rPr>
          <w:rFonts w:eastAsia="Times New Roman" w:cs="Arial"/>
        </w:rPr>
      </w:pPr>
      <w:r w:rsidRPr="00DA6AE5">
        <w:rPr>
          <w:rFonts w:eastAsia="Times New Roman" w:cs="Arial"/>
          <w:color w:val="000000"/>
          <w:lang w:eastAsia="bg-BG"/>
        </w:rPr>
        <w:t xml:space="preserve">При хипертония кандесартан причинява дозо-зависимо, продължително намаление на артериалното налягане. Антихипертензивното действие се дължи на намаленото системно периферно съпротивление, без рефлекторно учестяване на сърдечната дейност. Няма признаци за сериозна или прекомерна хипотензия след първата доза или </w:t>
      </w:r>
      <w:r w:rsidRPr="00DA6AE5">
        <w:rPr>
          <w:rFonts w:eastAsia="Times New Roman" w:cs="Arial"/>
          <w:color w:val="000000"/>
          <w:lang w:val="ru-RU"/>
        </w:rPr>
        <w:t>"</w:t>
      </w:r>
      <w:r w:rsidRPr="00DA6AE5">
        <w:rPr>
          <w:rFonts w:eastAsia="Times New Roman" w:cs="Arial"/>
          <w:color w:val="000000"/>
          <w:lang w:val="en-US"/>
        </w:rPr>
        <w:t>rebound</w:t>
      </w:r>
      <w:r w:rsidRPr="00DA6AE5">
        <w:rPr>
          <w:rFonts w:eastAsia="Times New Roman" w:cs="Arial"/>
          <w:color w:val="000000"/>
          <w:lang w:val="ru-RU"/>
        </w:rPr>
        <w:t xml:space="preserve">” </w:t>
      </w:r>
      <w:r w:rsidRPr="00DA6AE5">
        <w:rPr>
          <w:rFonts w:eastAsia="Times New Roman" w:cs="Arial"/>
          <w:color w:val="000000"/>
          <w:lang w:eastAsia="bg-BG"/>
        </w:rPr>
        <w:t>ефект след преустановяване на лечението.</w:t>
      </w:r>
    </w:p>
    <w:p w14:paraId="4EFD3309" w14:textId="77777777" w:rsidR="00DA6AE5" w:rsidRDefault="00DA6AE5" w:rsidP="00DA6AE5">
      <w:pPr>
        <w:spacing w:line="240" w:lineRule="auto"/>
        <w:rPr>
          <w:rFonts w:eastAsia="Times New Roman" w:cs="Arial"/>
          <w:color w:val="000000"/>
          <w:lang w:eastAsia="bg-BG"/>
        </w:rPr>
      </w:pPr>
    </w:p>
    <w:p w14:paraId="44E4C890" w14:textId="77777777" w:rsidR="00DA6AE5" w:rsidRPr="00DA6AE5" w:rsidRDefault="00DA6AE5" w:rsidP="00DA6AE5">
      <w:pPr>
        <w:rPr>
          <w:rFonts w:eastAsia="Times New Roman" w:cs="Arial"/>
        </w:rPr>
      </w:pPr>
      <w:r w:rsidRPr="00DA6AE5">
        <w:rPr>
          <w:rFonts w:eastAsia="Times New Roman" w:cs="Arial"/>
          <w:color w:val="000000"/>
          <w:lang w:eastAsia="bg-BG"/>
        </w:rPr>
        <w:t xml:space="preserve">След прилагане на еднократна доза на кандесартан цилексетил, началото на антихипертензивния ефект обикновено настъпва до 2 часа. При продължително лечение максимално намаление на артериалното всяка доза обикновено се постига до четири седмици и се поддържа по време на продължително лечение. Според един мета-анализ, средният допълнителен ефект на увеличаване на дозата от 16 </w:t>
      </w:r>
      <w:r w:rsidRPr="00DA6AE5">
        <w:rPr>
          <w:rFonts w:eastAsia="Times New Roman" w:cs="Arial"/>
          <w:color w:val="000000"/>
          <w:lang w:val="en-US"/>
        </w:rPr>
        <w:t>mg</w:t>
      </w:r>
      <w:r w:rsidRPr="00DA6AE5">
        <w:rPr>
          <w:rFonts w:eastAsia="Times New Roman" w:cs="Arial"/>
          <w:color w:val="000000"/>
          <w:lang w:val="ru-RU"/>
        </w:rPr>
        <w:t xml:space="preserve"> </w:t>
      </w:r>
      <w:r w:rsidRPr="00DA6AE5">
        <w:rPr>
          <w:rFonts w:eastAsia="Times New Roman" w:cs="Arial"/>
          <w:color w:val="000000"/>
          <w:lang w:eastAsia="bg-BG"/>
        </w:rPr>
        <w:t xml:space="preserve">до 32 </w:t>
      </w:r>
      <w:r w:rsidRPr="00DA6AE5">
        <w:rPr>
          <w:rFonts w:eastAsia="Times New Roman" w:cs="Arial"/>
          <w:color w:val="000000"/>
          <w:lang w:val="en-US"/>
        </w:rPr>
        <w:t>mg</w:t>
      </w:r>
      <w:r w:rsidRPr="00DA6AE5">
        <w:rPr>
          <w:rFonts w:eastAsia="Times New Roman" w:cs="Arial"/>
          <w:color w:val="000000"/>
          <w:lang w:val="ru-RU"/>
        </w:rPr>
        <w:t xml:space="preserve"> </w:t>
      </w:r>
      <w:r w:rsidRPr="00DA6AE5">
        <w:rPr>
          <w:rFonts w:eastAsia="Times New Roman" w:cs="Arial"/>
          <w:color w:val="000000"/>
          <w:lang w:eastAsia="bg-BG"/>
        </w:rPr>
        <w:t>веднъж дневно е малък. Като се има предвид интериндивидуалната вариабилност, при някои пациенти може да очкава ефект над средния. Приложението на кандесартан цилексетил веднъж дневно осигурява ефективно и плавно намаление на артериалното налягане по време на 24-часови интервал на</w:t>
      </w:r>
      <w:r w:rsidRPr="00DA6AE5">
        <w:rPr>
          <w:rFonts w:eastAsia="Times New Roman" w:cs="Arial"/>
          <w:color w:val="000000"/>
          <w:lang w:val="ru-RU" w:eastAsia="bg-BG"/>
        </w:rPr>
        <w:t xml:space="preserve"> </w:t>
      </w:r>
      <w:r w:rsidRPr="00DA6AE5">
        <w:rPr>
          <w:rFonts w:eastAsia="Times New Roman" w:cs="Arial"/>
          <w:color w:val="000000"/>
          <w:lang w:eastAsia="bg-BG"/>
        </w:rPr>
        <w:t xml:space="preserve">дозиране, с малка разлика между максималния и минималния ефект. Антихипертензивният ефект и поносимостта на кандесартан и лозартан са сравнявани при две рандомизирани, двойно-слепи проучвания върху общо 1268 пациенти с умерена хипертония. Минималното намаление на артериалното налягане (систолично/диастолично) е било 13,1/10,5 </w:t>
      </w:r>
      <w:r w:rsidRPr="00DA6AE5">
        <w:rPr>
          <w:rFonts w:eastAsia="Times New Roman" w:cs="Arial"/>
          <w:color w:val="000000"/>
          <w:lang w:val="en-US"/>
        </w:rPr>
        <w:t>mmHg</w:t>
      </w:r>
      <w:r w:rsidRPr="00DA6AE5">
        <w:rPr>
          <w:rFonts w:eastAsia="Times New Roman" w:cs="Arial"/>
          <w:color w:val="000000"/>
          <w:lang w:val="ru-RU"/>
        </w:rPr>
        <w:t xml:space="preserve"> </w:t>
      </w:r>
      <w:r w:rsidRPr="00DA6AE5">
        <w:rPr>
          <w:rFonts w:eastAsia="Times New Roman" w:cs="Arial"/>
          <w:color w:val="000000"/>
          <w:lang w:eastAsia="bg-BG"/>
        </w:rPr>
        <w:t xml:space="preserve">с кандесартан цилексетил 32 </w:t>
      </w:r>
      <w:r w:rsidRPr="00DA6AE5">
        <w:rPr>
          <w:rFonts w:eastAsia="Times New Roman" w:cs="Arial"/>
          <w:color w:val="000000"/>
          <w:lang w:val="en-US"/>
        </w:rPr>
        <w:t>mg</w:t>
      </w:r>
      <w:r w:rsidRPr="00DA6AE5">
        <w:rPr>
          <w:rFonts w:eastAsia="Times New Roman" w:cs="Arial"/>
          <w:color w:val="000000"/>
          <w:lang w:val="ru-RU"/>
        </w:rPr>
        <w:t xml:space="preserve"> </w:t>
      </w:r>
      <w:r w:rsidRPr="00DA6AE5">
        <w:rPr>
          <w:rFonts w:eastAsia="Times New Roman" w:cs="Arial"/>
          <w:color w:val="000000"/>
          <w:lang w:eastAsia="bg-BG"/>
        </w:rPr>
        <w:t xml:space="preserve">веднъж дневно и 10,0 /8,7 </w:t>
      </w:r>
      <w:r w:rsidRPr="00DA6AE5">
        <w:rPr>
          <w:rFonts w:eastAsia="Times New Roman" w:cs="Arial"/>
          <w:color w:val="000000"/>
          <w:lang w:val="en-US"/>
        </w:rPr>
        <w:t>mmHg</w:t>
      </w:r>
      <w:r w:rsidRPr="00DA6AE5">
        <w:rPr>
          <w:rFonts w:eastAsia="Times New Roman" w:cs="Arial"/>
          <w:color w:val="000000"/>
          <w:lang w:val="ru-RU"/>
        </w:rPr>
        <w:t xml:space="preserve"> </w:t>
      </w:r>
      <w:r w:rsidRPr="00DA6AE5">
        <w:rPr>
          <w:rFonts w:eastAsia="Times New Roman" w:cs="Arial"/>
          <w:color w:val="000000"/>
          <w:lang w:eastAsia="bg-BG"/>
        </w:rPr>
        <w:t xml:space="preserve">с лозартан калий 100 </w:t>
      </w:r>
      <w:r w:rsidRPr="00DA6AE5">
        <w:rPr>
          <w:rFonts w:eastAsia="Times New Roman" w:cs="Arial"/>
          <w:color w:val="000000"/>
          <w:lang w:val="en-US"/>
        </w:rPr>
        <w:t>mg</w:t>
      </w:r>
      <w:r w:rsidRPr="00DA6AE5">
        <w:rPr>
          <w:rFonts w:eastAsia="Times New Roman" w:cs="Arial"/>
          <w:color w:val="000000"/>
          <w:lang w:val="ru-RU"/>
        </w:rPr>
        <w:t xml:space="preserve"> </w:t>
      </w:r>
      <w:r w:rsidRPr="00DA6AE5">
        <w:rPr>
          <w:rFonts w:eastAsia="Times New Roman" w:cs="Arial"/>
          <w:color w:val="000000"/>
          <w:lang w:eastAsia="bg-BG"/>
        </w:rPr>
        <w:t xml:space="preserve">веднъж дневно (разлика в намалението на артериалното налягане 3,1/1,8 </w:t>
      </w:r>
      <w:r w:rsidRPr="00DA6AE5">
        <w:rPr>
          <w:rFonts w:eastAsia="Times New Roman" w:cs="Arial"/>
          <w:color w:val="000000"/>
          <w:lang w:val="en-US"/>
        </w:rPr>
        <w:t>mmHg</w:t>
      </w:r>
      <w:r w:rsidRPr="00DA6AE5">
        <w:rPr>
          <w:rFonts w:eastAsia="Times New Roman" w:cs="Arial"/>
          <w:color w:val="000000"/>
          <w:lang w:val="ru-RU"/>
        </w:rPr>
        <w:t xml:space="preserve">, </w:t>
      </w:r>
      <w:r w:rsidRPr="00DA6AE5">
        <w:rPr>
          <w:rFonts w:eastAsia="Times New Roman" w:cs="Arial"/>
          <w:color w:val="000000"/>
          <w:lang w:eastAsia="bg-BG"/>
        </w:rPr>
        <w:t>р&lt;0,0001/р&lt;0,0001).</w:t>
      </w:r>
    </w:p>
    <w:p w14:paraId="424B4EF0" w14:textId="77777777" w:rsidR="00DA6AE5" w:rsidRDefault="00DA6AE5" w:rsidP="00DA6AE5">
      <w:pPr>
        <w:spacing w:line="240" w:lineRule="auto"/>
        <w:rPr>
          <w:rFonts w:eastAsia="Times New Roman" w:cs="Arial"/>
          <w:color w:val="000000"/>
          <w:lang w:eastAsia="bg-BG"/>
        </w:rPr>
      </w:pPr>
    </w:p>
    <w:p w14:paraId="17EF176E" w14:textId="7488E1CC" w:rsidR="00DA6AE5" w:rsidRPr="00DA6AE5" w:rsidRDefault="00DA6AE5" w:rsidP="00DA6AE5">
      <w:pPr>
        <w:spacing w:line="240" w:lineRule="auto"/>
        <w:rPr>
          <w:rFonts w:eastAsia="Times New Roman" w:cs="Arial"/>
        </w:rPr>
      </w:pPr>
      <w:r w:rsidRPr="00DA6AE5">
        <w:rPr>
          <w:rFonts w:eastAsia="Times New Roman" w:cs="Arial"/>
          <w:color w:val="000000"/>
          <w:lang w:eastAsia="bg-BG"/>
        </w:rPr>
        <w:t>Когато кандесартан цилексетил се прилага заедно с хидрохлоротиазид, намалението на артериалното налягане е адитивно. Повишен антихипертензивен ефект се наблюдава, когато кандесартан цилексетил се комбинира с амлодипин или фелодипин</w:t>
      </w:r>
    </w:p>
    <w:p w14:paraId="042DAA93" w14:textId="77777777" w:rsidR="00DA6AE5" w:rsidRDefault="00DA6AE5" w:rsidP="00DA6AE5">
      <w:pPr>
        <w:spacing w:line="240" w:lineRule="auto"/>
        <w:rPr>
          <w:rFonts w:eastAsia="Times New Roman" w:cs="Arial"/>
          <w:color w:val="000000"/>
          <w:lang w:eastAsia="bg-BG"/>
        </w:rPr>
      </w:pPr>
    </w:p>
    <w:p w14:paraId="4A6285A4" w14:textId="629B8AEE" w:rsidR="00DA6AE5" w:rsidRPr="00DA6AE5" w:rsidRDefault="00DA6AE5" w:rsidP="00DA6AE5">
      <w:pPr>
        <w:spacing w:line="240" w:lineRule="auto"/>
        <w:rPr>
          <w:rFonts w:eastAsia="Times New Roman" w:cs="Arial"/>
        </w:rPr>
      </w:pPr>
      <w:r w:rsidRPr="00DA6AE5">
        <w:rPr>
          <w:rFonts w:eastAsia="Times New Roman" w:cs="Arial"/>
          <w:color w:val="000000"/>
          <w:lang w:eastAsia="bg-BG"/>
        </w:rPr>
        <w:t xml:space="preserve">Лекарствени продукти, които блокират ренин-ангиотензин-алдостероновата система, имат по- слабо изразен антихипертензивен ефект при чернокожи пациенти (тази популация обикновено е с ниско ниво на ренин) в сравнение с нечернокожи пациенти. Това се отнася също и за кандесартан. В едно отворено клинично изпитване при 5 156 пациенти с диастолична хипертония намалението на артериалното налягане по време на лечение с кандесартан е било значимо по-малко при чернокожи в сравнение с нечернокожи (14,4/10,3 </w:t>
      </w:r>
      <w:r w:rsidRPr="00DA6AE5">
        <w:rPr>
          <w:rFonts w:eastAsia="Times New Roman" w:cs="Arial"/>
          <w:color w:val="000000"/>
          <w:lang w:val="en-US"/>
        </w:rPr>
        <w:t>mmHg</w:t>
      </w:r>
      <w:r w:rsidRPr="00DA6AE5">
        <w:rPr>
          <w:rFonts w:eastAsia="Times New Roman" w:cs="Arial"/>
          <w:color w:val="000000"/>
          <w:lang w:val="ru-RU"/>
        </w:rPr>
        <w:t xml:space="preserve"> </w:t>
      </w:r>
      <w:r w:rsidRPr="00DA6AE5">
        <w:rPr>
          <w:rFonts w:eastAsia="Times New Roman" w:cs="Arial"/>
          <w:color w:val="000000"/>
          <w:lang w:eastAsia="bg-BG"/>
        </w:rPr>
        <w:t xml:space="preserve">срещу 19,0/12,7 </w:t>
      </w:r>
      <w:r w:rsidRPr="00DA6AE5">
        <w:rPr>
          <w:rFonts w:eastAsia="Times New Roman" w:cs="Arial"/>
          <w:color w:val="000000"/>
          <w:lang w:val="en-US"/>
        </w:rPr>
        <w:t>mmHg</w:t>
      </w:r>
      <w:r w:rsidRPr="00DA6AE5">
        <w:rPr>
          <w:rFonts w:eastAsia="Times New Roman" w:cs="Arial"/>
          <w:color w:val="000000"/>
          <w:lang w:val="ru-RU"/>
        </w:rPr>
        <w:t xml:space="preserve">, </w:t>
      </w:r>
      <w:r w:rsidRPr="00DA6AE5">
        <w:rPr>
          <w:rFonts w:eastAsia="Times New Roman" w:cs="Arial"/>
          <w:color w:val="000000"/>
          <w:lang w:eastAsia="bg-BG"/>
        </w:rPr>
        <w:t>р&lt;0,0001/р&lt;0,0001).</w:t>
      </w:r>
    </w:p>
    <w:p w14:paraId="11D990FA" w14:textId="77777777" w:rsidR="00DA6AE5" w:rsidRDefault="00DA6AE5" w:rsidP="00DA6AE5">
      <w:pPr>
        <w:spacing w:line="240" w:lineRule="auto"/>
        <w:rPr>
          <w:rFonts w:eastAsia="Times New Roman" w:cs="Arial"/>
          <w:color w:val="000000"/>
          <w:lang w:eastAsia="bg-BG"/>
        </w:rPr>
      </w:pPr>
    </w:p>
    <w:p w14:paraId="40ADC4A3" w14:textId="5E202288" w:rsidR="00DA6AE5" w:rsidRPr="00DA6AE5" w:rsidRDefault="00DA6AE5" w:rsidP="00DA6AE5">
      <w:pPr>
        <w:spacing w:line="240" w:lineRule="auto"/>
        <w:rPr>
          <w:rFonts w:eastAsia="Times New Roman" w:cs="Arial"/>
        </w:rPr>
      </w:pPr>
      <w:r w:rsidRPr="00DA6AE5">
        <w:rPr>
          <w:rFonts w:eastAsia="Times New Roman" w:cs="Arial"/>
          <w:color w:val="000000"/>
          <w:lang w:eastAsia="bg-BG"/>
        </w:rPr>
        <w:t xml:space="preserve">Кандесартан засилва бъбречния кръвоток и или няма ефект, или увеличава степента на гломерулна филтрация, като бъбречната съдова резистентност и филтрационната фракция се намаляват. В едно 3-месечно клинично изпитване при хипертензивни пациенти със захарен диабет тип 2 и микроалбуминурия, антихипертензивното лечение с кандесартан цилексетил е намалило екскрецията на албумин с урината (съотношение албумин/креатинин средно 30%, 95% </w:t>
      </w:r>
      <w:r w:rsidRPr="00DA6AE5">
        <w:rPr>
          <w:rFonts w:eastAsia="Times New Roman" w:cs="Arial"/>
          <w:color w:val="000000"/>
          <w:lang w:val="en-US"/>
        </w:rPr>
        <w:t>CI</w:t>
      </w:r>
      <w:r w:rsidRPr="00DA6AE5">
        <w:rPr>
          <w:rFonts w:eastAsia="Times New Roman" w:cs="Arial"/>
          <w:color w:val="000000"/>
          <w:lang w:val="ru-RU"/>
        </w:rPr>
        <w:t xml:space="preserve"> </w:t>
      </w:r>
      <w:r w:rsidRPr="00DA6AE5">
        <w:rPr>
          <w:rFonts w:eastAsia="Times New Roman" w:cs="Arial"/>
          <w:color w:val="000000"/>
          <w:lang w:eastAsia="bg-BG"/>
        </w:rPr>
        <w:t>15-42%). Понастоящем няма данни за ефекта на кандесартан върху прогресирането на диабетната нефропатия.</w:t>
      </w:r>
    </w:p>
    <w:p w14:paraId="73938C19" w14:textId="77777777" w:rsidR="00DA6AE5" w:rsidRDefault="00DA6AE5" w:rsidP="00DA6AE5">
      <w:pPr>
        <w:spacing w:line="240" w:lineRule="auto"/>
        <w:rPr>
          <w:rFonts w:eastAsia="Times New Roman" w:cs="Arial"/>
          <w:color w:val="000000"/>
          <w:lang w:eastAsia="bg-BG"/>
        </w:rPr>
      </w:pPr>
    </w:p>
    <w:p w14:paraId="655D75CF" w14:textId="66F58245" w:rsidR="00DA6AE5" w:rsidRPr="00DA6AE5" w:rsidRDefault="00DA6AE5" w:rsidP="00DA6AE5">
      <w:pPr>
        <w:spacing w:line="240" w:lineRule="auto"/>
        <w:rPr>
          <w:rFonts w:eastAsia="Times New Roman" w:cs="Arial"/>
        </w:rPr>
      </w:pPr>
      <w:r w:rsidRPr="00DA6AE5">
        <w:rPr>
          <w:rFonts w:eastAsia="Times New Roman" w:cs="Arial"/>
          <w:color w:val="000000"/>
          <w:lang w:eastAsia="bg-BG"/>
        </w:rPr>
        <w:t xml:space="preserve">Ефектите на кандесартан цилексетил 8-16 </w:t>
      </w:r>
      <w:r w:rsidRPr="00DA6AE5">
        <w:rPr>
          <w:rFonts w:eastAsia="Times New Roman" w:cs="Arial"/>
          <w:color w:val="000000"/>
          <w:lang w:val="en-US"/>
        </w:rPr>
        <w:t>mg</w:t>
      </w:r>
      <w:r w:rsidRPr="00DA6AE5">
        <w:rPr>
          <w:rFonts w:eastAsia="Times New Roman" w:cs="Arial"/>
          <w:color w:val="000000"/>
        </w:rPr>
        <w:t xml:space="preserve"> </w:t>
      </w:r>
      <w:r w:rsidRPr="00DA6AE5">
        <w:rPr>
          <w:rFonts w:eastAsia="Times New Roman" w:cs="Arial"/>
          <w:color w:val="000000"/>
          <w:lang w:eastAsia="bg-BG"/>
        </w:rPr>
        <w:t xml:space="preserve">(средна доза 12 </w:t>
      </w:r>
      <w:r w:rsidRPr="00DA6AE5">
        <w:rPr>
          <w:rFonts w:eastAsia="Times New Roman" w:cs="Arial"/>
          <w:color w:val="000000"/>
          <w:lang w:val="en-US"/>
        </w:rPr>
        <w:t>mg</w:t>
      </w:r>
      <w:r w:rsidRPr="00DA6AE5">
        <w:rPr>
          <w:rFonts w:eastAsia="Times New Roman" w:cs="Arial"/>
          <w:color w:val="000000"/>
        </w:rPr>
        <w:t xml:space="preserve">), </w:t>
      </w:r>
      <w:r w:rsidRPr="00DA6AE5">
        <w:rPr>
          <w:rFonts w:eastAsia="Times New Roman" w:cs="Arial"/>
          <w:color w:val="000000"/>
          <w:lang w:eastAsia="bg-BG"/>
        </w:rPr>
        <w:t xml:space="preserve">веднъж дневно, върху сърдечно-съдовата заболеваемост и смъртност са оценявани при едно рандомизирано клинично изпитване върху 4937 пациенти в напреднала възраст (на възраст 70-89 години; 21% на възраст 80 или по-възрастни) с лека до умерена хипертония, проследявани средно 3,7 години </w:t>
      </w:r>
      <w:r w:rsidRPr="00DA6AE5">
        <w:rPr>
          <w:rFonts w:eastAsia="Times New Roman" w:cs="Arial"/>
          <w:color w:val="000000"/>
        </w:rPr>
        <w:t>(</w:t>
      </w:r>
      <w:r w:rsidRPr="00DA6AE5">
        <w:rPr>
          <w:rFonts w:eastAsia="Times New Roman" w:cs="Arial"/>
          <w:color w:val="000000"/>
          <w:lang w:val="en-US"/>
        </w:rPr>
        <w:t>Study</w:t>
      </w:r>
      <w:r w:rsidRPr="00DA6AE5">
        <w:rPr>
          <w:rFonts w:eastAsia="Times New Roman" w:cs="Arial"/>
          <w:color w:val="000000"/>
        </w:rPr>
        <w:t xml:space="preserve"> </w:t>
      </w:r>
      <w:r w:rsidRPr="00DA6AE5">
        <w:rPr>
          <w:rFonts w:eastAsia="Times New Roman" w:cs="Arial"/>
          <w:color w:val="000000"/>
          <w:lang w:val="en-US"/>
        </w:rPr>
        <w:t>on</w:t>
      </w:r>
      <w:r w:rsidRPr="00DA6AE5">
        <w:rPr>
          <w:rFonts w:eastAsia="Times New Roman" w:cs="Arial"/>
          <w:color w:val="000000"/>
        </w:rPr>
        <w:t xml:space="preserve"> </w:t>
      </w:r>
      <w:proofErr w:type="spellStart"/>
      <w:r w:rsidRPr="00DA6AE5">
        <w:rPr>
          <w:rFonts w:eastAsia="Times New Roman" w:cs="Arial"/>
          <w:color w:val="000000"/>
          <w:lang w:val="en-US"/>
        </w:rPr>
        <w:t>COgnition</w:t>
      </w:r>
      <w:proofErr w:type="spellEnd"/>
      <w:r w:rsidRPr="00DA6AE5">
        <w:rPr>
          <w:rFonts w:eastAsia="Times New Roman" w:cs="Arial"/>
          <w:color w:val="000000"/>
        </w:rPr>
        <w:t xml:space="preserve"> </w:t>
      </w:r>
      <w:r w:rsidRPr="00DA6AE5">
        <w:rPr>
          <w:rFonts w:eastAsia="Times New Roman" w:cs="Arial"/>
          <w:color w:val="000000"/>
          <w:lang w:val="en-US"/>
        </w:rPr>
        <w:t>and</w:t>
      </w:r>
      <w:r w:rsidRPr="00DA6AE5">
        <w:rPr>
          <w:rFonts w:eastAsia="Times New Roman" w:cs="Arial"/>
          <w:color w:val="000000"/>
        </w:rPr>
        <w:t xml:space="preserve"> </w:t>
      </w:r>
      <w:r w:rsidRPr="00DA6AE5">
        <w:rPr>
          <w:rFonts w:eastAsia="Times New Roman" w:cs="Arial"/>
          <w:color w:val="000000"/>
          <w:lang w:val="en-US"/>
        </w:rPr>
        <w:t>Prognosis</w:t>
      </w:r>
      <w:r w:rsidRPr="00DA6AE5">
        <w:rPr>
          <w:rFonts w:eastAsia="Times New Roman" w:cs="Arial"/>
          <w:color w:val="000000"/>
        </w:rPr>
        <w:t xml:space="preserve"> </w:t>
      </w:r>
      <w:r w:rsidRPr="00DA6AE5">
        <w:rPr>
          <w:rFonts w:eastAsia="Times New Roman" w:cs="Arial"/>
          <w:color w:val="000000"/>
          <w:lang w:val="en-US"/>
        </w:rPr>
        <w:t>in</w:t>
      </w:r>
      <w:r w:rsidRPr="00DA6AE5">
        <w:rPr>
          <w:rFonts w:eastAsia="Times New Roman" w:cs="Arial"/>
          <w:color w:val="000000"/>
        </w:rPr>
        <w:t xml:space="preserve"> </w:t>
      </w:r>
      <w:r w:rsidRPr="00DA6AE5">
        <w:rPr>
          <w:rFonts w:eastAsia="Times New Roman" w:cs="Arial"/>
          <w:color w:val="000000"/>
          <w:lang w:val="en-US"/>
        </w:rPr>
        <w:t>the</w:t>
      </w:r>
      <w:r w:rsidRPr="00DA6AE5">
        <w:rPr>
          <w:rFonts w:eastAsia="Times New Roman" w:cs="Arial"/>
          <w:color w:val="000000"/>
        </w:rPr>
        <w:t xml:space="preserve"> </w:t>
      </w:r>
      <w:r w:rsidRPr="00DA6AE5">
        <w:rPr>
          <w:rFonts w:eastAsia="Times New Roman" w:cs="Arial"/>
          <w:color w:val="000000"/>
          <w:lang w:val="en-US"/>
        </w:rPr>
        <w:t>Elderly</w:t>
      </w:r>
      <w:r w:rsidRPr="00DA6AE5">
        <w:rPr>
          <w:rFonts w:eastAsia="Times New Roman" w:cs="Arial"/>
          <w:color w:val="000000"/>
        </w:rPr>
        <w:t xml:space="preserve">). </w:t>
      </w:r>
      <w:r w:rsidRPr="00DA6AE5">
        <w:rPr>
          <w:rFonts w:eastAsia="Times New Roman" w:cs="Arial"/>
          <w:color w:val="000000"/>
          <w:lang w:eastAsia="bg-BG"/>
        </w:rPr>
        <w:t xml:space="preserve">Пациентите са получавали кандесартан цилексетил или плацебо с добавяне на друго антихипертензивно лечение според нуждите. Артериалното налягане е намалено от 166/90 на 145/80 </w:t>
      </w:r>
      <w:r w:rsidRPr="00DA6AE5">
        <w:rPr>
          <w:rFonts w:eastAsia="Times New Roman" w:cs="Arial"/>
          <w:color w:val="000000"/>
          <w:lang w:val="en-US"/>
        </w:rPr>
        <w:t>mmHg</w:t>
      </w:r>
      <w:r w:rsidRPr="00DA6AE5">
        <w:rPr>
          <w:rFonts w:eastAsia="Times New Roman" w:cs="Arial"/>
          <w:color w:val="000000"/>
          <w:lang w:val="ru-RU"/>
        </w:rPr>
        <w:t xml:space="preserve"> </w:t>
      </w:r>
      <w:r w:rsidRPr="00DA6AE5">
        <w:rPr>
          <w:rFonts w:eastAsia="Times New Roman" w:cs="Arial"/>
          <w:color w:val="000000"/>
          <w:lang w:eastAsia="bg-BG"/>
        </w:rPr>
        <w:t>в групата с кандесартан и от 167/90 на 1</w:t>
      </w:r>
      <w:r w:rsidRPr="00DA6AE5">
        <w:rPr>
          <w:rFonts w:eastAsia="Times New Roman" w:cs="Arial"/>
          <w:color w:val="000000"/>
          <w:lang w:val="ru-RU"/>
        </w:rPr>
        <w:t>49/82</w:t>
      </w:r>
      <w:r w:rsidRPr="00DA6AE5">
        <w:rPr>
          <w:rFonts w:eastAsia="Times New Roman" w:cs="Arial"/>
          <w:color w:val="000000"/>
          <w:lang w:val="en-US"/>
        </w:rPr>
        <w:t>mmHg</w:t>
      </w:r>
      <w:r w:rsidRPr="00DA6AE5">
        <w:rPr>
          <w:rFonts w:eastAsia="Times New Roman" w:cs="Arial"/>
          <w:color w:val="000000"/>
          <w:lang w:val="ru-RU"/>
        </w:rPr>
        <w:t xml:space="preserve"> </w:t>
      </w:r>
      <w:r w:rsidRPr="00DA6AE5">
        <w:rPr>
          <w:rFonts w:eastAsia="Times New Roman" w:cs="Arial"/>
          <w:color w:val="000000"/>
          <w:lang w:eastAsia="bg-BG"/>
        </w:rPr>
        <w:t xml:space="preserve">в контролната група. Няма статистически значима разлика в първичната крайна точка, големите сърдечносъдови събития (сърдечно-съдова смъртност, нефатален инсулт и нефатален миокарден инфаркт). Наблюдавани са 26,7 събития на 1000 пациенто-години в групата с кандесартан срещу 30,0 събития на 1000 пациенто-години в контролната група (относителен риск 0,89,95% </w:t>
      </w:r>
      <w:r w:rsidRPr="00DA6AE5">
        <w:rPr>
          <w:rFonts w:eastAsia="Times New Roman" w:cs="Arial"/>
          <w:color w:val="000000"/>
          <w:lang w:val="en-US"/>
        </w:rPr>
        <w:t>CI</w:t>
      </w:r>
      <w:r w:rsidRPr="00DA6AE5">
        <w:rPr>
          <w:rFonts w:eastAsia="Times New Roman" w:cs="Arial"/>
          <w:color w:val="000000"/>
          <w:lang w:val="ru-RU"/>
        </w:rPr>
        <w:t xml:space="preserve"> </w:t>
      </w:r>
      <w:r w:rsidRPr="00DA6AE5">
        <w:rPr>
          <w:rFonts w:eastAsia="Times New Roman" w:cs="Arial"/>
          <w:color w:val="000000"/>
          <w:lang w:eastAsia="bg-BG"/>
        </w:rPr>
        <w:t>0,75 до 1,06, р=0,19).</w:t>
      </w:r>
    </w:p>
    <w:p w14:paraId="097202AC" w14:textId="77777777" w:rsidR="00DA6AE5" w:rsidRDefault="00DA6AE5" w:rsidP="00DA6AE5">
      <w:pPr>
        <w:spacing w:line="240" w:lineRule="auto"/>
        <w:rPr>
          <w:rFonts w:eastAsia="Times New Roman" w:cs="Arial"/>
          <w:i/>
          <w:iCs/>
          <w:color w:val="000000"/>
          <w:lang w:eastAsia="bg-BG"/>
        </w:rPr>
      </w:pPr>
    </w:p>
    <w:p w14:paraId="4D7D62CF" w14:textId="7E727EA9" w:rsidR="00DA6AE5" w:rsidRPr="00DA6AE5" w:rsidRDefault="00DA6AE5" w:rsidP="00DA6AE5">
      <w:pPr>
        <w:spacing w:line="240" w:lineRule="auto"/>
        <w:rPr>
          <w:rFonts w:eastAsia="Times New Roman" w:cs="Arial"/>
        </w:rPr>
      </w:pPr>
      <w:r w:rsidRPr="00DA6AE5">
        <w:rPr>
          <w:rFonts w:eastAsia="Times New Roman" w:cs="Arial"/>
          <w:i/>
          <w:iCs/>
          <w:color w:val="000000"/>
          <w:lang w:eastAsia="bg-BG"/>
        </w:rPr>
        <w:t>Педиатрична популация - хипертония</w:t>
      </w:r>
    </w:p>
    <w:p w14:paraId="5E448C85" w14:textId="77777777" w:rsidR="00DA6AE5" w:rsidRPr="00DA6AE5" w:rsidRDefault="00DA6AE5" w:rsidP="00DA6AE5">
      <w:pPr>
        <w:spacing w:line="240" w:lineRule="auto"/>
        <w:rPr>
          <w:rFonts w:eastAsia="Times New Roman" w:cs="Arial"/>
        </w:rPr>
      </w:pPr>
      <w:r w:rsidRPr="00DA6AE5">
        <w:rPr>
          <w:rFonts w:eastAsia="Times New Roman" w:cs="Arial"/>
          <w:color w:val="000000"/>
          <w:lang w:eastAsia="bg-BG"/>
        </w:rPr>
        <w:t>Антихипертензивните ефекти на кандесартан са оценени при деца с артериална хипертония на възраст от 1 до &lt; 6 години и от 6 до &lt; 17 години в две рандомизирани, двойно-слепи, многоцентрови, 4-седмични проучвания за определяне на дозовия обхват.</w:t>
      </w:r>
    </w:p>
    <w:p w14:paraId="434FE855" w14:textId="77777777" w:rsidR="00DA6AE5" w:rsidRDefault="00DA6AE5" w:rsidP="00DA6AE5">
      <w:pPr>
        <w:spacing w:line="240" w:lineRule="auto"/>
        <w:rPr>
          <w:rFonts w:eastAsia="Times New Roman" w:cs="Arial"/>
          <w:color w:val="000000"/>
          <w:lang w:eastAsia="bg-BG"/>
        </w:rPr>
      </w:pPr>
    </w:p>
    <w:p w14:paraId="674E3FE0" w14:textId="75DD3BE6" w:rsidR="00DA6AE5" w:rsidRPr="00DA6AE5" w:rsidRDefault="00DA6AE5" w:rsidP="00DA6AE5">
      <w:pPr>
        <w:spacing w:line="240" w:lineRule="auto"/>
        <w:rPr>
          <w:rFonts w:eastAsia="Times New Roman" w:cs="Arial"/>
          <w:lang w:val="ru-RU"/>
        </w:rPr>
      </w:pPr>
      <w:r w:rsidRPr="00DA6AE5">
        <w:rPr>
          <w:rFonts w:eastAsia="Times New Roman" w:cs="Arial"/>
          <w:color w:val="000000"/>
          <w:lang w:eastAsia="bg-BG"/>
        </w:rPr>
        <w:t xml:space="preserve">При деца на възраст от 1 до &lt; 6 години, 93 пациента, 74% от които са с бъбречно заболяване, са рандомизирани да получават през устата суспензия кандесартан цилексетил 0,05; 0,20 или 0,40 </w:t>
      </w:r>
      <w:r w:rsidRPr="00DA6AE5">
        <w:rPr>
          <w:rFonts w:eastAsia="Times New Roman" w:cs="Arial"/>
          <w:color w:val="000000"/>
          <w:lang w:val="en-US"/>
        </w:rPr>
        <w:t>mg</w:t>
      </w:r>
      <w:r w:rsidRPr="00DA6AE5">
        <w:rPr>
          <w:rFonts w:eastAsia="Times New Roman" w:cs="Arial"/>
          <w:color w:val="000000"/>
          <w:lang w:val="ru-RU"/>
        </w:rPr>
        <w:t>/</w:t>
      </w:r>
      <w:r w:rsidRPr="00DA6AE5">
        <w:rPr>
          <w:rFonts w:eastAsia="Times New Roman" w:cs="Arial"/>
          <w:color w:val="000000"/>
          <w:lang w:val="en-US"/>
        </w:rPr>
        <w:t>kg</w:t>
      </w:r>
      <w:r w:rsidRPr="00DA6AE5">
        <w:rPr>
          <w:rFonts w:eastAsia="Times New Roman" w:cs="Arial"/>
          <w:color w:val="000000"/>
          <w:lang w:val="ru-RU"/>
        </w:rPr>
        <w:t xml:space="preserve"> </w:t>
      </w:r>
      <w:r w:rsidRPr="00DA6AE5">
        <w:rPr>
          <w:rFonts w:eastAsia="Times New Roman" w:cs="Arial"/>
          <w:color w:val="000000"/>
          <w:lang w:eastAsia="bg-BG"/>
        </w:rPr>
        <w:t xml:space="preserve">веднъж дневно. Основният метод за анализ е въз основа на наклона на кривата на зависимостта на сиситолното артериално налягане (САН) от дозата. За трите дозировки на кандесартан цилексетил САН и диастоличното артериално налягане (ДАН) показват понижаване с 6,0/5,2 до 12,0/11,1 </w:t>
      </w:r>
      <w:r w:rsidRPr="00DA6AE5">
        <w:rPr>
          <w:rFonts w:eastAsia="Times New Roman" w:cs="Arial"/>
          <w:color w:val="000000"/>
          <w:lang w:val="en-US"/>
        </w:rPr>
        <w:t>mmHg</w:t>
      </w:r>
      <w:r w:rsidRPr="00DA6AE5">
        <w:rPr>
          <w:rFonts w:eastAsia="Times New Roman" w:cs="Arial"/>
          <w:color w:val="000000"/>
          <w:lang w:val="ru-RU"/>
        </w:rPr>
        <w:t xml:space="preserve"> </w:t>
      </w:r>
      <w:r w:rsidRPr="00DA6AE5">
        <w:rPr>
          <w:rFonts w:eastAsia="Times New Roman" w:cs="Arial"/>
          <w:color w:val="000000"/>
          <w:lang w:eastAsia="bg-BG"/>
        </w:rPr>
        <w:t>в сравнение с изходните стойности. Все пак понеже липсва група на плацебо, действителната величина на ефекта върху артериалното налягане остава несигурна, което прави трудна заключителната оценка на съотношението полза/риск в тази възрастова група.</w:t>
      </w:r>
    </w:p>
    <w:p w14:paraId="118A9D32" w14:textId="6B90CF6E" w:rsidR="00DA6AE5" w:rsidRDefault="00DA6AE5" w:rsidP="00DA6AE5"/>
    <w:p w14:paraId="577DA1BC" w14:textId="77777777" w:rsidR="00DA6AE5" w:rsidRPr="00DA6AE5" w:rsidRDefault="00DA6AE5" w:rsidP="00DA6AE5">
      <w:pPr>
        <w:spacing w:line="240" w:lineRule="auto"/>
        <w:rPr>
          <w:rFonts w:eastAsia="Times New Roman" w:cs="Arial"/>
        </w:rPr>
      </w:pPr>
      <w:r w:rsidRPr="00DA6AE5">
        <w:rPr>
          <w:rFonts w:eastAsia="Times New Roman" w:cs="Arial"/>
          <w:color w:val="000000"/>
          <w:lang w:eastAsia="bg-BG"/>
        </w:rPr>
        <w:lastRenderedPageBreak/>
        <w:t xml:space="preserve">При деца на възраст от 6 до &lt; 17 години, 240 пациенти са рандомизирани в съотношение 1:2:2:2, за да получават плацебо, ниска, средна или висока доза кандесартан цилексетил. При деца с тегло &lt; 50 </w:t>
      </w:r>
      <w:r w:rsidRPr="00DA6AE5">
        <w:rPr>
          <w:rFonts w:eastAsia="Times New Roman" w:cs="Arial"/>
          <w:color w:val="000000"/>
          <w:lang w:val="en-US"/>
        </w:rPr>
        <w:t>kg</w:t>
      </w:r>
      <w:r w:rsidRPr="00DA6AE5">
        <w:rPr>
          <w:rFonts w:eastAsia="Times New Roman" w:cs="Arial"/>
          <w:color w:val="000000"/>
          <w:lang w:val="ru-RU"/>
        </w:rPr>
        <w:t xml:space="preserve">, </w:t>
      </w:r>
      <w:r w:rsidRPr="00DA6AE5">
        <w:rPr>
          <w:rFonts w:eastAsia="Times New Roman" w:cs="Arial"/>
          <w:color w:val="000000"/>
          <w:lang w:eastAsia="bg-BG"/>
        </w:rPr>
        <w:t xml:space="preserve">дозировките на кандесартан цилексетил са 2, 8 или 16 </w:t>
      </w:r>
      <w:r w:rsidRPr="00DA6AE5">
        <w:rPr>
          <w:rFonts w:eastAsia="Times New Roman" w:cs="Arial"/>
          <w:color w:val="000000"/>
          <w:lang w:val="en-US"/>
        </w:rPr>
        <w:t>mg</w:t>
      </w:r>
      <w:r w:rsidRPr="00DA6AE5">
        <w:rPr>
          <w:rFonts w:eastAsia="Times New Roman" w:cs="Arial"/>
          <w:color w:val="000000"/>
          <w:lang w:val="ru-RU"/>
        </w:rPr>
        <w:t xml:space="preserve"> </w:t>
      </w:r>
      <w:r w:rsidRPr="00DA6AE5">
        <w:rPr>
          <w:rFonts w:eastAsia="Times New Roman" w:cs="Arial"/>
          <w:color w:val="000000"/>
          <w:lang w:eastAsia="bg-BG"/>
        </w:rPr>
        <w:t xml:space="preserve">веднъж дневно. При деца с тегло &gt; 50 </w:t>
      </w:r>
      <w:r w:rsidRPr="00DA6AE5">
        <w:rPr>
          <w:rFonts w:eastAsia="Times New Roman" w:cs="Arial"/>
          <w:color w:val="000000"/>
          <w:lang w:val="en-US"/>
        </w:rPr>
        <w:t>kg</w:t>
      </w:r>
      <w:r w:rsidRPr="00DA6AE5">
        <w:rPr>
          <w:rFonts w:eastAsia="Times New Roman" w:cs="Arial"/>
          <w:color w:val="000000"/>
          <w:lang w:val="ru-RU"/>
        </w:rPr>
        <w:t xml:space="preserve"> </w:t>
      </w:r>
      <w:r w:rsidRPr="00DA6AE5">
        <w:rPr>
          <w:rFonts w:eastAsia="Times New Roman" w:cs="Arial"/>
          <w:color w:val="000000"/>
          <w:lang w:eastAsia="bg-BG"/>
        </w:rPr>
        <w:t xml:space="preserve">дозировките на кандесартан цилексетил са 4,16 или 32 </w:t>
      </w:r>
      <w:r w:rsidRPr="00DA6AE5">
        <w:rPr>
          <w:rFonts w:eastAsia="Times New Roman" w:cs="Arial"/>
          <w:color w:val="000000"/>
          <w:lang w:val="en-US"/>
        </w:rPr>
        <w:t>mg</w:t>
      </w:r>
      <w:r w:rsidRPr="00DA6AE5">
        <w:rPr>
          <w:rFonts w:eastAsia="Times New Roman" w:cs="Arial"/>
          <w:color w:val="000000"/>
          <w:lang w:val="ru-RU"/>
        </w:rPr>
        <w:t xml:space="preserve"> </w:t>
      </w:r>
      <w:r w:rsidRPr="00DA6AE5">
        <w:rPr>
          <w:rFonts w:eastAsia="Times New Roman" w:cs="Arial"/>
          <w:color w:val="000000"/>
          <w:lang w:eastAsia="bg-BG"/>
        </w:rPr>
        <w:t xml:space="preserve">веднъж дневно. Кандесартан в средната доза намалява САН в покой с 10,2 </w:t>
      </w:r>
      <w:r w:rsidRPr="00DA6AE5">
        <w:rPr>
          <w:rFonts w:eastAsia="Times New Roman" w:cs="Arial"/>
          <w:color w:val="000000"/>
          <w:lang w:val="en-US"/>
        </w:rPr>
        <w:t>mmHg</w:t>
      </w:r>
      <w:r w:rsidRPr="00DA6AE5">
        <w:rPr>
          <w:rFonts w:eastAsia="Times New Roman" w:cs="Arial"/>
          <w:color w:val="000000"/>
          <w:lang w:val="ru-RU"/>
        </w:rPr>
        <w:t xml:space="preserve"> </w:t>
      </w:r>
      <w:r w:rsidRPr="00DA6AE5">
        <w:rPr>
          <w:rFonts w:eastAsia="Times New Roman" w:cs="Arial"/>
          <w:color w:val="000000"/>
          <w:lang w:eastAsia="bg-BG"/>
        </w:rPr>
        <w:t xml:space="preserve">(Р&lt;0,0001) и ДАН в покой (Р=0,0029) с 6,6 </w:t>
      </w:r>
      <w:r w:rsidRPr="00DA6AE5">
        <w:rPr>
          <w:rFonts w:eastAsia="Times New Roman" w:cs="Arial"/>
          <w:color w:val="000000"/>
          <w:lang w:val="en-US"/>
        </w:rPr>
        <w:t>mmHg</w:t>
      </w:r>
      <w:r w:rsidRPr="00DA6AE5">
        <w:rPr>
          <w:rFonts w:eastAsia="Times New Roman" w:cs="Arial"/>
          <w:color w:val="000000"/>
          <w:lang w:val="ru-RU"/>
        </w:rPr>
        <w:t xml:space="preserve"> </w:t>
      </w:r>
      <w:r w:rsidRPr="00DA6AE5">
        <w:rPr>
          <w:rFonts w:eastAsia="Times New Roman" w:cs="Arial"/>
          <w:color w:val="000000"/>
          <w:lang w:eastAsia="bg-BG"/>
        </w:rPr>
        <w:t xml:space="preserve">в сравнение с изходните стойности. В групата на плацебо също се установява намаляване с 3,7 </w:t>
      </w:r>
      <w:r w:rsidRPr="00DA6AE5">
        <w:rPr>
          <w:rFonts w:eastAsia="Times New Roman" w:cs="Arial"/>
          <w:color w:val="000000"/>
          <w:lang w:val="en-US"/>
        </w:rPr>
        <w:t>mmHg</w:t>
      </w:r>
      <w:r w:rsidRPr="00DA6AE5">
        <w:rPr>
          <w:rFonts w:eastAsia="Times New Roman" w:cs="Arial"/>
          <w:color w:val="000000"/>
          <w:lang w:val="ru-RU"/>
        </w:rPr>
        <w:t xml:space="preserve"> </w:t>
      </w:r>
      <w:r w:rsidRPr="00DA6AE5">
        <w:rPr>
          <w:rFonts w:eastAsia="Times New Roman" w:cs="Arial"/>
          <w:color w:val="000000"/>
          <w:lang w:eastAsia="bg-BG"/>
        </w:rPr>
        <w:t xml:space="preserve">на САН в покой (Р=0,0074) и с 1,80 </w:t>
      </w:r>
      <w:r w:rsidRPr="00DA6AE5">
        <w:rPr>
          <w:rFonts w:eastAsia="Times New Roman" w:cs="Arial"/>
          <w:color w:val="000000"/>
          <w:lang w:val="en-US"/>
        </w:rPr>
        <w:t>mmHg</w:t>
      </w:r>
      <w:r w:rsidRPr="00DA6AE5">
        <w:rPr>
          <w:rFonts w:eastAsia="Times New Roman" w:cs="Arial"/>
          <w:color w:val="000000"/>
          <w:lang w:val="ru-RU"/>
        </w:rPr>
        <w:t xml:space="preserve"> </w:t>
      </w:r>
      <w:r w:rsidRPr="00DA6AE5">
        <w:rPr>
          <w:rFonts w:eastAsia="Times New Roman" w:cs="Arial"/>
          <w:color w:val="000000"/>
          <w:lang w:eastAsia="bg-BG"/>
        </w:rPr>
        <w:t xml:space="preserve">на ДАН в покой (Р=0,0992), в сравнение с изходните стойности. Въпреки големия плацебо ефект, всички отделни дозировки на кандесартан (както и средната доза) показват значимо превъзходство в сравнение с плацебо. Максимален отговор по отношение на понижаването на артериалното налягане при деца с телесно тегло под и над 50 </w:t>
      </w:r>
      <w:r w:rsidRPr="00DA6AE5">
        <w:rPr>
          <w:rFonts w:eastAsia="Times New Roman" w:cs="Arial"/>
          <w:color w:val="000000"/>
          <w:lang w:val="en-US"/>
        </w:rPr>
        <w:t>kg</w:t>
      </w:r>
      <w:r w:rsidRPr="00DA6AE5">
        <w:rPr>
          <w:rFonts w:eastAsia="Times New Roman" w:cs="Arial"/>
          <w:color w:val="000000"/>
          <w:lang w:val="ru-RU"/>
        </w:rPr>
        <w:t xml:space="preserve"> </w:t>
      </w:r>
      <w:r w:rsidRPr="00DA6AE5">
        <w:rPr>
          <w:rFonts w:eastAsia="Times New Roman" w:cs="Arial"/>
          <w:color w:val="000000"/>
          <w:lang w:eastAsia="bg-BG"/>
        </w:rPr>
        <w:t xml:space="preserve">се постига при дози съответно 8 </w:t>
      </w:r>
      <w:r w:rsidRPr="00DA6AE5">
        <w:rPr>
          <w:rFonts w:eastAsia="Times New Roman" w:cs="Arial"/>
          <w:color w:val="000000"/>
          <w:lang w:val="en-US"/>
        </w:rPr>
        <w:t>mg</w:t>
      </w:r>
      <w:r w:rsidRPr="00DA6AE5">
        <w:rPr>
          <w:rFonts w:eastAsia="Times New Roman" w:cs="Arial"/>
          <w:color w:val="000000"/>
          <w:lang w:val="ru-RU"/>
        </w:rPr>
        <w:t xml:space="preserve"> </w:t>
      </w:r>
      <w:r w:rsidRPr="00DA6AE5">
        <w:rPr>
          <w:rFonts w:eastAsia="Times New Roman" w:cs="Arial"/>
          <w:color w:val="000000"/>
          <w:lang w:eastAsia="bg-BG"/>
        </w:rPr>
        <w:t xml:space="preserve">и 16 </w:t>
      </w:r>
      <w:r w:rsidRPr="00DA6AE5">
        <w:rPr>
          <w:rFonts w:eastAsia="Times New Roman" w:cs="Arial"/>
          <w:color w:val="000000"/>
          <w:lang w:val="en-US"/>
        </w:rPr>
        <w:t>mg</w:t>
      </w:r>
      <w:r w:rsidRPr="00DA6AE5">
        <w:rPr>
          <w:rFonts w:eastAsia="Times New Roman" w:cs="Arial"/>
          <w:color w:val="000000"/>
          <w:lang w:val="ru-RU"/>
        </w:rPr>
        <w:t xml:space="preserve">, </w:t>
      </w:r>
      <w:r w:rsidRPr="00DA6AE5">
        <w:rPr>
          <w:rFonts w:eastAsia="Times New Roman" w:cs="Arial"/>
          <w:color w:val="000000"/>
          <w:lang w:eastAsia="bg-BG"/>
        </w:rPr>
        <w:t>като след тази стойност ефектът е в плато.</w:t>
      </w:r>
    </w:p>
    <w:p w14:paraId="2A40948E" w14:textId="77777777" w:rsidR="00DA6AE5" w:rsidRDefault="00DA6AE5" w:rsidP="00DA6AE5">
      <w:pPr>
        <w:spacing w:line="240" w:lineRule="auto"/>
        <w:rPr>
          <w:rFonts w:eastAsia="Times New Roman" w:cs="Arial"/>
          <w:color w:val="000000"/>
          <w:lang w:eastAsia="bg-BG"/>
        </w:rPr>
      </w:pPr>
    </w:p>
    <w:p w14:paraId="09B28084" w14:textId="4F05BD6B" w:rsidR="00DA6AE5" w:rsidRPr="00DA6AE5" w:rsidRDefault="00DA6AE5" w:rsidP="00DA6AE5">
      <w:pPr>
        <w:spacing w:line="240" w:lineRule="auto"/>
        <w:rPr>
          <w:rFonts w:eastAsia="Times New Roman" w:cs="Arial"/>
        </w:rPr>
      </w:pPr>
      <w:r w:rsidRPr="00DA6AE5">
        <w:rPr>
          <w:rFonts w:eastAsia="Times New Roman" w:cs="Arial"/>
          <w:color w:val="000000"/>
          <w:lang w:eastAsia="bg-BG"/>
        </w:rPr>
        <w:t xml:space="preserve">От включените пациенти 47% са чернокожи и 29% от женски пол; средната възраст +/- </w:t>
      </w:r>
      <w:r w:rsidRPr="00DA6AE5">
        <w:rPr>
          <w:rFonts w:eastAsia="Times New Roman" w:cs="Arial"/>
          <w:color w:val="000000"/>
          <w:lang w:val="en-US"/>
        </w:rPr>
        <w:t>SD</w:t>
      </w:r>
      <w:r w:rsidRPr="00DA6AE5">
        <w:rPr>
          <w:rFonts w:eastAsia="Times New Roman" w:cs="Arial"/>
          <w:color w:val="000000"/>
          <w:lang w:val="ru-RU"/>
        </w:rPr>
        <w:t xml:space="preserve"> </w:t>
      </w:r>
      <w:r w:rsidRPr="00DA6AE5">
        <w:rPr>
          <w:rFonts w:eastAsia="Times New Roman" w:cs="Arial"/>
          <w:color w:val="000000"/>
          <w:lang w:eastAsia="bg-BG"/>
        </w:rPr>
        <w:t>е 12,9 +/- 2,6 години. При деца на възраст от 6 до &lt; 17 години се наблюдава тенденция за намаляване на ефекта върху артериалното налягане при чернокожите пациенти в сравнение с нечернокожите.</w:t>
      </w:r>
    </w:p>
    <w:p w14:paraId="48ED348C" w14:textId="77777777" w:rsidR="00DA6AE5" w:rsidRDefault="00DA6AE5" w:rsidP="00DA6AE5">
      <w:pPr>
        <w:spacing w:line="240" w:lineRule="auto"/>
        <w:rPr>
          <w:rFonts w:eastAsia="Times New Roman" w:cs="Arial"/>
          <w:color w:val="000000"/>
          <w:u w:val="single"/>
          <w:lang w:eastAsia="bg-BG"/>
        </w:rPr>
      </w:pPr>
    </w:p>
    <w:p w14:paraId="1FF90BEA" w14:textId="1E47F0CA" w:rsidR="00DA6AE5" w:rsidRPr="00DA6AE5" w:rsidRDefault="00DA6AE5" w:rsidP="00DA6AE5">
      <w:pPr>
        <w:spacing w:line="240" w:lineRule="auto"/>
        <w:rPr>
          <w:rFonts w:eastAsia="Times New Roman" w:cs="Arial"/>
        </w:rPr>
      </w:pPr>
      <w:r w:rsidRPr="00DA6AE5">
        <w:rPr>
          <w:rFonts w:eastAsia="Times New Roman" w:cs="Arial"/>
          <w:color w:val="000000"/>
          <w:u w:val="single"/>
          <w:lang w:eastAsia="bg-BG"/>
        </w:rPr>
        <w:t>Сърдечна недостатъчност</w:t>
      </w:r>
    </w:p>
    <w:p w14:paraId="48E66BDF" w14:textId="77777777" w:rsidR="00DA6AE5" w:rsidRDefault="00DA6AE5" w:rsidP="00DA6AE5">
      <w:pPr>
        <w:spacing w:line="240" w:lineRule="auto"/>
        <w:rPr>
          <w:rFonts w:eastAsia="Times New Roman" w:cs="Arial"/>
          <w:color w:val="000000"/>
          <w:lang w:eastAsia="bg-BG"/>
        </w:rPr>
      </w:pPr>
    </w:p>
    <w:p w14:paraId="304AE02F" w14:textId="0A8FC788" w:rsidR="00DA6AE5" w:rsidRPr="00DA6AE5" w:rsidRDefault="00DA6AE5" w:rsidP="00DA6AE5">
      <w:pPr>
        <w:spacing w:line="240" w:lineRule="auto"/>
        <w:rPr>
          <w:rFonts w:eastAsia="Times New Roman" w:cs="Arial"/>
        </w:rPr>
      </w:pPr>
      <w:r w:rsidRPr="00DA6AE5">
        <w:rPr>
          <w:rFonts w:eastAsia="Times New Roman" w:cs="Arial"/>
          <w:color w:val="000000"/>
          <w:lang w:eastAsia="bg-BG"/>
        </w:rPr>
        <w:t xml:space="preserve">Лечението с кандесартан цилексетил намалява смъртността, намалява случаите на хоспитализация поради сърдечна недостатъчност и подобрява симптомите при пациенти с левокамерна систолна дисфункция, както показва резултатът от програмата </w:t>
      </w:r>
      <w:r w:rsidRPr="00DA6AE5">
        <w:rPr>
          <w:rFonts w:eastAsia="Times New Roman" w:cs="Arial"/>
          <w:color w:val="000000"/>
          <w:lang w:val="en-US"/>
        </w:rPr>
        <w:t>CHARM</w:t>
      </w:r>
      <w:r w:rsidRPr="00DA6AE5">
        <w:rPr>
          <w:rFonts w:eastAsia="Times New Roman" w:cs="Arial"/>
          <w:color w:val="000000"/>
        </w:rPr>
        <w:t xml:space="preserve"> (</w:t>
      </w:r>
      <w:r w:rsidRPr="00DA6AE5">
        <w:rPr>
          <w:rFonts w:eastAsia="Times New Roman" w:cs="Arial"/>
          <w:color w:val="000000"/>
          <w:lang w:val="en-US"/>
        </w:rPr>
        <w:t>Candesartan</w:t>
      </w:r>
      <w:r w:rsidRPr="00DA6AE5">
        <w:rPr>
          <w:rFonts w:eastAsia="Times New Roman" w:cs="Arial"/>
          <w:color w:val="000000"/>
        </w:rPr>
        <w:t xml:space="preserve"> </w:t>
      </w:r>
      <w:r w:rsidRPr="00DA6AE5">
        <w:rPr>
          <w:rFonts w:eastAsia="Times New Roman" w:cs="Arial"/>
          <w:color w:val="000000"/>
          <w:lang w:val="en-US"/>
        </w:rPr>
        <w:t>in</w:t>
      </w:r>
      <w:r w:rsidRPr="00DA6AE5">
        <w:rPr>
          <w:rFonts w:eastAsia="Times New Roman" w:cs="Arial"/>
          <w:color w:val="000000"/>
        </w:rPr>
        <w:t xml:space="preserve"> </w:t>
      </w:r>
      <w:r w:rsidRPr="00DA6AE5">
        <w:rPr>
          <w:rFonts w:eastAsia="Times New Roman" w:cs="Arial"/>
          <w:color w:val="000000"/>
          <w:lang w:val="en-US"/>
        </w:rPr>
        <w:t>Heart</w:t>
      </w:r>
      <w:r w:rsidRPr="00DA6AE5">
        <w:rPr>
          <w:rFonts w:eastAsia="Times New Roman" w:cs="Arial"/>
          <w:color w:val="000000"/>
        </w:rPr>
        <w:t xml:space="preserve"> </w:t>
      </w:r>
      <w:r w:rsidRPr="00DA6AE5">
        <w:rPr>
          <w:rFonts w:eastAsia="Times New Roman" w:cs="Arial"/>
          <w:color w:val="000000"/>
          <w:lang w:val="en-US"/>
        </w:rPr>
        <w:t>failure</w:t>
      </w:r>
      <w:r w:rsidRPr="00DA6AE5">
        <w:rPr>
          <w:rFonts w:eastAsia="Times New Roman" w:cs="Arial"/>
          <w:color w:val="000000"/>
        </w:rPr>
        <w:t xml:space="preserve"> - </w:t>
      </w:r>
      <w:r w:rsidRPr="00DA6AE5">
        <w:rPr>
          <w:rFonts w:eastAsia="Times New Roman" w:cs="Arial"/>
          <w:color w:val="000000"/>
          <w:lang w:val="en-US"/>
        </w:rPr>
        <w:t>Assessment</w:t>
      </w:r>
      <w:r w:rsidRPr="00DA6AE5">
        <w:rPr>
          <w:rFonts w:eastAsia="Times New Roman" w:cs="Arial"/>
          <w:color w:val="000000"/>
        </w:rPr>
        <w:t xml:space="preserve"> </w:t>
      </w:r>
      <w:r w:rsidRPr="00DA6AE5">
        <w:rPr>
          <w:rFonts w:eastAsia="Times New Roman" w:cs="Arial"/>
          <w:color w:val="000000"/>
          <w:lang w:val="en-US"/>
        </w:rPr>
        <w:t>of</w:t>
      </w:r>
      <w:r w:rsidRPr="00DA6AE5">
        <w:rPr>
          <w:rFonts w:eastAsia="Times New Roman" w:cs="Arial"/>
          <w:color w:val="000000"/>
        </w:rPr>
        <w:t xml:space="preserve"> </w:t>
      </w:r>
      <w:r w:rsidRPr="00DA6AE5">
        <w:rPr>
          <w:rFonts w:eastAsia="Times New Roman" w:cs="Arial"/>
          <w:color w:val="000000"/>
          <w:lang w:val="en-US"/>
        </w:rPr>
        <w:t>R</w:t>
      </w:r>
      <w:r w:rsidRPr="00DA6AE5">
        <w:rPr>
          <w:rFonts w:eastAsia="Times New Roman" w:cs="Arial"/>
          <w:color w:val="000000"/>
        </w:rPr>
        <w:t xml:space="preserve">&lt; </w:t>
      </w:r>
      <w:r w:rsidRPr="00DA6AE5">
        <w:rPr>
          <w:rFonts w:eastAsia="Times New Roman" w:cs="Arial"/>
          <w:color w:val="000000"/>
          <w:lang w:val="en-US"/>
        </w:rPr>
        <w:t>Mortality</w:t>
      </w:r>
      <w:r w:rsidRPr="00DA6AE5">
        <w:rPr>
          <w:rFonts w:eastAsia="Times New Roman" w:cs="Arial"/>
          <w:color w:val="000000"/>
        </w:rPr>
        <w:t xml:space="preserve"> </w:t>
      </w:r>
      <w:r w:rsidRPr="00DA6AE5">
        <w:rPr>
          <w:rFonts w:eastAsia="Times New Roman" w:cs="Arial"/>
          <w:color w:val="000000"/>
          <w:lang w:val="en-US"/>
        </w:rPr>
        <w:t>and</w:t>
      </w:r>
      <w:r w:rsidRPr="00DA6AE5">
        <w:rPr>
          <w:rFonts w:eastAsia="Times New Roman" w:cs="Arial"/>
          <w:color w:val="000000"/>
        </w:rPr>
        <w:t xml:space="preserve"> </w:t>
      </w:r>
      <w:r w:rsidRPr="00DA6AE5">
        <w:rPr>
          <w:rFonts w:eastAsia="Times New Roman" w:cs="Arial"/>
          <w:color w:val="000000"/>
          <w:lang w:val="en-US"/>
        </w:rPr>
        <w:t>morbidity</w:t>
      </w:r>
      <w:r w:rsidRPr="00DA6AE5">
        <w:rPr>
          <w:rFonts w:eastAsia="Times New Roman" w:cs="Arial"/>
          <w:color w:val="000000"/>
        </w:rPr>
        <w:t xml:space="preserve">/ </w:t>
      </w:r>
      <w:r w:rsidRPr="00DA6AE5">
        <w:rPr>
          <w:rFonts w:eastAsia="Times New Roman" w:cs="Arial"/>
          <w:color w:val="000000"/>
          <w:lang w:eastAsia="bg-BG"/>
        </w:rPr>
        <w:t>Кандесартан при сърдечна недостатъчност намаляването на смъртността и заболеваемостта).</w:t>
      </w:r>
    </w:p>
    <w:p w14:paraId="071FDDD4" w14:textId="77777777" w:rsidR="00DA6AE5" w:rsidRDefault="00DA6AE5" w:rsidP="00DA6AE5">
      <w:pPr>
        <w:spacing w:line="240" w:lineRule="auto"/>
        <w:rPr>
          <w:rFonts w:eastAsia="Times New Roman" w:cs="Arial"/>
          <w:color w:val="000000"/>
          <w:lang w:eastAsia="bg-BG"/>
        </w:rPr>
      </w:pPr>
    </w:p>
    <w:p w14:paraId="43872C30" w14:textId="4AC51E15" w:rsidR="00DA6AE5" w:rsidRPr="00DA6AE5" w:rsidRDefault="00DA6AE5" w:rsidP="00DA6AE5">
      <w:pPr>
        <w:spacing w:line="240" w:lineRule="auto"/>
        <w:rPr>
          <w:rFonts w:eastAsia="Times New Roman" w:cs="Arial"/>
        </w:rPr>
      </w:pPr>
      <w:r w:rsidRPr="00DA6AE5">
        <w:rPr>
          <w:rFonts w:eastAsia="Times New Roman" w:cs="Arial"/>
          <w:color w:val="000000"/>
          <w:lang w:eastAsia="bg-BG"/>
        </w:rPr>
        <w:t xml:space="preserve">Тази програма на плацебо-контролирано, двойно-сляпо клинично изпитване при пациенти с хронична сърдечна недостатъчност (ХСН) с II до IV функционален клас по </w:t>
      </w:r>
      <w:r w:rsidRPr="00DA6AE5">
        <w:rPr>
          <w:rFonts w:eastAsia="Times New Roman" w:cs="Arial"/>
          <w:color w:val="000000"/>
          <w:lang w:val="en-US"/>
        </w:rPr>
        <w:t>NYHA</w:t>
      </w:r>
      <w:r w:rsidRPr="00DA6AE5">
        <w:rPr>
          <w:rFonts w:eastAsia="Times New Roman" w:cs="Arial"/>
          <w:color w:val="000000"/>
          <w:lang w:val="ru-RU"/>
        </w:rPr>
        <w:t xml:space="preserve"> </w:t>
      </w:r>
      <w:r w:rsidRPr="00DA6AE5">
        <w:rPr>
          <w:rFonts w:eastAsia="Times New Roman" w:cs="Arial"/>
          <w:color w:val="000000"/>
          <w:lang w:eastAsia="bg-BG"/>
        </w:rPr>
        <w:t xml:space="preserve">се състои от три отделни проучвания: </w:t>
      </w:r>
      <w:r w:rsidRPr="00DA6AE5">
        <w:rPr>
          <w:rFonts w:eastAsia="Times New Roman" w:cs="Arial"/>
          <w:color w:val="000000"/>
          <w:lang w:val="en-US"/>
        </w:rPr>
        <w:t>CHARM</w:t>
      </w:r>
      <w:r w:rsidRPr="00DA6AE5">
        <w:rPr>
          <w:rFonts w:eastAsia="Times New Roman" w:cs="Arial"/>
          <w:color w:val="000000"/>
          <w:lang w:eastAsia="bg-BG"/>
        </w:rPr>
        <w:t>-Алтернатива (</w:t>
      </w:r>
      <w:r w:rsidRPr="00DA6AE5">
        <w:rPr>
          <w:rFonts w:eastAsia="Times New Roman" w:cs="Arial"/>
          <w:color w:val="000000"/>
          <w:lang w:val="en-US"/>
        </w:rPr>
        <w:t>n</w:t>
      </w:r>
      <w:r w:rsidRPr="00DA6AE5">
        <w:rPr>
          <w:rFonts w:eastAsia="Times New Roman" w:cs="Arial"/>
          <w:color w:val="000000"/>
          <w:lang w:eastAsia="bg-BG"/>
        </w:rPr>
        <w:t xml:space="preserve">=2028) при пациенти с левокамерна фракция на изтласкване (ЛКФИ) &lt;40%, нелекувани с АСЕ инхибитор поради непоносимост (предимно, дължаща се на кашлица, 72%), </w:t>
      </w:r>
      <w:r w:rsidRPr="00DA6AE5">
        <w:rPr>
          <w:rFonts w:eastAsia="Times New Roman" w:cs="Arial"/>
          <w:color w:val="000000"/>
          <w:lang w:val="en-US"/>
        </w:rPr>
        <w:t>CHARM</w:t>
      </w:r>
      <w:r w:rsidRPr="00DA6AE5">
        <w:rPr>
          <w:rFonts w:eastAsia="Times New Roman" w:cs="Arial"/>
          <w:color w:val="000000"/>
          <w:lang w:eastAsia="bg-BG"/>
        </w:rPr>
        <w:t>-Допълнителна (</w:t>
      </w:r>
      <w:r w:rsidRPr="00DA6AE5">
        <w:rPr>
          <w:rFonts w:eastAsia="Times New Roman" w:cs="Arial"/>
          <w:color w:val="000000"/>
          <w:lang w:val="en-US"/>
        </w:rPr>
        <w:t>n</w:t>
      </w:r>
      <w:r w:rsidRPr="00DA6AE5">
        <w:rPr>
          <w:rFonts w:eastAsia="Times New Roman" w:cs="Arial"/>
          <w:color w:val="000000"/>
          <w:lang w:eastAsia="bg-BG"/>
        </w:rPr>
        <w:t>=2548) при пациенти с ЛКФИ &lt;40% и лекувани с АСЕ инхибитор, и СН</w:t>
      </w:r>
      <w:r w:rsidRPr="00DA6AE5">
        <w:rPr>
          <w:rFonts w:eastAsia="Times New Roman" w:cs="Arial"/>
          <w:color w:val="000000"/>
          <w:lang w:val="en-US"/>
        </w:rPr>
        <w:t>ARM</w:t>
      </w:r>
      <w:r w:rsidRPr="00DA6AE5">
        <w:rPr>
          <w:rFonts w:eastAsia="Times New Roman" w:cs="Arial"/>
          <w:color w:val="000000"/>
          <w:lang w:eastAsia="bg-BG"/>
        </w:rPr>
        <w:t>-Запазена (</w:t>
      </w:r>
      <w:r w:rsidRPr="00DA6AE5">
        <w:rPr>
          <w:rFonts w:eastAsia="Times New Roman" w:cs="Arial"/>
          <w:color w:val="000000"/>
          <w:lang w:val="en-US"/>
        </w:rPr>
        <w:t>n</w:t>
      </w:r>
      <w:r w:rsidRPr="00DA6AE5">
        <w:rPr>
          <w:rFonts w:eastAsia="Times New Roman" w:cs="Arial"/>
          <w:color w:val="000000"/>
          <w:lang w:eastAsia="bg-BG"/>
        </w:rPr>
        <w:t xml:space="preserve">=3023) при пациенти с ЛКФИ &gt;40%. Пациентите с оптимална терапия на ХСН на изходно ниво са рандомизирани в група с плацебо или кандесартан цилексетил (с постепенно повишение на дозата от 4 </w:t>
      </w:r>
      <w:r w:rsidRPr="00DA6AE5">
        <w:rPr>
          <w:rFonts w:eastAsia="Times New Roman" w:cs="Arial"/>
          <w:color w:val="000000"/>
          <w:lang w:val="en-US"/>
        </w:rPr>
        <w:t>mg</w:t>
      </w:r>
      <w:r w:rsidRPr="00DA6AE5">
        <w:rPr>
          <w:rFonts w:eastAsia="Times New Roman" w:cs="Arial"/>
          <w:color w:val="000000"/>
          <w:lang w:val="ru-RU"/>
        </w:rPr>
        <w:t xml:space="preserve"> </w:t>
      </w:r>
      <w:r w:rsidRPr="00DA6AE5">
        <w:rPr>
          <w:rFonts w:eastAsia="Times New Roman" w:cs="Arial"/>
          <w:color w:val="000000"/>
          <w:lang w:eastAsia="bg-BG"/>
        </w:rPr>
        <w:t xml:space="preserve">или 8 </w:t>
      </w:r>
      <w:r w:rsidRPr="00DA6AE5">
        <w:rPr>
          <w:rFonts w:eastAsia="Times New Roman" w:cs="Arial"/>
          <w:color w:val="000000"/>
          <w:lang w:val="en-US"/>
        </w:rPr>
        <w:t>mg</w:t>
      </w:r>
      <w:r w:rsidRPr="00DA6AE5">
        <w:rPr>
          <w:rFonts w:eastAsia="Times New Roman" w:cs="Arial"/>
          <w:color w:val="000000"/>
          <w:lang w:val="ru-RU"/>
        </w:rPr>
        <w:t xml:space="preserve"> </w:t>
      </w:r>
      <w:r w:rsidRPr="00DA6AE5">
        <w:rPr>
          <w:rFonts w:eastAsia="Times New Roman" w:cs="Arial"/>
          <w:color w:val="000000"/>
          <w:lang w:eastAsia="bg-BG"/>
        </w:rPr>
        <w:t xml:space="preserve">веднъж дневно до 32 </w:t>
      </w:r>
      <w:r w:rsidRPr="00DA6AE5">
        <w:rPr>
          <w:rFonts w:eastAsia="Times New Roman" w:cs="Arial"/>
          <w:color w:val="000000"/>
          <w:lang w:val="en-US"/>
        </w:rPr>
        <w:t>mg</w:t>
      </w:r>
      <w:r w:rsidRPr="00DA6AE5">
        <w:rPr>
          <w:rFonts w:eastAsia="Times New Roman" w:cs="Arial"/>
          <w:color w:val="000000"/>
          <w:lang w:val="ru-RU"/>
        </w:rPr>
        <w:t xml:space="preserve"> </w:t>
      </w:r>
      <w:r w:rsidRPr="00DA6AE5">
        <w:rPr>
          <w:rFonts w:eastAsia="Times New Roman" w:cs="Arial"/>
          <w:color w:val="000000"/>
          <w:lang w:eastAsia="bg-BG"/>
        </w:rPr>
        <w:t xml:space="preserve">веднъж дневно или до най-високата поносима доза, средна доза от 24 </w:t>
      </w:r>
      <w:r w:rsidRPr="00DA6AE5">
        <w:rPr>
          <w:rFonts w:eastAsia="Times New Roman" w:cs="Arial"/>
          <w:color w:val="000000"/>
          <w:lang w:val="en-US"/>
        </w:rPr>
        <w:t>mg</w:t>
      </w:r>
      <w:r w:rsidRPr="00DA6AE5">
        <w:rPr>
          <w:rFonts w:eastAsia="Times New Roman" w:cs="Arial"/>
          <w:color w:val="000000"/>
          <w:lang w:val="ru-RU"/>
        </w:rPr>
        <w:t xml:space="preserve">) </w:t>
      </w:r>
      <w:r w:rsidRPr="00DA6AE5">
        <w:rPr>
          <w:rFonts w:eastAsia="Times New Roman" w:cs="Arial"/>
          <w:color w:val="000000"/>
          <w:lang w:eastAsia="bg-BG"/>
        </w:rPr>
        <w:t xml:space="preserve">и са проследявани в продължение на средно 37,7 месеца. След 6-месечно лечение 63% от пациентите, все още приемащи кандесартан цилексетил (89%), са достигнали таргетната доза от 32 </w:t>
      </w:r>
      <w:r w:rsidRPr="00DA6AE5">
        <w:rPr>
          <w:rFonts w:eastAsia="Times New Roman" w:cs="Arial"/>
          <w:color w:val="000000"/>
          <w:lang w:val="en-US"/>
        </w:rPr>
        <w:t>mg</w:t>
      </w:r>
      <w:r w:rsidRPr="00DA6AE5">
        <w:rPr>
          <w:rFonts w:eastAsia="Times New Roman" w:cs="Arial"/>
          <w:color w:val="000000"/>
          <w:lang w:val="ru-RU"/>
        </w:rPr>
        <w:t>.</w:t>
      </w:r>
    </w:p>
    <w:p w14:paraId="16C31F3F" w14:textId="77777777" w:rsidR="00DA6AE5" w:rsidRDefault="00DA6AE5" w:rsidP="00DA6AE5">
      <w:pPr>
        <w:spacing w:line="240" w:lineRule="auto"/>
        <w:rPr>
          <w:rFonts w:eastAsia="Times New Roman" w:cs="Arial"/>
          <w:color w:val="000000"/>
          <w:lang w:eastAsia="bg-BG"/>
        </w:rPr>
      </w:pPr>
    </w:p>
    <w:p w14:paraId="33B7015C" w14:textId="6C8DCB74" w:rsidR="00DA6AE5" w:rsidRPr="00DA6AE5" w:rsidRDefault="00DA6AE5" w:rsidP="00DA6AE5">
      <w:pPr>
        <w:spacing w:line="240" w:lineRule="auto"/>
        <w:rPr>
          <w:rFonts w:eastAsia="Times New Roman" w:cs="Arial"/>
        </w:rPr>
      </w:pPr>
      <w:r w:rsidRPr="00DA6AE5">
        <w:rPr>
          <w:rFonts w:eastAsia="Times New Roman" w:cs="Arial"/>
          <w:color w:val="000000"/>
          <w:lang w:eastAsia="bg-BG"/>
        </w:rPr>
        <w:t xml:space="preserve">В </w:t>
      </w:r>
      <w:r w:rsidRPr="00DA6AE5">
        <w:rPr>
          <w:rFonts w:eastAsia="Times New Roman" w:cs="Arial"/>
          <w:color w:val="000000"/>
          <w:lang w:val="en-US"/>
        </w:rPr>
        <w:t>CHARM</w:t>
      </w:r>
      <w:r w:rsidRPr="00DA6AE5">
        <w:rPr>
          <w:rFonts w:eastAsia="Times New Roman" w:cs="Arial"/>
          <w:color w:val="000000"/>
          <w:lang w:eastAsia="bg-BG"/>
        </w:rPr>
        <w:t xml:space="preserve">-Алтернатива, съставната крайна точка от сърдечно-съдова смъртност или първа хоспитализация поради ХСН е била значимо намалена при кандесартан в сравнение с плацебо, рисков коефициент (РК) 0,77 (95% </w:t>
      </w:r>
      <w:r w:rsidRPr="00DA6AE5">
        <w:rPr>
          <w:rFonts w:eastAsia="Times New Roman" w:cs="Arial"/>
          <w:color w:val="000000"/>
          <w:lang w:val="en-US"/>
        </w:rPr>
        <w:t>CI</w:t>
      </w:r>
      <w:r w:rsidRPr="00DA6AE5">
        <w:rPr>
          <w:rFonts w:eastAsia="Times New Roman" w:cs="Arial"/>
          <w:color w:val="000000"/>
          <w:lang w:val="ru-RU"/>
        </w:rPr>
        <w:t xml:space="preserve"> </w:t>
      </w:r>
      <w:r w:rsidRPr="00DA6AE5">
        <w:rPr>
          <w:rFonts w:eastAsia="Times New Roman" w:cs="Arial"/>
          <w:color w:val="000000"/>
          <w:lang w:eastAsia="bg-BG"/>
        </w:rPr>
        <w:t xml:space="preserve">0,67 до 0,89, р&lt;0,001). Това съответства на намаление на относителния риск с 23%. При 33,0% от пациентите на кандесартан (95% С1: 30,1 до 36,0) и при 40,0% (95% </w:t>
      </w:r>
      <w:r w:rsidRPr="00DA6AE5">
        <w:rPr>
          <w:rFonts w:eastAsia="Times New Roman" w:cs="Arial"/>
          <w:color w:val="000000"/>
          <w:lang w:val="en-US"/>
        </w:rPr>
        <w:t>CI</w:t>
      </w:r>
      <w:r w:rsidRPr="00DA6AE5">
        <w:rPr>
          <w:rFonts w:eastAsia="Times New Roman" w:cs="Arial"/>
          <w:color w:val="000000"/>
          <w:lang w:val="ru-RU"/>
        </w:rPr>
        <w:t xml:space="preserve">: </w:t>
      </w:r>
      <w:r w:rsidRPr="00DA6AE5">
        <w:rPr>
          <w:rFonts w:eastAsia="Times New Roman" w:cs="Arial"/>
          <w:color w:val="000000"/>
          <w:lang w:eastAsia="bg-BG"/>
        </w:rPr>
        <w:t xml:space="preserve">37,0 до 43,1) от пациентите на плацебо са достигнали тази крайна точка, абсолютна разлика 7,0% (95% </w:t>
      </w:r>
      <w:r w:rsidRPr="00DA6AE5">
        <w:rPr>
          <w:rFonts w:eastAsia="Times New Roman" w:cs="Arial"/>
          <w:color w:val="000000"/>
          <w:lang w:val="en-US"/>
        </w:rPr>
        <w:t>CI</w:t>
      </w:r>
      <w:r w:rsidRPr="00DA6AE5">
        <w:rPr>
          <w:rFonts w:eastAsia="Times New Roman" w:cs="Arial"/>
          <w:color w:val="000000"/>
          <w:lang w:val="ru-RU"/>
        </w:rPr>
        <w:t xml:space="preserve">: </w:t>
      </w:r>
      <w:r w:rsidRPr="00DA6AE5">
        <w:rPr>
          <w:rFonts w:eastAsia="Times New Roman" w:cs="Arial"/>
          <w:color w:val="000000"/>
          <w:lang w:eastAsia="bg-BG"/>
        </w:rPr>
        <w:t>11.02-02.08).</w:t>
      </w:r>
    </w:p>
    <w:p w14:paraId="0EBBEAAF" w14:textId="77777777" w:rsidR="00DA6AE5" w:rsidRPr="00DA6AE5" w:rsidRDefault="00DA6AE5" w:rsidP="00DA6AE5">
      <w:pPr>
        <w:spacing w:line="240" w:lineRule="auto"/>
        <w:rPr>
          <w:rFonts w:eastAsia="Times New Roman" w:cs="Arial"/>
        </w:rPr>
      </w:pPr>
      <w:r w:rsidRPr="00DA6AE5">
        <w:rPr>
          <w:rFonts w:eastAsia="Times New Roman" w:cs="Arial"/>
          <w:color w:val="000000"/>
          <w:lang w:eastAsia="bg-BG"/>
        </w:rPr>
        <w:t xml:space="preserve">Четиринадесет пациенти е трябвало да бъдат лекувани в продължение на цялото изпитване, за да се предотврати смъртта на един болен от сърдечносъдово събитие или да се хоспитализира за лечение на сърдечна недостатъчност. Съставната крайна точка от смъртност от всякаква причина или първа хоспитализация поради ХСН е била също значимо намалена с кандесартан (РК 0,80,95% </w:t>
      </w:r>
      <w:r w:rsidRPr="00DA6AE5">
        <w:rPr>
          <w:rFonts w:eastAsia="Times New Roman" w:cs="Arial"/>
          <w:color w:val="000000"/>
          <w:lang w:val="en-US"/>
        </w:rPr>
        <w:t>CI</w:t>
      </w:r>
      <w:r w:rsidRPr="00DA6AE5">
        <w:rPr>
          <w:rFonts w:eastAsia="Times New Roman" w:cs="Arial"/>
          <w:color w:val="000000"/>
          <w:lang w:val="ru-RU"/>
        </w:rPr>
        <w:t xml:space="preserve"> </w:t>
      </w:r>
      <w:r w:rsidRPr="00DA6AE5">
        <w:rPr>
          <w:rFonts w:eastAsia="Times New Roman" w:cs="Arial"/>
          <w:color w:val="000000"/>
          <w:lang w:eastAsia="bg-BG"/>
        </w:rPr>
        <w:t xml:space="preserve">0,70-0,92, р=0,001). При 36,6% от </w:t>
      </w:r>
      <w:r w:rsidRPr="00DA6AE5">
        <w:rPr>
          <w:rFonts w:eastAsia="Times New Roman" w:cs="Arial"/>
          <w:color w:val="000000"/>
          <w:lang w:eastAsia="bg-BG"/>
        </w:rPr>
        <w:lastRenderedPageBreak/>
        <w:t xml:space="preserve">пациентите на кандесартан (95% </w:t>
      </w:r>
      <w:r w:rsidRPr="00DA6AE5">
        <w:rPr>
          <w:rFonts w:eastAsia="Times New Roman" w:cs="Arial"/>
          <w:color w:val="000000"/>
          <w:lang w:val="en-US"/>
        </w:rPr>
        <w:t>CI</w:t>
      </w:r>
      <w:r w:rsidRPr="00DA6AE5">
        <w:rPr>
          <w:rFonts w:eastAsia="Times New Roman" w:cs="Arial"/>
          <w:color w:val="000000"/>
          <w:lang w:val="ru-RU"/>
        </w:rPr>
        <w:t xml:space="preserve">: </w:t>
      </w:r>
      <w:r w:rsidRPr="00DA6AE5">
        <w:rPr>
          <w:rFonts w:eastAsia="Times New Roman" w:cs="Arial"/>
          <w:color w:val="000000"/>
          <w:lang w:eastAsia="bg-BG"/>
        </w:rPr>
        <w:t xml:space="preserve">33,7 до 39,7) и при 42,7% (95% </w:t>
      </w:r>
      <w:r w:rsidRPr="00DA6AE5">
        <w:rPr>
          <w:rFonts w:eastAsia="Times New Roman" w:cs="Arial"/>
          <w:color w:val="000000"/>
          <w:lang w:val="en-US"/>
        </w:rPr>
        <w:t>CI</w:t>
      </w:r>
      <w:r w:rsidRPr="00DA6AE5">
        <w:rPr>
          <w:rFonts w:eastAsia="Times New Roman" w:cs="Arial"/>
          <w:color w:val="000000"/>
          <w:lang w:val="ru-RU"/>
        </w:rPr>
        <w:t xml:space="preserve">: </w:t>
      </w:r>
      <w:r w:rsidRPr="00DA6AE5">
        <w:rPr>
          <w:rFonts w:eastAsia="Times New Roman" w:cs="Arial"/>
          <w:color w:val="000000"/>
          <w:lang w:eastAsia="bg-BG"/>
        </w:rPr>
        <w:t>39,6 до 45,8) от пациентите на плацебо са достигнали</w:t>
      </w:r>
      <w:r w:rsidRPr="00DA6AE5">
        <w:rPr>
          <w:rFonts w:eastAsia="Times New Roman" w:cs="Arial"/>
          <w:color w:val="000000"/>
          <w:lang w:val="ru-RU"/>
        </w:rPr>
        <w:t xml:space="preserve"> </w:t>
      </w:r>
      <w:r w:rsidRPr="00DA6AE5">
        <w:rPr>
          <w:rFonts w:eastAsia="Times New Roman" w:cs="Arial"/>
          <w:color w:val="000000"/>
          <w:lang w:eastAsia="bg-BG"/>
        </w:rPr>
        <w:t xml:space="preserve">тази крайна точка, абсолютна разлика 6,0% (95% </w:t>
      </w:r>
      <w:r w:rsidRPr="00DA6AE5">
        <w:rPr>
          <w:rFonts w:eastAsia="Times New Roman" w:cs="Arial"/>
          <w:color w:val="000000"/>
          <w:lang w:val="en-US"/>
        </w:rPr>
        <w:t>CI</w:t>
      </w:r>
      <w:r w:rsidRPr="00DA6AE5">
        <w:rPr>
          <w:rFonts w:eastAsia="Times New Roman" w:cs="Arial"/>
          <w:color w:val="000000"/>
          <w:lang w:val="ru-RU"/>
        </w:rPr>
        <w:t xml:space="preserve">: </w:t>
      </w:r>
      <w:r w:rsidRPr="00DA6AE5">
        <w:rPr>
          <w:rFonts w:eastAsia="Times New Roman" w:cs="Arial"/>
          <w:color w:val="000000"/>
          <w:lang w:eastAsia="bg-BG"/>
        </w:rPr>
        <w:t>10.03-01.08).</w:t>
      </w:r>
    </w:p>
    <w:p w14:paraId="5A270142" w14:textId="77777777" w:rsidR="00DA6AE5" w:rsidRPr="00DA6AE5" w:rsidRDefault="00DA6AE5" w:rsidP="00DA6AE5">
      <w:pPr>
        <w:spacing w:line="240" w:lineRule="auto"/>
        <w:rPr>
          <w:rFonts w:eastAsia="Times New Roman" w:cs="Arial"/>
        </w:rPr>
      </w:pPr>
      <w:r w:rsidRPr="00DA6AE5">
        <w:rPr>
          <w:rFonts w:eastAsia="Times New Roman" w:cs="Arial"/>
          <w:color w:val="000000"/>
          <w:lang w:eastAsia="bg-BG"/>
        </w:rPr>
        <w:t>И двата компонента на тези съставни крайни точки - смъртността и заболеваемостта (хоспитализация поради ХСН) са допринесли за благоприятните ефекти на кандесартан</w:t>
      </w:r>
    </w:p>
    <w:p w14:paraId="2D72A4E6" w14:textId="18C1B16A" w:rsidR="00DA6AE5" w:rsidRDefault="00DA6AE5" w:rsidP="00DA6AE5">
      <w:pPr>
        <w:spacing w:line="240" w:lineRule="auto"/>
        <w:rPr>
          <w:rFonts w:eastAsia="Times New Roman" w:cs="Arial"/>
          <w:color w:val="000000"/>
          <w:lang w:eastAsia="bg-BG"/>
        </w:rPr>
      </w:pPr>
      <w:r w:rsidRPr="00DA6AE5">
        <w:rPr>
          <w:rFonts w:eastAsia="Times New Roman" w:cs="Arial"/>
          <w:color w:val="000000"/>
          <w:lang w:eastAsia="bg-BG"/>
        </w:rPr>
        <w:t>Лечението с кандесартан цилексетил е довело до подобряване на функционалния клас по</w:t>
      </w:r>
      <w:r w:rsidRPr="00DA6AE5">
        <w:rPr>
          <w:rFonts w:eastAsia="Times New Roman" w:cs="Arial"/>
          <w:lang w:val="ru-RU"/>
        </w:rPr>
        <w:t xml:space="preserve"> </w:t>
      </w:r>
      <w:r w:rsidRPr="00DA6AE5">
        <w:rPr>
          <w:rFonts w:eastAsia="Times New Roman" w:cs="Arial"/>
          <w:color w:val="000000"/>
          <w:lang w:val="en-US"/>
        </w:rPr>
        <w:t>NYH</w:t>
      </w:r>
      <w:r w:rsidRPr="00DA6AE5">
        <w:rPr>
          <w:rFonts w:eastAsia="Times New Roman" w:cs="Arial"/>
          <w:color w:val="000000"/>
          <w:lang w:eastAsia="bg-BG"/>
        </w:rPr>
        <w:t>А (р=0,008).</w:t>
      </w:r>
    </w:p>
    <w:p w14:paraId="59BFF976" w14:textId="34D2086C" w:rsidR="00DA6AE5" w:rsidRDefault="00DA6AE5" w:rsidP="00DA6AE5">
      <w:pPr>
        <w:spacing w:line="240" w:lineRule="auto"/>
        <w:rPr>
          <w:rFonts w:eastAsia="Times New Roman" w:cs="Arial"/>
          <w:color w:val="000000"/>
          <w:lang w:eastAsia="bg-BG"/>
        </w:rPr>
      </w:pPr>
    </w:p>
    <w:p w14:paraId="7DEA9A44" w14:textId="77777777" w:rsidR="00DA6AE5" w:rsidRPr="00DA6AE5" w:rsidRDefault="00DA6AE5" w:rsidP="00DA6AE5">
      <w:pPr>
        <w:spacing w:line="240" w:lineRule="auto"/>
        <w:rPr>
          <w:rFonts w:eastAsia="Times New Roman" w:cs="Arial"/>
        </w:rPr>
      </w:pPr>
      <w:r w:rsidRPr="00DA6AE5">
        <w:rPr>
          <w:rFonts w:eastAsia="Times New Roman" w:cs="Arial"/>
          <w:color w:val="000000"/>
          <w:lang w:eastAsia="bg-BG"/>
        </w:rPr>
        <w:t xml:space="preserve">В </w:t>
      </w:r>
      <w:r w:rsidRPr="00DA6AE5">
        <w:rPr>
          <w:rFonts w:eastAsia="Times New Roman" w:cs="Arial"/>
          <w:color w:val="000000"/>
          <w:lang w:val="en-US"/>
        </w:rPr>
        <w:t>CHARM</w:t>
      </w:r>
      <w:r w:rsidRPr="00DA6AE5">
        <w:rPr>
          <w:rFonts w:eastAsia="Times New Roman" w:cs="Arial"/>
          <w:color w:val="000000"/>
          <w:lang w:eastAsia="bg-BG"/>
        </w:rPr>
        <w:t xml:space="preserve">-Допълнителна, съставната крайна точка от сърдечно-съдова смъртност или първа хоспитализация на ХСН е била значително намалена с кандесартан в сравнение с плацебо </w:t>
      </w:r>
      <w:r w:rsidRPr="00DA6AE5">
        <w:rPr>
          <w:rFonts w:eastAsia="Times New Roman" w:cs="Arial"/>
          <w:color w:val="000000"/>
          <w:lang w:val="ru-RU"/>
        </w:rPr>
        <w:t>(</w:t>
      </w:r>
      <w:r w:rsidRPr="00DA6AE5">
        <w:rPr>
          <w:rFonts w:eastAsia="Times New Roman" w:cs="Arial"/>
          <w:color w:val="000000"/>
          <w:lang w:val="en-US"/>
        </w:rPr>
        <w:t>HR</w:t>
      </w:r>
      <w:r w:rsidRPr="00DA6AE5">
        <w:rPr>
          <w:rFonts w:eastAsia="Times New Roman" w:cs="Arial"/>
          <w:color w:val="000000"/>
          <w:lang w:val="ru-RU"/>
        </w:rPr>
        <w:t xml:space="preserve"> </w:t>
      </w:r>
      <w:r w:rsidRPr="00DA6AE5">
        <w:rPr>
          <w:rFonts w:eastAsia="Times New Roman" w:cs="Arial"/>
          <w:color w:val="000000"/>
          <w:lang w:eastAsia="bg-BG"/>
        </w:rPr>
        <w:t xml:space="preserve">0,85, 95% </w:t>
      </w:r>
      <w:r w:rsidRPr="00DA6AE5">
        <w:rPr>
          <w:rFonts w:eastAsia="Times New Roman" w:cs="Arial"/>
          <w:color w:val="000000"/>
          <w:lang w:val="en-US"/>
        </w:rPr>
        <w:t>CI</w:t>
      </w:r>
      <w:r w:rsidRPr="00DA6AE5">
        <w:rPr>
          <w:rFonts w:eastAsia="Times New Roman" w:cs="Arial"/>
          <w:color w:val="000000"/>
          <w:lang w:val="ru-RU"/>
        </w:rPr>
        <w:t xml:space="preserve"> </w:t>
      </w:r>
      <w:r w:rsidRPr="00DA6AE5">
        <w:rPr>
          <w:rFonts w:eastAsia="Times New Roman" w:cs="Arial"/>
          <w:color w:val="000000"/>
          <w:lang w:eastAsia="bg-BG"/>
        </w:rPr>
        <w:t xml:space="preserve">0,75-0,96, р=0,011). Това съответства на намаление на относителния риск с 15%. От 37,9% (95% </w:t>
      </w:r>
      <w:r w:rsidRPr="00DA6AE5">
        <w:rPr>
          <w:rFonts w:eastAsia="Times New Roman" w:cs="Arial"/>
          <w:color w:val="000000"/>
          <w:lang w:val="en-US"/>
        </w:rPr>
        <w:t>CI</w:t>
      </w:r>
      <w:r w:rsidRPr="00DA6AE5">
        <w:rPr>
          <w:rFonts w:eastAsia="Times New Roman" w:cs="Arial"/>
          <w:color w:val="000000"/>
          <w:lang w:val="ru-RU"/>
        </w:rPr>
        <w:t xml:space="preserve">: </w:t>
      </w:r>
      <w:r w:rsidRPr="00DA6AE5">
        <w:rPr>
          <w:rFonts w:eastAsia="Times New Roman" w:cs="Arial"/>
          <w:color w:val="000000"/>
          <w:lang w:eastAsia="bg-BG"/>
        </w:rPr>
        <w:t xml:space="preserve">35,2 до 40,6) пациенти на кандесартан и 42,3% (95% </w:t>
      </w:r>
      <w:r w:rsidRPr="00DA6AE5">
        <w:rPr>
          <w:rFonts w:eastAsia="Times New Roman" w:cs="Arial"/>
          <w:color w:val="000000"/>
          <w:lang w:val="en-US"/>
        </w:rPr>
        <w:t>CI</w:t>
      </w:r>
      <w:r w:rsidRPr="00DA6AE5">
        <w:rPr>
          <w:rFonts w:eastAsia="Times New Roman" w:cs="Arial"/>
          <w:color w:val="000000"/>
          <w:lang w:val="ru-RU"/>
        </w:rPr>
        <w:t xml:space="preserve">: </w:t>
      </w:r>
      <w:r w:rsidRPr="00DA6AE5">
        <w:rPr>
          <w:rFonts w:eastAsia="Times New Roman" w:cs="Arial"/>
          <w:color w:val="000000"/>
          <w:lang w:eastAsia="bg-BG"/>
        </w:rPr>
        <w:t xml:space="preserve">39,6 до 45,1) и пациенти на плацебо са достигнали тази крайна точка, абсолютна разлика 4,4% (95% </w:t>
      </w:r>
      <w:r w:rsidRPr="00DA6AE5">
        <w:rPr>
          <w:rFonts w:eastAsia="Times New Roman" w:cs="Arial"/>
          <w:color w:val="000000"/>
          <w:lang w:val="en-US"/>
        </w:rPr>
        <w:t>CI</w:t>
      </w:r>
      <w:r w:rsidRPr="00DA6AE5">
        <w:rPr>
          <w:rFonts w:eastAsia="Times New Roman" w:cs="Arial"/>
          <w:color w:val="000000"/>
          <w:lang w:val="ru-RU"/>
        </w:rPr>
        <w:t xml:space="preserve">: </w:t>
      </w:r>
      <w:r w:rsidRPr="00DA6AE5">
        <w:rPr>
          <w:rFonts w:eastAsia="Times New Roman" w:cs="Arial"/>
          <w:color w:val="000000"/>
          <w:lang w:eastAsia="bg-BG"/>
        </w:rPr>
        <w:t>8,2 до 0,6).</w:t>
      </w:r>
    </w:p>
    <w:p w14:paraId="2C2D2993" w14:textId="77777777" w:rsidR="00DA6AE5" w:rsidRPr="00DA6AE5" w:rsidRDefault="00DA6AE5" w:rsidP="00DA6AE5">
      <w:pPr>
        <w:spacing w:line="240" w:lineRule="auto"/>
        <w:rPr>
          <w:rFonts w:eastAsia="Times New Roman" w:cs="Arial"/>
        </w:rPr>
      </w:pPr>
      <w:r w:rsidRPr="00DA6AE5">
        <w:rPr>
          <w:rFonts w:eastAsia="Times New Roman" w:cs="Arial"/>
          <w:color w:val="000000"/>
          <w:lang w:eastAsia="bg-BG"/>
        </w:rPr>
        <w:t xml:space="preserve">Двадесет и три пациента е трябвало да бъдат лекувани в продължение на цялото изпитване, за да се предотврати смъртта на един болен от сърдечно-съдово събитие или да се хоспитализира за лечение на сърдечна недостатъчност. Съставната крайна точка от смъртност от всякаква причина или първа хоспитализация поради ХСН е била също значимо намалена с кандесартан (РК 0,87, 95% </w:t>
      </w:r>
      <w:r w:rsidRPr="00DA6AE5">
        <w:rPr>
          <w:rFonts w:eastAsia="Times New Roman" w:cs="Arial"/>
          <w:color w:val="000000"/>
          <w:lang w:val="en-US"/>
        </w:rPr>
        <w:t>CI</w:t>
      </w:r>
      <w:r w:rsidRPr="00DA6AE5">
        <w:rPr>
          <w:rFonts w:eastAsia="Times New Roman" w:cs="Arial"/>
          <w:color w:val="000000"/>
          <w:lang w:val="ru-RU"/>
        </w:rPr>
        <w:t xml:space="preserve"> </w:t>
      </w:r>
      <w:r w:rsidRPr="00DA6AE5">
        <w:rPr>
          <w:rFonts w:eastAsia="Times New Roman" w:cs="Arial"/>
          <w:color w:val="000000"/>
          <w:lang w:eastAsia="bg-BG"/>
        </w:rPr>
        <w:t xml:space="preserve">0,78-0,98, р=0,021). От 42,2% (95% </w:t>
      </w:r>
      <w:r w:rsidRPr="00DA6AE5">
        <w:rPr>
          <w:rFonts w:eastAsia="Times New Roman" w:cs="Arial"/>
          <w:color w:val="000000"/>
          <w:lang w:val="en-US"/>
        </w:rPr>
        <w:t>CI</w:t>
      </w:r>
      <w:r w:rsidRPr="00DA6AE5">
        <w:rPr>
          <w:rFonts w:eastAsia="Times New Roman" w:cs="Arial"/>
          <w:color w:val="000000"/>
          <w:lang w:val="ru-RU"/>
        </w:rPr>
        <w:t xml:space="preserve">: </w:t>
      </w:r>
      <w:r w:rsidRPr="00DA6AE5">
        <w:rPr>
          <w:rFonts w:eastAsia="Times New Roman" w:cs="Arial"/>
          <w:color w:val="000000"/>
          <w:lang w:eastAsia="bg-BG"/>
        </w:rPr>
        <w:t xml:space="preserve">39,5 до 45,0) пациенти на кандесартан 46,1 % (95% </w:t>
      </w:r>
      <w:r w:rsidRPr="00DA6AE5">
        <w:rPr>
          <w:rFonts w:eastAsia="Times New Roman" w:cs="Arial"/>
          <w:color w:val="000000"/>
          <w:lang w:val="en-US"/>
        </w:rPr>
        <w:t>CI</w:t>
      </w:r>
      <w:r w:rsidRPr="00DA6AE5">
        <w:rPr>
          <w:rFonts w:eastAsia="Times New Roman" w:cs="Arial"/>
          <w:color w:val="000000"/>
          <w:lang w:val="ru-RU"/>
        </w:rPr>
        <w:t xml:space="preserve">: </w:t>
      </w:r>
      <w:r w:rsidRPr="00DA6AE5">
        <w:rPr>
          <w:rFonts w:eastAsia="Times New Roman" w:cs="Arial"/>
          <w:color w:val="000000"/>
          <w:lang w:eastAsia="bg-BG"/>
        </w:rPr>
        <w:t xml:space="preserve">43,4 до 48,9) и пациенти на плацебо са достигнали тази крайна точка, абсолютна разлика 3,9% (95% </w:t>
      </w:r>
      <w:r w:rsidRPr="00DA6AE5">
        <w:rPr>
          <w:rFonts w:eastAsia="Times New Roman" w:cs="Arial"/>
          <w:color w:val="000000"/>
          <w:lang w:val="en-US"/>
        </w:rPr>
        <w:t>CI</w:t>
      </w:r>
      <w:r w:rsidRPr="00DA6AE5">
        <w:rPr>
          <w:rFonts w:eastAsia="Times New Roman" w:cs="Arial"/>
          <w:color w:val="000000"/>
          <w:lang w:val="ru-RU"/>
        </w:rPr>
        <w:t xml:space="preserve">: </w:t>
      </w:r>
      <w:r w:rsidRPr="00DA6AE5">
        <w:rPr>
          <w:rFonts w:eastAsia="Times New Roman" w:cs="Arial"/>
          <w:color w:val="000000"/>
          <w:lang w:eastAsia="bg-BG"/>
        </w:rPr>
        <w:t>7,8 до 0,1).</w:t>
      </w:r>
    </w:p>
    <w:p w14:paraId="5BA0C471" w14:textId="77777777" w:rsidR="00DA6AE5" w:rsidRPr="00DA6AE5" w:rsidRDefault="00DA6AE5" w:rsidP="00DA6AE5">
      <w:pPr>
        <w:spacing w:line="240" w:lineRule="auto"/>
        <w:rPr>
          <w:rFonts w:eastAsia="Times New Roman" w:cs="Arial"/>
        </w:rPr>
      </w:pPr>
      <w:r w:rsidRPr="00DA6AE5">
        <w:rPr>
          <w:rFonts w:eastAsia="Times New Roman" w:cs="Arial"/>
          <w:color w:val="000000"/>
          <w:lang w:eastAsia="bg-BG"/>
        </w:rPr>
        <w:t xml:space="preserve">И двата компонента на тези съставни крайни точки - смъртността и заболеваемостта (хоспитализация поради ХСН) са допринесли за благоприятните ефекти на кандесартан. Лечението с кандесартан е довело до подобряване на функционалния клас по </w:t>
      </w:r>
      <w:r w:rsidRPr="00DA6AE5">
        <w:rPr>
          <w:rFonts w:eastAsia="Times New Roman" w:cs="Arial"/>
          <w:color w:val="000000"/>
          <w:lang w:val="en-US"/>
        </w:rPr>
        <w:t>NYHA</w:t>
      </w:r>
      <w:r w:rsidRPr="00DA6AE5">
        <w:rPr>
          <w:rFonts w:eastAsia="Times New Roman" w:cs="Arial"/>
          <w:color w:val="000000"/>
          <w:lang w:val="ru-RU"/>
        </w:rPr>
        <w:t xml:space="preserve"> </w:t>
      </w:r>
      <w:r w:rsidRPr="00DA6AE5">
        <w:rPr>
          <w:rFonts w:eastAsia="Times New Roman" w:cs="Arial"/>
          <w:color w:val="000000"/>
          <w:lang w:eastAsia="bg-BG"/>
        </w:rPr>
        <w:t>(р=0,020).</w:t>
      </w:r>
    </w:p>
    <w:p w14:paraId="5BD9DCDC" w14:textId="77777777" w:rsidR="00DA6AE5" w:rsidRDefault="00DA6AE5" w:rsidP="00DA6AE5">
      <w:pPr>
        <w:spacing w:line="240" w:lineRule="auto"/>
        <w:rPr>
          <w:rFonts w:eastAsia="Times New Roman" w:cs="Arial"/>
          <w:color w:val="000000"/>
          <w:lang w:eastAsia="bg-BG"/>
        </w:rPr>
      </w:pPr>
    </w:p>
    <w:p w14:paraId="419D0D4D" w14:textId="3AA15F82" w:rsidR="00DA6AE5" w:rsidRPr="00DA6AE5" w:rsidRDefault="00DA6AE5" w:rsidP="00DA6AE5">
      <w:pPr>
        <w:spacing w:line="240" w:lineRule="auto"/>
        <w:rPr>
          <w:rFonts w:eastAsia="Times New Roman" w:cs="Arial"/>
        </w:rPr>
      </w:pPr>
      <w:r w:rsidRPr="00DA6AE5">
        <w:rPr>
          <w:rFonts w:eastAsia="Times New Roman" w:cs="Arial"/>
          <w:color w:val="000000"/>
          <w:lang w:eastAsia="bg-BG"/>
        </w:rPr>
        <w:t xml:space="preserve">В </w:t>
      </w:r>
      <w:r w:rsidRPr="00DA6AE5">
        <w:rPr>
          <w:rFonts w:eastAsia="Times New Roman" w:cs="Arial"/>
          <w:color w:val="000000"/>
          <w:lang w:val="en-US"/>
        </w:rPr>
        <w:t>CHARM</w:t>
      </w:r>
      <w:r w:rsidRPr="00DA6AE5">
        <w:rPr>
          <w:rFonts w:eastAsia="Times New Roman" w:cs="Arial"/>
          <w:color w:val="000000"/>
          <w:lang w:eastAsia="bg-BG"/>
        </w:rPr>
        <w:t xml:space="preserve">-Запазена. не е постигнато статистически значимо намаление на съставната крайна точка от сърдечно-съдова смъртност или първа хоспитализация поради ХСН (РК 0,89,95% </w:t>
      </w:r>
      <w:r w:rsidRPr="00DA6AE5">
        <w:rPr>
          <w:rFonts w:eastAsia="Times New Roman" w:cs="Arial"/>
          <w:color w:val="000000"/>
          <w:lang w:val="en-US"/>
        </w:rPr>
        <w:t>CI</w:t>
      </w:r>
      <w:r w:rsidRPr="00DA6AE5">
        <w:rPr>
          <w:rFonts w:eastAsia="Times New Roman" w:cs="Arial"/>
          <w:color w:val="000000"/>
          <w:lang w:val="ru-RU"/>
        </w:rPr>
        <w:t xml:space="preserve"> </w:t>
      </w:r>
      <w:r w:rsidRPr="00DA6AE5">
        <w:rPr>
          <w:rFonts w:eastAsia="Times New Roman" w:cs="Arial"/>
          <w:color w:val="000000"/>
          <w:lang w:eastAsia="bg-BG"/>
        </w:rPr>
        <w:t>0,77 до 1,03, р=0,118).</w:t>
      </w:r>
    </w:p>
    <w:p w14:paraId="41140C2E" w14:textId="77777777" w:rsidR="00DA6AE5" w:rsidRPr="00DA6AE5" w:rsidRDefault="00DA6AE5" w:rsidP="00DA6AE5">
      <w:pPr>
        <w:spacing w:line="240" w:lineRule="auto"/>
        <w:rPr>
          <w:rFonts w:eastAsia="Times New Roman" w:cs="Arial"/>
        </w:rPr>
      </w:pPr>
      <w:r w:rsidRPr="00DA6AE5">
        <w:rPr>
          <w:rFonts w:eastAsia="Times New Roman" w:cs="Arial"/>
          <w:color w:val="000000"/>
          <w:lang w:eastAsia="bg-BG"/>
        </w:rPr>
        <w:t xml:space="preserve">Смъртността поради всякакви причини не е била статистически значима при изследване поотделно на всяко от трите проучвания на </w:t>
      </w:r>
      <w:r w:rsidRPr="00DA6AE5">
        <w:rPr>
          <w:rFonts w:eastAsia="Times New Roman" w:cs="Arial"/>
          <w:color w:val="000000"/>
          <w:lang w:val="en-US"/>
        </w:rPr>
        <w:t>CHARM</w:t>
      </w:r>
      <w:r w:rsidRPr="00DA6AE5">
        <w:rPr>
          <w:rFonts w:eastAsia="Times New Roman" w:cs="Arial"/>
          <w:color w:val="000000"/>
          <w:lang w:val="ru-RU"/>
        </w:rPr>
        <w:t xml:space="preserve">. </w:t>
      </w:r>
      <w:r w:rsidRPr="00DA6AE5">
        <w:rPr>
          <w:rFonts w:eastAsia="Times New Roman" w:cs="Arial"/>
          <w:color w:val="000000"/>
          <w:lang w:eastAsia="bg-BG"/>
        </w:rPr>
        <w:t xml:space="preserve">Смъртността поради всякакви причини обаче е била изследвана и при обощените данни от популациите, </w:t>
      </w:r>
      <w:r w:rsidRPr="00DA6AE5">
        <w:rPr>
          <w:rFonts w:eastAsia="Times New Roman" w:cs="Arial"/>
          <w:color w:val="000000"/>
          <w:lang w:val="en-US"/>
        </w:rPr>
        <w:t>CHARM</w:t>
      </w:r>
      <w:r w:rsidRPr="00DA6AE5">
        <w:rPr>
          <w:rFonts w:eastAsia="Times New Roman" w:cs="Arial"/>
          <w:color w:val="000000"/>
          <w:lang w:eastAsia="bg-BG"/>
        </w:rPr>
        <w:t xml:space="preserve">-Алтернативна и </w:t>
      </w:r>
      <w:r w:rsidRPr="00DA6AE5">
        <w:rPr>
          <w:rFonts w:eastAsia="Times New Roman" w:cs="Arial"/>
          <w:color w:val="000000"/>
          <w:lang w:val="en-US"/>
        </w:rPr>
        <w:t>CHARM</w:t>
      </w:r>
      <w:r w:rsidRPr="00DA6AE5">
        <w:rPr>
          <w:rFonts w:eastAsia="Times New Roman" w:cs="Arial"/>
          <w:color w:val="000000"/>
          <w:lang w:val="ru-RU"/>
        </w:rPr>
        <w:t>-</w:t>
      </w:r>
      <w:r w:rsidRPr="00DA6AE5">
        <w:rPr>
          <w:rFonts w:eastAsia="Times New Roman" w:cs="Arial"/>
          <w:color w:val="000000"/>
          <w:lang w:eastAsia="bg-BG"/>
        </w:rPr>
        <w:t xml:space="preserve">Добавена (РК 0,88,95% </w:t>
      </w:r>
      <w:r w:rsidRPr="00DA6AE5">
        <w:rPr>
          <w:rFonts w:eastAsia="Times New Roman" w:cs="Arial"/>
          <w:color w:val="000000"/>
          <w:lang w:val="en-US"/>
        </w:rPr>
        <w:t>CI</w:t>
      </w:r>
      <w:r w:rsidRPr="00DA6AE5">
        <w:rPr>
          <w:rFonts w:eastAsia="Times New Roman" w:cs="Arial"/>
          <w:color w:val="000000"/>
          <w:lang w:val="ru-RU"/>
        </w:rPr>
        <w:t xml:space="preserve"> </w:t>
      </w:r>
      <w:r w:rsidRPr="00DA6AE5">
        <w:rPr>
          <w:rFonts w:eastAsia="Times New Roman" w:cs="Arial"/>
          <w:color w:val="000000"/>
          <w:lang w:eastAsia="bg-BG"/>
        </w:rPr>
        <w:t xml:space="preserve">0,79 до 0,98, р=0,018) и при всичките три проучвания (РК 0,91,95% </w:t>
      </w:r>
      <w:r w:rsidRPr="00DA6AE5">
        <w:rPr>
          <w:rFonts w:eastAsia="Times New Roman" w:cs="Arial"/>
          <w:color w:val="000000"/>
          <w:lang w:val="en-US"/>
        </w:rPr>
        <w:t>CI</w:t>
      </w:r>
      <w:r w:rsidRPr="00DA6AE5">
        <w:rPr>
          <w:rFonts w:eastAsia="Times New Roman" w:cs="Arial"/>
          <w:color w:val="000000"/>
          <w:lang w:val="ru-RU"/>
        </w:rPr>
        <w:t xml:space="preserve"> </w:t>
      </w:r>
      <w:r w:rsidRPr="00DA6AE5">
        <w:rPr>
          <w:rFonts w:eastAsia="Times New Roman" w:cs="Arial"/>
          <w:color w:val="000000"/>
          <w:lang w:eastAsia="bg-BG"/>
        </w:rPr>
        <w:t>0,83-1,00, р-0,055).</w:t>
      </w:r>
    </w:p>
    <w:p w14:paraId="63AD3839" w14:textId="77777777" w:rsidR="00DA6AE5" w:rsidRDefault="00DA6AE5" w:rsidP="00DA6AE5">
      <w:pPr>
        <w:spacing w:line="240" w:lineRule="auto"/>
        <w:rPr>
          <w:rFonts w:eastAsia="Times New Roman" w:cs="Arial"/>
          <w:color w:val="000000"/>
          <w:lang w:eastAsia="bg-BG"/>
        </w:rPr>
      </w:pPr>
    </w:p>
    <w:p w14:paraId="392405F2" w14:textId="4FFACD92" w:rsidR="00DA6AE5" w:rsidRPr="00DA6AE5" w:rsidRDefault="00DA6AE5" w:rsidP="00DA6AE5">
      <w:pPr>
        <w:spacing w:line="240" w:lineRule="auto"/>
        <w:rPr>
          <w:rFonts w:eastAsia="Times New Roman" w:cs="Arial"/>
        </w:rPr>
      </w:pPr>
      <w:r w:rsidRPr="00DA6AE5">
        <w:rPr>
          <w:rFonts w:eastAsia="Times New Roman" w:cs="Arial"/>
          <w:color w:val="000000"/>
          <w:lang w:eastAsia="bg-BG"/>
        </w:rPr>
        <w:t>Благоприятните ефекти на кандесартан са били постоянни, независимо от възрастта, пола и съпътстващото медикаментозно лечение. Кандесартан е бил ефективен и при пациенти, лекувани едновременно с бета-блокери и АСЕ инхибитори, и е получена полза независимо дали пациентите са приемали АСЕ инхибитори в таргетната доза, препоръчвана в ръководствата за лечение.</w:t>
      </w:r>
    </w:p>
    <w:p w14:paraId="3604E876" w14:textId="77777777" w:rsidR="00DA6AE5" w:rsidRPr="00DA6AE5" w:rsidRDefault="00DA6AE5" w:rsidP="00DA6AE5">
      <w:pPr>
        <w:spacing w:line="240" w:lineRule="auto"/>
        <w:rPr>
          <w:rFonts w:eastAsia="Times New Roman" w:cs="Arial"/>
        </w:rPr>
      </w:pPr>
      <w:r w:rsidRPr="00DA6AE5">
        <w:rPr>
          <w:rFonts w:eastAsia="Times New Roman" w:cs="Arial"/>
          <w:color w:val="000000"/>
          <w:lang w:eastAsia="bg-BG"/>
        </w:rPr>
        <w:t xml:space="preserve">При пациенти с ХСН и отслабена левокамерна систолна функция (левокамерна фракция на изтласкване, </w:t>
      </w:r>
      <w:r w:rsidRPr="00DA6AE5">
        <w:rPr>
          <w:rFonts w:eastAsia="Times New Roman" w:cs="Arial"/>
          <w:color w:val="000000"/>
          <w:lang w:val="en-US"/>
        </w:rPr>
        <w:t>LVEF</w:t>
      </w:r>
      <w:r w:rsidRPr="00DA6AE5">
        <w:rPr>
          <w:rFonts w:eastAsia="Times New Roman" w:cs="Arial"/>
          <w:color w:val="000000"/>
          <w:lang w:val="ru-RU"/>
        </w:rPr>
        <w:t xml:space="preserve"> </w:t>
      </w:r>
      <w:r w:rsidRPr="00DA6AE5">
        <w:rPr>
          <w:rFonts w:eastAsia="Times New Roman" w:cs="Arial"/>
          <w:color w:val="000000"/>
          <w:lang w:eastAsia="bg-BG"/>
        </w:rPr>
        <w:t>≤ 40%), кандесартан намалява системното съдово съпротивление и белодробното капилярно налягане, увеличава активността на плазмения ренин и концентрацията на ангиотензин II и намалява нивата на алдостерон.</w:t>
      </w:r>
    </w:p>
    <w:p w14:paraId="0DF26332" w14:textId="77777777" w:rsidR="00DA6AE5" w:rsidRDefault="00DA6AE5" w:rsidP="00DA6AE5">
      <w:pPr>
        <w:spacing w:line="240" w:lineRule="auto"/>
        <w:rPr>
          <w:rFonts w:eastAsia="Times New Roman" w:cs="Arial"/>
          <w:color w:val="000000"/>
          <w:lang w:eastAsia="bg-BG"/>
        </w:rPr>
      </w:pPr>
    </w:p>
    <w:p w14:paraId="7556BEA5" w14:textId="0752C8EA" w:rsidR="00DA6AE5" w:rsidRPr="00DA6AE5" w:rsidRDefault="00DA6AE5" w:rsidP="00DA6AE5">
      <w:pPr>
        <w:spacing w:line="240" w:lineRule="auto"/>
        <w:rPr>
          <w:rFonts w:eastAsia="Times New Roman" w:cs="Arial"/>
        </w:rPr>
      </w:pPr>
      <w:r w:rsidRPr="00DA6AE5">
        <w:rPr>
          <w:rFonts w:eastAsia="Times New Roman" w:cs="Arial"/>
          <w:color w:val="000000"/>
          <w:lang w:eastAsia="bg-BG"/>
        </w:rPr>
        <w:t xml:space="preserve">Две големи рандомизирани контролирани проучвания - </w:t>
      </w:r>
      <w:r w:rsidRPr="00DA6AE5">
        <w:rPr>
          <w:rFonts w:eastAsia="Times New Roman" w:cs="Arial"/>
          <w:color w:val="000000"/>
          <w:lang w:val="en-US"/>
        </w:rPr>
        <w:t>ONTARGET</w:t>
      </w:r>
      <w:r w:rsidRPr="00DA6AE5">
        <w:rPr>
          <w:rFonts w:eastAsia="Times New Roman" w:cs="Arial"/>
          <w:color w:val="000000"/>
        </w:rPr>
        <w:t xml:space="preserve"> (</w:t>
      </w:r>
      <w:proofErr w:type="spellStart"/>
      <w:r w:rsidRPr="00DA6AE5">
        <w:rPr>
          <w:rFonts w:eastAsia="Times New Roman" w:cs="Arial"/>
          <w:color w:val="000000"/>
          <w:lang w:val="en-US"/>
        </w:rPr>
        <w:t>ONgoing</w:t>
      </w:r>
      <w:proofErr w:type="spellEnd"/>
      <w:r w:rsidRPr="00DA6AE5">
        <w:rPr>
          <w:rFonts w:eastAsia="Times New Roman" w:cs="Arial"/>
          <w:color w:val="000000"/>
        </w:rPr>
        <w:t xml:space="preserve"> </w:t>
      </w:r>
      <w:proofErr w:type="spellStart"/>
      <w:r w:rsidRPr="00DA6AE5">
        <w:rPr>
          <w:rFonts w:eastAsia="Times New Roman" w:cs="Arial"/>
          <w:color w:val="000000"/>
          <w:lang w:val="en-US"/>
        </w:rPr>
        <w:t>Telmisartan</w:t>
      </w:r>
      <w:proofErr w:type="spellEnd"/>
      <w:r w:rsidRPr="00DA6AE5">
        <w:rPr>
          <w:rFonts w:eastAsia="Times New Roman" w:cs="Arial"/>
          <w:color w:val="000000"/>
        </w:rPr>
        <w:t xml:space="preserve"> </w:t>
      </w:r>
      <w:r w:rsidRPr="00DA6AE5">
        <w:rPr>
          <w:rFonts w:eastAsia="Times New Roman" w:cs="Arial"/>
          <w:color w:val="000000"/>
          <w:lang w:val="en-US"/>
        </w:rPr>
        <w:t>Alone</w:t>
      </w:r>
      <w:r w:rsidRPr="00DA6AE5">
        <w:rPr>
          <w:rFonts w:eastAsia="Times New Roman" w:cs="Arial"/>
          <w:color w:val="000000"/>
        </w:rPr>
        <w:t xml:space="preserve"> </w:t>
      </w:r>
      <w:r w:rsidRPr="00DA6AE5">
        <w:rPr>
          <w:rFonts w:eastAsia="Times New Roman" w:cs="Arial"/>
          <w:color w:val="000000"/>
          <w:lang w:val="en-US"/>
        </w:rPr>
        <w:t>and</w:t>
      </w:r>
      <w:r w:rsidRPr="00DA6AE5">
        <w:rPr>
          <w:rFonts w:eastAsia="Times New Roman" w:cs="Arial"/>
          <w:color w:val="000000"/>
        </w:rPr>
        <w:t xml:space="preserve"> </w:t>
      </w:r>
      <w:r w:rsidRPr="00DA6AE5">
        <w:rPr>
          <w:rFonts w:eastAsia="Times New Roman" w:cs="Arial"/>
          <w:color w:val="000000"/>
          <w:lang w:val="en-US"/>
        </w:rPr>
        <w:t>in</w:t>
      </w:r>
      <w:r w:rsidRPr="00DA6AE5">
        <w:rPr>
          <w:rFonts w:eastAsia="Times New Roman" w:cs="Arial"/>
          <w:color w:val="000000"/>
        </w:rPr>
        <w:t xml:space="preserve"> </w:t>
      </w:r>
      <w:r w:rsidRPr="00DA6AE5">
        <w:rPr>
          <w:rFonts w:eastAsia="Times New Roman" w:cs="Arial"/>
          <w:color w:val="000000"/>
          <w:lang w:val="en-US"/>
        </w:rPr>
        <w:t>combination</w:t>
      </w:r>
      <w:r w:rsidRPr="00DA6AE5">
        <w:rPr>
          <w:rFonts w:eastAsia="Times New Roman" w:cs="Arial"/>
          <w:color w:val="000000"/>
        </w:rPr>
        <w:t xml:space="preserve"> </w:t>
      </w:r>
      <w:r w:rsidRPr="00DA6AE5">
        <w:rPr>
          <w:rFonts w:eastAsia="Times New Roman" w:cs="Arial"/>
          <w:color w:val="000000"/>
          <w:lang w:val="en-US"/>
        </w:rPr>
        <w:t>with</w:t>
      </w:r>
      <w:r w:rsidRPr="00DA6AE5">
        <w:rPr>
          <w:rFonts w:eastAsia="Times New Roman" w:cs="Arial"/>
          <w:color w:val="000000"/>
        </w:rPr>
        <w:t xml:space="preserve"> </w:t>
      </w:r>
      <w:r w:rsidRPr="00DA6AE5">
        <w:rPr>
          <w:rFonts w:eastAsia="Times New Roman" w:cs="Arial"/>
          <w:color w:val="000000"/>
          <w:lang w:val="en-US"/>
        </w:rPr>
        <w:t>Ramipril</w:t>
      </w:r>
      <w:r w:rsidRPr="00DA6AE5">
        <w:rPr>
          <w:rFonts w:eastAsia="Times New Roman" w:cs="Arial"/>
          <w:color w:val="000000"/>
        </w:rPr>
        <w:t xml:space="preserve"> </w:t>
      </w:r>
      <w:r w:rsidRPr="00DA6AE5">
        <w:rPr>
          <w:rFonts w:eastAsia="Times New Roman" w:cs="Arial"/>
          <w:color w:val="000000"/>
          <w:lang w:val="en-US"/>
        </w:rPr>
        <w:t>Global</w:t>
      </w:r>
      <w:r w:rsidRPr="00DA6AE5">
        <w:rPr>
          <w:rFonts w:eastAsia="Times New Roman" w:cs="Arial"/>
          <w:color w:val="000000"/>
        </w:rPr>
        <w:t xml:space="preserve"> </w:t>
      </w:r>
      <w:r w:rsidRPr="00DA6AE5">
        <w:rPr>
          <w:rFonts w:eastAsia="Times New Roman" w:cs="Arial"/>
          <w:color w:val="000000"/>
          <w:lang w:val="en-US"/>
        </w:rPr>
        <w:t>Endpoint</w:t>
      </w:r>
      <w:r w:rsidRPr="00DA6AE5">
        <w:rPr>
          <w:rFonts w:eastAsia="Times New Roman" w:cs="Arial"/>
          <w:color w:val="000000"/>
        </w:rPr>
        <w:t xml:space="preserve"> </w:t>
      </w:r>
      <w:r w:rsidRPr="00DA6AE5">
        <w:rPr>
          <w:rFonts w:eastAsia="Times New Roman" w:cs="Arial"/>
          <w:color w:val="000000"/>
          <w:lang w:val="en-US"/>
        </w:rPr>
        <w:t>Trial</w:t>
      </w:r>
      <w:r w:rsidRPr="00DA6AE5">
        <w:rPr>
          <w:rFonts w:eastAsia="Times New Roman" w:cs="Arial"/>
          <w:color w:val="000000"/>
        </w:rPr>
        <w:t xml:space="preserve"> - </w:t>
      </w:r>
      <w:r w:rsidRPr="00DA6AE5">
        <w:rPr>
          <w:rFonts w:eastAsia="Times New Roman" w:cs="Arial"/>
          <w:color w:val="000000"/>
          <w:lang w:eastAsia="bg-BG"/>
        </w:rPr>
        <w:t xml:space="preserve">текущо глобално изпитване за крайни точки на телмисартан, самостоятелно и в комбинация с рамиприл) и </w:t>
      </w:r>
      <w:r w:rsidRPr="00DA6AE5">
        <w:rPr>
          <w:rFonts w:eastAsia="Times New Roman" w:cs="Arial"/>
          <w:color w:val="000000"/>
          <w:lang w:val="en-US"/>
        </w:rPr>
        <w:t>VA</w:t>
      </w:r>
      <w:r w:rsidRPr="00DA6AE5">
        <w:rPr>
          <w:rFonts w:eastAsia="Times New Roman" w:cs="Arial"/>
          <w:color w:val="000000"/>
        </w:rPr>
        <w:t xml:space="preserve"> </w:t>
      </w:r>
      <w:r w:rsidRPr="00DA6AE5">
        <w:rPr>
          <w:rFonts w:eastAsia="Times New Roman" w:cs="Arial"/>
          <w:color w:val="000000"/>
          <w:lang w:val="en-US"/>
        </w:rPr>
        <w:t>NEPHRON</w:t>
      </w:r>
      <w:r w:rsidRPr="00DA6AE5">
        <w:rPr>
          <w:rFonts w:eastAsia="Times New Roman" w:cs="Arial"/>
          <w:color w:val="000000"/>
        </w:rPr>
        <w:t>-</w:t>
      </w:r>
      <w:r w:rsidRPr="00DA6AE5">
        <w:rPr>
          <w:rFonts w:eastAsia="Times New Roman" w:cs="Arial"/>
          <w:color w:val="000000"/>
          <w:lang w:val="en-US"/>
        </w:rPr>
        <w:t>D</w:t>
      </w:r>
      <w:r w:rsidRPr="00DA6AE5">
        <w:rPr>
          <w:rFonts w:eastAsia="Times New Roman" w:cs="Arial"/>
          <w:color w:val="000000"/>
        </w:rPr>
        <w:t xml:space="preserve"> </w:t>
      </w:r>
      <w:r w:rsidRPr="00DA6AE5">
        <w:rPr>
          <w:rFonts w:eastAsia="Times New Roman" w:cs="Arial"/>
          <w:color w:val="000000"/>
          <w:lang w:eastAsia="bg-BG"/>
        </w:rPr>
        <w:t xml:space="preserve">(Клинично проучване свързано с развитие на нефропатия при диабет, проведено от Министерство по въпросите на ветераните) - проучват употребата на комбинацията от АСЕ инхибитор и ангиотензин </w:t>
      </w:r>
      <w:r w:rsidRPr="00DA6AE5">
        <w:rPr>
          <w:rFonts w:eastAsia="Times New Roman" w:cs="Arial"/>
          <w:color w:val="000000"/>
          <w:lang w:val="en-US"/>
        </w:rPr>
        <w:t>II</w:t>
      </w:r>
      <w:r w:rsidRPr="00DA6AE5">
        <w:rPr>
          <w:rFonts w:eastAsia="Times New Roman" w:cs="Arial"/>
          <w:color w:val="000000"/>
          <w:lang w:eastAsia="bg-BG"/>
        </w:rPr>
        <w:t>-рецепторен блокер.</w:t>
      </w:r>
    </w:p>
    <w:p w14:paraId="1BDCC099" w14:textId="77777777" w:rsidR="00DA6AE5" w:rsidRPr="00DA6AE5" w:rsidRDefault="00DA6AE5" w:rsidP="00DA6AE5">
      <w:pPr>
        <w:spacing w:line="240" w:lineRule="auto"/>
        <w:rPr>
          <w:rFonts w:eastAsia="Times New Roman" w:cs="Arial"/>
        </w:rPr>
      </w:pPr>
      <w:r w:rsidRPr="00DA6AE5">
        <w:rPr>
          <w:rFonts w:eastAsia="Times New Roman" w:cs="Arial"/>
          <w:color w:val="000000"/>
          <w:lang w:val="en-US"/>
        </w:rPr>
        <w:lastRenderedPageBreak/>
        <w:t>ONTARGET</w:t>
      </w:r>
      <w:r w:rsidRPr="00DA6AE5">
        <w:rPr>
          <w:rFonts w:eastAsia="Times New Roman" w:cs="Arial"/>
          <w:color w:val="000000"/>
          <w:lang w:val="ru-RU"/>
        </w:rPr>
        <w:t xml:space="preserve"> </w:t>
      </w:r>
      <w:r w:rsidRPr="00DA6AE5">
        <w:rPr>
          <w:rFonts w:eastAsia="Times New Roman" w:cs="Arial"/>
          <w:color w:val="000000"/>
          <w:lang w:eastAsia="bg-BG"/>
        </w:rPr>
        <w:t xml:space="preserve">е проучване, проведено при пациенти с анамнеза за сърдечно-съдова или мозъчносъдова болест, или захарен диабет тип 2, придружени с данни за увреждане на ефекторни органи. </w:t>
      </w:r>
      <w:r w:rsidRPr="00DA6AE5">
        <w:rPr>
          <w:rFonts w:eastAsia="Times New Roman" w:cs="Arial"/>
          <w:color w:val="000000"/>
          <w:lang w:val="en-US"/>
        </w:rPr>
        <w:t>VA</w:t>
      </w:r>
      <w:r w:rsidRPr="00DA6AE5">
        <w:rPr>
          <w:rFonts w:eastAsia="Times New Roman" w:cs="Arial"/>
          <w:color w:val="000000"/>
          <w:lang w:val="ru-RU"/>
        </w:rPr>
        <w:t xml:space="preserve"> </w:t>
      </w:r>
      <w:r w:rsidRPr="00DA6AE5">
        <w:rPr>
          <w:rFonts w:eastAsia="Times New Roman" w:cs="Arial"/>
          <w:color w:val="000000"/>
          <w:lang w:val="en-US"/>
        </w:rPr>
        <w:t>NEPHRON</w:t>
      </w:r>
      <w:r w:rsidRPr="00DA6AE5">
        <w:rPr>
          <w:rFonts w:eastAsia="Times New Roman" w:cs="Arial"/>
          <w:color w:val="000000"/>
          <w:lang w:val="ru-RU"/>
        </w:rPr>
        <w:t>-</w:t>
      </w:r>
      <w:r w:rsidRPr="00DA6AE5">
        <w:rPr>
          <w:rFonts w:eastAsia="Times New Roman" w:cs="Arial"/>
          <w:color w:val="000000"/>
          <w:lang w:val="en-US"/>
        </w:rPr>
        <w:t>D</w:t>
      </w:r>
      <w:r w:rsidRPr="00DA6AE5">
        <w:rPr>
          <w:rFonts w:eastAsia="Times New Roman" w:cs="Arial"/>
          <w:color w:val="000000"/>
          <w:lang w:val="ru-RU"/>
        </w:rPr>
        <w:t xml:space="preserve"> </w:t>
      </w:r>
      <w:r w:rsidRPr="00DA6AE5">
        <w:rPr>
          <w:rFonts w:eastAsia="Times New Roman" w:cs="Arial"/>
          <w:color w:val="000000"/>
          <w:lang w:eastAsia="bg-BG"/>
        </w:rPr>
        <w:t>е проучване при пациенти със захарен диабет тип 2 и диабетна нефропатия.</w:t>
      </w:r>
    </w:p>
    <w:p w14:paraId="7ED55C69" w14:textId="77777777" w:rsidR="00DA6AE5" w:rsidRPr="00DA6AE5" w:rsidRDefault="00DA6AE5" w:rsidP="00DA6AE5">
      <w:pPr>
        <w:spacing w:line="240" w:lineRule="auto"/>
        <w:rPr>
          <w:rFonts w:eastAsia="Times New Roman" w:cs="Arial"/>
        </w:rPr>
      </w:pPr>
      <w:r w:rsidRPr="00DA6AE5">
        <w:rPr>
          <w:rFonts w:eastAsia="Times New Roman" w:cs="Arial"/>
          <w:color w:val="000000"/>
          <w:lang w:eastAsia="bg-BG"/>
        </w:rPr>
        <w:t>Тези проучвания не показват значим благоприятен ефект върху бъбречните и/или сърдечно</w:t>
      </w:r>
      <w:r w:rsidRPr="00DA6AE5">
        <w:rPr>
          <w:rFonts w:eastAsia="Times New Roman" w:cs="Arial"/>
          <w:color w:val="000000"/>
          <w:lang w:eastAsia="bg-BG"/>
        </w:rPr>
        <w:softHyphen/>
        <w:t xml:space="preserve">съдовите последици и смъртност, като същевременно са наблюдавани повишен риск от хиперкалиемия, остро увреждане на бъбреците и/или хипотония в сравнение с монотерапията. Като се имат предвид сходните им фармакодинамичии свойства, тези резултати са приложими и за други АСЕ инхибитори и ангиотензин </w:t>
      </w:r>
      <w:r w:rsidRPr="00DA6AE5">
        <w:rPr>
          <w:rFonts w:eastAsia="Times New Roman" w:cs="Arial"/>
          <w:color w:val="000000"/>
          <w:lang w:val="en-US"/>
        </w:rPr>
        <w:t>II</w:t>
      </w:r>
      <w:r w:rsidRPr="00DA6AE5">
        <w:rPr>
          <w:rFonts w:eastAsia="Times New Roman" w:cs="Arial"/>
          <w:color w:val="000000"/>
          <w:lang w:eastAsia="bg-BG"/>
        </w:rPr>
        <w:t>-рецепторни блокери.</w:t>
      </w:r>
    </w:p>
    <w:p w14:paraId="5A471623" w14:textId="77777777" w:rsidR="00DA6AE5" w:rsidRPr="00DA6AE5" w:rsidRDefault="00DA6AE5" w:rsidP="00DA6AE5">
      <w:pPr>
        <w:spacing w:line="240" w:lineRule="auto"/>
        <w:rPr>
          <w:rFonts w:eastAsia="Times New Roman" w:cs="Arial"/>
        </w:rPr>
      </w:pPr>
      <w:r w:rsidRPr="00DA6AE5">
        <w:rPr>
          <w:rFonts w:eastAsia="Times New Roman" w:cs="Arial"/>
          <w:color w:val="000000"/>
          <w:lang w:eastAsia="bg-BG"/>
        </w:rPr>
        <w:t xml:space="preserve">АСЕ инхибитори и ангиотензин </w:t>
      </w:r>
      <w:r w:rsidRPr="00DA6AE5">
        <w:rPr>
          <w:rFonts w:eastAsia="Times New Roman" w:cs="Arial"/>
          <w:color w:val="000000"/>
          <w:lang w:val="en-US"/>
        </w:rPr>
        <w:t>II</w:t>
      </w:r>
      <w:r w:rsidRPr="00DA6AE5">
        <w:rPr>
          <w:rFonts w:eastAsia="Times New Roman" w:cs="Arial"/>
          <w:color w:val="000000"/>
          <w:lang w:eastAsia="bg-BG"/>
        </w:rPr>
        <w:t>-рецепторни блокери следователно не трябва да се използват едновременно при пациенти с диабетна нефропатия.</w:t>
      </w:r>
    </w:p>
    <w:p w14:paraId="7899E7EE" w14:textId="074AC169" w:rsidR="00DA6AE5" w:rsidRDefault="00DA6AE5" w:rsidP="00DA6AE5">
      <w:pPr>
        <w:spacing w:line="240" w:lineRule="auto"/>
      </w:pPr>
      <w:r w:rsidRPr="00DA6AE5">
        <w:rPr>
          <w:rFonts w:eastAsia="Times New Roman" w:cs="Arial"/>
          <w:color w:val="000000"/>
          <w:lang w:val="en-US"/>
        </w:rPr>
        <w:t>ALTITUDE</w:t>
      </w:r>
      <w:r w:rsidRPr="00DA6AE5">
        <w:rPr>
          <w:rFonts w:eastAsia="Times New Roman" w:cs="Arial"/>
          <w:color w:val="000000"/>
          <w:lang w:val="ru-RU"/>
        </w:rPr>
        <w:t xml:space="preserve"> </w:t>
      </w:r>
      <w:r w:rsidRPr="00DA6AE5">
        <w:rPr>
          <w:rFonts w:eastAsia="Times New Roman" w:cs="Arial"/>
          <w:color w:val="000000"/>
          <w:lang w:eastAsia="bg-BG"/>
        </w:rPr>
        <w:t>(Клинично проучване проведено с алискирен при пациенти със захарен диабет тип 2 с използване на сърдечно-съдови и бъбречни заболявания като крайни точки) е проучване</w:t>
      </w:r>
      <w:r w:rsidRPr="00DA6AE5">
        <w:rPr>
          <w:rFonts w:eastAsia="Times New Roman" w:cs="Arial"/>
          <w:color w:val="000000"/>
          <w:lang w:val="ru-RU" w:eastAsia="bg-BG"/>
        </w:rPr>
        <w:t xml:space="preserve"> </w:t>
      </w:r>
      <w:r w:rsidRPr="00DA6AE5">
        <w:t>предназначено да изследва ползата от добавянето на алискирен към стандартна терапия с АСЕ инхибитор или ангиотензин II-рецепторен блокер при пациенти със захарен диабет тип 2 и хронично бъбречно заболяване, сърдечно-съдово заболяване или и двете. Проучването е прекратено преждевременно поради повишен риск от неблагоприятни последици. Както сърдечно-съдовата смърт, така и инсултът са по-чести в групата на алискирен, отколкото в групата на плацебо, а представляващите интерес нежелани събития и сериозни нежелани събития (хиперкалиемия, хипотония и бъбречна дисфункция) се съобщават по-често в групата на алискирен, отколкото в групата на плацебо.</w:t>
      </w:r>
    </w:p>
    <w:p w14:paraId="59EA8B1F" w14:textId="77777777" w:rsidR="00DA6AE5" w:rsidRPr="00DA6AE5" w:rsidRDefault="00DA6AE5" w:rsidP="00DA6AE5">
      <w:pPr>
        <w:spacing w:line="240" w:lineRule="auto"/>
        <w:rPr>
          <w:lang w:val="ru-RU"/>
        </w:rPr>
      </w:pPr>
    </w:p>
    <w:p w14:paraId="78DD93AA" w14:textId="15E80406" w:rsidR="00B6672E" w:rsidRDefault="002C50EE" w:rsidP="00936AD0">
      <w:pPr>
        <w:pStyle w:val="Heading2"/>
      </w:pPr>
      <w:r>
        <w:t>5.2. Фармакокинетични свойства</w:t>
      </w:r>
    </w:p>
    <w:p w14:paraId="00EF12E8" w14:textId="6EB4EEA6" w:rsidR="00DA6AE5" w:rsidRDefault="00DA6AE5" w:rsidP="00DA6AE5"/>
    <w:p w14:paraId="4FE61DE8" w14:textId="77777777" w:rsidR="00DA6AE5" w:rsidRPr="00DA6AE5" w:rsidRDefault="00DA6AE5" w:rsidP="00DA6AE5">
      <w:pPr>
        <w:spacing w:line="240" w:lineRule="auto"/>
        <w:rPr>
          <w:rFonts w:eastAsia="Times New Roman" w:cs="Arial"/>
        </w:rPr>
      </w:pPr>
      <w:r w:rsidRPr="00DA6AE5">
        <w:rPr>
          <w:rFonts w:eastAsia="Times New Roman" w:cs="Arial"/>
          <w:color w:val="000000"/>
          <w:u w:val="single"/>
          <w:lang w:eastAsia="bg-BG"/>
        </w:rPr>
        <w:t>Абсорбция и разпределение</w:t>
      </w:r>
    </w:p>
    <w:p w14:paraId="1C043010" w14:textId="77777777" w:rsidR="00DA6AE5" w:rsidRDefault="00DA6AE5" w:rsidP="00DA6AE5">
      <w:pPr>
        <w:spacing w:line="240" w:lineRule="auto"/>
        <w:rPr>
          <w:rFonts w:eastAsia="Times New Roman" w:cs="Arial"/>
          <w:color w:val="000000"/>
          <w:lang w:eastAsia="bg-BG"/>
        </w:rPr>
      </w:pPr>
    </w:p>
    <w:p w14:paraId="4A163F9F" w14:textId="576A1714" w:rsidR="00DA6AE5" w:rsidRPr="00DA6AE5" w:rsidRDefault="00DA6AE5" w:rsidP="00DA6AE5">
      <w:pPr>
        <w:spacing w:line="240" w:lineRule="auto"/>
        <w:rPr>
          <w:rFonts w:eastAsia="Times New Roman" w:cs="Arial"/>
        </w:rPr>
      </w:pPr>
      <w:r w:rsidRPr="00DA6AE5">
        <w:rPr>
          <w:rFonts w:eastAsia="Times New Roman" w:cs="Arial"/>
          <w:color w:val="000000"/>
          <w:lang w:eastAsia="bg-BG"/>
        </w:rPr>
        <w:t>След перорално приложение, кандесартан цилексетил се превръща в лекарственото вещество кандесартан. Абсолютната бионаличност на кандесартан е приблизително 40% след приложение на разтвор за перорално приложение на кандесартан цилексетил. Относителната бионаличност на таблетната форма в сравнение със същия разтвор за перорално приложение е приблизително 34% с много малка вариабилност. Следователно изчислената абсолютна бионаличност на таблетката е 14%. Средната максимална серумна концентрация (С</w:t>
      </w:r>
      <w:r w:rsidRPr="00DA6AE5">
        <w:rPr>
          <w:rFonts w:eastAsia="Times New Roman" w:cs="Arial"/>
          <w:color w:val="000000"/>
          <w:vertAlign w:val="subscript"/>
          <w:lang w:val="en-US"/>
        </w:rPr>
        <w:t>max</w:t>
      </w:r>
      <w:r w:rsidRPr="00DA6AE5">
        <w:rPr>
          <w:rFonts w:eastAsia="Times New Roman" w:cs="Arial"/>
          <w:color w:val="000000"/>
          <w:lang w:eastAsia="bg-BG"/>
        </w:rPr>
        <w:t xml:space="preserve">) се достига 3-4 часа след приема на таблетката. Серумните концентрации на кандесартан нарастват линейно с увеличаване на дозите в терапевтичните дозови граници. Не са наблюдавани полови разлики във фармакокинетиката на кандесартан. Площта под кривата серумна концентрация- време </w:t>
      </w:r>
      <w:r w:rsidRPr="00DA6AE5">
        <w:rPr>
          <w:rFonts w:eastAsia="Times New Roman" w:cs="Arial"/>
          <w:color w:val="000000"/>
          <w:lang w:val="ru-RU"/>
        </w:rPr>
        <w:t>(</w:t>
      </w:r>
      <w:r w:rsidRPr="00DA6AE5">
        <w:rPr>
          <w:rFonts w:eastAsia="Times New Roman" w:cs="Arial"/>
          <w:color w:val="000000"/>
          <w:lang w:val="en-US"/>
        </w:rPr>
        <w:t>AUC</w:t>
      </w:r>
      <w:r w:rsidRPr="00DA6AE5">
        <w:rPr>
          <w:rFonts w:eastAsia="Times New Roman" w:cs="Arial"/>
          <w:color w:val="000000"/>
          <w:lang w:val="ru-RU"/>
        </w:rPr>
        <w:t xml:space="preserve">) </w:t>
      </w:r>
      <w:r w:rsidRPr="00DA6AE5">
        <w:rPr>
          <w:rFonts w:eastAsia="Times New Roman" w:cs="Arial"/>
          <w:color w:val="000000"/>
          <w:lang w:eastAsia="bg-BG"/>
        </w:rPr>
        <w:t>на кандесартан не се повлиява значимо от храна.</w:t>
      </w:r>
    </w:p>
    <w:p w14:paraId="529397A5" w14:textId="77777777" w:rsidR="00DA6AE5" w:rsidRPr="00DA6AE5" w:rsidRDefault="00DA6AE5" w:rsidP="00DA6AE5">
      <w:pPr>
        <w:spacing w:line="240" w:lineRule="auto"/>
        <w:rPr>
          <w:rFonts w:eastAsia="Times New Roman" w:cs="Arial"/>
        </w:rPr>
      </w:pPr>
      <w:r w:rsidRPr="00DA6AE5">
        <w:rPr>
          <w:rFonts w:eastAsia="Times New Roman" w:cs="Arial"/>
          <w:color w:val="000000"/>
          <w:lang w:eastAsia="bg-BG"/>
        </w:rPr>
        <w:t xml:space="preserve">Кандесартан се свързва с плазмените протеини във висока степен (над 99%). Видимият обем на разпределение на кандесартан е 0,1-1 </w:t>
      </w:r>
      <w:r w:rsidRPr="00DA6AE5">
        <w:rPr>
          <w:rFonts w:eastAsia="Times New Roman" w:cs="Arial"/>
          <w:color w:val="000000"/>
          <w:lang w:val="ru-RU"/>
        </w:rPr>
        <w:t>/</w:t>
      </w:r>
      <w:r w:rsidRPr="00DA6AE5">
        <w:rPr>
          <w:rFonts w:eastAsia="Times New Roman" w:cs="Arial"/>
          <w:color w:val="000000"/>
          <w:lang w:val="en-US"/>
        </w:rPr>
        <w:t>kg</w:t>
      </w:r>
      <w:r w:rsidRPr="00DA6AE5">
        <w:rPr>
          <w:rFonts w:eastAsia="Times New Roman" w:cs="Arial"/>
          <w:color w:val="000000"/>
          <w:lang w:val="ru-RU"/>
        </w:rPr>
        <w:t>.</w:t>
      </w:r>
    </w:p>
    <w:p w14:paraId="13E40EFB" w14:textId="77777777" w:rsidR="00DA6AE5" w:rsidRDefault="00DA6AE5" w:rsidP="00DA6AE5">
      <w:pPr>
        <w:spacing w:line="240" w:lineRule="auto"/>
        <w:rPr>
          <w:rFonts w:eastAsia="Times New Roman" w:cs="Arial"/>
          <w:color w:val="000000"/>
          <w:lang w:eastAsia="bg-BG"/>
        </w:rPr>
      </w:pPr>
    </w:p>
    <w:p w14:paraId="032D6977" w14:textId="67B48876" w:rsidR="00DA6AE5" w:rsidRPr="00DA6AE5" w:rsidRDefault="00DA6AE5" w:rsidP="00DA6AE5">
      <w:pPr>
        <w:spacing w:line="240" w:lineRule="auto"/>
        <w:rPr>
          <w:rFonts w:eastAsia="Times New Roman" w:cs="Arial"/>
        </w:rPr>
      </w:pPr>
      <w:r w:rsidRPr="00DA6AE5">
        <w:rPr>
          <w:rFonts w:eastAsia="Times New Roman" w:cs="Arial"/>
          <w:color w:val="000000"/>
          <w:lang w:eastAsia="bg-BG"/>
        </w:rPr>
        <w:t>Храната не повлиява бионаличността на кандесартан.</w:t>
      </w:r>
    </w:p>
    <w:p w14:paraId="63AC47D0" w14:textId="77777777" w:rsidR="00DA6AE5" w:rsidRDefault="00DA6AE5" w:rsidP="00DA6AE5">
      <w:pPr>
        <w:spacing w:line="240" w:lineRule="auto"/>
        <w:rPr>
          <w:rFonts w:eastAsia="Times New Roman" w:cs="Arial"/>
          <w:color w:val="000000"/>
          <w:u w:val="single"/>
          <w:lang w:eastAsia="bg-BG"/>
        </w:rPr>
      </w:pPr>
    </w:p>
    <w:p w14:paraId="0033A984" w14:textId="2F1F6D2E" w:rsidR="00DA6AE5" w:rsidRPr="00DA6AE5" w:rsidRDefault="00DA6AE5" w:rsidP="00DA6AE5">
      <w:pPr>
        <w:spacing w:line="240" w:lineRule="auto"/>
        <w:rPr>
          <w:rFonts w:eastAsia="Times New Roman" w:cs="Arial"/>
        </w:rPr>
      </w:pPr>
      <w:r w:rsidRPr="00DA6AE5">
        <w:rPr>
          <w:rFonts w:eastAsia="Times New Roman" w:cs="Arial"/>
          <w:color w:val="000000"/>
          <w:u w:val="single"/>
          <w:lang w:eastAsia="bg-BG"/>
        </w:rPr>
        <w:t>Биотрансформация и елиминиране</w:t>
      </w:r>
    </w:p>
    <w:p w14:paraId="7238868A" w14:textId="77777777" w:rsidR="00DA6AE5" w:rsidRDefault="00DA6AE5" w:rsidP="00DA6AE5">
      <w:pPr>
        <w:spacing w:line="240" w:lineRule="auto"/>
        <w:rPr>
          <w:rFonts w:eastAsia="Times New Roman" w:cs="Arial"/>
          <w:color w:val="000000"/>
          <w:lang w:eastAsia="bg-BG"/>
        </w:rPr>
      </w:pPr>
    </w:p>
    <w:p w14:paraId="58FAD1AB" w14:textId="634BE90D" w:rsidR="00DA6AE5" w:rsidRPr="00DA6AE5" w:rsidRDefault="00DA6AE5" w:rsidP="00DA6AE5">
      <w:pPr>
        <w:spacing w:line="240" w:lineRule="auto"/>
        <w:rPr>
          <w:rFonts w:eastAsia="Times New Roman" w:cs="Arial"/>
        </w:rPr>
      </w:pPr>
      <w:r w:rsidRPr="00DA6AE5">
        <w:rPr>
          <w:rFonts w:eastAsia="Times New Roman" w:cs="Arial"/>
          <w:color w:val="000000"/>
          <w:lang w:eastAsia="bg-BG"/>
        </w:rPr>
        <w:t xml:space="preserve">Кандесартан се елиминира предимно в непроменена форма с урината и жлъчката и само в малка степен се елиминира чрез чернодробен метаболизъм </w:t>
      </w:r>
      <w:r w:rsidRPr="00DA6AE5">
        <w:rPr>
          <w:rFonts w:eastAsia="Times New Roman" w:cs="Arial"/>
          <w:color w:val="000000"/>
          <w:lang w:val="ru-RU"/>
        </w:rPr>
        <w:t>(</w:t>
      </w:r>
      <w:r w:rsidRPr="00DA6AE5">
        <w:rPr>
          <w:rFonts w:eastAsia="Times New Roman" w:cs="Arial"/>
          <w:color w:val="000000"/>
          <w:lang w:val="en-US"/>
        </w:rPr>
        <w:t>CYP</w:t>
      </w:r>
      <w:r w:rsidRPr="00DA6AE5">
        <w:rPr>
          <w:rFonts w:eastAsia="Times New Roman" w:cs="Arial"/>
          <w:color w:val="000000"/>
          <w:lang w:val="ru-RU"/>
        </w:rPr>
        <w:t>2</w:t>
      </w:r>
      <w:r w:rsidRPr="00DA6AE5">
        <w:rPr>
          <w:rFonts w:eastAsia="Times New Roman" w:cs="Arial"/>
          <w:color w:val="000000"/>
          <w:lang w:val="en-US"/>
        </w:rPr>
        <w:t>C</w:t>
      </w:r>
      <w:r w:rsidRPr="00DA6AE5">
        <w:rPr>
          <w:rFonts w:eastAsia="Times New Roman" w:cs="Arial"/>
          <w:color w:val="000000"/>
          <w:lang w:val="ru-RU"/>
        </w:rPr>
        <w:t xml:space="preserve">9). </w:t>
      </w:r>
      <w:r w:rsidRPr="00DA6AE5">
        <w:rPr>
          <w:rFonts w:eastAsia="Times New Roman" w:cs="Arial"/>
          <w:color w:val="000000"/>
          <w:lang w:eastAsia="bg-BG"/>
        </w:rPr>
        <w:t xml:space="preserve">Наличните проучвания за взаимодействия не показват ефект върху </w:t>
      </w:r>
      <w:r w:rsidRPr="00DA6AE5">
        <w:rPr>
          <w:rFonts w:eastAsia="Times New Roman" w:cs="Arial"/>
          <w:color w:val="000000"/>
          <w:lang w:val="en-US"/>
        </w:rPr>
        <w:t>CYP</w:t>
      </w:r>
      <w:r w:rsidRPr="00DA6AE5">
        <w:rPr>
          <w:rFonts w:eastAsia="Times New Roman" w:cs="Arial"/>
          <w:color w:val="000000"/>
          <w:lang w:val="ru-RU"/>
        </w:rPr>
        <w:t>2</w:t>
      </w:r>
      <w:r w:rsidRPr="00DA6AE5">
        <w:rPr>
          <w:rFonts w:eastAsia="Times New Roman" w:cs="Arial"/>
          <w:color w:val="000000"/>
          <w:lang w:val="en-US"/>
        </w:rPr>
        <w:t>C</w:t>
      </w:r>
      <w:r w:rsidRPr="00DA6AE5">
        <w:rPr>
          <w:rFonts w:eastAsia="Times New Roman" w:cs="Arial"/>
          <w:color w:val="000000"/>
          <w:lang w:val="ru-RU"/>
        </w:rPr>
        <w:t xml:space="preserve">9 </w:t>
      </w:r>
      <w:r w:rsidRPr="00DA6AE5">
        <w:rPr>
          <w:rFonts w:eastAsia="Times New Roman" w:cs="Arial"/>
          <w:color w:val="000000"/>
          <w:lang w:eastAsia="bg-BG"/>
        </w:rPr>
        <w:t xml:space="preserve">и </w:t>
      </w:r>
      <w:r w:rsidRPr="00DA6AE5">
        <w:rPr>
          <w:rFonts w:eastAsia="Times New Roman" w:cs="Arial"/>
          <w:color w:val="000000"/>
          <w:lang w:val="en-US"/>
        </w:rPr>
        <w:t>CYP</w:t>
      </w:r>
      <w:r w:rsidRPr="00DA6AE5">
        <w:rPr>
          <w:rFonts w:eastAsia="Times New Roman" w:cs="Arial"/>
          <w:color w:val="000000"/>
          <w:lang w:val="ru-RU"/>
        </w:rPr>
        <w:t>3</w:t>
      </w:r>
      <w:r w:rsidRPr="00DA6AE5">
        <w:rPr>
          <w:rFonts w:eastAsia="Times New Roman" w:cs="Arial"/>
          <w:color w:val="000000"/>
          <w:lang w:eastAsia="bg-BG"/>
        </w:rPr>
        <w:t xml:space="preserve">А4. Въз основа на </w:t>
      </w:r>
      <w:r w:rsidRPr="00DA6AE5">
        <w:rPr>
          <w:rFonts w:eastAsia="Times New Roman" w:cs="Arial"/>
          <w:i/>
          <w:iCs/>
          <w:color w:val="000000"/>
          <w:lang w:val="en-US"/>
        </w:rPr>
        <w:t>in</w:t>
      </w:r>
      <w:r w:rsidRPr="00DA6AE5">
        <w:rPr>
          <w:rFonts w:eastAsia="Times New Roman" w:cs="Arial"/>
          <w:i/>
          <w:iCs/>
          <w:color w:val="000000"/>
        </w:rPr>
        <w:t xml:space="preserve"> </w:t>
      </w:r>
      <w:r w:rsidRPr="00DA6AE5">
        <w:rPr>
          <w:rFonts w:eastAsia="Times New Roman" w:cs="Arial"/>
          <w:i/>
          <w:iCs/>
          <w:color w:val="000000"/>
          <w:lang w:val="en-US"/>
        </w:rPr>
        <w:t>vitro</w:t>
      </w:r>
      <w:r w:rsidRPr="00DA6AE5">
        <w:rPr>
          <w:rFonts w:eastAsia="Times New Roman" w:cs="Arial"/>
          <w:color w:val="000000"/>
        </w:rPr>
        <w:t xml:space="preserve"> </w:t>
      </w:r>
      <w:r w:rsidRPr="00DA6AE5">
        <w:rPr>
          <w:rFonts w:eastAsia="Times New Roman" w:cs="Arial"/>
          <w:color w:val="000000"/>
          <w:lang w:eastAsia="bg-BG"/>
        </w:rPr>
        <w:t xml:space="preserve">данни, не могат да се очакват взаимодействия </w:t>
      </w:r>
      <w:r w:rsidRPr="00DA6AE5">
        <w:rPr>
          <w:rFonts w:eastAsia="Times New Roman" w:cs="Arial"/>
          <w:i/>
          <w:iCs/>
          <w:color w:val="000000"/>
          <w:lang w:val="en-US"/>
        </w:rPr>
        <w:t>in</w:t>
      </w:r>
      <w:r w:rsidRPr="00DA6AE5">
        <w:rPr>
          <w:rFonts w:eastAsia="Times New Roman" w:cs="Arial"/>
          <w:i/>
          <w:iCs/>
          <w:color w:val="000000"/>
        </w:rPr>
        <w:t xml:space="preserve"> </w:t>
      </w:r>
      <w:r w:rsidRPr="00DA6AE5">
        <w:rPr>
          <w:rFonts w:eastAsia="Times New Roman" w:cs="Arial"/>
          <w:i/>
          <w:iCs/>
          <w:color w:val="000000"/>
          <w:lang w:val="en-US"/>
        </w:rPr>
        <w:t>vivo</w:t>
      </w:r>
      <w:r w:rsidRPr="00DA6AE5">
        <w:rPr>
          <w:rFonts w:eastAsia="Times New Roman" w:cs="Arial"/>
          <w:color w:val="000000"/>
        </w:rPr>
        <w:t xml:space="preserve"> </w:t>
      </w:r>
      <w:r w:rsidRPr="00DA6AE5">
        <w:rPr>
          <w:rFonts w:eastAsia="Times New Roman" w:cs="Arial"/>
          <w:color w:val="000000"/>
          <w:lang w:eastAsia="bg-BG"/>
        </w:rPr>
        <w:t xml:space="preserve">с лекарства, чиито метаболизъм зависи от цитохром Р450 изоензимите </w:t>
      </w:r>
      <w:r w:rsidRPr="00DA6AE5">
        <w:rPr>
          <w:rFonts w:eastAsia="Times New Roman" w:cs="Arial"/>
          <w:color w:val="000000"/>
          <w:lang w:val="en-US"/>
        </w:rPr>
        <w:t>CYP</w:t>
      </w:r>
      <w:r w:rsidRPr="00DA6AE5">
        <w:rPr>
          <w:rFonts w:eastAsia="Times New Roman" w:cs="Arial"/>
          <w:color w:val="000000"/>
        </w:rPr>
        <w:t>1</w:t>
      </w:r>
      <w:r w:rsidRPr="00DA6AE5">
        <w:rPr>
          <w:rFonts w:eastAsia="Times New Roman" w:cs="Arial"/>
          <w:color w:val="000000"/>
          <w:lang w:val="en-US"/>
        </w:rPr>
        <w:t>A</w:t>
      </w:r>
      <w:r w:rsidRPr="00DA6AE5">
        <w:rPr>
          <w:rFonts w:eastAsia="Times New Roman" w:cs="Arial"/>
          <w:color w:val="000000"/>
        </w:rPr>
        <w:t xml:space="preserve">2, </w:t>
      </w:r>
      <w:r w:rsidRPr="00DA6AE5">
        <w:rPr>
          <w:rFonts w:eastAsia="Times New Roman" w:cs="Arial"/>
          <w:color w:val="000000"/>
          <w:lang w:val="en-US"/>
        </w:rPr>
        <w:t>CYP</w:t>
      </w:r>
      <w:r w:rsidRPr="00DA6AE5">
        <w:rPr>
          <w:rFonts w:eastAsia="Times New Roman" w:cs="Arial"/>
          <w:color w:val="000000"/>
        </w:rPr>
        <w:t>2</w:t>
      </w:r>
      <w:r w:rsidRPr="00DA6AE5">
        <w:rPr>
          <w:rFonts w:eastAsia="Times New Roman" w:cs="Arial"/>
          <w:color w:val="000000"/>
          <w:lang w:val="en-US"/>
        </w:rPr>
        <w:t>A</w:t>
      </w:r>
      <w:r w:rsidRPr="00DA6AE5">
        <w:rPr>
          <w:rFonts w:eastAsia="Times New Roman" w:cs="Arial"/>
          <w:color w:val="000000"/>
        </w:rPr>
        <w:t xml:space="preserve">6, </w:t>
      </w:r>
      <w:r w:rsidRPr="00DA6AE5">
        <w:rPr>
          <w:rFonts w:eastAsia="Times New Roman" w:cs="Arial"/>
          <w:color w:val="000000"/>
          <w:lang w:val="en-US"/>
        </w:rPr>
        <w:t>CYP</w:t>
      </w:r>
      <w:r w:rsidRPr="00DA6AE5">
        <w:rPr>
          <w:rFonts w:eastAsia="Times New Roman" w:cs="Arial"/>
          <w:color w:val="000000"/>
        </w:rPr>
        <w:t>2</w:t>
      </w:r>
      <w:r w:rsidRPr="00DA6AE5">
        <w:rPr>
          <w:rFonts w:eastAsia="Times New Roman" w:cs="Arial"/>
          <w:color w:val="000000"/>
          <w:lang w:val="en-US"/>
        </w:rPr>
        <w:t>C</w:t>
      </w:r>
      <w:r w:rsidRPr="00DA6AE5">
        <w:rPr>
          <w:rFonts w:eastAsia="Times New Roman" w:cs="Arial"/>
          <w:color w:val="000000"/>
        </w:rPr>
        <w:t xml:space="preserve">9, </w:t>
      </w:r>
      <w:r w:rsidRPr="00DA6AE5">
        <w:rPr>
          <w:rFonts w:eastAsia="Times New Roman" w:cs="Arial"/>
          <w:color w:val="000000"/>
          <w:lang w:val="en-US"/>
        </w:rPr>
        <w:lastRenderedPageBreak/>
        <w:t>CYP</w:t>
      </w:r>
      <w:r w:rsidRPr="00DA6AE5">
        <w:rPr>
          <w:rFonts w:eastAsia="Times New Roman" w:cs="Arial"/>
          <w:color w:val="000000"/>
        </w:rPr>
        <w:t>2</w:t>
      </w:r>
      <w:r w:rsidRPr="00DA6AE5">
        <w:rPr>
          <w:rFonts w:eastAsia="Times New Roman" w:cs="Arial"/>
          <w:color w:val="000000"/>
          <w:lang w:val="en-US"/>
        </w:rPr>
        <w:t>C</w:t>
      </w:r>
      <w:r w:rsidRPr="00DA6AE5">
        <w:rPr>
          <w:rFonts w:eastAsia="Times New Roman" w:cs="Arial"/>
          <w:color w:val="000000"/>
        </w:rPr>
        <w:t xml:space="preserve">19, </w:t>
      </w:r>
      <w:r w:rsidRPr="00DA6AE5">
        <w:rPr>
          <w:rFonts w:eastAsia="Times New Roman" w:cs="Arial"/>
          <w:color w:val="000000"/>
          <w:lang w:val="en-US"/>
        </w:rPr>
        <w:t>CYP</w:t>
      </w:r>
      <w:r w:rsidRPr="00DA6AE5">
        <w:rPr>
          <w:rFonts w:eastAsia="Times New Roman" w:cs="Arial"/>
          <w:color w:val="000000"/>
        </w:rPr>
        <w:t>2</w:t>
      </w:r>
      <w:r w:rsidRPr="00DA6AE5">
        <w:rPr>
          <w:rFonts w:eastAsia="Times New Roman" w:cs="Arial"/>
          <w:color w:val="000000"/>
          <w:lang w:val="en-US"/>
        </w:rPr>
        <w:t>D</w:t>
      </w:r>
      <w:r w:rsidRPr="00DA6AE5">
        <w:rPr>
          <w:rFonts w:eastAsia="Times New Roman" w:cs="Arial"/>
          <w:color w:val="000000"/>
        </w:rPr>
        <w:t xml:space="preserve">6, </w:t>
      </w:r>
      <w:r w:rsidRPr="00DA6AE5">
        <w:rPr>
          <w:rFonts w:eastAsia="Times New Roman" w:cs="Arial"/>
          <w:color w:val="000000"/>
          <w:lang w:val="en-US"/>
        </w:rPr>
        <w:t>CYP</w:t>
      </w:r>
      <w:r w:rsidRPr="00DA6AE5">
        <w:rPr>
          <w:rFonts w:eastAsia="Times New Roman" w:cs="Arial"/>
          <w:color w:val="000000"/>
        </w:rPr>
        <w:t>2</w:t>
      </w:r>
      <w:r w:rsidRPr="00DA6AE5">
        <w:rPr>
          <w:rFonts w:eastAsia="Times New Roman" w:cs="Arial"/>
          <w:color w:val="000000"/>
          <w:lang w:val="en-US"/>
        </w:rPr>
        <w:t>E</w:t>
      </w:r>
      <w:r w:rsidRPr="00DA6AE5">
        <w:rPr>
          <w:rFonts w:eastAsia="Times New Roman" w:cs="Arial"/>
          <w:color w:val="000000"/>
        </w:rPr>
        <w:t xml:space="preserve">1 </w:t>
      </w:r>
      <w:r w:rsidRPr="00DA6AE5">
        <w:rPr>
          <w:rFonts w:eastAsia="Times New Roman" w:cs="Arial"/>
          <w:color w:val="000000"/>
          <w:lang w:eastAsia="bg-BG"/>
        </w:rPr>
        <w:t xml:space="preserve">или </w:t>
      </w:r>
      <w:r w:rsidRPr="00DA6AE5">
        <w:rPr>
          <w:rFonts w:eastAsia="Times New Roman" w:cs="Arial"/>
          <w:color w:val="000000"/>
          <w:lang w:val="en-US"/>
        </w:rPr>
        <w:t>CYP</w:t>
      </w:r>
      <w:r w:rsidRPr="00DA6AE5">
        <w:rPr>
          <w:rFonts w:eastAsia="Times New Roman" w:cs="Arial"/>
          <w:color w:val="000000"/>
        </w:rPr>
        <w:t>3</w:t>
      </w:r>
      <w:r w:rsidRPr="00DA6AE5">
        <w:rPr>
          <w:rFonts w:eastAsia="Times New Roman" w:cs="Arial"/>
          <w:color w:val="000000"/>
          <w:lang w:val="en-US"/>
        </w:rPr>
        <w:t>A</w:t>
      </w:r>
      <w:r w:rsidRPr="00DA6AE5">
        <w:rPr>
          <w:rFonts w:eastAsia="Times New Roman" w:cs="Arial"/>
          <w:color w:val="000000"/>
        </w:rPr>
        <w:t xml:space="preserve">4. </w:t>
      </w:r>
      <w:r w:rsidRPr="00DA6AE5">
        <w:rPr>
          <w:rFonts w:eastAsia="Times New Roman" w:cs="Arial"/>
          <w:color w:val="000000"/>
          <w:lang w:eastAsia="bg-BG"/>
        </w:rPr>
        <w:t>Терминалният елиминационен полуживот на кандесартан е приблизително 9 часа. Няма кумулиране след многократно приложение.</w:t>
      </w:r>
    </w:p>
    <w:p w14:paraId="5770D879" w14:textId="77777777" w:rsidR="00DA6AE5" w:rsidRDefault="00DA6AE5" w:rsidP="00DA6AE5">
      <w:pPr>
        <w:spacing w:line="240" w:lineRule="auto"/>
        <w:rPr>
          <w:rFonts w:eastAsia="Times New Roman" w:cs="Arial"/>
          <w:color w:val="000000"/>
          <w:lang w:eastAsia="bg-BG"/>
        </w:rPr>
      </w:pPr>
    </w:p>
    <w:p w14:paraId="294A7E1C" w14:textId="7D8E4EC5" w:rsidR="00DA6AE5" w:rsidRPr="00DA6AE5" w:rsidRDefault="00DA6AE5" w:rsidP="00DA6AE5">
      <w:pPr>
        <w:spacing w:line="240" w:lineRule="auto"/>
        <w:rPr>
          <w:rFonts w:eastAsia="Times New Roman" w:cs="Arial"/>
        </w:rPr>
      </w:pPr>
      <w:r w:rsidRPr="00DA6AE5">
        <w:rPr>
          <w:rFonts w:eastAsia="Times New Roman" w:cs="Arial"/>
          <w:color w:val="000000"/>
          <w:lang w:eastAsia="bg-BG"/>
        </w:rPr>
        <w:t xml:space="preserve">Общият плазмен клирънс на кандесартан е около 0,37 </w:t>
      </w:r>
      <w:r w:rsidRPr="00DA6AE5">
        <w:rPr>
          <w:rFonts w:eastAsia="Times New Roman" w:cs="Arial"/>
          <w:color w:val="000000"/>
          <w:lang w:val="en-US"/>
        </w:rPr>
        <w:t>ml</w:t>
      </w:r>
      <w:r w:rsidRPr="00DA6AE5">
        <w:rPr>
          <w:rFonts w:eastAsia="Times New Roman" w:cs="Arial"/>
          <w:color w:val="000000"/>
        </w:rPr>
        <w:t>/</w:t>
      </w:r>
      <w:r w:rsidRPr="00DA6AE5">
        <w:rPr>
          <w:rFonts w:eastAsia="Times New Roman" w:cs="Arial"/>
          <w:color w:val="000000"/>
          <w:lang w:val="en-US"/>
        </w:rPr>
        <w:t>min</w:t>
      </w:r>
      <w:r w:rsidRPr="00DA6AE5">
        <w:rPr>
          <w:rFonts w:eastAsia="Times New Roman" w:cs="Arial"/>
          <w:color w:val="000000"/>
        </w:rPr>
        <w:t>/</w:t>
      </w:r>
      <w:r w:rsidRPr="00DA6AE5">
        <w:rPr>
          <w:rFonts w:eastAsia="Times New Roman" w:cs="Arial"/>
          <w:color w:val="000000"/>
          <w:lang w:val="en-US"/>
        </w:rPr>
        <w:t>kg</w:t>
      </w:r>
      <w:r w:rsidRPr="00DA6AE5">
        <w:rPr>
          <w:rFonts w:eastAsia="Times New Roman" w:cs="Arial"/>
          <w:color w:val="000000"/>
        </w:rPr>
        <w:t xml:space="preserve">, </w:t>
      </w:r>
      <w:r w:rsidRPr="00DA6AE5">
        <w:rPr>
          <w:rFonts w:eastAsia="Times New Roman" w:cs="Arial"/>
          <w:color w:val="000000"/>
          <w:lang w:eastAsia="bg-BG"/>
        </w:rPr>
        <w:t xml:space="preserve">като бъбречният клирънс е около 0,19 </w:t>
      </w:r>
      <w:r w:rsidRPr="00DA6AE5">
        <w:rPr>
          <w:rFonts w:eastAsia="Times New Roman" w:cs="Arial"/>
          <w:color w:val="000000"/>
          <w:lang w:val="en-US"/>
        </w:rPr>
        <w:t>ml</w:t>
      </w:r>
      <w:r w:rsidRPr="00DA6AE5">
        <w:rPr>
          <w:rFonts w:eastAsia="Times New Roman" w:cs="Arial"/>
          <w:color w:val="000000"/>
        </w:rPr>
        <w:t>/</w:t>
      </w:r>
      <w:r w:rsidRPr="00DA6AE5">
        <w:rPr>
          <w:rFonts w:eastAsia="Times New Roman" w:cs="Arial"/>
          <w:color w:val="000000"/>
          <w:lang w:val="en-US"/>
        </w:rPr>
        <w:t>min</w:t>
      </w:r>
      <w:r w:rsidRPr="00DA6AE5">
        <w:rPr>
          <w:rFonts w:eastAsia="Times New Roman" w:cs="Arial"/>
          <w:color w:val="000000"/>
        </w:rPr>
        <w:t>/</w:t>
      </w:r>
      <w:r w:rsidRPr="00DA6AE5">
        <w:rPr>
          <w:rFonts w:eastAsia="Times New Roman" w:cs="Arial"/>
          <w:color w:val="000000"/>
          <w:lang w:val="en-US"/>
        </w:rPr>
        <w:t>kg</w:t>
      </w:r>
      <w:r w:rsidRPr="00DA6AE5">
        <w:rPr>
          <w:rFonts w:eastAsia="Times New Roman" w:cs="Arial"/>
          <w:color w:val="000000"/>
        </w:rPr>
        <w:t xml:space="preserve">. </w:t>
      </w:r>
      <w:r w:rsidRPr="00DA6AE5">
        <w:rPr>
          <w:rFonts w:eastAsia="Times New Roman" w:cs="Arial"/>
          <w:color w:val="000000"/>
          <w:lang w:eastAsia="bg-BG"/>
        </w:rPr>
        <w:t xml:space="preserve">Елиминирането на кандесартан през бъбреците се осъществява чрез гломерулна филтрация и активна тубулна секреция. След перорално приложение на </w:t>
      </w:r>
      <w:r w:rsidRPr="00DA6AE5">
        <w:rPr>
          <w:rFonts w:eastAsia="Times New Roman" w:cs="Arial"/>
          <w:color w:val="000000"/>
          <w:vertAlign w:val="superscript"/>
          <w:lang w:eastAsia="bg-BG"/>
        </w:rPr>
        <w:t>14</w:t>
      </w:r>
      <w:r w:rsidRPr="00DA6AE5">
        <w:rPr>
          <w:rFonts w:eastAsia="Times New Roman" w:cs="Arial"/>
          <w:color w:val="000000"/>
          <w:lang w:eastAsia="bg-BG"/>
        </w:rPr>
        <w:t>С-6елязан кандесартан цилексетил, приблизително 26% от дозата се екскретира в урината като кандесартан и 7% като неактивен метаболит докато 56% от дозата се откриват във фекалиите като кандесартан и 10% под формата на неактивен метаболит.</w:t>
      </w:r>
    </w:p>
    <w:p w14:paraId="2C95383C" w14:textId="77777777" w:rsidR="00DA6AE5" w:rsidRDefault="00DA6AE5" w:rsidP="00DA6AE5">
      <w:pPr>
        <w:spacing w:line="240" w:lineRule="auto"/>
        <w:rPr>
          <w:rFonts w:eastAsia="Times New Roman" w:cs="Arial"/>
          <w:color w:val="000000"/>
          <w:u w:val="single"/>
          <w:lang w:eastAsia="bg-BG"/>
        </w:rPr>
      </w:pPr>
    </w:p>
    <w:p w14:paraId="29D4BE75" w14:textId="1F2D6C01" w:rsidR="00DA6AE5" w:rsidRPr="00DA6AE5" w:rsidRDefault="00DA6AE5" w:rsidP="00DA6AE5">
      <w:pPr>
        <w:spacing w:line="240" w:lineRule="auto"/>
        <w:rPr>
          <w:rFonts w:eastAsia="Times New Roman" w:cs="Arial"/>
        </w:rPr>
      </w:pPr>
      <w:r w:rsidRPr="00DA6AE5">
        <w:rPr>
          <w:rFonts w:eastAsia="Times New Roman" w:cs="Arial"/>
          <w:color w:val="000000"/>
          <w:u w:val="single"/>
          <w:lang w:eastAsia="bg-BG"/>
        </w:rPr>
        <w:t>Фармакокинетика при специални популации</w:t>
      </w:r>
    </w:p>
    <w:p w14:paraId="1EAB4980" w14:textId="77777777" w:rsidR="00DA6AE5" w:rsidRDefault="00DA6AE5" w:rsidP="00DA6AE5">
      <w:pPr>
        <w:spacing w:line="240" w:lineRule="auto"/>
        <w:rPr>
          <w:rFonts w:eastAsia="Times New Roman" w:cs="Arial"/>
          <w:color w:val="000000"/>
          <w:lang w:eastAsia="bg-BG"/>
        </w:rPr>
      </w:pPr>
    </w:p>
    <w:p w14:paraId="619B5084" w14:textId="739B0F6A" w:rsidR="00DA6AE5" w:rsidRPr="00DA6AE5" w:rsidRDefault="00DA6AE5" w:rsidP="00DA6AE5">
      <w:pPr>
        <w:spacing w:line="240" w:lineRule="auto"/>
        <w:rPr>
          <w:rFonts w:eastAsia="Times New Roman" w:cs="Arial"/>
        </w:rPr>
      </w:pPr>
      <w:r w:rsidRPr="00DA6AE5">
        <w:rPr>
          <w:rFonts w:eastAsia="Times New Roman" w:cs="Arial"/>
          <w:color w:val="000000"/>
          <w:lang w:eastAsia="bg-BG"/>
        </w:rPr>
        <w:t xml:space="preserve">При лица в напреднала възраст (над 65 години) </w:t>
      </w:r>
      <w:r w:rsidRPr="00DA6AE5">
        <w:rPr>
          <w:rFonts w:eastAsia="Times New Roman" w:cs="Arial"/>
          <w:i/>
          <w:iCs/>
          <w:color w:val="000000"/>
          <w:lang w:eastAsia="bg-BG"/>
        </w:rPr>
        <w:t>С</w:t>
      </w:r>
      <w:r w:rsidRPr="00DA6AE5">
        <w:rPr>
          <w:rFonts w:eastAsia="Times New Roman" w:cs="Arial"/>
          <w:i/>
          <w:iCs/>
          <w:color w:val="000000"/>
          <w:vertAlign w:val="subscript"/>
          <w:lang w:eastAsia="bg-BG"/>
        </w:rPr>
        <w:t>тах</w:t>
      </w:r>
      <w:r w:rsidRPr="00DA6AE5">
        <w:rPr>
          <w:rFonts w:eastAsia="Times New Roman" w:cs="Arial"/>
          <w:color w:val="000000"/>
          <w:lang w:eastAsia="bg-BG"/>
        </w:rPr>
        <w:t xml:space="preserve"> и </w:t>
      </w:r>
      <w:r w:rsidRPr="00DA6AE5">
        <w:rPr>
          <w:rFonts w:eastAsia="Times New Roman" w:cs="Arial"/>
          <w:color w:val="000000"/>
          <w:lang w:val="en-US"/>
        </w:rPr>
        <w:t>AUC</w:t>
      </w:r>
      <w:r w:rsidRPr="00DA6AE5">
        <w:rPr>
          <w:rFonts w:eastAsia="Times New Roman" w:cs="Arial"/>
          <w:color w:val="000000"/>
          <w:lang w:val="ru-RU"/>
        </w:rPr>
        <w:t xml:space="preserve"> </w:t>
      </w:r>
      <w:r w:rsidRPr="00DA6AE5">
        <w:rPr>
          <w:rFonts w:eastAsia="Times New Roman" w:cs="Arial"/>
          <w:color w:val="000000"/>
          <w:lang w:eastAsia="bg-BG"/>
        </w:rPr>
        <w:t>на кандесартан са били увеличени приблизително с 50% и 80% съответно в сравнение с млади индивиди. Отговорът на артериалното налягане и честотата на нежеланите събития обаче са били подобни сл</w:t>
      </w:r>
      <w:r w:rsidRPr="00DA6AE5">
        <w:rPr>
          <w:rFonts w:eastAsia="Times New Roman" w:cs="Arial"/>
          <w:color w:val="000000"/>
          <w:u w:val="single"/>
          <w:lang w:eastAsia="bg-BG"/>
        </w:rPr>
        <w:t xml:space="preserve">ед </w:t>
      </w:r>
      <w:r w:rsidRPr="00DA6AE5">
        <w:rPr>
          <w:rFonts w:eastAsia="Times New Roman" w:cs="Arial"/>
          <w:color w:val="000000"/>
          <w:lang w:eastAsia="bg-BG"/>
        </w:rPr>
        <w:t>определена доза кандесартан цилексетил при млади пациенти и болни в напреднала възраст (вж. точка 4.2).</w:t>
      </w:r>
    </w:p>
    <w:p w14:paraId="3296CA98" w14:textId="77777777" w:rsidR="00DA6AE5" w:rsidRDefault="00DA6AE5" w:rsidP="00DA6AE5">
      <w:pPr>
        <w:spacing w:line="240" w:lineRule="auto"/>
        <w:rPr>
          <w:rFonts w:eastAsia="Times New Roman" w:cs="Arial"/>
          <w:color w:val="000000"/>
          <w:lang w:eastAsia="bg-BG"/>
        </w:rPr>
      </w:pPr>
    </w:p>
    <w:p w14:paraId="1E6CB2C5" w14:textId="2C2F6DDF" w:rsidR="00DA6AE5" w:rsidRPr="00DA6AE5" w:rsidRDefault="00DA6AE5" w:rsidP="00DA6AE5">
      <w:pPr>
        <w:spacing w:line="240" w:lineRule="auto"/>
        <w:rPr>
          <w:rFonts w:eastAsia="Times New Roman" w:cs="Arial"/>
        </w:rPr>
      </w:pPr>
      <w:r w:rsidRPr="00DA6AE5">
        <w:rPr>
          <w:rFonts w:eastAsia="Times New Roman" w:cs="Arial"/>
          <w:color w:val="000000"/>
          <w:lang w:eastAsia="bg-BG"/>
        </w:rPr>
        <w:t>При пациенти с леко до умерено бъбречно увреждане С</w:t>
      </w:r>
      <w:r w:rsidRPr="00DA6AE5">
        <w:rPr>
          <w:rFonts w:eastAsia="Times New Roman" w:cs="Arial"/>
          <w:color w:val="000000"/>
          <w:vertAlign w:val="subscript"/>
          <w:lang w:val="en-US"/>
        </w:rPr>
        <w:t>max</w:t>
      </w:r>
      <w:r w:rsidRPr="00DA6AE5">
        <w:rPr>
          <w:rFonts w:eastAsia="Times New Roman" w:cs="Arial"/>
          <w:color w:val="000000"/>
          <w:lang w:eastAsia="bg-BG"/>
        </w:rPr>
        <w:t xml:space="preserve"> и </w:t>
      </w:r>
      <w:r w:rsidRPr="00DA6AE5">
        <w:rPr>
          <w:rFonts w:eastAsia="Times New Roman" w:cs="Arial"/>
          <w:color w:val="000000"/>
          <w:lang w:val="en-US"/>
        </w:rPr>
        <w:t>AUC</w:t>
      </w:r>
      <w:r w:rsidRPr="00DA6AE5">
        <w:rPr>
          <w:rFonts w:eastAsia="Times New Roman" w:cs="Arial"/>
          <w:color w:val="000000"/>
          <w:lang w:val="ru-RU"/>
        </w:rPr>
        <w:t xml:space="preserve"> </w:t>
      </w:r>
      <w:r w:rsidRPr="00DA6AE5">
        <w:rPr>
          <w:rFonts w:eastAsia="Times New Roman" w:cs="Arial"/>
          <w:color w:val="000000"/>
          <w:lang w:eastAsia="bg-BG"/>
        </w:rPr>
        <w:t xml:space="preserve">на кандесартан са били повишени при многократно приложение с 50% и 70% съответно, но </w:t>
      </w:r>
      <w:r w:rsidRPr="00DA6AE5">
        <w:rPr>
          <w:rFonts w:eastAsia="Times New Roman" w:cs="Arial"/>
          <w:color w:val="000000"/>
          <w:lang w:val="en-US"/>
        </w:rPr>
        <w:t>t</w:t>
      </w:r>
      <w:r w:rsidRPr="00DA6AE5">
        <w:rPr>
          <w:rFonts w:eastAsia="Times New Roman" w:cs="Arial"/>
          <w:color w:val="000000"/>
          <w:lang w:val="ru-RU"/>
        </w:rPr>
        <w:t xml:space="preserve">1/2 </w:t>
      </w:r>
      <w:r w:rsidRPr="00DA6AE5">
        <w:rPr>
          <w:rFonts w:eastAsia="Times New Roman" w:cs="Arial"/>
          <w:color w:val="000000"/>
          <w:lang w:eastAsia="bg-BG"/>
        </w:rPr>
        <w:t>не е повишено в</w:t>
      </w:r>
    </w:p>
    <w:p w14:paraId="71B675D4" w14:textId="77777777" w:rsidR="00DA6AE5" w:rsidRPr="00DA6AE5" w:rsidRDefault="00DA6AE5" w:rsidP="00DA6AE5">
      <w:pPr>
        <w:rPr>
          <w:rFonts w:eastAsia="Times New Roman" w:cs="Arial"/>
        </w:rPr>
      </w:pPr>
      <w:r w:rsidRPr="00DA6AE5">
        <w:rPr>
          <w:rFonts w:eastAsia="Times New Roman" w:cs="Arial"/>
          <w:color w:val="000000"/>
          <w:lang w:eastAsia="bg-BG"/>
        </w:rPr>
        <w:t>сравнение с болните с нормална бъбречна функция. Съответните промени при пациенти с</w:t>
      </w:r>
      <w:r w:rsidRPr="00DA6AE5">
        <w:rPr>
          <w:rFonts w:eastAsia="Times New Roman" w:cs="Arial"/>
          <w:color w:val="000000"/>
          <w:lang w:val="ru-RU" w:eastAsia="bg-BG"/>
        </w:rPr>
        <w:t xml:space="preserve"> </w:t>
      </w:r>
      <w:r w:rsidRPr="00DA6AE5">
        <w:rPr>
          <w:rFonts w:eastAsia="Times New Roman" w:cs="Arial"/>
          <w:color w:val="000000"/>
          <w:lang w:eastAsia="bg-BG"/>
        </w:rPr>
        <w:t xml:space="preserve">тежко бъбречно увреждане са били приблизително 50% и 110%, съответно. Терминалното на кандесартан било приблизително удвоено при пациенти с тежко бъбречно увреждане. </w:t>
      </w:r>
      <w:r w:rsidRPr="00DA6AE5">
        <w:rPr>
          <w:rFonts w:eastAsia="Times New Roman" w:cs="Arial"/>
          <w:color w:val="000000"/>
          <w:lang w:val="en-US"/>
        </w:rPr>
        <w:t>AUC</w:t>
      </w:r>
      <w:r w:rsidRPr="00DA6AE5">
        <w:rPr>
          <w:rFonts w:eastAsia="Times New Roman" w:cs="Arial"/>
          <w:color w:val="000000"/>
          <w:lang w:val="ru-RU"/>
        </w:rPr>
        <w:t xml:space="preserve"> </w:t>
      </w:r>
      <w:r w:rsidRPr="00DA6AE5">
        <w:rPr>
          <w:rFonts w:eastAsia="Times New Roman" w:cs="Arial"/>
          <w:color w:val="000000"/>
          <w:lang w:eastAsia="bg-BG"/>
        </w:rPr>
        <w:t>на кандесартан при пациенти, подложени на хемодиализа, е била подобна на тази при болни с тежко бъбречно увреждане.</w:t>
      </w:r>
    </w:p>
    <w:p w14:paraId="7DE64FF6" w14:textId="77777777" w:rsidR="00DA6AE5" w:rsidRDefault="00DA6AE5" w:rsidP="00DA6AE5">
      <w:pPr>
        <w:spacing w:line="240" w:lineRule="auto"/>
        <w:rPr>
          <w:rFonts w:eastAsia="Times New Roman" w:cs="Arial"/>
          <w:color w:val="000000"/>
          <w:lang w:eastAsia="bg-BG"/>
        </w:rPr>
      </w:pPr>
    </w:p>
    <w:p w14:paraId="7FD33BCD" w14:textId="04D1C103" w:rsidR="00DA6AE5" w:rsidRPr="00DA6AE5" w:rsidRDefault="00DA6AE5" w:rsidP="00DA6AE5">
      <w:pPr>
        <w:spacing w:line="240" w:lineRule="auto"/>
        <w:rPr>
          <w:rFonts w:eastAsia="Times New Roman" w:cs="Arial"/>
        </w:rPr>
      </w:pPr>
      <w:r w:rsidRPr="00DA6AE5">
        <w:rPr>
          <w:rFonts w:eastAsia="Times New Roman" w:cs="Arial"/>
          <w:color w:val="000000"/>
          <w:lang w:eastAsia="bg-BG"/>
        </w:rPr>
        <w:t xml:space="preserve">При две проучвания, и двете включващи пациенти с леко до умерено чернодробно увреждане е наблюдавано увеличение на </w:t>
      </w:r>
      <w:r w:rsidRPr="00DA6AE5">
        <w:rPr>
          <w:rFonts w:eastAsia="Times New Roman" w:cs="Arial"/>
          <w:color w:val="000000"/>
          <w:lang w:val="en-US"/>
        </w:rPr>
        <w:t>AUC</w:t>
      </w:r>
      <w:r w:rsidRPr="00DA6AE5">
        <w:rPr>
          <w:rFonts w:eastAsia="Times New Roman" w:cs="Arial"/>
          <w:color w:val="000000"/>
          <w:lang w:val="ru-RU"/>
        </w:rPr>
        <w:t xml:space="preserve"> </w:t>
      </w:r>
      <w:r w:rsidRPr="00DA6AE5">
        <w:rPr>
          <w:rFonts w:eastAsia="Times New Roman" w:cs="Arial"/>
          <w:color w:val="000000"/>
          <w:lang w:eastAsia="bg-BG"/>
        </w:rPr>
        <w:t>на кандесартан с около 20% при едното проучване и 80% при другото проучване (вж. точка 4.2). Няма опит при пациенти с тежко чернодробно увреждане.</w:t>
      </w:r>
    </w:p>
    <w:p w14:paraId="38361BAA" w14:textId="77777777" w:rsidR="00DA6AE5" w:rsidRDefault="00DA6AE5" w:rsidP="00DA6AE5">
      <w:pPr>
        <w:spacing w:line="240" w:lineRule="auto"/>
        <w:rPr>
          <w:rFonts w:eastAsia="Times New Roman" w:cs="Arial"/>
          <w:color w:val="000000"/>
          <w:u w:val="single"/>
          <w:lang w:eastAsia="bg-BG"/>
        </w:rPr>
      </w:pPr>
    </w:p>
    <w:p w14:paraId="65AA15FD" w14:textId="07969DF3" w:rsidR="00DA6AE5" w:rsidRPr="00DA6AE5" w:rsidRDefault="00DA6AE5" w:rsidP="00DA6AE5">
      <w:pPr>
        <w:spacing w:line="240" w:lineRule="auto"/>
        <w:rPr>
          <w:rFonts w:eastAsia="Times New Roman" w:cs="Arial"/>
        </w:rPr>
      </w:pPr>
      <w:r w:rsidRPr="00DA6AE5">
        <w:rPr>
          <w:rFonts w:eastAsia="Times New Roman" w:cs="Arial"/>
          <w:color w:val="000000"/>
          <w:u w:val="single"/>
          <w:lang w:eastAsia="bg-BG"/>
        </w:rPr>
        <w:t>Педиатрична популация</w:t>
      </w:r>
    </w:p>
    <w:p w14:paraId="491A881D" w14:textId="77777777" w:rsidR="00DA6AE5" w:rsidRPr="00DA6AE5" w:rsidRDefault="00DA6AE5" w:rsidP="00DA6AE5">
      <w:pPr>
        <w:spacing w:line="240" w:lineRule="auto"/>
        <w:rPr>
          <w:rFonts w:eastAsia="Times New Roman" w:cs="Arial"/>
        </w:rPr>
      </w:pPr>
      <w:r w:rsidRPr="00DA6AE5">
        <w:rPr>
          <w:rFonts w:eastAsia="Times New Roman" w:cs="Arial"/>
          <w:color w:val="000000"/>
          <w:lang w:eastAsia="bg-BG"/>
        </w:rPr>
        <w:t>Фармакокинетичните свойства на кандесартан са оценени в две фармакокинетични проучвания на приложение на еднократни дози при деца на възраст от 1 до &lt; 6 години и от 6 до &lt; 17 години.</w:t>
      </w:r>
    </w:p>
    <w:p w14:paraId="613F3F97" w14:textId="77777777" w:rsidR="00DA6AE5" w:rsidRDefault="00DA6AE5" w:rsidP="00DA6AE5">
      <w:pPr>
        <w:spacing w:line="240" w:lineRule="auto"/>
        <w:rPr>
          <w:rFonts w:eastAsia="Times New Roman" w:cs="Arial"/>
          <w:color w:val="000000"/>
          <w:lang w:eastAsia="bg-BG"/>
        </w:rPr>
      </w:pPr>
    </w:p>
    <w:p w14:paraId="19E4AE62" w14:textId="0ED01EEE" w:rsidR="00DA6AE5" w:rsidRPr="00DA6AE5" w:rsidRDefault="00DA6AE5" w:rsidP="00DA6AE5">
      <w:pPr>
        <w:spacing w:line="240" w:lineRule="auto"/>
        <w:rPr>
          <w:rFonts w:eastAsia="Times New Roman" w:cs="Arial"/>
        </w:rPr>
      </w:pPr>
      <w:r w:rsidRPr="00DA6AE5">
        <w:rPr>
          <w:rFonts w:eastAsia="Times New Roman" w:cs="Arial"/>
          <w:color w:val="000000"/>
          <w:lang w:eastAsia="bg-BG"/>
        </w:rPr>
        <w:t xml:space="preserve">При деца на възраст от 1 до &lt; 6 години, 10 деца с телесно тегло от 10 до &lt; 25 </w:t>
      </w:r>
      <w:r w:rsidRPr="00DA6AE5">
        <w:rPr>
          <w:rFonts w:eastAsia="Times New Roman" w:cs="Arial"/>
          <w:color w:val="000000"/>
          <w:lang w:val="en-US"/>
        </w:rPr>
        <w:t>kg</w:t>
      </w:r>
      <w:r w:rsidRPr="00DA6AE5">
        <w:rPr>
          <w:rFonts w:eastAsia="Times New Roman" w:cs="Arial"/>
          <w:color w:val="000000"/>
          <w:lang w:val="ru-RU"/>
        </w:rPr>
        <w:t xml:space="preserve"> </w:t>
      </w:r>
      <w:r w:rsidRPr="00DA6AE5">
        <w:rPr>
          <w:rFonts w:eastAsia="Times New Roman" w:cs="Arial"/>
          <w:color w:val="000000"/>
          <w:lang w:eastAsia="bg-BG"/>
        </w:rPr>
        <w:t xml:space="preserve">получават еднократна доза от 0,2 </w:t>
      </w:r>
      <w:r w:rsidRPr="00DA6AE5">
        <w:rPr>
          <w:rFonts w:eastAsia="Times New Roman" w:cs="Arial"/>
          <w:color w:val="000000"/>
          <w:lang w:val="en-US"/>
        </w:rPr>
        <w:t>mg</w:t>
      </w:r>
      <w:r w:rsidRPr="00DA6AE5">
        <w:rPr>
          <w:rFonts w:eastAsia="Times New Roman" w:cs="Arial"/>
          <w:color w:val="000000"/>
          <w:lang w:val="ru-RU"/>
        </w:rPr>
        <w:t>/</w:t>
      </w:r>
      <w:r w:rsidRPr="00DA6AE5">
        <w:rPr>
          <w:rFonts w:eastAsia="Times New Roman" w:cs="Arial"/>
          <w:color w:val="000000"/>
          <w:lang w:val="en-US"/>
        </w:rPr>
        <w:t>kg</w:t>
      </w:r>
      <w:r w:rsidRPr="00DA6AE5">
        <w:rPr>
          <w:rFonts w:eastAsia="Times New Roman" w:cs="Arial"/>
          <w:color w:val="000000"/>
          <w:lang w:val="ru-RU"/>
        </w:rPr>
        <w:t xml:space="preserve"> </w:t>
      </w:r>
      <w:r w:rsidRPr="00DA6AE5">
        <w:rPr>
          <w:rFonts w:eastAsia="Times New Roman" w:cs="Arial"/>
          <w:color w:val="000000"/>
          <w:lang w:eastAsia="bg-BG"/>
        </w:rPr>
        <w:t>перорална суспензия. Не се наблюдава корелация на С</w:t>
      </w:r>
      <w:r w:rsidRPr="00DA6AE5">
        <w:rPr>
          <w:rFonts w:eastAsia="Times New Roman" w:cs="Arial"/>
          <w:color w:val="000000"/>
          <w:vertAlign w:val="subscript"/>
          <w:lang w:val="en-US"/>
        </w:rPr>
        <w:t>max</w:t>
      </w:r>
      <w:r w:rsidRPr="00DA6AE5">
        <w:rPr>
          <w:rFonts w:eastAsia="Times New Roman" w:cs="Arial"/>
          <w:color w:val="000000"/>
          <w:lang w:eastAsia="bg-BG"/>
        </w:rPr>
        <w:t xml:space="preserve"> и </w:t>
      </w:r>
      <w:r w:rsidRPr="00DA6AE5">
        <w:rPr>
          <w:rFonts w:eastAsia="Times New Roman" w:cs="Arial"/>
          <w:color w:val="000000"/>
          <w:lang w:val="en-US"/>
        </w:rPr>
        <w:t>AUC</w:t>
      </w:r>
      <w:r w:rsidRPr="00DA6AE5">
        <w:rPr>
          <w:rFonts w:eastAsia="Times New Roman" w:cs="Arial"/>
          <w:color w:val="000000"/>
          <w:lang w:val="ru-RU"/>
        </w:rPr>
        <w:t xml:space="preserve"> </w:t>
      </w:r>
      <w:r w:rsidRPr="00DA6AE5">
        <w:rPr>
          <w:rFonts w:eastAsia="Times New Roman" w:cs="Arial"/>
          <w:color w:val="000000"/>
          <w:lang w:eastAsia="bg-BG"/>
        </w:rPr>
        <w:t>с възрастта и телесното тегло. Не са събирани данни за клирънс, поради което не е известно дали в тази популация е възможна корелация между клирънса и телесното тегло/възрастта.</w:t>
      </w:r>
    </w:p>
    <w:p w14:paraId="7502A404" w14:textId="77777777" w:rsidR="00DA6AE5" w:rsidRPr="00DA6AE5" w:rsidRDefault="00DA6AE5" w:rsidP="00DA6AE5">
      <w:pPr>
        <w:spacing w:line="240" w:lineRule="auto"/>
        <w:rPr>
          <w:rFonts w:eastAsia="Times New Roman" w:cs="Arial"/>
        </w:rPr>
      </w:pPr>
      <w:r w:rsidRPr="00DA6AE5">
        <w:rPr>
          <w:rFonts w:eastAsia="Times New Roman" w:cs="Arial"/>
          <w:color w:val="000000"/>
          <w:lang w:eastAsia="bg-BG"/>
        </w:rPr>
        <w:t xml:space="preserve">При деца на възраст от 6 до &lt; 17 години, 22 деца получават еднократна доза от 16 </w:t>
      </w:r>
      <w:r w:rsidRPr="00DA6AE5">
        <w:rPr>
          <w:rFonts w:eastAsia="Times New Roman" w:cs="Arial"/>
          <w:color w:val="000000"/>
          <w:lang w:val="en-US"/>
        </w:rPr>
        <w:t>mg</w:t>
      </w:r>
      <w:r w:rsidRPr="00DA6AE5">
        <w:rPr>
          <w:rFonts w:eastAsia="Times New Roman" w:cs="Arial"/>
          <w:color w:val="000000"/>
          <w:lang w:val="ru-RU"/>
        </w:rPr>
        <w:t xml:space="preserve"> </w:t>
      </w:r>
      <w:r w:rsidRPr="00DA6AE5">
        <w:rPr>
          <w:rFonts w:eastAsia="Times New Roman" w:cs="Arial"/>
          <w:color w:val="000000"/>
          <w:lang w:eastAsia="bg-BG"/>
        </w:rPr>
        <w:t>таблетка. Липсва корелация на С</w:t>
      </w:r>
      <w:r w:rsidRPr="00DA6AE5">
        <w:rPr>
          <w:rFonts w:eastAsia="Times New Roman" w:cs="Arial"/>
          <w:color w:val="000000"/>
          <w:vertAlign w:val="subscript"/>
          <w:lang w:val="en-US"/>
        </w:rPr>
        <w:t>max</w:t>
      </w:r>
      <w:r w:rsidRPr="00DA6AE5">
        <w:rPr>
          <w:rFonts w:eastAsia="Times New Roman" w:cs="Arial"/>
          <w:color w:val="000000"/>
          <w:lang w:eastAsia="bg-BG"/>
        </w:rPr>
        <w:t xml:space="preserve"> и </w:t>
      </w:r>
      <w:r w:rsidRPr="00DA6AE5">
        <w:rPr>
          <w:rFonts w:eastAsia="Times New Roman" w:cs="Arial"/>
          <w:color w:val="000000"/>
          <w:lang w:val="en-US"/>
        </w:rPr>
        <w:t>AUC</w:t>
      </w:r>
      <w:r w:rsidRPr="00DA6AE5">
        <w:rPr>
          <w:rFonts w:eastAsia="Times New Roman" w:cs="Arial"/>
          <w:color w:val="000000"/>
          <w:lang w:val="ru-RU"/>
        </w:rPr>
        <w:t xml:space="preserve"> </w:t>
      </w:r>
      <w:r w:rsidRPr="00DA6AE5">
        <w:rPr>
          <w:rFonts w:eastAsia="Times New Roman" w:cs="Arial"/>
          <w:color w:val="000000"/>
          <w:lang w:eastAsia="bg-BG"/>
        </w:rPr>
        <w:t xml:space="preserve">с възрастта. Изглежда обаче, че телесното тегло има значителна корелация със </w:t>
      </w:r>
      <w:proofErr w:type="spellStart"/>
      <w:r w:rsidRPr="00DA6AE5">
        <w:rPr>
          <w:rFonts w:eastAsia="Times New Roman" w:cs="Arial"/>
          <w:color w:val="000000"/>
          <w:lang w:val="en-US"/>
        </w:rPr>
        <w:t>C</w:t>
      </w:r>
      <w:r w:rsidRPr="00DA6AE5">
        <w:rPr>
          <w:rFonts w:eastAsia="Times New Roman" w:cs="Arial"/>
          <w:color w:val="000000"/>
          <w:vertAlign w:val="subscript"/>
          <w:lang w:val="en-US"/>
        </w:rPr>
        <w:t>max</w:t>
      </w:r>
      <w:proofErr w:type="spellEnd"/>
      <w:r w:rsidRPr="00DA6AE5">
        <w:rPr>
          <w:rFonts w:eastAsia="Times New Roman" w:cs="Arial"/>
          <w:color w:val="000000"/>
          <w:lang w:val="ru-RU"/>
        </w:rPr>
        <w:t xml:space="preserve"> </w:t>
      </w:r>
      <w:r w:rsidRPr="00DA6AE5">
        <w:rPr>
          <w:rFonts w:eastAsia="Times New Roman" w:cs="Arial"/>
          <w:color w:val="000000"/>
          <w:lang w:eastAsia="bg-BG"/>
        </w:rPr>
        <w:t xml:space="preserve">(р=0,012) и </w:t>
      </w:r>
      <w:r w:rsidRPr="00DA6AE5">
        <w:rPr>
          <w:rFonts w:eastAsia="Times New Roman" w:cs="Arial"/>
          <w:color w:val="000000"/>
          <w:lang w:val="en-US"/>
        </w:rPr>
        <w:t>AUC</w:t>
      </w:r>
      <w:r w:rsidRPr="00DA6AE5">
        <w:rPr>
          <w:rFonts w:eastAsia="Times New Roman" w:cs="Arial"/>
          <w:color w:val="000000"/>
          <w:lang w:val="ru-RU"/>
        </w:rPr>
        <w:t xml:space="preserve"> </w:t>
      </w:r>
      <w:r w:rsidRPr="00DA6AE5">
        <w:rPr>
          <w:rFonts w:eastAsia="Times New Roman" w:cs="Arial"/>
          <w:color w:val="000000"/>
          <w:lang w:eastAsia="bg-BG"/>
        </w:rPr>
        <w:t>(р=0,011). Не са събирани данни за клирънс, поради което не е известно дали в тази популация е възможна корелация между клирънса и телесното тегло/възрастга.</w:t>
      </w:r>
    </w:p>
    <w:p w14:paraId="49C516A7" w14:textId="77777777" w:rsidR="00DA6AE5" w:rsidRDefault="00DA6AE5" w:rsidP="00DA6AE5">
      <w:pPr>
        <w:spacing w:line="240" w:lineRule="auto"/>
        <w:rPr>
          <w:rFonts w:eastAsia="Times New Roman" w:cs="Arial"/>
          <w:color w:val="000000"/>
          <w:lang w:eastAsia="bg-BG"/>
        </w:rPr>
      </w:pPr>
    </w:p>
    <w:p w14:paraId="015B130F" w14:textId="5277675C" w:rsidR="00DA6AE5" w:rsidRPr="00DA6AE5" w:rsidRDefault="00DA6AE5" w:rsidP="00DA6AE5">
      <w:pPr>
        <w:spacing w:line="240" w:lineRule="auto"/>
        <w:rPr>
          <w:rFonts w:eastAsia="Times New Roman" w:cs="Arial"/>
        </w:rPr>
      </w:pPr>
      <w:r w:rsidRPr="00DA6AE5">
        <w:rPr>
          <w:rFonts w:eastAsia="Times New Roman" w:cs="Arial"/>
          <w:color w:val="000000"/>
          <w:lang w:eastAsia="bg-BG"/>
        </w:rPr>
        <w:t>Децата на възраст &gt;6 са с експозиции, сходни с тези при възрастните, получили същата доза.</w:t>
      </w:r>
    </w:p>
    <w:p w14:paraId="6EDF8A3B" w14:textId="77777777" w:rsidR="00DA6AE5" w:rsidRDefault="00DA6AE5" w:rsidP="00DA6AE5">
      <w:pPr>
        <w:spacing w:line="240" w:lineRule="auto"/>
        <w:rPr>
          <w:rFonts w:eastAsia="Times New Roman" w:cs="Arial"/>
          <w:color w:val="000000"/>
          <w:lang w:eastAsia="bg-BG"/>
        </w:rPr>
      </w:pPr>
    </w:p>
    <w:p w14:paraId="1DF6E59E" w14:textId="2902E387" w:rsidR="00DA6AE5" w:rsidRPr="00DA6AE5" w:rsidRDefault="00DA6AE5" w:rsidP="00DA6AE5">
      <w:pPr>
        <w:spacing w:line="240" w:lineRule="auto"/>
        <w:rPr>
          <w:rFonts w:eastAsia="Times New Roman" w:cs="Arial"/>
        </w:rPr>
      </w:pPr>
      <w:r w:rsidRPr="00DA6AE5">
        <w:rPr>
          <w:rFonts w:eastAsia="Times New Roman" w:cs="Arial"/>
          <w:color w:val="000000"/>
          <w:lang w:eastAsia="bg-BG"/>
        </w:rPr>
        <w:t>Фармакокинетиката на кандесартан цилексетил не е проучвана при педиатрични пациенти на възраст &lt; 1 година.</w:t>
      </w:r>
    </w:p>
    <w:p w14:paraId="12645F34" w14:textId="10C6F19F" w:rsidR="00DA6AE5" w:rsidRPr="00DA6AE5" w:rsidRDefault="00DA6AE5" w:rsidP="00DA6AE5"/>
    <w:p w14:paraId="4FB791BE" w14:textId="3B3021BA" w:rsidR="00B6672E" w:rsidRDefault="002C50EE" w:rsidP="00936AD0">
      <w:pPr>
        <w:pStyle w:val="Heading2"/>
      </w:pPr>
      <w:r>
        <w:t>5.3. Предклинични данни за безопасност</w:t>
      </w:r>
    </w:p>
    <w:p w14:paraId="408AA28E" w14:textId="218AEE17" w:rsidR="00DA6AE5" w:rsidRDefault="00DA6AE5" w:rsidP="00DA6AE5"/>
    <w:p w14:paraId="3D00BEF3" w14:textId="77777777" w:rsidR="00DA6AE5" w:rsidRPr="00DA6AE5" w:rsidRDefault="00DA6AE5" w:rsidP="00DA6AE5">
      <w:pPr>
        <w:spacing w:line="240" w:lineRule="auto"/>
        <w:rPr>
          <w:rFonts w:eastAsia="Times New Roman" w:cs="Arial"/>
        </w:rPr>
      </w:pPr>
      <w:r w:rsidRPr="00DA6AE5">
        <w:rPr>
          <w:rFonts w:eastAsia="Times New Roman" w:cs="Arial"/>
          <w:color w:val="000000"/>
          <w:lang w:eastAsia="bg-BG"/>
        </w:rPr>
        <w:t>Няма данни за абнормна системна токсичност или токсичност на таргетните органи при клинично приложими дози. При предклинични проучвания за безопасността, кандесартан е оказал ефект върху бъбреците и показателите на червените кръвни клетки след приложение във високи дози на мишки, плъхове, кучета и маймуни. Кандесартан предизвиква намаление на показателите на червените кръвни клетки (еритроцити, хемоглобин, хематокрит). Ефектите върху бъбреците (като интерстициален нефрит, тубулна дистензия, баз тубули; повишена плазмена концентрация на урея и креатинин) са от кандесартан, което може да се дължи на хипотензивния ефект, който води до промени в бъбречната перфузия. Освен това, кандесартан индуцира хиперплазия/хипертрофия на юкстагломерулните клетки. Счита се, че тези промени са причинени от фармакологичното действие на кандесартан. При терапевтични дози на кандесартан при хора хиперплазията/хипертрофията на бъбречните гломерулни клетки изглежда няма някакво значение.</w:t>
      </w:r>
    </w:p>
    <w:p w14:paraId="151B1991" w14:textId="77777777" w:rsidR="00DA6AE5" w:rsidRDefault="00DA6AE5" w:rsidP="00DA6AE5">
      <w:pPr>
        <w:spacing w:line="240" w:lineRule="auto"/>
        <w:rPr>
          <w:rFonts w:eastAsia="Times New Roman" w:cs="Arial"/>
          <w:color w:val="000000"/>
          <w:lang w:eastAsia="bg-BG"/>
        </w:rPr>
      </w:pPr>
    </w:p>
    <w:p w14:paraId="60AA50C9" w14:textId="7FD7CE87" w:rsidR="00DA6AE5" w:rsidRPr="00DA6AE5" w:rsidRDefault="00DA6AE5" w:rsidP="00DA6AE5">
      <w:pPr>
        <w:spacing w:line="240" w:lineRule="auto"/>
        <w:rPr>
          <w:rFonts w:eastAsia="Times New Roman" w:cs="Arial"/>
        </w:rPr>
      </w:pPr>
      <w:r w:rsidRPr="00DA6AE5">
        <w:rPr>
          <w:rFonts w:eastAsia="Times New Roman" w:cs="Arial"/>
          <w:color w:val="000000"/>
          <w:lang w:eastAsia="bg-BG"/>
        </w:rPr>
        <w:t xml:space="preserve">В предклиничните проучвания при нормотензивни новородени и млади плъхове, кандесартан е показал редукция на телесното тегло и теглото на сърцето. Както при възрастните животни, тези ефекти се смятат за резултат от фармакологичното действие на кандесартан. При най- ниската доза - 10 </w:t>
      </w:r>
      <w:r w:rsidRPr="00DA6AE5">
        <w:rPr>
          <w:rFonts w:eastAsia="Times New Roman" w:cs="Arial"/>
          <w:color w:val="000000"/>
          <w:lang w:val="en-US"/>
        </w:rPr>
        <w:t>mg</w:t>
      </w:r>
      <w:r w:rsidRPr="00DA6AE5">
        <w:rPr>
          <w:rFonts w:eastAsia="Times New Roman" w:cs="Arial"/>
          <w:color w:val="000000"/>
          <w:lang w:val="ru-RU"/>
        </w:rPr>
        <w:t>/</w:t>
      </w:r>
      <w:r w:rsidRPr="00DA6AE5">
        <w:rPr>
          <w:rFonts w:eastAsia="Times New Roman" w:cs="Arial"/>
          <w:color w:val="000000"/>
          <w:lang w:val="en-US"/>
        </w:rPr>
        <w:t>kg</w:t>
      </w:r>
      <w:r w:rsidRPr="00DA6AE5">
        <w:rPr>
          <w:rFonts w:eastAsia="Times New Roman" w:cs="Arial"/>
          <w:color w:val="000000"/>
          <w:lang w:val="ru-RU"/>
        </w:rPr>
        <w:t xml:space="preserve">, </w:t>
      </w:r>
      <w:r w:rsidRPr="00DA6AE5">
        <w:rPr>
          <w:rFonts w:eastAsia="Times New Roman" w:cs="Arial"/>
          <w:color w:val="000000"/>
          <w:lang w:eastAsia="bg-BG"/>
        </w:rPr>
        <w:t>експозицията на кандесартан е между 12 и 78 пъти по-висока от нивата при деца на възраст от 1 до &lt; 6 години, получавали кандесартан цилексетил в</w:t>
      </w:r>
      <w:r w:rsidRPr="00DA6AE5">
        <w:rPr>
          <w:rFonts w:eastAsia="Times New Roman" w:cs="Arial"/>
          <w:color w:val="000000"/>
          <w:lang w:val="ru-RU"/>
        </w:rPr>
        <w:t xml:space="preserve"> </w:t>
      </w:r>
      <w:r w:rsidRPr="00DA6AE5">
        <w:rPr>
          <w:rFonts w:eastAsia="Times New Roman" w:cs="Arial"/>
          <w:color w:val="000000"/>
          <w:lang w:eastAsia="bg-BG"/>
        </w:rPr>
        <w:t>доза</w:t>
      </w:r>
      <w:r w:rsidRPr="00DA6AE5">
        <w:rPr>
          <w:rFonts w:eastAsia="Times New Roman" w:cs="Arial"/>
          <w:color w:val="000000"/>
          <w:u w:val="single"/>
          <w:lang w:eastAsia="bg-BG"/>
        </w:rPr>
        <w:t xml:space="preserve"> </w:t>
      </w:r>
      <w:r w:rsidRPr="00DA6AE5">
        <w:rPr>
          <w:rFonts w:eastAsia="Times New Roman" w:cs="Arial"/>
          <w:color w:val="000000"/>
          <w:lang w:eastAsia="bg-BG"/>
        </w:rPr>
        <w:t xml:space="preserve">0,2 </w:t>
      </w:r>
      <w:r w:rsidRPr="00DA6AE5">
        <w:rPr>
          <w:rFonts w:eastAsia="Times New Roman" w:cs="Arial"/>
          <w:color w:val="000000"/>
          <w:lang w:val="en-US"/>
        </w:rPr>
        <w:t>mg</w:t>
      </w:r>
      <w:r w:rsidRPr="00DA6AE5">
        <w:rPr>
          <w:rFonts w:eastAsia="Times New Roman" w:cs="Arial"/>
          <w:color w:val="000000"/>
          <w:lang w:val="ru-RU"/>
        </w:rPr>
        <w:t>/</w:t>
      </w:r>
      <w:r w:rsidRPr="00DA6AE5">
        <w:rPr>
          <w:rFonts w:eastAsia="Times New Roman" w:cs="Arial"/>
          <w:color w:val="000000"/>
          <w:lang w:val="en-US"/>
        </w:rPr>
        <w:t>kg</w:t>
      </w:r>
      <w:r w:rsidRPr="00DA6AE5">
        <w:rPr>
          <w:rFonts w:eastAsia="Times New Roman" w:cs="Arial"/>
          <w:color w:val="000000"/>
          <w:lang w:val="ru-RU"/>
        </w:rPr>
        <w:t xml:space="preserve">, </w:t>
      </w:r>
      <w:r w:rsidRPr="00DA6AE5">
        <w:rPr>
          <w:rFonts w:eastAsia="Times New Roman" w:cs="Arial"/>
          <w:color w:val="000000"/>
          <w:lang w:eastAsia="bg-BG"/>
        </w:rPr>
        <w:t xml:space="preserve">и от 7 до 54 пъти по-висока от нивата при деца на възраст от 6 до &lt; 17 години получавали кандесартан цилексетил в доза от 16 </w:t>
      </w:r>
      <w:r w:rsidRPr="00DA6AE5">
        <w:rPr>
          <w:rFonts w:eastAsia="Times New Roman" w:cs="Arial"/>
          <w:color w:val="000000"/>
          <w:lang w:val="en-US"/>
        </w:rPr>
        <w:t>mg</w:t>
      </w:r>
      <w:r w:rsidRPr="00DA6AE5">
        <w:rPr>
          <w:rFonts w:eastAsia="Times New Roman" w:cs="Arial"/>
          <w:color w:val="000000"/>
          <w:lang w:val="ru-RU"/>
        </w:rPr>
        <w:t xml:space="preserve">. </w:t>
      </w:r>
      <w:r w:rsidRPr="00DA6AE5">
        <w:rPr>
          <w:rFonts w:eastAsia="Times New Roman" w:cs="Arial"/>
          <w:color w:val="000000"/>
          <w:lang w:eastAsia="bg-BG"/>
        </w:rPr>
        <w:t>Тъй като в тези проучвания не са намерени стойности, под които не се установява ефект, границата на безопасност по отношение на ефектите върху теглото на сърцето и клиничната значимост на тези резултати не е известна</w:t>
      </w:r>
    </w:p>
    <w:p w14:paraId="5201BE5B" w14:textId="50F18231" w:rsidR="00DA6AE5" w:rsidRDefault="00DA6AE5" w:rsidP="00DA6AE5">
      <w:pPr>
        <w:rPr>
          <w:rFonts w:eastAsia="Times New Roman" w:cs="Arial"/>
          <w:color w:val="000000"/>
          <w:lang w:eastAsia="bg-BG"/>
        </w:rPr>
      </w:pPr>
    </w:p>
    <w:p w14:paraId="69DCAD4A" w14:textId="5C1C7095" w:rsidR="00DA6AE5" w:rsidRDefault="00DA6AE5" w:rsidP="00DA6AE5">
      <w:pPr>
        <w:rPr>
          <w:rFonts w:eastAsia="Times New Roman" w:cs="Arial"/>
          <w:color w:val="000000"/>
          <w:lang w:eastAsia="bg-BG"/>
        </w:rPr>
      </w:pPr>
      <w:r w:rsidRPr="00DA6AE5">
        <w:rPr>
          <w:rFonts w:eastAsia="Times New Roman" w:cs="Arial"/>
          <w:color w:val="000000"/>
          <w:lang w:eastAsia="bg-BG"/>
        </w:rPr>
        <w:t>Наблюдавана е фетотоксичност при късна бременност (вж. точка 4.6).</w:t>
      </w:r>
    </w:p>
    <w:p w14:paraId="4A17FBB7" w14:textId="1520716D" w:rsidR="00DA6AE5" w:rsidRDefault="00DA6AE5" w:rsidP="00DA6AE5">
      <w:pPr>
        <w:rPr>
          <w:rFonts w:eastAsia="Times New Roman" w:cs="Arial"/>
          <w:color w:val="000000"/>
          <w:lang w:eastAsia="bg-BG"/>
        </w:rPr>
      </w:pPr>
    </w:p>
    <w:p w14:paraId="191B1577" w14:textId="77777777" w:rsidR="00DA6AE5" w:rsidRPr="00DA6AE5" w:rsidRDefault="00DA6AE5" w:rsidP="00DA6AE5">
      <w:pPr>
        <w:spacing w:line="240" w:lineRule="auto"/>
        <w:rPr>
          <w:rFonts w:eastAsia="Times New Roman" w:cs="Arial"/>
        </w:rPr>
      </w:pPr>
      <w:r w:rsidRPr="00DA6AE5">
        <w:rPr>
          <w:rFonts w:eastAsia="Times New Roman" w:cs="Arial"/>
          <w:color w:val="000000"/>
          <w:lang w:eastAsia="bg-BG"/>
        </w:rPr>
        <w:t xml:space="preserve">Данни от проучванията на мутагенността </w:t>
      </w:r>
      <w:r w:rsidRPr="00DA6AE5">
        <w:rPr>
          <w:rFonts w:eastAsia="Times New Roman" w:cs="Arial"/>
          <w:i/>
          <w:iCs/>
          <w:color w:val="000000"/>
          <w:lang w:val="en-US"/>
        </w:rPr>
        <w:t>in</w:t>
      </w:r>
      <w:r w:rsidRPr="00DA6AE5">
        <w:rPr>
          <w:rFonts w:eastAsia="Times New Roman" w:cs="Arial"/>
          <w:i/>
          <w:iCs/>
          <w:color w:val="000000"/>
          <w:lang w:val="ru-RU"/>
        </w:rPr>
        <w:t xml:space="preserve"> </w:t>
      </w:r>
      <w:r w:rsidRPr="00DA6AE5">
        <w:rPr>
          <w:rFonts w:eastAsia="Times New Roman" w:cs="Arial"/>
          <w:i/>
          <w:iCs/>
          <w:color w:val="000000"/>
          <w:lang w:val="en-US"/>
        </w:rPr>
        <w:t>vitro</w:t>
      </w:r>
      <w:r w:rsidRPr="00DA6AE5">
        <w:rPr>
          <w:rFonts w:eastAsia="Times New Roman" w:cs="Arial"/>
          <w:color w:val="000000"/>
          <w:lang w:val="ru-RU"/>
        </w:rPr>
        <w:t xml:space="preserve"> </w:t>
      </w:r>
      <w:r w:rsidRPr="00DA6AE5">
        <w:rPr>
          <w:rFonts w:eastAsia="Times New Roman" w:cs="Arial"/>
          <w:color w:val="000000"/>
          <w:lang w:eastAsia="bg-BG"/>
        </w:rPr>
        <w:t xml:space="preserve">и </w:t>
      </w:r>
      <w:r w:rsidRPr="00DA6AE5">
        <w:rPr>
          <w:rFonts w:eastAsia="Times New Roman" w:cs="Arial"/>
          <w:i/>
          <w:iCs/>
          <w:color w:val="000000"/>
          <w:lang w:val="en-US"/>
        </w:rPr>
        <w:t>in</w:t>
      </w:r>
      <w:r w:rsidRPr="00DA6AE5">
        <w:rPr>
          <w:rFonts w:eastAsia="Times New Roman" w:cs="Arial"/>
          <w:i/>
          <w:iCs/>
          <w:color w:val="000000"/>
          <w:lang w:val="ru-RU"/>
        </w:rPr>
        <w:t xml:space="preserve"> </w:t>
      </w:r>
      <w:r w:rsidRPr="00DA6AE5">
        <w:rPr>
          <w:rFonts w:eastAsia="Times New Roman" w:cs="Arial"/>
          <w:i/>
          <w:iCs/>
          <w:color w:val="000000"/>
          <w:lang w:val="en-US"/>
        </w:rPr>
        <w:t>vivo</w:t>
      </w:r>
      <w:r w:rsidRPr="00DA6AE5">
        <w:rPr>
          <w:rFonts w:eastAsia="Times New Roman" w:cs="Arial"/>
          <w:color w:val="000000"/>
          <w:lang w:val="ru-RU"/>
        </w:rPr>
        <w:t xml:space="preserve"> </w:t>
      </w:r>
      <w:r w:rsidRPr="00DA6AE5">
        <w:rPr>
          <w:rFonts w:eastAsia="Times New Roman" w:cs="Arial"/>
          <w:color w:val="000000"/>
          <w:lang w:eastAsia="bg-BG"/>
        </w:rPr>
        <w:t>показват, че кандесартан няма кластогенна и мутагенна активност в условията на клинична употреба.</w:t>
      </w:r>
    </w:p>
    <w:p w14:paraId="4BD9D86E" w14:textId="77777777" w:rsidR="00DA6AE5" w:rsidRDefault="00DA6AE5" w:rsidP="00DA6AE5">
      <w:pPr>
        <w:spacing w:line="240" w:lineRule="auto"/>
        <w:rPr>
          <w:rFonts w:eastAsia="Times New Roman" w:cs="Arial"/>
          <w:color w:val="000000"/>
          <w:lang w:eastAsia="bg-BG"/>
        </w:rPr>
      </w:pPr>
    </w:p>
    <w:p w14:paraId="3F13286F" w14:textId="213D685F" w:rsidR="00DA6AE5" w:rsidRPr="00DA6AE5" w:rsidRDefault="00DA6AE5" w:rsidP="00DA6AE5">
      <w:pPr>
        <w:spacing w:line="240" w:lineRule="auto"/>
        <w:rPr>
          <w:rFonts w:eastAsia="Times New Roman" w:cs="Arial"/>
        </w:rPr>
      </w:pPr>
      <w:r w:rsidRPr="00DA6AE5">
        <w:rPr>
          <w:rFonts w:eastAsia="Times New Roman" w:cs="Arial"/>
          <w:color w:val="000000"/>
          <w:lang w:eastAsia="bg-BG"/>
        </w:rPr>
        <w:t>Няма данни за канцерогенност.</w:t>
      </w:r>
    </w:p>
    <w:p w14:paraId="5C77E62D" w14:textId="77777777" w:rsidR="00DA6AE5" w:rsidRDefault="00DA6AE5" w:rsidP="00DA6AE5">
      <w:pPr>
        <w:spacing w:line="240" w:lineRule="auto"/>
        <w:rPr>
          <w:rFonts w:eastAsia="Times New Roman" w:cs="Arial"/>
          <w:color w:val="000000"/>
          <w:lang w:eastAsia="bg-BG"/>
        </w:rPr>
      </w:pPr>
    </w:p>
    <w:p w14:paraId="5D02F89F" w14:textId="7F50DE95" w:rsidR="00DA6AE5" w:rsidRPr="00DA6AE5" w:rsidRDefault="00DA6AE5" w:rsidP="00DA6AE5">
      <w:pPr>
        <w:spacing w:line="240" w:lineRule="auto"/>
        <w:rPr>
          <w:rFonts w:eastAsia="Times New Roman" w:cs="Arial"/>
        </w:rPr>
      </w:pPr>
      <w:r w:rsidRPr="00DA6AE5">
        <w:rPr>
          <w:rFonts w:eastAsia="Times New Roman" w:cs="Arial"/>
          <w:color w:val="000000"/>
          <w:lang w:eastAsia="bg-BG"/>
        </w:rPr>
        <w:t xml:space="preserve">Ренин-ангиотензин-алдостероновата система играе критична роля в развитието на бъбреците </w:t>
      </w:r>
      <w:r w:rsidRPr="00DA6AE5">
        <w:rPr>
          <w:rFonts w:eastAsia="Times New Roman" w:cs="Arial"/>
          <w:i/>
          <w:iCs/>
          <w:color w:val="000000"/>
          <w:lang w:val="en-US"/>
        </w:rPr>
        <w:t>in</w:t>
      </w:r>
      <w:r w:rsidRPr="00DA6AE5">
        <w:rPr>
          <w:rFonts w:eastAsia="Times New Roman" w:cs="Arial"/>
          <w:i/>
          <w:iCs/>
          <w:color w:val="000000"/>
          <w:lang w:val="ru-RU"/>
        </w:rPr>
        <w:t xml:space="preserve"> </w:t>
      </w:r>
      <w:r w:rsidRPr="00DA6AE5">
        <w:rPr>
          <w:rFonts w:eastAsia="Times New Roman" w:cs="Arial"/>
          <w:i/>
          <w:iCs/>
          <w:color w:val="000000"/>
          <w:lang w:val="en-US"/>
        </w:rPr>
        <w:t>utero</w:t>
      </w:r>
      <w:r w:rsidRPr="00DA6AE5">
        <w:rPr>
          <w:rFonts w:eastAsia="Times New Roman" w:cs="Arial"/>
          <w:i/>
          <w:iCs/>
          <w:color w:val="000000"/>
          <w:lang w:val="ru-RU"/>
        </w:rPr>
        <w:t>.</w:t>
      </w:r>
      <w:r w:rsidRPr="00DA6AE5">
        <w:rPr>
          <w:rFonts w:eastAsia="Times New Roman" w:cs="Arial"/>
          <w:color w:val="000000"/>
          <w:lang w:val="ru-RU"/>
        </w:rPr>
        <w:t xml:space="preserve"> </w:t>
      </w:r>
      <w:r w:rsidRPr="00DA6AE5">
        <w:rPr>
          <w:rFonts w:eastAsia="Times New Roman" w:cs="Arial"/>
          <w:color w:val="000000"/>
          <w:lang w:eastAsia="bg-BG"/>
        </w:rPr>
        <w:t>Доказано е, че блокирането на ренин-ангиотензин-алдостероновата система при много млади мишки води до нарушено развитие на бъбреците. Приложението на медикаменти, които действат директно върху ренин-ангиотензин-алдостероновата система може да повлияе нормалното развитие на бъбреците. Следователно децата на възраст под 1 година не трябва да приемат Карбис (вж. точка 4.3).</w:t>
      </w:r>
    </w:p>
    <w:p w14:paraId="18AC2330" w14:textId="77777777" w:rsidR="00DA6AE5" w:rsidRPr="00DA6AE5" w:rsidRDefault="00DA6AE5" w:rsidP="00DA6AE5">
      <w:pPr>
        <w:rPr>
          <w:rFonts w:cs="Arial"/>
        </w:rPr>
      </w:pPr>
    </w:p>
    <w:p w14:paraId="1BA6531D" w14:textId="7EC6237C" w:rsidR="00B6672E" w:rsidRDefault="002C50EE" w:rsidP="00936AD0">
      <w:pPr>
        <w:pStyle w:val="Heading1"/>
      </w:pPr>
      <w:r>
        <w:t>7. ПРИТЕЖАТЕЛ НА РАЗРЕШЕНИЕТО ЗА УПОТРЕБА</w:t>
      </w:r>
    </w:p>
    <w:p w14:paraId="124C55C5" w14:textId="78AA7832" w:rsidR="00DA6AE5" w:rsidRDefault="00DA6AE5" w:rsidP="00DA6AE5"/>
    <w:p w14:paraId="3ED212D8" w14:textId="64FCB46A" w:rsidR="00DA6AE5" w:rsidRDefault="00DA6AE5" w:rsidP="00DA6AE5">
      <w:r>
        <w:lastRenderedPageBreak/>
        <w:t xml:space="preserve">KRKA, d.d., Novo mesto, Smarjeska cesta 6. 8501 Novo mesto, </w:t>
      </w:r>
      <w:r>
        <w:rPr>
          <w:lang w:eastAsia="bg-BG"/>
        </w:rPr>
        <w:t>Словения</w:t>
      </w:r>
    </w:p>
    <w:p w14:paraId="60BBF2FA" w14:textId="77777777" w:rsidR="00DA6AE5" w:rsidRPr="00DA6AE5" w:rsidRDefault="00DA6AE5" w:rsidP="00DA6AE5"/>
    <w:p w14:paraId="508F3A54" w14:textId="25655662" w:rsidR="00B6672E" w:rsidRDefault="00936AD0" w:rsidP="00936AD0">
      <w:pPr>
        <w:pStyle w:val="Heading1"/>
      </w:pPr>
      <w:r>
        <w:t>8.</w:t>
      </w:r>
      <w:r w:rsidR="002C50EE">
        <w:t>НОМЕР НА РАЗРЕШЕНИЕТО ЗА УПОТРЕБА</w:t>
      </w:r>
    </w:p>
    <w:p w14:paraId="3BAFC737" w14:textId="4DA22A16" w:rsidR="00DA6AE5" w:rsidRDefault="00DA6AE5" w:rsidP="00DA6AE5"/>
    <w:p w14:paraId="1908D0F7" w14:textId="77777777" w:rsidR="00DA6AE5" w:rsidRPr="00DA6AE5" w:rsidRDefault="00DA6AE5" w:rsidP="00DA6AE5">
      <w:pPr>
        <w:rPr>
          <w:sz w:val="24"/>
          <w:szCs w:val="24"/>
        </w:rPr>
      </w:pPr>
      <w:r w:rsidRPr="00DA6AE5">
        <w:rPr>
          <w:lang w:eastAsia="bg-BG"/>
        </w:rPr>
        <w:t>20100139</w:t>
      </w:r>
    </w:p>
    <w:p w14:paraId="02454304" w14:textId="77777777" w:rsidR="00DA6AE5" w:rsidRPr="00DA6AE5" w:rsidRDefault="00DA6AE5" w:rsidP="00DA6AE5">
      <w:pPr>
        <w:rPr>
          <w:sz w:val="24"/>
          <w:szCs w:val="24"/>
        </w:rPr>
      </w:pPr>
      <w:r w:rsidRPr="00DA6AE5">
        <w:rPr>
          <w:lang w:eastAsia="bg-BG"/>
        </w:rPr>
        <w:t>20100140</w:t>
      </w:r>
    </w:p>
    <w:p w14:paraId="3628952B" w14:textId="77777777" w:rsidR="00DA6AE5" w:rsidRPr="00DA6AE5" w:rsidRDefault="00DA6AE5" w:rsidP="00DA6AE5">
      <w:pPr>
        <w:rPr>
          <w:sz w:val="24"/>
          <w:szCs w:val="24"/>
        </w:rPr>
      </w:pPr>
      <w:r w:rsidRPr="00DA6AE5">
        <w:rPr>
          <w:lang w:eastAsia="bg-BG"/>
        </w:rPr>
        <w:t>20100141</w:t>
      </w:r>
    </w:p>
    <w:p w14:paraId="61357731" w14:textId="4DEF6C9D" w:rsidR="00DA6AE5" w:rsidRDefault="00DA6AE5" w:rsidP="00DA6AE5">
      <w:r w:rsidRPr="00DA6AE5">
        <w:rPr>
          <w:lang w:eastAsia="bg-BG"/>
        </w:rPr>
        <w:t>20100142</w:t>
      </w:r>
    </w:p>
    <w:p w14:paraId="309253ED" w14:textId="77777777" w:rsidR="00DA6AE5" w:rsidRPr="00DA6AE5" w:rsidRDefault="00DA6AE5" w:rsidP="00DA6AE5"/>
    <w:p w14:paraId="2CCB5832" w14:textId="75269348" w:rsidR="007C605B" w:rsidRDefault="002C50EE" w:rsidP="007C605B">
      <w:pPr>
        <w:pStyle w:val="Heading1"/>
      </w:pPr>
      <w:r>
        <w:t>9. ДАТА НА ПЪРВО РАЗРЕШАВАНЕ/ПОДНОВЯВАНЕ НА РАЗРЕШЕНИЕТО ЗА УПОТРЕБА</w:t>
      </w:r>
    </w:p>
    <w:p w14:paraId="63ED1F99" w14:textId="1AE226E5" w:rsidR="00DA6AE5" w:rsidRDefault="00DA6AE5" w:rsidP="00DA6AE5"/>
    <w:p w14:paraId="36CD67B7" w14:textId="77777777" w:rsidR="00DA6AE5" w:rsidRPr="00DA6AE5" w:rsidRDefault="00DA6AE5" w:rsidP="00DA6AE5">
      <w:pPr>
        <w:rPr>
          <w:sz w:val="24"/>
          <w:szCs w:val="24"/>
        </w:rPr>
      </w:pPr>
      <w:r w:rsidRPr="00DA6AE5">
        <w:rPr>
          <w:lang w:eastAsia="bg-BG"/>
        </w:rPr>
        <w:t>Дата на първо разрешаване: 05.03.2010 год.</w:t>
      </w:r>
    </w:p>
    <w:p w14:paraId="01109E71" w14:textId="77777777" w:rsidR="00DA6AE5" w:rsidRPr="00DA6AE5" w:rsidRDefault="00DA6AE5" w:rsidP="00DA6AE5">
      <w:pPr>
        <w:rPr>
          <w:sz w:val="24"/>
          <w:szCs w:val="24"/>
        </w:rPr>
      </w:pPr>
      <w:r w:rsidRPr="00DA6AE5">
        <w:rPr>
          <w:lang w:eastAsia="bg-BG"/>
        </w:rPr>
        <w:t>Дата на последно подновяване: 11.05.2017 год.</w:t>
      </w:r>
    </w:p>
    <w:p w14:paraId="70FAF1C2" w14:textId="77777777" w:rsidR="00DA6AE5" w:rsidRPr="00DA6AE5" w:rsidRDefault="00DA6AE5" w:rsidP="00DA6AE5"/>
    <w:p w14:paraId="0E9D0119" w14:textId="0245C6D7" w:rsidR="002C50EE" w:rsidRDefault="002C50EE" w:rsidP="002C50EE">
      <w:pPr>
        <w:pStyle w:val="Heading1"/>
      </w:pPr>
      <w:r>
        <w:t>10. ДАТА НА АКТУАЛИЗИРАНЕ НА ТЕКСТА</w:t>
      </w:r>
    </w:p>
    <w:p w14:paraId="43FB38A2" w14:textId="689F8F04" w:rsidR="007C605B" w:rsidRPr="003E3126" w:rsidRDefault="007C605B" w:rsidP="00B6672E">
      <w:bookmarkStart w:id="1" w:name="_GoBack"/>
      <w:bookmarkEnd w:id="0"/>
      <w:bookmarkEnd w:id="1"/>
    </w:p>
    <w:sectPr w:rsidR="007C605B" w:rsidRPr="003E31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 w15:restartNumberingAfterBreak="0">
    <w:nsid w:val="00000003"/>
    <w:multiLevelType w:val="multilevel"/>
    <w:tmpl w:val="293C6334"/>
    <w:lvl w:ilvl="0">
      <w:start w:val="1"/>
      <w:numFmt w:val="decimal"/>
      <w:lvlText w:val="%1."/>
      <w:lvlJc w:val="left"/>
      <w:rPr>
        <w:rFonts w:ascii="Arial" w:eastAsia="Times New Roman"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 w15:restartNumberingAfterBreak="0">
    <w:nsid w:val="00894126"/>
    <w:multiLevelType w:val="multilevel"/>
    <w:tmpl w:val="588ED07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00AE4925"/>
    <w:multiLevelType w:val="multilevel"/>
    <w:tmpl w:val="4CC8ED5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 w15:restartNumberingAfterBreak="0">
    <w:nsid w:val="04834C69"/>
    <w:multiLevelType w:val="multilevel"/>
    <w:tmpl w:val="DC0A14F8"/>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 w15:restartNumberingAfterBreak="0">
    <w:nsid w:val="099A0F47"/>
    <w:multiLevelType w:val="hybridMultilevel"/>
    <w:tmpl w:val="5F3E3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3A2C2D"/>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7" w15:restartNumberingAfterBreak="0">
    <w:nsid w:val="14F52316"/>
    <w:multiLevelType w:val="hybridMultilevel"/>
    <w:tmpl w:val="93CA5338"/>
    <w:lvl w:ilvl="0" w:tplc="61A8CAF0">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74D0D9E"/>
    <w:multiLevelType w:val="hybridMultilevel"/>
    <w:tmpl w:val="4E6C17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9016EEE"/>
    <w:multiLevelType w:val="hybridMultilevel"/>
    <w:tmpl w:val="52F6376E"/>
    <w:lvl w:ilvl="0" w:tplc="4F7A9382">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C6343B0"/>
    <w:multiLevelType w:val="hybridMultilevel"/>
    <w:tmpl w:val="DD4E8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EC16F5"/>
    <w:multiLevelType w:val="hybridMultilevel"/>
    <w:tmpl w:val="E5EAD0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51258ED"/>
    <w:multiLevelType w:val="hybridMultilevel"/>
    <w:tmpl w:val="AA423BD4"/>
    <w:lvl w:ilvl="0" w:tplc="04090001">
      <w:start w:val="1"/>
      <w:numFmt w:val="bullet"/>
      <w:lvlText w:val=""/>
      <w:lvlJc w:val="left"/>
      <w:pPr>
        <w:ind w:left="1637" w:hanging="360"/>
      </w:pPr>
      <w:rPr>
        <w:rFonts w:ascii="Symbol" w:hAnsi="Symbol" w:hint="default"/>
      </w:rPr>
    </w:lvl>
    <w:lvl w:ilvl="1" w:tplc="04090003" w:tentative="1">
      <w:start w:val="1"/>
      <w:numFmt w:val="bullet"/>
      <w:lvlText w:val="o"/>
      <w:lvlJc w:val="left"/>
      <w:pPr>
        <w:ind w:left="2357" w:hanging="360"/>
      </w:pPr>
      <w:rPr>
        <w:rFonts w:ascii="Courier New" w:hAnsi="Courier New" w:cs="Courier New" w:hint="default"/>
      </w:rPr>
    </w:lvl>
    <w:lvl w:ilvl="2" w:tplc="04090005" w:tentative="1">
      <w:start w:val="1"/>
      <w:numFmt w:val="bullet"/>
      <w:lvlText w:val=""/>
      <w:lvlJc w:val="left"/>
      <w:pPr>
        <w:ind w:left="3077" w:hanging="360"/>
      </w:pPr>
      <w:rPr>
        <w:rFonts w:ascii="Wingdings" w:hAnsi="Wingdings" w:hint="default"/>
      </w:rPr>
    </w:lvl>
    <w:lvl w:ilvl="3" w:tplc="04090001" w:tentative="1">
      <w:start w:val="1"/>
      <w:numFmt w:val="bullet"/>
      <w:lvlText w:val=""/>
      <w:lvlJc w:val="left"/>
      <w:pPr>
        <w:ind w:left="3797" w:hanging="360"/>
      </w:pPr>
      <w:rPr>
        <w:rFonts w:ascii="Symbol" w:hAnsi="Symbol" w:hint="default"/>
      </w:rPr>
    </w:lvl>
    <w:lvl w:ilvl="4" w:tplc="04090003" w:tentative="1">
      <w:start w:val="1"/>
      <w:numFmt w:val="bullet"/>
      <w:lvlText w:val="o"/>
      <w:lvlJc w:val="left"/>
      <w:pPr>
        <w:ind w:left="4517" w:hanging="360"/>
      </w:pPr>
      <w:rPr>
        <w:rFonts w:ascii="Courier New" w:hAnsi="Courier New" w:cs="Courier New" w:hint="default"/>
      </w:rPr>
    </w:lvl>
    <w:lvl w:ilvl="5" w:tplc="04090005" w:tentative="1">
      <w:start w:val="1"/>
      <w:numFmt w:val="bullet"/>
      <w:lvlText w:val=""/>
      <w:lvlJc w:val="left"/>
      <w:pPr>
        <w:ind w:left="5237" w:hanging="360"/>
      </w:pPr>
      <w:rPr>
        <w:rFonts w:ascii="Wingdings" w:hAnsi="Wingdings" w:hint="default"/>
      </w:rPr>
    </w:lvl>
    <w:lvl w:ilvl="6" w:tplc="04090001" w:tentative="1">
      <w:start w:val="1"/>
      <w:numFmt w:val="bullet"/>
      <w:lvlText w:val=""/>
      <w:lvlJc w:val="left"/>
      <w:pPr>
        <w:ind w:left="5957" w:hanging="360"/>
      </w:pPr>
      <w:rPr>
        <w:rFonts w:ascii="Symbol" w:hAnsi="Symbol" w:hint="default"/>
      </w:rPr>
    </w:lvl>
    <w:lvl w:ilvl="7" w:tplc="04090003" w:tentative="1">
      <w:start w:val="1"/>
      <w:numFmt w:val="bullet"/>
      <w:lvlText w:val="o"/>
      <w:lvlJc w:val="left"/>
      <w:pPr>
        <w:ind w:left="6677" w:hanging="360"/>
      </w:pPr>
      <w:rPr>
        <w:rFonts w:ascii="Courier New" w:hAnsi="Courier New" w:cs="Courier New" w:hint="default"/>
      </w:rPr>
    </w:lvl>
    <w:lvl w:ilvl="8" w:tplc="04090005" w:tentative="1">
      <w:start w:val="1"/>
      <w:numFmt w:val="bullet"/>
      <w:lvlText w:val=""/>
      <w:lvlJc w:val="left"/>
      <w:pPr>
        <w:ind w:left="7397" w:hanging="360"/>
      </w:pPr>
      <w:rPr>
        <w:rFonts w:ascii="Wingdings" w:hAnsi="Wingdings" w:hint="default"/>
      </w:rPr>
    </w:lvl>
  </w:abstractNum>
  <w:abstractNum w:abstractNumId="13" w15:restartNumberingAfterBreak="0">
    <w:nsid w:val="26177103"/>
    <w:multiLevelType w:val="multilevel"/>
    <w:tmpl w:val="E82C6D4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4" w15:restartNumberingAfterBreak="0">
    <w:nsid w:val="2A815714"/>
    <w:multiLevelType w:val="hybridMultilevel"/>
    <w:tmpl w:val="B59C95A8"/>
    <w:lvl w:ilvl="0" w:tplc="61A8CAF0">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C0F0359"/>
    <w:multiLevelType w:val="hybridMultilevel"/>
    <w:tmpl w:val="44CA7B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CA60FB9"/>
    <w:multiLevelType w:val="hybridMultilevel"/>
    <w:tmpl w:val="BA3E8EEE"/>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8A002FE"/>
    <w:multiLevelType w:val="hybridMultilevel"/>
    <w:tmpl w:val="60D40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D687B8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9" w15:restartNumberingAfterBreak="0">
    <w:nsid w:val="403D3417"/>
    <w:multiLevelType w:val="multilevel"/>
    <w:tmpl w:val="B57254DC"/>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0" w15:restartNumberingAfterBreak="0">
    <w:nsid w:val="42823E3C"/>
    <w:multiLevelType w:val="hybridMultilevel"/>
    <w:tmpl w:val="80B077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30E33D8"/>
    <w:multiLevelType w:val="hybridMultilevel"/>
    <w:tmpl w:val="71309C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3ED0C31"/>
    <w:multiLevelType w:val="hybridMultilevel"/>
    <w:tmpl w:val="2946DD8C"/>
    <w:lvl w:ilvl="0" w:tplc="83C2330A">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A817B77"/>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4" w15:restartNumberingAfterBreak="0">
    <w:nsid w:val="4B960DEC"/>
    <w:multiLevelType w:val="hybridMultilevel"/>
    <w:tmpl w:val="DE7AABEA"/>
    <w:lvl w:ilvl="0" w:tplc="7E0614A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D31061F"/>
    <w:multiLevelType w:val="hybridMultilevel"/>
    <w:tmpl w:val="7BE09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DFE48DA"/>
    <w:multiLevelType w:val="hybridMultilevel"/>
    <w:tmpl w:val="8D98AC54"/>
    <w:lvl w:ilvl="0" w:tplc="04090001">
      <w:start w:val="1"/>
      <w:numFmt w:val="bullet"/>
      <w:lvlText w:val=""/>
      <w:lvlJc w:val="left"/>
      <w:pPr>
        <w:ind w:left="720" w:hanging="360"/>
      </w:pPr>
      <w:rPr>
        <w:rFonts w:ascii="Symbol" w:hAnsi="Symbol" w:hint="default"/>
      </w:rPr>
    </w:lvl>
    <w:lvl w:ilvl="1" w:tplc="9F088CA4">
      <w:numFmt w:val="bullet"/>
      <w:lvlText w:val="•"/>
      <w:lvlJc w:val="left"/>
      <w:pPr>
        <w:ind w:left="1800" w:hanging="720"/>
      </w:pPr>
      <w:rPr>
        <w:rFonts w:ascii="Arial" w:eastAsiaTheme="minorHAnsi" w:hAnsi="Arial" w:cs="Arial" w:hint="default"/>
        <w:sz w:val="2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FAB1ABA"/>
    <w:multiLevelType w:val="hybridMultilevel"/>
    <w:tmpl w:val="EEEC7F7E"/>
    <w:lvl w:ilvl="0" w:tplc="E38E44DA">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0A8116B"/>
    <w:multiLevelType w:val="hybridMultilevel"/>
    <w:tmpl w:val="F18C2434"/>
    <w:lvl w:ilvl="0" w:tplc="04B87F8E">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5C2302E"/>
    <w:multiLevelType w:val="hybridMultilevel"/>
    <w:tmpl w:val="FF02BB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C1F677A"/>
    <w:multiLevelType w:val="hybridMultilevel"/>
    <w:tmpl w:val="96EC7004"/>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E122928"/>
    <w:multiLevelType w:val="hybridMultilevel"/>
    <w:tmpl w:val="A8F06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1B539E2"/>
    <w:multiLevelType w:val="hybridMultilevel"/>
    <w:tmpl w:val="E3BC63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3BC7DEC"/>
    <w:multiLevelType w:val="hybridMultilevel"/>
    <w:tmpl w:val="EE04B8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3AD1413"/>
    <w:multiLevelType w:val="hybridMultilevel"/>
    <w:tmpl w:val="9B941132"/>
    <w:lvl w:ilvl="0" w:tplc="7E0614A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4646080"/>
    <w:multiLevelType w:val="hybridMultilevel"/>
    <w:tmpl w:val="AF3E92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B9E39A0"/>
    <w:multiLevelType w:val="hybridMultilevel"/>
    <w:tmpl w:val="E28A72A8"/>
    <w:lvl w:ilvl="0" w:tplc="61A8CAF0">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EFB2D7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num w:numId="1">
    <w:abstractNumId w:val="30"/>
  </w:num>
  <w:num w:numId="2">
    <w:abstractNumId w:val="0"/>
  </w:num>
  <w:num w:numId="3">
    <w:abstractNumId w:val="16"/>
  </w:num>
  <w:num w:numId="4">
    <w:abstractNumId w:val="3"/>
  </w:num>
  <w:num w:numId="5">
    <w:abstractNumId w:val="1"/>
  </w:num>
  <w:num w:numId="6">
    <w:abstractNumId w:val="19"/>
  </w:num>
  <w:num w:numId="7">
    <w:abstractNumId w:val="13"/>
  </w:num>
  <w:num w:numId="8">
    <w:abstractNumId w:val="18"/>
  </w:num>
  <w:num w:numId="9">
    <w:abstractNumId w:val="2"/>
  </w:num>
  <w:num w:numId="10">
    <w:abstractNumId w:val="4"/>
  </w:num>
  <w:num w:numId="11">
    <w:abstractNumId w:val="33"/>
  </w:num>
  <w:num w:numId="12">
    <w:abstractNumId w:val="17"/>
  </w:num>
  <w:num w:numId="13">
    <w:abstractNumId w:val="22"/>
  </w:num>
  <w:num w:numId="14">
    <w:abstractNumId w:val="15"/>
  </w:num>
  <w:num w:numId="15">
    <w:abstractNumId w:val="32"/>
  </w:num>
  <w:num w:numId="16">
    <w:abstractNumId w:val="12"/>
  </w:num>
  <w:num w:numId="17">
    <w:abstractNumId w:val="27"/>
  </w:num>
  <w:num w:numId="18">
    <w:abstractNumId w:val="9"/>
  </w:num>
  <w:num w:numId="19">
    <w:abstractNumId w:val="29"/>
  </w:num>
  <w:num w:numId="20">
    <w:abstractNumId w:val="26"/>
  </w:num>
  <w:num w:numId="21">
    <w:abstractNumId w:val="20"/>
  </w:num>
  <w:num w:numId="22">
    <w:abstractNumId w:val="28"/>
  </w:num>
  <w:num w:numId="23">
    <w:abstractNumId w:val="21"/>
  </w:num>
  <w:num w:numId="24">
    <w:abstractNumId w:val="10"/>
  </w:num>
  <w:num w:numId="25">
    <w:abstractNumId w:val="25"/>
  </w:num>
  <w:num w:numId="26">
    <w:abstractNumId w:val="24"/>
  </w:num>
  <w:num w:numId="27">
    <w:abstractNumId w:val="34"/>
  </w:num>
  <w:num w:numId="28">
    <w:abstractNumId w:val="6"/>
  </w:num>
  <w:num w:numId="29">
    <w:abstractNumId w:val="23"/>
  </w:num>
  <w:num w:numId="30">
    <w:abstractNumId w:val="37"/>
  </w:num>
  <w:num w:numId="31">
    <w:abstractNumId w:val="5"/>
  </w:num>
  <w:num w:numId="32">
    <w:abstractNumId w:val="36"/>
  </w:num>
  <w:num w:numId="33">
    <w:abstractNumId w:val="31"/>
  </w:num>
  <w:num w:numId="34">
    <w:abstractNumId w:val="35"/>
  </w:num>
  <w:num w:numId="35">
    <w:abstractNumId w:val="8"/>
  </w:num>
  <w:num w:numId="36">
    <w:abstractNumId w:val="11"/>
  </w:num>
  <w:num w:numId="37">
    <w:abstractNumId w:val="7"/>
  </w:num>
  <w:num w:numId="3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3A00"/>
    <w:rsid w:val="00185A46"/>
    <w:rsid w:val="001915B6"/>
    <w:rsid w:val="001D1B23"/>
    <w:rsid w:val="002B3C38"/>
    <w:rsid w:val="002B4DBB"/>
    <w:rsid w:val="002C50EE"/>
    <w:rsid w:val="00340A0A"/>
    <w:rsid w:val="003765DC"/>
    <w:rsid w:val="00395555"/>
    <w:rsid w:val="003E3126"/>
    <w:rsid w:val="00426E5F"/>
    <w:rsid w:val="004A448E"/>
    <w:rsid w:val="004D4D6B"/>
    <w:rsid w:val="004F1CE7"/>
    <w:rsid w:val="004F498A"/>
    <w:rsid w:val="00517A5B"/>
    <w:rsid w:val="00593A00"/>
    <w:rsid w:val="005A66D9"/>
    <w:rsid w:val="00605BCA"/>
    <w:rsid w:val="006158A1"/>
    <w:rsid w:val="00617B1F"/>
    <w:rsid w:val="00672487"/>
    <w:rsid w:val="00672600"/>
    <w:rsid w:val="00681D4A"/>
    <w:rsid w:val="00685882"/>
    <w:rsid w:val="007122AD"/>
    <w:rsid w:val="0075649D"/>
    <w:rsid w:val="007C605B"/>
    <w:rsid w:val="008134C8"/>
    <w:rsid w:val="00814073"/>
    <w:rsid w:val="00826F0D"/>
    <w:rsid w:val="00893B92"/>
    <w:rsid w:val="008A6AF2"/>
    <w:rsid w:val="008C70A2"/>
    <w:rsid w:val="00936AD0"/>
    <w:rsid w:val="009773E4"/>
    <w:rsid w:val="009B171C"/>
    <w:rsid w:val="009F1313"/>
    <w:rsid w:val="00A20351"/>
    <w:rsid w:val="00A65A81"/>
    <w:rsid w:val="00AA23EC"/>
    <w:rsid w:val="00AC63CE"/>
    <w:rsid w:val="00AE2107"/>
    <w:rsid w:val="00B26DE5"/>
    <w:rsid w:val="00B275A8"/>
    <w:rsid w:val="00B6672E"/>
    <w:rsid w:val="00BF2600"/>
    <w:rsid w:val="00C0049F"/>
    <w:rsid w:val="00C07B84"/>
    <w:rsid w:val="00C33464"/>
    <w:rsid w:val="00C40420"/>
    <w:rsid w:val="00C809A7"/>
    <w:rsid w:val="00C83063"/>
    <w:rsid w:val="00C87E90"/>
    <w:rsid w:val="00CA1B57"/>
    <w:rsid w:val="00CF77F7"/>
    <w:rsid w:val="00D86297"/>
    <w:rsid w:val="00DA6AE5"/>
    <w:rsid w:val="00DD466D"/>
    <w:rsid w:val="00EB6364"/>
    <w:rsid w:val="00F37B64"/>
    <w:rsid w:val="00FD69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984BA7"/>
  <w15:docId w15:val="{3DA60348-CCDC-4D6D-877F-EA9575E07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6364"/>
    <w:pPr>
      <w:spacing w:after="0" w:line="256" w:lineRule="auto"/>
    </w:pPr>
    <w:rPr>
      <w:rFonts w:ascii="Arial" w:hAnsi="Arial"/>
      <w:lang w:val="bg-BG"/>
    </w:rPr>
  </w:style>
  <w:style w:type="paragraph" w:styleId="Heading1">
    <w:name w:val="heading 1"/>
    <w:basedOn w:val="Normal"/>
    <w:next w:val="Normal"/>
    <w:link w:val="Heading1Char"/>
    <w:uiPriority w:val="9"/>
    <w:qFormat/>
    <w:rsid w:val="00681D4A"/>
    <w:pPr>
      <w:keepNext/>
      <w:keepLines/>
      <w:spacing w:before="240" w:line="259" w:lineRule="auto"/>
      <w:outlineLvl w:val="0"/>
    </w:pPr>
    <w:rPr>
      <w:rFonts w:eastAsiaTheme="majorEastAsia" w:cstheme="majorBidi"/>
      <w:color w:val="000000" w:themeColor="text1"/>
      <w:sz w:val="32"/>
      <w:szCs w:val="32"/>
    </w:rPr>
  </w:style>
  <w:style w:type="paragraph" w:styleId="Heading2">
    <w:name w:val="heading 2"/>
    <w:basedOn w:val="Normal"/>
    <w:next w:val="Normal"/>
    <w:link w:val="Heading2Char"/>
    <w:uiPriority w:val="9"/>
    <w:unhideWhenUsed/>
    <w:qFormat/>
    <w:rsid w:val="00681D4A"/>
    <w:pPr>
      <w:keepNext/>
      <w:keepLines/>
      <w:spacing w:before="40" w:line="259" w:lineRule="auto"/>
      <w:outlineLvl w:val="1"/>
    </w:pPr>
    <w:rPr>
      <w:rFonts w:eastAsiaTheme="majorEastAsia" w:cstheme="majorBidi"/>
      <w:color w:val="000000" w:themeColor="text1"/>
      <w:sz w:val="26"/>
      <w:szCs w:val="26"/>
    </w:rPr>
  </w:style>
  <w:style w:type="paragraph" w:styleId="Heading3">
    <w:name w:val="heading 3"/>
    <w:basedOn w:val="Normal"/>
    <w:next w:val="Normal"/>
    <w:link w:val="Heading3Char"/>
    <w:uiPriority w:val="9"/>
    <w:unhideWhenUsed/>
    <w:qFormat/>
    <w:rsid w:val="00681D4A"/>
    <w:pPr>
      <w:keepNext/>
      <w:keepLines/>
      <w:spacing w:before="40" w:line="259" w:lineRule="auto"/>
      <w:outlineLvl w:val="2"/>
    </w:pPr>
    <w:rPr>
      <w:rFonts w:eastAsiaTheme="majorEastAsia" w:cstheme="majorBidi"/>
      <w:color w:val="000000" w:themeColor="text1"/>
      <w:sz w:val="24"/>
      <w:szCs w:val="24"/>
    </w:rPr>
  </w:style>
  <w:style w:type="paragraph" w:styleId="Heading4">
    <w:name w:val="heading 4"/>
    <w:basedOn w:val="Normal"/>
    <w:next w:val="Normal"/>
    <w:link w:val="Heading4Char"/>
    <w:uiPriority w:val="9"/>
    <w:unhideWhenUsed/>
    <w:qFormat/>
    <w:rsid w:val="00681D4A"/>
    <w:pPr>
      <w:keepNext/>
      <w:keepLines/>
      <w:spacing w:before="40" w:line="259" w:lineRule="auto"/>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Стил1"/>
    <w:basedOn w:val="Heading3"/>
    <w:next w:val="Normal"/>
    <w:link w:val="10"/>
    <w:qFormat/>
    <w:rsid w:val="00C87E90"/>
    <w:pPr>
      <w:widowControl w:val="0"/>
      <w:spacing w:after="1080" w:line="240" w:lineRule="auto"/>
      <w:ind w:left="4400"/>
      <w:jc w:val="center"/>
    </w:pPr>
    <w:rPr>
      <w:b/>
      <w:sz w:val="22"/>
      <w:szCs w:val="22"/>
    </w:rPr>
  </w:style>
  <w:style w:type="character" w:customStyle="1" w:styleId="10">
    <w:name w:val="Стил1 Знак"/>
    <w:basedOn w:val="Heading3Char"/>
    <w:link w:val="1"/>
    <w:rsid w:val="00C87E90"/>
    <w:rPr>
      <w:rFonts w:ascii="Arial" w:eastAsiaTheme="majorEastAsia" w:hAnsi="Arial" w:cstheme="majorBidi"/>
      <w:b/>
      <w:color w:val="000000" w:themeColor="text1"/>
      <w:sz w:val="24"/>
      <w:szCs w:val="24"/>
    </w:rPr>
  </w:style>
  <w:style w:type="character" w:customStyle="1" w:styleId="Heading3Char">
    <w:name w:val="Heading 3 Char"/>
    <w:basedOn w:val="DefaultParagraphFont"/>
    <w:link w:val="Heading3"/>
    <w:uiPriority w:val="9"/>
    <w:rsid w:val="00681D4A"/>
    <w:rPr>
      <w:rFonts w:ascii="Arial" w:eastAsiaTheme="majorEastAsia" w:hAnsi="Arial" w:cstheme="majorBidi"/>
      <w:color w:val="000000" w:themeColor="text1"/>
      <w:sz w:val="24"/>
      <w:szCs w:val="24"/>
    </w:rPr>
  </w:style>
  <w:style w:type="paragraph" w:styleId="ListParagraph">
    <w:name w:val="List Paragraph"/>
    <w:basedOn w:val="Normal"/>
    <w:uiPriority w:val="34"/>
    <w:qFormat/>
    <w:rsid w:val="00685882"/>
    <w:pPr>
      <w:spacing w:line="259" w:lineRule="auto"/>
      <w:ind w:left="720"/>
      <w:contextualSpacing/>
    </w:pPr>
  </w:style>
  <w:style w:type="character" w:customStyle="1" w:styleId="Heading1Char">
    <w:name w:val="Heading 1 Char"/>
    <w:basedOn w:val="DefaultParagraphFont"/>
    <w:link w:val="Heading1"/>
    <w:uiPriority w:val="9"/>
    <w:rsid w:val="00681D4A"/>
    <w:rPr>
      <w:rFonts w:ascii="Arial" w:eastAsiaTheme="majorEastAsia" w:hAnsi="Arial" w:cstheme="majorBidi"/>
      <w:color w:val="000000" w:themeColor="text1"/>
      <w:sz w:val="32"/>
      <w:szCs w:val="32"/>
    </w:rPr>
  </w:style>
  <w:style w:type="character" w:customStyle="1" w:styleId="Heading2Char">
    <w:name w:val="Heading 2 Char"/>
    <w:basedOn w:val="DefaultParagraphFont"/>
    <w:link w:val="Heading2"/>
    <w:uiPriority w:val="9"/>
    <w:rsid w:val="00681D4A"/>
    <w:rPr>
      <w:rFonts w:ascii="Arial" w:eastAsiaTheme="majorEastAsia" w:hAnsi="Arial" w:cstheme="majorBidi"/>
      <w:color w:val="000000" w:themeColor="text1"/>
      <w:sz w:val="26"/>
      <w:szCs w:val="26"/>
    </w:rPr>
  </w:style>
  <w:style w:type="character" w:customStyle="1" w:styleId="Heading4Char">
    <w:name w:val="Heading 4 Char"/>
    <w:basedOn w:val="DefaultParagraphFont"/>
    <w:link w:val="Heading4"/>
    <w:uiPriority w:val="9"/>
    <w:rsid w:val="00681D4A"/>
    <w:rPr>
      <w:rFonts w:asciiTheme="majorHAnsi" w:eastAsiaTheme="majorEastAsia" w:hAnsiTheme="majorHAnsi" w:cstheme="majorBidi"/>
      <w:i/>
      <w:iCs/>
      <w:color w:val="2F5496" w:themeColor="accent1" w:themeShade="BF"/>
    </w:rPr>
  </w:style>
  <w:style w:type="table" w:styleId="TableGrid">
    <w:name w:val="Table Grid"/>
    <w:basedOn w:val="TableNormal"/>
    <w:uiPriority w:val="39"/>
    <w:rsid w:val="007564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64627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20</Pages>
  <Words>7429</Words>
  <Characters>42350</Characters>
  <Application>Microsoft Office Word</Application>
  <DocSecurity>0</DocSecurity>
  <Lines>352</Lines>
  <Paragraphs>99</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49680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petar vasilev</dc:creator>
  <cp:keywords/>
  <dc:description/>
  <cp:lastModifiedBy>petar vasilev</cp:lastModifiedBy>
  <cp:revision>2</cp:revision>
  <dcterms:created xsi:type="dcterms:W3CDTF">2022-09-03T17:03:00Z</dcterms:created>
  <dcterms:modified xsi:type="dcterms:W3CDTF">2022-09-03T17:03:00Z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8080e56-8894-418a-9b19-f357e77b996f_Enabled">
    <vt:lpwstr>true</vt:lpwstr>
  </property>
  <property fmtid="{D5CDD505-2E9C-101B-9397-08002B2CF9AE}" pid="3" name="MSIP_Label_78080e56-8894-418a-9b19-f357e77b996f_SetDate">
    <vt:lpwstr>2021-02-06T20:50:59Z</vt:lpwstr>
  </property>
  <property fmtid="{D5CDD505-2E9C-101B-9397-08002B2CF9AE}" pid="4" name="MSIP_Label_78080e56-8894-418a-9b19-f357e77b996f_Method">
    <vt:lpwstr>Standard</vt:lpwstr>
  </property>
  <property fmtid="{D5CDD505-2E9C-101B-9397-08002B2CF9AE}" pid="5" name="MSIP_Label_78080e56-8894-418a-9b19-f357e77b996f_Name">
    <vt:lpwstr>Internal Use Unencrypted</vt:lpwstr>
  </property>
  <property fmtid="{D5CDD505-2E9C-101B-9397-08002B2CF9AE}" pid="6" name="MSIP_Label_78080e56-8894-418a-9b19-f357e77b996f_SiteId">
    <vt:lpwstr>6c7fadf5-6b9d-485a-85cb-f8112e9720ec</vt:lpwstr>
  </property>
  <property fmtid="{D5CDD505-2E9C-101B-9397-08002B2CF9AE}" pid="7" name="MSIP_Label_78080e56-8894-418a-9b19-f357e77b996f_ActionId">
    <vt:lpwstr>0a32757c-47c4-4949-90c3-637a5e65fde2</vt:lpwstr>
  </property>
  <property fmtid="{D5CDD505-2E9C-101B-9397-08002B2CF9AE}" pid="8" name="MSIP_Label_78080e56-8894-418a-9b19-f357e77b996f_ContentBits">
    <vt:lpwstr>2</vt:lpwstr>
  </property>
</Properties>
</file>