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2BE34EF6" w14:textId="5E2E3EF2" w:rsidR="007122AD" w:rsidRDefault="00DD466D" w:rsidP="00936AD0">
      <w:pPr>
        <w:pStyle w:val="Heading1"/>
      </w:pPr>
      <w:r>
        <w:t>1.ИМЕ НА ЛЕКАРСТВЕНИЯ ПРОДУКТ</w:t>
      </w:r>
    </w:p>
    <w:p w14:paraId="2F31C03A" w14:textId="22A843A5" w:rsidR="00B26DE5" w:rsidRDefault="00B26DE5" w:rsidP="00B26DE5"/>
    <w:p w14:paraId="6EDE7DEB" w14:textId="77777777" w:rsidR="00B26DE5" w:rsidRPr="00B26DE5" w:rsidRDefault="00B26DE5" w:rsidP="00B26DE5">
      <w:pPr>
        <w:rPr>
          <w:sz w:val="24"/>
          <w:szCs w:val="24"/>
          <w:lang w:val="ru-RU"/>
        </w:rPr>
      </w:pPr>
      <w:r w:rsidRPr="00B26DE5">
        <w:rPr>
          <w:lang w:eastAsia="bg-BG"/>
        </w:rPr>
        <w:t xml:space="preserve">Карбис 4 </w:t>
      </w:r>
      <w:r w:rsidRPr="00B26DE5">
        <w:rPr>
          <w:lang w:val="en-US"/>
        </w:rPr>
        <w:t>mg</w:t>
      </w:r>
      <w:r w:rsidRPr="00B26DE5">
        <w:rPr>
          <w:lang w:val="ru-RU"/>
        </w:rPr>
        <w:t xml:space="preserve"> </w:t>
      </w:r>
      <w:r w:rsidRPr="00B26DE5">
        <w:rPr>
          <w:lang w:eastAsia="bg-BG"/>
        </w:rPr>
        <w:t>таблетки</w:t>
      </w:r>
    </w:p>
    <w:p w14:paraId="6891805A" w14:textId="77777777" w:rsidR="00B26DE5" w:rsidRPr="00B26DE5" w:rsidRDefault="00B26DE5" w:rsidP="00B26DE5">
      <w:pPr>
        <w:rPr>
          <w:sz w:val="24"/>
          <w:szCs w:val="24"/>
          <w:lang w:val="ru-RU"/>
        </w:rPr>
      </w:pPr>
      <w:r w:rsidRPr="00B26DE5">
        <w:rPr>
          <w:lang w:eastAsia="bg-BG"/>
        </w:rPr>
        <w:t xml:space="preserve">Карбис 8 </w:t>
      </w:r>
      <w:r w:rsidRPr="00B26DE5">
        <w:rPr>
          <w:lang w:val="en-US"/>
        </w:rPr>
        <w:t>mg</w:t>
      </w:r>
      <w:r w:rsidRPr="00B26DE5">
        <w:rPr>
          <w:lang w:val="ru-RU"/>
        </w:rPr>
        <w:t xml:space="preserve"> </w:t>
      </w:r>
      <w:r w:rsidRPr="00B26DE5">
        <w:rPr>
          <w:lang w:eastAsia="bg-BG"/>
        </w:rPr>
        <w:t>таблетки</w:t>
      </w:r>
    </w:p>
    <w:p w14:paraId="30F5F0C3" w14:textId="77777777" w:rsidR="00B26DE5" w:rsidRPr="00B26DE5" w:rsidRDefault="00B26DE5" w:rsidP="00B26DE5">
      <w:pPr>
        <w:rPr>
          <w:sz w:val="24"/>
          <w:szCs w:val="24"/>
          <w:lang w:val="ru-RU"/>
        </w:rPr>
      </w:pPr>
      <w:r w:rsidRPr="00B26DE5">
        <w:rPr>
          <w:lang w:eastAsia="bg-BG"/>
        </w:rPr>
        <w:t xml:space="preserve">Карбис 16 </w:t>
      </w:r>
      <w:r w:rsidRPr="00B26DE5">
        <w:rPr>
          <w:lang w:val="en-US"/>
        </w:rPr>
        <w:t>mg</w:t>
      </w:r>
      <w:r w:rsidRPr="00B26DE5">
        <w:rPr>
          <w:lang w:val="ru-RU"/>
        </w:rPr>
        <w:t xml:space="preserve"> </w:t>
      </w:r>
      <w:r w:rsidRPr="00B26DE5">
        <w:rPr>
          <w:lang w:eastAsia="bg-BG"/>
        </w:rPr>
        <w:t>таблетки</w:t>
      </w:r>
    </w:p>
    <w:p w14:paraId="66222A2D" w14:textId="77777777" w:rsidR="00B26DE5" w:rsidRPr="00B26DE5" w:rsidRDefault="00B26DE5" w:rsidP="00B26DE5">
      <w:pPr>
        <w:rPr>
          <w:sz w:val="24"/>
          <w:szCs w:val="24"/>
          <w:lang w:val="ru-RU"/>
        </w:rPr>
      </w:pPr>
      <w:r w:rsidRPr="00B26DE5">
        <w:rPr>
          <w:lang w:eastAsia="bg-BG"/>
        </w:rPr>
        <w:t xml:space="preserve">Карбис 32 </w:t>
      </w:r>
      <w:r w:rsidRPr="00B26DE5">
        <w:rPr>
          <w:lang w:val="en-US"/>
        </w:rPr>
        <w:t>mg</w:t>
      </w:r>
      <w:r w:rsidRPr="00B26DE5">
        <w:rPr>
          <w:lang w:val="ru-RU"/>
        </w:rPr>
        <w:t xml:space="preserve"> </w:t>
      </w:r>
      <w:r w:rsidRPr="00B26DE5">
        <w:rPr>
          <w:lang w:eastAsia="bg-BG"/>
        </w:rPr>
        <w:t>таблетки</w:t>
      </w:r>
    </w:p>
    <w:p w14:paraId="103D78BC" w14:textId="77777777" w:rsidR="00B26DE5" w:rsidRPr="00B26DE5" w:rsidRDefault="00B26DE5" w:rsidP="00B26DE5">
      <w:pPr>
        <w:rPr>
          <w:lang w:val="ru-RU"/>
        </w:rPr>
      </w:pPr>
    </w:p>
    <w:p w14:paraId="47B8E92C" w14:textId="19B001B0" w:rsidR="00B26DE5" w:rsidRPr="00B26DE5" w:rsidRDefault="00B26DE5" w:rsidP="00B26DE5">
      <w:pPr>
        <w:rPr>
          <w:sz w:val="24"/>
          <w:szCs w:val="24"/>
          <w:lang w:val="en-US"/>
        </w:rPr>
      </w:pPr>
      <w:proofErr w:type="spellStart"/>
      <w:r w:rsidRPr="00B26DE5">
        <w:rPr>
          <w:lang w:val="en-US"/>
        </w:rPr>
        <w:t>Karbis</w:t>
      </w:r>
      <w:proofErr w:type="spellEnd"/>
      <w:r w:rsidRPr="00B26DE5">
        <w:rPr>
          <w:lang w:val="en-US"/>
        </w:rPr>
        <w:t xml:space="preserve"> </w:t>
      </w:r>
      <w:r w:rsidRPr="00B26DE5">
        <w:rPr>
          <w:lang w:eastAsia="bg-BG"/>
        </w:rPr>
        <w:t xml:space="preserve">4 </w:t>
      </w:r>
      <w:r w:rsidRPr="00B26DE5">
        <w:rPr>
          <w:lang w:val="en-US"/>
        </w:rPr>
        <w:t>mg tablets</w:t>
      </w:r>
    </w:p>
    <w:p w14:paraId="1BD61B3F" w14:textId="77777777" w:rsidR="00B26DE5" w:rsidRPr="00B26DE5" w:rsidRDefault="00B26DE5" w:rsidP="00B26DE5">
      <w:pPr>
        <w:rPr>
          <w:sz w:val="24"/>
          <w:szCs w:val="24"/>
          <w:lang w:val="en-US"/>
        </w:rPr>
      </w:pPr>
      <w:proofErr w:type="spellStart"/>
      <w:r w:rsidRPr="00B26DE5">
        <w:rPr>
          <w:lang w:val="en-US"/>
        </w:rPr>
        <w:t>Karbis</w:t>
      </w:r>
      <w:proofErr w:type="spellEnd"/>
      <w:r w:rsidRPr="00B26DE5">
        <w:rPr>
          <w:lang w:val="en-US"/>
        </w:rPr>
        <w:t xml:space="preserve"> 8 mg tablets</w:t>
      </w:r>
    </w:p>
    <w:p w14:paraId="7FE006B1" w14:textId="77777777" w:rsidR="00B26DE5" w:rsidRPr="00B26DE5" w:rsidRDefault="00B26DE5" w:rsidP="00B26DE5">
      <w:pPr>
        <w:rPr>
          <w:sz w:val="24"/>
          <w:szCs w:val="24"/>
          <w:lang w:val="en-US"/>
        </w:rPr>
      </w:pPr>
      <w:proofErr w:type="spellStart"/>
      <w:r w:rsidRPr="00B26DE5">
        <w:rPr>
          <w:lang w:val="en-US"/>
        </w:rPr>
        <w:t>Karbis</w:t>
      </w:r>
      <w:proofErr w:type="spellEnd"/>
      <w:r w:rsidRPr="00B26DE5">
        <w:rPr>
          <w:lang w:val="en-US"/>
        </w:rPr>
        <w:t xml:space="preserve"> 1</w:t>
      </w:r>
      <w:r w:rsidRPr="00B26DE5">
        <w:rPr>
          <w:i/>
          <w:iCs/>
          <w:lang w:val="en-US"/>
        </w:rPr>
        <w:t>6</w:t>
      </w:r>
      <w:r w:rsidRPr="00B26DE5">
        <w:rPr>
          <w:lang w:val="en-US"/>
        </w:rPr>
        <w:t xml:space="preserve"> mg tablets</w:t>
      </w:r>
    </w:p>
    <w:p w14:paraId="506DA717" w14:textId="77777777" w:rsidR="00B26DE5" w:rsidRPr="00B26DE5" w:rsidRDefault="00B26DE5" w:rsidP="00B26DE5">
      <w:pPr>
        <w:rPr>
          <w:sz w:val="24"/>
          <w:szCs w:val="24"/>
          <w:lang w:val="en-US"/>
        </w:rPr>
      </w:pPr>
      <w:proofErr w:type="spellStart"/>
      <w:r w:rsidRPr="00B26DE5">
        <w:rPr>
          <w:lang w:val="en-US"/>
        </w:rPr>
        <w:t>Karbis</w:t>
      </w:r>
      <w:proofErr w:type="spellEnd"/>
      <w:r w:rsidRPr="00B26DE5">
        <w:rPr>
          <w:lang w:val="en-US"/>
        </w:rPr>
        <w:t xml:space="preserve"> 32 mg tablets</w:t>
      </w:r>
    </w:p>
    <w:p w14:paraId="2C37CADD" w14:textId="77777777" w:rsidR="00B26DE5" w:rsidRPr="00B26DE5" w:rsidRDefault="00B26DE5" w:rsidP="00B26DE5"/>
    <w:p w14:paraId="6920A680" w14:textId="214D75D4" w:rsidR="00C40420" w:rsidRDefault="00DD466D" w:rsidP="004A448E">
      <w:pPr>
        <w:pStyle w:val="Heading1"/>
      </w:pPr>
      <w:r>
        <w:t>2. КАЧЕСТВЕН И КОЛИЧЕСТВЕН СЪСТАВ</w:t>
      </w:r>
    </w:p>
    <w:p w14:paraId="33ADFBF7" w14:textId="34A8042E" w:rsidR="00B26DE5" w:rsidRDefault="00B26DE5" w:rsidP="00B26DE5"/>
    <w:p w14:paraId="361C9846" w14:textId="77777777" w:rsidR="00B26DE5" w:rsidRPr="00B26DE5" w:rsidRDefault="00B26DE5" w:rsidP="00B26DE5">
      <w:pPr>
        <w:rPr>
          <w:sz w:val="24"/>
          <w:szCs w:val="24"/>
        </w:rPr>
      </w:pPr>
      <w:r w:rsidRPr="00B26DE5">
        <w:rPr>
          <w:lang w:eastAsia="bg-BG"/>
        </w:rPr>
        <w:t xml:space="preserve">Всяка таблетка съдържа 4 </w:t>
      </w:r>
      <w:r w:rsidRPr="00B26DE5">
        <w:rPr>
          <w:lang w:val="en-US"/>
        </w:rPr>
        <w:t>mg</w:t>
      </w:r>
      <w:r w:rsidRPr="00B26DE5">
        <w:t xml:space="preserve"> </w:t>
      </w:r>
      <w:r w:rsidRPr="00B26DE5">
        <w:rPr>
          <w:lang w:eastAsia="bg-BG"/>
        </w:rPr>
        <w:t xml:space="preserve">кандесартан цилексетил </w:t>
      </w:r>
      <w:r w:rsidRPr="00B26DE5">
        <w:rPr>
          <w:i/>
          <w:iCs/>
        </w:rPr>
        <w:t>(</w:t>
      </w:r>
      <w:r w:rsidRPr="00B26DE5">
        <w:rPr>
          <w:i/>
          <w:iCs/>
          <w:lang w:val="en-US"/>
        </w:rPr>
        <w:t>candesartan</w:t>
      </w:r>
      <w:r w:rsidRPr="00B26DE5">
        <w:rPr>
          <w:i/>
          <w:iCs/>
        </w:rPr>
        <w:t xml:space="preserve"> </w:t>
      </w:r>
      <w:proofErr w:type="spellStart"/>
      <w:r w:rsidRPr="00B26DE5">
        <w:rPr>
          <w:i/>
          <w:iCs/>
          <w:lang w:val="en-US"/>
        </w:rPr>
        <w:t>cilexetil</w:t>
      </w:r>
      <w:proofErr w:type="spellEnd"/>
      <w:r w:rsidRPr="00B26DE5">
        <w:rPr>
          <w:i/>
          <w:iCs/>
        </w:rPr>
        <w:t>).</w:t>
      </w:r>
    </w:p>
    <w:p w14:paraId="020A9664" w14:textId="77777777" w:rsidR="00B26DE5" w:rsidRPr="00B26DE5" w:rsidRDefault="00B26DE5" w:rsidP="00B26DE5">
      <w:pPr>
        <w:rPr>
          <w:sz w:val="24"/>
          <w:szCs w:val="24"/>
        </w:rPr>
      </w:pPr>
      <w:r w:rsidRPr="00B26DE5">
        <w:rPr>
          <w:lang w:eastAsia="bg-BG"/>
        </w:rPr>
        <w:t xml:space="preserve">Всяка таблетка съдържа 8 </w:t>
      </w:r>
      <w:r w:rsidRPr="00B26DE5">
        <w:rPr>
          <w:lang w:val="en-US"/>
        </w:rPr>
        <w:t>mg</w:t>
      </w:r>
      <w:r w:rsidRPr="00B26DE5">
        <w:t xml:space="preserve"> </w:t>
      </w:r>
      <w:r w:rsidRPr="00B26DE5">
        <w:rPr>
          <w:lang w:eastAsia="bg-BG"/>
        </w:rPr>
        <w:t xml:space="preserve">кандесартан цилексетил </w:t>
      </w:r>
      <w:r w:rsidRPr="00B26DE5">
        <w:rPr>
          <w:i/>
          <w:iCs/>
        </w:rPr>
        <w:t>(</w:t>
      </w:r>
      <w:r w:rsidRPr="00B26DE5">
        <w:rPr>
          <w:i/>
          <w:iCs/>
          <w:lang w:val="en-US"/>
        </w:rPr>
        <w:t>candesartan</w:t>
      </w:r>
      <w:r w:rsidRPr="00B26DE5">
        <w:rPr>
          <w:i/>
          <w:iCs/>
        </w:rPr>
        <w:t xml:space="preserve"> </w:t>
      </w:r>
      <w:proofErr w:type="spellStart"/>
      <w:r w:rsidRPr="00B26DE5">
        <w:rPr>
          <w:i/>
          <w:iCs/>
          <w:lang w:val="en-US"/>
        </w:rPr>
        <w:t>cilexetil</w:t>
      </w:r>
      <w:proofErr w:type="spellEnd"/>
      <w:r w:rsidRPr="00B26DE5">
        <w:rPr>
          <w:i/>
          <w:iCs/>
        </w:rPr>
        <w:t>).</w:t>
      </w:r>
    </w:p>
    <w:p w14:paraId="6B382F73" w14:textId="77777777" w:rsidR="00B26DE5" w:rsidRPr="00B26DE5" w:rsidRDefault="00B26DE5" w:rsidP="00B26DE5">
      <w:pPr>
        <w:rPr>
          <w:sz w:val="24"/>
          <w:szCs w:val="24"/>
        </w:rPr>
      </w:pPr>
      <w:r w:rsidRPr="00B26DE5">
        <w:rPr>
          <w:lang w:eastAsia="bg-BG"/>
        </w:rPr>
        <w:t xml:space="preserve">Всяка таблетка съдържа 16 </w:t>
      </w:r>
      <w:r w:rsidRPr="00B26DE5">
        <w:rPr>
          <w:lang w:val="en-US"/>
        </w:rPr>
        <w:t>mg</w:t>
      </w:r>
      <w:r w:rsidRPr="00B26DE5">
        <w:t xml:space="preserve"> </w:t>
      </w:r>
      <w:r w:rsidRPr="00B26DE5">
        <w:rPr>
          <w:lang w:eastAsia="bg-BG"/>
        </w:rPr>
        <w:t xml:space="preserve">кандесартан цилексетил </w:t>
      </w:r>
      <w:r w:rsidRPr="00B26DE5">
        <w:rPr>
          <w:i/>
          <w:iCs/>
        </w:rPr>
        <w:t>(</w:t>
      </w:r>
      <w:r w:rsidRPr="00B26DE5">
        <w:rPr>
          <w:i/>
          <w:iCs/>
          <w:lang w:val="en-US"/>
        </w:rPr>
        <w:t>candesartan</w:t>
      </w:r>
      <w:r w:rsidRPr="00B26DE5">
        <w:rPr>
          <w:i/>
          <w:iCs/>
        </w:rPr>
        <w:t xml:space="preserve"> </w:t>
      </w:r>
      <w:proofErr w:type="spellStart"/>
      <w:r w:rsidRPr="00B26DE5">
        <w:rPr>
          <w:i/>
          <w:iCs/>
          <w:lang w:val="en-US"/>
        </w:rPr>
        <w:t>cilexetil</w:t>
      </w:r>
      <w:proofErr w:type="spellEnd"/>
      <w:r w:rsidRPr="00B26DE5">
        <w:rPr>
          <w:i/>
          <w:iCs/>
        </w:rPr>
        <w:t>).</w:t>
      </w:r>
    </w:p>
    <w:p w14:paraId="658146AA" w14:textId="77777777" w:rsidR="00B26DE5" w:rsidRPr="00B26DE5" w:rsidRDefault="00B26DE5" w:rsidP="00B26DE5">
      <w:pPr>
        <w:rPr>
          <w:sz w:val="24"/>
          <w:szCs w:val="24"/>
        </w:rPr>
      </w:pPr>
      <w:r w:rsidRPr="00B26DE5">
        <w:rPr>
          <w:lang w:eastAsia="bg-BG"/>
        </w:rPr>
        <w:t xml:space="preserve">Всяка таблетка съдържа 32 </w:t>
      </w:r>
      <w:r w:rsidRPr="00B26DE5">
        <w:rPr>
          <w:lang w:val="en-US"/>
        </w:rPr>
        <w:t>mg</w:t>
      </w:r>
      <w:r w:rsidRPr="00B26DE5">
        <w:t xml:space="preserve"> </w:t>
      </w:r>
      <w:r w:rsidRPr="00B26DE5">
        <w:rPr>
          <w:lang w:eastAsia="bg-BG"/>
        </w:rPr>
        <w:t xml:space="preserve">кандесартан цилексетил </w:t>
      </w:r>
      <w:r w:rsidRPr="00B26DE5">
        <w:rPr>
          <w:i/>
          <w:iCs/>
        </w:rPr>
        <w:t>(</w:t>
      </w:r>
      <w:r w:rsidRPr="00B26DE5">
        <w:rPr>
          <w:i/>
          <w:iCs/>
          <w:lang w:val="en-US"/>
        </w:rPr>
        <w:t>candesartan</w:t>
      </w:r>
      <w:r w:rsidRPr="00B26DE5">
        <w:rPr>
          <w:i/>
          <w:iCs/>
        </w:rPr>
        <w:t xml:space="preserve"> </w:t>
      </w:r>
      <w:proofErr w:type="spellStart"/>
      <w:r w:rsidRPr="00B26DE5">
        <w:rPr>
          <w:i/>
          <w:iCs/>
          <w:lang w:val="en-US"/>
        </w:rPr>
        <w:t>cilexetil</w:t>
      </w:r>
      <w:proofErr w:type="spellEnd"/>
      <w:r w:rsidRPr="00B26DE5">
        <w:rPr>
          <w:i/>
          <w:iCs/>
        </w:rPr>
        <w:t>).</w:t>
      </w:r>
    </w:p>
    <w:p w14:paraId="72E97E51" w14:textId="77777777" w:rsidR="00B26DE5" w:rsidRDefault="00B26DE5" w:rsidP="00B26DE5">
      <w:pPr>
        <w:rPr>
          <w:u w:val="single"/>
          <w:lang w:eastAsia="bg-BG"/>
        </w:rPr>
      </w:pPr>
    </w:p>
    <w:p w14:paraId="2CB51D32" w14:textId="285F89EE" w:rsidR="00B26DE5" w:rsidRDefault="00B26DE5" w:rsidP="00B26DE5">
      <w:pPr>
        <w:rPr>
          <w:u w:val="single"/>
          <w:lang w:eastAsia="bg-BG"/>
        </w:rPr>
      </w:pPr>
      <w:r w:rsidRPr="00B26DE5">
        <w:rPr>
          <w:u w:val="single"/>
          <w:lang w:eastAsia="bg-BG"/>
        </w:rPr>
        <w:t>Помощно вещество с известно действие:</w:t>
      </w:r>
    </w:p>
    <w:tbl>
      <w:tblPr>
        <w:tblStyle w:val="TableGrid"/>
        <w:tblW w:w="0" w:type="auto"/>
        <w:tblLook w:val="04A0" w:firstRow="1" w:lastRow="0" w:firstColumn="1" w:lastColumn="0" w:noHBand="0" w:noVBand="1"/>
      </w:tblPr>
      <w:tblGrid>
        <w:gridCol w:w="1865"/>
        <w:gridCol w:w="1871"/>
        <w:gridCol w:w="1871"/>
        <w:gridCol w:w="1871"/>
        <w:gridCol w:w="1872"/>
      </w:tblGrid>
      <w:tr w:rsidR="00B26DE5" w14:paraId="593BCAAE" w14:textId="77777777" w:rsidTr="00B26DE5">
        <w:tc>
          <w:tcPr>
            <w:tcW w:w="1915" w:type="dxa"/>
          </w:tcPr>
          <w:p w14:paraId="4A850AE9" w14:textId="77777777" w:rsidR="00B26DE5" w:rsidRPr="00B26DE5" w:rsidRDefault="00B26DE5" w:rsidP="00B26DE5"/>
        </w:tc>
        <w:tc>
          <w:tcPr>
            <w:tcW w:w="1915" w:type="dxa"/>
          </w:tcPr>
          <w:p w14:paraId="6D00764A" w14:textId="260E625B" w:rsidR="00B26DE5" w:rsidRPr="00B26DE5" w:rsidRDefault="00B26DE5" w:rsidP="00B26DE5">
            <w:r w:rsidRPr="00B26DE5">
              <w:t xml:space="preserve">4 </w:t>
            </w:r>
            <w:r w:rsidRPr="00B26DE5">
              <w:rPr>
                <w:lang w:val="en-US"/>
              </w:rPr>
              <w:t xml:space="preserve">mg </w:t>
            </w:r>
            <w:r w:rsidRPr="00B26DE5">
              <w:t>таблетки</w:t>
            </w:r>
          </w:p>
        </w:tc>
        <w:tc>
          <w:tcPr>
            <w:tcW w:w="1915" w:type="dxa"/>
          </w:tcPr>
          <w:p w14:paraId="45C6F96E" w14:textId="10E00EA9" w:rsidR="00B26DE5" w:rsidRPr="00B26DE5" w:rsidRDefault="00B26DE5" w:rsidP="00B26DE5">
            <w:r w:rsidRPr="00B26DE5">
              <w:t xml:space="preserve">8 </w:t>
            </w:r>
            <w:r w:rsidRPr="00B26DE5">
              <w:rPr>
                <w:lang w:val="en-US"/>
              </w:rPr>
              <w:t xml:space="preserve">mg </w:t>
            </w:r>
            <w:r w:rsidRPr="00B26DE5">
              <w:t>таблетки</w:t>
            </w:r>
          </w:p>
        </w:tc>
        <w:tc>
          <w:tcPr>
            <w:tcW w:w="1915" w:type="dxa"/>
          </w:tcPr>
          <w:p w14:paraId="7D5BD73C" w14:textId="7E9F23D6" w:rsidR="00B26DE5" w:rsidRPr="00B26DE5" w:rsidRDefault="00B26DE5" w:rsidP="00B26DE5">
            <w:r w:rsidRPr="00B26DE5">
              <w:t xml:space="preserve">16 </w:t>
            </w:r>
            <w:r w:rsidRPr="00B26DE5">
              <w:rPr>
                <w:lang w:val="en-US"/>
              </w:rPr>
              <w:t xml:space="preserve">mg </w:t>
            </w:r>
            <w:r w:rsidRPr="00B26DE5">
              <w:t>таблетки</w:t>
            </w:r>
          </w:p>
        </w:tc>
        <w:tc>
          <w:tcPr>
            <w:tcW w:w="1916" w:type="dxa"/>
          </w:tcPr>
          <w:p w14:paraId="475D16AD" w14:textId="3A2EBCA8" w:rsidR="00B26DE5" w:rsidRPr="00B26DE5" w:rsidRDefault="00B26DE5" w:rsidP="00B26DE5">
            <w:r w:rsidRPr="00B26DE5">
              <w:t xml:space="preserve">3 2 </w:t>
            </w:r>
            <w:r w:rsidRPr="00B26DE5">
              <w:rPr>
                <w:lang w:val="en-US"/>
              </w:rPr>
              <w:t xml:space="preserve">mg </w:t>
            </w:r>
            <w:r w:rsidRPr="00B26DE5">
              <w:t>таблетки</w:t>
            </w:r>
          </w:p>
        </w:tc>
      </w:tr>
      <w:tr w:rsidR="00B26DE5" w14:paraId="586449CA" w14:textId="77777777" w:rsidTr="00B26DE5">
        <w:tc>
          <w:tcPr>
            <w:tcW w:w="1915" w:type="dxa"/>
          </w:tcPr>
          <w:p w14:paraId="65DB5B43" w14:textId="2E0852DF" w:rsidR="00B26DE5" w:rsidRPr="00B26DE5" w:rsidRDefault="00B26DE5" w:rsidP="00B26DE5">
            <w:r w:rsidRPr="00B26DE5">
              <w:t>Лактоза</w:t>
            </w:r>
          </w:p>
        </w:tc>
        <w:tc>
          <w:tcPr>
            <w:tcW w:w="1915" w:type="dxa"/>
          </w:tcPr>
          <w:p w14:paraId="2B490251" w14:textId="106006B0" w:rsidR="00B26DE5" w:rsidRPr="00B26DE5" w:rsidRDefault="00B26DE5" w:rsidP="00B26DE5">
            <w:r w:rsidRPr="00B26DE5">
              <w:t xml:space="preserve">88,73 </w:t>
            </w:r>
            <w:r w:rsidRPr="00B26DE5">
              <w:rPr>
                <w:lang w:val="en-US"/>
              </w:rPr>
              <w:t>mg</w:t>
            </w:r>
          </w:p>
        </w:tc>
        <w:tc>
          <w:tcPr>
            <w:tcW w:w="1915" w:type="dxa"/>
          </w:tcPr>
          <w:p w14:paraId="2AEAA343" w14:textId="4EED40F7" w:rsidR="00B26DE5" w:rsidRPr="00B26DE5" w:rsidRDefault="00B26DE5" w:rsidP="00B26DE5">
            <w:r w:rsidRPr="00B26DE5">
              <w:t xml:space="preserve">84,93 </w:t>
            </w:r>
            <w:r w:rsidRPr="00B26DE5">
              <w:rPr>
                <w:lang w:val="en-US"/>
              </w:rPr>
              <w:t>mg</w:t>
            </w:r>
          </w:p>
        </w:tc>
        <w:tc>
          <w:tcPr>
            <w:tcW w:w="1915" w:type="dxa"/>
          </w:tcPr>
          <w:p w14:paraId="0685FFE9" w14:textId="7EE211F4" w:rsidR="00B26DE5" w:rsidRPr="00B26DE5" w:rsidRDefault="00B26DE5" w:rsidP="00B26DE5">
            <w:r w:rsidRPr="00B26DE5">
              <w:t xml:space="preserve">77,33 </w:t>
            </w:r>
            <w:r w:rsidRPr="00B26DE5">
              <w:rPr>
                <w:lang w:val="en-US"/>
              </w:rPr>
              <w:t>mg</w:t>
            </w:r>
          </w:p>
        </w:tc>
        <w:tc>
          <w:tcPr>
            <w:tcW w:w="1916" w:type="dxa"/>
          </w:tcPr>
          <w:p w14:paraId="5DB73475" w14:textId="41D7AFC2" w:rsidR="00B26DE5" w:rsidRPr="00B26DE5" w:rsidRDefault="00B26DE5" w:rsidP="00B26DE5">
            <w:r w:rsidRPr="00B26DE5">
              <w:rPr>
                <w:lang w:val="en-US"/>
              </w:rPr>
              <w:t>154,66 mg</w:t>
            </w:r>
          </w:p>
        </w:tc>
      </w:tr>
    </w:tbl>
    <w:p w14:paraId="743B4853" w14:textId="77777777" w:rsidR="00B26DE5" w:rsidRPr="00B26DE5" w:rsidRDefault="00B26DE5" w:rsidP="00B26DE5"/>
    <w:p w14:paraId="614984C4" w14:textId="6F0FDCCC" w:rsidR="008A6AF2" w:rsidRDefault="00DD466D" w:rsidP="002C50EE">
      <w:pPr>
        <w:pStyle w:val="Heading1"/>
      </w:pPr>
      <w:r>
        <w:t>3. ЛЕКАРСТВЕНА ФОРМА</w:t>
      </w:r>
    </w:p>
    <w:p w14:paraId="4E96691B" w14:textId="7B4B1955" w:rsidR="00B26DE5" w:rsidRDefault="00B26DE5" w:rsidP="00B26DE5"/>
    <w:p w14:paraId="186822EC"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Таблетка</w:t>
      </w:r>
    </w:p>
    <w:p w14:paraId="7A7D9020" w14:textId="77777777" w:rsidR="00B26DE5" w:rsidRDefault="00B26DE5" w:rsidP="00B26DE5">
      <w:pPr>
        <w:spacing w:line="240" w:lineRule="auto"/>
        <w:rPr>
          <w:rFonts w:eastAsia="Times New Roman" w:cs="Arial"/>
          <w:color w:val="000000"/>
          <w:lang w:eastAsia="bg-BG"/>
        </w:rPr>
      </w:pPr>
    </w:p>
    <w:p w14:paraId="6E107B9E" w14:textId="2DB45715" w:rsidR="00B26DE5" w:rsidRPr="00B26DE5" w:rsidRDefault="00B26DE5" w:rsidP="00B26DE5">
      <w:pPr>
        <w:spacing w:line="240" w:lineRule="auto"/>
        <w:rPr>
          <w:rFonts w:eastAsia="Times New Roman" w:cs="Arial"/>
        </w:rPr>
      </w:pPr>
      <w:r w:rsidRPr="00B26DE5">
        <w:rPr>
          <w:rFonts w:eastAsia="Times New Roman" w:cs="Arial"/>
          <w:color w:val="000000"/>
          <w:lang w:eastAsia="bg-BG"/>
        </w:rPr>
        <w:t xml:space="preserve">4 </w:t>
      </w:r>
      <w:r w:rsidRPr="00B26DE5">
        <w:rPr>
          <w:rFonts w:eastAsia="Times New Roman" w:cs="Arial"/>
          <w:color w:val="000000"/>
          <w:lang w:val="en-US"/>
        </w:rPr>
        <w:t>mg</w:t>
      </w:r>
      <w:r w:rsidRPr="00B26DE5">
        <w:rPr>
          <w:rFonts w:eastAsia="Times New Roman" w:cs="Arial"/>
          <w:color w:val="000000"/>
          <w:lang w:val="ru-RU"/>
        </w:rPr>
        <w:t xml:space="preserve">: </w:t>
      </w:r>
      <w:r w:rsidRPr="00B26DE5">
        <w:rPr>
          <w:rFonts w:eastAsia="Times New Roman" w:cs="Arial"/>
          <w:color w:val="000000"/>
          <w:lang w:eastAsia="bg-BG"/>
        </w:rPr>
        <w:t xml:space="preserve">Кръгли, бели, леко двойноизпъкнали, диаметър 7 </w:t>
      </w:r>
      <w:r w:rsidRPr="00B26DE5">
        <w:rPr>
          <w:rFonts w:eastAsia="Times New Roman" w:cs="Arial"/>
          <w:color w:val="000000"/>
          <w:lang w:val="en-US"/>
        </w:rPr>
        <w:t>mm</w:t>
      </w:r>
      <w:r w:rsidRPr="00B26DE5">
        <w:rPr>
          <w:rFonts w:eastAsia="Times New Roman" w:cs="Arial"/>
          <w:color w:val="000000"/>
          <w:lang w:val="ru-RU"/>
        </w:rPr>
        <w:t xml:space="preserve">, </w:t>
      </w:r>
      <w:r w:rsidRPr="00B26DE5">
        <w:rPr>
          <w:rFonts w:eastAsia="Times New Roman" w:cs="Arial"/>
          <w:color w:val="000000"/>
          <w:lang w:eastAsia="bg-BG"/>
        </w:rPr>
        <w:t>от едната страна с делителна черта със скосени ръбове.</w:t>
      </w:r>
    </w:p>
    <w:p w14:paraId="09634BF8"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 xml:space="preserve">8 </w:t>
      </w:r>
      <w:r w:rsidRPr="00B26DE5">
        <w:rPr>
          <w:rFonts w:eastAsia="Times New Roman" w:cs="Arial"/>
          <w:color w:val="000000"/>
          <w:lang w:val="en-US"/>
        </w:rPr>
        <w:t>mg</w:t>
      </w:r>
      <w:r w:rsidRPr="00B26DE5">
        <w:rPr>
          <w:rFonts w:eastAsia="Times New Roman" w:cs="Arial"/>
          <w:color w:val="000000"/>
          <w:lang w:val="ru-RU"/>
        </w:rPr>
        <w:t xml:space="preserve">: </w:t>
      </w:r>
      <w:r w:rsidRPr="00B26DE5">
        <w:rPr>
          <w:rFonts w:eastAsia="Times New Roman" w:cs="Arial"/>
          <w:color w:val="000000"/>
          <w:lang w:eastAsia="bg-BG"/>
        </w:rPr>
        <w:t xml:space="preserve">Кръгли, светло розови, леко двойноизпъкнали, диаметър 7 </w:t>
      </w:r>
      <w:r w:rsidRPr="00B26DE5">
        <w:rPr>
          <w:rFonts w:eastAsia="Times New Roman" w:cs="Arial"/>
          <w:color w:val="000000"/>
          <w:lang w:val="en-US"/>
        </w:rPr>
        <w:t>mm</w:t>
      </w:r>
      <w:r w:rsidRPr="00B26DE5">
        <w:rPr>
          <w:rFonts w:eastAsia="Times New Roman" w:cs="Arial"/>
          <w:color w:val="000000"/>
          <w:lang w:val="ru-RU"/>
        </w:rPr>
        <w:t xml:space="preserve">, </w:t>
      </w:r>
      <w:r w:rsidRPr="00B26DE5">
        <w:rPr>
          <w:rFonts w:eastAsia="Times New Roman" w:cs="Arial"/>
          <w:color w:val="000000"/>
          <w:lang w:eastAsia="bg-BG"/>
        </w:rPr>
        <w:t>от едната страна с делителна черта със скосени ръбове.</w:t>
      </w:r>
    </w:p>
    <w:p w14:paraId="41662E67"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 xml:space="preserve">16 </w:t>
      </w:r>
      <w:r w:rsidRPr="00B26DE5">
        <w:rPr>
          <w:rFonts w:eastAsia="Times New Roman" w:cs="Arial"/>
          <w:color w:val="000000"/>
          <w:lang w:val="en-US"/>
        </w:rPr>
        <w:t>mg</w:t>
      </w:r>
      <w:r w:rsidRPr="00B26DE5">
        <w:rPr>
          <w:rFonts w:eastAsia="Times New Roman" w:cs="Arial"/>
          <w:color w:val="000000"/>
          <w:lang w:val="ru-RU"/>
        </w:rPr>
        <w:t xml:space="preserve">: </w:t>
      </w:r>
      <w:r w:rsidRPr="00B26DE5">
        <w:rPr>
          <w:rFonts w:eastAsia="Times New Roman" w:cs="Arial"/>
          <w:color w:val="000000"/>
          <w:lang w:eastAsia="bg-BG"/>
        </w:rPr>
        <w:t xml:space="preserve">Кръгли, светло розови, леко двойноизпъкнали, диаметър 7 </w:t>
      </w:r>
      <w:r w:rsidRPr="00B26DE5">
        <w:rPr>
          <w:rFonts w:eastAsia="Times New Roman" w:cs="Arial"/>
          <w:color w:val="000000"/>
          <w:lang w:val="en-US"/>
        </w:rPr>
        <w:t>mm</w:t>
      </w:r>
      <w:r w:rsidRPr="00B26DE5">
        <w:rPr>
          <w:rFonts w:eastAsia="Times New Roman" w:cs="Arial"/>
          <w:color w:val="000000"/>
          <w:lang w:val="ru-RU"/>
        </w:rPr>
        <w:t xml:space="preserve">, </w:t>
      </w:r>
      <w:r w:rsidRPr="00B26DE5">
        <w:rPr>
          <w:rFonts w:eastAsia="Times New Roman" w:cs="Arial"/>
          <w:color w:val="000000"/>
          <w:lang w:eastAsia="bg-BG"/>
        </w:rPr>
        <w:t>от едната страна с делителна черта със скосени ръбове.</w:t>
      </w:r>
    </w:p>
    <w:p w14:paraId="080EFFEF"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 xml:space="preserve">32 </w:t>
      </w:r>
      <w:r w:rsidRPr="00B26DE5">
        <w:rPr>
          <w:rFonts w:eastAsia="Times New Roman" w:cs="Arial"/>
          <w:color w:val="000000"/>
          <w:lang w:val="en-US"/>
        </w:rPr>
        <w:t>mg</w:t>
      </w:r>
      <w:r w:rsidRPr="00B26DE5">
        <w:rPr>
          <w:rFonts w:eastAsia="Times New Roman" w:cs="Arial"/>
          <w:color w:val="000000"/>
          <w:lang w:val="ru-RU"/>
        </w:rPr>
        <w:t xml:space="preserve">: </w:t>
      </w:r>
      <w:r w:rsidRPr="00B26DE5">
        <w:rPr>
          <w:rFonts w:eastAsia="Times New Roman" w:cs="Arial"/>
          <w:color w:val="000000"/>
          <w:lang w:eastAsia="bg-BG"/>
        </w:rPr>
        <w:t xml:space="preserve">Кръгли, светло розови, леко двойноизпъкнали, диаметър 9 </w:t>
      </w:r>
      <w:r w:rsidRPr="00B26DE5">
        <w:rPr>
          <w:rFonts w:eastAsia="Times New Roman" w:cs="Arial"/>
          <w:color w:val="000000"/>
          <w:lang w:val="en-US"/>
        </w:rPr>
        <w:t>mm</w:t>
      </w:r>
      <w:r w:rsidRPr="00B26DE5">
        <w:rPr>
          <w:rFonts w:eastAsia="Times New Roman" w:cs="Arial"/>
          <w:color w:val="000000"/>
          <w:lang w:val="ru-RU"/>
        </w:rPr>
        <w:t xml:space="preserve">, </w:t>
      </w:r>
      <w:r w:rsidRPr="00B26DE5">
        <w:rPr>
          <w:rFonts w:eastAsia="Times New Roman" w:cs="Arial"/>
          <w:color w:val="000000"/>
          <w:lang w:eastAsia="bg-BG"/>
        </w:rPr>
        <w:t>от едната страна с делителна черта със скосени ръбове.</w:t>
      </w:r>
    </w:p>
    <w:p w14:paraId="23271744" w14:textId="77777777" w:rsidR="00B26DE5" w:rsidRDefault="00B26DE5" w:rsidP="00B26DE5">
      <w:pPr>
        <w:spacing w:line="240" w:lineRule="auto"/>
        <w:rPr>
          <w:rFonts w:eastAsia="Times New Roman" w:cs="Arial"/>
          <w:color w:val="000000"/>
          <w:lang w:eastAsia="bg-BG"/>
        </w:rPr>
      </w:pPr>
    </w:p>
    <w:p w14:paraId="427D377C" w14:textId="322DD3E7" w:rsidR="00B26DE5" w:rsidRPr="00B26DE5" w:rsidRDefault="00B26DE5" w:rsidP="00B26DE5">
      <w:pPr>
        <w:spacing w:line="240" w:lineRule="auto"/>
        <w:rPr>
          <w:rFonts w:ascii="Times New Roman" w:eastAsia="Times New Roman" w:hAnsi="Times New Roman" w:cs="Times New Roman"/>
          <w:sz w:val="24"/>
          <w:szCs w:val="24"/>
        </w:rPr>
      </w:pPr>
      <w:r w:rsidRPr="00B26DE5">
        <w:rPr>
          <w:rFonts w:eastAsia="Times New Roman" w:cs="Arial"/>
          <w:color w:val="000000"/>
          <w:lang w:eastAsia="bg-BG"/>
        </w:rPr>
        <w:t>Таблетките могат да се делят на равни дози.</w:t>
      </w:r>
    </w:p>
    <w:p w14:paraId="0B17BAA2" w14:textId="77777777" w:rsidR="00B26DE5" w:rsidRPr="00B26DE5" w:rsidRDefault="00B26DE5" w:rsidP="00B26DE5"/>
    <w:p w14:paraId="490FC2C4" w14:textId="0F4A4A75" w:rsidR="002C50EE" w:rsidRDefault="002C50EE" w:rsidP="002C50EE">
      <w:pPr>
        <w:pStyle w:val="Heading1"/>
      </w:pPr>
      <w:r>
        <w:lastRenderedPageBreak/>
        <w:t>4. КЛИНИЧНИ ДАННИ</w:t>
      </w:r>
    </w:p>
    <w:p w14:paraId="74330405" w14:textId="3E0F111D" w:rsidR="007122AD" w:rsidRDefault="002C50EE" w:rsidP="00936AD0">
      <w:pPr>
        <w:pStyle w:val="Heading2"/>
      </w:pPr>
      <w:r>
        <w:t>4.1. Терапевтични показания</w:t>
      </w:r>
    </w:p>
    <w:p w14:paraId="6310582E" w14:textId="0513C3F7" w:rsidR="00B26DE5" w:rsidRDefault="00B26DE5" w:rsidP="00B26DE5"/>
    <w:p w14:paraId="70FBFB4C"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Карбис е показан за:</w:t>
      </w:r>
    </w:p>
    <w:p w14:paraId="3F5BE071" w14:textId="77777777" w:rsidR="00B26DE5" w:rsidRPr="00B26DE5" w:rsidRDefault="00B26DE5" w:rsidP="00B26DE5">
      <w:pPr>
        <w:spacing w:line="240" w:lineRule="auto"/>
        <w:rPr>
          <w:rFonts w:eastAsia="Times New Roman" w:cs="Arial"/>
          <w:color w:val="000000"/>
          <w:lang w:eastAsia="bg-BG"/>
        </w:rPr>
      </w:pPr>
    </w:p>
    <w:p w14:paraId="0DE47D3C" w14:textId="2832C929" w:rsidR="00B26DE5" w:rsidRPr="00B26DE5" w:rsidRDefault="00B26DE5" w:rsidP="00B26DE5">
      <w:pPr>
        <w:pStyle w:val="ListParagraph"/>
        <w:numPr>
          <w:ilvl w:val="0"/>
          <w:numId w:val="37"/>
        </w:numPr>
        <w:spacing w:line="240" w:lineRule="auto"/>
        <w:rPr>
          <w:rFonts w:eastAsia="Times New Roman" w:cs="Arial"/>
        </w:rPr>
      </w:pPr>
      <w:r w:rsidRPr="00B26DE5">
        <w:rPr>
          <w:rFonts w:eastAsia="Times New Roman" w:cs="Arial"/>
          <w:color w:val="000000"/>
          <w:lang w:eastAsia="bg-BG"/>
        </w:rPr>
        <w:t>Лечение на есенциална хипертония при възрастни.</w:t>
      </w:r>
    </w:p>
    <w:p w14:paraId="11A52C8F" w14:textId="77777777" w:rsidR="00B26DE5" w:rsidRPr="00B26DE5" w:rsidRDefault="00B26DE5" w:rsidP="00B26DE5">
      <w:pPr>
        <w:pStyle w:val="ListParagraph"/>
        <w:numPr>
          <w:ilvl w:val="0"/>
          <w:numId w:val="37"/>
        </w:numPr>
        <w:spacing w:line="240" w:lineRule="auto"/>
        <w:rPr>
          <w:rFonts w:eastAsia="Times New Roman" w:cs="Arial"/>
        </w:rPr>
      </w:pPr>
      <w:r w:rsidRPr="00B26DE5">
        <w:rPr>
          <w:rFonts w:eastAsia="Times New Roman" w:cs="Arial"/>
          <w:color w:val="000000"/>
          <w:lang w:eastAsia="bg-BG"/>
        </w:rPr>
        <w:t>Лечение на есенциална хипертония при деца и юноши на възраст от 6 до &lt;18 години.</w:t>
      </w:r>
    </w:p>
    <w:p w14:paraId="588DE75D" w14:textId="77777777" w:rsidR="00B26DE5" w:rsidRPr="00B26DE5" w:rsidRDefault="00B26DE5" w:rsidP="00B26DE5">
      <w:pPr>
        <w:pStyle w:val="ListParagraph"/>
        <w:numPr>
          <w:ilvl w:val="0"/>
          <w:numId w:val="37"/>
        </w:numPr>
        <w:rPr>
          <w:rFonts w:eastAsia="Times New Roman" w:cs="Arial"/>
        </w:rPr>
      </w:pPr>
      <w:r w:rsidRPr="00B26DE5">
        <w:rPr>
          <w:rFonts w:eastAsia="Times New Roman" w:cs="Arial"/>
          <w:color w:val="000000"/>
          <w:lang w:eastAsia="bg-BG"/>
        </w:rPr>
        <w:t xml:space="preserve">Лечение на възрастни пациенти със сърдечна недостатъчност и нарушена левокаморна систолна функция (левокамерна фракция на изтласкване ≤ 40%), когато </w:t>
      </w:r>
      <w:r w:rsidRPr="00B26DE5">
        <w:rPr>
          <w:rFonts w:eastAsia="Times New Roman" w:cs="Arial"/>
          <w:color w:val="000000"/>
          <w:lang w:val="en-US"/>
        </w:rPr>
        <w:t>ACE</w:t>
      </w:r>
      <w:r w:rsidRPr="00B26DE5">
        <w:rPr>
          <w:rFonts w:eastAsia="Times New Roman" w:cs="Arial"/>
          <w:color w:val="000000"/>
          <w:lang w:val="ru-RU"/>
        </w:rPr>
        <w:t xml:space="preserve"> </w:t>
      </w:r>
      <w:r w:rsidRPr="00B26DE5">
        <w:rPr>
          <w:rFonts w:eastAsia="Times New Roman" w:cs="Arial"/>
          <w:color w:val="000000"/>
          <w:lang w:eastAsia="bg-BG"/>
        </w:rPr>
        <w:t xml:space="preserve">инхибитори </w:t>
      </w:r>
      <w:r w:rsidRPr="00B26DE5">
        <w:rPr>
          <w:rFonts w:eastAsia="Times New Roman" w:cs="Arial"/>
          <w:i/>
          <w:iCs/>
          <w:color w:val="000000"/>
          <w:lang w:eastAsia="bg-BG"/>
        </w:rPr>
        <w:t>не</w:t>
      </w:r>
      <w:r w:rsidRPr="00B26DE5">
        <w:rPr>
          <w:rFonts w:eastAsia="Times New Roman" w:cs="Arial"/>
          <w:color w:val="000000"/>
          <w:lang w:eastAsia="bg-BG"/>
        </w:rPr>
        <w:t xml:space="preserve"> се понасят, или като допълваща терапията към АСЕ инхибитори при пациенти със симптоматична сърдечна недостатъчност, въпреки оптималната терапия, когато минералкортикоидни рецепторни антагонисти не се понасят (вж. точки 4.2, 4.4, 4.5 и 5.1).</w:t>
      </w:r>
    </w:p>
    <w:p w14:paraId="08AB218D" w14:textId="42BE31E2" w:rsidR="00B26DE5" w:rsidRPr="00B26DE5" w:rsidRDefault="00B26DE5" w:rsidP="00B26DE5">
      <w:pPr>
        <w:spacing w:line="240" w:lineRule="auto"/>
        <w:rPr>
          <w:rFonts w:ascii="Times New Roman" w:eastAsia="Times New Roman" w:hAnsi="Times New Roman" w:cs="Times New Roman"/>
          <w:sz w:val="24"/>
          <w:szCs w:val="24"/>
        </w:rPr>
      </w:pPr>
    </w:p>
    <w:p w14:paraId="625199BE" w14:textId="77777777" w:rsidR="00B26DE5" w:rsidRPr="00B26DE5" w:rsidRDefault="00B26DE5" w:rsidP="00B26DE5"/>
    <w:p w14:paraId="53F5B866" w14:textId="17A35F16" w:rsidR="007122AD" w:rsidRDefault="002C50EE" w:rsidP="00936AD0">
      <w:pPr>
        <w:pStyle w:val="Heading2"/>
      </w:pPr>
      <w:r>
        <w:t>4.2. Дозировка и начин на приложение</w:t>
      </w:r>
    </w:p>
    <w:p w14:paraId="7183A036" w14:textId="61A633EC" w:rsidR="00B26DE5" w:rsidRDefault="00B26DE5" w:rsidP="00B26DE5"/>
    <w:p w14:paraId="4F45BDE7" w14:textId="77777777" w:rsidR="00B26DE5" w:rsidRPr="00B26DE5" w:rsidRDefault="00B26DE5" w:rsidP="00B26DE5">
      <w:pPr>
        <w:spacing w:line="240" w:lineRule="auto"/>
        <w:rPr>
          <w:rFonts w:eastAsia="Times New Roman" w:cs="Arial"/>
        </w:rPr>
      </w:pPr>
      <w:r w:rsidRPr="00B26DE5">
        <w:rPr>
          <w:rFonts w:eastAsia="Times New Roman" w:cs="Arial"/>
          <w:color w:val="000000"/>
          <w:u w:val="single"/>
          <w:lang w:eastAsia="bg-BG"/>
        </w:rPr>
        <w:t>Приложение при хипертония</w:t>
      </w:r>
    </w:p>
    <w:p w14:paraId="792D0E03" w14:textId="77777777" w:rsidR="00B26DE5" w:rsidRDefault="00B26DE5" w:rsidP="00B26DE5">
      <w:pPr>
        <w:spacing w:line="240" w:lineRule="auto"/>
        <w:rPr>
          <w:rFonts w:eastAsia="Times New Roman" w:cs="Arial"/>
          <w:color w:val="000000"/>
          <w:lang w:eastAsia="bg-BG"/>
        </w:rPr>
      </w:pPr>
    </w:p>
    <w:p w14:paraId="41933942" w14:textId="01857D85" w:rsidR="00B26DE5" w:rsidRPr="00B26DE5" w:rsidRDefault="00B26DE5" w:rsidP="00B26DE5">
      <w:pPr>
        <w:spacing w:line="240" w:lineRule="auto"/>
        <w:rPr>
          <w:rFonts w:eastAsia="Times New Roman" w:cs="Arial"/>
        </w:rPr>
      </w:pPr>
      <w:r w:rsidRPr="00B26DE5">
        <w:rPr>
          <w:rFonts w:eastAsia="Times New Roman" w:cs="Arial"/>
          <w:color w:val="000000"/>
          <w:lang w:eastAsia="bg-BG"/>
        </w:rPr>
        <w:t xml:space="preserve">Препоръчителната начална доза и обичайната поддържаща доза на Карбис е 8 </w:t>
      </w:r>
      <w:r w:rsidRPr="00B26DE5">
        <w:rPr>
          <w:rFonts w:eastAsia="Times New Roman" w:cs="Arial"/>
          <w:color w:val="000000"/>
          <w:lang w:val="en-US"/>
        </w:rPr>
        <w:t>mg</w:t>
      </w:r>
      <w:r w:rsidRPr="00B26DE5">
        <w:rPr>
          <w:rFonts w:eastAsia="Times New Roman" w:cs="Arial"/>
          <w:color w:val="000000"/>
          <w:lang w:val="ru-RU"/>
        </w:rPr>
        <w:t xml:space="preserve"> </w:t>
      </w:r>
      <w:r w:rsidRPr="00B26DE5">
        <w:rPr>
          <w:rFonts w:eastAsia="Times New Roman" w:cs="Arial"/>
          <w:color w:val="000000"/>
          <w:lang w:eastAsia="bg-BG"/>
        </w:rPr>
        <w:t xml:space="preserve">веднъж дневно. По-голямата част от антихипертензивния ефект се постига в рамките на 4 седмици. При някои пациенти, чието кръвно налягане не се контролира адекватно, дозата може да бъде увеличена до 16 </w:t>
      </w:r>
      <w:r w:rsidRPr="00B26DE5">
        <w:rPr>
          <w:rFonts w:eastAsia="Times New Roman" w:cs="Arial"/>
          <w:color w:val="000000"/>
          <w:lang w:val="en-US"/>
        </w:rPr>
        <w:t>mg</w:t>
      </w:r>
      <w:r w:rsidRPr="00B26DE5">
        <w:rPr>
          <w:rFonts w:eastAsia="Times New Roman" w:cs="Arial"/>
          <w:color w:val="000000"/>
          <w:lang w:val="ru-RU"/>
        </w:rPr>
        <w:t xml:space="preserve"> </w:t>
      </w:r>
      <w:r w:rsidRPr="00B26DE5">
        <w:rPr>
          <w:rFonts w:eastAsia="Times New Roman" w:cs="Arial"/>
          <w:color w:val="000000"/>
          <w:lang w:eastAsia="bg-BG"/>
        </w:rPr>
        <w:t xml:space="preserve">веднъж дневно и до максимум 32 </w:t>
      </w:r>
      <w:r w:rsidRPr="00B26DE5">
        <w:rPr>
          <w:rFonts w:eastAsia="Times New Roman" w:cs="Arial"/>
          <w:color w:val="000000"/>
          <w:lang w:val="en-US"/>
        </w:rPr>
        <w:t>mg</w:t>
      </w:r>
      <w:r w:rsidRPr="00B26DE5">
        <w:rPr>
          <w:rFonts w:eastAsia="Times New Roman" w:cs="Arial"/>
          <w:color w:val="000000"/>
          <w:lang w:val="ru-RU"/>
        </w:rPr>
        <w:t xml:space="preserve"> </w:t>
      </w:r>
      <w:r w:rsidRPr="00B26DE5">
        <w:rPr>
          <w:rFonts w:eastAsia="Times New Roman" w:cs="Arial"/>
          <w:color w:val="000000"/>
          <w:lang w:eastAsia="bg-BG"/>
        </w:rPr>
        <w:t>веднъж дневно. Терапията трябва да се коригира според повлияването на кръвното налягане.</w:t>
      </w:r>
    </w:p>
    <w:p w14:paraId="480879DC"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Карбис може да се прилага с други антихипертензивни лекарства (вж. точки 4.3, 4.4, 4.5 и 5.1). Доказано е, че добавянето на хидрохлоротиазид има адитивен антихипертензивен ефект за различните дози Карбис.</w:t>
      </w:r>
    </w:p>
    <w:p w14:paraId="4572BA2C" w14:textId="77777777" w:rsidR="00B26DE5" w:rsidRDefault="00B26DE5" w:rsidP="00B26DE5">
      <w:pPr>
        <w:spacing w:line="240" w:lineRule="auto"/>
        <w:rPr>
          <w:rFonts w:eastAsia="Times New Roman" w:cs="Arial"/>
          <w:i/>
          <w:iCs/>
          <w:color w:val="000000"/>
          <w:lang w:eastAsia="bg-BG"/>
        </w:rPr>
      </w:pPr>
    </w:p>
    <w:p w14:paraId="0837C172" w14:textId="507F79DC" w:rsidR="00B26DE5" w:rsidRPr="00B26DE5" w:rsidRDefault="00B26DE5" w:rsidP="00B26DE5">
      <w:pPr>
        <w:spacing w:line="240" w:lineRule="auto"/>
        <w:rPr>
          <w:rFonts w:eastAsia="Times New Roman" w:cs="Arial"/>
        </w:rPr>
      </w:pPr>
      <w:r w:rsidRPr="00B26DE5">
        <w:rPr>
          <w:rFonts w:eastAsia="Times New Roman" w:cs="Arial"/>
          <w:i/>
          <w:iCs/>
          <w:color w:val="000000"/>
          <w:lang w:eastAsia="bg-BG"/>
        </w:rPr>
        <w:t>Пациенти е старческа възраст</w:t>
      </w:r>
    </w:p>
    <w:p w14:paraId="5E04E1B1"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Не е необходимо начално контролиране на дозата при пациенти в старческа възраст.</w:t>
      </w:r>
    </w:p>
    <w:p w14:paraId="55F81559" w14:textId="77777777" w:rsidR="00B26DE5" w:rsidRDefault="00B26DE5" w:rsidP="00B26DE5">
      <w:pPr>
        <w:spacing w:line="240" w:lineRule="auto"/>
        <w:rPr>
          <w:rFonts w:eastAsia="Times New Roman" w:cs="Arial"/>
          <w:i/>
          <w:iCs/>
          <w:color w:val="000000"/>
          <w:lang w:eastAsia="bg-BG"/>
        </w:rPr>
      </w:pPr>
    </w:p>
    <w:p w14:paraId="7C5334BD" w14:textId="5D5D0E3D" w:rsidR="00B26DE5" w:rsidRPr="00B26DE5" w:rsidRDefault="00B26DE5" w:rsidP="00B26DE5">
      <w:pPr>
        <w:spacing w:line="240" w:lineRule="auto"/>
        <w:rPr>
          <w:rFonts w:eastAsia="Times New Roman" w:cs="Arial"/>
        </w:rPr>
      </w:pPr>
      <w:r w:rsidRPr="00B26DE5">
        <w:rPr>
          <w:rFonts w:eastAsia="Times New Roman" w:cs="Arial"/>
          <w:i/>
          <w:iCs/>
          <w:color w:val="000000"/>
          <w:lang w:eastAsia="bg-BG"/>
        </w:rPr>
        <w:t>Пациенти с намален вътресъдов обем</w:t>
      </w:r>
    </w:p>
    <w:p w14:paraId="1F1B3704"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 xml:space="preserve">При пациенти с риск от хипотония, като болни с вероятност за намален обем, може да се има предвид приложението на доза от 4 </w:t>
      </w:r>
      <w:r w:rsidRPr="00B26DE5">
        <w:rPr>
          <w:rFonts w:eastAsia="Times New Roman" w:cs="Arial"/>
          <w:color w:val="000000"/>
          <w:lang w:val="en-US"/>
        </w:rPr>
        <w:t>mg</w:t>
      </w:r>
      <w:r w:rsidRPr="00B26DE5">
        <w:rPr>
          <w:rFonts w:eastAsia="Times New Roman" w:cs="Arial"/>
          <w:color w:val="000000"/>
          <w:lang w:val="ru-RU"/>
        </w:rPr>
        <w:t xml:space="preserve"> </w:t>
      </w:r>
      <w:r w:rsidRPr="00B26DE5">
        <w:rPr>
          <w:rFonts w:eastAsia="Times New Roman" w:cs="Arial"/>
          <w:color w:val="000000"/>
          <w:lang w:eastAsia="bg-BG"/>
        </w:rPr>
        <w:t>(виж точка 4.4).</w:t>
      </w:r>
    </w:p>
    <w:p w14:paraId="2953B2E8" w14:textId="77777777" w:rsidR="00B26DE5" w:rsidRDefault="00B26DE5" w:rsidP="00B26DE5">
      <w:pPr>
        <w:spacing w:line="240" w:lineRule="auto"/>
        <w:rPr>
          <w:rFonts w:eastAsia="Times New Roman" w:cs="Arial"/>
          <w:i/>
          <w:iCs/>
          <w:color w:val="000000"/>
          <w:lang w:eastAsia="bg-BG"/>
        </w:rPr>
      </w:pPr>
    </w:p>
    <w:p w14:paraId="721A4DC5" w14:textId="2957D358" w:rsidR="00B26DE5" w:rsidRPr="00B26DE5" w:rsidRDefault="00B26DE5" w:rsidP="00B26DE5">
      <w:pPr>
        <w:spacing w:line="240" w:lineRule="auto"/>
        <w:rPr>
          <w:rFonts w:eastAsia="Times New Roman" w:cs="Arial"/>
        </w:rPr>
      </w:pPr>
      <w:r w:rsidRPr="00B26DE5">
        <w:rPr>
          <w:rFonts w:eastAsia="Times New Roman" w:cs="Arial"/>
          <w:i/>
          <w:iCs/>
          <w:color w:val="000000"/>
          <w:lang w:eastAsia="bg-BG"/>
        </w:rPr>
        <w:t>Пациенти с бъбречно увреждане</w:t>
      </w:r>
    </w:p>
    <w:p w14:paraId="76267D0B"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 xml:space="preserve">Началната доза при пациенти с бъбречно увреждане, включително болни на хемодиализа е 4 </w:t>
      </w:r>
      <w:r w:rsidRPr="00B26DE5">
        <w:rPr>
          <w:rFonts w:eastAsia="Times New Roman" w:cs="Arial"/>
          <w:color w:val="000000"/>
          <w:lang w:val="en-US"/>
        </w:rPr>
        <w:t>mg</w:t>
      </w:r>
      <w:r w:rsidRPr="00B26DE5">
        <w:rPr>
          <w:rFonts w:eastAsia="Times New Roman" w:cs="Arial"/>
          <w:color w:val="000000"/>
          <w:lang w:val="ru-RU"/>
        </w:rPr>
        <w:t xml:space="preserve">. </w:t>
      </w:r>
      <w:r w:rsidRPr="00B26DE5">
        <w:rPr>
          <w:rFonts w:eastAsia="Times New Roman" w:cs="Arial"/>
          <w:color w:val="000000"/>
          <w:lang w:eastAsia="bg-BG"/>
        </w:rPr>
        <w:t>Дозата трябва да се увеличава постепенно според отговора. Опитът с пациенти с много тежко или терминално бъбречно увреждане (С</w:t>
      </w:r>
      <w:proofErr w:type="spellStart"/>
      <w:r w:rsidRPr="00B26DE5">
        <w:rPr>
          <w:rFonts w:eastAsia="Times New Roman" w:cs="Arial"/>
          <w:color w:val="000000"/>
          <w:lang w:val="en-US"/>
        </w:rPr>
        <w:t>l</w:t>
      </w:r>
      <w:r w:rsidRPr="00B26DE5">
        <w:rPr>
          <w:rFonts w:eastAsia="Times New Roman" w:cs="Arial"/>
          <w:color w:val="000000"/>
          <w:vertAlign w:val="subscript"/>
          <w:lang w:val="en-US"/>
        </w:rPr>
        <w:t>creatinine</w:t>
      </w:r>
      <w:proofErr w:type="spellEnd"/>
      <w:r w:rsidRPr="00B26DE5">
        <w:rPr>
          <w:rFonts w:eastAsia="Times New Roman" w:cs="Arial"/>
          <w:color w:val="000000"/>
          <w:lang w:eastAsia="bg-BG"/>
        </w:rPr>
        <w:t xml:space="preserve"> &lt;15 </w:t>
      </w:r>
      <w:r w:rsidRPr="00B26DE5">
        <w:rPr>
          <w:rFonts w:eastAsia="Times New Roman" w:cs="Arial"/>
          <w:color w:val="000000"/>
          <w:lang w:val="en-US"/>
        </w:rPr>
        <w:t>ml</w:t>
      </w:r>
      <w:r w:rsidRPr="00B26DE5">
        <w:rPr>
          <w:rFonts w:eastAsia="Times New Roman" w:cs="Arial"/>
          <w:color w:val="000000"/>
          <w:lang w:val="ru-RU"/>
        </w:rPr>
        <w:t>/</w:t>
      </w:r>
      <w:r w:rsidRPr="00B26DE5">
        <w:rPr>
          <w:rFonts w:eastAsia="Times New Roman" w:cs="Arial"/>
          <w:color w:val="000000"/>
          <w:lang w:val="en-US"/>
        </w:rPr>
        <w:t>min</w:t>
      </w:r>
      <w:r w:rsidRPr="00B26DE5">
        <w:rPr>
          <w:rFonts w:eastAsia="Times New Roman" w:cs="Arial"/>
          <w:color w:val="000000"/>
          <w:lang w:val="ru-RU"/>
        </w:rPr>
        <w:t xml:space="preserve">) </w:t>
      </w:r>
      <w:r w:rsidRPr="00B26DE5">
        <w:rPr>
          <w:rFonts w:eastAsia="Times New Roman" w:cs="Arial"/>
          <w:color w:val="000000"/>
          <w:lang w:eastAsia="bg-BG"/>
        </w:rPr>
        <w:t>е ограничен, (виж точка 4.4).</w:t>
      </w:r>
    </w:p>
    <w:p w14:paraId="1737C758" w14:textId="77777777" w:rsidR="00B26DE5" w:rsidRDefault="00B26DE5" w:rsidP="00B26DE5">
      <w:pPr>
        <w:spacing w:line="240" w:lineRule="auto"/>
        <w:rPr>
          <w:rFonts w:eastAsia="Times New Roman" w:cs="Arial"/>
          <w:i/>
          <w:iCs/>
          <w:color w:val="000000"/>
          <w:lang w:eastAsia="bg-BG"/>
        </w:rPr>
      </w:pPr>
    </w:p>
    <w:p w14:paraId="3D980037" w14:textId="0B034341" w:rsidR="00B26DE5" w:rsidRPr="00B26DE5" w:rsidRDefault="00B26DE5" w:rsidP="00B26DE5">
      <w:pPr>
        <w:spacing w:line="240" w:lineRule="auto"/>
        <w:rPr>
          <w:rFonts w:eastAsia="Times New Roman" w:cs="Arial"/>
        </w:rPr>
      </w:pPr>
      <w:r w:rsidRPr="00B26DE5">
        <w:rPr>
          <w:rFonts w:eastAsia="Times New Roman" w:cs="Arial"/>
          <w:i/>
          <w:iCs/>
          <w:color w:val="000000"/>
          <w:lang w:eastAsia="bg-BG"/>
        </w:rPr>
        <w:t>Пациенти с чернодробно увреждане</w:t>
      </w:r>
    </w:p>
    <w:p w14:paraId="0B4D0325"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 xml:space="preserve">При пациенти с леко до умерено чернодробно увреждане се препоръчва доза от 4 </w:t>
      </w:r>
      <w:r w:rsidRPr="00B26DE5">
        <w:rPr>
          <w:rFonts w:eastAsia="Times New Roman" w:cs="Arial"/>
          <w:color w:val="000000"/>
          <w:lang w:val="en-US"/>
        </w:rPr>
        <w:t>mg</w:t>
      </w:r>
      <w:r w:rsidRPr="00B26DE5">
        <w:rPr>
          <w:rFonts w:eastAsia="Times New Roman" w:cs="Arial"/>
          <w:color w:val="000000"/>
          <w:lang w:val="ru-RU"/>
        </w:rPr>
        <w:t xml:space="preserve"> </w:t>
      </w:r>
      <w:r w:rsidRPr="00B26DE5">
        <w:rPr>
          <w:rFonts w:eastAsia="Times New Roman" w:cs="Arial"/>
          <w:color w:val="000000"/>
          <w:lang w:eastAsia="bg-BG"/>
        </w:rPr>
        <w:t>веднъж дневно. Дозата може да се коригира според отговора. Карбис е противопоказан при пациенти с тежко чернодробно увреждане и/или холестаза (вж. точки .4.3 и 5.2).</w:t>
      </w:r>
    </w:p>
    <w:p w14:paraId="2CC27F07" w14:textId="77777777" w:rsidR="00B26DE5" w:rsidRDefault="00B26DE5" w:rsidP="00B26DE5">
      <w:pPr>
        <w:spacing w:line="240" w:lineRule="auto"/>
        <w:rPr>
          <w:rFonts w:eastAsia="Times New Roman" w:cs="Arial"/>
          <w:i/>
          <w:iCs/>
          <w:color w:val="000000"/>
          <w:lang w:eastAsia="bg-BG"/>
        </w:rPr>
      </w:pPr>
    </w:p>
    <w:p w14:paraId="247E48A8" w14:textId="51E72D52" w:rsidR="00B26DE5" w:rsidRPr="00B26DE5" w:rsidRDefault="00B26DE5" w:rsidP="00B26DE5">
      <w:pPr>
        <w:spacing w:line="240" w:lineRule="auto"/>
        <w:rPr>
          <w:rFonts w:eastAsia="Times New Roman" w:cs="Arial"/>
        </w:rPr>
      </w:pPr>
      <w:r w:rsidRPr="00B26DE5">
        <w:rPr>
          <w:rFonts w:eastAsia="Times New Roman" w:cs="Arial"/>
          <w:i/>
          <w:iCs/>
          <w:color w:val="000000"/>
          <w:lang w:eastAsia="bg-BG"/>
        </w:rPr>
        <w:t>Чернокожи пациенти</w:t>
      </w:r>
    </w:p>
    <w:p w14:paraId="1BB620F0"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lastRenderedPageBreak/>
        <w:t>Антихипертензивният ефект на кандесартан е по-слабо изразен при чернокожи пациенти в сравнение с нечернокожи пациенти. Поради това, повишаването на дозата на Карбис и комбинираното лечение може да са необходими по-често за контрол на артериалното налягане при чернокожи пациенти в сравнение с нечернокожи пациенти (виж точка 5.1).</w:t>
      </w:r>
    </w:p>
    <w:p w14:paraId="7A7780C8" w14:textId="77777777" w:rsidR="00B26DE5" w:rsidRDefault="00B26DE5" w:rsidP="00B26DE5">
      <w:pPr>
        <w:spacing w:line="240" w:lineRule="auto"/>
        <w:rPr>
          <w:rFonts w:eastAsia="Times New Roman" w:cs="Arial"/>
          <w:i/>
          <w:iCs/>
          <w:color w:val="000000"/>
          <w:lang w:eastAsia="bg-BG"/>
        </w:rPr>
      </w:pPr>
    </w:p>
    <w:p w14:paraId="351A4ABD" w14:textId="3C8FFA06" w:rsidR="00B26DE5" w:rsidRPr="00B26DE5" w:rsidRDefault="00B26DE5" w:rsidP="00B26DE5">
      <w:pPr>
        <w:spacing w:line="240" w:lineRule="auto"/>
        <w:rPr>
          <w:rFonts w:eastAsia="Times New Roman" w:cs="Arial"/>
        </w:rPr>
      </w:pPr>
      <w:r w:rsidRPr="00B26DE5">
        <w:rPr>
          <w:rFonts w:eastAsia="Times New Roman" w:cs="Arial"/>
          <w:i/>
          <w:iCs/>
          <w:color w:val="000000"/>
          <w:lang w:eastAsia="bg-BG"/>
        </w:rPr>
        <w:t>Педиатрична популация</w:t>
      </w:r>
    </w:p>
    <w:p w14:paraId="3BFBC0F3" w14:textId="77777777" w:rsidR="00B26DE5" w:rsidRDefault="00B26DE5" w:rsidP="00B26DE5">
      <w:pPr>
        <w:spacing w:line="240" w:lineRule="auto"/>
        <w:rPr>
          <w:rFonts w:eastAsia="Times New Roman" w:cs="Arial"/>
          <w:i/>
          <w:iCs/>
          <w:color w:val="000000"/>
          <w:lang w:eastAsia="bg-BG"/>
        </w:rPr>
      </w:pPr>
    </w:p>
    <w:p w14:paraId="4CB20D4D" w14:textId="5594793B" w:rsidR="00B26DE5" w:rsidRPr="00B26DE5" w:rsidRDefault="00B26DE5" w:rsidP="00B26DE5">
      <w:pPr>
        <w:spacing w:line="240" w:lineRule="auto"/>
        <w:rPr>
          <w:rFonts w:eastAsia="Times New Roman" w:cs="Arial"/>
        </w:rPr>
      </w:pPr>
      <w:r w:rsidRPr="00B26DE5">
        <w:rPr>
          <w:rFonts w:eastAsia="Times New Roman" w:cs="Arial"/>
          <w:i/>
          <w:iCs/>
          <w:color w:val="000000"/>
          <w:lang w:eastAsia="bg-BG"/>
        </w:rPr>
        <w:t>Деца и юноши на възраст от 6 до &lt; 18 години:</w:t>
      </w:r>
    </w:p>
    <w:p w14:paraId="7E5108E8" w14:textId="77777777" w:rsidR="00B26DE5" w:rsidRDefault="00B26DE5" w:rsidP="00B26DE5">
      <w:pPr>
        <w:spacing w:line="240" w:lineRule="auto"/>
        <w:rPr>
          <w:rFonts w:eastAsia="Times New Roman" w:cs="Arial"/>
          <w:color w:val="000000"/>
          <w:lang w:eastAsia="bg-BG"/>
        </w:rPr>
      </w:pPr>
    </w:p>
    <w:p w14:paraId="65B5183D" w14:textId="4425EF10" w:rsidR="00B26DE5" w:rsidRPr="00B26DE5" w:rsidRDefault="00B26DE5" w:rsidP="00B26DE5">
      <w:pPr>
        <w:spacing w:line="240" w:lineRule="auto"/>
        <w:rPr>
          <w:rFonts w:eastAsia="Times New Roman" w:cs="Arial"/>
        </w:rPr>
      </w:pPr>
      <w:r w:rsidRPr="00B26DE5">
        <w:rPr>
          <w:rFonts w:eastAsia="Times New Roman" w:cs="Arial"/>
          <w:color w:val="000000"/>
          <w:lang w:eastAsia="bg-BG"/>
        </w:rPr>
        <w:t xml:space="preserve">Препоръчителната начална доза е 4 </w:t>
      </w:r>
      <w:r w:rsidRPr="00B26DE5">
        <w:rPr>
          <w:rFonts w:eastAsia="Times New Roman" w:cs="Arial"/>
          <w:color w:val="000000"/>
          <w:lang w:val="en-US"/>
        </w:rPr>
        <w:t>mg</w:t>
      </w:r>
      <w:r w:rsidRPr="00B26DE5">
        <w:rPr>
          <w:rFonts w:eastAsia="Times New Roman" w:cs="Arial"/>
          <w:color w:val="000000"/>
          <w:lang w:val="ru-RU"/>
        </w:rPr>
        <w:t xml:space="preserve"> </w:t>
      </w:r>
      <w:r w:rsidRPr="00B26DE5">
        <w:rPr>
          <w:rFonts w:eastAsia="Times New Roman" w:cs="Arial"/>
          <w:color w:val="000000"/>
          <w:lang w:eastAsia="bg-BG"/>
        </w:rPr>
        <w:t>веднъж дневно.</w:t>
      </w:r>
    </w:p>
    <w:p w14:paraId="0C18B736" w14:textId="77777777" w:rsidR="00B26DE5" w:rsidRDefault="00B26DE5" w:rsidP="00B26DE5">
      <w:pPr>
        <w:spacing w:line="240" w:lineRule="auto"/>
        <w:rPr>
          <w:rFonts w:eastAsia="Times New Roman" w:cs="Arial"/>
          <w:color w:val="000000"/>
          <w:lang w:eastAsia="bg-BG"/>
        </w:rPr>
      </w:pPr>
    </w:p>
    <w:p w14:paraId="67A649CE" w14:textId="77777777" w:rsidR="00B26DE5" w:rsidRPr="00B26DE5" w:rsidRDefault="00B26DE5" w:rsidP="00B26DE5">
      <w:pPr>
        <w:pStyle w:val="ListParagraph"/>
        <w:numPr>
          <w:ilvl w:val="0"/>
          <w:numId w:val="37"/>
        </w:numPr>
        <w:spacing w:line="240" w:lineRule="auto"/>
        <w:rPr>
          <w:rFonts w:eastAsia="Times New Roman" w:cs="Arial"/>
        </w:rPr>
      </w:pPr>
      <w:r w:rsidRPr="00B26DE5">
        <w:rPr>
          <w:rFonts w:eastAsia="Times New Roman" w:cs="Arial"/>
          <w:color w:val="000000"/>
          <w:lang w:eastAsia="bg-BG"/>
        </w:rPr>
        <w:t xml:space="preserve">Пациенти с телесно тегло &lt; 50 </w:t>
      </w:r>
      <w:r w:rsidRPr="00B26DE5">
        <w:rPr>
          <w:rFonts w:eastAsia="Times New Roman" w:cs="Arial"/>
          <w:color w:val="000000"/>
          <w:lang w:val="en-US"/>
        </w:rPr>
        <w:t>kg</w:t>
      </w:r>
      <w:r w:rsidRPr="00B26DE5">
        <w:rPr>
          <w:rFonts w:eastAsia="Times New Roman" w:cs="Arial"/>
          <w:color w:val="000000"/>
          <w:lang w:val="ru-RU"/>
        </w:rPr>
        <w:t xml:space="preserve">: </w:t>
      </w:r>
      <w:r w:rsidRPr="00B26DE5">
        <w:rPr>
          <w:rFonts w:eastAsia="Times New Roman" w:cs="Arial"/>
          <w:color w:val="000000"/>
          <w:lang w:eastAsia="bg-BG"/>
        </w:rPr>
        <w:t xml:space="preserve">При пациенти, чието артериално налягане не е под адекватен контрол, дозата може да бъде повишена до максимум 8 </w:t>
      </w:r>
      <w:r w:rsidRPr="00B26DE5">
        <w:rPr>
          <w:rFonts w:eastAsia="Times New Roman" w:cs="Arial"/>
          <w:color w:val="000000"/>
          <w:lang w:val="en-US"/>
        </w:rPr>
        <w:t>mg</w:t>
      </w:r>
      <w:r w:rsidRPr="00B26DE5">
        <w:rPr>
          <w:rFonts w:eastAsia="Times New Roman" w:cs="Arial"/>
          <w:color w:val="000000"/>
          <w:lang w:val="ru-RU"/>
        </w:rPr>
        <w:t xml:space="preserve"> </w:t>
      </w:r>
      <w:r w:rsidRPr="00B26DE5">
        <w:rPr>
          <w:rFonts w:eastAsia="Times New Roman" w:cs="Arial"/>
          <w:color w:val="000000"/>
          <w:lang w:eastAsia="bg-BG"/>
        </w:rPr>
        <w:t>веднъж дневно.</w:t>
      </w:r>
    </w:p>
    <w:p w14:paraId="2FB680DB" w14:textId="18A406D1" w:rsidR="00B26DE5" w:rsidRPr="00B26DE5" w:rsidRDefault="00B26DE5" w:rsidP="00B26DE5">
      <w:pPr>
        <w:pStyle w:val="ListParagraph"/>
        <w:numPr>
          <w:ilvl w:val="0"/>
          <w:numId w:val="37"/>
        </w:numPr>
        <w:spacing w:line="240" w:lineRule="auto"/>
        <w:rPr>
          <w:rFonts w:eastAsia="Times New Roman" w:cs="Arial"/>
        </w:rPr>
      </w:pPr>
      <w:r w:rsidRPr="00B26DE5">
        <w:rPr>
          <w:rFonts w:eastAsia="Times New Roman" w:cs="Arial"/>
          <w:color w:val="000000"/>
          <w:lang w:eastAsia="bg-BG"/>
        </w:rPr>
        <w:t xml:space="preserve">Пациенти с телесно тегло ≥ 50 </w:t>
      </w:r>
      <w:r w:rsidRPr="00B26DE5">
        <w:rPr>
          <w:rFonts w:eastAsia="Times New Roman" w:cs="Arial"/>
          <w:color w:val="000000"/>
          <w:lang w:val="en-US"/>
        </w:rPr>
        <w:t>kg</w:t>
      </w:r>
      <w:r w:rsidRPr="00B26DE5">
        <w:rPr>
          <w:rFonts w:eastAsia="Times New Roman" w:cs="Arial"/>
          <w:color w:val="000000"/>
          <w:lang w:val="ru-RU"/>
        </w:rPr>
        <w:t xml:space="preserve">: </w:t>
      </w:r>
      <w:r w:rsidRPr="00B26DE5">
        <w:rPr>
          <w:rFonts w:eastAsia="Times New Roman" w:cs="Arial"/>
          <w:color w:val="000000"/>
          <w:lang w:eastAsia="bg-BG"/>
        </w:rPr>
        <w:t xml:space="preserve">При пациенти, чието артериално налагане не е под адекватен контрол, дозата може да бъде повишена до 8 </w:t>
      </w:r>
      <w:r w:rsidRPr="00B26DE5">
        <w:rPr>
          <w:rFonts w:eastAsia="Times New Roman" w:cs="Arial"/>
          <w:color w:val="000000"/>
          <w:lang w:val="en-US"/>
        </w:rPr>
        <w:t>mg</w:t>
      </w:r>
      <w:r w:rsidRPr="00B26DE5">
        <w:rPr>
          <w:rFonts w:eastAsia="Times New Roman" w:cs="Arial"/>
          <w:color w:val="000000"/>
          <w:lang w:val="ru-RU"/>
        </w:rPr>
        <w:t xml:space="preserve"> </w:t>
      </w:r>
      <w:r w:rsidRPr="00B26DE5">
        <w:rPr>
          <w:rFonts w:eastAsia="Times New Roman" w:cs="Arial"/>
          <w:color w:val="000000"/>
          <w:lang w:eastAsia="bg-BG"/>
        </w:rPr>
        <w:t xml:space="preserve">веднъж дневно, след което, ако е необходимо - до 16 </w:t>
      </w:r>
      <w:r w:rsidRPr="00B26DE5">
        <w:rPr>
          <w:rFonts w:eastAsia="Times New Roman" w:cs="Arial"/>
          <w:color w:val="000000"/>
          <w:lang w:val="en-US"/>
        </w:rPr>
        <w:t>mg</w:t>
      </w:r>
      <w:r w:rsidRPr="00B26DE5">
        <w:rPr>
          <w:rFonts w:eastAsia="Times New Roman" w:cs="Arial"/>
          <w:color w:val="000000"/>
          <w:lang w:val="ru-RU"/>
        </w:rPr>
        <w:t xml:space="preserve"> </w:t>
      </w:r>
      <w:r w:rsidRPr="00B26DE5">
        <w:rPr>
          <w:rFonts w:eastAsia="Times New Roman" w:cs="Arial"/>
          <w:color w:val="000000"/>
          <w:lang w:eastAsia="bg-BG"/>
        </w:rPr>
        <w:t>веднъж дневно (вж. точка 5.1).</w:t>
      </w:r>
    </w:p>
    <w:p w14:paraId="1683D047" w14:textId="77777777" w:rsidR="00B26DE5" w:rsidRDefault="00B26DE5" w:rsidP="00B26DE5">
      <w:pPr>
        <w:spacing w:line="240" w:lineRule="auto"/>
        <w:rPr>
          <w:rFonts w:eastAsia="Times New Roman" w:cs="Arial"/>
          <w:color w:val="000000"/>
          <w:lang w:eastAsia="bg-BG"/>
        </w:rPr>
      </w:pPr>
    </w:p>
    <w:p w14:paraId="077A2F4C" w14:textId="716A4FC9" w:rsidR="00B26DE5" w:rsidRPr="00B26DE5" w:rsidRDefault="00B26DE5" w:rsidP="00B26DE5">
      <w:pPr>
        <w:spacing w:line="240" w:lineRule="auto"/>
        <w:rPr>
          <w:rFonts w:eastAsia="Times New Roman" w:cs="Arial"/>
        </w:rPr>
      </w:pPr>
      <w:r w:rsidRPr="00B26DE5">
        <w:rPr>
          <w:rFonts w:eastAsia="Times New Roman" w:cs="Arial"/>
          <w:color w:val="000000"/>
          <w:lang w:eastAsia="bg-BG"/>
        </w:rPr>
        <w:t xml:space="preserve">Дозировки над 32 </w:t>
      </w:r>
      <w:r w:rsidRPr="00B26DE5">
        <w:rPr>
          <w:rFonts w:eastAsia="Times New Roman" w:cs="Arial"/>
          <w:color w:val="000000"/>
          <w:lang w:val="en-US"/>
        </w:rPr>
        <w:t>mg</w:t>
      </w:r>
      <w:r w:rsidRPr="00B26DE5">
        <w:rPr>
          <w:rFonts w:eastAsia="Times New Roman" w:cs="Arial"/>
          <w:color w:val="000000"/>
          <w:lang w:val="ru-RU"/>
        </w:rPr>
        <w:t xml:space="preserve"> </w:t>
      </w:r>
      <w:r w:rsidRPr="00B26DE5">
        <w:rPr>
          <w:rFonts w:eastAsia="Times New Roman" w:cs="Arial"/>
          <w:color w:val="000000"/>
          <w:lang w:eastAsia="bg-BG"/>
        </w:rPr>
        <w:t>не са проучени при педиатрични пациенти.</w:t>
      </w:r>
    </w:p>
    <w:p w14:paraId="17EBCF58" w14:textId="77777777" w:rsidR="00B26DE5" w:rsidRDefault="00B26DE5" w:rsidP="00B26DE5">
      <w:pPr>
        <w:rPr>
          <w:rFonts w:eastAsia="Times New Roman" w:cs="Arial"/>
          <w:color w:val="000000"/>
          <w:lang w:eastAsia="bg-BG"/>
        </w:rPr>
      </w:pPr>
    </w:p>
    <w:p w14:paraId="4022CBC3" w14:textId="59D9E9D1" w:rsidR="00B26DE5" w:rsidRPr="00B26DE5" w:rsidRDefault="00B26DE5" w:rsidP="00B26DE5">
      <w:pPr>
        <w:rPr>
          <w:rFonts w:eastAsia="Times New Roman" w:cs="Arial"/>
          <w:color w:val="000000"/>
          <w:lang w:eastAsia="bg-BG"/>
        </w:rPr>
      </w:pPr>
      <w:r w:rsidRPr="00B26DE5">
        <w:rPr>
          <w:rFonts w:eastAsia="Times New Roman" w:cs="Arial"/>
          <w:color w:val="000000"/>
          <w:lang w:eastAsia="bg-BG"/>
        </w:rPr>
        <w:t>Основната част от антихипертензивния ефект се разгръща до 4 седмици.</w:t>
      </w:r>
    </w:p>
    <w:p w14:paraId="260A0F37" w14:textId="4C7E2355" w:rsidR="00B26DE5" w:rsidRDefault="00B26DE5" w:rsidP="00B26DE5"/>
    <w:p w14:paraId="59DDA362"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При деца е възможно вътресъдово обемно изчерпване (напр. при пациенти, лекувани с диуретици, особено такива с нарушена бъбречна функция), лечението с Карбис трябва да се инициира под строго медицинско наблюдение и следва да се обсъди по-ниска начална доза от обичайната (вж. точка 4.4).</w:t>
      </w:r>
    </w:p>
    <w:p w14:paraId="7C4F46DF" w14:textId="77777777" w:rsidR="00B26DE5" w:rsidRDefault="00B26DE5" w:rsidP="00B26DE5">
      <w:pPr>
        <w:spacing w:line="240" w:lineRule="auto"/>
        <w:rPr>
          <w:rFonts w:eastAsia="Times New Roman" w:cs="Arial"/>
          <w:color w:val="000000"/>
          <w:lang w:eastAsia="bg-BG"/>
        </w:rPr>
      </w:pPr>
    </w:p>
    <w:p w14:paraId="26D1C0BE" w14:textId="478CB6D8" w:rsidR="00B26DE5" w:rsidRPr="00B26DE5" w:rsidRDefault="00B26DE5" w:rsidP="00B26DE5">
      <w:pPr>
        <w:spacing w:line="240" w:lineRule="auto"/>
        <w:rPr>
          <w:rFonts w:eastAsia="Times New Roman" w:cs="Arial"/>
        </w:rPr>
      </w:pPr>
      <w:r w:rsidRPr="00B26DE5">
        <w:rPr>
          <w:rFonts w:eastAsia="Times New Roman" w:cs="Arial"/>
          <w:color w:val="000000"/>
          <w:lang w:eastAsia="bg-BG"/>
        </w:rPr>
        <w:t xml:space="preserve">Карбис не е проучван при деца със скорост на гломерулна филтарция под 30 </w:t>
      </w:r>
      <w:r w:rsidRPr="00B26DE5">
        <w:rPr>
          <w:rFonts w:eastAsia="Times New Roman" w:cs="Arial"/>
          <w:color w:val="000000"/>
          <w:lang w:val="en-US"/>
        </w:rPr>
        <w:t>ml</w:t>
      </w:r>
      <w:r w:rsidRPr="00B26DE5">
        <w:rPr>
          <w:rFonts w:eastAsia="Times New Roman" w:cs="Arial"/>
          <w:color w:val="000000"/>
          <w:lang w:val="ru-RU"/>
        </w:rPr>
        <w:t>/</w:t>
      </w:r>
      <w:r w:rsidRPr="00B26DE5">
        <w:rPr>
          <w:rFonts w:eastAsia="Times New Roman" w:cs="Arial"/>
          <w:color w:val="000000"/>
          <w:lang w:val="en-US"/>
        </w:rPr>
        <w:t>min</w:t>
      </w:r>
      <w:r w:rsidRPr="00B26DE5">
        <w:rPr>
          <w:rFonts w:eastAsia="Times New Roman" w:cs="Arial"/>
          <w:color w:val="000000"/>
          <w:lang w:val="ru-RU"/>
        </w:rPr>
        <w:t>/</w:t>
      </w:r>
      <w:r w:rsidRPr="00B26DE5">
        <w:rPr>
          <w:rFonts w:eastAsia="Times New Roman" w:cs="Arial"/>
          <w:color w:val="000000"/>
          <w:lang w:eastAsia="bg-BG"/>
        </w:rPr>
        <w:t>1,73</w:t>
      </w:r>
      <w:r w:rsidRPr="00B26DE5">
        <w:rPr>
          <w:rFonts w:eastAsia="Times New Roman" w:cs="Arial"/>
          <w:color w:val="000000"/>
          <w:lang w:val="en-US"/>
        </w:rPr>
        <w:t>m</w:t>
      </w:r>
      <w:r w:rsidRPr="00B26DE5">
        <w:rPr>
          <w:rFonts w:eastAsia="Times New Roman" w:cs="Arial"/>
          <w:color w:val="000000"/>
          <w:vertAlign w:val="superscript"/>
          <w:lang w:eastAsia="bg-BG"/>
        </w:rPr>
        <w:t>2</w:t>
      </w:r>
      <w:r w:rsidRPr="00B26DE5">
        <w:rPr>
          <w:rFonts w:eastAsia="Times New Roman" w:cs="Arial"/>
          <w:color w:val="000000"/>
          <w:lang w:eastAsia="bg-BG"/>
        </w:rPr>
        <w:t>(вж. точка 4.4).</w:t>
      </w:r>
    </w:p>
    <w:p w14:paraId="2C99097E" w14:textId="77777777" w:rsidR="00B26DE5" w:rsidRDefault="00B26DE5" w:rsidP="00B26DE5">
      <w:pPr>
        <w:spacing w:line="240" w:lineRule="auto"/>
        <w:rPr>
          <w:rFonts w:eastAsia="Times New Roman" w:cs="Arial"/>
          <w:i/>
          <w:iCs/>
          <w:color w:val="000000"/>
          <w:lang w:eastAsia="bg-BG"/>
        </w:rPr>
      </w:pPr>
    </w:p>
    <w:p w14:paraId="57DC0034" w14:textId="0CC6402F" w:rsidR="00B26DE5" w:rsidRPr="00B26DE5" w:rsidRDefault="00B26DE5" w:rsidP="00B26DE5">
      <w:pPr>
        <w:spacing w:line="240" w:lineRule="auto"/>
        <w:rPr>
          <w:rFonts w:eastAsia="Times New Roman" w:cs="Arial"/>
        </w:rPr>
      </w:pPr>
      <w:r w:rsidRPr="00B26DE5">
        <w:rPr>
          <w:rFonts w:eastAsia="Times New Roman" w:cs="Arial"/>
          <w:i/>
          <w:iCs/>
          <w:color w:val="000000"/>
          <w:lang w:eastAsia="bg-BG"/>
        </w:rPr>
        <w:t>Чернокожи педиатрични пациенти</w:t>
      </w:r>
    </w:p>
    <w:p w14:paraId="2E00BA29" w14:textId="6EDC195F" w:rsidR="00B26DE5" w:rsidRPr="00B26DE5" w:rsidRDefault="00B26DE5" w:rsidP="00B26DE5">
      <w:pPr>
        <w:spacing w:line="240" w:lineRule="auto"/>
        <w:rPr>
          <w:rFonts w:eastAsia="Times New Roman" w:cs="Arial"/>
        </w:rPr>
      </w:pPr>
      <w:r w:rsidRPr="00B26DE5">
        <w:rPr>
          <w:rFonts w:eastAsia="Times New Roman" w:cs="Arial"/>
          <w:color w:val="000000"/>
          <w:lang w:eastAsia="bg-BG"/>
        </w:rPr>
        <w:t>При чернокожи пациенти антихипертензивният ефект на кандесартан е по-слабо изразен, отколкото при нечернокожи пациенти (вж. точка 5.1).</w:t>
      </w:r>
    </w:p>
    <w:p w14:paraId="5E3DE69E" w14:textId="77777777" w:rsidR="00B26DE5" w:rsidRDefault="00B26DE5" w:rsidP="00B26DE5">
      <w:pPr>
        <w:spacing w:line="240" w:lineRule="auto"/>
        <w:rPr>
          <w:rFonts w:eastAsia="Times New Roman" w:cs="Arial"/>
          <w:i/>
          <w:iCs/>
          <w:color w:val="000000"/>
          <w:lang w:eastAsia="bg-BG"/>
        </w:rPr>
      </w:pPr>
    </w:p>
    <w:p w14:paraId="6CF2869E" w14:textId="060DE604" w:rsidR="00B26DE5" w:rsidRPr="00B26DE5" w:rsidRDefault="00B26DE5" w:rsidP="00B26DE5">
      <w:pPr>
        <w:spacing w:line="240" w:lineRule="auto"/>
        <w:rPr>
          <w:rFonts w:eastAsia="Times New Roman" w:cs="Arial"/>
        </w:rPr>
      </w:pPr>
      <w:r w:rsidRPr="00B26DE5">
        <w:rPr>
          <w:rFonts w:eastAsia="Times New Roman" w:cs="Arial"/>
          <w:i/>
          <w:iCs/>
          <w:color w:val="000000"/>
          <w:lang w:eastAsia="bg-BG"/>
        </w:rPr>
        <w:t>Деца на възраст от 1 до &lt;6 години</w:t>
      </w:r>
    </w:p>
    <w:p w14:paraId="250E362C" w14:textId="77777777" w:rsidR="00B26DE5" w:rsidRPr="00B26DE5" w:rsidRDefault="00B26DE5" w:rsidP="00B26DE5">
      <w:pPr>
        <w:pStyle w:val="ListParagraph"/>
        <w:numPr>
          <w:ilvl w:val="0"/>
          <w:numId w:val="37"/>
        </w:numPr>
        <w:spacing w:line="240" w:lineRule="auto"/>
        <w:rPr>
          <w:rFonts w:eastAsia="Times New Roman" w:cs="Arial"/>
        </w:rPr>
      </w:pPr>
      <w:r w:rsidRPr="00B26DE5">
        <w:rPr>
          <w:rFonts w:eastAsia="Times New Roman" w:cs="Arial"/>
          <w:color w:val="000000"/>
          <w:lang w:eastAsia="bg-BG"/>
        </w:rPr>
        <w:t>Безопасността и ефикасността при деца на възраст от 1 до &lt; 6 години не са установени. Наличните понастоящем данни са описани в точка 5.1, но препоръки за дозировка не могат да бъдат дадени.</w:t>
      </w:r>
    </w:p>
    <w:p w14:paraId="76452551" w14:textId="2E2037EC" w:rsidR="00B26DE5" w:rsidRPr="00B26DE5" w:rsidRDefault="00B26DE5" w:rsidP="00B26DE5">
      <w:pPr>
        <w:pStyle w:val="ListParagraph"/>
        <w:numPr>
          <w:ilvl w:val="0"/>
          <w:numId w:val="37"/>
        </w:numPr>
        <w:spacing w:line="240" w:lineRule="auto"/>
        <w:rPr>
          <w:rFonts w:eastAsia="Times New Roman" w:cs="Arial"/>
        </w:rPr>
      </w:pPr>
      <w:r w:rsidRPr="00B26DE5">
        <w:rPr>
          <w:rFonts w:eastAsia="Times New Roman" w:cs="Arial"/>
          <w:color w:val="000000"/>
          <w:lang w:eastAsia="bg-BG"/>
        </w:rPr>
        <w:t>Карбис е противопоказан при деца на възраст под 1 година (вж. точка 4.3).</w:t>
      </w:r>
    </w:p>
    <w:p w14:paraId="3131A40B" w14:textId="77777777" w:rsidR="00B26DE5" w:rsidRDefault="00B26DE5" w:rsidP="00B26DE5">
      <w:pPr>
        <w:spacing w:line="240" w:lineRule="auto"/>
        <w:rPr>
          <w:rFonts w:eastAsia="Times New Roman" w:cs="Arial"/>
          <w:color w:val="000000"/>
          <w:u w:val="single"/>
          <w:lang w:eastAsia="bg-BG"/>
        </w:rPr>
      </w:pPr>
    </w:p>
    <w:p w14:paraId="55B583C5" w14:textId="2D40FCDE" w:rsidR="00B26DE5" w:rsidRPr="00B26DE5" w:rsidRDefault="00B26DE5" w:rsidP="00B26DE5">
      <w:pPr>
        <w:spacing w:line="240" w:lineRule="auto"/>
        <w:rPr>
          <w:rFonts w:eastAsia="Times New Roman" w:cs="Arial"/>
        </w:rPr>
      </w:pPr>
      <w:r w:rsidRPr="00B26DE5">
        <w:rPr>
          <w:rFonts w:eastAsia="Times New Roman" w:cs="Arial"/>
          <w:color w:val="000000"/>
          <w:u w:val="single"/>
          <w:lang w:eastAsia="bg-BG"/>
        </w:rPr>
        <w:t>Приложение при сърдечна недостатъчност</w:t>
      </w:r>
    </w:p>
    <w:p w14:paraId="394D1F6C" w14:textId="77777777" w:rsidR="00B26DE5" w:rsidRDefault="00B26DE5" w:rsidP="00B26DE5">
      <w:pPr>
        <w:spacing w:line="240" w:lineRule="auto"/>
        <w:rPr>
          <w:rFonts w:eastAsia="Times New Roman" w:cs="Arial"/>
          <w:color w:val="000000"/>
          <w:lang w:eastAsia="bg-BG"/>
        </w:rPr>
      </w:pPr>
    </w:p>
    <w:p w14:paraId="2F8CF369" w14:textId="586F1A34" w:rsidR="00B26DE5" w:rsidRPr="00B26DE5" w:rsidRDefault="00B26DE5" w:rsidP="00B26DE5">
      <w:pPr>
        <w:spacing w:line="240" w:lineRule="auto"/>
        <w:rPr>
          <w:rFonts w:eastAsia="Times New Roman" w:cs="Arial"/>
        </w:rPr>
      </w:pPr>
      <w:r w:rsidRPr="00B26DE5">
        <w:rPr>
          <w:rFonts w:eastAsia="Times New Roman" w:cs="Arial"/>
          <w:color w:val="000000"/>
          <w:lang w:eastAsia="bg-BG"/>
        </w:rPr>
        <w:t xml:space="preserve">Обичайната препоръчвана начална доза на Карбис е 4 </w:t>
      </w:r>
      <w:r w:rsidRPr="00B26DE5">
        <w:rPr>
          <w:rFonts w:eastAsia="Times New Roman" w:cs="Arial"/>
          <w:color w:val="000000"/>
          <w:lang w:val="en-US"/>
        </w:rPr>
        <w:t>mg</w:t>
      </w:r>
      <w:r w:rsidRPr="00B26DE5">
        <w:rPr>
          <w:rFonts w:eastAsia="Times New Roman" w:cs="Arial"/>
          <w:color w:val="000000"/>
          <w:lang w:val="ru-RU"/>
        </w:rPr>
        <w:t xml:space="preserve"> </w:t>
      </w:r>
      <w:r w:rsidRPr="00B26DE5">
        <w:rPr>
          <w:rFonts w:eastAsia="Times New Roman" w:cs="Arial"/>
          <w:color w:val="000000"/>
          <w:lang w:eastAsia="bg-BG"/>
        </w:rPr>
        <w:t xml:space="preserve">веднъж дневно. Повишаването на дозата до таргетната доза от 32 </w:t>
      </w:r>
      <w:r w:rsidRPr="00B26DE5">
        <w:rPr>
          <w:rFonts w:eastAsia="Times New Roman" w:cs="Arial"/>
          <w:color w:val="000000"/>
          <w:lang w:val="en-US"/>
        </w:rPr>
        <w:t>mg</w:t>
      </w:r>
      <w:r w:rsidRPr="00B26DE5">
        <w:rPr>
          <w:rFonts w:eastAsia="Times New Roman" w:cs="Arial"/>
          <w:color w:val="000000"/>
          <w:lang w:val="ru-RU"/>
        </w:rPr>
        <w:t xml:space="preserve"> </w:t>
      </w:r>
      <w:r w:rsidRPr="00B26DE5">
        <w:rPr>
          <w:rFonts w:eastAsia="Times New Roman" w:cs="Arial"/>
          <w:color w:val="000000"/>
          <w:lang w:eastAsia="bg-BG"/>
        </w:rPr>
        <w:t xml:space="preserve">веднъж дневно (максимална доза) или до най-високата поносима доза се извършва чрез удвояване на дозата на интервали най-малко от 2 седмици (виж точка 4.4). Оценката на пациенти със сърдечна недостатъчност винаги трябва да включва оценка на бъбречната функция, включително мониторинг на серумния креатинин и калий. Карбис може да се прилага с друго лечение за сърдечна недостатъчност, включително АСЕ инхибитори, бета блокери, диуретици и дигиталис или комбинация от тези лекарствени продукти. Карбис може да се прилага заедно с АСЕ инхибитор при пациенти със симптоматична сърдечна недостатъчност въпреки </w:t>
      </w:r>
      <w:r w:rsidRPr="00B26DE5">
        <w:rPr>
          <w:rFonts w:eastAsia="Times New Roman" w:cs="Arial"/>
          <w:color w:val="000000"/>
          <w:lang w:eastAsia="bg-BG"/>
        </w:rPr>
        <w:lastRenderedPageBreak/>
        <w:t>оптималната стандартна терапия за сърдечна недостатъчност, когато минералкортикоидни рецепторни антагонисти не се понасят. Комбинацията от АСЕ инхибитор, калий-съхраняващ диуретик и Карбис не се препоръчва и трябва да се обмисля само след внимателна оценка на възможните ползи и рискове (вж. точки 4.4, 4.8 и 5.1</w:t>
      </w:r>
    </w:p>
    <w:p w14:paraId="51907004" w14:textId="77777777" w:rsidR="00B26DE5" w:rsidRDefault="00B26DE5" w:rsidP="00B26DE5">
      <w:pPr>
        <w:spacing w:line="240" w:lineRule="auto"/>
        <w:rPr>
          <w:rFonts w:eastAsia="Times New Roman" w:cs="Arial"/>
          <w:i/>
          <w:iCs/>
          <w:color w:val="000000"/>
          <w:lang w:eastAsia="bg-BG"/>
        </w:rPr>
      </w:pPr>
    </w:p>
    <w:p w14:paraId="4D62CAA0" w14:textId="5EBB469A" w:rsidR="00B26DE5" w:rsidRPr="00B26DE5" w:rsidRDefault="00B26DE5" w:rsidP="00B26DE5">
      <w:pPr>
        <w:spacing w:line="240" w:lineRule="auto"/>
        <w:rPr>
          <w:rFonts w:eastAsia="Times New Roman" w:cs="Arial"/>
        </w:rPr>
      </w:pPr>
      <w:r w:rsidRPr="00B26DE5">
        <w:rPr>
          <w:rFonts w:eastAsia="Times New Roman" w:cs="Arial"/>
          <w:i/>
          <w:iCs/>
          <w:color w:val="000000"/>
          <w:lang w:eastAsia="bg-BG"/>
        </w:rPr>
        <w:t>Специални популации пациенти</w:t>
      </w:r>
    </w:p>
    <w:p w14:paraId="2A2AB12C" w14:textId="77777777" w:rsidR="00B26DE5" w:rsidRDefault="00B26DE5" w:rsidP="00B26DE5">
      <w:pPr>
        <w:spacing w:line="240" w:lineRule="auto"/>
        <w:rPr>
          <w:rFonts w:eastAsia="Times New Roman" w:cs="Arial"/>
          <w:color w:val="000000"/>
          <w:lang w:eastAsia="bg-BG"/>
        </w:rPr>
      </w:pPr>
    </w:p>
    <w:p w14:paraId="7F60426C" w14:textId="77777777" w:rsidR="00B26DE5" w:rsidRDefault="00B26DE5" w:rsidP="00B26DE5">
      <w:pPr>
        <w:spacing w:line="240" w:lineRule="auto"/>
        <w:rPr>
          <w:rFonts w:eastAsia="Times New Roman" w:cs="Arial"/>
          <w:color w:val="000000"/>
          <w:lang w:eastAsia="bg-BG"/>
        </w:rPr>
      </w:pPr>
      <w:r w:rsidRPr="00B26DE5">
        <w:rPr>
          <w:rFonts w:eastAsia="Times New Roman" w:cs="Arial"/>
          <w:color w:val="000000"/>
          <w:lang w:eastAsia="bg-BG"/>
        </w:rPr>
        <w:t xml:space="preserve">Не е необходимо начално коригиране на дозата при пациенти в напреднала възраст или болни с намален вътресъдов обем или бъбречно увреждане, или леко до умерено </w:t>
      </w:r>
    </w:p>
    <w:p w14:paraId="620440E7" w14:textId="42DBA546" w:rsidR="00B26DE5" w:rsidRPr="00B26DE5" w:rsidRDefault="00B26DE5" w:rsidP="00B26DE5">
      <w:pPr>
        <w:spacing w:line="240" w:lineRule="auto"/>
        <w:rPr>
          <w:rFonts w:eastAsia="Times New Roman" w:cs="Arial"/>
        </w:rPr>
      </w:pPr>
      <w:r w:rsidRPr="00B26DE5">
        <w:rPr>
          <w:rFonts w:eastAsia="Times New Roman" w:cs="Arial"/>
          <w:color w:val="000000"/>
          <w:lang w:eastAsia="bg-BG"/>
        </w:rPr>
        <w:t>чернодробно увреждане.</w:t>
      </w:r>
    </w:p>
    <w:p w14:paraId="18CEF895" w14:textId="77777777" w:rsidR="00B26DE5" w:rsidRDefault="00B26DE5" w:rsidP="00B26DE5">
      <w:pPr>
        <w:spacing w:line="240" w:lineRule="auto"/>
        <w:rPr>
          <w:rFonts w:eastAsia="Times New Roman" w:cs="Arial"/>
          <w:color w:val="000000"/>
          <w:u w:val="single"/>
          <w:lang w:eastAsia="bg-BG"/>
        </w:rPr>
      </w:pPr>
    </w:p>
    <w:p w14:paraId="583AC385" w14:textId="2AE11AD4" w:rsidR="00B26DE5" w:rsidRPr="00B26DE5" w:rsidRDefault="00B26DE5" w:rsidP="00B26DE5">
      <w:pPr>
        <w:spacing w:line="240" w:lineRule="auto"/>
        <w:rPr>
          <w:rFonts w:eastAsia="Times New Roman" w:cs="Arial"/>
        </w:rPr>
      </w:pPr>
      <w:r w:rsidRPr="00B26DE5">
        <w:rPr>
          <w:rFonts w:eastAsia="Times New Roman" w:cs="Arial"/>
          <w:color w:val="000000"/>
          <w:u w:val="single"/>
          <w:lang w:eastAsia="bg-BG"/>
        </w:rPr>
        <w:t>Педиатрична популация</w:t>
      </w:r>
    </w:p>
    <w:p w14:paraId="616BAAD8"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Безопасността и ефикасността на Карбис при деца на възраст до 18 години не са били установени при лечението на сърдечна недостатъчност. Няма налични данни.</w:t>
      </w:r>
    </w:p>
    <w:p w14:paraId="7921733F" w14:textId="77777777" w:rsidR="00B26DE5" w:rsidRDefault="00B26DE5" w:rsidP="00B26DE5">
      <w:pPr>
        <w:spacing w:line="240" w:lineRule="auto"/>
        <w:rPr>
          <w:rFonts w:eastAsia="Times New Roman" w:cs="Arial"/>
          <w:color w:val="000000"/>
          <w:u w:val="single"/>
          <w:lang w:eastAsia="bg-BG"/>
        </w:rPr>
      </w:pPr>
    </w:p>
    <w:p w14:paraId="7A85FF06" w14:textId="57231D22" w:rsidR="00B26DE5" w:rsidRPr="00B26DE5" w:rsidRDefault="00B26DE5" w:rsidP="00B26DE5">
      <w:pPr>
        <w:pStyle w:val="Heading3"/>
        <w:rPr>
          <w:rFonts w:eastAsia="Times New Roman"/>
          <w:u w:val="single"/>
        </w:rPr>
      </w:pPr>
      <w:r w:rsidRPr="00B26DE5">
        <w:rPr>
          <w:rFonts w:eastAsia="Times New Roman"/>
          <w:u w:val="single"/>
          <w:lang w:eastAsia="bg-BG"/>
        </w:rPr>
        <w:t>Начин на приложение</w:t>
      </w:r>
    </w:p>
    <w:p w14:paraId="5E789AEF" w14:textId="77777777" w:rsidR="00B26DE5" w:rsidRDefault="00B26DE5" w:rsidP="00B26DE5">
      <w:pPr>
        <w:spacing w:line="240" w:lineRule="auto"/>
        <w:rPr>
          <w:rFonts w:eastAsia="Times New Roman" w:cs="Arial"/>
          <w:color w:val="000000"/>
          <w:lang w:eastAsia="bg-BG"/>
        </w:rPr>
      </w:pPr>
    </w:p>
    <w:p w14:paraId="0195923A" w14:textId="134F262F" w:rsidR="00B26DE5" w:rsidRPr="00B26DE5" w:rsidRDefault="00B26DE5" w:rsidP="00B26DE5">
      <w:pPr>
        <w:spacing w:line="240" w:lineRule="auto"/>
        <w:rPr>
          <w:rFonts w:eastAsia="Times New Roman" w:cs="Arial"/>
        </w:rPr>
      </w:pPr>
      <w:r w:rsidRPr="00B26DE5">
        <w:rPr>
          <w:rFonts w:eastAsia="Times New Roman" w:cs="Arial"/>
          <w:color w:val="000000"/>
          <w:lang w:eastAsia="bg-BG"/>
        </w:rPr>
        <w:t>Перорална употреба.</w:t>
      </w:r>
    </w:p>
    <w:p w14:paraId="62177716"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Карбис трябва да се приема веднъж дневно, с или без храна. Храната не повлиява бионаличността на кандесартан.</w:t>
      </w:r>
    </w:p>
    <w:p w14:paraId="4A0D4FA8" w14:textId="7BB5CD93" w:rsidR="00B26DE5" w:rsidRPr="00B26DE5" w:rsidRDefault="00B26DE5" w:rsidP="00B26DE5"/>
    <w:p w14:paraId="0F253247" w14:textId="53DCB610" w:rsidR="007122AD" w:rsidRDefault="002C50EE" w:rsidP="00936AD0">
      <w:pPr>
        <w:pStyle w:val="Heading2"/>
      </w:pPr>
      <w:r>
        <w:t>4.3. Противопоказания</w:t>
      </w:r>
    </w:p>
    <w:p w14:paraId="55416B96" w14:textId="089C6FAD" w:rsidR="00B26DE5" w:rsidRDefault="00B26DE5" w:rsidP="00B26DE5"/>
    <w:p w14:paraId="12B7EA53"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Свръхчувствителност към активното вещество или към някое от помощните вещества изброени в точка 6.1.</w:t>
      </w:r>
    </w:p>
    <w:p w14:paraId="34A53F68"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Втори и трети триместър от бременността ( виж точки 4.4 и 4.6). Тежко чернодробно увреждане и/или холестаза.</w:t>
      </w:r>
    </w:p>
    <w:p w14:paraId="7474E948" w14:textId="427E36AC" w:rsidR="00B26DE5" w:rsidRPr="00B26DE5" w:rsidRDefault="00B26DE5" w:rsidP="00B26DE5">
      <w:pPr>
        <w:rPr>
          <w:rFonts w:cs="Arial"/>
        </w:rPr>
      </w:pPr>
    </w:p>
    <w:p w14:paraId="4E2197BA"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Деца на възраст под 1 година (вж. точка 5.3).</w:t>
      </w:r>
    </w:p>
    <w:p w14:paraId="79C68D37"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 xml:space="preserve">Едновременната употреба на Карбис с алискирен-съдържащи продукти е противопоказана при пациенти със захарен диабет или бъбречно увреждане </w:t>
      </w:r>
      <w:r w:rsidRPr="00B26DE5">
        <w:rPr>
          <w:rFonts w:eastAsia="Times New Roman" w:cs="Arial"/>
          <w:color w:val="000000"/>
          <w:lang w:val="ru-RU"/>
        </w:rPr>
        <w:t>(</w:t>
      </w:r>
      <w:r w:rsidRPr="00B26DE5">
        <w:rPr>
          <w:rFonts w:eastAsia="Times New Roman" w:cs="Arial"/>
          <w:color w:val="000000"/>
          <w:lang w:val="en-US"/>
        </w:rPr>
        <w:t>GFR</w:t>
      </w:r>
      <w:r w:rsidRPr="00B26DE5">
        <w:rPr>
          <w:rFonts w:eastAsia="Times New Roman" w:cs="Arial"/>
          <w:color w:val="000000"/>
          <w:lang w:val="ru-RU"/>
        </w:rPr>
        <w:t xml:space="preserve"> </w:t>
      </w:r>
      <w:r w:rsidRPr="00B26DE5">
        <w:rPr>
          <w:rFonts w:eastAsia="Times New Roman" w:cs="Arial"/>
          <w:color w:val="000000"/>
          <w:lang w:eastAsia="bg-BG"/>
        </w:rPr>
        <w:t xml:space="preserve">&lt; 60 </w:t>
      </w:r>
      <w:r w:rsidRPr="00B26DE5">
        <w:rPr>
          <w:rFonts w:eastAsia="Times New Roman" w:cs="Arial"/>
          <w:color w:val="000000"/>
          <w:lang w:val="en-US"/>
        </w:rPr>
        <w:t>ml</w:t>
      </w:r>
      <w:r w:rsidRPr="00B26DE5">
        <w:rPr>
          <w:rFonts w:eastAsia="Times New Roman" w:cs="Arial"/>
          <w:color w:val="000000"/>
          <w:lang w:val="ru-RU"/>
        </w:rPr>
        <w:t>/</w:t>
      </w:r>
      <w:r w:rsidRPr="00B26DE5">
        <w:rPr>
          <w:rFonts w:eastAsia="Times New Roman" w:cs="Arial"/>
          <w:color w:val="000000"/>
          <w:lang w:val="en-US"/>
        </w:rPr>
        <w:t>min</w:t>
      </w:r>
      <w:r w:rsidRPr="00B26DE5">
        <w:rPr>
          <w:rFonts w:eastAsia="Times New Roman" w:cs="Arial"/>
          <w:color w:val="000000"/>
          <w:lang w:val="ru-RU"/>
        </w:rPr>
        <w:t>/1</w:t>
      </w:r>
      <w:r w:rsidRPr="00B26DE5">
        <w:rPr>
          <w:rFonts w:eastAsia="Times New Roman" w:cs="Arial"/>
          <w:color w:val="000000"/>
          <w:lang w:eastAsia="bg-BG"/>
        </w:rPr>
        <w:t>,73 m2) (вж. точки 4.5 и 5.1).</w:t>
      </w:r>
    </w:p>
    <w:p w14:paraId="1DC988D9" w14:textId="5793B61C" w:rsidR="00B26DE5" w:rsidRPr="00B26DE5" w:rsidRDefault="00B26DE5" w:rsidP="00B26DE5"/>
    <w:p w14:paraId="0E0BDCC7" w14:textId="57D3BF57" w:rsidR="007122AD" w:rsidRDefault="002C50EE" w:rsidP="00936AD0">
      <w:pPr>
        <w:pStyle w:val="Heading2"/>
      </w:pPr>
      <w:r>
        <w:t>4.4. Специални предупреждения и предпазни мерки при употреба</w:t>
      </w:r>
    </w:p>
    <w:p w14:paraId="71604A57" w14:textId="58BE42BC" w:rsidR="00B26DE5" w:rsidRDefault="00B26DE5" w:rsidP="00B26DE5"/>
    <w:p w14:paraId="2E336DED" w14:textId="77777777" w:rsidR="00B26DE5" w:rsidRPr="00B26DE5" w:rsidRDefault="00B26DE5" w:rsidP="00B26DE5">
      <w:pPr>
        <w:spacing w:line="240" w:lineRule="auto"/>
        <w:rPr>
          <w:rFonts w:eastAsia="Times New Roman" w:cs="Arial"/>
        </w:rPr>
      </w:pPr>
      <w:r w:rsidRPr="00B26DE5">
        <w:rPr>
          <w:rFonts w:eastAsia="Times New Roman" w:cs="Arial"/>
          <w:color w:val="000000"/>
          <w:u w:val="single"/>
          <w:lang w:eastAsia="bg-BG"/>
        </w:rPr>
        <w:t>Бъбречно увреждане</w:t>
      </w:r>
    </w:p>
    <w:p w14:paraId="3B72F6D8" w14:textId="77777777" w:rsidR="00B26DE5" w:rsidRDefault="00B26DE5" w:rsidP="00B26DE5">
      <w:pPr>
        <w:spacing w:line="240" w:lineRule="auto"/>
        <w:rPr>
          <w:rFonts w:eastAsia="Times New Roman" w:cs="Arial"/>
          <w:color w:val="000000"/>
          <w:lang w:eastAsia="bg-BG"/>
        </w:rPr>
      </w:pPr>
    </w:p>
    <w:p w14:paraId="060CD945" w14:textId="11B081DF" w:rsidR="00B26DE5" w:rsidRPr="00B26DE5" w:rsidRDefault="00B26DE5" w:rsidP="00B26DE5">
      <w:pPr>
        <w:spacing w:line="240" w:lineRule="auto"/>
        <w:rPr>
          <w:rFonts w:eastAsia="Times New Roman" w:cs="Arial"/>
        </w:rPr>
      </w:pPr>
      <w:r w:rsidRPr="00B26DE5">
        <w:rPr>
          <w:rFonts w:eastAsia="Times New Roman" w:cs="Arial"/>
          <w:color w:val="000000"/>
          <w:lang w:eastAsia="bg-BG"/>
        </w:rPr>
        <w:t>Както при други лекарства, които инхибират ренин-ангиотензин-алдостероновата система, може да се очакват промени в бъбречната функция при чувствителни пациенти, лекувани с Карбис.</w:t>
      </w:r>
    </w:p>
    <w:p w14:paraId="35F7DA13"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 xml:space="preserve">Когато Карбис се прилага при хипертензивни пациенти с бъбречно увреждане, се препоръчва периодично проследяване на серумния калий и нивата на креатинина. Има ограничен опит при болни с много тежко или терминално бъбречно увреждане </w:t>
      </w:r>
      <w:r w:rsidRPr="00B26DE5">
        <w:rPr>
          <w:rFonts w:eastAsia="Times New Roman" w:cs="Arial"/>
          <w:color w:val="000000"/>
          <w:lang w:val="ru-RU"/>
        </w:rPr>
        <w:t>(</w:t>
      </w:r>
      <w:proofErr w:type="spellStart"/>
      <w:r w:rsidRPr="00B26DE5">
        <w:rPr>
          <w:rFonts w:eastAsia="Times New Roman" w:cs="Arial"/>
          <w:color w:val="000000"/>
          <w:lang w:val="en-US"/>
        </w:rPr>
        <w:t>Cl</w:t>
      </w:r>
      <w:r w:rsidRPr="00B26DE5">
        <w:rPr>
          <w:rFonts w:eastAsia="Times New Roman" w:cs="Arial"/>
          <w:color w:val="000000"/>
          <w:vertAlign w:val="subscript"/>
          <w:lang w:val="en-US"/>
        </w:rPr>
        <w:t>creatinine</w:t>
      </w:r>
      <w:proofErr w:type="spellEnd"/>
      <w:r w:rsidRPr="00B26DE5">
        <w:rPr>
          <w:rFonts w:eastAsia="Times New Roman" w:cs="Arial"/>
          <w:color w:val="000000"/>
          <w:lang w:val="ru-RU"/>
        </w:rPr>
        <w:t xml:space="preserve"> </w:t>
      </w:r>
      <w:r w:rsidRPr="00B26DE5">
        <w:rPr>
          <w:rFonts w:eastAsia="Times New Roman" w:cs="Arial"/>
          <w:color w:val="000000"/>
          <w:lang w:eastAsia="bg-BG"/>
        </w:rPr>
        <w:t xml:space="preserve">&lt; 15 </w:t>
      </w:r>
      <w:r w:rsidRPr="00B26DE5">
        <w:rPr>
          <w:rFonts w:eastAsia="Times New Roman" w:cs="Arial"/>
          <w:color w:val="000000"/>
          <w:lang w:val="en-US"/>
        </w:rPr>
        <w:t>ml</w:t>
      </w:r>
      <w:r w:rsidRPr="00B26DE5">
        <w:rPr>
          <w:rFonts w:eastAsia="Times New Roman" w:cs="Arial"/>
          <w:color w:val="000000"/>
          <w:lang w:val="ru-RU"/>
        </w:rPr>
        <w:t>/</w:t>
      </w:r>
      <w:r w:rsidRPr="00B26DE5">
        <w:rPr>
          <w:rFonts w:eastAsia="Times New Roman" w:cs="Arial"/>
          <w:color w:val="000000"/>
          <w:lang w:val="en-US"/>
        </w:rPr>
        <w:t>min</w:t>
      </w:r>
      <w:r w:rsidRPr="00B26DE5">
        <w:rPr>
          <w:rFonts w:eastAsia="Times New Roman" w:cs="Arial"/>
          <w:color w:val="000000"/>
          <w:lang w:val="ru-RU"/>
        </w:rPr>
        <w:t xml:space="preserve">). </w:t>
      </w:r>
      <w:r w:rsidRPr="00B26DE5">
        <w:rPr>
          <w:rFonts w:eastAsia="Times New Roman" w:cs="Arial"/>
          <w:color w:val="000000"/>
          <w:lang w:eastAsia="bg-BG"/>
        </w:rPr>
        <w:t>При тези пациенти дозата на Карбис трябва внимателно да се повишава при щателно следене на артериалното налягане.</w:t>
      </w:r>
    </w:p>
    <w:p w14:paraId="0075D29D"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 xml:space="preserve">Оценката на пациентите със сърдечна недостатъчност трябва да включва периодично изследване на бъбречната функция, особено при пациенти в старческа възраст, на 75 години и по-възрастни, и при болни с увредена бъбречна функция. По време на </w:t>
      </w:r>
      <w:r w:rsidRPr="00B26DE5">
        <w:rPr>
          <w:rFonts w:eastAsia="Times New Roman" w:cs="Arial"/>
          <w:color w:val="000000"/>
          <w:lang w:eastAsia="bg-BG"/>
        </w:rPr>
        <w:lastRenderedPageBreak/>
        <w:t>повишаване на дозата на Карбис, се препоръчва мониториране на сурумния креатинин и калия. Клиничните изпитвания при сърдечна недостатъчност не са включвали болни със серумен креатинин &gt;265 μ</w:t>
      </w:r>
      <w:proofErr w:type="spellStart"/>
      <w:r w:rsidRPr="00B26DE5">
        <w:rPr>
          <w:rFonts w:eastAsia="Times New Roman" w:cs="Arial"/>
          <w:color w:val="000000"/>
          <w:lang w:val="en-US"/>
        </w:rPr>
        <w:t>mol</w:t>
      </w:r>
      <w:proofErr w:type="spellEnd"/>
      <w:r w:rsidRPr="00B26DE5">
        <w:rPr>
          <w:rFonts w:eastAsia="Times New Roman" w:cs="Arial"/>
          <w:color w:val="000000"/>
          <w:lang w:val="ru-RU"/>
        </w:rPr>
        <w:t xml:space="preserve">/1 </w:t>
      </w:r>
      <w:r w:rsidRPr="00B26DE5">
        <w:rPr>
          <w:rFonts w:eastAsia="Times New Roman" w:cs="Arial"/>
          <w:color w:val="000000"/>
          <w:lang w:eastAsia="bg-BG"/>
        </w:rPr>
        <w:t xml:space="preserve">(&gt;3 </w:t>
      </w:r>
      <w:r w:rsidRPr="00B26DE5">
        <w:rPr>
          <w:rFonts w:eastAsia="Times New Roman" w:cs="Arial"/>
          <w:color w:val="000000"/>
          <w:lang w:val="en-US"/>
        </w:rPr>
        <w:t>mg</w:t>
      </w:r>
      <w:r w:rsidRPr="00B26DE5">
        <w:rPr>
          <w:rFonts w:eastAsia="Times New Roman" w:cs="Arial"/>
          <w:color w:val="000000"/>
          <w:lang w:val="ru-RU"/>
        </w:rPr>
        <w:t>/</w:t>
      </w:r>
      <w:r w:rsidRPr="00B26DE5">
        <w:rPr>
          <w:rFonts w:eastAsia="Times New Roman" w:cs="Arial"/>
          <w:color w:val="000000"/>
          <w:lang w:val="en-US"/>
        </w:rPr>
        <w:t>dl</w:t>
      </w:r>
      <w:r w:rsidRPr="00B26DE5">
        <w:rPr>
          <w:rFonts w:eastAsia="Times New Roman" w:cs="Arial"/>
          <w:color w:val="000000"/>
          <w:lang w:val="ru-RU"/>
        </w:rPr>
        <w:t>).</w:t>
      </w:r>
    </w:p>
    <w:p w14:paraId="44FCA5CC" w14:textId="77777777" w:rsidR="00B26DE5" w:rsidRDefault="00B26DE5" w:rsidP="00B26DE5">
      <w:pPr>
        <w:spacing w:line="240" w:lineRule="auto"/>
        <w:rPr>
          <w:rFonts w:eastAsia="Times New Roman" w:cs="Arial"/>
          <w:color w:val="000000"/>
          <w:u w:val="single"/>
          <w:lang w:eastAsia="bg-BG"/>
        </w:rPr>
      </w:pPr>
    </w:p>
    <w:p w14:paraId="431D7DFE" w14:textId="4474841A" w:rsidR="00B26DE5" w:rsidRPr="00B26DE5" w:rsidRDefault="00B26DE5" w:rsidP="00B26DE5">
      <w:pPr>
        <w:spacing w:line="240" w:lineRule="auto"/>
        <w:rPr>
          <w:rFonts w:eastAsia="Times New Roman" w:cs="Arial"/>
        </w:rPr>
      </w:pPr>
      <w:r w:rsidRPr="00B26DE5">
        <w:rPr>
          <w:rFonts w:eastAsia="Times New Roman" w:cs="Arial"/>
          <w:color w:val="000000"/>
          <w:u w:val="single"/>
          <w:lang w:eastAsia="bg-BG"/>
        </w:rPr>
        <w:t xml:space="preserve">Употреба при педиатрични пациенти, включително и пациенти с бъбречно увреждане </w:t>
      </w:r>
      <w:r w:rsidRPr="00B26DE5">
        <w:rPr>
          <w:rFonts w:eastAsia="Times New Roman" w:cs="Arial"/>
          <w:color w:val="000000"/>
          <w:lang w:eastAsia="bg-BG"/>
        </w:rPr>
        <w:t xml:space="preserve">Карбис не е проучван при деца със скорост на гломерулна филтрация под 30 </w:t>
      </w:r>
      <w:r w:rsidRPr="00B26DE5">
        <w:rPr>
          <w:rFonts w:eastAsia="Times New Roman" w:cs="Arial"/>
          <w:color w:val="000000"/>
          <w:lang w:val="en-US"/>
        </w:rPr>
        <w:t>ml</w:t>
      </w:r>
      <w:r w:rsidRPr="00B26DE5">
        <w:rPr>
          <w:rFonts w:eastAsia="Times New Roman" w:cs="Arial"/>
          <w:color w:val="000000"/>
          <w:lang w:val="ru-RU"/>
        </w:rPr>
        <w:t>/</w:t>
      </w:r>
      <w:r w:rsidRPr="00B26DE5">
        <w:rPr>
          <w:rFonts w:eastAsia="Times New Roman" w:cs="Arial"/>
          <w:color w:val="000000"/>
          <w:lang w:val="en-US"/>
        </w:rPr>
        <w:t>min</w:t>
      </w:r>
      <w:r w:rsidRPr="00B26DE5">
        <w:rPr>
          <w:rFonts w:eastAsia="Times New Roman" w:cs="Arial"/>
          <w:color w:val="000000"/>
          <w:lang w:val="ru-RU"/>
        </w:rPr>
        <w:t>/1</w:t>
      </w:r>
      <w:r w:rsidRPr="00B26DE5">
        <w:rPr>
          <w:rFonts w:eastAsia="Times New Roman" w:cs="Arial"/>
          <w:color w:val="000000"/>
          <w:lang w:eastAsia="bg-BG"/>
        </w:rPr>
        <w:t xml:space="preserve">,73 </w:t>
      </w:r>
      <w:r w:rsidRPr="00B26DE5">
        <w:rPr>
          <w:rFonts w:eastAsia="Times New Roman" w:cs="Arial"/>
          <w:color w:val="000000"/>
          <w:lang w:val="en-US"/>
        </w:rPr>
        <w:t>m</w:t>
      </w:r>
      <w:r w:rsidRPr="00B26DE5">
        <w:rPr>
          <w:rFonts w:eastAsia="Times New Roman" w:cs="Arial"/>
          <w:color w:val="000000"/>
          <w:vertAlign w:val="superscript"/>
          <w:lang w:val="ru-RU"/>
        </w:rPr>
        <w:t>2</w:t>
      </w:r>
      <w:r w:rsidRPr="00B26DE5">
        <w:rPr>
          <w:rFonts w:eastAsia="Times New Roman" w:cs="Arial"/>
          <w:color w:val="000000"/>
          <w:lang w:val="ru-RU"/>
        </w:rPr>
        <w:t xml:space="preserve"> </w:t>
      </w:r>
      <w:r w:rsidRPr="00B26DE5">
        <w:rPr>
          <w:rFonts w:eastAsia="Times New Roman" w:cs="Arial"/>
          <w:color w:val="000000"/>
          <w:lang w:eastAsia="bg-BG"/>
        </w:rPr>
        <w:t>(вж. точка 4.2).</w:t>
      </w:r>
    </w:p>
    <w:p w14:paraId="378EC1DF" w14:textId="77777777" w:rsidR="00B26DE5" w:rsidRDefault="00B26DE5" w:rsidP="00B26DE5">
      <w:pPr>
        <w:spacing w:line="240" w:lineRule="auto"/>
        <w:rPr>
          <w:rFonts w:eastAsia="Times New Roman" w:cs="Arial"/>
          <w:color w:val="000000"/>
          <w:u w:val="single"/>
          <w:lang w:eastAsia="bg-BG"/>
        </w:rPr>
      </w:pPr>
    </w:p>
    <w:p w14:paraId="5D775283" w14:textId="2B716079" w:rsidR="00B26DE5" w:rsidRPr="00B26DE5" w:rsidRDefault="00B26DE5" w:rsidP="00B26DE5">
      <w:pPr>
        <w:spacing w:line="240" w:lineRule="auto"/>
        <w:rPr>
          <w:rFonts w:eastAsia="Times New Roman" w:cs="Arial"/>
        </w:rPr>
      </w:pPr>
      <w:r w:rsidRPr="00B26DE5">
        <w:rPr>
          <w:rFonts w:eastAsia="Times New Roman" w:cs="Arial"/>
          <w:color w:val="000000"/>
          <w:u w:val="single"/>
          <w:lang w:eastAsia="bg-BG"/>
        </w:rPr>
        <w:t>Комбинирано лечение с АСЕ инхибитор при сърдечна недостатъчност</w:t>
      </w:r>
    </w:p>
    <w:p w14:paraId="5B4D9DE0" w14:textId="77777777" w:rsidR="00B26DE5" w:rsidRDefault="00B26DE5" w:rsidP="00B26DE5">
      <w:pPr>
        <w:spacing w:line="240" w:lineRule="auto"/>
        <w:rPr>
          <w:rFonts w:eastAsia="Times New Roman" w:cs="Arial"/>
          <w:color w:val="000000"/>
          <w:lang w:eastAsia="bg-BG"/>
        </w:rPr>
      </w:pPr>
    </w:p>
    <w:p w14:paraId="45A55DB5" w14:textId="7AB05F86" w:rsidR="00B26DE5" w:rsidRPr="00B26DE5" w:rsidRDefault="00B26DE5" w:rsidP="00B26DE5">
      <w:pPr>
        <w:spacing w:line="240" w:lineRule="auto"/>
        <w:rPr>
          <w:rFonts w:eastAsia="Times New Roman" w:cs="Arial"/>
        </w:rPr>
      </w:pPr>
      <w:r w:rsidRPr="00B26DE5">
        <w:rPr>
          <w:rFonts w:eastAsia="Times New Roman" w:cs="Arial"/>
          <w:color w:val="000000"/>
          <w:lang w:eastAsia="bg-BG"/>
        </w:rPr>
        <w:t>Рискът от нежелани лекарствени реакции, особено хипотония, хиперкалиемия и намаляване на бъбречната функция (включително остра бъбречна недостатъчност), може да се повиши, когато Карбис се използва в комбинация с АСЕ инхибитор. Тройна комбинация от АСЕ инхибитор, минералкортикоиден рецепторен антагонист и кандесартан също не се препоръчва. Тези комбинации трябва да се използват под наблюдението на специалист и при често внимателно мониториране на бъбречната функция, електролитите и кръвното налягане.</w:t>
      </w:r>
    </w:p>
    <w:p w14:paraId="7408B4BA"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 xml:space="preserve">АСЕ инхибитори и ангиотензин </w:t>
      </w:r>
      <w:r w:rsidRPr="00B26DE5">
        <w:rPr>
          <w:rFonts w:eastAsia="Times New Roman" w:cs="Arial"/>
          <w:color w:val="000000"/>
          <w:lang w:val="en-US"/>
        </w:rPr>
        <w:t>II</w:t>
      </w:r>
      <w:r w:rsidRPr="00B26DE5">
        <w:rPr>
          <w:rFonts w:eastAsia="Times New Roman" w:cs="Arial"/>
          <w:color w:val="000000"/>
          <w:lang w:eastAsia="bg-BG"/>
        </w:rPr>
        <w:t>-рецепторни блокери не трябва да се използват едновременно при пациенти с диабетна нефропатия.</w:t>
      </w:r>
    </w:p>
    <w:p w14:paraId="00849E72" w14:textId="77777777" w:rsidR="00B26DE5" w:rsidRDefault="00B26DE5" w:rsidP="00B26DE5">
      <w:pPr>
        <w:spacing w:line="240" w:lineRule="auto"/>
        <w:rPr>
          <w:rFonts w:eastAsia="Times New Roman" w:cs="Arial"/>
          <w:color w:val="000000"/>
          <w:u w:val="single"/>
          <w:lang w:eastAsia="bg-BG"/>
        </w:rPr>
      </w:pPr>
    </w:p>
    <w:p w14:paraId="0D0A4AD2" w14:textId="4BAE8080" w:rsidR="00B26DE5" w:rsidRPr="00B26DE5" w:rsidRDefault="00B26DE5" w:rsidP="00B26DE5">
      <w:pPr>
        <w:spacing w:line="240" w:lineRule="auto"/>
        <w:rPr>
          <w:rFonts w:eastAsia="Times New Roman" w:cs="Arial"/>
        </w:rPr>
      </w:pPr>
      <w:r w:rsidRPr="00B26DE5">
        <w:rPr>
          <w:rFonts w:eastAsia="Times New Roman" w:cs="Arial"/>
          <w:color w:val="000000"/>
          <w:u w:val="single"/>
          <w:lang w:eastAsia="bg-BG"/>
        </w:rPr>
        <w:t>Хемодиализа</w:t>
      </w:r>
    </w:p>
    <w:p w14:paraId="1598D9EF" w14:textId="77777777" w:rsidR="00B26DE5" w:rsidRDefault="00B26DE5" w:rsidP="00B26DE5">
      <w:pPr>
        <w:spacing w:line="240" w:lineRule="auto"/>
        <w:rPr>
          <w:rFonts w:eastAsia="Times New Roman" w:cs="Arial"/>
          <w:color w:val="000000"/>
          <w:lang w:eastAsia="bg-BG"/>
        </w:rPr>
      </w:pPr>
    </w:p>
    <w:p w14:paraId="5EE50885" w14:textId="7ABF3D1F" w:rsidR="00B26DE5" w:rsidRPr="00B26DE5" w:rsidRDefault="00B26DE5" w:rsidP="00B26DE5">
      <w:pPr>
        <w:spacing w:line="240" w:lineRule="auto"/>
        <w:rPr>
          <w:rFonts w:eastAsia="Times New Roman" w:cs="Arial"/>
        </w:rPr>
      </w:pPr>
      <w:r w:rsidRPr="00B26DE5">
        <w:rPr>
          <w:rFonts w:eastAsia="Times New Roman" w:cs="Arial"/>
          <w:color w:val="000000"/>
          <w:lang w:eastAsia="bg-BG"/>
        </w:rPr>
        <w:t>По време на диализа артериалното налягане може да бъде особено чувствително към блокада на АТ</w:t>
      </w:r>
      <w:r w:rsidRPr="00B26DE5">
        <w:rPr>
          <w:rFonts w:eastAsia="Times New Roman" w:cs="Arial"/>
          <w:color w:val="000000"/>
          <w:vertAlign w:val="subscript"/>
          <w:lang w:eastAsia="bg-BG"/>
        </w:rPr>
        <w:t>1</w:t>
      </w:r>
      <w:r w:rsidRPr="00B26DE5">
        <w:rPr>
          <w:rFonts w:eastAsia="Times New Roman" w:cs="Arial"/>
          <w:color w:val="000000"/>
          <w:lang w:eastAsia="bg-BG"/>
        </w:rPr>
        <w:t>-рецепторите, поради намален плазмен обем и активиране на ренин-ангиотензин- алдостероновата система. Поради това, дозата на Карбис трябва да се повишава внимателно, като се проследява щателно артериалното налягане на пациентите на хемодиализа.</w:t>
      </w:r>
    </w:p>
    <w:p w14:paraId="62D578A9" w14:textId="77777777" w:rsidR="00B26DE5" w:rsidRDefault="00B26DE5" w:rsidP="00B26DE5">
      <w:pPr>
        <w:spacing w:line="240" w:lineRule="auto"/>
        <w:rPr>
          <w:rFonts w:eastAsia="Times New Roman" w:cs="Arial"/>
          <w:color w:val="000000"/>
          <w:u w:val="single"/>
          <w:lang w:eastAsia="bg-BG"/>
        </w:rPr>
      </w:pPr>
    </w:p>
    <w:p w14:paraId="1384B2EE" w14:textId="23ED54A8" w:rsidR="00B26DE5" w:rsidRPr="00B26DE5" w:rsidRDefault="00B26DE5" w:rsidP="00B26DE5">
      <w:pPr>
        <w:spacing w:line="240" w:lineRule="auto"/>
        <w:rPr>
          <w:rFonts w:eastAsia="Times New Roman" w:cs="Arial"/>
        </w:rPr>
      </w:pPr>
      <w:r w:rsidRPr="00B26DE5">
        <w:rPr>
          <w:rFonts w:eastAsia="Times New Roman" w:cs="Arial"/>
          <w:color w:val="000000"/>
          <w:u w:val="single"/>
          <w:lang w:eastAsia="bg-BG"/>
        </w:rPr>
        <w:t>Стеноза на бъбречната артерия</w:t>
      </w:r>
    </w:p>
    <w:p w14:paraId="618FB588" w14:textId="77777777" w:rsidR="00B26DE5" w:rsidRDefault="00B26DE5" w:rsidP="00B26DE5">
      <w:pPr>
        <w:spacing w:line="240" w:lineRule="auto"/>
        <w:rPr>
          <w:rFonts w:eastAsia="Times New Roman" w:cs="Arial"/>
          <w:color w:val="000000"/>
          <w:lang w:eastAsia="bg-BG"/>
        </w:rPr>
      </w:pPr>
    </w:p>
    <w:p w14:paraId="64D11B6B" w14:textId="3282DE1C" w:rsidR="00B26DE5" w:rsidRPr="00B26DE5" w:rsidRDefault="00B26DE5" w:rsidP="00B26DE5">
      <w:pPr>
        <w:spacing w:line="240" w:lineRule="auto"/>
        <w:rPr>
          <w:rFonts w:eastAsia="Times New Roman" w:cs="Arial"/>
        </w:rPr>
      </w:pPr>
      <w:r w:rsidRPr="00B26DE5">
        <w:rPr>
          <w:rFonts w:eastAsia="Times New Roman" w:cs="Arial"/>
          <w:color w:val="000000"/>
          <w:lang w:eastAsia="bg-BG"/>
        </w:rPr>
        <w:t>Лекарствени продукти, които повлияват ренин-ангиотензин-алдостероновата система, включително ангиотензин II рецепторните антагонисти- (А</w:t>
      </w:r>
      <w:r w:rsidRPr="00B26DE5">
        <w:rPr>
          <w:rFonts w:eastAsia="Times New Roman" w:cs="Arial"/>
          <w:color w:val="000000"/>
          <w:lang w:val="en-US"/>
        </w:rPr>
        <w:t>II</w:t>
      </w:r>
      <w:r w:rsidRPr="00B26DE5">
        <w:rPr>
          <w:rFonts w:eastAsia="Times New Roman" w:cs="Arial"/>
          <w:color w:val="000000"/>
          <w:lang w:eastAsia="bg-BG"/>
        </w:rPr>
        <w:t>РАи) може да повишат кръвната урея и серумния креатинин при пациенти с двустранна стеноза на бъбречната артерия о;о стеноза на артерията при единствен бъбрек.</w:t>
      </w:r>
    </w:p>
    <w:p w14:paraId="4515B23C" w14:textId="77777777" w:rsidR="00B26DE5" w:rsidRPr="00B26DE5" w:rsidRDefault="00B26DE5" w:rsidP="00B26DE5">
      <w:pPr>
        <w:spacing w:line="240" w:lineRule="auto"/>
        <w:rPr>
          <w:rFonts w:eastAsia="Times New Roman" w:cs="Arial"/>
        </w:rPr>
      </w:pPr>
    </w:p>
    <w:p w14:paraId="16131C16" w14:textId="613408AF" w:rsidR="00B26DE5" w:rsidRDefault="00B26DE5" w:rsidP="00B26DE5">
      <w:pPr>
        <w:rPr>
          <w:rFonts w:eastAsia="Times New Roman" w:cs="Arial"/>
          <w:color w:val="000000"/>
          <w:u w:val="single"/>
          <w:lang w:eastAsia="bg-BG"/>
        </w:rPr>
      </w:pPr>
      <w:r w:rsidRPr="00B26DE5">
        <w:rPr>
          <w:rFonts w:eastAsia="Times New Roman" w:cs="Arial"/>
          <w:color w:val="000000"/>
          <w:u w:val="single"/>
          <w:lang w:eastAsia="bg-BG"/>
        </w:rPr>
        <w:t>Бъбречна трасплантация</w:t>
      </w:r>
    </w:p>
    <w:p w14:paraId="243DF918" w14:textId="7889C730" w:rsidR="00B26DE5" w:rsidRDefault="00B26DE5" w:rsidP="00B26DE5">
      <w:pPr>
        <w:rPr>
          <w:rFonts w:eastAsia="Times New Roman" w:cs="Arial"/>
          <w:color w:val="000000"/>
          <w:u w:val="single"/>
          <w:lang w:eastAsia="bg-BG"/>
        </w:rPr>
      </w:pPr>
    </w:p>
    <w:p w14:paraId="211CDD1F"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Няма опит по отношение на приложението на Карбис при пациенти с наскоро направена бъбречна транс плантация.</w:t>
      </w:r>
    </w:p>
    <w:p w14:paraId="0E24CA4E" w14:textId="77777777" w:rsidR="00B26DE5" w:rsidRDefault="00B26DE5" w:rsidP="00B26DE5">
      <w:pPr>
        <w:spacing w:line="240" w:lineRule="auto"/>
        <w:rPr>
          <w:rFonts w:eastAsia="Times New Roman" w:cs="Arial"/>
          <w:color w:val="000000"/>
          <w:u w:val="single"/>
          <w:lang w:eastAsia="bg-BG"/>
        </w:rPr>
      </w:pPr>
    </w:p>
    <w:p w14:paraId="6B5BB464" w14:textId="1FA16823" w:rsidR="00B26DE5" w:rsidRPr="00B26DE5" w:rsidRDefault="00B26DE5" w:rsidP="00B26DE5">
      <w:pPr>
        <w:spacing w:line="240" w:lineRule="auto"/>
        <w:rPr>
          <w:rFonts w:eastAsia="Times New Roman" w:cs="Arial"/>
        </w:rPr>
      </w:pPr>
      <w:r w:rsidRPr="00B26DE5">
        <w:rPr>
          <w:rFonts w:eastAsia="Times New Roman" w:cs="Arial"/>
          <w:color w:val="000000"/>
          <w:u w:val="single"/>
          <w:lang w:eastAsia="bg-BG"/>
        </w:rPr>
        <w:t>Хипотония</w:t>
      </w:r>
    </w:p>
    <w:p w14:paraId="0E455124" w14:textId="77777777" w:rsidR="00B26DE5" w:rsidRDefault="00B26DE5" w:rsidP="00B26DE5">
      <w:pPr>
        <w:spacing w:line="240" w:lineRule="auto"/>
        <w:rPr>
          <w:rFonts w:eastAsia="Times New Roman" w:cs="Arial"/>
          <w:color w:val="000000"/>
          <w:lang w:eastAsia="bg-BG"/>
        </w:rPr>
      </w:pPr>
    </w:p>
    <w:p w14:paraId="38246121" w14:textId="3471D6AC" w:rsidR="00B26DE5" w:rsidRPr="00B26DE5" w:rsidRDefault="00B26DE5" w:rsidP="00B26DE5">
      <w:pPr>
        <w:spacing w:line="240" w:lineRule="auto"/>
        <w:rPr>
          <w:rFonts w:eastAsia="Times New Roman" w:cs="Arial"/>
        </w:rPr>
      </w:pPr>
      <w:r w:rsidRPr="00B26DE5">
        <w:rPr>
          <w:rFonts w:eastAsia="Times New Roman" w:cs="Arial"/>
          <w:color w:val="000000"/>
          <w:lang w:eastAsia="bg-BG"/>
        </w:rPr>
        <w:t>По време на лечение на пациенти със сърдечна недостатъчност с Карбис може да възникне хипотония. Тя може да се появи също и при хипертензивни пациенти с намален вътресъдов обем, както и при болни, получаващи високи дози диуретици. Трябва да се внимава, когато се започва лечението и трябва да се направи опит за коригиране на хиповолемията.</w:t>
      </w:r>
    </w:p>
    <w:p w14:paraId="6F731648" w14:textId="77777777" w:rsidR="00B26DE5" w:rsidRDefault="00B26DE5" w:rsidP="00B26DE5">
      <w:pPr>
        <w:spacing w:line="240" w:lineRule="auto"/>
        <w:rPr>
          <w:rFonts w:eastAsia="Times New Roman" w:cs="Arial"/>
          <w:color w:val="000000"/>
          <w:lang w:eastAsia="bg-BG"/>
        </w:rPr>
      </w:pPr>
    </w:p>
    <w:p w14:paraId="66AF121E" w14:textId="14467E97" w:rsidR="00B26DE5" w:rsidRPr="00B26DE5" w:rsidRDefault="00B26DE5" w:rsidP="00B26DE5">
      <w:pPr>
        <w:spacing w:line="240" w:lineRule="auto"/>
        <w:rPr>
          <w:rFonts w:eastAsia="Times New Roman" w:cs="Arial"/>
        </w:rPr>
      </w:pPr>
      <w:r w:rsidRPr="00B26DE5">
        <w:rPr>
          <w:rFonts w:eastAsia="Times New Roman" w:cs="Arial"/>
          <w:color w:val="000000"/>
          <w:lang w:eastAsia="bg-BG"/>
        </w:rPr>
        <w:t xml:space="preserve">При деца с възможно вътресъдово обемно изчерпване (например пациенти, лекувани с диуретици, особено такива с нарушена бъбречна функция), лечението с Карбис трябва да </w:t>
      </w:r>
      <w:r w:rsidRPr="00B26DE5">
        <w:rPr>
          <w:rFonts w:eastAsia="Times New Roman" w:cs="Arial"/>
          <w:color w:val="000000"/>
          <w:lang w:eastAsia="bg-BG"/>
        </w:rPr>
        <w:lastRenderedPageBreak/>
        <w:t>започне под строго медицинско наблюдение и следва да се обмисли по-ниска начална доза от обичайната (вж. точка 4.2).</w:t>
      </w:r>
    </w:p>
    <w:p w14:paraId="5D35A484" w14:textId="77777777" w:rsidR="00B26DE5" w:rsidRDefault="00B26DE5" w:rsidP="00B26DE5">
      <w:pPr>
        <w:spacing w:line="240" w:lineRule="auto"/>
        <w:rPr>
          <w:rFonts w:eastAsia="Times New Roman" w:cs="Arial"/>
          <w:color w:val="000000"/>
          <w:u w:val="single"/>
          <w:lang w:eastAsia="bg-BG"/>
        </w:rPr>
      </w:pPr>
    </w:p>
    <w:p w14:paraId="6556EEA6" w14:textId="2D2AC789" w:rsidR="00B26DE5" w:rsidRPr="00B26DE5" w:rsidRDefault="00B26DE5" w:rsidP="00B26DE5">
      <w:pPr>
        <w:spacing w:line="240" w:lineRule="auto"/>
        <w:rPr>
          <w:rFonts w:eastAsia="Times New Roman" w:cs="Arial"/>
        </w:rPr>
      </w:pPr>
      <w:r w:rsidRPr="00B26DE5">
        <w:rPr>
          <w:rFonts w:eastAsia="Times New Roman" w:cs="Arial"/>
          <w:color w:val="000000"/>
          <w:u w:val="single"/>
          <w:lang w:eastAsia="bg-BG"/>
        </w:rPr>
        <w:t>Анестезия и оперативно лечение</w:t>
      </w:r>
    </w:p>
    <w:p w14:paraId="7417932A" w14:textId="77777777" w:rsidR="00B26DE5" w:rsidRDefault="00B26DE5" w:rsidP="00B26DE5">
      <w:pPr>
        <w:spacing w:line="240" w:lineRule="auto"/>
        <w:rPr>
          <w:rFonts w:eastAsia="Times New Roman" w:cs="Arial"/>
          <w:color w:val="000000"/>
          <w:lang w:eastAsia="bg-BG"/>
        </w:rPr>
      </w:pPr>
    </w:p>
    <w:p w14:paraId="530E49C5" w14:textId="6DF53C4F" w:rsidR="00B26DE5" w:rsidRPr="00B26DE5" w:rsidRDefault="00B26DE5" w:rsidP="00B26DE5">
      <w:pPr>
        <w:spacing w:line="240" w:lineRule="auto"/>
        <w:rPr>
          <w:rFonts w:eastAsia="Times New Roman" w:cs="Arial"/>
        </w:rPr>
      </w:pPr>
      <w:r w:rsidRPr="00B26DE5">
        <w:rPr>
          <w:rFonts w:eastAsia="Times New Roman" w:cs="Arial"/>
          <w:color w:val="000000"/>
          <w:lang w:eastAsia="bg-BG"/>
        </w:rPr>
        <w:t>По време на анестезия и оперативна намеса при пациенти, лекувани с антагонисти на ангиотензин II, може да възникне хипотония поради блокада на системата ренин-ангиотензин. Много рядко, хипотонията може да бъде тежка, като може да се наложи приложението на интравенозни течности и/или вазопресори.</w:t>
      </w:r>
    </w:p>
    <w:p w14:paraId="07410228" w14:textId="77777777" w:rsidR="00B26DE5" w:rsidRDefault="00B26DE5" w:rsidP="00B26DE5">
      <w:pPr>
        <w:spacing w:line="240" w:lineRule="auto"/>
        <w:rPr>
          <w:rFonts w:eastAsia="Times New Roman" w:cs="Arial"/>
          <w:color w:val="000000"/>
          <w:u w:val="single"/>
          <w:lang w:eastAsia="bg-BG"/>
        </w:rPr>
      </w:pPr>
    </w:p>
    <w:p w14:paraId="6630E0E2" w14:textId="4775A4D3" w:rsidR="00B26DE5" w:rsidRPr="00B26DE5" w:rsidRDefault="00B26DE5" w:rsidP="00B26DE5">
      <w:pPr>
        <w:spacing w:line="240" w:lineRule="auto"/>
        <w:rPr>
          <w:rFonts w:eastAsia="Times New Roman" w:cs="Arial"/>
        </w:rPr>
      </w:pPr>
      <w:r w:rsidRPr="00B26DE5">
        <w:rPr>
          <w:rFonts w:eastAsia="Times New Roman" w:cs="Arial"/>
          <w:color w:val="000000"/>
          <w:u w:val="single"/>
          <w:lang w:eastAsia="bg-BG"/>
        </w:rPr>
        <w:t>Стеноза на аортната и митралната клапа (обструктивна хипертрофна кардиомиопатия)</w:t>
      </w:r>
    </w:p>
    <w:p w14:paraId="7C302187"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Както при другите вазодилататори, специално внимание е необходимо при пациенти, страдащи от стеноза на аортната и митралната клапа с хемодинамично значение или обструктивна хипертрофна кардиомиопатия.</w:t>
      </w:r>
    </w:p>
    <w:p w14:paraId="642D4CE4" w14:textId="77777777" w:rsidR="00B26DE5" w:rsidRDefault="00B26DE5" w:rsidP="00B26DE5">
      <w:pPr>
        <w:spacing w:line="240" w:lineRule="auto"/>
        <w:rPr>
          <w:rFonts w:eastAsia="Times New Roman" w:cs="Arial"/>
          <w:color w:val="000000"/>
          <w:u w:val="single"/>
          <w:lang w:eastAsia="bg-BG"/>
        </w:rPr>
      </w:pPr>
    </w:p>
    <w:p w14:paraId="5D8339AB" w14:textId="63FC614A" w:rsidR="00B26DE5" w:rsidRPr="00B26DE5" w:rsidRDefault="00B26DE5" w:rsidP="00B26DE5">
      <w:pPr>
        <w:spacing w:line="240" w:lineRule="auto"/>
        <w:rPr>
          <w:rFonts w:eastAsia="Times New Roman" w:cs="Arial"/>
        </w:rPr>
      </w:pPr>
      <w:r w:rsidRPr="00B26DE5">
        <w:rPr>
          <w:rFonts w:eastAsia="Times New Roman" w:cs="Arial"/>
          <w:color w:val="000000"/>
          <w:u w:val="single"/>
          <w:lang w:eastAsia="bg-BG"/>
        </w:rPr>
        <w:t>Първичен хипералдостеронизъм</w:t>
      </w:r>
    </w:p>
    <w:p w14:paraId="58380F91" w14:textId="77777777" w:rsidR="00B26DE5" w:rsidRDefault="00B26DE5" w:rsidP="00B26DE5">
      <w:pPr>
        <w:spacing w:line="240" w:lineRule="auto"/>
        <w:rPr>
          <w:rFonts w:eastAsia="Times New Roman" w:cs="Arial"/>
          <w:color w:val="000000"/>
          <w:lang w:eastAsia="bg-BG"/>
        </w:rPr>
      </w:pPr>
    </w:p>
    <w:p w14:paraId="0E483841" w14:textId="7BADDE5A" w:rsidR="00B26DE5" w:rsidRPr="00B26DE5" w:rsidRDefault="00B26DE5" w:rsidP="00B26DE5">
      <w:pPr>
        <w:spacing w:line="240" w:lineRule="auto"/>
        <w:rPr>
          <w:rFonts w:eastAsia="Times New Roman" w:cs="Arial"/>
          <w:color w:val="000000"/>
          <w:lang w:eastAsia="bg-BG"/>
        </w:rPr>
      </w:pPr>
      <w:r w:rsidRPr="00B26DE5">
        <w:rPr>
          <w:rFonts w:eastAsia="Times New Roman" w:cs="Arial"/>
          <w:color w:val="000000"/>
          <w:lang w:eastAsia="bg-BG"/>
        </w:rPr>
        <w:t>Пациенти с първичен хипералдостеронизъм обикновено няма да се повлияят от лечение с антихипертензивни лекарствени продукти, действащи чрез инхибиране на ренин-ангиотензин- алдостероновата система. Поради това, приложението на Карбис не се препоръчва при тази популация.</w:t>
      </w:r>
    </w:p>
    <w:p w14:paraId="7051E989" w14:textId="77777777" w:rsidR="00B26DE5" w:rsidRDefault="00B26DE5" w:rsidP="00B26DE5">
      <w:pPr>
        <w:spacing w:line="240" w:lineRule="auto"/>
        <w:rPr>
          <w:rFonts w:eastAsia="Times New Roman" w:cs="Arial"/>
          <w:color w:val="000000"/>
          <w:u w:val="single"/>
          <w:lang w:eastAsia="bg-BG"/>
        </w:rPr>
      </w:pPr>
    </w:p>
    <w:p w14:paraId="03A2D502" w14:textId="79BA04AA" w:rsidR="00B26DE5" w:rsidRPr="00B26DE5" w:rsidRDefault="00B26DE5" w:rsidP="00B26DE5">
      <w:pPr>
        <w:spacing w:line="240" w:lineRule="auto"/>
        <w:rPr>
          <w:rFonts w:eastAsia="Times New Roman" w:cs="Arial"/>
        </w:rPr>
      </w:pPr>
      <w:r w:rsidRPr="00B26DE5">
        <w:rPr>
          <w:rFonts w:eastAsia="Times New Roman" w:cs="Arial"/>
          <w:color w:val="000000"/>
          <w:u w:val="single"/>
          <w:lang w:eastAsia="bg-BG"/>
        </w:rPr>
        <w:t>Хиперкалиемия</w:t>
      </w:r>
    </w:p>
    <w:p w14:paraId="7126998C" w14:textId="77777777" w:rsidR="00B26DE5" w:rsidRDefault="00B26DE5" w:rsidP="00B26DE5">
      <w:pPr>
        <w:spacing w:line="240" w:lineRule="auto"/>
        <w:rPr>
          <w:rFonts w:eastAsia="Times New Roman" w:cs="Arial"/>
          <w:color w:val="000000"/>
          <w:lang w:eastAsia="bg-BG"/>
        </w:rPr>
      </w:pPr>
    </w:p>
    <w:p w14:paraId="18D25478" w14:textId="11792FAC" w:rsidR="00B26DE5" w:rsidRPr="00B26DE5" w:rsidRDefault="00B26DE5" w:rsidP="00B26DE5">
      <w:pPr>
        <w:spacing w:line="240" w:lineRule="auto"/>
        <w:rPr>
          <w:rFonts w:eastAsia="Times New Roman" w:cs="Arial"/>
        </w:rPr>
      </w:pPr>
      <w:r w:rsidRPr="00B26DE5">
        <w:rPr>
          <w:rFonts w:eastAsia="Times New Roman" w:cs="Arial"/>
          <w:color w:val="000000"/>
          <w:lang w:eastAsia="bg-BG"/>
        </w:rPr>
        <w:t>Едновременното приложение на Карбис с калий- съхраняващи диуретици, калиеви добавки, заместители на солта, съдържащи калий или други лекарствени продукти, които могат да повлияят нивата на калия (напр. хепарин) може да доведе до повишаване на серумния калий при хипертензивни пациенти.</w:t>
      </w:r>
    </w:p>
    <w:p w14:paraId="57FF2F8C"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Необходимо е подходящо мониториране на нивата на калия.</w:t>
      </w:r>
    </w:p>
    <w:p w14:paraId="73CFF149"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При болни със сърдечна недостатъчност, лекувани с Карбис, може да възникне хиперкалиемия.</w:t>
      </w:r>
    </w:p>
    <w:p w14:paraId="0B687F26"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Препоръчва се периодично проследяване на серумния калий. Комбинацията от АСЕ- инхибитор, калий-съхраняващи диуретик (напр. спиронолактон) и Карбис не се препоръчва и трябва да се разглежда само след внимателна оценка на потенциалните ползи и рискове.</w:t>
      </w:r>
    </w:p>
    <w:p w14:paraId="7AEA55CD" w14:textId="77777777" w:rsidR="00B26DE5" w:rsidRDefault="00B26DE5" w:rsidP="00B26DE5">
      <w:pPr>
        <w:spacing w:line="240" w:lineRule="auto"/>
        <w:rPr>
          <w:rFonts w:eastAsia="Times New Roman" w:cs="Arial"/>
          <w:color w:val="000000"/>
          <w:u w:val="single"/>
          <w:lang w:eastAsia="bg-BG"/>
        </w:rPr>
      </w:pPr>
    </w:p>
    <w:p w14:paraId="42E29192" w14:textId="70DD754F" w:rsidR="00B26DE5" w:rsidRPr="00B26DE5" w:rsidRDefault="00B26DE5" w:rsidP="00B26DE5">
      <w:pPr>
        <w:spacing w:line="240" w:lineRule="auto"/>
        <w:rPr>
          <w:rFonts w:eastAsia="Times New Roman" w:cs="Arial"/>
        </w:rPr>
      </w:pPr>
      <w:r w:rsidRPr="00B26DE5">
        <w:rPr>
          <w:rFonts w:eastAsia="Times New Roman" w:cs="Arial"/>
          <w:color w:val="000000"/>
          <w:u w:val="single"/>
          <w:lang w:eastAsia="bg-BG"/>
        </w:rPr>
        <w:t>Бременност</w:t>
      </w:r>
    </w:p>
    <w:p w14:paraId="63616740" w14:textId="77777777" w:rsidR="00B26DE5" w:rsidRDefault="00B26DE5" w:rsidP="00B26DE5">
      <w:pPr>
        <w:spacing w:line="240" w:lineRule="auto"/>
        <w:rPr>
          <w:rFonts w:eastAsia="Times New Roman" w:cs="Arial"/>
          <w:color w:val="000000"/>
          <w:lang w:eastAsia="bg-BG"/>
        </w:rPr>
      </w:pPr>
    </w:p>
    <w:p w14:paraId="08F773CC" w14:textId="0AEA8E4A" w:rsidR="00B26DE5" w:rsidRPr="00B26DE5" w:rsidRDefault="00B26DE5" w:rsidP="00B26DE5">
      <w:pPr>
        <w:spacing w:line="240" w:lineRule="auto"/>
        <w:rPr>
          <w:rFonts w:eastAsia="Times New Roman" w:cs="Arial"/>
        </w:rPr>
      </w:pPr>
      <w:r w:rsidRPr="00B26DE5">
        <w:rPr>
          <w:rFonts w:eastAsia="Times New Roman" w:cs="Arial"/>
          <w:color w:val="000000"/>
          <w:lang w:eastAsia="bg-BG"/>
        </w:rPr>
        <w:t>АПРАи не трябва да се назначават по време на бременност. Освен ако продължаването на лечението с АПРАи не се счита за жизнено важно, пациентките, планиращи бременност</w:t>
      </w:r>
      <w:r w:rsidRPr="00B26DE5">
        <w:rPr>
          <w:rFonts w:eastAsia="Times New Roman" w:cs="Arial"/>
          <w:color w:val="000000"/>
          <w:lang w:val="ru-RU"/>
        </w:rPr>
        <w:t xml:space="preserve"> </w:t>
      </w:r>
      <w:r w:rsidRPr="00B26DE5">
        <w:rPr>
          <w:rFonts w:eastAsia="Times New Roman" w:cs="Arial"/>
          <w:color w:val="000000"/>
          <w:lang w:eastAsia="bg-BG"/>
        </w:rPr>
        <w:t xml:space="preserve">трябва да преминат на алтернативно антихипертензивно лечение с установен профил на безопасност за употреба по време на бременност. При установяване на бременност, лечението с </w:t>
      </w:r>
      <w:r w:rsidRPr="00B26DE5">
        <w:rPr>
          <w:rFonts w:eastAsia="Times New Roman" w:cs="Arial"/>
          <w:color w:val="000000"/>
          <w:lang w:val="en-US"/>
        </w:rPr>
        <w:t>AIIPA</w:t>
      </w:r>
      <w:r w:rsidRPr="00B26DE5">
        <w:rPr>
          <w:rFonts w:eastAsia="Times New Roman" w:cs="Arial"/>
          <w:color w:val="000000"/>
          <w:lang w:val="ru-RU"/>
        </w:rPr>
        <w:t xml:space="preserve"> </w:t>
      </w:r>
      <w:r w:rsidRPr="00B26DE5">
        <w:rPr>
          <w:rFonts w:eastAsia="Times New Roman" w:cs="Arial"/>
          <w:color w:val="000000"/>
          <w:lang w:eastAsia="bg-BG"/>
        </w:rPr>
        <w:t>трябва да бъде преустановено незабавно и, ако е необходимо, да се започне алтернативно лечение (вж.</w:t>
      </w:r>
    </w:p>
    <w:p w14:paraId="58AB627D" w14:textId="2AC2EF33" w:rsidR="00B26DE5" w:rsidRDefault="00B26DE5" w:rsidP="00B26DE5">
      <w:pPr>
        <w:rPr>
          <w:rFonts w:eastAsia="Times New Roman" w:cs="Arial"/>
          <w:color w:val="000000"/>
          <w:lang w:eastAsia="bg-BG"/>
        </w:rPr>
      </w:pPr>
      <w:r w:rsidRPr="00B26DE5">
        <w:rPr>
          <w:rFonts w:eastAsia="Times New Roman" w:cs="Arial"/>
          <w:color w:val="000000"/>
          <w:lang w:eastAsia="bg-BG"/>
        </w:rPr>
        <w:t>точки 43 и 4.6).</w:t>
      </w:r>
    </w:p>
    <w:p w14:paraId="135F2F0D" w14:textId="459CD00D" w:rsidR="00B26DE5" w:rsidRDefault="00B26DE5" w:rsidP="00B26DE5">
      <w:pPr>
        <w:rPr>
          <w:rFonts w:eastAsia="Times New Roman" w:cs="Arial"/>
          <w:color w:val="000000"/>
          <w:lang w:eastAsia="bg-BG"/>
        </w:rPr>
      </w:pPr>
    </w:p>
    <w:p w14:paraId="19F6E1E4"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При пациентки след менархе вероятността за бременност трябва да се проверява редовно. Трябва да се дава редовна информация и/или да се предприемат мерки за предотвратяване на риска за експозиция по време на бременност (вж. точка 4.3 и 4.6).</w:t>
      </w:r>
    </w:p>
    <w:p w14:paraId="6C6E8F10" w14:textId="77777777" w:rsidR="00B26DE5" w:rsidRDefault="00B26DE5" w:rsidP="00B26DE5">
      <w:pPr>
        <w:spacing w:line="240" w:lineRule="auto"/>
        <w:rPr>
          <w:rFonts w:eastAsia="Times New Roman" w:cs="Arial"/>
          <w:color w:val="000000"/>
          <w:u w:val="single"/>
          <w:lang w:eastAsia="bg-BG"/>
        </w:rPr>
      </w:pPr>
    </w:p>
    <w:p w14:paraId="2F44ACB0" w14:textId="114DB03B" w:rsidR="00B26DE5" w:rsidRPr="00B26DE5" w:rsidRDefault="00B26DE5" w:rsidP="00B26DE5">
      <w:pPr>
        <w:spacing w:line="240" w:lineRule="auto"/>
        <w:rPr>
          <w:rFonts w:eastAsia="Times New Roman" w:cs="Arial"/>
        </w:rPr>
      </w:pPr>
      <w:r w:rsidRPr="00B26DE5">
        <w:rPr>
          <w:rFonts w:eastAsia="Times New Roman" w:cs="Arial"/>
          <w:color w:val="000000"/>
          <w:u w:val="single"/>
          <w:lang w:eastAsia="bg-BG"/>
        </w:rPr>
        <w:t>Общи</w:t>
      </w:r>
    </w:p>
    <w:p w14:paraId="2A25577B" w14:textId="77777777" w:rsidR="00B26DE5" w:rsidRDefault="00B26DE5" w:rsidP="00B26DE5">
      <w:pPr>
        <w:spacing w:line="240" w:lineRule="auto"/>
        <w:rPr>
          <w:rFonts w:eastAsia="Times New Roman" w:cs="Arial"/>
          <w:color w:val="000000"/>
          <w:lang w:eastAsia="bg-BG"/>
        </w:rPr>
      </w:pPr>
    </w:p>
    <w:p w14:paraId="78A1B300" w14:textId="68734B87" w:rsidR="00B26DE5" w:rsidRPr="00B26DE5" w:rsidRDefault="00B26DE5" w:rsidP="00B26DE5">
      <w:pPr>
        <w:spacing w:line="240" w:lineRule="auto"/>
        <w:rPr>
          <w:rFonts w:eastAsia="Times New Roman" w:cs="Arial"/>
        </w:rPr>
      </w:pPr>
      <w:r w:rsidRPr="00B26DE5">
        <w:rPr>
          <w:rFonts w:eastAsia="Times New Roman" w:cs="Arial"/>
          <w:color w:val="000000"/>
          <w:lang w:eastAsia="bg-BG"/>
        </w:rPr>
        <w:t>При пациенти, чийто съдов тонус и бъбречна функция зависят предимно от активността на системата ренин-ангиотензин-алдостерон (напр. пациенти с тежка застойна сърдечна недостатъчност или бъбречно заболяване, включително стеноза на бъбречната артерия), лечението с други лекарствени продукти, повлияващи тази система, са свързани с остра хипотония, азотемия, олигурия или рядко остра бъбречна недостатъчност. Възможността за подобни ефекти не може да се изключи при ангиотензин II рецепторите. Както при всички антихипертензивни средства, прекомерното понижение на кръвното налягане при пациенти с исхемична кардиопатия или исхемично мозъчно-съдова болест може да доведе до инфаркт на миокарда или инсулт.</w:t>
      </w:r>
    </w:p>
    <w:p w14:paraId="157295C1" w14:textId="77777777" w:rsidR="00B26DE5" w:rsidRDefault="00B26DE5" w:rsidP="00B26DE5">
      <w:pPr>
        <w:spacing w:line="240" w:lineRule="auto"/>
        <w:rPr>
          <w:rFonts w:eastAsia="Times New Roman" w:cs="Arial"/>
          <w:color w:val="000000"/>
          <w:lang w:eastAsia="bg-BG"/>
        </w:rPr>
      </w:pPr>
    </w:p>
    <w:p w14:paraId="6E5D09BF" w14:textId="76A79100" w:rsidR="00B26DE5" w:rsidRPr="00B26DE5" w:rsidRDefault="00B26DE5" w:rsidP="00B26DE5">
      <w:pPr>
        <w:spacing w:line="240" w:lineRule="auto"/>
        <w:rPr>
          <w:rFonts w:eastAsia="Times New Roman" w:cs="Arial"/>
        </w:rPr>
      </w:pPr>
      <w:r w:rsidRPr="00B26DE5">
        <w:rPr>
          <w:rFonts w:eastAsia="Times New Roman" w:cs="Arial"/>
          <w:color w:val="000000"/>
          <w:lang w:eastAsia="bg-BG"/>
        </w:rPr>
        <w:t>Антихипертензивният ефект на кандесартан може да се засили от други лекарствени продукти с понижаващи кръвното налягане свойства, независимо дали са предписани като антихипертензивни или са предписани за други показания.</w:t>
      </w:r>
    </w:p>
    <w:p w14:paraId="613A30EE" w14:textId="77777777" w:rsidR="00B26DE5" w:rsidRDefault="00B26DE5" w:rsidP="00B26DE5">
      <w:pPr>
        <w:spacing w:line="240" w:lineRule="auto"/>
        <w:rPr>
          <w:rFonts w:eastAsia="Times New Roman" w:cs="Arial"/>
          <w:color w:val="000000"/>
          <w:u w:val="single"/>
          <w:lang w:eastAsia="bg-BG"/>
        </w:rPr>
      </w:pPr>
    </w:p>
    <w:p w14:paraId="024BE33F" w14:textId="32938AA2" w:rsidR="00B26DE5" w:rsidRPr="00B26DE5" w:rsidRDefault="00B26DE5" w:rsidP="00B26DE5">
      <w:pPr>
        <w:spacing w:line="240" w:lineRule="auto"/>
        <w:rPr>
          <w:rFonts w:eastAsia="Times New Roman" w:cs="Arial"/>
        </w:rPr>
      </w:pPr>
      <w:r w:rsidRPr="00B26DE5">
        <w:rPr>
          <w:rFonts w:eastAsia="Times New Roman" w:cs="Arial"/>
          <w:color w:val="000000"/>
          <w:u w:val="single"/>
          <w:lang w:eastAsia="bg-BG"/>
        </w:rPr>
        <w:t>Двойно блокиране на ренин-ангиотензин-алдостероновата система (РААС)</w:t>
      </w:r>
    </w:p>
    <w:p w14:paraId="4FAE8EC2" w14:textId="77777777" w:rsidR="00B26DE5" w:rsidRDefault="00B26DE5" w:rsidP="00B26DE5">
      <w:pPr>
        <w:spacing w:line="240" w:lineRule="auto"/>
        <w:rPr>
          <w:rFonts w:eastAsia="Times New Roman" w:cs="Arial"/>
          <w:color w:val="000000"/>
          <w:lang w:eastAsia="bg-BG"/>
        </w:rPr>
      </w:pPr>
    </w:p>
    <w:p w14:paraId="345988EE" w14:textId="107410A0" w:rsidR="00B26DE5" w:rsidRPr="00B26DE5" w:rsidRDefault="00B26DE5" w:rsidP="00B26DE5">
      <w:pPr>
        <w:spacing w:line="240" w:lineRule="auto"/>
        <w:rPr>
          <w:rFonts w:eastAsia="Times New Roman" w:cs="Arial"/>
        </w:rPr>
      </w:pPr>
      <w:r w:rsidRPr="00B26DE5">
        <w:rPr>
          <w:rFonts w:eastAsia="Times New Roman" w:cs="Arial"/>
          <w:color w:val="000000"/>
          <w:lang w:eastAsia="bg-BG"/>
        </w:rPr>
        <w:t xml:space="preserve">Има данни, че едновременната употреба на АСЕ инхибитори, ангиотензин </w:t>
      </w:r>
      <w:r w:rsidRPr="00B26DE5">
        <w:rPr>
          <w:rFonts w:eastAsia="Times New Roman" w:cs="Arial"/>
          <w:color w:val="000000"/>
          <w:lang w:val="en-US"/>
        </w:rPr>
        <w:t>II</w:t>
      </w:r>
      <w:r w:rsidRPr="00B26DE5">
        <w:rPr>
          <w:rFonts w:eastAsia="Times New Roman" w:cs="Arial"/>
          <w:color w:val="000000"/>
          <w:lang w:eastAsia="bg-BG"/>
        </w:rPr>
        <w:t xml:space="preserve">-рецепторни блокери или алискирен повишава риска от хипотония, хиперкалиемия и намаляване на бъбречната функция (включително остра бъбречна недостатъчност). Поради това не се препоръчва двойно блокиране на РААС чрез комбинираната употреба на АСЕ инхибитори, ангиотензин </w:t>
      </w:r>
      <w:r w:rsidRPr="00B26DE5">
        <w:rPr>
          <w:rFonts w:eastAsia="Times New Roman" w:cs="Arial"/>
          <w:color w:val="000000"/>
          <w:lang w:val="en-US"/>
        </w:rPr>
        <w:t>II</w:t>
      </w:r>
      <w:r w:rsidRPr="00B26DE5">
        <w:rPr>
          <w:rFonts w:eastAsia="Times New Roman" w:cs="Arial"/>
          <w:color w:val="000000"/>
          <w:lang w:eastAsia="bg-BG"/>
        </w:rPr>
        <w:t>-рецепторни блокери или алискирен (вж. точки 4.5 и 5.1).</w:t>
      </w:r>
    </w:p>
    <w:p w14:paraId="69E6F045"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Ако се прецени, че терапията с двойно блокиране е абсолютно необходима, това трябва да става само под наблюдението на специалист и при често внимателно мониториране на бъбречната функция, електролитите и кръвното налягане.</w:t>
      </w:r>
    </w:p>
    <w:p w14:paraId="5B9C87CB"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 xml:space="preserve">АСЕ инхибитори и ангиотензин </w:t>
      </w:r>
      <w:r w:rsidRPr="00B26DE5">
        <w:rPr>
          <w:rFonts w:eastAsia="Times New Roman" w:cs="Arial"/>
          <w:color w:val="000000"/>
          <w:lang w:val="en-US"/>
        </w:rPr>
        <w:t>II</w:t>
      </w:r>
      <w:r w:rsidRPr="00B26DE5">
        <w:rPr>
          <w:rFonts w:eastAsia="Times New Roman" w:cs="Arial"/>
          <w:color w:val="000000"/>
          <w:lang w:eastAsia="bg-BG"/>
        </w:rPr>
        <w:t>-рецепторни блокери не трябва да се използват едновременно при пациенти с диабетна нефропатия.</w:t>
      </w:r>
    </w:p>
    <w:p w14:paraId="407836AB" w14:textId="77777777" w:rsidR="00B26DE5" w:rsidRDefault="00B26DE5" w:rsidP="00B26DE5">
      <w:pPr>
        <w:spacing w:line="240" w:lineRule="auto"/>
        <w:rPr>
          <w:rFonts w:eastAsia="Times New Roman" w:cs="Arial"/>
          <w:color w:val="000000"/>
          <w:lang w:eastAsia="bg-BG"/>
        </w:rPr>
      </w:pPr>
    </w:p>
    <w:p w14:paraId="1F1252D6" w14:textId="67E7BE30" w:rsidR="00B26DE5" w:rsidRPr="00B26DE5" w:rsidRDefault="00B26DE5" w:rsidP="00B26DE5">
      <w:pPr>
        <w:spacing w:line="240" w:lineRule="auto"/>
        <w:rPr>
          <w:rFonts w:eastAsia="Times New Roman" w:cs="Arial"/>
        </w:rPr>
      </w:pPr>
      <w:r w:rsidRPr="00B26DE5">
        <w:rPr>
          <w:rFonts w:eastAsia="Times New Roman" w:cs="Arial"/>
          <w:color w:val="000000"/>
          <w:lang w:eastAsia="bg-BG"/>
        </w:rPr>
        <w:t>Този лекарствен продукт съдържа лактоза монохидрат.</w:t>
      </w:r>
    </w:p>
    <w:p w14:paraId="2BE663C2" w14:textId="1DCA820D" w:rsidR="00B26DE5" w:rsidRDefault="00B26DE5" w:rsidP="00B26DE5">
      <w:pPr>
        <w:rPr>
          <w:rFonts w:eastAsia="Times New Roman" w:cs="Arial"/>
          <w:color w:val="000000"/>
          <w:lang w:eastAsia="bg-BG"/>
        </w:rPr>
      </w:pPr>
      <w:r w:rsidRPr="00B26DE5">
        <w:rPr>
          <w:rFonts w:eastAsia="Times New Roman" w:cs="Arial"/>
          <w:color w:val="000000"/>
          <w:lang w:eastAsia="bg-BG"/>
        </w:rPr>
        <w:t>Пациенти с редки наследствени проблеми на непоносимост към галактоза, пълен лактазен дефицит или глюкозно-галактозна малабсорбция не трябва да приемат това лекарство.</w:t>
      </w:r>
    </w:p>
    <w:p w14:paraId="7CEBF553" w14:textId="77777777" w:rsidR="00B26DE5" w:rsidRPr="00B26DE5" w:rsidRDefault="00B26DE5" w:rsidP="00B26DE5">
      <w:pPr>
        <w:rPr>
          <w:rFonts w:cs="Arial"/>
        </w:rPr>
      </w:pPr>
    </w:p>
    <w:p w14:paraId="0734264C" w14:textId="5ED601EE" w:rsidR="007122AD" w:rsidRDefault="002C50EE" w:rsidP="00936AD0">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5314F00F" w14:textId="654A5F2A" w:rsidR="00B26DE5" w:rsidRDefault="00B26DE5" w:rsidP="00B26DE5"/>
    <w:p w14:paraId="65D82CC1"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Съединенията, които са били изследвани при клиничните фармакокинетични проучвания, включват хидрохлоротиазид, варфарин, дигоксин, перорални контрацептиви (т.е. етинилестрадиол/левоноргестрел), глибенкламид, нифедипин и еналаприл. Няма идентифицирани клинично значими фармакокинетични взаимодействия с тези лекарствени продукти.</w:t>
      </w:r>
    </w:p>
    <w:p w14:paraId="6680ADDD" w14:textId="77777777" w:rsidR="00B26DE5" w:rsidRDefault="00B26DE5" w:rsidP="00B26DE5">
      <w:pPr>
        <w:spacing w:line="240" w:lineRule="auto"/>
        <w:rPr>
          <w:rFonts w:eastAsia="Times New Roman" w:cs="Arial"/>
          <w:color w:val="000000"/>
          <w:lang w:eastAsia="bg-BG"/>
        </w:rPr>
      </w:pPr>
    </w:p>
    <w:p w14:paraId="5EBF62FB" w14:textId="77777777" w:rsidR="00B26DE5" w:rsidRDefault="00B26DE5" w:rsidP="00B26DE5">
      <w:pPr>
        <w:spacing w:line="240" w:lineRule="auto"/>
        <w:rPr>
          <w:rFonts w:eastAsia="Times New Roman" w:cs="Arial"/>
          <w:color w:val="000000"/>
          <w:lang w:eastAsia="bg-BG"/>
        </w:rPr>
      </w:pPr>
      <w:r w:rsidRPr="00B26DE5">
        <w:rPr>
          <w:rFonts w:eastAsia="Times New Roman" w:cs="Arial"/>
          <w:color w:val="000000"/>
          <w:lang w:eastAsia="bg-BG"/>
        </w:rPr>
        <w:t xml:space="preserve">Едновременното приложение на калий-съхраняващи диуретици, калиеви добавки, заместители на солта, съдържащи калий, или други лекарствени продукти, които повишат нивата на калия (напр. хепарин), може да доведе до повишаване на серумния калий. </w:t>
      </w:r>
    </w:p>
    <w:p w14:paraId="3139C447" w14:textId="19697DEE" w:rsidR="00B26DE5" w:rsidRPr="00B26DE5" w:rsidRDefault="00B26DE5" w:rsidP="00B26DE5">
      <w:pPr>
        <w:spacing w:line="240" w:lineRule="auto"/>
        <w:rPr>
          <w:rFonts w:eastAsia="Times New Roman" w:cs="Arial"/>
        </w:rPr>
      </w:pPr>
      <w:r w:rsidRPr="00B26DE5">
        <w:rPr>
          <w:rFonts w:eastAsia="Times New Roman" w:cs="Arial"/>
          <w:color w:val="000000"/>
          <w:lang w:eastAsia="bg-BG"/>
        </w:rPr>
        <w:t>Необходимо е подходящо мониториране на нивата на калия (вж.точка 4.4).</w:t>
      </w:r>
    </w:p>
    <w:p w14:paraId="45EE25D8" w14:textId="77777777" w:rsidR="00B26DE5" w:rsidRDefault="00B26DE5" w:rsidP="00B26DE5">
      <w:pPr>
        <w:rPr>
          <w:rFonts w:eastAsia="Times New Roman" w:cs="Arial"/>
          <w:color w:val="000000"/>
          <w:lang w:eastAsia="bg-BG"/>
        </w:rPr>
      </w:pPr>
    </w:p>
    <w:p w14:paraId="4E2AE115" w14:textId="5C2EB3F2" w:rsidR="00B26DE5" w:rsidRDefault="00B26DE5" w:rsidP="00B26DE5">
      <w:pPr>
        <w:rPr>
          <w:rFonts w:eastAsia="Times New Roman" w:cs="Arial"/>
          <w:color w:val="000000"/>
          <w:lang w:eastAsia="bg-BG"/>
        </w:rPr>
      </w:pPr>
      <w:r w:rsidRPr="00B26DE5">
        <w:rPr>
          <w:rFonts w:eastAsia="Times New Roman" w:cs="Arial"/>
          <w:color w:val="000000"/>
          <w:lang w:eastAsia="bg-BG"/>
        </w:rPr>
        <w:t>Има съобщения за обратимо повишение на серумните концентрации и токсичността</w:t>
      </w:r>
      <w:r w:rsidRPr="00B26DE5">
        <w:rPr>
          <w:rFonts w:eastAsia="Times New Roman" w:cs="Arial"/>
          <w:color w:val="000000"/>
          <w:lang w:val="ru-RU"/>
        </w:rPr>
        <w:t xml:space="preserve"> </w:t>
      </w:r>
      <w:r w:rsidRPr="00B26DE5">
        <w:rPr>
          <w:rFonts w:eastAsia="Times New Roman" w:cs="Arial"/>
          <w:color w:val="000000"/>
          <w:lang w:eastAsia="bg-BG"/>
        </w:rPr>
        <w:t xml:space="preserve">на лития по време на едновременно приложение на литий с АСЕ инхибитори. Подобен </w:t>
      </w:r>
      <w:r w:rsidRPr="00B26DE5">
        <w:rPr>
          <w:rFonts w:eastAsia="Times New Roman" w:cs="Arial"/>
          <w:color w:val="000000"/>
          <w:lang w:eastAsia="bg-BG"/>
        </w:rPr>
        <w:lastRenderedPageBreak/>
        <w:t>ефект може да възникне и при приложение на АПРАи. Употребата на кандесартан с литий не се препоръчва</w:t>
      </w:r>
      <w:r w:rsidRPr="00B26DE5">
        <w:rPr>
          <w:rFonts w:eastAsia="Times New Roman" w:cs="Arial"/>
          <w:color w:val="000000"/>
          <w:u w:val="single"/>
          <w:lang w:eastAsia="bg-BG"/>
        </w:rPr>
        <w:t xml:space="preserve"> </w:t>
      </w:r>
      <w:r w:rsidRPr="00B26DE5">
        <w:rPr>
          <w:rFonts w:eastAsia="Times New Roman" w:cs="Arial"/>
          <w:color w:val="000000"/>
          <w:lang w:eastAsia="bg-BG"/>
        </w:rPr>
        <w:t xml:space="preserve">Ако комбинацията е необходима, се препоръчва внимателно мониториране на </w:t>
      </w:r>
      <w:r w:rsidRPr="00B26DE5">
        <w:rPr>
          <w:rFonts w:eastAsia="Times New Roman" w:cs="Arial"/>
          <w:i/>
          <w:iCs/>
          <w:color w:val="000000"/>
          <w:lang w:eastAsia="bg-BG"/>
        </w:rPr>
        <w:t xml:space="preserve">серумните нива </w:t>
      </w:r>
      <w:r w:rsidRPr="00B26DE5">
        <w:rPr>
          <w:rFonts w:eastAsia="Times New Roman" w:cs="Arial"/>
          <w:color w:val="000000"/>
          <w:lang w:eastAsia="bg-BG"/>
        </w:rPr>
        <w:t>на лития.</w:t>
      </w:r>
    </w:p>
    <w:p w14:paraId="06BA3B03" w14:textId="31768B60" w:rsidR="00B26DE5" w:rsidRDefault="00B26DE5" w:rsidP="00B26DE5">
      <w:pPr>
        <w:rPr>
          <w:rFonts w:eastAsia="Times New Roman" w:cs="Arial"/>
          <w:color w:val="000000"/>
          <w:lang w:eastAsia="bg-BG"/>
        </w:rPr>
      </w:pPr>
    </w:p>
    <w:p w14:paraId="08B7E81D" w14:textId="036D337D" w:rsidR="00B26DE5" w:rsidRPr="00B26DE5" w:rsidRDefault="00B26DE5" w:rsidP="00B26DE5">
      <w:pPr>
        <w:spacing w:line="240" w:lineRule="auto"/>
        <w:rPr>
          <w:rFonts w:eastAsia="Times New Roman" w:cs="Arial"/>
        </w:rPr>
      </w:pPr>
      <w:r>
        <w:rPr>
          <w:rFonts w:eastAsia="Times New Roman" w:cs="Arial"/>
          <w:color w:val="000000"/>
          <w:lang w:eastAsia="bg-BG"/>
        </w:rPr>
        <w:t>Когато А</w:t>
      </w:r>
      <w:r>
        <w:rPr>
          <w:rFonts w:eastAsia="Times New Roman" w:cs="Arial"/>
          <w:color w:val="000000"/>
          <w:lang w:val="en-US" w:eastAsia="bg-BG"/>
        </w:rPr>
        <w:t>II</w:t>
      </w:r>
      <w:r w:rsidRPr="00B26DE5">
        <w:rPr>
          <w:rFonts w:eastAsia="Times New Roman" w:cs="Arial"/>
          <w:color w:val="000000"/>
          <w:lang w:eastAsia="bg-BG"/>
        </w:rPr>
        <w:t>РАи се прилагат едновременно с нестероидни противовъзпалителни средства (НСПВС) (като селективни СОХ-2 инхибитори, ацетилсалицилова киселина (&gt; З</w:t>
      </w:r>
      <w:r w:rsidRPr="00B26DE5">
        <w:rPr>
          <w:rFonts w:eastAsia="Times New Roman" w:cs="Arial"/>
          <w:color w:val="000000"/>
          <w:lang w:val="en-US"/>
        </w:rPr>
        <w:t>g</w:t>
      </w:r>
      <w:r w:rsidRPr="00B26DE5">
        <w:rPr>
          <w:rFonts w:eastAsia="Times New Roman" w:cs="Arial"/>
          <w:color w:val="000000"/>
          <w:lang w:val="ru-RU"/>
        </w:rPr>
        <w:t>/</w:t>
      </w:r>
      <w:r w:rsidRPr="00B26DE5">
        <w:rPr>
          <w:rFonts w:eastAsia="Times New Roman" w:cs="Arial"/>
          <w:color w:val="000000"/>
          <w:lang w:eastAsia="bg-BG"/>
        </w:rPr>
        <w:t>дн.) и неселективни НПВС), може да настъпи намаляване на антихипертензивния ефект.</w:t>
      </w:r>
    </w:p>
    <w:p w14:paraId="79F9122A" w14:textId="77777777" w:rsidR="00B26DE5" w:rsidRDefault="00B26DE5" w:rsidP="00B26DE5">
      <w:pPr>
        <w:spacing w:line="240" w:lineRule="auto"/>
        <w:rPr>
          <w:rFonts w:eastAsia="Times New Roman" w:cs="Arial"/>
          <w:color w:val="000000"/>
          <w:lang w:eastAsia="bg-BG"/>
        </w:rPr>
      </w:pPr>
    </w:p>
    <w:p w14:paraId="12505314" w14:textId="0F5CE63B" w:rsidR="00B26DE5" w:rsidRPr="00B26DE5" w:rsidRDefault="00B26DE5" w:rsidP="00B26DE5">
      <w:pPr>
        <w:spacing w:line="240" w:lineRule="auto"/>
        <w:rPr>
          <w:rFonts w:eastAsia="Times New Roman" w:cs="Arial"/>
        </w:rPr>
      </w:pPr>
      <w:r w:rsidRPr="00B26DE5">
        <w:rPr>
          <w:rFonts w:eastAsia="Times New Roman" w:cs="Arial"/>
          <w:color w:val="000000"/>
          <w:lang w:eastAsia="bg-BG"/>
        </w:rPr>
        <w:t>Както и при АСЕ инхибитори, едновременната употреба на А</w:t>
      </w:r>
      <w:r w:rsidRPr="00B26DE5">
        <w:rPr>
          <w:rFonts w:eastAsia="Times New Roman" w:cs="Arial"/>
          <w:color w:val="000000"/>
          <w:lang w:val="en-US"/>
        </w:rPr>
        <w:t>II</w:t>
      </w:r>
      <w:r w:rsidRPr="00B26DE5">
        <w:rPr>
          <w:rFonts w:eastAsia="Times New Roman" w:cs="Arial"/>
          <w:color w:val="000000"/>
          <w:lang w:eastAsia="bg-BG"/>
        </w:rPr>
        <w:t>РАи и нестероидни противовъзпалителни средства може да доведе до повишен риск от влошаване на бъбречната функция, включително възможността за развитие на остра бъбречна недостатъчност, повишение на серумния калий, особено при пациенти с предшестващо увреждане на бъбречната функция. Комбинацията трябва да се прилага с повишено внимание, особено в старческа възраст. Пациентите трябва да бъдат адекватно хидратирани и да се проследява бъбречната функция след започване на комбинираното лечение и периодично след това.</w:t>
      </w:r>
    </w:p>
    <w:p w14:paraId="5FE2E6A7" w14:textId="77777777" w:rsidR="00B26DE5" w:rsidRDefault="00B26DE5" w:rsidP="00B26DE5">
      <w:pPr>
        <w:spacing w:line="240" w:lineRule="auto"/>
        <w:rPr>
          <w:rFonts w:eastAsia="Times New Roman" w:cs="Arial"/>
          <w:color w:val="000000"/>
          <w:lang w:eastAsia="bg-BG"/>
        </w:rPr>
      </w:pPr>
    </w:p>
    <w:p w14:paraId="2E8FDA61" w14:textId="633ABFF4" w:rsidR="00B26DE5" w:rsidRPr="00B26DE5" w:rsidRDefault="00B26DE5" w:rsidP="00B26DE5">
      <w:pPr>
        <w:spacing w:line="240" w:lineRule="auto"/>
        <w:rPr>
          <w:rFonts w:eastAsia="Times New Roman" w:cs="Arial"/>
        </w:rPr>
      </w:pPr>
      <w:r w:rsidRPr="00B26DE5">
        <w:rPr>
          <w:rFonts w:eastAsia="Times New Roman" w:cs="Arial"/>
          <w:color w:val="000000"/>
          <w:lang w:eastAsia="bg-BG"/>
        </w:rPr>
        <w:t xml:space="preserve">Данни от клинични проучвания показват, че двойното блокиране на ренин ангиотензин алдостероновата система (РААС) чрез комбинираната употреба на АСЕ инхибитори, ангиотензин </w:t>
      </w:r>
      <w:r w:rsidRPr="00B26DE5">
        <w:rPr>
          <w:rFonts w:eastAsia="Times New Roman" w:cs="Arial"/>
          <w:color w:val="000000"/>
          <w:lang w:val="en-US"/>
        </w:rPr>
        <w:t>II</w:t>
      </w:r>
      <w:r w:rsidRPr="00B26DE5">
        <w:rPr>
          <w:rFonts w:eastAsia="Times New Roman" w:cs="Arial"/>
          <w:color w:val="000000"/>
          <w:lang w:eastAsia="bg-BG"/>
        </w:rPr>
        <w:t>-рецепторни блокери или алискирен се свързва с по-висока честота на нежелани събития, като например хипотония, хиперкалиемия и намаляване на бъбречната функция (включително остра бъбречна недостатъчност), в сравнение с употребата само на едно средство, действащо върху РААС (вж. точки 4.3,</w:t>
      </w:r>
      <w:r w:rsidRPr="00B26DE5">
        <w:rPr>
          <w:rFonts w:eastAsia="Times New Roman" w:cs="Arial"/>
          <w:color w:val="000000"/>
          <w:lang w:val="ru-RU"/>
        </w:rPr>
        <w:t xml:space="preserve"> </w:t>
      </w:r>
      <w:r w:rsidRPr="00B26DE5">
        <w:rPr>
          <w:rFonts w:eastAsia="Times New Roman" w:cs="Arial"/>
          <w:color w:val="000000"/>
          <w:lang w:eastAsia="bg-BG"/>
        </w:rPr>
        <w:t>4.4 и 5.1).</w:t>
      </w:r>
    </w:p>
    <w:p w14:paraId="02CBACB7" w14:textId="77777777" w:rsidR="00B26DE5" w:rsidRDefault="00B26DE5" w:rsidP="00B26DE5">
      <w:pPr>
        <w:spacing w:line="240" w:lineRule="auto"/>
        <w:rPr>
          <w:rFonts w:eastAsia="Times New Roman" w:cs="Arial"/>
          <w:color w:val="000000"/>
          <w:u w:val="single"/>
          <w:lang w:eastAsia="bg-BG"/>
        </w:rPr>
      </w:pPr>
    </w:p>
    <w:p w14:paraId="5FB98E98" w14:textId="1EB78DE8" w:rsidR="00B26DE5" w:rsidRPr="00B26DE5" w:rsidRDefault="00B26DE5" w:rsidP="00B26DE5">
      <w:pPr>
        <w:spacing w:line="240" w:lineRule="auto"/>
        <w:rPr>
          <w:rFonts w:eastAsia="Times New Roman" w:cs="Arial"/>
        </w:rPr>
      </w:pPr>
      <w:r w:rsidRPr="00B26DE5">
        <w:rPr>
          <w:rFonts w:eastAsia="Times New Roman" w:cs="Arial"/>
          <w:color w:val="000000"/>
          <w:u w:val="single"/>
          <w:lang w:eastAsia="bg-BG"/>
        </w:rPr>
        <w:t>Педиатрична популация</w:t>
      </w:r>
    </w:p>
    <w:p w14:paraId="5125391A" w14:textId="77777777" w:rsidR="00B26DE5" w:rsidRDefault="00B26DE5" w:rsidP="00B26DE5">
      <w:pPr>
        <w:spacing w:line="240" w:lineRule="auto"/>
        <w:rPr>
          <w:rFonts w:eastAsia="Times New Roman" w:cs="Arial"/>
          <w:color w:val="000000"/>
          <w:lang w:eastAsia="bg-BG"/>
        </w:rPr>
      </w:pPr>
    </w:p>
    <w:p w14:paraId="6CA04D1F" w14:textId="5AAD9B21" w:rsidR="00B26DE5" w:rsidRPr="00B26DE5" w:rsidRDefault="00B26DE5" w:rsidP="00B26DE5">
      <w:pPr>
        <w:spacing w:line="240" w:lineRule="auto"/>
        <w:rPr>
          <w:rFonts w:eastAsia="Times New Roman" w:cs="Arial"/>
        </w:rPr>
      </w:pPr>
      <w:r w:rsidRPr="00B26DE5">
        <w:rPr>
          <w:rFonts w:eastAsia="Times New Roman" w:cs="Arial"/>
          <w:color w:val="000000"/>
          <w:lang w:eastAsia="bg-BG"/>
        </w:rPr>
        <w:t>Проучвания за взаимодействията са провеждани само при възрастни.</w:t>
      </w:r>
    </w:p>
    <w:p w14:paraId="2BCDBEF0" w14:textId="77777777" w:rsidR="00B26DE5" w:rsidRPr="00B26DE5" w:rsidRDefault="00B26DE5" w:rsidP="00B26DE5">
      <w:pPr>
        <w:rPr>
          <w:rFonts w:cs="Arial"/>
        </w:rPr>
      </w:pPr>
    </w:p>
    <w:p w14:paraId="5D9F40EA" w14:textId="1C0C6B72" w:rsidR="007122AD" w:rsidRDefault="002C50EE" w:rsidP="00936AD0">
      <w:pPr>
        <w:pStyle w:val="Heading2"/>
      </w:pPr>
      <w:r>
        <w:t>4.6. Фертилитет, бременност и кърмене</w:t>
      </w:r>
    </w:p>
    <w:p w14:paraId="2382B574" w14:textId="6877F017" w:rsidR="00B26DE5" w:rsidRDefault="00B26DE5" w:rsidP="00B26DE5"/>
    <w:p w14:paraId="5C429119" w14:textId="18CDC79D" w:rsidR="00B26DE5" w:rsidRPr="00B26DE5" w:rsidRDefault="00B26DE5" w:rsidP="00B26DE5">
      <w:pPr>
        <w:pStyle w:val="Heading3"/>
        <w:rPr>
          <w:u w:val="single"/>
        </w:rPr>
      </w:pPr>
      <w:r w:rsidRPr="00B26DE5">
        <w:rPr>
          <w:u w:val="single"/>
        </w:rPr>
        <w:t>Бременност</w:t>
      </w:r>
    </w:p>
    <w:p w14:paraId="296F8955" w14:textId="36F45DAB" w:rsidR="00B26DE5" w:rsidRPr="00B26DE5" w:rsidRDefault="00B26DE5" w:rsidP="00B26DE5">
      <w:pPr>
        <w:rPr>
          <w:rFonts w:cs="Arial"/>
          <w:u w:val="single"/>
        </w:rPr>
      </w:pPr>
    </w:p>
    <w:tbl>
      <w:tblPr>
        <w:tblStyle w:val="TableGrid"/>
        <w:tblW w:w="0" w:type="auto"/>
        <w:tblLook w:val="04A0" w:firstRow="1" w:lastRow="0" w:firstColumn="1" w:lastColumn="0" w:noHBand="0" w:noVBand="1"/>
      </w:tblPr>
      <w:tblGrid>
        <w:gridCol w:w="9350"/>
      </w:tblGrid>
      <w:tr w:rsidR="00B26DE5" w:rsidRPr="00B26DE5" w14:paraId="4F8309E3" w14:textId="77777777" w:rsidTr="00B26DE5">
        <w:tc>
          <w:tcPr>
            <w:tcW w:w="9576" w:type="dxa"/>
          </w:tcPr>
          <w:p w14:paraId="37E10B80" w14:textId="206BC899" w:rsidR="00B26DE5" w:rsidRPr="00B26DE5" w:rsidRDefault="00B26DE5" w:rsidP="00B26DE5">
            <w:pPr>
              <w:rPr>
                <w:rFonts w:cs="Arial"/>
              </w:rPr>
            </w:pPr>
            <w:r w:rsidRPr="00B26DE5">
              <w:rPr>
                <w:rFonts w:cs="Arial"/>
              </w:rPr>
              <w:t>Употребата на А</w:t>
            </w:r>
            <w:r w:rsidRPr="00B26DE5">
              <w:rPr>
                <w:rFonts w:cs="Arial"/>
                <w:lang w:val="en-US"/>
              </w:rPr>
              <w:t>II</w:t>
            </w:r>
            <w:r w:rsidRPr="00B26DE5">
              <w:rPr>
                <w:rFonts w:cs="Arial"/>
              </w:rPr>
              <w:t>РАи не се препоръчва по време на първия триместър на бременността (вж. точка 4.4). Употребата на А</w:t>
            </w:r>
            <w:r w:rsidRPr="00B26DE5">
              <w:rPr>
                <w:rFonts w:cs="Arial"/>
                <w:lang w:val="en-US"/>
              </w:rPr>
              <w:t>II</w:t>
            </w:r>
            <w:r w:rsidRPr="00B26DE5">
              <w:rPr>
                <w:rFonts w:cs="Arial"/>
              </w:rPr>
              <w:t>РАи е противопоказана по време на втория и третия триместър на бременността (вж. точки 4.3 и 4.4).</w:t>
            </w:r>
          </w:p>
        </w:tc>
      </w:tr>
    </w:tbl>
    <w:p w14:paraId="57BA3027" w14:textId="61FB5E69" w:rsidR="00B26DE5" w:rsidRPr="00B26DE5" w:rsidRDefault="00B26DE5" w:rsidP="00B26DE5">
      <w:pPr>
        <w:rPr>
          <w:rFonts w:cs="Arial"/>
        </w:rPr>
      </w:pPr>
    </w:p>
    <w:p w14:paraId="18118562" w14:textId="5BD0D958" w:rsidR="00B26DE5" w:rsidRPr="00B26DE5" w:rsidRDefault="00B26DE5" w:rsidP="00B26DE5">
      <w:pPr>
        <w:spacing w:line="240" w:lineRule="auto"/>
        <w:rPr>
          <w:rFonts w:eastAsia="Times New Roman" w:cs="Arial"/>
        </w:rPr>
      </w:pPr>
      <w:r w:rsidRPr="00B26DE5">
        <w:rPr>
          <w:rFonts w:eastAsia="Times New Roman" w:cs="Arial"/>
          <w:color w:val="000000"/>
          <w:lang w:eastAsia="bg-BG"/>
        </w:rPr>
        <w:t>Епидемиологичните данни относно риска от тератогенност след експозиция на АСЕ- инхибитори през първия триместър на бременността не са убедителни, но леко повишение на риска не може да се изключи. Макар, че няма контролирани епидемиологични данни за риска с А</w:t>
      </w:r>
      <w:r w:rsidRPr="00B26DE5">
        <w:rPr>
          <w:rFonts w:eastAsia="Times New Roman" w:cs="Arial"/>
          <w:color w:val="000000"/>
          <w:lang w:val="en-US"/>
        </w:rPr>
        <w:t>II</w:t>
      </w:r>
      <w:r w:rsidRPr="00B26DE5">
        <w:rPr>
          <w:rFonts w:eastAsia="Times New Roman" w:cs="Arial"/>
          <w:color w:val="000000"/>
          <w:lang w:eastAsia="bg-BG"/>
        </w:rPr>
        <w:t>РАи, подобен риск може да съществува за този клас лекарства.</w:t>
      </w:r>
    </w:p>
    <w:p w14:paraId="7336B679" w14:textId="49396EA0" w:rsidR="00B26DE5" w:rsidRPr="00B26DE5" w:rsidRDefault="00B26DE5" w:rsidP="00B26DE5">
      <w:pPr>
        <w:spacing w:line="240" w:lineRule="auto"/>
        <w:rPr>
          <w:rFonts w:eastAsia="Times New Roman" w:cs="Arial"/>
        </w:rPr>
      </w:pPr>
      <w:r w:rsidRPr="00B26DE5">
        <w:rPr>
          <w:rFonts w:eastAsia="Times New Roman" w:cs="Arial"/>
          <w:color w:val="000000"/>
          <w:lang w:eastAsia="bg-BG"/>
        </w:rPr>
        <w:t>Освен, ако продължаването на приема на А</w:t>
      </w:r>
      <w:r w:rsidRPr="00B26DE5">
        <w:rPr>
          <w:rFonts w:eastAsia="Times New Roman" w:cs="Arial"/>
          <w:color w:val="000000"/>
          <w:lang w:val="en-US"/>
        </w:rPr>
        <w:t>II</w:t>
      </w:r>
      <w:r w:rsidRPr="00B26DE5">
        <w:rPr>
          <w:rFonts w:eastAsia="Times New Roman" w:cs="Arial"/>
          <w:color w:val="000000"/>
          <w:lang w:eastAsia="bg-BG"/>
        </w:rPr>
        <w:t>РА-и не се счита за жизнено необходима, пациентките, планиращи бременност, трябва да преминат на алтернативно антихипертензивно лечение с установен профил на безопасност при употреба по време на бременност. При установяване на бременност, лечението с А</w:t>
      </w:r>
      <w:r w:rsidRPr="00B26DE5">
        <w:rPr>
          <w:rFonts w:eastAsia="Times New Roman" w:cs="Arial"/>
          <w:color w:val="000000"/>
          <w:lang w:val="en-US"/>
        </w:rPr>
        <w:t>II</w:t>
      </w:r>
      <w:r w:rsidRPr="00B26DE5">
        <w:rPr>
          <w:rFonts w:eastAsia="Times New Roman" w:cs="Arial"/>
          <w:color w:val="000000"/>
          <w:lang w:eastAsia="bg-BG"/>
        </w:rPr>
        <w:t>РАи трябва да бъде преустановено незабавно и, ако е необходимо, да започне алтернативно лечение.</w:t>
      </w:r>
    </w:p>
    <w:p w14:paraId="7D45D731" w14:textId="77777777" w:rsidR="00B26DE5" w:rsidRDefault="00B26DE5" w:rsidP="00B26DE5">
      <w:pPr>
        <w:spacing w:line="240" w:lineRule="auto"/>
        <w:rPr>
          <w:rFonts w:eastAsia="Times New Roman" w:cs="Arial"/>
          <w:color w:val="000000"/>
          <w:lang w:eastAsia="bg-BG"/>
        </w:rPr>
      </w:pPr>
    </w:p>
    <w:p w14:paraId="150330CD" w14:textId="561EF911" w:rsidR="00B26DE5" w:rsidRPr="00B26DE5" w:rsidRDefault="00B26DE5" w:rsidP="00B26DE5">
      <w:pPr>
        <w:spacing w:line="240" w:lineRule="auto"/>
        <w:rPr>
          <w:rFonts w:eastAsia="Times New Roman" w:cs="Arial"/>
        </w:rPr>
      </w:pPr>
      <w:r w:rsidRPr="00B26DE5">
        <w:rPr>
          <w:rFonts w:eastAsia="Times New Roman" w:cs="Arial"/>
          <w:color w:val="000000"/>
          <w:lang w:eastAsia="bg-BG"/>
        </w:rPr>
        <w:t>Експозицията с А</w:t>
      </w:r>
      <w:r w:rsidRPr="00B26DE5">
        <w:rPr>
          <w:rFonts w:eastAsia="Times New Roman" w:cs="Arial"/>
          <w:color w:val="000000"/>
          <w:lang w:val="en-US"/>
        </w:rPr>
        <w:t>II</w:t>
      </w:r>
      <w:r w:rsidRPr="00B26DE5">
        <w:rPr>
          <w:rFonts w:eastAsia="Times New Roman" w:cs="Arial"/>
          <w:color w:val="000000"/>
          <w:lang w:eastAsia="bg-BG"/>
        </w:rPr>
        <w:t xml:space="preserve">РАи по време на втория и третия триместър е известно, че индуцира фетотоксичност (намалена бъбречна функция, олигохидрамнион, забавена осификация </w:t>
      </w:r>
      <w:r w:rsidRPr="00B26DE5">
        <w:rPr>
          <w:rFonts w:eastAsia="Times New Roman" w:cs="Arial"/>
          <w:color w:val="000000"/>
          <w:lang w:eastAsia="bg-BG"/>
        </w:rPr>
        <w:lastRenderedPageBreak/>
        <w:t>на черепа) и неонатална токсичност (бъбречна недостатъчност, хипотония, хиперкалиемия). (Виж точка 5.3).</w:t>
      </w:r>
    </w:p>
    <w:p w14:paraId="3673F13B"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В случай на експозиция на А</w:t>
      </w:r>
      <w:r w:rsidRPr="00B26DE5">
        <w:rPr>
          <w:rFonts w:eastAsia="Times New Roman" w:cs="Arial"/>
          <w:color w:val="000000"/>
          <w:lang w:val="en-US"/>
        </w:rPr>
        <w:t>II</w:t>
      </w:r>
      <w:r w:rsidRPr="00B26DE5">
        <w:rPr>
          <w:rFonts w:eastAsia="Times New Roman" w:cs="Arial"/>
          <w:color w:val="000000"/>
          <w:lang w:eastAsia="bg-BG"/>
        </w:rPr>
        <w:t>РАи през втория триместър на бременността се препоръчва проверка на бъбречната функция и черепа.</w:t>
      </w:r>
    </w:p>
    <w:p w14:paraId="18FA2639"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Бебета, чиито майки са приемали А</w:t>
      </w:r>
      <w:r w:rsidRPr="00B26DE5">
        <w:rPr>
          <w:rFonts w:eastAsia="Times New Roman" w:cs="Arial"/>
          <w:color w:val="000000"/>
          <w:lang w:val="en-US"/>
        </w:rPr>
        <w:t>II</w:t>
      </w:r>
      <w:r w:rsidRPr="00B26DE5">
        <w:rPr>
          <w:rFonts w:eastAsia="Times New Roman" w:cs="Arial"/>
          <w:color w:val="000000"/>
          <w:lang w:eastAsia="bg-BG"/>
        </w:rPr>
        <w:t>РАи трябва да се наблюдават внимателно за хипотония (вж. точки 4.3 и 4.4).</w:t>
      </w:r>
    </w:p>
    <w:p w14:paraId="64C78AA6" w14:textId="77777777" w:rsidR="00B26DE5" w:rsidRDefault="00B26DE5" w:rsidP="00B26DE5">
      <w:pPr>
        <w:spacing w:line="240" w:lineRule="auto"/>
        <w:rPr>
          <w:rFonts w:eastAsia="Times New Roman" w:cs="Arial"/>
          <w:strike/>
          <w:color w:val="000000"/>
          <w:lang w:eastAsia="bg-BG"/>
        </w:rPr>
      </w:pPr>
    </w:p>
    <w:p w14:paraId="4F991E9D" w14:textId="3B55C732" w:rsidR="00B26DE5" w:rsidRPr="00B26DE5" w:rsidRDefault="00B26DE5" w:rsidP="00B26DE5">
      <w:pPr>
        <w:pStyle w:val="Heading3"/>
        <w:rPr>
          <w:rFonts w:eastAsia="Times New Roman"/>
          <w:u w:val="single"/>
        </w:rPr>
      </w:pPr>
      <w:r w:rsidRPr="00B26DE5">
        <w:rPr>
          <w:rFonts w:eastAsia="Times New Roman"/>
          <w:u w:val="single"/>
          <w:lang w:eastAsia="bg-BG"/>
        </w:rPr>
        <w:t>Кърмене</w:t>
      </w:r>
    </w:p>
    <w:p w14:paraId="287BAAAF" w14:textId="60391AE8" w:rsidR="00B26DE5" w:rsidRDefault="00B26DE5" w:rsidP="00B26DE5">
      <w:pPr>
        <w:spacing w:line="240" w:lineRule="auto"/>
        <w:rPr>
          <w:rFonts w:eastAsia="Times New Roman" w:cs="Arial"/>
          <w:color w:val="000000"/>
          <w:lang w:eastAsia="bg-BG"/>
        </w:rPr>
      </w:pPr>
      <w:r w:rsidRPr="00B26DE5">
        <w:rPr>
          <w:rFonts w:eastAsia="Times New Roman" w:cs="Arial"/>
          <w:color w:val="000000"/>
          <w:lang w:eastAsia="bg-BG"/>
        </w:rPr>
        <w:t>Тъй като няма налична информация относно използването на Карбис по време на кърмене,</w:t>
      </w:r>
      <w:r w:rsidRPr="00B26DE5">
        <w:rPr>
          <w:rFonts w:eastAsia="Times New Roman" w:cs="Arial"/>
          <w:lang w:val="ru-RU"/>
        </w:rPr>
        <w:t xml:space="preserve"> </w:t>
      </w:r>
      <w:r w:rsidRPr="00B26DE5">
        <w:rPr>
          <w:rFonts w:eastAsia="Times New Roman" w:cs="Arial"/>
          <w:color w:val="000000"/>
          <w:lang w:eastAsia="bg-BG"/>
        </w:rPr>
        <w:t>Карбис не се препоръчва за употреба като за предпочитане е алтернативно лечение с по-добър профил за безопасност, установени по време на кърмене, особено по време на кърмене на новородено или на недоносено бебе.</w:t>
      </w:r>
    </w:p>
    <w:p w14:paraId="09CA0D94" w14:textId="77777777" w:rsidR="00B26DE5" w:rsidRPr="00B26DE5" w:rsidRDefault="00B26DE5" w:rsidP="00B26DE5">
      <w:pPr>
        <w:spacing w:line="240" w:lineRule="auto"/>
        <w:rPr>
          <w:rFonts w:eastAsia="Times New Roman" w:cs="Arial"/>
        </w:rPr>
      </w:pPr>
    </w:p>
    <w:p w14:paraId="5DD7A76D" w14:textId="27778B55" w:rsidR="007122AD" w:rsidRDefault="002C50EE" w:rsidP="00936AD0">
      <w:pPr>
        <w:pStyle w:val="Heading2"/>
      </w:pPr>
      <w:r>
        <w:t>4.7. Ефекти върху способността за шофиране и работа с машини</w:t>
      </w:r>
    </w:p>
    <w:p w14:paraId="302907EF" w14:textId="31221D50" w:rsidR="00B26DE5" w:rsidRDefault="00B26DE5" w:rsidP="00B26DE5"/>
    <w:p w14:paraId="7E8E2EFF" w14:textId="77777777" w:rsidR="00B26DE5" w:rsidRPr="00B26DE5" w:rsidRDefault="00B26DE5" w:rsidP="00B26DE5">
      <w:pPr>
        <w:rPr>
          <w:sz w:val="24"/>
          <w:szCs w:val="24"/>
        </w:rPr>
      </w:pPr>
      <w:r w:rsidRPr="00B26DE5">
        <w:rPr>
          <w:lang w:eastAsia="bg-BG"/>
        </w:rPr>
        <w:t>Няма проучвания за ефекта на кандесартан върху способността за шофиране и работа с машини. Въпреки това, трябва да се има предвид, че по време на лечение с Карбис може да възникнат замайване или умора.</w:t>
      </w:r>
    </w:p>
    <w:p w14:paraId="04CB5677" w14:textId="77777777" w:rsidR="00B26DE5" w:rsidRPr="00B26DE5" w:rsidRDefault="00B26DE5" w:rsidP="00B26DE5"/>
    <w:p w14:paraId="44CE30A3" w14:textId="2FADE619" w:rsidR="007122AD" w:rsidRDefault="002C50EE" w:rsidP="00936AD0">
      <w:pPr>
        <w:pStyle w:val="Heading2"/>
      </w:pPr>
      <w:r>
        <w:t>4.8. Нежелани лекарствени реакции</w:t>
      </w:r>
    </w:p>
    <w:p w14:paraId="3D61117E" w14:textId="4FE8E265" w:rsidR="00B26DE5" w:rsidRDefault="00B26DE5" w:rsidP="00B26DE5"/>
    <w:p w14:paraId="03FE59F0" w14:textId="77777777" w:rsidR="00B26DE5" w:rsidRPr="00B26DE5" w:rsidRDefault="00B26DE5" w:rsidP="00B26DE5">
      <w:pPr>
        <w:spacing w:line="240" w:lineRule="auto"/>
        <w:rPr>
          <w:rFonts w:eastAsia="Times New Roman" w:cs="Arial"/>
        </w:rPr>
      </w:pPr>
      <w:r w:rsidRPr="00B26DE5">
        <w:rPr>
          <w:rFonts w:eastAsia="Times New Roman" w:cs="Arial"/>
          <w:color w:val="000000"/>
          <w:u w:val="single"/>
          <w:lang w:eastAsia="bg-BG"/>
        </w:rPr>
        <w:t>Лечение на хипертония</w:t>
      </w:r>
    </w:p>
    <w:p w14:paraId="32719F01" w14:textId="77777777" w:rsidR="00B26DE5" w:rsidRDefault="00B26DE5" w:rsidP="00B26DE5">
      <w:pPr>
        <w:spacing w:line="240" w:lineRule="auto"/>
        <w:rPr>
          <w:rFonts w:eastAsia="Times New Roman" w:cs="Arial"/>
          <w:color w:val="000000"/>
          <w:lang w:eastAsia="bg-BG"/>
        </w:rPr>
      </w:pPr>
    </w:p>
    <w:p w14:paraId="4FCCF579" w14:textId="7DD012E4" w:rsidR="00B26DE5" w:rsidRPr="00B26DE5" w:rsidRDefault="00B26DE5" w:rsidP="00B26DE5">
      <w:pPr>
        <w:spacing w:line="240" w:lineRule="auto"/>
        <w:rPr>
          <w:rFonts w:eastAsia="Times New Roman" w:cs="Arial"/>
        </w:rPr>
      </w:pPr>
      <w:r w:rsidRPr="00B26DE5">
        <w:rPr>
          <w:rFonts w:eastAsia="Times New Roman" w:cs="Arial"/>
          <w:color w:val="000000"/>
          <w:lang w:eastAsia="bg-BG"/>
        </w:rPr>
        <w:t>При контролирани клинични проучвания нежеланите реакции са били леки и преходни. Общата честота на нежеланите събития не показва връзка с дозата или възрастта. Честотата на прекъсване на лечението поради нежелани събития е била подобна в групата с кандесартан цилексетил (3,1%) и плацебо (3,2%).</w:t>
      </w:r>
    </w:p>
    <w:p w14:paraId="77DFDC2B" w14:textId="77777777" w:rsidR="00B26DE5" w:rsidRDefault="00B26DE5" w:rsidP="00B26DE5">
      <w:pPr>
        <w:spacing w:line="240" w:lineRule="auto"/>
        <w:rPr>
          <w:rFonts w:eastAsia="Times New Roman" w:cs="Arial"/>
          <w:color w:val="000000"/>
          <w:lang w:eastAsia="bg-BG"/>
        </w:rPr>
      </w:pPr>
    </w:p>
    <w:p w14:paraId="04F20006" w14:textId="4BEDABAD" w:rsidR="00B26DE5" w:rsidRPr="00B26DE5" w:rsidRDefault="00B26DE5" w:rsidP="00B26DE5">
      <w:pPr>
        <w:spacing w:line="240" w:lineRule="auto"/>
        <w:rPr>
          <w:rFonts w:eastAsia="Times New Roman" w:cs="Arial"/>
        </w:rPr>
      </w:pPr>
      <w:r w:rsidRPr="00B26DE5">
        <w:rPr>
          <w:rFonts w:eastAsia="Times New Roman" w:cs="Arial"/>
          <w:color w:val="000000"/>
          <w:lang w:eastAsia="bg-BG"/>
        </w:rPr>
        <w:t>При един обобщен анализ на данни от клинични изпитвания на пациенти с хипертензия нежелани реакции с кандесартан цилексетил са били определени с честота най-малко с 1 % по- висока от наблюдаваната при плацебо. Съгласно това определение, най-често докладваните нежелани реакции са били замаяност/световъртеж, главоболие и респираторна инфекция.</w:t>
      </w:r>
    </w:p>
    <w:p w14:paraId="5A944C05" w14:textId="77777777" w:rsidR="00B26DE5" w:rsidRDefault="00B26DE5" w:rsidP="00B26DE5">
      <w:pPr>
        <w:spacing w:line="240" w:lineRule="auto"/>
        <w:rPr>
          <w:rFonts w:eastAsia="Times New Roman" w:cs="Arial"/>
          <w:color w:val="000000"/>
          <w:lang w:eastAsia="bg-BG"/>
        </w:rPr>
      </w:pPr>
    </w:p>
    <w:p w14:paraId="52F78A38" w14:textId="620E5308" w:rsidR="00B26DE5" w:rsidRPr="00B26DE5" w:rsidRDefault="00B26DE5" w:rsidP="00B26DE5">
      <w:pPr>
        <w:spacing w:line="240" w:lineRule="auto"/>
        <w:rPr>
          <w:rFonts w:eastAsia="Times New Roman" w:cs="Arial"/>
        </w:rPr>
      </w:pPr>
      <w:r w:rsidRPr="00B26DE5">
        <w:rPr>
          <w:rFonts w:eastAsia="Times New Roman" w:cs="Arial"/>
          <w:color w:val="000000"/>
          <w:lang w:eastAsia="bg-BG"/>
        </w:rPr>
        <w:t>В таблицата по-долу са представени нежеланите лекарствени реакции от клиничните проучвания и постмаркетинговия опит.</w:t>
      </w:r>
    </w:p>
    <w:p w14:paraId="4604356A" w14:textId="77777777" w:rsidR="00B26DE5" w:rsidRDefault="00B26DE5" w:rsidP="00B26DE5">
      <w:pPr>
        <w:spacing w:line="240" w:lineRule="auto"/>
        <w:rPr>
          <w:rFonts w:eastAsia="Times New Roman" w:cs="Arial"/>
          <w:color w:val="000000"/>
          <w:lang w:eastAsia="bg-BG"/>
        </w:rPr>
      </w:pPr>
    </w:p>
    <w:p w14:paraId="7D7E6E57" w14:textId="06354E29" w:rsidR="00B26DE5" w:rsidRPr="00B26DE5" w:rsidRDefault="00B26DE5" w:rsidP="00B26DE5">
      <w:pPr>
        <w:spacing w:line="240" w:lineRule="auto"/>
        <w:rPr>
          <w:rFonts w:eastAsia="Times New Roman" w:cs="Arial"/>
        </w:rPr>
      </w:pPr>
      <w:r w:rsidRPr="00B26DE5">
        <w:rPr>
          <w:rFonts w:eastAsia="Times New Roman" w:cs="Arial"/>
          <w:color w:val="000000"/>
          <w:lang w:eastAsia="bg-BG"/>
        </w:rPr>
        <w:t>Честотата се определя съгласно следна класификация:</w:t>
      </w:r>
    </w:p>
    <w:p w14:paraId="765C044D" w14:textId="77777777" w:rsidR="00B26DE5" w:rsidRPr="00B26DE5" w:rsidRDefault="00B26DE5" w:rsidP="00B26DE5">
      <w:pPr>
        <w:pStyle w:val="ListParagraph"/>
        <w:numPr>
          <w:ilvl w:val="0"/>
          <w:numId w:val="38"/>
        </w:numPr>
        <w:spacing w:line="240" w:lineRule="auto"/>
        <w:rPr>
          <w:rFonts w:eastAsia="Times New Roman" w:cs="Arial"/>
        </w:rPr>
      </w:pPr>
      <w:r w:rsidRPr="00B26DE5">
        <w:rPr>
          <w:rFonts w:eastAsia="Times New Roman" w:cs="Arial"/>
          <w:color w:val="000000"/>
          <w:lang w:eastAsia="bg-BG"/>
        </w:rPr>
        <w:t>Много чести (&gt;1/10)</w:t>
      </w:r>
    </w:p>
    <w:p w14:paraId="431DF230" w14:textId="77777777" w:rsidR="00B26DE5" w:rsidRPr="00B26DE5" w:rsidRDefault="00B26DE5" w:rsidP="00B26DE5">
      <w:pPr>
        <w:pStyle w:val="ListParagraph"/>
        <w:numPr>
          <w:ilvl w:val="0"/>
          <w:numId w:val="38"/>
        </w:numPr>
        <w:spacing w:line="240" w:lineRule="auto"/>
        <w:rPr>
          <w:rFonts w:eastAsia="Times New Roman" w:cs="Arial"/>
        </w:rPr>
      </w:pPr>
      <w:r w:rsidRPr="00B26DE5">
        <w:rPr>
          <w:rFonts w:eastAsia="Times New Roman" w:cs="Arial"/>
          <w:color w:val="000000"/>
          <w:lang w:eastAsia="bg-BG"/>
        </w:rPr>
        <w:t>Чести (&gt;1/100 до &lt;1/10)</w:t>
      </w:r>
    </w:p>
    <w:p w14:paraId="6EE0EAC9" w14:textId="77777777" w:rsidR="00B26DE5" w:rsidRPr="00B26DE5" w:rsidRDefault="00B26DE5" w:rsidP="00B26DE5">
      <w:pPr>
        <w:pStyle w:val="ListParagraph"/>
        <w:numPr>
          <w:ilvl w:val="0"/>
          <w:numId w:val="38"/>
        </w:numPr>
        <w:spacing w:line="240" w:lineRule="auto"/>
        <w:rPr>
          <w:rFonts w:eastAsia="Times New Roman" w:cs="Arial"/>
        </w:rPr>
      </w:pPr>
      <w:r w:rsidRPr="00B26DE5">
        <w:rPr>
          <w:rFonts w:eastAsia="Times New Roman" w:cs="Arial"/>
          <w:color w:val="000000"/>
          <w:lang w:eastAsia="bg-BG"/>
        </w:rPr>
        <w:t>Нечести (&gt;1/1 000 до &lt;1/100)</w:t>
      </w:r>
    </w:p>
    <w:p w14:paraId="459C0892" w14:textId="77777777" w:rsidR="00B26DE5" w:rsidRPr="00B26DE5" w:rsidRDefault="00B26DE5" w:rsidP="00B26DE5">
      <w:pPr>
        <w:pStyle w:val="ListParagraph"/>
        <w:numPr>
          <w:ilvl w:val="0"/>
          <w:numId w:val="38"/>
        </w:numPr>
        <w:spacing w:line="240" w:lineRule="auto"/>
        <w:rPr>
          <w:rFonts w:eastAsia="Times New Roman" w:cs="Arial"/>
        </w:rPr>
      </w:pPr>
      <w:r w:rsidRPr="00B26DE5">
        <w:rPr>
          <w:rFonts w:eastAsia="Times New Roman" w:cs="Arial"/>
          <w:color w:val="000000"/>
          <w:lang w:eastAsia="bg-BG"/>
        </w:rPr>
        <w:t>Редки (&gt;1/10 000 до &lt;1/1 000)</w:t>
      </w:r>
    </w:p>
    <w:p w14:paraId="0E01A415" w14:textId="77777777" w:rsidR="00B26DE5" w:rsidRPr="00B26DE5" w:rsidRDefault="00B26DE5" w:rsidP="00B26DE5">
      <w:pPr>
        <w:pStyle w:val="ListParagraph"/>
        <w:numPr>
          <w:ilvl w:val="0"/>
          <w:numId w:val="38"/>
        </w:numPr>
        <w:spacing w:line="240" w:lineRule="auto"/>
        <w:rPr>
          <w:rFonts w:eastAsia="Times New Roman" w:cs="Arial"/>
        </w:rPr>
      </w:pPr>
      <w:r w:rsidRPr="00B26DE5">
        <w:rPr>
          <w:rFonts w:eastAsia="Times New Roman" w:cs="Arial"/>
          <w:color w:val="000000"/>
          <w:lang w:eastAsia="bg-BG"/>
        </w:rPr>
        <w:t>Много редки (&lt;1/10 000),</w:t>
      </w:r>
    </w:p>
    <w:p w14:paraId="70006157" w14:textId="77777777" w:rsidR="00B26DE5" w:rsidRPr="00B26DE5" w:rsidRDefault="00B26DE5" w:rsidP="00B26DE5">
      <w:pPr>
        <w:pStyle w:val="ListParagraph"/>
        <w:numPr>
          <w:ilvl w:val="0"/>
          <w:numId w:val="38"/>
        </w:numPr>
        <w:spacing w:line="240" w:lineRule="auto"/>
        <w:rPr>
          <w:rFonts w:eastAsia="Times New Roman" w:cs="Arial"/>
        </w:rPr>
      </w:pPr>
      <w:r w:rsidRPr="00B26DE5">
        <w:rPr>
          <w:rFonts w:eastAsia="Times New Roman" w:cs="Arial"/>
          <w:color w:val="000000"/>
          <w:lang w:eastAsia="bg-BG"/>
        </w:rPr>
        <w:t>С неизвестна честота (честотата не може да се установи от наличните данни)</w:t>
      </w:r>
    </w:p>
    <w:p w14:paraId="34420B71" w14:textId="5A750C50" w:rsidR="00B26DE5" w:rsidRDefault="00B26DE5" w:rsidP="00B26DE5"/>
    <w:tbl>
      <w:tblPr>
        <w:tblStyle w:val="TableGrid"/>
        <w:tblW w:w="0" w:type="auto"/>
        <w:tblLook w:val="04A0" w:firstRow="1" w:lastRow="0" w:firstColumn="1" w:lastColumn="0" w:noHBand="0" w:noVBand="1"/>
      </w:tblPr>
      <w:tblGrid>
        <w:gridCol w:w="3122"/>
        <w:gridCol w:w="3089"/>
        <w:gridCol w:w="3139"/>
      </w:tblGrid>
      <w:tr w:rsidR="00B26DE5" w14:paraId="35CB5C3F" w14:textId="77777777" w:rsidTr="005D6908">
        <w:tc>
          <w:tcPr>
            <w:tcW w:w="3192" w:type="dxa"/>
            <w:vAlign w:val="bottom"/>
          </w:tcPr>
          <w:p w14:paraId="733F79D6" w14:textId="273BDC81" w:rsidR="00B26DE5" w:rsidRPr="00B26DE5" w:rsidRDefault="00B26DE5" w:rsidP="00B26DE5">
            <w:r w:rsidRPr="00B26DE5">
              <w:rPr>
                <w:b/>
                <w:bCs/>
              </w:rPr>
              <w:t>Класификация по органи и системи</w:t>
            </w:r>
          </w:p>
        </w:tc>
        <w:tc>
          <w:tcPr>
            <w:tcW w:w="3192" w:type="dxa"/>
          </w:tcPr>
          <w:p w14:paraId="6531FAF4" w14:textId="3E871B61" w:rsidR="00B26DE5" w:rsidRPr="00B26DE5" w:rsidRDefault="00B26DE5" w:rsidP="00B26DE5">
            <w:r w:rsidRPr="00B26DE5">
              <w:rPr>
                <w:b/>
                <w:bCs/>
              </w:rPr>
              <w:t>Честота</w:t>
            </w:r>
          </w:p>
        </w:tc>
        <w:tc>
          <w:tcPr>
            <w:tcW w:w="3192" w:type="dxa"/>
          </w:tcPr>
          <w:p w14:paraId="4975585A" w14:textId="60321BE6" w:rsidR="00B26DE5" w:rsidRPr="00B26DE5" w:rsidRDefault="00B26DE5" w:rsidP="00B26DE5">
            <w:r w:rsidRPr="00B26DE5">
              <w:rPr>
                <w:b/>
                <w:bCs/>
              </w:rPr>
              <w:t>Нежелани реакции</w:t>
            </w:r>
          </w:p>
        </w:tc>
      </w:tr>
      <w:tr w:rsidR="00B26DE5" w14:paraId="02828013" w14:textId="77777777" w:rsidTr="005D6908">
        <w:tc>
          <w:tcPr>
            <w:tcW w:w="3192" w:type="dxa"/>
            <w:vAlign w:val="bottom"/>
          </w:tcPr>
          <w:p w14:paraId="559EB7C6" w14:textId="7D652137" w:rsidR="00B26DE5" w:rsidRPr="00B26DE5" w:rsidRDefault="00B26DE5" w:rsidP="00B26DE5">
            <w:r w:rsidRPr="00B26DE5">
              <w:t>Инфекции и опаразитяване</w:t>
            </w:r>
          </w:p>
        </w:tc>
        <w:tc>
          <w:tcPr>
            <w:tcW w:w="3192" w:type="dxa"/>
            <w:vAlign w:val="bottom"/>
          </w:tcPr>
          <w:p w14:paraId="44FD0D6E" w14:textId="2BB832F1" w:rsidR="00B26DE5" w:rsidRPr="00B26DE5" w:rsidRDefault="00B26DE5" w:rsidP="00B26DE5">
            <w:r w:rsidRPr="00B26DE5">
              <w:t>Чести</w:t>
            </w:r>
          </w:p>
        </w:tc>
        <w:tc>
          <w:tcPr>
            <w:tcW w:w="3192" w:type="dxa"/>
            <w:vAlign w:val="bottom"/>
          </w:tcPr>
          <w:p w14:paraId="3AF92162" w14:textId="54871A0C" w:rsidR="00B26DE5" w:rsidRPr="00B26DE5" w:rsidRDefault="00B26DE5" w:rsidP="00B26DE5">
            <w:r w:rsidRPr="00B26DE5">
              <w:t>Респираторни инфекции</w:t>
            </w:r>
          </w:p>
        </w:tc>
      </w:tr>
      <w:tr w:rsidR="00B26DE5" w14:paraId="1FA67DE3" w14:textId="77777777" w:rsidTr="00B26DE5">
        <w:tc>
          <w:tcPr>
            <w:tcW w:w="3192" w:type="dxa"/>
          </w:tcPr>
          <w:p w14:paraId="637819B7" w14:textId="5DFF17AC" w:rsidR="00B26DE5" w:rsidRPr="00B26DE5" w:rsidRDefault="00B26DE5" w:rsidP="00B26DE5">
            <w:r w:rsidRPr="00B26DE5">
              <w:lastRenderedPageBreak/>
              <w:t>Нарушения на кръвта и лимфната система</w:t>
            </w:r>
          </w:p>
        </w:tc>
        <w:tc>
          <w:tcPr>
            <w:tcW w:w="3192" w:type="dxa"/>
          </w:tcPr>
          <w:p w14:paraId="117F5FE5" w14:textId="1E3C0F1B" w:rsidR="00B26DE5" w:rsidRPr="00B26DE5" w:rsidRDefault="00B26DE5" w:rsidP="00B26DE5">
            <w:r w:rsidRPr="00B26DE5">
              <w:t>Много редки</w:t>
            </w:r>
          </w:p>
        </w:tc>
        <w:tc>
          <w:tcPr>
            <w:tcW w:w="3192" w:type="dxa"/>
          </w:tcPr>
          <w:p w14:paraId="5E8E9993" w14:textId="011C4EB0" w:rsidR="00B26DE5" w:rsidRPr="00B26DE5" w:rsidRDefault="00B26DE5" w:rsidP="00B26DE5">
            <w:r w:rsidRPr="00B26DE5">
              <w:t>Левкопения, неутропения и агранулоцитоза</w:t>
            </w:r>
          </w:p>
        </w:tc>
      </w:tr>
      <w:tr w:rsidR="00B26DE5" w14:paraId="4BA3991A" w14:textId="77777777" w:rsidTr="005D6908">
        <w:tc>
          <w:tcPr>
            <w:tcW w:w="3192" w:type="dxa"/>
            <w:vAlign w:val="bottom"/>
          </w:tcPr>
          <w:p w14:paraId="51382D01" w14:textId="36035B2E" w:rsidR="00B26DE5" w:rsidRPr="00B26DE5" w:rsidRDefault="00B26DE5" w:rsidP="00B26DE5">
            <w:r w:rsidRPr="00B26DE5">
              <w:t>Нарушения на метаболизма и храненето</w:t>
            </w:r>
          </w:p>
        </w:tc>
        <w:tc>
          <w:tcPr>
            <w:tcW w:w="3192" w:type="dxa"/>
          </w:tcPr>
          <w:p w14:paraId="73235A66" w14:textId="39CDB1C1" w:rsidR="00B26DE5" w:rsidRPr="00B26DE5" w:rsidRDefault="00B26DE5" w:rsidP="00B26DE5">
            <w:r w:rsidRPr="00B26DE5">
              <w:t>Много редки</w:t>
            </w:r>
          </w:p>
        </w:tc>
        <w:tc>
          <w:tcPr>
            <w:tcW w:w="3192" w:type="dxa"/>
          </w:tcPr>
          <w:p w14:paraId="2E4FEF7F" w14:textId="23290757" w:rsidR="00B26DE5" w:rsidRPr="00B26DE5" w:rsidRDefault="00B26DE5" w:rsidP="00B26DE5">
            <w:r w:rsidRPr="00B26DE5">
              <w:t>Хиперкалиемия, хипонатриемия</w:t>
            </w:r>
          </w:p>
        </w:tc>
      </w:tr>
      <w:tr w:rsidR="00B26DE5" w14:paraId="2952AF89" w14:textId="77777777" w:rsidTr="00B26DE5">
        <w:tc>
          <w:tcPr>
            <w:tcW w:w="3192" w:type="dxa"/>
          </w:tcPr>
          <w:p w14:paraId="5E355C9A" w14:textId="780B605B" w:rsidR="00B26DE5" w:rsidRPr="00B26DE5" w:rsidRDefault="00B26DE5" w:rsidP="00B26DE5">
            <w:r w:rsidRPr="00B26DE5">
              <w:t>Нарушения на нервната система</w:t>
            </w:r>
          </w:p>
        </w:tc>
        <w:tc>
          <w:tcPr>
            <w:tcW w:w="3192" w:type="dxa"/>
          </w:tcPr>
          <w:p w14:paraId="402E57D6" w14:textId="677C7566" w:rsidR="00B26DE5" w:rsidRPr="00B26DE5" w:rsidRDefault="00B26DE5" w:rsidP="00B26DE5">
            <w:r w:rsidRPr="00B26DE5">
              <w:t>Чести</w:t>
            </w:r>
          </w:p>
        </w:tc>
        <w:tc>
          <w:tcPr>
            <w:tcW w:w="3192" w:type="dxa"/>
          </w:tcPr>
          <w:p w14:paraId="4CEC890E" w14:textId="2CB0AB17" w:rsidR="00B26DE5" w:rsidRPr="00B26DE5" w:rsidRDefault="00B26DE5" w:rsidP="00B26DE5">
            <w:r w:rsidRPr="00B26DE5">
              <w:t>Замайване/вертиго, главоболие</w:t>
            </w:r>
          </w:p>
        </w:tc>
      </w:tr>
      <w:tr w:rsidR="00B26DE5" w14:paraId="6A9E98DB" w14:textId="77777777" w:rsidTr="005D6908">
        <w:tc>
          <w:tcPr>
            <w:tcW w:w="3192" w:type="dxa"/>
            <w:vAlign w:val="bottom"/>
          </w:tcPr>
          <w:p w14:paraId="6424DF41" w14:textId="10A04D74" w:rsidR="00B26DE5" w:rsidRPr="00B26DE5" w:rsidRDefault="00B26DE5" w:rsidP="00B26DE5">
            <w:r w:rsidRPr="00B26DE5">
              <w:t>Респираторни, гръдни и медиастинални нарушения</w:t>
            </w:r>
          </w:p>
        </w:tc>
        <w:tc>
          <w:tcPr>
            <w:tcW w:w="3192" w:type="dxa"/>
          </w:tcPr>
          <w:p w14:paraId="75959B33" w14:textId="70C8022D" w:rsidR="00B26DE5" w:rsidRPr="00B26DE5" w:rsidRDefault="00B26DE5" w:rsidP="00B26DE5">
            <w:r w:rsidRPr="00B26DE5">
              <w:t>Много редки</w:t>
            </w:r>
          </w:p>
        </w:tc>
        <w:tc>
          <w:tcPr>
            <w:tcW w:w="3192" w:type="dxa"/>
          </w:tcPr>
          <w:p w14:paraId="076FE486" w14:textId="44086A8A" w:rsidR="00B26DE5" w:rsidRPr="00B26DE5" w:rsidRDefault="00B26DE5" w:rsidP="00B26DE5">
            <w:r w:rsidRPr="00B26DE5">
              <w:t>Кашлица</w:t>
            </w:r>
          </w:p>
        </w:tc>
      </w:tr>
      <w:tr w:rsidR="00B26DE5" w14:paraId="3200DF1F" w14:textId="77777777" w:rsidTr="00B26DE5">
        <w:tc>
          <w:tcPr>
            <w:tcW w:w="3192" w:type="dxa"/>
            <w:vMerge w:val="restart"/>
          </w:tcPr>
          <w:p w14:paraId="615B01E4" w14:textId="11EC0315" w:rsidR="00B26DE5" w:rsidRPr="00B26DE5" w:rsidRDefault="00B26DE5" w:rsidP="00B26DE5">
            <w:r w:rsidRPr="00B26DE5">
              <w:t>Стомашно-чревни нарушения</w:t>
            </w:r>
          </w:p>
        </w:tc>
        <w:tc>
          <w:tcPr>
            <w:tcW w:w="3192" w:type="dxa"/>
          </w:tcPr>
          <w:p w14:paraId="7B647D16" w14:textId="263EF307" w:rsidR="00B26DE5" w:rsidRPr="00B26DE5" w:rsidRDefault="00B26DE5" w:rsidP="00B26DE5">
            <w:r w:rsidRPr="00B26DE5">
              <w:t>Много редки</w:t>
            </w:r>
          </w:p>
        </w:tc>
        <w:tc>
          <w:tcPr>
            <w:tcW w:w="3192" w:type="dxa"/>
          </w:tcPr>
          <w:p w14:paraId="591FBF75" w14:textId="57FE2870" w:rsidR="00B26DE5" w:rsidRPr="00B26DE5" w:rsidRDefault="00B26DE5" w:rsidP="00B26DE5">
            <w:r w:rsidRPr="00B26DE5">
              <w:t>Гадене</w:t>
            </w:r>
          </w:p>
        </w:tc>
      </w:tr>
      <w:tr w:rsidR="00B26DE5" w14:paraId="417D3A7A" w14:textId="77777777" w:rsidTr="00B26DE5">
        <w:tc>
          <w:tcPr>
            <w:tcW w:w="3192" w:type="dxa"/>
            <w:vMerge/>
          </w:tcPr>
          <w:p w14:paraId="667C6627" w14:textId="77777777" w:rsidR="00B26DE5" w:rsidRPr="00B26DE5" w:rsidRDefault="00B26DE5" w:rsidP="00B26DE5"/>
        </w:tc>
        <w:tc>
          <w:tcPr>
            <w:tcW w:w="3192" w:type="dxa"/>
          </w:tcPr>
          <w:p w14:paraId="4D67C15B" w14:textId="4C6222CF" w:rsidR="00B26DE5" w:rsidRPr="00B26DE5" w:rsidRDefault="00B26DE5" w:rsidP="00B26DE5">
            <w:r w:rsidRPr="00B26DE5">
              <w:t>С неизвестна честота</w:t>
            </w:r>
          </w:p>
        </w:tc>
        <w:tc>
          <w:tcPr>
            <w:tcW w:w="3192" w:type="dxa"/>
          </w:tcPr>
          <w:p w14:paraId="20719C13" w14:textId="6BDE3C08" w:rsidR="00B26DE5" w:rsidRPr="00B26DE5" w:rsidRDefault="00B26DE5" w:rsidP="00B26DE5">
            <w:r w:rsidRPr="00B26DE5">
              <w:t>Диария</w:t>
            </w:r>
          </w:p>
        </w:tc>
      </w:tr>
      <w:tr w:rsidR="00B26DE5" w14:paraId="0778CB18" w14:textId="77777777" w:rsidTr="005D6908">
        <w:tc>
          <w:tcPr>
            <w:tcW w:w="3192" w:type="dxa"/>
          </w:tcPr>
          <w:p w14:paraId="7C392F49" w14:textId="47B20122" w:rsidR="00B26DE5" w:rsidRPr="00B26DE5" w:rsidRDefault="00B26DE5" w:rsidP="00B26DE5">
            <w:r w:rsidRPr="00B26DE5">
              <w:t>Хепатобилиарни нарушения</w:t>
            </w:r>
          </w:p>
        </w:tc>
        <w:tc>
          <w:tcPr>
            <w:tcW w:w="3192" w:type="dxa"/>
          </w:tcPr>
          <w:p w14:paraId="38D802F9" w14:textId="12E24381" w:rsidR="00B26DE5" w:rsidRPr="00B26DE5" w:rsidRDefault="00B26DE5" w:rsidP="00B26DE5">
            <w:r w:rsidRPr="00B26DE5">
              <w:t>Много редки</w:t>
            </w:r>
          </w:p>
        </w:tc>
        <w:tc>
          <w:tcPr>
            <w:tcW w:w="3192" w:type="dxa"/>
            <w:vAlign w:val="bottom"/>
          </w:tcPr>
          <w:p w14:paraId="51F6E33F" w14:textId="0D4470A7" w:rsidR="00B26DE5" w:rsidRPr="00B26DE5" w:rsidRDefault="00B26DE5" w:rsidP="00B26DE5">
            <w:r w:rsidRPr="00B26DE5">
              <w:t>Повишени стойности на чернодробните ензими, нарушена чернодробна функция или хепатит</w:t>
            </w:r>
          </w:p>
        </w:tc>
      </w:tr>
      <w:tr w:rsidR="00B26DE5" w14:paraId="10A576AD" w14:textId="77777777" w:rsidTr="005D6908">
        <w:tc>
          <w:tcPr>
            <w:tcW w:w="3192" w:type="dxa"/>
          </w:tcPr>
          <w:p w14:paraId="40141E14" w14:textId="15A26068" w:rsidR="00B26DE5" w:rsidRPr="00B26DE5" w:rsidRDefault="00B26DE5" w:rsidP="00B26DE5">
            <w:r w:rsidRPr="00B26DE5">
              <w:t>Нарушения на кожата и подкожната тъкан</w:t>
            </w:r>
          </w:p>
        </w:tc>
        <w:tc>
          <w:tcPr>
            <w:tcW w:w="3192" w:type="dxa"/>
          </w:tcPr>
          <w:p w14:paraId="5ED2AE3F" w14:textId="11592FEE" w:rsidR="00B26DE5" w:rsidRPr="00B26DE5" w:rsidRDefault="00B26DE5" w:rsidP="00B26DE5">
            <w:r w:rsidRPr="00B26DE5">
              <w:t>Много редки</w:t>
            </w:r>
          </w:p>
        </w:tc>
        <w:tc>
          <w:tcPr>
            <w:tcW w:w="3192" w:type="dxa"/>
            <w:vAlign w:val="bottom"/>
          </w:tcPr>
          <w:p w14:paraId="53737D94" w14:textId="25906F24" w:rsidR="00B26DE5" w:rsidRPr="00B26DE5" w:rsidRDefault="00B26DE5" w:rsidP="00B26DE5">
            <w:r w:rsidRPr="00B26DE5">
              <w:t>Ангиоедем, обрив, уртикария, сърбеж</w:t>
            </w:r>
          </w:p>
        </w:tc>
      </w:tr>
      <w:tr w:rsidR="00B26DE5" w14:paraId="4977BF34" w14:textId="77777777" w:rsidTr="00B26DE5">
        <w:tc>
          <w:tcPr>
            <w:tcW w:w="3192" w:type="dxa"/>
          </w:tcPr>
          <w:p w14:paraId="36C69182" w14:textId="220CDF9E" w:rsidR="00B26DE5" w:rsidRDefault="00B26DE5" w:rsidP="00B26DE5">
            <w:r>
              <w:t>Нарушения на мускулно- скелетната система и съединителната тъкан</w:t>
            </w:r>
          </w:p>
        </w:tc>
        <w:tc>
          <w:tcPr>
            <w:tcW w:w="3192" w:type="dxa"/>
          </w:tcPr>
          <w:p w14:paraId="7AC8E6B7" w14:textId="62EB696B" w:rsidR="00B26DE5" w:rsidRDefault="00B26DE5" w:rsidP="00B26DE5">
            <w:r>
              <w:t>Много редки</w:t>
            </w:r>
          </w:p>
        </w:tc>
        <w:tc>
          <w:tcPr>
            <w:tcW w:w="3192" w:type="dxa"/>
          </w:tcPr>
          <w:p w14:paraId="0847E70E" w14:textId="7C381079" w:rsidR="00B26DE5" w:rsidRDefault="00B26DE5" w:rsidP="00B26DE5">
            <w:r>
              <w:t>Болки в гърба, артралгия, миалгия</w:t>
            </w:r>
          </w:p>
        </w:tc>
      </w:tr>
      <w:tr w:rsidR="00B26DE5" w14:paraId="2401EAE6" w14:textId="77777777" w:rsidTr="00B26DE5">
        <w:tc>
          <w:tcPr>
            <w:tcW w:w="3192" w:type="dxa"/>
          </w:tcPr>
          <w:p w14:paraId="11EF13CC" w14:textId="0DDCF3A9" w:rsidR="00B26DE5" w:rsidRDefault="00B26DE5" w:rsidP="00B26DE5">
            <w:r>
              <w:t>Нарушения на бъбреците и пикочните пътища</w:t>
            </w:r>
          </w:p>
        </w:tc>
        <w:tc>
          <w:tcPr>
            <w:tcW w:w="3192" w:type="dxa"/>
          </w:tcPr>
          <w:p w14:paraId="1BD72DC9" w14:textId="707C5E0D" w:rsidR="00B26DE5" w:rsidRDefault="00B26DE5" w:rsidP="00B26DE5">
            <w:r>
              <w:t>Много редки</w:t>
            </w:r>
          </w:p>
        </w:tc>
        <w:tc>
          <w:tcPr>
            <w:tcW w:w="3192" w:type="dxa"/>
          </w:tcPr>
          <w:p w14:paraId="29044619" w14:textId="6E3119BF" w:rsidR="00B26DE5" w:rsidRDefault="00B26DE5" w:rsidP="00B26DE5">
            <w:r>
              <w:t>Бъбречно увреждане, включително бъбречна недостатъчност при предразположени пациенти (вж. точка 4.4)</w:t>
            </w:r>
          </w:p>
        </w:tc>
      </w:tr>
    </w:tbl>
    <w:p w14:paraId="57663EE4" w14:textId="6CB5AC7F" w:rsidR="00B26DE5" w:rsidRDefault="00B26DE5" w:rsidP="00B26DE5"/>
    <w:p w14:paraId="5E6ED6BD" w14:textId="77777777" w:rsidR="00B26DE5" w:rsidRPr="00B26DE5" w:rsidRDefault="00B26DE5" w:rsidP="00B26DE5">
      <w:pPr>
        <w:spacing w:line="240" w:lineRule="auto"/>
        <w:rPr>
          <w:rFonts w:eastAsia="Times New Roman" w:cs="Arial"/>
        </w:rPr>
      </w:pPr>
      <w:r w:rsidRPr="00B26DE5">
        <w:rPr>
          <w:rFonts w:eastAsia="Times New Roman" w:cs="Arial"/>
          <w:i/>
          <w:iCs/>
          <w:color w:val="000000"/>
          <w:lang w:eastAsia="bg-BG"/>
        </w:rPr>
        <w:t>Лабораторни изследвания</w:t>
      </w:r>
    </w:p>
    <w:p w14:paraId="7A4EFA17" w14:textId="77777777" w:rsidR="00B26DE5" w:rsidRDefault="00B26DE5" w:rsidP="00B26DE5">
      <w:pPr>
        <w:spacing w:line="240" w:lineRule="auto"/>
        <w:rPr>
          <w:rFonts w:eastAsia="Times New Roman" w:cs="Arial"/>
          <w:color w:val="000000"/>
          <w:lang w:eastAsia="bg-BG"/>
        </w:rPr>
      </w:pPr>
    </w:p>
    <w:p w14:paraId="5D31089E" w14:textId="7F3DA0CE" w:rsidR="00B26DE5" w:rsidRPr="00B26DE5" w:rsidRDefault="00B26DE5" w:rsidP="00B26DE5">
      <w:pPr>
        <w:spacing w:line="240" w:lineRule="auto"/>
        <w:rPr>
          <w:rFonts w:eastAsia="Times New Roman" w:cs="Arial"/>
        </w:rPr>
      </w:pPr>
      <w:r w:rsidRPr="00B26DE5">
        <w:rPr>
          <w:rFonts w:eastAsia="Times New Roman" w:cs="Arial"/>
          <w:color w:val="000000"/>
          <w:lang w:eastAsia="bg-BG"/>
        </w:rPr>
        <w:t>По принцип, не е открито клинически значимо повлияване на рутинните лабораторни показатели от кандесартан цилексетил. Както при другите инхибитори на ренин-ангиотензин- алдостероновата система, наблюдавано е слабо понижение на хемоглобина. Не се налага рутинно проследяване на лабораторните показатели при пациенти получаващи кандесартан цилексетил. При пациенти с бъбречно увреждане обаче, се препоръчва периодическо мониториране на нивата на серумния калий и креатинина.</w:t>
      </w:r>
    </w:p>
    <w:p w14:paraId="3C76C0E3" w14:textId="77777777" w:rsidR="00B26DE5" w:rsidRDefault="00B26DE5" w:rsidP="00B26DE5">
      <w:pPr>
        <w:spacing w:line="240" w:lineRule="auto"/>
        <w:rPr>
          <w:rFonts w:eastAsia="Times New Roman" w:cs="Arial"/>
          <w:color w:val="000000"/>
          <w:u w:val="single"/>
          <w:lang w:eastAsia="bg-BG"/>
        </w:rPr>
      </w:pPr>
    </w:p>
    <w:p w14:paraId="3D248E2F" w14:textId="42DD3CEA" w:rsidR="00B26DE5" w:rsidRPr="00B26DE5" w:rsidRDefault="00B26DE5" w:rsidP="00B26DE5">
      <w:pPr>
        <w:spacing w:line="240" w:lineRule="auto"/>
        <w:rPr>
          <w:rFonts w:eastAsia="Times New Roman" w:cs="Arial"/>
        </w:rPr>
      </w:pPr>
      <w:r w:rsidRPr="00B26DE5">
        <w:rPr>
          <w:rFonts w:eastAsia="Times New Roman" w:cs="Arial"/>
          <w:color w:val="000000"/>
          <w:u w:val="single"/>
          <w:lang w:eastAsia="bg-BG"/>
        </w:rPr>
        <w:t>Педиатрична популация</w:t>
      </w:r>
    </w:p>
    <w:p w14:paraId="55CABF9A" w14:textId="77777777" w:rsidR="00B26DE5" w:rsidRDefault="00B26DE5" w:rsidP="00B26DE5">
      <w:pPr>
        <w:spacing w:line="240" w:lineRule="auto"/>
        <w:rPr>
          <w:rFonts w:eastAsia="Times New Roman" w:cs="Arial"/>
          <w:color w:val="000000"/>
          <w:lang w:eastAsia="bg-BG"/>
        </w:rPr>
      </w:pPr>
    </w:p>
    <w:p w14:paraId="3E6F736C" w14:textId="32D2A32D" w:rsidR="00B26DE5" w:rsidRPr="00B26DE5" w:rsidRDefault="00B26DE5" w:rsidP="00B26DE5">
      <w:pPr>
        <w:spacing w:line="240" w:lineRule="auto"/>
        <w:rPr>
          <w:rFonts w:eastAsia="Times New Roman" w:cs="Arial"/>
        </w:rPr>
      </w:pPr>
      <w:r w:rsidRPr="00B26DE5">
        <w:rPr>
          <w:rFonts w:eastAsia="Times New Roman" w:cs="Arial"/>
          <w:color w:val="000000"/>
          <w:lang w:eastAsia="bg-BG"/>
        </w:rPr>
        <w:t>Безопасността на кандесартан цилексетил е проследявана в хода на 4-седмично клинично проучване за оценка на ефикасността и едногодишно открито проучване при 255 деца и юноши на възраст от 6 до &lt;18 години с артериална хипертония (вж. Точка 5.1). В почти всички отделни системно-органни класове, честотата на нежеланите лекарствени реакции при деца е в границите на честите/нечестите нежелани реакции. Макар по характер и тежест нежеланите лекарствени реакции да са сходни с тези при възрастни пациенти (вж. таблицата по-горе), при децата и юношите нежеланите лекарствени реакции са с по-висока честота, особено що се касае за:</w:t>
      </w:r>
    </w:p>
    <w:p w14:paraId="2B63E4ED" w14:textId="77777777" w:rsidR="00B26DE5" w:rsidRPr="00B26DE5" w:rsidRDefault="00B26DE5" w:rsidP="00B26DE5">
      <w:pPr>
        <w:pStyle w:val="ListParagraph"/>
        <w:numPr>
          <w:ilvl w:val="0"/>
          <w:numId w:val="38"/>
        </w:numPr>
        <w:spacing w:line="240" w:lineRule="auto"/>
        <w:rPr>
          <w:rFonts w:eastAsia="Times New Roman" w:cs="Arial"/>
        </w:rPr>
      </w:pPr>
      <w:r w:rsidRPr="00B26DE5">
        <w:rPr>
          <w:rFonts w:eastAsia="Times New Roman" w:cs="Arial"/>
          <w:color w:val="000000"/>
          <w:lang w:eastAsia="bg-BG"/>
        </w:rPr>
        <w:t>Главоболие, замайване и инфекции на горните дихателни пътища са „много чести“ (т.е.</w:t>
      </w:r>
      <w:r w:rsidRPr="00B26DE5">
        <w:rPr>
          <w:rFonts w:eastAsia="Times New Roman" w:cs="Arial"/>
          <w:color w:val="000000"/>
          <w:lang w:val="ru-RU" w:eastAsia="bg-BG"/>
        </w:rPr>
        <w:t xml:space="preserve"> </w:t>
      </w:r>
      <w:r w:rsidRPr="00B26DE5">
        <w:rPr>
          <w:rFonts w:eastAsia="Times New Roman" w:cs="Arial"/>
          <w:color w:val="000000"/>
          <w:lang w:eastAsia="bg-BG"/>
        </w:rPr>
        <w:t>≥1/10) при децата и „чести“ (≥1/100 до &lt; 1/10) при възрастните.</w:t>
      </w:r>
    </w:p>
    <w:p w14:paraId="12058A88" w14:textId="77777777" w:rsidR="00B26DE5" w:rsidRPr="00B26DE5" w:rsidRDefault="00B26DE5" w:rsidP="00B26DE5">
      <w:pPr>
        <w:pStyle w:val="ListParagraph"/>
        <w:numPr>
          <w:ilvl w:val="0"/>
          <w:numId w:val="38"/>
        </w:numPr>
        <w:spacing w:line="240" w:lineRule="auto"/>
        <w:rPr>
          <w:rFonts w:eastAsia="Times New Roman" w:cs="Arial"/>
        </w:rPr>
      </w:pPr>
      <w:r w:rsidRPr="00B26DE5">
        <w:rPr>
          <w:rFonts w:eastAsia="Times New Roman" w:cs="Arial"/>
          <w:color w:val="000000"/>
          <w:lang w:eastAsia="bg-BG"/>
        </w:rPr>
        <w:t>Кашлица е „много честа“ (т.е. &gt;1/10) при децата и „много рядка“ (&lt; 1/10 000) при възрастните.</w:t>
      </w:r>
    </w:p>
    <w:p w14:paraId="6BDE5B9F" w14:textId="77777777" w:rsidR="00B26DE5" w:rsidRPr="00B26DE5" w:rsidRDefault="00B26DE5" w:rsidP="00B26DE5">
      <w:pPr>
        <w:pStyle w:val="ListParagraph"/>
        <w:numPr>
          <w:ilvl w:val="0"/>
          <w:numId w:val="38"/>
        </w:numPr>
        <w:spacing w:line="240" w:lineRule="auto"/>
        <w:rPr>
          <w:rFonts w:eastAsia="Times New Roman" w:cs="Arial"/>
        </w:rPr>
      </w:pPr>
      <w:r w:rsidRPr="00B26DE5">
        <w:rPr>
          <w:rFonts w:eastAsia="Times New Roman" w:cs="Arial"/>
          <w:color w:val="000000"/>
          <w:lang w:eastAsia="bg-BG"/>
        </w:rPr>
        <w:lastRenderedPageBreak/>
        <w:t>Обрив е „чест“ (т.е. ≥1/100 до &lt; 1/10) при децата и „много рядък“ (&lt; 1/10 000) при възрастните.</w:t>
      </w:r>
    </w:p>
    <w:p w14:paraId="39B75D60" w14:textId="77777777" w:rsidR="00B26DE5" w:rsidRPr="00B26DE5" w:rsidRDefault="00B26DE5" w:rsidP="00B26DE5">
      <w:pPr>
        <w:pStyle w:val="ListParagraph"/>
        <w:numPr>
          <w:ilvl w:val="0"/>
          <w:numId w:val="38"/>
        </w:numPr>
        <w:spacing w:line="240" w:lineRule="auto"/>
        <w:rPr>
          <w:rFonts w:eastAsia="Times New Roman" w:cs="Arial"/>
        </w:rPr>
      </w:pPr>
      <w:r w:rsidRPr="00B26DE5">
        <w:rPr>
          <w:rFonts w:eastAsia="Times New Roman" w:cs="Arial"/>
          <w:color w:val="000000"/>
          <w:lang w:eastAsia="bg-BG"/>
        </w:rPr>
        <w:t>Хиперкалиемия, хипонатриемия и отклонения в чернодробната функция са „нечести“ (≥1/1 000 до &lt;1/100) при децата и „много редки“ (&lt; 1/10 000) при възрастните.</w:t>
      </w:r>
    </w:p>
    <w:p w14:paraId="180B19A7" w14:textId="1D17EBA2" w:rsidR="00B26DE5" w:rsidRPr="00B26DE5" w:rsidRDefault="00B26DE5" w:rsidP="00B26DE5">
      <w:pPr>
        <w:pStyle w:val="ListParagraph"/>
        <w:numPr>
          <w:ilvl w:val="0"/>
          <w:numId w:val="38"/>
        </w:numPr>
        <w:spacing w:line="240" w:lineRule="auto"/>
        <w:rPr>
          <w:rFonts w:eastAsia="Times New Roman" w:cs="Arial"/>
        </w:rPr>
      </w:pPr>
      <w:r w:rsidRPr="00B26DE5">
        <w:rPr>
          <w:rFonts w:eastAsia="Times New Roman" w:cs="Arial"/>
          <w:color w:val="000000"/>
          <w:lang w:eastAsia="bg-BG"/>
        </w:rPr>
        <w:t>Синусова аритмия, назофарингит и хиперпирексия са „чести“ (т.е. ≥1/100 до &lt; 1/10) при децата, а орофарингиалната болка - „много честа“ (т.е. ≥1/10), докато при възрастните няма съобщения за нито една от тези нежелани реакции. Те обаче са временни и широко разпространени детски заболявания.</w:t>
      </w:r>
    </w:p>
    <w:p w14:paraId="104309ED" w14:textId="77777777" w:rsidR="00B26DE5" w:rsidRDefault="00B26DE5" w:rsidP="00B26DE5">
      <w:pPr>
        <w:spacing w:line="240" w:lineRule="auto"/>
        <w:rPr>
          <w:rFonts w:eastAsia="Times New Roman" w:cs="Arial"/>
          <w:color w:val="000000"/>
          <w:lang w:eastAsia="bg-BG"/>
        </w:rPr>
      </w:pPr>
    </w:p>
    <w:p w14:paraId="7CE3EC4A" w14:textId="6E0FF80C" w:rsidR="00B26DE5" w:rsidRPr="00B26DE5" w:rsidRDefault="00B26DE5" w:rsidP="00B26DE5">
      <w:pPr>
        <w:spacing w:line="240" w:lineRule="auto"/>
        <w:rPr>
          <w:rFonts w:eastAsia="Times New Roman" w:cs="Arial"/>
        </w:rPr>
      </w:pPr>
      <w:r w:rsidRPr="00B26DE5">
        <w:rPr>
          <w:rFonts w:eastAsia="Times New Roman" w:cs="Arial"/>
          <w:color w:val="000000"/>
          <w:lang w:eastAsia="bg-BG"/>
        </w:rPr>
        <w:t>Цялостният профил на безопасност на кандесартан цилекстил при педиатрични пациенти не се различава значитено от профила н</w:t>
      </w:r>
      <w:r>
        <w:rPr>
          <w:rFonts w:eastAsia="Times New Roman" w:cs="Arial"/>
          <w:color w:val="000000"/>
          <w:lang w:eastAsia="bg-BG"/>
        </w:rPr>
        <w:t>а безопасност при възрастните.</w:t>
      </w:r>
    </w:p>
    <w:p w14:paraId="1E627634" w14:textId="77777777" w:rsidR="00B26DE5" w:rsidRDefault="00B26DE5" w:rsidP="00B26DE5">
      <w:pPr>
        <w:spacing w:line="240" w:lineRule="auto"/>
        <w:rPr>
          <w:rFonts w:eastAsia="Times New Roman" w:cs="Arial"/>
          <w:color w:val="000000"/>
          <w:u w:val="single"/>
          <w:lang w:eastAsia="bg-BG"/>
        </w:rPr>
      </w:pPr>
    </w:p>
    <w:p w14:paraId="4EECBDCE" w14:textId="76E08530" w:rsidR="00B26DE5" w:rsidRPr="00B26DE5" w:rsidRDefault="00B26DE5" w:rsidP="00B26DE5">
      <w:pPr>
        <w:spacing w:line="240" w:lineRule="auto"/>
        <w:rPr>
          <w:rFonts w:eastAsia="Times New Roman" w:cs="Arial"/>
        </w:rPr>
      </w:pPr>
      <w:r w:rsidRPr="00B26DE5">
        <w:rPr>
          <w:rFonts w:eastAsia="Times New Roman" w:cs="Arial"/>
          <w:color w:val="000000"/>
          <w:u w:val="single"/>
          <w:lang w:eastAsia="bg-BG"/>
        </w:rPr>
        <w:t>Лечение на сърдечна недостатъчност</w:t>
      </w:r>
    </w:p>
    <w:p w14:paraId="165669AA" w14:textId="77777777" w:rsidR="00B26DE5" w:rsidRDefault="00B26DE5" w:rsidP="00B26DE5">
      <w:pPr>
        <w:spacing w:line="240" w:lineRule="auto"/>
        <w:rPr>
          <w:rFonts w:eastAsia="Times New Roman" w:cs="Arial"/>
          <w:color w:val="000000"/>
          <w:lang w:eastAsia="bg-BG"/>
        </w:rPr>
      </w:pPr>
    </w:p>
    <w:p w14:paraId="6B3A6977" w14:textId="75ABCDA1" w:rsidR="00B26DE5" w:rsidRDefault="00B26DE5" w:rsidP="00B26DE5">
      <w:pPr>
        <w:spacing w:line="240" w:lineRule="auto"/>
        <w:rPr>
          <w:rFonts w:eastAsia="Times New Roman" w:cs="Arial"/>
          <w:color w:val="000000"/>
          <w:lang w:eastAsia="bg-BG"/>
        </w:rPr>
      </w:pPr>
      <w:r w:rsidRPr="00B26DE5">
        <w:rPr>
          <w:rFonts w:eastAsia="Times New Roman" w:cs="Arial"/>
          <w:color w:val="000000"/>
          <w:lang w:eastAsia="bg-BG"/>
        </w:rPr>
        <w:t xml:space="preserve">Профилът на нежеланите събития на кандесартан цилексетил при възрастни пациенти със сърдечна недостатъчност съответства на фармакологичните свойства на лекарството и на здравното състояние на пациентите. В клиничната програма </w:t>
      </w:r>
      <w:r w:rsidRPr="00B26DE5">
        <w:rPr>
          <w:rFonts w:eastAsia="Times New Roman" w:cs="Arial"/>
          <w:color w:val="000000"/>
          <w:lang w:val="en-US"/>
        </w:rPr>
        <w:t>CHARM</w:t>
      </w:r>
      <w:r w:rsidRPr="00B26DE5">
        <w:rPr>
          <w:rFonts w:eastAsia="Times New Roman" w:cs="Arial"/>
          <w:color w:val="000000"/>
          <w:lang w:val="ru-RU"/>
        </w:rPr>
        <w:t xml:space="preserve">, </w:t>
      </w:r>
      <w:r w:rsidRPr="00B26DE5">
        <w:rPr>
          <w:rFonts w:eastAsia="Times New Roman" w:cs="Arial"/>
          <w:color w:val="000000"/>
          <w:lang w:eastAsia="bg-BG"/>
        </w:rPr>
        <w:t xml:space="preserve">сравняваща кандесартан цилексетил в дози до 32 </w:t>
      </w:r>
      <w:r w:rsidRPr="00B26DE5">
        <w:rPr>
          <w:rFonts w:eastAsia="Times New Roman" w:cs="Arial"/>
          <w:color w:val="000000"/>
          <w:lang w:val="en-US"/>
        </w:rPr>
        <w:t>mg</w:t>
      </w:r>
      <w:r w:rsidRPr="00B26DE5">
        <w:rPr>
          <w:rFonts w:eastAsia="Times New Roman" w:cs="Arial"/>
          <w:color w:val="000000"/>
          <w:lang w:val="ru-RU"/>
        </w:rPr>
        <w:t xml:space="preserve"> </w:t>
      </w:r>
      <w:r w:rsidRPr="00B26DE5">
        <w:rPr>
          <w:rFonts w:eastAsia="Times New Roman" w:cs="Arial"/>
          <w:color w:val="000000"/>
          <w:lang w:eastAsia="bg-BG"/>
        </w:rPr>
        <w:t>(</w:t>
      </w:r>
      <w:r w:rsidRPr="00B26DE5">
        <w:rPr>
          <w:rFonts w:eastAsia="Times New Roman" w:cs="Arial"/>
          <w:color w:val="000000"/>
          <w:lang w:val="en-US"/>
        </w:rPr>
        <w:t>n</w:t>
      </w:r>
      <w:r w:rsidRPr="00B26DE5">
        <w:rPr>
          <w:rFonts w:eastAsia="Times New Roman" w:cs="Arial"/>
          <w:color w:val="000000"/>
          <w:lang w:eastAsia="bg-BG"/>
        </w:rPr>
        <w:t>=3,803) с плацебо (</w:t>
      </w:r>
      <w:r w:rsidRPr="00B26DE5">
        <w:rPr>
          <w:rFonts w:eastAsia="Times New Roman" w:cs="Arial"/>
          <w:color w:val="000000"/>
          <w:lang w:val="en-US"/>
        </w:rPr>
        <w:t>n</w:t>
      </w:r>
      <w:r w:rsidRPr="00B26DE5">
        <w:rPr>
          <w:rFonts w:eastAsia="Times New Roman" w:cs="Arial"/>
          <w:color w:val="000000"/>
          <w:lang w:eastAsia="bg-BG"/>
        </w:rPr>
        <w:t>=3,796), 21,0% от болните в групата с кандесартан цилексетил и 16,1 % от групата с плацебо са преустановили лечението поради нежелани събития. Най-често докладваните нежелани реакции са хиперкалиемия,</w:t>
      </w:r>
      <w:r w:rsidRPr="00B26DE5">
        <w:rPr>
          <w:rFonts w:eastAsia="Times New Roman" w:cs="Arial"/>
          <w:color w:val="000000"/>
          <w:lang w:val="ru-RU"/>
        </w:rPr>
        <w:t xml:space="preserve"> </w:t>
      </w:r>
      <w:r w:rsidRPr="00B26DE5">
        <w:rPr>
          <w:rFonts w:eastAsia="Times New Roman" w:cs="Arial"/>
          <w:color w:val="000000"/>
          <w:lang w:eastAsia="bg-BG"/>
        </w:rPr>
        <w:t>хипотония и бъбречна недостатъчност. Тези събития са по-чести при пациенти над 70-годишна възраст, диабетици, или лицата, които са получавали други лекарствени продукти, които влияят на системата ренин-ангиотензин-алдостерон, по-специално АСЕ-инхибитор и/или спиронолактон</w:t>
      </w:r>
    </w:p>
    <w:p w14:paraId="5AFCA1A2" w14:textId="28D19F57" w:rsidR="00B26DE5" w:rsidRDefault="00B26DE5" w:rsidP="00B26DE5">
      <w:pPr>
        <w:spacing w:line="240" w:lineRule="auto"/>
        <w:rPr>
          <w:rFonts w:eastAsia="Times New Roman" w:cs="Arial"/>
          <w:color w:val="000000"/>
          <w:lang w:eastAsia="bg-BG"/>
        </w:rPr>
      </w:pPr>
    </w:p>
    <w:p w14:paraId="1289A5D1" w14:textId="473BF8E1" w:rsidR="00B26DE5" w:rsidRDefault="00B26DE5" w:rsidP="00B26DE5">
      <w:pPr>
        <w:rPr>
          <w:lang w:eastAsia="bg-BG"/>
        </w:rPr>
      </w:pPr>
      <w:r w:rsidRPr="00B26DE5">
        <w:rPr>
          <w:lang w:eastAsia="bg-BG"/>
        </w:rPr>
        <w:t>В таблицата по-долу са представени нежелани лекарствени реакции от клинични изпитвания и пост-маркетингов опит</w:t>
      </w:r>
    </w:p>
    <w:p w14:paraId="62C7B51D" w14:textId="77777777" w:rsidR="00B26DE5" w:rsidRPr="00B26DE5" w:rsidRDefault="00B26DE5" w:rsidP="00B26DE5">
      <w:pPr>
        <w:rPr>
          <w:sz w:val="24"/>
          <w:szCs w:val="24"/>
        </w:rPr>
      </w:pPr>
    </w:p>
    <w:tbl>
      <w:tblPr>
        <w:tblStyle w:val="TableGrid"/>
        <w:tblW w:w="0" w:type="auto"/>
        <w:tblLook w:val="04A0" w:firstRow="1" w:lastRow="0" w:firstColumn="1" w:lastColumn="0" w:noHBand="0" w:noVBand="1"/>
      </w:tblPr>
      <w:tblGrid>
        <w:gridCol w:w="3129"/>
        <w:gridCol w:w="3086"/>
        <w:gridCol w:w="3135"/>
      </w:tblGrid>
      <w:tr w:rsidR="00B26DE5" w14:paraId="67F24CC1" w14:textId="77777777" w:rsidTr="00D10460">
        <w:tc>
          <w:tcPr>
            <w:tcW w:w="3192" w:type="dxa"/>
            <w:vAlign w:val="bottom"/>
          </w:tcPr>
          <w:p w14:paraId="038CC5F8" w14:textId="0DC58E53" w:rsidR="00B26DE5" w:rsidRPr="00B26DE5" w:rsidRDefault="00B26DE5" w:rsidP="00B26DE5">
            <w:pPr>
              <w:spacing w:line="240" w:lineRule="auto"/>
              <w:rPr>
                <w:rFonts w:eastAsia="Times New Roman" w:cs="Arial"/>
              </w:rPr>
            </w:pPr>
            <w:r w:rsidRPr="00B26DE5">
              <w:rPr>
                <w:b/>
                <w:bCs/>
              </w:rPr>
              <w:t>Класификация по органи и системи</w:t>
            </w:r>
          </w:p>
        </w:tc>
        <w:tc>
          <w:tcPr>
            <w:tcW w:w="3192" w:type="dxa"/>
          </w:tcPr>
          <w:p w14:paraId="4A936AF9" w14:textId="6EF1C23E" w:rsidR="00B26DE5" w:rsidRPr="00B26DE5" w:rsidRDefault="00B26DE5" w:rsidP="00B26DE5">
            <w:pPr>
              <w:spacing w:line="240" w:lineRule="auto"/>
              <w:rPr>
                <w:rFonts w:eastAsia="Times New Roman" w:cs="Arial"/>
              </w:rPr>
            </w:pPr>
            <w:r w:rsidRPr="00B26DE5">
              <w:rPr>
                <w:b/>
                <w:bCs/>
              </w:rPr>
              <w:t>Честота</w:t>
            </w:r>
          </w:p>
        </w:tc>
        <w:tc>
          <w:tcPr>
            <w:tcW w:w="3192" w:type="dxa"/>
          </w:tcPr>
          <w:p w14:paraId="147BAEEC" w14:textId="4BB5B84A" w:rsidR="00B26DE5" w:rsidRPr="00B26DE5" w:rsidRDefault="00B26DE5" w:rsidP="00B26DE5">
            <w:pPr>
              <w:spacing w:line="240" w:lineRule="auto"/>
              <w:rPr>
                <w:rFonts w:eastAsia="Times New Roman" w:cs="Arial"/>
              </w:rPr>
            </w:pPr>
            <w:r w:rsidRPr="00B26DE5">
              <w:rPr>
                <w:b/>
                <w:bCs/>
              </w:rPr>
              <w:t>Нежелани реакции</w:t>
            </w:r>
          </w:p>
        </w:tc>
      </w:tr>
      <w:tr w:rsidR="00B26DE5" w14:paraId="74056D16" w14:textId="77777777" w:rsidTr="00D10460">
        <w:tc>
          <w:tcPr>
            <w:tcW w:w="3192" w:type="dxa"/>
            <w:vAlign w:val="bottom"/>
          </w:tcPr>
          <w:p w14:paraId="55776AB8" w14:textId="156BBACA" w:rsidR="00B26DE5" w:rsidRPr="00B26DE5" w:rsidRDefault="00B26DE5" w:rsidP="00B26DE5">
            <w:pPr>
              <w:spacing w:line="240" w:lineRule="auto"/>
              <w:rPr>
                <w:rFonts w:eastAsia="Times New Roman" w:cs="Arial"/>
              </w:rPr>
            </w:pPr>
            <w:r w:rsidRPr="00B26DE5">
              <w:t>Нарушения на кръвта и лимфната система</w:t>
            </w:r>
          </w:p>
        </w:tc>
        <w:tc>
          <w:tcPr>
            <w:tcW w:w="3192" w:type="dxa"/>
            <w:vAlign w:val="bottom"/>
          </w:tcPr>
          <w:p w14:paraId="6145F02E" w14:textId="60E98AEF" w:rsidR="00B26DE5" w:rsidRPr="00B26DE5" w:rsidRDefault="00B26DE5" w:rsidP="00B26DE5">
            <w:pPr>
              <w:spacing w:line="240" w:lineRule="auto"/>
              <w:rPr>
                <w:rFonts w:eastAsia="Times New Roman" w:cs="Arial"/>
              </w:rPr>
            </w:pPr>
            <w:r w:rsidRPr="00B26DE5">
              <w:t>Много редки</w:t>
            </w:r>
          </w:p>
        </w:tc>
        <w:tc>
          <w:tcPr>
            <w:tcW w:w="3192" w:type="dxa"/>
            <w:vAlign w:val="bottom"/>
          </w:tcPr>
          <w:p w14:paraId="531BFEA9" w14:textId="7A83CB76" w:rsidR="00B26DE5" w:rsidRPr="00B26DE5" w:rsidRDefault="00B26DE5" w:rsidP="00B26DE5">
            <w:pPr>
              <w:spacing w:line="240" w:lineRule="auto"/>
              <w:rPr>
                <w:rFonts w:eastAsia="Times New Roman" w:cs="Arial"/>
              </w:rPr>
            </w:pPr>
            <w:r w:rsidRPr="00B26DE5">
              <w:t>Левкопения, неутропения и агранулоцитоза</w:t>
            </w:r>
          </w:p>
        </w:tc>
      </w:tr>
      <w:tr w:rsidR="00B26DE5" w14:paraId="101F8A6E" w14:textId="77777777" w:rsidTr="00B26DE5">
        <w:tc>
          <w:tcPr>
            <w:tcW w:w="3192" w:type="dxa"/>
            <w:vMerge w:val="restart"/>
          </w:tcPr>
          <w:p w14:paraId="0F36E114" w14:textId="2D216980" w:rsidR="00B26DE5" w:rsidRPr="00B26DE5" w:rsidRDefault="00B26DE5" w:rsidP="00B26DE5">
            <w:pPr>
              <w:spacing w:line="240" w:lineRule="auto"/>
              <w:rPr>
                <w:rFonts w:eastAsia="Times New Roman" w:cs="Arial"/>
              </w:rPr>
            </w:pPr>
            <w:r w:rsidRPr="00B26DE5">
              <w:t>Нарушения на метаболизма и храненето</w:t>
            </w:r>
          </w:p>
        </w:tc>
        <w:tc>
          <w:tcPr>
            <w:tcW w:w="3192" w:type="dxa"/>
          </w:tcPr>
          <w:p w14:paraId="476567F3" w14:textId="75D9223F" w:rsidR="00B26DE5" w:rsidRPr="00B26DE5" w:rsidRDefault="00B26DE5" w:rsidP="00B26DE5">
            <w:pPr>
              <w:spacing w:line="240" w:lineRule="auto"/>
              <w:rPr>
                <w:rFonts w:eastAsia="Times New Roman" w:cs="Arial"/>
              </w:rPr>
            </w:pPr>
            <w:r w:rsidRPr="00B26DE5">
              <w:t>Чести</w:t>
            </w:r>
          </w:p>
        </w:tc>
        <w:tc>
          <w:tcPr>
            <w:tcW w:w="3192" w:type="dxa"/>
          </w:tcPr>
          <w:p w14:paraId="1851AB26" w14:textId="2603C76B" w:rsidR="00B26DE5" w:rsidRPr="00B26DE5" w:rsidRDefault="00B26DE5" w:rsidP="00B26DE5">
            <w:pPr>
              <w:spacing w:line="240" w:lineRule="auto"/>
              <w:rPr>
                <w:rFonts w:eastAsia="Times New Roman" w:cs="Arial"/>
              </w:rPr>
            </w:pPr>
            <w:r w:rsidRPr="00B26DE5">
              <w:t>Хиперкалиемия</w:t>
            </w:r>
          </w:p>
        </w:tc>
      </w:tr>
      <w:tr w:rsidR="00B26DE5" w14:paraId="04CD41BE" w14:textId="77777777" w:rsidTr="00D10460">
        <w:tc>
          <w:tcPr>
            <w:tcW w:w="3192" w:type="dxa"/>
            <w:vMerge/>
          </w:tcPr>
          <w:p w14:paraId="250E453A" w14:textId="77777777" w:rsidR="00B26DE5" w:rsidRPr="00B26DE5" w:rsidRDefault="00B26DE5" w:rsidP="00B26DE5">
            <w:pPr>
              <w:spacing w:line="240" w:lineRule="auto"/>
              <w:rPr>
                <w:rFonts w:eastAsia="Times New Roman" w:cs="Arial"/>
              </w:rPr>
            </w:pPr>
          </w:p>
        </w:tc>
        <w:tc>
          <w:tcPr>
            <w:tcW w:w="3192" w:type="dxa"/>
            <w:vAlign w:val="bottom"/>
          </w:tcPr>
          <w:p w14:paraId="2F827C71" w14:textId="7A062983" w:rsidR="00B26DE5" w:rsidRPr="00B26DE5" w:rsidRDefault="00B26DE5" w:rsidP="00B26DE5">
            <w:pPr>
              <w:spacing w:line="240" w:lineRule="auto"/>
              <w:rPr>
                <w:rFonts w:eastAsia="Times New Roman" w:cs="Arial"/>
              </w:rPr>
            </w:pPr>
            <w:r w:rsidRPr="00B26DE5">
              <w:t>Много редки</w:t>
            </w:r>
          </w:p>
        </w:tc>
        <w:tc>
          <w:tcPr>
            <w:tcW w:w="3192" w:type="dxa"/>
          </w:tcPr>
          <w:p w14:paraId="3BECC1A2" w14:textId="59737808" w:rsidR="00B26DE5" w:rsidRPr="00B26DE5" w:rsidRDefault="00B26DE5" w:rsidP="00B26DE5">
            <w:pPr>
              <w:spacing w:line="240" w:lineRule="auto"/>
              <w:rPr>
                <w:rFonts w:eastAsia="Times New Roman" w:cs="Arial"/>
              </w:rPr>
            </w:pPr>
            <w:r w:rsidRPr="00B26DE5">
              <w:t>Замаяност, главоболие</w:t>
            </w:r>
          </w:p>
        </w:tc>
      </w:tr>
      <w:tr w:rsidR="00B26DE5" w14:paraId="2C435121" w14:textId="77777777" w:rsidTr="00D10460">
        <w:tc>
          <w:tcPr>
            <w:tcW w:w="3192" w:type="dxa"/>
            <w:vAlign w:val="bottom"/>
          </w:tcPr>
          <w:p w14:paraId="515FB9FD" w14:textId="3DD0A50C" w:rsidR="00B26DE5" w:rsidRPr="00B26DE5" w:rsidRDefault="00B26DE5" w:rsidP="00B26DE5">
            <w:pPr>
              <w:spacing w:line="240" w:lineRule="auto"/>
              <w:rPr>
                <w:rFonts w:eastAsia="Times New Roman" w:cs="Arial"/>
              </w:rPr>
            </w:pPr>
            <w:r w:rsidRPr="00B26DE5">
              <w:t>Съдови нарушения</w:t>
            </w:r>
          </w:p>
        </w:tc>
        <w:tc>
          <w:tcPr>
            <w:tcW w:w="3192" w:type="dxa"/>
            <w:vAlign w:val="bottom"/>
          </w:tcPr>
          <w:p w14:paraId="606EFFF1" w14:textId="0858848C" w:rsidR="00B26DE5" w:rsidRPr="00B26DE5" w:rsidRDefault="00B26DE5" w:rsidP="00B26DE5">
            <w:pPr>
              <w:spacing w:line="240" w:lineRule="auto"/>
              <w:rPr>
                <w:rFonts w:eastAsia="Times New Roman" w:cs="Arial"/>
              </w:rPr>
            </w:pPr>
            <w:r w:rsidRPr="00B26DE5">
              <w:t>Чести</w:t>
            </w:r>
          </w:p>
        </w:tc>
        <w:tc>
          <w:tcPr>
            <w:tcW w:w="3192" w:type="dxa"/>
            <w:vAlign w:val="bottom"/>
          </w:tcPr>
          <w:p w14:paraId="1D5DA302" w14:textId="46E19167" w:rsidR="00B26DE5" w:rsidRPr="00B26DE5" w:rsidRDefault="00B26DE5" w:rsidP="00B26DE5">
            <w:pPr>
              <w:spacing w:line="240" w:lineRule="auto"/>
              <w:rPr>
                <w:rFonts w:eastAsia="Times New Roman" w:cs="Arial"/>
              </w:rPr>
            </w:pPr>
            <w:r w:rsidRPr="00B26DE5">
              <w:t>Хипотензия</w:t>
            </w:r>
          </w:p>
        </w:tc>
      </w:tr>
      <w:tr w:rsidR="00B26DE5" w14:paraId="244D61FA" w14:textId="77777777" w:rsidTr="00D10460">
        <w:tc>
          <w:tcPr>
            <w:tcW w:w="3192" w:type="dxa"/>
          </w:tcPr>
          <w:p w14:paraId="2D8C2AD1" w14:textId="5693EC24" w:rsidR="00B26DE5" w:rsidRPr="00B26DE5" w:rsidRDefault="00B26DE5" w:rsidP="00B26DE5">
            <w:pPr>
              <w:spacing w:line="240" w:lineRule="auto"/>
              <w:rPr>
                <w:rFonts w:eastAsia="Times New Roman" w:cs="Arial"/>
              </w:rPr>
            </w:pPr>
            <w:r w:rsidRPr="00B26DE5">
              <w:t>Стомашно-чревни нарушения</w:t>
            </w:r>
          </w:p>
        </w:tc>
        <w:tc>
          <w:tcPr>
            <w:tcW w:w="3192" w:type="dxa"/>
            <w:vAlign w:val="bottom"/>
          </w:tcPr>
          <w:p w14:paraId="755366DE" w14:textId="03D7051D" w:rsidR="00B26DE5" w:rsidRPr="00B26DE5" w:rsidRDefault="00B26DE5" w:rsidP="00B26DE5">
            <w:pPr>
              <w:spacing w:line="240" w:lineRule="auto"/>
              <w:rPr>
                <w:rFonts w:eastAsia="Times New Roman" w:cs="Arial"/>
              </w:rPr>
            </w:pPr>
            <w:r w:rsidRPr="00B26DE5">
              <w:t>Много редки</w:t>
            </w:r>
          </w:p>
        </w:tc>
        <w:tc>
          <w:tcPr>
            <w:tcW w:w="3192" w:type="dxa"/>
          </w:tcPr>
          <w:p w14:paraId="1B9E55C7" w14:textId="6AEBC974" w:rsidR="00B26DE5" w:rsidRPr="00B26DE5" w:rsidRDefault="00B26DE5" w:rsidP="00B26DE5">
            <w:pPr>
              <w:spacing w:line="240" w:lineRule="auto"/>
              <w:rPr>
                <w:rFonts w:eastAsia="Times New Roman" w:cs="Arial"/>
              </w:rPr>
            </w:pPr>
            <w:r w:rsidRPr="00B26DE5">
              <w:t>Гадене</w:t>
            </w:r>
          </w:p>
        </w:tc>
      </w:tr>
      <w:tr w:rsidR="00B26DE5" w14:paraId="72C8A0E9" w14:textId="77777777" w:rsidTr="00D10460">
        <w:tc>
          <w:tcPr>
            <w:tcW w:w="3192" w:type="dxa"/>
          </w:tcPr>
          <w:p w14:paraId="47B46D84" w14:textId="729C4F83" w:rsidR="00B26DE5" w:rsidRPr="00B26DE5" w:rsidRDefault="00B26DE5" w:rsidP="00B26DE5">
            <w:pPr>
              <w:spacing w:line="240" w:lineRule="auto"/>
              <w:rPr>
                <w:rFonts w:eastAsia="Times New Roman" w:cs="Arial"/>
              </w:rPr>
            </w:pPr>
            <w:r w:rsidRPr="00B26DE5">
              <w:t>Хепатобилиарни нарушения</w:t>
            </w:r>
          </w:p>
        </w:tc>
        <w:tc>
          <w:tcPr>
            <w:tcW w:w="3192" w:type="dxa"/>
          </w:tcPr>
          <w:p w14:paraId="6FDA358B" w14:textId="71A355D7" w:rsidR="00B26DE5" w:rsidRPr="00B26DE5" w:rsidRDefault="00B26DE5" w:rsidP="00B26DE5">
            <w:pPr>
              <w:spacing w:line="240" w:lineRule="auto"/>
              <w:rPr>
                <w:rFonts w:eastAsia="Times New Roman" w:cs="Arial"/>
              </w:rPr>
            </w:pPr>
            <w:r w:rsidRPr="00B26DE5">
              <w:t>Много редки</w:t>
            </w:r>
          </w:p>
        </w:tc>
        <w:tc>
          <w:tcPr>
            <w:tcW w:w="3192" w:type="dxa"/>
            <w:vAlign w:val="bottom"/>
          </w:tcPr>
          <w:p w14:paraId="21451879" w14:textId="2220FFAF" w:rsidR="00B26DE5" w:rsidRPr="00B26DE5" w:rsidRDefault="00B26DE5" w:rsidP="00B26DE5">
            <w:pPr>
              <w:spacing w:line="240" w:lineRule="auto"/>
              <w:rPr>
                <w:rFonts w:eastAsia="Times New Roman" w:cs="Arial"/>
              </w:rPr>
            </w:pPr>
            <w:r w:rsidRPr="00B26DE5">
              <w:t>Повишени стойности на чернодробните ензими, нарушена чернодробна функция или хепатит</w:t>
            </w:r>
          </w:p>
        </w:tc>
      </w:tr>
      <w:tr w:rsidR="00B26DE5" w14:paraId="6C3EFF09" w14:textId="77777777" w:rsidTr="00D10460">
        <w:tc>
          <w:tcPr>
            <w:tcW w:w="3192" w:type="dxa"/>
            <w:vAlign w:val="bottom"/>
          </w:tcPr>
          <w:p w14:paraId="15D20B60" w14:textId="66FDA9AC" w:rsidR="00B26DE5" w:rsidRPr="00B26DE5" w:rsidRDefault="00B26DE5" w:rsidP="00B26DE5">
            <w:pPr>
              <w:spacing w:line="240" w:lineRule="auto"/>
              <w:rPr>
                <w:rFonts w:eastAsia="Times New Roman" w:cs="Arial"/>
              </w:rPr>
            </w:pPr>
            <w:r w:rsidRPr="00B26DE5">
              <w:t>Нарушения на кожата и подкожната тъкан</w:t>
            </w:r>
          </w:p>
        </w:tc>
        <w:tc>
          <w:tcPr>
            <w:tcW w:w="3192" w:type="dxa"/>
            <w:vAlign w:val="bottom"/>
          </w:tcPr>
          <w:p w14:paraId="360B17C0" w14:textId="2C63282B" w:rsidR="00B26DE5" w:rsidRPr="00B26DE5" w:rsidRDefault="00B26DE5" w:rsidP="00B26DE5">
            <w:pPr>
              <w:spacing w:line="240" w:lineRule="auto"/>
              <w:rPr>
                <w:rFonts w:eastAsia="Times New Roman" w:cs="Arial"/>
              </w:rPr>
            </w:pPr>
            <w:r w:rsidRPr="00B26DE5">
              <w:t>Много редки</w:t>
            </w:r>
          </w:p>
        </w:tc>
        <w:tc>
          <w:tcPr>
            <w:tcW w:w="3192" w:type="dxa"/>
          </w:tcPr>
          <w:p w14:paraId="629AEB3A" w14:textId="7308B6AF" w:rsidR="00B26DE5" w:rsidRPr="00B26DE5" w:rsidRDefault="00B26DE5" w:rsidP="00B26DE5">
            <w:pPr>
              <w:spacing w:line="240" w:lineRule="auto"/>
              <w:rPr>
                <w:rFonts w:eastAsia="Times New Roman" w:cs="Arial"/>
              </w:rPr>
            </w:pPr>
            <w:r w:rsidRPr="00B26DE5">
              <w:t>Ангиоедем, обрив, уртикария, сърбеж</w:t>
            </w:r>
          </w:p>
        </w:tc>
      </w:tr>
      <w:tr w:rsidR="00B26DE5" w14:paraId="269B42FB" w14:textId="77777777" w:rsidTr="00D10460">
        <w:tc>
          <w:tcPr>
            <w:tcW w:w="3192" w:type="dxa"/>
            <w:vAlign w:val="bottom"/>
          </w:tcPr>
          <w:p w14:paraId="47CAFCD9" w14:textId="30555934" w:rsidR="00B26DE5" w:rsidRPr="00B26DE5" w:rsidRDefault="00B26DE5" w:rsidP="00B26DE5">
            <w:pPr>
              <w:spacing w:line="240" w:lineRule="auto"/>
              <w:rPr>
                <w:rFonts w:eastAsia="Times New Roman" w:cs="Arial"/>
              </w:rPr>
            </w:pPr>
            <w:r w:rsidRPr="00B26DE5">
              <w:t>Нарушения на мускулно- скелетната система и съединителната тъкан</w:t>
            </w:r>
          </w:p>
        </w:tc>
        <w:tc>
          <w:tcPr>
            <w:tcW w:w="3192" w:type="dxa"/>
          </w:tcPr>
          <w:p w14:paraId="5152DEFB" w14:textId="554BDCA8" w:rsidR="00B26DE5" w:rsidRPr="00B26DE5" w:rsidRDefault="00B26DE5" w:rsidP="00B26DE5">
            <w:pPr>
              <w:spacing w:line="240" w:lineRule="auto"/>
              <w:rPr>
                <w:rFonts w:eastAsia="Times New Roman" w:cs="Arial"/>
              </w:rPr>
            </w:pPr>
            <w:r w:rsidRPr="00B26DE5">
              <w:t>Много редки</w:t>
            </w:r>
          </w:p>
        </w:tc>
        <w:tc>
          <w:tcPr>
            <w:tcW w:w="3192" w:type="dxa"/>
          </w:tcPr>
          <w:p w14:paraId="73412E54" w14:textId="5A5CFEC8" w:rsidR="00B26DE5" w:rsidRPr="00B26DE5" w:rsidRDefault="00B26DE5" w:rsidP="00B26DE5">
            <w:pPr>
              <w:spacing w:line="240" w:lineRule="auto"/>
              <w:rPr>
                <w:rFonts w:eastAsia="Times New Roman" w:cs="Arial"/>
              </w:rPr>
            </w:pPr>
            <w:r w:rsidRPr="00B26DE5">
              <w:t>Болки в гьрба,артралгия, миалгия</w:t>
            </w:r>
          </w:p>
        </w:tc>
      </w:tr>
      <w:tr w:rsidR="00B26DE5" w14:paraId="799AEB26" w14:textId="77777777" w:rsidTr="00D10460">
        <w:tc>
          <w:tcPr>
            <w:tcW w:w="3192" w:type="dxa"/>
          </w:tcPr>
          <w:p w14:paraId="2D655168" w14:textId="3CA7321F" w:rsidR="00B26DE5" w:rsidRPr="00B26DE5" w:rsidRDefault="00B26DE5" w:rsidP="00B26DE5">
            <w:pPr>
              <w:spacing w:line="240" w:lineRule="auto"/>
              <w:rPr>
                <w:rFonts w:eastAsia="Times New Roman" w:cs="Arial"/>
              </w:rPr>
            </w:pPr>
            <w:r w:rsidRPr="00B26DE5">
              <w:t>Нарушения на бъбреците и пикочните пътища</w:t>
            </w:r>
          </w:p>
        </w:tc>
        <w:tc>
          <w:tcPr>
            <w:tcW w:w="3192" w:type="dxa"/>
          </w:tcPr>
          <w:p w14:paraId="22F0BB6E" w14:textId="753AA594" w:rsidR="00B26DE5" w:rsidRPr="00B26DE5" w:rsidRDefault="00B26DE5" w:rsidP="00B26DE5">
            <w:pPr>
              <w:spacing w:line="240" w:lineRule="auto"/>
              <w:rPr>
                <w:rFonts w:eastAsia="Times New Roman" w:cs="Arial"/>
              </w:rPr>
            </w:pPr>
            <w:r w:rsidRPr="00B26DE5">
              <w:t>Чести</w:t>
            </w:r>
          </w:p>
        </w:tc>
        <w:tc>
          <w:tcPr>
            <w:tcW w:w="3192" w:type="dxa"/>
            <w:vAlign w:val="bottom"/>
          </w:tcPr>
          <w:p w14:paraId="08532ABB" w14:textId="65EF0232" w:rsidR="00B26DE5" w:rsidRPr="00B26DE5" w:rsidRDefault="00B26DE5" w:rsidP="00B26DE5">
            <w:pPr>
              <w:spacing w:line="240" w:lineRule="auto"/>
              <w:rPr>
                <w:rFonts w:eastAsia="Times New Roman" w:cs="Arial"/>
              </w:rPr>
            </w:pPr>
            <w:r w:rsidRPr="00B26DE5">
              <w:t xml:space="preserve">Бъбречно увреждане, включително бъбречна недостатъчност при </w:t>
            </w:r>
            <w:r w:rsidRPr="00B26DE5">
              <w:lastRenderedPageBreak/>
              <w:t>предразположени пациенти (вж. точка 4.4)</w:t>
            </w:r>
          </w:p>
        </w:tc>
      </w:tr>
    </w:tbl>
    <w:p w14:paraId="0CDA9E22" w14:textId="1D341381" w:rsidR="00B26DE5" w:rsidRDefault="00B26DE5" w:rsidP="00B26DE5">
      <w:pPr>
        <w:spacing w:line="240" w:lineRule="auto"/>
        <w:rPr>
          <w:rFonts w:eastAsia="Times New Roman" w:cs="Arial"/>
        </w:rPr>
      </w:pPr>
    </w:p>
    <w:p w14:paraId="48BF2FDD" w14:textId="77777777" w:rsidR="00B26DE5" w:rsidRPr="00B26DE5" w:rsidRDefault="00B26DE5" w:rsidP="00B26DE5">
      <w:pPr>
        <w:spacing w:line="240" w:lineRule="auto"/>
        <w:rPr>
          <w:rFonts w:eastAsia="Times New Roman" w:cs="Arial"/>
        </w:rPr>
      </w:pPr>
      <w:r w:rsidRPr="00B26DE5">
        <w:rPr>
          <w:rFonts w:eastAsia="Times New Roman" w:cs="Arial"/>
          <w:i/>
          <w:iCs/>
          <w:color w:val="000000"/>
          <w:lang w:eastAsia="bg-BG"/>
        </w:rPr>
        <w:t>Лабораторни изследвания:</w:t>
      </w:r>
    </w:p>
    <w:p w14:paraId="2A496F07" w14:textId="77777777" w:rsidR="00B26DE5" w:rsidRDefault="00B26DE5" w:rsidP="00B26DE5">
      <w:pPr>
        <w:spacing w:line="240" w:lineRule="auto"/>
        <w:rPr>
          <w:rFonts w:eastAsia="Times New Roman" w:cs="Arial"/>
          <w:color w:val="000000"/>
          <w:lang w:eastAsia="bg-BG"/>
        </w:rPr>
      </w:pPr>
    </w:p>
    <w:p w14:paraId="699C1384" w14:textId="77D46591" w:rsidR="00B26DE5" w:rsidRPr="00B26DE5" w:rsidRDefault="00B26DE5" w:rsidP="00B26DE5">
      <w:pPr>
        <w:spacing w:line="240" w:lineRule="auto"/>
        <w:rPr>
          <w:rFonts w:eastAsia="Times New Roman" w:cs="Arial"/>
        </w:rPr>
      </w:pPr>
      <w:r w:rsidRPr="00B26DE5">
        <w:rPr>
          <w:rFonts w:eastAsia="Times New Roman" w:cs="Arial"/>
          <w:color w:val="000000"/>
          <w:lang w:eastAsia="bg-BG"/>
        </w:rPr>
        <w:t>Хиперкалиемията и бъбречното увреждане са чести при пациентите, лекувани с Карбис за показанието сърдечна недостатъчност. Препоръчва се периодично проследяване на серумния креатинин и калий (вж. точка 4.4).</w:t>
      </w:r>
    </w:p>
    <w:p w14:paraId="3CB145ED" w14:textId="77777777" w:rsidR="00B26DE5" w:rsidRDefault="00B26DE5" w:rsidP="00B26DE5">
      <w:pPr>
        <w:spacing w:line="240" w:lineRule="auto"/>
        <w:rPr>
          <w:rFonts w:eastAsia="Times New Roman" w:cs="Arial"/>
          <w:color w:val="000000"/>
          <w:u w:val="single"/>
          <w:lang w:eastAsia="bg-BG"/>
        </w:rPr>
      </w:pPr>
    </w:p>
    <w:p w14:paraId="23A58DD0" w14:textId="1261601F" w:rsidR="00B26DE5" w:rsidRPr="00B26DE5" w:rsidRDefault="00B26DE5" w:rsidP="00B26DE5">
      <w:pPr>
        <w:spacing w:line="240" w:lineRule="auto"/>
        <w:rPr>
          <w:rFonts w:eastAsia="Times New Roman" w:cs="Arial"/>
        </w:rPr>
      </w:pPr>
      <w:r w:rsidRPr="00B26DE5">
        <w:rPr>
          <w:rFonts w:eastAsia="Times New Roman" w:cs="Arial"/>
          <w:color w:val="000000"/>
          <w:u w:val="single"/>
          <w:lang w:eastAsia="bg-BG"/>
        </w:rPr>
        <w:t>Съобщаване на подозирани нежелани реакции</w:t>
      </w:r>
    </w:p>
    <w:p w14:paraId="213E3CC1"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w:t>
      </w:r>
    </w:p>
    <w:p w14:paraId="6BAD89EF"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Изпълнителна агенция по лекарствата ул., Дамян Груев” № 8</w:t>
      </w:r>
    </w:p>
    <w:p w14:paraId="7B917D26"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1303 София</w:t>
      </w:r>
    </w:p>
    <w:p w14:paraId="177B073B"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Тел.:+35 928903417</w:t>
      </w:r>
    </w:p>
    <w:p w14:paraId="65D10F9D"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 xml:space="preserve">уебсайт: </w:t>
      </w:r>
      <w:r w:rsidRPr="00B26DE5">
        <w:rPr>
          <w:rFonts w:eastAsia="Times New Roman" w:cs="Arial"/>
        </w:rPr>
        <w:fldChar w:fldCharType="begin"/>
      </w:r>
      <w:r w:rsidRPr="00B26DE5">
        <w:rPr>
          <w:rFonts w:eastAsia="Times New Roman" w:cs="Arial"/>
        </w:rPr>
        <w:instrText xml:space="preserve"> HYPERLINK "http://www.bda.bg" </w:instrText>
      </w:r>
      <w:r w:rsidRPr="00B26DE5">
        <w:rPr>
          <w:rFonts w:eastAsia="Times New Roman" w:cs="Arial"/>
        </w:rPr>
      </w:r>
      <w:r w:rsidRPr="00B26DE5">
        <w:rPr>
          <w:rFonts w:eastAsia="Times New Roman" w:cs="Arial"/>
        </w:rPr>
        <w:fldChar w:fldCharType="separate"/>
      </w:r>
      <w:r w:rsidRPr="00B26DE5">
        <w:rPr>
          <w:rFonts w:eastAsia="Times New Roman" w:cs="Arial"/>
          <w:color w:val="000000"/>
          <w:lang w:val="en-US"/>
        </w:rPr>
        <w:t>www</w:t>
      </w:r>
      <w:r w:rsidRPr="00B26DE5">
        <w:rPr>
          <w:rFonts w:eastAsia="Times New Roman" w:cs="Arial"/>
          <w:color w:val="000000"/>
          <w:lang w:val="ru-RU"/>
        </w:rPr>
        <w:t>.</w:t>
      </w:r>
      <w:proofErr w:type="spellStart"/>
      <w:r w:rsidRPr="00B26DE5">
        <w:rPr>
          <w:rFonts w:eastAsia="Times New Roman" w:cs="Arial"/>
          <w:color w:val="000000"/>
          <w:lang w:val="en-US"/>
        </w:rPr>
        <w:t>bda</w:t>
      </w:r>
      <w:proofErr w:type="spellEnd"/>
      <w:r w:rsidRPr="00B26DE5">
        <w:rPr>
          <w:rFonts w:eastAsia="Times New Roman" w:cs="Arial"/>
          <w:color w:val="000000"/>
          <w:lang w:val="ru-RU"/>
        </w:rPr>
        <w:t>.</w:t>
      </w:r>
      <w:proofErr w:type="spellStart"/>
      <w:r w:rsidRPr="00B26DE5">
        <w:rPr>
          <w:rFonts w:eastAsia="Times New Roman" w:cs="Arial"/>
          <w:color w:val="000000"/>
          <w:lang w:val="en-US"/>
        </w:rPr>
        <w:t>bg</w:t>
      </w:r>
      <w:proofErr w:type="spellEnd"/>
      <w:r w:rsidRPr="00B26DE5">
        <w:rPr>
          <w:rFonts w:eastAsia="Times New Roman" w:cs="Arial"/>
        </w:rPr>
        <w:fldChar w:fldCharType="end"/>
      </w:r>
    </w:p>
    <w:p w14:paraId="71DCFF72" w14:textId="77777777" w:rsidR="00B26DE5" w:rsidRPr="00B26DE5" w:rsidRDefault="00B26DE5" w:rsidP="00B26DE5">
      <w:pPr>
        <w:spacing w:line="240" w:lineRule="auto"/>
        <w:rPr>
          <w:rFonts w:eastAsia="Times New Roman" w:cs="Arial"/>
        </w:rPr>
      </w:pPr>
    </w:p>
    <w:p w14:paraId="10A76493" w14:textId="77777777" w:rsidR="00B26DE5" w:rsidRPr="00B26DE5" w:rsidRDefault="00B26DE5" w:rsidP="00B26DE5"/>
    <w:p w14:paraId="5A87DBA3" w14:textId="5E35230D" w:rsidR="007122AD" w:rsidRDefault="002C50EE" w:rsidP="00936AD0">
      <w:pPr>
        <w:pStyle w:val="Heading2"/>
      </w:pPr>
      <w:r>
        <w:t>4.9. Предозиране</w:t>
      </w:r>
    </w:p>
    <w:p w14:paraId="378E9CD0" w14:textId="7522B166" w:rsidR="00B26DE5" w:rsidRDefault="00B26DE5" w:rsidP="00B26DE5"/>
    <w:p w14:paraId="3EDA9EFB" w14:textId="77777777" w:rsidR="00B26DE5" w:rsidRPr="00B26DE5" w:rsidRDefault="00B26DE5" w:rsidP="00B26DE5">
      <w:pPr>
        <w:pStyle w:val="Heading3"/>
        <w:rPr>
          <w:rFonts w:eastAsia="Times New Roman"/>
          <w:u w:val="single"/>
        </w:rPr>
      </w:pPr>
      <w:r w:rsidRPr="00B26DE5">
        <w:rPr>
          <w:rFonts w:eastAsia="Times New Roman"/>
          <w:u w:val="single"/>
          <w:lang w:eastAsia="bg-BG"/>
        </w:rPr>
        <w:t>Симптоми</w:t>
      </w:r>
    </w:p>
    <w:p w14:paraId="6665A807" w14:textId="77777777" w:rsidR="00B26DE5" w:rsidRDefault="00B26DE5" w:rsidP="00B26DE5">
      <w:pPr>
        <w:spacing w:line="240" w:lineRule="auto"/>
        <w:rPr>
          <w:rFonts w:eastAsia="Times New Roman" w:cs="Arial"/>
          <w:color w:val="000000"/>
          <w:lang w:eastAsia="bg-BG"/>
        </w:rPr>
      </w:pPr>
    </w:p>
    <w:p w14:paraId="6411DA9F" w14:textId="4CFECF5B" w:rsidR="00B26DE5" w:rsidRPr="00B26DE5" w:rsidRDefault="00B26DE5" w:rsidP="00B26DE5">
      <w:pPr>
        <w:spacing w:line="240" w:lineRule="auto"/>
        <w:rPr>
          <w:rFonts w:eastAsia="Times New Roman" w:cs="Arial"/>
        </w:rPr>
      </w:pPr>
      <w:r w:rsidRPr="00B26DE5">
        <w:rPr>
          <w:rFonts w:eastAsia="Times New Roman" w:cs="Arial"/>
          <w:color w:val="000000"/>
          <w:lang w:eastAsia="bg-BG"/>
        </w:rPr>
        <w:t xml:space="preserve">Въз основа на фармакологични съображения, се счита, че най-вероятно основната проява на предозиране ще бъде симптоматична хипотония и замайване. При отделните съобщения за предозиране (с до 672 </w:t>
      </w:r>
      <w:r w:rsidRPr="00B26DE5">
        <w:rPr>
          <w:rFonts w:eastAsia="Times New Roman" w:cs="Arial"/>
          <w:color w:val="000000"/>
          <w:lang w:val="en-US"/>
        </w:rPr>
        <w:t>mg</w:t>
      </w:r>
      <w:r w:rsidRPr="00B26DE5">
        <w:rPr>
          <w:rFonts w:eastAsia="Times New Roman" w:cs="Arial"/>
          <w:color w:val="000000"/>
          <w:lang w:val="ru-RU"/>
        </w:rPr>
        <w:t xml:space="preserve"> </w:t>
      </w:r>
      <w:r w:rsidRPr="00B26DE5">
        <w:rPr>
          <w:rFonts w:eastAsia="Times New Roman" w:cs="Arial"/>
          <w:color w:val="000000"/>
          <w:lang w:eastAsia="bg-BG"/>
        </w:rPr>
        <w:t>кандесартан цилексетил) пациентите са се възстановили без проблеми.</w:t>
      </w:r>
    </w:p>
    <w:p w14:paraId="4F2EAF10" w14:textId="77777777" w:rsidR="00B26DE5" w:rsidRDefault="00B26DE5" w:rsidP="00B26DE5">
      <w:pPr>
        <w:spacing w:line="240" w:lineRule="auto"/>
        <w:rPr>
          <w:rFonts w:eastAsia="Times New Roman" w:cs="Arial"/>
          <w:color w:val="000000"/>
          <w:u w:val="single"/>
          <w:lang w:eastAsia="bg-BG"/>
        </w:rPr>
      </w:pPr>
    </w:p>
    <w:p w14:paraId="1BFD04FE" w14:textId="6932713A" w:rsidR="00B26DE5" w:rsidRPr="00B26DE5" w:rsidRDefault="00B26DE5" w:rsidP="00B26DE5">
      <w:pPr>
        <w:pStyle w:val="Heading3"/>
        <w:rPr>
          <w:rFonts w:eastAsia="Times New Roman"/>
          <w:u w:val="single"/>
        </w:rPr>
      </w:pPr>
      <w:r w:rsidRPr="00B26DE5">
        <w:rPr>
          <w:rFonts w:eastAsia="Times New Roman"/>
          <w:u w:val="single"/>
          <w:lang w:eastAsia="bg-BG"/>
        </w:rPr>
        <w:t>Лечение</w:t>
      </w:r>
    </w:p>
    <w:p w14:paraId="54B54815" w14:textId="77777777" w:rsidR="00B26DE5" w:rsidRPr="00B26DE5" w:rsidRDefault="00B26DE5" w:rsidP="00B26DE5">
      <w:pPr>
        <w:spacing w:line="240" w:lineRule="auto"/>
        <w:rPr>
          <w:rFonts w:eastAsia="Times New Roman" w:cs="Arial"/>
        </w:rPr>
      </w:pPr>
    </w:p>
    <w:p w14:paraId="4EFC8E17" w14:textId="79534F34" w:rsidR="00B26DE5" w:rsidRPr="00B26DE5" w:rsidRDefault="00B26DE5" w:rsidP="00B26DE5">
      <w:pPr>
        <w:rPr>
          <w:rFonts w:cs="Arial"/>
          <w:lang w:val="en-US"/>
        </w:rPr>
      </w:pPr>
      <w:r w:rsidRPr="00B26DE5">
        <w:rPr>
          <w:rFonts w:eastAsia="Times New Roman" w:cs="Arial"/>
          <w:color w:val="000000"/>
          <w:lang w:eastAsia="bg-BG"/>
        </w:rPr>
        <w:t>Ако се появи симптоматична хипотензия, трябва да се започне симптоматична лечение и да се проследяват виталните показатели. Пациентът трябва да се сложи в легнало положение с</w:t>
      </w:r>
      <w:r w:rsidRPr="00B26DE5">
        <w:rPr>
          <w:rFonts w:eastAsia="Times New Roman" w:cs="Arial"/>
          <w:color w:val="000000"/>
          <w:lang w:val="ru-RU" w:eastAsia="bg-BG"/>
        </w:rPr>
        <w:t xml:space="preserve"> </w:t>
      </w:r>
      <w:r w:rsidRPr="00B26DE5">
        <w:rPr>
          <w:rFonts w:cs="Arial"/>
        </w:rPr>
        <w:t>повдигнати крака. Ако това не е достатъчно, трябва да се увеличи плазмения обем чрез инфузия, например на изотоничен физиологичен разтвор. Може да се приложат симпатомиметични лекарства, ако гореспоменатите мерки не са достатъчни. Кандесартан не се отстранява чрез хемодиализа.</w:t>
      </w:r>
    </w:p>
    <w:p w14:paraId="02081B24" w14:textId="1F46E296" w:rsidR="00395555" w:rsidRPr="00395555" w:rsidRDefault="002C50EE" w:rsidP="008A6AF2">
      <w:pPr>
        <w:pStyle w:val="Heading1"/>
      </w:pPr>
      <w:r>
        <w:t>5. ФАРМАКОЛОГИЧНИ СВОЙСТВА</w:t>
      </w:r>
    </w:p>
    <w:p w14:paraId="7DE36AC8" w14:textId="190F43C3" w:rsidR="00B6672E" w:rsidRDefault="002C50EE" w:rsidP="00936AD0">
      <w:pPr>
        <w:pStyle w:val="Heading2"/>
      </w:pPr>
      <w:r>
        <w:t>5.1. Фармакодинамични свойства</w:t>
      </w:r>
    </w:p>
    <w:p w14:paraId="79A7458F" w14:textId="21248838" w:rsidR="00DA6AE5" w:rsidRDefault="00DA6AE5" w:rsidP="00DA6AE5"/>
    <w:p w14:paraId="620E6897" w14:textId="77777777" w:rsidR="00DA6AE5" w:rsidRPr="00DA6AE5" w:rsidRDefault="00DA6AE5" w:rsidP="00DA6AE5">
      <w:pPr>
        <w:spacing w:line="240" w:lineRule="auto"/>
        <w:rPr>
          <w:rFonts w:eastAsia="Times New Roman" w:cs="Arial"/>
        </w:rPr>
      </w:pPr>
      <w:r w:rsidRPr="00DA6AE5">
        <w:rPr>
          <w:rFonts w:eastAsia="Times New Roman" w:cs="Arial"/>
          <w:color w:val="000000"/>
          <w:lang w:eastAsia="bg-BG"/>
        </w:rPr>
        <w:t>Фармакотерапевтична група: Антагонисти на ангиотензин II (кандесартан), АТС код С09СА06.</w:t>
      </w:r>
    </w:p>
    <w:p w14:paraId="0C1F4E2E" w14:textId="77777777" w:rsidR="00DA6AE5" w:rsidRDefault="00DA6AE5" w:rsidP="00DA6AE5">
      <w:pPr>
        <w:spacing w:line="240" w:lineRule="auto"/>
        <w:rPr>
          <w:rFonts w:eastAsia="Times New Roman" w:cs="Arial"/>
          <w:color w:val="000000"/>
          <w:u w:val="single"/>
          <w:lang w:eastAsia="bg-BG"/>
        </w:rPr>
      </w:pPr>
    </w:p>
    <w:p w14:paraId="5DCF5A98" w14:textId="0013A14A" w:rsidR="00DA6AE5" w:rsidRPr="00DA6AE5" w:rsidRDefault="00DA6AE5" w:rsidP="00DA6AE5">
      <w:pPr>
        <w:spacing w:line="240" w:lineRule="auto"/>
        <w:rPr>
          <w:rFonts w:eastAsia="Times New Roman" w:cs="Arial"/>
        </w:rPr>
      </w:pPr>
      <w:r w:rsidRPr="00DA6AE5">
        <w:rPr>
          <w:rFonts w:eastAsia="Times New Roman" w:cs="Arial"/>
          <w:color w:val="000000"/>
          <w:u w:val="single"/>
          <w:lang w:eastAsia="bg-BG"/>
        </w:rPr>
        <w:t>Механизъм на действие</w:t>
      </w:r>
    </w:p>
    <w:p w14:paraId="2EBE31D1" w14:textId="77777777" w:rsidR="00DA6AE5" w:rsidRDefault="00DA6AE5" w:rsidP="00DA6AE5">
      <w:pPr>
        <w:spacing w:line="240" w:lineRule="auto"/>
        <w:rPr>
          <w:rFonts w:eastAsia="Times New Roman" w:cs="Arial"/>
          <w:color w:val="000000"/>
          <w:lang w:eastAsia="bg-BG"/>
        </w:rPr>
      </w:pPr>
    </w:p>
    <w:p w14:paraId="76D36F14" w14:textId="2806FA54"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Ангиотензин II е предимно вазоактивен хормон от ренин-ангиотензин-алдостероновата система и играе важна роля в патофизиологията на хипертонията, сърдечната </w:t>
      </w:r>
      <w:r w:rsidRPr="00DA6AE5">
        <w:rPr>
          <w:rFonts w:eastAsia="Times New Roman" w:cs="Arial"/>
          <w:color w:val="000000"/>
          <w:lang w:eastAsia="bg-BG"/>
        </w:rPr>
        <w:lastRenderedPageBreak/>
        <w:t xml:space="preserve">недостатъчност и други сърдечно-съдови нарушения. Той играе важна роля и в патогенезата на органното увреждане. Основните физиологични ефекти на ангиотензин II като вазоконстрикция, стимулиране на алдостерона, регулиране на солевата и водната хомеостаза и стимулиране на клетъчния растеж се медиират чрез рецептор от типа 1 </w:t>
      </w:r>
      <w:r w:rsidRPr="00DA6AE5">
        <w:rPr>
          <w:rFonts w:eastAsia="Times New Roman" w:cs="Arial"/>
          <w:color w:val="000000"/>
          <w:lang w:val="ru-RU"/>
        </w:rPr>
        <w:t>(</w:t>
      </w:r>
      <w:r w:rsidRPr="00DA6AE5">
        <w:rPr>
          <w:rFonts w:eastAsia="Times New Roman" w:cs="Arial"/>
          <w:color w:val="000000"/>
          <w:lang w:val="en-US"/>
        </w:rPr>
        <w:t>AT</w:t>
      </w:r>
      <w:r w:rsidRPr="00DA6AE5">
        <w:rPr>
          <w:rFonts w:eastAsia="Times New Roman" w:cs="Arial"/>
          <w:color w:val="000000"/>
          <w:vertAlign w:val="subscript"/>
          <w:lang w:val="ru-RU"/>
        </w:rPr>
        <w:t>1</w:t>
      </w:r>
      <w:r w:rsidRPr="00DA6AE5">
        <w:rPr>
          <w:rFonts w:eastAsia="Times New Roman" w:cs="Arial"/>
          <w:color w:val="000000"/>
          <w:lang w:val="ru-RU"/>
        </w:rPr>
        <w:t>).</w:t>
      </w:r>
    </w:p>
    <w:p w14:paraId="31E04DFE" w14:textId="77777777" w:rsidR="00DA6AE5" w:rsidRDefault="00DA6AE5" w:rsidP="00DA6AE5">
      <w:pPr>
        <w:spacing w:line="240" w:lineRule="auto"/>
        <w:rPr>
          <w:rFonts w:eastAsia="Times New Roman" w:cs="Arial"/>
          <w:color w:val="000000"/>
          <w:u w:val="single"/>
          <w:lang w:eastAsia="bg-BG"/>
        </w:rPr>
      </w:pPr>
    </w:p>
    <w:p w14:paraId="285947C1" w14:textId="5189E342" w:rsidR="00DA6AE5" w:rsidRPr="00DA6AE5" w:rsidRDefault="00DA6AE5" w:rsidP="00DA6AE5">
      <w:pPr>
        <w:spacing w:line="240" w:lineRule="auto"/>
        <w:rPr>
          <w:rFonts w:eastAsia="Times New Roman" w:cs="Arial"/>
        </w:rPr>
      </w:pPr>
      <w:r w:rsidRPr="00DA6AE5">
        <w:rPr>
          <w:rFonts w:eastAsia="Times New Roman" w:cs="Arial"/>
          <w:color w:val="000000"/>
          <w:u w:val="single"/>
          <w:lang w:eastAsia="bg-BG"/>
        </w:rPr>
        <w:t>Фармакодинамични ефекти</w:t>
      </w:r>
    </w:p>
    <w:p w14:paraId="3F364D3C" w14:textId="77777777" w:rsidR="00DA6AE5" w:rsidRDefault="00DA6AE5" w:rsidP="00DA6AE5">
      <w:pPr>
        <w:spacing w:line="240" w:lineRule="auto"/>
        <w:rPr>
          <w:rFonts w:eastAsia="Times New Roman" w:cs="Arial"/>
          <w:color w:val="000000"/>
          <w:lang w:eastAsia="bg-BG"/>
        </w:rPr>
      </w:pPr>
    </w:p>
    <w:p w14:paraId="042289C3" w14:textId="051CDC26" w:rsidR="00DA6AE5" w:rsidRPr="00DA6AE5" w:rsidRDefault="00DA6AE5" w:rsidP="00DA6AE5">
      <w:pPr>
        <w:spacing w:line="240" w:lineRule="auto"/>
        <w:rPr>
          <w:rFonts w:eastAsia="Times New Roman" w:cs="Arial"/>
        </w:rPr>
      </w:pPr>
      <w:r w:rsidRPr="00DA6AE5">
        <w:rPr>
          <w:rFonts w:eastAsia="Times New Roman" w:cs="Arial"/>
          <w:color w:val="000000"/>
          <w:lang w:eastAsia="bg-BG"/>
        </w:rPr>
        <w:t>Кандесартан цилексетил е прекурсор, подходящ за перорално приложение. Чрез естерна хидролиза по време на резорбцията в стомашно-чревния тракт той бързо се превръща в активното лекарство кандесартан. Кандесартан е А</w:t>
      </w:r>
      <w:r w:rsidRPr="00DA6AE5">
        <w:rPr>
          <w:rFonts w:eastAsia="Times New Roman" w:cs="Arial"/>
          <w:color w:val="000000"/>
          <w:lang w:val="en-US"/>
        </w:rPr>
        <w:t>II</w:t>
      </w:r>
      <w:r w:rsidRPr="00DA6AE5">
        <w:rPr>
          <w:rFonts w:eastAsia="Times New Roman" w:cs="Arial"/>
          <w:color w:val="000000"/>
          <w:lang w:eastAsia="bg-BG"/>
        </w:rPr>
        <w:t xml:space="preserve">РА, селективен за </w:t>
      </w:r>
      <w:r w:rsidRPr="00DA6AE5">
        <w:rPr>
          <w:rFonts w:eastAsia="Times New Roman" w:cs="Arial"/>
          <w:color w:val="000000"/>
          <w:lang w:val="en-US"/>
        </w:rPr>
        <w:t>AT</w:t>
      </w:r>
      <w:r w:rsidRPr="00DA6AE5">
        <w:rPr>
          <w:rFonts w:eastAsia="Times New Roman" w:cs="Arial"/>
          <w:color w:val="000000"/>
          <w:vertAlign w:val="subscript"/>
          <w:lang w:val="ru-RU"/>
        </w:rPr>
        <w:t>1</w:t>
      </w:r>
      <w:r w:rsidRPr="00DA6AE5">
        <w:rPr>
          <w:rFonts w:eastAsia="Times New Roman" w:cs="Arial"/>
          <w:color w:val="000000"/>
          <w:lang w:val="ru-RU"/>
        </w:rPr>
        <w:t xml:space="preserve"> </w:t>
      </w:r>
      <w:r w:rsidRPr="00DA6AE5">
        <w:rPr>
          <w:rFonts w:eastAsia="Times New Roman" w:cs="Arial"/>
          <w:color w:val="000000"/>
          <w:lang w:eastAsia="bg-BG"/>
        </w:rPr>
        <w:t>рецепторите, който се свързва здраво с рецептора и се дисоциира бавно. Той няма агонистично действие.</w:t>
      </w:r>
    </w:p>
    <w:p w14:paraId="5B5A304F" w14:textId="77777777" w:rsidR="00DA6AE5" w:rsidRDefault="00DA6AE5" w:rsidP="00DA6AE5">
      <w:pPr>
        <w:spacing w:line="240" w:lineRule="auto"/>
        <w:rPr>
          <w:rFonts w:eastAsia="Times New Roman" w:cs="Arial"/>
          <w:color w:val="000000"/>
          <w:lang w:eastAsia="bg-BG"/>
        </w:rPr>
      </w:pPr>
    </w:p>
    <w:p w14:paraId="3C0BBEBA" w14:textId="213DCFD0" w:rsidR="00DA6AE5" w:rsidRPr="00DA6AE5" w:rsidRDefault="00DA6AE5" w:rsidP="00DA6AE5">
      <w:pPr>
        <w:spacing w:line="240" w:lineRule="auto"/>
        <w:rPr>
          <w:rFonts w:eastAsia="Times New Roman" w:cs="Arial"/>
        </w:rPr>
      </w:pPr>
      <w:r w:rsidRPr="00DA6AE5">
        <w:rPr>
          <w:rFonts w:eastAsia="Times New Roman" w:cs="Arial"/>
          <w:color w:val="000000"/>
          <w:lang w:eastAsia="bg-BG"/>
        </w:rPr>
        <w:t>Кандесартан не инхибира ангиотензин-конвертиращия ензим, който превръща ангиотензин I в ангиотензин II и разгражда брадикинина. Няма ефект върху АСЕ и не се потенцира брадикинина или субстанция Р. При контролирани клинични изпитвания, сравняващи кандесартан с АСЕ инхибитори, честотата на кашлицата е била по-ниска при пациентите, получавали кандесартан цилексетил. Кандесартан не се свързва и не блокира други хормонални рецептори или йонни канали, за които се знае, че имат значение за регулирането на сърдечно</w:t>
      </w:r>
      <w:r w:rsidRPr="00DA6AE5">
        <w:rPr>
          <w:rFonts w:eastAsia="Times New Roman" w:cs="Arial"/>
          <w:color w:val="000000"/>
          <w:lang w:eastAsia="bg-BG"/>
        </w:rPr>
        <w:softHyphen/>
        <w:t xml:space="preserve">съдовата дейност. Антагонизмът на ангиотензин 11 </w:t>
      </w:r>
      <w:r w:rsidRPr="00DA6AE5">
        <w:rPr>
          <w:rFonts w:eastAsia="Times New Roman" w:cs="Arial"/>
          <w:color w:val="000000"/>
          <w:lang w:val="ru-RU"/>
        </w:rPr>
        <w:t>(</w:t>
      </w:r>
      <w:r w:rsidRPr="00DA6AE5">
        <w:rPr>
          <w:rFonts w:eastAsia="Times New Roman" w:cs="Arial"/>
          <w:color w:val="000000"/>
          <w:lang w:val="en-US"/>
        </w:rPr>
        <w:t>AT</w:t>
      </w:r>
      <w:r w:rsidRPr="00DA6AE5">
        <w:rPr>
          <w:rFonts w:eastAsia="Times New Roman" w:cs="Arial"/>
          <w:color w:val="000000"/>
          <w:vertAlign w:val="subscript"/>
          <w:lang w:val="ru-RU"/>
        </w:rPr>
        <w:t>1</w:t>
      </w:r>
      <w:r w:rsidRPr="00DA6AE5">
        <w:rPr>
          <w:rFonts w:eastAsia="Times New Roman" w:cs="Arial"/>
          <w:color w:val="000000"/>
          <w:lang w:val="ru-RU"/>
        </w:rPr>
        <w:t xml:space="preserve">) </w:t>
      </w:r>
      <w:r w:rsidRPr="00DA6AE5">
        <w:rPr>
          <w:rFonts w:eastAsia="Times New Roman" w:cs="Arial"/>
          <w:color w:val="000000"/>
          <w:lang w:eastAsia="bg-BG"/>
        </w:rPr>
        <w:t>рецепторите води до свързано с дозата повишение на нивата на плазмения ренин, нивата на ангиотензин I и ангиотензин II и до понижение на плазмените концентрации на алдостерона.</w:t>
      </w:r>
    </w:p>
    <w:p w14:paraId="3D73348E" w14:textId="77777777" w:rsidR="00DA6AE5" w:rsidRDefault="00DA6AE5" w:rsidP="00DA6AE5">
      <w:pPr>
        <w:spacing w:line="240" w:lineRule="auto"/>
        <w:rPr>
          <w:rFonts w:eastAsia="Times New Roman" w:cs="Arial"/>
          <w:color w:val="000000"/>
          <w:u w:val="single"/>
          <w:lang w:eastAsia="bg-BG"/>
        </w:rPr>
      </w:pPr>
    </w:p>
    <w:p w14:paraId="29A0CAF3" w14:textId="2DFC270F" w:rsidR="00DA6AE5" w:rsidRPr="00DA6AE5" w:rsidRDefault="00DA6AE5" w:rsidP="00DA6AE5">
      <w:pPr>
        <w:spacing w:line="240" w:lineRule="auto"/>
        <w:rPr>
          <w:rFonts w:eastAsia="Times New Roman" w:cs="Arial"/>
        </w:rPr>
      </w:pPr>
      <w:r w:rsidRPr="00DA6AE5">
        <w:rPr>
          <w:rFonts w:eastAsia="Times New Roman" w:cs="Arial"/>
          <w:color w:val="000000"/>
          <w:u w:val="single"/>
          <w:lang w:eastAsia="bg-BG"/>
        </w:rPr>
        <w:t>Клинична ефикасност и безопасност</w:t>
      </w:r>
    </w:p>
    <w:p w14:paraId="1E32EFF0" w14:textId="77777777" w:rsidR="00DA6AE5" w:rsidRDefault="00DA6AE5" w:rsidP="00DA6AE5">
      <w:pPr>
        <w:spacing w:line="240" w:lineRule="auto"/>
        <w:rPr>
          <w:rFonts w:eastAsia="Times New Roman" w:cs="Arial"/>
          <w:color w:val="000000"/>
          <w:u w:val="single"/>
          <w:lang w:eastAsia="bg-BG"/>
        </w:rPr>
      </w:pPr>
    </w:p>
    <w:p w14:paraId="18969CE7" w14:textId="07B3F7B8" w:rsidR="00DA6AE5" w:rsidRPr="00DA6AE5" w:rsidRDefault="00DA6AE5" w:rsidP="00DA6AE5">
      <w:pPr>
        <w:spacing w:line="240" w:lineRule="auto"/>
        <w:rPr>
          <w:rFonts w:eastAsia="Times New Roman" w:cs="Arial"/>
        </w:rPr>
      </w:pPr>
      <w:r w:rsidRPr="00DA6AE5">
        <w:rPr>
          <w:rFonts w:eastAsia="Times New Roman" w:cs="Arial"/>
          <w:color w:val="000000"/>
          <w:u w:val="single"/>
          <w:lang w:eastAsia="bg-BG"/>
        </w:rPr>
        <w:t>Хипертония</w:t>
      </w:r>
    </w:p>
    <w:p w14:paraId="5A38299F" w14:textId="77777777" w:rsidR="00DA6AE5" w:rsidRDefault="00DA6AE5" w:rsidP="00DA6AE5">
      <w:pPr>
        <w:spacing w:line="240" w:lineRule="auto"/>
        <w:rPr>
          <w:rFonts w:eastAsia="Times New Roman" w:cs="Arial"/>
          <w:color w:val="000000"/>
          <w:lang w:eastAsia="bg-BG"/>
        </w:rPr>
      </w:pPr>
    </w:p>
    <w:p w14:paraId="650E0E7A" w14:textId="232B9677"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При хипертония кандесартан причинява дозо-зависимо, продължително намаление на артериалното налягане. Антихипертензивното действие се дължи на намаленото системно периферно съпротивление, без рефлекторно учестяване на сърдечната дейност. Няма признаци за сериозна или прекомерна хипотензия след първата доза или </w:t>
      </w:r>
      <w:r w:rsidRPr="00DA6AE5">
        <w:rPr>
          <w:rFonts w:eastAsia="Times New Roman" w:cs="Arial"/>
          <w:color w:val="000000"/>
          <w:lang w:val="ru-RU"/>
        </w:rPr>
        <w:t>"</w:t>
      </w:r>
      <w:r w:rsidRPr="00DA6AE5">
        <w:rPr>
          <w:rFonts w:eastAsia="Times New Roman" w:cs="Arial"/>
          <w:color w:val="000000"/>
          <w:lang w:val="en-US"/>
        </w:rPr>
        <w:t>rebound</w:t>
      </w:r>
      <w:r w:rsidRPr="00DA6AE5">
        <w:rPr>
          <w:rFonts w:eastAsia="Times New Roman" w:cs="Arial"/>
          <w:color w:val="000000"/>
          <w:lang w:val="ru-RU"/>
        </w:rPr>
        <w:t xml:space="preserve">” </w:t>
      </w:r>
      <w:r w:rsidRPr="00DA6AE5">
        <w:rPr>
          <w:rFonts w:eastAsia="Times New Roman" w:cs="Arial"/>
          <w:color w:val="000000"/>
          <w:lang w:eastAsia="bg-BG"/>
        </w:rPr>
        <w:t>ефект след преустановяване на лечението.</w:t>
      </w:r>
    </w:p>
    <w:p w14:paraId="4EFD3309" w14:textId="77777777" w:rsidR="00DA6AE5" w:rsidRDefault="00DA6AE5" w:rsidP="00DA6AE5">
      <w:pPr>
        <w:spacing w:line="240" w:lineRule="auto"/>
        <w:rPr>
          <w:rFonts w:eastAsia="Times New Roman" w:cs="Arial"/>
          <w:color w:val="000000"/>
          <w:lang w:eastAsia="bg-BG"/>
        </w:rPr>
      </w:pPr>
    </w:p>
    <w:p w14:paraId="44E4C890" w14:textId="77777777" w:rsidR="00DA6AE5" w:rsidRPr="00DA6AE5" w:rsidRDefault="00DA6AE5" w:rsidP="00DA6AE5">
      <w:pPr>
        <w:rPr>
          <w:rFonts w:eastAsia="Times New Roman" w:cs="Arial"/>
        </w:rPr>
      </w:pPr>
      <w:r w:rsidRPr="00DA6AE5">
        <w:rPr>
          <w:rFonts w:eastAsia="Times New Roman" w:cs="Arial"/>
          <w:color w:val="000000"/>
          <w:lang w:eastAsia="bg-BG"/>
        </w:rPr>
        <w:t xml:space="preserve">След прилагане на еднократна доза на кандесартан цилексетил, началото на антихипертензивния ефект обикновено настъпва до 2 часа. При продължително лечение максимално намаление на артериалното всяка доза обикновено се постига до четири седмици и се поддържа по време на продължително лечение. Според един мета-анализ, средният допълнителен ефект на увеличаване на дозата от 16 </w:t>
      </w:r>
      <w:r w:rsidRPr="00DA6AE5">
        <w:rPr>
          <w:rFonts w:eastAsia="Times New Roman" w:cs="Arial"/>
          <w:color w:val="000000"/>
          <w:lang w:val="en-US"/>
        </w:rPr>
        <w:t>mg</w:t>
      </w:r>
      <w:r w:rsidRPr="00DA6AE5">
        <w:rPr>
          <w:rFonts w:eastAsia="Times New Roman" w:cs="Arial"/>
          <w:color w:val="000000"/>
          <w:lang w:val="ru-RU"/>
        </w:rPr>
        <w:t xml:space="preserve"> </w:t>
      </w:r>
      <w:r w:rsidRPr="00DA6AE5">
        <w:rPr>
          <w:rFonts w:eastAsia="Times New Roman" w:cs="Arial"/>
          <w:color w:val="000000"/>
          <w:lang w:eastAsia="bg-BG"/>
        </w:rPr>
        <w:t xml:space="preserve">до 32 </w:t>
      </w:r>
      <w:r w:rsidRPr="00DA6AE5">
        <w:rPr>
          <w:rFonts w:eastAsia="Times New Roman" w:cs="Arial"/>
          <w:color w:val="000000"/>
          <w:lang w:val="en-US"/>
        </w:rPr>
        <w:t>mg</w:t>
      </w:r>
      <w:r w:rsidRPr="00DA6AE5">
        <w:rPr>
          <w:rFonts w:eastAsia="Times New Roman" w:cs="Arial"/>
          <w:color w:val="000000"/>
          <w:lang w:val="ru-RU"/>
        </w:rPr>
        <w:t xml:space="preserve"> </w:t>
      </w:r>
      <w:r w:rsidRPr="00DA6AE5">
        <w:rPr>
          <w:rFonts w:eastAsia="Times New Roman" w:cs="Arial"/>
          <w:color w:val="000000"/>
          <w:lang w:eastAsia="bg-BG"/>
        </w:rPr>
        <w:t>веднъж дневно е малък. Като се има предвид интериндивидуалната вариабилност, при някои пациенти може да очкава ефект над средния. Приложението на кандесартан цилексетил веднъж дневно осигурява ефективно и плавно намаление на артериалното налягане по време на 24-часови интервал на</w:t>
      </w:r>
      <w:r w:rsidRPr="00DA6AE5">
        <w:rPr>
          <w:rFonts w:eastAsia="Times New Roman" w:cs="Arial"/>
          <w:color w:val="000000"/>
          <w:lang w:val="ru-RU" w:eastAsia="bg-BG"/>
        </w:rPr>
        <w:t xml:space="preserve"> </w:t>
      </w:r>
      <w:r w:rsidRPr="00DA6AE5">
        <w:rPr>
          <w:rFonts w:eastAsia="Times New Roman" w:cs="Arial"/>
          <w:color w:val="000000"/>
          <w:lang w:eastAsia="bg-BG"/>
        </w:rPr>
        <w:t xml:space="preserve">дозиране, с малка разлика между максималния и минималния ефект. Антихипертензивният ефект и поносимостта на кандесартан и лозартан са сравнявани при две рандомизирани, двойно-слепи проучвания върху общо 1268 пациенти с умерена хипертония. Минималното намаление на артериалното налягане (систолично/диастолично) е било 13,1/10,5 </w:t>
      </w:r>
      <w:r w:rsidRPr="00DA6AE5">
        <w:rPr>
          <w:rFonts w:eastAsia="Times New Roman" w:cs="Arial"/>
          <w:color w:val="000000"/>
          <w:lang w:val="en-US"/>
        </w:rPr>
        <w:t>mmHg</w:t>
      </w:r>
      <w:r w:rsidRPr="00DA6AE5">
        <w:rPr>
          <w:rFonts w:eastAsia="Times New Roman" w:cs="Arial"/>
          <w:color w:val="000000"/>
          <w:lang w:val="ru-RU"/>
        </w:rPr>
        <w:t xml:space="preserve"> </w:t>
      </w:r>
      <w:r w:rsidRPr="00DA6AE5">
        <w:rPr>
          <w:rFonts w:eastAsia="Times New Roman" w:cs="Arial"/>
          <w:color w:val="000000"/>
          <w:lang w:eastAsia="bg-BG"/>
        </w:rPr>
        <w:t xml:space="preserve">с кандесартан цилексетил 32 </w:t>
      </w:r>
      <w:r w:rsidRPr="00DA6AE5">
        <w:rPr>
          <w:rFonts w:eastAsia="Times New Roman" w:cs="Arial"/>
          <w:color w:val="000000"/>
          <w:lang w:val="en-US"/>
        </w:rPr>
        <w:t>mg</w:t>
      </w:r>
      <w:r w:rsidRPr="00DA6AE5">
        <w:rPr>
          <w:rFonts w:eastAsia="Times New Roman" w:cs="Arial"/>
          <w:color w:val="000000"/>
          <w:lang w:val="ru-RU"/>
        </w:rPr>
        <w:t xml:space="preserve"> </w:t>
      </w:r>
      <w:r w:rsidRPr="00DA6AE5">
        <w:rPr>
          <w:rFonts w:eastAsia="Times New Roman" w:cs="Arial"/>
          <w:color w:val="000000"/>
          <w:lang w:eastAsia="bg-BG"/>
        </w:rPr>
        <w:t xml:space="preserve">веднъж дневно и 10,0 /8,7 </w:t>
      </w:r>
      <w:r w:rsidRPr="00DA6AE5">
        <w:rPr>
          <w:rFonts w:eastAsia="Times New Roman" w:cs="Arial"/>
          <w:color w:val="000000"/>
          <w:lang w:val="en-US"/>
        </w:rPr>
        <w:t>mmHg</w:t>
      </w:r>
      <w:r w:rsidRPr="00DA6AE5">
        <w:rPr>
          <w:rFonts w:eastAsia="Times New Roman" w:cs="Arial"/>
          <w:color w:val="000000"/>
          <w:lang w:val="ru-RU"/>
        </w:rPr>
        <w:t xml:space="preserve"> </w:t>
      </w:r>
      <w:r w:rsidRPr="00DA6AE5">
        <w:rPr>
          <w:rFonts w:eastAsia="Times New Roman" w:cs="Arial"/>
          <w:color w:val="000000"/>
          <w:lang w:eastAsia="bg-BG"/>
        </w:rPr>
        <w:t xml:space="preserve">с лозартан калий 100 </w:t>
      </w:r>
      <w:r w:rsidRPr="00DA6AE5">
        <w:rPr>
          <w:rFonts w:eastAsia="Times New Roman" w:cs="Arial"/>
          <w:color w:val="000000"/>
          <w:lang w:val="en-US"/>
        </w:rPr>
        <w:t>mg</w:t>
      </w:r>
      <w:r w:rsidRPr="00DA6AE5">
        <w:rPr>
          <w:rFonts w:eastAsia="Times New Roman" w:cs="Arial"/>
          <w:color w:val="000000"/>
          <w:lang w:val="ru-RU"/>
        </w:rPr>
        <w:t xml:space="preserve"> </w:t>
      </w:r>
      <w:r w:rsidRPr="00DA6AE5">
        <w:rPr>
          <w:rFonts w:eastAsia="Times New Roman" w:cs="Arial"/>
          <w:color w:val="000000"/>
          <w:lang w:eastAsia="bg-BG"/>
        </w:rPr>
        <w:t xml:space="preserve">веднъж дневно (разлика в намалението на артериалното налягане 3,1/1,8 </w:t>
      </w:r>
      <w:r w:rsidRPr="00DA6AE5">
        <w:rPr>
          <w:rFonts w:eastAsia="Times New Roman" w:cs="Arial"/>
          <w:color w:val="000000"/>
          <w:lang w:val="en-US"/>
        </w:rPr>
        <w:t>mmHg</w:t>
      </w:r>
      <w:r w:rsidRPr="00DA6AE5">
        <w:rPr>
          <w:rFonts w:eastAsia="Times New Roman" w:cs="Arial"/>
          <w:color w:val="000000"/>
          <w:lang w:val="ru-RU"/>
        </w:rPr>
        <w:t xml:space="preserve">, </w:t>
      </w:r>
      <w:r w:rsidRPr="00DA6AE5">
        <w:rPr>
          <w:rFonts w:eastAsia="Times New Roman" w:cs="Arial"/>
          <w:color w:val="000000"/>
          <w:lang w:eastAsia="bg-BG"/>
        </w:rPr>
        <w:t>р&lt;0,0001/р&lt;0,0001).</w:t>
      </w:r>
    </w:p>
    <w:p w14:paraId="424B4EF0" w14:textId="77777777" w:rsidR="00DA6AE5" w:rsidRDefault="00DA6AE5" w:rsidP="00DA6AE5">
      <w:pPr>
        <w:spacing w:line="240" w:lineRule="auto"/>
        <w:rPr>
          <w:rFonts w:eastAsia="Times New Roman" w:cs="Arial"/>
          <w:color w:val="000000"/>
          <w:lang w:eastAsia="bg-BG"/>
        </w:rPr>
      </w:pPr>
    </w:p>
    <w:p w14:paraId="17EF176E" w14:textId="7488E1CC" w:rsidR="00DA6AE5" w:rsidRPr="00DA6AE5" w:rsidRDefault="00DA6AE5" w:rsidP="00DA6AE5">
      <w:pPr>
        <w:spacing w:line="240" w:lineRule="auto"/>
        <w:rPr>
          <w:rFonts w:eastAsia="Times New Roman" w:cs="Arial"/>
        </w:rPr>
      </w:pPr>
      <w:r w:rsidRPr="00DA6AE5">
        <w:rPr>
          <w:rFonts w:eastAsia="Times New Roman" w:cs="Arial"/>
          <w:color w:val="000000"/>
          <w:lang w:eastAsia="bg-BG"/>
        </w:rPr>
        <w:t>Когато кандесартан цилексетил се прилага заедно с хидрохлоротиазид, намалението на артериалното налягане е адитивно. Повишен антихипертензивен ефект се наблюдава, когато кандесартан цилексетил се комбинира с амлодипин или фелодипин</w:t>
      </w:r>
    </w:p>
    <w:p w14:paraId="042DAA93" w14:textId="77777777" w:rsidR="00DA6AE5" w:rsidRDefault="00DA6AE5" w:rsidP="00DA6AE5">
      <w:pPr>
        <w:spacing w:line="240" w:lineRule="auto"/>
        <w:rPr>
          <w:rFonts w:eastAsia="Times New Roman" w:cs="Arial"/>
          <w:color w:val="000000"/>
          <w:lang w:eastAsia="bg-BG"/>
        </w:rPr>
      </w:pPr>
    </w:p>
    <w:p w14:paraId="4A6285A4" w14:textId="629B8AEE"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Лекарствени продукти, които блокират ренин-ангиотензин-алдостероновата система, имат по- слабо изразен антихипертензивен ефект при чернокожи пациенти (тази популация обикновено е с ниско ниво на ренин) в сравнение с нечернокожи пациенти. Това се отнася също и за кандесартан. В едно отворено клинично изпитване при 5 156 пациенти с диастолична хипертония намалението на артериалното налягане по време на лечение с кандесартан е било значимо по-малко при чернокожи в сравнение с нечернокожи (14,4/10,3 </w:t>
      </w:r>
      <w:r w:rsidRPr="00DA6AE5">
        <w:rPr>
          <w:rFonts w:eastAsia="Times New Roman" w:cs="Arial"/>
          <w:color w:val="000000"/>
          <w:lang w:val="en-US"/>
        </w:rPr>
        <w:t>mmHg</w:t>
      </w:r>
      <w:r w:rsidRPr="00DA6AE5">
        <w:rPr>
          <w:rFonts w:eastAsia="Times New Roman" w:cs="Arial"/>
          <w:color w:val="000000"/>
          <w:lang w:val="ru-RU"/>
        </w:rPr>
        <w:t xml:space="preserve"> </w:t>
      </w:r>
      <w:r w:rsidRPr="00DA6AE5">
        <w:rPr>
          <w:rFonts w:eastAsia="Times New Roman" w:cs="Arial"/>
          <w:color w:val="000000"/>
          <w:lang w:eastAsia="bg-BG"/>
        </w:rPr>
        <w:t xml:space="preserve">срещу 19,0/12,7 </w:t>
      </w:r>
      <w:r w:rsidRPr="00DA6AE5">
        <w:rPr>
          <w:rFonts w:eastAsia="Times New Roman" w:cs="Arial"/>
          <w:color w:val="000000"/>
          <w:lang w:val="en-US"/>
        </w:rPr>
        <w:t>mmHg</w:t>
      </w:r>
      <w:r w:rsidRPr="00DA6AE5">
        <w:rPr>
          <w:rFonts w:eastAsia="Times New Roman" w:cs="Arial"/>
          <w:color w:val="000000"/>
          <w:lang w:val="ru-RU"/>
        </w:rPr>
        <w:t xml:space="preserve">, </w:t>
      </w:r>
      <w:r w:rsidRPr="00DA6AE5">
        <w:rPr>
          <w:rFonts w:eastAsia="Times New Roman" w:cs="Arial"/>
          <w:color w:val="000000"/>
          <w:lang w:eastAsia="bg-BG"/>
        </w:rPr>
        <w:t>р&lt;0,0001/р&lt;0,0001).</w:t>
      </w:r>
    </w:p>
    <w:p w14:paraId="11D990FA" w14:textId="77777777" w:rsidR="00DA6AE5" w:rsidRDefault="00DA6AE5" w:rsidP="00DA6AE5">
      <w:pPr>
        <w:spacing w:line="240" w:lineRule="auto"/>
        <w:rPr>
          <w:rFonts w:eastAsia="Times New Roman" w:cs="Arial"/>
          <w:color w:val="000000"/>
          <w:lang w:eastAsia="bg-BG"/>
        </w:rPr>
      </w:pPr>
    </w:p>
    <w:p w14:paraId="40ADC4A3" w14:textId="5E202288"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Кандесартан засилва бъбречния кръвоток и или няма ефект, или увеличава степента на гломерулна филтрация, като бъбречната съдова резистентност и филтрационната фракция се намаляват. В едно 3-месечно клинично изпитване при хипертензивни пациенти със захарен диабет тип 2 и микроалбуминурия, антихипертензивното лечение с кандесартан цилексетил е намалило екскрецията на албумин с урината (съотношение албумин/креатинин средно 30%, 95% </w:t>
      </w:r>
      <w:r w:rsidRPr="00DA6AE5">
        <w:rPr>
          <w:rFonts w:eastAsia="Times New Roman" w:cs="Arial"/>
          <w:color w:val="000000"/>
          <w:lang w:val="en-US"/>
        </w:rPr>
        <w:t>CI</w:t>
      </w:r>
      <w:r w:rsidRPr="00DA6AE5">
        <w:rPr>
          <w:rFonts w:eastAsia="Times New Roman" w:cs="Arial"/>
          <w:color w:val="000000"/>
          <w:lang w:val="ru-RU"/>
        </w:rPr>
        <w:t xml:space="preserve"> </w:t>
      </w:r>
      <w:r w:rsidRPr="00DA6AE5">
        <w:rPr>
          <w:rFonts w:eastAsia="Times New Roman" w:cs="Arial"/>
          <w:color w:val="000000"/>
          <w:lang w:eastAsia="bg-BG"/>
        </w:rPr>
        <w:t>15-42%). Понастоящем няма данни за ефекта на кандесартан върху прогресирането на диабетната нефропатия.</w:t>
      </w:r>
    </w:p>
    <w:p w14:paraId="73938C19" w14:textId="77777777" w:rsidR="00DA6AE5" w:rsidRDefault="00DA6AE5" w:rsidP="00DA6AE5">
      <w:pPr>
        <w:spacing w:line="240" w:lineRule="auto"/>
        <w:rPr>
          <w:rFonts w:eastAsia="Times New Roman" w:cs="Arial"/>
          <w:color w:val="000000"/>
          <w:lang w:eastAsia="bg-BG"/>
        </w:rPr>
      </w:pPr>
    </w:p>
    <w:p w14:paraId="655D75CF" w14:textId="66F58245"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Ефектите на кандесартан цилексетил 8-16 </w:t>
      </w:r>
      <w:r w:rsidRPr="00DA6AE5">
        <w:rPr>
          <w:rFonts w:eastAsia="Times New Roman" w:cs="Arial"/>
          <w:color w:val="000000"/>
          <w:lang w:val="en-US"/>
        </w:rPr>
        <w:t>mg</w:t>
      </w:r>
      <w:r w:rsidRPr="00DA6AE5">
        <w:rPr>
          <w:rFonts w:eastAsia="Times New Roman" w:cs="Arial"/>
          <w:color w:val="000000"/>
        </w:rPr>
        <w:t xml:space="preserve"> </w:t>
      </w:r>
      <w:r w:rsidRPr="00DA6AE5">
        <w:rPr>
          <w:rFonts w:eastAsia="Times New Roman" w:cs="Arial"/>
          <w:color w:val="000000"/>
          <w:lang w:eastAsia="bg-BG"/>
        </w:rPr>
        <w:t xml:space="preserve">(средна доза 12 </w:t>
      </w:r>
      <w:r w:rsidRPr="00DA6AE5">
        <w:rPr>
          <w:rFonts w:eastAsia="Times New Roman" w:cs="Arial"/>
          <w:color w:val="000000"/>
          <w:lang w:val="en-US"/>
        </w:rPr>
        <w:t>mg</w:t>
      </w:r>
      <w:r w:rsidRPr="00DA6AE5">
        <w:rPr>
          <w:rFonts w:eastAsia="Times New Roman" w:cs="Arial"/>
          <w:color w:val="000000"/>
        </w:rPr>
        <w:t xml:space="preserve">), </w:t>
      </w:r>
      <w:r w:rsidRPr="00DA6AE5">
        <w:rPr>
          <w:rFonts w:eastAsia="Times New Roman" w:cs="Arial"/>
          <w:color w:val="000000"/>
          <w:lang w:eastAsia="bg-BG"/>
        </w:rPr>
        <w:t xml:space="preserve">веднъж дневно, върху сърдечно-съдовата заболеваемост и смъртност са оценявани при едно рандомизирано клинично изпитване върху 4937 пациенти в напреднала възраст (на възраст 70-89 години; 21% на възраст 80 или по-възрастни) с лека до умерена хипертония, проследявани средно 3,7 години </w:t>
      </w:r>
      <w:r w:rsidRPr="00DA6AE5">
        <w:rPr>
          <w:rFonts w:eastAsia="Times New Roman" w:cs="Arial"/>
          <w:color w:val="000000"/>
        </w:rPr>
        <w:t>(</w:t>
      </w:r>
      <w:r w:rsidRPr="00DA6AE5">
        <w:rPr>
          <w:rFonts w:eastAsia="Times New Roman" w:cs="Arial"/>
          <w:color w:val="000000"/>
          <w:lang w:val="en-US"/>
        </w:rPr>
        <w:t>Study</w:t>
      </w:r>
      <w:r w:rsidRPr="00DA6AE5">
        <w:rPr>
          <w:rFonts w:eastAsia="Times New Roman" w:cs="Arial"/>
          <w:color w:val="000000"/>
        </w:rPr>
        <w:t xml:space="preserve"> </w:t>
      </w:r>
      <w:r w:rsidRPr="00DA6AE5">
        <w:rPr>
          <w:rFonts w:eastAsia="Times New Roman" w:cs="Arial"/>
          <w:color w:val="000000"/>
          <w:lang w:val="en-US"/>
        </w:rPr>
        <w:t>on</w:t>
      </w:r>
      <w:r w:rsidRPr="00DA6AE5">
        <w:rPr>
          <w:rFonts w:eastAsia="Times New Roman" w:cs="Arial"/>
          <w:color w:val="000000"/>
        </w:rPr>
        <w:t xml:space="preserve"> </w:t>
      </w:r>
      <w:proofErr w:type="spellStart"/>
      <w:r w:rsidRPr="00DA6AE5">
        <w:rPr>
          <w:rFonts w:eastAsia="Times New Roman" w:cs="Arial"/>
          <w:color w:val="000000"/>
          <w:lang w:val="en-US"/>
        </w:rPr>
        <w:t>COgnition</w:t>
      </w:r>
      <w:proofErr w:type="spellEnd"/>
      <w:r w:rsidRPr="00DA6AE5">
        <w:rPr>
          <w:rFonts w:eastAsia="Times New Roman" w:cs="Arial"/>
          <w:color w:val="000000"/>
        </w:rPr>
        <w:t xml:space="preserve"> </w:t>
      </w:r>
      <w:r w:rsidRPr="00DA6AE5">
        <w:rPr>
          <w:rFonts w:eastAsia="Times New Roman" w:cs="Arial"/>
          <w:color w:val="000000"/>
          <w:lang w:val="en-US"/>
        </w:rPr>
        <w:t>and</w:t>
      </w:r>
      <w:r w:rsidRPr="00DA6AE5">
        <w:rPr>
          <w:rFonts w:eastAsia="Times New Roman" w:cs="Arial"/>
          <w:color w:val="000000"/>
        </w:rPr>
        <w:t xml:space="preserve"> </w:t>
      </w:r>
      <w:r w:rsidRPr="00DA6AE5">
        <w:rPr>
          <w:rFonts w:eastAsia="Times New Roman" w:cs="Arial"/>
          <w:color w:val="000000"/>
          <w:lang w:val="en-US"/>
        </w:rPr>
        <w:t>Prognosis</w:t>
      </w:r>
      <w:r w:rsidRPr="00DA6AE5">
        <w:rPr>
          <w:rFonts w:eastAsia="Times New Roman" w:cs="Arial"/>
          <w:color w:val="000000"/>
        </w:rPr>
        <w:t xml:space="preserve"> </w:t>
      </w:r>
      <w:r w:rsidRPr="00DA6AE5">
        <w:rPr>
          <w:rFonts w:eastAsia="Times New Roman" w:cs="Arial"/>
          <w:color w:val="000000"/>
          <w:lang w:val="en-US"/>
        </w:rPr>
        <w:t>in</w:t>
      </w:r>
      <w:r w:rsidRPr="00DA6AE5">
        <w:rPr>
          <w:rFonts w:eastAsia="Times New Roman" w:cs="Arial"/>
          <w:color w:val="000000"/>
        </w:rPr>
        <w:t xml:space="preserve"> </w:t>
      </w:r>
      <w:r w:rsidRPr="00DA6AE5">
        <w:rPr>
          <w:rFonts w:eastAsia="Times New Roman" w:cs="Arial"/>
          <w:color w:val="000000"/>
          <w:lang w:val="en-US"/>
        </w:rPr>
        <w:t>the</w:t>
      </w:r>
      <w:r w:rsidRPr="00DA6AE5">
        <w:rPr>
          <w:rFonts w:eastAsia="Times New Roman" w:cs="Arial"/>
          <w:color w:val="000000"/>
        </w:rPr>
        <w:t xml:space="preserve"> </w:t>
      </w:r>
      <w:r w:rsidRPr="00DA6AE5">
        <w:rPr>
          <w:rFonts w:eastAsia="Times New Roman" w:cs="Arial"/>
          <w:color w:val="000000"/>
          <w:lang w:val="en-US"/>
        </w:rPr>
        <w:t>Elderly</w:t>
      </w:r>
      <w:r w:rsidRPr="00DA6AE5">
        <w:rPr>
          <w:rFonts w:eastAsia="Times New Roman" w:cs="Arial"/>
          <w:color w:val="000000"/>
        </w:rPr>
        <w:t xml:space="preserve">). </w:t>
      </w:r>
      <w:r w:rsidRPr="00DA6AE5">
        <w:rPr>
          <w:rFonts w:eastAsia="Times New Roman" w:cs="Arial"/>
          <w:color w:val="000000"/>
          <w:lang w:eastAsia="bg-BG"/>
        </w:rPr>
        <w:t xml:space="preserve">Пациентите са получавали кандесартан цилексетил или плацебо с добавяне на друго антихипертензивно лечение според нуждите. Артериалното налягане е намалено от 166/90 на 145/80 </w:t>
      </w:r>
      <w:r w:rsidRPr="00DA6AE5">
        <w:rPr>
          <w:rFonts w:eastAsia="Times New Roman" w:cs="Arial"/>
          <w:color w:val="000000"/>
          <w:lang w:val="en-US"/>
        </w:rPr>
        <w:t>mmHg</w:t>
      </w:r>
      <w:r w:rsidRPr="00DA6AE5">
        <w:rPr>
          <w:rFonts w:eastAsia="Times New Roman" w:cs="Arial"/>
          <w:color w:val="000000"/>
          <w:lang w:val="ru-RU"/>
        </w:rPr>
        <w:t xml:space="preserve"> </w:t>
      </w:r>
      <w:r w:rsidRPr="00DA6AE5">
        <w:rPr>
          <w:rFonts w:eastAsia="Times New Roman" w:cs="Arial"/>
          <w:color w:val="000000"/>
          <w:lang w:eastAsia="bg-BG"/>
        </w:rPr>
        <w:t>в групата с кандесартан и от 167/90 на 1</w:t>
      </w:r>
      <w:r w:rsidRPr="00DA6AE5">
        <w:rPr>
          <w:rFonts w:eastAsia="Times New Roman" w:cs="Arial"/>
          <w:color w:val="000000"/>
          <w:lang w:val="ru-RU"/>
        </w:rPr>
        <w:t>49/82</w:t>
      </w:r>
      <w:r w:rsidRPr="00DA6AE5">
        <w:rPr>
          <w:rFonts w:eastAsia="Times New Roman" w:cs="Arial"/>
          <w:color w:val="000000"/>
          <w:lang w:val="en-US"/>
        </w:rPr>
        <w:t>mmHg</w:t>
      </w:r>
      <w:r w:rsidRPr="00DA6AE5">
        <w:rPr>
          <w:rFonts w:eastAsia="Times New Roman" w:cs="Arial"/>
          <w:color w:val="000000"/>
          <w:lang w:val="ru-RU"/>
        </w:rPr>
        <w:t xml:space="preserve"> </w:t>
      </w:r>
      <w:r w:rsidRPr="00DA6AE5">
        <w:rPr>
          <w:rFonts w:eastAsia="Times New Roman" w:cs="Arial"/>
          <w:color w:val="000000"/>
          <w:lang w:eastAsia="bg-BG"/>
        </w:rPr>
        <w:t xml:space="preserve">в контролната група. Няма статистически значима разлика в първичната крайна точка, големите сърдечносъдови събития (сърдечно-съдова смъртност, нефатален инсулт и нефатален миокарден инфаркт). Наблюдавани са 26,7 събития на 1000 пациенто-години в групата с кандесартан срещу 30,0 събития на 1000 пациенто-години в контролната група (относителен риск 0,89,95% </w:t>
      </w:r>
      <w:r w:rsidRPr="00DA6AE5">
        <w:rPr>
          <w:rFonts w:eastAsia="Times New Roman" w:cs="Arial"/>
          <w:color w:val="000000"/>
          <w:lang w:val="en-US"/>
        </w:rPr>
        <w:t>CI</w:t>
      </w:r>
      <w:r w:rsidRPr="00DA6AE5">
        <w:rPr>
          <w:rFonts w:eastAsia="Times New Roman" w:cs="Arial"/>
          <w:color w:val="000000"/>
          <w:lang w:val="ru-RU"/>
        </w:rPr>
        <w:t xml:space="preserve"> </w:t>
      </w:r>
      <w:r w:rsidRPr="00DA6AE5">
        <w:rPr>
          <w:rFonts w:eastAsia="Times New Roman" w:cs="Arial"/>
          <w:color w:val="000000"/>
          <w:lang w:eastAsia="bg-BG"/>
        </w:rPr>
        <w:t>0,75 до 1,06, р=0,19).</w:t>
      </w:r>
    </w:p>
    <w:p w14:paraId="097202AC" w14:textId="77777777" w:rsidR="00DA6AE5" w:rsidRDefault="00DA6AE5" w:rsidP="00DA6AE5">
      <w:pPr>
        <w:spacing w:line="240" w:lineRule="auto"/>
        <w:rPr>
          <w:rFonts w:eastAsia="Times New Roman" w:cs="Arial"/>
          <w:i/>
          <w:iCs/>
          <w:color w:val="000000"/>
          <w:lang w:eastAsia="bg-BG"/>
        </w:rPr>
      </w:pPr>
    </w:p>
    <w:p w14:paraId="4D7D62CF" w14:textId="7E727EA9" w:rsidR="00DA6AE5" w:rsidRPr="00DA6AE5" w:rsidRDefault="00DA6AE5" w:rsidP="00DA6AE5">
      <w:pPr>
        <w:spacing w:line="240" w:lineRule="auto"/>
        <w:rPr>
          <w:rFonts w:eastAsia="Times New Roman" w:cs="Arial"/>
        </w:rPr>
      </w:pPr>
      <w:r w:rsidRPr="00DA6AE5">
        <w:rPr>
          <w:rFonts w:eastAsia="Times New Roman" w:cs="Arial"/>
          <w:i/>
          <w:iCs/>
          <w:color w:val="000000"/>
          <w:lang w:eastAsia="bg-BG"/>
        </w:rPr>
        <w:t>Педиатрична популация - хипертония</w:t>
      </w:r>
    </w:p>
    <w:p w14:paraId="5E448C85" w14:textId="77777777" w:rsidR="00DA6AE5" w:rsidRPr="00DA6AE5" w:rsidRDefault="00DA6AE5" w:rsidP="00DA6AE5">
      <w:pPr>
        <w:spacing w:line="240" w:lineRule="auto"/>
        <w:rPr>
          <w:rFonts w:eastAsia="Times New Roman" w:cs="Arial"/>
        </w:rPr>
      </w:pPr>
      <w:r w:rsidRPr="00DA6AE5">
        <w:rPr>
          <w:rFonts w:eastAsia="Times New Roman" w:cs="Arial"/>
          <w:color w:val="000000"/>
          <w:lang w:eastAsia="bg-BG"/>
        </w:rPr>
        <w:t>Антихипертензивните ефекти на кандесартан са оценени при деца с артериална хипертония на възраст от 1 до &lt; 6 години и от 6 до &lt; 17 години в две рандомизирани, двойно-слепи, многоцентрови, 4-седмични проучвания за определяне на дозовия обхват.</w:t>
      </w:r>
    </w:p>
    <w:p w14:paraId="434FE855" w14:textId="77777777" w:rsidR="00DA6AE5" w:rsidRDefault="00DA6AE5" w:rsidP="00DA6AE5">
      <w:pPr>
        <w:spacing w:line="240" w:lineRule="auto"/>
        <w:rPr>
          <w:rFonts w:eastAsia="Times New Roman" w:cs="Arial"/>
          <w:color w:val="000000"/>
          <w:lang w:eastAsia="bg-BG"/>
        </w:rPr>
      </w:pPr>
    </w:p>
    <w:p w14:paraId="674E3FE0" w14:textId="75DD3BE6" w:rsidR="00DA6AE5" w:rsidRPr="00DA6AE5" w:rsidRDefault="00DA6AE5" w:rsidP="00DA6AE5">
      <w:pPr>
        <w:spacing w:line="240" w:lineRule="auto"/>
        <w:rPr>
          <w:rFonts w:eastAsia="Times New Roman" w:cs="Arial"/>
          <w:lang w:val="ru-RU"/>
        </w:rPr>
      </w:pPr>
      <w:r w:rsidRPr="00DA6AE5">
        <w:rPr>
          <w:rFonts w:eastAsia="Times New Roman" w:cs="Arial"/>
          <w:color w:val="000000"/>
          <w:lang w:eastAsia="bg-BG"/>
        </w:rPr>
        <w:t xml:space="preserve">При деца на възраст от 1 до &lt; 6 години, 93 пациента, 74% от които са с бъбречно заболяване, са рандомизирани да получават през устата суспензия кандесартан цилексетил 0,05; 0,20 или 0,40 </w:t>
      </w:r>
      <w:r w:rsidRPr="00DA6AE5">
        <w:rPr>
          <w:rFonts w:eastAsia="Times New Roman" w:cs="Arial"/>
          <w:color w:val="000000"/>
          <w:lang w:val="en-US"/>
        </w:rPr>
        <w:t>mg</w:t>
      </w:r>
      <w:r w:rsidRPr="00DA6AE5">
        <w:rPr>
          <w:rFonts w:eastAsia="Times New Roman" w:cs="Arial"/>
          <w:color w:val="000000"/>
          <w:lang w:val="ru-RU"/>
        </w:rPr>
        <w:t>/</w:t>
      </w:r>
      <w:r w:rsidRPr="00DA6AE5">
        <w:rPr>
          <w:rFonts w:eastAsia="Times New Roman" w:cs="Arial"/>
          <w:color w:val="000000"/>
          <w:lang w:val="en-US"/>
        </w:rPr>
        <w:t>kg</w:t>
      </w:r>
      <w:r w:rsidRPr="00DA6AE5">
        <w:rPr>
          <w:rFonts w:eastAsia="Times New Roman" w:cs="Arial"/>
          <w:color w:val="000000"/>
          <w:lang w:val="ru-RU"/>
        </w:rPr>
        <w:t xml:space="preserve"> </w:t>
      </w:r>
      <w:r w:rsidRPr="00DA6AE5">
        <w:rPr>
          <w:rFonts w:eastAsia="Times New Roman" w:cs="Arial"/>
          <w:color w:val="000000"/>
          <w:lang w:eastAsia="bg-BG"/>
        </w:rPr>
        <w:t xml:space="preserve">веднъж дневно. Основният метод за анализ е въз основа на наклона на кривата на зависимостта на сиситолното артериално налягане (САН) от дозата. За трите дозировки на кандесартан цилексетил САН и диастоличното артериално налягане (ДАН) показват понижаване с 6,0/5,2 до 12,0/11,1 </w:t>
      </w:r>
      <w:r w:rsidRPr="00DA6AE5">
        <w:rPr>
          <w:rFonts w:eastAsia="Times New Roman" w:cs="Arial"/>
          <w:color w:val="000000"/>
          <w:lang w:val="en-US"/>
        </w:rPr>
        <w:t>mmHg</w:t>
      </w:r>
      <w:r w:rsidRPr="00DA6AE5">
        <w:rPr>
          <w:rFonts w:eastAsia="Times New Roman" w:cs="Arial"/>
          <w:color w:val="000000"/>
          <w:lang w:val="ru-RU"/>
        </w:rPr>
        <w:t xml:space="preserve"> </w:t>
      </w:r>
      <w:r w:rsidRPr="00DA6AE5">
        <w:rPr>
          <w:rFonts w:eastAsia="Times New Roman" w:cs="Arial"/>
          <w:color w:val="000000"/>
          <w:lang w:eastAsia="bg-BG"/>
        </w:rPr>
        <w:t>в сравнение с изходните стойности. Все пак понеже липсва група на плацебо, действителната величина на ефекта върху артериалното налягане остава несигурна, което прави трудна заключителната оценка на съотношението полза/риск в тази възрастова група.</w:t>
      </w:r>
    </w:p>
    <w:p w14:paraId="118A9D32" w14:textId="6B90CF6E" w:rsidR="00DA6AE5" w:rsidRDefault="00DA6AE5" w:rsidP="00DA6AE5"/>
    <w:p w14:paraId="577DA1BC" w14:textId="77777777" w:rsidR="00DA6AE5" w:rsidRPr="00DA6AE5" w:rsidRDefault="00DA6AE5" w:rsidP="00DA6AE5">
      <w:pPr>
        <w:spacing w:line="240" w:lineRule="auto"/>
        <w:rPr>
          <w:rFonts w:eastAsia="Times New Roman" w:cs="Arial"/>
        </w:rPr>
      </w:pPr>
      <w:r w:rsidRPr="00DA6AE5">
        <w:rPr>
          <w:rFonts w:eastAsia="Times New Roman" w:cs="Arial"/>
          <w:color w:val="000000"/>
          <w:lang w:eastAsia="bg-BG"/>
        </w:rPr>
        <w:lastRenderedPageBreak/>
        <w:t xml:space="preserve">При деца на възраст от 6 до &lt; 17 години, 240 пациенти са рандомизирани в съотношение 1:2:2:2, за да получават плацебо, ниска, средна или висока доза кандесартан цилексетил. При деца с тегло &lt; 50 </w:t>
      </w:r>
      <w:r w:rsidRPr="00DA6AE5">
        <w:rPr>
          <w:rFonts w:eastAsia="Times New Roman" w:cs="Arial"/>
          <w:color w:val="000000"/>
          <w:lang w:val="en-US"/>
        </w:rPr>
        <w:t>kg</w:t>
      </w:r>
      <w:r w:rsidRPr="00DA6AE5">
        <w:rPr>
          <w:rFonts w:eastAsia="Times New Roman" w:cs="Arial"/>
          <w:color w:val="000000"/>
          <w:lang w:val="ru-RU"/>
        </w:rPr>
        <w:t xml:space="preserve">, </w:t>
      </w:r>
      <w:r w:rsidRPr="00DA6AE5">
        <w:rPr>
          <w:rFonts w:eastAsia="Times New Roman" w:cs="Arial"/>
          <w:color w:val="000000"/>
          <w:lang w:eastAsia="bg-BG"/>
        </w:rPr>
        <w:t xml:space="preserve">дозировките на кандесартан цилексетил са 2, 8 или 16 </w:t>
      </w:r>
      <w:r w:rsidRPr="00DA6AE5">
        <w:rPr>
          <w:rFonts w:eastAsia="Times New Roman" w:cs="Arial"/>
          <w:color w:val="000000"/>
          <w:lang w:val="en-US"/>
        </w:rPr>
        <w:t>mg</w:t>
      </w:r>
      <w:r w:rsidRPr="00DA6AE5">
        <w:rPr>
          <w:rFonts w:eastAsia="Times New Roman" w:cs="Arial"/>
          <w:color w:val="000000"/>
          <w:lang w:val="ru-RU"/>
        </w:rPr>
        <w:t xml:space="preserve"> </w:t>
      </w:r>
      <w:r w:rsidRPr="00DA6AE5">
        <w:rPr>
          <w:rFonts w:eastAsia="Times New Roman" w:cs="Arial"/>
          <w:color w:val="000000"/>
          <w:lang w:eastAsia="bg-BG"/>
        </w:rPr>
        <w:t xml:space="preserve">веднъж дневно. При деца с тегло &gt; 50 </w:t>
      </w:r>
      <w:r w:rsidRPr="00DA6AE5">
        <w:rPr>
          <w:rFonts w:eastAsia="Times New Roman" w:cs="Arial"/>
          <w:color w:val="000000"/>
          <w:lang w:val="en-US"/>
        </w:rPr>
        <w:t>kg</w:t>
      </w:r>
      <w:r w:rsidRPr="00DA6AE5">
        <w:rPr>
          <w:rFonts w:eastAsia="Times New Roman" w:cs="Arial"/>
          <w:color w:val="000000"/>
          <w:lang w:val="ru-RU"/>
        </w:rPr>
        <w:t xml:space="preserve"> </w:t>
      </w:r>
      <w:r w:rsidRPr="00DA6AE5">
        <w:rPr>
          <w:rFonts w:eastAsia="Times New Roman" w:cs="Arial"/>
          <w:color w:val="000000"/>
          <w:lang w:eastAsia="bg-BG"/>
        </w:rPr>
        <w:t xml:space="preserve">дозировките на кандесартан цилексетил са 4,16 или 32 </w:t>
      </w:r>
      <w:r w:rsidRPr="00DA6AE5">
        <w:rPr>
          <w:rFonts w:eastAsia="Times New Roman" w:cs="Arial"/>
          <w:color w:val="000000"/>
          <w:lang w:val="en-US"/>
        </w:rPr>
        <w:t>mg</w:t>
      </w:r>
      <w:r w:rsidRPr="00DA6AE5">
        <w:rPr>
          <w:rFonts w:eastAsia="Times New Roman" w:cs="Arial"/>
          <w:color w:val="000000"/>
          <w:lang w:val="ru-RU"/>
        </w:rPr>
        <w:t xml:space="preserve"> </w:t>
      </w:r>
      <w:r w:rsidRPr="00DA6AE5">
        <w:rPr>
          <w:rFonts w:eastAsia="Times New Roman" w:cs="Arial"/>
          <w:color w:val="000000"/>
          <w:lang w:eastAsia="bg-BG"/>
        </w:rPr>
        <w:t xml:space="preserve">веднъж дневно. Кандесартан в средната доза намалява САН в покой с 10,2 </w:t>
      </w:r>
      <w:r w:rsidRPr="00DA6AE5">
        <w:rPr>
          <w:rFonts w:eastAsia="Times New Roman" w:cs="Arial"/>
          <w:color w:val="000000"/>
          <w:lang w:val="en-US"/>
        </w:rPr>
        <w:t>mmHg</w:t>
      </w:r>
      <w:r w:rsidRPr="00DA6AE5">
        <w:rPr>
          <w:rFonts w:eastAsia="Times New Roman" w:cs="Arial"/>
          <w:color w:val="000000"/>
          <w:lang w:val="ru-RU"/>
        </w:rPr>
        <w:t xml:space="preserve"> </w:t>
      </w:r>
      <w:r w:rsidRPr="00DA6AE5">
        <w:rPr>
          <w:rFonts w:eastAsia="Times New Roman" w:cs="Arial"/>
          <w:color w:val="000000"/>
          <w:lang w:eastAsia="bg-BG"/>
        </w:rPr>
        <w:t xml:space="preserve">(Р&lt;0,0001) и ДАН в покой (Р=0,0029) с 6,6 </w:t>
      </w:r>
      <w:r w:rsidRPr="00DA6AE5">
        <w:rPr>
          <w:rFonts w:eastAsia="Times New Roman" w:cs="Arial"/>
          <w:color w:val="000000"/>
          <w:lang w:val="en-US"/>
        </w:rPr>
        <w:t>mmHg</w:t>
      </w:r>
      <w:r w:rsidRPr="00DA6AE5">
        <w:rPr>
          <w:rFonts w:eastAsia="Times New Roman" w:cs="Arial"/>
          <w:color w:val="000000"/>
          <w:lang w:val="ru-RU"/>
        </w:rPr>
        <w:t xml:space="preserve"> </w:t>
      </w:r>
      <w:r w:rsidRPr="00DA6AE5">
        <w:rPr>
          <w:rFonts w:eastAsia="Times New Roman" w:cs="Arial"/>
          <w:color w:val="000000"/>
          <w:lang w:eastAsia="bg-BG"/>
        </w:rPr>
        <w:t xml:space="preserve">в сравнение с изходните стойности. В групата на плацебо също се установява намаляване с 3,7 </w:t>
      </w:r>
      <w:r w:rsidRPr="00DA6AE5">
        <w:rPr>
          <w:rFonts w:eastAsia="Times New Roman" w:cs="Arial"/>
          <w:color w:val="000000"/>
          <w:lang w:val="en-US"/>
        </w:rPr>
        <w:t>mmHg</w:t>
      </w:r>
      <w:r w:rsidRPr="00DA6AE5">
        <w:rPr>
          <w:rFonts w:eastAsia="Times New Roman" w:cs="Arial"/>
          <w:color w:val="000000"/>
          <w:lang w:val="ru-RU"/>
        </w:rPr>
        <w:t xml:space="preserve"> </w:t>
      </w:r>
      <w:r w:rsidRPr="00DA6AE5">
        <w:rPr>
          <w:rFonts w:eastAsia="Times New Roman" w:cs="Arial"/>
          <w:color w:val="000000"/>
          <w:lang w:eastAsia="bg-BG"/>
        </w:rPr>
        <w:t xml:space="preserve">на САН в покой (Р=0,0074) и с 1,80 </w:t>
      </w:r>
      <w:r w:rsidRPr="00DA6AE5">
        <w:rPr>
          <w:rFonts w:eastAsia="Times New Roman" w:cs="Arial"/>
          <w:color w:val="000000"/>
          <w:lang w:val="en-US"/>
        </w:rPr>
        <w:t>mmHg</w:t>
      </w:r>
      <w:r w:rsidRPr="00DA6AE5">
        <w:rPr>
          <w:rFonts w:eastAsia="Times New Roman" w:cs="Arial"/>
          <w:color w:val="000000"/>
          <w:lang w:val="ru-RU"/>
        </w:rPr>
        <w:t xml:space="preserve"> </w:t>
      </w:r>
      <w:r w:rsidRPr="00DA6AE5">
        <w:rPr>
          <w:rFonts w:eastAsia="Times New Roman" w:cs="Arial"/>
          <w:color w:val="000000"/>
          <w:lang w:eastAsia="bg-BG"/>
        </w:rPr>
        <w:t xml:space="preserve">на ДАН в покой (Р=0,0992), в сравнение с изходните стойности. Въпреки големия плацебо ефект, всички отделни дозировки на кандесартан (както и средната доза) показват значимо превъзходство в сравнение с плацебо. Максимален отговор по отношение на понижаването на артериалното налягане при деца с телесно тегло под и над 50 </w:t>
      </w:r>
      <w:r w:rsidRPr="00DA6AE5">
        <w:rPr>
          <w:rFonts w:eastAsia="Times New Roman" w:cs="Arial"/>
          <w:color w:val="000000"/>
          <w:lang w:val="en-US"/>
        </w:rPr>
        <w:t>kg</w:t>
      </w:r>
      <w:r w:rsidRPr="00DA6AE5">
        <w:rPr>
          <w:rFonts w:eastAsia="Times New Roman" w:cs="Arial"/>
          <w:color w:val="000000"/>
          <w:lang w:val="ru-RU"/>
        </w:rPr>
        <w:t xml:space="preserve"> </w:t>
      </w:r>
      <w:r w:rsidRPr="00DA6AE5">
        <w:rPr>
          <w:rFonts w:eastAsia="Times New Roman" w:cs="Arial"/>
          <w:color w:val="000000"/>
          <w:lang w:eastAsia="bg-BG"/>
        </w:rPr>
        <w:t xml:space="preserve">се постига при дози съответно 8 </w:t>
      </w:r>
      <w:r w:rsidRPr="00DA6AE5">
        <w:rPr>
          <w:rFonts w:eastAsia="Times New Roman" w:cs="Arial"/>
          <w:color w:val="000000"/>
          <w:lang w:val="en-US"/>
        </w:rPr>
        <w:t>mg</w:t>
      </w:r>
      <w:r w:rsidRPr="00DA6AE5">
        <w:rPr>
          <w:rFonts w:eastAsia="Times New Roman" w:cs="Arial"/>
          <w:color w:val="000000"/>
          <w:lang w:val="ru-RU"/>
        </w:rPr>
        <w:t xml:space="preserve"> </w:t>
      </w:r>
      <w:r w:rsidRPr="00DA6AE5">
        <w:rPr>
          <w:rFonts w:eastAsia="Times New Roman" w:cs="Arial"/>
          <w:color w:val="000000"/>
          <w:lang w:eastAsia="bg-BG"/>
        </w:rPr>
        <w:t xml:space="preserve">и 16 </w:t>
      </w:r>
      <w:r w:rsidRPr="00DA6AE5">
        <w:rPr>
          <w:rFonts w:eastAsia="Times New Roman" w:cs="Arial"/>
          <w:color w:val="000000"/>
          <w:lang w:val="en-US"/>
        </w:rPr>
        <w:t>mg</w:t>
      </w:r>
      <w:r w:rsidRPr="00DA6AE5">
        <w:rPr>
          <w:rFonts w:eastAsia="Times New Roman" w:cs="Arial"/>
          <w:color w:val="000000"/>
          <w:lang w:val="ru-RU"/>
        </w:rPr>
        <w:t xml:space="preserve">, </w:t>
      </w:r>
      <w:r w:rsidRPr="00DA6AE5">
        <w:rPr>
          <w:rFonts w:eastAsia="Times New Roman" w:cs="Arial"/>
          <w:color w:val="000000"/>
          <w:lang w:eastAsia="bg-BG"/>
        </w:rPr>
        <w:t>като след тази стойност ефектът е в плато.</w:t>
      </w:r>
    </w:p>
    <w:p w14:paraId="2A40948E" w14:textId="77777777" w:rsidR="00DA6AE5" w:rsidRDefault="00DA6AE5" w:rsidP="00DA6AE5">
      <w:pPr>
        <w:spacing w:line="240" w:lineRule="auto"/>
        <w:rPr>
          <w:rFonts w:eastAsia="Times New Roman" w:cs="Arial"/>
          <w:color w:val="000000"/>
          <w:lang w:eastAsia="bg-BG"/>
        </w:rPr>
      </w:pPr>
    </w:p>
    <w:p w14:paraId="09B28084" w14:textId="4F05BD6B"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От включените пациенти 47% са чернокожи и 29% от женски пол; средната възраст +/- </w:t>
      </w:r>
      <w:r w:rsidRPr="00DA6AE5">
        <w:rPr>
          <w:rFonts w:eastAsia="Times New Roman" w:cs="Arial"/>
          <w:color w:val="000000"/>
          <w:lang w:val="en-US"/>
        </w:rPr>
        <w:t>SD</w:t>
      </w:r>
      <w:r w:rsidRPr="00DA6AE5">
        <w:rPr>
          <w:rFonts w:eastAsia="Times New Roman" w:cs="Arial"/>
          <w:color w:val="000000"/>
          <w:lang w:val="ru-RU"/>
        </w:rPr>
        <w:t xml:space="preserve"> </w:t>
      </w:r>
      <w:r w:rsidRPr="00DA6AE5">
        <w:rPr>
          <w:rFonts w:eastAsia="Times New Roman" w:cs="Arial"/>
          <w:color w:val="000000"/>
          <w:lang w:eastAsia="bg-BG"/>
        </w:rPr>
        <w:t>е 12,9 +/- 2,6 години. При деца на възраст от 6 до &lt; 17 години се наблюдава тенденция за намаляване на ефекта върху артериалното налягане при чернокожите пациенти в сравнение с нечернокожите.</w:t>
      </w:r>
    </w:p>
    <w:p w14:paraId="48ED348C" w14:textId="77777777" w:rsidR="00DA6AE5" w:rsidRDefault="00DA6AE5" w:rsidP="00DA6AE5">
      <w:pPr>
        <w:spacing w:line="240" w:lineRule="auto"/>
        <w:rPr>
          <w:rFonts w:eastAsia="Times New Roman" w:cs="Arial"/>
          <w:color w:val="000000"/>
          <w:u w:val="single"/>
          <w:lang w:eastAsia="bg-BG"/>
        </w:rPr>
      </w:pPr>
    </w:p>
    <w:p w14:paraId="1FF90BEA" w14:textId="1E47F0CA" w:rsidR="00DA6AE5" w:rsidRPr="00DA6AE5" w:rsidRDefault="00DA6AE5" w:rsidP="00DA6AE5">
      <w:pPr>
        <w:spacing w:line="240" w:lineRule="auto"/>
        <w:rPr>
          <w:rFonts w:eastAsia="Times New Roman" w:cs="Arial"/>
        </w:rPr>
      </w:pPr>
      <w:r w:rsidRPr="00DA6AE5">
        <w:rPr>
          <w:rFonts w:eastAsia="Times New Roman" w:cs="Arial"/>
          <w:color w:val="000000"/>
          <w:u w:val="single"/>
          <w:lang w:eastAsia="bg-BG"/>
        </w:rPr>
        <w:t>Сърдечна недостатъчност</w:t>
      </w:r>
    </w:p>
    <w:p w14:paraId="48E66BDF" w14:textId="77777777" w:rsidR="00DA6AE5" w:rsidRDefault="00DA6AE5" w:rsidP="00DA6AE5">
      <w:pPr>
        <w:spacing w:line="240" w:lineRule="auto"/>
        <w:rPr>
          <w:rFonts w:eastAsia="Times New Roman" w:cs="Arial"/>
          <w:color w:val="000000"/>
          <w:lang w:eastAsia="bg-BG"/>
        </w:rPr>
      </w:pPr>
    </w:p>
    <w:p w14:paraId="304AE02F" w14:textId="0A8FC788"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Лечението с кандесартан цилексетил намалява смъртността, намалява случаите на хоспитализация поради сърдечна недостатъчност и подобрява симптомите при пациенти с левокамерна систолна дисфункция, както показва резултатът от програмата </w:t>
      </w:r>
      <w:r w:rsidRPr="00DA6AE5">
        <w:rPr>
          <w:rFonts w:eastAsia="Times New Roman" w:cs="Arial"/>
          <w:color w:val="000000"/>
          <w:lang w:val="en-US"/>
        </w:rPr>
        <w:t>CHARM</w:t>
      </w:r>
      <w:r w:rsidRPr="00DA6AE5">
        <w:rPr>
          <w:rFonts w:eastAsia="Times New Roman" w:cs="Arial"/>
          <w:color w:val="000000"/>
        </w:rPr>
        <w:t xml:space="preserve"> (</w:t>
      </w:r>
      <w:r w:rsidRPr="00DA6AE5">
        <w:rPr>
          <w:rFonts w:eastAsia="Times New Roman" w:cs="Arial"/>
          <w:color w:val="000000"/>
          <w:lang w:val="en-US"/>
        </w:rPr>
        <w:t>Candesartan</w:t>
      </w:r>
      <w:r w:rsidRPr="00DA6AE5">
        <w:rPr>
          <w:rFonts w:eastAsia="Times New Roman" w:cs="Arial"/>
          <w:color w:val="000000"/>
        </w:rPr>
        <w:t xml:space="preserve"> </w:t>
      </w:r>
      <w:r w:rsidRPr="00DA6AE5">
        <w:rPr>
          <w:rFonts w:eastAsia="Times New Roman" w:cs="Arial"/>
          <w:color w:val="000000"/>
          <w:lang w:val="en-US"/>
        </w:rPr>
        <w:t>in</w:t>
      </w:r>
      <w:r w:rsidRPr="00DA6AE5">
        <w:rPr>
          <w:rFonts w:eastAsia="Times New Roman" w:cs="Arial"/>
          <w:color w:val="000000"/>
        </w:rPr>
        <w:t xml:space="preserve"> </w:t>
      </w:r>
      <w:r w:rsidRPr="00DA6AE5">
        <w:rPr>
          <w:rFonts w:eastAsia="Times New Roman" w:cs="Arial"/>
          <w:color w:val="000000"/>
          <w:lang w:val="en-US"/>
        </w:rPr>
        <w:t>Heart</w:t>
      </w:r>
      <w:r w:rsidRPr="00DA6AE5">
        <w:rPr>
          <w:rFonts w:eastAsia="Times New Roman" w:cs="Arial"/>
          <w:color w:val="000000"/>
        </w:rPr>
        <w:t xml:space="preserve"> </w:t>
      </w:r>
      <w:r w:rsidRPr="00DA6AE5">
        <w:rPr>
          <w:rFonts w:eastAsia="Times New Roman" w:cs="Arial"/>
          <w:color w:val="000000"/>
          <w:lang w:val="en-US"/>
        </w:rPr>
        <w:t>failure</w:t>
      </w:r>
      <w:r w:rsidRPr="00DA6AE5">
        <w:rPr>
          <w:rFonts w:eastAsia="Times New Roman" w:cs="Arial"/>
          <w:color w:val="000000"/>
        </w:rPr>
        <w:t xml:space="preserve"> - </w:t>
      </w:r>
      <w:r w:rsidRPr="00DA6AE5">
        <w:rPr>
          <w:rFonts w:eastAsia="Times New Roman" w:cs="Arial"/>
          <w:color w:val="000000"/>
          <w:lang w:val="en-US"/>
        </w:rPr>
        <w:t>Assessment</w:t>
      </w:r>
      <w:r w:rsidRPr="00DA6AE5">
        <w:rPr>
          <w:rFonts w:eastAsia="Times New Roman" w:cs="Arial"/>
          <w:color w:val="000000"/>
        </w:rPr>
        <w:t xml:space="preserve"> </w:t>
      </w:r>
      <w:r w:rsidRPr="00DA6AE5">
        <w:rPr>
          <w:rFonts w:eastAsia="Times New Roman" w:cs="Arial"/>
          <w:color w:val="000000"/>
          <w:lang w:val="en-US"/>
        </w:rPr>
        <w:t>of</w:t>
      </w:r>
      <w:r w:rsidRPr="00DA6AE5">
        <w:rPr>
          <w:rFonts w:eastAsia="Times New Roman" w:cs="Arial"/>
          <w:color w:val="000000"/>
        </w:rPr>
        <w:t xml:space="preserve"> </w:t>
      </w:r>
      <w:r w:rsidRPr="00DA6AE5">
        <w:rPr>
          <w:rFonts w:eastAsia="Times New Roman" w:cs="Arial"/>
          <w:color w:val="000000"/>
          <w:lang w:val="en-US"/>
        </w:rPr>
        <w:t>R</w:t>
      </w:r>
      <w:r w:rsidRPr="00DA6AE5">
        <w:rPr>
          <w:rFonts w:eastAsia="Times New Roman" w:cs="Arial"/>
          <w:color w:val="000000"/>
        </w:rPr>
        <w:t xml:space="preserve">&lt; </w:t>
      </w:r>
      <w:r w:rsidRPr="00DA6AE5">
        <w:rPr>
          <w:rFonts w:eastAsia="Times New Roman" w:cs="Arial"/>
          <w:color w:val="000000"/>
          <w:lang w:val="en-US"/>
        </w:rPr>
        <w:t>Mortality</w:t>
      </w:r>
      <w:r w:rsidRPr="00DA6AE5">
        <w:rPr>
          <w:rFonts w:eastAsia="Times New Roman" w:cs="Arial"/>
          <w:color w:val="000000"/>
        </w:rPr>
        <w:t xml:space="preserve"> </w:t>
      </w:r>
      <w:r w:rsidRPr="00DA6AE5">
        <w:rPr>
          <w:rFonts w:eastAsia="Times New Roman" w:cs="Arial"/>
          <w:color w:val="000000"/>
          <w:lang w:val="en-US"/>
        </w:rPr>
        <w:t>and</w:t>
      </w:r>
      <w:r w:rsidRPr="00DA6AE5">
        <w:rPr>
          <w:rFonts w:eastAsia="Times New Roman" w:cs="Arial"/>
          <w:color w:val="000000"/>
        </w:rPr>
        <w:t xml:space="preserve"> </w:t>
      </w:r>
      <w:r w:rsidRPr="00DA6AE5">
        <w:rPr>
          <w:rFonts w:eastAsia="Times New Roman" w:cs="Arial"/>
          <w:color w:val="000000"/>
          <w:lang w:val="en-US"/>
        </w:rPr>
        <w:t>morbidity</w:t>
      </w:r>
      <w:r w:rsidRPr="00DA6AE5">
        <w:rPr>
          <w:rFonts w:eastAsia="Times New Roman" w:cs="Arial"/>
          <w:color w:val="000000"/>
        </w:rPr>
        <w:t xml:space="preserve">/ </w:t>
      </w:r>
      <w:r w:rsidRPr="00DA6AE5">
        <w:rPr>
          <w:rFonts w:eastAsia="Times New Roman" w:cs="Arial"/>
          <w:color w:val="000000"/>
          <w:lang w:eastAsia="bg-BG"/>
        </w:rPr>
        <w:t>Кандесартан при сърдечна недостатъчност намаляването на смъртността и заболеваемостта).</w:t>
      </w:r>
    </w:p>
    <w:p w14:paraId="071FDDD4" w14:textId="77777777" w:rsidR="00DA6AE5" w:rsidRDefault="00DA6AE5" w:rsidP="00DA6AE5">
      <w:pPr>
        <w:spacing w:line="240" w:lineRule="auto"/>
        <w:rPr>
          <w:rFonts w:eastAsia="Times New Roman" w:cs="Arial"/>
          <w:color w:val="000000"/>
          <w:lang w:eastAsia="bg-BG"/>
        </w:rPr>
      </w:pPr>
    </w:p>
    <w:p w14:paraId="43872C30" w14:textId="4AC51E15"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Тази програма на плацебо-контролирано, двойно-сляпо клинично изпитване при пациенти с хронична сърдечна недостатъчност (ХСН) с II до IV функционален клас по </w:t>
      </w:r>
      <w:r w:rsidRPr="00DA6AE5">
        <w:rPr>
          <w:rFonts w:eastAsia="Times New Roman" w:cs="Arial"/>
          <w:color w:val="000000"/>
          <w:lang w:val="en-US"/>
        </w:rPr>
        <w:t>NYHA</w:t>
      </w:r>
      <w:r w:rsidRPr="00DA6AE5">
        <w:rPr>
          <w:rFonts w:eastAsia="Times New Roman" w:cs="Arial"/>
          <w:color w:val="000000"/>
          <w:lang w:val="ru-RU"/>
        </w:rPr>
        <w:t xml:space="preserve"> </w:t>
      </w:r>
      <w:r w:rsidRPr="00DA6AE5">
        <w:rPr>
          <w:rFonts w:eastAsia="Times New Roman" w:cs="Arial"/>
          <w:color w:val="000000"/>
          <w:lang w:eastAsia="bg-BG"/>
        </w:rPr>
        <w:t xml:space="preserve">се състои от три отделни проучвания: </w:t>
      </w:r>
      <w:r w:rsidRPr="00DA6AE5">
        <w:rPr>
          <w:rFonts w:eastAsia="Times New Roman" w:cs="Arial"/>
          <w:color w:val="000000"/>
          <w:lang w:val="en-US"/>
        </w:rPr>
        <w:t>CHARM</w:t>
      </w:r>
      <w:r w:rsidRPr="00DA6AE5">
        <w:rPr>
          <w:rFonts w:eastAsia="Times New Roman" w:cs="Arial"/>
          <w:color w:val="000000"/>
          <w:lang w:eastAsia="bg-BG"/>
        </w:rPr>
        <w:t>-Алтернатива (</w:t>
      </w:r>
      <w:r w:rsidRPr="00DA6AE5">
        <w:rPr>
          <w:rFonts w:eastAsia="Times New Roman" w:cs="Arial"/>
          <w:color w:val="000000"/>
          <w:lang w:val="en-US"/>
        </w:rPr>
        <w:t>n</w:t>
      </w:r>
      <w:r w:rsidRPr="00DA6AE5">
        <w:rPr>
          <w:rFonts w:eastAsia="Times New Roman" w:cs="Arial"/>
          <w:color w:val="000000"/>
          <w:lang w:eastAsia="bg-BG"/>
        </w:rPr>
        <w:t xml:space="preserve">=2028) при пациенти с левокамерна фракция на изтласкване (ЛКФИ) &lt;40%, нелекувани с АСЕ инхибитор поради непоносимост (предимно, дължаща се на кашлица, 72%), </w:t>
      </w:r>
      <w:r w:rsidRPr="00DA6AE5">
        <w:rPr>
          <w:rFonts w:eastAsia="Times New Roman" w:cs="Arial"/>
          <w:color w:val="000000"/>
          <w:lang w:val="en-US"/>
        </w:rPr>
        <w:t>CHARM</w:t>
      </w:r>
      <w:r w:rsidRPr="00DA6AE5">
        <w:rPr>
          <w:rFonts w:eastAsia="Times New Roman" w:cs="Arial"/>
          <w:color w:val="000000"/>
          <w:lang w:eastAsia="bg-BG"/>
        </w:rPr>
        <w:t>-Допълнителна (</w:t>
      </w:r>
      <w:r w:rsidRPr="00DA6AE5">
        <w:rPr>
          <w:rFonts w:eastAsia="Times New Roman" w:cs="Arial"/>
          <w:color w:val="000000"/>
          <w:lang w:val="en-US"/>
        </w:rPr>
        <w:t>n</w:t>
      </w:r>
      <w:r w:rsidRPr="00DA6AE5">
        <w:rPr>
          <w:rFonts w:eastAsia="Times New Roman" w:cs="Arial"/>
          <w:color w:val="000000"/>
          <w:lang w:eastAsia="bg-BG"/>
        </w:rPr>
        <w:t>=2548) при пациенти с ЛКФИ &lt;40% и лекувани с АСЕ инхибитор, и СН</w:t>
      </w:r>
      <w:r w:rsidRPr="00DA6AE5">
        <w:rPr>
          <w:rFonts w:eastAsia="Times New Roman" w:cs="Arial"/>
          <w:color w:val="000000"/>
          <w:lang w:val="en-US"/>
        </w:rPr>
        <w:t>ARM</w:t>
      </w:r>
      <w:r w:rsidRPr="00DA6AE5">
        <w:rPr>
          <w:rFonts w:eastAsia="Times New Roman" w:cs="Arial"/>
          <w:color w:val="000000"/>
          <w:lang w:eastAsia="bg-BG"/>
        </w:rPr>
        <w:t>-Запазена (</w:t>
      </w:r>
      <w:r w:rsidRPr="00DA6AE5">
        <w:rPr>
          <w:rFonts w:eastAsia="Times New Roman" w:cs="Arial"/>
          <w:color w:val="000000"/>
          <w:lang w:val="en-US"/>
        </w:rPr>
        <w:t>n</w:t>
      </w:r>
      <w:r w:rsidRPr="00DA6AE5">
        <w:rPr>
          <w:rFonts w:eastAsia="Times New Roman" w:cs="Arial"/>
          <w:color w:val="000000"/>
          <w:lang w:eastAsia="bg-BG"/>
        </w:rPr>
        <w:t xml:space="preserve">=3023) при пациенти с ЛКФИ &gt;40%. Пациентите с оптимална терапия на ХСН на изходно ниво са рандомизирани в група с плацебо или кандесартан цилексетил (с постепенно повишение на дозата от 4 </w:t>
      </w:r>
      <w:r w:rsidRPr="00DA6AE5">
        <w:rPr>
          <w:rFonts w:eastAsia="Times New Roman" w:cs="Arial"/>
          <w:color w:val="000000"/>
          <w:lang w:val="en-US"/>
        </w:rPr>
        <w:t>mg</w:t>
      </w:r>
      <w:r w:rsidRPr="00DA6AE5">
        <w:rPr>
          <w:rFonts w:eastAsia="Times New Roman" w:cs="Arial"/>
          <w:color w:val="000000"/>
          <w:lang w:val="ru-RU"/>
        </w:rPr>
        <w:t xml:space="preserve"> </w:t>
      </w:r>
      <w:r w:rsidRPr="00DA6AE5">
        <w:rPr>
          <w:rFonts w:eastAsia="Times New Roman" w:cs="Arial"/>
          <w:color w:val="000000"/>
          <w:lang w:eastAsia="bg-BG"/>
        </w:rPr>
        <w:t xml:space="preserve">или 8 </w:t>
      </w:r>
      <w:r w:rsidRPr="00DA6AE5">
        <w:rPr>
          <w:rFonts w:eastAsia="Times New Roman" w:cs="Arial"/>
          <w:color w:val="000000"/>
          <w:lang w:val="en-US"/>
        </w:rPr>
        <w:t>mg</w:t>
      </w:r>
      <w:r w:rsidRPr="00DA6AE5">
        <w:rPr>
          <w:rFonts w:eastAsia="Times New Roman" w:cs="Arial"/>
          <w:color w:val="000000"/>
          <w:lang w:val="ru-RU"/>
        </w:rPr>
        <w:t xml:space="preserve"> </w:t>
      </w:r>
      <w:r w:rsidRPr="00DA6AE5">
        <w:rPr>
          <w:rFonts w:eastAsia="Times New Roman" w:cs="Arial"/>
          <w:color w:val="000000"/>
          <w:lang w:eastAsia="bg-BG"/>
        </w:rPr>
        <w:t xml:space="preserve">веднъж дневно до 32 </w:t>
      </w:r>
      <w:r w:rsidRPr="00DA6AE5">
        <w:rPr>
          <w:rFonts w:eastAsia="Times New Roman" w:cs="Arial"/>
          <w:color w:val="000000"/>
          <w:lang w:val="en-US"/>
        </w:rPr>
        <w:t>mg</w:t>
      </w:r>
      <w:r w:rsidRPr="00DA6AE5">
        <w:rPr>
          <w:rFonts w:eastAsia="Times New Roman" w:cs="Arial"/>
          <w:color w:val="000000"/>
          <w:lang w:val="ru-RU"/>
        </w:rPr>
        <w:t xml:space="preserve"> </w:t>
      </w:r>
      <w:r w:rsidRPr="00DA6AE5">
        <w:rPr>
          <w:rFonts w:eastAsia="Times New Roman" w:cs="Arial"/>
          <w:color w:val="000000"/>
          <w:lang w:eastAsia="bg-BG"/>
        </w:rPr>
        <w:t xml:space="preserve">веднъж дневно или до най-високата поносима доза, средна доза от 24 </w:t>
      </w:r>
      <w:r w:rsidRPr="00DA6AE5">
        <w:rPr>
          <w:rFonts w:eastAsia="Times New Roman" w:cs="Arial"/>
          <w:color w:val="000000"/>
          <w:lang w:val="en-US"/>
        </w:rPr>
        <w:t>mg</w:t>
      </w:r>
      <w:r w:rsidRPr="00DA6AE5">
        <w:rPr>
          <w:rFonts w:eastAsia="Times New Roman" w:cs="Arial"/>
          <w:color w:val="000000"/>
          <w:lang w:val="ru-RU"/>
        </w:rPr>
        <w:t xml:space="preserve">) </w:t>
      </w:r>
      <w:r w:rsidRPr="00DA6AE5">
        <w:rPr>
          <w:rFonts w:eastAsia="Times New Roman" w:cs="Arial"/>
          <w:color w:val="000000"/>
          <w:lang w:eastAsia="bg-BG"/>
        </w:rPr>
        <w:t xml:space="preserve">и са проследявани в продължение на средно 37,7 месеца. След 6-месечно лечение 63% от пациентите, все още приемащи кандесартан цилексетил (89%), са достигнали таргетната доза от 32 </w:t>
      </w:r>
      <w:r w:rsidRPr="00DA6AE5">
        <w:rPr>
          <w:rFonts w:eastAsia="Times New Roman" w:cs="Arial"/>
          <w:color w:val="000000"/>
          <w:lang w:val="en-US"/>
        </w:rPr>
        <w:t>mg</w:t>
      </w:r>
      <w:r w:rsidRPr="00DA6AE5">
        <w:rPr>
          <w:rFonts w:eastAsia="Times New Roman" w:cs="Arial"/>
          <w:color w:val="000000"/>
          <w:lang w:val="ru-RU"/>
        </w:rPr>
        <w:t>.</w:t>
      </w:r>
    </w:p>
    <w:p w14:paraId="16C31F3F" w14:textId="77777777" w:rsidR="00DA6AE5" w:rsidRDefault="00DA6AE5" w:rsidP="00DA6AE5">
      <w:pPr>
        <w:spacing w:line="240" w:lineRule="auto"/>
        <w:rPr>
          <w:rFonts w:eastAsia="Times New Roman" w:cs="Arial"/>
          <w:color w:val="000000"/>
          <w:lang w:eastAsia="bg-BG"/>
        </w:rPr>
      </w:pPr>
    </w:p>
    <w:p w14:paraId="33B7015C" w14:textId="6C8DCB74"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В </w:t>
      </w:r>
      <w:r w:rsidRPr="00DA6AE5">
        <w:rPr>
          <w:rFonts w:eastAsia="Times New Roman" w:cs="Arial"/>
          <w:color w:val="000000"/>
          <w:lang w:val="en-US"/>
        </w:rPr>
        <w:t>CHARM</w:t>
      </w:r>
      <w:r w:rsidRPr="00DA6AE5">
        <w:rPr>
          <w:rFonts w:eastAsia="Times New Roman" w:cs="Arial"/>
          <w:color w:val="000000"/>
          <w:lang w:eastAsia="bg-BG"/>
        </w:rPr>
        <w:t xml:space="preserve">-Алтернатива, съставната крайна точка от сърдечно-съдова смъртност или първа хоспитализация поради ХСН е била значимо намалена при кандесартан в сравнение с плацебо, рисков коефициент (РК) 0,77 (95% </w:t>
      </w:r>
      <w:r w:rsidRPr="00DA6AE5">
        <w:rPr>
          <w:rFonts w:eastAsia="Times New Roman" w:cs="Arial"/>
          <w:color w:val="000000"/>
          <w:lang w:val="en-US"/>
        </w:rPr>
        <w:t>CI</w:t>
      </w:r>
      <w:r w:rsidRPr="00DA6AE5">
        <w:rPr>
          <w:rFonts w:eastAsia="Times New Roman" w:cs="Arial"/>
          <w:color w:val="000000"/>
          <w:lang w:val="ru-RU"/>
        </w:rPr>
        <w:t xml:space="preserve"> </w:t>
      </w:r>
      <w:r w:rsidRPr="00DA6AE5">
        <w:rPr>
          <w:rFonts w:eastAsia="Times New Roman" w:cs="Arial"/>
          <w:color w:val="000000"/>
          <w:lang w:eastAsia="bg-BG"/>
        </w:rPr>
        <w:t xml:space="preserve">0,67 до 0,89, р&lt;0,001). Това съответства на намаление на относителния риск с 23%. При 33,0% от пациентите на кандесартан (95% С1: 30,1 до 36,0) и при 40,0% (95% </w:t>
      </w:r>
      <w:r w:rsidRPr="00DA6AE5">
        <w:rPr>
          <w:rFonts w:eastAsia="Times New Roman" w:cs="Arial"/>
          <w:color w:val="000000"/>
          <w:lang w:val="en-US"/>
        </w:rPr>
        <w:t>CI</w:t>
      </w:r>
      <w:r w:rsidRPr="00DA6AE5">
        <w:rPr>
          <w:rFonts w:eastAsia="Times New Roman" w:cs="Arial"/>
          <w:color w:val="000000"/>
          <w:lang w:val="ru-RU"/>
        </w:rPr>
        <w:t xml:space="preserve">: </w:t>
      </w:r>
      <w:r w:rsidRPr="00DA6AE5">
        <w:rPr>
          <w:rFonts w:eastAsia="Times New Roman" w:cs="Arial"/>
          <w:color w:val="000000"/>
          <w:lang w:eastAsia="bg-BG"/>
        </w:rPr>
        <w:t xml:space="preserve">37,0 до 43,1) от пациентите на плацебо са достигнали тази крайна точка, абсолютна разлика 7,0% (95% </w:t>
      </w:r>
      <w:r w:rsidRPr="00DA6AE5">
        <w:rPr>
          <w:rFonts w:eastAsia="Times New Roman" w:cs="Arial"/>
          <w:color w:val="000000"/>
          <w:lang w:val="en-US"/>
        </w:rPr>
        <w:t>CI</w:t>
      </w:r>
      <w:r w:rsidRPr="00DA6AE5">
        <w:rPr>
          <w:rFonts w:eastAsia="Times New Roman" w:cs="Arial"/>
          <w:color w:val="000000"/>
          <w:lang w:val="ru-RU"/>
        </w:rPr>
        <w:t xml:space="preserve">: </w:t>
      </w:r>
      <w:r w:rsidRPr="00DA6AE5">
        <w:rPr>
          <w:rFonts w:eastAsia="Times New Roman" w:cs="Arial"/>
          <w:color w:val="000000"/>
          <w:lang w:eastAsia="bg-BG"/>
        </w:rPr>
        <w:t>11.02-02.08).</w:t>
      </w:r>
    </w:p>
    <w:p w14:paraId="0EBBEAAF" w14:textId="77777777"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Четиринадесет пациенти е трябвало да бъдат лекувани в продължение на цялото изпитване, за да се предотврати смъртта на един болен от сърдечносъдово събитие или да се хоспитализира за лечение на сърдечна недостатъчност. Съставната крайна точка от смъртност от всякаква причина или първа хоспитализация поради ХСН е била също значимо намалена с кандесартан (РК 0,80,95% </w:t>
      </w:r>
      <w:r w:rsidRPr="00DA6AE5">
        <w:rPr>
          <w:rFonts w:eastAsia="Times New Roman" w:cs="Arial"/>
          <w:color w:val="000000"/>
          <w:lang w:val="en-US"/>
        </w:rPr>
        <w:t>CI</w:t>
      </w:r>
      <w:r w:rsidRPr="00DA6AE5">
        <w:rPr>
          <w:rFonts w:eastAsia="Times New Roman" w:cs="Arial"/>
          <w:color w:val="000000"/>
          <w:lang w:val="ru-RU"/>
        </w:rPr>
        <w:t xml:space="preserve"> </w:t>
      </w:r>
      <w:r w:rsidRPr="00DA6AE5">
        <w:rPr>
          <w:rFonts w:eastAsia="Times New Roman" w:cs="Arial"/>
          <w:color w:val="000000"/>
          <w:lang w:eastAsia="bg-BG"/>
        </w:rPr>
        <w:t xml:space="preserve">0,70-0,92, р=0,001). При 36,6% от </w:t>
      </w:r>
      <w:r w:rsidRPr="00DA6AE5">
        <w:rPr>
          <w:rFonts w:eastAsia="Times New Roman" w:cs="Arial"/>
          <w:color w:val="000000"/>
          <w:lang w:eastAsia="bg-BG"/>
        </w:rPr>
        <w:lastRenderedPageBreak/>
        <w:t xml:space="preserve">пациентите на кандесартан (95% </w:t>
      </w:r>
      <w:r w:rsidRPr="00DA6AE5">
        <w:rPr>
          <w:rFonts w:eastAsia="Times New Roman" w:cs="Arial"/>
          <w:color w:val="000000"/>
          <w:lang w:val="en-US"/>
        </w:rPr>
        <w:t>CI</w:t>
      </w:r>
      <w:r w:rsidRPr="00DA6AE5">
        <w:rPr>
          <w:rFonts w:eastAsia="Times New Roman" w:cs="Arial"/>
          <w:color w:val="000000"/>
          <w:lang w:val="ru-RU"/>
        </w:rPr>
        <w:t xml:space="preserve">: </w:t>
      </w:r>
      <w:r w:rsidRPr="00DA6AE5">
        <w:rPr>
          <w:rFonts w:eastAsia="Times New Roman" w:cs="Arial"/>
          <w:color w:val="000000"/>
          <w:lang w:eastAsia="bg-BG"/>
        </w:rPr>
        <w:t xml:space="preserve">33,7 до 39,7) и при 42,7% (95% </w:t>
      </w:r>
      <w:r w:rsidRPr="00DA6AE5">
        <w:rPr>
          <w:rFonts w:eastAsia="Times New Roman" w:cs="Arial"/>
          <w:color w:val="000000"/>
          <w:lang w:val="en-US"/>
        </w:rPr>
        <w:t>CI</w:t>
      </w:r>
      <w:r w:rsidRPr="00DA6AE5">
        <w:rPr>
          <w:rFonts w:eastAsia="Times New Roman" w:cs="Arial"/>
          <w:color w:val="000000"/>
          <w:lang w:val="ru-RU"/>
        </w:rPr>
        <w:t xml:space="preserve">: </w:t>
      </w:r>
      <w:r w:rsidRPr="00DA6AE5">
        <w:rPr>
          <w:rFonts w:eastAsia="Times New Roman" w:cs="Arial"/>
          <w:color w:val="000000"/>
          <w:lang w:eastAsia="bg-BG"/>
        </w:rPr>
        <w:t>39,6 до 45,8) от пациентите на плацебо са достигнали</w:t>
      </w:r>
      <w:r w:rsidRPr="00DA6AE5">
        <w:rPr>
          <w:rFonts w:eastAsia="Times New Roman" w:cs="Arial"/>
          <w:color w:val="000000"/>
          <w:lang w:val="ru-RU"/>
        </w:rPr>
        <w:t xml:space="preserve"> </w:t>
      </w:r>
      <w:r w:rsidRPr="00DA6AE5">
        <w:rPr>
          <w:rFonts w:eastAsia="Times New Roman" w:cs="Arial"/>
          <w:color w:val="000000"/>
          <w:lang w:eastAsia="bg-BG"/>
        </w:rPr>
        <w:t xml:space="preserve">тази крайна точка, абсолютна разлика 6,0% (95% </w:t>
      </w:r>
      <w:r w:rsidRPr="00DA6AE5">
        <w:rPr>
          <w:rFonts w:eastAsia="Times New Roman" w:cs="Arial"/>
          <w:color w:val="000000"/>
          <w:lang w:val="en-US"/>
        </w:rPr>
        <w:t>CI</w:t>
      </w:r>
      <w:r w:rsidRPr="00DA6AE5">
        <w:rPr>
          <w:rFonts w:eastAsia="Times New Roman" w:cs="Arial"/>
          <w:color w:val="000000"/>
          <w:lang w:val="ru-RU"/>
        </w:rPr>
        <w:t xml:space="preserve">: </w:t>
      </w:r>
      <w:r w:rsidRPr="00DA6AE5">
        <w:rPr>
          <w:rFonts w:eastAsia="Times New Roman" w:cs="Arial"/>
          <w:color w:val="000000"/>
          <w:lang w:eastAsia="bg-BG"/>
        </w:rPr>
        <w:t>10.03-01.08).</w:t>
      </w:r>
    </w:p>
    <w:p w14:paraId="5A270142" w14:textId="77777777" w:rsidR="00DA6AE5" w:rsidRPr="00DA6AE5" w:rsidRDefault="00DA6AE5" w:rsidP="00DA6AE5">
      <w:pPr>
        <w:spacing w:line="240" w:lineRule="auto"/>
        <w:rPr>
          <w:rFonts w:eastAsia="Times New Roman" w:cs="Arial"/>
        </w:rPr>
      </w:pPr>
      <w:r w:rsidRPr="00DA6AE5">
        <w:rPr>
          <w:rFonts w:eastAsia="Times New Roman" w:cs="Arial"/>
          <w:color w:val="000000"/>
          <w:lang w:eastAsia="bg-BG"/>
        </w:rPr>
        <w:t>И двата компонента на тези съставни крайни точки - смъртността и заболеваемостта (хоспитализация поради ХСН) са допринесли за благоприятните ефекти на кандесартан</w:t>
      </w:r>
    </w:p>
    <w:p w14:paraId="2D72A4E6" w14:textId="18C1B16A" w:rsidR="00DA6AE5" w:rsidRDefault="00DA6AE5" w:rsidP="00DA6AE5">
      <w:pPr>
        <w:spacing w:line="240" w:lineRule="auto"/>
        <w:rPr>
          <w:rFonts w:eastAsia="Times New Roman" w:cs="Arial"/>
          <w:color w:val="000000"/>
          <w:lang w:eastAsia="bg-BG"/>
        </w:rPr>
      </w:pPr>
      <w:r w:rsidRPr="00DA6AE5">
        <w:rPr>
          <w:rFonts w:eastAsia="Times New Roman" w:cs="Arial"/>
          <w:color w:val="000000"/>
          <w:lang w:eastAsia="bg-BG"/>
        </w:rPr>
        <w:t>Лечението с кандесартан цилексетил е довело до подобряване на функционалния клас по</w:t>
      </w:r>
      <w:r w:rsidRPr="00DA6AE5">
        <w:rPr>
          <w:rFonts w:eastAsia="Times New Roman" w:cs="Arial"/>
          <w:lang w:val="ru-RU"/>
        </w:rPr>
        <w:t xml:space="preserve"> </w:t>
      </w:r>
      <w:r w:rsidRPr="00DA6AE5">
        <w:rPr>
          <w:rFonts w:eastAsia="Times New Roman" w:cs="Arial"/>
          <w:color w:val="000000"/>
          <w:lang w:val="en-US"/>
        </w:rPr>
        <w:t>NYH</w:t>
      </w:r>
      <w:r w:rsidRPr="00DA6AE5">
        <w:rPr>
          <w:rFonts w:eastAsia="Times New Roman" w:cs="Arial"/>
          <w:color w:val="000000"/>
          <w:lang w:eastAsia="bg-BG"/>
        </w:rPr>
        <w:t>А (р=0,008).</w:t>
      </w:r>
    </w:p>
    <w:p w14:paraId="59BFF976" w14:textId="34D2086C" w:rsidR="00DA6AE5" w:rsidRDefault="00DA6AE5" w:rsidP="00DA6AE5">
      <w:pPr>
        <w:spacing w:line="240" w:lineRule="auto"/>
        <w:rPr>
          <w:rFonts w:eastAsia="Times New Roman" w:cs="Arial"/>
          <w:color w:val="000000"/>
          <w:lang w:eastAsia="bg-BG"/>
        </w:rPr>
      </w:pPr>
    </w:p>
    <w:p w14:paraId="7DEA9A44" w14:textId="77777777"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В </w:t>
      </w:r>
      <w:r w:rsidRPr="00DA6AE5">
        <w:rPr>
          <w:rFonts w:eastAsia="Times New Roman" w:cs="Arial"/>
          <w:color w:val="000000"/>
          <w:lang w:val="en-US"/>
        </w:rPr>
        <w:t>CHARM</w:t>
      </w:r>
      <w:r w:rsidRPr="00DA6AE5">
        <w:rPr>
          <w:rFonts w:eastAsia="Times New Roman" w:cs="Arial"/>
          <w:color w:val="000000"/>
          <w:lang w:eastAsia="bg-BG"/>
        </w:rPr>
        <w:t xml:space="preserve">-Допълнителна, съставната крайна точка от сърдечно-съдова смъртност или първа хоспитализация на ХСН е била значително намалена с кандесартан в сравнение с плацебо </w:t>
      </w:r>
      <w:r w:rsidRPr="00DA6AE5">
        <w:rPr>
          <w:rFonts w:eastAsia="Times New Roman" w:cs="Arial"/>
          <w:color w:val="000000"/>
          <w:lang w:val="ru-RU"/>
        </w:rPr>
        <w:t>(</w:t>
      </w:r>
      <w:r w:rsidRPr="00DA6AE5">
        <w:rPr>
          <w:rFonts w:eastAsia="Times New Roman" w:cs="Arial"/>
          <w:color w:val="000000"/>
          <w:lang w:val="en-US"/>
        </w:rPr>
        <w:t>HR</w:t>
      </w:r>
      <w:r w:rsidRPr="00DA6AE5">
        <w:rPr>
          <w:rFonts w:eastAsia="Times New Roman" w:cs="Arial"/>
          <w:color w:val="000000"/>
          <w:lang w:val="ru-RU"/>
        </w:rPr>
        <w:t xml:space="preserve"> </w:t>
      </w:r>
      <w:r w:rsidRPr="00DA6AE5">
        <w:rPr>
          <w:rFonts w:eastAsia="Times New Roman" w:cs="Arial"/>
          <w:color w:val="000000"/>
          <w:lang w:eastAsia="bg-BG"/>
        </w:rPr>
        <w:t xml:space="preserve">0,85, 95% </w:t>
      </w:r>
      <w:r w:rsidRPr="00DA6AE5">
        <w:rPr>
          <w:rFonts w:eastAsia="Times New Roman" w:cs="Arial"/>
          <w:color w:val="000000"/>
          <w:lang w:val="en-US"/>
        </w:rPr>
        <w:t>CI</w:t>
      </w:r>
      <w:r w:rsidRPr="00DA6AE5">
        <w:rPr>
          <w:rFonts w:eastAsia="Times New Roman" w:cs="Arial"/>
          <w:color w:val="000000"/>
          <w:lang w:val="ru-RU"/>
        </w:rPr>
        <w:t xml:space="preserve"> </w:t>
      </w:r>
      <w:r w:rsidRPr="00DA6AE5">
        <w:rPr>
          <w:rFonts w:eastAsia="Times New Roman" w:cs="Arial"/>
          <w:color w:val="000000"/>
          <w:lang w:eastAsia="bg-BG"/>
        </w:rPr>
        <w:t xml:space="preserve">0,75-0,96, р=0,011). Това съответства на намаление на относителния риск с 15%. От 37,9% (95% </w:t>
      </w:r>
      <w:r w:rsidRPr="00DA6AE5">
        <w:rPr>
          <w:rFonts w:eastAsia="Times New Roman" w:cs="Arial"/>
          <w:color w:val="000000"/>
          <w:lang w:val="en-US"/>
        </w:rPr>
        <w:t>CI</w:t>
      </w:r>
      <w:r w:rsidRPr="00DA6AE5">
        <w:rPr>
          <w:rFonts w:eastAsia="Times New Roman" w:cs="Arial"/>
          <w:color w:val="000000"/>
          <w:lang w:val="ru-RU"/>
        </w:rPr>
        <w:t xml:space="preserve">: </w:t>
      </w:r>
      <w:r w:rsidRPr="00DA6AE5">
        <w:rPr>
          <w:rFonts w:eastAsia="Times New Roman" w:cs="Arial"/>
          <w:color w:val="000000"/>
          <w:lang w:eastAsia="bg-BG"/>
        </w:rPr>
        <w:t xml:space="preserve">35,2 до 40,6) пациенти на кандесартан и 42,3% (95% </w:t>
      </w:r>
      <w:r w:rsidRPr="00DA6AE5">
        <w:rPr>
          <w:rFonts w:eastAsia="Times New Roman" w:cs="Arial"/>
          <w:color w:val="000000"/>
          <w:lang w:val="en-US"/>
        </w:rPr>
        <w:t>CI</w:t>
      </w:r>
      <w:r w:rsidRPr="00DA6AE5">
        <w:rPr>
          <w:rFonts w:eastAsia="Times New Roman" w:cs="Arial"/>
          <w:color w:val="000000"/>
          <w:lang w:val="ru-RU"/>
        </w:rPr>
        <w:t xml:space="preserve">: </w:t>
      </w:r>
      <w:r w:rsidRPr="00DA6AE5">
        <w:rPr>
          <w:rFonts w:eastAsia="Times New Roman" w:cs="Arial"/>
          <w:color w:val="000000"/>
          <w:lang w:eastAsia="bg-BG"/>
        </w:rPr>
        <w:t xml:space="preserve">39,6 до 45,1) и пациенти на плацебо са достигнали тази крайна точка, абсолютна разлика 4,4% (95% </w:t>
      </w:r>
      <w:r w:rsidRPr="00DA6AE5">
        <w:rPr>
          <w:rFonts w:eastAsia="Times New Roman" w:cs="Arial"/>
          <w:color w:val="000000"/>
          <w:lang w:val="en-US"/>
        </w:rPr>
        <w:t>CI</w:t>
      </w:r>
      <w:r w:rsidRPr="00DA6AE5">
        <w:rPr>
          <w:rFonts w:eastAsia="Times New Roman" w:cs="Arial"/>
          <w:color w:val="000000"/>
          <w:lang w:val="ru-RU"/>
        </w:rPr>
        <w:t xml:space="preserve">: </w:t>
      </w:r>
      <w:r w:rsidRPr="00DA6AE5">
        <w:rPr>
          <w:rFonts w:eastAsia="Times New Roman" w:cs="Arial"/>
          <w:color w:val="000000"/>
          <w:lang w:eastAsia="bg-BG"/>
        </w:rPr>
        <w:t>8,2 до 0,6).</w:t>
      </w:r>
    </w:p>
    <w:p w14:paraId="2C2D2993" w14:textId="77777777"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Двадесет и три пациента е трябвало да бъдат лекувани в продължение на цялото изпитване, за да се предотврати смъртта на един болен от сърдечно-съдово събитие или да се хоспитализира за лечение на сърдечна недостатъчност. Съставната крайна точка от смъртност от всякаква причина или първа хоспитализация поради ХСН е била също значимо намалена с кандесартан (РК 0,87, 95% </w:t>
      </w:r>
      <w:r w:rsidRPr="00DA6AE5">
        <w:rPr>
          <w:rFonts w:eastAsia="Times New Roman" w:cs="Arial"/>
          <w:color w:val="000000"/>
          <w:lang w:val="en-US"/>
        </w:rPr>
        <w:t>CI</w:t>
      </w:r>
      <w:r w:rsidRPr="00DA6AE5">
        <w:rPr>
          <w:rFonts w:eastAsia="Times New Roman" w:cs="Arial"/>
          <w:color w:val="000000"/>
          <w:lang w:val="ru-RU"/>
        </w:rPr>
        <w:t xml:space="preserve"> </w:t>
      </w:r>
      <w:r w:rsidRPr="00DA6AE5">
        <w:rPr>
          <w:rFonts w:eastAsia="Times New Roman" w:cs="Arial"/>
          <w:color w:val="000000"/>
          <w:lang w:eastAsia="bg-BG"/>
        </w:rPr>
        <w:t xml:space="preserve">0,78-0,98, р=0,021). От 42,2% (95% </w:t>
      </w:r>
      <w:r w:rsidRPr="00DA6AE5">
        <w:rPr>
          <w:rFonts w:eastAsia="Times New Roman" w:cs="Arial"/>
          <w:color w:val="000000"/>
          <w:lang w:val="en-US"/>
        </w:rPr>
        <w:t>CI</w:t>
      </w:r>
      <w:r w:rsidRPr="00DA6AE5">
        <w:rPr>
          <w:rFonts w:eastAsia="Times New Roman" w:cs="Arial"/>
          <w:color w:val="000000"/>
          <w:lang w:val="ru-RU"/>
        </w:rPr>
        <w:t xml:space="preserve">: </w:t>
      </w:r>
      <w:r w:rsidRPr="00DA6AE5">
        <w:rPr>
          <w:rFonts w:eastAsia="Times New Roman" w:cs="Arial"/>
          <w:color w:val="000000"/>
          <w:lang w:eastAsia="bg-BG"/>
        </w:rPr>
        <w:t xml:space="preserve">39,5 до 45,0) пациенти на кандесартан 46,1 % (95% </w:t>
      </w:r>
      <w:r w:rsidRPr="00DA6AE5">
        <w:rPr>
          <w:rFonts w:eastAsia="Times New Roman" w:cs="Arial"/>
          <w:color w:val="000000"/>
          <w:lang w:val="en-US"/>
        </w:rPr>
        <w:t>CI</w:t>
      </w:r>
      <w:r w:rsidRPr="00DA6AE5">
        <w:rPr>
          <w:rFonts w:eastAsia="Times New Roman" w:cs="Arial"/>
          <w:color w:val="000000"/>
          <w:lang w:val="ru-RU"/>
        </w:rPr>
        <w:t xml:space="preserve">: </w:t>
      </w:r>
      <w:r w:rsidRPr="00DA6AE5">
        <w:rPr>
          <w:rFonts w:eastAsia="Times New Roman" w:cs="Arial"/>
          <w:color w:val="000000"/>
          <w:lang w:eastAsia="bg-BG"/>
        </w:rPr>
        <w:t xml:space="preserve">43,4 до 48,9) и пациенти на плацебо са достигнали тази крайна точка, абсолютна разлика 3,9% (95% </w:t>
      </w:r>
      <w:r w:rsidRPr="00DA6AE5">
        <w:rPr>
          <w:rFonts w:eastAsia="Times New Roman" w:cs="Arial"/>
          <w:color w:val="000000"/>
          <w:lang w:val="en-US"/>
        </w:rPr>
        <w:t>CI</w:t>
      </w:r>
      <w:r w:rsidRPr="00DA6AE5">
        <w:rPr>
          <w:rFonts w:eastAsia="Times New Roman" w:cs="Arial"/>
          <w:color w:val="000000"/>
          <w:lang w:val="ru-RU"/>
        </w:rPr>
        <w:t xml:space="preserve">: </w:t>
      </w:r>
      <w:r w:rsidRPr="00DA6AE5">
        <w:rPr>
          <w:rFonts w:eastAsia="Times New Roman" w:cs="Arial"/>
          <w:color w:val="000000"/>
          <w:lang w:eastAsia="bg-BG"/>
        </w:rPr>
        <w:t>7,8 до 0,1).</w:t>
      </w:r>
    </w:p>
    <w:p w14:paraId="5BA0C471" w14:textId="77777777"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И двата компонента на тези съставни крайни точки - смъртността и заболеваемостта (хоспитализация поради ХСН) са допринесли за благоприятните ефекти на кандесартан. Лечението с кандесартан е довело до подобряване на функционалния клас по </w:t>
      </w:r>
      <w:r w:rsidRPr="00DA6AE5">
        <w:rPr>
          <w:rFonts w:eastAsia="Times New Roman" w:cs="Arial"/>
          <w:color w:val="000000"/>
          <w:lang w:val="en-US"/>
        </w:rPr>
        <w:t>NYHA</w:t>
      </w:r>
      <w:r w:rsidRPr="00DA6AE5">
        <w:rPr>
          <w:rFonts w:eastAsia="Times New Roman" w:cs="Arial"/>
          <w:color w:val="000000"/>
          <w:lang w:val="ru-RU"/>
        </w:rPr>
        <w:t xml:space="preserve"> </w:t>
      </w:r>
      <w:r w:rsidRPr="00DA6AE5">
        <w:rPr>
          <w:rFonts w:eastAsia="Times New Roman" w:cs="Arial"/>
          <w:color w:val="000000"/>
          <w:lang w:eastAsia="bg-BG"/>
        </w:rPr>
        <w:t>(р=0,020).</w:t>
      </w:r>
    </w:p>
    <w:p w14:paraId="5BD9DCDC" w14:textId="77777777" w:rsidR="00DA6AE5" w:rsidRDefault="00DA6AE5" w:rsidP="00DA6AE5">
      <w:pPr>
        <w:spacing w:line="240" w:lineRule="auto"/>
        <w:rPr>
          <w:rFonts w:eastAsia="Times New Roman" w:cs="Arial"/>
          <w:color w:val="000000"/>
          <w:lang w:eastAsia="bg-BG"/>
        </w:rPr>
      </w:pPr>
    </w:p>
    <w:p w14:paraId="419D0D4D" w14:textId="3AA15F82"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В </w:t>
      </w:r>
      <w:r w:rsidRPr="00DA6AE5">
        <w:rPr>
          <w:rFonts w:eastAsia="Times New Roman" w:cs="Arial"/>
          <w:color w:val="000000"/>
          <w:lang w:val="en-US"/>
        </w:rPr>
        <w:t>CHARM</w:t>
      </w:r>
      <w:r w:rsidRPr="00DA6AE5">
        <w:rPr>
          <w:rFonts w:eastAsia="Times New Roman" w:cs="Arial"/>
          <w:color w:val="000000"/>
          <w:lang w:eastAsia="bg-BG"/>
        </w:rPr>
        <w:t xml:space="preserve">-Запазена. не е постигнато статистически значимо намаление на съставната крайна точка от сърдечно-съдова смъртност или първа хоспитализация поради ХСН (РК 0,89,95% </w:t>
      </w:r>
      <w:r w:rsidRPr="00DA6AE5">
        <w:rPr>
          <w:rFonts w:eastAsia="Times New Roman" w:cs="Arial"/>
          <w:color w:val="000000"/>
          <w:lang w:val="en-US"/>
        </w:rPr>
        <w:t>CI</w:t>
      </w:r>
      <w:r w:rsidRPr="00DA6AE5">
        <w:rPr>
          <w:rFonts w:eastAsia="Times New Roman" w:cs="Arial"/>
          <w:color w:val="000000"/>
          <w:lang w:val="ru-RU"/>
        </w:rPr>
        <w:t xml:space="preserve"> </w:t>
      </w:r>
      <w:r w:rsidRPr="00DA6AE5">
        <w:rPr>
          <w:rFonts w:eastAsia="Times New Roman" w:cs="Arial"/>
          <w:color w:val="000000"/>
          <w:lang w:eastAsia="bg-BG"/>
        </w:rPr>
        <w:t>0,77 до 1,03, р=0,118).</w:t>
      </w:r>
    </w:p>
    <w:p w14:paraId="41140C2E" w14:textId="77777777"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Смъртността поради всякакви причини не е била статистически значима при изследване поотделно на всяко от трите проучвания на </w:t>
      </w:r>
      <w:r w:rsidRPr="00DA6AE5">
        <w:rPr>
          <w:rFonts w:eastAsia="Times New Roman" w:cs="Arial"/>
          <w:color w:val="000000"/>
          <w:lang w:val="en-US"/>
        </w:rPr>
        <w:t>CHARM</w:t>
      </w:r>
      <w:r w:rsidRPr="00DA6AE5">
        <w:rPr>
          <w:rFonts w:eastAsia="Times New Roman" w:cs="Arial"/>
          <w:color w:val="000000"/>
          <w:lang w:val="ru-RU"/>
        </w:rPr>
        <w:t xml:space="preserve">. </w:t>
      </w:r>
      <w:r w:rsidRPr="00DA6AE5">
        <w:rPr>
          <w:rFonts w:eastAsia="Times New Roman" w:cs="Arial"/>
          <w:color w:val="000000"/>
          <w:lang w:eastAsia="bg-BG"/>
        </w:rPr>
        <w:t xml:space="preserve">Смъртността поради всякакви причини обаче е била изследвана и при обощените данни от популациите, </w:t>
      </w:r>
      <w:r w:rsidRPr="00DA6AE5">
        <w:rPr>
          <w:rFonts w:eastAsia="Times New Roman" w:cs="Arial"/>
          <w:color w:val="000000"/>
          <w:lang w:val="en-US"/>
        </w:rPr>
        <w:t>CHARM</w:t>
      </w:r>
      <w:r w:rsidRPr="00DA6AE5">
        <w:rPr>
          <w:rFonts w:eastAsia="Times New Roman" w:cs="Arial"/>
          <w:color w:val="000000"/>
          <w:lang w:eastAsia="bg-BG"/>
        </w:rPr>
        <w:t xml:space="preserve">-Алтернативна и </w:t>
      </w:r>
      <w:r w:rsidRPr="00DA6AE5">
        <w:rPr>
          <w:rFonts w:eastAsia="Times New Roman" w:cs="Arial"/>
          <w:color w:val="000000"/>
          <w:lang w:val="en-US"/>
        </w:rPr>
        <w:t>CHARM</w:t>
      </w:r>
      <w:r w:rsidRPr="00DA6AE5">
        <w:rPr>
          <w:rFonts w:eastAsia="Times New Roman" w:cs="Arial"/>
          <w:color w:val="000000"/>
          <w:lang w:val="ru-RU"/>
        </w:rPr>
        <w:t>-</w:t>
      </w:r>
      <w:r w:rsidRPr="00DA6AE5">
        <w:rPr>
          <w:rFonts w:eastAsia="Times New Roman" w:cs="Arial"/>
          <w:color w:val="000000"/>
          <w:lang w:eastAsia="bg-BG"/>
        </w:rPr>
        <w:t xml:space="preserve">Добавена (РК 0,88,95% </w:t>
      </w:r>
      <w:r w:rsidRPr="00DA6AE5">
        <w:rPr>
          <w:rFonts w:eastAsia="Times New Roman" w:cs="Arial"/>
          <w:color w:val="000000"/>
          <w:lang w:val="en-US"/>
        </w:rPr>
        <w:t>CI</w:t>
      </w:r>
      <w:r w:rsidRPr="00DA6AE5">
        <w:rPr>
          <w:rFonts w:eastAsia="Times New Roman" w:cs="Arial"/>
          <w:color w:val="000000"/>
          <w:lang w:val="ru-RU"/>
        </w:rPr>
        <w:t xml:space="preserve"> </w:t>
      </w:r>
      <w:r w:rsidRPr="00DA6AE5">
        <w:rPr>
          <w:rFonts w:eastAsia="Times New Roman" w:cs="Arial"/>
          <w:color w:val="000000"/>
          <w:lang w:eastAsia="bg-BG"/>
        </w:rPr>
        <w:t xml:space="preserve">0,79 до 0,98, р=0,018) и при всичките три проучвания (РК 0,91,95% </w:t>
      </w:r>
      <w:r w:rsidRPr="00DA6AE5">
        <w:rPr>
          <w:rFonts w:eastAsia="Times New Roman" w:cs="Arial"/>
          <w:color w:val="000000"/>
          <w:lang w:val="en-US"/>
        </w:rPr>
        <w:t>CI</w:t>
      </w:r>
      <w:r w:rsidRPr="00DA6AE5">
        <w:rPr>
          <w:rFonts w:eastAsia="Times New Roman" w:cs="Arial"/>
          <w:color w:val="000000"/>
          <w:lang w:val="ru-RU"/>
        </w:rPr>
        <w:t xml:space="preserve"> </w:t>
      </w:r>
      <w:r w:rsidRPr="00DA6AE5">
        <w:rPr>
          <w:rFonts w:eastAsia="Times New Roman" w:cs="Arial"/>
          <w:color w:val="000000"/>
          <w:lang w:eastAsia="bg-BG"/>
        </w:rPr>
        <w:t>0,83-1,00, р-0,055).</w:t>
      </w:r>
    </w:p>
    <w:p w14:paraId="63AD3839" w14:textId="77777777" w:rsidR="00DA6AE5" w:rsidRDefault="00DA6AE5" w:rsidP="00DA6AE5">
      <w:pPr>
        <w:spacing w:line="240" w:lineRule="auto"/>
        <w:rPr>
          <w:rFonts w:eastAsia="Times New Roman" w:cs="Arial"/>
          <w:color w:val="000000"/>
          <w:lang w:eastAsia="bg-BG"/>
        </w:rPr>
      </w:pPr>
    </w:p>
    <w:p w14:paraId="392405F2" w14:textId="4FFACD92" w:rsidR="00DA6AE5" w:rsidRPr="00DA6AE5" w:rsidRDefault="00DA6AE5" w:rsidP="00DA6AE5">
      <w:pPr>
        <w:spacing w:line="240" w:lineRule="auto"/>
        <w:rPr>
          <w:rFonts w:eastAsia="Times New Roman" w:cs="Arial"/>
        </w:rPr>
      </w:pPr>
      <w:r w:rsidRPr="00DA6AE5">
        <w:rPr>
          <w:rFonts w:eastAsia="Times New Roman" w:cs="Arial"/>
          <w:color w:val="000000"/>
          <w:lang w:eastAsia="bg-BG"/>
        </w:rPr>
        <w:t>Благоприятните ефекти на кандесартан са били постоянни, независимо от възрастта, пола и съпътстващото медикаментозно лечение. Кандесартан е бил ефективен и при пациенти, лекувани едновременно с бета-блокери и АСЕ инхибитори, и е получена полза независимо дали пациентите са приемали АСЕ инхибитори в таргетната доза, препоръчвана в ръководствата за лечение.</w:t>
      </w:r>
    </w:p>
    <w:p w14:paraId="3604E876" w14:textId="77777777"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При пациенти с ХСН и отслабена левокамерна систолна функция (левокамерна фракция на изтласкване, </w:t>
      </w:r>
      <w:r w:rsidRPr="00DA6AE5">
        <w:rPr>
          <w:rFonts w:eastAsia="Times New Roman" w:cs="Arial"/>
          <w:color w:val="000000"/>
          <w:lang w:val="en-US"/>
        </w:rPr>
        <w:t>LVEF</w:t>
      </w:r>
      <w:r w:rsidRPr="00DA6AE5">
        <w:rPr>
          <w:rFonts w:eastAsia="Times New Roman" w:cs="Arial"/>
          <w:color w:val="000000"/>
          <w:lang w:val="ru-RU"/>
        </w:rPr>
        <w:t xml:space="preserve"> </w:t>
      </w:r>
      <w:r w:rsidRPr="00DA6AE5">
        <w:rPr>
          <w:rFonts w:eastAsia="Times New Roman" w:cs="Arial"/>
          <w:color w:val="000000"/>
          <w:lang w:eastAsia="bg-BG"/>
        </w:rPr>
        <w:t>≤ 40%), кандесартан намалява системното съдово съпротивление и белодробното капилярно налягане, увеличава активността на плазмения ренин и концентрацията на ангиотензин II и намалява нивата на алдостерон.</w:t>
      </w:r>
    </w:p>
    <w:p w14:paraId="0DF26332" w14:textId="77777777" w:rsidR="00DA6AE5" w:rsidRDefault="00DA6AE5" w:rsidP="00DA6AE5">
      <w:pPr>
        <w:spacing w:line="240" w:lineRule="auto"/>
        <w:rPr>
          <w:rFonts w:eastAsia="Times New Roman" w:cs="Arial"/>
          <w:color w:val="000000"/>
          <w:lang w:eastAsia="bg-BG"/>
        </w:rPr>
      </w:pPr>
    </w:p>
    <w:p w14:paraId="7556BEA5" w14:textId="0752C8EA"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Две големи рандомизирани контролирани проучвания - </w:t>
      </w:r>
      <w:r w:rsidRPr="00DA6AE5">
        <w:rPr>
          <w:rFonts w:eastAsia="Times New Roman" w:cs="Arial"/>
          <w:color w:val="000000"/>
          <w:lang w:val="en-US"/>
        </w:rPr>
        <w:t>ONTARGET</w:t>
      </w:r>
      <w:r w:rsidRPr="00DA6AE5">
        <w:rPr>
          <w:rFonts w:eastAsia="Times New Roman" w:cs="Arial"/>
          <w:color w:val="000000"/>
        </w:rPr>
        <w:t xml:space="preserve"> (</w:t>
      </w:r>
      <w:proofErr w:type="spellStart"/>
      <w:r w:rsidRPr="00DA6AE5">
        <w:rPr>
          <w:rFonts w:eastAsia="Times New Roman" w:cs="Arial"/>
          <w:color w:val="000000"/>
          <w:lang w:val="en-US"/>
        </w:rPr>
        <w:t>ONgoing</w:t>
      </w:r>
      <w:proofErr w:type="spellEnd"/>
      <w:r w:rsidRPr="00DA6AE5">
        <w:rPr>
          <w:rFonts w:eastAsia="Times New Roman" w:cs="Arial"/>
          <w:color w:val="000000"/>
        </w:rPr>
        <w:t xml:space="preserve"> </w:t>
      </w:r>
      <w:proofErr w:type="spellStart"/>
      <w:r w:rsidRPr="00DA6AE5">
        <w:rPr>
          <w:rFonts w:eastAsia="Times New Roman" w:cs="Arial"/>
          <w:color w:val="000000"/>
          <w:lang w:val="en-US"/>
        </w:rPr>
        <w:t>Telmisartan</w:t>
      </w:r>
      <w:proofErr w:type="spellEnd"/>
      <w:r w:rsidRPr="00DA6AE5">
        <w:rPr>
          <w:rFonts w:eastAsia="Times New Roman" w:cs="Arial"/>
          <w:color w:val="000000"/>
        </w:rPr>
        <w:t xml:space="preserve"> </w:t>
      </w:r>
      <w:r w:rsidRPr="00DA6AE5">
        <w:rPr>
          <w:rFonts w:eastAsia="Times New Roman" w:cs="Arial"/>
          <w:color w:val="000000"/>
          <w:lang w:val="en-US"/>
        </w:rPr>
        <w:t>Alone</w:t>
      </w:r>
      <w:r w:rsidRPr="00DA6AE5">
        <w:rPr>
          <w:rFonts w:eastAsia="Times New Roman" w:cs="Arial"/>
          <w:color w:val="000000"/>
        </w:rPr>
        <w:t xml:space="preserve"> </w:t>
      </w:r>
      <w:r w:rsidRPr="00DA6AE5">
        <w:rPr>
          <w:rFonts w:eastAsia="Times New Roman" w:cs="Arial"/>
          <w:color w:val="000000"/>
          <w:lang w:val="en-US"/>
        </w:rPr>
        <w:t>and</w:t>
      </w:r>
      <w:r w:rsidRPr="00DA6AE5">
        <w:rPr>
          <w:rFonts w:eastAsia="Times New Roman" w:cs="Arial"/>
          <w:color w:val="000000"/>
        </w:rPr>
        <w:t xml:space="preserve"> </w:t>
      </w:r>
      <w:r w:rsidRPr="00DA6AE5">
        <w:rPr>
          <w:rFonts w:eastAsia="Times New Roman" w:cs="Arial"/>
          <w:color w:val="000000"/>
          <w:lang w:val="en-US"/>
        </w:rPr>
        <w:t>in</w:t>
      </w:r>
      <w:r w:rsidRPr="00DA6AE5">
        <w:rPr>
          <w:rFonts w:eastAsia="Times New Roman" w:cs="Arial"/>
          <w:color w:val="000000"/>
        </w:rPr>
        <w:t xml:space="preserve"> </w:t>
      </w:r>
      <w:r w:rsidRPr="00DA6AE5">
        <w:rPr>
          <w:rFonts w:eastAsia="Times New Roman" w:cs="Arial"/>
          <w:color w:val="000000"/>
          <w:lang w:val="en-US"/>
        </w:rPr>
        <w:t>combination</w:t>
      </w:r>
      <w:r w:rsidRPr="00DA6AE5">
        <w:rPr>
          <w:rFonts w:eastAsia="Times New Roman" w:cs="Arial"/>
          <w:color w:val="000000"/>
        </w:rPr>
        <w:t xml:space="preserve"> </w:t>
      </w:r>
      <w:r w:rsidRPr="00DA6AE5">
        <w:rPr>
          <w:rFonts w:eastAsia="Times New Roman" w:cs="Arial"/>
          <w:color w:val="000000"/>
          <w:lang w:val="en-US"/>
        </w:rPr>
        <w:t>with</w:t>
      </w:r>
      <w:r w:rsidRPr="00DA6AE5">
        <w:rPr>
          <w:rFonts w:eastAsia="Times New Roman" w:cs="Arial"/>
          <w:color w:val="000000"/>
        </w:rPr>
        <w:t xml:space="preserve"> </w:t>
      </w:r>
      <w:r w:rsidRPr="00DA6AE5">
        <w:rPr>
          <w:rFonts w:eastAsia="Times New Roman" w:cs="Arial"/>
          <w:color w:val="000000"/>
          <w:lang w:val="en-US"/>
        </w:rPr>
        <w:t>Ramipril</w:t>
      </w:r>
      <w:r w:rsidRPr="00DA6AE5">
        <w:rPr>
          <w:rFonts w:eastAsia="Times New Roman" w:cs="Arial"/>
          <w:color w:val="000000"/>
        </w:rPr>
        <w:t xml:space="preserve"> </w:t>
      </w:r>
      <w:r w:rsidRPr="00DA6AE5">
        <w:rPr>
          <w:rFonts w:eastAsia="Times New Roman" w:cs="Arial"/>
          <w:color w:val="000000"/>
          <w:lang w:val="en-US"/>
        </w:rPr>
        <w:t>Global</w:t>
      </w:r>
      <w:r w:rsidRPr="00DA6AE5">
        <w:rPr>
          <w:rFonts w:eastAsia="Times New Roman" w:cs="Arial"/>
          <w:color w:val="000000"/>
        </w:rPr>
        <w:t xml:space="preserve"> </w:t>
      </w:r>
      <w:r w:rsidRPr="00DA6AE5">
        <w:rPr>
          <w:rFonts w:eastAsia="Times New Roman" w:cs="Arial"/>
          <w:color w:val="000000"/>
          <w:lang w:val="en-US"/>
        </w:rPr>
        <w:t>Endpoint</w:t>
      </w:r>
      <w:r w:rsidRPr="00DA6AE5">
        <w:rPr>
          <w:rFonts w:eastAsia="Times New Roman" w:cs="Arial"/>
          <w:color w:val="000000"/>
        </w:rPr>
        <w:t xml:space="preserve"> </w:t>
      </w:r>
      <w:r w:rsidRPr="00DA6AE5">
        <w:rPr>
          <w:rFonts w:eastAsia="Times New Roman" w:cs="Arial"/>
          <w:color w:val="000000"/>
          <w:lang w:val="en-US"/>
        </w:rPr>
        <w:t>Trial</w:t>
      </w:r>
      <w:r w:rsidRPr="00DA6AE5">
        <w:rPr>
          <w:rFonts w:eastAsia="Times New Roman" w:cs="Arial"/>
          <w:color w:val="000000"/>
        </w:rPr>
        <w:t xml:space="preserve"> - </w:t>
      </w:r>
      <w:r w:rsidRPr="00DA6AE5">
        <w:rPr>
          <w:rFonts w:eastAsia="Times New Roman" w:cs="Arial"/>
          <w:color w:val="000000"/>
          <w:lang w:eastAsia="bg-BG"/>
        </w:rPr>
        <w:t xml:space="preserve">текущо глобално изпитване за крайни точки на телмисартан, самостоятелно и в комбинация с рамиприл) и </w:t>
      </w:r>
      <w:r w:rsidRPr="00DA6AE5">
        <w:rPr>
          <w:rFonts w:eastAsia="Times New Roman" w:cs="Arial"/>
          <w:color w:val="000000"/>
          <w:lang w:val="en-US"/>
        </w:rPr>
        <w:t>VA</w:t>
      </w:r>
      <w:r w:rsidRPr="00DA6AE5">
        <w:rPr>
          <w:rFonts w:eastAsia="Times New Roman" w:cs="Arial"/>
          <w:color w:val="000000"/>
        </w:rPr>
        <w:t xml:space="preserve"> </w:t>
      </w:r>
      <w:r w:rsidRPr="00DA6AE5">
        <w:rPr>
          <w:rFonts w:eastAsia="Times New Roman" w:cs="Arial"/>
          <w:color w:val="000000"/>
          <w:lang w:val="en-US"/>
        </w:rPr>
        <w:t>NEPHRON</w:t>
      </w:r>
      <w:r w:rsidRPr="00DA6AE5">
        <w:rPr>
          <w:rFonts w:eastAsia="Times New Roman" w:cs="Arial"/>
          <w:color w:val="000000"/>
        </w:rPr>
        <w:t>-</w:t>
      </w:r>
      <w:r w:rsidRPr="00DA6AE5">
        <w:rPr>
          <w:rFonts w:eastAsia="Times New Roman" w:cs="Arial"/>
          <w:color w:val="000000"/>
          <w:lang w:val="en-US"/>
        </w:rPr>
        <w:t>D</w:t>
      </w:r>
      <w:r w:rsidRPr="00DA6AE5">
        <w:rPr>
          <w:rFonts w:eastAsia="Times New Roman" w:cs="Arial"/>
          <w:color w:val="000000"/>
        </w:rPr>
        <w:t xml:space="preserve"> </w:t>
      </w:r>
      <w:r w:rsidRPr="00DA6AE5">
        <w:rPr>
          <w:rFonts w:eastAsia="Times New Roman" w:cs="Arial"/>
          <w:color w:val="000000"/>
          <w:lang w:eastAsia="bg-BG"/>
        </w:rPr>
        <w:t xml:space="preserve">(Клинично проучване свързано с развитие на нефропатия при диабет, проведено от Министерство по въпросите на ветераните) - проучват употребата на комбинацията от АСЕ инхибитор и ангиотензин </w:t>
      </w:r>
      <w:r w:rsidRPr="00DA6AE5">
        <w:rPr>
          <w:rFonts w:eastAsia="Times New Roman" w:cs="Arial"/>
          <w:color w:val="000000"/>
          <w:lang w:val="en-US"/>
        </w:rPr>
        <w:t>II</w:t>
      </w:r>
      <w:r w:rsidRPr="00DA6AE5">
        <w:rPr>
          <w:rFonts w:eastAsia="Times New Roman" w:cs="Arial"/>
          <w:color w:val="000000"/>
          <w:lang w:eastAsia="bg-BG"/>
        </w:rPr>
        <w:t>-рецепторен блокер.</w:t>
      </w:r>
    </w:p>
    <w:p w14:paraId="1BDCC099" w14:textId="77777777" w:rsidR="00DA6AE5" w:rsidRPr="00DA6AE5" w:rsidRDefault="00DA6AE5" w:rsidP="00DA6AE5">
      <w:pPr>
        <w:spacing w:line="240" w:lineRule="auto"/>
        <w:rPr>
          <w:rFonts w:eastAsia="Times New Roman" w:cs="Arial"/>
        </w:rPr>
      </w:pPr>
      <w:r w:rsidRPr="00DA6AE5">
        <w:rPr>
          <w:rFonts w:eastAsia="Times New Roman" w:cs="Arial"/>
          <w:color w:val="000000"/>
          <w:lang w:val="en-US"/>
        </w:rPr>
        <w:lastRenderedPageBreak/>
        <w:t>ONTARGET</w:t>
      </w:r>
      <w:r w:rsidRPr="00DA6AE5">
        <w:rPr>
          <w:rFonts w:eastAsia="Times New Roman" w:cs="Arial"/>
          <w:color w:val="000000"/>
          <w:lang w:val="ru-RU"/>
        </w:rPr>
        <w:t xml:space="preserve"> </w:t>
      </w:r>
      <w:r w:rsidRPr="00DA6AE5">
        <w:rPr>
          <w:rFonts w:eastAsia="Times New Roman" w:cs="Arial"/>
          <w:color w:val="000000"/>
          <w:lang w:eastAsia="bg-BG"/>
        </w:rPr>
        <w:t xml:space="preserve">е проучване, проведено при пациенти с анамнеза за сърдечно-съдова или мозъчносъдова болест, или захарен диабет тип 2, придружени с данни за увреждане на ефекторни органи. </w:t>
      </w:r>
      <w:r w:rsidRPr="00DA6AE5">
        <w:rPr>
          <w:rFonts w:eastAsia="Times New Roman" w:cs="Arial"/>
          <w:color w:val="000000"/>
          <w:lang w:val="en-US"/>
        </w:rPr>
        <w:t>VA</w:t>
      </w:r>
      <w:r w:rsidRPr="00DA6AE5">
        <w:rPr>
          <w:rFonts w:eastAsia="Times New Roman" w:cs="Arial"/>
          <w:color w:val="000000"/>
          <w:lang w:val="ru-RU"/>
        </w:rPr>
        <w:t xml:space="preserve"> </w:t>
      </w:r>
      <w:r w:rsidRPr="00DA6AE5">
        <w:rPr>
          <w:rFonts w:eastAsia="Times New Roman" w:cs="Arial"/>
          <w:color w:val="000000"/>
          <w:lang w:val="en-US"/>
        </w:rPr>
        <w:t>NEPHRON</w:t>
      </w:r>
      <w:r w:rsidRPr="00DA6AE5">
        <w:rPr>
          <w:rFonts w:eastAsia="Times New Roman" w:cs="Arial"/>
          <w:color w:val="000000"/>
          <w:lang w:val="ru-RU"/>
        </w:rPr>
        <w:t>-</w:t>
      </w:r>
      <w:r w:rsidRPr="00DA6AE5">
        <w:rPr>
          <w:rFonts w:eastAsia="Times New Roman" w:cs="Arial"/>
          <w:color w:val="000000"/>
          <w:lang w:val="en-US"/>
        </w:rPr>
        <w:t>D</w:t>
      </w:r>
      <w:r w:rsidRPr="00DA6AE5">
        <w:rPr>
          <w:rFonts w:eastAsia="Times New Roman" w:cs="Arial"/>
          <w:color w:val="000000"/>
          <w:lang w:val="ru-RU"/>
        </w:rPr>
        <w:t xml:space="preserve"> </w:t>
      </w:r>
      <w:r w:rsidRPr="00DA6AE5">
        <w:rPr>
          <w:rFonts w:eastAsia="Times New Roman" w:cs="Arial"/>
          <w:color w:val="000000"/>
          <w:lang w:eastAsia="bg-BG"/>
        </w:rPr>
        <w:t>е проучване при пациенти със захарен диабет тип 2 и диабетна нефропатия.</w:t>
      </w:r>
    </w:p>
    <w:p w14:paraId="7ED55C69" w14:textId="77777777" w:rsidR="00DA6AE5" w:rsidRPr="00DA6AE5" w:rsidRDefault="00DA6AE5" w:rsidP="00DA6AE5">
      <w:pPr>
        <w:spacing w:line="240" w:lineRule="auto"/>
        <w:rPr>
          <w:rFonts w:eastAsia="Times New Roman" w:cs="Arial"/>
        </w:rPr>
      </w:pPr>
      <w:r w:rsidRPr="00DA6AE5">
        <w:rPr>
          <w:rFonts w:eastAsia="Times New Roman" w:cs="Arial"/>
          <w:color w:val="000000"/>
          <w:lang w:eastAsia="bg-BG"/>
        </w:rPr>
        <w:t>Тези проучвания не показват значим благоприятен ефект върху бъбречните и/или сърдечно</w:t>
      </w:r>
      <w:r w:rsidRPr="00DA6AE5">
        <w:rPr>
          <w:rFonts w:eastAsia="Times New Roman" w:cs="Arial"/>
          <w:color w:val="000000"/>
          <w:lang w:eastAsia="bg-BG"/>
        </w:rPr>
        <w:softHyphen/>
        <w:t xml:space="preserve">съдовите последици и смъртност, като същевременно са наблюдавани повишен риск от хиперкалиемия, остро увреждане на бъбреците и/или хипотония в сравнение с монотерапията. Като се имат предвид сходните им фармакодинамичии свойства, тези резултати са приложими и за други АСЕ инхибитори и ангиотензин </w:t>
      </w:r>
      <w:r w:rsidRPr="00DA6AE5">
        <w:rPr>
          <w:rFonts w:eastAsia="Times New Roman" w:cs="Arial"/>
          <w:color w:val="000000"/>
          <w:lang w:val="en-US"/>
        </w:rPr>
        <w:t>II</w:t>
      </w:r>
      <w:r w:rsidRPr="00DA6AE5">
        <w:rPr>
          <w:rFonts w:eastAsia="Times New Roman" w:cs="Arial"/>
          <w:color w:val="000000"/>
          <w:lang w:eastAsia="bg-BG"/>
        </w:rPr>
        <w:t>-рецепторни блокери.</w:t>
      </w:r>
    </w:p>
    <w:p w14:paraId="5A471623" w14:textId="77777777"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АСЕ инхибитори и ангиотензин </w:t>
      </w:r>
      <w:r w:rsidRPr="00DA6AE5">
        <w:rPr>
          <w:rFonts w:eastAsia="Times New Roman" w:cs="Arial"/>
          <w:color w:val="000000"/>
          <w:lang w:val="en-US"/>
        </w:rPr>
        <w:t>II</w:t>
      </w:r>
      <w:r w:rsidRPr="00DA6AE5">
        <w:rPr>
          <w:rFonts w:eastAsia="Times New Roman" w:cs="Arial"/>
          <w:color w:val="000000"/>
          <w:lang w:eastAsia="bg-BG"/>
        </w:rPr>
        <w:t>-рецепторни блокери следователно не трябва да се използват едновременно при пациенти с диабетна нефропатия.</w:t>
      </w:r>
    </w:p>
    <w:p w14:paraId="7899E7EE" w14:textId="074AC169" w:rsidR="00DA6AE5" w:rsidRDefault="00DA6AE5" w:rsidP="00DA6AE5">
      <w:pPr>
        <w:spacing w:line="240" w:lineRule="auto"/>
      </w:pPr>
      <w:r w:rsidRPr="00DA6AE5">
        <w:rPr>
          <w:rFonts w:eastAsia="Times New Roman" w:cs="Arial"/>
          <w:color w:val="000000"/>
          <w:lang w:val="en-US"/>
        </w:rPr>
        <w:t>ALTITUDE</w:t>
      </w:r>
      <w:r w:rsidRPr="00DA6AE5">
        <w:rPr>
          <w:rFonts w:eastAsia="Times New Roman" w:cs="Arial"/>
          <w:color w:val="000000"/>
          <w:lang w:val="ru-RU"/>
        </w:rPr>
        <w:t xml:space="preserve"> </w:t>
      </w:r>
      <w:r w:rsidRPr="00DA6AE5">
        <w:rPr>
          <w:rFonts w:eastAsia="Times New Roman" w:cs="Arial"/>
          <w:color w:val="000000"/>
          <w:lang w:eastAsia="bg-BG"/>
        </w:rPr>
        <w:t>(Клинично проучване проведено с алискирен при пациенти със захарен диабет тип 2 с използване на сърдечно-съдови и бъбречни заболявания като крайни точки) е проучване</w:t>
      </w:r>
      <w:r w:rsidRPr="00DA6AE5">
        <w:rPr>
          <w:rFonts w:eastAsia="Times New Roman" w:cs="Arial"/>
          <w:color w:val="000000"/>
          <w:lang w:val="ru-RU" w:eastAsia="bg-BG"/>
        </w:rPr>
        <w:t xml:space="preserve"> </w:t>
      </w:r>
      <w:r w:rsidRPr="00DA6AE5">
        <w:t>предназначено да изследва ползата от добавянето на алискирен към стандартна терапия с АСЕ инхибитор или ангиотензин II-рецепторен блокер при пациенти със захарен диабет тип 2 и хронично бъбречно заболяване, сърдечно-съдово заболяване или и двете. Проучването е прекратено преждевременно поради повишен риск от неблагоприятни последици. Както сърдечно-съдовата смърт, така и инсултът са по-чести в групата на алискирен, отколкото в групата на плацебо, а представляващите интерес нежелани събития и сериозни нежелани събития (хиперкалиемия, хипотония и бъбречна дисфункция) се съобщават по-често в групата на алискирен, отколкото в групата на плацебо.</w:t>
      </w:r>
    </w:p>
    <w:p w14:paraId="59EA8B1F" w14:textId="77777777" w:rsidR="00DA6AE5" w:rsidRPr="00DA6AE5" w:rsidRDefault="00DA6AE5" w:rsidP="00DA6AE5">
      <w:pPr>
        <w:spacing w:line="240" w:lineRule="auto"/>
        <w:rPr>
          <w:lang w:val="ru-RU"/>
        </w:rPr>
      </w:pPr>
    </w:p>
    <w:p w14:paraId="78DD93AA" w14:textId="15E80406" w:rsidR="00B6672E" w:rsidRDefault="002C50EE" w:rsidP="00936AD0">
      <w:pPr>
        <w:pStyle w:val="Heading2"/>
      </w:pPr>
      <w:r>
        <w:t>5.2. Фармакокинетични свойства</w:t>
      </w:r>
    </w:p>
    <w:p w14:paraId="00EF12E8" w14:textId="6EB4EEA6" w:rsidR="00DA6AE5" w:rsidRDefault="00DA6AE5" w:rsidP="00DA6AE5"/>
    <w:p w14:paraId="4FE61DE8" w14:textId="77777777" w:rsidR="00DA6AE5" w:rsidRPr="00DA6AE5" w:rsidRDefault="00DA6AE5" w:rsidP="00DA6AE5">
      <w:pPr>
        <w:spacing w:line="240" w:lineRule="auto"/>
        <w:rPr>
          <w:rFonts w:eastAsia="Times New Roman" w:cs="Arial"/>
        </w:rPr>
      </w:pPr>
      <w:r w:rsidRPr="00DA6AE5">
        <w:rPr>
          <w:rFonts w:eastAsia="Times New Roman" w:cs="Arial"/>
          <w:color w:val="000000"/>
          <w:u w:val="single"/>
          <w:lang w:eastAsia="bg-BG"/>
        </w:rPr>
        <w:t>Абсорбция и разпределение</w:t>
      </w:r>
    </w:p>
    <w:p w14:paraId="1C043010" w14:textId="77777777" w:rsidR="00DA6AE5" w:rsidRDefault="00DA6AE5" w:rsidP="00DA6AE5">
      <w:pPr>
        <w:spacing w:line="240" w:lineRule="auto"/>
        <w:rPr>
          <w:rFonts w:eastAsia="Times New Roman" w:cs="Arial"/>
          <w:color w:val="000000"/>
          <w:lang w:eastAsia="bg-BG"/>
        </w:rPr>
      </w:pPr>
    </w:p>
    <w:p w14:paraId="4A163F9F" w14:textId="576A1714" w:rsidR="00DA6AE5" w:rsidRPr="00DA6AE5" w:rsidRDefault="00DA6AE5" w:rsidP="00DA6AE5">
      <w:pPr>
        <w:spacing w:line="240" w:lineRule="auto"/>
        <w:rPr>
          <w:rFonts w:eastAsia="Times New Roman" w:cs="Arial"/>
        </w:rPr>
      </w:pPr>
      <w:r w:rsidRPr="00DA6AE5">
        <w:rPr>
          <w:rFonts w:eastAsia="Times New Roman" w:cs="Arial"/>
          <w:color w:val="000000"/>
          <w:lang w:eastAsia="bg-BG"/>
        </w:rPr>
        <w:t>След перорално приложение, кандесартан цилексетил се превръща в лекарственото вещество кандесартан. Абсолютната бионаличност на кандесартан е приблизително 40% след приложение на разтвор за перорално приложение на кандесартан цилексетил. Относителната бионаличност на таблетната форма в сравнение със същия разтвор за перорално приложение е приблизително 34% с много малка вариабилност. Следователно изчислената абсолютна бионаличност на таблетката е 14%. Средната максимална серумна концентрация (С</w:t>
      </w:r>
      <w:r w:rsidRPr="00DA6AE5">
        <w:rPr>
          <w:rFonts w:eastAsia="Times New Roman" w:cs="Arial"/>
          <w:color w:val="000000"/>
          <w:vertAlign w:val="subscript"/>
          <w:lang w:val="en-US"/>
        </w:rPr>
        <w:t>max</w:t>
      </w:r>
      <w:r w:rsidRPr="00DA6AE5">
        <w:rPr>
          <w:rFonts w:eastAsia="Times New Roman" w:cs="Arial"/>
          <w:color w:val="000000"/>
          <w:lang w:eastAsia="bg-BG"/>
        </w:rPr>
        <w:t xml:space="preserve">) се достига 3-4 часа след приема на таблетката. Серумните концентрации на кандесартан нарастват линейно с увеличаване на дозите в терапевтичните дозови граници. Не са наблюдавани полови разлики във фармакокинетиката на кандесартан. Площта под кривата серумна концентрация- време </w:t>
      </w:r>
      <w:r w:rsidRPr="00DA6AE5">
        <w:rPr>
          <w:rFonts w:eastAsia="Times New Roman" w:cs="Arial"/>
          <w:color w:val="000000"/>
          <w:lang w:val="ru-RU"/>
        </w:rPr>
        <w:t>(</w:t>
      </w:r>
      <w:r w:rsidRPr="00DA6AE5">
        <w:rPr>
          <w:rFonts w:eastAsia="Times New Roman" w:cs="Arial"/>
          <w:color w:val="000000"/>
          <w:lang w:val="en-US"/>
        </w:rPr>
        <w:t>AUC</w:t>
      </w:r>
      <w:r w:rsidRPr="00DA6AE5">
        <w:rPr>
          <w:rFonts w:eastAsia="Times New Roman" w:cs="Arial"/>
          <w:color w:val="000000"/>
          <w:lang w:val="ru-RU"/>
        </w:rPr>
        <w:t xml:space="preserve">) </w:t>
      </w:r>
      <w:r w:rsidRPr="00DA6AE5">
        <w:rPr>
          <w:rFonts w:eastAsia="Times New Roman" w:cs="Arial"/>
          <w:color w:val="000000"/>
          <w:lang w:eastAsia="bg-BG"/>
        </w:rPr>
        <w:t>на кандесартан не се повлиява значимо от храна.</w:t>
      </w:r>
    </w:p>
    <w:p w14:paraId="529397A5" w14:textId="77777777"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Кандесартан се свързва с плазмените протеини във висока степен (над 99%). Видимият обем на разпределение на кандесартан е 0,1-1 </w:t>
      </w:r>
      <w:r w:rsidRPr="00DA6AE5">
        <w:rPr>
          <w:rFonts w:eastAsia="Times New Roman" w:cs="Arial"/>
          <w:color w:val="000000"/>
          <w:lang w:val="ru-RU"/>
        </w:rPr>
        <w:t>/</w:t>
      </w:r>
      <w:r w:rsidRPr="00DA6AE5">
        <w:rPr>
          <w:rFonts w:eastAsia="Times New Roman" w:cs="Arial"/>
          <w:color w:val="000000"/>
          <w:lang w:val="en-US"/>
        </w:rPr>
        <w:t>kg</w:t>
      </w:r>
      <w:r w:rsidRPr="00DA6AE5">
        <w:rPr>
          <w:rFonts w:eastAsia="Times New Roman" w:cs="Arial"/>
          <w:color w:val="000000"/>
          <w:lang w:val="ru-RU"/>
        </w:rPr>
        <w:t>.</w:t>
      </w:r>
    </w:p>
    <w:p w14:paraId="13E40EFB" w14:textId="77777777" w:rsidR="00DA6AE5" w:rsidRDefault="00DA6AE5" w:rsidP="00DA6AE5">
      <w:pPr>
        <w:spacing w:line="240" w:lineRule="auto"/>
        <w:rPr>
          <w:rFonts w:eastAsia="Times New Roman" w:cs="Arial"/>
          <w:color w:val="000000"/>
          <w:lang w:eastAsia="bg-BG"/>
        </w:rPr>
      </w:pPr>
    </w:p>
    <w:p w14:paraId="032D6977" w14:textId="67B48876" w:rsidR="00DA6AE5" w:rsidRPr="00DA6AE5" w:rsidRDefault="00DA6AE5" w:rsidP="00DA6AE5">
      <w:pPr>
        <w:spacing w:line="240" w:lineRule="auto"/>
        <w:rPr>
          <w:rFonts w:eastAsia="Times New Roman" w:cs="Arial"/>
        </w:rPr>
      </w:pPr>
      <w:r w:rsidRPr="00DA6AE5">
        <w:rPr>
          <w:rFonts w:eastAsia="Times New Roman" w:cs="Arial"/>
          <w:color w:val="000000"/>
          <w:lang w:eastAsia="bg-BG"/>
        </w:rPr>
        <w:t>Храната не повлиява бионаличността на кандесартан.</w:t>
      </w:r>
    </w:p>
    <w:p w14:paraId="63AC47D0" w14:textId="77777777" w:rsidR="00DA6AE5" w:rsidRDefault="00DA6AE5" w:rsidP="00DA6AE5">
      <w:pPr>
        <w:spacing w:line="240" w:lineRule="auto"/>
        <w:rPr>
          <w:rFonts w:eastAsia="Times New Roman" w:cs="Arial"/>
          <w:color w:val="000000"/>
          <w:u w:val="single"/>
          <w:lang w:eastAsia="bg-BG"/>
        </w:rPr>
      </w:pPr>
    </w:p>
    <w:p w14:paraId="0033A984" w14:textId="2F1F6D2E" w:rsidR="00DA6AE5" w:rsidRPr="00DA6AE5" w:rsidRDefault="00DA6AE5" w:rsidP="00DA6AE5">
      <w:pPr>
        <w:spacing w:line="240" w:lineRule="auto"/>
        <w:rPr>
          <w:rFonts w:eastAsia="Times New Roman" w:cs="Arial"/>
        </w:rPr>
      </w:pPr>
      <w:r w:rsidRPr="00DA6AE5">
        <w:rPr>
          <w:rFonts w:eastAsia="Times New Roman" w:cs="Arial"/>
          <w:color w:val="000000"/>
          <w:u w:val="single"/>
          <w:lang w:eastAsia="bg-BG"/>
        </w:rPr>
        <w:t>Биотрансформация и елиминиране</w:t>
      </w:r>
    </w:p>
    <w:p w14:paraId="7238868A" w14:textId="77777777" w:rsidR="00DA6AE5" w:rsidRDefault="00DA6AE5" w:rsidP="00DA6AE5">
      <w:pPr>
        <w:spacing w:line="240" w:lineRule="auto"/>
        <w:rPr>
          <w:rFonts w:eastAsia="Times New Roman" w:cs="Arial"/>
          <w:color w:val="000000"/>
          <w:lang w:eastAsia="bg-BG"/>
        </w:rPr>
      </w:pPr>
    </w:p>
    <w:p w14:paraId="58FAD1AB" w14:textId="634BE90D"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Кандесартан се елиминира предимно в непроменена форма с урината и жлъчката и само в малка степен се елиминира чрез чернодробен метаболизъм </w:t>
      </w:r>
      <w:r w:rsidRPr="00DA6AE5">
        <w:rPr>
          <w:rFonts w:eastAsia="Times New Roman" w:cs="Arial"/>
          <w:color w:val="000000"/>
          <w:lang w:val="ru-RU"/>
        </w:rPr>
        <w:t>(</w:t>
      </w:r>
      <w:r w:rsidRPr="00DA6AE5">
        <w:rPr>
          <w:rFonts w:eastAsia="Times New Roman" w:cs="Arial"/>
          <w:color w:val="000000"/>
          <w:lang w:val="en-US"/>
        </w:rPr>
        <w:t>CYP</w:t>
      </w:r>
      <w:r w:rsidRPr="00DA6AE5">
        <w:rPr>
          <w:rFonts w:eastAsia="Times New Roman" w:cs="Arial"/>
          <w:color w:val="000000"/>
          <w:lang w:val="ru-RU"/>
        </w:rPr>
        <w:t>2</w:t>
      </w:r>
      <w:r w:rsidRPr="00DA6AE5">
        <w:rPr>
          <w:rFonts w:eastAsia="Times New Roman" w:cs="Arial"/>
          <w:color w:val="000000"/>
          <w:lang w:val="en-US"/>
        </w:rPr>
        <w:t>C</w:t>
      </w:r>
      <w:r w:rsidRPr="00DA6AE5">
        <w:rPr>
          <w:rFonts w:eastAsia="Times New Roman" w:cs="Arial"/>
          <w:color w:val="000000"/>
          <w:lang w:val="ru-RU"/>
        </w:rPr>
        <w:t xml:space="preserve">9). </w:t>
      </w:r>
      <w:r w:rsidRPr="00DA6AE5">
        <w:rPr>
          <w:rFonts w:eastAsia="Times New Roman" w:cs="Arial"/>
          <w:color w:val="000000"/>
          <w:lang w:eastAsia="bg-BG"/>
        </w:rPr>
        <w:t xml:space="preserve">Наличните проучвания за взаимодействия не показват ефект върху </w:t>
      </w:r>
      <w:r w:rsidRPr="00DA6AE5">
        <w:rPr>
          <w:rFonts w:eastAsia="Times New Roman" w:cs="Arial"/>
          <w:color w:val="000000"/>
          <w:lang w:val="en-US"/>
        </w:rPr>
        <w:t>CYP</w:t>
      </w:r>
      <w:r w:rsidRPr="00DA6AE5">
        <w:rPr>
          <w:rFonts w:eastAsia="Times New Roman" w:cs="Arial"/>
          <w:color w:val="000000"/>
          <w:lang w:val="ru-RU"/>
        </w:rPr>
        <w:t>2</w:t>
      </w:r>
      <w:r w:rsidRPr="00DA6AE5">
        <w:rPr>
          <w:rFonts w:eastAsia="Times New Roman" w:cs="Arial"/>
          <w:color w:val="000000"/>
          <w:lang w:val="en-US"/>
        </w:rPr>
        <w:t>C</w:t>
      </w:r>
      <w:r w:rsidRPr="00DA6AE5">
        <w:rPr>
          <w:rFonts w:eastAsia="Times New Roman" w:cs="Arial"/>
          <w:color w:val="000000"/>
          <w:lang w:val="ru-RU"/>
        </w:rPr>
        <w:t xml:space="preserve">9 </w:t>
      </w:r>
      <w:r w:rsidRPr="00DA6AE5">
        <w:rPr>
          <w:rFonts w:eastAsia="Times New Roman" w:cs="Arial"/>
          <w:color w:val="000000"/>
          <w:lang w:eastAsia="bg-BG"/>
        </w:rPr>
        <w:t xml:space="preserve">и </w:t>
      </w:r>
      <w:r w:rsidRPr="00DA6AE5">
        <w:rPr>
          <w:rFonts w:eastAsia="Times New Roman" w:cs="Arial"/>
          <w:color w:val="000000"/>
          <w:lang w:val="en-US"/>
        </w:rPr>
        <w:t>CYP</w:t>
      </w:r>
      <w:r w:rsidRPr="00DA6AE5">
        <w:rPr>
          <w:rFonts w:eastAsia="Times New Roman" w:cs="Arial"/>
          <w:color w:val="000000"/>
          <w:lang w:val="ru-RU"/>
        </w:rPr>
        <w:t>3</w:t>
      </w:r>
      <w:r w:rsidRPr="00DA6AE5">
        <w:rPr>
          <w:rFonts w:eastAsia="Times New Roman" w:cs="Arial"/>
          <w:color w:val="000000"/>
          <w:lang w:eastAsia="bg-BG"/>
        </w:rPr>
        <w:t xml:space="preserve">А4. Въз основа на </w:t>
      </w:r>
      <w:r w:rsidRPr="00DA6AE5">
        <w:rPr>
          <w:rFonts w:eastAsia="Times New Roman" w:cs="Arial"/>
          <w:i/>
          <w:iCs/>
          <w:color w:val="000000"/>
          <w:lang w:val="en-US"/>
        </w:rPr>
        <w:t>in</w:t>
      </w:r>
      <w:r w:rsidRPr="00DA6AE5">
        <w:rPr>
          <w:rFonts w:eastAsia="Times New Roman" w:cs="Arial"/>
          <w:i/>
          <w:iCs/>
          <w:color w:val="000000"/>
        </w:rPr>
        <w:t xml:space="preserve"> </w:t>
      </w:r>
      <w:r w:rsidRPr="00DA6AE5">
        <w:rPr>
          <w:rFonts w:eastAsia="Times New Roman" w:cs="Arial"/>
          <w:i/>
          <w:iCs/>
          <w:color w:val="000000"/>
          <w:lang w:val="en-US"/>
        </w:rPr>
        <w:t>vitro</w:t>
      </w:r>
      <w:r w:rsidRPr="00DA6AE5">
        <w:rPr>
          <w:rFonts w:eastAsia="Times New Roman" w:cs="Arial"/>
          <w:color w:val="000000"/>
        </w:rPr>
        <w:t xml:space="preserve"> </w:t>
      </w:r>
      <w:r w:rsidRPr="00DA6AE5">
        <w:rPr>
          <w:rFonts w:eastAsia="Times New Roman" w:cs="Arial"/>
          <w:color w:val="000000"/>
          <w:lang w:eastAsia="bg-BG"/>
        </w:rPr>
        <w:t xml:space="preserve">данни, не могат да се очакват взаимодействия </w:t>
      </w:r>
      <w:r w:rsidRPr="00DA6AE5">
        <w:rPr>
          <w:rFonts w:eastAsia="Times New Roman" w:cs="Arial"/>
          <w:i/>
          <w:iCs/>
          <w:color w:val="000000"/>
          <w:lang w:val="en-US"/>
        </w:rPr>
        <w:t>in</w:t>
      </w:r>
      <w:r w:rsidRPr="00DA6AE5">
        <w:rPr>
          <w:rFonts w:eastAsia="Times New Roman" w:cs="Arial"/>
          <w:i/>
          <w:iCs/>
          <w:color w:val="000000"/>
        </w:rPr>
        <w:t xml:space="preserve"> </w:t>
      </w:r>
      <w:r w:rsidRPr="00DA6AE5">
        <w:rPr>
          <w:rFonts w:eastAsia="Times New Roman" w:cs="Arial"/>
          <w:i/>
          <w:iCs/>
          <w:color w:val="000000"/>
          <w:lang w:val="en-US"/>
        </w:rPr>
        <w:t>vivo</w:t>
      </w:r>
      <w:r w:rsidRPr="00DA6AE5">
        <w:rPr>
          <w:rFonts w:eastAsia="Times New Roman" w:cs="Arial"/>
          <w:color w:val="000000"/>
        </w:rPr>
        <w:t xml:space="preserve"> </w:t>
      </w:r>
      <w:r w:rsidRPr="00DA6AE5">
        <w:rPr>
          <w:rFonts w:eastAsia="Times New Roman" w:cs="Arial"/>
          <w:color w:val="000000"/>
          <w:lang w:eastAsia="bg-BG"/>
        </w:rPr>
        <w:t xml:space="preserve">с лекарства, чиито метаболизъм зависи от цитохром Р450 изоензимите </w:t>
      </w:r>
      <w:r w:rsidRPr="00DA6AE5">
        <w:rPr>
          <w:rFonts w:eastAsia="Times New Roman" w:cs="Arial"/>
          <w:color w:val="000000"/>
          <w:lang w:val="en-US"/>
        </w:rPr>
        <w:t>CYP</w:t>
      </w:r>
      <w:r w:rsidRPr="00DA6AE5">
        <w:rPr>
          <w:rFonts w:eastAsia="Times New Roman" w:cs="Arial"/>
          <w:color w:val="000000"/>
        </w:rPr>
        <w:t>1</w:t>
      </w:r>
      <w:r w:rsidRPr="00DA6AE5">
        <w:rPr>
          <w:rFonts w:eastAsia="Times New Roman" w:cs="Arial"/>
          <w:color w:val="000000"/>
          <w:lang w:val="en-US"/>
        </w:rPr>
        <w:t>A</w:t>
      </w:r>
      <w:r w:rsidRPr="00DA6AE5">
        <w:rPr>
          <w:rFonts w:eastAsia="Times New Roman" w:cs="Arial"/>
          <w:color w:val="000000"/>
        </w:rPr>
        <w:t xml:space="preserve">2, </w:t>
      </w:r>
      <w:r w:rsidRPr="00DA6AE5">
        <w:rPr>
          <w:rFonts w:eastAsia="Times New Roman" w:cs="Arial"/>
          <w:color w:val="000000"/>
          <w:lang w:val="en-US"/>
        </w:rPr>
        <w:t>CYP</w:t>
      </w:r>
      <w:r w:rsidRPr="00DA6AE5">
        <w:rPr>
          <w:rFonts w:eastAsia="Times New Roman" w:cs="Arial"/>
          <w:color w:val="000000"/>
        </w:rPr>
        <w:t>2</w:t>
      </w:r>
      <w:r w:rsidRPr="00DA6AE5">
        <w:rPr>
          <w:rFonts w:eastAsia="Times New Roman" w:cs="Arial"/>
          <w:color w:val="000000"/>
          <w:lang w:val="en-US"/>
        </w:rPr>
        <w:t>A</w:t>
      </w:r>
      <w:r w:rsidRPr="00DA6AE5">
        <w:rPr>
          <w:rFonts w:eastAsia="Times New Roman" w:cs="Arial"/>
          <w:color w:val="000000"/>
        </w:rPr>
        <w:t xml:space="preserve">6, </w:t>
      </w:r>
      <w:r w:rsidRPr="00DA6AE5">
        <w:rPr>
          <w:rFonts w:eastAsia="Times New Roman" w:cs="Arial"/>
          <w:color w:val="000000"/>
          <w:lang w:val="en-US"/>
        </w:rPr>
        <w:t>CYP</w:t>
      </w:r>
      <w:r w:rsidRPr="00DA6AE5">
        <w:rPr>
          <w:rFonts w:eastAsia="Times New Roman" w:cs="Arial"/>
          <w:color w:val="000000"/>
        </w:rPr>
        <w:t>2</w:t>
      </w:r>
      <w:r w:rsidRPr="00DA6AE5">
        <w:rPr>
          <w:rFonts w:eastAsia="Times New Roman" w:cs="Arial"/>
          <w:color w:val="000000"/>
          <w:lang w:val="en-US"/>
        </w:rPr>
        <w:t>C</w:t>
      </w:r>
      <w:r w:rsidRPr="00DA6AE5">
        <w:rPr>
          <w:rFonts w:eastAsia="Times New Roman" w:cs="Arial"/>
          <w:color w:val="000000"/>
        </w:rPr>
        <w:t xml:space="preserve">9, </w:t>
      </w:r>
      <w:r w:rsidRPr="00DA6AE5">
        <w:rPr>
          <w:rFonts w:eastAsia="Times New Roman" w:cs="Arial"/>
          <w:color w:val="000000"/>
          <w:lang w:val="en-US"/>
        </w:rPr>
        <w:lastRenderedPageBreak/>
        <w:t>CYP</w:t>
      </w:r>
      <w:r w:rsidRPr="00DA6AE5">
        <w:rPr>
          <w:rFonts w:eastAsia="Times New Roman" w:cs="Arial"/>
          <w:color w:val="000000"/>
        </w:rPr>
        <w:t>2</w:t>
      </w:r>
      <w:r w:rsidRPr="00DA6AE5">
        <w:rPr>
          <w:rFonts w:eastAsia="Times New Roman" w:cs="Arial"/>
          <w:color w:val="000000"/>
          <w:lang w:val="en-US"/>
        </w:rPr>
        <w:t>C</w:t>
      </w:r>
      <w:r w:rsidRPr="00DA6AE5">
        <w:rPr>
          <w:rFonts w:eastAsia="Times New Roman" w:cs="Arial"/>
          <w:color w:val="000000"/>
        </w:rPr>
        <w:t xml:space="preserve">19, </w:t>
      </w:r>
      <w:r w:rsidRPr="00DA6AE5">
        <w:rPr>
          <w:rFonts w:eastAsia="Times New Roman" w:cs="Arial"/>
          <w:color w:val="000000"/>
          <w:lang w:val="en-US"/>
        </w:rPr>
        <w:t>CYP</w:t>
      </w:r>
      <w:r w:rsidRPr="00DA6AE5">
        <w:rPr>
          <w:rFonts w:eastAsia="Times New Roman" w:cs="Arial"/>
          <w:color w:val="000000"/>
        </w:rPr>
        <w:t>2</w:t>
      </w:r>
      <w:r w:rsidRPr="00DA6AE5">
        <w:rPr>
          <w:rFonts w:eastAsia="Times New Roman" w:cs="Arial"/>
          <w:color w:val="000000"/>
          <w:lang w:val="en-US"/>
        </w:rPr>
        <w:t>D</w:t>
      </w:r>
      <w:r w:rsidRPr="00DA6AE5">
        <w:rPr>
          <w:rFonts w:eastAsia="Times New Roman" w:cs="Arial"/>
          <w:color w:val="000000"/>
        </w:rPr>
        <w:t xml:space="preserve">6, </w:t>
      </w:r>
      <w:r w:rsidRPr="00DA6AE5">
        <w:rPr>
          <w:rFonts w:eastAsia="Times New Roman" w:cs="Arial"/>
          <w:color w:val="000000"/>
          <w:lang w:val="en-US"/>
        </w:rPr>
        <w:t>CYP</w:t>
      </w:r>
      <w:r w:rsidRPr="00DA6AE5">
        <w:rPr>
          <w:rFonts w:eastAsia="Times New Roman" w:cs="Arial"/>
          <w:color w:val="000000"/>
        </w:rPr>
        <w:t>2</w:t>
      </w:r>
      <w:r w:rsidRPr="00DA6AE5">
        <w:rPr>
          <w:rFonts w:eastAsia="Times New Roman" w:cs="Arial"/>
          <w:color w:val="000000"/>
          <w:lang w:val="en-US"/>
        </w:rPr>
        <w:t>E</w:t>
      </w:r>
      <w:r w:rsidRPr="00DA6AE5">
        <w:rPr>
          <w:rFonts w:eastAsia="Times New Roman" w:cs="Arial"/>
          <w:color w:val="000000"/>
        </w:rPr>
        <w:t xml:space="preserve">1 </w:t>
      </w:r>
      <w:r w:rsidRPr="00DA6AE5">
        <w:rPr>
          <w:rFonts w:eastAsia="Times New Roman" w:cs="Arial"/>
          <w:color w:val="000000"/>
          <w:lang w:eastAsia="bg-BG"/>
        </w:rPr>
        <w:t xml:space="preserve">или </w:t>
      </w:r>
      <w:r w:rsidRPr="00DA6AE5">
        <w:rPr>
          <w:rFonts w:eastAsia="Times New Roman" w:cs="Arial"/>
          <w:color w:val="000000"/>
          <w:lang w:val="en-US"/>
        </w:rPr>
        <w:t>CYP</w:t>
      </w:r>
      <w:r w:rsidRPr="00DA6AE5">
        <w:rPr>
          <w:rFonts w:eastAsia="Times New Roman" w:cs="Arial"/>
          <w:color w:val="000000"/>
        </w:rPr>
        <w:t>3</w:t>
      </w:r>
      <w:r w:rsidRPr="00DA6AE5">
        <w:rPr>
          <w:rFonts w:eastAsia="Times New Roman" w:cs="Arial"/>
          <w:color w:val="000000"/>
          <w:lang w:val="en-US"/>
        </w:rPr>
        <w:t>A</w:t>
      </w:r>
      <w:r w:rsidRPr="00DA6AE5">
        <w:rPr>
          <w:rFonts w:eastAsia="Times New Roman" w:cs="Arial"/>
          <w:color w:val="000000"/>
        </w:rPr>
        <w:t xml:space="preserve">4. </w:t>
      </w:r>
      <w:r w:rsidRPr="00DA6AE5">
        <w:rPr>
          <w:rFonts w:eastAsia="Times New Roman" w:cs="Arial"/>
          <w:color w:val="000000"/>
          <w:lang w:eastAsia="bg-BG"/>
        </w:rPr>
        <w:t>Терминалният елиминационен полуживот на кандесартан е приблизително 9 часа. Няма кумулиране след многократно приложение.</w:t>
      </w:r>
    </w:p>
    <w:p w14:paraId="5770D879" w14:textId="77777777" w:rsidR="00DA6AE5" w:rsidRDefault="00DA6AE5" w:rsidP="00DA6AE5">
      <w:pPr>
        <w:spacing w:line="240" w:lineRule="auto"/>
        <w:rPr>
          <w:rFonts w:eastAsia="Times New Roman" w:cs="Arial"/>
          <w:color w:val="000000"/>
          <w:lang w:eastAsia="bg-BG"/>
        </w:rPr>
      </w:pPr>
    </w:p>
    <w:p w14:paraId="294A7E1C" w14:textId="7D8E4EC5"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Общият плазмен клирънс на кандесартан е около 0,37 </w:t>
      </w:r>
      <w:r w:rsidRPr="00DA6AE5">
        <w:rPr>
          <w:rFonts w:eastAsia="Times New Roman" w:cs="Arial"/>
          <w:color w:val="000000"/>
          <w:lang w:val="en-US"/>
        </w:rPr>
        <w:t>ml</w:t>
      </w:r>
      <w:r w:rsidRPr="00DA6AE5">
        <w:rPr>
          <w:rFonts w:eastAsia="Times New Roman" w:cs="Arial"/>
          <w:color w:val="000000"/>
        </w:rPr>
        <w:t>/</w:t>
      </w:r>
      <w:r w:rsidRPr="00DA6AE5">
        <w:rPr>
          <w:rFonts w:eastAsia="Times New Roman" w:cs="Arial"/>
          <w:color w:val="000000"/>
          <w:lang w:val="en-US"/>
        </w:rPr>
        <w:t>min</w:t>
      </w:r>
      <w:r w:rsidRPr="00DA6AE5">
        <w:rPr>
          <w:rFonts w:eastAsia="Times New Roman" w:cs="Arial"/>
          <w:color w:val="000000"/>
        </w:rPr>
        <w:t>/</w:t>
      </w:r>
      <w:r w:rsidRPr="00DA6AE5">
        <w:rPr>
          <w:rFonts w:eastAsia="Times New Roman" w:cs="Arial"/>
          <w:color w:val="000000"/>
          <w:lang w:val="en-US"/>
        </w:rPr>
        <w:t>kg</w:t>
      </w:r>
      <w:r w:rsidRPr="00DA6AE5">
        <w:rPr>
          <w:rFonts w:eastAsia="Times New Roman" w:cs="Arial"/>
          <w:color w:val="000000"/>
        </w:rPr>
        <w:t xml:space="preserve">, </w:t>
      </w:r>
      <w:r w:rsidRPr="00DA6AE5">
        <w:rPr>
          <w:rFonts w:eastAsia="Times New Roman" w:cs="Arial"/>
          <w:color w:val="000000"/>
          <w:lang w:eastAsia="bg-BG"/>
        </w:rPr>
        <w:t xml:space="preserve">като бъбречният клирънс е около 0,19 </w:t>
      </w:r>
      <w:r w:rsidRPr="00DA6AE5">
        <w:rPr>
          <w:rFonts w:eastAsia="Times New Roman" w:cs="Arial"/>
          <w:color w:val="000000"/>
          <w:lang w:val="en-US"/>
        </w:rPr>
        <w:t>ml</w:t>
      </w:r>
      <w:r w:rsidRPr="00DA6AE5">
        <w:rPr>
          <w:rFonts w:eastAsia="Times New Roman" w:cs="Arial"/>
          <w:color w:val="000000"/>
        </w:rPr>
        <w:t>/</w:t>
      </w:r>
      <w:r w:rsidRPr="00DA6AE5">
        <w:rPr>
          <w:rFonts w:eastAsia="Times New Roman" w:cs="Arial"/>
          <w:color w:val="000000"/>
          <w:lang w:val="en-US"/>
        </w:rPr>
        <w:t>min</w:t>
      </w:r>
      <w:r w:rsidRPr="00DA6AE5">
        <w:rPr>
          <w:rFonts w:eastAsia="Times New Roman" w:cs="Arial"/>
          <w:color w:val="000000"/>
        </w:rPr>
        <w:t>/</w:t>
      </w:r>
      <w:r w:rsidRPr="00DA6AE5">
        <w:rPr>
          <w:rFonts w:eastAsia="Times New Roman" w:cs="Arial"/>
          <w:color w:val="000000"/>
          <w:lang w:val="en-US"/>
        </w:rPr>
        <w:t>kg</w:t>
      </w:r>
      <w:r w:rsidRPr="00DA6AE5">
        <w:rPr>
          <w:rFonts w:eastAsia="Times New Roman" w:cs="Arial"/>
          <w:color w:val="000000"/>
        </w:rPr>
        <w:t xml:space="preserve">. </w:t>
      </w:r>
      <w:r w:rsidRPr="00DA6AE5">
        <w:rPr>
          <w:rFonts w:eastAsia="Times New Roman" w:cs="Arial"/>
          <w:color w:val="000000"/>
          <w:lang w:eastAsia="bg-BG"/>
        </w:rPr>
        <w:t xml:space="preserve">Елиминирането на кандесартан през бъбреците се осъществява чрез гломерулна филтрация и активна тубулна секреция. След перорално приложение на </w:t>
      </w:r>
      <w:r w:rsidRPr="00DA6AE5">
        <w:rPr>
          <w:rFonts w:eastAsia="Times New Roman" w:cs="Arial"/>
          <w:color w:val="000000"/>
          <w:vertAlign w:val="superscript"/>
          <w:lang w:eastAsia="bg-BG"/>
        </w:rPr>
        <w:t>14</w:t>
      </w:r>
      <w:r w:rsidRPr="00DA6AE5">
        <w:rPr>
          <w:rFonts w:eastAsia="Times New Roman" w:cs="Arial"/>
          <w:color w:val="000000"/>
          <w:lang w:eastAsia="bg-BG"/>
        </w:rPr>
        <w:t>С-6елязан кандесартан цилексетил, приблизително 26% от дозата се екскретира в урината като кандесартан и 7% като неактивен метаболит докато 56% от дозата се откриват във фекалиите като кандесартан и 10% под формата на неактивен метаболит.</w:t>
      </w:r>
    </w:p>
    <w:p w14:paraId="2C95383C" w14:textId="77777777" w:rsidR="00DA6AE5" w:rsidRDefault="00DA6AE5" w:rsidP="00DA6AE5">
      <w:pPr>
        <w:spacing w:line="240" w:lineRule="auto"/>
        <w:rPr>
          <w:rFonts w:eastAsia="Times New Roman" w:cs="Arial"/>
          <w:color w:val="000000"/>
          <w:u w:val="single"/>
          <w:lang w:eastAsia="bg-BG"/>
        </w:rPr>
      </w:pPr>
    </w:p>
    <w:p w14:paraId="29D4BE75" w14:textId="1F2D6C01" w:rsidR="00DA6AE5" w:rsidRPr="00DA6AE5" w:rsidRDefault="00DA6AE5" w:rsidP="00DA6AE5">
      <w:pPr>
        <w:spacing w:line="240" w:lineRule="auto"/>
        <w:rPr>
          <w:rFonts w:eastAsia="Times New Roman" w:cs="Arial"/>
        </w:rPr>
      </w:pPr>
      <w:r w:rsidRPr="00DA6AE5">
        <w:rPr>
          <w:rFonts w:eastAsia="Times New Roman" w:cs="Arial"/>
          <w:color w:val="000000"/>
          <w:u w:val="single"/>
          <w:lang w:eastAsia="bg-BG"/>
        </w:rPr>
        <w:t>Фармакокинетика при специални популации</w:t>
      </w:r>
    </w:p>
    <w:p w14:paraId="1EAB4980" w14:textId="77777777" w:rsidR="00DA6AE5" w:rsidRDefault="00DA6AE5" w:rsidP="00DA6AE5">
      <w:pPr>
        <w:spacing w:line="240" w:lineRule="auto"/>
        <w:rPr>
          <w:rFonts w:eastAsia="Times New Roman" w:cs="Arial"/>
          <w:color w:val="000000"/>
          <w:lang w:eastAsia="bg-BG"/>
        </w:rPr>
      </w:pPr>
    </w:p>
    <w:p w14:paraId="619B5084" w14:textId="739B0F6A"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При лица в напреднала възраст (над 65 години) </w:t>
      </w:r>
      <w:r w:rsidRPr="00DA6AE5">
        <w:rPr>
          <w:rFonts w:eastAsia="Times New Roman" w:cs="Arial"/>
          <w:i/>
          <w:iCs/>
          <w:color w:val="000000"/>
          <w:lang w:eastAsia="bg-BG"/>
        </w:rPr>
        <w:t>С</w:t>
      </w:r>
      <w:r w:rsidRPr="00DA6AE5">
        <w:rPr>
          <w:rFonts w:eastAsia="Times New Roman" w:cs="Arial"/>
          <w:i/>
          <w:iCs/>
          <w:color w:val="000000"/>
          <w:vertAlign w:val="subscript"/>
          <w:lang w:eastAsia="bg-BG"/>
        </w:rPr>
        <w:t>тах</w:t>
      </w:r>
      <w:r w:rsidRPr="00DA6AE5">
        <w:rPr>
          <w:rFonts w:eastAsia="Times New Roman" w:cs="Arial"/>
          <w:color w:val="000000"/>
          <w:lang w:eastAsia="bg-BG"/>
        </w:rPr>
        <w:t xml:space="preserve"> и </w:t>
      </w:r>
      <w:r w:rsidRPr="00DA6AE5">
        <w:rPr>
          <w:rFonts w:eastAsia="Times New Roman" w:cs="Arial"/>
          <w:color w:val="000000"/>
          <w:lang w:val="en-US"/>
        </w:rPr>
        <w:t>AUC</w:t>
      </w:r>
      <w:r w:rsidRPr="00DA6AE5">
        <w:rPr>
          <w:rFonts w:eastAsia="Times New Roman" w:cs="Arial"/>
          <w:color w:val="000000"/>
          <w:lang w:val="ru-RU"/>
        </w:rPr>
        <w:t xml:space="preserve"> </w:t>
      </w:r>
      <w:r w:rsidRPr="00DA6AE5">
        <w:rPr>
          <w:rFonts w:eastAsia="Times New Roman" w:cs="Arial"/>
          <w:color w:val="000000"/>
          <w:lang w:eastAsia="bg-BG"/>
        </w:rPr>
        <w:t>на кандесартан са били увеличени приблизително с 50% и 80% съответно в сравнение с млади индивиди. Отговорът на артериалното налягане и честотата на нежеланите събития обаче са били подобни сл</w:t>
      </w:r>
      <w:r w:rsidRPr="00DA6AE5">
        <w:rPr>
          <w:rFonts w:eastAsia="Times New Roman" w:cs="Arial"/>
          <w:color w:val="000000"/>
          <w:u w:val="single"/>
          <w:lang w:eastAsia="bg-BG"/>
        </w:rPr>
        <w:t xml:space="preserve">ед </w:t>
      </w:r>
      <w:r w:rsidRPr="00DA6AE5">
        <w:rPr>
          <w:rFonts w:eastAsia="Times New Roman" w:cs="Arial"/>
          <w:color w:val="000000"/>
          <w:lang w:eastAsia="bg-BG"/>
        </w:rPr>
        <w:t>определена доза кандесартан цилексетил при млади пациенти и болни в напреднала възраст (вж. точка 4.2).</w:t>
      </w:r>
    </w:p>
    <w:p w14:paraId="3296CA98" w14:textId="77777777" w:rsidR="00DA6AE5" w:rsidRDefault="00DA6AE5" w:rsidP="00DA6AE5">
      <w:pPr>
        <w:spacing w:line="240" w:lineRule="auto"/>
        <w:rPr>
          <w:rFonts w:eastAsia="Times New Roman" w:cs="Arial"/>
          <w:color w:val="000000"/>
          <w:lang w:eastAsia="bg-BG"/>
        </w:rPr>
      </w:pPr>
    </w:p>
    <w:p w14:paraId="1E6CB2C5" w14:textId="2C2F6DDF" w:rsidR="00DA6AE5" w:rsidRPr="00DA6AE5" w:rsidRDefault="00DA6AE5" w:rsidP="00DA6AE5">
      <w:pPr>
        <w:spacing w:line="240" w:lineRule="auto"/>
        <w:rPr>
          <w:rFonts w:eastAsia="Times New Roman" w:cs="Arial"/>
        </w:rPr>
      </w:pPr>
      <w:r w:rsidRPr="00DA6AE5">
        <w:rPr>
          <w:rFonts w:eastAsia="Times New Roman" w:cs="Arial"/>
          <w:color w:val="000000"/>
          <w:lang w:eastAsia="bg-BG"/>
        </w:rPr>
        <w:t>При пациенти с леко до умерено бъбречно увреждане С</w:t>
      </w:r>
      <w:r w:rsidRPr="00DA6AE5">
        <w:rPr>
          <w:rFonts w:eastAsia="Times New Roman" w:cs="Arial"/>
          <w:color w:val="000000"/>
          <w:vertAlign w:val="subscript"/>
          <w:lang w:val="en-US"/>
        </w:rPr>
        <w:t>max</w:t>
      </w:r>
      <w:r w:rsidRPr="00DA6AE5">
        <w:rPr>
          <w:rFonts w:eastAsia="Times New Roman" w:cs="Arial"/>
          <w:color w:val="000000"/>
          <w:lang w:eastAsia="bg-BG"/>
        </w:rPr>
        <w:t xml:space="preserve"> и </w:t>
      </w:r>
      <w:r w:rsidRPr="00DA6AE5">
        <w:rPr>
          <w:rFonts w:eastAsia="Times New Roman" w:cs="Arial"/>
          <w:color w:val="000000"/>
          <w:lang w:val="en-US"/>
        </w:rPr>
        <w:t>AUC</w:t>
      </w:r>
      <w:r w:rsidRPr="00DA6AE5">
        <w:rPr>
          <w:rFonts w:eastAsia="Times New Roman" w:cs="Arial"/>
          <w:color w:val="000000"/>
          <w:lang w:val="ru-RU"/>
        </w:rPr>
        <w:t xml:space="preserve"> </w:t>
      </w:r>
      <w:r w:rsidRPr="00DA6AE5">
        <w:rPr>
          <w:rFonts w:eastAsia="Times New Roman" w:cs="Arial"/>
          <w:color w:val="000000"/>
          <w:lang w:eastAsia="bg-BG"/>
        </w:rPr>
        <w:t xml:space="preserve">на кандесартан са били повишени при многократно приложение с 50% и 70% съответно, но </w:t>
      </w:r>
      <w:r w:rsidRPr="00DA6AE5">
        <w:rPr>
          <w:rFonts w:eastAsia="Times New Roman" w:cs="Arial"/>
          <w:color w:val="000000"/>
          <w:lang w:val="en-US"/>
        </w:rPr>
        <w:t>t</w:t>
      </w:r>
      <w:r w:rsidRPr="00DA6AE5">
        <w:rPr>
          <w:rFonts w:eastAsia="Times New Roman" w:cs="Arial"/>
          <w:color w:val="000000"/>
          <w:lang w:val="ru-RU"/>
        </w:rPr>
        <w:t xml:space="preserve">1/2 </w:t>
      </w:r>
      <w:r w:rsidRPr="00DA6AE5">
        <w:rPr>
          <w:rFonts w:eastAsia="Times New Roman" w:cs="Arial"/>
          <w:color w:val="000000"/>
          <w:lang w:eastAsia="bg-BG"/>
        </w:rPr>
        <w:t>не е повишено в</w:t>
      </w:r>
    </w:p>
    <w:p w14:paraId="71B675D4" w14:textId="77777777" w:rsidR="00DA6AE5" w:rsidRPr="00DA6AE5" w:rsidRDefault="00DA6AE5" w:rsidP="00DA6AE5">
      <w:pPr>
        <w:rPr>
          <w:rFonts w:eastAsia="Times New Roman" w:cs="Arial"/>
        </w:rPr>
      </w:pPr>
      <w:r w:rsidRPr="00DA6AE5">
        <w:rPr>
          <w:rFonts w:eastAsia="Times New Roman" w:cs="Arial"/>
          <w:color w:val="000000"/>
          <w:lang w:eastAsia="bg-BG"/>
        </w:rPr>
        <w:t>сравнение с болните с нормална бъбречна функция. Съответните промени при пациенти с</w:t>
      </w:r>
      <w:r w:rsidRPr="00DA6AE5">
        <w:rPr>
          <w:rFonts w:eastAsia="Times New Roman" w:cs="Arial"/>
          <w:color w:val="000000"/>
          <w:lang w:val="ru-RU" w:eastAsia="bg-BG"/>
        </w:rPr>
        <w:t xml:space="preserve"> </w:t>
      </w:r>
      <w:r w:rsidRPr="00DA6AE5">
        <w:rPr>
          <w:rFonts w:eastAsia="Times New Roman" w:cs="Arial"/>
          <w:color w:val="000000"/>
          <w:lang w:eastAsia="bg-BG"/>
        </w:rPr>
        <w:t xml:space="preserve">тежко бъбречно увреждане са били приблизително 50% и 110%, съответно. Терминалното на кандесартан било приблизително удвоено при пациенти с тежко бъбречно увреждане. </w:t>
      </w:r>
      <w:r w:rsidRPr="00DA6AE5">
        <w:rPr>
          <w:rFonts w:eastAsia="Times New Roman" w:cs="Arial"/>
          <w:color w:val="000000"/>
          <w:lang w:val="en-US"/>
        </w:rPr>
        <w:t>AUC</w:t>
      </w:r>
      <w:r w:rsidRPr="00DA6AE5">
        <w:rPr>
          <w:rFonts w:eastAsia="Times New Roman" w:cs="Arial"/>
          <w:color w:val="000000"/>
          <w:lang w:val="ru-RU"/>
        </w:rPr>
        <w:t xml:space="preserve"> </w:t>
      </w:r>
      <w:r w:rsidRPr="00DA6AE5">
        <w:rPr>
          <w:rFonts w:eastAsia="Times New Roman" w:cs="Arial"/>
          <w:color w:val="000000"/>
          <w:lang w:eastAsia="bg-BG"/>
        </w:rPr>
        <w:t>на кандесартан при пациенти, подложени на хемодиализа, е била подобна на тази при болни с тежко бъбречно увреждане.</w:t>
      </w:r>
    </w:p>
    <w:p w14:paraId="7DE64FF6" w14:textId="77777777" w:rsidR="00DA6AE5" w:rsidRDefault="00DA6AE5" w:rsidP="00DA6AE5">
      <w:pPr>
        <w:spacing w:line="240" w:lineRule="auto"/>
        <w:rPr>
          <w:rFonts w:eastAsia="Times New Roman" w:cs="Arial"/>
          <w:color w:val="000000"/>
          <w:lang w:eastAsia="bg-BG"/>
        </w:rPr>
      </w:pPr>
    </w:p>
    <w:p w14:paraId="7FD33BCD" w14:textId="04D1C103"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При две проучвания, и двете включващи пациенти с леко до умерено чернодробно увреждане е наблюдавано увеличение на </w:t>
      </w:r>
      <w:r w:rsidRPr="00DA6AE5">
        <w:rPr>
          <w:rFonts w:eastAsia="Times New Roman" w:cs="Arial"/>
          <w:color w:val="000000"/>
          <w:lang w:val="en-US"/>
        </w:rPr>
        <w:t>AUC</w:t>
      </w:r>
      <w:r w:rsidRPr="00DA6AE5">
        <w:rPr>
          <w:rFonts w:eastAsia="Times New Roman" w:cs="Arial"/>
          <w:color w:val="000000"/>
          <w:lang w:val="ru-RU"/>
        </w:rPr>
        <w:t xml:space="preserve"> </w:t>
      </w:r>
      <w:r w:rsidRPr="00DA6AE5">
        <w:rPr>
          <w:rFonts w:eastAsia="Times New Roman" w:cs="Arial"/>
          <w:color w:val="000000"/>
          <w:lang w:eastAsia="bg-BG"/>
        </w:rPr>
        <w:t>на кандесартан с около 20% при едното проучване и 80% при другото проучване (вж. точка 4.2). Няма опит при пациенти с тежко чернодробно увреждане.</w:t>
      </w:r>
    </w:p>
    <w:p w14:paraId="38361BAA" w14:textId="77777777" w:rsidR="00DA6AE5" w:rsidRDefault="00DA6AE5" w:rsidP="00DA6AE5">
      <w:pPr>
        <w:spacing w:line="240" w:lineRule="auto"/>
        <w:rPr>
          <w:rFonts w:eastAsia="Times New Roman" w:cs="Arial"/>
          <w:color w:val="000000"/>
          <w:u w:val="single"/>
          <w:lang w:eastAsia="bg-BG"/>
        </w:rPr>
      </w:pPr>
    </w:p>
    <w:p w14:paraId="65AA15FD" w14:textId="07969DF3" w:rsidR="00DA6AE5" w:rsidRPr="00DA6AE5" w:rsidRDefault="00DA6AE5" w:rsidP="00DA6AE5">
      <w:pPr>
        <w:spacing w:line="240" w:lineRule="auto"/>
        <w:rPr>
          <w:rFonts w:eastAsia="Times New Roman" w:cs="Arial"/>
        </w:rPr>
      </w:pPr>
      <w:r w:rsidRPr="00DA6AE5">
        <w:rPr>
          <w:rFonts w:eastAsia="Times New Roman" w:cs="Arial"/>
          <w:color w:val="000000"/>
          <w:u w:val="single"/>
          <w:lang w:eastAsia="bg-BG"/>
        </w:rPr>
        <w:t>Педиатрична популация</w:t>
      </w:r>
    </w:p>
    <w:p w14:paraId="491A881D" w14:textId="77777777" w:rsidR="00DA6AE5" w:rsidRPr="00DA6AE5" w:rsidRDefault="00DA6AE5" w:rsidP="00DA6AE5">
      <w:pPr>
        <w:spacing w:line="240" w:lineRule="auto"/>
        <w:rPr>
          <w:rFonts w:eastAsia="Times New Roman" w:cs="Arial"/>
        </w:rPr>
      </w:pPr>
      <w:r w:rsidRPr="00DA6AE5">
        <w:rPr>
          <w:rFonts w:eastAsia="Times New Roman" w:cs="Arial"/>
          <w:color w:val="000000"/>
          <w:lang w:eastAsia="bg-BG"/>
        </w:rPr>
        <w:t>Фармакокинетичните свойства на кандесартан са оценени в две фармакокинетични проучвания на приложение на еднократни дози при деца на възраст от 1 до &lt; 6 години и от 6 до &lt; 17 години.</w:t>
      </w:r>
    </w:p>
    <w:p w14:paraId="613F3F97" w14:textId="77777777" w:rsidR="00DA6AE5" w:rsidRDefault="00DA6AE5" w:rsidP="00DA6AE5">
      <w:pPr>
        <w:spacing w:line="240" w:lineRule="auto"/>
        <w:rPr>
          <w:rFonts w:eastAsia="Times New Roman" w:cs="Arial"/>
          <w:color w:val="000000"/>
          <w:lang w:eastAsia="bg-BG"/>
        </w:rPr>
      </w:pPr>
    </w:p>
    <w:p w14:paraId="19E4AE62" w14:textId="0ED01EEE"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При деца на възраст от 1 до &lt; 6 години, 10 деца с телесно тегло от 10 до &lt; 25 </w:t>
      </w:r>
      <w:r w:rsidRPr="00DA6AE5">
        <w:rPr>
          <w:rFonts w:eastAsia="Times New Roman" w:cs="Arial"/>
          <w:color w:val="000000"/>
          <w:lang w:val="en-US"/>
        </w:rPr>
        <w:t>kg</w:t>
      </w:r>
      <w:r w:rsidRPr="00DA6AE5">
        <w:rPr>
          <w:rFonts w:eastAsia="Times New Roman" w:cs="Arial"/>
          <w:color w:val="000000"/>
          <w:lang w:val="ru-RU"/>
        </w:rPr>
        <w:t xml:space="preserve"> </w:t>
      </w:r>
      <w:r w:rsidRPr="00DA6AE5">
        <w:rPr>
          <w:rFonts w:eastAsia="Times New Roman" w:cs="Arial"/>
          <w:color w:val="000000"/>
          <w:lang w:eastAsia="bg-BG"/>
        </w:rPr>
        <w:t xml:space="preserve">получават еднократна доза от 0,2 </w:t>
      </w:r>
      <w:r w:rsidRPr="00DA6AE5">
        <w:rPr>
          <w:rFonts w:eastAsia="Times New Roman" w:cs="Arial"/>
          <w:color w:val="000000"/>
          <w:lang w:val="en-US"/>
        </w:rPr>
        <w:t>mg</w:t>
      </w:r>
      <w:r w:rsidRPr="00DA6AE5">
        <w:rPr>
          <w:rFonts w:eastAsia="Times New Roman" w:cs="Arial"/>
          <w:color w:val="000000"/>
          <w:lang w:val="ru-RU"/>
        </w:rPr>
        <w:t>/</w:t>
      </w:r>
      <w:r w:rsidRPr="00DA6AE5">
        <w:rPr>
          <w:rFonts w:eastAsia="Times New Roman" w:cs="Arial"/>
          <w:color w:val="000000"/>
          <w:lang w:val="en-US"/>
        </w:rPr>
        <w:t>kg</w:t>
      </w:r>
      <w:r w:rsidRPr="00DA6AE5">
        <w:rPr>
          <w:rFonts w:eastAsia="Times New Roman" w:cs="Arial"/>
          <w:color w:val="000000"/>
          <w:lang w:val="ru-RU"/>
        </w:rPr>
        <w:t xml:space="preserve"> </w:t>
      </w:r>
      <w:r w:rsidRPr="00DA6AE5">
        <w:rPr>
          <w:rFonts w:eastAsia="Times New Roman" w:cs="Arial"/>
          <w:color w:val="000000"/>
          <w:lang w:eastAsia="bg-BG"/>
        </w:rPr>
        <w:t>перорална суспензия. Не се наблюдава корелация на С</w:t>
      </w:r>
      <w:r w:rsidRPr="00DA6AE5">
        <w:rPr>
          <w:rFonts w:eastAsia="Times New Roman" w:cs="Arial"/>
          <w:color w:val="000000"/>
          <w:vertAlign w:val="subscript"/>
          <w:lang w:val="en-US"/>
        </w:rPr>
        <w:t>max</w:t>
      </w:r>
      <w:r w:rsidRPr="00DA6AE5">
        <w:rPr>
          <w:rFonts w:eastAsia="Times New Roman" w:cs="Arial"/>
          <w:color w:val="000000"/>
          <w:lang w:eastAsia="bg-BG"/>
        </w:rPr>
        <w:t xml:space="preserve"> и </w:t>
      </w:r>
      <w:r w:rsidRPr="00DA6AE5">
        <w:rPr>
          <w:rFonts w:eastAsia="Times New Roman" w:cs="Arial"/>
          <w:color w:val="000000"/>
          <w:lang w:val="en-US"/>
        </w:rPr>
        <w:t>AUC</w:t>
      </w:r>
      <w:r w:rsidRPr="00DA6AE5">
        <w:rPr>
          <w:rFonts w:eastAsia="Times New Roman" w:cs="Arial"/>
          <w:color w:val="000000"/>
          <w:lang w:val="ru-RU"/>
        </w:rPr>
        <w:t xml:space="preserve"> </w:t>
      </w:r>
      <w:r w:rsidRPr="00DA6AE5">
        <w:rPr>
          <w:rFonts w:eastAsia="Times New Roman" w:cs="Arial"/>
          <w:color w:val="000000"/>
          <w:lang w:eastAsia="bg-BG"/>
        </w:rPr>
        <w:t>с възрастта и телесното тегло. Не са събирани данни за клирънс, поради което не е известно дали в тази популация е възможна корелация между клирънса и телесното тегло/възрастта.</w:t>
      </w:r>
    </w:p>
    <w:p w14:paraId="7502A404" w14:textId="77777777"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При деца на възраст от 6 до &lt; 17 години, 22 деца получават еднократна доза от 16 </w:t>
      </w:r>
      <w:r w:rsidRPr="00DA6AE5">
        <w:rPr>
          <w:rFonts w:eastAsia="Times New Roman" w:cs="Arial"/>
          <w:color w:val="000000"/>
          <w:lang w:val="en-US"/>
        </w:rPr>
        <w:t>mg</w:t>
      </w:r>
      <w:r w:rsidRPr="00DA6AE5">
        <w:rPr>
          <w:rFonts w:eastAsia="Times New Roman" w:cs="Arial"/>
          <w:color w:val="000000"/>
          <w:lang w:val="ru-RU"/>
        </w:rPr>
        <w:t xml:space="preserve"> </w:t>
      </w:r>
      <w:r w:rsidRPr="00DA6AE5">
        <w:rPr>
          <w:rFonts w:eastAsia="Times New Roman" w:cs="Arial"/>
          <w:color w:val="000000"/>
          <w:lang w:eastAsia="bg-BG"/>
        </w:rPr>
        <w:t>таблетка. Липсва корелация на С</w:t>
      </w:r>
      <w:r w:rsidRPr="00DA6AE5">
        <w:rPr>
          <w:rFonts w:eastAsia="Times New Roman" w:cs="Arial"/>
          <w:color w:val="000000"/>
          <w:vertAlign w:val="subscript"/>
          <w:lang w:val="en-US"/>
        </w:rPr>
        <w:t>max</w:t>
      </w:r>
      <w:r w:rsidRPr="00DA6AE5">
        <w:rPr>
          <w:rFonts w:eastAsia="Times New Roman" w:cs="Arial"/>
          <w:color w:val="000000"/>
          <w:lang w:eastAsia="bg-BG"/>
        </w:rPr>
        <w:t xml:space="preserve"> и </w:t>
      </w:r>
      <w:r w:rsidRPr="00DA6AE5">
        <w:rPr>
          <w:rFonts w:eastAsia="Times New Roman" w:cs="Arial"/>
          <w:color w:val="000000"/>
          <w:lang w:val="en-US"/>
        </w:rPr>
        <w:t>AUC</w:t>
      </w:r>
      <w:r w:rsidRPr="00DA6AE5">
        <w:rPr>
          <w:rFonts w:eastAsia="Times New Roman" w:cs="Arial"/>
          <w:color w:val="000000"/>
          <w:lang w:val="ru-RU"/>
        </w:rPr>
        <w:t xml:space="preserve"> </w:t>
      </w:r>
      <w:r w:rsidRPr="00DA6AE5">
        <w:rPr>
          <w:rFonts w:eastAsia="Times New Roman" w:cs="Arial"/>
          <w:color w:val="000000"/>
          <w:lang w:eastAsia="bg-BG"/>
        </w:rPr>
        <w:t xml:space="preserve">с възрастта. Изглежда обаче, че телесното тегло има значителна корелация със </w:t>
      </w:r>
      <w:proofErr w:type="spellStart"/>
      <w:r w:rsidRPr="00DA6AE5">
        <w:rPr>
          <w:rFonts w:eastAsia="Times New Roman" w:cs="Arial"/>
          <w:color w:val="000000"/>
          <w:lang w:val="en-US"/>
        </w:rPr>
        <w:t>C</w:t>
      </w:r>
      <w:r w:rsidRPr="00DA6AE5">
        <w:rPr>
          <w:rFonts w:eastAsia="Times New Roman" w:cs="Arial"/>
          <w:color w:val="000000"/>
          <w:vertAlign w:val="subscript"/>
          <w:lang w:val="en-US"/>
        </w:rPr>
        <w:t>max</w:t>
      </w:r>
      <w:proofErr w:type="spellEnd"/>
      <w:r w:rsidRPr="00DA6AE5">
        <w:rPr>
          <w:rFonts w:eastAsia="Times New Roman" w:cs="Arial"/>
          <w:color w:val="000000"/>
          <w:lang w:val="ru-RU"/>
        </w:rPr>
        <w:t xml:space="preserve"> </w:t>
      </w:r>
      <w:r w:rsidRPr="00DA6AE5">
        <w:rPr>
          <w:rFonts w:eastAsia="Times New Roman" w:cs="Arial"/>
          <w:color w:val="000000"/>
          <w:lang w:eastAsia="bg-BG"/>
        </w:rPr>
        <w:t xml:space="preserve">(р=0,012) и </w:t>
      </w:r>
      <w:r w:rsidRPr="00DA6AE5">
        <w:rPr>
          <w:rFonts w:eastAsia="Times New Roman" w:cs="Arial"/>
          <w:color w:val="000000"/>
          <w:lang w:val="en-US"/>
        </w:rPr>
        <w:t>AUC</w:t>
      </w:r>
      <w:r w:rsidRPr="00DA6AE5">
        <w:rPr>
          <w:rFonts w:eastAsia="Times New Roman" w:cs="Arial"/>
          <w:color w:val="000000"/>
          <w:lang w:val="ru-RU"/>
        </w:rPr>
        <w:t xml:space="preserve"> </w:t>
      </w:r>
      <w:r w:rsidRPr="00DA6AE5">
        <w:rPr>
          <w:rFonts w:eastAsia="Times New Roman" w:cs="Arial"/>
          <w:color w:val="000000"/>
          <w:lang w:eastAsia="bg-BG"/>
        </w:rPr>
        <w:t>(р=0,011). Не са събирани данни за клирънс, поради което не е известно дали в тази популация е възможна корелация между клирънса и телесното тегло/възрастга.</w:t>
      </w:r>
    </w:p>
    <w:p w14:paraId="49C516A7" w14:textId="77777777" w:rsidR="00DA6AE5" w:rsidRDefault="00DA6AE5" w:rsidP="00DA6AE5">
      <w:pPr>
        <w:spacing w:line="240" w:lineRule="auto"/>
        <w:rPr>
          <w:rFonts w:eastAsia="Times New Roman" w:cs="Arial"/>
          <w:color w:val="000000"/>
          <w:lang w:eastAsia="bg-BG"/>
        </w:rPr>
      </w:pPr>
    </w:p>
    <w:p w14:paraId="015B130F" w14:textId="5277675C" w:rsidR="00DA6AE5" w:rsidRPr="00DA6AE5" w:rsidRDefault="00DA6AE5" w:rsidP="00DA6AE5">
      <w:pPr>
        <w:spacing w:line="240" w:lineRule="auto"/>
        <w:rPr>
          <w:rFonts w:eastAsia="Times New Roman" w:cs="Arial"/>
        </w:rPr>
      </w:pPr>
      <w:r w:rsidRPr="00DA6AE5">
        <w:rPr>
          <w:rFonts w:eastAsia="Times New Roman" w:cs="Arial"/>
          <w:color w:val="000000"/>
          <w:lang w:eastAsia="bg-BG"/>
        </w:rPr>
        <w:t>Децата на възраст &gt;6 са с експозиции, сходни с тези при възрастните, получили същата доза.</w:t>
      </w:r>
    </w:p>
    <w:p w14:paraId="6EDF8A3B" w14:textId="77777777" w:rsidR="00DA6AE5" w:rsidRDefault="00DA6AE5" w:rsidP="00DA6AE5">
      <w:pPr>
        <w:spacing w:line="240" w:lineRule="auto"/>
        <w:rPr>
          <w:rFonts w:eastAsia="Times New Roman" w:cs="Arial"/>
          <w:color w:val="000000"/>
          <w:lang w:eastAsia="bg-BG"/>
        </w:rPr>
      </w:pPr>
    </w:p>
    <w:p w14:paraId="1DF6E59E" w14:textId="2902E387" w:rsidR="00DA6AE5" w:rsidRPr="00DA6AE5" w:rsidRDefault="00DA6AE5" w:rsidP="00DA6AE5">
      <w:pPr>
        <w:spacing w:line="240" w:lineRule="auto"/>
        <w:rPr>
          <w:rFonts w:eastAsia="Times New Roman" w:cs="Arial"/>
        </w:rPr>
      </w:pPr>
      <w:r w:rsidRPr="00DA6AE5">
        <w:rPr>
          <w:rFonts w:eastAsia="Times New Roman" w:cs="Arial"/>
          <w:color w:val="000000"/>
          <w:lang w:eastAsia="bg-BG"/>
        </w:rPr>
        <w:t>Фармакокинетиката на кандесартан цилексетил не е проучвана при педиатрични пациенти на възраст &lt; 1 година.</w:t>
      </w:r>
    </w:p>
    <w:p w14:paraId="12645F34" w14:textId="10C6F19F" w:rsidR="00DA6AE5" w:rsidRPr="00DA6AE5" w:rsidRDefault="00DA6AE5" w:rsidP="00DA6AE5"/>
    <w:p w14:paraId="4FB791BE" w14:textId="3B3021BA" w:rsidR="00B6672E" w:rsidRDefault="002C50EE" w:rsidP="00936AD0">
      <w:pPr>
        <w:pStyle w:val="Heading2"/>
      </w:pPr>
      <w:r>
        <w:t>5.3. Предклинични данни за безопасност</w:t>
      </w:r>
    </w:p>
    <w:p w14:paraId="408AA28E" w14:textId="218AEE17" w:rsidR="00DA6AE5" w:rsidRDefault="00DA6AE5" w:rsidP="00DA6AE5"/>
    <w:p w14:paraId="3D00BEF3" w14:textId="77777777" w:rsidR="00DA6AE5" w:rsidRPr="00DA6AE5" w:rsidRDefault="00DA6AE5" w:rsidP="00DA6AE5">
      <w:pPr>
        <w:spacing w:line="240" w:lineRule="auto"/>
        <w:rPr>
          <w:rFonts w:eastAsia="Times New Roman" w:cs="Arial"/>
        </w:rPr>
      </w:pPr>
      <w:r w:rsidRPr="00DA6AE5">
        <w:rPr>
          <w:rFonts w:eastAsia="Times New Roman" w:cs="Arial"/>
          <w:color w:val="000000"/>
          <w:lang w:eastAsia="bg-BG"/>
        </w:rPr>
        <w:t>Няма данни за абнормна системна токсичност или токсичност на таргетните органи при клинично приложими дози. При предклинични проучвания за безопасността, кандесартан е оказал ефект върху бъбреците и показателите на червените кръвни клетки след приложение във високи дози на мишки, плъхове, кучета и маймуни. Кандесартан предизвиква намаление на показателите на червените кръвни клетки (еритроцити, хемоглобин, хематокрит). Ефектите върху бъбреците (като интерстициален нефрит, тубулна дистензия, баз тубули; повишена плазмена концентрация на урея и креатинин) са от кандесартан, което може да се дължи на хипотензивния ефект, който води до промени в бъбречната перфузия. Освен това, кандесартан индуцира хиперплазия/хипертрофия на юкстагломерулните клетки. Счита се, че тези промени са причинени от фармакологичното действие на кандесартан. При терапевтични дози на кандесартан при хора хиперплазията/хипертрофията на бъбречните гломерулни клетки изглежда няма някакво значение.</w:t>
      </w:r>
    </w:p>
    <w:p w14:paraId="151B1991" w14:textId="77777777" w:rsidR="00DA6AE5" w:rsidRDefault="00DA6AE5" w:rsidP="00DA6AE5">
      <w:pPr>
        <w:spacing w:line="240" w:lineRule="auto"/>
        <w:rPr>
          <w:rFonts w:eastAsia="Times New Roman" w:cs="Arial"/>
          <w:color w:val="000000"/>
          <w:lang w:eastAsia="bg-BG"/>
        </w:rPr>
      </w:pPr>
    </w:p>
    <w:p w14:paraId="60AA50C9" w14:textId="7FD7CE87"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В предклиничните проучвания при нормотензивни новородени и млади плъхове, кандесартан е показал редукция на телесното тегло и теглото на сърцето. Както при възрастните животни, тези ефекти се смятат за резултат от фармакологичното действие на кандесартан. При най- ниската доза - 10 </w:t>
      </w:r>
      <w:r w:rsidRPr="00DA6AE5">
        <w:rPr>
          <w:rFonts w:eastAsia="Times New Roman" w:cs="Arial"/>
          <w:color w:val="000000"/>
          <w:lang w:val="en-US"/>
        </w:rPr>
        <w:t>mg</w:t>
      </w:r>
      <w:r w:rsidRPr="00DA6AE5">
        <w:rPr>
          <w:rFonts w:eastAsia="Times New Roman" w:cs="Arial"/>
          <w:color w:val="000000"/>
          <w:lang w:val="ru-RU"/>
        </w:rPr>
        <w:t>/</w:t>
      </w:r>
      <w:r w:rsidRPr="00DA6AE5">
        <w:rPr>
          <w:rFonts w:eastAsia="Times New Roman" w:cs="Arial"/>
          <w:color w:val="000000"/>
          <w:lang w:val="en-US"/>
        </w:rPr>
        <w:t>kg</w:t>
      </w:r>
      <w:r w:rsidRPr="00DA6AE5">
        <w:rPr>
          <w:rFonts w:eastAsia="Times New Roman" w:cs="Arial"/>
          <w:color w:val="000000"/>
          <w:lang w:val="ru-RU"/>
        </w:rPr>
        <w:t xml:space="preserve">, </w:t>
      </w:r>
      <w:r w:rsidRPr="00DA6AE5">
        <w:rPr>
          <w:rFonts w:eastAsia="Times New Roman" w:cs="Arial"/>
          <w:color w:val="000000"/>
          <w:lang w:eastAsia="bg-BG"/>
        </w:rPr>
        <w:t>експозицията на кандесартан е между 12 и 78 пъти по-висока от нивата при деца на възраст от 1 до &lt; 6 години, получавали кандесартан цилексетил в</w:t>
      </w:r>
      <w:r w:rsidRPr="00DA6AE5">
        <w:rPr>
          <w:rFonts w:eastAsia="Times New Roman" w:cs="Arial"/>
          <w:color w:val="000000"/>
          <w:lang w:val="ru-RU"/>
        </w:rPr>
        <w:t xml:space="preserve"> </w:t>
      </w:r>
      <w:r w:rsidRPr="00DA6AE5">
        <w:rPr>
          <w:rFonts w:eastAsia="Times New Roman" w:cs="Arial"/>
          <w:color w:val="000000"/>
          <w:lang w:eastAsia="bg-BG"/>
        </w:rPr>
        <w:t>доза</w:t>
      </w:r>
      <w:r w:rsidRPr="00DA6AE5">
        <w:rPr>
          <w:rFonts w:eastAsia="Times New Roman" w:cs="Arial"/>
          <w:color w:val="000000"/>
          <w:u w:val="single"/>
          <w:lang w:eastAsia="bg-BG"/>
        </w:rPr>
        <w:t xml:space="preserve"> </w:t>
      </w:r>
      <w:r w:rsidRPr="00DA6AE5">
        <w:rPr>
          <w:rFonts w:eastAsia="Times New Roman" w:cs="Arial"/>
          <w:color w:val="000000"/>
          <w:lang w:eastAsia="bg-BG"/>
        </w:rPr>
        <w:t xml:space="preserve">0,2 </w:t>
      </w:r>
      <w:r w:rsidRPr="00DA6AE5">
        <w:rPr>
          <w:rFonts w:eastAsia="Times New Roman" w:cs="Arial"/>
          <w:color w:val="000000"/>
          <w:lang w:val="en-US"/>
        </w:rPr>
        <w:t>mg</w:t>
      </w:r>
      <w:r w:rsidRPr="00DA6AE5">
        <w:rPr>
          <w:rFonts w:eastAsia="Times New Roman" w:cs="Arial"/>
          <w:color w:val="000000"/>
          <w:lang w:val="ru-RU"/>
        </w:rPr>
        <w:t>/</w:t>
      </w:r>
      <w:r w:rsidRPr="00DA6AE5">
        <w:rPr>
          <w:rFonts w:eastAsia="Times New Roman" w:cs="Arial"/>
          <w:color w:val="000000"/>
          <w:lang w:val="en-US"/>
        </w:rPr>
        <w:t>kg</w:t>
      </w:r>
      <w:r w:rsidRPr="00DA6AE5">
        <w:rPr>
          <w:rFonts w:eastAsia="Times New Roman" w:cs="Arial"/>
          <w:color w:val="000000"/>
          <w:lang w:val="ru-RU"/>
        </w:rPr>
        <w:t xml:space="preserve">, </w:t>
      </w:r>
      <w:r w:rsidRPr="00DA6AE5">
        <w:rPr>
          <w:rFonts w:eastAsia="Times New Roman" w:cs="Arial"/>
          <w:color w:val="000000"/>
          <w:lang w:eastAsia="bg-BG"/>
        </w:rPr>
        <w:t xml:space="preserve">и от 7 до 54 пъти по-висока от нивата при деца на възраст от 6 до &lt; 17 години получавали кандесартан цилексетил в доза от 16 </w:t>
      </w:r>
      <w:r w:rsidRPr="00DA6AE5">
        <w:rPr>
          <w:rFonts w:eastAsia="Times New Roman" w:cs="Arial"/>
          <w:color w:val="000000"/>
          <w:lang w:val="en-US"/>
        </w:rPr>
        <w:t>mg</w:t>
      </w:r>
      <w:r w:rsidRPr="00DA6AE5">
        <w:rPr>
          <w:rFonts w:eastAsia="Times New Roman" w:cs="Arial"/>
          <w:color w:val="000000"/>
          <w:lang w:val="ru-RU"/>
        </w:rPr>
        <w:t xml:space="preserve">. </w:t>
      </w:r>
      <w:r w:rsidRPr="00DA6AE5">
        <w:rPr>
          <w:rFonts w:eastAsia="Times New Roman" w:cs="Arial"/>
          <w:color w:val="000000"/>
          <w:lang w:eastAsia="bg-BG"/>
        </w:rPr>
        <w:t>Тъй като в тези проучвания не са намерени стойности, под които не се установява ефект, границата на безопасност по отношение на ефектите върху теглото на сърцето и клиничната значимост на тези резултати не е известна</w:t>
      </w:r>
    </w:p>
    <w:p w14:paraId="5201BE5B" w14:textId="50F18231" w:rsidR="00DA6AE5" w:rsidRDefault="00DA6AE5" w:rsidP="00DA6AE5">
      <w:pPr>
        <w:rPr>
          <w:rFonts w:eastAsia="Times New Roman" w:cs="Arial"/>
          <w:color w:val="000000"/>
          <w:lang w:eastAsia="bg-BG"/>
        </w:rPr>
      </w:pPr>
    </w:p>
    <w:p w14:paraId="69DCAD4A" w14:textId="5C1C7095" w:rsidR="00DA6AE5" w:rsidRDefault="00DA6AE5" w:rsidP="00DA6AE5">
      <w:pPr>
        <w:rPr>
          <w:rFonts w:eastAsia="Times New Roman" w:cs="Arial"/>
          <w:color w:val="000000"/>
          <w:lang w:eastAsia="bg-BG"/>
        </w:rPr>
      </w:pPr>
      <w:r w:rsidRPr="00DA6AE5">
        <w:rPr>
          <w:rFonts w:eastAsia="Times New Roman" w:cs="Arial"/>
          <w:color w:val="000000"/>
          <w:lang w:eastAsia="bg-BG"/>
        </w:rPr>
        <w:t>Наблюдавана е фетотоксичност при късна бременност (вж. точка 4.6).</w:t>
      </w:r>
    </w:p>
    <w:p w14:paraId="4A17FBB7" w14:textId="1520716D" w:rsidR="00DA6AE5" w:rsidRDefault="00DA6AE5" w:rsidP="00DA6AE5">
      <w:pPr>
        <w:rPr>
          <w:rFonts w:eastAsia="Times New Roman" w:cs="Arial"/>
          <w:color w:val="000000"/>
          <w:lang w:eastAsia="bg-BG"/>
        </w:rPr>
      </w:pPr>
    </w:p>
    <w:p w14:paraId="191B1577" w14:textId="77777777"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Данни от проучванията на мутагенността </w:t>
      </w:r>
      <w:r w:rsidRPr="00DA6AE5">
        <w:rPr>
          <w:rFonts w:eastAsia="Times New Roman" w:cs="Arial"/>
          <w:i/>
          <w:iCs/>
          <w:color w:val="000000"/>
          <w:lang w:val="en-US"/>
        </w:rPr>
        <w:t>in</w:t>
      </w:r>
      <w:r w:rsidRPr="00DA6AE5">
        <w:rPr>
          <w:rFonts w:eastAsia="Times New Roman" w:cs="Arial"/>
          <w:i/>
          <w:iCs/>
          <w:color w:val="000000"/>
          <w:lang w:val="ru-RU"/>
        </w:rPr>
        <w:t xml:space="preserve"> </w:t>
      </w:r>
      <w:r w:rsidRPr="00DA6AE5">
        <w:rPr>
          <w:rFonts w:eastAsia="Times New Roman" w:cs="Arial"/>
          <w:i/>
          <w:iCs/>
          <w:color w:val="000000"/>
          <w:lang w:val="en-US"/>
        </w:rPr>
        <w:t>vitro</w:t>
      </w:r>
      <w:r w:rsidRPr="00DA6AE5">
        <w:rPr>
          <w:rFonts w:eastAsia="Times New Roman" w:cs="Arial"/>
          <w:color w:val="000000"/>
          <w:lang w:val="ru-RU"/>
        </w:rPr>
        <w:t xml:space="preserve"> </w:t>
      </w:r>
      <w:r w:rsidRPr="00DA6AE5">
        <w:rPr>
          <w:rFonts w:eastAsia="Times New Roman" w:cs="Arial"/>
          <w:color w:val="000000"/>
          <w:lang w:eastAsia="bg-BG"/>
        </w:rPr>
        <w:t xml:space="preserve">и </w:t>
      </w:r>
      <w:r w:rsidRPr="00DA6AE5">
        <w:rPr>
          <w:rFonts w:eastAsia="Times New Roman" w:cs="Arial"/>
          <w:i/>
          <w:iCs/>
          <w:color w:val="000000"/>
          <w:lang w:val="en-US"/>
        </w:rPr>
        <w:t>in</w:t>
      </w:r>
      <w:r w:rsidRPr="00DA6AE5">
        <w:rPr>
          <w:rFonts w:eastAsia="Times New Roman" w:cs="Arial"/>
          <w:i/>
          <w:iCs/>
          <w:color w:val="000000"/>
          <w:lang w:val="ru-RU"/>
        </w:rPr>
        <w:t xml:space="preserve"> </w:t>
      </w:r>
      <w:r w:rsidRPr="00DA6AE5">
        <w:rPr>
          <w:rFonts w:eastAsia="Times New Roman" w:cs="Arial"/>
          <w:i/>
          <w:iCs/>
          <w:color w:val="000000"/>
          <w:lang w:val="en-US"/>
        </w:rPr>
        <w:t>vivo</w:t>
      </w:r>
      <w:r w:rsidRPr="00DA6AE5">
        <w:rPr>
          <w:rFonts w:eastAsia="Times New Roman" w:cs="Arial"/>
          <w:color w:val="000000"/>
          <w:lang w:val="ru-RU"/>
        </w:rPr>
        <w:t xml:space="preserve"> </w:t>
      </w:r>
      <w:r w:rsidRPr="00DA6AE5">
        <w:rPr>
          <w:rFonts w:eastAsia="Times New Roman" w:cs="Arial"/>
          <w:color w:val="000000"/>
          <w:lang w:eastAsia="bg-BG"/>
        </w:rPr>
        <w:t>показват, че кандесартан няма кластогенна и мутагенна активност в условията на клинична употреба.</w:t>
      </w:r>
    </w:p>
    <w:p w14:paraId="4BD9D86E" w14:textId="77777777" w:rsidR="00DA6AE5" w:rsidRDefault="00DA6AE5" w:rsidP="00DA6AE5">
      <w:pPr>
        <w:spacing w:line="240" w:lineRule="auto"/>
        <w:rPr>
          <w:rFonts w:eastAsia="Times New Roman" w:cs="Arial"/>
          <w:color w:val="000000"/>
          <w:lang w:eastAsia="bg-BG"/>
        </w:rPr>
      </w:pPr>
    </w:p>
    <w:p w14:paraId="3F13286F" w14:textId="213D685F" w:rsidR="00DA6AE5" w:rsidRPr="00DA6AE5" w:rsidRDefault="00DA6AE5" w:rsidP="00DA6AE5">
      <w:pPr>
        <w:spacing w:line="240" w:lineRule="auto"/>
        <w:rPr>
          <w:rFonts w:eastAsia="Times New Roman" w:cs="Arial"/>
        </w:rPr>
      </w:pPr>
      <w:r w:rsidRPr="00DA6AE5">
        <w:rPr>
          <w:rFonts w:eastAsia="Times New Roman" w:cs="Arial"/>
          <w:color w:val="000000"/>
          <w:lang w:eastAsia="bg-BG"/>
        </w:rPr>
        <w:t>Няма данни за канцерогенност.</w:t>
      </w:r>
    </w:p>
    <w:p w14:paraId="5C77E62D" w14:textId="77777777" w:rsidR="00DA6AE5" w:rsidRDefault="00DA6AE5" w:rsidP="00DA6AE5">
      <w:pPr>
        <w:spacing w:line="240" w:lineRule="auto"/>
        <w:rPr>
          <w:rFonts w:eastAsia="Times New Roman" w:cs="Arial"/>
          <w:color w:val="000000"/>
          <w:lang w:eastAsia="bg-BG"/>
        </w:rPr>
      </w:pPr>
    </w:p>
    <w:p w14:paraId="5D02F89F" w14:textId="7F50DE95"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Ренин-ангиотензин-алдостероновата система играе критична роля в развитието на бъбреците </w:t>
      </w:r>
      <w:r w:rsidRPr="00DA6AE5">
        <w:rPr>
          <w:rFonts w:eastAsia="Times New Roman" w:cs="Arial"/>
          <w:i/>
          <w:iCs/>
          <w:color w:val="000000"/>
          <w:lang w:val="en-US"/>
        </w:rPr>
        <w:t>in</w:t>
      </w:r>
      <w:r w:rsidRPr="00DA6AE5">
        <w:rPr>
          <w:rFonts w:eastAsia="Times New Roman" w:cs="Arial"/>
          <w:i/>
          <w:iCs/>
          <w:color w:val="000000"/>
          <w:lang w:val="ru-RU"/>
        </w:rPr>
        <w:t xml:space="preserve"> </w:t>
      </w:r>
      <w:r w:rsidRPr="00DA6AE5">
        <w:rPr>
          <w:rFonts w:eastAsia="Times New Roman" w:cs="Arial"/>
          <w:i/>
          <w:iCs/>
          <w:color w:val="000000"/>
          <w:lang w:val="en-US"/>
        </w:rPr>
        <w:t>utero</w:t>
      </w:r>
      <w:r w:rsidRPr="00DA6AE5">
        <w:rPr>
          <w:rFonts w:eastAsia="Times New Roman" w:cs="Arial"/>
          <w:i/>
          <w:iCs/>
          <w:color w:val="000000"/>
          <w:lang w:val="ru-RU"/>
        </w:rPr>
        <w:t>.</w:t>
      </w:r>
      <w:r w:rsidRPr="00DA6AE5">
        <w:rPr>
          <w:rFonts w:eastAsia="Times New Roman" w:cs="Arial"/>
          <w:color w:val="000000"/>
          <w:lang w:val="ru-RU"/>
        </w:rPr>
        <w:t xml:space="preserve"> </w:t>
      </w:r>
      <w:r w:rsidRPr="00DA6AE5">
        <w:rPr>
          <w:rFonts w:eastAsia="Times New Roman" w:cs="Arial"/>
          <w:color w:val="000000"/>
          <w:lang w:eastAsia="bg-BG"/>
        </w:rPr>
        <w:t>Доказано е, че блокирането на ренин-ангиотензин-алдостероновата система при много млади мишки води до нарушено развитие на бъбреците. Приложението на медикаменти, които действат директно върху ренин-ангиотензин-алдостероновата система може да повлияе нормалното развитие на бъбреците. Следователно децата на възраст под 1 година не трябва да приемат Карбис (вж. точка 4.3).</w:t>
      </w:r>
    </w:p>
    <w:p w14:paraId="18AC2330" w14:textId="77777777" w:rsidR="00DA6AE5" w:rsidRPr="00DA6AE5" w:rsidRDefault="00DA6AE5" w:rsidP="00DA6AE5">
      <w:pPr>
        <w:rPr>
          <w:rFonts w:cs="Arial"/>
        </w:rPr>
      </w:pPr>
    </w:p>
    <w:p w14:paraId="1BA6531D" w14:textId="7EC6237C" w:rsidR="00B6672E" w:rsidRDefault="002C50EE" w:rsidP="00936AD0">
      <w:pPr>
        <w:pStyle w:val="Heading1"/>
      </w:pPr>
      <w:r>
        <w:t>7. ПРИТЕЖАТЕЛ НА РАЗРЕШЕНИЕТО ЗА УПОТРЕБА</w:t>
      </w:r>
    </w:p>
    <w:p w14:paraId="124C55C5" w14:textId="78AA7832" w:rsidR="00DA6AE5" w:rsidRDefault="00DA6AE5" w:rsidP="00DA6AE5"/>
    <w:p w14:paraId="3ED212D8" w14:textId="64FCB46A" w:rsidR="00DA6AE5" w:rsidRDefault="00DA6AE5" w:rsidP="00DA6AE5">
      <w:r>
        <w:lastRenderedPageBreak/>
        <w:t xml:space="preserve">KRKA, d.d., Novo mesto, Smarjeska cesta 6. 8501 Novo mesto, </w:t>
      </w:r>
      <w:r>
        <w:rPr>
          <w:lang w:eastAsia="bg-BG"/>
        </w:rPr>
        <w:t>Словения</w:t>
      </w:r>
    </w:p>
    <w:p w14:paraId="60BBF2FA" w14:textId="77777777" w:rsidR="00DA6AE5" w:rsidRPr="00DA6AE5" w:rsidRDefault="00DA6AE5" w:rsidP="00DA6AE5"/>
    <w:p w14:paraId="508F3A54" w14:textId="25655662" w:rsidR="00B6672E" w:rsidRDefault="00936AD0" w:rsidP="00936AD0">
      <w:pPr>
        <w:pStyle w:val="Heading1"/>
      </w:pPr>
      <w:r>
        <w:t>8.</w:t>
      </w:r>
      <w:r w:rsidR="002C50EE">
        <w:t>НОМЕР НА РАЗРЕШЕНИЕТО ЗА УПОТРЕБА</w:t>
      </w:r>
    </w:p>
    <w:p w14:paraId="3BAFC737" w14:textId="4DA22A16" w:rsidR="00DA6AE5" w:rsidRDefault="00DA6AE5" w:rsidP="00DA6AE5"/>
    <w:p w14:paraId="1908D0F7" w14:textId="77777777" w:rsidR="00DA6AE5" w:rsidRPr="00DA6AE5" w:rsidRDefault="00DA6AE5" w:rsidP="00DA6AE5">
      <w:pPr>
        <w:rPr>
          <w:sz w:val="24"/>
          <w:szCs w:val="24"/>
        </w:rPr>
      </w:pPr>
      <w:r w:rsidRPr="00DA6AE5">
        <w:rPr>
          <w:lang w:eastAsia="bg-BG"/>
        </w:rPr>
        <w:t>20100139</w:t>
      </w:r>
    </w:p>
    <w:p w14:paraId="02454304" w14:textId="77777777" w:rsidR="00DA6AE5" w:rsidRPr="00DA6AE5" w:rsidRDefault="00DA6AE5" w:rsidP="00DA6AE5">
      <w:pPr>
        <w:rPr>
          <w:sz w:val="24"/>
          <w:szCs w:val="24"/>
        </w:rPr>
      </w:pPr>
      <w:r w:rsidRPr="00DA6AE5">
        <w:rPr>
          <w:lang w:eastAsia="bg-BG"/>
        </w:rPr>
        <w:t>20100140</w:t>
      </w:r>
    </w:p>
    <w:p w14:paraId="3628952B" w14:textId="77777777" w:rsidR="00DA6AE5" w:rsidRPr="00DA6AE5" w:rsidRDefault="00DA6AE5" w:rsidP="00DA6AE5">
      <w:pPr>
        <w:rPr>
          <w:sz w:val="24"/>
          <w:szCs w:val="24"/>
        </w:rPr>
      </w:pPr>
      <w:r w:rsidRPr="00DA6AE5">
        <w:rPr>
          <w:lang w:eastAsia="bg-BG"/>
        </w:rPr>
        <w:t>20100141</w:t>
      </w:r>
    </w:p>
    <w:p w14:paraId="61357731" w14:textId="4DEF6C9D" w:rsidR="00DA6AE5" w:rsidRDefault="00DA6AE5" w:rsidP="00DA6AE5">
      <w:r w:rsidRPr="00DA6AE5">
        <w:rPr>
          <w:lang w:eastAsia="bg-BG"/>
        </w:rPr>
        <w:t>20100142</w:t>
      </w:r>
    </w:p>
    <w:p w14:paraId="309253ED" w14:textId="77777777" w:rsidR="00DA6AE5" w:rsidRPr="00DA6AE5" w:rsidRDefault="00DA6AE5" w:rsidP="00DA6AE5"/>
    <w:p w14:paraId="2CCB5832" w14:textId="75269348" w:rsidR="007C605B" w:rsidRDefault="002C50EE" w:rsidP="007C605B">
      <w:pPr>
        <w:pStyle w:val="Heading1"/>
      </w:pPr>
      <w:r>
        <w:t>9. ДАТА НА ПЪРВО РАЗРЕШАВАНЕ/ПОДНОВЯВАНЕ НА РАЗРЕШЕНИЕТО ЗА УПОТРЕБА</w:t>
      </w:r>
    </w:p>
    <w:p w14:paraId="63ED1F99" w14:textId="1AE226E5" w:rsidR="00DA6AE5" w:rsidRDefault="00DA6AE5" w:rsidP="00DA6AE5"/>
    <w:p w14:paraId="36CD67B7" w14:textId="77777777" w:rsidR="00DA6AE5" w:rsidRPr="00DA6AE5" w:rsidRDefault="00DA6AE5" w:rsidP="00DA6AE5">
      <w:pPr>
        <w:rPr>
          <w:sz w:val="24"/>
          <w:szCs w:val="24"/>
        </w:rPr>
      </w:pPr>
      <w:r w:rsidRPr="00DA6AE5">
        <w:rPr>
          <w:lang w:eastAsia="bg-BG"/>
        </w:rPr>
        <w:t>Дата на първо разрешаване: 05.03.2010 год.</w:t>
      </w:r>
    </w:p>
    <w:p w14:paraId="01109E71" w14:textId="77777777" w:rsidR="00DA6AE5" w:rsidRPr="00DA6AE5" w:rsidRDefault="00DA6AE5" w:rsidP="00DA6AE5">
      <w:pPr>
        <w:rPr>
          <w:sz w:val="24"/>
          <w:szCs w:val="24"/>
        </w:rPr>
      </w:pPr>
      <w:r w:rsidRPr="00DA6AE5">
        <w:rPr>
          <w:lang w:eastAsia="bg-BG"/>
        </w:rPr>
        <w:t>Дата на последно подновяване: 11.05.2017 год.</w:t>
      </w:r>
    </w:p>
    <w:p w14:paraId="70FAF1C2" w14:textId="77777777" w:rsidR="00DA6AE5" w:rsidRPr="00DA6AE5" w:rsidRDefault="00DA6AE5" w:rsidP="00DA6AE5"/>
    <w:p w14:paraId="0E9D0119" w14:textId="0245C6D7" w:rsidR="002C50EE" w:rsidRDefault="002C50EE" w:rsidP="002C50EE">
      <w:pPr>
        <w:pStyle w:val="Heading1"/>
      </w:pPr>
      <w:r>
        <w:t>10. ДАТА НА АКТУАЛИЗИРАНЕ НА ТЕКСТА</w:t>
      </w:r>
    </w:p>
    <w:p w14:paraId="43FB38A2" w14:textId="689F8F04" w:rsidR="007C605B" w:rsidRPr="003E3126" w:rsidRDefault="007C605B" w:rsidP="00B6672E">
      <w:bookmarkStart w:id="1" w:name="_GoBack"/>
      <w:bookmarkEnd w:id="0"/>
      <w:bookmarkEnd w:id="1"/>
    </w:p>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4F52316"/>
    <w:multiLevelType w:val="hybridMultilevel"/>
    <w:tmpl w:val="93CA533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4D0D9E"/>
    <w:multiLevelType w:val="hybridMultilevel"/>
    <w:tmpl w:val="4E6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EC16F5"/>
    <w:multiLevelType w:val="hybridMultilevel"/>
    <w:tmpl w:val="E5EA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3"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2A815714"/>
    <w:multiLevelType w:val="hybridMultilevel"/>
    <w:tmpl w:val="B59C95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9"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4"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30"/>
  </w:num>
  <w:num w:numId="2">
    <w:abstractNumId w:val="0"/>
  </w:num>
  <w:num w:numId="3">
    <w:abstractNumId w:val="16"/>
  </w:num>
  <w:num w:numId="4">
    <w:abstractNumId w:val="3"/>
  </w:num>
  <w:num w:numId="5">
    <w:abstractNumId w:val="1"/>
  </w:num>
  <w:num w:numId="6">
    <w:abstractNumId w:val="19"/>
  </w:num>
  <w:num w:numId="7">
    <w:abstractNumId w:val="13"/>
  </w:num>
  <w:num w:numId="8">
    <w:abstractNumId w:val="18"/>
  </w:num>
  <w:num w:numId="9">
    <w:abstractNumId w:val="2"/>
  </w:num>
  <w:num w:numId="10">
    <w:abstractNumId w:val="4"/>
  </w:num>
  <w:num w:numId="11">
    <w:abstractNumId w:val="33"/>
  </w:num>
  <w:num w:numId="12">
    <w:abstractNumId w:val="17"/>
  </w:num>
  <w:num w:numId="13">
    <w:abstractNumId w:val="22"/>
  </w:num>
  <w:num w:numId="14">
    <w:abstractNumId w:val="15"/>
  </w:num>
  <w:num w:numId="15">
    <w:abstractNumId w:val="32"/>
  </w:num>
  <w:num w:numId="16">
    <w:abstractNumId w:val="12"/>
  </w:num>
  <w:num w:numId="17">
    <w:abstractNumId w:val="27"/>
  </w:num>
  <w:num w:numId="18">
    <w:abstractNumId w:val="9"/>
  </w:num>
  <w:num w:numId="19">
    <w:abstractNumId w:val="29"/>
  </w:num>
  <w:num w:numId="20">
    <w:abstractNumId w:val="26"/>
  </w:num>
  <w:num w:numId="21">
    <w:abstractNumId w:val="20"/>
  </w:num>
  <w:num w:numId="22">
    <w:abstractNumId w:val="28"/>
  </w:num>
  <w:num w:numId="23">
    <w:abstractNumId w:val="21"/>
  </w:num>
  <w:num w:numId="24">
    <w:abstractNumId w:val="10"/>
  </w:num>
  <w:num w:numId="25">
    <w:abstractNumId w:val="25"/>
  </w:num>
  <w:num w:numId="26">
    <w:abstractNumId w:val="24"/>
  </w:num>
  <w:num w:numId="27">
    <w:abstractNumId w:val="34"/>
  </w:num>
  <w:num w:numId="28">
    <w:abstractNumId w:val="6"/>
  </w:num>
  <w:num w:numId="29">
    <w:abstractNumId w:val="23"/>
  </w:num>
  <w:num w:numId="30">
    <w:abstractNumId w:val="37"/>
  </w:num>
  <w:num w:numId="31">
    <w:abstractNumId w:val="5"/>
  </w:num>
  <w:num w:numId="32">
    <w:abstractNumId w:val="36"/>
  </w:num>
  <w:num w:numId="33">
    <w:abstractNumId w:val="31"/>
  </w:num>
  <w:num w:numId="34">
    <w:abstractNumId w:val="35"/>
  </w:num>
  <w:num w:numId="35">
    <w:abstractNumId w:val="8"/>
  </w:num>
  <w:num w:numId="36">
    <w:abstractNumId w:val="11"/>
  </w:num>
  <w:num w:numId="37">
    <w:abstractNumId w:val="7"/>
  </w:num>
  <w:num w:numId="3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85A46"/>
    <w:rsid w:val="001915B6"/>
    <w:rsid w:val="001D1B23"/>
    <w:rsid w:val="002B3C38"/>
    <w:rsid w:val="002B4DBB"/>
    <w:rsid w:val="002C50EE"/>
    <w:rsid w:val="00340A0A"/>
    <w:rsid w:val="003765DC"/>
    <w:rsid w:val="00395555"/>
    <w:rsid w:val="003E3126"/>
    <w:rsid w:val="00426E5F"/>
    <w:rsid w:val="004A448E"/>
    <w:rsid w:val="004D4D6B"/>
    <w:rsid w:val="004F1CE7"/>
    <w:rsid w:val="004F498A"/>
    <w:rsid w:val="00517A5B"/>
    <w:rsid w:val="00593A00"/>
    <w:rsid w:val="005A66D9"/>
    <w:rsid w:val="00605BCA"/>
    <w:rsid w:val="006158A1"/>
    <w:rsid w:val="00617B1F"/>
    <w:rsid w:val="00672487"/>
    <w:rsid w:val="00672600"/>
    <w:rsid w:val="00681D4A"/>
    <w:rsid w:val="00685882"/>
    <w:rsid w:val="007122AD"/>
    <w:rsid w:val="0075649D"/>
    <w:rsid w:val="007C605B"/>
    <w:rsid w:val="007F34F6"/>
    <w:rsid w:val="008134C8"/>
    <w:rsid w:val="00814073"/>
    <w:rsid w:val="00826F0D"/>
    <w:rsid w:val="00893B92"/>
    <w:rsid w:val="008A6AF2"/>
    <w:rsid w:val="008C70A2"/>
    <w:rsid w:val="00936AD0"/>
    <w:rsid w:val="009773E4"/>
    <w:rsid w:val="009B171C"/>
    <w:rsid w:val="009F1313"/>
    <w:rsid w:val="00A20351"/>
    <w:rsid w:val="00A65A81"/>
    <w:rsid w:val="00AA23EC"/>
    <w:rsid w:val="00AC63CE"/>
    <w:rsid w:val="00AE2107"/>
    <w:rsid w:val="00B26DE5"/>
    <w:rsid w:val="00B275A8"/>
    <w:rsid w:val="00B6672E"/>
    <w:rsid w:val="00BF2600"/>
    <w:rsid w:val="00C0049F"/>
    <w:rsid w:val="00C07B84"/>
    <w:rsid w:val="00C33464"/>
    <w:rsid w:val="00C40420"/>
    <w:rsid w:val="00C809A7"/>
    <w:rsid w:val="00C83063"/>
    <w:rsid w:val="00C87E90"/>
    <w:rsid w:val="00CA1B57"/>
    <w:rsid w:val="00CF77F7"/>
    <w:rsid w:val="00D86297"/>
    <w:rsid w:val="00DA6AE5"/>
    <w:rsid w:val="00DD466D"/>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7429</Words>
  <Characters>42350</Characters>
  <Application>Microsoft Office Word</Application>
  <DocSecurity>0</DocSecurity>
  <Lines>352</Lines>
  <Paragraphs>99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49680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2</cp:revision>
  <dcterms:created xsi:type="dcterms:W3CDTF">2022-09-03T17:03:00Z</dcterms:created>
  <dcterms:modified xsi:type="dcterms:W3CDTF">2022-09-03T17:03:00Z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