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3ED13F50" w14:textId="77777777" w:rsidR="00031092" w:rsidRPr="00031092" w:rsidRDefault="00031092" w:rsidP="0091385D">
      <w:pPr>
        <w:rPr>
          <w:rFonts w:cs="Arial"/>
          <w:lang w:eastAsia="bg-BG"/>
        </w:rPr>
      </w:pPr>
      <w:r w:rsidRPr="00031092">
        <w:rPr>
          <w:rFonts w:cs="Arial"/>
          <w:lang w:eastAsia="bg-BG"/>
        </w:rPr>
        <w:t xml:space="preserve">Кетопрофен-Чайкафарма 100 </w:t>
      </w:r>
      <w:r w:rsidRPr="00031092">
        <w:rPr>
          <w:rFonts w:cs="Arial"/>
        </w:rPr>
        <w:t xml:space="preserve">mg/2 ml </w:t>
      </w:r>
      <w:r w:rsidRPr="00031092">
        <w:rPr>
          <w:rFonts w:cs="Arial"/>
          <w:lang w:eastAsia="bg-BG"/>
        </w:rPr>
        <w:t xml:space="preserve">инжекционен разтвор </w:t>
      </w:r>
    </w:p>
    <w:p w14:paraId="69AC8148" w14:textId="0DA645D2" w:rsidR="00EC41ED" w:rsidRPr="00031092" w:rsidRDefault="00031092" w:rsidP="0091385D">
      <w:pPr>
        <w:rPr>
          <w:rFonts w:cs="Arial"/>
        </w:rPr>
      </w:pPr>
      <w:r w:rsidRPr="00031092">
        <w:rPr>
          <w:rFonts w:cs="Arial"/>
        </w:rPr>
        <w:t xml:space="preserve">Ketoprofen-Tchaikapharma </w:t>
      </w:r>
      <w:r w:rsidRPr="00031092">
        <w:rPr>
          <w:rFonts w:cs="Arial"/>
          <w:lang w:eastAsia="bg-BG"/>
        </w:rPr>
        <w:t xml:space="preserve">100 </w:t>
      </w:r>
      <w:r w:rsidRPr="00031092">
        <w:rPr>
          <w:rFonts w:cs="Arial"/>
        </w:rPr>
        <w:t>mg/2 ml solution for injection</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659ADD49" w14:textId="77777777" w:rsidR="00031092" w:rsidRPr="00031092" w:rsidRDefault="00031092" w:rsidP="00031092">
      <w:pPr>
        <w:spacing w:line="240" w:lineRule="auto"/>
        <w:rPr>
          <w:rFonts w:eastAsia="Times New Roman" w:cs="Arial"/>
          <w:lang w:eastAsia="bg-BG"/>
        </w:rPr>
      </w:pPr>
      <w:r w:rsidRPr="00031092">
        <w:rPr>
          <w:rFonts w:eastAsia="Times New Roman" w:cs="Arial"/>
          <w:color w:val="000000"/>
          <w:lang w:eastAsia="bg-BG"/>
        </w:rPr>
        <w:t xml:space="preserve">Всяка ампула от 2 </w:t>
      </w:r>
      <w:r w:rsidRPr="00031092">
        <w:rPr>
          <w:rFonts w:eastAsia="Times New Roman" w:cs="Arial"/>
          <w:color w:val="000000"/>
          <w:lang w:val="en-US"/>
        </w:rPr>
        <w:t xml:space="preserve">ml </w:t>
      </w:r>
      <w:r w:rsidRPr="00031092">
        <w:rPr>
          <w:rFonts w:eastAsia="Times New Roman" w:cs="Arial"/>
          <w:color w:val="000000"/>
          <w:lang w:eastAsia="bg-BG"/>
        </w:rPr>
        <w:t xml:space="preserve">съдържа 100 </w:t>
      </w:r>
      <w:r w:rsidRPr="00031092">
        <w:rPr>
          <w:rFonts w:eastAsia="Times New Roman" w:cs="Arial"/>
          <w:color w:val="000000"/>
          <w:lang w:val="en-US"/>
        </w:rPr>
        <w:t xml:space="preserve">mg </w:t>
      </w:r>
      <w:r w:rsidRPr="00031092">
        <w:rPr>
          <w:rFonts w:eastAsia="Times New Roman" w:cs="Arial"/>
          <w:color w:val="000000"/>
          <w:lang w:eastAsia="bg-BG"/>
        </w:rPr>
        <w:t xml:space="preserve">кетопрофен </w:t>
      </w:r>
      <w:r w:rsidRPr="00031092">
        <w:rPr>
          <w:rFonts w:eastAsia="Times New Roman" w:cs="Arial"/>
          <w:i/>
          <w:iCs/>
          <w:color w:val="000000"/>
          <w:lang w:val="en-US"/>
        </w:rPr>
        <w:t>(</w:t>
      </w:r>
      <w:proofErr w:type="spellStart"/>
      <w:r w:rsidRPr="00031092">
        <w:rPr>
          <w:rFonts w:eastAsia="Times New Roman" w:cs="Arial"/>
          <w:i/>
          <w:iCs/>
          <w:color w:val="000000"/>
          <w:lang w:val="en-US"/>
        </w:rPr>
        <w:t>ketoproferi</w:t>
      </w:r>
      <w:proofErr w:type="spellEnd"/>
      <w:r w:rsidRPr="00031092">
        <w:rPr>
          <w:rFonts w:eastAsia="Times New Roman" w:cs="Arial"/>
          <w:i/>
          <w:iCs/>
          <w:color w:val="000000"/>
          <w:lang w:val="en-US"/>
        </w:rPr>
        <w:t>).</w:t>
      </w:r>
    </w:p>
    <w:p w14:paraId="0410A3EB" w14:textId="77777777" w:rsidR="00031092" w:rsidRPr="00031092" w:rsidRDefault="00031092" w:rsidP="00031092">
      <w:pPr>
        <w:rPr>
          <w:rFonts w:eastAsia="Times New Roman" w:cs="Arial"/>
          <w:color w:val="000000"/>
          <w:lang w:eastAsia="bg-BG"/>
        </w:rPr>
      </w:pPr>
    </w:p>
    <w:p w14:paraId="54632B43" w14:textId="7BC307D6" w:rsidR="00EC41ED" w:rsidRPr="00031092" w:rsidRDefault="00031092" w:rsidP="00031092">
      <w:pPr>
        <w:rPr>
          <w:rFonts w:cs="Arial"/>
        </w:rPr>
      </w:pPr>
      <w:r w:rsidRPr="00031092">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743244F0" w14:textId="602719BE" w:rsidR="00EC41ED" w:rsidRPr="00031092" w:rsidRDefault="00031092" w:rsidP="0091385D">
      <w:pPr>
        <w:rPr>
          <w:rFonts w:cs="Arial"/>
        </w:rPr>
      </w:pPr>
      <w:r w:rsidRPr="00031092">
        <w:rPr>
          <w:rFonts w:cs="Arial"/>
        </w:rPr>
        <w:t>Инжекционен разтвор.</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69348018" w14:textId="77777777" w:rsidR="00031092" w:rsidRPr="00031092" w:rsidRDefault="00031092" w:rsidP="00031092">
      <w:pPr>
        <w:spacing w:line="240" w:lineRule="auto"/>
        <w:rPr>
          <w:rFonts w:eastAsia="Times New Roman" w:cs="Arial"/>
          <w:lang w:eastAsia="bg-BG"/>
        </w:rPr>
      </w:pPr>
      <w:r w:rsidRPr="00031092">
        <w:rPr>
          <w:rFonts w:eastAsia="Times New Roman" w:cs="Arial"/>
          <w:color w:val="000000"/>
          <w:lang w:eastAsia="bg-BG"/>
        </w:rPr>
        <w:t>Кетопрофен е нестероидно противовъзпалително лекарство с противовъзпалителен, аналгетичен и антипиретичен ефект. Прилага се за облекчаване на болката при някои болкови синдроми и за лечение на възпалителни, дегенеративни и метаболитни ревматични заболявалия.</w:t>
      </w:r>
    </w:p>
    <w:p w14:paraId="1E231387" w14:textId="77777777" w:rsidR="00031092" w:rsidRPr="00031092" w:rsidRDefault="00031092" w:rsidP="00031092">
      <w:pPr>
        <w:spacing w:line="240" w:lineRule="auto"/>
        <w:rPr>
          <w:rFonts w:eastAsia="Times New Roman" w:cs="Arial"/>
          <w:lang w:eastAsia="bg-BG"/>
        </w:rPr>
      </w:pPr>
      <w:r w:rsidRPr="00031092">
        <w:rPr>
          <w:rFonts w:eastAsia="Times New Roman" w:cs="Arial"/>
          <w:color w:val="000000"/>
          <w:lang w:eastAsia="bg-BG"/>
        </w:rPr>
        <w:t xml:space="preserve">Показанията за употребата на Кетопрофен-Чайкафарма 100 </w:t>
      </w:r>
      <w:r w:rsidRPr="00031092">
        <w:rPr>
          <w:rFonts w:eastAsia="Times New Roman" w:cs="Arial"/>
          <w:color w:val="000000"/>
          <w:lang w:val="en-US"/>
        </w:rPr>
        <w:t xml:space="preserve">mg/2 ml </w:t>
      </w:r>
      <w:r w:rsidRPr="00031092">
        <w:rPr>
          <w:rFonts w:eastAsia="Times New Roman" w:cs="Arial"/>
          <w:color w:val="000000"/>
          <w:lang w:eastAsia="bg-BG"/>
        </w:rPr>
        <w:t>инжекционен разтвор са:</w:t>
      </w:r>
    </w:p>
    <w:p w14:paraId="2A585136" w14:textId="77777777" w:rsidR="00031092" w:rsidRPr="00031092" w:rsidRDefault="00031092" w:rsidP="00031092">
      <w:pPr>
        <w:spacing w:line="240" w:lineRule="auto"/>
        <w:rPr>
          <w:rFonts w:eastAsia="Times New Roman" w:cs="Arial"/>
          <w:i/>
          <w:iCs/>
          <w:color w:val="000000"/>
          <w:lang w:eastAsia="bg-BG"/>
        </w:rPr>
      </w:pPr>
    </w:p>
    <w:p w14:paraId="42B0F0B8" w14:textId="75D5E8FE" w:rsidR="00031092" w:rsidRPr="00031092" w:rsidRDefault="00031092" w:rsidP="00031092">
      <w:pPr>
        <w:spacing w:line="240" w:lineRule="auto"/>
        <w:rPr>
          <w:rFonts w:eastAsia="Times New Roman" w:cs="Arial"/>
          <w:lang w:eastAsia="bg-BG"/>
        </w:rPr>
      </w:pPr>
      <w:r w:rsidRPr="00031092">
        <w:rPr>
          <w:rFonts w:eastAsia="Times New Roman" w:cs="Arial"/>
          <w:i/>
          <w:iCs/>
          <w:color w:val="000000"/>
          <w:lang w:eastAsia="bg-BG"/>
        </w:rPr>
        <w:t>Болка:</w:t>
      </w:r>
    </w:p>
    <w:p w14:paraId="1E36601B" w14:textId="77777777" w:rsidR="00031092" w:rsidRPr="00031092" w:rsidRDefault="00031092" w:rsidP="00031092">
      <w:pPr>
        <w:pStyle w:val="ListParagraph"/>
        <w:numPr>
          <w:ilvl w:val="0"/>
          <w:numId w:val="36"/>
        </w:numPr>
        <w:spacing w:line="240" w:lineRule="auto"/>
        <w:rPr>
          <w:rFonts w:eastAsia="Times New Roman" w:cs="Arial"/>
          <w:lang w:eastAsia="bg-BG"/>
        </w:rPr>
      </w:pPr>
      <w:r w:rsidRPr="00031092">
        <w:rPr>
          <w:rFonts w:eastAsia="Times New Roman" w:cs="Arial"/>
          <w:color w:val="000000"/>
          <w:lang w:eastAsia="bg-BG"/>
        </w:rPr>
        <w:t>постоперативна болка;</w:t>
      </w:r>
    </w:p>
    <w:p w14:paraId="19D71E06" w14:textId="77777777" w:rsidR="00031092" w:rsidRPr="00031092" w:rsidRDefault="00031092" w:rsidP="00031092">
      <w:pPr>
        <w:pStyle w:val="ListParagraph"/>
        <w:numPr>
          <w:ilvl w:val="0"/>
          <w:numId w:val="36"/>
        </w:numPr>
        <w:spacing w:line="240" w:lineRule="auto"/>
        <w:rPr>
          <w:rFonts w:eastAsia="Times New Roman" w:cs="Arial"/>
          <w:lang w:eastAsia="bg-BG"/>
        </w:rPr>
      </w:pPr>
      <w:r w:rsidRPr="00031092">
        <w:rPr>
          <w:rFonts w:eastAsia="Times New Roman" w:cs="Arial"/>
          <w:color w:val="000000"/>
          <w:lang w:eastAsia="bg-BG"/>
        </w:rPr>
        <w:t>болезнена менструация;</w:t>
      </w:r>
    </w:p>
    <w:p w14:paraId="31339E83" w14:textId="77777777" w:rsidR="00031092" w:rsidRPr="00031092" w:rsidRDefault="00031092" w:rsidP="00031092">
      <w:pPr>
        <w:pStyle w:val="ListParagraph"/>
        <w:numPr>
          <w:ilvl w:val="0"/>
          <w:numId w:val="36"/>
        </w:numPr>
        <w:spacing w:line="240" w:lineRule="auto"/>
        <w:rPr>
          <w:rFonts w:eastAsia="Times New Roman" w:cs="Arial"/>
          <w:lang w:eastAsia="bg-BG"/>
        </w:rPr>
      </w:pPr>
      <w:r w:rsidRPr="00031092">
        <w:rPr>
          <w:rFonts w:eastAsia="Times New Roman" w:cs="Arial"/>
          <w:color w:val="000000"/>
          <w:lang w:eastAsia="bg-BG"/>
        </w:rPr>
        <w:t>болка в резултат на костни туморни метастази;</w:t>
      </w:r>
    </w:p>
    <w:p w14:paraId="09CC863B" w14:textId="60D6F2F6" w:rsidR="00031092" w:rsidRPr="00031092" w:rsidRDefault="00031092" w:rsidP="00031092">
      <w:pPr>
        <w:pStyle w:val="ListParagraph"/>
        <w:numPr>
          <w:ilvl w:val="0"/>
          <w:numId w:val="36"/>
        </w:numPr>
        <w:spacing w:line="240" w:lineRule="auto"/>
        <w:rPr>
          <w:rFonts w:eastAsia="Times New Roman" w:cs="Arial"/>
          <w:lang w:eastAsia="bg-BG"/>
        </w:rPr>
      </w:pPr>
      <w:r w:rsidRPr="00031092">
        <w:rPr>
          <w:rFonts w:eastAsia="Times New Roman" w:cs="Arial"/>
          <w:color w:val="000000"/>
          <w:lang w:eastAsia="bg-BG"/>
        </w:rPr>
        <w:t>посттравматична болка.</w:t>
      </w:r>
    </w:p>
    <w:p w14:paraId="64A0547B" w14:textId="77777777" w:rsidR="00031092" w:rsidRPr="00031092" w:rsidRDefault="00031092" w:rsidP="00031092">
      <w:pPr>
        <w:spacing w:line="240" w:lineRule="auto"/>
        <w:rPr>
          <w:rFonts w:eastAsia="Times New Roman" w:cs="Arial"/>
          <w:i/>
          <w:iCs/>
          <w:color w:val="000000"/>
          <w:lang w:eastAsia="bg-BG"/>
        </w:rPr>
      </w:pPr>
    </w:p>
    <w:p w14:paraId="06462C2D" w14:textId="58342C9C" w:rsidR="00031092" w:rsidRPr="00031092" w:rsidRDefault="00031092" w:rsidP="00031092">
      <w:pPr>
        <w:spacing w:line="240" w:lineRule="auto"/>
        <w:rPr>
          <w:rFonts w:eastAsia="Times New Roman" w:cs="Arial"/>
          <w:lang w:eastAsia="bg-BG"/>
        </w:rPr>
      </w:pPr>
      <w:r w:rsidRPr="00031092">
        <w:rPr>
          <w:rFonts w:eastAsia="Times New Roman" w:cs="Arial"/>
          <w:i/>
          <w:iCs/>
          <w:color w:val="000000"/>
          <w:lang w:eastAsia="bg-BG"/>
        </w:rPr>
        <w:t>Ревматични заболявания:</w:t>
      </w:r>
    </w:p>
    <w:p w14:paraId="7287494B" w14:textId="77777777" w:rsidR="00031092" w:rsidRPr="00031092" w:rsidRDefault="00031092" w:rsidP="00031092">
      <w:pPr>
        <w:pStyle w:val="ListParagraph"/>
        <w:numPr>
          <w:ilvl w:val="0"/>
          <w:numId w:val="37"/>
        </w:numPr>
        <w:spacing w:line="240" w:lineRule="auto"/>
        <w:rPr>
          <w:rFonts w:eastAsia="Times New Roman" w:cs="Arial"/>
          <w:lang w:eastAsia="bg-BG"/>
        </w:rPr>
      </w:pPr>
      <w:r w:rsidRPr="00031092">
        <w:rPr>
          <w:rFonts w:eastAsia="Times New Roman" w:cs="Arial"/>
          <w:color w:val="000000"/>
          <w:lang w:eastAsia="bg-BG"/>
        </w:rPr>
        <w:t>ревматоиден артрит;</w:t>
      </w:r>
    </w:p>
    <w:p w14:paraId="55D22840" w14:textId="77777777" w:rsidR="00031092" w:rsidRPr="00031092" w:rsidRDefault="00031092" w:rsidP="00031092">
      <w:pPr>
        <w:pStyle w:val="ListParagraph"/>
        <w:numPr>
          <w:ilvl w:val="0"/>
          <w:numId w:val="37"/>
        </w:numPr>
        <w:spacing w:line="240" w:lineRule="auto"/>
        <w:rPr>
          <w:rFonts w:eastAsia="Times New Roman" w:cs="Arial"/>
          <w:lang w:eastAsia="bg-BG"/>
        </w:rPr>
      </w:pPr>
      <w:r w:rsidRPr="00031092">
        <w:rPr>
          <w:rFonts w:eastAsia="Times New Roman" w:cs="Arial"/>
          <w:color w:val="000000"/>
          <w:lang w:eastAsia="bg-BG"/>
        </w:rPr>
        <w:t>серологично негативен спондилоартрит (анкилозиращ спондилит, псориатичен артрит, реактивен артрит);</w:t>
      </w:r>
    </w:p>
    <w:p w14:paraId="7BC2B783" w14:textId="77777777" w:rsidR="00031092" w:rsidRPr="00031092" w:rsidRDefault="00031092" w:rsidP="00031092">
      <w:pPr>
        <w:pStyle w:val="ListParagraph"/>
        <w:numPr>
          <w:ilvl w:val="0"/>
          <w:numId w:val="37"/>
        </w:numPr>
        <w:spacing w:line="240" w:lineRule="auto"/>
        <w:rPr>
          <w:rFonts w:eastAsia="Times New Roman" w:cs="Arial"/>
          <w:lang w:eastAsia="bg-BG"/>
        </w:rPr>
      </w:pPr>
      <w:r w:rsidRPr="00031092">
        <w:rPr>
          <w:rFonts w:eastAsia="Times New Roman" w:cs="Arial"/>
          <w:color w:val="000000"/>
          <w:lang w:eastAsia="bg-BG"/>
        </w:rPr>
        <w:t>подагра, псевдоподагра;</w:t>
      </w:r>
    </w:p>
    <w:p w14:paraId="06747636" w14:textId="77777777" w:rsidR="00031092" w:rsidRPr="00031092" w:rsidRDefault="00031092" w:rsidP="00031092">
      <w:pPr>
        <w:pStyle w:val="ListParagraph"/>
        <w:numPr>
          <w:ilvl w:val="0"/>
          <w:numId w:val="37"/>
        </w:numPr>
        <w:spacing w:line="240" w:lineRule="auto"/>
        <w:rPr>
          <w:rFonts w:eastAsia="Times New Roman" w:cs="Arial"/>
          <w:lang w:eastAsia="bg-BG"/>
        </w:rPr>
      </w:pPr>
      <w:r w:rsidRPr="00031092">
        <w:rPr>
          <w:rFonts w:eastAsia="Times New Roman" w:cs="Arial"/>
          <w:color w:val="000000"/>
          <w:lang w:eastAsia="bg-BG"/>
        </w:rPr>
        <w:t>остеоартрит;</w:t>
      </w:r>
    </w:p>
    <w:p w14:paraId="6DFA4B9D" w14:textId="274B1514" w:rsidR="0091385D" w:rsidRPr="00031092" w:rsidRDefault="00031092" w:rsidP="00031092">
      <w:pPr>
        <w:pStyle w:val="ListParagraph"/>
        <w:numPr>
          <w:ilvl w:val="0"/>
          <w:numId w:val="37"/>
        </w:numPr>
        <w:spacing w:line="240" w:lineRule="auto"/>
        <w:rPr>
          <w:rFonts w:eastAsia="Times New Roman" w:cs="Arial"/>
          <w:lang w:eastAsia="bg-BG"/>
        </w:rPr>
      </w:pPr>
      <w:r w:rsidRPr="00031092">
        <w:rPr>
          <w:rFonts w:eastAsia="Times New Roman" w:cs="Arial"/>
          <w:color w:val="000000"/>
          <w:lang w:eastAsia="bg-BG"/>
        </w:rPr>
        <w:t>извънставен ревматизъм (тендинит, бурсит, капсулит на рамота).</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59550895" w14:textId="77777777" w:rsidR="00031092" w:rsidRPr="00031092" w:rsidRDefault="00031092" w:rsidP="00031092">
      <w:pPr>
        <w:spacing w:line="240" w:lineRule="auto"/>
        <w:rPr>
          <w:rFonts w:eastAsia="Times New Roman" w:cs="Arial"/>
          <w:lang w:eastAsia="bg-BG"/>
        </w:rPr>
      </w:pPr>
      <w:r w:rsidRPr="00031092">
        <w:rPr>
          <w:rFonts w:eastAsia="Times New Roman" w:cs="Arial"/>
          <w:color w:val="000000"/>
          <w:lang w:eastAsia="bg-BG"/>
        </w:rPr>
        <w:t>За парентерална употреба.</w:t>
      </w:r>
    </w:p>
    <w:p w14:paraId="0EB6218D" w14:textId="77777777" w:rsidR="00031092" w:rsidRPr="00031092" w:rsidRDefault="00031092" w:rsidP="00031092">
      <w:pPr>
        <w:spacing w:line="240" w:lineRule="auto"/>
        <w:rPr>
          <w:rFonts w:eastAsia="Times New Roman" w:cs="Arial"/>
          <w:color w:val="000000"/>
          <w:lang w:eastAsia="bg-BG"/>
        </w:rPr>
      </w:pPr>
    </w:p>
    <w:p w14:paraId="2E37130C" w14:textId="32EED034" w:rsidR="00031092" w:rsidRPr="00031092" w:rsidRDefault="00031092" w:rsidP="00031092">
      <w:pPr>
        <w:spacing w:line="240" w:lineRule="auto"/>
        <w:rPr>
          <w:rFonts w:eastAsia="Times New Roman" w:cs="Arial"/>
          <w:lang w:eastAsia="bg-BG"/>
        </w:rPr>
      </w:pPr>
      <w:r w:rsidRPr="00031092">
        <w:rPr>
          <w:rFonts w:eastAsia="Times New Roman" w:cs="Arial"/>
          <w:color w:val="000000"/>
          <w:lang w:eastAsia="bg-BG"/>
        </w:rPr>
        <w:t>Препоръчителни дозировки:</w:t>
      </w:r>
    </w:p>
    <w:p w14:paraId="11E281D0" w14:textId="77777777" w:rsidR="00031092" w:rsidRPr="00031092" w:rsidRDefault="00031092" w:rsidP="00031092">
      <w:pPr>
        <w:spacing w:line="240" w:lineRule="auto"/>
        <w:rPr>
          <w:rFonts w:eastAsia="Times New Roman" w:cs="Arial"/>
          <w:lang w:eastAsia="bg-BG"/>
        </w:rPr>
      </w:pPr>
      <w:r w:rsidRPr="00031092">
        <w:rPr>
          <w:rFonts w:eastAsia="Times New Roman" w:cs="Arial"/>
          <w:color w:val="000000"/>
          <w:u w:val="single"/>
          <w:lang w:eastAsia="bg-BG"/>
        </w:rPr>
        <w:t>Възрастни и деца над 15 години:</w:t>
      </w:r>
    </w:p>
    <w:p w14:paraId="6A96B6C7" w14:textId="77777777" w:rsidR="00031092" w:rsidRPr="00031092" w:rsidRDefault="00031092" w:rsidP="00031092">
      <w:pPr>
        <w:spacing w:line="240" w:lineRule="auto"/>
        <w:rPr>
          <w:rFonts w:eastAsia="Times New Roman" w:cs="Arial"/>
          <w:b/>
          <w:bCs/>
          <w:color w:val="000000"/>
          <w:lang w:eastAsia="bg-BG"/>
        </w:rPr>
      </w:pPr>
    </w:p>
    <w:p w14:paraId="399AC2DC" w14:textId="3ABC730E" w:rsidR="00031092" w:rsidRPr="00031092" w:rsidRDefault="00031092" w:rsidP="00031092">
      <w:pPr>
        <w:spacing w:line="240" w:lineRule="auto"/>
        <w:rPr>
          <w:rFonts w:eastAsia="Times New Roman" w:cs="Arial"/>
          <w:lang w:eastAsia="bg-BG"/>
        </w:rPr>
      </w:pPr>
      <w:r w:rsidRPr="00031092">
        <w:rPr>
          <w:rFonts w:eastAsia="Times New Roman" w:cs="Arial"/>
          <w:b/>
          <w:bCs/>
          <w:color w:val="000000"/>
          <w:lang w:eastAsia="bg-BG"/>
        </w:rPr>
        <w:t xml:space="preserve">Интрамускулио приложение: </w:t>
      </w:r>
      <w:r w:rsidRPr="00031092">
        <w:rPr>
          <w:rFonts w:eastAsia="Times New Roman" w:cs="Arial"/>
          <w:color w:val="000000"/>
          <w:lang w:eastAsia="bg-BG"/>
        </w:rPr>
        <w:t>препоръчителната интрамускулна дозировка е една</w:t>
      </w:r>
      <w:r w:rsidRPr="00031092">
        <w:rPr>
          <w:rFonts w:eastAsia="Times New Roman" w:cs="Arial"/>
          <w:color w:val="000000"/>
          <w:lang w:val="en-US"/>
        </w:rPr>
        <w:t xml:space="preserve"> </w:t>
      </w:r>
      <w:r w:rsidRPr="00031092">
        <w:rPr>
          <w:rFonts w:eastAsia="Times New Roman" w:cs="Arial"/>
          <w:color w:val="000000"/>
          <w:lang w:eastAsia="bg-BG"/>
        </w:rPr>
        <w:t xml:space="preserve">ампула (100 </w:t>
      </w:r>
      <w:r w:rsidRPr="00031092">
        <w:rPr>
          <w:rFonts w:eastAsia="Times New Roman" w:cs="Arial"/>
          <w:color w:val="000000"/>
          <w:lang w:val="en-US"/>
        </w:rPr>
        <w:t xml:space="preserve">mg) </w:t>
      </w:r>
      <w:r w:rsidRPr="00031092">
        <w:rPr>
          <w:rFonts w:eastAsia="Times New Roman" w:cs="Arial"/>
          <w:color w:val="000000"/>
          <w:lang w:eastAsia="bg-BG"/>
        </w:rPr>
        <w:t>един или два пъти дневно.</w:t>
      </w:r>
    </w:p>
    <w:p w14:paraId="79793A3F" w14:textId="77777777" w:rsidR="00031092" w:rsidRPr="00031092" w:rsidRDefault="00031092" w:rsidP="00031092">
      <w:pPr>
        <w:rPr>
          <w:rFonts w:eastAsia="Times New Roman" w:cs="Arial"/>
          <w:color w:val="000000"/>
          <w:lang w:eastAsia="bg-BG"/>
        </w:rPr>
      </w:pPr>
    </w:p>
    <w:p w14:paraId="7FBF1BCE" w14:textId="7DA336C6" w:rsidR="00EC41ED" w:rsidRPr="00031092" w:rsidRDefault="00031092" w:rsidP="00031092">
      <w:pPr>
        <w:rPr>
          <w:rFonts w:cs="Arial"/>
        </w:rPr>
      </w:pPr>
      <w:r w:rsidRPr="00031092">
        <w:rPr>
          <w:rFonts w:eastAsia="Times New Roman" w:cs="Arial"/>
          <w:color w:val="000000"/>
          <w:lang w:eastAsia="bg-BG"/>
        </w:rPr>
        <w:t>Ако е необходимо, лечението може да се съпроводи от перорална, ректална или трансдермална терапия.</w:t>
      </w:r>
    </w:p>
    <w:p w14:paraId="132F3111" w14:textId="7C31DCB6" w:rsidR="005B0F27" w:rsidRPr="00031092" w:rsidRDefault="005B0F27" w:rsidP="0091385D">
      <w:pPr>
        <w:rPr>
          <w:rFonts w:cs="Arial"/>
        </w:rPr>
      </w:pPr>
      <w:bookmarkStart w:id="1" w:name="_GoBack"/>
      <w:bookmarkEnd w:id="1"/>
    </w:p>
    <w:p w14:paraId="11D6D151" w14:textId="77777777" w:rsidR="00031092" w:rsidRPr="00031092" w:rsidRDefault="00031092" w:rsidP="00031092">
      <w:pPr>
        <w:spacing w:line="240" w:lineRule="auto"/>
        <w:rPr>
          <w:rFonts w:eastAsia="Times New Roman" w:cs="Arial"/>
          <w:lang w:eastAsia="bg-BG"/>
        </w:rPr>
      </w:pPr>
      <w:r w:rsidRPr="00031092">
        <w:rPr>
          <w:rFonts w:eastAsia="Times New Roman" w:cs="Arial"/>
          <w:b/>
          <w:bCs/>
          <w:color w:val="000000"/>
          <w:lang w:eastAsia="bg-BG"/>
        </w:rPr>
        <w:t xml:space="preserve">Интравенозна ннфузия: </w:t>
      </w:r>
      <w:r w:rsidRPr="00031092">
        <w:rPr>
          <w:rFonts w:eastAsia="Times New Roman" w:cs="Arial"/>
          <w:color w:val="000000"/>
          <w:lang w:eastAsia="bg-BG"/>
        </w:rPr>
        <w:t>инфузията трябва да се прилага само в болнични условия за период от ½ -1 час до максимум 48 часа.</w:t>
      </w:r>
    </w:p>
    <w:p w14:paraId="7928D8E1" w14:textId="77777777" w:rsidR="00031092" w:rsidRPr="00031092" w:rsidRDefault="00031092" w:rsidP="00031092">
      <w:pPr>
        <w:spacing w:line="240" w:lineRule="auto"/>
        <w:rPr>
          <w:rFonts w:eastAsia="Times New Roman" w:cs="Arial"/>
          <w:lang w:eastAsia="bg-BG"/>
        </w:rPr>
      </w:pPr>
      <w:r w:rsidRPr="00031092">
        <w:rPr>
          <w:rFonts w:eastAsia="Times New Roman" w:cs="Arial"/>
          <w:color w:val="000000"/>
          <w:lang w:eastAsia="bg-BG"/>
        </w:rPr>
        <w:t xml:space="preserve">Максималната дозировка е 200 </w:t>
      </w:r>
      <w:r w:rsidRPr="00031092">
        <w:rPr>
          <w:rFonts w:eastAsia="Times New Roman" w:cs="Arial"/>
          <w:color w:val="000000"/>
          <w:lang w:val="en-US"/>
        </w:rPr>
        <w:t xml:space="preserve">mg </w:t>
      </w:r>
      <w:r w:rsidRPr="00031092">
        <w:rPr>
          <w:rFonts w:eastAsia="Times New Roman" w:cs="Arial"/>
          <w:color w:val="000000"/>
          <w:lang w:eastAsia="bg-BG"/>
        </w:rPr>
        <w:t>за 24 часа.</w:t>
      </w:r>
    </w:p>
    <w:p w14:paraId="01798651" w14:textId="77777777" w:rsidR="00031092" w:rsidRPr="00031092" w:rsidRDefault="00031092" w:rsidP="00031092">
      <w:pPr>
        <w:spacing w:line="240" w:lineRule="auto"/>
        <w:rPr>
          <w:rFonts w:eastAsia="Times New Roman" w:cs="Arial"/>
          <w:b/>
          <w:bCs/>
          <w:color w:val="000000"/>
          <w:lang w:eastAsia="bg-BG"/>
        </w:rPr>
      </w:pPr>
    </w:p>
    <w:p w14:paraId="58D4B9C7" w14:textId="7B8E6563" w:rsidR="00031092" w:rsidRPr="00031092" w:rsidRDefault="00031092" w:rsidP="00031092">
      <w:pPr>
        <w:spacing w:line="240" w:lineRule="auto"/>
        <w:rPr>
          <w:rFonts w:eastAsia="Times New Roman" w:cs="Arial"/>
          <w:lang w:eastAsia="bg-BG"/>
        </w:rPr>
      </w:pPr>
      <w:r w:rsidRPr="00031092">
        <w:rPr>
          <w:rFonts w:eastAsia="Times New Roman" w:cs="Arial"/>
          <w:b/>
          <w:bCs/>
          <w:color w:val="000000"/>
          <w:lang w:eastAsia="bg-BG"/>
        </w:rPr>
        <w:t xml:space="preserve">Интермитентна интравенозна ннфузия: </w:t>
      </w:r>
      <w:r w:rsidRPr="00031092">
        <w:rPr>
          <w:rFonts w:eastAsia="Times New Roman" w:cs="Arial"/>
          <w:color w:val="000000"/>
          <w:lang w:eastAsia="bg-BG"/>
        </w:rPr>
        <w:t xml:space="preserve">100-200 </w:t>
      </w:r>
      <w:r w:rsidRPr="00031092">
        <w:rPr>
          <w:rFonts w:eastAsia="Times New Roman" w:cs="Arial"/>
          <w:color w:val="000000"/>
          <w:lang w:val="en-US"/>
        </w:rPr>
        <w:t xml:space="preserve">mg </w:t>
      </w:r>
      <w:r w:rsidRPr="00031092">
        <w:rPr>
          <w:rFonts w:eastAsia="Times New Roman" w:cs="Arial"/>
          <w:color w:val="000000"/>
          <w:lang w:eastAsia="bg-BG"/>
        </w:rPr>
        <w:t xml:space="preserve">кетопрофен, разредени в 100 </w:t>
      </w:r>
      <w:r w:rsidRPr="00031092">
        <w:rPr>
          <w:rFonts w:eastAsia="Times New Roman" w:cs="Arial"/>
          <w:color w:val="000000"/>
          <w:lang w:val="en-US"/>
        </w:rPr>
        <w:t xml:space="preserve">ml </w:t>
      </w:r>
      <w:r w:rsidRPr="00031092">
        <w:rPr>
          <w:rFonts w:eastAsia="Times New Roman" w:cs="Arial"/>
          <w:color w:val="000000"/>
          <w:lang w:eastAsia="bg-BG"/>
        </w:rPr>
        <w:t>0,9 %</w:t>
      </w:r>
      <w:r>
        <w:rPr>
          <w:rFonts w:eastAsia="Times New Roman" w:cs="Arial"/>
          <w:lang w:eastAsia="bg-BG"/>
        </w:rPr>
        <w:t xml:space="preserve"> </w:t>
      </w:r>
      <w:r w:rsidRPr="00031092">
        <w:rPr>
          <w:rFonts w:eastAsia="Times New Roman" w:cs="Arial"/>
          <w:color w:val="000000"/>
          <w:lang w:eastAsia="bg-BG"/>
        </w:rPr>
        <w:t xml:space="preserve">натриев хлорид, се прилагат за -1 час; инфузията се повтаря през 8 часа. Максималната дозировка е 200 </w:t>
      </w:r>
      <w:r w:rsidRPr="00031092">
        <w:rPr>
          <w:rFonts w:eastAsia="Times New Roman" w:cs="Arial"/>
          <w:color w:val="000000"/>
          <w:lang w:val="en-US"/>
        </w:rPr>
        <w:t xml:space="preserve">mg </w:t>
      </w:r>
      <w:r w:rsidRPr="00031092">
        <w:rPr>
          <w:rFonts w:eastAsia="Times New Roman" w:cs="Arial"/>
          <w:color w:val="000000"/>
          <w:lang w:eastAsia="bg-BG"/>
        </w:rPr>
        <w:t>за 24 часа.</w:t>
      </w:r>
    </w:p>
    <w:p w14:paraId="7C740D8C" w14:textId="77777777" w:rsidR="00031092" w:rsidRPr="00031092" w:rsidRDefault="00031092" w:rsidP="00031092">
      <w:pPr>
        <w:spacing w:line="240" w:lineRule="auto"/>
        <w:rPr>
          <w:rFonts w:eastAsia="Times New Roman" w:cs="Arial"/>
          <w:b/>
          <w:bCs/>
          <w:color w:val="000000"/>
          <w:lang w:eastAsia="bg-BG"/>
        </w:rPr>
      </w:pPr>
    </w:p>
    <w:p w14:paraId="73E7FFA0" w14:textId="2E227F22" w:rsidR="00031092" w:rsidRPr="00031092" w:rsidRDefault="00031092" w:rsidP="00031092">
      <w:pPr>
        <w:spacing w:line="240" w:lineRule="auto"/>
        <w:rPr>
          <w:rFonts w:eastAsia="Times New Roman" w:cs="Arial"/>
          <w:lang w:eastAsia="bg-BG"/>
        </w:rPr>
      </w:pPr>
      <w:r w:rsidRPr="00031092">
        <w:rPr>
          <w:rFonts w:eastAsia="Times New Roman" w:cs="Arial"/>
          <w:b/>
          <w:bCs/>
          <w:color w:val="000000"/>
          <w:lang w:eastAsia="bg-BG"/>
        </w:rPr>
        <w:t xml:space="preserve">Продължителна интравенозна ннфузия: </w:t>
      </w:r>
      <w:r w:rsidRPr="00031092">
        <w:rPr>
          <w:rFonts w:eastAsia="Times New Roman" w:cs="Arial"/>
          <w:color w:val="000000"/>
          <w:lang w:eastAsia="bg-BG"/>
        </w:rPr>
        <w:t xml:space="preserve">100-200 </w:t>
      </w:r>
      <w:r w:rsidRPr="00031092">
        <w:rPr>
          <w:rFonts w:eastAsia="Times New Roman" w:cs="Arial"/>
          <w:color w:val="000000"/>
          <w:lang w:val="en-US"/>
        </w:rPr>
        <w:t xml:space="preserve">mg </w:t>
      </w:r>
      <w:r w:rsidRPr="00031092">
        <w:rPr>
          <w:rFonts w:eastAsia="Times New Roman" w:cs="Arial"/>
          <w:color w:val="000000"/>
          <w:lang w:eastAsia="bg-BG"/>
        </w:rPr>
        <w:t xml:space="preserve">кетопрофен, разредени в 500 </w:t>
      </w:r>
      <w:r w:rsidRPr="00031092">
        <w:rPr>
          <w:rFonts w:eastAsia="Times New Roman" w:cs="Arial"/>
          <w:color w:val="000000"/>
          <w:lang w:val="en-US"/>
        </w:rPr>
        <w:t xml:space="preserve">ml </w:t>
      </w:r>
      <w:r w:rsidRPr="00031092">
        <w:rPr>
          <w:rFonts w:eastAsia="Times New Roman" w:cs="Arial"/>
          <w:color w:val="000000"/>
          <w:lang w:eastAsia="bg-BG"/>
        </w:rPr>
        <w:t>инфузионен разтвор (0,9 % натриев хлорид, Рингер лактат, глюкоза) се прилагат за период от 8 часа, инфузията може да се повтаря през 8 часа.</w:t>
      </w:r>
    </w:p>
    <w:p w14:paraId="26469264" w14:textId="77777777" w:rsidR="00031092" w:rsidRPr="00031092" w:rsidRDefault="00031092" w:rsidP="00031092">
      <w:pPr>
        <w:spacing w:line="240" w:lineRule="auto"/>
        <w:rPr>
          <w:rFonts w:eastAsia="Times New Roman" w:cs="Arial"/>
          <w:lang w:eastAsia="bg-BG"/>
        </w:rPr>
      </w:pPr>
      <w:r w:rsidRPr="00031092">
        <w:rPr>
          <w:rFonts w:eastAsia="Times New Roman" w:cs="Arial"/>
          <w:color w:val="000000"/>
          <w:lang w:eastAsia="bg-BG"/>
        </w:rPr>
        <w:t xml:space="preserve">Максималната дозировка е 200 </w:t>
      </w:r>
      <w:r w:rsidRPr="00031092">
        <w:rPr>
          <w:rFonts w:eastAsia="Times New Roman" w:cs="Arial"/>
          <w:color w:val="000000"/>
          <w:lang w:val="en-US"/>
        </w:rPr>
        <w:t xml:space="preserve">mg </w:t>
      </w:r>
      <w:r w:rsidRPr="00031092">
        <w:rPr>
          <w:rFonts w:eastAsia="Times New Roman" w:cs="Arial"/>
          <w:color w:val="000000"/>
          <w:lang w:eastAsia="bg-BG"/>
        </w:rPr>
        <w:t>за 24 часа.</w:t>
      </w:r>
    </w:p>
    <w:p w14:paraId="16D868B0" w14:textId="77777777" w:rsidR="00031092" w:rsidRPr="00031092" w:rsidRDefault="00031092" w:rsidP="00031092">
      <w:pPr>
        <w:spacing w:line="240" w:lineRule="auto"/>
        <w:rPr>
          <w:rFonts w:eastAsia="Times New Roman" w:cs="Arial"/>
          <w:color w:val="000000"/>
          <w:lang w:eastAsia="bg-BG"/>
        </w:rPr>
      </w:pPr>
    </w:p>
    <w:p w14:paraId="7C6AC424" w14:textId="0B38A32B" w:rsidR="00031092" w:rsidRPr="00031092" w:rsidRDefault="00031092" w:rsidP="00031092">
      <w:pPr>
        <w:spacing w:line="240" w:lineRule="auto"/>
        <w:rPr>
          <w:rFonts w:eastAsia="Times New Roman" w:cs="Arial"/>
          <w:lang w:eastAsia="bg-BG"/>
        </w:rPr>
      </w:pPr>
      <w:r w:rsidRPr="00031092">
        <w:rPr>
          <w:rFonts w:eastAsia="Times New Roman" w:cs="Arial"/>
          <w:color w:val="000000"/>
          <w:lang w:eastAsia="bg-BG"/>
        </w:rPr>
        <w:t xml:space="preserve">Кетопрофен може да се комбинира с централно действащи аналгетици; може да се комбинира с морфин в една и съща банка: 10-20 </w:t>
      </w:r>
      <w:r w:rsidRPr="00031092">
        <w:rPr>
          <w:rFonts w:eastAsia="Times New Roman" w:cs="Arial"/>
          <w:color w:val="000000"/>
          <w:lang w:val="en-US"/>
        </w:rPr>
        <w:t xml:space="preserve">mg </w:t>
      </w:r>
      <w:r w:rsidRPr="00031092">
        <w:rPr>
          <w:rFonts w:eastAsia="Times New Roman" w:cs="Arial"/>
          <w:color w:val="000000"/>
          <w:lang w:eastAsia="bg-BG"/>
        </w:rPr>
        <w:t xml:space="preserve">морфин и 100-200 </w:t>
      </w:r>
      <w:r w:rsidRPr="00031092">
        <w:rPr>
          <w:rFonts w:eastAsia="Times New Roman" w:cs="Arial"/>
          <w:color w:val="000000"/>
          <w:lang w:val="en-US"/>
        </w:rPr>
        <w:t xml:space="preserve">mg </w:t>
      </w:r>
      <w:r w:rsidRPr="00031092">
        <w:rPr>
          <w:rFonts w:eastAsia="Times New Roman" w:cs="Arial"/>
          <w:color w:val="000000"/>
          <w:lang w:eastAsia="bg-BG"/>
        </w:rPr>
        <w:t xml:space="preserve">кетопрофен се разреждат в 500 </w:t>
      </w:r>
      <w:r w:rsidRPr="00031092">
        <w:rPr>
          <w:rFonts w:eastAsia="Times New Roman" w:cs="Arial"/>
          <w:color w:val="000000"/>
          <w:lang w:val="en-US"/>
        </w:rPr>
        <w:t xml:space="preserve">ml </w:t>
      </w:r>
      <w:r w:rsidRPr="00031092">
        <w:rPr>
          <w:rFonts w:eastAsia="Times New Roman" w:cs="Arial"/>
          <w:color w:val="000000"/>
          <w:lang w:eastAsia="bg-BG"/>
        </w:rPr>
        <w:t xml:space="preserve">0,9 % натриев хлорид или Рингер лактат и се прилагат през 8 часа. Максималната дозировка е 200 </w:t>
      </w:r>
      <w:r w:rsidRPr="00031092">
        <w:rPr>
          <w:rFonts w:eastAsia="Times New Roman" w:cs="Arial"/>
          <w:color w:val="000000"/>
          <w:lang w:val="en-US"/>
        </w:rPr>
        <w:t xml:space="preserve">mg </w:t>
      </w:r>
      <w:r w:rsidRPr="00031092">
        <w:rPr>
          <w:rFonts w:eastAsia="Times New Roman" w:cs="Arial"/>
          <w:color w:val="000000"/>
          <w:lang w:eastAsia="bg-BG"/>
        </w:rPr>
        <w:t>за 24 часа.</w:t>
      </w:r>
    </w:p>
    <w:p w14:paraId="138FCF23" w14:textId="77777777" w:rsidR="00031092" w:rsidRPr="00031092" w:rsidRDefault="00031092" w:rsidP="00031092">
      <w:pPr>
        <w:spacing w:line="240" w:lineRule="auto"/>
        <w:rPr>
          <w:rFonts w:eastAsia="Times New Roman" w:cs="Arial"/>
          <w:color w:val="000000"/>
          <w:lang w:eastAsia="bg-BG"/>
        </w:rPr>
      </w:pPr>
    </w:p>
    <w:p w14:paraId="26F393AA" w14:textId="0734E708" w:rsidR="00031092" w:rsidRPr="00031092" w:rsidRDefault="00031092" w:rsidP="00031092">
      <w:pPr>
        <w:spacing w:line="240" w:lineRule="auto"/>
        <w:rPr>
          <w:rFonts w:eastAsia="Times New Roman" w:cs="Arial"/>
          <w:lang w:eastAsia="bg-BG"/>
        </w:rPr>
      </w:pPr>
      <w:r w:rsidRPr="00031092">
        <w:rPr>
          <w:rFonts w:eastAsia="Times New Roman" w:cs="Arial"/>
          <w:color w:val="000000"/>
          <w:lang w:eastAsia="bg-BG"/>
        </w:rPr>
        <w:t>Нежеланите реакции могат да бъдат намалени, като се използва най-ниската ефективна доза за най-кратко време, необходимо да се овладеят симптомите (вж. точка 4.4 Специални предупреждения и предпазни мерки при употреба).</w:t>
      </w:r>
    </w:p>
    <w:p w14:paraId="1532E41A" w14:textId="77777777" w:rsidR="00031092" w:rsidRPr="00031092" w:rsidRDefault="00031092" w:rsidP="00031092">
      <w:pPr>
        <w:spacing w:line="240" w:lineRule="auto"/>
        <w:rPr>
          <w:rFonts w:eastAsia="Times New Roman" w:cs="Arial"/>
          <w:color w:val="000000"/>
          <w:lang w:eastAsia="bg-BG"/>
        </w:rPr>
      </w:pPr>
    </w:p>
    <w:p w14:paraId="69749A86" w14:textId="0F0A3228" w:rsidR="00031092" w:rsidRPr="00031092" w:rsidRDefault="00031092" w:rsidP="00031092">
      <w:pPr>
        <w:spacing w:line="240" w:lineRule="auto"/>
        <w:rPr>
          <w:rFonts w:eastAsia="Times New Roman" w:cs="Arial"/>
          <w:lang w:eastAsia="bg-BG"/>
        </w:rPr>
      </w:pPr>
      <w:r w:rsidRPr="00031092">
        <w:rPr>
          <w:rFonts w:eastAsia="Times New Roman" w:cs="Arial"/>
          <w:color w:val="000000"/>
          <w:lang w:eastAsia="bg-BG"/>
        </w:rPr>
        <w:t xml:space="preserve">Максималната доза кетопрофен (за всички дозови форми) е 200 </w:t>
      </w:r>
      <w:r w:rsidRPr="00031092">
        <w:rPr>
          <w:rFonts w:eastAsia="Times New Roman" w:cs="Arial"/>
          <w:color w:val="000000"/>
          <w:lang w:val="en-US"/>
        </w:rPr>
        <w:t xml:space="preserve">mg. </w:t>
      </w:r>
      <w:r w:rsidRPr="00031092">
        <w:rPr>
          <w:rFonts w:eastAsia="Times New Roman" w:cs="Arial"/>
          <w:color w:val="000000"/>
          <w:lang w:eastAsia="bg-BG"/>
        </w:rPr>
        <w:t xml:space="preserve">Преди да се започне лечение с 200 </w:t>
      </w:r>
      <w:r w:rsidRPr="00031092">
        <w:rPr>
          <w:rFonts w:eastAsia="Times New Roman" w:cs="Arial"/>
          <w:color w:val="000000"/>
          <w:lang w:val="en-US"/>
        </w:rPr>
        <w:t xml:space="preserve">mg </w:t>
      </w:r>
      <w:r w:rsidRPr="00031092">
        <w:rPr>
          <w:rFonts w:eastAsia="Times New Roman" w:cs="Arial"/>
          <w:color w:val="000000"/>
          <w:lang w:eastAsia="bg-BG"/>
        </w:rPr>
        <w:t>кетопрофен дневно, трябва да се прецени отношението риск/полза. По-виоски дози не са препоръчителни (вж. Точка 4.4 Специални предупреждения и предпазни мерки при употреба).</w:t>
      </w:r>
    </w:p>
    <w:p w14:paraId="3C6370A3" w14:textId="77777777" w:rsidR="00031092" w:rsidRPr="00031092" w:rsidRDefault="00031092" w:rsidP="00031092">
      <w:pPr>
        <w:spacing w:line="240" w:lineRule="auto"/>
        <w:rPr>
          <w:rFonts w:eastAsia="Times New Roman" w:cs="Arial"/>
          <w:i/>
          <w:iCs/>
          <w:color w:val="000000"/>
          <w:lang w:eastAsia="bg-BG"/>
        </w:rPr>
      </w:pPr>
    </w:p>
    <w:p w14:paraId="3959089B" w14:textId="5C657C6E" w:rsidR="00031092" w:rsidRPr="00031092" w:rsidRDefault="00031092" w:rsidP="00031092">
      <w:pPr>
        <w:spacing w:line="240" w:lineRule="auto"/>
        <w:rPr>
          <w:rFonts w:eastAsia="Times New Roman" w:cs="Arial"/>
          <w:lang w:eastAsia="bg-BG"/>
        </w:rPr>
      </w:pPr>
      <w:r w:rsidRPr="00031092">
        <w:rPr>
          <w:rFonts w:eastAsia="Times New Roman" w:cs="Arial"/>
          <w:i/>
          <w:iCs/>
          <w:color w:val="000000"/>
          <w:lang w:eastAsia="bg-BG"/>
        </w:rPr>
        <w:t>Пациенти в старческа възраст:</w:t>
      </w:r>
    </w:p>
    <w:p w14:paraId="27ABFACD" w14:textId="77777777" w:rsidR="00031092" w:rsidRPr="00031092" w:rsidRDefault="00031092" w:rsidP="00031092">
      <w:pPr>
        <w:spacing w:line="240" w:lineRule="auto"/>
        <w:rPr>
          <w:rFonts w:eastAsia="Times New Roman" w:cs="Arial"/>
          <w:lang w:eastAsia="bg-BG"/>
        </w:rPr>
      </w:pPr>
      <w:r w:rsidRPr="00031092">
        <w:rPr>
          <w:rFonts w:eastAsia="Times New Roman" w:cs="Arial"/>
          <w:color w:val="000000"/>
          <w:lang w:eastAsia="bg-BG"/>
        </w:rPr>
        <w:t>Пациентите в напреднала възраст са под повишен риск от сериозни нежелани реакции. При необходимост се използва най-ниската доза и пациентът се проследява за стомашно-чревно кървене за 4 седмици след започване на терапията.</w:t>
      </w:r>
    </w:p>
    <w:p w14:paraId="6279962E" w14:textId="77777777" w:rsidR="00031092" w:rsidRPr="00031092" w:rsidRDefault="00031092" w:rsidP="00031092">
      <w:pPr>
        <w:spacing w:line="240" w:lineRule="auto"/>
        <w:rPr>
          <w:rFonts w:eastAsia="Times New Roman" w:cs="Arial"/>
          <w:i/>
          <w:iCs/>
          <w:color w:val="000000"/>
          <w:lang w:eastAsia="bg-BG"/>
        </w:rPr>
      </w:pPr>
    </w:p>
    <w:p w14:paraId="0BC151CF" w14:textId="4DE4ED8A" w:rsidR="00031092" w:rsidRPr="00031092" w:rsidRDefault="00031092" w:rsidP="00031092">
      <w:pPr>
        <w:spacing w:line="240" w:lineRule="auto"/>
        <w:rPr>
          <w:rFonts w:eastAsia="Times New Roman" w:cs="Arial"/>
          <w:lang w:eastAsia="bg-BG"/>
        </w:rPr>
      </w:pPr>
      <w:r w:rsidRPr="00031092">
        <w:rPr>
          <w:rFonts w:eastAsia="Times New Roman" w:cs="Arial"/>
          <w:i/>
          <w:iCs/>
          <w:color w:val="000000"/>
          <w:lang w:eastAsia="bg-BG"/>
        </w:rPr>
        <w:t>Педиатрични пациенти:</w:t>
      </w:r>
    </w:p>
    <w:p w14:paraId="126C22AE" w14:textId="77777777" w:rsidR="00031092" w:rsidRPr="00031092" w:rsidRDefault="00031092" w:rsidP="00031092">
      <w:pPr>
        <w:spacing w:line="240" w:lineRule="auto"/>
        <w:rPr>
          <w:rFonts w:eastAsia="Times New Roman" w:cs="Arial"/>
          <w:lang w:eastAsia="bg-BG"/>
        </w:rPr>
      </w:pPr>
      <w:r w:rsidRPr="00031092">
        <w:rPr>
          <w:rFonts w:eastAsia="Times New Roman" w:cs="Arial"/>
          <w:color w:val="000000"/>
          <w:lang w:eastAsia="bg-BG"/>
        </w:rPr>
        <w:t>Не се прилага и няма установена дозировка.</w:t>
      </w:r>
    </w:p>
    <w:p w14:paraId="6257351F" w14:textId="77777777" w:rsidR="00031092" w:rsidRPr="00031092" w:rsidRDefault="00031092" w:rsidP="00031092">
      <w:pPr>
        <w:spacing w:line="240" w:lineRule="auto"/>
        <w:rPr>
          <w:rFonts w:eastAsia="Times New Roman" w:cs="Arial"/>
          <w:b/>
          <w:bCs/>
          <w:color w:val="000000"/>
          <w:lang w:eastAsia="bg-BG"/>
        </w:rPr>
      </w:pPr>
      <w:bookmarkStart w:id="2" w:name="bookmark0"/>
    </w:p>
    <w:p w14:paraId="597B34B1" w14:textId="6D8354C0" w:rsidR="00031092" w:rsidRPr="00031092" w:rsidRDefault="00031092" w:rsidP="00031092">
      <w:pPr>
        <w:spacing w:line="240" w:lineRule="auto"/>
        <w:rPr>
          <w:rFonts w:eastAsia="Times New Roman" w:cs="Arial"/>
          <w:lang w:eastAsia="bg-BG"/>
        </w:rPr>
      </w:pPr>
      <w:r w:rsidRPr="00031092">
        <w:rPr>
          <w:rFonts w:eastAsia="Times New Roman" w:cs="Arial"/>
          <w:b/>
          <w:bCs/>
          <w:color w:val="000000"/>
          <w:lang w:eastAsia="bg-BG"/>
        </w:rPr>
        <w:t>Предупреждение:</w:t>
      </w:r>
      <w:bookmarkEnd w:id="2"/>
    </w:p>
    <w:p w14:paraId="1FED1EB1" w14:textId="66A14F14" w:rsidR="00031092" w:rsidRPr="00031092" w:rsidRDefault="00031092" w:rsidP="00031092">
      <w:pPr>
        <w:rPr>
          <w:rFonts w:cs="Arial"/>
        </w:rPr>
      </w:pPr>
      <w:r w:rsidRPr="00031092">
        <w:rPr>
          <w:rFonts w:eastAsia="Times New Roman" w:cs="Arial"/>
          <w:color w:val="000000"/>
          <w:lang w:eastAsia="bg-BG"/>
        </w:rPr>
        <w:lastRenderedPageBreak/>
        <w:t>Не смесвайта трамадол и кетопрофен в една и съща банка, тъй като се образува преципитат. Банките за ннфузия трябва да бъдат обвити в черна хартия или алуминиево фолио, тъй като кетопрофен е чувствителен към светлина.</w:t>
      </w:r>
    </w:p>
    <w:p w14:paraId="4E5819C6" w14:textId="77777777" w:rsidR="00031092" w:rsidRPr="0091385D" w:rsidRDefault="00031092"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162E2432" w14:textId="77777777" w:rsidR="00031092" w:rsidRPr="00031092" w:rsidRDefault="00031092" w:rsidP="00031092">
      <w:pPr>
        <w:spacing w:line="240" w:lineRule="auto"/>
        <w:rPr>
          <w:rFonts w:eastAsia="Times New Roman" w:cs="Arial"/>
          <w:lang w:eastAsia="bg-BG"/>
        </w:rPr>
      </w:pPr>
      <w:r w:rsidRPr="00031092">
        <w:rPr>
          <w:rFonts w:eastAsia="Times New Roman" w:cs="Arial"/>
          <w:color w:val="000000"/>
          <w:lang w:eastAsia="bg-BG"/>
        </w:rPr>
        <w:t xml:space="preserve">Кетопрофен-Чайкафарма 100 </w:t>
      </w:r>
      <w:r w:rsidRPr="00031092">
        <w:rPr>
          <w:rFonts w:eastAsia="Times New Roman" w:cs="Arial"/>
          <w:color w:val="000000"/>
          <w:lang w:val="en-US"/>
        </w:rPr>
        <w:t xml:space="preserve">mg/2 ml </w:t>
      </w:r>
      <w:r w:rsidRPr="00031092">
        <w:rPr>
          <w:rFonts w:eastAsia="Times New Roman" w:cs="Arial"/>
          <w:color w:val="000000"/>
          <w:lang w:eastAsia="bg-BG"/>
        </w:rPr>
        <w:t xml:space="preserve">инжекционен разтвор е противопоказан при пациенти, свръхчувствителни към кетопрофен или някоя от съставките на продукта. Кетопрофен- Чайкафарма 100 </w:t>
      </w:r>
      <w:r w:rsidRPr="00031092">
        <w:rPr>
          <w:rFonts w:eastAsia="Times New Roman" w:cs="Arial"/>
          <w:color w:val="000000"/>
          <w:lang w:val="en-US"/>
        </w:rPr>
        <w:t xml:space="preserve">mg/2 ml </w:t>
      </w:r>
      <w:r w:rsidRPr="00031092">
        <w:rPr>
          <w:rFonts w:eastAsia="Times New Roman" w:cs="Arial"/>
          <w:color w:val="000000"/>
          <w:lang w:eastAsia="bg-BG"/>
        </w:rPr>
        <w:t>инжекционен разтвор също е противопоказан:</w:t>
      </w:r>
    </w:p>
    <w:p w14:paraId="4ABA5C07" w14:textId="77777777" w:rsidR="00031092" w:rsidRPr="00031092" w:rsidRDefault="00031092" w:rsidP="00031092">
      <w:pPr>
        <w:pStyle w:val="ListParagraph"/>
        <w:numPr>
          <w:ilvl w:val="0"/>
          <w:numId w:val="38"/>
        </w:numPr>
        <w:spacing w:line="240" w:lineRule="auto"/>
        <w:rPr>
          <w:rFonts w:eastAsia="Times New Roman" w:cs="Arial"/>
          <w:lang w:eastAsia="bg-BG"/>
        </w:rPr>
      </w:pPr>
      <w:r w:rsidRPr="00031092">
        <w:rPr>
          <w:rFonts w:eastAsia="Times New Roman" w:cs="Arial"/>
          <w:color w:val="000000"/>
          <w:lang w:eastAsia="bg-BG"/>
        </w:rPr>
        <w:t>при пациенти с анамнеза за реакции на свръхчувствителност, проявяваща се с бронхоспазъм, астматични пристъпи, ринит, уртикария или други алергични реакции, индуцирани от кетопрофен, ацетилсалицилова киселина или други нестероидни противовъзпалителни средства;</w:t>
      </w:r>
    </w:p>
    <w:p w14:paraId="071EB14E" w14:textId="77777777" w:rsidR="00031092" w:rsidRPr="00031092" w:rsidRDefault="00031092" w:rsidP="00031092">
      <w:pPr>
        <w:pStyle w:val="ListParagraph"/>
        <w:numPr>
          <w:ilvl w:val="0"/>
          <w:numId w:val="38"/>
        </w:numPr>
        <w:spacing w:line="240" w:lineRule="auto"/>
        <w:rPr>
          <w:rFonts w:eastAsia="Times New Roman" w:cs="Arial"/>
          <w:lang w:eastAsia="bg-BG"/>
        </w:rPr>
      </w:pPr>
      <w:r w:rsidRPr="00031092">
        <w:rPr>
          <w:rFonts w:eastAsia="Times New Roman" w:cs="Arial"/>
          <w:color w:val="000000"/>
          <w:lang w:eastAsia="bg-BG"/>
        </w:rPr>
        <w:t>при пациенти с тежка сърдечна недостатъчност;</w:t>
      </w:r>
    </w:p>
    <w:p w14:paraId="34E6C5D8" w14:textId="77777777" w:rsidR="00031092" w:rsidRPr="00031092" w:rsidRDefault="00031092" w:rsidP="00031092">
      <w:pPr>
        <w:pStyle w:val="ListParagraph"/>
        <w:numPr>
          <w:ilvl w:val="0"/>
          <w:numId w:val="38"/>
        </w:numPr>
        <w:spacing w:line="240" w:lineRule="auto"/>
        <w:rPr>
          <w:rFonts w:eastAsia="Times New Roman" w:cs="Arial"/>
          <w:lang w:eastAsia="bg-BG"/>
        </w:rPr>
      </w:pPr>
      <w:r w:rsidRPr="00031092">
        <w:rPr>
          <w:rFonts w:eastAsia="Times New Roman" w:cs="Arial"/>
          <w:color w:val="000000"/>
          <w:lang w:eastAsia="bg-BG"/>
        </w:rPr>
        <w:t>при пациенти с активна пептична язва или с анамнеза за рекурентна пептична язва/ кръвоизлив (два или повече отделни епизода на доказа улцерация или кървене):</w:t>
      </w:r>
      <w:r w:rsidRPr="00031092">
        <w:rPr>
          <w:rFonts w:eastAsia="Times New Roman" w:cs="Arial"/>
          <w:color w:val="000000"/>
          <w:lang w:val="en-US"/>
        </w:rPr>
        <w:t xml:space="preserve"> </w:t>
      </w:r>
      <w:r w:rsidRPr="00031092">
        <w:rPr>
          <w:rFonts w:eastAsia="Times New Roman" w:cs="Arial"/>
          <w:color w:val="000000"/>
          <w:lang w:eastAsia="bg-BG"/>
        </w:rPr>
        <w:t>при пациенти с мозъчно-съдови или други активни кръвоизливи;</w:t>
      </w:r>
    </w:p>
    <w:p w14:paraId="64399A9E" w14:textId="77777777" w:rsidR="00031092" w:rsidRPr="00031092" w:rsidRDefault="00031092" w:rsidP="00031092">
      <w:pPr>
        <w:pStyle w:val="ListParagraph"/>
        <w:numPr>
          <w:ilvl w:val="0"/>
          <w:numId w:val="38"/>
        </w:numPr>
        <w:spacing w:line="240" w:lineRule="auto"/>
        <w:rPr>
          <w:rFonts w:eastAsia="Times New Roman" w:cs="Arial"/>
          <w:lang w:eastAsia="bg-BG"/>
        </w:rPr>
      </w:pPr>
      <w:r w:rsidRPr="00031092">
        <w:rPr>
          <w:rFonts w:eastAsia="Times New Roman" w:cs="Arial"/>
          <w:color w:val="000000"/>
          <w:lang w:eastAsia="bg-BG"/>
        </w:rPr>
        <w:t>при пациенти, които са склонни към кръвоизливи;</w:t>
      </w:r>
    </w:p>
    <w:p w14:paraId="339F365D" w14:textId="77777777" w:rsidR="00031092" w:rsidRPr="00031092" w:rsidRDefault="00031092" w:rsidP="00031092">
      <w:pPr>
        <w:pStyle w:val="ListParagraph"/>
        <w:numPr>
          <w:ilvl w:val="0"/>
          <w:numId w:val="38"/>
        </w:numPr>
        <w:spacing w:line="240" w:lineRule="auto"/>
        <w:rPr>
          <w:rFonts w:eastAsia="Times New Roman" w:cs="Arial"/>
          <w:lang w:eastAsia="bg-BG"/>
        </w:rPr>
      </w:pPr>
      <w:r w:rsidRPr="00031092">
        <w:rPr>
          <w:rFonts w:eastAsia="Times New Roman" w:cs="Arial"/>
          <w:color w:val="000000"/>
          <w:lang w:eastAsia="bg-BG"/>
        </w:rPr>
        <w:t>при пациенти с тежка бъбречна недостатъчност;</w:t>
      </w:r>
    </w:p>
    <w:p w14:paraId="5F312197" w14:textId="77777777" w:rsidR="00031092" w:rsidRPr="00031092" w:rsidRDefault="00031092" w:rsidP="00031092">
      <w:pPr>
        <w:pStyle w:val="ListParagraph"/>
        <w:numPr>
          <w:ilvl w:val="0"/>
          <w:numId w:val="38"/>
        </w:numPr>
        <w:spacing w:line="240" w:lineRule="auto"/>
        <w:rPr>
          <w:rFonts w:eastAsia="Times New Roman" w:cs="Arial"/>
          <w:lang w:eastAsia="bg-BG"/>
        </w:rPr>
      </w:pPr>
      <w:r w:rsidRPr="00031092">
        <w:rPr>
          <w:rFonts w:eastAsia="Times New Roman" w:cs="Arial"/>
          <w:color w:val="000000"/>
          <w:lang w:eastAsia="bg-BG"/>
        </w:rPr>
        <w:t>при пациенти с тежка чернодробна недостатъчност;</w:t>
      </w:r>
    </w:p>
    <w:p w14:paraId="5FE30DD6" w14:textId="77777777" w:rsidR="00031092" w:rsidRPr="00031092" w:rsidRDefault="00031092" w:rsidP="00031092">
      <w:pPr>
        <w:pStyle w:val="ListParagraph"/>
        <w:numPr>
          <w:ilvl w:val="0"/>
          <w:numId w:val="38"/>
        </w:numPr>
        <w:spacing w:line="240" w:lineRule="auto"/>
        <w:rPr>
          <w:rFonts w:eastAsia="Times New Roman" w:cs="Arial"/>
          <w:lang w:eastAsia="bg-BG"/>
        </w:rPr>
      </w:pPr>
      <w:r w:rsidRPr="00031092">
        <w:rPr>
          <w:rFonts w:eastAsia="Times New Roman" w:cs="Arial"/>
          <w:color w:val="000000"/>
          <w:lang w:eastAsia="bg-BG"/>
        </w:rPr>
        <w:t>при пациенти с астма или ринит;</w:t>
      </w:r>
    </w:p>
    <w:p w14:paraId="3F304728" w14:textId="77777777" w:rsidR="00031092" w:rsidRPr="00031092" w:rsidRDefault="00031092" w:rsidP="00031092">
      <w:pPr>
        <w:pStyle w:val="ListParagraph"/>
        <w:numPr>
          <w:ilvl w:val="0"/>
          <w:numId w:val="38"/>
        </w:numPr>
        <w:spacing w:line="240" w:lineRule="auto"/>
        <w:rPr>
          <w:rFonts w:eastAsia="Times New Roman" w:cs="Arial"/>
          <w:lang w:eastAsia="bg-BG"/>
        </w:rPr>
      </w:pPr>
      <w:r w:rsidRPr="00031092">
        <w:rPr>
          <w:rFonts w:eastAsia="Times New Roman" w:cs="Arial"/>
          <w:color w:val="000000"/>
          <w:lang w:eastAsia="bg-BG"/>
        </w:rPr>
        <w:t xml:space="preserve">през последния триместър от бременността (вж. точка 4.6 Бременност и кърмене); </w:t>
      </w:r>
    </w:p>
    <w:p w14:paraId="31B39DC6" w14:textId="4FC12188" w:rsidR="0091385D" w:rsidRPr="00031092" w:rsidRDefault="00031092" w:rsidP="00031092">
      <w:pPr>
        <w:pStyle w:val="ListParagraph"/>
        <w:numPr>
          <w:ilvl w:val="0"/>
          <w:numId w:val="38"/>
        </w:numPr>
        <w:spacing w:line="240" w:lineRule="auto"/>
        <w:rPr>
          <w:rFonts w:eastAsia="Times New Roman" w:cs="Arial"/>
          <w:lang w:eastAsia="bg-BG"/>
        </w:rPr>
      </w:pPr>
      <w:r w:rsidRPr="00031092">
        <w:rPr>
          <w:rFonts w:eastAsia="Times New Roman" w:cs="Arial"/>
          <w:color w:val="000000"/>
          <w:lang w:eastAsia="bg-BG"/>
        </w:rPr>
        <w:t>при деца под 15 години.</w:t>
      </w:r>
    </w:p>
    <w:p w14:paraId="05223EDD" w14:textId="77777777" w:rsidR="00031092" w:rsidRPr="0091385D" w:rsidRDefault="00031092"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59A0386A" w14:textId="77777777" w:rsidR="00031092" w:rsidRPr="00031092" w:rsidRDefault="00031092" w:rsidP="00031092">
      <w:pPr>
        <w:spacing w:line="240" w:lineRule="auto"/>
        <w:rPr>
          <w:rFonts w:eastAsia="Times New Roman" w:cs="Arial"/>
          <w:lang w:eastAsia="bg-BG"/>
        </w:rPr>
      </w:pPr>
      <w:r w:rsidRPr="00031092">
        <w:rPr>
          <w:rFonts w:eastAsia="Times New Roman" w:cs="Arial"/>
          <w:color w:val="000000"/>
          <w:u w:val="single"/>
          <w:lang w:eastAsia="bg-BG"/>
        </w:rPr>
        <w:t>Предупреждения</w:t>
      </w:r>
    </w:p>
    <w:p w14:paraId="72A1305E" w14:textId="77777777" w:rsidR="00031092" w:rsidRPr="00031092" w:rsidRDefault="00031092" w:rsidP="00031092">
      <w:pPr>
        <w:spacing w:line="240" w:lineRule="auto"/>
        <w:rPr>
          <w:rFonts w:eastAsia="Times New Roman" w:cs="Arial"/>
          <w:lang w:eastAsia="bg-BG"/>
        </w:rPr>
      </w:pPr>
      <w:r w:rsidRPr="00031092">
        <w:rPr>
          <w:rFonts w:eastAsia="Times New Roman" w:cs="Arial"/>
          <w:color w:val="000000"/>
          <w:lang w:eastAsia="bg-BG"/>
        </w:rPr>
        <w:t>Необходимо е повишено внимание при пациенти, лекувани едновременно с медикаменти, които могат да увеличат риска от улцерация или кървене, като перорални кортикостероиди, антикоагуланти като варфарин, селективни инхибитори на обратното захващане на серотонин или антиагреганти на тромбоцитите като ацетилсалицилова киселина (вижте точка 4.5).</w:t>
      </w:r>
    </w:p>
    <w:p w14:paraId="44FB9581" w14:textId="77777777" w:rsidR="00031092" w:rsidRPr="00031092" w:rsidRDefault="00031092" w:rsidP="00031092">
      <w:pPr>
        <w:spacing w:line="240" w:lineRule="auto"/>
        <w:rPr>
          <w:rFonts w:eastAsia="Times New Roman" w:cs="Arial"/>
          <w:color w:val="000000"/>
          <w:lang w:eastAsia="bg-BG"/>
        </w:rPr>
      </w:pPr>
    </w:p>
    <w:p w14:paraId="2CC97BA3" w14:textId="2A3EC440" w:rsidR="00031092" w:rsidRPr="00031092" w:rsidRDefault="00031092" w:rsidP="00031092">
      <w:pPr>
        <w:spacing w:line="240" w:lineRule="auto"/>
        <w:rPr>
          <w:rFonts w:eastAsia="Times New Roman" w:cs="Arial"/>
          <w:lang w:eastAsia="bg-BG"/>
        </w:rPr>
      </w:pPr>
      <w:r w:rsidRPr="00031092">
        <w:rPr>
          <w:rFonts w:eastAsia="Times New Roman" w:cs="Arial"/>
          <w:color w:val="000000"/>
          <w:lang w:eastAsia="bg-BG"/>
        </w:rPr>
        <w:t xml:space="preserve">Прилагането на Кетопрофен-Чайкафарма 100 </w:t>
      </w:r>
      <w:r w:rsidRPr="00031092">
        <w:rPr>
          <w:rFonts w:eastAsia="Times New Roman" w:cs="Arial"/>
          <w:color w:val="000000"/>
          <w:lang w:val="en-US"/>
        </w:rPr>
        <w:t xml:space="preserve">mg/2 ml </w:t>
      </w:r>
      <w:r w:rsidRPr="00031092">
        <w:rPr>
          <w:rFonts w:eastAsia="Times New Roman" w:cs="Arial"/>
          <w:color w:val="000000"/>
          <w:lang w:eastAsia="bg-BG"/>
        </w:rPr>
        <w:t>инжекционен разтвор с други нестероидни противовъзпалителни продукти (НСПВП), включително селективни инхибитори на циклооксигеназа (СОХ-2), трябва да се избягва.</w:t>
      </w:r>
    </w:p>
    <w:p w14:paraId="4E3E1DAD" w14:textId="77777777" w:rsidR="00031092" w:rsidRPr="00031092" w:rsidRDefault="00031092" w:rsidP="00031092">
      <w:pPr>
        <w:spacing w:line="240" w:lineRule="auto"/>
        <w:rPr>
          <w:rFonts w:eastAsia="Times New Roman" w:cs="Arial"/>
          <w:color w:val="000000"/>
          <w:lang w:eastAsia="bg-BG"/>
        </w:rPr>
      </w:pPr>
    </w:p>
    <w:p w14:paraId="4898EEDC" w14:textId="02A34FEE" w:rsidR="00031092" w:rsidRPr="00031092" w:rsidRDefault="00031092" w:rsidP="00031092">
      <w:pPr>
        <w:spacing w:line="240" w:lineRule="auto"/>
        <w:rPr>
          <w:rFonts w:eastAsia="Times New Roman" w:cs="Arial"/>
          <w:lang w:eastAsia="bg-BG"/>
        </w:rPr>
      </w:pPr>
      <w:r w:rsidRPr="00031092">
        <w:rPr>
          <w:rFonts w:eastAsia="Times New Roman" w:cs="Arial"/>
          <w:color w:val="000000"/>
          <w:lang w:eastAsia="bg-BG"/>
        </w:rPr>
        <w:t>Нежеланите реакции могат да бъдат намалени, като се използва най-ниската ефективна доза за най-краткото време, необходимо да се овладеят симптомите (вж. точка 4.2 Дозировка и начин на приложение).</w:t>
      </w:r>
    </w:p>
    <w:p w14:paraId="1A32CF13" w14:textId="77777777" w:rsidR="00031092" w:rsidRPr="00031092" w:rsidRDefault="00031092" w:rsidP="00031092">
      <w:pPr>
        <w:spacing w:line="240" w:lineRule="auto"/>
        <w:rPr>
          <w:rFonts w:eastAsia="Times New Roman" w:cs="Arial"/>
          <w:i/>
          <w:iCs/>
          <w:color w:val="000000"/>
          <w:u w:val="single"/>
          <w:lang w:eastAsia="bg-BG"/>
        </w:rPr>
      </w:pPr>
    </w:p>
    <w:p w14:paraId="2E10552D" w14:textId="046462E6" w:rsidR="00031092" w:rsidRPr="00031092" w:rsidRDefault="00031092" w:rsidP="00031092">
      <w:pPr>
        <w:spacing w:line="240" w:lineRule="auto"/>
        <w:rPr>
          <w:rFonts w:eastAsia="Times New Roman" w:cs="Arial"/>
          <w:lang w:eastAsia="bg-BG"/>
        </w:rPr>
      </w:pPr>
      <w:r w:rsidRPr="00031092">
        <w:rPr>
          <w:rFonts w:eastAsia="Times New Roman" w:cs="Arial"/>
          <w:i/>
          <w:iCs/>
          <w:color w:val="000000"/>
          <w:u w:val="single"/>
          <w:lang w:eastAsia="bg-BG"/>
        </w:rPr>
        <w:t>Кървене от стомашно-чревния тракт, улиераиия и перфорация:</w:t>
      </w:r>
    </w:p>
    <w:p w14:paraId="43A05E5D" w14:textId="77777777" w:rsidR="00031092" w:rsidRPr="00031092" w:rsidRDefault="00031092" w:rsidP="00031092">
      <w:pPr>
        <w:spacing w:line="240" w:lineRule="auto"/>
        <w:rPr>
          <w:rFonts w:eastAsia="Times New Roman" w:cs="Arial"/>
          <w:lang w:eastAsia="bg-BG"/>
        </w:rPr>
      </w:pPr>
      <w:r w:rsidRPr="00031092">
        <w:rPr>
          <w:rFonts w:eastAsia="Times New Roman" w:cs="Arial"/>
          <w:color w:val="000000"/>
          <w:lang w:eastAsia="bg-BG"/>
        </w:rPr>
        <w:t>Кръвоизлив от стомашно-чревния тракт, гастроинтестинална перфорация улцерация или перфорация, които могат да бъдат и фатални, са съобщавани за всички НСПВС и могат да възникнат по всяко време на лечението, със или без предупреждаващи симптоми или анамнеза за сериозни стомашно-чревни реакции в миналото.</w:t>
      </w:r>
    </w:p>
    <w:p w14:paraId="7A50E668" w14:textId="448ECB0E" w:rsidR="00031092" w:rsidRPr="00031092" w:rsidRDefault="00031092" w:rsidP="00031092">
      <w:pPr>
        <w:spacing w:line="240" w:lineRule="auto"/>
        <w:rPr>
          <w:rFonts w:eastAsia="Times New Roman" w:cs="Arial"/>
          <w:lang w:eastAsia="bg-BG"/>
        </w:rPr>
      </w:pPr>
      <w:r w:rsidRPr="00031092">
        <w:rPr>
          <w:rFonts w:eastAsia="Times New Roman" w:cs="Arial"/>
          <w:color w:val="000000"/>
          <w:lang w:eastAsia="bg-BG"/>
        </w:rPr>
        <w:t xml:space="preserve">Някои епидемиологични данни предполагат, че кетопрофен може да бъде свързан с висок риск от сериозна гастроинтестинална токсичност, доказана при други НСПВП, </w:t>
      </w:r>
      <w:r w:rsidRPr="00031092">
        <w:rPr>
          <w:rFonts w:eastAsia="Times New Roman" w:cs="Arial"/>
          <w:color w:val="000000"/>
          <w:lang w:eastAsia="bg-BG"/>
        </w:rPr>
        <w:lastRenderedPageBreak/>
        <w:t>особено във високи дози (вж. точки 4.2 Дозировка и начин на приложение и 43 Противопоказания).</w:t>
      </w:r>
    </w:p>
    <w:p w14:paraId="5CCE7F89" w14:textId="77777777" w:rsidR="00031092" w:rsidRPr="00031092" w:rsidRDefault="00031092" w:rsidP="00031092">
      <w:pPr>
        <w:spacing w:line="240" w:lineRule="auto"/>
        <w:rPr>
          <w:rFonts w:eastAsia="Times New Roman" w:cs="Arial"/>
          <w:color w:val="000000"/>
          <w:lang w:eastAsia="bg-BG"/>
        </w:rPr>
      </w:pPr>
    </w:p>
    <w:p w14:paraId="0CA40EB5" w14:textId="6E902205" w:rsidR="00031092" w:rsidRPr="00031092" w:rsidRDefault="00031092" w:rsidP="00031092">
      <w:pPr>
        <w:spacing w:line="240" w:lineRule="auto"/>
        <w:rPr>
          <w:rFonts w:eastAsia="Times New Roman" w:cs="Arial"/>
          <w:color w:val="000000"/>
          <w:lang w:eastAsia="bg-BG"/>
        </w:rPr>
      </w:pPr>
      <w:r w:rsidRPr="00031092">
        <w:rPr>
          <w:rFonts w:eastAsia="Times New Roman" w:cs="Arial"/>
          <w:color w:val="000000"/>
          <w:lang w:eastAsia="bg-BG"/>
        </w:rPr>
        <w:t>Рискът от кървене от стомашно-чревния тракт се увеличава с повишаване дозите на НСПВП, при пациенти с анамнеза за язва, особено усложнена с кръвоизлив или перфорация (вж. точка 4.3 Противопоказания) и при пациенти в старческа възраст. Такива пациенти трябва да започнат лечението с възможно най-ниски дози. При такива пациенти, както и при пациенти, приемащи ниски дози ацетилсалицилова киселина или други лекарства, повишаващи гастроинтестиналния риск (вж. по-долу и точка 4.5 Взаимодействие с други лекарствени продукти и други форми на взаимодействие), трябва да се обсъди комбинирана терапия с протективни агенти (напр. мизопростол или инхибитори на протонната помпа).</w:t>
      </w:r>
    </w:p>
    <w:p w14:paraId="0CD18606" w14:textId="77777777" w:rsidR="00031092" w:rsidRPr="00031092" w:rsidRDefault="00031092" w:rsidP="00031092">
      <w:pPr>
        <w:spacing w:line="240" w:lineRule="auto"/>
        <w:rPr>
          <w:rFonts w:eastAsia="Times New Roman" w:cs="Arial"/>
          <w:color w:val="000000"/>
          <w:lang w:eastAsia="bg-BG"/>
        </w:rPr>
      </w:pPr>
    </w:p>
    <w:p w14:paraId="0CD4F107" w14:textId="2A760604" w:rsidR="00031092" w:rsidRPr="00031092" w:rsidRDefault="00031092" w:rsidP="00031092">
      <w:pPr>
        <w:spacing w:line="240" w:lineRule="auto"/>
        <w:rPr>
          <w:rFonts w:eastAsia="Times New Roman" w:cs="Arial"/>
          <w:lang w:eastAsia="bg-BG"/>
        </w:rPr>
      </w:pPr>
      <w:r w:rsidRPr="00031092">
        <w:rPr>
          <w:rFonts w:eastAsia="Times New Roman" w:cs="Arial"/>
          <w:color w:val="000000"/>
          <w:lang w:eastAsia="bg-BG"/>
        </w:rPr>
        <w:t>Пациентите с анамнеза за гастроинтестинална токсичност, особено когато са в старческа възраст, трябва да съобщават всички необичайни симптоми в коремната област (особено кървене от стомашно-чревния тракт) предимно в началните етапи на лечението.</w:t>
      </w:r>
    </w:p>
    <w:p w14:paraId="2C56FF90" w14:textId="77777777" w:rsidR="00031092" w:rsidRPr="00031092" w:rsidRDefault="00031092" w:rsidP="00031092">
      <w:pPr>
        <w:spacing w:line="240" w:lineRule="auto"/>
        <w:rPr>
          <w:rFonts w:eastAsia="Times New Roman" w:cs="Arial"/>
          <w:i/>
          <w:iCs/>
          <w:color w:val="000000"/>
          <w:u w:val="single"/>
          <w:lang w:eastAsia="bg-BG"/>
        </w:rPr>
      </w:pPr>
    </w:p>
    <w:p w14:paraId="602F40A7" w14:textId="5D0F3AFE" w:rsidR="00031092" w:rsidRPr="00031092" w:rsidRDefault="00031092" w:rsidP="00031092">
      <w:pPr>
        <w:spacing w:line="240" w:lineRule="auto"/>
        <w:rPr>
          <w:rFonts w:eastAsia="Times New Roman" w:cs="Arial"/>
          <w:lang w:eastAsia="bg-BG"/>
        </w:rPr>
      </w:pPr>
      <w:r w:rsidRPr="00031092">
        <w:rPr>
          <w:rFonts w:eastAsia="Times New Roman" w:cs="Arial"/>
          <w:i/>
          <w:iCs/>
          <w:color w:val="000000"/>
          <w:u w:val="single"/>
          <w:lang w:eastAsia="bg-BG"/>
        </w:rPr>
        <w:t>Пациенти в старческа възраст</w:t>
      </w:r>
    </w:p>
    <w:p w14:paraId="0FD03FD5" w14:textId="77777777" w:rsidR="00031092" w:rsidRPr="00031092" w:rsidRDefault="00031092" w:rsidP="00031092">
      <w:pPr>
        <w:spacing w:line="240" w:lineRule="auto"/>
        <w:rPr>
          <w:rFonts w:eastAsia="Times New Roman" w:cs="Arial"/>
          <w:lang w:eastAsia="bg-BG"/>
        </w:rPr>
      </w:pPr>
      <w:r w:rsidRPr="00031092">
        <w:rPr>
          <w:rFonts w:eastAsia="Times New Roman" w:cs="Arial"/>
          <w:color w:val="000000"/>
          <w:lang w:eastAsia="bg-BG"/>
        </w:rPr>
        <w:t>При пациентите в старческа възраст е налице повишена честота на нежеланите лекарствени реакции към НСПВС, особено стомашно-чревно кървене и перфорация, които могат да фатални (вижте точка 4.2).</w:t>
      </w:r>
    </w:p>
    <w:p w14:paraId="432D76D7" w14:textId="6874397E" w:rsidR="00031092" w:rsidRPr="00031092" w:rsidRDefault="00031092" w:rsidP="00031092">
      <w:pPr>
        <w:spacing w:line="240" w:lineRule="auto"/>
        <w:rPr>
          <w:rFonts w:eastAsia="Times New Roman" w:cs="Arial"/>
          <w:lang w:eastAsia="bg-BG"/>
        </w:rPr>
      </w:pPr>
      <w:r w:rsidRPr="00031092">
        <w:rPr>
          <w:rFonts w:eastAsia="Times New Roman" w:cs="Arial"/>
          <w:color w:val="000000"/>
          <w:lang w:eastAsia="bg-BG"/>
        </w:rPr>
        <w:t xml:space="preserve">Необходимо е повишено внимание при пациенти, приемащи едновременно лекарства, повишаващи риска от разязвяване или кървене, каквито са пероралните кортикостероиди, антикоагуланти като варфин, селективни инхибитори на серотониновия реъптейк </w:t>
      </w:r>
      <w:r w:rsidRPr="00031092">
        <w:rPr>
          <w:rFonts w:eastAsia="Times New Roman" w:cs="Arial"/>
          <w:color w:val="000000"/>
          <w:lang w:val="en-US"/>
        </w:rPr>
        <w:t xml:space="preserve">(SSR1) </w:t>
      </w:r>
      <w:r w:rsidRPr="00031092">
        <w:rPr>
          <w:rFonts w:eastAsia="Times New Roman" w:cs="Arial"/>
          <w:color w:val="000000"/>
          <w:lang w:eastAsia="bg-BG"/>
        </w:rPr>
        <w:t>или тромбоцитни антиагреганти като ацетилсалициловата киселина (вж. точка 4.5 Взаимодействи</w:t>
      </w:r>
      <w:r w:rsidRPr="00031092">
        <w:rPr>
          <w:rFonts w:eastAsia="Times New Roman" w:cs="Arial"/>
          <w:color w:val="000000"/>
          <w:lang w:val="en-US"/>
        </w:rPr>
        <w:t>e</w:t>
      </w:r>
      <w:r w:rsidRPr="00031092">
        <w:rPr>
          <w:rFonts w:eastAsia="Times New Roman" w:cs="Arial"/>
          <w:color w:val="000000"/>
          <w:lang w:eastAsia="bg-BG"/>
        </w:rPr>
        <w:t xml:space="preserve"> с други лекарствени продукти и други форми на взаимодействие).</w:t>
      </w:r>
    </w:p>
    <w:p w14:paraId="0E28BBDE" w14:textId="4234F33E" w:rsidR="007A2185" w:rsidRPr="00031092" w:rsidRDefault="00031092" w:rsidP="00031092">
      <w:pPr>
        <w:rPr>
          <w:rFonts w:cs="Arial"/>
        </w:rPr>
      </w:pPr>
      <w:r w:rsidRPr="00031092">
        <w:rPr>
          <w:rFonts w:eastAsia="Times New Roman" w:cs="Arial"/>
          <w:color w:val="000000"/>
          <w:lang w:eastAsia="bg-BG"/>
        </w:rPr>
        <w:t>Ако възникне гастроинтестинално кървене или разязвяване при пациенти,</w:t>
      </w:r>
      <w:r w:rsidRPr="00031092">
        <w:rPr>
          <w:rFonts w:eastAsia="Times New Roman" w:cs="Arial"/>
          <w:color w:val="000000"/>
          <w:lang w:val="en-US"/>
        </w:rPr>
        <w:t xml:space="preserve"> </w:t>
      </w:r>
      <w:r w:rsidRPr="00031092">
        <w:rPr>
          <w:rFonts w:eastAsia="Times New Roman" w:cs="Arial"/>
          <w:color w:val="000000"/>
          <w:lang w:eastAsia="bg-BG"/>
        </w:rPr>
        <w:t xml:space="preserve">приемащи Кетопрофен-Чайкафарма 100 </w:t>
      </w:r>
      <w:r w:rsidRPr="00031092">
        <w:rPr>
          <w:rFonts w:eastAsia="Times New Roman" w:cs="Arial"/>
          <w:color w:val="000000"/>
          <w:lang w:val="en-US"/>
        </w:rPr>
        <w:t xml:space="preserve">mg/2 ml </w:t>
      </w:r>
      <w:r w:rsidRPr="00031092">
        <w:rPr>
          <w:rFonts w:eastAsia="Times New Roman" w:cs="Arial"/>
          <w:color w:val="000000"/>
          <w:lang w:eastAsia="bg-BG"/>
        </w:rPr>
        <w:t>инжекционен разтвор, лечението трябва да се прекрати.</w:t>
      </w:r>
    </w:p>
    <w:p w14:paraId="24E3E82F" w14:textId="20D48F90" w:rsidR="0091385D" w:rsidRPr="00462983" w:rsidRDefault="0091385D" w:rsidP="0091385D">
      <w:pPr>
        <w:rPr>
          <w:rFonts w:cs="Arial"/>
        </w:rPr>
      </w:pPr>
    </w:p>
    <w:p w14:paraId="39D73FEB" w14:textId="77777777" w:rsidR="00031092" w:rsidRPr="00031092" w:rsidRDefault="00031092" w:rsidP="00031092">
      <w:pPr>
        <w:spacing w:line="240" w:lineRule="auto"/>
        <w:rPr>
          <w:rFonts w:eastAsia="Times New Roman" w:cs="Arial"/>
          <w:sz w:val="24"/>
          <w:szCs w:val="24"/>
          <w:lang w:eastAsia="bg-BG"/>
        </w:rPr>
      </w:pPr>
      <w:r w:rsidRPr="00031092">
        <w:rPr>
          <w:rFonts w:eastAsia="Times New Roman" w:cs="Arial"/>
          <w:color w:val="000000"/>
          <w:lang w:eastAsia="bg-BG"/>
        </w:rPr>
        <w:t>НСПВП трябва да се прилага с повишено внимание на пациенти с анамнеза за стомашно- чревно заболяване (улцерозен колит, болест на Крои) поради възможна екзацербация (вж. точка 4.8 Нежелани лекарствени реакции).</w:t>
      </w:r>
    </w:p>
    <w:p w14:paraId="1C924145" w14:textId="77777777" w:rsidR="00031092" w:rsidRPr="00462983" w:rsidRDefault="00031092" w:rsidP="00031092">
      <w:pPr>
        <w:spacing w:line="240" w:lineRule="auto"/>
        <w:rPr>
          <w:rFonts w:eastAsia="Times New Roman" w:cs="Arial"/>
          <w:color w:val="000000"/>
          <w:lang w:eastAsia="bg-BG"/>
        </w:rPr>
      </w:pPr>
    </w:p>
    <w:p w14:paraId="11BBE5FA" w14:textId="0D915C65" w:rsidR="00031092" w:rsidRPr="00031092" w:rsidRDefault="00031092" w:rsidP="00031092">
      <w:pPr>
        <w:spacing w:line="240" w:lineRule="auto"/>
        <w:rPr>
          <w:rFonts w:eastAsia="Times New Roman" w:cs="Arial"/>
          <w:sz w:val="24"/>
          <w:szCs w:val="24"/>
          <w:lang w:eastAsia="bg-BG"/>
        </w:rPr>
      </w:pPr>
      <w:r w:rsidRPr="00031092">
        <w:rPr>
          <w:rFonts w:eastAsia="Times New Roman" w:cs="Arial"/>
          <w:color w:val="000000"/>
          <w:lang w:eastAsia="bg-BG"/>
        </w:rPr>
        <w:t>Ако възникне гастроинтестиално кървене или улцерация при пациенти, примащи Кетопрофен- Чайкафарма, лечението трябва да се прекрати.</w:t>
      </w:r>
    </w:p>
    <w:p w14:paraId="7F02129F" w14:textId="77777777" w:rsidR="00031092" w:rsidRPr="00462983" w:rsidRDefault="00031092" w:rsidP="00031092">
      <w:pPr>
        <w:spacing w:line="240" w:lineRule="auto"/>
        <w:rPr>
          <w:rFonts w:eastAsia="Times New Roman" w:cs="Arial"/>
          <w:color w:val="000000"/>
          <w:lang w:eastAsia="bg-BG"/>
        </w:rPr>
      </w:pPr>
    </w:p>
    <w:p w14:paraId="707265DC" w14:textId="05C8AF84" w:rsidR="00031092" w:rsidRPr="00031092" w:rsidRDefault="00031092" w:rsidP="00031092">
      <w:pPr>
        <w:spacing w:line="240" w:lineRule="auto"/>
        <w:rPr>
          <w:rFonts w:eastAsia="Times New Roman" w:cs="Arial"/>
          <w:sz w:val="24"/>
          <w:szCs w:val="24"/>
          <w:lang w:eastAsia="bg-BG"/>
        </w:rPr>
      </w:pPr>
      <w:r w:rsidRPr="00031092">
        <w:rPr>
          <w:rFonts w:eastAsia="Times New Roman" w:cs="Arial"/>
          <w:color w:val="000000"/>
          <w:lang w:eastAsia="bg-BG"/>
        </w:rPr>
        <w:t>Клинични проучвания и епидемиологични данни показват, че употребата на някои НСПВП (особено при високи дози и продължително лечение) може да доведе до повишен риск от артериални тромбози (напр. миокарден инфаркт или инсулт) (вж. точка 4.4 Специални предупреждения и предпазни мерки при употреба). Няма достатъчно данни, които да изключват такъв риск при кетопрофен.</w:t>
      </w:r>
    </w:p>
    <w:p w14:paraId="076D43A4" w14:textId="77777777" w:rsidR="00031092" w:rsidRPr="00462983" w:rsidRDefault="00031092" w:rsidP="00031092">
      <w:pPr>
        <w:spacing w:line="240" w:lineRule="auto"/>
        <w:rPr>
          <w:rFonts w:eastAsia="Times New Roman" w:cs="Arial"/>
          <w:color w:val="000000"/>
          <w:lang w:eastAsia="bg-BG"/>
        </w:rPr>
      </w:pPr>
    </w:p>
    <w:p w14:paraId="6FBA920B" w14:textId="0DEE3B80" w:rsidR="00031092" w:rsidRPr="00031092" w:rsidRDefault="00031092" w:rsidP="00031092">
      <w:pPr>
        <w:spacing w:line="240" w:lineRule="auto"/>
        <w:rPr>
          <w:rFonts w:eastAsia="Times New Roman" w:cs="Arial"/>
          <w:sz w:val="24"/>
          <w:szCs w:val="24"/>
          <w:lang w:eastAsia="bg-BG"/>
        </w:rPr>
      </w:pPr>
      <w:r w:rsidRPr="00031092">
        <w:rPr>
          <w:rFonts w:eastAsia="Times New Roman" w:cs="Arial"/>
          <w:color w:val="000000"/>
          <w:lang w:eastAsia="bg-BG"/>
        </w:rPr>
        <w:t xml:space="preserve">Сериозни </w:t>
      </w:r>
      <w:r w:rsidRPr="00031092">
        <w:rPr>
          <w:rFonts w:eastAsia="Times New Roman" w:cs="Arial"/>
          <w:b/>
          <w:bCs/>
          <w:color w:val="000000"/>
          <w:lang w:eastAsia="bg-BG"/>
        </w:rPr>
        <w:t xml:space="preserve">кожни реакции, </w:t>
      </w:r>
      <w:r w:rsidRPr="00031092">
        <w:rPr>
          <w:rFonts w:eastAsia="Times New Roman" w:cs="Arial"/>
          <w:color w:val="000000"/>
          <w:lang w:eastAsia="bg-BG"/>
        </w:rPr>
        <w:t xml:space="preserve">някои от тях фатални, включително ексфолиативен дерматит, синдром на </w:t>
      </w:r>
      <w:r w:rsidRPr="00031092">
        <w:rPr>
          <w:rFonts w:eastAsia="Times New Roman" w:cs="Arial"/>
          <w:color w:val="000000"/>
          <w:lang w:val="en-US"/>
        </w:rPr>
        <w:t xml:space="preserve">Stevens-Johnson </w:t>
      </w:r>
      <w:r w:rsidRPr="00031092">
        <w:rPr>
          <w:rFonts w:eastAsia="Times New Roman" w:cs="Arial"/>
          <w:color w:val="000000"/>
          <w:lang w:eastAsia="bg-BG"/>
        </w:rPr>
        <w:t xml:space="preserve">и токсична епидермална некролиза, са съобщавани много рядко във връзка с употребата на НСПВС (вж. точка 4.8 Нежелани лекарствени реакции). Пациентите са под най-голям рискот проявата на тези реакции в началото на терапията. В по-голям брой от случаите те се появяват през първия месец от лечението. Приемът на Кетопрофен-Чайкафарма 100 </w:t>
      </w:r>
      <w:r w:rsidRPr="00031092">
        <w:rPr>
          <w:rFonts w:eastAsia="Times New Roman" w:cs="Arial"/>
          <w:color w:val="000000"/>
          <w:lang w:val="en-US"/>
        </w:rPr>
        <w:t xml:space="preserve">mg/2 ml </w:t>
      </w:r>
      <w:r w:rsidRPr="00031092">
        <w:rPr>
          <w:rFonts w:eastAsia="Times New Roman" w:cs="Arial"/>
          <w:color w:val="000000"/>
          <w:lang w:eastAsia="bg-BG"/>
        </w:rPr>
        <w:t xml:space="preserve">инжекционен разтвор трябва да се прекрати при </w:t>
      </w:r>
      <w:r w:rsidRPr="00031092">
        <w:rPr>
          <w:rFonts w:eastAsia="Times New Roman" w:cs="Arial"/>
          <w:color w:val="000000"/>
          <w:lang w:eastAsia="bg-BG"/>
        </w:rPr>
        <w:lastRenderedPageBreak/>
        <w:t>първите симптоми на кожен обрив, лезии по лигавиците или други признаци на свръхчувствителност.</w:t>
      </w:r>
    </w:p>
    <w:p w14:paraId="555A8D5E" w14:textId="77777777" w:rsidR="00031092" w:rsidRPr="00462983" w:rsidRDefault="00031092" w:rsidP="00031092">
      <w:pPr>
        <w:spacing w:line="240" w:lineRule="auto"/>
        <w:rPr>
          <w:rFonts w:eastAsia="Times New Roman" w:cs="Arial"/>
          <w:color w:val="000000"/>
          <w:u w:val="single"/>
          <w:lang w:eastAsia="bg-BG"/>
        </w:rPr>
      </w:pPr>
    </w:p>
    <w:p w14:paraId="6381AA34" w14:textId="55526787" w:rsidR="00031092" w:rsidRPr="00031092" w:rsidRDefault="00031092" w:rsidP="00031092">
      <w:pPr>
        <w:spacing w:line="240" w:lineRule="auto"/>
        <w:rPr>
          <w:rFonts w:eastAsia="Times New Roman" w:cs="Arial"/>
          <w:sz w:val="24"/>
          <w:szCs w:val="24"/>
          <w:lang w:eastAsia="bg-BG"/>
        </w:rPr>
      </w:pPr>
      <w:r w:rsidRPr="00031092">
        <w:rPr>
          <w:rFonts w:eastAsia="Times New Roman" w:cs="Arial"/>
          <w:color w:val="000000"/>
          <w:u w:val="single"/>
          <w:lang w:eastAsia="bg-BG"/>
        </w:rPr>
        <w:t>Предпазни мерки</w:t>
      </w:r>
    </w:p>
    <w:p w14:paraId="006B70A0" w14:textId="77777777" w:rsidR="00031092" w:rsidRPr="00031092" w:rsidRDefault="00031092" w:rsidP="00031092">
      <w:pPr>
        <w:spacing w:line="240" w:lineRule="auto"/>
        <w:rPr>
          <w:rFonts w:eastAsia="Times New Roman" w:cs="Arial"/>
          <w:sz w:val="24"/>
          <w:szCs w:val="24"/>
          <w:lang w:eastAsia="bg-BG"/>
        </w:rPr>
      </w:pPr>
      <w:r w:rsidRPr="00031092">
        <w:rPr>
          <w:rFonts w:eastAsia="Times New Roman" w:cs="Arial"/>
          <w:color w:val="000000"/>
          <w:lang w:eastAsia="bg-BG"/>
        </w:rPr>
        <w:t>При пациенти с активна пептична язва или с минали данни за такава.</w:t>
      </w:r>
    </w:p>
    <w:p w14:paraId="34CC5489" w14:textId="77777777" w:rsidR="00031092" w:rsidRPr="00031092" w:rsidRDefault="00031092" w:rsidP="00031092">
      <w:pPr>
        <w:spacing w:line="240" w:lineRule="auto"/>
        <w:rPr>
          <w:rFonts w:eastAsia="Times New Roman" w:cs="Arial"/>
          <w:sz w:val="24"/>
          <w:szCs w:val="24"/>
          <w:lang w:eastAsia="bg-BG"/>
        </w:rPr>
      </w:pPr>
      <w:r w:rsidRPr="00031092">
        <w:rPr>
          <w:rFonts w:eastAsia="Times New Roman" w:cs="Arial"/>
          <w:color w:val="000000"/>
          <w:lang w:eastAsia="bg-BG"/>
        </w:rPr>
        <w:t>Относителния риск от стомашно-чревно кървене се повишава при пациенти с ниска телесна маса. Ако възникне кървене от стомашно-чревния тракт, лечението трябва да се преустанови незабавно.</w:t>
      </w:r>
    </w:p>
    <w:p w14:paraId="19EA8739" w14:textId="77777777" w:rsidR="00031092" w:rsidRPr="00462983" w:rsidRDefault="00031092" w:rsidP="00031092">
      <w:pPr>
        <w:spacing w:line="240" w:lineRule="auto"/>
        <w:rPr>
          <w:rFonts w:eastAsia="Times New Roman" w:cs="Arial"/>
          <w:color w:val="000000"/>
          <w:lang w:eastAsia="bg-BG"/>
        </w:rPr>
      </w:pPr>
    </w:p>
    <w:p w14:paraId="1DD3DE45" w14:textId="384A6AA8" w:rsidR="00031092" w:rsidRPr="00031092" w:rsidRDefault="00031092" w:rsidP="00031092">
      <w:pPr>
        <w:spacing w:line="240" w:lineRule="auto"/>
        <w:rPr>
          <w:rFonts w:eastAsia="Times New Roman" w:cs="Arial"/>
          <w:sz w:val="24"/>
          <w:szCs w:val="24"/>
          <w:lang w:eastAsia="bg-BG"/>
        </w:rPr>
      </w:pPr>
      <w:r w:rsidRPr="00031092">
        <w:rPr>
          <w:rFonts w:eastAsia="Times New Roman" w:cs="Arial"/>
          <w:color w:val="000000"/>
          <w:lang w:eastAsia="bg-BG"/>
        </w:rPr>
        <w:t>НСПВС трябва да се прилагат с повишено внимание на пациенти с анамнеза за стомашно- чревно заболяване (улцерозен колит, болест на Крон), поради възможна екзацербация.</w:t>
      </w:r>
    </w:p>
    <w:p w14:paraId="198F1367" w14:textId="77777777" w:rsidR="00031092" w:rsidRPr="00462983" w:rsidRDefault="00031092" w:rsidP="00031092">
      <w:pPr>
        <w:spacing w:line="240" w:lineRule="auto"/>
        <w:rPr>
          <w:rFonts w:eastAsia="Times New Roman" w:cs="Arial"/>
          <w:color w:val="000000"/>
          <w:lang w:eastAsia="bg-BG"/>
        </w:rPr>
      </w:pPr>
    </w:p>
    <w:p w14:paraId="6402BB84" w14:textId="559D95F7" w:rsidR="00031092" w:rsidRPr="00031092" w:rsidRDefault="00031092" w:rsidP="00031092">
      <w:pPr>
        <w:spacing w:line="240" w:lineRule="auto"/>
        <w:rPr>
          <w:rFonts w:eastAsia="Times New Roman" w:cs="Arial"/>
          <w:sz w:val="24"/>
          <w:szCs w:val="24"/>
          <w:lang w:eastAsia="bg-BG"/>
        </w:rPr>
      </w:pPr>
      <w:r w:rsidRPr="00031092">
        <w:rPr>
          <w:rFonts w:eastAsia="Times New Roman" w:cs="Arial"/>
          <w:color w:val="000000"/>
          <w:lang w:eastAsia="bg-BG"/>
        </w:rPr>
        <w:t>Необходимо е повишено внимание при пациенти с хипертония и/или лека до умерена конгестивна сърдечна недостатъчност, тъй като са съобщавани задръжка на течности и оток по време на терапия с НСПВС.</w:t>
      </w:r>
    </w:p>
    <w:p w14:paraId="494C48F3" w14:textId="77777777" w:rsidR="00031092" w:rsidRPr="00462983" w:rsidRDefault="00031092" w:rsidP="00031092">
      <w:pPr>
        <w:spacing w:line="240" w:lineRule="auto"/>
        <w:rPr>
          <w:rFonts w:eastAsia="Times New Roman" w:cs="Arial"/>
          <w:color w:val="000000"/>
          <w:lang w:eastAsia="bg-BG"/>
        </w:rPr>
      </w:pPr>
    </w:p>
    <w:p w14:paraId="57E0B338" w14:textId="31DEBED9" w:rsidR="00031092" w:rsidRPr="00031092" w:rsidRDefault="00031092" w:rsidP="00031092">
      <w:pPr>
        <w:spacing w:line="240" w:lineRule="auto"/>
        <w:rPr>
          <w:rFonts w:eastAsia="Times New Roman" w:cs="Arial"/>
          <w:color w:val="000000"/>
          <w:lang w:eastAsia="bg-BG"/>
        </w:rPr>
      </w:pPr>
      <w:r w:rsidRPr="00031092">
        <w:rPr>
          <w:rFonts w:eastAsia="Times New Roman" w:cs="Arial"/>
          <w:color w:val="000000"/>
          <w:lang w:eastAsia="bg-BG"/>
        </w:rPr>
        <w:t>Пациенти с астма, асоциирана с хроничен ринит, хроничен синузит и/ или назални полипи са с по-висок риск от проява на алергия към ацетилсалицилова киселина и/или НСПВС в сравнение с общата популация. Прилагането на този лекарствен продукт може да предизвика астматичен пристъп или бронхоспазъм, особено при пациенти, алергични към ацетилсалицилова киселина или НСПВС (вижте точка 4.3).</w:t>
      </w:r>
    </w:p>
    <w:p w14:paraId="5FB18860" w14:textId="77777777" w:rsidR="00031092" w:rsidRPr="00462983" w:rsidRDefault="00031092" w:rsidP="00031092">
      <w:pPr>
        <w:spacing w:line="240" w:lineRule="auto"/>
        <w:rPr>
          <w:rFonts w:eastAsia="Times New Roman" w:cs="Arial"/>
          <w:color w:val="000000"/>
          <w:lang w:eastAsia="bg-BG"/>
        </w:rPr>
      </w:pPr>
    </w:p>
    <w:p w14:paraId="62486207" w14:textId="0E975C03" w:rsidR="00031092" w:rsidRPr="00031092" w:rsidRDefault="00031092" w:rsidP="00031092">
      <w:pPr>
        <w:spacing w:line="240" w:lineRule="auto"/>
        <w:rPr>
          <w:rFonts w:eastAsia="Times New Roman" w:cs="Arial"/>
          <w:sz w:val="24"/>
          <w:szCs w:val="24"/>
          <w:lang w:eastAsia="bg-BG"/>
        </w:rPr>
      </w:pPr>
      <w:r w:rsidRPr="00031092">
        <w:rPr>
          <w:rFonts w:eastAsia="Times New Roman" w:cs="Arial"/>
          <w:color w:val="000000"/>
          <w:lang w:eastAsia="bg-BG"/>
        </w:rPr>
        <w:t>При започване на лечението, бъбречната функция трябва внимателно да бъде преценена при пациенти със сърдечна недостатъчност, цироза или нефроза, при пациенти на диуретично лечение, при пациенти с хронична бъбречна недостатъчност и особено ако пациентите са в старческа възраст. При тези пациенти прилагането на кетопрофен може да предизвика понижение на бъбречния поток, причинено от постагландиновата инхибиция, което да доведе до бъбречна декомпенсация.</w:t>
      </w:r>
    </w:p>
    <w:p w14:paraId="2B3C6C98" w14:textId="77777777" w:rsidR="00031092" w:rsidRPr="00462983" w:rsidRDefault="00031092" w:rsidP="00031092">
      <w:pPr>
        <w:spacing w:line="240" w:lineRule="auto"/>
        <w:rPr>
          <w:rFonts w:eastAsia="Times New Roman" w:cs="Arial"/>
          <w:color w:val="000000"/>
          <w:lang w:eastAsia="bg-BG"/>
        </w:rPr>
      </w:pPr>
    </w:p>
    <w:p w14:paraId="0DE59BF5" w14:textId="38C9A7F0" w:rsidR="00031092" w:rsidRPr="00031092" w:rsidRDefault="00031092" w:rsidP="00031092">
      <w:pPr>
        <w:spacing w:line="240" w:lineRule="auto"/>
        <w:rPr>
          <w:rFonts w:eastAsia="Times New Roman" w:cs="Arial"/>
          <w:sz w:val="24"/>
          <w:szCs w:val="24"/>
          <w:lang w:eastAsia="bg-BG"/>
        </w:rPr>
      </w:pPr>
      <w:r w:rsidRPr="00031092">
        <w:rPr>
          <w:rFonts w:eastAsia="Times New Roman" w:cs="Arial"/>
          <w:color w:val="000000"/>
          <w:lang w:eastAsia="bg-BG"/>
        </w:rPr>
        <w:t>Както други НСПВС при наличие на инфекциозно заболяване противовъзпалителният, аналгетичният и антидепретичният ефект на кетопрофен може да маскира обичайните признаци на прогресия на инфекцията, какъвто признак е температурата.</w:t>
      </w:r>
    </w:p>
    <w:p w14:paraId="5F72E3E4" w14:textId="77777777" w:rsidR="00031092" w:rsidRPr="00462983" w:rsidRDefault="00031092" w:rsidP="00031092">
      <w:pPr>
        <w:rPr>
          <w:rFonts w:eastAsia="Times New Roman" w:cs="Arial"/>
          <w:color w:val="000000"/>
          <w:lang w:eastAsia="bg-BG"/>
        </w:rPr>
      </w:pPr>
    </w:p>
    <w:p w14:paraId="15943FE3" w14:textId="481EC4DB" w:rsidR="00031092" w:rsidRPr="00462983" w:rsidRDefault="00031092" w:rsidP="00031092">
      <w:pPr>
        <w:rPr>
          <w:rFonts w:cs="Arial"/>
        </w:rPr>
      </w:pPr>
      <w:r w:rsidRPr="00462983">
        <w:rPr>
          <w:rFonts w:eastAsia="Times New Roman" w:cs="Arial"/>
          <w:color w:val="000000"/>
          <w:lang w:eastAsia="bg-BG"/>
        </w:rPr>
        <w:t>При пациенти с абнормни функционални чернодробни тестове или с анамнеза за чернодробно заболяване, стойностите на трансаминазите трябва да се контролират периодично, особено при продължително лечение.</w:t>
      </w:r>
    </w:p>
    <w:p w14:paraId="5007F80A" w14:textId="20E814C3" w:rsidR="00031092" w:rsidRPr="00462983" w:rsidRDefault="00031092" w:rsidP="0091385D">
      <w:pPr>
        <w:rPr>
          <w:rFonts w:cs="Arial"/>
        </w:rPr>
      </w:pPr>
    </w:p>
    <w:p w14:paraId="475CD901" w14:textId="77777777" w:rsidR="00031092" w:rsidRPr="00031092" w:rsidRDefault="00031092" w:rsidP="00031092">
      <w:pPr>
        <w:spacing w:line="240" w:lineRule="auto"/>
        <w:rPr>
          <w:rFonts w:eastAsia="Times New Roman" w:cs="Arial"/>
          <w:sz w:val="24"/>
          <w:szCs w:val="24"/>
          <w:lang w:eastAsia="bg-BG"/>
        </w:rPr>
      </w:pPr>
      <w:r w:rsidRPr="00031092">
        <w:rPr>
          <w:rFonts w:eastAsia="Times New Roman" w:cs="Arial"/>
          <w:color w:val="000000"/>
          <w:lang w:eastAsia="bg-BG"/>
        </w:rPr>
        <w:t>Броят на кръвните клетки, чернодробната и бъбречната функция трябва да се контролират при продължително лечение.</w:t>
      </w:r>
    </w:p>
    <w:p w14:paraId="7A89BA24" w14:textId="77777777" w:rsidR="00031092" w:rsidRPr="00462983" w:rsidRDefault="00031092" w:rsidP="00031092">
      <w:pPr>
        <w:spacing w:line="240" w:lineRule="auto"/>
        <w:rPr>
          <w:rFonts w:eastAsia="Times New Roman" w:cs="Arial"/>
          <w:color w:val="000000"/>
          <w:lang w:eastAsia="bg-BG"/>
        </w:rPr>
      </w:pPr>
    </w:p>
    <w:p w14:paraId="4FFDCCBC" w14:textId="19480237" w:rsidR="00031092" w:rsidRPr="00031092" w:rsidRDefault="00031092" w:rsidP="00031092">
      <w:pPr>
        <w:spacing w:line="240" w:lineRule="auto"/>
        <w:rPr>
          <w:rFonts w:eastAsia="Times New Roman" w:cs="Arial"/>
          <w:sz w:val="24"/>
          <w:szCs w:val="24"/>
          <w:lang w:eastAsia="bg-BG"/>
        </w:rPr>
      </w:pPr>
      <w:r w:rsidRPr="00031092">
        <w:rPr>
          <w:rFonts w:eastAsia="Times New Roman" w:cs="Arial"/>
          <w:color w:val="000000"/>
          <w:lang w:eastAsia="bg-BG"/>
        </w:rPr>
        <w:t>При опасност от хиперкалиемията (при диабет или едновременен прием на калий-съхраняващи диуретици) нивото на калий в кръвта трябва да се контролира редовно.</w:t>
      </w:r>
    </w:p>
    <w:p w14:paraId="52B59F75" w14:textId="77777777" w:rsidR="00031092" w:rsidRPr="00462983" w:rsidRDefault="00031092" w:rsidP="00031092">
      <w:pPr>
        <w:spacing w:line="240" w:lineRule="auto"/>
        <w:rPr>
          <w:rFonts w:eastAsia="Times New Roman" w:cs="Arial"/>
          <w:color w:val="000000"/>
          <w:lang w:eastAsia="bg-BG"/>
        </w:rPr>
      </w:pPr>
    </w:p>
    <w:p w14:paraId="56A42C2D" w14:textId="10B6DFD5" w:rsidR="00031092" w:rsidRPr="00031092" w:rsidRDefault="00031092" w:rsidP="00031092">
      <w:pPr>
        <w:spacing w:line="240" w:lineRule="auto"/>
        <w:rPr>
          <w:rFonts w:eastAsia="Times New Roman" w:cs="Arial"/>
          <w:sz w:val="24"/>
          <w:szCs w:val="24"/>
          <w:lang w:eastAsia="bg-BG"/>
        </w:rPr>
      </w:pPr>
      <w:r w:rsidRPr="00031092">
        <w:rPr>
          <w:rFonts w:eastAsia="Times New Roman" w:cs="Arial"/>
          <w:color w:val="000000"/>
          <w:lang w:eastAsia="bg-BG"/>
        </w:rPr>
        <w:t>Прилагането на този лекарствен продукт трябва да се преустанови преди големи хирургични операции.</w:t>
      </w:r>
    </w:p>
    <w:p w14:paraId="7C23DD96" w14:textId="77777777" w:rsidR="00031092" w:rsidRPr="00462983" w:rsidRDefault="00031092" w:rsidP="00031092">
      <w:pPr>
        <w:spacing w:line="240" w:lineRule="auto"/>
        <w:rPr>
          <w:rFonts w:eastAsia="Times New Roman" w:cs="Arial"/>
          <w:color w:val="000000"/>
          <w:lang w:eastAsia="bg-BG"/>
        </w:rPr>
      </w:pPr>
    </w:p>
    <w:p w14:paraId="733F990E" w14:textId="42D83988" w:rsidR="00031092" w:rsidRPr="00031092" w:rsidRDefault="00031092" w:rsidP="00031092">
      <w:pPr>
        <w:spacing w:line="240" w:lineRule="auto"/>
        <w:rPr>
          <w:rFonts w:eastAsia="Times New Roman" w:cs="Arial"/>
          <w:sz w:val="24"/>
          <w:szCs w:val="24"/>
          <w:lang w:eastAsia="bg-BG"/>
        </w:rPr>
      </w:pPr>
      <w:r w:rsidRPr="00031092">
        <w:rPr>
          <w:rFonts w:eastAsia="Times New Roman" w:cs="Arial"/>
          <w:color w:val="000000"/>
          <w:lang w:eastAsia="bg-BG"/>
        </w:rPr>
        <w:t xml:space="preserve">Употребата на НСПВС може да повлияе женския фертилитет и не се препоръчва при жени, опитващи да забременеят. При жени, които не могат да забременеят или които </w:t>
      </w:r>
      <w:r w:rsidRPr="00031092">
        <w:rPr>
          <w:rFonts w:eastAsia="Times New Roman" w:cs="Arial"/>
          <w:color w:val="000000"/>
          <w:lang w:eastAsia="bg-BG"/>
        </w:rPr>
        <w:lastRenderedPageBreak/>
        <w:t>провеждат изследвания за стерилитет, трябва да се обсъди преустановяване на приема на НСПВС.</w:t>
      </w:r>
    </w:p>
    <w:p w14:paraId="0DEEB2A4" w14:textId="77777777" w:rsidR="00031092" w:rsidRPr="00462983" w:rsidRDefault="00031092" w:rsidP="00031092">
      <w:pPr>
        <w:rPr>
          <w:rFonts w:eastAsia="Times New Roman" w:cs="Arial"/>
          <w:color w:val="000000"/>
          <w:lang w:eastAsia="bg-BG"/>
        </w:rPr>
      </w:pPr>
    </w:p>
    <w:p w14:paraId="0271351D" w14:textId="06F8B2C4" w:rsidR="00031092" w:rsidRPr="00462983" w:rsidRDefault="00031092" w:rsidP="00031092">
      <w:pPr>
        <w:rPr>
          <w:rFonts w:cs="Arial"/>
        </w:rPr>
      </w:pPr>
      <w:r w:rsidRPr="00462983">
        <w:rPr>
          <w:rFonts w:eastAsia="Times New Roman" w:cs="Arial"/>
          <w:color w:val="000000"/>
          <w:lang w:eastAsia="bg-BG"/>
        </w:rPr>
        <w:t>При много силна болка кетопрофен може да се използва в комбинация с производни на морфин.</w:t>
      </w:r>
    </w:p>
    <w:p w14:paraId="0468C27B" w14:textId="77777777" w:rsidR="00031092" w:rsidRPr="0091385D" w:rsidRDefault="00031092"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5E1BA14D" w14:textId="77777777" w:rsidR="00031092" w:rsidRPr="00031092" w:rsidRDefault="00031092" w:rsidP="00031092">
      <w:pPr>
        <w:spacing w:line="240" w:lineRule="auto"/>
        <w:rPr>
          <w:rFonts w:eastAsia="Times New Roman" w:cs="Arial"/>
          <w:sz w:val="24"/>
          <w:szCs w:val="24"/>
          <w:lang w:eastAsia="bg-BG"/>
        </w:rPr>
      </w:pPr>
      <w:r w:rsidRPr="00031092">
        <w:rPr>
          <w:rFonts w:eastAsia="Times New Roman" w:cs="Arial"/>
          <w:i/>
          <w:iCs/>
          <w:color w:val="000000"/>
          <w:u w:val="single"/>
          <w:lang w:eastAsia="bg-BG"/>
        </w:rPr>
        <w:t>Не се препоръчва едновременното приложение на кетопрофен със следните лекарствени продукти:</w:t>
      </w:r>
    </w:p>
    <w:p w14:paraId="6507DF9C" w14:textId="77777777" w:rsidR="00031092" w:rsidRPr="00031092" w:rsidRDefault="00031092" w:rsidP="00031092">
      <w:pPr>
        <w:spacing w:line="240" w:lineRule="auto"/>
        <w:rPr>
          <w:rFonts w:eastAsia="Times New Roman" w:cs="Arial"/>
          <w:sz w:val="24"/>
          <w:szCs w:val="24"/>
          <w:lang w:eastAsia="bg-BG"/>
        </w:rPr>
      </w:pPr>
      <w:r w:rsidRPr="00031092">
        <w:rPr>
          <w:rFonts w:eastAsia="Times New Roman" w:cs="Arial"/>
          <w:color w:val="000000"/>
          <w:lang w:eastAsia="bg-BG"/>
        </w:rPr>
        <w:t>•</w:t>
      </w:r>
      <w:r w:rsidRPr="00031092">
        <w:rPr>
          <w:rFonts w:eastAsia="Times New Roman" w:cs="Arial"/>
          <w:color w:val="000000"/>
          <w:lang w:eastAsia="bg-BG"/>
        </w:rPr>
        <w:tab/>
        <w:t>Други НСПВС (включително селективни инхибитори на циклооксигеназа 2) и салицилати във високи дози: поради поришен риск от стомашно-чревна улцерация и кървене.</w:t>
      </w:r>
    </w:p>
    <w:p w14:paraId="7A1A5F4D" w14:textId="77777777" w:rsidR="00031092" w:rsidRPr="00031092" w:rsidRDefault="00031092" w:rsidP="00031092">
      <w:pPr>
        <w:spacing w:line="240" w:lineRule="auto"/>
        <w:rPr>
          <w:rFonts w:eastAsia="Times New Roman" w:cs="Arial"/>
          <w:sz w:val="24"/>
          <w:szCs w:val="24"/>
          <w:lang w:eastAsia="bg-BG"/>
        </w:rPr>
      </w:pPr>
      <w:r w:rsidRPr="00031092">
        <w:rPr>
          <w:rFonts w:eastAsia="Times New Roman" w:cs="Arial"/>
          <w:color w:val="000000"/>
          <w:lang w:eastAsia="bg-BG"/>
        </w:rPr>
        <w:t>•</w:t>
      </w:r>
      <w:r w:rsidRPr="00031092">
        <w:rPr>
          <w:rFonts w:eastAsia="Times New Roman" w:cs="Arial"/>
          <w:color w:val="000000"/>
          <w:lang w:eastAsia="bg-BG"/>
        </w:rPr>
        <w:tab/>
        <w:t>Антикоагуланти (хепарин и варфарин) и инхибитори на тромбоцитната агрегация (напр. тиклопидин, клопидогрел): поради повишен риск от кървене (вижте точка 4.4). Ако едновременната употреба не може да избегне, пациентът трябва да бъде проследяван внимателно.</w:t>
      </w:r>
    </w:p>
    <w:p w14:paraId="60C701EF" w14:textId="77777777" w:rsidR="00031092" w:rsidRPr="00031092" w:rsidRDefault="00031092" w:rsidP="00031092">
      <w:pPr>
        <w:spacing w:line="240" w:lineRule="auto"/>
        <w:rPr>
          <w:rFonts w:eastAsia="Times New Roman" w:cs="Arial"/>
          <w:sz w:val="24"/>
          <w:szCs w:val="24"/>
          <w:lang w:eastAsia="bg-BG"/>
        </w:rPr>
      </w:pPr>
      <w:r w:rsidRPr="00031092">
        <w:rPr>
          <w:rFonts w:eastAsia="Times New Roman" w:cs="Arial"/>
          <w:color w:val="000000"/>
          <w:lang w:eastAsia="bg-BG"/>
        </w:rPr>
        <w:t>•</w:t>
      </w:r>
      <w:r w:rsidRPr="00031092">
        <w:rPr>
          <w:rFonts w:eastAsia="Times New Roman" w:cs="Arial"/>
          <w:color w:val="000000"/>
          <w:lang w:eastAsia="bg-BG"/>
        </w:rPr>
        <w:tab/>
        <w:t>Литий: поради риск от повишаване на плазмените нива на литий, които понякога могат да дотигнат токсични стойности заради намалената му бъбречна екскреция. Когато е необходимо, плазмените нива на литий трябва да се контролират внимателно и да се коригират по време на и след терапия с НСПВС.</w:t>
      </w:r>
    </w:p>
    <w:p w14:paraId="4DA21C7E" w14:textId="77777777" w:rsidR="00031092" w:rsidRPr="00031092" w:rsidRDefault="00031092" w:rsidP="00031092">
      <w:pPr>
        <w:spacing w:line="240" w:lineRule="auto"/>
        <w:rPr>
          <w:rFonts w:eastAsia="Times New Roman" w:cs="Arial"/>
          <w:sz w:val="24"/>
          <w:szCs w:val="24"/>
          <w:lang w:eastAsia="bg-BG"/>
        </w:rPr>
      </w:pPr>
      <w:r w:rsidRPr="00031092">
        <w:rPr>
          <w:rFonts w:eastAsia="Times New Roman" w:cs="Arial"/>
          <w:color w:val="000000"/>
          <w:lang w:eastAsia="bg-BG"/>
        </w:rPr>
        <w:t>•</w:t>
      </w:r>
      <w:r w:rsidRPr="00031092">
        <w:rPr>
          <w:rFonts w:eastAsia="Times New Roman" w:cs="Arial"/>
          <w:color w:val="000000"/>
          <w:lang w:eastAsia="bg-BG"/>
        </w:rPr>
        <w:tab/>
        <w:t xml:space="preserve">Метотрексат в дози, по-високи от 15 </w:t>
      </w:r>
      <w:r w:rsidRPr="00031092">
        <w:rPr>
          <w:rFonts w:eastAsia="Times New Roman" w:cs="Arial"/>
          <w:color w:val="000000"/>
          <w:lang w:val="en-US"/>
        </w:rPr>
        <w:t xml:space="preserve">mg </w:t>
      </w:r>
      <w:r w:rsidRPr="00031092">
        <w:rPr>
          <w:rFonts w:eastAsia="Times New Roman" w:cs="Arial"/>
          <w:color w:val="000000"/>
          <w:lang w:eastAsia="bg-BG"/>
        </w:rPr>
        <w:t xml:space="preserve">седмично: поради повишен риск от хематологична токсичност на метотрексат, особено когато е прилаган във високи дози (&gt;15 </w:t>
      </w:r>
      <w:r w:rsidRPr="00031092">
        <w:rPr>
          <w:rFonts w:eastAsia="Times New Roman" w:cs="Arial"/>
          <w:color w:val="000000"/>
          <w:lang w:val="en-US"/>
        </w:rPr>
        <w:t xml:space="preserve">mg </w:t>
      </w:r>
      <w:r w:rsidRPr="00031092">
        <w:rPr>
          <w:rFonts w:eastAsia="Times New Roman" w:cs="Arial"/>
          <w:color w:val="000000"/>
          <w:lang w:eastAsia="bg-BG"/>
        </w:rPr>
        <w:t>седмично), дължащо се вероятно наизместване на свързания с плазмените белтъци метотрексат и на намаления му бъбречен клирънс. Необходимо е да изминат поне 12 часа приема на кетопрофен и прилагането на метотрексат.</w:t>
      </w:r>
    </w:p>
    <w:p w14:paraId="02BA92CA" w14:textId="77777777" w:rsidR="00031092" w:rsidRPr="00462983" w:rsidRDefault="00031092" w:rsidP="00031092">
      <w:pPr>
        <w:spacing w:line="240" w:lineRule="auto"/>
        <w:rPr>
          <w:rFonts w:eastAsia="Times New Roman" w:cs="Arial"/>
          <w:i/>
          <w:iCs/>
          <w:color w:val="000000"/>
          <w:u w:val="single"/>
          <w:lang w:eastAsia="bg-BG"/>
        </w:rPr>
      </w:pPr>
    </w:p>
    <w:p w14:paraId="5F2BF27A" w14:textId="38968D61" w:rsidR="00031092" w:rsidRPr="00031092" w:rsidRDefault="00031092" w:rsidP="00031092">
      <w:pPr>
        <w:spacing w:line="240" w:lineRule="auto"/>
        <w:rPr>
          <w:rFonts w:eastAsia="Times New Roman" w:cs="Arial"/>
          <w:sz w:val="24"/>
          <w:szCs w:val="24"/>
          <w:lang w:eastAsia="bg-BG"/>
        </w:rPr>
      </w:pPr>
      <w:r w:rsidRPr="00031092">
        <w:rPr>
          <w:rFonts w:eastAsia="Times New Roman" w:cs="Arial"/>
          <w:i/>
          <w:iCs/>
          <w:color w:val="000000"/>
          <w:u w:val="single"/>
          <w:lang w:eastAsia="bg-BG"/>
        </w:rPr>
        <w:t>Лекарствени продукти, чиято едновременна употреба с кетопрофен налага прилагането на предпазни мерки:</w:t>
      </w:r>
    </w:p>
    <w:p w14:paraId="340210F5" w14:textId="77777777" w:rsidR="00031092" w:rsidRPr="00031092" w:rsidRDefault="00031092" w:rsidP="00031092">
      <w:pPr>
        <w:spacing w:line="240" w:lineRule="auto"/>
        <w:rPr>
          <w:rFonts w:eastAsia="Times New Roman" w:cs="Arial"/>
          <w:sz w:val="24"/>
          <w:szCs w:val="24"/>
          <w:lang w:eastAsia="bg-BG"/>
        </w:rPr>
      </w:pPr>
      <w:r w:rsidRPr="00031092">
        <w:rPr>
          <w:rFonts w:eastAsia="Times New Roman" w:cs="Arial"/>
          <w:color w:val="000000"/>
          <w:lang w:eastAsia="bg-BG"/>
        </w:rPr>
        <w:t>•</w:t>
      </w:r>
      <w:r w:rsidRPr="00031092">
        <w:rPr>
          <w:rFonts w:eastAsia="Times New Roman" w:cs="Arial"/>
          <w:color w:val="000000"/>
          <w:lang w:eastAsia="bg-BG"/>
        </w:rPr>
        <w:tab/>
        <w:t>Диуретици: пациентите, особено дехидратираните пациенти, приемащи диуретици, са с повишен риск от развитие на бъбречна недостатъчност, дължаща се на намаления бъбречен поток поради простагландиновата инхибиция. Такива пациенти трябва да бъдат рехидратирани преди започване на едновременен прием като бъбречната функция трябва да се проконтролира при започване на лечението (вижте точка 4.4).</w:t>
      </w:r>
    </w:p>
    <w:p w14:paraId="4E514A4A" w14:textId="77777777" w:rsidR="00031092" w:rsidRPr="00031092" w:rsidRDefault="00031092" w:rsidP="00031092">
      <w:pPr>
        <w:spacing w:line="240" w:lineRule="auto"/>
        <w:rPr>
          <w:rFonts w:eastAsia="Times New Roman" w:cs="Arial"/>
          <w:sz w:val="24"/>
          <w:szCs w:val="24"/>
          <w:lang w:eastAsia="bg-BG"/>
        </w:rPr>
      </w:pPr>
      <w:r w:rsidRPr="00031092">
        <w:rPr>
          <w:rFonts w:eastAsia="Times New Roman" w:cs="Arial"/>
          <w:color w:val="000000"/>
          <w:lang w:eastAsia="bg-BG"/>
        </w:rPr>
        <w:t>•</w:t>
      </w:r>
      <w:r w:rsidRPr="00031092">
        <w:rPr>
          <w:rFonts w:eastAsia="Times New Roman" w:cs="Arial"/>
          <w:color w:val="000000"/>
          <w:lang w:eastAsia="bg-BG"/>
        </w:rPr>
        <w:tab/>
        <w:t>АСЕ инхибитори и антагонисти на ангиотензин II: при пациенти с нарушена бъбречна функция (напр.деходратирани пациенти или пациенти в напреднала възраст) едновременната употреба на АСЕ инхибитор или антагонист на ангиотензин II със средства, които инхибират циклооксигеназата, могат да доведат до по-нататъшно влошаване на бъбречната функция, включително и до остра бъбречна недостатъчност.</w:t>
      </w:r>
    </w:p>
    <w:p w14:paraId="5B2761C5" w14:textId="1F9BD712" w:rsidR="0091385D" w:rsidRPr="00462983" w:rsidRDefault="00031092" w:rsidP="00031092">
      <w:pPr>
        <w:rPr>
          <w:rFonts w:cs="Arial"/>
        </w:rPr>
      </w:pPr>
      <w:r w:rsidRPr="00462983">
        <w:rPr>
          <w:rFonts w:eastAsia="Times New Roman" w:cs="Arial"/>
          <w:color w:val="000000"/>
          <w:lang w:eastAsia="bg-BG"/>
        </w:rPr>
        <w:t>•</w:t>
      </w:r>
      <w:r w:rsidRPr="00462983">
        <w:rPr>
          <w:rFonts w:eastAsia="Times New Roman" w:cs="Arial"/>
          <w:color w:val="000000"/>
          <w:lang w:eastAsia="bg-BG"/>
        </w:rPr>
        <w:tab/>
        <w:t xml:space="preserve">Метотрексат в дози, по-ниски от 15 </w:t>
      </w:r>
      <w:r w:rsidRPr="00462983">
        <w:rPr>
          <w:rFonts w:eastAsia="Times New Roman" w:cs="Arial"/>
          <w:color w:val="000000"/>
          <w:lang w:val="en-US"/>
        </w:rPr>
        <w:t xml:space="preserve">mg </w:t>
      </w:r>
      <w:r w:rsidRPr="00462983">
        <w:rPr>
          <w:rFonts w:eastAsia="Times New Roman" w:cs="Arial"/>
          <w:color w:val="000000"/>
          <w:lang w:eastAsia="bg-BG"/>
        </w:rPr>
        <w:t>седмично: през първите седмици на едновременното приложение трябва ежеседмично да се контролира пълната кръвна картина. Ако е налице промяна на бъбречната функция или ако пациентът е в старчедса  възраст, контролът трябва да се осъществява по-често.</w:t>
      </w:r>
    </w:p>
    <w:p w14:paraId="4B9829D5" w14:textId="77777777" w:rsidR="00462983" w:rsidRPr="00462983" w:rsidRDefault="00462983" w:rsidP="00462983">
      <w:pPr>
        <w:spacing w:line="240" w:lineRule="auto"/>
        <w:rPr>
          <w:rFonts w:eastAsia="Times New Roman" w:cs="Arial"/>
          <w:sz w:val="24"/>
          <w:szCs w:val="24"/>
          <w:lang w:eastAsia="bg-BG"/>
        </w:rPr>
      </w:pPr>
      <w:r w:rsidRPr="00462983">
        <w:rPr>
          <w:rFonts w:eastAsia="Times New Roman" w:cs="Arial"/>
          <w:color w:val="000000"/>
          <w:lang w:eastAsia="bg-BG"/>
        </w:rPr>
        <w:t>•</w:t>
      </w:r>
      <w:r w:rsidRPr="00462983">
        <w:rPr>
          <w:rFonts w:eastAsia="Times New Roman" w:cs="Arial"/>
          <w:color w:val="000000"/>
          <w:lang w:eastAsia="bg-BG"/>
        </w:rPr>
        <w:tab/>
        <w:t>Кортикостероиди; поради повишен риск от стомашно-чревни улцерации или кървене (вижте точка 4.4).</w:t>
      </w:r>
    </w:p>
    <w:p w14:paraId="571B7AD9" w14:textId="77777777" w:rsidR="00462983" w:rsidRPr="00462983" w:rsidRDefault="00462983" w:rsidP="00462983">
      <w:pPr>
        <w:spacing w:line="240" w:lineRule="auto"/>
        <w:rPr>
          <w:rFonts w:eastAsia="Times New Roman" w:cs="Arial"/>
          <w:i/>
          <w:iCs/>
          <w:color w:val="000000"/>
          <w:u w:val="single"/>
          <w:lang w:eastAsia="bg-BG"/>
        </w:rPr>
      </w:pPr>
    </w:p>
    <w:p w14:paraId="2789B336" w14:textId="23643A40" w:rsidR="00462983" w:rsidRPr="00462983" w:rsidRDefault="00462983" w:rsidP="00462983">
      <w:pPr>
        <w:spacing w:line="240" w:lineRule="auto"/>
        <w:rPr>
          <w:rFonts w:eastAsia="Times New Roman" w:cs="Arial"/>
          <w:sz w:val="24"/>
          <w:szCs w:val="24"/>
          <w:lang w:eastAsia="bg-BG"/>
        </w:rPr>
      </w:pPr>
      <w:r w:rsidRPr="00462983">
        <w:rPr>
          <w:rFonts w:eastAsia="Times New Roman" w:cs="Arial"/>
          <w:i/>
          <w:iCs/>
          <w:color w:val="000000"/>
          <w:u w:val="single"/>
          <w:lang w:eastAsia="bg-BG"/>
        </w:rPr>
        <w:t>Лекарствени продукти, чиято едновременна употреба с кетопрофен изисква повишено внимание:</w:t>
      </w:r>
    </w:p>
    <w:p w14:paraId="68ACE87F" w14:textId="77777777" w:rsidR="00462983" w:rsidRPr="00462983" w:rsidRDefault="00462983" w:rsidP="00462983">
      <w:pPr>
        <w:spacing w:line="240" w:lineRule="auto"/>
        <w:rPr>
          <w:rFonts w:eastAsia="Times New Roman" w:cs="Arial"/>
          <w:sz w:val="24"/>
          <w:szCs w:val="24"/>
          <w:lang w:eastAsia="bg-BG"/>
        </w:rPr>
      </w:pPr>
      <w:r w:rsidRPr="00462983">
        <w:rPr>
          <w:rFonts w:eastAsia="Times New Roman" w:cs="Arial"/>
          <w:color w:val="000000"/>
          <w:lang w:eastAsia="bg-BG"/>
        </w:rPr>
        <w:lastRenderedPageBreak/>
        <w:t>•</w:t>
      </w:r>
      <w:r w:rsidRPr="00462983">
        <w:rPr>
          <w:rFonts w:eastAsia="Times New Roman" w:cs="Arial"/>
          <w:color w:val="000000"/>
          <w:lang w:eastAsia="bg-BG"/>
        </w:rPr>
        <w:tab/>
        <w:t>Антихипертензивни средства (бета-блокери, инхибитори на ангиотензин конвертиращия ензим, диуретици): поради съществуващия риск от намалена антихипертензивна активност (инхибиция на вазодилатиращите простагландини от НСПВС);</w:t>
      </w:r>
    </w:p>
    <w:p w14:paraId="4C602DB9" w14:textId="77777777" w:rsidR="00462983" w:rsidRPr="00462983" w:rsidRDefault="00462983" w:rsidP="00462983">
      <w:pPr>
        <w:spacing w:line="240" w:lineRule="auto"/>
        <w:rPr>
          <w:rFonts w:eastAsia="Times New Roman" w:cs="Arial"/>
          <w:sz w:val="24"/>
          <w:szCs w:val="24"/>
          <w:lang w:eastAsia="bg-BG"/>
        </w:rPr>
      </w:pPr>
      <w:r w:rsidRPr="00462983">
        <w:rPr>
          <w:rFonts w:eastAsia="Times New Roman" w:cs="Arial"/>
          <w:color w:val="000000"/>
          <w:lang w:eastAsia="bg-BG"/>
        </w:rPr>
        <w:t>•</w:t>
      </w:r>
      <w:r w:rsidRPr="00462983">
        <w:rPr>
          <w:rFonts w:eastAsia="Times New Roman" w:cs="Arial"/>
          <w:color w:val="000000"/>
          <w:lang w:eastAsia="bg-BG"/>
        </w:rPr>
        <w:tab/>
        <w:t>Тромболитици: поради повишения риск от кървене;</w:t>
      </w:r>
    </w:p>
    <w:p w14:paraId="20C6E707" w14:textId="77777777" w:rsidR="00462983" w:rsidRPr="00462983" w:rsidRDefault="00462983" w:rsidP="00462983">
      <w:pPr>
        <w:spacing w:line="240" w:lineRule="auto"/>
        <w:rPr>
          <w:rFonts w:eastAsia="Times New Roman" w:cs="Arial"/>
          <w:sz w:val="24"/>
          <w:szCs w:val="24"/>
          <w:lang w:eastAsia="bg-BG"/>
        </w:rPr>
      </w:pPr>
      <w:r w:rsidRPr="00462983">
        <w:rPr>
          <w:rFonts w:eastAsia="Times New Roman" w:cs="Arial"/>
          <w:color w:val="000000"/>
          <w:lang w:eastAsia="bg-BG"/>
        </w:rPr>
        <w:t>•</w:t>
      </w:r>
      <w:r w:rsidRPr="00462983">
        <w:rPr>
          <w:rFonts w:eastAsia="Times New Roman" w:cs="Arial"/>
          <w:color w:val="000000"/>
          <w:lang w:eastAsia="bg-BG"/>
        </w:rPr>
        <w:tab/>
        <w:t>Селективни инхибитори на обратното захващане на серотонина: поради повишен риск от стомашно-чревно кървене (вижте точка 4.4);</w:t>
      </w:r>
    </w:p>
    <w:p w14:paraId="0999C2B3" w14:textId="77777777" w:rsidR="00462983" w:rsidRPr="00462983" w:rsidRDefault="00462983" w:rsidP="00462983">
      <w:pPr>
        <w:spacing w:line="240" w:lineRule="auto"/>
        <w:rPr>
          <w:rFonts w:eastAsia="Times New Roman" w:cs="Arial"/>
          <w:sz w:val="24"/>
          <w:szCs w:val="24"/>
          <w:lang w:eastAsia="bg-BG"/>
        </w:rPr>
      </w:pPr>
      <w:r w:rsidRPr="00462983">
        <w:rPr>
          <w:rFonts w:eastAsia="Times New Roman" w:cs="Arial"/>
          <w:color w:val="000000"/>
          <w:lang w:eastAsia="bg-BG"/>
        </w:rPr>
        <w:t>•</w:t>
      </w:r>
      <w:r w:rsidRPr="00462983">
        <w:rPr>
          <w:rFonts w:eastAsia="Times New Roman" w:cs="Arial"/>
          <w:color w:val="000000"/>
          <w:lang w:eastAsia="bg-BG"/>
        </w:rPr>
        <w:tab/>
        <w:t>Рискове, свързани с хиперкалиемия: някои лекарствени продукти или хранителни добавки могат да предизвикат хиперкалиемия. Това са калиеви соли, калий- съхраняващи диуретици, инхибитори на конвертиращия ензим, блокери на ангиотензин II рецепторите, НСПВС, хепарин (ниско молекулни или нефракционирани), циклоспорин, такролимус и триметоприм. Появата на хиперкалиемия може да зависи от присъствието на кофакгори. Рискът се повишава, когато се повишава, когато гореспоменатите лекарства се приемат едновременно с Кетопрофен-Чайкафарма;</w:t>
      </w:r>
    </w:p>
    <w:p w14:paraId="0395BD2E" w14:textId="6ACF079E" w:rsidR="007A2185" w:rsidRPr="00462983" w:rsidRDefault="00462983" w:rsidP="00462983">
      <w:pPr>
        <w:rPr>
          <w:rFonts w:cs="Arial"/>
        </w:rPr>
      </w:pPr>
      <w:r w:rsidRPr="00462983">
        <w:rPr>
          <w:rFonts w:eastAsia="Times New Roman" w:cs="Arial"/>
          <w:color w:val="000000"/>
          <w:lang w:eastAsia="bg-BG"/>
        </w:rPr>
        <w:t>•</w:t>
      </w:r>
      <w:r w:rsidRPr="00462983">
        <w:rPr>
          <w:rFonts w:eastAsia="Times New Roman" w:cs="Arial"/>
          <w:color w:val="000000"/>
          <w:lang w:eastAsia="bg-BG"/>
        </w:rPr>
        <w:tab/>
        <w:t>Рискове, свързани с антиагрегантен ефект: няколко субстанции влизат във взаимодействие поради своя антиагрегантен ефект: тирофибан, ептифибарид, абциксимаб и илопрост. Употребата на няколко антиагреганта повишава риска от кървене.</w:t>
      </w:r>
    </w:p>
    <w:p w14:paraId="0A6AD770" w14:textId="77777777" w:rsidR="00462983" w:rsidRPr="0091385D" w:rsidRDefault="00462983"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49C1633A" w14:textId="77777777" w:rsidR="00462983" w:rsidRPr="00462983" w:rsidRDefault="00462983" w:rsidP="00462983">
      <w:pPr>
        <w:pStyle w:val="Heading3"/>
        <w:rPr>
          <w:rFonts w:eastAsia="Times New Roman"/>
          <w:u w:val="single"/>
          <w:lang w:eastAsia="bg-BG"/>
        </w:rPr>
      </w:pPr>
      <w:r w:rsidRPr="00462983">
        <w:rPr>
          <w:rFonts w:eastAsia="Times New Roman"/>
          <w:u w:val="single"/>
          <w:lang w:eastAsia="bg-BG"/>
        </w:rPr>
        <w:t>Бременност</w:t>
      </w:r>
    </w:p>
    <w:p w14:paraId="1B088C7A" w14:textId="77777777" w:rsidR="00462983" w:rsidRPr="00462983" w:rsidRDefault="00462983" w:rsidP="00462983">
      <w:pPr>
        <w:spacing w:line="240" w:lineRule="auto"/>
        <w:rPr>
          <w:rFonts w:eastAsia="Times New Roman" w:cs="Arial"/>
          <w:sz w:val="24"/>
          <w:szCs w:val="24"/>
          <w:lang w:eastAsia="bg-BG"/>
        </w:rPr>
      </w:pPr>
      <w:r w:rsidRPr="00462983">
        <w:rPr>
          <w:rFonts w:eastAsia="Times New Roman" w:cs="Arial"/>
          <w:color w:val="000000"/>
          <w:lang w:eastAsia="bg-BG"/>
        </w:rPr>
        <w:t>Инхибирането на простагландиновия синтез може обратимо да повлияе бременността и/ или развитието на ембриона/ плода. ДАнните от епидемиологичните проучвания предполагат повишен риск от аборт и от сърдечна малформация и гастросьизис след употреба на инхибитори на простагландиновия синтез в ранна бременност. Абсолютният риск за сърдечно</w:t>
      </w:r>
      <w:r w:rsidRPr="00462983">
        <w:rPr>
          <w:rFonts w:eastAsia="Times New Roman" w:cs="Arial"/>
          <w:color w:val="000000"/>
          <w:lang w:eastAsia="bg-BG"/>
        </w:rPr>
        <w:softHyphen/>
        <w:t>съдова малформация се повишава от по-малко от 1% до приблизително 1,5 %. Счита се, че рискът се повишава с повишаване на дозата и удължаване на продължителността на терапията. Доказано е ,че при животни прилагането на инхибтори на простагландиновия синтез води до пре- и постимплактационна загуба на ембриона и ембриофетален леталитет. В допълнение е съобщено за повишена честота на различни малформации, включително сърдечно-съдови, при животните, третирани с инхибитор на простагландиновия синтез в периода на органогенезата. Кетопрофен не трябва да се предписва през първия и втория триместър на бременността, освен ако не е абсолютно необходимо. Ако кетопрофен се предписва на жена, опитваща се да забременнее, или по време на първия и втория триместър на бременността й, дозата трябва да бъде възможно най-ниската и продължителността на приема възможно най-къса.</w:t>
      </w:r>
    </w:p>
    <w:p w14:paraId="6679D3E9" w14:textId="77777777" w:rsidR="00462983" w:rsidRPr="00462983" w:rsidRDefault="00462983" w:rsidP="00462983">
      <w:pPr>
        <w:spacing w:line="240" w:lineRule="auto"/>
        <w:rPr>
          <w:rFonts w:eastAsia="Times New Roman" w:cs="Arial"/>
          <w:color w:val="000000"/>
          <w:lang w:eastAsia="bg-BG"/>
        </w:rPr>
      </w:pPr>
    </w:p>
    <w:p w14:paraId="2F9AD772" w14:textId="042A5133" w:rsidR="00462983" w:rsidRPr="00462983" w:rsidRDefault="00462983" w:rsidP="00462983">
      <w:pPr>
        <w:spacing w:line="240" w:lineRule="auto"/>
        <w:rPr>
          <w:rFonts w:eastAsia="Times New Roman" w:cs="Arial"/>
          <w:sz w:val="24"/>
          <w:szCs w:val="24"/>
          <w:lang w:eastAsia="bg-BG"/>
        </w:rPr>
      </w:pPr>
      <w:r w:rsidRPr="00462983">
        <w:rPr>
          <w:rFonts w:eastAsia="Times New Roman" w:cs="Arial"/>
          <w:color w:val="000000"/>
          <w:lang w:eastAsia="bg-BG"/>
        </w:rPr>
        <w:t>По време на третия триместър на бременността прилагането на всеки инхибитор на простагландиновия синтез може да изложи фетуса на следното:</w:t>
      </w:r>
    </w:p>
    <w:p w14:paraId="62554C6A" w14:textId="77777777" w:rsidR="00462983" w:rsidRPr="00462983" w:rsidRDefault="00462983" w:rsidP="00462983">
      <w:pPr>
        <w:pStyle w:val="ListParagraph"/>
        <w:numPr>
          <w:ilvl w:val="0"/>
          <w:numId w:val="39"/>
        </w:numPr>
        <w:spacing w:line="240" w:lineRule="auto"/>
        <w:rPr>
          <w:rFonts w:eastAsia="Times New Roman" w:cs="Arial"/>
          <w:sz w:val="24"/>
          <w:szCs w:val="24"/>
          <w:lang w:eastAsia="bg-BG"/>
        </w:rPr>
      </w:pPr>
      <w:r w:rsidRPr="00462983">
        <w:rPr>
          <w:rFonts w:eastAsia="Times New Roman" w:cs="Arial"/>
          <w:color w:val="000000"/>
          <w:lang w:eastAsia="bg-BG"/>
        </w:rPr>
        <w:t xml:space="preserve">Кардиопулмонална токсичност (с преждевременно затваряне на </w:t>
      </w:r>
      <w:proofErr w:type="spellStart"/>
      <w:r w:rsidRPr="00462983">
        <w:rPr>
          <w:rFonts w:eastAsia="Times New Roman" w:cs="Arial"/>
          <w:i/>
          <w:iCs/>
          <w:color w:val="000000"/>
          <w:lang w:val="en-US"/>
        </w:rPr>
        <w:t>dictus</w:t>
      </w:r>
      <w:proofErr w:type="spellEnd"/>
      <w:r w:rsidRPr="00462983">
        <w:rPr>
          <w:rFonts w:eastAsia="Times New Roman" w:cs="Arial"/>
          <w:i/>
          <w:iCs/>
          <w:color w:val="000000"/>
          <w:lang w:val="en-US"/>
        </w:rPr>
        <w:t xml:space="preserve"> arteriosus</w:t>
      </w:r>
      <w:r w:rsidRPr="00462983">
        <w:rPr>
          <w:rFonts w:eastAsia="Times New Roman" w:cs="Arial"/>
          <w:color w:val="000000"/>
          <w:lang w:val="en-US"/>
        </w:rPr>
        <w:t xml:space="preserve"> </w:t>
      </w:r>
      <w:r w:rsidRPr="00462983">
        <w:rPr>
          <w:rFonts w:eastAsia="Times New Roman" w:cs="Arial"/>
          <w:color w:val="000000"/>
          <w:lang w:eastAsia="bg-BG"/>
        </w:rPr>
        <w:t>и белодробна хипертония);</w:t>
      </w:r>
    </w:p>
    <w:p w14:paraId="52E8F9BD" w14:textId="59EC891F" w:rsidR="00462983" w:rsidRPr="00462983" w:rsidRDefault="00462983" w:rsidP="00462983">
      <w:pPr>
        <w:pStyle w:val="ListParagraph"/>
        <w:numPr>
          <w:ilvl w:val="0"/>
          <w:numId w:val="39"/>
        </w:numPr>
        <w:spacing w:line="240" w:lineRule="auto"/>
        <w:rPr>
          <w:rFonts w:eastAsia="Times New Roman" w:cs="Arial"/>
          <w:sz w:val="24"/>
          <w:szCs w:val="24"/>
          <w:lang w:eastAsia="bg-BG"/>
        </w:rPr>
      </w:pPr>
      <w:r w:rsidRPr="00462983">
        <w:rPr>
          <w:rFonts w:eastAsia="Times New Roman" w:cs="Arial"/>
          <w:color w:val="000000"/>
          <w:lang w:eastAsia="bg-BG"/>
        </w:rPr>
        <w:t>Бъбречна дисфункция, която може да прогресира до бъбречна недостатъчност с олигохидрамнион</w:t>
      </w:r>
    </w:p>
    <w:p w14:paraId="1FFC2127" w14:textId="77777777" w:rsidR="00462983" w:rsidRPr="00462983" w:rsidRDefault="00462983" w:rsidP="00462983">
      <w:pPr>
        <w:spacing w:line="240" w:lineRule="auto"/>
        <w:rPr>
          <w:rFonts w:eastAsia="Times New Roman" w:cs="Arial"/>
          <w:color w:val="000000"/>
          <w:lang w:eastAsia="bg-BG"/>
        </w:rPr>
      </w:pPr>
    </w:p>
    <w:p w14:paraId="4EC1BBF3" w14:textId="7D617CC2" w:rsidR="00462983" w:rsidRPr="00462983" w:rsidRDefault="00462983" w:rsidP="00462983">
      <w:pPr>
        <w:spacing w:line="240" w:lineRule="auto"/>
        <w:rPr>
          <w:rFonts w:eastAsia="Times New Roman" w:cs="Arial"/>
          <w:sz w:val="24"/>
          <w:szCs w:val="24"/>
          <w:lang w:eastAsia="bg-BG"/>
        </w:rPr>
      </w:pPr>
      <w:r w:rsidRPr="00462983">
        <w:rPr>
          <w:rFonts w:eastAsia="Times New Roman" w:cs="Arial"/>
          <w:color w:val="000000"/>
          <w:lang w:eastAsia="bg-BG"/>
        </w:rPr>
        <w:t>а едновременно майката и плода в края на бременността и новороденото на:</w:t>
      </w:r>
    </w:p>
    <w:p w14:paraId="102F0D07" w14:textId="2690A69E" w:rsidR="007A2185" w:rsidRPr="00462983" w:rsidRDefault="00462983" w:rsidP="00462983">
      <w:pPr>
        <w:pStyle w:val="ListParagraph"/>
        <w:numPr>
          <w:ilvl w:val="0"/>
          <w:numId w:val="40"/>
        </w:numPr>
        <w:rPr>
          <w:rFonts w:cs="Arial"/>
        </w:rPr>
      </w:pPr>
      <w:r w:rsidRPr="00462983">
        <w:rPr>
          <w:rFonts w:eastAsia="Times New Roman" w:cs="Arial"/>
          <w:color w:val="000000"/>
          <w:lang w:eastAsia="bg-BG"/>
        </w:rPr>
        <w:t>Вероятно удължено време на кървене, антиагрегантен ефект; който може да се прояви, дори при много ниски дози;</w:t>
      </w:r>
    </w:p>
    <w:p w14:paraId="32A82D95" w14:textId="75FE52F4" w:rsidR="00462983" w:rsidRPr="00462983" w:rsidRDefault="00462983" w:rsidP="00462983">
      <w:pPr>
        <w:pStyle w:val="ListParagraph"/>
        <w:numPr>
          <w:ilvl w:val="0"/>
          <w:numId w:val="40"/>
        </w:numPr>
        <w:spacing w:line="240" w:lineRule="auto"/>
        <w:rPr>
          <w:rFonts w:eastAsia="Times New Roman" w:cs="Arial"/>
          <w:sz w:val="24"/>
          <w:szCs w:val="24"/>
          <w:lang w:eastAsia="bg-BG"/>
        </w:rPr>
      </w:pPr>
      <w:r w:rsidRPr="00462983">
        <w:rPr>
          <w:rFonts w:eastAsia="Times New Roman" w:cs="Arial"/>
          <w:color w:val="000000"/>
          <w:lang w:eastAsia="bg-BG"/>
        </w:rPr>
        <w:lastRenderedPageBreak/>
        <w:t>Инхибиране на маточните контракции, което да има за резултат забавено или пролонгиране раждане.</w:t>
      </w:r>
    </w:p>
    <w:p w14:paraId="78E97C06" w14:textId="77777777" w:rsidR="00462983" w:rsidRPr="00462983" w:rsidRDefault="00462983" w:rsidP="00462983">
      <w:pPr>
        <w:spacing w:line="240" w:lineRule="auto"/>
        <w:rPr>
          <w:rFonts w:eastAsia="Times New Roman" w:cs="Arial"/>
          <w:sz w:val="24"/>
          <w:szCs w:val="24"/>
          <w:lang w:eastAsia="bg-BG"/>
        </w:rPr>
      </w:pPr>
      <w:r w:rsidRPr="00462983">
        <w:rPr>
          <w:rFonts w:eastAsia="Times New Roman" w:cs="Arial"/>
          <w:color w:val="000000"/>
          <w:lang w:eastAsia="bg-BG"/>
        </w:rPr>
        <w:t>Следователно кетопрофен е противопоказан през третия триместьв на бременността.</w:t>
      </w:r>
    </w:p>
    <w:p w14:paraId="49FA89FB" w14:textId="77777777" w:rsidR="00462983" w:rsidRPr="00462983" w:rsidRDefault="00462983" w:rsidP="00462983">
      <w:pPr>
        <w:spacing w:line="240" w:lineRule="auto"/>
        <w:rPr>
          <w:rFonts w:eastAsia="Times New Roman" w:cs="Arial"/>
          <w:i/>
          <w:iCs/>
          <w:color w:val="000000"/>
          <w:u w:val="single"/>
          <w:lang w:eastAsia="bg-BG"/>
        </w:rPr>
      </w:pPr>
    </w:p>
    <w:p w14:paraId="3047FCA6" w14:textId="731A1091" w:rsidR="00462983" w:rsidRPr="00462983" w:rsidRDefault="00462983" w:rsidP="00462983">
      <w:pPr>
        <w:pStyle w:val="Heading3"/>
        <w:rPr>
          <w:rFonts w:eastAsia="Times New Roman"/>
          <w:u w:val="single"/>
          <w:lang w:eastAsia="bg-BG"/>
        </w:rPr>
      </w:pPr>
      <w:r w:rsidRPr="00462983">
        <w:rPr>
          <w:rFonts w:eastAsia="Times New Roman"/>
          <w:u w:val="single"/>
          <w:lang w:eastAsia="bg-BG"/>
        </w:rPr>
        <w:t>Кърмене</w:t>
      </w:r>
    </w:p>
    <w:p w14:paraId="3E8789C3" w14:textId="4B23C54C" w:rsidR="0091385D" w:rsidRPr="00462983" w:rsidRDefault="00462983" w:rsidP="00462983">
      <w:pPr>
        <w:rPr>
          <w:rFonts w:cs="Arial"/>
        </w:rPr>
      </w:pPr>
      <w:r w:rsidRPr="00462983">
        <w:rPr>
          <w:rFonts w:eastAsia="Times New Roman" w:cs="Arial"/>
          <w:color w:val="000000"/>
          <w:lang w:eastAsia="bg-BG"/>
        </w:rPr>
        <w:t>Няма налични данни за екскрецията на кетопрофен в майчиното мляко. Кетопрофен не се препоръчва за кърмещи майки.</w:t>
      </w:r>
    </w:p>
    <w:p w14:paraId="3654DD6F" w14:textId="77777777" w:rsidR="00462983" w:rsidRPr="0091385D" w:rsidRDefault="00462983" w:rsidP="00462983">
      <w:pPr>
        <w:pStyle w:val="ListParagraph"/>
      </w:pPr>
    </w:p>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6D3C1420"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Пациентите трябва да бъдат предупредени за вероятността от сънливост, замаяност или конвулсии и да бъдат посъветвани да не шофират и да не работят с машини, ако почувстват подобни симптоми.</w:t>
      </w:r>
    </w:p>
    <w:p w14:paraId="1C9ABB96" w14:textId="34DCFD9F" w:rsidR="007A2185" w:rsidRPr="00462983" w:rsidRDefault="00462983" w:rsidP="00462983">
      <w:pPr>
        <w:rPr>
          <w:rFonts w:cs="Arial"/>
        </w:rPr>
      </w:pPr>
      <w:r w:rsidRPr="00462983">
        <w:rPr>
          <w:rFonts w:eastAsia="Times New Roman" w:cs="Arial"/>
          <w:color w:val="000000"/>
          <w:lang w:eastAsia="bg-BG"/>
        </w:rPr>
        <w:t>Пациентите трябва да бъдат предупредени за възможни зрителни нарушения. Ако пациентите изпитат такива смущения, те не бива да шофират и да работят с машини.</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7FF8B3AF"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 xml:space="preserve">Класификацията на нежеланите реакции, според </w:t>
      </w:r>
      <w:r w:rsidRPr="00462983">
        <w:rPr>
          <w:rFonts w:eastAsia="Times New Roman" w:cs="Arial"/>
          <w:color w:val="000000"/>
          <w:lang w:val="en-US"/>
        </w:rPr>
        <w:t>„</w:t>
      </w:r>
      <w:proofErr w:type="spellStart"/>
      <w:r w:rsidRPr="00462983">
        <w:rPr>
          <w:rFonts w:eastAsia="Times New Roman" w:cs="Arial"/>
          <w:color w:val="000000"/>
          <w:lang w:val="en-US"/>
        </w:rPr>
        <w:t>MedDRA</w:t>
      </w:r>
      <w:proofErr w:type="spellEnd"/>
      <w:r w:rsidRPr="00462983">
        <w:rPr>
          <w:rFonts w:eastAsia="Times New Roman" w:cs="Arial"/>
          <w:color w:val="000000"/>
          <w:lang w:val="en-US"/>
        </w:rPr>
        <w:t xml:space="preserve">”, </w:t>
      </w:r>
      <w:r w:rsidRPr="00462983">
        <w:rPr>
          <w:rFonts w:eastAsia="Times New Roman" w:cs="Arial"/>
          <w:color w:val="000000"/>
          <w:lang w:eastAsia="bg-BG"/>
        </w:rPr>
        <w:t>е по органна специфичност и честота на възникване:</w:t>
      </w:r>
    </w:p>
    <w:p w14:paraId="03123E88"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Много чести: (≥ 1/10);</w:t>
      </w:r>
    </w:p>
    <w:p w14:paraId="6DF5A7EB"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Чести (≥ 1/100, &lt; 1/10);</w:t>
      </w:r>
    </w:p>
    <w:p w14:paraId="0437CB47"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Нечести (≥ 1/1000, &lt; 1/100);</w:t>
      </w:r>
    </w:p>
    <w:p w14:paraId="6B7E125F"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Редки (≥ 1/10 000, &lt; 1/1000);</w:t>
      </w:r>
    </w:p>
    <w:p w14:paraId="5E93AD76"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Много редки (&lt;1/10 000);</w:t>
      </w:r>
    </w:p>
    <w:p w14:paraId="627277E2"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С неизвестна честота (от наличните данни не може да бъде направена оценка).</w:t>
      </w:r>
    </w:p>
    <w:p w14:paraId="4FF42DB4" w14:textId="77777777" w:rsidR="00462983" w:rsidRPr="00462983" w:rsidRDefault="00462983" w:rsidP="00462983">
      <w:pPr>
        <w:spacing w:line="240" w:lineRule="auto"/>
        <w:rPr>
          <w:rFonts w:eastAsia="Times New Roman" w:cs="Arial"/>
          <w:i/>
          <w:iCs/>
          <w:color w:val="000000"/>
          <w:u w:val="single"/>
          <w:lang w:eastAsia="bg-BG"/>
        </w:rPr>
      </w:pPr>
    </w:p>
    <w:p w14:paraId="5C6E0825" w14:textId="7CF4A1E8" w:rsidR="00462983" w:rsidRPr="00462983" w:rsidRDefault="00462983" w:rsidP="00462983">
      <w:pPr>
        <w:spacing w:line="240" w:lineRule="auto"/>
        <w:rPr>
          <w:rFonts w:eastAsia="Times New Roman" w:cs="Arial"/>
          <w:lang w:eastAsia="bg-BG"/>
        </w:rPr>
      </w:pPr>
      <w:r w:rsidRPr="00462983">
        <w:rPr>
          <w:rFonts w:eastAsia="Times New Roman" w:cs="Arial"/>
          <w:i/>
          <w:iCs/>
          <w:color w:val="000000"/>
          <w:u w:val="single"/>
          <w:lang w:eastAsia="bg-BG"/>
        </w:rPr>
        <w:t>Нарушения на кръвта и лимфната система</w:t>
      </w:r>
    </w:p>
    <w:p w14:paraId="043B54A1"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Нечести:</w:t>
      </w:r>
      <w:r w:rsidRPr="00462983">
        <w:rPr>
          <w:rFonts w:eastAsia="Times New Roman" w:cs="Arial"/>
          <w:color w:val="000000"/>
          <w:lang w:eastAsia="bg-BG"/>
        </w:rPr>
        <w:t xml:space="preserve"> тромбоцитопения, агранулоцитоза.</w:t>
      </w:r>
    </w:p>
    <w:p w14:paraId="732A4827"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Редки:</w:t>
      </w:r>
      <w:r w:rsidRPr="00462983">
        <w:rPr>
          <w:rFonts w:eastAsia="Times New Roman" w:cs="Arial"/>
          <w:color w:val="000000"/>
          <w:lang w:eastAsia="bg-BG"/>
        </w:rPr>
        <w:t xml:space="preserve"> хеморагична анемия, левкопения</w:t>
      </w:r>
    </w:p>
    <w:p w14:paraId="2DF72289" w14:textId="77777777" w:rsidR="00462983" w:rsidRPr="00462983" w:rsidRDefault="00462983" w:rsidP="00462983">
      <w:pPr>
        <w:spacing w:line="240" w:lineRule="auto"/>
        <w:rPr>
          <w:rFonts w:eastAsia="Times New Roman" w:cs="Arial"/>
          <w:color w:val="000000"/>
          <w:u w:val="single"/>
          <w:lang w:eastAsia="bg-BG"/>
        </w:rPr>
      </w:pPr>
    </w:p>
    <w:p w14:paraId="381EEBB1" w14:textId="511501E9" w:rsidR="00462983" w:rsidRPr="00462983" w:rsidRDefault="00462983" w:rsidP="00462983">
      <w:pPr>
        <w:spacing w:line="240" w:lineRule="auto"/>
        <w:rPr>
          <w:rFonts w:eastAsia="Times New Roman" w:cs="Arial"/>
          <w:lang w:eastAsia="bg-BG"/>
        </w:rPr>
      </w:pPr>
      <w:r w:rsidRPr="00462983">
        <w:rPr>
          <w:rFonts w:eastAsia="Times New Roman" w:cs="Arial"/>
          <w:color w:val="000000"/>
          <w:u w:val="single"/>
          <w:lang w:eastAsia="bg-BG"/>
        </w:rPr>
        <w:t>Нарушения на имунната система</w:t>
      </w:r>
    </w:p>
    <w:p w14:paraId="1544B1F5"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Много редки:</w:t>
      </w:r>
      <w:r w:rsidRPr="00462983">
        <w:rPr>
          <w:rFonts w:eastAsia="Times New Roman" w:cs="Arial"/>
          <w:color w:val="000000"/>
          <w:lang w:eastAsia="bg-BG"/>
        </w:rPr>
        <w:t xml:space="preserve"> анафлактични реакции (вкл. шок)</w:t>
      </w:r>
    </w:p>
    <w:p w14:paraId="335EA60D" w14:textId="77777777" w:rsidR="00462983" w:rsidRPr="00462983" w:rsidRDefault="00462983" w:rsidP="00462983">
      <w:pPr>
        <w:spacing w:line="240" w:lineRule="auto"/>
        <w:rPr>
          <w:rFonts w:eastAsia="Times New Roman" w:cs="Arial"/>
          <w:color w:val="000000"/>
          <w:u w:val="single"/>
          <w:lang w:eastAsia="bg-BG"/>
        </w:rPr>
      </w:pPr>
    </w:p>
    <w:p w14:paraId="076BB084" w14:textId="28FE004F" w:rsidR="00462983" w:rsidRPr="00462983" w:rsidRDefault="00462983" w:rsidP="00462983">
      <w:pPr>
        <w:spacing w:line="240" w:lineRule="auto"/>
        <w:rPr>
          <w:rFonts w:eastAsia="Times New Roman" w:cs="Arial"/>
          <w:lang w:eastAsia="bg-BG"/>
        </w:rPr>
      </w:pPr>
      <w:r w:rsidRPr="00462983">
        <w:rPr>
          <w:rFonts w:eastAsia="Times New Roman" w:cs="Arial"/>
          <w:color w:val="000000"/>
          <w:u w:val="single"/>
          <w:lang w:eastAsia="bg-BG"/>
        </w:rPr>
        <w:t>Психични нарушения</w:t>
      </w:r>
    </w:p>
    <w:p w14:paraId="495F6762"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С неизвестна честота:</w:t>
      </w:r>
      <w:r w:rsidRPr="00462983">
        <w:rPr>
          <w:rFonts w:eastAsia="Times New Roman" w:cs="Arial"/>
          <w:color w:val="000000"/>
          <w:lang w:eastAsia="bg-BG"/>
        </w:rPr>
        <w:t xml:space="preserve"> промени в настроението</w:t>
      </w:r>
    </w:p>
    <w:p w14:paraId="7B633BE7" w14:textId="77777777" w:rsidR="00462983" w:rsidRPr="00462983" w:rsidRDefault="00462983" w:rsidP="00462983">
      <w:pPr>
        <w:spacing w:line="240" w:lineRule="auto"/>
        <w:rPr>
          <w:rFonts w:eastAsia="Times New Roman" w:cs="Arial"/>
          <w:i/>
          <w:iCs/>
          <w:color w:val="000000"/>
          <w:u w:val="single"/>
          <w:lang w:eastAsia="bg-BG"/>
        </w:rPr>
      </w:pPr>
    </w:p>
    <w:p w14:paraId="6C0DF39D" w14:textId="49D13ECE" w:rsidR="00462983" w:rsidRPr="00462983" w:rsidRDefault="00462983" w:rsidP="00462983">
      <w:pPr>
        <w:spacing w:line="240" w:lineRule="auto"/>
        <w:rPr>
          <w:rFonts w:eastAsia="Times New Roman" w:cs="Arial"/>
          <w:lang w:eastAsia="bg-BG"/>
        </w:rPr>
      </w:pPr>
      <w:r w:rsidRPr="00462983">
        <w:rPr>
          <w:rFonts w:eastAsia="Times New Roman" w:cs="Arial"/>
          <w:i/>
          <w:iCs/>
          <w:color w:val="000000"/>
          <w:u w:val="single"/>
          <w:lang w:eastAsia="bg-BG"/>
        </w:rPr>
        <w:t>Нарушения на нервната система</w:t>
      </w:r>
    </w:p>
    <w:p w14:paraId="6E47C625"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Чести:</w:t>
      </w:r>
      <w:r w:rsidRPr="00462983">
        <w:rPr>
          <w:rFonts w:eastAsia="Times New Roman" w:cs="Arial"/>
          <w:color w:val="000000"/>
          <w:lang w:eastAsia="bg-BG"/>
        </w:rPr>
        <w:t xml:space="preserve"> главоболие,, замаяност.</w:t>
      </w:r>
    </w:p>
    <w:p w14:paraId="528959E0"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Нечести:</w:t>
      </w:r>
      <w:r w:rsidRPr="00462983">
        <w:rPr>
          <w:rFonts w:eastAsia="Times New Roman" w:cs="Arial"/>
          <w:color w:val="000000"/>
          <w:lang w:eastAsia="bg-BG"/>
        </w:rPr>
        <w:t xml:space="preserve"> сънливост</w:t>
      </w:r>
    </w:p>
    <w:p w14:paraId="7A49B785"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С неизвестна честота:</w:t>
      </w:r>
      <w:r w:rsidRPr="00462983">
        <w:rPr>
          <w:rFonts w:eastAsia="Times New Roman" w:cs="Arial"/>
          <w:color w:val="000000"/>
          <w:lang w:eastAsia="bg-BG"/>
        </w:rPr>
        <w:t xml:space="preserve"> конвулсии.</w:t>
      </w:r>
    </w:p>
    <w:p w14:paraId="03009E9A" w14:textId="77777777" w:rsidR="00462983" w:rsidRPr="00462983" w:rsidRDefault="00462983" w:rsidP="00462983">
      <w:pPr>
        <w:spacing w:line="240" w:lineRule="auto"/>
        <w:rPr>
          <w:rFonts w:eastAsia="Times New Roman" w:cs="Arial"/>
          <w:i/>
          <w:iCs/>
          <w:color w:val="000000"/>
          <w:u w:val="single"/>
          <w:lang w:eastAsia="bg-BG"/>
        </w:rPr>
      </w:pPr>
    </w:p>
    <w:p w14:paraId="79125EA7" w14:textId="755CC50E" w:rsidR="00462983" w:rsidRPr="00462983" w:rsidRDefault="00462983" w:rsidP="00462983">
      <w:pPr>
        <w:spacing w:line="240" w:lineRule="auto"/>
        <w:rPr>
          <w:rFonts w:eastAsia="Times New Roman" w:cs="Arial"/>
          <w:lang w:eastAsia="bg-BG"/>
        </w:rPr>
      </w:pPr>
      <w:r w:rsidRPr="00462983">
        <w:rPr>
          <w:rFonts w:eastAsia="Times New Roman" w:cs="Arial"/>
          <w:i/>
          <w:iCs/>
          <w:color w:val="000000"/>
          <w:u w:val="single"/>
          <w:lang w:eastAsia="bg-BG"/>
        </w:rPr>
        <w:t>Нарушения на очите</w:t>
      </w:r>
    </w:p>
    <w:p w14:paraId="50C617E4"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Редки:</w:t>
      </w:r>
      <w:r w:rsidRPr="00462983">
        <w:rPr>
          <w:rFonts w:eastAsia="Times New Roman" w:cs="Arial"/>
          <w:color w:val="000000"/>
          <w:lang w:eastAsia="bg-BG"/>
        </w:rPr>
        <w:t xml:space="preserve"> замъглено зрение (вижте точка 4.4)</w:t>
      </w:r>
    </w:p>
    <w:p w14:paraId="5C1038B8" w14:textId="77777777" w:rsidR="00462983" w:rsidRPr="00462983" w:rsidRDefault="00462983" w:rsidP="00462983">
      <w:pPr>
        <w:spacing w:line="240" w:lineRule="auto"/>
        <w:rPr>
          <w:rFonts w:eastAsia="Times New Roman" w:cs="Arial"/>
          <w:i/>
          <w:iCs/>
          <w:color w:val="000000"/>
          <w:u w:val="single"/>
          <w:lang w:eastAsia="bg-BG"/>
        </w:rPr>
      </w:pPr>
    </w:p>
    <w:p w14:paraId="5A8F5CF8" w14:textId="209054C1" w:rsidR="00462983" w:rsidRPr="00462983" w:rsidRDefault="00462983" w:rsidP="00462983">
      <w:pPr>
        <w:spacing w:line="240" w:lineRule="auto"/>
        <w:rPr>
          <w:rFonts w:eastAsia="Times New Roman" w:cs="Arial"/>
          <w:lang w:eastAsia="bg-BG"/>
        </w:rPr>
      </w:pPr>
      <w:r w:rsidRPr="00462983">
        <w:rPr>
          <w:rFonts w:eastAsia="Times New Roman" w:cs="Arial"/>
          <w:i/>
          <w:iCs/>
          <w:color w:val="000000"/>
          <w:u w:val="single"/>
          <w:lang w:eastAsia="bg-BG"/>
        </w:rPr>
        <w:t>Нарушения на ухото и лабиринта</w:t>
      </w:r>
    </w:p>
    <w:p w14:paraId="48EE7973"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Чести: тинитус.</w:t>
      </w:r>
    </w:p>
    <w:p w14:paraId="6B9DD20E" w14:textId="77777777" w:rsidR="00462983" w:rsidRPr="00462983" w:rsidRDefault="00462983" w:rsidP="00462983">
      <w:pPr>
        <w:spacing w:line="240" w:lineRule="auto"/>
        <w:rPr>
          <w:rFonts w:eastAsia="Times New Roman" w:cs="Arial"/>
          <w:i/>
          <w:iCs/>
          <w:color w:val="000000"/>
          <w:u w:val="single"/>
          <w:lang w:eastAsia="bg-BG"/>
        </w:rPr>
      </w:pPr>
    </w:p>
    <w:p w14:paraId="7FB60511" w14:textId="6550E63E" w:rsidR="00462983" w:rsidRPr="00462983" w:rsidRDefault="00462983" w:rsidP="00462983">
      <w:pPr>
        <w:spacing w:line="240" w:lineRule="auto"/>
        <w:rPr>
          <w:rFonts w:eastAsia="Times New Roman" w:cs="Arial"/>
          <w:lang w:eastAsia="bg-BG"/>
        </w:rPr>
      </w:pPr>
      <w:r w:rsidRPr="00462983">
        <w:rPr>
          <w:rFonts w:eastAsia="Times New Roman" w:cs="Arial"/>
          <w:i/>
          <w:iCs/>
          <w:color w:val="000000"/>
          <w:u w:val="single"/>
          <w:lang w:eastAsia="bg-BG"/>
        </w:rPr>
        <w:t>Сърдечни нарушения</w:t>
      </w:r>
    </w:p>
    <w:p w14:paraId="04ED6AA5"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lastRenderedPageBreak/>
        <w:t>С неизвестна честота:</w:t>
      </w:r>
      <w:r w:rsidRPr="00462983">
        <w:rPr>
          <w:rFonts w:eastAsia="Times New Roman" w:cs="Arial"/>
          <w:color w:val="000000"/>
          <w:lang w:eastAsia="bg-BG"/>
        </w:rPr>
        <w:t xml:space="preserve"> сърдечна недостатъчност.</w:t>
      </w:r>
    </w:p>
    <w:p w14:paraId="30847A34" w14:textId="77777777" w:rsidR="00462983" w:rsidRPr="00462983" w:rsidRDefault="00462983" w:rsidP="00462983">
      <w:pPr>
        <w:spacing w:line="240" w:lineRule="auto"/>
        <w:rPr>
          <w:rFonts w:eastAsia="Times New Roman" w:cs="Arial"/>
          <w:i/>
          <w:iCs/>
          <w:color w:val="000000"/>
          <w:u w:val="single"/>
          <w:lang w:eastAsia="bg-BG"/>
        </w:rPr>
      </w:pPr>
    </w:p>
    <w:p w14:paraId="2320ED06" w14:textId="2A7A4A63" w:rsidR="00462983" w:rsidRPr="00462983" w:rsidRDefault="00462983" w:rsidP="00462983">
      <w:pPr>
        <w:spacing w:line="240" w:lineRule="auto"/>
        <w:rPr>
          <w:rFonts w:eastAsia="Times New Roman" w:cs="Arial"/>
          <w:lang w:eastAsia="bg-BG"/>
        </w:rPr>
      </w:pPr>
      <w:r w:rsidRPr="00462983">
        <w:rPr>
          <w:rFonts w:eastAsia="Times New Roman" w:cs="Arial"/>
          <w:i/>
          <w:iCs/>
          <w:color w:val="000000"/>
          <w:u w:val="single"/>
          <w:lang w:eastAsia="bg-BG"/>
        </w:rPr>
        <w:t>Съдови нарушения</w:t>
      </w:r>
    </w:p>
    <w:p w14:paraId="0254AACC" w14:textId="4131B1AE" w:rsidR="007A2185" w:rsidRPr="00462983" w:rsidRDefault="00462983" w:rsidP="00462983">
      <w:pPr>
        <w:rPr>
          <w:rFonts w:cs="Arial"/>
        </w:rPr>
      </w:pPr>
      <w:r w:rsidRPr="00462983">
        <w:rPr>
          <w:rFonts w:eastAsia="Times New Roman" w:cs="Arial"/>
          <w:i/>
          <w:iCs/>
          <w:color w:val="000000"/>
          <w:lang w:eastAsia="bg-BG"/>
        </w:rPr>
        <w:t>С неизвестна честота:</w:t>
      </w:r>
      <w:r w:rsidRPr="00462983">
        <w:rPr>
          <w:rFonts w:eastAsia="Times New Roman" w:cs="Arial"/>
          <w:color w:val="000000"/>
          <w:lang w:eastAsia="bg-BG"/>
        </w:rPr>
        <w:t xml:space="preserve"> хипертония.</w:t>
      </w:r>
    </w:p>
    <w:p w14:paraId="443BC107" w14:textId="658A25EF" w:rsidR="005B0F27" w:rsidRPr="00462983" w:rsidRDefault="005B0F27" w:rsidP="0091385D">
      <w:pPr>
        <w:rPr>
          <w:rFonts w:cs="Arial"/>
        </w:rPr>
      </w:pPr>
    </w:p>
    <w:p w14:paraId="20E978CC"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u w:val="single"/>
          <w:lang w:eastAsia="bg-BG"/>
        </w:rPr>
        <w:t>Респираторни, гръдни и медиастинални нарушения</w:t>
      </w:r>
    </w:p>
    <w:p w14:paraId="37CBF93C"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Нечести:</w:t>
      </w:r>
      <w:r w:rsidRPr="00462983">
        <w:rPr>
          <w:rFonts w:eastAsia="Times New Roman" w:cs="Arial"/>
          <w:color w:val="000000"/>
          <w:lang w:eastAsia="bg-BG"/>
        </w:rPr>
        <w:t xml:space="preserve"> ринит, бронхоспазъм (особено при пациенти със свръхчувствителност към ацетилсалицилова киселина или други НСПВС);Редки: астма.</w:t>
      </w:r>
    </w:p>
    <w:p w14:paraId="2EB4C71D" w14:textId="77777777" w:rsidR="00462983" w:rsidRPr="00462983" w:rsidRDefault="00462983" w:rsidP="00462983">
      <w:pPr>
        <w:spacing w:line="240" w:lineRule="auto"/>
        <w:rPr>
          <w:rFonts w:eastAsia="Times New Roman" w:cs="Arial"/>
          <w:i/>
          <w:iCs/>
          <w:color w:val="000000"/>
          <w:u w:val="single"/>
          <w:lang w:eastAsia="bg-BG"/>
        </w:rPr>
      </w:pPr>
    </w:p>
    <w:p w14:paraId="27254572" w14:textId="202E63BB" w:rsidR="00462983" w:rsidRPr="00462983" w:rsidRDefault="00462983" w:rsidP="00462983">
      <w:pPr>
        <w:spacing w:line="240" w:lineRule="auto"/>
        <w:rPr>
          <w:rFonts w:eastAsia="Times New Roman" w:cs="Arial"/>
          <w:lang w:eastAsia="bg-BG"/>
        </w:rPr>
      </w:pPr>
      <w:r w:rsidRPr="00462983">
        <w:rPr>
          <w:rFonts w:eastAsia="Times New Roman" w:cs="Arial"/>
          <w:i/>
          <w:iCs/>
          <w:color w:val="000000"/>
          <w:u w:val="single"/>
          <w:lang w:eastAsia="bg-BG"/>
        </w:rPr>
        <w:t>Стомашно-чревни нарушения</w:t>
      </w:r>
    </w:p>
    <w:p w14:paraId="5BE5E74D"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Най-честите нежелани реакции са от страна на стомашно-чревния тракт. Могат да се наблюдават пептична язва, перфорация или кървене от стомашно-чревния тракт, понякога фатално, особено при пациенти в старческа възраст (вж. точка 4.4). Гадене, повръщане, диария, флатуленция, констипация, диспепсия, коремна болка, мелена, хематемеза, улцерозен стоматит, екзацербация на колит и на болестта на Крон (вж. точка 4.4) са съобщавани след прием. По- рядко е наблюдаван гастрит.</w:t>
      </w:r>
    </w:p>
    <w:p w14:paraId="1DE75A5A"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Чести:</w:t>
      </w:r>
      <w:r w:rsidRPr="00462983">
        <w:rPr>
          <w:rFonts w:eastAsia="Times New Roman" w:cs="Arial"/>
          <w:color w:val="000000"/>
          <w:lang w:eastAsia="bg-BG"/>
        </w:rPr>
        <w:t xml:space="preserve"> гадене, коремна болка, диария, констипация, повръщане и стоматит.</w:t>
      </w:r>
    </w:p>
    <w:p w14:paraId="4F81FF51"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Много редки: колит, стомашно-чревен кръвоизлив и перфорация</w:t>
      </w:r>
    </w:p>
    <w:p w14:paraId="492CB159"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Нечести:</w:t>
      </w:r>
      <w:r w:rsidRPr="00462983">
        <w:rPr>
          <w:rFonts w:eastAsia="Times New Roman" w:cs="Arial"/>
          <w:color w:val="000000"/>
          <w:lang w:eastAsia="bg-BG"/>
        </w:rPr>
        <w:t xml:space="preserve"> гастрит.</w:t>
      </w:r>
    </w:p>
    <w:p w14:paraId="529C84E3"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Редки:</w:t>
      </w:r>
      <w:r w:rsidRPr="00462983">
        <w:rPr>
          <w:rFonts w:eastAsia="Times New Roman" w:cs="Arial"/>
          <w:color w:val="000000"/>
          <w:lang w:eastAsia="bg-BG"/>
        </w:rPr>
        <w:t xml:space="preserve"> пептична язва.</w:t>
      </w:r>
    </w:p>
    <w:p w14:paraId="3E24ADDA" w14:textId="77777777" w:rsidR="00462983" w:rsidRPr="00462983" w:rsidRDefault="00462983" w:rsidP="00462983">
      <w:pPr>
        <w:spacing w:line="240" w:lineRule="auto"/>
        <w:rPr>
          <w:rFonts w:eastAsia="Times New Roman" w:cs="Arial"/>
          <w:i/>
          <w:iCs/>
          <w:color w:val="000000"/>
          <w:u w:val="single"/>
          <w:lang w:eastAsia="bg-BG"/>
        </w:rPr>
      </w:pPr>
    </w:p>
    <w:p w14:paraId="59A2E556" w14:textId="60C69A92" w:rsidR="00462983" w:rsidRPr="00462983" w:rsidRDefault="00462983" w:rsidP="00462983">
      <w:pPr>
        <w:spacing w:line="240" w:lineRule="auto"/>
        <w:rPr>
          <w:rFonts w:eastAsia="Times New Roman" w:cs="Arial"/>
          <w:lang w:eastAsia="bg-BG"/>
        </w:rPr>
      </w:pPr>
      <w:r w:rsidRPr="00462983">
        <w:rPr>
          <w:rFonts w:eastAsia="Times New Roman" w:cs="Arial"/>
          <w:i/>
          <w:iCs/>
          <w:color w:val="000000"/>
          <w:u w:val="single"/>
          <w:lang w:eastAsia="bg-BG"/>
        </w:rPr>
        <w:t>Хепатобилиарни нарушения</w:t>
      </w:r>
    </w:p>
    <w:p w14:paraId="5944EB28"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Редки:</w:t>
      </w:r>
      <w:r w:rsidRPr="00462983">
        <w:rPr>
          <w:rFonts w:eastAsia="Times New Roman" w:cs="Arial"/>
          <w:color w:val="000000"/>
          <w:lang w:eastAsia="bg-BG"/>
        </w:rPr>
        <w:t xml:space="preserve"> хепатит, повишени трансаминази, повишени нива на билирубин поради чернодробно нарушение.</w:t>
      </w:r>
    </w:p>
    <w:p w14:paraId="596DB506" w14:textId="77777777" w:rsidR="00462983" w:rsidRPr="00462983" w:rsidRDefault="00462983" w:rsidP="00462983">
      <w:pPr>
        <w:spacing w:line="240" w:lineRule="auto"/>
        <w:rPr>
          <w:rFonts w:eastAsia="Times New Roman" w:cs="Arial"/>
          <w:i/>
          <w:iCs/>
          <w:color w:val="000000"/>
          <w:u w:val="single"/>
          <w:lang w:eastAsia="bg-BG"/>
        </w:rPr>
      </w:pPr>
    </w:p>
    <w:p w14:paraId="43FE5258" w14:textId="00F1DB10" w:rsidR="00462983" w:rsidRPr="00462983" w:rsidRDefault="00462983" w:rsidP="00462983">
      <w:pPr>
        <w:spacing w:line="240" w:lineRule="auto"/>
        <w:rPr>
          <w:rFonts w:eastAsia="Times New Roman" w:cs="Arial"/>
          <w:lang w:eastAsia="bg-BG"/>
        </w:rPr>
      </w:pPr>
      <w:r w:rsidRPr="00462983">
        <w:rPr>
          <w:rFonts w:eastAsia="Times New Roman" w:cs="Arial"/>
          <w:i/>
          <w:iCs/>
          <w:color w:val="000000"/>
          <w:u w:val="single"/>
          <w:lang w:eastAsia="bg-BG"/>
        </w:rPr>
        <w:t>Нарушения на кожата и подлежащата тъкан</w:t>
      </w:r>
    </w:p>
    <w:p w14:paraId="0EA9DAA1"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Чести:</w:t>
      </w:r>
      <w:r w:rsidRPr="00462983">
        <w:rPr>
          <w:rFonts w:eastAsia="Times New Roman" w:cs="Arial"/>
          <w:color w:val="000000"/>
          <w:lang w:eastAsia="bg-BG"/>
        </w:rPr>
        <w:t xml:space="preserve"> кожен обрив.</w:t>
      </w:r>
    </w:p>
    <w:p w14:paraId="2535121B"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Нечести:</w:t>
      </w:r>
      <w:r w:rsidRPr="00462983">
        <w:rPr>
          <w:rFonts w:eastAsia="Times New Roman" w:cs="Arial"/>
          <w:color w:val="000000"/>
          <w:lang w:eastAsia="bg-BG"/>
        </w:rPr>
        <w:t xml:space="preserve"> пруритус, алопеция, уртикария </w:t>
      </w:r>
      <w:r w:rsidRPr="00462983">
        <w:rPr>
          <w:rFonts w:eastAsia="Times New Roman" w:cs="Arial"/>
          <w:i/>
          <w:iCs/>
          <w:color w:val="000000"/>
          <w:lang w:eastAsia="bg-BG"/>
        </w:rPr>
        <w:t>Редки:</w:t>
      </w:r>
      <w:r w:rsidRPr="00462983">
        <w:rPr>
          <w:rFonts w:eastAsia="Times New Roman" w:cs="Arial"/>
          <w:color w:val="000000"/>
          <w:lang w:eastAsia="bg-BG"/>
        </w:rPr>
        <w:t xml:space="preserve"> фоточувствителност</w:t>
      </w:r>
    </w:p>
    <w:p w14:paraId="00045175"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Много редки:</w:t>
      </w:r>
      <w:r w:rsidRPr="00462983">
        <w:rPr>
          <w:rFonts w:eastAsia="Times New Roman" w:cs="Arial"/>
          <w:color w:val="000000"/>
          <w:lang w:eastAsia="bg-BG"/>
        </w:rPr>
        <w:t xml:space="preserve"> булозни ерупции, включително токсична епидермална некролиза и синдром на </w:t>
      </w:r>
      <w:r w:rsidRPr="00462983">
        <w:rPr>
          <w:rFonts w:eastAsia="Times New Roman" w:cs="Arial"/>
          <w:color w:val="000000"/>
          <w:lang w:val="en-US"/>
        </w:rPr>
        <w:t>Stevens-Johnson.</w:t>
      </w:r>
    </w:p>
    <w:p w14:paraId="40B59918"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С неизвестна честота:</w:t>
      </w:r>
      <w:r w:rsidRPr="00462983">
        <w:rPr>
          <w:rFonts w:eastAsia="Times New Roman" w:cs="Arial"/>
          <w:color w:val="000000"/>
          <w:lang w:eastAsia="bg-BG"/>
        </w:rPr>
        <w:t xml:space="preserve"> влошаване на хронична уртикария, ангиодем.</w:t>
      </w:r>
    </w:p>
    <w:p w14:paraId="4325170B" w14:textId="77777777" w:rsidR="00462983" w:rsidRPr="00462983" w:rsidRDefault="00462983" w:rsidP="00462983">
      <w:pPr>
        <w:spacing w:line="240" w:lineRule="auto"/>
        <w:rPr>
          <w:rFonts w:eastAsia="Times New Roman" w:cs="Arial"/>
          <w:i/>
          <w:iCs/>
          <w:color w:val="000000"/>
          <w:u w:val="single"/>
          <w:lang w:eastAsia="bg-BG"/>
        </w:rPr>
      </w:pPr>
    </w:p>
    <w:p w14:paraId="11BF1247" w14:textId="5515DF51" w:rsidR="00462983" w:rsidRPr="00462983" w:rsidRDefault="00462983" w:rsidP="00462983">
      <w:pPr>
        <w:spacing w:line="240" w:lineRule="auto"/>
        <w:rPr>
          <w:rFonts w:eastAsia="Times New Roman" w:cs="Arial"/>
          <w:lang w:eastAsia="bg-BG"/>
        </w:rPr>
      </w:pPr>
      <w:r w:rsidRPr="00462983">
        <w:rPr>
          <w:rFonts w:eastAsia="Times New Roman" w:cs="Arial"/>
          <w:i/>
          <w:iCs/>
          <w:color w:val="000000"/>
          <w:u w:val="single"/>
          <w:lang w:eastAsia="bg-BG"/>
        </w:rPr>
        <w:t>Нарушения на бъбреците и пикочните пътища</w:t>
      </w:r>
    </w:p>
    <w:p w14:paraId="6A2CE5FD"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Възможна е ретенция на вода/ соли с възможен едем, хиперкалиемия (вж. точки 4.4 и 4.5).</w:t>
      </w:r>
    </w:p>
    <w:p w14:paraId="577FFD97"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Възможна е органична бъбречна увреда, която може да доведе до остра бъбречна недостатъчност: съобщени са изолирани случаи на тубулна некроза и ренална папиларна некроза.</w:t>
      </w:r>
    </w:p>
    <w:p w14:paraId="64306C29"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Много редки:</w:t>
      </w:r>
      <w:r w:rsidRPr="00462983">
        <w:rPr>
          <w:rFonts w:eastAsia="Times New Roman" w:cs="Arial"/>
          <w:color w:val="000000"/>
          <w:lang w:eastAsia="bg-BG"/>
        </w:rPr>
        <w:t xml:space="preserve"> остра бъбречна недостатъчност, интерстициален нефрит, нефротичен синдром и остър пиелонефрит.</w:t>
      </w:r>
    </w:p>
    <w:p w14:paraId="6D40414C" w14:textId="77777777" w:rsidR="00462983" w:rsidRPr="00462983" w:rsidRDefault="00462983" w:rsidP="00462983">
      <w:pPr>
        <w:spacing w:line="240" w:lineRule="auto"/>
        <w:rPr>
          <w:rFonts w:eastAsia="Times New Roman" w:cs="Arial"/>
          <w:i/>
          <w:iCs/>
          <w:color w:val="000000"/>
          <w:u w:val="single"/>
          <w:lang w:eastAsia="bg-BG"/>
        </w:rPr>
      </w:pPr>
    </w:p>
    <w:p w14:paraId="30B246B9" w14:textId="4ED8C667" w:rsidR="00462983" w:rsidRPr="00462983" w:rsidRDefault="00462983" w:rsidP="00462983">
      <w:pPr>
        <w:spacing w:line="240" w:lineRule="auto"/>
        <w:rPr>
          <w:rFonts w:eastAsia="Times New Roman" w:cs="Arial"/>
          <w:lang w:eastAsia="bg-BG"/>
        </w:rPr>
      </w:pPr>
      <w:r w:rsidRPr="00462983">
        <w:rPr>
          <w:rFonts w:eastAsia="Times New Roman" w:cs="Arial"/>
          <w:i/>
          <w:iCs/>
          <w:color w:val="000000"/>
          <w:u w:val="single"/>
          <w:lang w:eastAsia="bg-BG"/>
        </w:rPr>
        <w:t>Обши нарушения и ефекти на мястото на приложение</w:t>
      </w:r>
    </w:p>
    <w:p w14:paraId="424FFB47"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Възможно е да възникнат реакции на мястото на инжектиране, включително зачервяване, зартопляне и болка.</w:t>
      </w:r>
    </w:p>
    <w:p w14:paraId="1167A4FE"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lang w:eastAsia="bg-BG"/>
        </w:rPr>
        <w:t>Нечести:</w:t>
      </w:r>
      <w:r w:rsidRPr="00462983">
        <w:rPr>
          <w:rFonts w:eastAsia="Times New Roman" w:cs="Arial"/>
          <w:color w:val="000000"/>
          <w:lang w:eastAsia="bg-BG"/>
        </w:rPr>
        <w:t xml:space="preserve"> едем.</w:t>
      </w:r>
    </w:p>
    <w:p w14:paraId="503161B7"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Клинични проучвания и епидемиологичните данни предполагат, че употребата на някои НСПВС (особено във високи дози и продължителен прием) могат да бъдат свързани с повишен виск от артериална тромбоза (напр. инфаркт на миокарда или мозъчен удар) (вж. точка 4.4).</w:t>
      </w:r>
    </w:p>
    <w:p w14:paraId="18C168A8" w14:textId="77777777" w:rsidR="00462983" w:rsidRPr="00462983" w:rsidRDefault="00462983" w:rsidP="00462983">
      <w:pPr>
        <w:spacing w:line="240" w:lineRule="auto"/>
        <w:rPr>
          <w:rFonts w:eastAsia="Times New Roman" w:cs="Arial"/>
          <w:b/>
          <w:bCs/>
          <w:color w:val="000000"/>
          <w:lang w:eastAsia="bg-BG"/>
        </w:rPr>
      </w:pPr>
    </w:p>
    <w:p w14:paraId="117E813A" w14:textId="69205749" w:rsidR="00462983" w:rsidRPr="00462983" w:rsidRDefault="00462983" w:rsidP="00462983">
      <w:pPr>
        <w:spacing w:line="240" w:lineRule="auto"/>
        <w:rPr>
          <w:rFonts w:eastAsia="Times New Roman" w:cs="Arial"/>
          <w:lang w:eastAsia="bg-BG"/>
        </w:rPr>
      </w:pPr>
      <w:r w:rsidRPr="00462983">
        <w:rPr>
          <w:rFonts w:eastAsia="Times New Roman" w:cs="Arial"/>
          <w:b/>
          <w:bCs/>
          <w:color w:val="000000"/>
          <w:lang w:eastAsia="bg-BG"/>
        </w:rPr>
        <w:t>Съобщаване на нежелани реакции</w:t>
      </w:r>
    </w:p>
    <w:p w14:paraId="3D303615"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lastRenderedPageBreak/>
        <w:t>Ако получите някакви нежелани лекарствени реакции, уведомете Вашия лекар или, фармацевт. Това включва всички възможни неописани в тази листовка нежелани реакции. Можете също да съобщите нежелани реакции директно чрез националната система за съобщаване на Изпълнителна агенция по лекарствата. Като съобщавате нежелани реакции, можете да дадете своя принос за получаване на повече информация относно безопасността на това лекарство.</w:t>
      </w:r>
    </w:p>
    <w:p w14:paraId="7D979D51" w14:textId="77777777" w:rsidR="00462983" w:rsidRPr="00462983" w:rsidRDefault="00462983" w:rsidP="00462983">
      <w:pPr>
        <w:spacing w:line="240" w:lineRule="auto"/>
        <w:rPr>
          <w:rFonts w:eastAsia="Times New Roman" w:cs="Arial"/>
          <w:lang w:eastAsia="bg-BG"/>
        </w:rPr>
      </w:pPr>
      <w:r w:rsidRPr="00462983">
        <w:rPr>
          <w:rFonts w:eastAsia="Times New Roman" w:cs="Arial"/>
          <w:b/>
          <w:bCs/>
          <w:color w:val="000000"/>
          <w:lang w:eastAsia="bg-BG"/>
        </w:rPr>
        <w:t>Контакти:</w:t>
      </w:r>
    </w:p>
    <w:p w14:paraId="3C7B1686"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Изпълнителна агенция по лекарствата.</w:t>
      </w:r>
    </w:p>
    <w:p w14:paraId="591BF44F" w14:textId="77777777" w:rsidR="00462983" w:rsidRPr="00462983" w:rsidRDefault="00462983" w:rsidP="00462983">
      <w:pPr>
        <w:spacing w:line="240" w:lineRule="auto"/>
        <w:rPr>
          <w:rFonts w:eastAsia="Times New Roman" w:cs="Arial"/>
          <w:lang w:eastAsia="bg-BG"/>
        </w:rPr>
      </w:pPr>
      <w:r w:rsidRPr="00462983">
        <w:rPr>
          <w:rFonts w:eastAsia="Times New Roman" w:cs="Arial"/>
          <w:b/>
          <w:bCs/>
          <w:color w:val="000000"/>
          <w:lang w:eastAsia="bg-BG"/>
        </w:rPr>
        <w:t>България</w:t>
      </w:r>
    </w:p>
    <w:p w14:paraId="20786E8A"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ул. .Дамян Груев” № 8</w:t>
      </w:r>
      <w:r w:rsidRPr="00462983">
        <w:rPr>
          <w:rFonts w:eastAsia="Times New Roman" w:cs="Arial"/>
          <w:color w:val="000000"/>
          <w:lang w:eastAsia="bg-BG"/>
        </w:rPr>
        <w:tab/>
      </w:r>
    </w:p>
    <w:p w14:paraId="7FDE2FF7" w14:textId="473576EE" w:rsidR="00462983" w:rsidRPr="00462983" w:rsidRDefault="00462983" w:rsidP="00462983">
      <w:pPr>
        <w:rPr>
          <w:rFonts w:cs="Arial"/>
        </w:rPr>
      </w:pPr>
      <w:r w:rsidRPr="00462983">
        <w:rPr>
          <w:rFonts w:eastAsia="Times New Roman" w:cs="Arial"/>
          <w:color w:val="000000"/>
          <w:lang w:eastAsia="bg-BG"/>
        </w:rPr>
        <w:t>1303 София</w:t>
      </w:r>
    </w:p>
    <w:p w14:paraId="6FBA33AA"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Тел.:4-35 928903417</w:t>
      </w:r>
    </w:p>
    <w:p w14:paraId="6804DFCB" w14:textId="555CF053" w:rsidR="00462983" w:rsidRDefault="00462983" w:rsidP="00462983">
      <w:r w:rsidRPr="00462983">
        <w:rPr>
          <w:rFonts w:eastAsia="Times New Roman" w:cs="Arial"/>
          <w:color w:val="000000"/>
          <w:lang w:eastAsia="bg-BG"/>
        </w:rPr>
        <w:t>уебсайт:</w:t>
      </w:r>
      <w:r w:rsidRPr="00462983">
        <w:rPr>
          <w:rFonts w:ascii="Times New Roman" w:eastAsia="Times New Roman" w:hAnsi="Times New Roman" w:cs="Times New Roman"/>
          <w:color w:val="000000"/>
          <w:lang w:eastAsia="bg-BG"/>
        </w:rPr>
        <w:t xml:space="preserve"> </w:t>
      </w:r>
      <w:hyperlink r:id="rId5" w:history="1">
        <w:r w:rsidRPr="00462983">
          <w:rPr>
            <w:rFonts w:ascii="Times New Roman" w:eastAsia="Times New Roman" w:hAnsi="Times New Roman" w:cs="Times New Roman"/>
            <w:color w:val="000000"/>
            <w:u w:val="single"/>
            <w:lang w:val="en-US"/>
          </w:rPr>
          <w:t>www.bda.bg</w:t>
        </w:r>
      </w:hyperlink>
    </w:p>
    <w:p w14:paraId="189EE930" w14:textId="77777777" w:rsidR="00462983" w:rsidRPr="0091385D" w:rsidRDefault="00462983"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3C71310E"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При възрастни пациенти основните признаци на предозиране са главоболие, замаяност, сънливост, гадене, повръщане, диария и коремна болка. При тежка интоксикация са наблюдавани хипотония, потискане на дишането и кървене от стомашно-чревния тракт. Пациент с предозиране трябва веднага да бъде прехвърлен в специализирано болнично отделение, където може да започне симптоматично лечение.</w:t>
      </w:r>
    </w:p>
    <w:p w14:paraId="6A43B8F3" w14:textId="5D73B296" w:rsidR="007A2185" w:rsidRPr="00462983" w:rsidRDefault="00462983" w:rsidP="00462983">
      <w:pPr>
        <w:rPr>
          <w:rFonts w:cs="Arial"/>
        </w:rPr>
      </w:pPr>
      <w:r w:rsidRPr="00462983">
        <w:rPr>
          <w:rFonts w:eastAsia="Times New Roman" w:cs="Arial"/>
          <w:color w:val="000000"/>
          <w:lang w:eastAsia="bg-BG"/>
        </w:rPr>
        <w:t>Няма специфичен антидот.</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5D79D18E"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Фармакотерапевтична група: Нестероидни противовъзпалителни лекарства АТС код: М01АЕ03.</w:t>
      </w:r>
    </w:p>
    <w:p w14:paraId="5DCEDA73" w14:textId="77777777" w:rsidR="00462983" w:rsidRPr="00462983" w:rsidRDefault="00462983" w:rsidP="00462983">
      <w:pPr>
        <w:spacing w:line="240" w:lineRule="auto"/>
        <w:rPr>
          <w:rFonts w:eastAsia="Times New Roman" w:cs="Arial"/>
          <w:i/>
          <w:iCs/>
          <w:color w:val="000000"/>
          <w:u w:val="single"/>
          <w:lang w:eastAsia="bg-BG"/>
        </w:rPr>
      </w:pPr>
    </w:p>
    <w:p w14:paraId="25691ACA" w14:textId="4B357B7A" w:rsidR="00462983" w:rsidRPr="00462983" w:rsidRDefault="00462983" w:rsidP="00462983">
      <w:pPr>
        <w:spacing w:line="240" w:lineRule="auto"/>
        <w:rPr>
          <w:rFonts w:eastAsia="Times New Roman" w:cs="Arial"/>
          <w:lang w:eastAsia="bg-BG"/>
        </w:rPr>
      </w:pPr>
      <w:r w:rsidRPr="00462983">
        <w:rPr>
          <w:rFonts w:eastAsia="Times New Roman" w:cs="Arial"/>
          <w:i/>
          <w:iCs/>
          <w:color w:val="000000"/>
          <w:u w:val="single"/>
          <w:lang w:eastAsia="bg-BG"/>
        </w:rPr>
        <w:t>Механизъм на действие</w:t>
      </w:r>
    </w:p>
    <w:p w14:paraId="4C3587EE"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Кетопрофен има инхибиторен ефект върху простагландиновия и левкотриеновия синтез чрез инхибиране на ензима циклооксигеназа (поне двата изоензима СОХ-1 и СОХ-2), който катализира простагландиновия синтез в метаболизма на арахидоновата киселина.</w:t>
      </w:r>
    </w:p>
    <w:p w14:paraId="3CAC996A"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 xml:space="preserve">Кетопрофен стабилизира липозомните мембрани </w:t>
      </w:r>
      <w:r w:rsidRPr="00462983">
        <w:rPr>
          <w:rFonts w:eastAsia="Times New Roman" w:cs="Arial"/>
          <w:i/>
          <w:iCs/>
          <w:color w:val="000000"/>
          <w:lang w:val="en-US"/>
        </w:rPr>
        <w:t>in vitro</w:t>
      </w:r>
      <w:r w:rsidRPr="00462983">
        <w:rPr>
          <w:rFonts w:eastAsia="Times New Roman" w:cs="Arial"/>
          <w:color w:val="000000"/>
          <w:lang w:val="en-US"/>
        </w:rPr>
        <w:t xml:space="preserve"> </w:t>
      </w:r>
      <w:r w:rsidRPr="00462983">
        <w:rPr>
          <w:rFonts w:eastAsia="Times New Roman" w:cs="Arial"/>
          <w:color w:val="000000"/>
          <w:lang w:eastAsia="bg-BG"/>
        </w:rPr>
        <w:t xml:space="preserve">и </w:t>
      </w:r>
      <w:r w:rsidRPr="00462983">
        <w:rPr>
          <w:rFonts w:eastAsia="Times New Roman" w:cs="Arial"/>
          <w:i/>
          <w:iCs/>
          <w:color w:val="000000"/>
          <w:lang w:val="en-US"/>
        </w:rPr>
        <w:t>in vivo,</w:t>
      </w:r>
      <w:r w:rsidRPr="00462983">
        <w:rPr>
          <w:rFonts w:eastAsia="Times New Roman" w:cs="Arial"/>
          <w:color w:val="000000"/>
          <w:lang w:val="en-US"/>
        </w:rPr>
        <w:t xml:space="preserve"> </w:t>
      </w:r>
      <w:r w:rsidRPr="00462983">
        <w:rPr>
          <w:rFonts w:eastAsia="Times New Roman" w:cs="Arial"/>
          <w:color w:val="000000"/>
          <w:lang w:eastAsia="bg-BG"/>
        </w:rPr>
        <w:t xml:space="preserve">има инхибиторен ефект върху левкотриеновия синтез във високи концентрации </w:t>
      </w:r>
      <w:r w:rsidRPr="00462983">
        <w:rPr>
          <w:rFonts w:eastAsia="Times New Roman" w:cs="Arial"/>
          <w:i/>
          <w:iCs/>
          <w:color w:val="000000"/>
          <w:lang w:val="en-US"/>
        </w:rPr>
        <w:t>in vitro</w:t>
      </w:r>
      <w:r w:rsidRPr="00462983">
        <w:rPr>
          <w:rFonts w:eastAsia="Times New Roman" w:cs="Arial"/>
          <w:color w:val="000000"/>
          <w:lang w:val="en-US"/>
        </w:rPr>
        <w:t xml:space="preserve"> </w:t>
      </w:r>
      <w:r w:rsidRPr="00462983">
        <w:rPr>
          <w:rFonts w:eastAsia="Times New Roman" w:cs="Arial"/>
          <w:color w:val="000000"/>
          <w:lang w:eastAsia="bg-BG"/>
        </w:rPr>
        <w:t>и притежава антибрадикининова активност.</w:t>
      </w:r>
    </w:p>
    <w:p w14:paraId="44865D30"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Механизмът на антипиретичното действие на кетопрофен не е известен, вероятно инхибира простагландиновия синтез в ЦНС (най-вероятно в хипоталамуса).</w:t>
      </w:r>
    </w:p>
    <w:p w14:paraId="038F692B" w14:textId="71B1C091" w:rsidR="007A2185" w:rsidRPr="00462983" w:rsidRDefault="00462983" w:rsidP="00462983">
      <w:pPr>
        <w:rPr>
          <w:rFonts w:cs="Arial"/>
        </w:rPr>
      </w:pPr>
      <w:r w:rsidRPr="00462983">
        <w:rPr>
          <w:rFonts w:eastAsia="Times New Roman" w:cs="Arial"/>
          <w:color w:val="000000"/>
          <w:lang w:eastAsia="bg-BG"/>
        </w:rPr>
        <w:t>При някои жени кетопрофен потиска симптомите на първична дисменорея, вероятно чрез инхибиране на простагландиновия синтез и/или ефекта на простагландините.</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3F7F18B7" w14:textId="77777777" w:rsidR="00462983" w:rsidRPr="00462983" w:rsidRDefault="00462983" w:rsidP="00462983">
      <w:pPr>
        <w:pStyle w:val="Heading3"/>
        <w:rPr>
          <w:rFonts w:eastAsia="Times New Roman"/>
          <w:u w:val="single"/>
          <w:lang w:eastAsia="bg-BG"/>
        </w:rPr>
      </w:pPr>
      <w:r w:rsidRPr="00462983">
        <w:rPr>
          <w:rFonts w:eastAsia="Times New Roman"/>
          <w:u w:val="single"/>
          <w:lang w:eastAsia="bg-BG"/>
        </w:rPr>
        <w:t>Резорбция</w:t>
      </w:r>
    </w:p>
    <w:p w14:paraId="09E3FE2C" w14:textId="41D2CFB9"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Средните плазмени нива 5 минути след интравенозна инфузия и 4 минути след прекратяване на приложението са 26,4</w:t>
      </w:r>
      <w:r w:rsidR="00895C7F">
        <w:rPr>
          <w:rFonts w:eastAsia="Times New Roman" w:cs="Arial"/>
          <w:color w:val="000000"/>
          <w:lang w:eastAsia="bg-BG"/>
        </w:rPr>
        <w:t xml:space="preserve"> </w:t>
      </w:r>
      <w:r w:rsidRPr="00462983">
        <w:rPr>
          <w:rFonts w:eastAsia="Times New Roman" w:cs="Arial"/>
          <w:color w:val="000000"/>
          <w:lang w:eastAsia="bg-BG"/>
        </w:rPr>
        <w:t>±</w:t>
      </w:r>
      <w:r w:rsidR="00895C7F">
        <w:rPr>
          <w:rFonts w:eastAsia="Times New Roman" w:cs="Arial"/>
          <w:color w:val="000000"/>
          <w:lang w:eastAsia="bg-BG"/>
        </w:rPr>
        <w:t xml:space="preserve"> </w:t>
      </w:r>
      <w:r w:rsidRPr="00462983">
        <w:rPr>
          <w:rFonts w:eastAsia="Times New Roman" w:cs="Arial"/>
          <w:color w:val="000000"/>
          <w:lang w:eastAsia="bg-BG"/>
        </w:rPr>
        <w:t>5,4 μ</w:t>
      </w:r>
      <w:r w:rsidRPr="00462983">
        <w:rPr>
          <w:rFonts w:eastAsia="Times New Roman" w:cs="Arial"/>
          <w:color w:val="000000"/>
          <w:lang w:val="en-US"/>
        </w:rPr>
        <w:t xml:space="preserve">g/ml. </w:t>
      </w:r>
      <w:r w:rsidRPr="00462983">
        <w:rPr>
          <w:rFonts w:eastAsia="Times New Roman" w:cs="Arial"/>
          <w:color w:val="000000"/>
          <w:lang w:eastAsia="bg-BG"/>
        </w:rPr>
        <w:t>Бионаличността е 90 %.</w:t>
      </w:r>
    </w:p>
    <w:p w14:paraId="2CCB1A67" w14:textId="77777777" w:rsidR="00462983" w:rsidRPr="00462983" w:rsidRDefault="00462983" w:rsidP="00462983">
      <w:pPr>
        <w:spacing w:line="240" w:lineRule="auto"/>
        <w:rPr>
          <w:rFonts w:eastAsia="Times New Roman" w:cs="Arial"/>
          <w:i/>
          <w:iCs/>
          <w:color w:val="000000"/>
          <w:u w:val="single"/>
          <w:lang w:eastAsia="bg-BG"/>
        </w:rPr>
      </w:pPr>
    </w:p>
    <w:p w14:paraId="0A9AA1B9" w14:textId="39FFFE49" w:rsidR="00462983" w:rsidRPr="00462983" w:rsidRDefault="00462983" w:rsidP="00462983">
      <w:pPr>
        <w:pStyle w:val="Heading3"/>
        <w:rPr>
          <w:rFonts w:eastAsia="Times New Roman"/>
          <w:u w:val="single"/>
          <w:lang w:eastAsia="bg-BG"/>
        </w:rPr>
      </w:pPr>
      <w:r w:rsidRPr="00462983">
        <w:rPr>
          <w:rFonts w:eastAsia="Times New Roman"/>
          <w:u w:val="single"/>
          <w:lang w:eastAsia="bg-BG"/>
        </w:rPr>
        <w:t>Разпределение</w:t>
      </w:r>
    </w:p>
    <w:p w14:paraId="693AF179" w14:textId="023B3208"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 xml:space="preserve">Кетопрофен е 99 % свързан с плазмените протеини, главно с албумина. Неговият обем на разпределение в тъканите е 0,1-0,2 </w:t>
      </w:r>
      <w:r w:rsidRPr="00462983">
        <w:rPr>
          <w:rFonts w:eastAsia="Times New Roman" w:cs="Arial"/>
          <w:color w:val="000000"/>
          <w:lang w:val="en-US"/>
        </w:rPr>
        <w:t xml:space="preserve">l/kg. </w:t>
      </w:r>
      <w:r w:rsidRPr="00462983">
        <w:rPr>
          <w:rFonts w:eastAsia="Times New Roman" w:cs="Arial"/>
          <w:color w:val="000000"/>
          <w:lang w:eastAsia="bg-BG"/>
        </w:rPr>
        <w:t xml:space="preserve">Кетопрофен прониква в синовиалната течност. Три часа след приложението на 100 </w:t>
      </w:r>
      <w:r w:rsidRPr="00462983">
        <w:rPr>
          <w:rFonts w:eastAsia="Times New Roman" w:cs="Arial"/>
          <w:color w:val="000000"/>
          <w:lang w:val="en-US"/>
        </w:rPr>
        <w:t xml:space="preserve">mg </w:t>
      </w:r>
      <w:r w:rsidRPr="00462983">
        <w:rPr>
          <w:rFonts w:eastAsia="Times New Roman" w:cs="Arial"/>
          <w:color w:val="000000"/>
          <w:lang w:eastAsia="bg-BG"/>
        </w:rPr>
        <w:t>кетопрофен плазмената му концентрация е приблизително 3</w:t>
      </w:r>
      <w:r w:rsidRPr="00462983">
        <w:rPr>
          <w:rFonts w:eastAsia="Times New Roman" w:cs="Arial"/>
          <w:i/>
          <w:iCs/>
          <w:color w:val="000000"/>
          <w:lang w:eastAsia="bg-BG"/>
        </w:rPr>
        <w:t xml:space="preserve"> </w:t>
      </w:r>
      <w:r w:rsidR="00895C7F" w:rsidRPr="00462983">
        <w:rPr>
          <w:rFonts w:eastAsia="Times New Roman" w:cs="Arial"/>
          <w:color w:val="000000"/>
          <w:lang w:eastAsia="bg-BG"/>
        </w:rPr>
        <w:t>μ</w:t>
      </w:r>
      <w:r w:rsidRPr="00462983">
        <w:rPr>
          <w:rFonts w:eastAsia="Times New Roman" w:cs="Arial"/>
          <w:color w:val="000000"/>
          <w:lang w:val="en-US"/>
        </w:rPr>
        <w:t xml:space="preserve">g/ml, </w:t>
      </w:r>
      <w:r w:rsidRPr="00462983">
        <w:rPr>
          <w:rFonts w:eastAsia="Times New Roman" w:cs="Arial"/>
          <w:color w:val="000000"/>
          <w:lang w:eastAsia="bg-BG"/>
        </w:rPr>
        <w:t>а концентрацията му в синовиалната течност е 1,5 μ</w:t>
      </w:r>
      <w:r w:rsidRPr="00462983">
        <w:rPr>
          <w:rFonts w:eastAsia="Times New Roman" w:cs="Arial"/>
          <w:color w:val="000000"/>
          <w:lang w:val="en-US"/>
        </w:rPr>
        <w:t xml:space="preserve">g/ml. </w:t>
      </w:r>
      <w:r w:rsidRPr="00462983">
        <w:rPr>
          <w:rFonts w:eastAsia="Times New Roman" w:cs="Arial"/>
          <w:color w:val="000000"/>
          <w:lang w:eastAsia="bg-BG"/>
        </w:rPr>
        <w:t>След 9 часа плазмената му концентрация е 0,3 μ</w:t>
      </w:r>
      <w:r w:rsidRPr="00462983">
        <w:rPr>
          <w:rFonts w:eastAsia="Times New Roman" w:cs="Arial"/>
          <w:color w:val="000000"/>
          <w:lang w:val="en-US"/>
        </w:rPr>
        <w:t xml:space="preserve">g/ml, </w:t>
      </w:r>
      <w:r w:rsidRPr="00462983">
        <w:rPr>
          <w:rFonts w:eastAsia="Times New Roman" w:cs="Arial"/>
          <w:color w:val="000000"/>
          <w:lang w:eastAsia="bg-BG"/>
        </w:rPr>
        <w:t>а концентрацията му синовиалната течност 0,8 μ</w:t>
      </w:r>
      <w:r w:rsidRPr="00462983">
        <w:rPr>
          <w:rFonts w:eastAsia="Times New Roman" w:cs="Arial"/>
          <w:color w:val="000000"/>
          <w:lang w:val="en-US"/>
        </w:rPr>
        <w:t>g/ml</w:t>
      </w:r>
      <w:r w:rsidRPr="00462983">
        <w:rPr>
          <w:rFonts w:eastAsia="Times New Roman" w:cs="Arial"/>
          <w:color w:val="000000"/>
          <w:lang w:eastAsia="bg-BG"/>
        </w:rPr>
        <w:t>. Това означава, че кетопрофен пенетрира бавно в синовиалната течност и бавно се елиминира от нея, докато плазмените му концентрации намаляват по-бързо. Равновесните концентрации на кетопрофен се достигат 24 часа след приложението му. При хора в напреднала възраст, равновесните концентрации се достигат след 8,7 часа и възлизат на 6,3 μ</w:t>
      </w:r>
      <w:r w:rsidRPr="00462983">
        <w:rPr>
          <w:rFonts w:eastAsia="Times New Roman" w:cs="Arial"/>
          <w:color w:val="000000"/>
          <w:lang w:val="en-US"/>
        </w:rPr>
        <w:t xml:space="preserve">g/ml. </w:t>
      </w:r>
      <w:r w:rsidRPr="00462983">
        <w:rPr>
          <w:rFonts w:eastAsia="Times New Roman" w:cs="Arial"/>
          <w:color w:val="000000"/>
          <w:lang w:eastAsia="bg-BG"/>
        </w:rPr>
        <w:t xml:space="preserve">15 минути след еднократна интрамускулна доза от 100 </w:t>
      </w:r>
      <w:r w:rsidRPr="00462983">
        <w:rPr>
          <w:rFonts w:eastAsia="Times New Roman" w:cs="Arial"/>
          <w:color w:val="000000"/>
          <w:lang w:val="en-US"/>
        </w:rPr>
        <w:t xml:space="preserve">mg </w:t>
      </w:r>
      <w:r w:rsidRPr="00462983">
        <w:rPr>
          <w:rFonts w:eastAsia="Times New Roman" w:cs="Arial"/>
          <w:color w:val="000000"/>
          <w:lang w:eastAsia="bg-BG"/>
        </w:rPr>
        <w:t>кетопрофен, са регистрирани концентрации в серума и цереброспиналната течност. Максимални плазмени концентрации на кетопрофен се достигат след 2 часа (1,3 μ</w:t>
      </w:r>
      <w:r w:rsidRPr="00462983">
        <w:rPr>
          <w:rFonts w:eastAsia="Times New Roman" w:cs="Arial"/>
          <w:color w:val="000000"/>
          <w:lang w:val="en-US"/>
        </w:rPr>
        <w:t>g/ml).</w:t>
      </w:r>
    </w:p>
    <w:p w14:paraId="6429FDF1" w14:textId="77777777" w:rsidR="00462983" w:rsidRPr="00462983" w:rsidRDefault="00462983" w:rsidP="00462983">
      <w:pPr>
        <w:spacing w:line="240" w:lineRule="auto"/>
        <w:rPr>
          <w:rFonts w:eastAsia="Times New Roman" w:cs="Arial"/>
          <w:i/>
          <w:iCs/>
          <w:color w:val="000000"/>
          <w:u w:val="single"/>
          <w:lang w:eastAsia="bg-BG"/>
        </w:rPr>
      </w:pPr>
    </w:p>
    <w:p w14:paraId="154EA2CD" w14:textId="1122191C" w:rsidR="00462983" w:rsidRPr="00462983" w:rsidRDefault="00462983" w:rsidP="00462983">
      <w:pPr>
        <w:pStyle w:val="Heading3"/>
        <w:rPr>
          <w:rFonts w:eastAsia="Times New Roman"/>
          <w:u w:val="single"/>
          <w:lang w:eastAsia="bg-BG"/>
        </w:rPr>
      </w:pPr>
      <w:r w:rsidRPr="00462983">
        <w:rPr>
          <w:rFonts w:eastAsia="Times New Roman"/>
          <w:u w:val="single"/>
          <w:lang w:eastAsia="bg-BG"/>
        </w:rPr>
        <w:t>Метаболизъм и елиминиране</w:t>
      </w:r>
    </w:p>
    <w:p w14:paraId="31CC9C2D" w14:textId="77777777" w:rsidR="00462983" w:rsidRPr="00462983" w:rsidRDefault="00462983" w:rsidP="00462983">
      <w:pPr>
        <w:rPr>
          <w:rFonts w:eastAsia="Times New Roman" w:cs="Arial"/>
          <w:lang w:eastAsia="bg-BG"/>
        </w:rPr>
      </w:pPr>
      <w:r w:rsidRPr="00462983">
        <w:rPr>
          <w:rFonts w:eastAsia="Times New Roman" w:cs="Arial"/>
          <w:color w:val="000000"/>
          <w:lang w:eastAsia="bg-BG"/>
        </w:rPr>
        <w:t xml:space="preserve">Кетопрофен се метаболизира интензивно от чернодробните микрозомални ензими. Той се свързва с глюкороновата киселина и в тази форма се елиминира от тялото. След перорално приложение на кетопрофен неговият плазмен клирънс е 1,16 </w:t>
      </w:r>
      <w:r w:rsidRPr="00462983">
        <w:rPr>
          <w:rFonts w:eastAsia="Times New Roman" w:cs="Arial"/>
          <w:color w:val="000000"/>
          <w:lang w:val="en-US"/>
        </w:rPr>
        <w:t xml:space="preserve">ml/min/kg. </w:t>
      </w:r>
      <w:r w:rsidRPr="00462983">
        <w:rPr>
          <w:rFonts w:eastAsia="Times New Roman" w:cs="Arial"/>
          <w:color w:val="000000"/>
          <w:lang w:eastAsia="bg-BG"/>
        </w:rPr>
        <w:t>Поради бързия му метаболизъм, биологичния му полуживот е 2 часа. До 80% от концентрацията на кетопрофен се екскретира в урината, главно (повече от 90%) под формата на кетопрофен глюкуронид, а приблизително 10% се екскретират с фецеса.При пациенти с бъбречна недостатъчност, кетопрофен се елиминира по-бавно и биологичният му полуживот се удължава с 1 час. При пациенти с чернодробна недостатъчност, кетопрофен може да кумулира в тъканите.</w:t>
      </w:r>
    </w:p>
    <w:p w14:paraId="45551830" w14:textId="11904131" w:rsidR="007A2185" w:rsidRPr="00462983" w:rsidRDefault="00462983" w:rsidP="00462983">
      <w:pPr>
        <w:rPr>
          <w:rFonts w:cs="Arial"/>
        </w:rPr>
      </w:pPr>
      <w:r w:rsidRPr="00462983">
        <w:rPr>
          <w:rFonts w:eastAsia="Times New Roman" w:cs="Arial"/>
          <w:color w:val="000000"/>
          <w:lang w:eastAsia="bg-BG"/>
        </w:rPr>
        <w:t>.Метаболизмът и елиминирането на кетопрофен са по-бавни при хора в напреднала възраст. Този факт има клинично значение само при пациенти с намалена бъбречна функция.</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14A221D7" w14:textId="77777777" w:rsidR="00462983" w:rsidRPr="00462983" w:rsidRDefault="00462983" w:rsidP="00462983">
      <w:pPr>
        <w:spacing w:line="240" w:lineRule="auto"/>
        <w:rPr>
          <w:rFonts w:eastAsia="Times New Roman" w:cs="Arial"/>
          <w:lang w:eastAsia="bg-BG"/>
        </w:rPr>
      </w:pPr>
      <w:r w:rsidRPr="00462983">
        <w:rPr>
          <w:rFonts w:eastAsia="Times New Roman" w:cs="Arial"/>
          <w:i/>
          <w:iCs/>
          <w:color w:val="000000"/>
          <w:u w:val="single"/>
          <w:lang w:eastAsia="bg-BG"/>
        </w:rPr>
        <w:t>Остра токсичност</w:t>
      </w:r>
    </w:p>
    <w:p w14:paraId="2AF8DE8B"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 xml:space="preserve">След перорално приложение, </w:t>
      </w:r>
      <w:r w:rsidRPr="00462983">
        <w:rPr>
          <w:rFonts w:eastAsia="Times New Roman" w:cs="Arial"/>
          <w:smallCaps/>
          <w:color w:val="000000"/>
          <w:lang w:val="en-US"/>
        </w:rPr>
        <w:t>LD</w:t>
      </w:r>
      <w:r w:rsidRPr="00462983">
        <w:rPr>
          <w:rFonts w:eastAsia="Times New Roman" w:cs="Arial"/>
          <w:smallCaps/>
          <w:color w:val="000000"/>
          <w:vertAlign w:val="subscript"/>
          <w:lang w:val="en-US"/>
        </w:rPr>
        <w:t>50</w:t>
      </w:r>
      <w:r w:rsidRPr="00462983">
        <w:rPr>
          <w:rFonts w:eastAsia="Times New Roman" w:cs="Arial"/>
          <w:color w:val="000000"/>
          <w:lang w:val="en-US"/>
        </w:rPr>
        <w:t xml:space="preserve"> </w:t>
      </w:r>
      <w:r w:rsidRPr="00462983">
        <w:rPr>
          <w:rFonts w:eastAsia="Times New Roman" w:cs="Arial"/>
          <w:color w:val="000000"/>
          <w:lang w:eastAsia="bg-BG"/>
        </w:rPr>
        <w:t xml:space="preserve">на кетопрофен при мишки е 360 </w:t>
      </w:r>
      <w:r w:rsidRPr="00462983">
        <w:rPr>
          <w:rFonts w:eastAsia="Times New Roman" w:cs="Arial"/>
          <w:color w:val="000000"/>
          <w:lang w:val="en-US"/>
        </w:rPr>
        <w:t xml:space="preserve">mg/kg, </w:t>
      </w:r>
      <w:r w:rsidRPr="00462983">
        <w:rPr>
          <w:rFonts w:eastAsia="Times New Roman" w:cs="Arial"/>
          <w:color w:val="000000"/>
          <w:lang w:eastAsia="bg-BG"/>
        </w:rPr>
        <w:t xml:space="preserve">при плъхове - 160 </w:t>
      </w:r>
      <w:r w:rsidRPr="00462983">
        <w:rPr>
          <w:rFonts w:eastAsia="Times New Roman" w:cs="Arial"/>
          <w:color w:val="000000"/>
          <w:lang w:val="en-US"/>
        </w:rPr>
        <w:t xml:space="preserve">mg/kg </w:t>
      </w:r>
      <w:r w:rsidRPr="00462983">
        <w:rPr>
          <w:rFonts w:eastAsia="Times New Roman" w:cs="Arial"/>
          <w:color w:val="000000"/>
          <w:lang w:eastAsia="bg-BG"/>
        </w:rPr>
        <w:t xml:space="preserve">и при морски свинчета приблизително 1300 </w:t>
      </w:r>
      <w:r w:rsidRPr="00462983">
        <w:rPr>
          <w:rFonts w:eastAsia="Times New Roman" w:cs="Arial"/>
          <w:color w:val="000000"/>
          <w:lang w:val="en-US"/>
        </w:rPr>
        <w:t>mg/kg. LD</w:t>
      </w:r>
      <w:r w:rsidRPr="00462983">
        <w:rPr>
          <w:rFonts w:eastAsia="Times New Roman" w:cs="Arial"/>
          <w:color w:val="000000"/>
          <w:vertAlign w:val="subscript"/>
          <w:lang w:val="en-US"/>
        </w:rPr>
        <w:t>50</w:t>
      </w:r>
      <w:r w:rsidRPr="00462983">
        <w:rPr>
          <w:rFonts w:eastAsia="Times New Roman" w:cs="Arial"/>
          <w:color w:val="000000"/>
          <w:lang w:val="en-US"/>
        </w:rPr>
        <w:t xml:space="preserve"> </w:t>
      </w:r>
      <w:r w:rsidRPr="00462983">
        <w:rPr>
          <w:rFonts w:eastAsia="Times New Roman" w:cs="Arial"/>
          <w:color w:val="000000"/>
          <w:lang w:eastAsia="bg-BG"/>
        </w:rPr>
        <w:t>на кетопрофен е няколко пъти по-висока от тази на индометацин.</w:t>
      </w:r>
    </w:p>
    <w:p w14:paraId="06289656" w14:textId="77777777" w:rsidR="00462983" w:rsidRPr="00462983" w:rsidRDefault="00462983" w:rsidP="00462983">
      <w:pPr>
        <w:spacing w:line="240" w:lineRule="auto"/>
        <w:rPr>
          <w:rFonts w:eastAsia="Times New Roman" w:cs="Arial"/>
          <w:i/>
          <w:iCs/>
          <w:color w:val="000000"/>
          <w:u w:val="single"/>
          <w:lang w:eastAsia="bg-BG"/>
        </w:rPr>
      </w:pPr>
    </w:p>
    <w:p w14:paraId="287E3F22" w14:textId="5BFCA3E6" w:rsidR="00462983" w:rsidRPr="00462983" w:rsidRDefault="00462983" w:rsidP="00462983">
      <w:pPr>
        <w:spacing w:line="240" w:lineRule="auto"/>
        <w:rPr>
          <w:rFonts w:eastAsia="Times New Roman" w:cs="Arial"/>
          <w:lang w:eastAsia="bg-BG"/>
        </w:rPr>
      </w:pPr>
      <w:r w:rsidRPr="00462983">
        <w:rPr>
          <w:rFonts w:eastAsia="Times New Roman" w:cs="Arial"/>
          <w:i/>
          <w:iCs/>
          <w:color w:val="000000"/>
          <w:u w:val="single"/>
          <w:lang w:eastAsia="bg-BG"/>
        </w:rPr>
        <w:t>Хронична токсичност</w:t>
      </w:r>
    </w:p>
    <w:p w14:paraId="0E48BD84"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 xml:space="preserve">На плъхове са давани орални дози 2, 6 или 18 </w:t>
      </w:r>
      <w:r w:rsidRPr="00462983">
        <w:rPr>
          <w:rFonts w:eastAsia="Times New Roman" w:cs="Arial"/>
          <w:color w:val="000000"/>
          <w:lang w:val="en-US"/>
        </w:rPr>
        <w:t xml:space="preserve">mg/kg </w:t>
      </w:r>
      <w:r w:rsidRPr="00462983">
        <w:rPr>
          <w:rFonts w:eastAsia="Times New Roman" w:cs="Arial"/>
          <w:color w:val="000000"/>
          <w:lang w:eastAsia="bg-BG"/>
        </w:rPr>
        <w:t xml:space="preserve">кетопрофен съответно за 4 седмици. От 6-я до 30-я ден умират само 10 % от животните, третирани с 18 </w:t>
      </w:r>
      <w:r w:rsidRPr="00462983">
        <w:rPr>
          <w:rFonts w:eastAsia="Times New Roman" w:cs="Arial"/>
          <w:color w:val="000000"/>
          <w:lang w:val="en-US"/>
        </w:rPr>
        <w:t xml:space="preserve">mg/kg. </w:t>
      </w:r>
      <w:r w:rsidRPr="00462983">
        <w:rPr>
          <w:rFonts w:eastAsia="Times New Roman" w:cs="Arial"/>
          <w:color w:val="000000"/>
          <w:lang w:eastAsia="bg-BG"/>
        </w:rPr>
        <w:t xml:space="preserve">При някои плъхове са възникнали стомашни язви. При опити с кучета е докладвано само за стомашни улцерации, но всички животни са преживели опитите. В сравнение с индометацин, 50 % от животните са умрели при доза от 6 </w:t>
      </w:r>
      <w:r w:rsidRPr="00462983">
        <w:rPr>
          <w:rFonts w:eastAsia="Times New Roman" w:cs="Arial"/>
          <w:color w:val="000000"/>
          <w:lang w:val="en-US"/>
        </w:rPr>
        <w:t xml:space="preserve">mg </w:t>
      </w:r>
      <w:r w:rsidRPr="00462983">
        <w:rPr>
          <w:rFonts w:eastAsia="Times New Roman" w:cs="Arial"/>
          <w:color w:val="000000"/>
          <w:lang w:eastAsia="bg-BG"/>
        </w:rPr>
        <w:t xml:space="preserve">индометацин на килограм телесно тегло, при доза от 18 </w:t>
      </w:r>
      <w:r w:rsidRPr="00462983">
        <w:rPr>
          <w:rFonts w:eastAsia="Times New Roman" w:cs="Arial"/>
          <w:color w:val="000000"/>
          <w:lang w:val="en-US"/>
        </w:rPr>
        <w:t xml:space="preserve">mg/kg </w:t>
      </w:r>
      <w:r w:rsidRPr="00462983">
        <w:rPr>
          <w:rFonts w:eastAsia="Times New Roman" w:cs="Arial"/>
          <w:color w:val="000000"/>
          <w:lang w:eastAsia="bg-BG"/>
        </w:rPr>
        <w:t>- съответно всички животни са умрели.</w:t>
      </w:r>
    </w:p>
    <w:p w14:paraId="179B3358"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 xml:space="preserve">При изследването в продължение на 6 месеца са били давани орално дози от 3, 6 или 9 </w:t>
      </w:r>
      <w:r w:rsidRPr="00462983">
        <w:rPr>
          <w:rFonts w:eastAsia="Times New Roman" w:cs="Arial"/>
          <w:color w:val="000000"/>
          <w:lang w:val="en-US"/>
        </w:rPr>
        <w:t xml:space="preserve">mg </w:t>
      </w:r>
      <w:r w:rsidRPr="00462983">
        <w:rPr>
          <w:rFonts w:eastAsia="Times New Roman" w:cs="Arial"/>
          <w:color w:val="000000"/>
          <w:lang w:eastAsia="bg-BG"/>
        </w:rPr>
        <w:t xml:space="preserve">кетопрофен на килограм телесна маса. След 8 седмици 53 % от мъжките плъхове при доза от 6 </w:t>
      </w:r>
      <w:r w:rsidRPr="00462983">
        <w:rPr>
          <w:rFonts w:eastAsia="Times New Roman" w:cs="Arial"/>
          <w:color w:val="000000"/>
          <w:lang w:val="en-US"/>
        </w:rPr>
        <w:t xml:space="preserve">mg/kg </w:t>
      </w:r>
      <w:r w:rsidRPr="00462983">
        <w:rPr>
          <w:rFonts w:eastAsia="Times New Roman" w:cs="Arial"/>
          <w:color w:val="000000"/>
          <w:lang w:eastAsia="bg-BG"/>
        </w:rPr>
        <w:t xml:space="preserve">са умрели и съответно 67 % от мъжките и 20 % от женските плъхове, третирани с доза от 9 </w:t>
      </w:r>
      <w:r w:rsidRPr="00462983">
        <w:rPr>
          <w:rFonts w:eastAsia="Times New Roman" w:cs="Arial"/>
          <w:color w:val="000000"/>
          <w:lang w:val="en-US"/>
        </w:rPr>
        <w:t xml:space="preserve">mg/kg. </w:t>
      </w:r>
      <w:r w:rsidRPr="00462983">
        <w:rPr>
          <w:rFonts w:eastAsia="Times New Roman" w:cs="Arial"/>
          <w:color w:val="000000"/>
          <w:lang w:eastAsia="bg-BG"/>
        </w:rPr>
        <w:t xml:space="preserve">При животните, получавали препарата в доза 9 </w:t>
      </w:r>
      <w:r w:rsidRPr="00462983">
        <w:rPr>
          <w:rFonts w:eastAsia="Times New Roman" w:cs="Arial"/>
          <w:color w:val="000000"/>
          <w:lang w:val="en-US"/>
        </w:rPr>
        <w:t xml:space="preserve">mg/kg, </w:t>
      </w:r>
      <w:r w:rsidRPr="00462983">
        <w:rPr>
          <w:rFonts w:eastAsia="Times New Roman" w:cs="Arial"/>
          <w:color w:val="000000"/>
          <w:lang w:eastAsia="bg-BG"/>
        </w:rPr>
        <w:t xml:space="preserve">плазмената протеинова концентрация е намаляла и е отбелязано повишение на теглото </w:t>
      </w:r>
      <w:r w:rsidRPr="00462983">
        <w:rPr>
          <w:rFonts w:eastAsia="Times New Roman" w:cs="Arial"/>
          <w:color w:val="000000"/>
          <w:lang w:eastAsia="bg-BG"/>
        </w:rPr>
        <w:lastRenderedPageBreak/>
        <w:t>на слезката и черния дроб. За групата на преживелите животни не са докладвани значими патологични промени.</w:t>
      </w:r>
    </w:p>
    <w:p w14:paraId="206EF6BE" w14:textId="77777777" w:rsidR="00462983" w:rsidRPr="00462983" w:rsidRDefault="00462983" w:rsidP="00462983">
      <w:pPr>
        <w:spacing w:line="240" w:lineRule="auto"/>
        <w:rPr>
          <w:rFonts w:eastAsia="Times New Roman" w:cs="Arial"/>
          <w:i/>
          <w:iCs/>
          <w:color w:val="000000"/>
          <w:u w:val="single"/>
          <w:lang w:eastAsia="bg-BG"/>
        </w:rPr>
      </w:pPr>
    </w:p>
    <w:p w14:paraId="380D67E6" w14:textId="5B63D854" w:rsidR="00462983" w:rsidRPr="00462983" w:rsidRDefault="00462983" w:rsidP="00462983">
      <w:pPr>
        <w:spacing w:line="240" w:lineRule="auto"/>
        <w:rPr>
          <w:rFonts w:eastAsia="Times New Roman" w:cs="Arial"/>
          <w:lang w:eastAsia="bg-BG"/>
        </w:rPr>
      </w:pPr>
      <w:r w:rsidRPr="00462983">
        <w:rPr>
          <w:rFonts w:eastAsia="Times New Roman" w:cs="Arial"/>
          <w:i/>
          <w:iCs/>
          <w:color w:val="000000"/>
          <w:u w:val="single"/>
          <w:lang w:eastAsia="bg-BG"/>
        </w:rPr>
        <w:t>Каниерогенност, мутагенност, влияние върху фертилитета</w:t>
      </w:r>
    </w:p>
    <w:p w14:paraId="7557AD7B"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 xml:space="preserve">Изследванията при мишки за хронична токсичност при перорално приложение (до 32 </w:t>
      </w:r>
      <w:r w:rsidRPr="00462983">
        <w:rPr>
          <w:rFonts w:eastAsia="Times New Roman" w:cs="Arial"/>
          <w:color w:val="000000"/>
          <w:lang w:val="en-US"/>
        </w:rPr>
        <w:t xml:space="preserve">mg/kg/24 h) </w:t>
      </w:r>
      <w:r w:rsidRPr="00462983">
        <w:rPr>
          <w:rFonts w:eastAsia="Times New Roman" w:cs="Arial"/>
          <w:color w:val="000000"/>
          <w:lang w:eastAsia="bg-BG"/>
        </w:rPr>
        <w:t xml:space="preserve">не показват наличие на канцерогенен потенциал на кетопрофен. Кетопрофен не демонстрира мутагенен потенциал и при т.нар. </w:t>
      </w:r>
      <w:r w:rsidRPr="00462983">
        <w:rPr>
          <w:rFonts w:eastAsia="Times New Roman" w:cs="Arial"/>
          <w:color w:val="000000"/>
          <w:lang w:val="en-US"/>
        </w:rPr>
        <w:t xml:space="preserve">Ames Test. </w:t>
      </w:r>
      <w:r w:rsidRPr="00462983">
        <w:rPr>
          <w:rFonts w:eastAsia="Times New Roman" w:cs="Arial"/>
          <w:color w:val="000000"/>
          <w:lang w:eastAsia="bg-BG"/>
        </w:rPr>
        <w:t xml:space="preserve">Прилагането на кетопрофен при мъжки плъхове (до 9 </w:t>
      </w:r>
      <w:r w:rsidRPr="00462983">
        <w:rPr>
          <w:rFonts w:eastAsia="Times New Roman" w:cs="Arial"/>
          <w:color w:val="000000"/>
          <w:lang w:val="en-US"/>
        </w:rPr>
        <w:t xml:space="preserve">mg/kg/24 h) </w:t>
      </w:r>
      <w:r w:rsidRPr="00462983">
        <w:rPr>
          <w:rFonts w:eastAsia="Times New Roman" w:cs="Arial"/>
          <w:color w:val="000000"/>
          <w:lang w:eastAsia="bg-BG"/>
        </w:rPr>
        <w:t xml:space="preserve">няма значим ефект върху репродуктивната способност и фертилитета. При женски плъхове е отбелязано намаление на броя на инплантационните места при приложение на дози от 6 до 9 </w:t>
      </w:r>
      <w:r w:rsidRPr="00462983">
        <w:rPr>
          <w:rFonts w:eastAsia="Times New Roman" w:cs="Arial"/>
          <w:color w:val="000000"/>
          <w:lang w:val="en-US"/>
        </w:rPr>
        <w:t xml:space="preserve">mg/kg/ </w:t>
      </w:r>
      <w:r w:rsidRPr="00462983">
        <w:rPr>
          <w:rFonts w:eastAsia="Times New Roman" w:cs="Arial"/>
          <w:color w:val="000000"/>
          <w:lang w:eastAsia="bg-BG"/>
        </w:rPr>
        <w:t xml:space="preserve">24 </w:t>
      </w:r>
      <w:r w:rsidRPr="00462983">
        <w:rPr>
          <w:rFonts w:eastAsia="Times New Roman" w:cs="Arial"/>
          <w:color w:val="000000"/>
          <w:lang w:val="en-US"/>
        </w:rPr>
        <w:t xml:space="preserve">h. </w:t>
      </w:r>
      <w:r w:rsidRPr="00462983">
        <w:rPr>
          <w:rFonts w:eastAsia="Times New Roman" w:cs="Arial"/>
          <w:color w:val="000000"/>
          <w:lang w:eastAsia="bg-BG"/>
        </w:rPr>
        <w:t>При мъжки кучета се проявява инхибиция на сперматогенезата. При използване на високи дози възниква намаление на теглото на тестисите при кучета и маймуни.</w:t>
      </w:r>
    </w:p>
    <w:p w14:paraId="3820BF9E" w14:textId="77777777" w:rsidR="00462983" w:rsidRPr="00462983" w:rsidRDefault="00462983" w:rsidP="00462983">
      <w:pPr>
        <w:spacing w:line="240" w:lineRule="auto"/>
        <w:rPr>
          <w:rFonts w:eastAsia="Times New Roman" w:cs="Arial"/>
          <w:i/>
          <w:iCs/>
          <w:color w:val="000000"/>
          <w:u w:val="single"/>
          <w:lang w:eastAsia="bg-BG"/>
        </w:rPr>
      </w:pPr>
    </w:p>
    <w:p w14:paraId="3FA73A19" w14:textId="1F025918" w:rsidR="00462983" w:rsidRPr="00462983" w:rsidRDefault="00462983" w:rsidP="00462983">
      <w:pPr>
        <w:spacing w:line="240" w:lineRule="auto"/>
        <w:rPr>
          <w:rFonts w:eastAsia="Times New Roman" w:cs="Arial"/>
          <w:lang w:eastAsia="bg-BG"/>
        </w:rPr>
      </w:pPr>
      <w:r w:rsidRPr="00462983">
        <w:rPr>
          <w:rFonts w:eastAsia="Times New Roman" w:cs="Arial"/>
          <w:i/>
          <w:iCs/>
          <w:color w:val="000000"/>
          <w:u w:val="single"/>
          <w:lang w:eastAsia="bg-BG"/>
        </w:rPr>
        <w:t>Тератогенност</w:t>
      </w:r>
    </w:p>
    <w:p w14:paraId="13A7B62A" w14:textId="0D6CB903" w:rsidR="007A2185" w:rsidRPr="00462983" w:rsidRDefault="00462983" w:rsidP="00462983">
      <w:pPr>
        <w:rPr>
          <w:rFonts w:cs="Arial"/>
        </w:rPr>
      </w:pPr>
      <w:r w:rsidRPr="00462983">
        <w:rPr>
          <w:rFonts w:eastAsia="Times New Roman" w:cs="Arial"/>
          <w:color w:val="000000"/>
          <w:lang w:eastAsia="bg-BG"/>
        </w:rPr>
        <w:t xml:space="preserve">При тератогенни изследвания кетопрофен е прилаган на мишки в дози до 12 </w:t>
      </w:r>
      <w:r w:rsidRPr="00462983">
        <w:rPr>
          <w:rFonts w:eastAsia="Times New Roman" w:cs="Arial"/>
          <w:color w:val="000000"/>
          <w:lang w:val="en-US"/>
        </w:rPr>
        <w:t xml:space="preserve">mg/kg/24 h </w:t>
      </w:r>
      <w:r w:rsidRPr="00462983">
        <w:rPr>
          <w:rFonts w:eastAsia="Times New Roman" w:cs="Arial"/>
          <w:color w:val="000000"/>
          <w:lang w:eastAsia="bg-BG"/>
        </w:rPr>
        <w:t xml:space="preserve">и при плъхове до 9 </w:t>
      </w:r>
      <w:r w:rsidRPr="00462983">
        <w:rPr>
          <w:rFonts w:eastAsia="Times New Roman" w:cs="Arial"/>
          <w:color w:val="000000"/>
          <w:lang w:val="en-US"/>
        </w:rPr>
        <w:t xml:space="preserve">mg/kg/24 h, </w:t>
      </w:r>
      <w:r w:rsidRPr="00462983">
        <w:rPr>
          <w:rFonts w:eastAsia="Times New Roman" w:cs="Arial"/>
          <w:color w:val="000000"/>
          <w:lang w:eastAsia="bg-BG"/>
        </w:rPr>
        <w:t>като не са показани някакви тератогенни или ембриотоксични ефекти. При отделни изследвания, проведени със зайци, токсичните за майките дози са били свързани с ембриотоксичност, но не и с тератогенност.</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184F59E5"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„Чайкафарма Висококачествените Лекарства” АД</w:t>
      </w:r>
    </w:p>
    <w:p w14:paraId="37386548"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бул.” Г.М.Димитров”№1, гр. София 1172, България</w:t>
      </w:r>
    </w:p>
    <w:p w14:paraId="099252C0"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тел.: +359 2 962 54 54</w:t>
      </w:r>
    </w:p>
    <w:p w14:paraId="4D7D5030" w14:textId="77777777" w:rsidR="00462983" w:rsidRPr="00462983" w:rsidRDefault="00462983" w:rsidP="00462983">
      <w:pPr>
        <w:spacing w:line="240" w:lineRule="auto"/>
        <w:rPr>
          <w:rFonts w:eastAsia="Times New Roman" w:cs="Arial"/>
          <w:lang w:eastAsia="bg-BG"/>
        </w:rPr>
      </w:pPr>
      <w:r w:rsidRPr="00462983">
        <w:rPr>
          <w:rFonts w:eastAsia="Times New Roman" w:cs="Arial"/>
          <w:color w:val="000000"/>
          <w:lang w:eastAsia="bg-BG"/>
        </w:rPr>
        <w:t>факс: +359 2 9603 703</w:t>
      </w:r>
    </w:p>
    <w:p w14:paraId="4F02909F" w14:textId="5B7A235E" w:rsidR="007A2185" w:rsidRPr="00462983" w:rsidRDefault="00462983" w:rsidP="00462983">
      <w:pPr>
        <w:rPr>
          <w:rFonts w:cs="Arial"/>
        </w:rPr>
      </w:pPr>
      <w:proofErr w:type="gramStart"/>
      <w:r w:rsidRPr="00462983">
        <w:rPr>
          <w:rFonts w:eastAsia="Times New Roman" w:cs="Arial"/>
          <w:color w:val="000000"/>
          <w:lang w:val="en-US"/>
        </w:rPr>
        <w:t>e-mail</w:t>
      </w:r>
      <w:proofErr w:type="gramEnd"/>
      <w:r w:rsidRPr="00462983">
        <w:rPr>
          <w:rFonts w:eastAsia="Times New Roman" w:cs="Arial"/>
          <w:color w:val="000000"/>
          <w:lang w:val="en-US"/>
        </w:rPr>
        <w:t xml:space="preserve">: </w:t>
      </w:r>
      <w:hyperlink r:id="rId6" w:history="1">
        <w:r w:rsidRPr="00462983">
          <w:rPr>
            <w:rFonts w:eastAsia="Times New Roman" w:cs="Arial"/>
            <w:color w:val="000000"/>
            <w:u w:val="single"/>
            <w:lang w:val="en-US"/>
          </w:rPr>
          <w:t>info@tchaikapharma.com</w:t>
        </w:r>
      </w:hyperlink>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4B0DAD0E" w:rsidR="007A2185" w:rsidRPr="00462983" w:rsidRDefault="00462983" w:rsidP="0091385D">
      <w:pPr>
        <w:rPr>
          <w:rFonts w:cs="Arial"/>
        </w:rPr>
      </w:pPr>
      <w:r w:rsidRPr="00462983">
        <w:rPr>
          <w:rFonts w:cs="Arial"/>
        </w:rPr>
        <w:t>20080267</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6C57D8B6" w14:textId="1A32C683" w:rsidR="007A2185" w:rsidRPr="00462983" w:rsidRDefault="00462983" w:rsidP="0091385D">
      <w:pPr>
        <w:rPr>
          <w:rFonts w:cs="Arial"/>
        </w:rPr>
      </w:pPr>
      <w:r w:rsidRPr="00462983">
        <w:rPr>
          <w:rFonts w:cs="Arial"/>
        </w:rPr>
        <w:t>Първо разрешаване: 12.12.2008</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4EEE30B5" w:rsidR="007A2185" w:rsidRPr="00462983" w:rsidRDefault="00462983" w:rsidP="0091385D">
      <w:pPr>
        <w:rPr>
          <w:rFonts w:cs="Arial"/>
        </w:rPr>
      </w:pPr>
      <w:r w:rsidRPr="00462983">
        <w:rPr>
          <w:rFonts w:cs="Arial"/>
        </w:rPr>
        <w:t>Октомври 2014 г.</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6544C51"/>
    <w:multiLevelType w:val="hybridMultilevel"/>
    <w:tmpl w:val="09FAFB7A"/>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46305"/>
    <w:multiLevelType w:val="hybridMultilevel"/>
    <w:tmpl w:val="0C28B7B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05C59"/>
    <w:multiLevelType w:val="hybridMultilevel"/>
    <w:tmpl w:val="10CEF51E"/>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8718A"/>
    <w:multiLevelType w:val="hybridMultilevel"/>
    <w:tmpl w:val="1B68AB3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65D4E64"/>
    <w:multiLevelType w:val="hybridMultilevel"/>
    <w:tmpl w:val="20BAE70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4"/>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3"/>
  </w:num>
  <w:num w:numId="12">
    <w:abstractNumId w:val="16"/>
  </w:num>
  <w:num w:numId="13">
    <w:abstractNumId w:val="21"/>
  </w:num>
  <w:num w:numId="14">
    <w:abstractNumId w:val="13"/>
  </w:num>
  <w:num w:numId="15">
    <w:abstractNumId w:val="32"/>
  </w:num>
  <w:num w:numId="16">
    <w:abstractNumId w:val="11"/>
  </w:num>
  <w:num w:numId="17">
    <w:abstractNumId w:val="26"/>
  </w:num>
  <w:num w:numId="18">
    <w:abstractNumId w:val="8"/>
  </w:num>
  <w:num w:numId="19">
    <w:abstractNumId w:val="29"/>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6"/>
  </w:num>
  <w:num w:numId="28">
    <w:abstractNumId w:val="6"/>
  </w:num>
  <w:num w:numId="29">
    <w:abstractNumId w:val="22"/>
  </w:num>
  <w:num w:numId="30">
    <w:abstractNumId w:val="39"/>
  </w:num>
  <w:num w:numId="31">
    <w:abstractNumId w:val="5"/>
  </w:num>
  <w:num w:numId="32">
    <w:abstractNumId w:val="38"/>
  </w:num>
  <w:num w:numId="33">
    <w:abstractNumId w:val="31"/>
  </w:num>
  <w:num w:numId="34">
    <w:abstractNumId w:val="37"/>
  </w:num>
  <w:num w:numId="35">
    <w:abstractNumId w:val="15"/>
  </w:num>
  <w:num w:numId="36">
    <w:abstractNumId w:val="28"/>
  </w:num>
  <w:num w:numId="37">
    <w:abstractNumId w:val="10"/>
  </w:num>
  <w:num w:numId="38">
    <w:abstractNumId w:val="35"/>
  </w:num>
  <w:num w:numId="39">
    <w:abstractNumId w:val="3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31092"/>
    <w:rsid w:val="00185A46"/>
    <w:rsid w:val="001915B6"/>
    <w:rsid w:val="001D1B23"/>
    <w:rsid w:val="002B3C38"/>
    <w:rsid w:val="002B4DBB"/>
    <w:rsid w:val="002C50EE"/>
    <w:rsid w:val="00340A0A"/>
    <w:rsid w:val="003765DC"/>
    <w:rsid w:val="00395555"/>
    <w:rsid w:val="003E3126"/>
    <w:rsid w:val="00426E5F"/>
    <w:rsid w:val="00462983"/>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95C7F"/>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chaikapharma.com"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4141</Words>
  <Characters>23606</Characters>
  <Application>Microsoft Office Word</Application>
  <DocSecurity>0</DocSecurity>
  <Lines>196</Lines>
  <Paragraphs>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2023-03-04T19:45:00Z</dcterms:created>
  <dcterms:modified xsi:type="dcterms:W3CDTF">2023-03-04T19:45:00Z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