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59BE3D9"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Кимокс 400 </w:t>
      </w:r>
      <w:r w:rsidRPr="00022FF9">
        <w:rPr>
          <w:rFonts w:eastAsia="Times New Roman" w:cs="Arial"/>
          <w:color w:val="000000"/>
          <w:lang w:val="en-US"/>
        </w:rPr>
        <w:t xml:space="preserve">mg </w:t>
      </w:r>
      <w:r w:rsidRPr="00022FF9">
        <w:rPr>
          <w:rFonts w:eastAsia="Times New Roman" w:cs="Arial"/>
          <w:color w:val="000000"/>
          <w:lang w:eastAsia="bg-BG"/>
        </w:rPr>
        <w:t>филмирани таблетки</w:t>
      </w:r>
    </w:p>
    <w:p w14:paraId="69AC8148" w14:textId="3880C63D" w:rsidR="00EC41ED" w:rsidRPr="00022FF9" w:rsidRDefault="00022FF9" w:rsidP="00022FF9">
      <w:pPr>
        <w:rPr>
          <w:rFonts w:cs="Arial"/>
          <w:lang w:val="en-US"/>
        </w:rPr>
      </w:pPr>
      <w:proofErr w:type="spellStart"/>
      <w:r w:rsidRPr="00022FF9">
        <w:rPr>
          <w:rFonts w:eastAsia="Times New Roman" w:cs="Arial"/>
          <w:color w:val="000000"/>
          <w:lang w:val="en-US"/>
        </w:rPr>
        <w:t>Kimoks</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400 </w:t>
      </w:r>
      <w:r w:rsidRPr="00022FF9">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F5E2304"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Всяка филмирана таблетка съдържа 400 </w:t>
      </w:r>
      <w:r w:rsidRPr="00022FF9">
        <w:rPr>
          <w:rFonts w:eastAsia="Times New Roman" w:cs="Arial"/>
          <w:color w:val="000000"/>
          <w:lang w:val="en-US"/>
        </w:rPr>
        <w:t xml:space="preserve">mg </w:t>
      </w:r>
      <w:r w:rsidRPr="00022FF9">
        <w:rPr>
          <w:rFonts w:eastAsia="Times New Roman" w:cs="Arial"/>
          <w:color w:val="000000"/>
          <w:lang w:eastAsia="bg-BG"/>
        </w:rPr>
        <w:t xml:space="preserve">моксифлоксацин </w:t>
      </w:r>
      <w:r w:rsidRPr="00022FF9">
        <w:rPr>
          <w:rFonts w:eastAsia="Times New Roman" w:cs="Arial"/>
          <w:i/>
          <w:iCs/>
          <w:color w:val="000000"/>
          <w:lang w:val="en-US"/>
        </w:rPr>
        <w:t>(</w:t>
      </w:r>
      <w:proofErr w:type="spellStart"/>
      <w:r w:rsidRPr="00022FF9">
        <w:rPr>
          <w:rFonts w:eastAsia="Times New Roman" w:cs="Arial"/>
          <w:i/>
          <w:iCs/>
          <w:color w:val="000000"/>
          <w:lang w:val="en-US"/>
        </w:rPr>
        <w:t>moxifloxacin</w:t>
      </w:r>
      <w:proofErr w:type="spellEnd"/>
      <w:r w:rsidRPr="00022FF9">
        <w:rPr>
          <w:rFonts w:eastAsia="Times New Roman" w:cs="Arial"/>
          <w:i/>
          <w:iCs/>
          <w:color w:val="000000"/>
          <w:lang w:val="en-US"/>
        </w:rPr>
        <w:t>)</w:t>
      </w:r>
      <w:r w:rsidRPr="00022FF9">
        <w:rPr>
          <w:rFonts w:eastAsia="Times New Roman" w:cs="Arial"/>
          <w:color w:val="000000"/>
          <w:lang w:val="en-US"/>
        </w:rPr>
        <w:t xml:space="preserve"> </w:t>
      </w:r>
      <w:r w:rsidRPr="00022FF9">
        <w:rPr>
          <w:rFonts w:eastAsia="Times New Roman" w:cs="Arial"/>
          <w:color w:val="000000"/>
          <w:lang w:eastAsia="bg-BG"/>
        </w:rPr>
        <w:t>(като хидрохлорид).</w:t>
      </w:r>
    </w:p>
    <w:p w14:paraId="6972323B"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Помощно вещество с известно действие:</w:t>
      </w:r>
      <w:r w:rsidRPr="00022FF9">
        <w:rPr>
          <w:rFonts w:eastAsia="Times New Roman" w:cs="Arial"/>
          <w:color w:val="000000"/>
          <w:lang w:eastAsia="bg-BG"/>
        </w:rPr>
        <w:t xml:space="preserve"> оцветител сънсет жълто (Е110).</w:t>
      </w:r>
    </w:p>
    <w:p w14:paraId="53DCDC8F" w14:textId="77777777" w:rsidR="00022FF9" w:rsidRPr="00022FF9" w:rsidRDefault="00022FF9" w:rsidP="00022FF9">
      <w:pPr>
        <w:rPr>
          <w:rFonts w:eastAsia="Times New Roman" w:cs="Arial"/>
          <w:color w:val="000000"/>
          <w:lang w:eastAsia="bg-BG"/>
        </w:rPr>
      </w:pPr>
    </w:p>
    <w:p w14:paraId="54632B43" w14:textId="17CDF92C" w:rsidR="00EC41ED" w:rsidRPr="00022FF9" w:rsidRDefault="00022FF9" w:rsidP="00022FF9">
      <w:pPr>
        <w:rPr>
          <w:rFonts w:cs="Arial"/>
        </w:rPr>
      </w:pPr>
      <w:r w:rsidRPr="00022FF9">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323B033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Филмирана таблетка</w:t>
      </w:r>
    </w:p>
    <w:p w14:paraId="1CF7588F"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Продълговати, двойноизпъкнали, бледо оранжеви филмирани таблетки с делителна черта от едната страна.</w:t>
      </w:r>
    </w:p>
    <w:p w14:paraId="580D236D"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Делителната черта е само за улесняване на счупването с цел по-лесно гълтане, а не за разделяне на равни дози.</w:t>
      </w:r>
    </w:p>
    <w:p w14:paraId="743244F0" w14:textId="0B14FB02" w:rsidR="00EC41ED" w:rsidRPr="00022FF9" w:rsidRDefault="00022FF9" w:rsidP="00022FF9">
      <w:pPr>
        <w:rPr>
          <w:rFonts w:cs="Arial"/>
        </w:rPr>
      </w:pPr>
      <w:r w:rsidRPr="00022FF9">
        <w:rPr>
          <w:rFonts w:eastAsia="Times New Roman" w:cs="Arial"/>
          <w:color w:val="000000"/>
          <w:lang w:eastAsia="bg-BG"/>
        </w:rPr>
        <w:t xml:space="preserve">Размерите на всяка таблетка са приблизително 20 </w:t>
      </w:r>
      <w:r w:rsidRPr="00022FF9">
        <w:rPr>
          <w:rFonts w:eastAsia="Times New Roman" w:cs="Arial"/>
          <w:color w:val="000000"/>
          <w:lang w:val="en-US"/>
        </w:rPr>
        <w:t xml:space="preserve">mm </w:t>
      </w:r>
      <w:r w:rsidRPr="00022FF9">
        <w:rPr>
          <w:rFonts w:eastAsia="Times New Roman" w:cs="Arial"/>
          <w:color w:val="000000"/>
          <w:lang w:eastAsia="bg-BG"/>
        </w:rPr>
        <w:t xml:space="preserve">х 8 </w:t>
      </w:r>
      <w:r w:rsidRPr="00022FF9">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ACE2783"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е показан за лечение на следните бактериални инфекции при пациенти на възраст 18 и повече години, причинени от бактерии, чувствителни към моксифлоксацин (вж. точки 4.4,</w:t>
      </w:r>
      <w:r w:rsidRPr="00022FF9">
        <w:rPr>
          <w:rFonts w:eastAsia="Times New Roman" w:cs="Arial"/>
          <w:color w:val="000000"/>
          <w:lang w:val="en-US"/>
        </w:rPr>
        <w:t xml:space="preserve"> </w:t>
      </w:r>
      <w:r w:rsidRPr="00022FF9">
        <w:rPr>
          <w:rFonts w:eastAsia="Times New Roman" w:cs="Arial"/>
          <w:color w:val="000000"/>
          <w:lang w:eastAsia="bg-BG"/>
        </w:rPr>
        <w:t>4.8 и 5.1).</w:t>
      </w:r>
    </w:p>
    <w:p w14:paraId="61CEBAF5" w14:textId="7B96534E" w:rsidR="00022FF9" w:rsidRPr="00022FF9" w:rsidRDefault="00022FF9" w:rsidP="00022FF9">
      <w:pPr>
        <w:spacing w:line="240" w:lineRule="auto"/>
        <w:rPr>
          <w:rFonts w:eastAsia="Times New Roman" w:cs="Arial"/>
          <w:color w:val="000000"/>
          <w:lang w:eastAsia="bg-BG"/>
        </w:rPr>
      </w:pPr>
      <w:r w:rsidRPr="00022FF9">
        <w:rPr>
          <w:rFonts w:eastAsia="Times New Roman" w:cs="Arial"/>
          <w:color w:val="000000"/>
          <w:lang w:eastAsia="bg-BG"/>
        </w:rPr>
        <w:t>При следните показани Моксифлоксацин трябва да се използва само, когато се смята за неподходящо да се използват други антибактериални средства, които обикновено се препоръчват за лечение на такива инфекции:</w:t>
      </w:r>
    </w:p>
    <w:p w14:paraId="5106DB5C" w14:textId="77777777" w:rsidR="00022FF9" w:rsidRPr="00022FF9" w:rsidRDefault="00022FF9" w:rsidP="00022FF9">
      <w:pPr>
        <w:spacing w:line="240" w:lineRule="auto"/>
        <w:rPr>
          <w:rFonts w:eastAsia="Times New Roman" w:cs="Arial"/>
          <w:lang w:eastAsia="bg-BG"/>
        </w:rPr>
      </w:pPr>
    </w:p>
    <w:p w14:paraId="0896D041" w14:textId="77777777" w:rsidR="00022FF9" w:rsidRPr="00022FF9" w:rsidRDefault="00022FF9" w:rsidP="00022FF9">
      <w:pPr>
        <w:pStyle w:val="ListParagraph"/>
        <w:numPr>
          <w:ilvl w:val="0"/>
          <w:numId w:val="36"/>
        </w:numPr>
        <w:spacing w:line="240" w:lineRule="auto"/>
        <w:rPr>
          <w:rFonts w:eastAsia="Times New Roman" w:cs="Arial"/>
          <w:lang w:eastAsia="bg-BG"/>
        </w:rPr>
      </w:pPr>
      <w:r w:rsidRPr="00022FF9">
        <w:rPr>
          <w:rFonts w:eastAsia="Times New Roman" w:cs="Arial"/>
          <w:color w:val="000000"/>
          <w:lang w:eastAsia="bg-BG"/>
        </w:rPr>
        <w:t>Остър бактериален синузит (адекватно диагностициран)</w:t>
      </w:r>
    </w:p>
    <w:p w14:paraId="0B63C549" w14:textId="090E671F" w:rsidR="00022FF9" w:rsidRPr="00022FF9" w:rsidRDefault="00022FF9" w:rsidP="00022FF9">
      <w:pPr>
        <w:pStyle w:val="ListParagraph"/>
        <w:numPr>
          <w:ilvl w:val="0"/>
          <w:numId w:val="36"/>
        </w:numPr>
        <w:spacing w:line="240" w:lineRule="auto"/>
        <w:rPr>
          <w:rFonts w:eastAsia="Times New Roman" w:cs="Arial"/>
          <w:lang w:eastAsia="bg-BG"/>
        </w:rPr>
      </w:pPr>
      <w:r w:rsidRPr="00022FF9">
        <w:rPr>
          <w:rFonts w:eastAsia="Times New Roman" w:cs="Arial"/>
          <w:color w:val="000000"/>
          <w:lang w:eastAsia="bg-BG"/>
        </w:rPr>
        <w:t>Остри екзацербации на хронична обструктивна белодробна болест, включително бронхит (адекватно диагностициран).</w:t>
      </w:r>
    </w:p>
    <w:p w14:paraId="361C6D35" w14:textId="77777777" w:rsidR="00022FF9" w:rsidRPr="00022FF9" w:rsidRDefault="00022FF9" w:rsidP="00022FF9">
      <w:pPr>
        <w:rPr>
          <w:rFonts w:eastAsia="Times New Roman" w:cs="Arial"/>
          <w:color w:val="000000"/>
          <w:lang w:eastAsia="bg-BG"/>
        </w:rPr>
      </w:pPr>
    </w:p>
    <w:p w14:paraId="6DFA4B9D" w14:textId="1E12BFD7" w:rsidR="0091385D" w:rsidRPr="00022FF9" w:rsidRDefault="00022FF9" w:rsidP="00022FF9">
      <w:pPr>
        <w:pStyle w:val="ListParagraph"/>
        <w:rPr>
          <w:rFonts w:eastAsia="Times New Roman" w:cs="Arial"/>
          <w:color w:val="000000"/>
          <w:lang w:eastAsia="bg-BG"/>
        </w:rPr>
      </w:pPr>
      <w:r w:rsidRPr="00022FF9">
        <w:rPr>
          <w:rFonts w:eastAsia="Times New Roman" w:cs="Arial"/>
          <w:color w:val="000000"/>
          <w:lang w:eastAsia="bg-BG"/>
        </w:rPr>
        <w:t xml:space="preserve">При следните показания Кимокс трябва да се използва само когато употребата на други антибактериални средства, които обикновено се препоръчват за </w:t>
      </w:r>
      <w:r w:rsidRPr="00022FF9">
        <w:rPr>
          <w:rFonts w:eastAsia="Times New Roman" w:cs="Arial"/>
          <w:color w:val="000000"/>
          <w:lang w:eastAsia="bg-BG"/>
        </w:rPr>
        <w:lastRenderedPageBreak/>
        <w:t>първоначално лечение на тези инфекции се смятат за неподходящи или когато лечението на инфекцията е било неуспешно:</w:t>
      </w:r>
    </w:p>
    <w:p w14:paraId="505651CD" w14:textId="1A8D163E" w:rsidR="00022FF9" w:rsidRPr="00022FF9" w:rsidRDefault="00022FF9" w:rsidP="00022FF9">
      <w:pPr>
        <w:pStyle w:val="ListParagraph"/>
        <w:rPr>
          <w:rFonts w:eastAsia="Times New Roman" w:cs="Arial"/>
          <w:color w:val="000000"/>
          <w:lang w:eastAsia="bg-BG"/>
        </w:rPr>
      </w:pPr>
    </w:p>
    <w:p w14:paraId="2CD5634E" w14:textId="77777777" w:rsidR="00022FF9" w:rsidRPr="00022FF9" w:rsidRDefault="00022FF9" w:rsidP="00022FF9">
      <w:pPr>
        <w:pStyle w:val="ListParagraph"/>
        <w:numPr>
          <w:ilvl w:val="0"/>
          <w:numId w:val="36"/>
        </w:numPr>
        <w:spacing w:line="240" w:lineRule="auto"/>
        <w:rPr>
          <w:rFonts w:eastAsia="Times New Roman" w:cs="Arial"/>
          <w:lang w:eastAsia="bg-BG"/>
        </w:rPr>
      </w:pPr>
      <w:r w:rsidRPr="00022FF9">
        <w:rPr>
          <w:rFonts w:eastAsia="Times New Roman" w:cs="Arial"/>
          <w:color w:val="000000"/>
          <w:lang w:eastAsia="bg-BG"/>
        </w:rPr>
        <w:t>Придобита в обществото пневмония, освен в тежки случаи</w:t>
      </w:r>
    </w:p>
    <w:p w14:paraId="5995D32B" w14:textId="1152B423" w:rsidR="00022FF9" w:rsidRPr="00022FF9" w:rsidRDefault="00022FF9" w:rsidP="00022FF9">
      <w:pPr>
        <w:pStyle w:val="ListParagraph"/>
        <w:spacing w:line="240" w:lineRule="auto"/>
        <w:rPr>
          <w:rFonts w:eastAsia="Times New Roman" w:cs="Arial"/>
          <w:lang w:eastAsia="bg-BG"/>
        </w:rPr>
      </w:pPr>
      <w:r w:rsidRPr="00022FF9">
        <w:rPr>
          <w:rFonts w:eastAsia="Times New Roman" w:cs="Arial"/>
          <w:color w:val="000000"/>
          <w:lang w:eastAsia="bg-BG"/>
        </w:rPr>
        <w:t>Лека до умерена тазова възпалителна болест (т.е. инфекции на горния генитален тракт на жените, включително салпингит и ендометрит), без свързан тубо-овариален или тазов абсцес.</w:t>
      </w:r>
    </w:p>
    <w:p w14:paraId="2ED1C8DC" w14:textId="77777777" w:rsidR="00022FF9" w:rsidRPr="00022FF9" w:rsidRDefault="00022FF9" w:rsidP="00022FF9">
      <w:pPr>
        <w:spacing w:line="240" w:lineRule="auto"/>
        <w:rPr>
          <w:rFonts w:eastAsia="Times New Roman" w:cs="Arial"/>
          <w:lang w:eastAsia="bg-BG"/>
        </w:rPr>
      </w:pPr>
    </w:p>
    <w:p w14:paraId="43D6AC93" w14:textId="63D2F36F"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Кимокс не се препоръчва за употреба като монотерапия при лека до умерена тазова възпалителна болест, но трябва да се прилага в комбинация с друго подходящо антибактериално средство (напр. цефалоспорин) поради повишената резистентност на </w:t>
      </w:r>
      <w:r w:rsidRPr="00022FF9">
        <w:rPr>
          <w:rFonts w:eastAsia="Times New Roman" w:cs="Arial"/>
          <w:color w:val="000000"/>
          <w:lang w:val="en-US"/>
        </w:rPr>
        <w:t xml:space="preserve">Neisseria </w:t>
      </w:r>
      <w:proofErr w:type="spellStart"/>
      <w:r w:rsidRPr="00022FF9">
        <w:rPr>
          <w:rFonts w:eastAsia="Times New Roman" w:cs="Arial"/>
          <w:color w:val="000000"/>
          <w:lang w:val="en-US"/>
        </w:rPr>
        <w:t>gonorrhoeae</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към моксифлоксацин, освен ако резистентната към моксифлоксацин </w:t>
      </w:r>
      <w:r w:rsidRPr="00022FF9">
        <w:rPr>
          <w:rFonts w:eastAsia="Times New Roman" w:cs="Arial"/>
          <w:color w:val="000000"/>
          <w:lang w:val="en-US"/>
        </w:rPr>
        <w:t xml:space="preserve">Neisseria </w:t>
      </w:r>
      <w:proofErr w:type="spellStart"/>
      <w:r w:rsidRPr="00022FF9">
        <w:rPr>
          <w:rFonts w:eastAsia="Times New Roman" w:cs="Arial"/>
          <w:color w:val="000000"/>
          <w:lang w:val="en-US"/>
        </w:rPr>
        <w:t>gonorrhoeae</w:t>
      </w:r>
      <w:proofErr w:type="spellEnd"/>
      <w:r w:rsidRPr="00022FF9">
        <w:rPr>
          <w:rFonts w:eastAsia="Times New Roman" w:cs="Arial"/>
          <w:color w:val="000000"/>
          <w:lang w:val="en-US"/>
        </w:rPr>
        <w:t xml:space="preserve"> </w:t>
      </w:r>
      <w:r w:rsidRPr="00022FF9">
        <w:rPr>
          <w:rFonts w:eastAsia="Times New Roman" w:cs="Arial"/>
          <w:color w:val="000000"/>
          <w:lang w:eastAsia="bg-BG"/>
        </w:rPr>
        <w:t>може да бъде изключена (вж. точки 4.4 и 5.1).</w:t>
      </w:r>
    </w:p>
    <w:p w14:paraId="7E16AA6E" w14:textId="77777777" w:rsidR="00022FF9" w:rsidRPr="00022FF9" w:rsidRDefault="00022FF9" w:rsidP="00022FF9">
      <w:pPr>
        <w:spacing w:line="240" w:lineRule="auto"/>
        <w:rPr>
          <w:rFonts w:eastAsia="Times New Roman" w:cs="Arial"/>
          <w:color w:val="000000"/>
          <w:lang w:eastAsia="bg-BG"/>
        </w:rPr>
      </w:pPr>
    </w:p>
    <w:p w14:paraId="1DA7512E" w14:textId="4F9ABB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може да се използва и за завършване на курс на лечение при пациенти, които са показали подобрение по време на първоначалното лечение с интравенозно приложение на моксифлоксацин за следните показания:</w:t>
      </w:r>
    </w:p>
    <w:p w14:paraId="5BEA897E" w14:textId="77777777" w:rsidR="00022FF9" w:rsidRPr="00022FF9" w:rsidRDefault="00022FF9" w:rsidP="00022FF9">
      <w:pPr>
        <w:pStyle w:val="ListParagraph"/>
        <w:numPr>
          <w:ilvl w:val="0"/>
          <w:numId w:val="38"/>
        </w:numPr>
        <w:spacing w:line="240" w:lineRule="auto"/>
        <w:rPr>
          <w:rFonts w:eastAsia="Times New Roman" w:cs="Arial"/>
          <w:lang w:eastAsia="bg-BG"/>
        </w:rPr>
      </w:pPr>
      <w:r w:rsidRPr="00022FF9">
        <w:rPr>
          <w:rFonts w:eastAsia="Times New Roman" w:cs="Arial"/>
          <w:color w:val="000000"/>
          <w:lang w:eastAsia="bg-BG"/>
        </w:rPr>
        <w:t>Придобита в обществото пневмония</w:t>
      </w:r>
    </w:p>
    <w:p w14:paraId="1B0CF029" w14:textId="1EA5DBB6" w:rsidR="00022FF9" w:rsidRPr="00022FF9" w:rsidRDefault="00022FF9" w:rsidP="00022FF9">
      <w:pPr>
        <w:pStyle w:val="ListParagraph"/>
        <w:numPr>
          <w:ilvl w:val="0"/>
          <w:numId w:val="38"/>
        </w:numPr>
        <w:spacing w:line="240" w:lineRule="auto"/>
        <w:rPr>
          <w:rFonts w:eastAsia="Times New Roman" w:cs="Arial"/>
          <w:lang w:eastAsia="bg-BG"/>
        </w:rPr>
      </w:pPr>
      <w:r w:rsidRPr="00022FF9">
        <w:rPr>
          <w:rFonts w:eastAsia="Times New Roman" w:cs="Arial"/>
          <w:color w:val="000000"/>
          <w:lang w:eastAsia="bg-BG"/>
        </w:rPr>
        <w:t>Усложнени инфекции на кожата и кожните структури</w:t>
      </w:r>
    </w:p>
    <w:p w14:paraId="20DA3A8B" w14:textId="77777777" w:rsidR="00022FF9" w:rsidRPr="00022FF9" w:rsidRDefault="00022FF9" w:rsidP="00022FF9">
      <w:pPr>
        <w:spacing w:line="240" w:lineRule="auto"/>
        <w:rPr>
          <w:rFonts w:eastAsia="Times New Roman" w:cs="Arial"/>
          <w:color w:val="000000"/>
          <w:lang w:eastAsia="bg-BG"/>
        </w:rPr>
      </w:pPr>
    </w:p>
    <w:p w14:paraId="5A660D2A" w14:textId="41136A1A"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не трябва да се използва за започване на лечение за какьвто и да е тип инфекция на кожата и кожните структури или за тежка пневмония, придобита в обществото.</w:t>
      </w:r>
    </w:p>
    <w:p w14:paraId="777ABF38" w14:textId="77777777" w:rsidR="00022FF9" w:rsidRPr="00022FF9" w:rsidRDefault="00022FF9" w:rsidP="00022FF9">
      <w:pPr>
        <w:rPr>
          <w:rFonts w:eastAsia="Times New Roman" w:cs="Arial"/>
          <w:color w:val="000000"/>
          <w:lang w:eastAsia="bg-BG"/>
        </w:rPr>
      </w:pPr>
    </w:p>
    <w:p w14:paraId="319B0A29" w14:textId="35256AB0" w:rsidR="00022FF9" w:rsidRPr="00022FF9" w:rsidRDefault="00022FF9" w:rsidP="00022FF9">
      <w:pPr>
        <w:rPr>
          <w:rFonts w:eastAsia="Times New Roman" w:cs="Arial"/>
          <w:color w:val="000000"/>
          <w:lang w:eastAsia="bg-BG"/>
        </w:rPr>
      </w:pPr>
      <w:r w:rsidRPr="00022FF9">
        <w:rPr>
          <w:rFonts w:eastAsia="Times New Roman" w:cs="Arial"/>
          <w:color w:val="000000"/>
          <w:lang w:eastAsia="bg-BG"/>
        </w:rPr>
        <w:t>Трябва да се имат предвид официалните указания за правилна употреба на антибактернални средства.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1FAED05E" w14:textId="77777777" w:rsidR="00022FF9" w:rsidRPr="00022FF9" w:rsidRDefault="00022FF9" w:rsidP="00022FF9">
      <w:pPr>
        <w:pStyle w:val="Heading3"/>
        <w:rPr>
          <w:rFonts w:eastAsia="Times New Roman"/>
          <w:u w:val="single"/>
          <w:lang w:eastAsia="bg-BG"/>
        </w:rPr>
      </w:pPr>
      <w:r w:rsidRPr="00022FF9">
        <w:rPr>
          <w:rFonts w:eastAsia="Times New Roman"/>
          <w:u w:val="single"/>
          <w:lang w:eastAsia="bg-BG"/>
        </w:rPr>
        <w:t>Дозировка (възрастни)</w:t>
      </w:r>
    </w:p>
    <w:p w14:paraId="107C56C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Препоръчваната доза е една филмирана таблетка от 400 </w:t>
      </w:r>
      <w:r w:rsidRPr="00022FF9">
        <w:rPr>
          <w:rFonts w:eastAsia="Times New Roman" w:cs="Arial"/>
          <w:color w:val="000000"/>
          <w:lang w:val="en-US"/>
        </w:rPr>
        <w:t xml:space="preserve">mg </w:t>
      </w:r>
      <w:r w:rsidRPr="00022FF9">
        <w:rPr>
          <w:rFonts w:eastAsia="Times New Roman" w:cs="Arial"/>
          <w:color w:val="000000"/>
          <w:lang w:eastAsia="bg-BG"/>
        </w:rPr>
        <w:t>веднъж дневно.</w:t>
      </w:r>
    </w:p>
    <w:p w14:paraId="4B854F08" w14:textId="77777777" w:rsidR="00022FF9" w:rsidRPr="00022FF9" w:rsidRDefault="00022FF9" w:rsidP="00022FF9">
      <w:pPr>
        <w:spacing w:line="240" w:lineRule="auto"/>
        <w:rPr>
          <w:rFonts w:eastAsia="Times New Roman" w:cs="Arial"/>
          <w:i/>
          <w:iCs/>
          <w:color w:val="000000"/>
          <w:lang w:eastAsia="bg-BG"/>
        </w:rPr>
      </w:pPr>
    </w:p>
    <w:p w14:paraId="0D19E5B7" w14:textId="4766BD9F" w:rsidR="00022FF9" w:rsidRPr="00022FF9" w:rsidRDefault="00022FF9" w:rsidP="00022FF9">
      <w:pPr>
        <w:spacing w:line="240" w:lineRule="auto"/>
        <w:rPr>
          <w:rFonts w:eastAsia="Times New Roman" w:cs="Arial"/>
          <w:lang w:eastAsia="bg-BG"/>
        </w:rPr>
      </w:pPr>
      <w:r w:rsidRPr="00022FF9">
        <w:rPr>
          <w:rFonts w:eastAsia="Times New Roman" w:cs="Arial"/>
          <w:i/>
          <w:iCs/>
          <w:color w:val="000000"/>
          <w:lang w:eastAsia="bg-BG"/>
        </w:rPr>
        <w:t>Бъбречно/чернодробно увреждане</w:t>
      </w:r>
    </w:p>
    <w:p w14:paraId="358E53A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Не се налага адаптиране на дозата при пациенти с леко до тежко нарушение на бъбречната функция или при пациенти на хронична диализа, т.е. хемодиализа и продължителна амбулаторна перитонеална диализа (вж. точка 5.2 за повече информация).</w:t>
      </w:r>
    </w:p>
    <w:p w14:paraId="2F9376D5" w14:textId="77777777" w:rsidR="00022FF9" w:rsidRPr="00022FF9" w:rsidRDefault="00022FF9" w:rsidP="00022FF9">
      <w:pPr>
        <w:spacing w:line="240" w:lineRule="auto"/>
        <w:rPr>
          <w:rFonts w:eastAsia="Times New Roman" w:cs="Arial"/>
          <w:color w:val="000000"/>
          <w:lang w:eastAsia="bg-BG"/>
        </w:rPr>
      </w:pPr>
    </w:p>
    <w:p w14:paraId="302C1405" w14:textId="5435D0AE"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Няма достатъчно данни за пациенти с увредена чернодробна функция (вж. точка 4.3).</w:t>
      </w:r>
    </w:p>
    <w:p w14:paraId="2FC22DE0" w14:textId="77777777" w:rsidR="00022FF9" w:rsidRPr="00022FF9" w:rsidRDefault="00022FF9" w:rsidP="00022FF9">
      <w:pPr>
        <w:spacing w:line="240" w:lineRule="auto"/>
        <w:rPr>
          <w:rFonts w:eastAsia="Times New Roman" w:cs="Arial"/>
          <w:i/>
          <w:iCs/>
          <w:color w:val="000000"/>
          <w:lang w:eastAsia="bg-BG"/>
        </w:rPr>
      </w:pPr>
    </w:p>
    <w:p w14:paraId="2608E24E" w14:textId="046EF539" w:rsidR="00022FF9" w:rsidRPr="00022FF9" w:rsidRDefault="00022FF9" w:rsidP="00022FF9">
      <w:pPr>
        <w:spacing w:line="240" w:lineRule="auto"/>
        <w:rPr>
          <w:rFonts w:eastAsia="Times New Roman" w:cs="Arial"/>
          <w:lang w:eastAsia="bg-BG"/>
        </w:rPr>
      </w:pPr>
      <w:r w:rsidRPr="00022FF9">
        <w:rPr>
          <w:rFonts w:eastAsia="Times New Roman" w:cs="Arial"/>
          <w:i/>
          <w:iCs/>
          <w:color w:val="000000"/>
          <w:lang w:eastAsia="bg-BG"/>
        </w:rPr>
        <w:t>Други специални популации</w:t>
      </w:r>
    </w:p>
    <w:p w14:paraId="3DDE7FAF"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Не се налага коригиране на дозата при пациенти в старческа възраст и при пациенти с ниско телесно тегло.</w:t>
      </w:r>
    </w:p>
    <w:p w14:paraId="4DCB1EF1" w14:textId="77777777" w:rsidR="00022FF9" w:rsidRPr="00022FF9" w:rsidRDefault="00022FF9" w:rsidP="00022FF9">
      <w:pPr>
        <w:spacing w:line="240" w:lineRule="auto"/>
        <w:rPr>
          <w:rFonts w:eastAsia="Times New Roman" w:cs="Arial"/>
          <w:i/>
          <w:iCs/>
          <w:color w:val="000000"/>
          <w:lang w:eastAsia="bg-BG"/>
        </w:rPr>
      </w:pPr>
    </w:p>
    <w:p w14:paraId="1BD54301" w14:textId="228E727E" w:rsidR="00022FF9" w:rsidRPr="00022FF9" w:rsidRDefault="00022FF9" w:rsidP="00022FF9">
      <w:pPr>
        <w:spacing w:line="240" w:lineRule="auto"/>
        <w:rPr>
          <w:rFonts w:eastAsia="Times New Roman" w:cs="Arial"/>
          <w:lang w:eastAsia="bg-BG"/>
        </w:rPr>
      </w:pPr>
      <w:r w:rsidRPr="00022FF9">
        <w:rPr>
          <w:rFonts w:eastAsia="Times New Roman" w:cs="Arial"/>
          <w:i/>
          <w:iCs/>
          <w:color w:val="000000"/>
          <w:lang w:eastAsia="bg-BG"/>
        </w:rPr>
        <w:t>Педиатрична популация</w:t>
      </w:r>
    </w:p>
    <w:p w14:paraId="5F783C74"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Моксифлоксацин е противопоказан при деца и юноши (&lt; 18 години).</w:t>
      </w:r>
    </w:p>
    <w:p w14:paraId="22B405BC"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Ефикасността и безопасността на моксифлоксацин при деца и юноши не са установени (вж. точка 4.3).</w:t>
      </w:r>
    </w:p>
    <w:p w14:paraId="1EDD157F" w14:textId="77777777" w:rsidR="00022FF9" w:rsidRPr="00022FF9" w:rsidRDefault="00022FF9" w:rsidP="00022FF9">
      <w:pPr>
        <w:rPr>
          <w:rFonts w:eastAsia="Times New Roman" w:cs="Arial"/>
          <w:color w:val="000000"/>
          <w:u w:val="single"/>
          <w:lang w:eastAsia="bg-BG"/>
        </w:rPr>
      </w:pPr>
    </w:p>
    <w:p w14:paraId="7FBF1BCE" w14:textId="47429821" w:rsidR="00EC41ED" w:rsidRPr="00022FF9" w:rsidRDefault="00022FF9" w:rsidP="00022FF9">
      <w:pPr>
        <w:pStyle w:val="Heading3"/>
        <w:rPr>
          <w:rFonts w:eastAsia="Times New Roman"/>
          <w:u w:val="single"/>
          <w:lang w:eastAsia="bg-BG"/>
        </w:rPr>
      </w:pPr>
      <w:r w:rsidRPr="00022FF9">
        <w:rPr>
          <w:rFonts w:eastAsia="Times New Roman"/>
          <w:u w:val="single"/>
          <w:lang w:eastAsia="bg-BG"/>
        </w:rPr>
        <w:lastRenderedPageBreak/>
        <w:t>Начин на приложение</w:t>
      </w:r>
    </w:p>
    <w:p w14:paraId="1154C93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Филмираната таблетка трябва да се поглъща цяла с достатъчно количество течност и може да се приема независимо от приема на храна.</w:t>
      </w:r>
    </w:p>
    <w:p w14:paraId="60DA9201" w14:textId="77777777" w:rsidR="00022FF9" w:rsidRPr="00022FF9" w:rsidRDefault="00022FF9" w:rsidP="00022FF9">
      <w:pPr>
        <w:spacing w:line="240" w:lineRule="auto"/>
        <w:rPr>
          <w:rFonts w:eastAsia="Times New Roman" w:cs="Arial"/>
          <w:color w:val="000000"/>
          <w:u w:val="single"/>
          <w:lang w:eastAsia="bg-BG"/>
        </w:rPr>
      </w:pPr>
    </w:p>
    <w:p w14:paraId="7CB814F3" w14:textId="1492DAA4"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Продължителност на приложение</w:t>
      </w:r>
    </w:p>
    <w:p w14:paraId="3D08A38A"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трябва да се използва при следната продължителност на лечение:</w:t>
      </w:r>
    </w:p>
    <w:p w14:paraId="110EEB0E" w14:textId="77777777" w:rsidR="00022FF9" w:rsidRPr="00022FF9" w:rsidRDefault="00022FF9" w:rsidP="00022FF9">
      <w:pPr>
        <w:pStyle w:val="ListParagraph"/>
        <w:numPr>
          <w:ilvl w:val="0"/>
          <w:numId w:val="39"/>
        </w:numPr>
        <w:spacing w:line="240" w:lineRule="auto"/>
        <w:rPr>
          <w:rFonts w:eastAsia="Times New Roman" w:cs="Arial"/>
          <w:lang w:eastAsia="bg-BG"/>
        </w:rPr>
      </w:pPr>
      <w:r w:rsidRPr="00022FF9">
        <w:rPr>
          <w:rFonts w:eastAsia="Times New Roman" w:cs="Arial"/>
          <w:color w:val="000000"/>
          <w:lang w:eastAsia="bg-BG"/>
        </w:rPr>
        <w:t>Остра екзацербация на хронична обструктивна белодробна болест, включително бронхит - 5 -10 дни</w:t>
      </w:r>
    </w:p>
    <w:p w14:paraId="0EC857E0" w14:textId="77777777" w:rsidR="00022FF9" w:rsidRPr="00022FF9" w:rsidRDefault="00022FF9" w:rsidP="00022FF9">
      <w:pPr>
        <w:pStyle w:val="ListParagraph"/>
        <w:numPr>
          <w:ilvl w:val="0"/>
          <w:numId w:val="39"/>
        </w:numPr>
        <w:spacing w:line="240" w:lineRule="auto"/>
        <w:rPr>
          <w:rFonts w:eastAsia="Times New Roman" w:cs="Arial"/>
          <w:lang w:eastAsia="bg-BG"/>
        </w:rPr>
      </w:pPr>
      <w:r w:rsidRPr="00022FF9">
        <w:rPr>
          <w:rFonts w:eastAsia="Times New Roman" w:cs="Arial"/>
          <w:color w:val="000000"/>
          <w:lang w:eastAsia="bg-BG"/>
        </w:rPr>
        <w:t>Придобита в обществото пневмония -10 дни</w:t>
      </w:r>
    </w:p>
    <w:p w14:paraId="47F5FC6C" w14:textId="77777777" w:rsidR="00022FF9" w:rsidRPr="00022FF9" w:rsidRDefault="00022FF9" w:rsidP="00022FF9">
      <w:pPr>
        <w:pStyle w:val="ListParagraph"/>
        <w:numPr>
          <w:ilvl w:val="0"/>
          <w:numId w:val="39"/>
        </w:numPr>
        <w:spacing w:line="240" w:lineRule="auto"/>
        <w:rPr>
          <w:rFonts w:eastAsia="Times New Roman" w:cs="Arial"/>
          <w:lang w:eastAsia="bg-BG"/>
        </w:rPr>
      </w:pPr>
      <w:r w:rsidRPr="00022FF9">
        <w:rPr>
          <w:rFonts w:eastAsia="Times New Roman" w:cs="Arial"/>
          <w:color w:val="000000"/>
          <w:lang w:eastAsia="bg-BG"/>
        </w:rPr>
        <w:t>Остър бактериален синузит -7 дни</w:t>
      </w:r>
    </w:p>
    <w:p w14:paraId="430FBA72" w14:textId="57147C6B" w:rsidR="00022FF9" w:rsidRPr="00022FF9" w:rsidRDefault="00022FF9" w:rsidP="00022FF9">
      <w:pPr>
        <w:pStyle w:val="ListParagraph"/>
        <w:numPr>
          <w:ilvl w:val="0"/>
          <w:numId w:val="39"/>
        </w:numPr>
        <w:spacing w:line="240" w:lineRule="auto"/>
        <w:rPr>
          <w:rFonts w:eastAsia="Times New Roman" w:cs="Arial"/>
          <w:lang w:eastAsia="bg-BG"/>
        </w:rPr>
      </w:pPr>
      <w:r w:rsidRPr="00022FF9">
        <w:rPr>
          <w:rFonts w:eastAsia="Times New Roman" w:cs="Arial"/>
          <w:color w:val="000000"/>
          <w:lang w:eastAsia="bg-BG"/>
        </w:rPr>
        <w:t>Лека до умерена тазова възпалителна болест -14 дни</w:t>
      </w:r>
    </w:p>
    <w:p w14:paraId="4D70800E"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е изследван в клинични проучвания за лечение до 14 дни.</w:t>
      </w:r>
    </w:p>
    <w:p w14:paraId="09A4DBD9" w14:textId="77777777" w:rsidR="00022FF9" w:rsidRPr="00022FF9" w:rsidRDefault="00022FF9" w:rsidP="00022FF9">
      <w:pPr>
        <w:spacing w:line="240" w:lineRule="auto"/>
        <w:rPr>
          <w:rFonts w:eastAsia="Times New Roman" w:cs="Arial"/>
          <w:i/>
          <w:iCs/>
          <w:color w:val="000000"/>
          <w:lang w:eastAsia="bg-BG"/>
        </w:rPr>
      </w:pPr>
    </w:p>
    <w:p w14:paraId="6FED6E5A" w14:textId="6D0C3D9F" w:rsidR="00022FF9" w:rsidRPr="00022FF9" w:rsidRDefault="00022FF9" w:rsidP="00022FF9">
      <w:pPr>
        <w:spacing w:line="240" w:lineRule="auto"/>
        <w:rPr>
          <w:rFonts w:eastAsia="Times New Roman" w:cs="Arial"/>
          <w:lang w:eastAsia="bg-BG"/>
        </w:rPr>
      </w:pPr>
      <w:r w:rsidRPr="00022FF9">
        <w:rPr>
          <w:rFonts w:eastAsia="Times New Roman" w:cs="Arial"/>
          <w:i/>
          <w:iCs/>
          <w:color w:val="000000"/>
          <w:lang w:eastAsia="bg-BG"/>
        </w:rPr>
        <w:t>Секвенциално (интравенозно, последвано от перорално) лечение</w:t>
      </w:r>
    </w:p>
    <w:p w14:paraId="02AF67AA"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В клинични проучвания със секвенциално лечение повечето пациенти преминават от интравенозно към перорално лечение в рамките на 4 дни (придобита в обществото пневмония) или 6 дни (усложнени инфекции на кожата и кожните структури). Препоръчваната обща продължителност на интравенозното и пероралното лечение е 7 -14 дни за придобитата в обществото пневмония и 7 - 21 дни за усложнени инфекции на кожата и кожните структури.</w:t>
      </w:r>
    </w:p>
    <w:p w14:paraId="707FAC92" w14:textId="77777777" w:rsidR="00022FF9" w:rsidRPr="00022FF9" w:rsidRDefault="00022FF9" w:rsidP="00022FF9">
      <w:pPr>
        <w:rPr>
          <w:rFonts w:eastAsia="Times New Roman" w:cs="Arial"/>
          <w:color w:val="000000"/>
          <w:lang w:eastAsia="bg-BG"/>
        </w:rPr>
      </w:pPr>
    </w:p>
    <w:p w14:paraId="60D30027" w14:textId="13C465BD" w:rsidR="00022FF9" w:rsidRPr="00022FF9" w:rsidRDefault="00022FF9" w:rsidP="00022FF9">
      <w:pPr>
        <w:rPr>
          <w:rFonts w:cs="Arial"/>
        </w:rPr>
      </w:pPr>
      <w:r w:rsidRPr="00022FF9">
        <w:rPr>
          <w:rFonts w:eastAsia="Times New Roman" w:cs="Arial"/>
          <w:color w:val="000000"/>
          <w:lang w:eastAsia="bg-BG"/>
        </w:rPr>
        <w:t xml:space="preserve">Препоръчителната доза (400 </w:t>
      </w:r>
      <w:r w:rsidRPr="00022FF9">
        <w:rPr>
          <w:rFonts w:eastAsia="Times New Roman" w:cs="Arial"/>
          <w:color w:val="000000"/>
          <w:lang w:val="en-US"/>
        </w:rPr>
        <w:t xml:space="preserve">mg </w:t>
      </w:r>
      <w:r w:rsidRPr="00022FF9">
        <w:rPr>
          <w:rFonts w:eastAsia="Times New Roman" w:cs="Arial"/>
          <w:color w:val="000000"/>
          <w:lang w:eastAsia="bg-BG"/>
        </w:rPr>
        <w:t>веднъж дневно) и продължителността на лечението за лекуваното показание не трябва да се превишават.</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D472DBB" w14:textId="77777777" w:rsidR="00022FF9" w:rsidRPr="00022FF9" w:rsidRDefault="00022FF9" w:rsidP="00022FF9">
      <w:pPr>
        <w:pStyle w:val="ListParagraph"/>
        <w:numPr>
          <w:ilvl w:val="0"/>
          <w:numId w:val="40"/>
        </w:numPr>
        <w:spacing w:line="240" w:lineRule="auto"/>
        <w:rPr>
          <w:rFonts w:eastAsia="Times New Roman" w:cs="Arial"/>
          <w:lang w:eastAsia="bg-BG"/>
        </w:rPr>
      </w:pPr>
      <w:r w:rsidRPr="00022FF9">
        <w:rPr>
          <w:rFonts w:eastAsia="Times New Roman" w:cs="Arial"/>
          <w:color w:val="000000"/>
          <w:lang w:eastAsia="bg-BG"/>
        </w:rPr>
        <w:t>Свръхчувствителност към активното вещество, към други хинолони или към някое от помощните вещества, изброени в точка 6.1.</w:t>
      </w:r>
    </w:p>
    <w:p w14:paraId="267720BE" w14:textId="77777777" w:rsidR="00022FF9" w:rsidRPr="00022FF9" w:rsidRDefault="00022FF9" w:rsidP="00022FF9">
      <w:pPr>
        <w:pStyle w:val="ListParagraph"/>
        <w:numPr>
          <w:ilvl w:val="0"/>
          <w:numId w:val="40"/>
        </w:numPr>
        <w:spacing w:line="240" w:lineRule="auto"/>
        <w:rPr>
          <w:rFonts w:eastAsia="Times New Roman" w:cs="Arial"/>
          <w:lang w:eastAsia="bg-BG"/>
        </w:rPr>
      </w:pPr>
      <w:r w:rsidRPr="00022FF9">
        <w:rPr>
          <w:rFonts w:eastAsia="Times New Roman" w:cs="Arial"/>
          <w:color w:val="000000"/>
          <w:lang w:eastAsia="bg-BG"/>
        </w:rPr>
        <w:t>Бременност и кърмене (вж. точка 4.6).</w:t>
      </w:r>
    </w:p>
    <w:p w14:paraId="7D48FFFB" w14:textId="77777777" w:rsidR="00022FF9" w:rsidRPr="00022FF9" w:rsidRDefault="00022FF9" w:rsidP="00022FF9">
      <w:pPr>
        <w:pStyle w:val="ListParagraph"/>
        <w:numPr>
          <w:ilvl w:val="0"/>
          <w:numId w:val="40"/>
        </w:numPr>
        <w:spacing w:line="240" w:lineRule="auto"/>
        <w:rPr>
          <w:rFonts w:eastAsia="Times New Roman" w:cs="Arial"/>
          <w:lang w:eastAsia="bg-BG"/>
        </w:rPr>
      </w:pPr>
      <w:r w:rsidRPr="00022FF9">
        <w:rPr>
          <w:rFonts w:eastAsia="Times New Roman" w:cs="Arial"/>
          <w:color w:val="000000"/>
          <w:lang w:eastAsia="bg-BG"/>
        </w:rPr>
        <w:t>Пациенти на възраст под 18 години.</w:t>
      </w:r>
    </w:p>
    <w:p w14:paraId="689CB4A9" w14:textId="54633730" w:rsidR="00022FF9" w:rsidRPr="00022FF9" w:rsidRDefault="00022FF9" w:rsidP="00022FF9">
      <w:pPr>
        <w:pStyle w:val="ListParagraph"/>
        <w:numPr>
          <w:ilvl w:val="0"/>
          <w:numId w:val="40"/>
        </w:numPr>
        <w:spacing w:line="240" w:lineRule="auto"/>
        <w:rPr>
          <w:rFonts w:eastAsia="Times New Roman" w:cs="Arial"/>
          <w:lang w:eastAsia="bg-BG"/>
        </w:rPr>
      </w:pPr>
      <w:r w:rsidRPr="00022FF9">
        <w:rPr>
          <w:rFonts w:eastAsia="Times New Roman" w:cs="Arial"/>
          <w:color w:val="000000"/>
          <w:lang w:eastAsia="bg-BG"/>
        </w:rPr>
        <w:t>Пациенти с анамнеза за заболяване/нарушение на сухожилията, свързано с лечение с хинолон.</w:t>
      </w:r>
    </w:p>
    <w:p w14:paraId="00E5741F" w14:textId="77777777" w:rsidR="00022FF9" w:rsidRPr="00022FF9" w:rsidRDefault="00022FF9" w:rsidP="00022FF9">
      <w:pPr>
        <w:spacing w:line="240" w:lineRule="auto"/>
        <w:rPr>
          <w:rFonts w:eastAsia="Times New Roman" w:cs="Arial"/>
          <w:color w:val="000000"/>
          <w:lang w:eastAsia="bg-BG"/>
        </w:rPr>
      </w:pPr>
    </w:p>
    <w:p w14:paraId="5ECBAED4" w14:textId="470AB598"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В предклинични изследвания и в изследвания при хора след експозиция на моксифлоксацин са наблюдавани промени в сърдечната електрофизиология под формата на удължаване на </w:t>
      </w:r>
      <w:r w:rsidRPr="00022FF9">
        <w:rPr>
          <w:rFonts w:eastAsia="Times New Roman" w:cs="Arial"/>
          <w:color w:val="000000"/>
          <w:lang w:val="en-US"/>
        </w:rPr>
        <w:t xml:space="preserve">QT </w:t>
      </w:r>
      <w:r w:rsidRPr="00022FF9">
        <w:rPr>
          <w:rFonts w:eastAsia="Times New Roman" w:cs="Arial"/>
          <w:color w:val="000000"/>
          <w:lang w:eastAsia="bg-BG"/>
        </w:rPr>
        <w:t>интервала. Поради причини, свързани с безопасността на лекарството, моксифлоксацин е противопоказан при пациенти със:</w:t>
      </w:r>
    </w:p>
    <w:p w14:paraId="2FD56213" w14:textId="77777777" w:rsidR="00022FF9" w:rsidRPr="00022FF9" w:rsidRDefault="00022FF9" w:rsidP="00022FF9">
      <w:pPr>
        <w:pStyle w:val="ListParagraph"/>
        <w:numPr>
          <w:ilvl w:val="0"/>
          <w:numId w:val="41"/>
        </w:numPr>
        <w:spacing w:line="240" w:lineRule="auto"/>
        <w:rPr>
          <w:rFonts w:eastAsia="Times New Roman" w:cs="Arial"/>
          <w:lang w:eastAsia="bg-BG"/>
        </w:rPr>
      </w:pPr>
      <w:r w:rsidRPr="00022FF9">
        <w:rPr>
          <w:rFonts w:eastAsia="Times New Roman" w:cs="Arial"/>
          <w:color w:val="000000"/>
          <w:lang w:eastAsia="bg-BG"/>
        </w:rPr>
        <w:t xml:space="preserve">Вродено или документирано придобито удължаване на </w:t>
      </w:r>
      <w:r w:rsidRPr="00022FF9">
        <w:rPr>
          <w:rFonts w:eastAsia="Times New Roman" w:cs="Arial"/>
          <w:color w:val="000000"/>
          <w:lang w:val="en-US"/>
        </w:rPr>
        <w:t xml:space="preserve">QT </w:t>
      </w:r>
      <w:r w:rsidRPr="00022FF9">
        <w:rPr>
          <w:rFonts w:eastAsia="Times New Roman" w:cs="Arial"/>
          <w:color w:val="000000"/>
          <w:lang w:eastAsia="bg-BG"/>
        </w:rPr>
        <w:t xml:space="preserve">интервала </w:t>
      </w:r>
    </w:p>
    <w:p w14:paraId="7583FC5D" w14:textId="77777777" w:rsidR="00022FF9" w:rsidRPr="00022FF9" w:rsidRDefault="00022FF9" w:rsidP="00022FF9">
      <w:pPr>
        <w:pStyle w:val="ListParagraph"/>
        <w:numPr>
          <w:ilvl w:val="0"/>
          <w:numId w:val="41"/>
        </w:numPr>
        <w:spacing w:line="240" w:lineRule="auto"/>
        <w:rPr>
          <w:rFonts w:eastAsia="Times New Roman" w:cs="Arial"/>
          <w:lang w:eastAsia="bg-BG"/>
        </w:rPr>
      </w:pPr>
      <w:r w:rsidRPr="00022FF9">
        <w:rPr>
          <w:rFonts w:eastAsia="Times New Roman" w:cs="Arial"/>
          <w:color w:val="000000"/>
          <w:lang w:eastAsia="bg-BG"/>
        </w:rPr>
        <w:t xml:space="preserve">Електролитни смущения, особено при некоригирана хипокалиемия </w:t>
      </w:r>
    </w:p>
    <w:p w14:paraId="676D2F10" w14:textId="77777777" w:rsidR="00022FF9" w:rsidRPr="00022FF9" w:rsidRDefault="00022FF9" w:rsidP="00022FF9">
      <w:pPr>
        <w:pStyle w:val="ListParagraph"/>
        <w:numPr>
          <w:ilvl w:val="0"/>
          <w:numId w:val="41"/>
        </w:numPr>
        <w:spacing w:line="240" w:lineRule="auto"/>
        <w:rPr>
          <w:rFonts w:eastAsia="Times New Roman" w:cs="Arial"/>
          <w:lang w:eastAsia="bg-BG"/>
        </w:rPr>
      </w:pPr>
      <w:r w:rsidRPr="00022FF9">
        <w:rPr>
          <w:rFonts w:eastAsia="Times New Roman" w:cs="Arial"/>
          <w:color w:val="000000"/>
          <w:lang w:eastAsia="bg-BG"/>
        </w:rPr>
        <w:t>Клинично значима брадикардия</w:t>
      </w:r>
    </w:p>
    <w:p w14:paraId="5B7A68B3" w14:textId="77777777" w:rsidR="00022FF9" w:rsidRPr="00022FF9" w:rsidRDefault="00022FF9" w:rsidP="00022FF9">
      <w:pPr>
        <w:pStyle w:val="ListParagraph"/>
        <w:numPr>
          <w:ilvl w:val="0"/>
          <w:numId w:val="41"/>
        </w:numPr>
        <w:spacing w:line="240" w:lineRule="auto"/>
        <w:rPr>
          <w:rFonts w:eastAsia="Times New Roman" w:cs="Arial"/>
          <w:lang w:eastAsia="bg-BG"/>
        </w:rPr>
      </w:pPr>
      <w:r w:rsidRPr="00022FF9">
        <w:rPr>
          <w:rFonts w:eastAsia="Times New Roman" w:cs="Arial"/>
          <w:color w:val="000000"/>
          <w:lang w:eastAsia="bg-BG"/>
        </w:rPr>
        <w:t>Клинично значима сърдечна недостатъчност с намалена фракция на изтласкване на лявата камера</w:t>
      </w:r>
    </w:p>
    <w:p w14:paraId="54D1B1DD" w14:textId="40B7851C" w:rsidR="00022FF9" w:rsidRPr="00022FF9" w:rsidRDefault="00022FF9" w:rsidP="00022FF9">
      <w:pPr>
        <w:pStyle w:val="ListParagraph"/>
        <w:numPr>
          <w:ilvl w:val="0"/>
          <w:numId w:val="41"/>
        </w:numPr>
        <w:spacing w:line="240" w:lineRule="auto"/>
        <w:rPr>
          <w:rFonts w:eastAsia="Times New Roman" w:cs="Arial"/>
          <w:lang w:eastAsia="bg-BG"/>
        </w:rPr>
      </w:pPr>
      <w:r w:rsidRPr="00022FF9">
        <w:rPr>
          <w:rFonts w:eastAsia="Times New Roman" w:cs="Arial"/>
          <w:color w:val="000000"/>
          <w:lang w:eastAsia="bg-BG"/>
        </w:rPr>
        <w:t>Минала анамнеза за симптоматични аритмии</w:t>
      </w:r>
    </w:p>
    <w:p w14:paraId="27CE4D4E" w14:textId="77777777" w:rsidR="00022FF9" w:rsidRPr="00022FF9" w:rsidRDefault="00022FF9" w:rsidP="00022FF9">
      <w:pPr>
        <w:rPr>
          <w:rFonts w:eastAsia="Times New Roman" w:cs="Arial"/>
          <w:color w:val="000000"/>
          <w:lang w:eastAsia="bg-BG"/>
        </w:rPr>
      </w:pPr>
    </w:p>
    <w:p w14:paraId="030B6A4D" w14:textId="7DA46BF3" w:rsidR="00EC41ED" w:rsidRPr="00022FF9" w:rsidRDefault="00022FF9" w:rsidP="00022FF9">
      <w:pPr>
        <w:rPr>
          <w:rFonts w:cs="Arial"/>
        </w:rPr>
      </w:pPr>
      <w:r w:rsidRPr="00022FF9">
        <w:rPr>
          <w:rFonts w:eastAsia="Times New Roman" w:cs="Arial"/>
          <w:color w:val="000000"/>
          <w:lang w:eastAsia="bg-BG"/>
        </w:rPr>
        <w:t xml:space="preserve">Моксифлоксацин не трябва да се прилага едновременно с други лекарства, които удължават </w:t>
      </w:r>
      <w:r w:rsidRPr="00022FF9">
        <w:rPr>
          <w:rFonts w:eastAsia="Times New Roman" w:cs="Arial"/>
          <w:color w:val="000000"/>
          <w:lang w:val="en-US"/>
        </w:rPr>
        <w:t xml:space="preserve">QT </w:t>
      </w:r>
      <w:r w:rsidRPr="00022FF9">
        <w:rPr>
          <w:rFonts w:eastAsia="Times New Roman" w:cs="Arial"/>
          <w:color w:val="000000"/>
          <w:lang w:eastAsia="bg-BG"/>
        </w:rPr>
        <w:t>интервала (вж. също точка 4.5).</w:t>
      </w:r>
    </w:p>
    <w:p w14:paraId="31B39DC6" w14:textId="020F7997" w:rsidR="0091385D" w:rsidRPr="00022FF9" w:rsidRDefault="0091385D" w:rsidP="0091385D">
      <w:pPr>
        <w:rPr>
          <w:rFonts w:cs="Arial"/>
        </w:rPr>
      </w:pPr>
    </w:p>
    <w:p w14:paraId="26B8522D" w14:textId="7150D68E" w:rsidR="00022FF9" w:rsidRPr="00022FF9" w:rsidRDefault="00022FF9" w:rsidP="0091385D">
      <w:pPr>
        <w:rPr>
          <w:rFonts w:cs="Arial"/>
        </w:rPr>
      </w:pPr>
      <w:r w:rsidRPr="00022FF9">
        <w:rPr>
          <w:rFonts w:cs="Arial"/>
        </w:rPr>
        <w:lastRenderedPageBreak/>
        <w:t xml:space="preserve">Поради ограничените клинични данни моксифлоксацин също е противопоказан при пациенти с нарушена чернодробна функция </w:t>
      </w:r>
      <w:r w:rsidRPr="00022FF9">
        <w:rPr>
          <w:rFonts w:cs="Arial"/>
          <w:lang w:val="en-US"/>
        </w:rPr>
        <w:t xml:space="preserve">(Child Pugh </w:t>
      </w:r>
      <w:r w:rsidRPr="00022FF9">
        <w:rPr>
          <w:rFonts w:cs="Arial"/>
        </w:rPr>
        <w:t xml:space="preserve">С) и при пациенти с повишение на трансаминазите &gt; 5 пъти над </w:t>
      </w:r>
      <w:r w:rsidRPr="00022FF9">
        <w:rPr>
          <w:rFonts w:cs="Arial"/>
          <w:lang w:val="en-US"/>
        </w:rPr>
        <w:t>ULN.</w:t>
      </w:r>
    </w:p>
    <w:p w14:paraId="7E89C7B6" w14:textId="77777777" w:rsidR="00022FF9" w:rsidRPr="0091385D" w:rsidRDefault="00022FF9"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FB2641F"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Употребата на моксифлоксацин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моксифлоксацин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35BE02A0" w14:textId="77777777" w:rsidR="00022FF9" w:rsidRPr="00022FF9" w:rsidRDefault="00022FF9" w:rsidP="00022FF9">
      <w:pPr>
        <w:spacing w:line="240" w:lineRule="auto"/>
        <w:rPr>
          <w:rFonts w:eastAsia="Times New Roman" w:cs="Arial"/>
          <w:color w:val="000000"/>
          <w:lang w:eastAsia="bg-BG"/>
        </w:rPr>
      </w:pPr>
    </w:p>
    <w:p w14:paraId="59B7EC80" w14:textId="26556986"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Ползата от лечението с моксифлоксацин, особено при инфекции с ниска степен на тежест, трябва да бъде балансирана с информацията, съдържаща се в раздела с предупреждения и предпазни мерки.</w:t>
      </w:r>
    </w:p>
    <w:p w14:paraId="37C0F1A7" w14:textId="77777777" w:rsidR="00022FF9" w:rsidRPr="00022FF9" w:rsidRDefault="00022FF9" w:rsidP="00022FF9">
      <w:pPr>
        <w:spacing w:line="240" w:lineRule="auto"/>
        <w:rPr>
          <w:rFonts w:eastAsia="Times New Roman" w:cs="Arial"/>
          <w:color w:val="000000"/>
          <w:u w:val="single"/>
          <w:lang w:eastAsia="bg-BG"/>
        </w:rPr>
      </w:pPr>
    </w:p>
    <w:p w14:paraId="7FF8D246" w14:textId="4639F035"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 xml:space="preserve">Удължаване на </w:t>
      </w:r>
      <w:proofErr w:type="spellStart"/>
      <w:r w:rsidRPr="00022FF9">
        <w:rPr>
          <w:rFonts w:eastAsia="Times New Roman" w:cs="Arial"/>
          <w:color w:val="000000"/>
          <w:u w:val="single"/>
          <w:lang w:val="en-US"/>
        </w:rPr>
        <w:t>QTc</w:t>
      </w:r>
      <w:proofErr w:type="spellEnd"/>
      <w:r w:rsidRPr="00022FF9">
        <w:rPr>
          <w:rFonts w:eastAsia="Times New Roman" w:cs="Arial"/>
          <w:color w:val="000000"/>
          <w:u w:val="single"/>
          <w:lang w:val="en-US"/>
        </w:rPr>
        <w:t xml:space="preserve"> </w:t>
      </w:r>
      <w:r w:rsidRPr="00022FF9">
        <w:rPr>
          <w:rFonts w:eastAsia="Times New Roman" w:cs="Arial"/>
          <w:color w:val="000000"/>
          <w:u w:val="single"/>
          <w:lang w:eastAsia="bg-BG"/>
        </w:rPr>
        <w:t xml:space="preserve">интервала и потенциални клинични състояния, свързани с удължаване на ОТс </w:t>
      </w:r>
      <w:r w:rsidRPr="00022FF9">
        <w:rPr>
          <w:rFonts w:eastAsia="Times New Roman" w:cs="Arial"/>
          <w:color w:val="000000"/>
          <w:lang w:eastAsia="bg-BG"/>
        </w:rPr>
        <w:t xml:space="preserve">Установено е, че моксифлоксацин удължава </w:t>
      </w:r>
      <w:proofErr w:type="spellStart"/>
      <w:r w:rsidRPr="00022FF9">
        <w:rPr>
          <w:rFonts w:eastAsia="Times New Roman" w:cs="Arial"/>
          <w:color w:val="000000"/>
          <w:lang w:val="en-US"/>
        </w:rPr>
        <w:t>QTc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интервала на електрокардиограмата при някои пациенти. При анализа на ЕКГ, получени в програмата за клинично проучване, удължаването на </w:t>
      </w:r>
      <w:proofErr w:type="spellStart"/>
      <w:r w:rsidRPr="00022FF9">
        <w:rPr>
          <w:rFonts w:eastAsia="Times New Roman" w:cs="Arial"/>
          <w:color w:val="000000"/>
          <w:lang w:val="en-US"/>
        </w:rPr>
        <w:t>QTc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с моксифлоксацин е било 6 </w:t>
      </w:r>
      <w:proofErr w:type="spellStart"/>
      <w:r w:rsidRPr="00022FF9">
        <w:rPr>
          <w:rFonts w:eastAsia="Times New Roman" w:cs="Arial"/>
          <w:color w:val="000000"/>
          <w:lang w:val="en-US"/>
        </w:rPr>
        <w:t>msec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 26 </w:t>
      </w:r>
      <w:proofErr w:type="spellStart"/>
      <w:r w:rsidRPr="00022FF9">
        <w:rPr>
          <w:rFonts w:eastAsia="Times New Roman" w:cs="Arial"/>
          <w:color w:val="000000"/>
          <w:lang w:val="en-US"/>
        </w:rPr>
        <w:t>msec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което е 1,4% в сравнение с изходното ниво. Тъй като жените са склонни да имат по-дълъг базов </w:t>
      </w:r>
      <w:proofErr w:type="spellStart"/>
      <w:r w:rsidRPr="00022FF9">
        <w:rPr>
          <w:rFonts w:eastAsia="Times New Roman" w:cs="Arial"/>
          <w:color w:val="000000"/>
          <w:lang w:val="en-US"/>
        </w:rPr>
        <w:t>QTc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интервал в сравнение с мъжете, те могат да бъдат по-чувствителни към лекарства, удължаващи </w:t>
      </w:r>
      <w:proofErr w:type="spellStart"/>
      <w:r w:rsidRPr="00022FF9">
        <w:rPr>
          <w:rFonts w:eastAsia="Times New Roman" w:cs="Arial"/>
          <w:color w:val="000000"/>
          <w:lang w:val="en-US"/>
        </w:rPr>
        <w:t>QTc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Пациентите в старческа възраст също могат да бъдат по-податливи на ефекти, свързани с лекарства, засягащи </w:t>
      </w:r>
      <w:r w:rsidRPr="00022FF9">
        <w:rPr>
          <w:rFonts w:eastAsia="Times New Roman" w:cs="Arial"/>
          <w:color w:val="000000"/>
          <w:lang w:val="en-US"/>
        </w:rPr>
        <w:t xml:space="preserve">QT </w:t>
      </w:r>
      <w:r w:rsidRPr="00022FF9">
        <w:rPr>
          <w:rFonts w:eastAsia="Times New Roman" w:cs="Arial"/>
          <w:color w:val="000000"/>
          <w:lang w:eastAsia="bg-BG"/>
        </w:rPr>
        <w:t>интервала.</w:t>
      </w:r>
    </w:p>
    <w:p w14:paraId="07A7B73A"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Лекарства, които могат да намалят нивата на калий, трябва да се използват с повишено внимание при пациенти, получаващи моксифлоксацин (вж. също точки 4.3 и 4.5).</w:t>
      </w:r>
    </w:p>
    <w:p w14:paraId="1DFA4C7F" w14:textId="77777777" w:rsidR="00022FF9" w:rsidRPr="00022FF9" w:rsidRDefault="00022FF9" w:rsidP="00022FF9">
      <w:pPr>
        <w:spacing w:line="240" w:lineRule="auto"/>
        <w:rPr>
          <w:rFonts w:eastAsia="Times New Roman" w:cs="Arial"/>
          <w:color w:val="000000"/>
          <w:lang w:eastAsia="bg-BG"/>
        </w:rPr>
      </w:pPr>
    </w:p>
    <w:p w14:paraId="482CDFD8" w14:textId="000369B1"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Моксифлоксацин трябва да се прилага с повишено внимание при пациенти с продължителни проаритмични състояния (особено при жени и пациенти в старческа възраст) като остра миокардна исхемия или удължаване на </w:t>
      </w:r>
      <w:r w:rsidRPr="00022FF9">
        <w:rPr>
          <w:rFonts w:eastAsia="Times New Roman" w:cs="Arial"/>
          <w:color w:val="000000"/>
          <w:lang w:val="en-US"/>
        </w:rPr>
        <w:t xml:space="preserve">QT </w:t>
      </w:r>
      <w:r w:rsidRPr="00022FF9">
        <w:rPr>
          <w:rFonts w:eastAsia="Times New Roman" w:cs="Arial"/>
          <w:color w:val="000000"/>
          <w:lang w:eastAsia="bg-BG"/>
        </w:rPr>
        <w:t xml:space="preserve">интервала, тъй като това може да доведе до повишен риск от вентрикуларни аритмии (включително </w:t>
      </w:r>
      <w:r w:rsidRPr="00022FF9">
        <w:rPr>
          <w:rFonts w:eastAsia="Times New Roman" w:cs="Arial"/>
          <w:i/>
          <w:iCs/>
          <w:color w:val="000000"/>
          <w:lang w:val="en-US"/>
        </w:rPr>
        <w:t>torsade de pointes)</w:t>
      </w:r>
      <w:r w:rsidRPr="00022FF9">
        <w:rPr>
          <w:rFonts w:eastAsia="Times New Roman" w:cs="Arial"/>
          <w:color w:val="000000"/>
          <w:lang w:val="en-US"/>
        </w:rPr>
        <w:t xml:space="preserve"> </w:t>
      </w:r>
      <w:r w:rsidRPr="00022FF9">
        <w:rPr>
          <w:rFonts w:eastAsia="Times New Roman" w:cs="Arial"/>
          <w:color w:val="000000"/>
          <w:lang w:eastAsia="bg-BG"/>
        </w:rPr>
        <w:t xml:space="preserve">и сърдечен арест (вж. също точка 4.3). Степента на удължаване на </w:t>
      </w:r>
      <w:r w:rsidRPr="00022FF9">
        <w:rPr>
          <w:rFonts w:eastAsia="Times New Roman" w:cs="Arial"/>
          <w:color w:val="000000"/>
          <w:lang w:val="en-US"/>
        </w:rPr>
        <w:t xml:space="preserve">QT </w:t>
      </w:r>
      <w:r w:rsidRPr="00022FF9">
        <w:rPr>
          <w:rFonts w:eastAsia="Times New Roman" w:cs="Arial"/>
          <w:color w:val="000000"/>
          <w:lang w:eastAsia="bg-BG"/>
        </w:rPr>
        <w:t>може да се увеличи с нарастване на концентрациите на лекарството. Следователно максималната дневна доза не трябва да се превишава.</w:t>
      </w:r>
    </w:p>
    <w:p w14:paraId="7C944F03"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Ако по време на лечението с моксифлоксацин се появят признаци за сърдечна аритмия, лечението трябва да бъде преустановено и да се извърши ЕКГ.</w:t>
      </w:r>
    </w:p>
    <w:p w14:paraId="0B4A8E18" w14:textId="77777777" w:rsidR="00022FF9" w:rsidRPr="00022FF9" w:rsidRDefault="00022FF9" w:rsidP="00022FF9">
      <w:pPr>
        <w:spacing w:line="240" w:lineRule="auto"/>
        <w:rPr>
          <w:rFonts w:eastAsia="Times New Roman" w:cs="Arial"/>
          <w:color w:val="000000"/>
          <w:u w:val="single"/>
          <w:lang w:eastAsia="bg-BG"/>
        </w:rPr>
      </w:pPr>
    </w:p>
    <w:p w14:paraId="60A8155B" w14:textId="04675593"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Свръхчувствителност/алергични реакции</w:t>
      </w:r>
    </w:p>
    <w:p w14:paraId="2B483A39"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Има съобщения за свръхчувствителност и алергични реакции след първото приложение на флуорохинолони, включително моксифлоксацин. Анафилактичните реакции могат да прогресират до животозастрашаващ шок дори след първото приложение. В случаи на клинични прояви на тежки реакции на свръхчувствителност, приемът на моксифлоксацин трябва да се преустанови и да се започне подходящо лечение (напр. лечение на шок).</w:t>
      </w:r>
    </w:p>
    <w:p w14:paraId="037A42F5" w14:textId="77777777" w:rsidR="00022FF9" w:rsidRPr="00022FF9" w:rsidRDefault="00022FF9" w:rsidP="00022FF9">
      <w:pPr>
        <w:spacing w:line="240" w:lineRule="auto"/>
        <w:rPr>
          <w:rFonts w:eastAsia="Times New Roman" w:cs="Arial"/>
          <w:color w:val="000000"/>
          <w:u w:val="single"/>
          <w:lang w:eastAsia="bg-BG"/>
        </w:rPr>
      </w:pPr>
    </w:p>
    <w:p w14:paraId="0CEE6158" w14:textId="5131EDBD"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Тежки чернодробни нарушения</w:t>
      </w:r>
    </w:p>
    <w:p w14:paraId="02311AF7" w14:textId="77777777" w:rsidR="00022FF9" w:rsidRPr="00022FF9" w:rsidRDefault="00022FF9" w:rsidP="00022FF9">
      <w:pPr>
        <w:rPr>
          <w:rFonts w:eastAsia="Times New Roman" w:cs="Arial"/>
          <w:lang w:eastAsia="bg-BG"/>
        </w:rPr>
      </w:pPr>
      <w:r w:rsidRPr="00022FF9">
        <w:rPr>
          <w:rFonts w:eastAsia="Times New Roman" w:cs="Arial"/>
          <w:color w:val="000000"/>
          <w:lang w:eastAsia="bg-BG"/>
        </w:rPr>
        <w:t>При лечение с моксифлоксацин има съобщения за случаи на фулминантен хепатит, потенциално водещ до чернодробна недостатъчност (включително фатални случаи) (вж. точка 4.8). Пациентите трябва да бъдат съветвани да се свържат със своя лекар преди продължаване на лечението, ако</w:t>
      </w:r>
      <w:r w:rsidRPr="00022FF9">
        <w:rPr>
          <w:rFonts w:eastAsia="Times New Roman" w:cs="Arial"/>
          <w:color w:val="000000"/>
          <w:lang w:val="en-US" w:eastAsia="bg-BG"/>
        </w:rPr>
        <w:t xml:space="preserve"> </w:t>
      </w:r>
      <w:r w:rsidRPr="00022FF9">
        <w:rPr>
          <w:rFonts w:eastAsia="Times New Roman" w:cs="Arial"/>
          <w:color w:val="000000"/>
          <w:lang w:eastAsia="bg-BG"/>
        </w:rPr>
        <w:t xml:space="preserve">развият признаци и симптоми на фулминантно </w:t>
      </w:r>
      <w:r w:rsidRPr="00022FF9">
        <w:rPr>
          <w:rFonts w:eastAsia="Times New Roman" w:cs="Arial"/>
          <w:color w:val="000000"/>
          <w:lang w:eastAsia="bg-BG"/>
        </w:rPr>
        <w:lastRenderedPageBreak/>
        <w:t>чернодробно заболяване като бързо развиваща се астения, свързана с жълтеница, тъмна урина, тенденция към кървене или чернодробна енцефалопатия.</w:t>
      </w:r>
    </w:p>
    <w:p w14:paraId="30E427B5"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В случаите, в които се появят признаци на чернодробна дисфункция, трябва да се извършат тестове/изследвания на чернодробната функция.</w:t>
      </w:r>
    </w:p>
    <w:p w14:paraId="1AF5314C" w14:textId="77777777" w:rsidR="00022FF9" w:rsidRPr="00022FF9" w:rsidRDefault="00022FF9" w:rsidP="00022FF9">
      <w:pPr>
        <w:spacing w:line="240" w:lineRule="auto"/>
        <w:rPr>
          <w:rFonts w:eastAsia="Times New Roman" w:cs="Arial"/>
          <w:color w:val="000000"/>
          <w:u w:val="single"/>
          <w:lang w:eastAsia="bg-BG"/>
        </w:rPr>
      </w:pPr>
    </w:p>
    <w:p w14:paraId="3BD42A84" w14:textId="37B44CDB"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Тежки кожни нежелани реакции</w:t>
      </w:r>
    </w:p>
    <w:p w14:paraId="556FD9AD"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Тежки кожни нежелани реакции </w:t>
      </w:r>
      <w:r w:rsidRPr="00022FF9">
        <w:rPr>
          <w:rFonts w:eastAsia="Times New Roman" w:cs="Arial"/>
          <w:color w:val="000000"/>
          <w:lang w:val="en-US"/>
        </w:rPr>
        <w:t xml:space="preserve">(severe cutaneous adverse reactions, SCARs), </w:t>
      </w:r>
      <w:r w:rsidRPr="00022FF9">
        <w:rPr>
          <w:rFonts w:eastAsia="Times New Roman" w:cs="Arial"/>
          <w:color w:val="000000"/>
          <w:lang w:eastAsia="bg-BG"/>
        </w:rPr>
        <w:t xml:space="preserve">включително токсична епидермална некролиза </w:t>
      </w:r>
      <w:r w:rsidRPr="00022FF9">
        <w:rPr>
          <w:rFonts w:eastAsia="Times New Roman" w:cs="Arial"/>
          <w:color w:val="000000"/>
          <w:lang w:val="en-US"/>
        </w:rPr>
        <w:t xml:space="preserve">(toxic epidermal necrolysis, TEN: </w:t>
      </w:r>
      <w:r w:rsidRPr="00022FF9">
        <w:rPr>
          <w:rFonts w:eastAsia="Times New Roman" w:cs="Arial"/>
          <w:color w:val="000000"/>
          <w:lang w:eastAsia="bg-BG"/>
        </w:rPr>
        <w:t xml:space="preserve">известна още като синдром на </w:t>
      </w:r>
      <w:r w:rsidRPr="00022FF9">
        <w:rPr>
          <w:rFonts w:eastAsia="Times New Roman" w:cs="Arial"/>
          <w:color w:val="000000"/>
          <w:lang w:val="en-US"/>
        </w:rPr>
        <w:t xml:space="preserve">Lyell), </w:t>
      </w:r>
      <w:r w:rsidRPr="00022FF9">
        <w:rPr>
          <w:rFonts w:eastAsia="Times New Roman" w:cs="Arial"/>
          <w:color w:val="000000"/>
          <w:lang w:eastAsia="bg-BG"/>
        </w:rPr>
        <w:t xml:space="preserve">синдром на </w:t>
      </w:r>
      <w:r w:rsidRPr="00022FF9">
        <w:rPr>
          <w:rFonts w:eastAsia="Times New Roman" w:cs="Arial"/>
          <w:color w:val="000000"/>
          <w:lang w:val="en-US"/>
        </w:rPr>
        <w:t xml:space="preserve">Stevens Johnson (Stevens Johnson syndrome, SJS) </w:t>
      </w:r>
      <w:r w:rsidRPr="00022FF9">
        <w:rPr>
          <w:rFonts w:eastAsia="Times New Roman" w:cs="Arial"/>
          <w:color w:val="000000"/>
          <w:lang w:eastAsia="bg-BG"/>
        </w:rPr>
        <w:t xml:space="preserve">и остра генерализирана екзантематозна пустулоза </w:t>
      </w:r>
      <w:r w:rsidRPr="00022FF9">
        <w:rPr>
          <w:rFonts w:eastAsia="Times New Roman" w:cs="Arial"/>
          <w:color w:val="000000"/>
          <w:lang w:val="en-US"/>
        </w:rPr>
        <w:t xml:space="preserve">(acute </w:t>
      </w:r>
      <w:proofErr w:type="spellStart"/>
      <w:r w:rsidRPr="00022FF9">
        <w:rPr>
          <w:rFonts w:eastAsia="Times New Roman" w:cs="Arial"/>
          <w:color w:val="000000"/>
          <w:lang w:val="en-US"/>
        </w:rPr>
        <w:t>generalised</w:t>
      </w:r>
      <w:proofErr w:type="spellEnd"/>
      <w:r w:rsidRPr="00022FF9">
        <w:rPr>
          <w:rFonts w:eastAsia="Times New Roman" w:cs="Arial"/>
          <w:color w:val="000000"/>
          <w:lang w:val="en-US"/>
        </w:rPr>
        <w:t xml:space="preserve"> </w:t>
      </w:r>
      <w:proofErr w:type="spellStart"/>
      <w:r w:rsidRPr="00022FF9">
        <w:rPr>
          <w:rFonts w:eastAsia="Times New Roman" w:cs="Arial"/>
          <w:color w:val="000000"/>
          <w:lang w:val="en-US"/>
        </w:rPr>
        <w:t>exanthematous</w:t>
      </w:r>
      <w:proofErr w:type="spellEnd"/>
      <w:r w:rsidRPr="00022FF9">
        <w:rPr>
          <w:rFonts w:eastAsia="Times New Roman" w:cs="Arial"/>
          <w:color w:val="000000"/>
          <w:lang w:val="en-US"/>
        </w:rPr>
        <w:t xml:space="preserve"> </w:t>
      </w:r>
      <w:proofErr w:type="spellStart"/>
      <w:r w:rsidRPr="00022FF9">
        <w:rPr>
          <w:rFonts w:eastAsia="Times New Roman" w:cs="Arial"/>
          <w:color w:val="000000"/>
          <w:lang w:val="en-US"/>
        </w:rPr>
        <w:t>pustulosis</w:t>
      </w:r>
      <w:proofErr w:type="spellEnd"/>
      <w:r w:rsidRPr="00022FF9">
        <w:rPr>
          <w:rFonts w:eastAsia="Times New Roman" w:cs="Arial"/>
          <w:color w:val="000000"/>
          <w:lang w:val="en-US"/>
        </w:rPr>
        <w:t xml:space="preserve">, AGEP), </w:t>
      </w:r>
      <w:r w:rsidRPr="00022FF9">
        <w:rPr>
          <w:rFonts w:eastAsia="Times New Roman" w:cs="Arial"/>
          <w:color w:val="000000"/>
          <w:lang w:eastAsia="bg-BG"/>
        </w:rPr>
        <w:t xml:space="preserve">които могат да бъдат животозастрашаващи или с летален изход, са съобщавани при приложение на моксифлоксацин (вж. точка 4.8). Към момента на предписване пациентът трябва да бъде информиран относно признаците и симптомите на тежки кожни реакции, и да бъде внимателно проследяван. Ако се появят признаци и симптоми, показателни за тези реакции, приложението на моксифлоксацин трябва бъде преустановено незабавно, и да се обмисли алтернативно лечение. Ако пациентът е развил сериозна реакция като </w:t>
      </w:r>
      <w:r w:rsidRPr="00022FF9">
        <w:rPr>
          <w:rFonts w:eastAsia="Times New Roman" w:cs="Arial"/>
          <w:color w:val="000000"/>
          <w:lang w:val="en-US"/>
        </w:rPr>
        <w:t xml:space="preserve">SJS, TEN </w:t>
      </w:r>
      <w:r w:rsidRPr="00022FF9">
        <w:rPr>
          <w:rFonts w:eastAsia="Times New Roman" w:cs="Arial"/>
          <w:color w:val="000000"/>
          <w:lang w:eastAsia="bg-BG"/>
        </w:rPr>
        <w:t xml:space="preserve">или </w:t>
      </w:r>
      <w:r w:rsidRPr="00022FF9">
        <w:rPr>
          <w:rFonts w:eastAsia="Times New Roman" w:cs="Arial"/>
          <w:color w:val="000000"/>
          <w:lang w:val="en-US"/>
        </w:rPr>
        <w:t xml:space="preserve">AGEP </w:t>
      </w:r>
      <w:r w:rsidRPr="00022FF9">
        <w:rPr>
          <w:rFonts w:eastAsia="Times New Roman" w:cs="Arial"/>
          <w:color w:val="000000"/>
          <w:lang w:eastAsia="bg-BG"/>
        </w:rPr>
        <w:t>при приложение на моксифлоксацин, лечението с моксифлоксацин при този пациент никога не трябва да се възобновява.</w:t>
      </w:r>
    </w:p>
    <w:p w14:paraId="50967932" w14:textId="77777777" w:rsidR="00022FF9" w:rsidRPr="00022FF9" w:rsidRDefault="00022FF9" w:rsidP="00022FF9">
      <w:pPr>
        <w:spacing w:line="240" w:lineRule="auto"/>
        <w:rPr>
          <w:rFonts w:eastAsia="Times New Roman" w:cs="Arial"/>
          <w:color w:val="000000"/>
          <w:u w:val="single"/>
          <w:lang w:eastAsia="bg-BG"/>
        </w:rPr>
      </w:pPr>
    </w:p>
    <w:p w14:paraId="3EFEA5E1" w14:textId="4DC9C4FA"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Пациенти, предразположени към припадъци</w:t>
      </w:r>
    </w:p>
    <w:p w14:paraId="4A2E6F05"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Известно е, че хинолоните отключват припадъци. Употребата при пациенти с нарушения на ЦНС или при наличие на други рискови фактори, които могат да предразположат към припадъци или да намалят прага на припадъците, трябва да става с повишено внимание. В случай на припадъци лечението с моксифлоксацин трябва да бъде прекратено и да бъдат предприети подходящи мерки.</w:t>
      </w:r>
    </w:p>
    <w:p w14:paraId="1D57D66D" w14:textId="77777777" w:rsidR="00022FF9" w:rsidRDefault="00022FF9" w:rsidP="00022FF9">
      <w:pPr>
        <w:spacing w:line="240" w:lineRule="auto"/>
        <w:rPr>
          <w:rFonts w:ascii="Times New Roman" w:eastAsia="Times New Roman" w:hAnsi="Times New Roman" w:cs="Times New Roman"/>
          <w:color w:val="000000"/>
          <w:sz w:val="20"/>
          <w:szCs w:val="20"/>
          <w:u w:val="single"/>
          <w:lang w:eastAsia="bg-BG"/>
        </w:rPr>
      </w:pPr>
    </w:p>
    <w:p w14:paraId="7265FB30" w14:textId="5C0A9736"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Продължителни, инвалидизиращи и потенциално необратими сериозни нежелани лекарствени реакции</w:t>
      </w:r>
    </w:p>
    <w:p w14:paraId="4D62619D"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Моксифлоксацин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3A7600D4" w14:textId="77777777" w:rsidR="00022FF9" w:rsidRPr="00022FF9" w:rsidRDefault="00022FF9" w:rsidP="00022FF9">
      <w:pPr>
        <w:spacing w:line="240" w:lineRule="auto"/>
        <w:rPr>
          <w:rFonts w:eastAsia="Times New Roman" w:cs="Arial"/>
          <w:color w:val="000000"/>
          <w:u w:val="single"/>
          <w:lang w:eastAsia="bg-BG"/>
        </w:rPr>
      </w:pPr>
    </w:p>
    <w:p w14:paraId="5247A391" w14:textId="74A35EBA"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Периферна невоопатия</w:t>
      </w:r>
    </w:p>
    <w:p w14:paraId="215AE23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Има съобщения за случаи на сензорна или сензомоторна полиневропатия, водеща до парестезии. хипоестезии, дизестезии или слабост при пациенти, получаващи хинолони и флуорохинолони, включително моксифлоксацин, Пациентите, лекувани с моксифлоксацин, трябва да бъдат съветвани да информират своя лекар преди продължаване на лечението, ако развият симптоми на невропатия като болка, парене, изтръпване, скованост или слабост, за да се предотврати развитието на потенциално необратимо състояние (вж. точка 4.8).</w:t>
      </w:r>
    </w:p>
    <w:p w14:paraId="4E357A58" w14:textId="77777777" w:rsidR="00022FF9" w:rsidRPr="00022FF9" w:rsidRDefault="00022FF9" w:rsidP="00022FF9">
      <w:pPr>
        <w:spacing w:line="240" w:lineRule="auto"/>
        <w:rPr>
          <w:rFonts w:eastAsia="Times New Roman" w:cs="Arial"/>
          <w:color w:val="000000"/>
          <w:u w:val="single"/>
          <w:lang w:eastAsia="bg-BG"/>
        </w:rPr>
      </w:pPr>
    </w:p>
    <w:p w14:paraId="36A55171" w14:textId="4111429E"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Психични реакции</w:t>
      </w:r>
    </w:p>
    <w:p w14:paraId="3A4F4A18" w14:textId="77777777" w:rsidR="00022FF9" w:rsidRPr="00022FF9" w:rsidRDefault="00022FF9" w:rsidP="00022FF9">
      <w:pPr>
        <w:rPr>
          <w:rFonts w:eastAsia="Times New Roman" w:cs="Arial"/>
          <w:lang w:eastAsia="bg-BG"/>
        </w:rPr>
      </w:pPr>
      <w:r w:rsidRPr="00022FF9">
        <w:rPr>
          <w:rFonts w:eastAsia="Times New Roman" w:cs="Arial"/>
          <w:color w:val="000000"/>
          <w:lang w:eastAsia="bg-BG"/>
        </w:rPr>
        <w:t>Психични реакции могат да настъпят дори и след първото приложение на хинолони, включително моксифлоксацин. В много редки случаи депресията или психотичните реакции са прогресирали до</w:t>
      </w:r>
      <w:r w:rsidRPr="00022FF9">
        <w:rPr>
          <w:rFonts w:eastAsia="Times New Roman" w:cs="Arial"/>
          <w:color w:val="000000"/>
          <w:lang w:val="en-US" w:eastAsia="bg-BG"/>
        </w:rPr>
        <w:t xml:space="preserve"> </w:t>
      </w:r>
      <w:r w:rsidRPr="00022FF9">
        <w:rPr>
          <w:rFonts w:eastAsia="Times New Roman" w:cs="Arial"/>
          <w:color w:val="000000"/>
          <w:lang w:eastAsia="bg-BG"/>
        </w:rPr>
        <w:t xml:space="preserve">мисли за самоубийство и самонараняващо поведение като </w:t>
      </w:r>
      <w:r w:rsidRPr="00022FF9">
        <w:rPr>
          <w:rFonts w:eastAsia="Times New Roman" w:cs="Arial"/>
          <w:color w:val="000000"/>
          <w:lang w:eastAsia="bg-BG"/>
        </w:rPr>
        <w:lastRenderedPageBreak/>
        <w:t>опити за самоубийство (вж. точка 4.8). В случай че пациентът развие такива реакции, употребата на моксифлоксацин трябва да бъде преустановена и да бъдат предприети подходящи мерки. Препоръчва се повишено внимание, ако моксифлоксацин трябва да се използва при психотични пациенти или при пациенти с анамнеза за психично заболяване.</w:t>
      </w:r>
    </w:p>
    <w:p w14:paraId="191E6EF1" w14:textId="77777777" w:rsidR="00022FF9" w:rsidRPr="00022FF9" w:rsidRDefault="00022FF9" w:rsidP="00022FF9">
      <w:pPr>
        <w:spacing w:line="240" w:lineRule="auto"/>
        <w:rPr>
          <w:rFonts w:eastAsia="Times New Roman" w:cs="Arial"/>
          <w:color w:val="000000"/>
          <w:u w:val="single"/>
          <w:lang w:eastAsia="bg-BG"/>
        </w:rPr>
      </w:pPr>
    </w:p>
    <w:p w14:paraId="0EDA4E0B" w14:textId="78CADA1C"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Свързана с антибиотик диария, вкл. колит</w:t>
      </w:r>
    </w:p>
    <w:p w14:paraId="67F0AEDF"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Във връзка с употребата на широкоспектърни антибиотици, включително моксифлоксацин, има съобщения за свързана с антибиотик диария </w:t>
      </w:r>
      <w:r w:rsidRPr="00022FF9">
        <w:rPr>
          <w:rFonts w:eastAsia="Times New Roman" w:cs="Arial"/>
          <w:color w:val="000000"/>
          <w:lang w:val="en-US"/>
        </w:rPr>
        <w:t xml:space="preserve">(AAD) </w:t>
      </w:r>
      <w:r w:rsidRPr="00022FF9">
        <w:rPr>
          <w:rFonts w:eastAsia="Times New Roman" w:cs="Arial"/>
          <w:color w:val="000000"/>
          <w:lang w:eastAsia="bg-BG"/>
        </w:rPr>
        <w:t xml:space="preserve">и свързан с антибиотик колит (ААС), включително псевдомембранозен колит и диария, свързана с </w:t>
      </w:r>
      <w:r w:rsidRPr="00022FF9">
        <w:rPr>
          <w:rFonts w:eastAsia="Times New Roman" w:cs="Arial"/>
          <w:i/>
          <w:iCs/>
          <w:color w:val="000000"/>
          <w:lang w:val="en-US"/>
        </w:rPr>
        <w:t>Clostridium difficile,</w:t>
      </w:r>
      <w:r w:rsidRPr="00022FF9">
        <w:rPr>
          <w:rFonts w:eastAsia="Times New Roman" w:cs="Arial"/>
          <w:color w:val="000000"/>
          <w:lang w:val="en-US"/>
        </w:rPr>
        <w:t xml:space="preserve"> </w:t>
      </w:r>
      <w:r w:rsidRPr="00022FF9">
        <w:rPr>
          <w:rFonts w:eastAsia="Times New Roman" w:cs="Arial"/>
          <w:color w:val="000000"/>
          <w:lang w:eastAsia="bg-BG"/>
        </w:rPr>
        <w:t xml:space="preserve">които могат да варират по тежест от лека диария до фатален колит. Поради това е важно да се има предвид тази диагноза при пациенти, които развият сериозна диария по време на или след употребата на моксифлоксацин. Ако има подозрения за или се потвърди </w:t>
      </w:r>
      <w:r w:rsidRPr="00022FF9">
        <w:rPr>
          <w:rFonts w:eastAsia="Times New Roman" w:cs="Arial"/>
          <w:color w:val="000000"/>
          <w:lang w:val="en-US"/>
        </w:rPr>
        <w:t xml:space="preserve">AAD </w:t>
      </w:r>
      <w:r w:rsidRPr="00022FF9">
        <w:rPr>
          <w:rFonts w:eastAsia="Times New Roman" w:cs="Arial"/>
          <w:color w:val="000000"/>
          <w:lang w:eastAsia="bg-BG"/>
        </w:rPr>
        <w:t>или ААС, извършващото се лечение с антибактериални средства, включително моксифлоксацин, трябва да се прекрати и незабавно да се предприемат адекватни терапевтични мерки.</w:t>
      </w:r>
    </w:p>
    <w:p w14:paraId="177187AB"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Освен това трябва да се предприемат подходящи мерки за контрол на инфекциите, за да се намали рискът от предаване. Лекарства, инхибиращи перисталтиката, са противопоказани при пациенти, които развият сериозна диария.</w:t>
      </w:r>
    </w:p>
    <w:p w14:paraId="038DFA60" w14:textId="77777777" w:rsidR="00022FF9" w:rsidRPr="00022FF9" w:rsidRDefault="00022FF9" w:rsidP="00022FF9">
      <w:pPr>
        <w:spacing w:line="240" w:lineRule="auto"/>
        <w:rPr>
          <w:rFonts w:eastAsia="Times New Roman" w:cs="Arial"/>
          <w:color w:val="000000"/>
          <w:u w:val="single"/>
          <w:lang w:eastAsia="bg-BG"/>
        </w:rPr>
      </w:pPr>
    </w:p>
    <w:p w14:paraId="796E58C0" w14:textId="0BEC4E8C"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Пациенти с миастения гравис</w:t>
      </w:r>
    </w:p>
    <w:p w14:paraId="194FAF5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Моксифлоксацин трябва да се използва с повишено внимание при пациенти с миастения гравис, тъй като симптомите могат да се обострят.</w:t>
      </w:r>
    </w:p>
    <w:p w14:paraId="0FDF7DDD" w14:textId="77777777" w:rsidR="00022FF9" w:rsidRPr="00022FF9" w:rsidRDefault="00022FF9" w:rsidP="00022FF9">
      <w:pPr>
        <w:spacing w:line="240" w:lineRule="auto"/>
        <w:rPr>
          <w:rFonts w:eastAsia="Times New Roman" w:cs="Arial"/>
          <w:color w:val="000000"/>
          <w:u w:val="single"/>
          <w:lang w:eastAsia="bg-BG"/>
        </w:rPr>
      </w:pPr>
    </w:p>
    <w:p w14:paraId="21068489" w14:textId="28B055FC"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Тендинит и разкъсване на сухожилие</w:t>
      </w:r>
    </w:p>
    <w:p w14:paraId="12172CC7"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Тендинит и разкъсване на сухожилие (по-специално ахилесовото сухожилие), понякога двустранно, може да се получи още в рамките на 48 часа от започване на лечението с хинолони и флуорхинолони като има съобщения за такива, развили се дори до няколко месеца след прекратяване на лечението (вж. точки 4.3 и 4.8).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4DDCBFA1" w14:textId="77777777" w:rsidR="00022FF9" w:rsidRPr="00022FF9" w:rsidRDefault="00022FF9" w:rsidP="00022FF9">
      <w:pPr>
        <w:spacing w:line="240" w:lineRule="auto"/>
        <w:rPr>
          <w:rFonts w:eastAsia="Times New Roman" w:cs="Arial"/>
          <w:color w:val="000000"/>
          <w:lang w:eastAsia="bg-BG"/>
        </w:rPr>
      </w:pPr>
    </w:p>
    <w:p w14:paraId="1E1D79D4" w14:textId="6E83B5A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При първия признак на тендинит (напр. болезнено подуване, възпаление) лечението с моксифлоксацин трябва да се прекрати и да се обмисли алтернативно лечение. Засегнатия(те)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4F0ADB16" w14:textId="77777777" w:rsidR="00022FF9" w:rsidRPr="00022FF9" w:rsidRDefault="00022FF9" w:rsidP="00022FF9">
      <w:pPr>
        <w:spacing w:line="240" w:lineRule="auto"/>
        <w:rPr>
          <w:rFonts w:eastAsia="Times New Roman" w:cs="Arial"/>
          <w:color w:val="000000"/>
          <w:u w:val="single"/>
          <w:lang w:eastAsia="bg-BG"/>
        </w:rPr>
      </w:pPr>
    </w:p>
    <w:p w14:paraId="6BD781F2" w14:textId="0A328451"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Аневризма и дисекация на аортата и регургитация/недостатъчност на сърдечните клапи</w:t>
      </w:r>
    </w:p>
    <w:p w14:paraId="16CE7A32" w14:textId="77777777" w:rsidR="00022FF9" w:rsidRPr="00022FF9" w:rsidRDefault="00022FF9" w:rsidP="00022FF9">
      <w:pPr>
        <w:spacing w:line="240" w:lineRule="auto"/>
        <w:rPr>
          <w:rFonts w:eastAsia="Times New Roman" w:cs="Arial"/>
          <w:color w:val="000000"/>
          <w:lang w:eastAsia="bg-BG"/>
        </w:rPr>
      </w:pPr>
    </w:p>
    <w:p w14:paraId="45A10924" w14:textId="6A2B3649"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клала след употреба на флуорохинолони.</w:t>
      </w:r>
    </w:p>
    <w:p w14:paraId="0E28BBDE" w14:textId="4DE87707" w:rsidR="007A2185" w:rsidRPr="00022FF9" w:rsidRDefault="00022FF9" w:rsidP="00022FF9">
      <w:pPr>
        <w:rPr>
          <w:rFonts w:cs="Arial"/>
          <w:lang w:val="en-US"/>
        </w:rPr>
      </w:pPr>
      <w:r w:rsidRPr="00022FF9">
        <w:rPr>
          <w:rFonts w:eastAsia="Times New Roman" w:cs="Arial"/>
          <w:color w:val="000000"/>
          <w:lang w:eastAsia="bg-BG"/>
        </w:rPr>
        <w:t>Съобщени са случаи на аневризма на аортата, понякога усложнени поради разкъсване (включително с летален изход) и регургитация/недостатъчност на някои от сьрдечние клапи при пациенти приемащи флуорохинолони (вж. точка 4.8).</w:t>
      </w:r>
    </w:p>
    <w:p w14:paraId="24E3E82F" w14:textId="3F92D650" w:rsidR="0091385D" w:rsidRPr="00022FF9" w:rsidRDefault="00022FF9" w:rsidP="0091385D">
      <w:pPr>
        <w:rPr>
          <w:rFonts w:cs="Arial"/>
          <w:lang w:val="en-US"/>
        </w:rPr>
      </w:pPr>
      <w:r w:rsidRPr="00022FF9">
        <w:rPr>
          <w:rFonts w:cs="Arial"/>
          <w:lang w:val="en-US"/>
        </w:rPr>
        <w:t xml:space="preserve"> </w:t>
      </w:r>
    </w:p>
    <w:p w14:paraId="7D173740"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w:t>
      </w:r>
      <w:r w:rsidRPr="00022FF9">
        <w:rPr>
          <w:rFonts w:eastAsia="Times New Roman" w:cs="Arial"/>
          <w:color w:val="000000"/>
          <w:lang w:eastAsia="bg-BG"/>
        </w:rPr>
        <w:lastRenderedPageBreak/>
        <w:t>пациенти с положителна фамилна анамнеза за аневризма или вродена аномалия на сърдечната клапа, или при пациенти, диагностицирани с предшестваща аневризма и/или дисекация на аортата, или вродена аномалия на сърдечната клапа, или при наличие на други рискови фактори или заболявания, предразполагащи:</w:t>
      </w:r>
    </w:p>
    <w:p w14:paraId="7EAF7E98" w14:textId="77777777" w:rsidR="00022FF9" w:rsidRPr="00022FF9" w:rsidRDefault="00022FF9" w:rsidP="00022FF9">
      <w:pPr>
        <w:numPr>
          <w:ilvl w:val="0"/>
          <w:numId w:val="2"/>
        </w:numPr>
        <w:spacing w:line="240" w:lineRule="auto"/>
        <w:rPr>
          <w:rFonts w:eastAsia="Times New Roman" w:cs="Arial"/>
          <w:color w:val="000000"/>
          <w:lang w:eastAsia="bg-BG"/>
        </w:rPr>
      </w:pPr>
      <w:r w:rsidRPr="00022FF9">
        <w:rPr>
          <w:rFonts w:eastAsia="Times New Roman" w:cs="Arial"/>
          <w:color w:val="000000"/>
          <w:lang w:eastAsia="bg-BG"/>
        </w:rPr>
        <w:t>както за аневризма на аортата, така и за дисекция и регургитация / недостатъчност на сърдечната клапа (напр. нарушения на съединителната тъкан, като синдром на Марфан, синдром на Елерс-Данлос, синдром на Търнър, болест на Бехчет, хипертония, ревматоиден артирт) или допълнително</w:t>
      </w:r>
    </w:p>
    <w:p w14:paraId="2D98803C" w14:textId="77777777" w:rsidR="00022FF9" w:rsidRPr="00022FF9" w:rsidRDefault="00022FF9" w:rsidP="00022FF9">
      <w:pPr>
        <w:numPr>
          <w:ilvl w:val="0"/>
          <w:numId w:val="2"/>
        </w:numPr>
        <w:spacing w:line="240" w:lineRule="auto"/>
        <w:rPr>
          <w:rFonts w:eastAsia="Times New Roman" w:cs="Arial"/>
          <w:color w:val="000000"/>
          <w:lang w:eastAsia="bg-BG"/>
        </w:rPr>
      </w:pPr>
      <w:r w:rsidRPr="00022FF9">
        <w:rPr>
          <w:rFonts w:eastAsia="Times New Roman" w:cs="Arial"/>
          <w:color w:val="000000"/>
          <w:lang w:eastAsia="bg-BG"/>
        </w:rPr>
        <w:t>за аневризма и дисекция на аортата (напр. васкуларни нарушения като, артериит на Такаясу, гигантоклетьчен артерит, известна атеросклероза или синдром на Сьорген) или допълнително</w:t>
      </w:r>
    </w:p>
    <w:p w14:paraId="4E7C50BE" w14:textId="77777777" w:rsidR="00022FF9" w:rsidRPr="00022FF9" w:rsidRDefault="00022FF9" w:rsidP="00022FF9">
      <w:pPr>
        <w:numPr>
          <w:ilvl w:val="0"/>
          <w:numId w:val="2"/>
        </w:numPr>
        <w:spacing w:line="240" w:lineRule="auto"/>
        <w:rPr>
          <w:rFonts w:eastAsia="Times New Roman" w:cs="Arial"/>
          <w:color w:val="000000"/>
          <w:lang w:eastAsia="bg-BG"/>
        </w:rPr>
      </w:pPr>
      <w:r w:rsidRPr="00022FF9">
        <w:rPr>
          <w:rFonts w:eastAsia="Times New Roman" w:cs="Arial"/>
          <w:color w:val="000000"/>
          <w:lang w:eastAsia="bg-BG"/>
        </w:rPr>
        <w:t>за регургитация/недостатьчност на сърдечната клапа (напр. инфекциозен еднокардит).</w:t>
      </w:r>
    </w:p>
    <w:p w14:paraId="42E402BE" w14:textId="77777777" w:rsidR="00022FF9" w:rsidRPr="00022FF9" w:rsidRDefault="00022FF9" w:rsidP="00022FF9">
      <w:pPr>
        <w:spacing w:line="240" w:lineRule="auto"/>
        <w:rPr>
          <w:rFonts w:eastAsia="Times New Roman" w:cs="Arial"/>
          <w:color w:val="000000"/>
          <w:lang w:eastAsia="bg-BG"/>
        </w:rPr>
      </w:pPr>
    </w:p>
    <w:p w14:paraId="123265CA" w14:textId="4247430C"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Рискът от аневризма и дисекация на аортата и тяхното разкъсване може също да се увеличи при пациенти, лекувани едновременно със системни кортикостероиди.</w:t>
      </w:r>
    </w:p>
    <w:p w14:paraId="752C9CD3" w14:textId="77777777" w:rsidR="00022FF9" w:rsidRPr="00022FF9" w:rsidRDefault="00022FF9" w:rsidP="00022FF9">
      <w:pPr>
        <w:spacing w:line="240" w:lineRule="auto"/>
        <w:rPr>
          <w:rFonts w:eastAsia="Times New Roman" w:cs="Arial"/>
          <w:color w:val="000000"/>
          <w:lang w:eastAsia="bg-BG"/>
        </w:rPr>
      </w:pPr>
    </w:p>
    <w:p w14:paraId="3277A4EA" w14:textId="404A15A1"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28E72547" w14:textId="77777777" w:rsidR="00022FF9" w:rsidRPr="00022FF9" w:rsidRDefault="00022FF9" w:rsidP="00022FF9">
      <w:pPr>
        <w:spacing w:line="240" w:lineRule="auto"/>
        <w:rPr>
          <w:rFonts w:eastAsia="Times New Roman" w:cs="Arial"/>
          <w:color w:val="000000"/>
          <w:lang w:eastAsia="bg-BG"/>
        </w:rPr>
      </w:pPr>
    </w:p>
    <w:p w14:paraId="32FE7721" w14:textId="2F674C4E" w:rsidR="00022FF9" w:rsidRPr="00022FF9" w:rsidRDefault="00022FF9" w:rsidP="00022FF9">
      <w:pPr>
        <w:spacing w:line="240" w:lineRule="auto"/>
        <w:rPr>
          <w:rFonts w:eastAsia="Times New Roman" w:cs="Arial"/>
          <w:color w:val="000000"/>
          <w:lang w:eastAsia="bg-BG"/>
        </w:rPr>
      </w:pPr>
      <w:r w:rsidRPr="00022FF9">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4149AB8E" w14:textId="77777777" w:rsidR="00022FF9" w:rsidRPr="00022FF9" w:rsidRDefault="00022FF9" w:rsidP="00022FF9">
      <w:pPr>
        <w:spacing w:line="240" w:lineRule="auto"/>
        <w:rPr>
          <w:rFonts w:eastAsia="Times New Roman" w:cs="Arial"/>
          <w:color w:val="000000"/>
          <w:u w:val="single"/>
          <w:lang w:eastAsia="bg-BG"/>
        </w:rPr>
      </w:pPr>
    </w:p>
    <w:p w14:paraId="672D09D3" w14:textId="07AE3591"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Пациенти с бъбречно увреждане</w:t>
      </w:r>
    </w:p>
    <w:p w14:paraId="45DEBF84"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Пациентите в старческа възраст с бъбречни нарушения трябва да използват моксифлоксацин внимателно, ако не са в състояние да поддържат адекватен прием на течности, тъй като дехидратацията може да увеличи риска от бъбречна недостатъчност.</w:t>
      </w:r>
    </w:p>
    <w:p w14:paraId="75DF0420" w14:textId="77777777" w:rsidR="00022FF9" w:rsidRPr="00022FF9" w:rsidRDefault="00022FF9" w:rsidP="00022FF9">
      <w:pPr>
        <w:spacing w:line="240" w:lineRule="auto"/>
        <w:rPr>
          <w:rFonts w:eastAsia="Times New Roman" w:cs="Arial"/>
          <w:color w:val="000000"/>
          <w:u w:val="single"/>
          <w:lang w:eastAsia="bg-BG"/>
        </w:rPr>
      </w:pPr>
    </w:p>
    <w:p w14:paraId="0D65F8F5" w14:textId="2A1800AF"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Нарушения на зрението</w:t>
      </w:r>
    </w:p>
    <w:p w14:paraId="1C0C85DB"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Ако възникнат нарушения на зрението или някакви ефекти върху очите, незабавно трябва да се потърси консултация със специалист (вж. точки </w:t>
      </w:r>
      <w:r w:rsidRPr="00022FF9">
        <w:rPr>
          <w:rFonts w:eastAsia="Times New Roman" w:cs="Arial"/>
          <w:i/>
          <w:iCs/>
          <w:color w:val="000000"/>
          <w:lang w:eastAsia="bg-BG"/>
        </w:rPr>
        <w:t>4.7</w:t>
      </w:r>
      <w:r w:rsidRPr="00022FF9">
        <w:rPr>
          <w:rFonts w:eastAsia="Times New Roman" w:cs="Arial"/>
          <w:color w:val="000000"/>
          <w:lang w:eastAsia="bg-BG"/>
        </w:rPr>
        <w:t xml:space="preserve"> и 4.8).</w:t>
      </w:r>
    </w:p>
    <w:p w14:paraId="257C3C0A" w14:textId="77777777" w:rsidR="00022FF9" w:rsidRPr="00022FF9" w:rsidRDefault="00022FF9" w:rsidP="00022FF9">
      <w:pPr>
        <w:spacing w:line="240" w:lineRule="auto"/>
        <w:rPr>
          <w:rFonts w:eastAsia="Times New Roman" w:cs="Arial"/>
          <w:color w:val="000000"/>
          <w:u w:val="single"/>
          <w:lang w:eastAsia="bg-BG"/>
        </w:rPr>
      </w:pPr>
    </w:p>
    <w:p w14:paraId="2777D48A" w14:textId="039C7D36"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Дисгликемия</w:t>
      </w:r>
    </w:p>
    <w:p w14:paraId="3B216B87"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Както при всички хинолони, </w:t>
      </w:r>
      <w:r w:rsidRPr="00022FF9">
        <w:rPr>
          <w:rFonts w:eastAsia="Times New Roman" w:cs="Arial"/>
          <w:i/>
          <w:iCs/>
          <w:color w:val="000000"/>
          <w:lang w:eastAsia="bg-BG"/>
        </w:rPr>
        <w:t>и</w:t>
      </w:r>
      <w:r w:rsidRPr="00022FF9">
        <w:rPr>
          <w:rFonts w:eastAsia="Times New Roman" w:cs="Arial"/>
          <w:color w:val="000000"/>
          <w:lang w:eastAsia="bg-BG"/>
        </w:rPr>
        <w:t xml:space="preserve"> при моксифлоксацин има съобщения за нарушения в нивата на кръвната захар, включващи, както хипогликемия, така и хипергликемия (вж. точка 4.8). При пациенти лекувани с моксифлоксацин се наблюдава дисгликемия предимно при пациенти в старческа възраст с диабет, на които се прилага съпътстваща терапия с перорални хипогликемични средства (напр. сулфонилуреа)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2956D7AB" w14:textId="77777777" w:rsidR="00022FF9" w:rsidRPr="00022FF9" w:rsidRDefault="00022FF9" w:rsidP="00022FF9">
      <w:pPr>
        <w:rPr>
          <w:rFonts w:eastAsia="Times New Roman" w:cs="Arial"/>
          <w:color w:val="000000"/>
          <w:u w:val="single"/>
          <w:lang w:eastAsia="bg-BG"/>
        </w:rPr>
      </w:pPr>
    </w:p>
    <w:p w14:paraId="7F348ED4" w14:textId="468DDF92" w:rsidR="00022FF9" w:rsidRPr="00022FF9" w:rsidRDefault="00022FF9" w:rsidP="00022FF9">
      <w:pPr>
        <w:rPr>
          <w:rFonts w:eastAsia="Times New Roman" w:cs="Arial"/>
          <w:color w:val="000000"/>
          <w:u w:val="single"/>
          <w:lang w:eastAsia="bg-BG"/>
        </w:rPr>
      </w:pPr>
      <w:r w:rsidRPr="00022FF9">
        <w:rPr>
          <w:rFonts w:eastAsia="Times New Roman" w:cs="Arial"/>
          <w:color w:val="000000"/>
          <w:u w:val="single"/>
          <w:lang w:eastAsia="bg-BG"/>
        </w:rPr>
        <w:t>Предотвратяване на реакции на фоточувствителност</w:t>
      </w:r>
    </w:p>
    <w:p w14:paraId="1993E2C2"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Известно е, че хинолоните причиняват реакции на фоточувствителност. Въпреки това проучванията показват, че при моксифлоксацин има по-малък риск от възникване на фоточувствителност.</w:t>
      </w:r>
    </w:p>
    <w:p w14:paraId="596EE3B3"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Независимо от това пациентите трябва да бъдат съветвани да избягват експозиция на ултравиолетово облъчване или обширна и/или силна слънчева светлина по време на лечението с моксифлоксацин.</w:t>
      </w:r>
    </w:p>
    <w:p w14:paraId="395470B6" w14:textId="77777777" w:rsidR="00022FF9" w:rsidRPr="00022FF9" w:rsidRDefault="00022FF9" w:rsidP="00022FF9">
      <w:pPr>
        <w:spacing w:line="240" w:lineRule="auto"/>
        <w:rPr>
          <w:rFonts w:eastAsia="Times New Roman" w:cs="Arial"/>
          <w:color w:val="000000"/>
          <w:u w:val="single"/>
          <w:lang w:eastAsia="bg-BG"/>
        </w:rPr>
      </w:pPr>
    </w:p>
    <w:p w14:paraId="0E221ED9" w14:textId="33009B59"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lastRenderedPageBreak/>
        <w:t>Пациенти с дефицит на глюкозо-6-Фосфат дехидрогеназа</w:t>
      </w:r>
    </w:p>
    <w:p w14:paraId="4E0635FC"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Пациентите с фамилна анамнеза или с действителен дефицит на глюкозо-6-фосфат дехидрогеназа са склонни към хемолитични реакции, когато се лекуват с хинолони. Следователно, при тези пациенти моксифлоксацин трябва да се прилага с повишено внимание.</w:t>
      </w:r>
    </w:p>
    <w:p w14:paraId="09D45D01" w14:textId="77777777" w:rsidR="00022FF9" w:rsidRPr="00022FF9" w:rsidRDefault="00022FF9" w:rsidP="00022FF9">
      <w:pPr>
        <w:spacing w:line="240" w:lineRule="auto"/>
        <w:rPr>
          <w:rFonts w:eastAsia="Times New Roman" w:cs="Arial"/>
          <w:color w:val="000000"/>
          <w:u w:val="single"/>
          <w:lang w:eastAsia="bg-BG"/>
        </w:rPr>
      </w:pPr>
    </w:p>
    <w:p w14:paraId="5F51E581" w14:textId="0FAD63A5"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Пациентки с тазова възпалителна болест</w:t>
      </w:r>
    </w:p>
    <w:p w14:paraId="63DE6159"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При пациентки с усложнена тазова възпалителна болест (напр. свързана с тубо-овариален или тазов абсцес), за които се счита, че е необходимо интравенозно лечение, лечението с Кимокс не се препоръчва.</w:t>
      </w:r>
    </w:p>
    <w:p w14:paraId="286A4387" w14:textId="77777777" w:rsidR="00022FF9" w:rsidRPr="00022FF9" w:rsidRDefault="00022FF9" w:rsidP="00022FF9">
      <w:pPr>
        <w:spacing w:line="240" w:lineRule="auto"/>
        <w:rPr>
          <w:rFonts w:eastAsia="Times New Roman" w:cs="Arial"/>
          <w:color w:val="000000"/>
          <w:lang w:eastAsia="bg-BG"/>
        </w:rPr>
      </w:pPr>
    </w:p>
    <w:p w14:paraId="65498B37" w14:textId="3F292481"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Тазовата възпалителна болест може да бъде причинена от резистентната към флуорохинолони </w:t>
      </w:r>
      <w:r w:rsidRPr="00022FF9">
        <w:rPr>
          <w:rFonts w:eastAsia="Times New Roman" w:cs="Arial"/>
          <w:i/>
          <w:iCs/>
          <w:color w:val="000000"/>
          <w:lang w:val="en-US"/>
        </w:rPr>
        <w:t xml:space="preserve">Neisseria </w:t>
      </w:r>
      <w:proofErr w:type="spellStart"/>
      <w:r w:rsidRPr="00022FF9">
        <w:rPr>
          <w:rFonts w:eastAsia="Times New Roman" w:cs="Arial"/>
          <w:i/>
          <w:iCs/>
          <w:color w:val="000000"/>
          <w:lang w:val="en-US"/>
        </w:rPr>
        <w:t>gonorrhoeae</w:t>
      </w:r>
      <w:proofErr w:type="spellEnd"/>
      <w:r w:rsidRPr="00022FF9">
        <w:rPr>
          <w:rFonts w:eastAsia="Times New Roman" w:cs="Arial"/>
          <w:i/>
          <w:iCs/>
          <w:color w:val="000000"/>
          <w:lang w:val="en-US"/>
        </w:rPr>
        <w:t>.</w:t>
      </w:r>
      <w:r w:rsidRPr="00022FF9">
        <w:rPr>
          <w:rFonts w:eastAsia="Times New Roman" w:cs="Arial"/>
          <w:color w:val="000000"/>
          <w:lang w:val="en-US"/>
        </w:rPr>
        <w:t xml:space="preserve"> </w:t>
      </w:r>
      <w:r w:rsidRPr="00022FF9">
        <w:rPr>
          <w:rFonts w:eastAsia="Times New Roman" w:cs="Arial"/>
          <w:color w:val="000000"/>
          <w:lang w:eastAsia="bg-BG"/>
        </w:rPr>
        <w:t xml:space="preserve">Следователно, в такива случаи емпирично приложеният моксифлоксацин трябва да се прилага едновременно с друг подходящ антибиотик (напр. цефалоспорин), освен ако може да бъде изключена резистентната на моксифлоксацин </w:t>
      </w:r>
      <w:r w:rsidRPr="00022FF9">
        <w:rPr>
          <w:rFonts w:eastAsia="Times New Roman" w:cs="Arial"/>
          <w:i/>
          <w:iCs/>
          <w:color w:val="000000"/>
          <w:lang w:val="en-US"/>
        </w:rPr>
        <w:t xml:space="preserve">Neisseria </w:t>
      </w:r>
      <w:proofErr w:type="spellStart"/>
      <w:r w:rsidRPr="00022FF9">
        <w:rPr>
          <w:rFonts w:eastAsia="Times New Roman" w:cs="Arial"/>
          <w:i/>
          <w:iCs/>
          <w:color w:val="000000"/>
          <w:lang w:val="en-US"/>
        </w:rPr>
        <w:t>gonorrhoeae</w:t>
      </w:r>
      <w:proofErr w:type="spellEnd"/>
      <w:r w:rsidRPr="00022FF9">
        <w:rPr>
          <w:rFonts w:eastAsia="Times New Roman" w:cs="Arial"/>
          <w:i/>
          <w:iCs/>
          <w:color w:val="000000"/>
          <w:lang w:val="en-US"/>
        </w:rPr>
        <w:t>.</w:t>
      </w:r>
      <w:r w:rsidRPr="00022FF9">
        <w:rPr>
          <w:rFonts w:eastAsia="Times New Roman" w:cs="Arial"/>
          <w:color w:val="000000"/>
          <w:lang w:val="en-US"/>
        </w:rPr>
        <w:t xml:space="preserve"> </w:t>
      </w:r>
      <w:r w:rsidRPr="00022FF9">
        <w:rPr>
          <w:rFonts w:eastAsia="Times New Roman" w:cs="Arial"/>
          <w:color w:val="000000"/>
          <w:lang w:eastAsia="bg-BG"/>
        </w:rPr>
        <w:t>Ако не се постигне клинично подобрение след 3-дневно лечение, лечението трябва да се преразгледа.</w:t>
      </w:r>
    </w:p>
    <w:p w14:paraId="349B26B8" w14:textId="77777777" w:rsidR="00022FF9" w:rsidRPr="00022FF9" w:rsidRDefault="00022FF9" w:rsidP="00022FF9">
      <w:pPr>
        <w:spacing w:line="240" w:lineRule="auto"/>
        <w:rPr>
          <w:rFonts w:eastAsia="Times New Roman" w:cs="Arial"/>
          <w:color w:val="000000"/>
          <w:u w:val="single"/>
          <w:lang w:eastAsia="bg-BG"/>
        </w:rPr>
      </w:pPr>
    </w:p>
    <w:p w14:paraId="516EAECC" w14:textId="7F81E0D4"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 xml:space="preserve">Пациенти със специални усложнени инфекции на кожата и кожните структури </w:t>
      </w:r>
      <w:r w:rsidRPr="00022FF9">
        <w:rPr>
          <w:rFonts w:eastAsia="Times New Roman" w:cs="Arial"/>
          <w:color w:val="000000"/>
          <w:u w:val="single"/>
          <w:lang w:val="en-US"/>
        </w:rPr>
        <w:t>(</w:t>
      </w:r>
      <w:proofErr w:type="spellStart"/>
      <w:r w:rsidRPr="00022FF9">
        <w:rPr>
          <w:rFonts w:eastAsia="Times New Roman" w:cs="Arial"/>
          <w:color w:val="000000"/>
          <w:u w:val="single"/>
          <w:lang w:val="en-US"/>
        </w:rPr>
        <w:t>cSSSI</w:t>
      </w:r>
      <w:proofErr w:type="spellEnd"/>
      <w:r w:rsidRPr="00022FF9">
        <w:rPr>
          <w:rFonts w:eastAsia="Times New Roman" w:cs="Arial"/>
          <w:color w:val="000000"/>
          <w:u w:val="single"/>
          <w:lang w:val="en-US"/>
        </w:rPr>
        <w:t xml:space="preserve">) </w:t>
      </w:r>
      <w:r w:rsidRPr="00022FF9">
        <w:rPr>
          <w:rFonts w:eastAsia="Times New Roman" w:cs="Arial"/>
          <w:color w:val="000000"/>
          <w:lang w:eastAsia="bg-BG"/>
        </w:rPr>
        <w:t>Клиничната ефикасност на интравенозно приложения моксифлоксацин при лечение на тежки инфекции след изгаряне, фасцит и инфекции на диабетно стъпало с остеомиелит не е установена.</w:t>
      </w:r>
    </w:p>
    <w:p w14:paraId="62695F82" w14:textId="77777777" w:rsidR="00022FF9" w:rsidRPr="00022FF9" w:rsidRDefault="00022FF9" w:rsidP="00022FF9">
      <w:pPr>
        <w:spacing w:line="240" w:lineRule="auto"/>
        <w:rPr>
          <w:rFonts w:eastAsia="Times New Roman" w:cs="Arial"/>
          <w:color w:val="000000"/>
          <w:u w:val="single"/>
          <w:lang w:eastAsia="bg-BG"/>
        </w:rPr>
      </w:pPr>
    </w:p>
    <w:p w14:paraId="1E349E94" w14:textId="22423EA1"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Взаимодействие с биологични тестове</w:t>
      </w:r>
    </w:p>
    <w:p w14:paraId="63B45EC4"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Лечението с моксифлоксацин може да повлияе на теста с култура от </w:t>
      </w:r>
      <w:r w:rsidRPr="00022FF9">
        <w:rPr>
          <w:rFonts w:eastAsia="Times New Roman" w:cs="Arial"/>
          <w:i/>
          <w:iCs/>
          <w:color w:val="000000"/>
          <w:lang w:val="en-US"/>
        </w:rPr>
        <w:t>Mycobacterium spp.</w:t>
      </w:r>
      <w:r w:rsidRPr="00022FF9">
        <w:rPr>
          <w:rFonts w:eastAsia="Times New Roman" w:cs="Arial"/>
          <w:color w:val="000000"/>
          <w:lang w:val="en-US"/>
        </w:rPr>
        <w:t xml:space="preserve"> </w:t>
      </w:r>
      <w:r w:rsidRPr="00022FF9">
        <w:rPr>
          <w:rFonts w:eastAsia="Times New Roman" w:cs="Arial"/>
          <w:color w:val="000000"/>
          <w:lang w:eastAsia="bg-BG"/>
        </w:rPr>
        <w:t>чрез потискане на микобактериалния растеж, причинявайки фалшиви отрицателни резултати в проби, взети от пациенти, които получават моксифлоксацин в момента.</w:t>
      </w:r>
    </w:p>
    <w:p w14:paraId="60BF3432" w14:textId="77777777" w:rsidR="00022FF9" w:rsidRPr="00022FF9" w:rsidRDefault="00022FF9" w:rsidP="00022FF9">
      <w:pPr>
        <w:spacing w:line="240" w:lineRule="auto"/>
        <w:rPr>
          <w:rFonts w:eastAsia="Times New Roman" w:cs="Arial"/>
          <w:color w:val="000000"/>
          <w:u w:val="single"/>
          <w:lang w:eastAsia="bg-BG"/>
        </w:rPr>
      </w:pPr>
    </w:p>
    <w:p w14:paraId="19A47E97" w14:textId="5E438E84"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 xml:space="preserve">Пациенти с инфекции с </w:t>
      </w:r>
      <w:r w:rsidRPr="00022FF9">
        <w:rPr>
          <w:rFonts w:eastAsia="Times New Roman" w:cs="Arial"/>
          <w:color w:val="000000"/>
          <w:u w:val="single"/>
          <w:lang w:val="en-US"/>
        </w:rPr>
        <w:t>MRSA</w:t>
      </w:r>
    </w:p>
    <w:p w14:paraId="56992438"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Моксифлоксацин не се препоръчва за лечение на инфекции с метицилин-резистентен </w:t>
      </w:r>
      <w:r w:rsidRPr="00022FF9">
        <w:rPr>
          <w:rFonts w:eastAsia="Times New Roman" w:cs="Arial"/>
          <w:color w:val="000000"/>
          <w:lang w:val="en-US"/>
        </w:rPr>
        <w:t xml:space="preserve">Staphylococcus aureus (MRSA). </w:t>
      </w:r>
      <w:r w:rsidRPr="00022FF9">
        <w:rPr>
          <w:rFonts w:eastAsia="Times New Roman" w:cs="Arial"/>
          <w:color w:val="000000"/>
          <w:lang w:eastAsia="bg-BG"/>
        </w:rPr>
        <w:t xml:space="preserve">В случай на подозирана или потвърдена инфекция, причинена от </w:t>
      </w:r>
      <w:r w:rsidRPr="00022FF9">
        <w:rPr>
          <w:rFonts w:eastAsia="Times New Roman" w:cs="Arial"/>
          <w:color w:val="000000"/>
          <w:lang w:val="en-US"/>
        </w:rPr>
        <w:t xml:space="preserve">MRSA, </w:t>
      </w:r>
      <w:r w:rsidRPr="00022FF9">
        <w:rPr>
          <w:rFonts w:eastAsia="Times New Roman" w:cs="Arial"/>
          <w:color w:val="000000"/>
          <w:lang w:eastAsia="bg-BG"/>
        </w:rPr>
        <w:t>лечението трябва да започне с подходящо антибактериално средство (вж. точка 5.1).</w:t>
      </w:r>
    </w:p>
    <w:p w14:paraId="515FAB83" w14:textId="77777777" w:rsidR="00022FF9" w:rsidRPr="00022FF9" w:rsidRDefault="00022FF9" w:rsidP="00022FF9">
      <w:pPr>
        <w:spacing w:line="240" w:lineRule="auto"/>
        <w:rPr>
          <w:rFonts w:eastAsia="Times New Roman" w:cs="Arial"/>
          <w:color w:val="000000"/>
          <w:u w:val="single"/>
          <w:lang w:eastAsia="bg-BG"/>
        </w:rPr>
      </w:pPr>
    </w:p>
    <w:p w14:paraId="4C0F6F7B" w14:textId="2A3F16F0"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Педиатрична популация</w:t>
      </w:r>
    </w:p>
    <w:p w14:paraId="0734942F"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Поради нежеланите реакции върху хрущяла при ювенилни животни (вж. точка 5.3), употребата на моксифлоксацин при деца и юноши &lt; 18 години е противопоказана (вж. точка 4.3).</w:t>
      </w:r>
    </w:p>
    <w:p w14:paraId="14FF8933" w14:textId="77777777" w:rsidR="00022FF9" w:rsidRPr="00022FF9" w:rsidRDefault="00022FF9" w:rsidP="00022FF9">
      <w:pPr>
        <w:spacing w:line="240" w:lineRule="auto"/>
        <w:rPr>
          <w:rFonts w:eastAsia="Times New Roman" w:cs="Arial"/>
          <w:color w:val="000000"/>
          <w:lang w:eastAsia="bg-BG"/>
        </w:rPr>
      </w:pPr>
    </w:p>
    <w:p w14:paraId="07258207" w14:textId="2F34BB3B"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Кимокс съдържа сънсет жълто алуминиев лак (Е110): Може да предизвика алергични реакции.</w:t>
      </w:r>
    </w:p>
    <w:p w14:paraId="6707BEEF" w14:textId="77777777" w:rsidR="00022FF9" w:rsidRPr="00022FF9" w:rsidRDefault="00022FF9" w:rsidP="00022FF9">
      <w:pPr>
        <w:rPr>
          <w:rFonts w:eastAsia="Times New Roman" w:cs="Arial"/>
          <w:color w:val="000000"/>
          <w:lang w:eastAsia="bg-BG"/>
        </w:rPr>
      </w:pPr>
    </w:p>
    <w:p w14:paraId="4BC6C884" w14:textId="47F04159" w:rsidR="00022FF9" w:rsidRPr="00022FF9" w:rsidRDefault="00022FF9" w:rsidP="00022FF9">
      <w:pPr>
        <w:rPr>
          <w:rFonts w:cs="Arial"/>
          <w:lang w:val="en-US"/>
        </w:rPr>
      </w:pPr>
      <w:r w:rsidRPr="00022FF9">
        <w:rPr>
          <w:rFonts w:eastAsia="Times New Roman" w:cs="Arial"/>
          <w:color w:val="000000"/>
          <w:lang w:eastAsia="bg-BG"/>
        </w:rPr>
        <w:t xml:space="preserve">Кимокс съдържа по-малко от 1 </w:t>
      </w:r>
      <w:proofErr w:type="spellStart"/>
      <w:r w:rsidRPr="00022FF9">
        <w:rPr>
          <w:rFonts w:eastAsia="Times New Roman" w:cs="Arial"/>
          <w:color w:val="000000"/>
          <w:lang w:val="en-US"/>
        </w:rPr>
        <w:t>mmol</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натрий (23 </w:t>
      </w:r>
      <w:r w:rsidRPr="00022FF9">
        <w:rPr>
          <w:rFonts w:eastAsia="Times New Roman" w:cs="Arial"/>
          <w:color w:val="000000"/>
          <w:lang w:val="en-US"/>
        </w:rPr>
        <w:t xml:space="preserve">mg) </w:t>
      </w:r>
      <w:r w:rsidRPr="00022FF9">
        <w:rPr>
          <w:rFonts w:eastAsia="Times New Roman" w:cs="Arial"/>
          <w:color w:val="000000"/>
          <w:lang w:eastAsia="bg-BG"/>
        </w:rPr>
        <w:t>на една таблетка, т.е. може да се каже, че практически не съдържа натрий.</w:t>
      </w:r>
    </w:p>
    <w:p w14:paraId="3F1D802D" w14:textId="77777777" w:rsidR="00022FF9" w:rsidRPr="00022FF9" w:rsidRDefault="00022FF9" w:rsidP="0091385D">
      <w:pPr>
        <w:rPr>
          <w:lang w:val="en-US"/>
        </w:rPr>
      </w:pP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14B7E61"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Взаимодействия с лекарствени продукти</w:t>
      </w:r>
    </w:p>
    <w:p w14:paraId="583C360A"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lastRenderedPageBreak/>
        <w:t xml:space="preserve">Не може да се изключи адитивен ефект върху удължаването на </w:t>
      </w:r>
      <w:r w:rsidRPr="00022FF9">
        <w:rPr>
          <w:rFonts w:eastAsia="Times New Roman" w:cs="Arial"/>
          <w:color w:val="000000"/>
          <w:lang w:val="en-US"/>
        </w:rPr>
        <w:t xml:space="preserve">QT </w:t>
      </w:r>
      <w:r w:rsidRPr="00022FF9">
        <w:rPr>
          <w:rFonts w:eastAsia="Times New Roman" w:cs="Arial"/>
          <w:color w:val="000000"/>
          <w:lang w:eastAsia="bg-BG"/>
        </w:rPr>
        <w:t xml:space="preserve">интервала при моксифлоксацин и други лекарствени продукти, които могат да удължат </w:t>
      </w:r>
      <w:proofErr w:type="spellStart"/>
      <w:r w:rsidRPr="00022FF9">
        <w:rPr>
          <w:rFonts w:eastAsia="Times New Roman" w:cs="Arial"/>
          <w:color w:val="000000"/>
          <w:lang w:val="en-US"/>
        </w:rPr>
        <w:t>QTc</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интервала. Това може да доведе до повишен риск от вентрикуларни аритмии, включително </w:t>
      </w:r>
      <w:r w:rsidRPr="00022FF9">
        <w:rPr>
          <w:rFonts w:eastAsia="Times New Roman" w:cs="Arial"/>
          <w:i/>
          <w:iCs/>
          <w:color w:val="000000"/>
          <w:lang w:val="en-US"/>
        </w:rPr>
        <w:t>torsade de pointes.</w:t>
      </w:r>
      <w:r w:rsidRPr="00022FF9">
        <w:rPr>
          <w:rFonts w:eastAsia="Times New Roman" w:cs="Arial"/>
          <w:color w:val="000000"/>
          <w:lang w:val="en-US"/>
        </w:rPr>
        <w:t xml:space="preserve"> </w:t>
      </w:r>
      <w:r w:rsidRPr="00022FF9">
        <w:rPr>
          <w:rFonts w:eastAsia="Times New Roman" w:cs="Arial"/>
          <w:color w:val="000000"/>
          <w:lang w:eastAsia="bg-BG"/>
        </w:rPr>
        <w:t>Следователно едновременното приложение на моксифлоксацин с някой от следните лекарствени продукти е противопоказано (вж. също точка 4.3):</w:t>
      </w:r>
    </w:p>
    <w:p w14:paraId="0F6D7581" w14:textId="77777777"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 xml:space="preserve">антиаритмични средства от клас </w:t>
      </w:r>
      <w:r w:rsidRPr="00022FF9">
        <w:rPr>
          <w:rFonts w:eastAsia="Times New Roman" w:cs="Arial"/>
          <w:color w:val="000000"/>
          <w:lang w:val="en-US"/>
        </w:rPr>
        <w:t xml:space="preserve">IA </w:t>
      </w:r>
      <w:r w:rsidRPr="00022FF9">
        <w:rPr>
          <w:rFonts w:eastAsia="Times New Roman" w:cs="Arial"/>
          <w:color w:val="000000"/>
          <w:lang w:eastAsia="bg-BG"/>
        </w:rPr>
        <w:t xml:space="preserve">(напр. хинидин, хидрохинидин, дизопирамид) </w:t>
      </w:r>
    </w:p>
    <w:p w14:paraId="616AF958" w14:textId="5FEC8314"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 xml:space="preserve">антиаритмични средства от клас III (напр. амиодарон, соталол, дофетилид, ибутилид) </w:t>
      </w:r>
    </w:p>
    <w:p w14:paraId="72D39F26" w14:textId="77777777"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антипсихотичнн средства (напр. фенотиазини, пимозид, сертиндол, халоперидол, султоприд)</w:t>
      </w:r>
    </w:p>
    <w:p w14:paraId="2ABCB3CF" w14:textId="77777777"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трициклични антидепресанти</w:t>
      </w:r>
    </w:p>
    <w:p w14:paraId="679BC87C" w14:textId="77777777"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 xml:space="preserve">определени антимикробни средства (саквинавир, спарфлоксацин, еритромицин </w:t>
      </w:r>
      <w:proofErr w:type="spellStart"/>
      <w:r w:rsidRPr="00022FF9">
        <w:rPr>
          <w:rFonts w:eastAsia="Times New Roman" w:cs="Arial"/>
          <w:color w:val="000000"/>
          <w:lang w:val="en-US"/>
        </w:rPr>
        <w:t>i.v.</w:t>
      </w:r>
      <w:proofErr w:type="spellEnd"/>
      <w:r w:rsidRPr="00022FF9">
        <w:rPr>
          <w:rFonts w:eastAsia="Times New Roman" w:cs="Arial"/>
          <w:color w:val="000000"/>
          <w:lang w:val="en-US"/>
        </w:rPr>
        <w:t xml:space="preserve">, </w:t>
      </w:r>
      <w:r w:rsidRPr="00022FF9">
        <w:rPr>
          <w:rFonts w:eastAsia="Times New Roman" w:cs="Arial"/>
          <w:color w:val="000000"/>
          <w:lang w:eastAsia="bg-BG"/>
        </w:rPr>
        <w:t xml:space="preserve">пентамидин, антималарийни средства, особено халофантрин) </w:t>
      </w:r>
    </w:p>
    <w:p w14:paraId="376F4B66" w14:textId="77777777"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 xml:space="preserve">определени антихистамини (терфенадин, астемизол, мизоластин) </w:t>
      </w:r>
    </w:p>
    <w:p w14:paraId="157FDC13" w14:textId="5E672E7D" w:rsidR="00022FF9" w:rsidRPr="00022FF9" w:rsidRDefault="00022FF9" w:rsidP="00022FF9">
      <w:pPr>
        <w:pStyle w:val="ListParagraph"/>
        <w:numPr>
          <w:ilvl w:val="0"/>
          <w:numId w:val="42"/>
        </w:numPr>
        <w:spacing w:line="240" w:lineRule="auto"/>
        <w:rPr>
          <w:rFonts w:eastAsia="Times New Roman" w:cs="Arial"/>
          <w:lang w:eastAsia="bg-BG"/>
        </w:rPr>
      </w:pPr>
      <w:r w:rsidRPr="00022FF9">
        <w:rPr>
          <w:rFonts w:eastAsia="Times New Roman" w:cs="Arial"/>
          <w:color w:val="000000"/>
          <w:lang w:eastAsia="bg-BG"/>
        </w:rPr>
        <w:t xml:space="preserve">други (цисаприд, винкамин </w:t>
      </w:r>
      <w:proofErr w:type="spellStart"/>
      <w:r w:rsidRPr="00022FF9">
        <w:rPr>
          <w:rFonts w:eastAsia="Times New Roman" w:cs="Arial"/>
          <w:color w:val="000000"/>
          <w:lang w:val="en-US"/>
        </w:rPr>
        <w:t>i.v</w:t>
      </w:r>
      <w:proofErr w:type="spellEnd"/>
      <w:r w:rsidRPr="00022FF9">
        <w:rPr>
          <w:rFonts w:eastAsia="Times New Roman" w:cs="Arial"/>
          <w:color w:val="000000"/>
          <w:lang w:val="en-US"/>
        </w:rPr>
        <w:t xml:space="preserve">„ </w:t>
      </w:r>
      <w:r w:rsidRPr="00022FF9">
        <w:rPr>
          <w:rFonts w:eastAsia="Times New Roman" w:cs="Arial"/>
          <w:color w:val="000000"/>
          <w:lang w:eastAsia="bg-BG"/>
        </w:rPr>
        <w:t>бепридил, дифеманил).</w:t>
      </w:r>
    </w:p>
    <w:p w14:paraId="607A2FE3" w14:textId="77777777" w:rsidR="00022FF9" w:rsidRPr="00022FF9" w:rsidRDefault="00022FF9" w:rsidP="00022FF9">
      <w:pPr>
        <w:spacing w:line="240" w:lineRule="auto"/>
        <w:rPr>
          <w:rFonts w:eastAsia="Times New Roman" w:cs="Arial"/>
          <w:color w:val="000000"/>
          <w:lang w:eastAsia="bg-BG"/>
        </w:rPr>
      </w:pPr>
    </w:p>
    <w:p w14:paraId="652A6EDC" w14:textId="536839B1"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Моксифлоксацин трябва да се използва с повишено внимание при пациенти, които приемат лекарства, които могат да понижат нивата на калий (напр. бримкови и тиазидни диуретици, лаксативи и клизми [високи дози], кортикостероиди, амфотерицин В) или лекарства, които са свързани с клинично значима брадикардия.</w:t>
      </w:r>
    </w:p>
    <w:p w14:paraId="49724742" w14:textId="402480A6" w:rsidR="00022FF9" w:rsidRPr="00022FF9" w:rsidRDefault="00022FF9" w:rsidP="00022FF9">
      <w:pPr>
        <w:spacing w:line="240" w:lineRule="auto"/>
        <w:rPr>
          <w:rFonts w:eastAsia="Times New Roman" w:cs="Arial"/>
          <w:color w:val="000000"/>
          <w:lang w:eastAsia="bg-BG"/>
        </w:rPr>
      </w:pPr>
    </w:p>
    <w:p w14:paraId="27EBE356" w14:textId="5292166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Трябва да се остави интервал от около 6 часа между прилагането на продукти, съдържащи бивалентни или тривалентни катиони (напр. антиациди, съдържащи магнезий или алуминий, диданозин таблетки, сукралфат и средства, съдържащи желязо или цинк) и прилагането на моксифлоксацин.</w:t>
      </w:r>
    </w:p>
    <w:p w14:paraId="0935506D" w14:textId="77777777" w:rsidR="00022FF9" w:rsidRPr="00022FF9" w:rsidRDefault="00022FF9" w:rsidP="00022FF9">
      <w:pPr>
        <w:spacing w:line="240" w:lineRule="auto"/>
        <w:rPr>
          <w:rFonts w:eastAsia="Times New Roman" w:cs="Arial"/>
          <w:color w:val="000000"/>
          <w:lang w:eastAsia="bg-BG"/>
        </w:rPr>
      </w:pPr>
    </w:p>
    <w:p w14:paraId="1F7D25EC" w14:textId="1DFCE04B"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Едновременното приложение на активен въглен с перорална доза от 400 </w:t>
      </w:r>
      <w:r w:rsidRPr="00022FF9">
        <w:rPr>
          <w:rFonts w:eastAsia="Times New Roman" w:cs="Arial"/>
          <w:color w:val="000000"/>
          <w:lang w:val="en-US"/>
        </w:rPr>
        <w:t xml:space="preserve">mg </w:t>
      </w:r>
      <w:r w:rsidRPr="00022FF9">
        <w:rPr>
          <w:rFonts w:eastAsia="Times New Roman" w:cs="Arial"/>
          <w:color w:val="000000"/>
          <w:lang w:eastAsia="bg-BG"/>
        </w:rPr>
        <w:t>моксифлоксацин води до изразена превенция на абсорбцията на лекарството и намалена системна наличност на лекарството с повече от 80%. Поради това едновременната употреба на тези две лекарства не се препоръчва (с изключение на случаите на предозиране, вж. също точка 4.9).</w:t>
      </w:r>
    </w:p>
    <w:p w14:paraId="658E4513" w14:textId="77777777" w:rsidR="00022FF9" w:rsidRPr="00022FF9" w:rsidRDefault="00022FF9" w:rsidP="00022FF9">
      <w:pPr>
        <w:spacing w:line="240" w:lineRule="auto"/>
        <w:rPr>
          <w:rFonts w:eastAsia="Times New Roman" w:cs="Arial"/>
          <w:color w:val="000000"/>
          <w:lang w:eastAsia="bg-BG"/>
        </w:rPr>
      </w:pPr>
    </w:p>
    <w:p w14:paraId="1F2493BF" w14:textId="097195D8"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След многократно дозиране при здрави доброволци моксифлоксацин повишава С</w:t>
      </w:r>
      <w:r w:rsidRPr="00022FF9">
        <w:rPr>
          <w:rFonts w:eastAsia="Times New Roman" w:cs="Arial"/>
          <w:color w:val="000000"/>
          <w:lang w:val="en-US"/>
        </w:rPr>
        <w:t xml:space="preserve">max </w:t>
      </w:r>
      <w:r w:rsidRPr="00022FF9">
        <w:rPr>
          <w:rFonts w:eastAsia="Times New Roman" w:cs="Arial"/>
          <w:color w:val="000000"/>
          <w:lang w:eastAsia="bg-BG"/>
        </w:rPr>
        <w:t xml:space="preserve">на дигоксин с приблизително 30%, без да повлиява </w:t>
      </w:r>
      <w:r w:rsidRPr="00022FF9">
        <w:rPr>
          <w:rFonts w:eastAsia="Times New Roman" w:cs="Arial"/>
          <w:color w:val="000000"/>
          <w:lang w:val="en-US"/>
        </w:rPr>
        <w:t xml:space="preserve">AUC </w:t>
      </w:r>
      <w:r w:rsidRPr="00022FF9">
        <w:rPr>
          <w:rFonts w:eastAsia="Times New Roman" w:cs="Arial"/>
          <w:color w:val="000000"/>
          <w:lang w:eastAsia="bg-BG"/>
        </w:rPr>
        <w:t>или най-ниските нива. Не се изискват предпазни мерки при употреба с дигоксин.</w:t>
      </w:r>
    </w:p>
    <w:p w14:paraId="0F3543AA" w14:textId="77777777" w:rsidR="00022FF9" w:rsidRPr="00022FF9" w:rsidRDefault="00022FF9" w:rsidP="00022FF9">
      <w:pPr>
        <w:spacing w:line="240" w:lineRule="auto"/>
        <w:rPr>
          <w:rFonts w:eastAsia="Times New Roman" w:cs="Arial"/>
          <w:color w:val="000000"/>
          <w:lang w:eastAsia="bg-BG"/>
        </w:rPr>
      </w:pPr>
    </w:p>
    <w:p w14:paraId="5944C507" w14:textId="65F5511A"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В проучвания, проведени при доброволци с диабет, едновременното приложение на перорален моксифлоксацин с глибенкламид води до намаляване с приблизително 21% на пиковите плазмени концентрации на глибенкламид. Комбинацията от глибенкламид и моксифлоксацин може теоретично да доведе до лека и преходна хипергликемия. Въпреки това наблюдаваните фармакокинетични промени за глибенкламид не са довели до промени във фармакодинамичните параметри (кръвна глюкоза, инсулин). Следователно между моксифлоксацин и глибенкламид не е наблюдавано клинично значимо взаимодействие.</w:t>
      </w:r>
    </w:p>
    <w:p w14:paraId="3E4B3321" w14:textId="77777777" w:rsidR="00022FF9" w:rsidRPr="00022FF9" w:rsidRDefault="00022FF9" w:rsidP="00022FF9">
      <w:pPr>
        <w:rPr>
          <w:rFonts w:eastAsia="Times New Roman" w:cs="Arial"/>
          <w:i/>
          <w:iCs/>
          <w:color w:val="000000"/>
          <w:lang w:eastAsia="bg-BG"/>
        </w:rPr>
      </w:pPr>
    </w:p>
    <w:p w14:paraId="5B2761C5" w14:textId="43AC67AA" w:rsidR="0091385D" w:rsidRPr="00022FF9" w:rsidRDefault="00022FF9" w:rsidP="00022FF9">
      <w:pPr>
        <w:rPr>
          <w:rFonts w:eastAsia="Times New Roman" w:cs="Arial"/>
          <w:i/>
          <w:iCs/>
          <w:color w:val="000000"/>
          <w:lang w:val="en-US"/>
        </w:rPr>
      </w:pPr>
      <w:r w:rsidRPr="00022FF9">
        <w:rPr>
          <w:rFonts w:eastAsia="Times New Roman" w:cs="Arial"/>
          <w:i/>
          <w:iCs/>
          <w:color w:val="000000"/>
          <w:lang w:eastAsia="bg-BG"/>
        </w:rPr>
        <w:t xml:space="preserve">Промени в </w:t>
      </w:r>
      <w:r w:rsidRPr="00022FF9">
        <w:rPr>
          <w:rFonts w:eastAsia="Times New Roman" w:cs="Arial"/>
          <w:i/>
          <w:iCs/>
          <w:color w:val="000000"/>
          <w:lang w:val="en-US"/>
        </w:rPr>
        <w:t>INR</w:t>
      </w:r>
    </w:p>
    <w:p w14:paraId="4CF52247" w14:textId="77777777"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 xml:space="preserve">Голям брой случаи, показващи повишаване на активността на пероралните антикоагуланти, са съобщени при пациенти, получаващи антибактериални средства, особено флуорохинолони, макролиди, тетрациклини, котримоксазол и някои цефалоспорини. Инфекциозните и възпалителни състояния, възрастта и общият статус </w:t>
      </w:r>
      <w:r w:rsidRPr="00022FF9">
        <w:rPr>
          <w:rFonts w:eastAsia="Times New Roman" w:cs="Arial"/>
          <w:color w:val="000000"/>
          <w:lang w:eastAsia="bg-BG"/>
        </w:rPr>
        <w:lastRenderedPageBreak/>
        <w:t xml:space="preserve">на пациента изглежда са рискови фактори. При тези обстоятелства е трудно да се прецени дали инфекцията или лечението са причинили нарушението на </w:t>
      </w:r>
      <w:r w:rsidRPr="00022FF9">
        <w:rPr>
          <w:rFonts w:eastAsia="Times New Roman" w:cs="Arial"/>
          <w:color w:val="000000"/>
          <w:lang w:val="en-US"/>
        </w:rPr>
        <w:t xml:space="preserve">INR </w:t>
      </w:r>
      <w:r w:rsidRPr="00022FF9">
        <w:rPr>
          <w:rFonts w:eastAsia="Times New Roman" w:cs="Arial"/>
          <w:color w:val="000000"/>
          <w:lang w:eastAsia="bg-BG"/>
        </w:rPr>
        <w:t xml:space="preserve">(международно нормализирано съотношение, </w:t>
      </w:r>
      <w:r w:rsidRPr="00022FF9">
        <w:rPr>
          <w:rFonts w:eastAsia="Times New Roman" w:cs="Arial"/>
          <w:color w:val="000000"/>
          <w:lang w:val="en-US"/>
        </w:rPr>
        <w:t xml:space="preserve">international </w:t>
      </w:r>
      <w:proofErr w:type="spellStart"/>
      <w:r w:rsidRPr="00022FF9">
        <w:rPr>
          <w:rFonts w:eastAsia="Times New Roman" w:cs="Arial"/>
          <w:color w:val="000000"/>
          <w:lang w:val="en-US"/>
        </w:rPr>
        <w:t>normalised</w:t>
      </w:r>
      <w:proofErr w:type="spellEnd"/>
      <w:r w:rsidRPr="00022FF9">
        <w:rPr>
          <w:rFonts w:eastAsia="Times New Roman" w:cs="Arial"/>
          <w:color w:val="000000"/>
          <w:lang w:val="en-US"/>
        </w:rPr>
        <w:t xml:space="preserve"> ratio). </w:t>
      </w:r>
      <w:r w:rsidRPr="00022FF9">
        <w:rPr>
          <w:rFonts w:eastAsia="Times New Roman" w:cs="Arial"/>
          <w:color w:val="000000"/>
          <w:lang w:eastAsia="bg-BG"/>
        </w:rPr>
        <w:t xml:space="preserve">Предпазна мярка, която може да се предприеме, е </w:t>
      </w:r>
      <w:r w:rsidRPr="00022FF9">
        <w:rPr>
          <w:rFonts w:eastAsia="Times New Roman" w:cs="Arial"/>
          <w:color w:val="000000"/>
          <w:lang w:val="en-US"/>
        </w:rPr>
        <w:t xml:space="preserve">INR </w:t>
      </w:r>
      <w:r w:rsidRPr="00022FF9">
        <w:rPr>
          <w:rFonts w:eastAsia="Times New Roman" w:cs="Arial"/>
          <w:color w:val="000000"/>
          <w:lang w:eastAsia="bg-BG"/>
        </w:rPr>
        <w:t>да се наблюдава по-често. Ако е необходимо, дозата на пероралния антикоагулант трябва да се коригира, както е подходящо.</w:t>
      </w:r>
    </w:p>
    <w:p w14:paraId="7881E7EE" w14:textId="77777777" w:rsidR="00022FF9" w:rsidRPr="00022FF9" w:rsidRDefault="00022FF9" w:rsidP="00022FF9">
      <w:pPr>
        <w:spacing w:line="240" w:lineRule="auto"/>
        <w:rPr>
          <w:rFonts w:eastAsia="Times New Roman" w:cs="Arial"/>
          <w:color w:val="000000"/>
          <w:lang w:eastAsia="bg-BG"/>
        </w:rPr>
      </w:pPr>
    </w:p>
    <w:p w14:paraId="7330E99D" w14:textId="5A8D444B" w:rsidR="00022FF9" w:rsidRPr="00022FF9" w:rsidRDefault="00022FF9" w:rsidP="00022FF9">
      <w:pPr>
        <w:spacing w:line="240" w:lineRule="auto"/>
        <w:rPr>
          <w:rFonts w:eastAsia="Times New Roman" w:cs="Arial"/>
          <w:lang w:eastAsia="bg-BG"/>
        </w:rPr>
      </w:pPr>
      <w:r w:rsidRPr="00022FF9">
        <w:rPr>
          <w:rFonts w:eastAsia="Times New Roman" w:cs="Arial"/>
          <w:color w:val="000000"/>
          <w:lang w:eastAsia="bg-BG"/>
        </w:rPr>
        <w:t>Клинични проучвания не показват взаимодействия след едновременното приложение на моксифлоксацин с: ранитидин, пробенецид, перорални контрацептиви, калциеви добавки, морфин, прилаган парентерално, теофилин, циклоспорин или итраконазол.</w:t>
      </w:r>
    </w:p>
    <w:p w14:paraId="11FB7F21" w14:textId="77777777" w:rsidR="00022FF9" w:rsidRPr="00022FF9" w:rsidRDefault="00022FF9" w:rsidP="00022FF9">
      <w:pPr>
        <w:spacing w:line="240" w:lineRule="auto"/>
        <w:rPr>
          <w:rFonts w:eastAsia="Times New Roman" w:cs="Arial"/>
          <w:i/>
          <w:iCs/>
          <w:color w:val="000000"/>
          <w:lang w:val="en-US"/>
        </w:rPr>
      </w:pPr>
    </w:p>
    <w:p w14:paraId="367F147C" w14:textId="2AAB8AE0" w:rsidR="00022FF9" w:rsidRPr="00022FF9" w:rsidRDefault="00022FF9" w:rsidP="00022FF9">
      <w:pPr>
        <w:spacing w:line="240" w:lineRule="auto"/>
        <w:rPr>
          <w:rFonts w:eastAsia="Times New Roman" w:cs="Arial"/>
          <w:lang w:eastAsia="bg-BG"/>
        </w:rPr>
      </w:pPr>
      <w:r w:rsidRPr="00022FF9">
        <w:rPr>
          <w:rFonts w:eastAsia="Times New Roman" w:cs="Arial"/>
          <w:i/>
          <w:iCs/>
          <w:color w:val="000000"/>
          <w:lang w:val="en-US"/>
        </w:rPr>
        <w:t>In vitro</w:t>
      </w:r>
      <w:r w:rsidRPr="00022FF9">
        <w:rPr>
          <w:rFonts w:eastAsia="Times New Roman" w:cs="Arial"/>
          <w:color w:val="000000"/>
          <w:lang w:val="en-US"/>
        </w:rPr>
        <w:t xml:space="preserve"> </w:t>
      </w:r>
      <w:r w:rsidRPr="00022FF9">
        <w:rPr>
          <w:rFonts w:eastAsia="Times New Roman" w:cs="Arial"/>
          <w:color w:val="000000"/>
          <w:lang w:eastAsia="bg-BG"/>
        </w:rPr>
        <w:t>проучвания с човешки ензими от групата на цитохром Р450 подкрепят тези находки. Като се имат предвид тези резултати, е малко вероятно метаболитно взаимодействие чрез ензимите от групата на цитохром Р450.</w:t>
      </w:r>
    </w:p>
    <w:p w14:paraId="1EEB449D" w14:textId="77777777" w:rsidR="00022FF9" w:rsidRPr="00022FF9" w:rsidRDefault="00022FF9" w:rsidP="00022FF9">
      <w:pPr>
        <w:spacing w:line="240" w:lineRule="auto"/>
        <w:rPr>
          <w:rFonts w:eastAsia="Times New Roman" w:cs="Arial"/>
          <w:color w:val="000000"/>
          <w:u w:val="single"/>
          <w:lang w:eastAsia="bg-BG"/>
        </w:rPr>
      </w:pPr>
    </w:p>
    <w:p w14:paraId="4441BAFA" w14:textId="7848E0F6" w:rsidR="00022FF9" w:rsidRPr="00022FF9" w:rsidRDefault="00022FF9" w:rsidP="00022FF9">
      <w:pPr>
        <w:spacing w:line="240" w:lineRule="auto"/>
        <w:rPr>
          <w:rFonts w:eastAsia="Times New Roman" w:cs="Arial"/>
          <w:lang w:eastAsia="bg-BG"/>
        </w:rPr>
      </w:pPr>
      <w:r w:rsidRPr="00022FF9">
        <w:rPr>
          <w:rFonts w:eastAsia="Times New Roman" w:cs="Arial"/>
          <w:color w:val="000000"/>
          <w:u w:val="single"/>
          <w:lang w:eastAsia="bg-BG"/>
        </w:rPr>
        <w:t>Взаимодействие с храна</w:t>
      </w:r>
    </w:p>
    <w:p w14:paraId="4811B5E8" w14:textId="28AEF22C" w:rsidR="00022FF9" w:rsidRPr="00022FF9" w:rsidRDefault="00022FF9" w:rsidP="00022FF9">
      <w:pPr>
        <w:rPr>
          <w:rFonts w:cs="Arial"/>
        </w:rPr>
      </w:pPr>
      <w:r w:rsidRPr="00022FF9">
        <w:rPr>
          <w:rFonts w:eastAsia="Times New Roman" w:cs="Arial"/>
          <w:color w:val="000000"/>
          <w:lang w:eastAsia="bg-BG"/>
        </w:rPr>
        <w:t>Моксифлоксацин няма клинично значимо взаимодействие с храни, включително млечни продукти.</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2C10AB06" w14:textId="77777777" w:rsidR="00022FF9" w:rsidRPr="009221D8" w:rsidRDefault="00022FF9" w:rsidP="009221D8">
      <w:pPr>
        <w:pStyle w:val="Heading3"/>
        <w:rPr>
          <w:rFonts w:eastAsia="Times New Roman"/>
          <w:sz w:val="28"/>
          <w:u w:val="single"/>
          <w:lang w:eastAsia="bg-BG"/>
        </w:rPr>
      </w:pPr>
      <w:r w:rsidRPr="009221D8">
        <w:rPr>
          <w:rFonts w:eastAsia="Times New Roman"/>
          <w:u w:val="single"/>
          <w:lang w:eastAsia="bg-BG"/>
        </w:rPr>
        <w:t>Брем</w:t>
      </w:r>
      <w:bookmarkStart w:id="1" w:name="_GoBack"/>
      <w:bookmarkEnd w:id="1"/>
      <w:r w:rsidRPr="009221D8">
        <w:rPr>
          <w:rFonts w:eastAsia="Times New Roman"/>
          <w:u w:val="single"/>
          <w:lang w:eastAsia="bg-BG"/>
        </w:rPr>
        <w:t>енност</w:t>
      </w:r>
    </w:p>
    <w:p w14:paraId="167DD79B" w14:textId="77777777" w:rsidR="00022FF9" w:rsidRPr="00022FF9" w:rsidRDefault="00022FF9" w:rsidP="00022FF9">
      <w:pPr>
        <w:spacing w:line="240" w:lineRule="auto"/>
        <w:rPr>
          <w:rFonts w:eastAsia="Times New Roman" w:cs="Arial"/>
          <w:sz w:val="28"/>
          <w:szCs w:val="24"/>
          <w:lang w:eastAsia="bg-BG"/>
        </w:rPr>
      </w:pPr>
      <w:r w:rsidRPr="00022FF9">
        <w:rPr>
          <w:rFonts w:eastAsia="Times New Roman" w:cs="Arial"/>
          <w:color w:val="000000"/>
          <w:szCs w:val="20"/>
          <w:lang w:eastAsia="bg-BG"/>
        </w:rPr>
        <w:t>Безопасността на моксифлоксацин при бременност при хора не е оценена. Проучванията при животни показват репродуктивна токсичност (вж, точка 5.3). Потенциалният риск при хора не е известен. Поради експерименталния риск от увреждане от флуорохинолони на хрущяла в носещите стави при незрели животни и обратими увреждания на</w:t>
      </w:r>
      <w:r w:rsidRPr="00022FF9">
        <w:rPr>
          <w:rFonts w:eastAsia="Times New Roman" w:cs="Arial"/>
          <w:color w:val="000000"/>
          <w:szCs w:val="20"/>
          <w:lang w:val="en-US"/>
        </w:rPr>
        <w:t xml:space="preserve"> </w:t>
      </w:r>
      <w:r w:rsidRPr="00022FF9">
        <w:rPr>
          <w:rFonts w:eastAsia="Times New Roman" w:cs="Arial"/>
          <w:color w:val="000000"/>
          <w:szCs w:val="20"/>
          <w:lang w:eastAsia="bg-BG"/>
        </w:rPr>
        <w:t>ставите, описани при деца, получаващи някои флуорохинолони, моксифлоксацин не трябва да се използва при бременни жени (вж. точка 4.3).</w:t>
      </w:r>
    </w:p>
    <w:p w14:paraId="6A7D30EC" w14:textId="77777777" w:rsidR="00022FF9" w:rsidRPr="009221D8" w:rsidRDefault="00022FF9" w:rsidP="00022FF9">
      <w:pPr>
        <w:spacing w:line="240" w:lineRule="auto"/>
        <w:rPr>
          <w:rFonts w:eastAsia="Times New Roman" w:cs="Arial"/>
          <w:color w:val="000000"/>
          <w:szCs w:val="20"/>
          <w:u w:val="single"/>
          <w:lang w:eastAsia="bg-BG"/>
        </w:rPr>
      </w:pPr>
    </w:p>
    <w:p w14:paraId="74C5014A" w14:textId="57120CAD" w:rsidR="00022FF9" w:rsidRPr="009221D8" w:rsidRDefault="00022FF9" w:rsidP="009221D8">
      <w:pPr>
        <w:pStyle w:val="Heading3"/>
        <w:rPr>
          <w:rFonts w:eastAsia="Times New Roman"/>
          <w:sz w:val="28"/>
          <w:u w:val="single"/>
          <w:lang w:eastAsia="bg-BG"/>
        </w:rPr>
      </w:pPr>
      <w:r w:rsidRPr="009221D8">
        <w:rPr>
          <w:rFonts w:eastAsia="Times New Roman"/>
          <w:u w:val="single"/>
          <w:lang w:eastAsia="bg-BG"/>
        </w:rPr>
        <w:t>Кърмене</w:t>
      </w:r>
    </w:p>
    <w:p w14:paraId="44CF65A0" w14:textId="77777777" w:rsidR="00022FF9" w:rsidRPr="00022FF9" w:rsidRDefault="00022FF9" w:rsidP="00022FF9">
      <w:pPr>
        <w:spacing w:line="240" w:lineRule="auto"/>
        <w:rPr>
          <w:rFonts w:eastAsia="Times New Roman" w:cs="Arial"/>
          <w:sz w:val="28"/>
          <w:szCs w:val="24"/>
          <w:lang w:eastAsia="bg-BG"/>
        </w:rPr>
      </w:pPr>
      <w:r w:rsidRPr="00022FF9">
        <w:rPr>
          <w:rFonts w:eastAsia="Times New Roman" w:cs="Arial"/>
          <w:color w:val="000000"/>
          <w:szCs w:val="20"/>
          <w:lang w:eastAsia="bg-BG"/>
        </w:rPr>
        <w:t>Липсват данни за кърмещи жени. Предклиничните данни показват, че малки количества моксифлоксацин се секретират в кърмата. Поради липсата на данни при хора и поради експерименталния риск от увреждане от флуорохинолони на хрущяла в носещите стави при незрели животни, кърменето е противопоказано по време на лечението с моксифлоксацин (вж. точка 4.3).</w:t>
      </w:r>
    </w:p>
    <w:p w14:paraId="7E435049" w14:textId="77777777" w:rsidR="00022FF9" w:rsidRPr="009221D8" w:rsidRDefault="00022FF9" w:rsidP="00022FF9">
      <w:pPr>
        <w:spacing w:line="240" w:lineRule="auto"/>
        <w:rPr>
          <w:rFonts w:eastAsia="Times New Roman" w:cs="Arial"/>
          <w:color w:val="000000"/>
          <w:szCs w:val="20"/>
          <w:u w:val="single"/>
          <w:lang w:eastAsia="bg-BG"/>
        </w:rPr>
      </w:pPr>
    </w:p>
    <w:p w14:paraId="637A7AC6" w14:textId="5FCAB309" w:rsidR="00022FF9" w:rsidRPr="009221D8" w:rsidRDefault="00022FF9" w:rsidP="009221D8">
      <w:pPr>
        <w:pStyle w:val="Heading3"/>
        <w:rPr>
          <w:rFonts w:eastAsia="Times New Roman"/>
          <w:sz w:val="28"/>
          <w:u w:val="single"/>
          <w:lang w:eastAsia="bg-BG"/>
        </w:rPr>
      </w:pPr>
      <w:r w:rsidRPr="009221D8">
        <w:rPr>
          <w:rFonts w:eastAsia="Times New Roman"/>
          <w:u w:val="single"/>
          <w:lang w:eastAsia="bg-BG"/>
        </w:rPr>
        <w:t>Фертилитет</w:t>
      </w:r>
    </w:p>
    <w:p w14:paraId="102F0D07" w14:textId="6CC4DAFD" w:rsidR="007A2185" w:rsidRPr="009221D8" w:rsidRDefault="00022FF9" w:rsidP="00022FF9">
      <w:pPr>
        <w:rPr>
          <w:rFonts w:cs="Arial"/>
          <w:sz w:val="24"/>
        </w:rPr>
      </w:pPr>
      <w:r w:rsidRPr="009221D8">
        <w:rPr>
          <w:rFonts w:eastAsia="Times New Roman" w:cs="Arial"/>
          <w:color w:val="000000"/>
          <w:szCs w:val="20"/>
          <w:lang w:eastAsia="bg-BG"/>
        </w:rPr>
        <w:t>Проучванията при животни не показват увреждане на фертилитета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2174693F" w:rsidR="007A2185" w:rsidRPr="009221D8" w:rsidRDefault="00022FF9" w:rsidP="0091385D">
      <w:pPr>
        <w:rPr>
          <w:rFonts w:cs="Arial"/>
          <w:sz w:val="24"/>
          <w:lang w:val="en-US"/>
        </w:rPr>
      </w:pPr>
      <w:r w:rsidRPr="009221D8">
        <w:rPr>
          <w:rFonts w:cs="Arial"/>
          <w:szCs w:val="20"/>
        </w:rPr>
        <w:t>Не са извършвани проучвания на моксифлоксацин за ефектите върху способността за шофиране и работа с машини. Въпреки това флуорохинолоните, включително моксифлоксацин, могат да доведат до нарушаване на способността на пациента да шофира или да работи с машини поради</w:t>
      </w:r>
      <w:r w:rsidRPr="009221D8">
        <w:rPr>
          <w:rFonts w:cs="Arial"/>
          <w:szCs w:val="20"/>
          <w:lang w:val="en-US"/>
        </w:rPr>
        <w:t xml:space="preserve"> </w:t>
      </w:r>
      <w:r w:rsidRPr="009221D8">
        <w:rPr>
          <w:rFonts w:cs="Arial"/>
          <w:szCs w:val="20"/>
        </w:rPr>
        <w:t>реакции на ЦНС (напр. замаяност, остра преходна загуба на зрение, вж. точка 4.8) или остра и краткотрайна загуба на съзнание (синкоп, вж. точка 4.8). Пациентите трябва да бъдат съветвани да наблюдават как реагират на моксифлоксацин преди да шофират или работят с машини.</w:t>
      </w:r>
    </w:p>
    <w:p w14:paraId="35801A15" w14:textId="77777777" w:rsidR="0091385D" w:rsidRPr="0091385D" w:rsidRDefault="0091385D" w:rsidP="0091385D"/>
    <w:p w14:paraId="4838F52A" w14:textId="058F0B9C" w:rsidR="0091385D" w:rsidRDefault="002C50EE" w:rsidP="007A2185">
      <w:pPr>
        <w:pStyle w:val="Heading2"/>
      </w:pPr>
      <w:r>
        <w:lastRenderedPageBreak/>
        <w:t>4.8. Нежелани лекарствени реакции</w:t>
      </w:r>
    </w:p>
    <w:p w14:paraId="76E0B7A2" w14:textId="5BBD2581" w:rsidR="005B0F27" w:rsidRDefault="005B0F27" w:rsidP="0091385D"/>
    <w:p w14:paraId="26954049" w14:textId="77777777" w:rsidR="00022FF9" w:rsidRPr="00022FF9" w:rsidRDefault="00022FF9" w:rsidP="00022FF9">
      <w:pPr>
        <w:spacing w:line="240" w:lineRule="auto"/>
        <w:rPr>
          <w:rFonts w:eastAsia="Times New Roman" w:cs="Arial"/>
          <w:sz w:val="28"/>
          <w:szCs w:val="24"/>
          <w:lang w:eastAsia="bg-BG"/>
        </w:rPr>
      </w:pPr>
      <w:r w:rsidRPr="00022FF9">
        <w:rPr>
          <w:rFonts w:eastAsia="Times New Roman" w:cs="Arial"/>
          <w:color w:val="000000"/>
          <w:szCs w:val="20"/>
          <w:lang w:eastAsia="bg-BG"/>
        </w:rPr>
        <w:t xml:space="preserve">По-долу са изброени нежеланите реакции, базирани на всички клинични проучвания и получени от постмаркетингови съобщения с моксифлоксацин 400 </w:t>
      </w:r>
      <w:r w:rsidRPr="00022FF9">
        <w:rPr>
          <w:rFonts w:eastAsia="Times New Roman" w:cs="Arial"/>
          <w:color w:val="000000"/>
          <w:szCs w:val="20"/>
          <w:lang w:val="en-US"/>
        </w:rPr>
        <w:t xml:space="preserve">mg </w:t>
      </w:r>
      <w:r w:rsidRPr="00022FF9">
        <w:rPr>
          <w:rFonts w:eastAsia="Times New Roman" w:cs="Arial"/>
          <w:color w:val="000000"/>
          <w:szCs w:val="20"/>
          <w:lang w:eastAsia="bg-BG"/>
        </w:rPr>
        <w:t>(перорално и секвенциално лечение), сортирани по честота:</w:t>
      </w:r>
    </w:p>
    <w:p w14:paraId="2D52F8B5" w14:textId="77777777" w:rsidR="00022FF9" w:rsidRPr="009221D8" w:rsidRDefault="00022FF9" w:rsidP="00022FF9">
      <w:pPr>
        <w:spacing w:line="240" w:lineRule="auto"/>
        <w:rPr>
          <w:rFonts w:eastAsia="Times New Roman" w:cs="Arial"/>
          <w:color w:val="000000"/>
          <w:szCs w:val="20"/>
          <w:lang w:eastAsia="bg-BG"/>
        </w:rPr>
      </w:pPr>
    </w:p>
    <w:p w14:paraId="46D007E3" w14:textId="5662F4B7" w:rsidR="00022FF9" w:rsidRPr="00022FF9" w:rsidRDefault="00022FF9" w:rsidP="00022FF9">
      <w:pPr>
        <w:spacing w:line="240" w:lineRule="auto"/>
        <w:rPr>
          <w:rFonts w:eastAsia="Times New Roman" w:cs="Arial"/>
          <w:sz w:val="28"/>
          <w:szCs w:val="24"/>
          <w:lang w:eastAsia="bg-BG"/>
        </w:rPr>
      </w:pPr>
      <w:r w:rsidRPr="00022FF9">
        <w:rPr>
          <w:rFonts w:eastAsia="Times New Roman" w:cs="Arial"/>
          <w:color w:val="000000"/>
          <w:szCs w:val="20"/>
          <w:lang w:eastAsia="bg-BG"/>
        </w:rPr>
        <w:t>Освен гадене и диария, всички нежелани реакции са наблюдавани с честоти под 3%.</w:t>
      </w:r>
    </w:p>
    <w:p w14:paraId="44EA7C44" w14:textId="77777777" w:rsidR="00022FF9" w:rsidRPr="009221D8" w:rsidRDefault="00022FF9" w:rsidP="00022FF9">
      <w:pPr>
        <w:rPr>
          <w:rFonts w:eastAsia="Times New Roman" w:cs="Arial"/>
          <w:color w:val="000000"/>
          <w:szCs w:val="20"/>
          <w:lang w:eastAsia="bg-BG"/>
        </w:rPr>
      </w:pPr>
    </w:p>
    <w:p w14:paraId="738D3891" w14:textId="77777777" w:rsidR="00022FF9" w:rsidRPr="009221D8" w:rsidRDefault="00022FF9" w:rsidP="00022FF9">
      <w:pPr>
        <w:rPr>
          <w:rFonts w:eastAsia="Times New Roman" w:cs="Arial"/>
          <w:color w:val="000000"/>
          <w:szCs w:val="20"/>
          <w:lang w:eastAsia="bg-BG"/>
        </w:rPr>
      </w:pPr>
      <w:r w:rsidRPr="009221D8">
        <w:rPr>
          <w:rFonts w:eastAsia="Times New Roman" w:cs="Arial"/>
          <w:color w:val="000000"/>
          <w:szCs w:val="20"/>
          <w:lang w:eastAsia="bg-BG"/>
        </w:rPr>
        <w:t xml:space="preserve">При всяко групиране в зависимост от честотата, нежеланите лекарствени реакции са изброени в низходящ ред по отношение на тяхната сериозност. Честотите се определят като: </w:t>
      </w:r>
    </w:p>
    <w:p w14:paraId="34FB33DC" w14:textId="77777777" w:rsidR="00022FF9" w:rsidRPr="009221D8" w:rsidRDefault="00022FF9" w:rsidP="00022FF9">
      <w:pPr>
        <w:pStyle w:val="ListParagraph"/>
        <w:numPr>
          <w:ilvl w:val="0"/>
          <w:numId w:val="44"/>
        </w:numPr>
        <w:rPr>
          <w:rFonts w:cs="Arial"/>
          <w:sz w:val="24"/>
        </w:rPr>
      </w:pPr>
      <w:r w:rsidRPr="009221D8">
        <w:rPr>
          <w:rFonts w:eastAsia="Times New Roman" w:cs="Arial"/>
          <w:color w:val="000000"/>
          <w:szCs w:val="20"/>
          <w:lang w:eastAsia="bg-BG"/>
        </w:rPr>
        <w:t>чести (≥1/100 до &lt; 1/10)</w:t>
      </w:r>
    </w:p>
    <w:p w14:paraId="0D87D834" w14:textId="77777777" w:rsidR="00022FF9" w:rsidRPr="009221D8" w:rsidRDefault="00022FF9" w:rsidP="00022FF9">
      <w:pPr>
        <w:pStyle w:val="ListParagraph"/>
        <w:numPr>
          <w:ilvl w:val="0"/>
          <w:numId w:val="44"/>
        </w:numPr>
        <w:rPr>
          <w:rFonts w:cs="Arial"/>
          <w:sz w:val="24"/>
        </w:rPr>
      </w:pPr>
      <w:r w:rsidRPr="009221D8">
        <w:rPr>
          <w:rFonts w:eastAsia="Times New Roman" w:cs="Arial"/>
          <w:color w:val="000000"/>
          <w:szCs w:val="20"/>
          <w:lang w:eastAsia="bg-BG"/>
        </w:rPr>
        <w:t xml:space="preserve">нечести (≥1/1 000 до &lt; 1/100) </w:t>
      </w:r>
    </w:p>
    <w:p w14:paraId="0D10F4F4" w14:textId="77777777" w:rsidR="00022FF9" w:rsidRPr="009221D8" w:rsidRDefault="00022FF9" w:rsidP="00022FF9">
      <w:pPr>
        <w:pStyle w:val="ListParagraph"/>
        <w:numPr>
          <w:ilvl w:val="0"/>
          <w:numId w:val="44"/>
        </w:numPr>
        <w:rPr>
          <w:rFonts w:cs="Arial"/>
          <w:sz w:val="24"/>
        </w:rPr>
      </w:pPr>
      <w:r w:rsidRPr="009221D8">
        <w:rPr>
          <w:rFonts w:eastAsia="Times New Roman" w:cs="Arial"/>
          <w:color w:val="000000"/>
          <w:szCs w:val="20"/>
          <w:lang w:eastAsia="bg-BG"/>
        </w:rPr>
        <w:t xml:space="preserve">редки (≥ 1/10 000 до &lt; 1/1 000) </w:t>
      </w:r>
    </w:p>
    <w:p w14:paraId="21B5D3B7" w14:textId="77777777" w:rsidR="00022FF9" w:rsidRPr="009221D8" w:rsidRDefault="00022FF9" w:rsidP="00022FF9">
      <w:pPr>
        <w:pStyle w:val="ListParagraph"/>
        <w:numPr>
          <w:ilvl w:val="0"/>
          <w:numId w:val="44"/>
        </w:numPr>
        <w:rPr>
          <w:rFonts w:cs="Arial"/>
          <w:sz w:val="24"/>
        </w:rPr>
      </w:pPr>
      <w:r w:rsidRPr="009221D8">
        <w:rPr>
          <w:rFonts w:eastAsia="Times New Roman" w:cs="Arial"/>
          <w:color w:val="000000"/>
          <w:szCs w:val="20"/>
          <w:lang w:eastAsia="bg-BG"/>
        </w:rPr>
        <w:t xml:space="preserve">много редки (&lt;1/10 000) </w:t>
      </w:r>
    </w:p>
    <w:p w14:paraId="0254AACC" w14:textId="5E91FD78" w:rsidR="007A2185" w:rsidRPr="009221D8" w:rsidRDefault="00022FF9" w:rsidP="00022FF9">
      <w:pPr>
        <w:pStyle w:val="ListParagraph"/>
        <w:numPr>
          <w:ilvl w:val="0"/>
          <w:numId w:val="44"/>
        </w:numPr>
        <w:rPr>
          <w:rFonts w:cs="Arial"/>
          <w:sz w:val="24"/>
        </w:rPr>
      </w:pPr>
      <w:r w:rsidRPr="009221D8">
        <w:rPr>
          <w:rFonts w:eastAsia="Times New Roman" w:cs="Arial"/>
          <w:color w:val="000000"/>
          <w:szCs w:val="20"/>
          <w:lang w:eastAsia="bg-BG"/>
        </w:rPr>
        <w:t>с неизвестна честота (от наличните данни не може да бъде направена оценка)</w:t>
      </w:r>
    </w:p>
    <w:p w14:paraId="443BC107" w14:textId="5787D544" w:rsidR="005B0F27" w:rsidRDefault="005B0F27" w:rsidP="0091385D"/>
    <w:tbl>
      <w:tblPr>
        <w:tblStyle w:val="TableGrid"/>
        <w:tblW w:w="0" w:type="auto"/>
        <w:tblLook w:val="04A0" w:firstRow="1" w:lastRow="0" w:firstColumn="1" w:lastColumn="0" w:noHBand="0" w:noVBand="1"/>
      </w:tblPr>
      <w:tblGrid>
        <w:gridCol w:w="1606"/>
        <w:gridCol w:w="1535"/>
        <w:gridCol w:w="1560"/>
        <w:gridCol w:w="1659"/>
        <w:gridCol w:w="1543"/>
        <w:gridCol w:w="1447"/>
      </w:tblGrid>
      <w:tr w:rsidR="009221D8" w14:paraId="7ACD8B4D" w14:textId="77777777" w:rsidTr="009221D8">
        <w:tc>
          <w:tcPr>
            <w:tcW w:w="1617" w:type="dxa"/>
          </w:tcPr>
          <w:p w14:paraId="3E8BB90F" w14:textId="1186B827" w:rsidR="009221D8" w:rsidRPr="009221D8" w:rsidRDefault="009221D8" w:rsidP="009221D8">
            <w:pPr>
              <w:rPr>
                <w:rFonts w:cs="Arial"/>
              </w:rPr>
            </w:pPr>
            <w:r w:rsidRPr="009221D8">
              <w:rPr>
                <w:rFonts w:cs="Arial"/>
                <w:b/>
                <w:bCs/>
              </w:rPr>
              <w:t xml:space="preserve">Системо- органен клас </w:t>
            </w:r>
            <w:r w:rsidRPr="009221D8">
              <w:rPr>
                <w:rFonts w:cs="Arial"/>
                <w:b/>
                <w:bCs/>
                <w:lang w:val="en-US"/>
              </w:rPr>
              <w:t>(</w:t>
            </w:r>
            <w:proofErr w:type="spellStart"/>
            <w:r w:rsidRPr="009221D8">
              <w:rPr>
                <w:rFonts w:cs="Arial"/>
                <w:b/>
                <w:bCs/>
                <w:lang w:val="en-US"/>
              </w:rPr>
              <w:t>MedDRA</w:t>
            </w:r>
            <w:proofErr w:type="spellEnd"/>
            <w:r w:rsidRPr="009221D8">
              <w:rPr>
                <w:rFonts w:cs="Arial"/>
                <w:b/>
                <w:bCs/>
                <w:lang w:val="en-US"/>
              </w:rPr>
              <w:t>)</w:t>
            </w:r>
          </w:p>
        </w:tc>
        <w:tc>
          <w:tcPr>
            <w:tcW w:w="1545" w:type="dxa"/>
          </w:tcPr>
          <w:p w14:paraId="114754BC" w14:textId="785371E1" w:rsidR="009221D8" w:rsidRPr="009221D8" w:rsidRDefault="009221D8" w:rsidP="009221D8">
            <w:pPr>
              <w:rPr>
                <w:rFonts w:cs="Arial"/>
              </w:rPr>
            </w:pPr>
            <w:r w:rsidRPr="009221D8">
              <w:rPr>
                <w:rFonts w:cs="Arial"/>
                <w:b/>
                <w:bCs/>
              </w:rPr>
              <w:t>Чести</w:t>
            </w:r>
          </w:p>
        </w:tc>
        <w:tc>
          <w:tcPr>
            <w:tcW w:w="1512" w:type="dxa"/>
          </w:tcPr>
          <w:p w14:paraId="788A736E" w14:textId="3444AA0B" w:rsidR="009221D8" w:rsidRPr="009221D8" w:rsidRDefault="009221D8" w:rsidP="009221D8">
            <w:pPr>
              <w:rPr>
                <w:rFonts w:cs="Arial"/>
              </w:rPr>
            </w:pPr>
            <w:r w:rsidRPr="009221D8">
              <w:rPr>
                <w:rFonts w:cs="Arial"/>
                <w:b/>
                <w:bCs/>
              </w:rPr>
              <w:t>Нечестн</w:t>
            </w:r>
          </w:p>
        </w:tc>
        <w:tc>
          <w:tcPr>
            <w:tcW w:w="1669" w:type="dxa"/>
          </w:tcPr>
          <w:p w14:paraId="727B3992" w14:textId="493C31A6" w:rsidR="009221D8" w:rsidRPr="009221D8" w:rsidRDefault="009221D8" w:rsidP="009221D8">
            <w:pPr>
              <w:rPr>
                <w:rFonts w:cs="Arial"/>
              </w:rPr>
            </w:pPr>
            <w:r w:rsidRPr="009221D8">
              <w:rPr>
                <w:rFonts w:cs="Arial"/>
                <w:b/>
                <w:bCs/>
              </w:rPr>
              <w:t>Редки</w:t>
            </w:r>
          </w:p>
        </w:tc>
        <w:tc>
          <w:tcPr>
            <w:tcW w:w="1552" w:type="dxa"/>
          </w:tcPr>
          <w:p w14:paraId="7C5C848E" w14:textId="25499C5A" w:rsidR="009221D8" w:rsidRPr="009221D8" w:rsidRDefault="009221D8" w:rsidP="009221D8">
            <w:pPr>
              <w:rPr>
                <w:rFonts w:cs="Arial"/>
              </w:rPr>
            </w:pPr>
            <w:r w:rsidRPr="009221D8">
              <w:rPr>
                <w:rFonts w:cs="Arial"/>
                <w:b/>
                <w:bCs/>
              </w:rPr>
              <w:t>Много редки</w:t>
            </w:r>
          </w:p>
        </w:tc>
        <w:tc>
          <w:tcPr>
            <w:tcW w:w="1455" w:type="dxa"/>
          </w:tcPr>
          <w:p w14:paraId="045638CC" w14:textId="13FFE384" w:rsidR="009221D8" w:rsidRPr="009221D8" w:rsidRDefault="009221D8" w:rsidP="009221D8">
            <w:pPr>
              <w:rPr>
                <w:rFonts w:cs="Arial"/>
              </w:rPr>
            </w:pPr>
            <w:r w:rsidRPr="009221D8">
              <w:rPr>
                <w:rFonts w:cs="Arial"/>
                <w:b/>
                <w:bCs/>
              </w:rPr>
              <w:t>С неизвестна честота</w:t>
            </w:r>
          </w:p>
        </w:tc>
      </w:tr>
      <w:tr w:rsidR="009221D8" w14:paraId="3DE3B9B1" w14:textId="77777777" w:rsidTr="009221D8">
        <w:tc>
          <w:tcPr>
            <w:tcW w:w="1617" w:type="dxa"/>
          </w:tcPr>
          <w:p w14:paraId="3A65F4B8" w14:textId="5AC808FB" w:rsidR="009221D8" w:rsidRPr="009221D8" w:rsidRDefault="009221D8" w:rsidP="009221D8">
            <w:pPr>
              <w:rPr>
                <w:rFonts w:cs="Arial"/>
              </w:rPr>
            </w:pPr>
            <w:r w:rsidRPr="009221D8">
              <w:rPr>
                <w:rFonts w:cs="Arial"/>
                <w:b/>
                <w:bCs/>
              </w:rPr>
              <w:t>Инфекции и инфестацни</w:t>
            </w:r>
          </w:p>
        </w:tc>
        <w:tc>
          <w:tcPr>
            <w:tcW w:w="1545" w:type="dxa"/>
            <w:vAlign w:val="bottom"/>
          </w:tcPr>
          <w:p w14:paraId="746A1879" w14:textId="470D70B5" w:rsidR="009221D8" w:rsidRPr="009221D8" w:rsidRDefault="009221D8" w:rsidP="009221D8">
            <w:pPr>
              <w:rPr>
                <w:rFonts w:cs="Arial"/>
              </w:rPr>
            </w:pPr>
            <w:r w:rsidRPr="009221D8">
              <w:rPr>
                <w:rFonts w:cs="Arial"/>
              </w:rPr>
              <w:t>Супер- инфекции, дължащи се на резистентни бактерии или гъбички, напр. орална и вагинална кандидоза</w:t>
            </w:r>
          </w:p>
        </w:tc>
        <w:tc>
          <w:tcPr>
            <w:tcW w:w="1512" w:type="dxa"/>
          </w:tcPr>
          <w:p w14:paraId="2539CDCC" w14:textId="77777777" w:rsidR="009221D8" w:rsidRPr="009221D8" w:rsidRDefault="009221D8" w:rsidP="009221D8">
            <w:pPr>
              <w:rPr>
                <w:rFonts w:cs="Arial"/>
              </w:rPr>
            </w:pPr>
          </w:p>
        </w:tc>
        <w:tc>
          <w:tcPr>
            <w:tcW w:w="1669" w:type="dxa"/>
          </w:tcPr>
          <w:p w14:paraId="3598DE0E" w14:textId="77777777" w:rsidR="009221D8" w:rsidRPr="009221D8" w:rsidRDefault="009221D8" w:rsidP="009221D8">
            <w:pPr>
              <w:rPr>
                <w:rFonts w:cs="Arial"/>
              </w:rPr>
            </w:pPr>
          </w:p>
        </w:tc>
        <w:tc>
          <w:tcPr>
            <w:tcW w:w="1552" w:type="dxa"/>
          </w:tcPr>
          <w:p w14:paraId="448B9BD9" w14:textId="77777777" w:rsidR="009221D8" w:rsidRPr="009221D8" w:rsidRDefault="009221D8" w:rsidP="009221D8">
            <w:pPr>
              <w:rPr>
                <w:rFonts w:cs="Arial"/>
              </w:rPr>
            </w:pPr>
          </w:p>
        </w:tc>
        <w:tc>
          <w:tcPr>
            <w:tcW w:w="1455" w:type="dxa"/>
          </w:tcPr>
          <w:p w14:paraId="3AE6A8BA" w14:textId="77777777" w:rsidR="009221D8" w:rsidRPr="009221D8" w:rsidRDefault="009221D8" w:rsidP="009221D8">
            <w:pPr>
              <w:rPr>
                <w:rFonts w:cs="Arial"/>
              </w:rPr>
            </w:pPr>
          </w:p>
        </w:tc>
      </w:tr>
      <w:tr w:rsidR="009221D8" w14:paraId="087FDEF1" w14:textId="77777777" w:rsidTr="009221D8">
        <w:tc>
          <w:tcPr>
            <w:tcW w:w="1617" w:type="dxa"/>
          </w:tcPr>
          <w:p w14:paraId="64579823" w14:textId="69A99C54" w:rsidR="009221D8" w:rsidRPr="009221D8" w:rsidRDefault="009221D8" w:rsidP="009221D8">
            <w:pPr>
              <w:rPr>
                <w:rFonts w:cs="Arial"/>
              </w:rPr>
            </w:pPr>
            <w:r w:rsidRPr="009221D8">
              <w:rPr>
                <w:rFonts w:cs="Arial"/>
                <w:b/>
                <w:bCs/>
              </w:rPr>
              <w:t>Нарушения на кръвта и лимфната система</w:t>
            </w:r>
          </w:p>
        </w:tc>
        <w:tc>
          <w:tcPr>
            <w:tcW w:w="1545" w:type="dxa"/>
          </w:tcPr>
          <w:p w14:paraId="0F745295" w14:textId="77777777" w:rsidR="009221D8" w:rsidRPr="009221D8" w:rsidRDefault="009221D8" w:rsidP="009221D8">
            <w:pPr>
              <w:rPr>
                <w:rFonts w:cs="Arial"/>
              </w:rPr>
            </w:pPr>
          </w:p>
        </w:tc>
        <w:tc>
          <w:tcPr>
            <w:tcW w:w="1512" w:type="dxa"/>
            <w:vAlign w:val="bottom"/>
          </w:tcPr>
          <w:p w14:paraId="2ADF34C8" w14:textId="77777777" w:rsidR="009221D8" w:rsidRPr="009221D8" w:rsidRDefault="009221D8" w:rsidP="009221D8">
            <w:pPr>
              <w:rPr>
                <w:rFonts w:cs="Arial"/>
              </w:rPr>
            </w:pPr>
            <w:r w:rsidRPr="009221D8">
              <w:rPr>
                <w:rFonts w:cs="Arial"/>
              </w:rPr>
              <w:t xml:space="preserve">Анемия Левкопения(и) </w:t>
            </w:r>
            <w:r w:rsidRPr="009221D8">
              <w:rPr>
                <w:rFonts w:cs="Arial"/>
                <w:i/>
                <w:iCs/>
              </w:rPr>
              <w:t xml:space="preserve">Неутропения </w:t>
            </w:r>
            <w:r w:rsidRPr="009221D8">
              <w:rPr>
                <w:rFonts w:cs="Arial"/>
              </w:rPr>
              <w:t>Тромбоцитопе ния Тромбоцитеми я</w:t>
            </w:r>
          </w:p>
          <w:p w14:paraId="7C90C5C3" w14:textId="4FF8B692" w:rsidR="009221D8" w:rsidRPr="009221D8" w:rsidRDefault="009221D8" w:rsidP="009221D8">
            <w:pPr>
              <w:rPr>
                <w:rFonts w:cs="Arial"/>
              </w:rPr>
            </w:pPr>
            <w:r w:rsidRPr="009221D8">
              <w:rPr>
                <w:rFonts w:cs="Arial"/>
              </w:rPr>
              <w:t xml:space="preserve">Кръвна еозинофилия Удължено протромбиново </w:t>
            </w:r>
            <w:r w:rsidRPr="009221D8">
              <w:rPr>
                <w:rFonts w:cs="Arial"/>
              </w:rPr>
              <w:lastRenderedPageBreak/>
              <w:t xml:space="preserve">време/увеличен 0 </w:t>
            </w:r>
            <w:r w:rsidRPr="009221D8">
              <w:rPr>
                <w:rFonts w:cs="Arial"/>
                <w:lang w:val="en-US"/>
              </w:rPr>
              <w:t>INR</w:t>
            </w:r>
          </w:p>
        </w:tc>
        <w:tc>
          <w:tcPr>
            <w:tcW w:w="1669" w:type="dxa"/>
          </w:tcPr>
          <w:p w14:paraId="58FFCD6A" w14:textId="77777777" w:rsidR="009221D8" w:rsidRPr="009221D8" w:rsidRDefault="009221D8" w:rsidP="009221D8">
            <w:pPr>
              <w:rPr>
                <w:rFonts w:cs="Arial"/>
              </w:rPr>
            </w:pPr>
          </w:p>
        </w:tc>
        <w:tc>
          <w:tcPr>
            <w:tcW w:w="1552" w:type="dxa"/>
          </w:tcPr>
          <w:p w14:paraId="687833D9" w14:textId="1380D7AF" w:rsidR="009221D8" w:rsidRPr="009221D8" w:rsidRDefault="009221D8" w:rsidP="009221D8">
            <w:pPr>
              <w:rPr>
                <w:rFonts w:cs="Arial"/>
              </w:rPr>
            </w:pPr>
            <w:r w:rsidRPr="009221D8">
              <w:rPr>
                <w:rFonts w:cs="Arial"/>
              </w:rPr>
              <w:t xml:space="preserve">Увеличено ниво на протромбин/на малено </w:t>
            </w:r>
            <w:r w:rsidRPr="009221D8">
              <w:rPr>
                <w:rFonts w:cs="Arial"/>
                <w:lang w:val="en-US"/>
              </w:rPr>
              <w:t xml:space="preserve">INR </w:t>
            </w:r>
            <w:r w:rsidRPr="009221D8">
              <w:rPr>
                <w:rFonts w:cs="Arial"/>
              </w:rPr>
              <w:t>Агранулоцито- за Панцитопения</w:t>
            </w:r>
          </w:p>
        </w:tc>
        <w:tc>
          <w:tcPr>
            <w:tcW w:w="1455" w:type="dxa"/>
          </w:tcPr>
          <w:p w14:paraId="6669EB97" w14:textId="77777777" w:rsidR="009221D8" w:rsidRPr="009221D8" w:rsidRDefault="009221D8" w:rsidP="009221D8">
            <w:pPr>
              <w:rPr>
                <w:rFonts w:cs="Arial"/>
              </w:rPr>
            </w:pPr>
          </w:p>
        </w:tc>
      </w:tr>
      <w:tr w:rsidR="009221D8" w14:paraId="687CE007" w14:textId="77777777" w:rsidTr="009221D8">
        <w:tc>
          <w:tcPr>
            <w:tcW w:w="1617" w:type="dxa"/>
          </w:tcPr>
          <w:p w14:paraId="2C988A49" w14:textId="50DF037B" w:rsidR="009221D8" w:rsidRPr="009221D8" w:rsidRDefault="009221D8" w:rsidP="009221D8">
            <w:pPr>
              <w:rPr>
                <w:rFonts w:cs="Arial"/>
              </w:rPr>
            </w:pPr>
            <w:r w:rsidRPr="009221D8">
              <w:rPr>
                <w:rFonts w:cs="Arial"/>
                <w:b/>
                <w:bCs/>
              </w:rPr>
              <w:t>Нарушения на имунната система</w:t>
            </w:r>
          </w:p>
        </w:tc>
        <w:tc>
          <w:tcPr>
            <w:tcW w:w="1545" w:type="dxa"/>
          </w:tcPr>
          <w:p w14:paraId="72FDD7FA" w14:textId="77777777" w:rsidR="009221D8" w:rsidRPr="009221D8" w:rsidRDefault="009221D8" w:rsidP="009221D8">
            <w:pPr>
              <w:rPr>
                <w:rFonts w:cs="Arial"/>
              </w:rPr>
            </w:pPr>
          </w:p>
        </w:tc>
        <w:tc>
          <w:tcPr>
            <w:tcW w:w="1512" w:type="dxa"/>
          </w:tcPr>
          <w:p w14:paraId="0F537A46" w14:textId="16955449" w:rsidR="009221D8" w:rsidRPr="009221D8" w:rsidRDefault="009221D8" w:rsidP="009221D8">
            <w:pPr>
              <w:rPr>
                <w:rFonts w:cs="Arial"/>
              </w:rPr>
            </w:pPr>
            <w:r w:rsidRPr="009221D8">
              <w:rPr>
                <w:rFonts w:cs="Arial"/>
              </w:rPr>
              <w:t>Алергични реакции (вж. точка 4.4)</w:t>
            </w:r>
          </w:p>
        </w:tc>
        <w:tc>
          <w:tcPr>
            <w:tcW w:w="1669" w:type="dxa"/>
            <w:vAlign w:val="bottom"/>
          </w:tcPr>
          <w:p w14:paraId="79CF3CBF" w14:textId="77777777" w:rsidR="009221D8" w:rsidRPr="009221D8" w:rsidRDefault="009221D8" w:rsidP="009221D8">
            <w:pPr>
              <w:rPr>
                <w:rFonts w:cs="Arial"/>
              </w:rPr>
            </w:pPr>
            <w:r w:rsidRPr="009221D8">
              <w:rPr>
                <w:rFonts w:cs="Arial"/>
              </w:rPr>
              <w:t>Анафилаксия, вкл. много рядко животозастра- шаващ шок (вж. точка 4.4)</w:t>
            </w:r>
          </w:p>
          <w:p w14:paraId="10868B00" w14:textId="1E5A6F7D" w:rsidR="009221D8" w:rsidRPr="009221D8" w:rsidRDefault="009221D8" w:rsidP="009221D8">
            <w:pPr>
              <w:rPr>
                <w:rFonts w:cs="Arial"/>
              </w:rPr>
            </w:pPr>
            <w:r w:rsidRPr="009221D8">
              <w:rPr>
                <w:rFonts w:cs="Arial"/>
              </w:rPr>
              <w:t>Алергичен едем/ ангиоедем (вкл. ларингеален оток, потенциално животозастра- шаващ, вж. точка 4.4)</w:t>
            </w:r>
          </w:p>
        </w:tc>
        <w:tc>
          <w:tcPr>
            <w:tcW w:w="1552" w:type="dxa"/>
          </w:tcPr>
          <w:p w14:paraId="148F41FD" w14:textId="77777777" w:rsidR="009221D8" w:rsidRPr="009221D8" w:rsidRDefault="009221D8" w:rsidP="009221D8">
            <w:pPr>
              <w:rPr>
                <w:rFonts w:cs="Arial"/>
              </w:rPr>
            </w:pPr>
          </w:p>
        </w:tc>
        <w:tc>
          <w:tcPr>
            <w:tcW w:w="1455" w:type="dxa"/>
          </w:tcPr>
          <w:p w14:paraId="56E34938" w14:textId="77777777" w:rsidR="009221D8" w:rsidRPr="009221D8" w:rsidRDefault="009221D8" w:rsidP="009221D8">
            <w:pPr>
              <w:rPr>
                <w:rFonts w:cs="Arial"/>
              </w:rPr>
            </w:pPr>
          </w:p>
        </w:tc>
      </w:tr>
      <w:tr w:rsidR="00022FF9" w14:paraId="6D7DA086" w14:textId="77777777" w:rsidTr="009221D8">
        <w:tc>
          <w:tcPr>
            <w:tcW w:w="1617" w:type="dxa"/>
          </w:tcPr>
          <w:p w14:paraId="19AB61F5" w14:textId="615B5DDD" w:rsidR="00022FF9" w:rsidRPr="009221D8" w:rsidRDefault="00022FF9" w:rsidP="00022FF9">
            <w:pPr>
              <w:rPr>
                <w:rFonts w:cs="Arial"/>
              </w:rPr>
            </w:pPr>
            <w:r w:rsidRPr="009221D8">
              <w:rPr>
                <w:rFonts w:cs="Arial"/>
                <w:b/>
                <w:bCs/>
              </w:rPr>
              <w:t>Нарушения на ендокринната система</w:t>
            </w:r>
          </w:p>
        </w:tc>
        <w:tc>
          <w:tcPr>
            <w:tcW w:w="1545" w:type="dxa"/>
          </w:tcPr>
          <w:p w14:paraId="5ED9BFAE" w14:textId="77777777" w:rsidR="00022FF9" w:rsidRPr="009221D8" w:rsidRDefault="00022FF9" w:rsidP="00022FF9">
            <w:pPr>
              <w:rPr>
                <w:rFonts w:cs="Arial"/>
              </w:rPr>
            </w:pPr>
          </w:p>
        </w:tc>
        <w:tc>
          <w:tcPr>
            <w:tcW w:w="1512" w:type="dxa"/>
          </w:tcPr>
          <w:p w14:paraId="629B6195" w14:textId="77777777" w:rsidR="00022FF9" w:rsidRPr="009221D8" w:rsidRDefault="00022FF9" w:rsidP="00022FF9">
            <w:pPr>
              <w:rPr>
                <w:rFonts w:cs="Arial"/>
              </w:rPr>
            </w:pPr>
          </w:p>
        </w:tc>
        <w:tc>
          <w:tcPr>
            <w:tcW w:w="1669" w:type="dxa"/>
          </w:tcPr>
          <w:p w14:paraId="7DFB7621" w14:textId="77777777" w:rsidR="00022FF9" w:rsidRPr="009221D8" w:rsidRDefault="00022FF9" w:rsidP="00022FF9">
            <w:pPr>
              <w:rPr>
                <w:rFonts w:cs="Arial"/>
              </w:rPr>
            </w:pPr>
          </w:p>
        </w:tc>
        <w:tc>
          <w:tcPr>
            <w:tcW w:w="1552" w:type="dxa"/>
            <w:vAlign w:val="bottom"/>
          </w:tcPr>
          <w:p w14:paraId="32EFCA7F" w14:textId="092CCE9D" w:rsidR="00022FF9" w:rsidRPr="009221D8" w:rsidRDefault="00022FF9" w:rsidP="00022FF9">
            <w:pPr>
              <w:rPr>
                <w:rFonts w:cs="Arial"/>
              </w:rPr>
            </w:pPr>
            <w:r w:rsidRPr="009221D8">
              <w:rPr>
                <w:rFonts w:cs="Arial"/>
              </w:rPr>
              <w:t xml:space="preserve">Синдром на неадекватна секреция на антидиуретичн ия хормон </w:t>
            </w:r>
            <w:r w:rsidRPr="009221D8">
              <w:rPr>
                <w:rFonts w:cs="Arial"/>
                <w:lang w:val="en-US"/>
              </w:rPr>
              <w:t>(SIADH)</w:t>
            </w:r>
          </w:p>
        </w:tc>
        <w:tc>
          <w:tcPr>
            <w:tcW w:w="1455" w:type="dxa"/>
          </w:tcPr>
          <w:p w14:paraId="34384361" w14:textId="77777777" w:rsidR="00022FF9" w:rsidRPr="009221D8" w:rsidRDefault="00022FF9" w:rsidP="00022FF9">
            <w:pPr>
              <w:rPr>
                <w:rFonts w:cs="Arial"/>
              </w:rPr>
            </w:pPr>
          </w:p>
        </w:tc>
      </w:tr>
      <w:tr w:rsidR="00022FF9" w14:paraId="2C31892D" w14:textId="77777777" w:rsidTr="009221D8">
        <w:tc>
          <w:tcPr>
            <w:tcW w:w="1617" w:type="dxa"/>
          </w:tcPr>
          <w:p w14:paraId="07842F0B" w14:textId="16FF2305" w:rsidR="00022FF9" w:rsidRPr="009221D8" w:rsidRDefault="00022FF9" w:rsidP="00022FF9">
            <w:pPr>
              <w:rPr>
                <w:rFonts w:cs="Arial"/>
              </w:rPr>
            </w:pPr>
            <w:r w:rsidRPr="009221D8">
              <w:rPr>
                <w:rFonts w:cs="Arial"/>
                <w:b/>
                <w:bCs/>
              </w:rPr>
              <w:t>Нарушения на метаболизма и храненето</w:t>
            </w:r>
          </w:p>
        </w:tc>
        <w:tc>
          <w:tcPr>
            <w:tcW w:w="1545" w:type="dxa"/>
          </w:tcPr>
          <w:p w14:paraId="750D5DEF" w14:textId="77777777" w:rsidR="00022FF9" w:rsidRPr="009221D8" w:rsidRDefault="00022FF9" w:rsidP="00022FF9">
            <w:pPr>
              <w:rPr>
                <w:rFonts w:cs="Arial"/>
              </w:rPr>
            </w:pPr>
          </w:p>
        </w:tc>
        <w:tc>
          <w:tcPr>
            <w:tcW w:w="1512" w:type="dxa"/>
          </w:tcPr>
          <w:p w14:paraId="1CD988B8" w14:textId="54EF4351" w:rsidR="00022FF9" w:rsidRPr="009221D8" w:rsidRDefault="00022FF9" w:rsidP="00022FF9">
            <w:pPr>
              <w:rPr>
                <w:rFonts w:cs="Arial"/>
              </w:rPr>
            </w:pPr>
            <w:r w:rsidRPr="009221D8">
              <w:rPr>
                <w:rFonts w:cs="Arial"/>
              </w:rPr>
              <w:t>Хиперлипиде- мия</w:t>
            </w:r>
          </w:p>
        </w:tc>
        <w:tc>
          <w:tcPr>
            <w:tcW w:w="1669" w:type="dxa"/>
          </w:tcPr>
          <w:p w14:paraId="605ECE16" w14:textId="79F665B8" w:rsidR="00022FF9" w:rsidRPr="009221D8" w:rsidRDefault="00022FF9" w:rsidP="00022FF9">
            <w:pPr>
              <w:rPr>
                <w:rFonts w:cs="Arial"/>
              </w:rPr>
            </w:pPr>
            <w:r w:rsidRPr="009221D8">
              <w:rPr>
                <w:rFonts w:cs="Arial"/>
              </w:rPr>
              <w:t>Хипергликемия Хиперурикемия</w:t>
            </w:r>
          </w:p>
        </w:tc>
        <w:tc>
          <w:tcPr>
            <w:tcW w:w="1552" w:type="dxa"/>
          </w:tcPr>
          <w:p w14:paraId="30151AA1" w14:textId="7CA9483D" w:rsidR="00022FF9" w:rsidRPr="009221D8" w:rsidRDefault="00022FF9" w:rsidP="00022FF9">
            <w:pPr>
              <w:rPr>
                <w:rFonts w:cs="Arial"/>
              </w:rPr>
            </w:pPr>
            <w:r w:rsidRPr="009221D8">
              <w:rPr>
                <w:rFonts w:cs="Arial"/>
              </w:rPr>
              <w:t>Хипогликемия Хипогликемич- на кома</w:t>
            </w:r>
          </w:p>
        </w:tc>
        <w:tc>
          <w:tcPr>
            <w:tcW w:w="1455" w:type="dxa"/>
          </w:tcPr>
          <w:p w14:paraId="34AB56E6" w14:textId="77777777" w:rsidR="00022FF9" w:rsidRPr="009221D8" w:rsidRDefault="00022FF9" w:rsidP="00022FF9">
            <w:pPr>
              <w:rPr>
                <w:rFonts w:cs="Arial"/>
              </w:rPr>
            </w:pPr>
          </w:p>
        </w:tc>
      </w:tr>
      <w:tr w:rsidR="00022FF9" w14:paraId="4EAC0B13" w14:textId="77777777" w:rsidTr="009221D8">
        <w:tc>
          <w:tcPr>
            <w:tcW w:w="1617" w:type="dxa"/>
          </w:tcPr>
          <w:p w14:paraId="0368521A" w14:textId="05454ADE" w:rsidR="00022FF9" w:rsidRPr="009221D8" w:rsidRDefault="00022FF9" w:rsidP="00022FF9">
            <w:pPr>
              <w:rPr>
                <w:rFonts w:cs="Arial"/>
              </w:rPr>
            </w:pPr>
            <w:r w:rsidRPr="009221D8">
              <w:rPr>
                <w:rFonts w:cs="Arial"/>
                <w:b/>
                <w:bCs/>
              </w:rPr>
              <w:t>Психични Нарушения*</w:t>
            </w:r>
          </w:p>
        </w:tc>
        <w:tc>
          <w:tcPr>
            <w:tcW w:w="1545" w:type="dxa"/>
          </w:tcPr>
          <w:p w14:paraId="54225F40" w14:textId="77777777" w:rsidR="00022FF9" w:rsidRPr="009221D8" w:rsidRDefault="00022FF9" w:rsidP="00022FF9">
            <w:pPr>
              <w:rPr>
                <w:rFonts w:cs="Arial"/>
              </w:rPr>
            </w:pPr>
          </w:p>
        </w:tc>
        <w:tc>
          <w:tcPr>
            <w:tcW w:w="1512" w:type="dxa"/>
          </w:tcPr>
          <w:p w14:paraId="45ACEFBE" w14:textId="4E55E01E" w:rsidR="00022FF9" w:rsidRPr="009221D8" w:rsidRDefault="00022FF9" w:rsidP="00022FF9">
            <w:pPr>
              <w:rPr>
                <w:rFonts w:cs="Arial"/>
              </w:rPr>
            </w:pPr>
            <w:r w:rsidRPr="009221D8">
              <w:rPr>
                <w:rFonts w:cs="Arial"/>
              </w:rPr>
              <w:t>Реакции на тревожност Психомоторна Хиперактивн- ост/ възбуда</w:t>
            </w:r>
          </w:p>
        </w:tc>
        <w:tc>
          <w:tcPr>
            <w:tcW w:w="1669" w:type="dxa"/>
            <w:vAlign w:val="bottom"/>
          </w:tcPr>
          <w:p w14:paraId="16762F88" w14:textId="4F83C4F3" w:rsidR="00022FF9" w:rsidRPr="009221D8" w:rsidRDefault="00022FF9" w:rsidP="00022FF9">
            <w:pPr>
              <w:rPr>
                <w:rFonts w:cs="Arial"/>
              </w:rPr>
            </w:pPr>
            <w:r w:rsidRPr="009221D8">
              <w:rPr>
                <w:rFonts w:cs="Arial"/>
              </w:rPr>
              <w:t xml:space="preserve">Емоционална лабилност Депресия (в много редки случаи потенциално завършваща със самонараняващо поведение като суицидни идеации/мисли или опити за </w:t>
            </w:r>
            <w:r w:rsidRPr="009221D8">
              <w:rPr>
                <w:rFonts w:cs="Arial"/>
              </w:rPr>
              <w:lastRenderedPageBreak/>
              <w:t>самоубийство, вж. точка 4.4) Халюцинации Делириум</w:t>
            </w:r>
          </w:p>
        </w:tc>
        <w:tc>
          <w:tcPr>
            <w:tcW w:w="1552" w:type="dxa"/>
          </w:tcPr>
          <w:p w14:paraId="4F0A3046" w14:textId="0D278741" w:rsidR="00022FF9" w:rsidRPr="009221D8" w:rsidRDefault="00022FF9" w:rsidP="00022FF9">
            <w:pPr>
              <w:rPr>
                <w:rFonts w:cs="Arial"/>
              </w:rPr>
            </w:pPr>
            <w:r w:rsidRPr="009221D8">
              <w:rPr>
                <w:rFonts w:cs="Arial"/>
              </w:rPr>
              <w:lastRenderedPageBreak/>
              <w:t xml:space="preserve">Деперсонализа ция Психотични реакции (потенциално завършващи </w:t>
            </w:r>
            <w:r w:rsidRPr="009221D8">
              <w:rPr>
                <w:rFonts w:cs="Arial"/>
                <w:i/>
                <w:iCs/>
              </w:rPr>
              <w:t xml:space="preserve">със </w:t>
            </w:r>
            <w:r w:rsidRPr="009221D8">
              <w:rPr>
                <w:rFonts w:cs="Arial"/>
              </w:rPr>
              <w:t>самонаранява</w:t>
            </w:r>
            <w:r w:rsidRPr="009221D8">
              <w:rPr>
                <w:rFonts w:cs="Arial"/>
              </w:rPr>
              <w:softHyphen/>
              <w:t xml:space="preserve">що поведение като суицидни идеации/мисли или опити за </w:t>
            </w:r>
            <w:r w:rsidRPr="009221D8">
              <w:rPr>
                <w:rFonts w:cs="Arial"/>
              </w:rPr>
              <w:lastRenderedPageBreak/>
              <w:t>самоубийство, вж. точка 4.4)</w:t>
            </w:r>
          </w:p>
        </w:tc>
        <w:tc>
          <w:tcPr>
            <w:tcW w:w="1455" w:type="dxa"/>
          </w:tcPr>
          <w:p w14:paraId="54EACC4A" w14:textId="77777777" w:rsidR="00022FF9" w:rsidRPr="009221D8" w:rsidRDefault="00022FF9" w:rsidP="00022FF9">
            <w:pPr>
              <w:rPr>
                <w:rFonts w:cs="Arial"/>
              </w:rPr>
            </w:pPr>
          </w:p>
        </w:tc>
      </w:tr>
      <w:tr w:rsidR="009221D8" w14:paraId="70217358" w14:textId="77777777" w:rsidTr="009221D8">
        <w:trPr>
          <w:trHeight w:val="6623"/>
        </w:trPr>
        <w:tc>
          <w:tcPr>
            <w:tcW w:w="1617" w:type="dxa"/>
          </w:tcPr>
          <w:p w14:paraId="3931A9BA" w14:textId="407C8E72" w:rsidR="009221D8" w:rsidRPr="009221D8" w:rsidRDefault="009221D8" w:rsidP="00022FF9">
            <w:pPr>
              <w:rPr>
                <w:rFonts w:cs="Arial"/>
              </w:rPr>
            </w:pPr>
            <w:r w:rsidRPr="009221D8">
              <w:rPr>
                <w:rFonts w:cs="Arial"/>
                <w:b/>
                <w:bCs/>
              </w:rPr>
              <w:t>Нарушения на нервната система *</w:t>
            </w:r>
          </w:p>
        </w:tc>
        <w:tc>
          <w:tcPr>
            <w:tcW w:w="1545" w:type="dxa"/>
          </w:tcPr>
          <w:p w14:paraId="05719059" w14:textId="77777777" w:rsidR="009221D8" w:rsidRPr="009221D8" w:rsidRDefault="009221D8" w:rsidP="00022FF9">
            <w:pPr>
              <w:rPr>
                <w:rFonts w:cs="Arial"/>
              </w:rPr>
            </w:pPr>
            <w:r w:rsidRPr="009221D8">
              <w:rPr>
                <w:rFonts w:cs="Arial"/>
              </w:rPr>
              <w:t>Главоболие</w:t>
            </w:r>
          </w:p>
          <w:p w14:paraId="41490589" w14:textId="70BB4D24" w:rsidR="009221D8" w:rsidRPr="009221D8" w:rsidRDefault="009221D8" w:rsidP="00022FF9">
            <w:pPr>
              <w:rPr>
                <w:rFonts w:cs="Arial"/>
              </w:rPr>
            </w:pPr>
            <w:r w:rsidRPr="009221D8">
              <w:rPr>
                <w:rFonts w:cs="Arial"/>
              </w:rPr>
              <w:t>Виене на свят</w:t>
            </w:r>
          </w:p>
        </w:tc>
        <w:tc>
          <w:tcPr>
            <w:tcW w:w="1512" w:type="dxa"/>
          </w:tcPr>
          <w:p w14:paraId="29661EC1" w14:textId="5C8B61BA" w:rsidR="009221D8" w:rsidRPr="009221D8" w:rsidRDefault="009221D8" w:rsidP="00022FF9">
            <w:pPr>
              <w:rPr>
                <w:rFonts w:cs="Arial"/>
              </w:rPr>
            </w:pPr>
            <w:r w:rsidRPr="009221D8">
              <w:rPr>
                <w:rFonts w:cs="Arial"/>
              </w:rPr>
              <w:t>Пар- и дизестезия Нарушения на вкуса (вкл. агеузия в много редки случаи) Объркване и дезориентация Нарушения на съня (главно безсъние) Тремор Световъртеж Сънливост</w:t>
            </w:r>
          </w:p>
        </w:tc>
        <w:tc>
          <w:tcPr>
            <w:tcW w:w="1669" w:type="dxa"/>
            <w:vAlign w:val="bottom"/>
          </w:tcPr>
          <w:p w14:paraId="5006E1F2" w14:textId="77777777" w:rsidR="009221D8" w:rsidRPr="009221D8" w:rsidRDefault="009221D8" w:rsidP="00022FF9">
            <w:pPr>
              <w:rPr>
                <w:rFonts w:cs="Arial"/>
              </w:rPr>
            </w:pPr>
            <w:r w:rsidRPr="009221D8">
              <w:rPr>
                <w:rFonts w:cs="Arial"/>
              </w:rPr>
              <w:t>Хипоестезия Нарушения на обонянието (вкл. аносмия) Патологични сънища Нарушена координация (вкл. нарушения на походката, особено поради замаяност или световъртеж) Припадъци вкл. гранд мал (вж. точка 4.4) Нарушено</w:t>
            </w:r>
          </w:p>
          <w:p w14:paraId="4DB69E9D" w14:textId="3316E16C" w:rsidR="009221D8" w:rsidRPr="009221D8" w:rsidRDefault="009221D8" w:rsidP="00022FF9">
            <w:pPr>
              <w:rPr>
                <w:rFonts w:cs="Arial"/>
              </w:rPr>
            </w:pPr>
            <w:r w:rsidRPr="009221D8">
              <w:rPr>
                <w:rFonts w:cs="Arial"/>
              </w:rPr>
              <w:t>внимание Нарушения на говора Амнезия Периферна невропатия и полиневропатия</w:t>
            </w:r>
          </w:p>
        </w:tc>
        <w:tc>
          <w:tcPr>
            <w:tcW w:w="1552" w:type="dxa"/>
          </w:tcPr>
          <w:p w14:paraId="71EFD854" w14:textId="743EA23E" w:rsidR="009221D8" w:rsidRPr="009221D8" w:rsidRDefault="009221D8" w:rsidP="00022FF9">
            <w:pPr>
              <w:rPr>
                <w:rFonts w:cs="Arial"/>
              </w:rPr>
            </w:pPr>
            <w:r w:rsidRPr="009221D8">
              <w:rPr>
                <w:rFonts w:cs="Arial"/>
              </w:rPr>
              <w:t>Хиперестезия</w:t>
            </w:r>
          </w:p>
        </w:tc>
        <w:tc>
          <w:tcPr>
            <w:tcW w:w="1455" w:type="dxa"/>
          </w:tcPr>
          <w:p w14:paraId="194B12EB" w14:textId="77777777" w:rsidR="009221D8" w:rsidRPr="009221D8" w:rsidRDefault="009221D8" w:rsidP="00022FF9">
            <w:pPr>
              <w:rPr>
                <w:rFonts w:cs="Arial"/>
              </w:rPr>
            </w:pPr>
          </w:p>
        </w:tc>
      </w:tr>
      <w:tr w:rsidR="00022FF9" w14:paraId="21691430" w14:textId="77777777" w:rsidTr="009221D8">
        <w:tc>
          <w:tcPr>
            <w:tcW w:w="1617" w:type="dxa"/>
          </w:tcPr>
          <w:p w14:paraId="2304E540" w14:textId="7D9D2467" w:rsidR="00022FF9" w:rsidRPr="009221D8" w:rsidRDefault="00022FF9" w:rsidP="00022FF9">
            <w:pPr>
              <w:rPr>
                <w:rFonts w:cs="Arial"/>
              </w:rPr>
            </w:pPr>
            <w:r w:rsidRPr="009221D8">
              <w:rPr>
                <w:rFonts w:cs="Arial"/>
                <w:b/>
                <w:bCs/>
              </w:rPr>
              <w:t>Нарушения на очите*</w:t>
            </w:r>
          </w:p>
        </w:tc>
        <w:tc>
          <w:tcPr>
            <w:tcW w:w="1545" w:type="dxa"/>
          </w:tcPr>
          <w:p w14:paraId="0DDB9AF9" w14:textId="77777777" w:rsidR="00022FF9" w:rsidRPr="009221D8" w:rsidRDefault="00022FF9" w:rsidP="00022FF9">
            <w:pPr>
              <w:rPr>
                <w:rFonts w:cs="Arial"/>
              </w:rPr>
            </w:pPr>
          </w:p>
        </w:tc>
        <w:tc>
          <w:tcPr>
            <w:tcW w:w="1512" w:type="dxa"/>
          </w:tcPr>
          <w:p w14:paraId="108A89EB" w14:textId="77777777" w:rsidR="00022FF9" w:rsidRPr="009221D8" w:rsidRDefault="00022FF9" w:rsidP="00022FF9">
            <w:pPr>
              <w:rPr>
                <w:rFonts w:cs="Arial"/>
              </w:rPr>
            </w:pPr>
            <w:r w:rsidRPr="009221D8">
              <w:rPr>
                <w:rFonts w:cs="Arial"/>
              </w:rPr>
              <w:t>Зрителни нарушения, вкл.</w:t>
            </w:r>
          </w:p>
          <w:p w14:paraId="3CD50A50" w14:textId="2DD9B1A6" w:rsidR="00022FF9" w:rsidRPr="009221D8" w:rsidRDefault="00022FF9" w:rsidP="00022FF9">
            <w:pPr>
              <w:rPr>
                <w:rFonts w:cs="Arial"/>
              </w:rPr>
            </w:pPr>
            <w:r w:rsidRPr="009221D8">
              <w:rPr>
                <w:rFonts w:cs="Arial"/>
              </w:rPr>
              <w:t>диплопия и замъглено зрение (особено в хода на реакциите на ЦНС, вж. точка 4.4)</w:t>
            </w:r>
          </w:p>
        </w:tc>
        <w:tc>
          <w:tcPr>
            <w:tcW w:w="1669" w:type="dxa"/>
          </w:tcPr>
          <w:p w14:paraId="53F98052" w14:textId="1380E667" w:rsidR="00022FF9" w:rsidRPr="009221D8" w:rsidRDefault="00022FF9" w:rsidP="00022FF9">
            <w:pPr>
              <w:rPr>
                <w:rFonts w:cs="Arial"/>
              </w:rPr>
            </w:pPr>
            <w:r w:rsidRPr="009221D8">
              <w:rPr>
                <w:rFonts w:cs="Arial"/>
              </w:rPr>
              <w:t>Фотофобия</w:t>
            </w:r>
          </w:p>
        </w:tc>
        <w:tc>
          <w:tcPr>
            <w:tcW w:w="1552" w:type="dxa"/>
            <w:vAlign w:val="bottom"/>
          </w:tcPr>
          <w:p w14:paraId="25BC9ACA" w14:textId="5313C0A1" w:rsidR="00022FF9" w:rsidRPr="009221D8" w:rsidRDefault="00022FF9" w:rsidP="00022FF9">
            <w:pPr>
              <w:rPr>
                <w:rFonts w:cs="Arial"/>
              </w:rPr>
            </w:pPr>
            <w:r w:rsidRPr="009221D8">
              <w:rPr>
                <w:rFonts w:cs="Arial"/>
              </w:rPr>
              <w:t xml:space="preserve">Преходна загуба на зрение (особено в хода на реакциите на ЦНС, вж. точки 4.4 и 4.7) Увеит и двустранна остра </w:t>
            </w:r>
            <w:r w:rsidRPr="009221D8">
              <w:rPr>
                <w:rFonts w:cs="Arial"/>
              </w:rPr>
              <w:lastRenderedPageBreak/>
              <w:t>трансилюмина- ция на ириса (вж. точка 4.4)</w:t>
            </w:r>
          </w:p>
        </w:tc>
        <w:tc>
          <w:tcPr>
            <w:tcW w:w="1455" w:type="dxa"/>
          </w:tcPr>
          <w:p w14:paraId="4F8AF86C" w14:textId="77777777" w:rsidR="00022FF9" w:rsidRPr="009221D8" w:rsidRDefault="00022FF9" w:rsidP="00022FF9">
            <w:pPr>
              <w:rPr>
                <w:rFonts w:cs="Arial"/>
              </w:rPr>
            </w:pPr>
          </w:p>
        </w:tc>
      </w:tr>
      <w:tr w:rsidR="00022FF9" w14:paraId="2EBC9231" w14:textId="77777777" w:rsidTr="009221D8">
        <w:tc>
          <w:tcPr>
            <w:tcW w:w="1617" w:type="dxa"/>
          </w:tcPr>
          <w:p w14:paraId="57383DD1" w14:textId="37D1B7B5" w:rsidR="00022FF9" w:rsidRPr="009221D8" w:rsidRDefault="00022FF9" w:rsidP="00022FF9">
            <w:pPr>
              <w:rPr>
                <w:rFonts w:cs="Arial"/>
              </w:rPr>
            </w:pPr>
            <w:r w:rsidRPr="009221D8">
              <w:rPr>
                <w:rFonts w:cs="Arial"/>
                <w:b/>
                <w:bCs/>
              </w:rPr>
              <w:t>Нарушения на ухото и лабиринта*</w:t>
            </w:r>
          </w:p>
        </w:tc>
        <w:tc>
          <w:tcPr>
            <w:tcW w:w="1545" w:type="dxa"/>
          </w:tcPr>
          <w:p w14:paraId="23A8669A" w14:textId="77777777" w:rsidR="00022FF9" w:rsidRPr="009221D8" w:rsidRDefault="00022FF9" w:rsidP="00022FF9">
            <w:pPr>
              <w:rPr>
                <w:rFonts w:cs="Arial"/>
              </w:rPr>
            </w:pPr>
          </w:p>
        </w:tc>
        <w:tc>
          <w:tcPr>
            <w:tcW w:w="1512" w:type="dxa"/>
          </w:tcPr>
          <w:p w14:paraId="0E74D619" w14:textId="77777777" w:rsidR="00022FF9" w:rsidRPr="009221D8" w:rsidRDefault="00022FF9" w:rsidP="00022FF9">
            <w:pPr>
              <w:rPr>
                <w:rFonts w:cs="Arial"/>
              </w:rPr>
            </w:pPr>
          </w:p>
        </w:tc>
        <w:tc>
          <w:tcPr>
            <w:tcW w:w="1669" w:type="dxa"/>
            <w:vAlign w:val="bottom"/>
          </w:tcPr>
          <w:p w14:paraId="334640BE" w14:textId="03815EB8" w:rsidR="00022FF9" w:rsidRPr="009221D8" w:rsidRDefault="00022FF9" w:rsidP="00022FF9">
            <w:pPr>
              <w:rPr>
                <w:rFonts w:cs="Arial"/>
              </w:rPr>
            </w:pPr>
            <w:r w:rsidRPr="009221D8">
              <w:rPr>
                <w:rFonts w:cs="Arial"/>
              </w:rPr>
              <w:t>Тинитус Увреждане на слуха, вкл. глухота (обикновено обратима)</w:t>
            </w:r>
          </w:p>
        </w:tc>
        <w:tc>
          <w:tcPr>
            <w:tcW w:w="1552" w:type="dxa"/>
          </w:tcPr>
          <w:p w14:paraId="292E93B0" w14:textId="77777777" w:rsidR="00022FF9" w:rsidRPr="009221D8" w:rsidRDefault="00022FF9" w:rsidP="00022FF9">
            <w:pPr>
              <w:rPr>
                <w:rFonts w:cs="Arial"/>
              </w:rPr>
            </w:pPr>
          </w:p>
        </w:tc>
        <w:tc>
          <w:tcPr>
            <w:tcW w:w="1455" w:type="dxa"/>
          </w:tcPr>
          <w:p w14:paraId="7AE49888" w14:textId="77777777" w:rsidR="00022FF9" w:rsidRPr="009221D8" w:rsidRDefault="00022FF9" w:rsidP="00022FF9">
            <w:pPr>
              <w:rPr>
                <w:rFonts w:cs="Arial"/>
              </w:rPr>
            </w:pPr>
          </w:p>
        </w:tc>
      </w:tr>
      <w:tr w:rsidR="00022FF9" w14:paraId="25C00BD1" w14:textId="77777777" w:rsidTr="009221D8">
        <w:tc>
          <w:tcPr>
            <w:tcW w:w="1617" w:type="dxa"/>
          </w:tcPr>
          <w:p w14:paraId="13413426" w14:textId="151B62A8" w:rsidR="00022FF9" w:rsidRPr="009221D8" w:rsidRDefault="00022FF9" w:rsidP="00022FF9">
            <w:pPr>
              <w:rPr>
                <w:rFonts w:cs="Arial"/>
              </w:rPr>
            </w:pPr>
            <w:r w:rsidRPr="009221D8">
              <w:rPr>
                <w:rFonts w:cs="Arial"/>
                <w:b/>
                <w:bCs/>
              </w:rPr>
              <w:t>Сърдечни Нарушения**</w:t>
            </w:r>
          </w:p>
        </w:tc>
        <w:tc>
          <w:tcPr>
            <w:tcW w:w="1545" w:type="dxa"/>
          </w:tcPr>
          <w:p w14:paraId="477A612F" w14:textId="56A48825" w:rsidR="00022FF9" w:rsidRPr="009221D8" w:rsidRDefault="00022FF9" w:rsidP="00022FF9">
            <w:pPr>
              <w:rPr>
                <w:rFonts w:cs="Arial"/>
              </w:rPr>
            </w:pPr>
            <w:r w:rsidRPr="009221D8">
              <w:rPr>
                <w:rFonts w:cs="Arial"/>
              </w:rPr>
              <w:t xml:space="preserve">Удължаване на </w:t>
            </w:r>
            <w:r w:rsidRPr="009221D8">
              <w:rPr>
                <w:rFonts w:cs="Arial"/>
                <w:lang w:val="en-US"/>
              </w:rPr>
              <w:t xml:space="preserve">QT </w:t>
            </w:r>
            <w:r w:rsidRPr="009221D8">
              <w:rPr>
                <w:rFonts w:cs="Arial"/>
              </w:rPr>
              <w:t>при пациенти с хипокалиемия (вж. точки 4.3 и 4.4)</w:t>
            </w:r>
          </w:p>
        </w:tc>
        <w:tc>
          <w:tcPr>
            <w:tcW w:w="1512" w:type="dxa"/>
            <w:vAlign w:val="bottom"/>
          </w:tcPr>
          <w:p w14:paraId="0107C75E" w14:textId="77777777" w:rsidR="00022FF9" w:rsidRPr="009221D8" w:rsidRDefault="00022FF9" w:rsidP="00022FF9">
            <w:pPr>
              <w:rPr>
                <w:rFonts w:cs="Arial"/>
              </w:rPr>
            </w:pPr>
            <w:r w:rsidRPr="009221D8">
              <w:rPr>
                <w:rFonts w:cs="Arial"/>
              </w:rPr>
              <w:t xml:space="preserve">Удължаване на </w:t>
            </w:r>
            <w:r w:rsidRPr="009221D8">
              <w:rPr>
                <w:rFonts w:cs="Arial"/>
                <w:lang w:val="en-US"/>
              </w:rPr>
              <w:t>QT</w:t>
            </w:r>
          </w:p>
          <w:p w14:paraId="3CEF1793" w14:textId="2277FF0C" w:rsidR="00022FF9" w:rsidRPr="009221D8" w:rsidRDefault="00022FF9" w:rsidP="00022FF9">
            <w:pPr>
              <w:rPr>
                <w:rFonts w:cs="Arial"/>
              </w:rPr>
            </w:pPr>
            <w:r w:rsidRPr="009221D8">
              <w:rPr>
                <w:rFonts w:cs="Arial"/>
              </w:rPr>
              <w:t>(вж. точка 4.4) Сърцебиене Тахикардия Предсърдно мъждене Ангина пекторис</w:t>
            </w:r>
          </w:p>
        </w:tc>
        <w:tc>
          <w:tcPr>
            <w:tcW w:w="1669" w:type="dxa"/>
          </w:tcPr>
          <w:p w14:paraId="3B683187" w14:textId="7080350B" w:rsidR="00022FF9" w:rsidRPr="009221D8" w:rsidRDefault="00022FF9" w:rsidP="00022FF9">
            <w:pPr>
              <w:rPr>
                <w:rFonts w:cs="Arial"/>
              </w:rPr>
            </w:pPr>
            <w:r w:rsidRPr="009221D8">
              <w:rPr>
                <w:rFonts w:cs="Arial"/>
              </w:rPr>
              <w:t>Вентрикуларни тахиаритмии Синкоп (т.е. остра и краткотрайна загуба на съзнание)</w:t>
            </w:r>
          </w:p>
        </w:tc>
        <w:tc>
          <w:tcPr>
            <w:tcW w:w="1552" w:type="dxa"/>
          </w:tcPr>
          <w:p w14:paraId="2740DAB1" w14:textId="017FC97E" w:rsidR="00022FF9" w:rsidRPr="009221D8" w:rsidRDefault="00022FF9" w:rsidP="00022FF9">
            <w:pPr>
              <w:rPr>
                <w:rFonts w:cs="Arial"/>
              </w:rPr>
            </w:pPr>
            <w:r w:rsidRPr="009221D8">
              <w:rPr>
                <w:rFonts w:cs="Arial"/>
              </w:rPr>
              <w:t xml:space="preserve">Неуточнени аритмии </w:t>
            </w:r>
            <w:r w:rsidRPr="009221D8">
              <w:rPr>
                <w:rFonts w:cs="Arial"/>
                <w:i/>
                <w:iCs/>
                <w:lang w:val="en-US"/>
              </w:rPr>
              <w:t>Torsade de Pointes</w:t>
            </w:r>
            <w:r w:rsidRPr="009221D8">
              <w:rPr>
                <w:rFonts w:cs="Arial"/>
                <w:lang w:val="en-US"/>
              </w:rPr>
              <w:t xml:space="preserve"> </w:t>
            </w:r>
            <w:r w:rsidRPr="009221D8">
              <w:rPr>
                <w:rFonts w:cs="Arial"/>
              </w:rPr>
              <w:t>(вж. точка 4.4) Сърдечен арест (вж. точка 4.4)</w:t>
            </w:r>
          </w:p>
        </w:tc>
        <w:tc>
          <w:tcPr>
            <w:tcW w:w="1455" w:type="dxa"/>
          </w:tcPr>
          <w:p w14:paraId="7E12792F" w14:textId="77777777" w:rsidR="00022FF9" w:rsidRPr="009221D8" w:rsidRDefault="00022FF9" w:rsidP="00022FF9">
            <w:pPr>
              <w:rPr>
                <w:rFonts w:cs="Arial"/>
              </w:rPr>
            </w:pPr>
          </w:p>
        </w:tc>
      </w:tr>
      <w:tr w:rsidR="00022FF9" w14:paraId="57C8E28B" w14:textId="77777777" w:rsidTr="009221D8">
        <w:tc>
          <w:tcPr>
            <w:tcW w:w="1617" w:type="dxa"/>
            <w:vAlign w:val="bottom"/>
          </w:tcPr>
          <w:p w14:paraId="5392219F" w14:textId="1E61A497" w:rsidR="00022FF9" w:rsidRPr="009221D8" w:rsidRDefault="00022FF9" w:rsidP="00022FF9">
            <w:pPr>
              <w:rPr>
                <w:rFonts w:cs="Arial"/>
              </w:rPr>
            </w:pPr>
            <w:r w:rsidRPr="009221D8">
              <w:rPr>
                <w:rFonts w:cs="Arial"/>
                <w:b/>
                <w:bCs/>
              </w:rPr>
              <w:t>Съдови Нарушения**</w:t>
            </w:r>
          </w:p>
        </w:tc>
        <w:tc>
          <w:tcPr>
            <w:tcW w:w="1545" w:type="dxa"/>
          </w:tcPr>
          <w:p w14:paraId="2820C2A8" w14:textId="77777777" w:rsidR="00022FF9" w:rsidRPr="009221D8" w:rsidRDefault="00022FF9" w:rsidP="00022FF9">
            <w:pPr>
              <w:rPr>
                <w:rFonts w:cs="Arial"/>
              </w:rPr>
            </w:pPr>
          </w:p>
        </w:tc>
        <w:tc>
          <w:tcPr>
            <w:tcW w:w="1512" w:type="dxa"/>
          </w:tcPr>
          <w:p w14:paraId="0BD85E1B" w14:textId="22F40914" w:rsidR="00022FF9" w:rsidRPr="009221D8" w:rsidRDefault="00022FF9" w:rsidP="00022FF9">
            <w:pPr>
              <w:rPr>
                <w:rFonts w:cs="Arial"/>
              </w:rPr>
            </w:pPr>
            <w:r w:rsidRPr="009221D8">
              <w:rPr>
                <w:rFonts w:cs="Arial"/>
              </w:rPr>
              <w:t>Вазодилатация</w:t>
            </w:r>
          </w:p>
        </w:tc>
        <w:tc>
          <w:tcPr>
            <w:tcW w:w="1669" w:type="dxa"/>
            <w:vAlign w:val="bottom"/>
          </w:tcPr>
          <w:p w14:paraId="069EF8B2" w14:textId="070D098A" w:rsidR="00022FF9" w:rsidRPr="009221D8" w:rsidRDefault="00022FF9" w:rsidP="00022FF9">
            <w:pPr>
              <w:rPr>
                <w:rFonts w:cs="Arial"/>
              </w:rPr>
            </w:pPr>
            <w:r w:rsidRPr="009221D8">
              <w:rPr>
                <w:rFonts w:cs="Arial"/>
              </w:rPr>
              <w:t>Хипертония Хипотония</w:t>
            </w:r>
          </w:p>
        </w:tc>
        <w:tc>
          <w:tcPr>
            <w:tcW w:w="1552" w:type="dxa"/>
          </w:tcPr>
          <w:p w14:paraId="1BB771B3" w14:textId="1A33B6FC" w:rsidR="00022FF9" w:rsidRPr="009221D8" w:rsidRDefault="00022FF9" w:rsidP="00022FF9">
            <w:pPr>
              <w:rPr>
                <w:rFonts w:cs="Arial"/>
              </w:rPr>
            </w:pPr>
            <w:r w:rsidRPr="009221D8">
              <w:rPr>
                <w:rFonts w:cs="Arial"/>
              </w:rPr>
              <w:t>Васкулит</w:t>
            </w:r>
          </w:p>
        </w:tc>
        <w:tc>
          <w:tcPr>
            <w:tcW w:w="1455" w:type="dxa"/>
          </w:tcPr>
          <w:p w14:paraId="679199DF" w14:textId="77777777" w:rsidR="00022FF9" w:rsidRPr="009221D8" w:rsidRDefault="00022FF9" w:rsidP="00022FF9">
            <w:pPr>
              <w:rPr>
                <w:rFonts w:cs="Arial"/>
              </w:rPr>
            </w:pPr>
          </w:p>
        </w:tc>
      </w:tr>
      <w:tr w:rsidR="00022FF9" w14:paraId="62BEAD5E" w14:textId="77777777" w:rsidTr="009221D8">
        <w:tc>
          <w:tcPr>
            <w:tcW w:w="1617" w:type="dxa"/>
          </w:tcPr>
          <w:p w14:paraId="50A7C2DD" w14:textId="4CFF9416" w:rsidR="00022FF9" w:rsidRPr="009221D8" w:rsidRDefault="00022FF9" w:rsidP="00022FF9">
            <w:pPr>
              <w:rPr>
                <w:rFonts w:cs="Arial"/>
              </w:rPr>
            </w:pPr>
            <w:r w:rsidRPr="009221D8">
              <w:rPr>
                <w:rFonts w:cs="Arial"/>
                <w:b/>
                <w:bCs/>
              </w:rPr>
              <w:t>Респираторни, гръдни и медиастииални нарушения</w:t>
            </w:r>
          </w:p>
        </w:tc>
        <w:tc>
          <w:tcPr>
            <w:tcW w:w="1545" w:type="dxa"/>
          </w:tcPr>
          <w:p w14:paraId="4EEB865B" w14:textId="77777777" w:rsidR="00022FF9" w:rsidRPr="009221D8" w:rsidRDefault="00022FF9" w:rsidP="00022FF9">
            <w:pPr>
              <w:rPr>
                <w:rFonts w:cs="Arial"/>
              </w:rPr>
            </w:pPr>
          </w:p>
        </w:tc>
        <w:tc>
          <w:tcPr>
            <w:tcW w:w="1512" w:type="dxa"/>
          </w:tcPr>
          <w:p w14:paraId="3C8E2461" w14:textId="03E0EA79" w:rsidR="00022FF9" w:rsidRPr="009221D8" w:rsidRDefault="00022FF9" w:rsidP="00022FF9">
            <w:pPr>
              <w:rPr>
                <w:rFonts w:cs="Arial"/>
              </w:rPr>
            </w:pPr>
            <w:r w:rsidRPr="009221D8">
              <w:rPr>
                <w:rFonts w:cs="Arial"/>
              </w:rPr>
              <w:t>Диспнея (вкл. асматични състояния)</w:t>
            </w:r>
          </w:p>
        </w:tc>
        <w:tc>
          <w:tcPr>
            <w:tcW w:w="1669" w:type="dxa"/>
          </w:tcPr>
          <w:p w14:paraId="3416767B" w14:textId="77777777" w:rsidR="00022FF9" w:rsidRPr="009221D8" w:rsidRDefault="00022FF9" w:rsidP="00022FF9">
            <w:pPr>
              <w:rPr>
                <w:rFonts w:cs="Arial"/>
              </w:rPr>
            </w:pPr>
          </w:p>
        </w:tc>
        <w:tc>
          <w:tcPr>
            <w:tcW w:w="1552" w:type="dxa"/>
          </w:tcPr>
          <w:p w14:paraId="5CCC0CF8" w14:textId="77777777" w:rsidR="00022FF9" w:rsidRPr="009221D8" w:rsidRDefault="00022FF9" w:rsidP="00022FF9">
            <w:pPr>
              <w:rPr>
                <w:rFonts w:cs="Arial"/>
              </w:rPr>
            </w:pPr>
          </w:p>
        </w:tc>
        <w:tc>
          <w:tcPr>
            <w:tcW w:w="1455" w:type="dxa"/>
          </w:tcPr>
          <w:p w14:paraId="1B1A8074" w14:textId="77777777" w:rsidR="00022FF9" w:rsidRPr="009221D8" w:rsidRDefault="00022FF9" w:rsidP="00022FF9">
            <w:pPr>
              <w:rPr>
                <w:rFonts w:cs="Arial"/>
              </w:rPr>
            </w:pPr>
          </w:p>
        </w:tc>
      </w:tr>
      <w:tr w:rsidR="00022FF9" w14:paraId="532A35DC" w14:textId="77777777" w:rsidTr="009221D8">
        <w:tc>
          <w:tcPr>
            <w:tcW w:w="1617" w:type="dxa"/>
          </w:tcPr>
          <w:p w14:paraId="480DD713" w14:textId="3E802571" w:rsidR="00022FF9" w:rsidRPr="009221D8" w:rsidRDefault="00022FF9" w:rsidP="00022FF9">
            <w:pPr>
              <w:rPr>
                <w:rFonts w:cs="Arial"/>
              </w:rPr>
            </w:pPr>
            <w:r w:rsidRPr="009221D8">
              <w:rPr>
                <w:rFonts w:cs="Arial"/>
                <w:b/>
                <w:bCs/>
              </w:rPr>
              <w:t>Стомашно- чревни нарушения</w:t>
            </w:r>
          </w:p>
        </w:tc>
        <w:tc>
          <w:tcPr>
            <w:tcW w:w="1545" w:type="dxa"/>
          </w:tcPr>
          <w:p w14:paraId="5600CB45" w14:textId="552926A2" w:rsidR="00022FF9" w:rsidRPr="009221D8" w:rsidRDefault="00022FF9" w:rsidP="00022FF9">
            <w:pPr>
              <w:rPr>
                <w:rFonts w:cs="Arial"/>
              </w:rPr>
            </w:pPr>
            <w:r w:rsidRPr="009221D8">
              <w:rPr>
                <w:rFonts w:cs="Arial"/>
              </w:rPr>
              <w:t>Гадене Повръщане Стомашночрев- на и коремна болка Диария</w:t>
            </w:r>
          </w:p>
        </w:tc>
        <w:tc>
          <w:tcPr>
            <w:tcW w:w="1512" w:type="dxa"/>
          </w:tcPr>
          <w:p w14:paraId="7782E7F6" w14:textId="26BC09BE" w:rsidR="00022FF9" w:rsidRPr="009221D8" w:rsidRDefault="00022FF9" w:rsidP="00022FF9">
            <w:pPr>
              <w:rPr>
                <w:rFonts w:cs="Arial"/>
              </w:rPr>
            </w:pPr>
            <w:r w:rsidRPr="009221D8">
              <w:rPr>
                <w:rFonts w:cs="Arial"/>
              </w:rPr>
              <w:t>Понижаване на апетита и приема на храна Запек Диспепсия Флатуленция Гастрит Повишена амилаза</w:t>
            </w:r>
          </w:p>
        </w:tc>
        <w:tc>
          <w:tcPr>
            <w:tcW w:w="1669" w:type="dxa"/>
            <w:vAlign w:val="bottom"/>
          </w:tcPr>
          <w:p w14:paraId="16CE7F4A" w14:textId="77777777" w:rsidR="00022FF9" w:rsidRPr="009221D8" w:rsidRDefault="00022FF9" w:rsidP="00022FF9">
            <w:pPr>
              <w:rPr>
                <w:rFonts w:cs="Arial"/>
              </w:rPr>
            </w:pPr>
            <w:r w:rsidRPr="009221D8">
              <w:rPr>
                <w:rFonts w:cs="Arial"/>
              </w:rPr>
              <w:t>Дисфагия Стоматит</w:t>
            </w:r>
          </w:p>
          <w:p w14:paraId="7409B6A9" w14:textId="0AF5F561" w:rsidR="00022FF9" w:rsidRPr="009221D8" w:rsidRDefault="00022FF9" w:rsidP="00022FF9">
            <w:pPr>
              <w:rPr>
                <w:rFonts w:cs="Arial"/>
              </w:rPr>
            </w:pPr>
            <w:r w:rsidRPr="009221D8">
              <w:rPr>
                <w:rFonts w:cs="Arial"/>
              </w:rPr>
              <w:t>Свързан с антибиотик колит (вкл. псевдомембра- нозен колит, в редки случаи свързан с животозастра- шаващи усложнения, вж. точка 4.4)</w:t>
            </w:r>
          </w:p>
        </w:tc>
        <w:tc>
          <w:tcPr>
            <w:tcW w:w="1552" w:type="dxa"/>
          </w:tcPr>
          <w:p w14:paraId="33B1599F" w14:textId="77777777" w:rsidR="00022FF9" w:rsidRPr="009221D8" w:rsidRDefault="00022FF9" w:rsidP="00022FF9">
            <w:pPr>
              <w:rPr>
                <w:rFonts w:cs="Arial"/>
              </w:rPr>
            </w:pPr>
          </w:p>
        </w:tc>
        <w:tc>
          <w:tcPr>
            <w:tcW w:w="1455" w:type="dxa"/>
          </w:tcPr>
          <w:p w14:paraId="35C7F5B7" w14:textId="77777777" w:rsidR="00022FF9" w:rsidRPr="009221D8" w:rsidRDefault="00022FF9" w:rsidP="00022FF9">
            <w:pPr>
              <w:rPr>
                <w:rFonts w:cs="Arial"/>
              </w:rPr>
            </w:pPr>
          </w:p>
        </w:tc>
      </w:tr>
      <w:tr w:rsidR="00022FF9" w14:paraId="3225F20D" w14:textId="77777777" w:rsidTr="009221D8">
        <w:tc>
          <w:tcPr>
            <w:tcW w:w="1617" w:type="dxa"/>
          </w:tcPr>
          <w:p w14:paraId="15612499" w14:textId="18D34642" w:rsidR="00022FF9" w:rsidRPr="009221D8" w:rsidRDefault="00022FF9" w:rsidP="00022FF9">
            <w:pPr>
              <w:rPr>
                <w:rFonts w:cs="Arial"/>
              </w:rPr>
            </w:pPr>
            <w:r w:rsidRPr="009221D8">
              <w:rPr>
                <w:rFonts w:cs="Arial"/>
                <w:b/>
                <w:bCs/>
              </w:rPr>
              <w:t>Хепатобили- арни нарушения</w:t>
            </w:r>
          </w:p>
        </w:tc>
        <w:tc>
          <w:tcPr>
            <w:tcW w:w="1545" w:type="dxa"/>
          </w:tcPr>
          <w:p w14:paraId="4AC5B5BB" w14:textId="7C3B1868" w:rsidR="00022FF9" w:rsidRPr="009221D8" w:rsidRDefault="00022FF9" w:rsidP="00022FF9">
            <w:pPr>
              <w:rPr>
                <w:rFonts w:cs="Arial"/>
              </w:rPr>
            </w:pPr>
            <w:r w:rsidRPr="009221D8">
              <w:rPr>
                <w:rFonts w:cs="Arial"/>
              </w:rPr>
              <w:t>Увеличаване на трансаминази- те</w:t>
            </w:r>
          </w:p>
        </w:tc>
        <w:tc>
          <w:tcPr>
            <w:tcW w:w="1512" w:type="dxa"/>
            <w:vAlign w:val="bottom"/>
          </w:tcPr>
          <w:p w14:paraId="02244419" w14:textId="77777777" w:rsidR="00022FF9" w:rsidRPr="009221D8" w:rsidRDefault="00022FF9" w:rsidP="00022FF9">
            <w:pPr>
              <w:rPr>
                <w:rFonts w:cs="Arial"/>
              </w:rPr>
            </w:pPr>
            <w:r w:rsidRPr="009221D8">
              <w:rPr>
                <w:rFonts w:cs="Arial"/>
              </w:rPr>
              <w:t>Чернодробно увреждане (вкл.</w:t>
            </w:r>
          </w:p>
          <w:p w14:paraId="44551F5D" w14:textId="77777777" w:rsidR="00022FF9" w:rsidRPr="009221D8" w:rsidRDefault="00022FF9" w:rsidP="00022FF9">
            <w:pPr>
              <w:rPr>
                <w:rFonts w:cs="Arial"/>
              </w:rPr>
            </w:pPr>
            <w:r w:rsidRPr="009221D8">
              <w:rPr>
                <w:rFonts w:cs="Arial"/>
              </w:rPr>
              <w:t xml:space="preserve">повишаване на </w:t>
            </w:r>
            <w:r w:rsidRPr="009221D8">
              <w:rPr>
                <w:rFonts w:cs="Arial"/>
                <w:lang w:val="en-US"/>
              </w:rPr>
              <w:t xml:space="preserve">LDH) </w:t>
            </w:r>
            <w:r w:rsidRPr="009221D8">
              <w:rPr>
                <w:rFonts w:cs="Arial"/>
              </w:rPr>
              <w:lastRenderedPageBreak/>
              <w:t>Повишен билирубин Повишена</w:t>
            </w:r>
          </w:p>
          <w:p w14:paraId="1DD9B0F6" w14:textId="10A11A0B" w:rsidR="00022FF9" w:rsidRPr="009221D8" w:rsidRDefault="00022FF9" w:rsidP="00022FF9">
            <w:pPr>
              <w:rPr>
                <w:rFonts w:cs="Arial"/>
              </w:rPr>
            </w:pPr>
            <w:r w:rsidRPr="009221D8">
              <w:rPr>
                <w:rFonts w:cs="Arial"/>
              </w:rPr>
              <w:t>гамаглутамил- трансфераза Увеличаване на алкалната фосфатаза в кръвта</w:t>
            </w:r>
          </w:p>
        </w:tc>
        <w:tc>
          <w:tcPr>
            <w:tcW w:w="1669" w:type="dxa"/>
          </w:tcPr>
          <w:p w14:paraId="436681AB" w14:textId="0F70C7A7" w:rsidR="00022FF9" w:rsidRPr="009221D8" w:rsidRDefault="00022FF9" w:rsidP="00022FF9">
            <w:pPr>
              <w:rPr>
                <w:rFonts w:cs="Arial"/>
              </w:rPr>
            </w:pPr>
            <w:r w:rsidRPr="009221D8">
              <w:rPr>
                <w:rFonts w:cs="Arial"/>
              </w:rPr>
              <w:lastRenderedPageBreak/>
              <w:t>Жълтеница Хепатит (главно холестатичен)</w:t>
            </w:r>
          </w:p>
        </w:tc>
        <w:tc>
          <w:tcPr>
            <w:tcW w:w="1552" w:type="dxa"/>
          </w:tcPr>
          <w:p w14:paraId="4E894EB8" w14:textId="74A81939" w:rsidR="00022FF9" w:rsidRPr="009221D8" w:rsidRDefault="00022FF9" w:rsidP="00022FF9">
            <w:pPr>
              <w:rPr>
                <w:rFonts w:cs="Arial"/>
              </w:rPr>
            </w:pPr>
            <w:r w:rsidRPr="009221D8">
              <w:rPr>
                <w:rFonts w:cs="Arial"/>
              </w:rPr>
              <w:t>Фулминантен хепатит, потенциално водещ до животозастр</w:t>
            </w:r>
            <w:r w:rsidRPr="009221D8">
              <w:rPr>
                <w:rFonts w:cs="Arial"/>
              </w:rPr>
              <w:lastRenderedPageBreak/>
              <w:t xml:space="preserve">аш аваща чернодробна недостатъчност (вкл. фатални случаи, вж. точка </w:t>
            </w:r>
            <w:r w:rsidRPr="009221D8">
              <w:rPr>
                <w:rFonts w:cs="Arial"/>
                <w:i/>
                <w:iCs/>
              </w:rPr>
              <w:t>4.4)</w:t>
            </w:r>
          </w:p>
        </w:tc>
        <w:tc>
          <w:tcPr>
            <w:tcW w:w="1455" w:type="dxa"/>
          </w:tcPr>
          <w:p w14:paraId="049DBB45" w14:textId="77777777" w:rsidR="00022FF9" w:rsidRPr="009221D8" w:rsidRDefault="00022FF9" w:rsidP="00022FF9">
            <w:pPr>
              <w:rPr>
                <w:rFonts w:cs="Arial"/>
              </w:rPr>
            </w:pPr>
          </w:p>
        </w:tc>
      </w:tr>
      <w:tr w:rsidR="00022FF9" w14:paraId="6C10D5DD" w14:textId="77777777" w:rsidTr="009221D8">
        <w:tc>
          <w:tcPr>
            <w:tcW w:w="1617" w:type="dxa"/>
          </w:tcPr>
          <w:p w14:paraId="74C3A819" w14:textId="6FDC8B74" w:rsidR="00022FF9" w:rsidRPr="009221D8" w:rsidRDefault="00022FF9" w:rsidP="00022FF9">
            <w:pPr>
              <w:rPr>
                <w:rFonts w:cs="Arial"/>
              </w:rPr>
            </w:pPr>
            <w:r w:rsidRPr="009221D8">
              <w:rPr>
                <w:rFonts w:cs="Arial"/>
                <w:b/>
                <w:bCs/>
              </w:rPr>
              <w:t>Нарушения на кожата и подкожната тъкан</w:t>
            </w:r>
          </w:p>
        </w:tc>
        <w:tc>
          <w:tcPr>
            <w:tcW w:w="1545" w:type="dxa"/>
          </w:tcPr>
          <w:p w14:paraId="1114BCF3" w14:textId="77777777" w:rsidR="00022FF9" w:rsidRPr="009221D8" w:rsidRDefault="00022FF9" w:rsidP="00022FF9">
            <w:pPr>
              <w:rPr>
                <w:rFonts w:cs="Arial"/>
              </w:rPr>
            </w:pPr>
          </w:p>
        </w:tc>
        <w:tc>
          <w:tcPr>
            <w:tcW w:w="1512" w:type="dxa"/>
          </w:tcPr>
          <w:p w14:paraId="63A15F1D" w14:textId="7ADEC2C5" w:rsidR="00022FF9" w:rsidRPr="009221D8" w:rsidRDefault="00022FF9" w:rsidP="00022FF9">
            <w:pPr>
              <w:rPr>
                <w:rFonts w:cs="Arial"/>
              </w:rPr>
            </w:pPr>
            <w:r w:rsidRPr="009221D8">
              <w:rPr>
                <w:rFonts w:cs="Arial"/>
              </w:rPr>
              <w:t>Пруритус Обрив Уртикария Суха кожа</w:t>
            </w:r>
          </w:p>
        </w:tc>
        <w:tc>
          <w:tcPr>
            <w:tcW w:w="1669" w:type="dxa"/>
          </w:tcPr>
          <w:p w14:paraId="40CAB526" w14:textId="77777777" w:rsidR="00022FF9" w:rsidRPr="009221D8" w:rsidRDefault="00022FF9" w:rsidP="00022FF9">
            <w:pPr>
              <w:rPr>
                <w:rFonts w:cs="Arial"/>
              </w:rPr>
            </w:pPr>
          </w:p>
        </w:tc>
        <w:tc>
          <w:tcPr>
            <w:tcW w:w="1552" w:type="dxa"/>
            <w:vAlign w:val="bottom"/>
          </w:tcPr>
          <w:p w14:paraId="3B9455EF" w14:textId="4EE2F37B" w:rsidR="00022FF9" w:rsidRPr="009221D8" w:rsidRDefault="00022FF9" w:rsidP="00022FF9">
            <w:pPr>
              <w:rPr>
                <w:rFonts w:cs="Arial"/>
              </w:rPr>
            </w:pPr>
            <w:r w:rsidRPr="009221D8">
              <w:rPr>
                <w:rFonts w:cs="Arial"/>
              </w:rPr>
              <w:t xml:space="preserve">Булозни кожни реакции като синдром на </w:t>
            </w:r>
            <w:r w:rsidRPr="009221D8">
              <w:rPr>
                <w:rFonts w:cs="Arial"/>
                <w:lang w:val="en-US"/>
              </w:rPr>
              <w:t xml:space="preserve">Stevens-Johnson </w:t>
            </w:r>
            <w:r w:rsidRPr="009221D8">
              <w:rPr>
                <w:rFonts w:cs="Arial"/>
              </w:rPr>
              <w:t>или токсична епидермална некролиза (потенциално животозастра- шаващи, вж. точка 4.4)</w:t>
            </w:r>
          </w:p>
        </w:tc>
        <w:tc>
          <w:tcPr>
            <w:tcW w:w="1455" w:type="dxa"/>
          </w:tcPr>
          <w:p w14:paraId="44B19794" w14:textId="73A38F85" w:rsidR="00022FF9" w:rsidRPr="009221D8" w:rsidRDefault="00022FF9" w:rsidP="00022FF9">
            <w:pPr>
              <w:rPr>
                <w:rFonts w:cs="Arial"/>
              </w:rPr>
            </w:pPr>
            <w:r w:rsidRPr="009221D8">
              <w:rPr>
                <w:rFonts w:cs="Arial"/>
              </w:rPr>
              <w:t>Остра генерализира</w:t>
            </w:r>
            <w:r w:rsidRPr="009221D8">
              <w:rPr>
                <w:rFonts w:cs="Arial"/>
              </w:rPr>
              <w:softHyphen/>
              <w:t xml:space="preserve">на екзантематоз- на пустулоза </w:t>
            </w:r>
            <w:r w:rsidRPr="009221D8">
              <w:rPr>
                <w:rFonts w:cs="Arial"/>
                <w:lang w:val="en-US"/>
              </w:rPr>
              <w:t>(AGEP)</w:t>
            </w:r>
          </w:p>
        </w:tc>
      </w:tr>
      <w:tr w:rsidR="00022FF9" w14:paraId="239E2E16" w14:textId="77777777" w:rsidTr="009221D8">
        <w:tc>
          <w:tcPr>
            <w:tcW w:w="1617" w:type="dxa"/>
          </w:tcPr>
          <w:p w14:paraId="5CE97BF7" w14:textId="7C1E8137" w:rsidR="00022FF9" w:rsidRPr="009221D8" w:rsidRDefault="00022FF9" w:rsidP="00022FF9">
            <w:pPr>
              <w:rPr>
                <w:rFonts w:cs="Arial"/>
              </w:rPr>
            </w:pPr>
            <w:r w:rsidRPr="009221D8">
              <w:rPr>
                <w:rFonts w:cs="Arial"/>
                <w:b/>
                <w:bCs/>
              </w:rPr>
              <w:t>Нарушения на мускулно- скелетната система и съединителна</w:t>
            </w:r>
            <w:r w:rsidRPr="009221D8">
              <w:rPr>
                <w:rFonts w:cs="Arial"/>
                <w:b/>
                <w:bCs/>
              </w:rPr>
              <w:softHyphen/>
              <w:t>та тъкан*</w:t>
            </w:r>
          </w:p>
        </w:tc>
        <w:tc>
          <w:tcPr>
            <w:tcW w:w="1545" w:type="dxa"/>
          </w:tcPr>
          <w:p w14:paraId="0445962A" w14:textId="77777777" w:rsidR="00022FF9" w:rsidRPr="009221D8" w:rsidRDefault="00022FF9" w:rsidP="00022FF9">
            <w:pPr>
              <w:rPr>
                <w:rFonts w:cs="Arial"/>
              </w:rPr>
            </w:pPr>
          </w:p>
        </w:tc>
        <w:tc>
          <w:tcPr>
            <w:tcW w:w="1512" w:type="dxa"/>
          </w:tcPr>
          <w:p w14:paraId="7C9E7E27" w14:textId="395026DF" w:rsidR="00022FF9" w:rsidRPr="009221D8" w:rsidRDefault="00022FF9" w:rsidP="00022FF9">
            <w:pPr>
              <w:rPr>
                <w:rFonts w:cs="Arial"/>
              </w:rPr>
            </w:pPr>
            <w:r w:rsidRPr="009221D8">
              <w:rPr>
                <w:rFonts w:cs="Arial"/>
              </w:rPr>
              <w:t>Артралгия Миалгия</w:t>
            </w:r>
          </w:p>
        </w:tc>
        <w:tc>
          <w:tcPr>
            <w:tcW w:w="1669" w:type="dxa"/>
          </w:tcPr>
          <w:p w14:paraId="675AA782" w14:textId="52F017A5" w:rsidR="00022FF9" w:rsidRPr="009221D8" w:rsidRDefault="00022FF9" w:rsidP="00022FF9">
            <w:pPr>
              <w:rPr>
                <w:rFonts w:cs="Arial"/>
              </w:rPr>
            </w:pPr>
            <w:r w:rsidRPr="009221D8">
              <w:rPr>
                <w:rFonts w:cs="Arial"/>
              </w:rPr>
              <w:t>Тендинит (вж. точка 4.4) Мускулни крампи Мускулни потрепвалия Мускулна слабост</w:t>
            </w:r>
          </w:p>
        </w:tc>
        <w:tc>
          <w:tcPr>
            <w:tcW w:w="1552" w:type="dxa"/>
          </w:tcPr>
          <w:p w14:paraId="1BD9247C" w14:textId="5FC7FE97" w:rsidR="00022FF9" w:rsidRPr="009221D8" w:rsidRDefault="00022FF9" w:rsidP="00022FF9">
            <w:pPr>
              <w:rPr>
                <w:rFonts w:cs="Arial"/>
              </w:rPr>
            </w:pPr>
            <w:r w:rsidRPr="009221D8">
              <w:rPr>
                <w:rFonts w:cs="Arial"/>
              </w:rPr>
              <w:t>Разкъсване на сухожилие (вж, точка 4,4) Артрит Мускулна ригидност Екзацербация на симптомите на миастения гравис (вж. точка 4.4)</w:t>
            </w:r>
          </w:p>
        </w:tc>
        <w:tc>
          <w:tcPr>
            <w:tcW w:w="1455" w:type="dxa"/>
          </w:tcPr>
          <w:p w14:paraId="74595EFE" w14:textId="167EC50B" w:rsidR="00022FF9" w:rsidRPr="009221D8" w:rsidRDefault="00022FF9" w:rsidP="00022FF9">
            <w:pPr>
              <w:rPr>
                <w:rFonts w:cs="Arial"/>
              </w:rPr>
            </w:pPr>
            <w:r w:rsidRPr="009221D8">
              <w:rPr>
                <w:rFonts w:cs="Arial"/>
              </w:rPr>
              <w:t>Рабдомиолиза</w:t>
            </w:r>
          </w:p>
        </w:tc>
      </w:tr>
      <w:tr w:rsidR="00022FF9" w14:paraId="03F6440E" w14:textId="77777777" w:rsidTr="009221D8">
        <w:tc>
          <w:tcPr>
            <w:tcW w:w="1617" w:type="dxa"/>
          </w:tcPr>
          <w:p w14:paraId="065AC68E" w14:textId="1859F6D6" w:rsidR="00022FF9" w:rsidRPr="009221D8" w:rsidRDefault="00022FF9" w:rsidP="00022FF9">
            <w:pPr>
              <w:rPr>
                <w:rFonts w:cs="Arial"/>
              </w:rPr>
            </w:pPr>
            <w:r w:rsidRPr="009221D8">
              <w:rPr>
                <w:rFonts w:cs="Arial"/>
                <w:b/>
                <w:bCs/>
              </w:rPr>
              <w:t>Нарушения на бъбреците и пикочните пътища</w:t>
            </w:r>
          </w:p>
        </w:tc>
        <w:tc>
          <w:tcPr>
            <w:tcW w:w="1545" w:type="dxa"/>
          </w:tcPr>
          <w:p w14:paraId="637FF0C7" w14:textId="77777777" w:rsidR="00022FF9" w:rsidRPr="009221D8" w:rsidRDefault="00022FF9" w:rsidP="00022FF9">
            <w:pPr>
              <w:rPr>
                <w:rFonts w:cs="Arial"/>
              </w:rPr>
            </w:pPr>
          </w:p>
        </w:tc>
        <w:tc>
          <w:tcPr>
            <w:tcW w:w="1512" w:type="dxa"/>
          </w:tcPr>
          <w:p w14:paraId="3E44EF2A" w14:textId="4E5F404A" w:rsidR="00022FF9" w:rsidRPr="009221D8" w:rsidRDefault="00022FF9" w:rsidP="00022FF9">
            <w:pPr>
              <w:rPr>
                <w:rFonts w:cs="Arial"/>
              </w:rPr>
            </w:pPr>
            <w:r w:rsidRPr="009221D8">
              <w:rPr>
                <w:rFonts w:cs="Arial"/>
              </w:rPr>
              <w:t>Дехидратация</w:t>
            </w:r>
          </w:p>
        </w:tc>
        <w:tc>
          <w:tcPr>
            <w:tcW w:w="1669" w:type="dxa"/>
          </w:tcPr>
          <w:p w14:paraId="37323AD7" w14:textId="77777777" w:rsidR="00022FF9" w:rsidRPr="009221D8" w:rsidRDefault="00022FF9" w:rsidP="00022FF9">
            <w:pPr>
              <w:rPr>
                <w:rFonts w:cs="Arial"/>
              </w:rPr>
            </w:pPr>
            <w:r w:rsidRPr="009221D8">
              <w:rPr>
                <w:rFonts w:cs="Arial"/>
              </w:rPr>
              <w:t>Бъбречно увреждане (вкл.</w:t>
            </w:r>
          </w:p>
          <w:p w14:paraId="7597F52C" w14:textId="1D08096C" w:rsidR="00022FF9" w:rsidRPr="009221D8" w:rsidRDefault="00022FF9" w:rsidP="00022FF9">
            <w:pPr>
              <w:rPr>
                <w:rFonts w:cs="Arial"/>
              </w:rPr>
            </w:pPr>
            <w:r w:rsidRPr="009221D8">
              <w:rPr>
                <w:rFonts w:cs="Arial"/>
              </w:rPr>
              <w:t xml:space="preserve">повишаване на </w:t>
            </w:r>
            <w:r w:rsidRPr="009221D8">
              <w:rPr>
                <w:rFonts w:cs="Arial"/>
                <w:lang w:val="en-US"/>
              </w:rPr>
              <w:t xml:space="preserve">BUN </w:t>
            </w:r>
            <w:r w:rsidRPr="009221D8">
              <w:rPr>
                <w:rFonts w:cs="Arial"/>
              </w:rPr>
              <w:t xml:space="preserve">и </w:t>
            </w:r>
            <w:r w:rsidRPr="009221D8">
              <w:rPr>
                <w:rFonts w:cs="Arial"/>
              </w:rPr>
              <w:lastRenderedPageBreak/>
              <w:t>креатинина) Бъбречна недостатъчност (вж. точка 4.4)</w:t>
            </w:r>
          </w:p>
        </w:tc>
        <w:tc>
          <w:tcPr>
            <w:tcW w:w="1552" w:type="dxa"/>
          </w:tcPr>
          <w:p w14:paraId="61A58DCC" w14:textId="77777777" w:rsidR="00022FF9" w:rsidRPr="009221D8" w:rsidRDefault="00022FF9" w:rsidP="00022FF9">
            <w:pPr>
              <w:rPr>
                <w:rFonts w:cs="Arial"/>
              </w:rPr>
            </w:pPr>
          </w:p>
        </w:tc>
        <w:tc>
          <w:tcPr>
            <w:tcW w:w="1455" w:type="dxa"/>
          </w:tcPr>
          <w:p w14:paraId="273DABD8" w14:textId="77777777" w:rsidR="00022FF9" w:rsidRPr="009221D8" w:rsidRDefault="00022FF9" w:rsidP="00022FF9">
            <w:pPr>
              <w:rPr>
                <w:rFonts w:cs="Arial"/>
              </w:rPr>
            </w:pPr>
          </w:p>
        </w:tc>
      </w:tr>
      <w:tr w:rsidR="00022FF9" w14:paraId="25DA1EA7" w14:textId="77777777" w:rsidTr="009221D8">
        <w:tc>
          <w:tcPr>
            <w:tcW w:w="1617" w:type="dxa"/>
          </w:tcPr>
          <w:p w14:paraId="199D849C" w14:textId="585E3A5E" w:rsidR="00022FF9" w:rsidRPr="009221D8" w:rsidRDefault="00022FF9" w:rsidP="00022FF9">
            <w:pPr>
              <w:rPr>
                <w:rFonts w:cs="Arial"/>
              </w:rPr>
            </w:pPr>
            <w:r w:rsidRPr="009221D8">
              <w:rPr>
                <w:rFonts w:cs="Arial"/>
                <w:b/>
                <w:bCs/>
              </w:rPr>
              <w:t>Общи нарушения и ефекти на мястото на приложение*</w:t>
            </w:r>
          </w:p>
        </w:tc>
        <w:tc>
          <w:tcPr>
            <w:tcW w:w="1545" w:type="dxa"/>
          </w:tcPr>
          <w:p w14:paraId="4AF51F00" w14:textId="77777777" w:rsidR="00022FF9" w:rsidRPr="009221D8" w:rsidRDefault="00022FF9" w:rsidP="00022FF9">
            <w:pPr>
              <w:rPr>
                <w:rFonts w:cs="Arial"/>
              </w:rPr>
            </w:pPr>
          </w:p>
        </w:tc>
        <w:tc>
          <w:tcPr>
            <w:tcW w:w="1512" w:type="dxa"/>
          </w:tcPr>
          <w:p w14:paraId="38B32408" w14:textId="31F20297" w:rsidR="00022FF9" w:rsidRPr="009221D8" w:rsidRDefault="00022FF9" w:rsidP="00022FF9">
            <w:pPr>
              <w:rPr>
                <w:rFonts w:cs="Arial"/>
              </w:rPr>
            </w:pPr>
            <w:r w:rsidRPr="009221D8">
              <w:rPr>
                <w:rFonts w:cs="Arial"/>
              </w:rPr>
              <w:t>Неразположе</w:t>
            </w:r>
            <w:r w:rsidRPr="009221D8">
              <w:rPr>
                <w:rFonts w:cs="Arial"/>
              </w:rPr>
              <w:softHyphen/>
              <w:t>ние (главно астения или умора) Болезнени състояния (вкл. болка в гърба, гръдния кош, таза и крайниците) Изпотяване</w:t>
            </w:r>
          </w:p>
        </w:tc>
        <w:tc>
          <w:tcPr>
            <w:tcW w:w="1669" w:type="dxa"/>
          </w:tcPr>
          <w:p w14:paraId="4B7A295D" w14:textId="2C5A178D" w:rsidR="00022FF9" w:rsidRPr="009221D8" w:rsidRDefault="00022FF9" w:rsidP="00022FF9">
            <w:pPr>
              <w:rPr>
                <w:rFonts w:cs="Arial"/>
              </w:rPr>
            </w:pPr>
            <w:r w:rsidRPr="009221D8">
              <w:rPr>
                <w:rFonts w:cs="Arial"/>
              </w:rPr>
              <w:t>Оток</w:t>
            </w:r>
          </w:p>
        </w:tc>
        <w:tc>
          <w:tcPr>
            <w:tcW w:w="1552" w:type="dxa"/>
          </w:tcPr>
          <w:p w14:paraId="2891A230" w14:textId="77777777" w:rsidR="00022FF9" w:rsidRPr="009221D8" w:rsidRDefault="00022FF9" w:rsidP="00022FF9">
            <w:pPr>
              <w:rPr>
                <w:rFonts w:cs="Arial"/>
              </w:rPr>
            </w:pPr>
          </w:p>
        </w:tc>
        <w:tc>
          <w:tcPr>
            <w:tcW w:w="1455" w:type="dxa"/>
          </w:tcPr>
          <w:p w14:paraId="7607D743" w14:textId="77777777" w:rsidR="00022FF9" w:rsidRPr="009221D8" w:rsidRDefault="00022FF9" w:rsidP="00022FF9">
            <w:pPr>
              <w:rPr>
                <w:rFonts w:cs="Arial"/>
              </w:rPr>
            </w:pPr>
          </w:p>
        </w:tc>
      </w:tr>
    </w:tbl>
    <w:p w14:paraId="110D7DFA" w14:textId="4DA6A55A" w:rsidR="00022FF9" w:rsidRDefault="00022FF9" w:rsidP="0091385D"/>
    <w:p w14:paraId="6586F474" w14:textId="77777777" w:rsidR="00022FF9" w:rsidRPr="00022FF9" w:rsidRDefault="00022FF9" w:rsidP="00022FF9">
      <w:pPr>
        <w:spacing w:line="240" w:lineRule="auto"/>
        <w:rPr>
          <w:rFonts w:eastAsia="Times New Roman" w:cs="Arial"/>
          <w:sz w:val="28"/>
          <w:szCs w:val="24"/>
          <w:lang w:eastAsia="bg-BG"/>
        </w:rPr>
      </w:pPr>
      <w:r w:rsidRPr="00022FF9">
        <w:rPr>
          <w:rFonts w:eastAsia="Times New Roman" w:cs="Arial"/>
          <w:color w:val="000000"/>
          <w:szCs w:val="2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56D9CCCE" w14:textId="77777777" w:rsidR="00022FF9" w:rsidRPr="00022FF9" w:rsidRDefault="00022FF9" w:rsidP="00022FF9">
      <w:pPr>
        <w:rPr>
          <w:rFonts w:eastAsia="Times New Roman" w:cs="Arial"/>
          <w:color w:val="000000"/>
          <w:szCs w:val="20"/>
          <w:lang w:eastAsia="bg-BG"/>
        </w:rPr>
      </w:pPr>
    </w:p>
    <w:p w14:paraId="0D225D1E" w14:textId="5B0E838E" w:rsidR="00022FF9" w:rsidRPr="00022FF9" w:rsidRDefault="00022FF9" w:rsidP="00022FF9">
      <w:pPr>
        <w:rPr>
          <w:rFonts w:cs="Arial"/>
          <w:sz w:val="24"/>
        </w:rPr>
      </w:pPr>
      <w:r w:rsidRPr="00022FF9">
        <w:rPr>
          <w:rFonts w:eastAsia="Times New Roman" w:cs="Arial"/>
          <w:color w:val="000000"/>
          <w:szCs w:val="2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343D77F1" w14:textId="735279F2" w:rsidR="00022FF9" w:rsidRDefault="00022FF9" w:rsidP="0091385D"/>
    <w:p w14:paraId="5E82EF68"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Има много редки случаи на съобщаване на следните нежелани реакции след лечение с други флуорохинолони, които е възможно да възникнат по време на лечението с моксифлоксацин: повишено вътречерепно налягане (включително псевдотумор церебри), хипернатриемия, хиперкалциемия, хемолитична анемия, реакции на фоточувствителност (вж. точка 4.4).</w:t>
      </w:r>
    </w:p>
    <w:p w14:paraId="5309D7FC" w14:textId="77777777" w:rsidR="009221D8" w:rsidRPr="009221D8" w:rsidRDefault="009221D8" w:rsidP="009221D8">
      <w:pPr>
        <w:spacing w:line="240" w:lineRule="auto"/>
        <w:rPr>
          <w:rFonts w:eastAsia="Times New Roman" w:cs="Arial"/>
          <w:b/>
          <w:bCs/>
          <w:color w:val="000000"/>
          <w:lang w:eastAsia="bg-BG"/>
        </w:rPr>
      </w:pPr>
      <w:bookmarkStart w:id="2" w:name="bookmark0"/>
    </w:p>
    <w:p w14:paraId="60274FCE" w14:textId="3116CED7" w:rsidR="009221D8" w:rsidRPr="009221D8" w:rsidRDefault="009221D8" w:rsidP="009221D8">
      <w:pPr>
        <w:spacing w:line="240" w:lineRule="auto"/>
        <w:rPr>
          <w:rFonts w:eastAsia="Times New Roman" w:cs="Arial"/>
          <w:lang w:eastAsia="bg-BG"/>
        </w:rPr>
      </w:pPr>
      <w:r w:rsidRPr="009221D8">
        <w:rPr>
          <w:rFonts w:eastAsia="Times New Roman" w:cs="Arial"/>
          <w:b/>
          <w:bCs/>
          <w:color w:val="000000"/>
          <w:lang w:eastAsia="bg-BG"/>
        </w:rPr>
        <w:t>Съобщаване на подозирани нежелани реакции</w:t>
      </w:r>
      <w:bookmarkEnd w:id="2"/>
    </w:p>
    <w:p w14:paraId="5F2D88AC"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чрез:Изпълнителна агенция по лекарстватаул. .Дамян Груев** № 8 1303 София</w:t>
      </w:r>
    </w:p>
    <w:p w14:paraId="70E10B78"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Тел.:+359 2 8903417</w:t>
      </w:r>
    </w:p>
    <w:p w14:paraId="3E1D30CD" w14:textId="0481E465" w:rsidR="009221D8" w:rsidRPr="009221D8" w:rsidRDefault="009221D8" w:rsidP="009221D8">
      <w:pPr>
        <w:rPr>
          <w:rFonts w:cs="Arial"/>
        </w:rPr>
      </w:pPr>
      <w:r w:rsidRPr="009221D8">
        <w:rPr>
          <w:rFonts w:eastAsia="Times New Roman" w:cs="Arial"/>
          <w:color w:val="000000"/>
          <w:lang w:eastAsia="bg-BG"/>
        </w:rPr>
        <w:t xml:space="preserve">уебсайт: </w:t>
      </w:r>
      <w:hyperlink r:id="rId5" w:history="1">
        <w:r w:rsidRPr="009221D8">
          <w:rPr>
            <w:rFonts w:eastAsia="Times New Roman" w:cs="Arial"/>
            <w:color w:val="000000"/>
            <w:u w:val="single"/>
            <w:lang w:val="en-US"/>
          </w:rPr>
          <w:t>www.bda.bg</w:t>
        </w:r>
      </w:hyperlink>
    </w:p>
    <w:p w14:paraId="10CBA191" w14:textId="77777777" w:rsidR="009221D8" w:rsidRPr="0091385D" w:rsidRDefault="009221D8"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181A6B4F" w:rsidR="007A2185" w:rsidRPr="009221D8" w:rsidRDefault="009221D8" w:rsidP="0091385D">
      <w:pPr>
        <w:rPr>
          <w:rFonts w:cs="Arial"/>
        </w:rPr>
      </w:pPr>
      <w:r w:rsidRPr="009221D8">
        <w:rPr>
          <w:rFonts w:cs="Arial"/>
        </w:rPr>
        <w:lastRenderedPageBreak/>
        <w:t xml:space="preserve">Няма препоръчани специфични мерки след случайно предозиране. В случай на предозиране трябва да се приложи симптоматично лечение. Трябва да се извърши мониториране на ЕКГ поради възможността за удължаване на </w:t>
      </w:r>
      <w:r w:rsidRPr="009221D8">
        <w:rPr>
          <w:rFonts w:cs="Arial"/>
          <w:lang w:val="en-US"/>
        </w:rPr>
        <w:t xml:space="preserve">QT </w:t>
      </w:r>
      <w:r w:rsidRPr="009221D8">
        <w:rPr>
          <w:rFonts w:cs="Arial"/>
        </w:rPr>
        <w:t xml:space="preserve">интервала. Едновременното приложение на активен въглен с перорална доза от 400 </w:t>
      </w:r>
      <w:r w:rsidRPr="009221D8">
        <w:rPr>
          <w:rFonts w:cs="Arial"/>
          <w:lang w:val="en-US"/>
        </w:rPr>
        <w:t xml:space="preserve">mg </w:t>
      </w:r>
      <w:r w:rsidRPr="009221D8">
        <w:rPr>
          <w:rFonts w:cs="Arial"/>
        </w:rPr>
        <w:t>моксифлоксацин ще намали системната наличност на лекарството с повече от 80%. Употребата на активен въглен в началото на абсорбцията може да бъде полезна за предотвратяване на прекомерното повишаване на системната експозиция на моксифлоксацин в случаи на предозиране при перорално приложение.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205B932"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 xml:space="preserve">Фармакотерапевтична група: Хинолонови антибактериални средства, флуорохинолони, АТС код: </w:t>
      </w:r>
      <w:r w:rsidRPr="009221D8">
        <w:rPr>
          <w:rFonts w:eastAsia="Times New Roman" w:cs="Arial"/>
          <w:color w:val="000000"/>
          <w:lang w:val="en-US"/>
        </w:rPr>
        <w:t>J01MA14</w:t>
      </w:r>
    </w:p>
    <w:p w14:paraId="0B40DF75" w14:textId="77777777" w:rsidR="009221D8" w:rsidRPr="009221D8" w:rsidRDefault="009221D8" w:rsidP="009221D8">
      <w:pPr>
        <w:spacing w:line="240" w:lineRule="auto"/>
        <w:rPr>
          <w:rFonts w:eastAsia="Times New Roman" w:cs="Arial"/>
          <w:color w:val="000000"/>
          <w:u w:val="single"/>
          <w:lang w:eastAsia="bg-BG"/>
        </w:rPr>
      </w:pPr>
    </w:p>
    <w:p w14:paraId="609E9757" w14:textId="65230342" w:rsidR="009221D8" w:rsidRPr="009221D8" w:rsidRDefault="009221D8" w:rsidP="009221D8">
      <w:pPr>
        <w:spacing w:line="240" w:lineRule="auto"/>
        <w:rPr>
          <w:rFonts w:eastAsia="Times New Roman" w:cs="Arial"/>
          <w:lang w:eastAsia="bg-BG"/>
        </w:rPr>
      </w:pPr>
      <w:r w:rsidRPr="009221D8">
        <w:rPr>
          <w:rFonts w:eastAsia="Times New Roman" w:cs="Arial"/>
          <w:color w:val="000000"/>
          <w:u w:val="single"/>
          <w:lang w:eastAsia="bg-BG"/>
        </w:rPr>
        <w:t>Механизъм на действие</w:t>
      </w:r>
    </w:p>
    <w:p w14:paraId="3F20DF43"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 xml:space="preserve">Моксифлоксацин има </w:t>
      </w:r>
      <w:r w:rsidRPr="009221D8">
        <w:rPr>
          <w:rFonts w:eastAsia="Times New Roman" w:cs="Arial"/>
          <w:i/>
          <w:iCs/>
          <w:color w:val="000000"/>
          <w:lang w:val="en-US"/>
        </w:rPr>
        <w:t>in vitro</w:t>
      </w:r>
      <w:r w:rsidRPr="009221D8">
        <w:rPr>
          <w:rFonts w:eastAsia="Times New Roman" w:cs="Arial"/>
          <w:color w:val="000000"/>
          <w:lang w:val="en-US"/>
        </w:rPr>
        <w:t xml:space="preserve"> </w:t>
      </w:r>
      <w:r w:rsidRPr="009221D8">
        <w:rPr>
          <w:rFonts w:eastAsia="Times New Roman" w:cs="Arial"/>
          <w:color w:val="000000"/>
          <w:lang w:eastAsia="bg-BG"/>
        </w:rPr>
        <w:t>активност срещу широк спектър от грам-положителни и грам- отрицателни патогени.</w:t>
      </w:r>
    </w:p>
    <w:p w14:paraId="1B213CB7" w14:textId="77777777" w:rsidR="009221D8" w:rsidRPr="009221D8" w:rsidRDefault="009221D8" w:rsidP="009221D8">
      <w:pPr>
        <w:rPr>
          <w:rFonts w:eastAsia="Times New Roman" w:cs="Arial"/>
          <w:color w:val="000000"/>
          <w:lang w:eastAsia="bg-BG"/>
        </w:rPr>
      </w:pPr>
    </w:p>
    <w:p w14:paraId="038F692B" w14:textId="52C9553C" w:rsidR="007A2185" w:rsidRPr="009221D8" w:rsidRDefault="009221D8" w:rsidP="009221D8">
      <w:pPr>
        <w:rPr>
          <w:rFonts w:eastAsia="Times New Roman" w:cs="Arial"/>
          <w:color w:val="000000"/>
          <w:lang w:eastAsia="bg-BG"/>
        </w:rPr>
      </w:pPr>
      <w:r w:rsidRPr="009221D8">
        <w:rPr>
          <w:rFonts w:eastAsia="Times New Roman" w:cs="Arial"/>
          <w:color w:val="000000"/>
          <w:lang w:eastAsia="bg-BG"/>
        </w:rPr>
        <w:t xml:space="preserve">Бактерицидното действие на моксифлоксацин е резултат от инхибирането и на двете топоизомерази тип II (ДНК гираза и топоизомераза IV), необходими за репликация, транскрипция и възстановяване на бактериалната ДНК. Изглежда, че С8-метокси групата допринася за повишената активност и по-ниската селекция на резистентни мутанти на грам-положителни бактерии в сравнение с С8-Н групата. Наличието на голям бициклоаминов заместител на позиция С-7 предотвратява активния ефлукс, свързан с </w:t>
      </w:r>
      <w:r w:rsidRPr="009221D8">
        <w:rPr>
          <w:rFonts w:eastAsia="Times New Roman" w:cs="Arial"/>
          <w:i/>
          <w:iCs/>
          <w:color w:val="000000"/>
          <w:lang w:val="en-US"/>
        </w:rPr>
        <w:t>nor</w:t>
      </w:r>
      <w:r w:rsidRPr="009221D8">
        <w:rPr>
          <w:rFonts w:eastAsia="Times New Roman" w:cs="Arial"/>
          <w:i/>
          <w:iCs/>
          <w:color w:val="000000"/>
          <w:lang w:eastAsia="bg-BG"/>
        </w:rPr>
        <w:t>А</w:t>
      </w:r>
      <w:r w:rsidRPr="009221D8">
        <w:rPr>
          <w:rFonts w:eastAsia="Times New Roman" w:cs="Arial"/>
          <w:color w:val="000000"/>
          <w:lang w:eastAsia="bg-BG"/>
        </w:rPr>
        <w:t xml:space="preserve"> или </w:t>
      </w:r>
      <w:r w:rsidRPr="009221D8">
        <w:rPr>
          <w:rFonts w:eastAsia="Times New Roman" w:cs="Arial"/>
          <w:i/>
          <w:iCs/>
          <w:color w:val="000000"/>
          <w:lang w:eastAsia="bg-BG"/>
        </w:rPr>
        <w:t>рт</w:t>
      </w:r>
      <w:r w:rsidRPr="009221D8">
        <w:rPr>
          <w:rFonts w:eastAsia="Times New Roman" w:cs="Arial"/>
          <w:i/>
          <w:iCs/>
          <w:color w:val="000000"/>
          <w:lang w:val="en-US"/>
        </w:rPr>
        <w:t>r</w:t>
      </w:r>
      <w:r w:rsidRPr="009221D8">
        <w:rPr>
          <w:rFonts w:eastAsia="Times New Roman" w:cs="Arial"/>
          <w:i/>
          <w:iCs/>
          <w:color w:val="000000"/>
          <w:lang w:eastAsia="bg-BG"/>
        </w:rPr>
        <w:t>А</w:t>
      </w:r>
      <w:r w:rsidRPr="009221D8">
        <w:rPr>
          <w:rFonts w:eastAsia="Times New Roman" w:cs="Arial"/>
          <w:color w:val="000000"/>
          <w:lang w:eastAsia="bg-BG"/>
        </w:rPr>
        <w:t xml:space="preserve"> гените, наблюдавани при някои грам-положителни бактерии.</w:t>
      </w:r>
    </w:p>
    <w:p w14:paraId="10D7AE73" w14:textId="3D4C287A" w:rsidR="009221D8" w:rsidRPr="009221D8" w:rsidRDefault="009221D8" w:rsidP="009221D8">
      <w:pPr>
        <w:rPr>
          <w:rFonts w:eastAsia="Times New Roman" w:cs="Arial"/>
          <w:color w:val="000000"/>
          <w:lang w:eastAsia="bg-BG"/>
        </w:rPr>
      </w:pPr>
    </w:p>
    <w:p w14:paraId="1945CE87"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 xml:space="preserve">Фармакодинамичните проучвания показват, че моксифлоксацин притежава бактерицидно действие, зависимо от концентрацията. Установено е, че минималните бактерицидни концентрации (МВС) са в границите на минималните инхибиторни концентрации </w:t>
      </w:r>
      <w:r w:rsidRPr="009221D8">
        <w:rPr>
          <w:rFonts w:eastAsia="Times New Roman" w:cs="Arial"/>
          <w:color w:val="000000"/>
          <w:lang w:val="en-US"/>
        </w:rPr>
        <w:t>(MIC).</w:t>
      </w:r>
    </w:p>
    <w:p w14:paraId="453CE8E9" w14:textId="77777777" w:rsidR="009221D8" w:rsidRPr="009221D8" w:rsidRDefault="009221D8" w:rsidP="009221D8">
      <w:pPr>
        <w:spacing w:line="240" w:lineRule="auto"/>
        <w:rPr>
          <w:rFonts w:eastAsia="Times New Roman" w:cs="Arial"/>
          <w:color w:val="000000"/>
          <w:u w:val="single"/>
          <w:lang w:eastAsia="bg-BG"/>
        </w:rPr>
      </w:pPr>
    </w:p>
    <w:p w14:paraId="2610C9EA" w14:textId="78C8AA5F" w:rsidR="009221D8" w:rsidRPr="009221D8" w:rsidRDefault="009221D8" w:rsidP="009221D8">
      <w:pPr>
        <w:spacing w:line="240" w:lineRule="auto"/>
        <w:rPr>
          <w:rFonts w:eastAsia="Times New Roman" w:cs="Arial"/>
          <w:lang w:eastAsia="bg-BG"/>
        </w:rPr>
      </w:pPr>
      <w:r w:rsidRPr="009221D8">
        <w:rPr>
          <w:rFonts w:eastAsia="Times New Roman" w:cs="Arial"/>
          <w:color w:val="000000"/>
          <w:u w:val="single"/>
          <w:lang w:eastAsia="bg-BG"/>
        </w:rPr>
        <w:t>Ефект върху чревната флора при хора</w:t>
      </w:r>
    </w:p>
    <w:p w14:paraId="6D1EEAAD"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 xml:space="preserve">Следните промени в чревната флора са наблюдавани при доброволци след перорално приложение на моксифлоксацин: При </w:t>
      </w:r>
      <w:r w:rsidRPr="009221D8">
        <w:rPr>
          <w:rFonts w:eastAsia="Times New Roman" w:cs="Arial"/>
          <w:i/>
          <w:iCs/>
          <w:color w:val="000000"/>
          <w:lang w:val="en-US"/>
        </w:rPr>
        <w:t>Escherichia coli, Bacillus</w:t>
      </w:r>
      <w:r w:rsidRPr="009221D8">
        <w:rPr>
          <w:rFonts w:eastAsia="Times New Roman" w:cs="Arial"/>
          <w:color w:val="000000"/>
          <w:lang w:val="en-US"/>
        </w:rPr>
        <w:t xml:space="preserve"> spp., </w:t>
      </w:r>
      <w:r w:rsidRPr="009221D8">
        <w:rPr>
          <w:rFonts w:eastAsia="Times New Roman" w:cs="Arial"/>
          <w:i/>
          <w:iCs/>
          <w:color w:val="000000"/>
          <w:lang w:val="en-US"/>
        </w:rPr>
        <w:t>Enterococcus</w:t>
      </w:r>
      <w:r w:rsidRPr="009221D8">
        <w:rPr>
          <w:rFonts w:eastAsia="Times New Roman" w:cs="Arial"/>
          <w:color w:val="000000"/>
          <w:lang w:val="en-US"/>
        </w:rPr>
        <w:t xml:space="preserve"> spp. </w:t>
      </w:r>
      <w:r w:rsidRPr="009221D8">
        <w:rPr>
          <w:rFonts w:eastAsia="Times New Roman" w:cs="Arial"/>
          <w:color w:val="000000"/>
          <w:lang w:eastAsia="bg-BG"/>
        </w:rPr>
        <w:t xml:space="preserve">и </w:t>
      </w:r>
      <w:proofErr w:type="spellStart"/>
      <w:r w:rsidRPr="009221D8">
        <w:rPr>
          <w:rFonts w:eastAsia="Times New Roman" w:cs="Arial"/>
          <w:i/>
          <w:iCs/>
          <w:color w:val="000000"/>
          <w:lang w:val="en-US"/>
        </w:rPr>
        <w:t>Klebsiella</w:t>
      </w:r>
      <w:proofErr w:type="spellEnd"/>
      <w:r w:rsidRPr="009221D8">
        <w:rPr>
          <w:rFonts w:eastAsia="Times New Roman" w:cs="Arial"/>
          <w:color w:val="000000"/>
          <w:lang w:val="en-US"/>
        </w:rPr>
        <w:t xml:space="preserve"> </w:t>
      </w:r>
      <w:proofErr w:type="spellStart"/>
      <w:r w:rsidRPr="009221D8">
        <w:rPr>
          <w:rFonts w:eastAsia="Times New Roman" w:cs="Arial"/>
          <w:color w:val="000000"/>
          <w:lang w:val="en-US"/>
        </w:rPr>
        <w:t>spp</w:t>
      </w:r>
      <w:proofErr w:type="spellEnd"/>
      <w:r w:rsidRPr="009221D8">
        <w:rPr>
          <w:rFonts w:eastAsia="Times New Roman" w:cs="Arial"/>
          <w:color w:val="000000"/>
          <w:lang w:val="en-US"/>
        </w:rPr>
        <w:t xml:space="preserve">, </w:t>
      </w:r>
      <w:r w:rsidRPr="009221D8">
        <w:rPr>
          <w:rFonts w:eastAsia="Times New Roman" w:cs="Arial"/>
          <w:color w:val="000000"/>
          <w:lang w:eastAsia="bg-BG"/>
        </w:rPr>
        <w:t xml:space="preserve">се наблюдава намаление, както и при анаеробите </w:t>
      </w:r>
      <w:proofErr w:type="spellStart"/>
      <w:r w:rsidRPr="009221D8">
        <w:rPr>
          <w:rFonts w:eastAsia="Times New Roman" w:cs="Arial"/>
          <w:i/>
          <w:iCs/>
          <w:color w:val="000000"/>
          <w:lang w:val="en-US"/>
        </w:rPr>
        <w:t>Bacteroides</w:t>
      </w:r>
      <w:proofErr w:type="spellEnd"/>
      <w:r w:rsidRPr="009221D8">
        <w:rPr>
          <w:rFonts w:eastAsia="Times New Roman" w:cs="Arial"/>
          <w:i/>
          <w:iCs/>
          <w:color w:val="000000"/>
          <w:lang w:val="en-US"/>
        </w:rPr>
        <w:t xml:space="preserve"> </w:t>
      </w:r>
      <w:proofErr w:type="spellStart"/>
      <w:r w:rsidRPr="009221D8">
        <w:rPr>
          <w:rFonts w:eastAsia="Times New Roman" w:cs="Arial"/>
          <w:i/>
          <w:iCs/>
          <w:color w:val="000000"/>
          <w:lang w:val="en-US"/>
        </w:rPr>
        <w:t>vulgatus</w:t>
      </w:r>
      <w:proofErr w:type="spellEnd"/>
      <w:r w:rsidRPr="009221D8">
        <w:rPr>
          <w:rFonts w:eastAsia="Times New Roman" w:cs="Arial"/>
          <w:i/>
          <w:iCs/>
          <w:color w:val="000000"/>
          <w:lang w:val="en-US"/>
        </w:rPr>
        <w:t xml:space="preserve">, </w:t>
      </w:r>
      <w:proofErr w:type="spellStart"/>
      <w:r w:rsidRPr="009221D8">
        <w:rPr>
          <w:rFonts w:eastAsia="Times New Roman" w:cs="Arial"/>
          <w:i/>
          <w:iCs/>
          <w:color w:val="000000"/>
          <w:lang w:val="en-US"/>
        </w:rPr>
        <w:t>Bifidobacterium</w:t>
      </w:r>
      <w:proofErr w:type="spellEnd"/>
      <w:r w:rsidRPr="009221D8">
        <w:rPr>
          <w:rFonts w:eastAsia="Times New Roman" w:cs="Arial"/>
          <w:color w:val="000000"/>
          <w:lang w:val="en-US"/>
        </w:rPr>
        <w:t xml:space="preserve"> spp., </w:t>
      </w:r>
      <w:proofErr w:type="spellStart"/>
      <w:r w:rsidRPr="009221D8">
        <w:rPr>
          <w:rFonts w:eastAsia="Times New Roman" w:cs="Arial"/>
          <w:i/>
          <w:iCs/>
          <w:color w:val="000000"/>
          <w:lang w:val="en-US"/>
        </w:rPr>
        <w:t>Eubacterium</w:t>
      </w:r>
      <w:proofErr w:type="spellEnd"/>
      <w:r w:rsidRPr="009221D8">
        <w:rPr>
          <w:rFonts w:eastAsia="Times New Roman" w:cs="Arial"/>
          <w:color w:val="000000"/>
          <w:lang w:val="en-US"/>
        </w:rPr>
        <w:t xml:space="preserve"> spp. </w:t>
      </w:r>
      <w:r w:rsidRPr="009221D8">
        <w:rPr>
          <w:rFonts w:eastAsia="Times New Roman" w:cs="Arial"/>
          <w:color w:val="000000"/>
          <w:lang w:eastAsia="bg-BG"/>
        </w:rPr>
        <w:t xml:space="preserve">и </w:t>
      </w:r>
      <w:proofErr w:type="spellStart"/>
      <w:r w:rsidRPr="009221D8">
        <w:rPr>
          <w:rFonts w:eastAsia="Times New Roman" w:cs="Arial"/>
          <w:i/>
          <w:iCs/>
          <w:color w:val="000000"/>
          <w:lang w:val="en-US"/>
        </w:rPr>
        <w:t>Peptostreptococcus</w:t>
      </w:r>
      <w:proofErr w:type="spellEnd"/>
      <w:r w:rsidRPr="009221D8">
        <w:rPr>
          <w:rFonts w:eastAsia="Times New Roman" w:cs="Arial"/>
          <w:color w:val="000000"/>
          <w:lang w:val="en-US"/>
        </w:rPr>
        <w:t xml:space="preserve"> spp. </w:t>
      </w:r>
      <w:r w:rsidRPr="009221D8">
        <w:rPr>
          <w:rFonts w:eastAsia="Times New Roman" w:cs="Arial"/>
          <w:color w:val="000000"/>
          <w:lang w:eastAsia="bg-BG"/>
        </w:rPr>
        <w:t xml:space="preserve">При </w:t>
      </w:r>
      <w:proofErr w:type="spellStart"/>
      <w:r w:rsidRPr="009221D8">
        <w:rPr>
          <w:rFonts w:eastAsia="Times New Roman" w:cs="Arial"/>
          <w:i/>
          <w:iCs/>
          <w:color w:val="000000"/>
          <w:lang w:val="en-US"/>
        </w:rPr>
        <w:t>Bacteroides</w:t>
      </w:r>
      <w:proofErr w:type="spellEnd"/>
      <w:r w:rsidRPr="009221D8">
        <w:rPr>
          <w:rFonts w:eastAsia="Times New Roman" w:cs="Arial"/>
          <w:i/>
          <w:iCs/>
          <w:color w:val="000000"/>
          <w:lang w:val="en-US"/>
        </w:rPr>
        <w:t xml:space="preserve"> </w:t>
      </w:r>
      <w:proofErr w:type="spellStart"/>
      <w:r w:rsidRPr="009221D8">
        <w:rPr>
          <w:rFonts w:eastAsia="Times New Roman" w:cs="Arial"/>
          <w:i/>
          <w:iCs/>
          <w:color w:val="000000"/>
          <w:lang w:val="en-US"/>
        </w:rPr>
        <w:t>fragilis</w:t>
      </w:r>
      <w:proofErr w:type="spellEnd"/>
      <w:r w:rsidRPr="009221D8">
        <w:rPr>
          <w:rFonts w:eastAsia="Times New Roman" w:cs="Arial"/>
          <w:color w:val="000000"/>
          <w:lang w:val="en-US"/>
        </w:rPr>
        <w:t xml:space="preserve"> </w:t>
      </w:r>
      <w:r w:rsidRPr="009221D8">
        <w:rPr>
          <w:rFonts w:eastAsia="Times New Roman" w:cs="Arial"/>
          <w:color w:val="000000"/>
          <w:lang w:eastAsia="bg-BG"/>
        </w:rPr>
        <w:t>се наблюдава увеличение. Тези промени се нормализират в рамките на две седмици.</w:t>
      </w:r>
    </w:p>
    <w:p w14:paraId="0B5C8E38" w14:textId="77777777" w:rsidR="009221D8" w:rsidRPr="009221D8" w:rsidRDefault="009221D8" w:rsidP="009221D8">
      <w:pPr>
        <w:spacing w:line="240" w:lineRule="auto"/>
        <w:rPr>
          <w:rFonts w:eastAsia="Times New Roman" w:cs="Arial"/>
          <w:color w:val="000000"/>
          <w:u w:val="single"/>
          <w:lang w:eastAsia="bg-BG"/>
        </w:rPr>
      </w:pPr>
    </w:p>
    <w:p w14:paraId="561DD26D" w14:textId="7786D9C0" w:rsidR="009221D8" w:rsidRPr="009221D8" w:rsidRDefault="009221D8" w:rsidP="009221D8">
      <w:pPr>
        <w:spacing w:line="240" w:lineRule="auto"/>
        <w:rPr>
          <w:rFonts w:eastAsia="Times New Roman" w:cs="Arial"/>
          <w:lang w:eastAsia="bg-BG"/>
        </w:rPr>
      </w:pPr>
      <w:r w:rsidRPr="009221D8">
        <w:rPr>
          <w:rFonts w:eastAsia="Times New Roman" w:cs="Arial"/>
          <w:color w:val="000000"/>
          <w:u w:val="single"/>
          <w:lang w:eastAsia="bg-BG"/>
        </w:rPr>
        <w:t>Механизъм на резистентност</w:t>
      </w:r>
    </w:p>
    <w:p w14:paraId="511E88DF"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 xml:space="preserve">Механизмите на резистентност, които инактивират пеницилините, цефалоспорините, аминогликозидите, макролидите и тетрациклините, не влияят на антибактериалната активност на моксифлоксацин. Други механизми на резистентност като бариерите срещу проникване (често срещани при </w:t>
      </w:r>
      <w:r w:rsidRPr="009221D8">
        <w:rPr>
          <w:rFonts w:eastAsia="Times New Roman" w:cs="Arial"/>
          <w:i/>
          <w:iCs/>
          <w:color w:val="000000"/>
          <w:lang w:val="en-US"/>
        </w:rPr>
        <w:t>Pseudomonas aeruginosa)</w:t>
      </w:r>
      <w:r w:rsidRPr="009221D8">
        <w:rPr>
          <w:rFonts w:eastAsia="Times New Roman" w:cs="Arial"/>
          <w:color w:val="000000"/>
          <w:lang w:val="en-US"/>
        </w:rPr>
        <w:t xml:space="preserve"> </w:t>
      </w:r>
      <w:r w:rsidRPr="009221D8">
        <w:rPr>
          <w:rFonts w:eastAsia="Times New Roman" w:cs="Arial"/>
          <w:color w:val="000000"/>
          <w:lang w:eastAsia="bg-BG"/>
        </w:rPr>
        <w:t>и механизмите за ефлукс могат също да повлияят на чувствителността към моксифлоксацин.</w:t>
      </w:r>
    </w:p>
    <w:p w14:paraId="1B75B4B9" w14:textId="77777777" w:rsidR="009221D8" w:rsidRPr="009221D8" w:rsidRDefault="009221D8" w:rsidP="009221D8">
      <w:pPr>
        <w:spacing w:line="240" w:lineRule="auto"/>
        <w:rPr>
          <w:rFonts w:eastAsia="Times New Roman" w:cs="Arial"/>
          <w:lang w:eastAsia="bg-BG"/>
        </w:rPr>
      </w:pPr>
      <w:r w:rsidRPr="009221D8">
        <w:rPr>
          <w:rFonts w:eastAsia="Times New Roman" w:cs="Arial"/>
          <w:i/>
          <w:iCs/>
          <w:color w:val="000000"/>
          <w:lang w:val="en-US"/>
        </w:rPr>
        <w:t>In vitro</w:t>
      </w:r>
      <w:r w:rsidRPr="009221D8">
        <w:rPr>
          <w:rFonts w:eastAsia="Times New Roman" w:cs="Arial"/>
          <w:color w:val="000000"/>
          <w:lang w:val="en-US"/>
        </w:rPr>
        <w:t xml:space="preserve"> </w:t>
      </w:r>
      <w:r w:rsidRPr="009221D8">
        <w:rPr>
          <w:rFonts w:eastAsia="Times New Roman" w:cs="Arial"/>
          <w:color w:val="000000"/>
          <w:lang w:eastAsia="bg-BG"/>
        </w:rPr>
        <w:t xml:space="preserve">резистентността към моксифлоксацин се развива поетапно чрез мутации на мишената и в двете топоизомерази тип II - ДНК гираза и топоизомераза IV. </w:t>
      </w:r>
      <w:r w:rsidRPr="009221D8">
        <w:rPr>
          <w:rFonts w:eastAsia="Times New Roman" w:cs="Arial"/>
          <w:color w:val="000000"/>
          <w:lang w:eastAsia="bg-BG"/>
        </w:rPr>
        <w:lastRenderedPageBreak/>
        <w:t>Моксифлоксацин е слаб субстрат за активните механизми за ефлукс в грам-положителни организми.</w:t>
      </w:r>
    </w:p>
    <w:p w14:paraId="0DA2CB4B"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lang w:eastAsia="bg-BG"/>
        </w:rPr>
        <w:t>Кръстосана резистентност се наблюдава с други флуорохинолони. Въпреки това, тъй като моксифлоксацин инхибира еднакво активно топоизомераза II и IV в някои грам-положителни бактерии, такива бактерии могат да бъдат резистентни към други хинолони, но чувствителни на моксифлоксацин.</w:t>
      </w:r>
    </w:p>
    <w:p w14:paraId="3C5A8400" w14:textId="77777777" w:rsidR="009221D8" w:rsidRPr="009221D8" w:rsidRDefault="009221D8" w:rsidP="009221D8">
      <w:pPr>
        <w:spacing w:line="240" w:lineRule="auto"/>
        <w:rPr>
          <w:rFonts w:eastAsia="Times New Roman" w:cs="Arial"/>
          <w:color w:val="000000"/>
          <w:u w:val="single"/>
          <w:lang w:eastAsia="bg-BG"/>
        </w:rPr>
      </w:pPr>
    </w:p>
    <w:p w14:paraId="395DA48F" w14:textId="142A786C" w:rsidR="009221D8" w:rsidRPr="009221D8" w:rsidRDefault="009221D8" w:rsidP="009221D8">
      <w:pPr>
        <w:spacing w:line="240" w:lineRule="auto"/>
        <w:rPr>
          <w:rFonts w:eastAsia="Times New Roman" w:cs="Arial"/>
          <w:lang w:eastAsia="bg-BG"/>
        </w:rPr>
      </w:pPr>
      <w:r w:rsidRPr="009221D8">
        <w:rPr>
          <w:rFonts w:eastAsia="Times New Roman" w:cs="Arial"/>
          <w:color w:val="000000"/>
          <w:u w:val="single"/>
          <w:lang w:eastAsia="bg-BG"/>
        </w:rPr>
        <w:t>Критични граници</w:t>
      </w:r>
    </w:p>
    <w:p w14:paraId="2DB99ABA" w14:textId="4CC009C9" w:rsidR="009221D8" w:rsidRPr="009221D8" w:rsidRDefault="009221D8" w:rsidP="009221D8">
      <w:pPr>
        <w:rPr>
          <w:rFonts w:eastAsia="Times New Roman" w:cs="Arial"/>
          <w:color w:val="000000"/>
          <w:u w:val="single"/>
          <w:lang w:eastAsia="bg-BG"/>
        </w:rPr>
      </w:pPr>
      <w:r w:rsidRPr="009221D8">
        <w:rPr>
          <w:rFonts w:eastAsia="Times New Roman" w:cs="Arial"/>
          <w:color w:val="000000"/>
          <w:lang w:val="en-US"/>
        </w:rPr>
        <w:t xml:space="preserve">EUCAST </w:t>
      </w:r>
      <w:r w:rsidRPr="009221D8">
        <w:rPr>
          <w:rFonts w:eastAsia="Times New Roman" w:cs="Arial"/>
          <w:color w:val="000000"/>
          <w:lang w:eastAsia="bg-BG"/>
        </w:rPr>
        <w:t xml:space="preserve">клинични гранични стойности на </w:t>
      </w:r>
      <w:r w:rsidRPr="009221D8">
        <w:rPr>
          <w:rFonts w:eastAsia="Times New Roman" w:cs="Arial"/>
          <w:color w:val="000000"/>
          <w:lang w:val="en-US"/>
        </w:rPr>
        <w:t xml:space="preserve">MIC </w:t>
      </w:r>
      <w:r w:rsidRPr="009221D8">
        <w:rPr>
          <w:rFonts w:eastAsia="Times New Roman" w:cs="Arial"/>
          <w:color w:val="000000"/>
          <w:lang w:eastAsia="bg-BG"/>
        </w:rPr>
        <w:t xml:space="preserve">и гранични стойности от диск-дифузионен тест за </w:t>
      </w:r>
      <w:r w:rsidRPr="009221D8">
        <w:rPr>
          <w:rFonts w:eastAsia="Times New Roman" w:cs="Arial"/>
          <w:color w:val="000000"/>
          <w:u w:val="single"/>
          <w:lang w:eastAsia="bg-BG"/>
        </w:rPr>
        <w:t>моксифлоксацин (01.01.2012):</w:t>
      </w:r>
    </w:p>
    <w:p w14:paraId="7E44475F" w14:textId="1C73022C" w:rsidR="009221D8" w:rsidRPr="009221D8" w:rsidRDefault="009221D8" w:rsidP="009221D8">
      <w:pPr>
        <w:rPr>
          <w:rFonts w:eastAsia="Times New Roman" w:cs="Arial"/>
          <w:color w:val="000000"/>
          <w:u w:val="single"/>
          <w:lang w:eastAsia="bg-BG"/>
        </w:rPr>
      </w:pPr>
    </w:p>
    <w:tbl>
      <w:tblPr>
        <w:tblStyle w:val="TableGrid"/>
        <w:tblW w:w="0" w:type="auto"/>
        <w:tblLook w:val="04A0" w:firstRow="1" w:lastRow="0" w:firstColumn="1" w:lastColumn="0" w:noHBand="0" w:noVBand="1"/>
      </w:tblPr>
      <w:tblGrid>
        <w:gridCol w:w="3116"/>
        <w:gridCol w:w="3117"/>
        <w:gridCol w:w="3117"/>
      </w:tblGrid>
      <w:tr w:rsidR="009221D8" w:rsidRPr="009221D8" w14:paraId="53484ACC" w14:textId="77777777" w:rsidTr="009221D8">
        <w:tc>
          <w:tcPr>
            <w:tcW w:w="3116" w:type="dxa"/>
          </w:tcPr>
          <w:p w14:paraId="62D6771E" w14:textId="05054EBA" w:rsidR="009221D8" w:rsidRPr="009221D8" w:rsidRDefault="009221D8" w:rsidP="009221D8">
            <w:pPr>
              <w:rPr>
                <w:rFonts w:cs="Arial"/>
              </w:rPr>
            </w:pPr>
            <w:r w:rsidRPr="009221D8">
              <w:rPr>
                <w:rFonts w:cs="Arial"/>
                <w:b/>
                <w:bCs/>
                <w:lang w:eastAsia="bg-BG"/>
              </w:rPr>
              <w:t>Микроорганизъм</w:t>
            </w:r>
          </w:p>
        </w:tc>
        <w:tc>
          <w:tcPr>
            <w:tcW w:w="3117" w:type="dxa"/>
          </w:tcPr>
          <w:p w14:paraId="58A492B0" w14:textId="37A9DDA9" w:rsidR="009221D8" w:rsidRPr="009221D8" w:rsidRDefault="009221D8" w:rsidP="009221D8">
            <w:pPr>
              <w:rPr>
                <w:rFonts w:cs="Arial"/>
              </w:rPr>
            </w:pPr>
            <w:r w:rsidRPr="009221D8">
              <w:rPr>
                <w:rFonts w:cs="Arial"/>
                <w:b/>
                <w:bCs/>
                <w:lang w:eastAsia="bg-BG"/>
              </w:rPr>
              <w:t>Чувствителни</w:t>
            </w:r>
          </w:p>
        </w:tc>
        <w:tc>
          <w:tcPr>
            <w:tcW w:w="3117" w:type="dxa"/>
          </w:tcPr>
          <w:p w14:paraId="3C9C4D25" w14:textId="0AA96511" w:rsidR="009221D8" w:rsidRPr="009221D8" w:rsidRDefault="009221D8" w:rsidP="009221D8">
            <w:pPr>
              <w:rPr>
                <w:rFonts w:cs="Arial"/>
              </w:rPr>
            </w:pPr>
            <w:r w:rsidRPr="009221D8">
              <w:rPr>
                <w:rFonts w:cs="Arial"/>
                <w:b/>
                <w:bCs/>
                <w:lang w:eastAsia="bg-BG"/>
              </w:rPr>
              <w:t>Резистентни</w:t>
            </w:r>
          </w:p>
        </w:tc>
      </w:tr>
      <w:tr w:rsidR="009221D8" w:rsidRPr="009221D8" w14:paraId="2DFD838B" w14:textId="77777777" w:rsidTr="009221D8">
        <w:tc>
          <w:tcPr>
            <w:tcW w:w="3116" w:type="dxa"/>
          </w:tcPr>
          <w:p w14:paraId="176A6375" w14:textId="1F96E125" w:rsidR="009221D8" w:rsidRPr="009221D8" w:rsidRDefault="009221D8" w:rsidP="009221D8">
            <w:pPr>
              <w:rPr>
                <w:rFonts w:cs="Arial"/>
              </w:rPr>
            </w:pPr>
            <w:r w:rsidRPr="009221D8">
              <w:rPr>
                <w:rFonts w:cs="Arial"/>
                <w:i/>
                <w:iCs/>
              </w:rPr>
              <w:t>Staphylococcus</w:t>
            </w:r>
            <w:r w:rsidRPr="009221D8">
              <w:rPr>
                <w:rFonts w:cs="Arial"/>
              </w:rPr>
              <w:t xml:space="preserve"> spp.</w:t>
            </w:r>
          </w:p>
        </w:tc>
        <w:tc>
          <w:tcPr>
            <w:tcW w:w="3117" w:type="dxa"/>
          </w:tcPr>
          <w:p w14:paraId="7A48031B" w14:textId="77777777" w:rsidR="009221D8" w:rsidRPr="009221D8" w:rsidRDefault="009221D8" w:rsidP="009221D8">
            <w:pPr>
              <w:rPr>
                <w:rFonts w:cs="Arial"/>
                <w:lang w:eastAsia="bg-BG"/>
              </w:rPr>
            </w:pPr>
            <w:r w:rsidRPr="009221D8">
              <w:rPr>
                <w:rFonts w:cs="Arial"/>
                <w:lang w:eastAsia="bg-BG"/>
              </w:rPr>
              <w:t xml:space="preserve">≤0,5 </w:t>
            </w:r>
            <w:r w:rsidRPr="009221D8">
              <w:rPr>
                <w:rFonts w:cs="Arial"/>
              </w:rPr>
              <w:t>mg/l</w:t>
            </w:r>
          </w:p>
          <w:p w14:paraId="67762FD5" w14:textId="37AC2BA1" w:rsidR="009221D8" w:rsidRPr="009221D8" w:rsidRDefault="009221D8" w:rsidP="009221D8">
            <w:pPr>
              <w:rPr>
                <w:rFonts w:cs="Arial"/>
              </w:rPr>
            </w:pPr>
            <w:r w:rsidRPr="009221D8">
              <w:rPr>
                <w:rFonts w:cs="Arial"/>
                <w:lang w:eastAsia="bg-BG"/>
              </w:rPr>
              <w:t xml:space="preserve">≥ 24 </w:t>
            </w:r>
            <w:r w:rsidRPr="009221D8">
              <w:rPr>
                <w:rFonts w:cs="Arial"/>
              </w:rPr>
              <w:t>mm</w:t>
            </w:r>
          </w:p>
        </w:tc>
        <w:tc>
          <w:tcPr>
            <w:tcW w:w="3117" w:type="dxa"/>
          </w:tcPr>
          <w:p w14:paraId="63128D0A" w14:textId="77777777" w:rsidR="009221D8" w:rsidRPr="009221D8" w:rsidRDefault="009221D8" w:rsidP="009221D8">
            <w:pPr>
              <w:rPr>
                <w:rFonts w:cs="Arial"/>
                <w:lang w:eastAsia="bg-BG"/>
              </w:rPr>
            </w:pPr>
            <w:r w:rsidRPr="009221D8">
              <w:rPr>
                <w:rFonts w:cs="Arial"/>
              </w:rPr>
              <w:t>&gt; 1 mg/l</w:t>
            </w:r>
          </w:p>
          <w:p w14:paraId="3C15DE4A" w14:textId="59B99265" w:rsidR="009221D8" w:rsidRPr="009221D8" w:rsidRDefault="009221D8" w:rsidP="009221D8">
            <w:pPr>
              <w:rPr>
                <w:rFonts w:cs="Arial"/>
              </w:rPr>
            </w:pPr>
            <w:r w:rsidRPr="009221D8">
              <w:rPr>
                <w:rFonts w:cs="Arial"/>
              </w:rPr>
              <w:t>&lt;21 mm</w:t>
            </w:r>
          </w:p>
        </w:tc>
      </w:tr>
      <w:tr w:rsidR="009221D8" w:rsidRPr="009221D8" w14:paraId="1ECC4C38" w14:textId="77777777" w:rsidTr="009221D8">
        <w:tc>
          <w:tcPr>
            <w:tcW w:w="3116" w:type="dxa"/>
          </w:tcPr>
          <w:p w14:paraId="71AC29FC" w14:textId="3F321DC2" w:rsidR="009221D8" w:rsidRPr="009221D8" w:rsidRDefault="009221D8" w:rsidP="009221D8">
            <w:pPr>
              <w:rPr>
                <w:rFonts w:cs="Arial"/>
              </w:rPr>
            </w:pPr>
            <w:r w:rsidRPr="009221D8">
              <w:rPr>
                <w:rFonts w:cs="Arial"/>
              </w:rPr>
              <w:t xml:space="preserve">S', </w:t>
            </w:r>
            <w:r w:rsidRPr="009221D8">
              <w:rPr>
                <w:rFonts w:cs="Arial"/>
                <w:i/>
                <w:iCs/>
              </w:rPr>
              <w:t>pneumoniae</w:t>
            </w:r>
          </w:p>
        </w:tc>
        <w:tc>
          <w:tcPr>
            <w:tcW w:w="3117" w:type="dxa"/>
          </w:tcPr>
          <w:p w14:paraId="00AC78FE" w14:textId="77777777" w:rsidR="009221D8" w:rsidRPr="009221D8" w:rsidRDefault="009221D8" w:rsidP="009221D8">
            <w:pPr>
              <w:rPr>
                <w:rFonts w:cs="Arial"/>
                <w:lang w:eastAsia="bg-BG"/>
              </w:rPr>
            </w:pPr>
            <w:r w:rsidRPr="009221D8">
              <w:rPr>
                <w:rFonts w:cs="Arial"/>
                <w:lang w:eastAsia="bg-BG"/>
              </w:rPr>
              <w:t>≤</w:t>
            </w:r>
            <w:r w:rsidRPr="009221D8">
              <w:rPr>
                <w:rFonts w:cs="Arial"/>
              </w:rPr>
              <w:t xml:space="preserve"> </w:t>
            </w:r>
            <w:r w:rsidRPr="009221D8">
              <w:rPr>
                <w:rFonts w:cs="Arial"/>
                <w:lang w:eastAsia="bg-BG"/>
              </w:rPr>
              <w:t xml:space="preserve">0,5 </w:t>
            </w:r>
            <w:r w:rsidRPr="009221D8">
              <w:rPr>
                <w:rFonts w:cs="Arial"/>
              </w:rPr>
              <w:t>mg/l</w:t>
            </w:r>
          </w:p>
          <w:p w14:paraId="74D3951D" w14:textId="73AA4FC2" w:rsidR="009221D8" w:rsidRPr="009221D8" w:rsidRDefault="009221D8" w:rsidP="009221D8">
            <w:pPr>
              <w:rPr>
                <w:rFonts w:cs="Arial"/>
              </w:rPr>
            </w:pPr>
            <w:r w:rsidRPr="009221D8">
              <w:rPr>
                <w:rFonts w:cs="Arial"/>
                <w:lang w:eastAsia="bg-BG"/>
              </w:rPr>
              <w:t>≥</w:t>
            </w:r>
            <w:r w:rsidRPr="009221D8">
              <w:rPr>
                <w:rFonts w:cs="Arial"/>
              </w:rPr>
              <w:t xml:space="preserve"> </w:t>
            </w:r>
            <w:r w:rsidRPr="009221D8">
              <w:rPr>
                <w:rFonts w:cs="Arial"/>
                <w:lang w:eastAsia="bg-BG"/>
              </w:rPr>
              <w:t xml:space="preserve">22 </w:t>
            </w:r>
            <w:r w:rsidRPr="009221D8">
              <w:rPr>
                <w:rFonts w:cs="Arial"/>
              </w:rPr>
              <w:t>mm</w:t>
            </w:r>
          </w:p>
        </w:tc>
        <w:tc>
          <w:tcPr>
            <w:tcW w:w="3117" w:type="dxa"/>
          </w:tcPr>
          <w:p w14:paraId="67C2BB1D" w14:textId="77777777" w:rsidR="009221D8" w:rsidRPr="009221D8" w:rsidRDefault="009221D8" w:rsidP="009221D8">
            <w:pPr>
              <w:rPr>
                <w:rFonts w:cs="Arial"/>
                <w:lang w:eastAsia="bg-BG"/>
              </w:rPr>
            </w:pPr>
            <w:r w:rsidRPr="009221D8">
              <w:rPr>
                <w:rFonts w:cs="Arial"/>
              </w:rPr>
              <w:t>&gt; 0,5 mg/l</w:t>
            </w:r>
          </w:p>
          <w:p w14:paraId="740C8161" w14:textId="349133A8" w:rsidR="009221D8" w:rsidRPr="009221D8" w:rsidRDefault="009221D8" w:rsidP="009221D8">
            <w:pPr>
              <w:rPr>
                <w:rFonts w:cs="Arial"/>
              </w:rPr>
            </w:pPr>
            <w:r w:rsidRPr="009221D8">
              <w:rPr>
                <w:rFonts w:cs="Arial"/>
              </w:rPr>
              <w:t>&lt;22 mm</w:t>
            </w:r>
          </w:p>
        </w:tc>
      </w:tr>
      <w:tr w:rsidR="009221D8" w:rsidRPr="009221D8" w14:paraId="14714502" w14:textId="77777777" w:rsidTr="009221D8">
        <w:tc>
          <w:tcPr>
            <w:tcW w:w="3116" w:type="dxa"/>
          </w:tcPr>
          <w:p w14:paraId="1E94BC10" w14:textId="417791FE" w:rsidR="009221D8" w:rsidRPr="009221D8" w:rsidRDefault="009221D8" w:rsidP="009221D8">
            <w:pPr>
              <w:rPr>
                <w:rFonts w:cs="Arial"/>
              </w:rPr>
            </w:pPr>
            <w:r w:rsidRPr="009221D8">
              <w:rPr>
                <w:rFonts w:cs="Arial"/>
                <w:i/>
                <w:iCs/>
              </w:rPr>
              <w:t>Streptococcus</w:t>
            </w:r>
            <w:r w:rsidRPr="009221D8">
              <w:rPr>
                <w:rFonts w:cs="Arial"/>
              </w:rPr>
              <w:t xml:space="preserve"> </w:t>
            </w:r>
            <w:r w:rsidRPr="009221D8">
              <w:rPr>
                <w:rFonts w:cs="Arial"/>
                <w:lang w:eastAsia="bg-BG"/>
              </w:rPr>
              <w:t xml:space="preserve">групи А, В, </w:t>
            </w:r>
            <w:r w:rsidRPr="009221D8">
              <w:rPr>
                <w:rFonts w:cs="Arial"/>
              </w:rPr>
              <w:t>C, G</w:t>
            </w:r>
          </w:p>
        </w:tc>
        <w:tc>
          <w:tcPr>
            <w:tcW w:w="3117" w:type="dxa"/>
          </w:tcPr>
          <w:p w14:paraId="23288E93" w14:textId="77777777" w:rsidR="009221D8" w:rsidRPr="009221D8" w:rsidRDefault="009221D8" w:rsidP="009221D8">
            <w:pPr>
              <w:rPr>
                <w:rFonts w:cs="Arial"/>
                <w:lang w:eastAsia="bg-BG"/>
              </w:rPr>
            </w:pPr>
            <w:r w:rsidRPr="009221D8">
              <w:rPr>
                <w:rFonts w:cs="Arial"/>
                <w:lang w:eastAsia="bg-BG"/>
              </w:rPr>
              <w:t>≤</w:t>
            </w:r>
            <w:r w:rsidRPr="009221D8">
              <w:rPr>
                <w:rFonts w:cs="Arial"/>
              </w:rPr>
              <w:t xml:space="preserve"> 0,5 mg/l</w:t>
            </w:r>
          </w:p>
          <w:p w14:paraId="4AFF82BC" w14:textId="65F253F3" w:rsidR="009221D8" w:rsidRPr="009221D8" w:rsidRDefault="009221D8" w:rsidP="009221D8">
            <w:pPr>
              <w:rPr>
                <w:rFonts w:cs="Arial"/>
              </w:rPr>
            </w:pPr>
            <w:r w:rsidRPr="009221D8">
              <w:rPr>
                <w:rFonts w:cs="Arial"/>
                <w:lang w:eastAsia="bg-BG"/>
              </w:rPr>
              <w:t>≥</w:t>
            </w:r>
            <w:r w:rsidRPr="009221D8">
              <w:rPr>
                <w:rFonts w:cs="Arial"/>
              </w:rPr>
              <w:t xml:space="preserve"> 18 mm</w:t>
            </w:r>
          </w:p>
        </w:tc>
        <w:tc>
          <w:tcPr>
            <w:tcW w:w="3117" w:type="dxa"/>
          </w:tcPr>
          <w:p w14:paraId="1C8B741C" w14:textId="77777777" w:rsidR="009221D8" w:rsidRPr="009221D8" w:rsidRDefault="009221D8" w:rsidP="009221D8">
            <w:pPr>
              <w:rPr>
                <w:rFonts w:cs="Arial"/>
                <w:lang w:eastAsia="bg-BG"/>
              </w:rPr>
            </w:pPr>
            <w:r w:rsidRPr="009221D8">
              <w:rPr>
                <w:rFonts w:cs="Arial"/>
              </w:rPr>
              <w:t>&gt; 1 mg/l</w:t>
            </w:r>
          </w:p>
          <w:p w14:paraId="474746BB" w14:textId="2CF2200D" w:rsidR="009221D8" w:rsidRPr="009221D8" w:rsidRDefault="009221D8" w:rsidP="009221D8">
            <w:pPr>
              <w:rPr>
                <w:rFonts w:cs="Arial"/>
              </w:rPr>
            </w:pPr>
            <w:r w:rsidRPr="009221D8">
              <w:rPr>
                <w:rFonts w:cs="Arial"/>
              </w:rPr>
              <w:t>&lt; 15 mm</w:t>
            </w:r>
          </w:p>
        </w:tc>
      </w:tr>
      <w:tr w:rsidR="009221D8" w:rsidRPr="009221D8" w14:paraId="0B5D092D" w14:textId="77777777" w:rsidTr="009221D8">
        <w:tc>
          <w:tcPr>
            <w:tcW w:w="3116" w:type="dxa"/>
          </w:tcPr>
          <w:p w14:paraId="587125BB" w14:textId="5FC4704E" w:rsidR="009221D8" w:rsidRPr="009221D8" w:rsidRDefault="009221D8" w:rsidP="009221D8">
            <w:pPr>
              <w:rPr>
                <w:rFonts w:cs="Arial"/>
              </w:rPr>
            </w:pPr>
            <w:r w:rsidRPr="009221D8">
              <w:rPr>
                <w:rFonts w:cs="Arial"/>
                <w:i/>
                <w:iCs/>
              </w:rPr>
              <w:t>H. influenzae</w:t>
            </w:r>
          </w:p>
        </w:tc>
        <w:tc>
          <w:tcPr>
            <w:tcW w:w="3117" w:type="dxa"/>
          </w:tcPr>
          <w:p w14:paraId="0E155B85" w14:textId="77777777" w:rsidR="009221D8" w:rsidRPr="009221D8" w:rsidRDefault="009221D8" w:rsidP="009221D8">
            <w:pPr>
              <w:rPr>
                <w:rFonts w:cs="Arial"/>
                <w:lang w:eastAsia="bg-BG"/>
              </w:rPr>
            </w:pPr>
            <w:r w:rsidRPr="009221D8">
              <w:rPr>
                <w:rFonts w:cs="Arial"/>
                <w:lang w:eastAsia="bg-BG"/>
              </w:rPr>
              <w:t>≤</w:t>
            </w:r>
            <w:r w:rsidRPr="009221D8">
              <w:rPr>
                <w:rFonts w:cs="Arial"/>
              </w:rPr>
              <w:t xml:space="preserve"> 0,5 mg/l</w:t>
            </w:r>
          </w:p>
          <w:p w14:paraId="07C16622" w14:textId="6464C878" w:rsidR="009221D8" w:rsidRPr="009221D8" w:rsidRDefault="009221D8" w:rsidP="009221D8">
            <w:pPr>
              <w:rPr>
                <w:rFonts w:cs="Arial"/>
              </w:rPr>
            </w:pPr>
            <w:r w:rsidRPr="009221D8">
              <w:rPr>
                <w:rFonts w:cs="Arial"/>
                <w:lang w:eastAsia="bg-BG"/>
              </w:rPr>
              <w:t>≥</w:t>
            </w:r>
            <w:r w:rsidRPr="009221D8">
              <w:rPr>
                <w:rFonts w:cs="Arial"/>
              </w:rPr>
              <w:t xml:space="preserve"> 25 mm</w:t>
            </w:r>
          </w:p>
        </w:tc>
        <w:tc>
          <w:tcPr>
            <w:tcW w:w="3117" w:type="dxa"/>
          </w:tcPr>
          <w:p w14:paraId="2177C8BF" w14:textId="096B848E" w:rsidR="009221D8" w:rsidRPr="009221D8" w:rsidRDefault="009221D8" w:rsidP="009221D8">
            <w:pPr>
              <w:rPr>
                <w:rFonts w:cs="Arial"/>
              </w:rPr>
            </w:pPr>
            <w:r w:rsidRPr="009221D8">
              <w:rPr>
                <w:rFonts w:cs="Arial"/>
              </w:rPr>
              <w:t>&gt; 0,5 mg/l &lt; 25 mm</w:t>
            </w:r>
          </w:p>
        </w:tc>
      </w:tr>
      <w:tr w:rsidR="009221D8" w:rsidRPr="009221D8" w14:paraId="444CB79A" w14:textId="77777777" w:rsidTr="009221D8">
        <w:tc>
          <w:tcPr>
            <w:tcW w:w="3116" w:type="dxa"/>
          </w:tcPr>
          <w:p w14:paraId="0B35C942" w14:textId="7CC8F0B5" w:rsidR="009221D8" w:rsidRPr="009221D8" w:rsidRDefault="009221D8" w:rsidP="009221D8">
            <w:pPr>
              <w:rPr>
                <w:rFonts w:cs="Arial"/>
              </w:rPr>
            </w:pPr>
            <w:r w:rsidRPr="009221D8">
              <w:rPr>
                <w:rFonts w:cs="Arial"/>
                <w:i/>
                <w:iCs/>
              </w:rPr>
              <w:t>M. catarrhalis</w:t>
            </w:r>
          </w:p>
        </w:tc>
        <w:tc>
          <w:tcPr>
            <w:tcW w:w="3117" w:type="dxa"/>
          </w:tcPr>
          <w:p w14:paraId="43C747A4" w14:textId="77777777" w:rsidR="009221D8" w:rsidRPr="009221D8" w:rsidRDefault="009221D8" w:rsidP="009221D8">
            <w:pPr>
              <w:rPr>
                <w:rFonts w:cs="Arial"/>
                <w:lang w:eastAsia="bg-BG"/>
              </w:rPr>
            </w:pPr>
            <w:r w:rsidRPr="009221D8">
              <w:rPr>
                <w:rFonts w:cs="Arial"/>
                <w:lang w:eastAsia="bg-BG"/>
              </w:rPr>
              <w:t>≤</w:t>
            </w:r>
            <w:r w:rsidRPr="009221D8">
              <w:rPr>
                <w:rFonts w:cs="Arial"/>
              </w:rPr>
              <w:t xml:space="preserve"> 0,5 mg/l</w:t>
            </w:r>
          </w:p>
          <w:p w14:paraId="2976AE83" w14:textId="4F142A08" w:rsidR="009221D8" w:rsidRPr="009221D8" w:rsidRDefault="009221D8" w:rsidP="009221D8">
            <w:pPr>
              <w:rPr>
                <w:rFonts w:cs="Arial"/>
              </w:rPr>
            </w:pPr>
            <w:r w:rsidRPr="009221D8">
              <w:rPr>
                <w:rFonts w:cs="Arial"/>
                <w:lang w:eastAsia="bg-BG"/>
              </w:rPr>
              <w:t>≥</w:t>
            </w:r>
            <w:r w:rsidRPr="009221D8">
              <w:rPr>
                <w:rFonts w:cs="Arial"/>
              </w:rPr>
              <w:t xml:space="preserve"> 23 mm</w:t>
            </w:r>
          </w:p>
        </w:tc>
        <w:tc>
          <w:tcPr>
            <w:tcW w:w="3117" w:type="dxa"/>
          </w:tcPr>
          <w:p w14:paraId="4911A0A5" w14:textId="539D4B5F" w:rsidR="009221D8" w:rsidRPr="009221D8" w:rsidRDefault="009221D8" w:rsidP="009221D8">
            <w:pPr>
              <w:rPr>
                <w:rFonts w:cs="Arial"/>
              </w:rPr>
            </w:pPr>
            <w:r w:rsidRPr="009221D8">
              <w:rPr>
                <w:rFonts w:cs="Arial"/>
              </w:rPr>
              <w:t>&gt; 0,5 mg/l &lt; 23 mm</w:t>
            </w:r>
          </w:p>
        </w:tc>
      </w:tr>
      <w:tr w:rsidR="009221D8" w:rsidRPr="009221D8" w14:paraId="2E5374CD" w14:textId="77777777" w:rsidTr="009221D8">
        <w:tc>
          <w:tcPr>
            <w:tcW w:w="3116" w:type="dxa"/>
          </w:tcPr>
          <w:p w14:paraId="4E2C6ABB" w14:textId="54616CE1" w:rsidR="009221D8" w:rsidRPr="009221D8" w:rsidRDefault="009221D8" w:rsidP="009221D8">
            <w:pPr>
              <w:rPr>
                <w:rFonts w:cs="Arial"/>
              </w:rPr>
            </w:pPr>
            <w:r w:rsidRPr="009221D8">
              <w:rPr>
                <w:rFonts w:cs="Arial"/>
                <w:i/>
                <w:iCs/>
              </w:rPr>
              <w:t>Enterobacteriaceae</w:t>
            </w:r>
          </w:p>
        </w:tc>
        <w:tc>
          <w:tcPr>
            <w:tcW w:w="3117" w:type="dxa"/>
          </w:tcPr>
          <w:p w14:paraId="19077555" w14:textId="389AC6C2" w:rsidR="009221D8" w:rsidRPr="009221D8" w:rsidRDefault="009221D8" w:rsidP="009221D8">
            <w:pPr>
              <w:rPr>
                <w:rFonts w:cs="Arial"/>
              </w:rPr>
            </w:pPr>
            <w:r w:rsidRPr="009221D8">
              <w:rPr>
                <w:rFonts w:cs="Arial"/>
                <w:lang w:eastAsia="bg-BG"/>
              </w:rPr>
              <w:t>≤</w:t>
            </w:r>
            <w:r w:rsidRPr="009221D8">
              <w:rPr>
                <w:rFonts w:cs="Arial"/>
              </w:rPr>
              <w:t xml:space="preserve"> 0,5 mg/l </w:t>
            </w:r>
            <w:r w:rsidRPr="009221D8">
              <w:rPr>
                <w:rFonts w:cs="Arial"/>
                <w:lang w:eastAsia="bg-BG"/>
              </w:rPr>
              <w:t>≥</w:t>
            </w:r>
            <w:r w:rsidRPr="009221D8">
              <w:rPr>
                <w:rFonts w:cs="Arial"/>
              </w:rPr>
              <w:t xml:space="preserve"> 20 mm</w:t>
            </w:r>
          </w:p>
        </w:tc>
        <w:tc>
          <w:tcPr>
            <w:tcW w:w="3117" w:type="dxa"/>
          </w:tcPr>
          <w:p w14:paraId="24C7E435" w14:textId="77777777" w:rsidR="009221D8" w:rsidRPr="009221D8" w:rsidRDefault="009221D8" w:rsidP="009221D8">
            <w:pPr>
              <w:rPr>
                <w:rFonts w:cs="Arial"/>
                <w:lang w:eastAsia="bg-BG"/>
              </w:rPr>
            </w:pPr>
            <w:r w:rsidRPr="009221D8">
              <w:rPr>
                <w:rFonts w:cs="Arial"/>
              </w:rPr>
              <w:t>&gt; 1 mg/l</w:t>
            </w:r>
          </w:p>
          <w:p w14:paraId="4E2CF8D9" w14:textId="238A9607" w:rsidR="009221D8" w:rsidRPr="009221D8" w:rsidRDefault="009221D8" w:rsidP="009221D8">
            <w:pPr>
              <w:rPr>
                <w:rFonts w:cs="Arial"/>
              </w:rPr>
            </w:pPr>
            <w:r w:rsidRPr="009221D8">
              <w:rPr>
                <w:rFonts w:cs="Arial"/>
              </w:rPr>
              <w:t>&lt; 17 mm</w:t>
            </w:r>
          </w:p>
        </w:tc>
      </w:tr>
      <w:tr w:rsidR="009221D8" w:rsidRPr="009221D8" w14:paraId="2D025CF9" w14:textId="77777777" w:rsidTr="009221D8">
        <w:tc>
          <w:tcPr>
            <w:tcW w:w="3116" w:type="dxa"/>
          </w:tcPr>
          <w:p w14:paraId="52B49963" w14:textId="16AA5D0B" w:rsidR="009221D8" w:rsidRPr="009221D8" w:rsidRDefault="009221D8" w:rsidP="009221D8">
            <w:pPr>
              <w:rPr>
                <w:rFonts w:cs="Arial"/>
              </w:rPr>
            </w:pPr>
            <w:r w:rsidRPr="009221D8">
              <w:rPr>
                <w:rFonts w:cs="Arial"/>
                <w:lang w:eastAsia="bg-BG"/>
              </w:rPr>
              <w:t xml:space="preserve">Гранични стойности, несвързани </w:t>
            </w:r>
            <w:r w:rsidRPr="009221D8">
              <w:rPr>
                <w:rFonts w:cs="Arial"/>
              </w:rPr>
              <w:t xml:space="preserve">c </w:t>
            </w:r>
            <w:r w:rsidRPr="009221D8">
              <w:rPr>
                <w:rFonts w:cs="Arial"/>
                <w:lang w:eastAsia="bg-BG"/>
              </w:rPr>
              <w:t>определен вид*</w:t>
            </w:r>
          </w:p>
        </w:tc>
        <w:tc>
          <w:tcPr>
            <w:tcW w:w="3117" w:type="dxa"/>
          </w:tcPr>
          <w:p w14:paraId="756D5EA7" w14:textId="20C021F3" w:rsidR="009221D8" w:rsidRPr="009221D8" w:rsidRDefault="009221D8" w:rsidP="009221D8">
            <w:pPr>
              <w:rPr>
                <w:rFonts w:cs="Arial"/>
              </w:rPr>
            </w:pPr>
            <w:r w:rsidRPr="009221D8">
              <w:rPr>
                <w:rFonts w:cs="Arial"/>
                <w:lang w:eastAsia="bg-BG"/>
              </w:rPr>
              <w:t>≤</w:t>
            </w:r>
            <w:r w:rsidRPr="009221D8">
              <w:rPr>
                <w:rFonts w:cs="Arial"/>
              </w:rPr>
              <w:t xml:space="preserve"> 0,5 mg/l</w:t>
            </w:r>
          </w:p>
        </w:tc>
        <w:tc>
          <w:tcPr>
            <w:tcW w:w="3117" w:type="dxa"/>
          </w:tcPr>
          <w:p w14:paraId="7FD517E3" w14:textId="05E32E8A" w:rsidR="009221D8" w:rsidRPr="009221D8" w:rsidRDefault="009221D8" w:rsidP="009221D8">
            <w:pPr>
              <w:rPr>
                <w:rFonts w:cs="Arial"/>
              </w:rPr>
            </w:pPr>
            <w:r w:rsidRPr="009221D8">
              <w:rPr>
                <w:rFonts w:cs="Arial"/>
              </w:rPr>
              <w:t>&gt; 1 mg/l</w:t>
            </w:r>
          </w:p>
        </w:tc>
      </w:tr>
      <w:tr w:rsidR="009221D8" w:rsidRPr="009221D8" w14:paraId="3B503D39" w14:textId="77777777" w:rsidTr="009221D8">
        <w:tc>
          <w:tcPr>
            <w:tcW w:w="9350" w:type="dxa"/>
            <w:gridSpan w:val="3"/>
          </w:tcPr>
          <w:p w14:paraId="6772D487" w14:textId="39490540" w:rsidR="009221D8" w:rsidRPr="009221D8" w:rsidRDefault="009221D8" w:rsidP="009221D8">
            <w:pPr>
              <w:rPr>
                <w:rFonts w:cs="Arial"/>
                <w:lang w:val="en-US"/>
              </w:rPr>
            </w:pPr>
            <w:r w:rsidRPr="009221D8">
              <w:rPr>
                <w:rFonts w:cs="Arial"/>
              </w:rPr>
              <w:t xml:space="preserve">* Граничните стойности, несвързани с определен вид, са определени главно въз основа на фармакокинетични/фармакодинамични данни и са независими от разпределението на </w:t>
            </w:r>
            <w:r w:rsidRPr="009221D8">
              <w:rPr>
                <w:rFonts w:cs="Arial"/>
                <w:lang w:val="en-US"/>
              </w:rPr>
              <w:t xml:space="preserve">MIC </w:t>
            </w:r>
            <w:r w:rsidRPr="009221D8">
              <w:rPr>
                <w:rFonts w:cs="Arial"/>
              </w:rPr>
              <w:t>за</w:t>
            </w:r>
            <w:r w:rsidRPr="009221D8">
              <w:rPr>
                <w:rFonts w:cs="Arial"/>
                <w:lang w:val="en-US"/>
              </w:rPr>
              <w:t xml:space="preserve"> </w:t>
            </w:r>
            <w:r w:rsidRPr="009221D8">
              <w:rPr>
                <w:rFonts w:cs="Arial"/>
              </w:rPr>
              <w:t>конкретни видове. Те се използват само при видове, за които не е дадена видово специфична гранична стойност, и не са предназначени за използване при видове, за които все още предстои да се определят критериите за интерпретиране.</w:t>
            </w:r>
          </w:p>
        </w:tc>
      </w:tr>
    </w:tbl>
    <w:p w14:paraId="032712CD" w14:textId="0E2497CE" w:rsidR="009221D8" w:rsidRPr="009221D8" w:rsidRDefault="009221D8" w:rsidP="009221D8">
      <w:pPr>
        <w:rPr>
          <w:rFonts w:cs="Arial"/>
        </w:rPr>
      </w:pPr>
    </w:p>
    <w:p w14:paraId="089DC415" w14:textId="77777777" w:rsidR="009221D8" w:rsidRPr="009221D8" w:rsidRDefault="009221D8" w:rsidP="009221D8">
      <w:pPr>
        <w:spacing w:line="240" w:lineRule="auto"/>
        <w:rPr>
          <w:rFonts w:eastAsia="Times New Roman" w:cs="Arial"/>
          <w:lang w:eastAsia="bg-BG"/>
        </w:rPr>
      </w:pPr>
      <w:r w:rsidRPr="009221D8">
        <w:rPr>
          <w:rFonts w:eastAsia="Times New Roman" w:cs="Arial"/>
          <w:color w:val="000000"/>
          <w:u w:val="single"/>
          <w:lang w:eastAsia="bg-BG"/>
        </w:rPr>
        <w:t>Микробиологична чувствителност</w:t>
      </w:r>
    </w:p>
    <w:p w14:paraId="2CE06AFE" w14:textId="27781ABE" w:rsidR="009221D8" w:rsidRPr="009221D8" w:rsidRDefault="009221D8" w:rsidP="009221D8">
      <w:pPr>
        <w:rPr>
          <w:rFonts w:cs="Arial"/>
        </w:rPr>
      </w:pPr>
      <w:r w:rsidRPr="009221D8">
        <w:rPr>
          <w:rFonts w:eastAsia="Times New Roman" w:cs="Arial"/>
          <w:color w:val="000000"/>
          <w:lang w:eastAsia="bg-BG"/>
        </w:rPr>
        <w:t>Разпределението на придобитата резистентност може да варира географски и във времето за избрани видове, и е желателно да се получи информация за локалната резистентност, особено при лечение на тежки инфекции. Ако е необходимо, трябва да се потърси експертно мнение, когато честотата на локалната резистентност е такава, че ползата от лекарството поне при някои видове инфекции е под въпрос.</w:t>
      </w:r>
    </w:p>
    <w:p w14:paraId="36152471" w14:textId="415B428A" w:rsidR="0091385D" w:rsidRPr="009221D8" w:rsidRDefault="0091385D" w:rsidP="0091385D">
      <w:pPr>
        <w:rPr>
          <w:rFonts w:cs="Arial"/>
        </w:rPr>
      </w:pPr>
    </w:p>
    <w:tbl>
      <w:tblPr>
        <w:tblStyle w:val="TableGrid"/>
        <w:tblW w:w="0" w:type="auto"/>
        <w:tblLook w:val="04A0" w:firstRow="1" w:lastRow="0" w:firstColumn="1" w:lastColumn="0" w:noHBand="0" w:noVBand="1"/>
      </w:tblPr>
      <w:tblGrid>
        <w:gridCol w:w="9350"/>
      </w:tblGrid>
      <w:tr w:rsidR="009221D8" w:rsidRPr="009221D8" w14:paraId="1392C45B" w14:textId="77777777" w:rsidTr="009221D8">
        <w:tc>
          <w:tcPr>
            <w:tcW w:w="9350" w:type="dxa"/>
            <w:vAlign w:val="bottom"/>
          </w:tcPr>
          <w:p w14:paraId="4EA10D94" w14:textId="1D03EEAF" w:rsidR="009221D8" w:rsidRPr="009221D8" w:rsidRDefault="009221D8" w:rsidP="009221D8">
            <w:pPr>
              <w:rPr>
                <w:rFonts w:cs="Arial"/>
              </w:rPr>
            </w:pPr>
            <w:r w:rsidRPr="009221D8">
              <w:rPr>
                <w:rFonts w:cs="Arial"/>
                <w:b/>
                <w:bCs/>
                <w:lang w:eastAsia="bg-BG"/>
              </w:rPr>
              <w:t>Обикновено чувствителни видове</w:t>
            </w:r>
          </w:p>
        </w:tc>
      </w:tr>
      <w:tr w:rsidR="009221D8" w:rsidRPr="009221D8" w14:paraId="50A5E41B" w14:textId="77777777" w:rsidTr="009221D8">
        <w:tc>
          <w:tcPr>
            <w:tcW w:w="9350" w:type="dxa"/>
            <w:vAlign w:val="bottom"/>
          </w:tcPr>
          <w:p w14:paraId="3AE87722" w14:textId="77777777" w:rsidR="009221D8" w:rsidRPr="009221D8" w:rsidRDefault="009221D8" w:rsidP="009221D8">
            <w:pPr>
              <w:rPr>
                <w:rFonts w:cs="Arial"/>
                <w:lang w:eastAsia="bg-BG"/>
              </w:rPr>
            </w:pPr>
            <w:r w:rsidRPr="009221D8">
              <w:rPr>
                <w:rFonts w:cs="Arial"/>
                <w:u w:val="single"/>
                <w:lang w:eastAsia="bg-BG"/>
              </w:rPr>
              <w:t>Аеробни грам-положителни микроорганизми</w:t>
            </w:r>
          </w:p>
          <w:p w14:paraId="032F18BD" w14:textId="77777777" w:rsidR="009221D8" w:rsidRPr="009221D8" w:rsidRDefault="009221D8" w:rsidP="009221D8">
            <w:pPr>
              <w:rPr>
                <w:rFonts w:cs="Arial"/>
                <w:lang w:eastAsia="bg-BG"/>
              </w:rPr>
            </w:pPr>
            <w:r w:rsidRPr="009221D8">
              <w:rPr>
                <w:rFonts w:cs="Arial"/>
                <w:i/>
                <w:iCs/>
              </w:rPr>
              <w:t>Gardnerella vaginalis</w:t>
            </w:r>
          </w:p>
          <w:p w14:paraId="40D4C5C7" w14:textId="77777777" w:rsidR="009221D8" w:rsidRPr="009221D8" w:rsidRDefault="009221D8" w:rsidP="009221D8">
            <w:pPr>
              <w:rPr>
                <w:rFonts w:cs="Arial"/>
                <w:lang w:eastAsia="bg-BG"/>
              </w:rPr>
            </w:pPr>
            <w:r w:rsidRPr="009221D8">
              <w:rPr>
                <w:rFonts w:cs="Arial"/>
                <w:i/>
                <w:iCs/>
              </w:rPr>
              <w:t>Staphylococcus aureus*</w:t>
            </w:r>
            <w:r w:rsidRPr="009221D8">
              <w:rPr>
                <w:rFonts w:cs="Arial"/>
              </w:rPr>
              <w:t xml:space="preserve"> </w:t>
            </w:r>
            <w:r w:rsidRPr="009221D8">
              <w:rPr>
                <w:rFonts w:cs="Arial"/>
                <w:lang w:eastAsia="bg-BG"/>
              </w:rPr>
              <w:t>(чувствителни на метицилин)</w:t>
            </w:r>
          </w:p>
          <w:p w14:paraId="3DB44933" w14:textId="77777777" w:rsidR="009221D8" w:rsidRPr="009221D8" w:rsidRDefault="009221D8" w:rsidP="009221D8">
            <w:pPr>
              <w:rPr>
                <w:rFonts w:cs="Arial"/>
                <w:lang w:eastAsia="bg-BG"/>
              </w:rPr>
            </w:pPr>
            <w:r w:rsidRPr="009221D8">
              <w:rPr>
                <w:rFonts w:cs="Arial"/>
                <w:i/>
                <w:iCs/>
              </w:rPr>
              <w:t>Streptococcus agalactiae</w:t>
            </w:r>
            <w:r w:rsidRPr="009221D8">
              <w:rPr>
                <w:rFonts w:cs="Arial"/>
              </w:rPr>
              <w:t xml:space="preserve"> </w:t>
            </w:r>
            <w:r w:rsidRPr="009221D8">
              <w:rPr>
                <w:rFonts w:cs="Arial"/>
                <w:lang w:eastAsia="bg-BG"/>
              </w:rPr>
              <w:t>(група В)</w:t>
            </w:r>
          </w:p>
          <w:p w14:paraId="4868F534" w14:textId="77777777" w:rsidR="009221D8" w:rsidRPr="009221D8" w:rsidRDefault="009221D8" w:rsidP="009221D8">
            <w:pPr>
              <w:rPr>
                <w:rFonts w:cs="Arial"/>
                <w:lang w:eastAsia="bg-BG"/>
              </w:rPr>
            </w:pPr>
            <w:r w:rsidRPr="009221D8">
              <w:rPr>
                <w:rFonts w:cs="Arial"/>
                <w:lang w:eastAsia="bg-BG"/>
              </w:rPr>
              <w:t xml:space="preserve">Група </w:t>
            </w:r>
            <w:r w:rsidRPr="009221D8">
              <w:rPr>
                <w:rFonts w:cs="Arial"/>
                <w:i/>
                <w:iCs/>
              </w:rPr>
              <w:t>Streptococcus milleri</w:t>
            </w:r>
            <w:r w:rsidRPr="009221D8">
              <w:rPr>
                <w:rFonts w:cs="Arial"/>
              </w:rPr>
              <w:t xml:space="preserve"> </w:t>
            </w:r>
            <w:r w:rsidRPr="009221D8">
              <w:rPr>
                <w:rFonts w:cs="Arial"/>
                <w:lang w:eastAsia="bg-BG"/>
              </w:rPr>
              <w:t xml:space="preserve">* </w:t>
            </w:r>
            <w:r w:rsidRPr="009221D8">
              <w:rPr>
                <w:rFonts w:cs="Arial"/>
              </w:rPr>
              <w:t xml:space="preserve">(S. </w:t>
            </w:r>
            <w:r w:rsidRPr="009221D8">
              <w:rPr>
                <w:rFonts w:cs="Arial"/>
                <w:i/>
                <w:iCs/>
              </w:rPr>
              <w:t>anginas us, S. constellatus</w:t>
            </w:r>
            <w:r w:rsidRPr="009221D8">
              <w:rPr>
                <w:rFonts w:cs="Arial"/>
              </w:rPr>
              <w:t xml:space="preserve"> </w:t>
            </w:r>
            <w:r w:rsidRPr="009221D8">
              <w:rPr>
                <w:rFonts w:cs="Arial"/>
                <w:lang w:eastAsia="bg-BG"/>
              </w:rPr>
              <w:t xml:space="preserve">и </w:t>
            </w:r>
            <w:r w:rsidRPr="009221D8">
              <w:rPr>
                <w:rFonts w:cs="Arial"/>
                <w:i/>
                <w:iCs/>
              </w:rPr>
              <w:t>S. interm edius)</w:t>
            </w:r>
          </w:p>
          <w:p w14:paraId="7D93B742" w14:textId="77777777" w:rsidR="009221D8" w:rsidRPr="009221D8" w:rsidRDefault="009221D8" w:rsidP="009221D8">
            <w:pPr>
              <w:rPr>
                <w:rFonts w:cs="Arial"/>
                <w:lang w:eastAsia="bg-BG"/>
              </w:rPr>
            </w:pPr>
            <w:r w:rsidRPr="009221D8">
              <w:rPr>
                <w:rFonts w:cs="Arial"/>
                <w:i/>
                <w:iCs/>
              </w:rPr>
              <w:t>Streptococcus pneumoniae*</w:t>
            </w:r>
          </w:p>
          <w:p w14:paraId="26EA6A58" w14:textId="77777777" w:rsidR="009221D8" w:rsidRPr="009221D8" w:rsidRDefault="009221D8" w:rsidP="009221D8">
            <w:pPr>
              <w:rPr>
                <w:rFonts w:cs="Arial"/>
                <w:lang w:eastAsia="bg-BG"/>
              </w:rPr>
            </w:pPr>
            <w:r w:rsidRPr="009221D8">
              <w:rPr>
                <w:rFonts w:cs="Arial"/>
                <w:i/>
                <w:iCs/>
              </w:rPr>
              <w:t>Streptococcus pyogenes*</w:t>
            </w:r>
            <w:r w:rsidRPr="009221D8">
              <w:rPr>
                <w:rFonts w:cs="Arial"/>
              </w:rPr>
              <w:t xml:space="preserve"> </w:t>
            </w:r>
            <w:r w:rsidRPr="009221D8">
              <w:rPr>
                <w:rFonts w:cs="Arial"/>
                <w:lang w:eastAsia="bg-BG"/>
              </w:rPr>
              <w:t xml:space="preserve">(група </w:t>
            </w:r>
            <w:r w:rsidRPr="009221D8">
              <w:rPr>
                <w:rFonts w:cs="Arial"/>
              </w:rPr>
              <w:t>A)</w:t>
            </w:r>
          </w:p>
          <w:p w14:paraId="00838585" w14:textId="09FE861E" w:rsidR="009221D8" w:rsidRPr="009221D8" w:rsidRDefault="009221D8" w:rsidP="009221D8">
            <w:pPr>
              <w:rPr>
                <w:rFonts w:cs="Arial"/>
              </w:rPr>
            </w:pPr>
            <w:r w:rsidRPr="009221D8">
              <w:rPr>
                <w:rFonts w:cs="Arial"/>
                <w:lang w:eastAsia="bg-BG"/>
              </w:rPr>
              <w:lastRenderedPageBreak/>
              <w:t xml:space="preserve">Група </w:t>
            </w:r>
            <w:r w:rsidRPr="009221D8">
              <w:rPr>
                <w:rFonts w:cs="Arial"/>
                <w:i/>
                <w:iCs/>
              </w:rPr>
              <w:t>Streptococcus viridans (S. viridans, S. mutans, S. mitis, S. sanguinis, S. salivarius, S. thermophilus)</w:t>
            </w:r>
          </w:p>
        </w:tc>
      </w:tr>
      <w:tr w:rsidR="009221D8" w:rsidRPr="009221D8" w14:paraId="5AEC0627" w14:textId="77777777" w:rsidTr="009221D8">
        <w:tc>
          <w:tcPr>
            <w:tcW w:w="9350" w:type="dxa"/>
            <w:vAlign w:val="bottom"/>
          </w:tcPr>
          <w:p w14:paraId="046BDFB4" w14:textId="77777777" w:rsidR="009221D8" w:rsidRPr="009221D8" w:rsidRDefault="009221D8" w:rsidP="009221D8">
            <w:pPr>
              <w:rPr>
                <w:rFonts w:cs="Arial"/>
                <w:lang w:eastAsia="bg-BG"/>
              </w:rPr>
            </w:pPr>
            <w:r w:rsidRPr="009221D8">
              <w:rPr>
                <w:rFonts w:cs="Arial"/>
                <w:u w:val="single"/>
                <w:lang w:eastAsia="bg-BG"/>
              </w:rPr>
              <w:lastRenderedPageBreak/>
              <w:t>Аеробни грам-отрицателни микроорганизми</w:t>
            </w:r>
          </w:p>
          <w:p w14:paraId="3971B5B6" w14:textId="77777777" w:rsidR="009221D8" w:rsidRPr="009221D8" w:rsidRDefault="009221D8" w:rsidP="009221D8">
            <w:pPr>
              <w:rPr>
                <w:rFonts w:cs="Arial"/>
                <w:lang w:eastAsia="bg-BG"/>
              </w:rPr>
            </w:pPr>
            <w:r w:rsidRPr="009221D8">
              <w:rPr>
                <w:rFonts w:cs="Arial"/>
                <w:i/>
                <w:iCs/>
              </w:rPr>
              <w:t>Acinetobacter baumanii</w:t>
            </w:r>
          </w:p>
          <w:p w14:paraId="5A54DF3B" w14:textId="77777777" w:rsidR="009221D8" w:rsidRPr="009221D8" w:rsidRDefault="009221D8" w:rsidP="009221D8">
            <w:pPr>
              <w:rPr>
                <w:rFonts w:cs="Arial"/>
                <w:lang w:eastAsia="bg-BG"/>
              </w:rPr>
            </w:pPr>
            <w:r w:rsidRPr="009221D8">
              <w:rPr>
                <w:rFonts w:cs="Arial"/>
                <w:i/>
                <w:iCs/>
              </w:rPr>
              <w:t>Haemophilus influenzae*</w:t>
            </w:r>
          </w:p>
          <w:p w14:paraId="0504CBA7" w14:textId="77777777" w:rsidR="009221D8" w:rsidRPr="009221D8" w:rsidRDefault="009221D8" w:rsidP="009221D8">
            <w:pPr>
              <w:rPr>
                <w:rFonts w:cs="Arial"/>
                <w:lang w:eastAsia="bg-BG"/>
              </w:rPr>
            </w:pPr>
            <w:r w:rsidRPr="009221D8">
              <w:rPr>
                <w:rFonts w:cs="Arial"/>
                <w:i/>
                <w:iCs/>
              </w:rPr>
              <w:t>Haemophilus parainfluenzae*</w:t>
            </w:r>
          </w:p>
          <w:p w14:paraId="24058AC1" w14:textId="77777777" w:rsidR="009221D8" w:rsidRPr="009221D8" w:rsidRDefault="009221D8" w:rsidP="009221D8">
            <w:pPr>
              <w:rPr>
                <w:rFonts w:cs="Arial"/>
                <w:lang w:eastAsia="bg-BG"/>
              </w:rPr>
            </w:pPr>
            <w:r w:rsidRPr="009221D8">
              <w:rPr>
                <w:rFonts w:cs="Arial"/>
                <w:i/>
                <w:iCs/>
              </w:rPr>
              <w:t>Legionella pneumophila</w:t>
            </w:r>
          </w:p>
          <w:p w14:paraId="072CC0C5" w14:textId="03A8D3BA" w:rsidR="009221D8" w:rsidRPr="009221D8" w:rsidRDefault="009221D8" w:rsidP="009221D8">
            <w:pPr>
              <w:rPr>
                <w:rFonts w:cs="Arial"/>
              </w:rPr>
            </w:pPr>
            <w:r w:rsidRPr="009221D8">
              <w:rPr>
                <w:rFonts w:cs="Arial"/>
                <w:i/>
                <w:iCs/>
              </w:rPr>
              <w:t>Moraxella (Branhamella) catarrhalis*</w:t>
            </w:r>
          </w:p>
        </w:tc>
      </w:tr>
      <w:tr w:rsidR="009221D8" w:rsidRPr="009221D8" w14:paraId="584F9860" w14:textId="77777777" w:rsidTr="009221D8">
        <w:tc>
          <w:tcPr>
            <w:tcW w:w="9350" w:type="dxa"/>
            <w:vAlign w:val="bottom"/>
          </w:tcPr>
          <w:p w14:paraId="7ECF303A" w14:textId="77777777" w:rsidR="009221D8" w:rsidRPr="009221D8" w:rsidRDefault="009221D8" w:rsidP="009221D8">
            <w:pPr>
              <w:rPr>
                <w:rFonts w:cs="Arial"/>
                <w:lang w:eastAsia="bg-BG"/>
              </w:rPr>
            </w:pPr>
            <w:r w:rsidRPr="009221D8">
              <w:rPr>
                <w:rFonts w:cs="Arial"/>
                <w:u w:val="single"/>
                <w:lang w:eastAsia="bg-BG"/>
              </w:rPr>
              <w:t xml:space="preserve">Анаеробни микроорганизми </w:t>
            </w:r>
            <w:r w:rsidRPr="009221D8">
              <w:rPr>
                <w:rFonts w:cs="Arial"/>
                <w:i/>
                <w:iCs/>
              </w:rPr>
              <w:t>Fusobacterium</w:t>
            </w:r>
            <w:r w:rsidRPr="009221D8">
              <w:rPr>
                <w:rFonts w:cs="Arial"/>
              </w:rPr>
              <w:t xml:space="preserve"> spp.</w:t>
            </w:r>
          </w:p>
          <w:p w14:paraId="2BB4F60A" w14:textId="6D7A20F8" w:rsidR="009221D8" w:rsidRPr="009221D8" w:rsidRDefault="009221D8" w:rsidP="009221D8">
            <w:pPr>
              <w:rPr>
                <w:rFonts w:cs="Arial"/>
              </w:rPr>
            </w:pPr>
            <w:r w:rsidRPr="009221D8">
              <w:rPr>
                <w:rFonts w:cs="Arial"/>
                <w:i/>
                <w:iCs/>
              </w:rPr>
              <w:t>Prevotella</w:t>
            </w:r>
            <w:r w:rsidRPr="009221D8">
              <w:rPr>
                <w:rFonts w:cs="Arial"/>
              </w:rPr>
              <w:t xml:space="preserve"> spp.</w:t>
            </w:r>
          </w:p>
        </w:tc>
      </w:tr>
      <w:tr w:rsidR="009221D8" w:rsidRPr="009221D8" w14:paraId="03014742" w14:textId="77777777" w:rsidTr="009221D8">
        <w:tc>
          <w:tcPr>
            <w:tcW w:w="9350" w:type="dxa"/>
            <w:vAlign w:val="bottom"/>
          </w:tcPr>
          <w:p w14:paraId="014FCCB3" w14:textId="77777777" w:rsidR="009221D8" w:rsidRPr="009221D8" w:rsidRDefault="009221D8" w:rsidP="009221D8">
            <w:pPr>
              <w:rPr>
                <w:rFonts w:cs="Arial"/>
                <w:lang w:eastAsia="bg-BG"/>
              </w:rPr>
            </w:pPr>
            <w:r w:rsidRPr="009221D8">
              <w:rPr>
                <w:rFonts w:cs="Arial"/>
                <w:u w:val="single"/>
                <w:lang w:eastAsia="bg-BG"/>
              </w:rPr>
              <w:t>„Други“ микроорганизми</w:t>
            </w:r>
          </w:p>
          <w:p w14:paraId="6D6C9337" w14:textId="77777777" w:rsidR="009221D8" w:rsidRPr="009221D8" w:rsidRDefault="009221D8" w:rsidP="009221D8">
            <w:pPr>
              <w:rPr>
                <w:rFonts w:cs="Arial"/>
                <w:lang w:eastAsia="bg-BG"/>
              </w:rPr>
            </w:pPr>
            <w:r w:rsidRPr="009221D8">
              <w:rPr>
                <w:rFonts w:cs="Arial"/>
                <w:i/>
                <w:iCs/>
              </w:rPr>
              <w:t>Chlamydophila (Chlamydia) pneumoniae*</w:t>
            </w:r>
          </w:p>
          <w:p w14:paraId="79589AEA" w14:textId="77777777" w:rsidR="009221D8" w:rsidRPr="009221D8" w:rsidRDefault="009221D8" w:rsidP="009221D8">
            <w:pPr>
              <w:rPr>
                <w:rFonts w:cs="Arial"/>
                <w:lang w:eastAsia="bg-BG"/>
              </w:rPr>
            </w:pPr>
            <w:r w:rsidRPr="009221D8">
              <w:rPr>
                <w:rFonts w:cs="Arial"/>
                <w:i/>
                <w:iCs/>
              </w:rPr>
              <w:t>Chlamydia trachomatis *</w:t>
            </w:r>
          </w:p>
          <w:p w14:paraId="573C0B00" w14:textId="77777777" w:rsidR="009221D8" w:rsidRPr="009221D8" w:rsidRDefault="009221D8" w:rsidP="009221D8">
            <w:pPr>
              <w:rPr>
                <w:rFonts w:cs="Arial"/>
                <w:lang w:eastAsia="bg-BG"/>
              </w:rPr>
            </w:pPr>
            <w:r w:rsidRPr="009221D8">
              <w:rPr>
                <w:rFonts w:cs="Arial"/>
                <w:i/>
                <w:iCs/>
              </w:rPr>
              <w:t>Coxiella burnetii</w:t>
            </w:r>
          </w:p>
          <w:p w14:paraId="357EF2EA" w14:textId="77777777" w:rsidR="009221D8" w:rsidRPr="009221D8" w:rsidRDefault="009221D8" w:rsidP="009221D8">
            <w:pPr>
              <w:rPr>
                <w:rFonts w:cs="Arial"/>
                <w:lang w:eastAsia="bg-BG"/>
              </w:rPr>
            </w:pPr>
            <w:r w:rsidRPr="009221D8">
              <w:rPr>
                <w:rFonts w:cs="Arial"/>
                <w:i/>
                <w:iCs/>
              </w:rPr>
              <w:t>Mycoplasma genitalium</w:t>
            </w:r>
          </w:p>
          <w:p w14:paraId="6239D4C5" w14:textId="77777777" w:rsidR="009221D8" w:rsidRPr="009221D8" w:rsidRDefault="009221D8" w:rsidP="009221D8">
            <w:pPr>
              <w:rPr>
                <w:rFonts w:cs="Arial"/>
                <w:lang w:eastAsia="bg-BG"/>
              </w:rPr>
            </w:pPr>
            <w:r w:rsidRPr="009221D8">
              <w:rPr>
                <w:rFonts w:cs="Arial"/>
                <w:i/>
                <w:iCs/>
              </w:rPr>
              <w:t>Mycoplasma hominis</w:t>
            </w:r>
          </w:p>
          <w:p w14:paraId="0095844E" w14:textId="5FA47AA2" w:rsidR="009221D8" w:rsidRPr="009221D8" w:rsidRDefault="009221D8" w:rsidP="009221D8">
            <w:pPr>
              <w:rPr>
                <w:rFonts w:cs="Arial"/>
              </w:rPr>
            </w:pPr>
            <w:r w:rsidRPr="009221D8">
              <w:rPr>
                <w:rFonts w:cs="Arial"/>
                <w:i/>
                <w:iCs/>
              </w:rPr>
              <w:t>Mycoplasma pneumoniae*</w:t>
            </w:r>
          </w:p>
        </w:tc>
      </w:tr>
      <w:tr w:rsidR="009221D8" w:rsidRPr="009221D8" w14:paraId="111DB0DA" w14:textId="77777777" w:rsidTr="009221D8">
        <w:tc>
          <w:tcPr>
            <w:tcW w:w="9350" w:type="dxa"/>
            <w:vAlign w:val="bottom"/>
          </w:tcPr>
          <w:p w14:paraId="631754D1" w14:textId="4401765D" w:rsidR="009221D8" w:rsidRPr="009221D8" w:rsidRDefault="009221D8" w:rsidP="009221D8">
            <w:pPr>
              <w:rPr>
                <w:rFonts w:cs="Arial"/>
              </w:rPr>
            </w:pPr>
            <w:r w:rsidRPr="009221D8">
              <w:rPr>
                <w:rFonts w:cs="Arial"/>
                <w:b/>
                <w:bCs/>
                <w:lang w:eastAsia="bg-BG"/>
              </w:rPr>
              <w:t>Видове, при които придобитата резистентност може да бъде проблем</w:t>
            </w:r>
          </w:p>
        </w:tc>
      </w:tr>
      <w:tr w:rsidR="009221D8" w:rsidRPr="009221D8" w14:paraId="63AF38D1" w14:textId="77777777" w:rsidTr="009221D8">
        <w:tc>
          <w:tcPr>
            <w:tcW w:w="9350" w:type="dxa"/>
            <w:vAlign w:val="bottom"/>
          </w:tcPr>
          <w:p w14:paraId="07269BA4" w14:textId="77777777" w:rsidR="009221D8" w:rsidRPr="009221D8" w:rsidRDefault="009221D8" w:rsidP="009221D8">
            <w:pPr>
              <w:rPr>
                <w:rFonts w:cs="Arial"/>
                <w:lang w:eastAsia="bg-BG"/>
              </w:rPr>
            </w:pPr>
            <w:r w:rsidRPr="009221D8">
              <w:rPr>
                <w:rFonts w:cs="Arial"/>
                <w:u w:val="single"/>
                <w:lang w:eastAsia="bg-BG"/>
              </w:rPr>
              <w:t>Аеробни грам-положителни микроорганизми</w:t>
            </w:r>
          </w:p>
          <w:p w14:paraId="6F2D8B7D" w14:textId="77777777" w:rsidR="009221D8" w:rsidRPr="009221D8" w:rsidRDefault="009221D8" w:rsidP="009221D8">
            <w:pPr>
              <w:rPr>
                <w:rFonts w:cs="Arial"/>
                <w:lang w:eastAsia="bg-BG"/>
              </w:rPr>
            </w:pPr>
            <w:r w:rsidRPr="009221D8">
              <w:rPr>
                <w:rFonts w:cs="Arial"/>
                <w:i/>
                <w:iCs/>
              </w:rPr>
              <w:t xml:space="preserve">Enterococcus faecalis </w:t>
            </w:r>
            <w:r w:rsidRPr="009221D8">
              <w:rPr>
                <w:rFonts w:cs="Arial"/>
                <w:i/>
                <w:iCs/>
                <w:lang w:eastAsia="bg-BG"/>
              </w:rPr>
              <w:t>*</w:t>
            </w:r>
          </w:p>
          <w:p w14:paraId="414D1AFE" w14:textId="77777777" w:rsidR="009221D8" w:rsidRPr="009221D8" w:rsidRDefault="009221D8" w:rsidP="009221D8">
            <w:pPr>
              <w:rPr>
                <w:rFonts w:cs="Arial"/>
                <w:lang w:eastAsia="bg-BG"/>
              </w:rPr>
            </w:pPr>
            <w:r w:rsidRPr="009221D8">
              <w:rPr>
                <w:rFonts w:cs="Arial"/>
                <w:i/>
                <w:iCs/>
              </w:rPr>
              <w:t>Enterococcus faecium *</w:t>
            </w:r>
          </w:p>
          <w:p w14:paraId="3B165B09" w14:textId="4611615B" w:rsidR="009221D8" w:rsidRPr="009221D8" w:rsidRDefault="009221D8" w:rsidP="009221D8">
            <w:pPr>
              <w:rPr>
                <w:rFonts w:cs="Arial"/>
              </w:rPr>
            </w:pPr>
            <w:r w:rsidRPr="009221D8">
              <w:rPr>
                <w:rFonts w:cs="Arial"/>
                <w:i/>
                <w:iCs/>
              </w:rPr>
              <w:t>Staphylococcus aureus</w:t>
            </w:r>
            <w:r w:rsidRPr="009221D8">
              <w:rPr>
                <w:rFonts w:cs="Arial"/>
              </w:rPr>
              <w:t xml:space="preserve"> </w:t>
            </w:r>
            <w:r w:rsidRPr="009221D8">
              <w:rPr>
                <w:rFonts w:cs="Arial"/>
                <w:lang w:eastAsia="bg-BG"/>
              </w:rPr>
              <w:t>(резистентни на метицилин)</w:t>
            </w:r>
            <w:r w:rsidRPr="009221D8">
              <w:rPr>
                <w:rFonts w:cs="Arial"/>
                <w:vertAlign w:val="superscript"/>
                <w:lang w:eastAsia="bg-BG"/>
              </w:rPr>
              <w:t>4</w:t>
            </w:r>
          </w:p>
        </w:tc>
      </w:tr>
      <w:tr w:rsidR="009221D8" w:rsidRPr="009221D8" w14:paraId="7306D66A" w14:textId="77777777" w:rsidTr="009221D8">
        <w:trPr>
          <w:trHeight w:val="1237"/>
        </w:trPr>
        <w:tc>
          <w:tcPr>
            <w:tcW w:w="9350" w:type="dxa"/>
            <w:vAlign w:val="bottom"/>
          </w:tcPr>
          <w:p w14:paraId="23D0CD28" w14:textId="77777777" w:rsidR="009221D8" w:rsidRPr="009221D8" w:rsidRDefault="009221D8" w:rsidP="009221D8">
            <w:pPr>
              <w:rPr>
                <w:rFonts w:cs="Arial"/>
                <w:lang w:eastAsia="bg-BG"/>
              </w:rPr>
            </w:pPr>
            <w:r w:rsidRPr="009221D8">
              <w:rPr>
                <w:rFonts w:cs="Arial"/>
                <w:u w:val="single"/>
                <w:lang w:eastAsia="bg-BG"/>
              </w:rPr>
              <w:t>Аеробни грам-отрицателни микроорганизми</w:t>
            </w:r>
          </w:p>
          <w:p w14:paraId="1C5B3CFE" w14:textId="77777777" w:rsidR="009221D8" w:rsidRPr="009221D8" w:rsidRDefault="009221D8" w:rsidP="009221D8">
            <w:pPr>
              <w:rPr>
                <w:rFonts w:cs="Arial"/>
                <w:lang w:eastAsia="bg-BG"/>
              </w:rPr>
            </w:pPr>
            <w:r w:rsidRPr="009221D8">
              <w:rPr>
                <w:rFonts w:cs="Arial"/>
                <w:i/>
                <w:iCs/>
              </w:rPr>
              <w:t>Enterobacter cloacae*</w:t>
            </w:r>
          </w:p>
          <w:p w14:paraId="733F9E5B" w14:textId="77777777" w:rsidR="009221D8" w:rsidRPr="009221D8" w:rsidRDefault="009221D8" w:rsidP="009221D8">
            <w:pPr>
              <w:rPr>
                <w:rFonts w:cs="Arial"/>
                <w:lang w:eastAsia="bg-BG"/>
              </w:rPr>
            </w:pPr>
            <w:r w:rsidRPr="009221D8">
              <w:rPr>
                <w:rFonts w:cs="Arial"/>
                <w:i/>
                <w:iCs/>
              </w:rPr>
              <w:t>Escherichia coli*</w:t>
            </w:r>
          </w:p>
          <w:p w14:paraId="0A3DF30F" w14:textId="77777777" w:rsidR="009221D8" w:rsidRPr="009221D8" w:rsidRDefault="009221D8" w:rsidP="009221D8">
            <w:pPr>
              <w:rPr>
                <w:rFonts w:cs="Arial"/>
              </w:rPr>
            </w:pPr>
            <w:r w:rsidRPr="009221D8">
              <w:rPr>
                <w:rFonts w:cs="Arial"/>
                <w:i/>
                <w:iCs/>
              </w:rPr>
              <w:t>Klebsiella pneumoniae*</w:t>
            </w:r>
            <w:r w:rsidRPr="009221D8">
              <w:rPr>
                <w:rFonts w:cs="Arial"/>
                <w:vertAlign w:val="superscript"/>
              </w:rPr>
              <w:t>#</w:t>
            </w:r>
          </w:p>
          <w:p w14:paraId="54238DE1" w14:textId="05A23E0D" w:rsidR="009221D8" w:rsidRPr="009221D8" w:rsidRDefault="009221D8" w:rsidP="009221D8">
            <w:pPr>
              <w:rPr>
                <w:rFonts w:cs="Arial"/>
              </w:rPr>
            </w:pPr>
            <w:proofErr w:type="spellStart"/>
            <w:r w:rsidRPr="009221D8">
              <w:rPr>
                <w:rFonts w:cs="Arial"/>
                <w:i/>
                <w:iCs/>
                <w:lang w:val="en-US"/>
              </w:rPr>
              <w:t>Klebsiella</w:t>
            </w:r>
            <w:proofErr w:type="spellEnd"/>
            <w:r w:rsidRPr="009221D8">
              <w:rPr>
                <w:rFonts w:cs="Arial"/>
                <w:i/>
                <w:iCs/>
                <w:lang w:val="en-US"/>
              </w:rPr>
              <w:t xml:space="preserve"> </w:t>
            </w:r>
            <w:proofErr w:type="spellStart"/>
            <w:r w:rsidRPr="009221D8">
              <w:rPr>
                <w:rFonts w:cs="Arial"/>
                <w:i/>
                <w:iCs/>
                <w:lang w:val="en-US"/>
              </w:rPr>
              <w:t>oxytoca</w:t>
            </w:r>
            <w:proofErr w:type="spellEnd"/>
            <w:r w:rsidRPr="009221D8">
              <w:rPr>
                <w:rFonts w:cs="Arial"/>
                <w:i/>
                <w:iCs/>
                <w:lang w:val="en-US"/>
              </w:rPr>
              <w:t xml:space="preserve"> Neisseria </w:t>
            </w:r>
            <w:proofErr w:type="spellStart"/>
            <w:r w:rsidRPr="009221D8">
              <w:rPr>
                <w:rFonts w:cs="Arial"/>
                <w:i/>
                <w:iCs/>
                <w:lang w:val="en-US"/>
              </w:rPr>
              <w:t>gonorrhoeae</w:t>
            </w:r>
            <w:proofErr w:type="spellEnd"/>
            <w:r w:rsidRPr="009221D8">
              <w:rPr>
                <w:rFonts w:cs="Arial"/>
                <w:i/>
                <w:iCs/>
                <w:lang w:val="en-US"/>
              </w:rPr>
              <w:t>*</w:t>
            </w:r>
            <w:r w:rsidRPr="009221D8">
              <w:rPr>
                <w:rFonts w:cs="Arial"/>
                <w:i/>
                <w:iCs/>
                <w:vertAlign w:val="superscript"/>
                <w:lang w:val="en-US"/>
              </w:rPr>
              <w:t xml:space="preserve">+ </w:t>
            </w:r>
            <w:r w:rsidRPr="009221D8">
              <w:rPr>
                <w:rFonts w:cs="Arial"/>
                <w:i/>
                <w:iCs/>
                <w:lang w:val="en-US"/>
              </w:rPr>
              <w:t>Proteus mirabilis*</w:t>
            </w:r>
          </w:p>
        </w:tc>
      </w:tr>
      <w:tr w:rsidR="009221D8" w:rsidRPr="009221D8" w14:paraId="582629D3" w14:textId="77777777" w:rsidTr="009221D8">
        <w:tc>
          <w:tcPr>
            <w:tcW w:w="9350" w:type="dxa"/>
          </w:tcPr>
          <w:p w14:paraId="1EB89B00" w14:textId="77777777" w:rsidR="009221D8" w:rsidRPr="009221D8" w:rsidRDefault="009221D8" w:rsidP="009221D8">
            <w:pPr>
              <w:rPr>
                <w:rFonts w:cs="Arial"/>
              </w:rPr>
            </w:pPr>
            <w:r w:rsidRPr="009221D8">
              <w:rPr>
                <w:rFonts w:cs="Arial"/>
                <w:u w:val="single"/>
              </w:rPr>
              <w:t>Анаеробни микроорганизми</w:t>
            </w:r>
          </w:p>
          <w:p w14:paraId="2B1F23AC" w14:textId="77777777" w:rsidR="009221D8" w:rsidRPr="009221D8" w:rsidRDefault="009221D8" w:rsidP="009221D8">
            <w:pPr>
              <w:rPr>
                <w:rFonts w:cs="Arial"/>
              </w:rPr>
            </w:pPr>
            <w:proofErr w:type="spellStart"/>
            <w:r w:rsidRPr="009221D8">
              <w:rPr>
                <w:rFonts w:cs="Arial"/>
                <w:i/>
                <w:iCs/>
                <w:lang w:val="en-US"/>
              </w:rPr>
              <w:t>Bacteroides</w:t>
            </w:r>
            <w:proofErr w:type="spellEnd"/>
            <w:r w:rsidRPr="009221D8">
              <w:rPr>
                <w:rFonts w:cs="Arial"/>
                <w:i/>
                <w:iCs/>
                <w:lang w:val="en-US"/>
              </w:rPr>
              <w:t xml:space="preserve"> </w:t>
            </w:r>
            <w:proofErr w:type="spellStart"/>
            <w:r w:rsidRPr="009221D8">
              <w:rPr>
                <w:rFonts w:cs="Arial"/>
                <w:i/>
                <w:iCs/>
                <w:lang w:val="en-US"/>
              </w:rPr>
              <w:t>fragilis</w:t>
            </w:r>
            <w:proofErr w:type="spellEnd"/>
            <w:r w:rsidRPr="009221D8">
              <w:rPr>
                <w:rFonts w:cs="Arial"/>
                <w:i/>
                <w:iCs/>
                <w:lang w:val="en-US"/>
              </w:rPr>
              <w:t>*</w:t>
            </w:r>
          </w:p>
          <w:p w14:paraId="54A85087" w14:textId="64A83AB3" w:rsidR="009221D8" w:rsidRPr="009221D8" w:rsidRDefault="009221D8" w:rsidP="009221D8">
            <w:pPr>
              <w:rPr>
                <w:rFonts w:cs="Arial"/>
              </w:rPr>
            </w:pPr>
            <w:proofErr w:type="spellStart"/>
            <w:r w:rsidRPr="009221D8">
              <w:rPr>
                <w:rFonts w:cs="Arial"/>
                <w:i/>
                <w:iCs/>
                <w:lang w:val="en-US"/>
              </w:rPr>
              <w:t>Peptostreptococcus</w:t>
            </w:r>
            <w:proofErr w:type="spellEnd"/>
            <w:r w:rsidRPr="009221D8">
              <w:rPr>
                <w:rFonts w:cs="Arial"/>
                <w:lang w:val="en-US"/>
              </w:rPr>
              <w:t xml:space="preserve"> spp.*</w:t>
            </w:r>
          </w:p>
        </w:tc>
      </w:tr>
      <w:tr w:rsidR="009221D8" w:rsidRPr="009221D8" w14:paraId="11C7A91B" w14:textId="77777777" w:rsidTr="009221D8">
        <w:tc>
          <w:tcPr>
            <w:tcW w:w="9350" w:type="dxa"/>
          </w:tcPr>
          <w:p w14:paraId="4B1F7B3D" w14:textId="24E0CE3B" w:rsidR="009221D8" w:rsidRPr="009221D8" w:rsidRDefault="009221D8" w:rsidP="009221D8">
            <w:pPr>
              <w:rPr>
                <w:rFonts w:cs="Arial"/>
              </w:rPr>
            </w:pPr>
            <w:r w:rsidRPr="009221D8">
              <w:rPr>
                <w:rFonts w:cs="Arial"/>
                <w:b/>
                <w:bCs/>
              </w:rPr>
              <w:t xml:space="preserve">Организми </w:t>
            </w:r>
            <w:r w:rsidRPr="009221D8">
              <w:rPr>
                <w:rFonts w:cs="Arial"/>
                <w:b/>
                <w:bCs/>
                <w:lang w:val="en-US"/>
              </w:rPr>
              <w:t xml:space="preserve">c </w:t>
            </w:r>
            <w:r w:rsidRPr="009221D8">
              <w:rPr>
                <w:rFonts w:cs="Arial"/>
                <w:b/>
                <w:bCs/>
              </w:rPr>
              <w:t>вродена резистентност</w:t>
            </w:r>
          </w:p>
        </w:tc>
      </w:tr>
      <w:tr w:rsidR="009221D8" w:rsidRPr="009221D8" w14:paraId="6306DF8F" w14:textId="77777777" w:rsidTr="009221D8">
        <w:tc>
          <w:tcPr>
            <w:tcW w:w="9350" w:type="dxa"/>
          </w:tcPr>
          <w:p w14:paraId="01CDF718" w14:textId="77777777" w:rsidR="009221D8" w:rsidRPr="009221D8" w:rsidRDefault="009221D8" w:rsidP="009221D8">
            <w:pPr>
              <w:rPr>
                <w:rFonts w:cs="Arial"/>
                <w:u w:val="single"/>
              </w:rPr>
            </w:pPr>
            <w:r w:rsidRPr="009221D8">
              <w:rPr>
                <w:rFonts w:cs="Arial"/>
                <w:u w:val="single"/>
              </w:rPr>
              <w:t xml:space="preserve">Аеробни грам-отрицателни микроорганизми </w:t>
            </w:r>
          </w:p>
          <w:p w14:paraId="33AF3166" w14:textId="205F445A" w:rsidR="009221D8" w:rsidRPr="009221D8" w:rsidRDefault="009221D8" w:rsidP="009221D8">
            <w:pPr>
              <w:rPr>
                <w:rFonts w:cs="Arial"/>
              </w:rPr>
            </w:pPr>
            <w:r w:rsidRPr="009221D8">
              <w:rPr>
                <w:rFonts w:cs="Arial"/>
                <w:i/>
                <w:iCs/>
                <w:lang w:val="en-US"/>
              </w:rPr>
              <w:t>Pseudomonas aeruginosa</w:t>
            </w:r>
          </w:p>
        </w:tc>
      </w:tr>
      <w:tr w:rsidR="009221D8" w:rsidRPr="009221D8" w14:paraId="4247CC83" w14:textId="77777777" w:rsidTr="009221D8">
        <w:tc>
          <w:tcPr>
            <w:tcW w:w="9350" w:type="dxa"/>
          </w:tcPr>
          <w:p w14:paraId="43391AC4" w14:textId="77777777" w:rsidR="009221D8" w:rsidRPr="009221D8" w:rsidRDefault="009221D8" w:rsidP="009221D8">
            <w:pPr>
              <w:rPr>
                <w:rFonts w:cs="Arial"/>
              </w:rPr>
            </w:pPr>
            <w:r w:rsidRPr="009221D8">
              <w:rPr>
                <w:rFonts w:cs="Arial"/>
              </w:rPr>
              <w:t>*Активността е демонстрирана в достатъчна степен при чувствителни щамове в клинични проучвания на одобрени клинични показания.</w:t>
            </w:r>
          </w:p>
          <w:p w14:paraId="00C49F82" w14:textId="77777777" w:rsidR="009221D8" w:rsidRPr="009221D8" w:rsidRDefault="009221D8" w:rsidP="009221D8">
            <w:pPr>
              <w:rPr>
                <w:rFonts w:cs="Arial"/>
              </w:rPr>
            </w:pPr>
            <w:r w:rsidRPr="009221D8">
              <w:rPr>
                <w:rFonts w:cs="Arial"/>
                <w:vertAlign w:val="superscript"/>
              </w:rPr>
              <w:t>#</w:t>
            </w:r>
            <w:r w:rsidRPr="009221D8">
              <w:rPr>
                <w:rFonts w:cs="Arial"/>
              </w:rPr>
              <w:t xml:space="preserve"> - Щамовете, продуциращи широкоспектърни бета лактамази </w:t>
            </w:r>
            <w:r w:rsidRPr="009221D8">
              <w:rPr>
                <w:rFonts w:cs="Arial"/>
                <w:lang w:val="en-US"/>
              </w:rPr>
              <w:t xml:space="preserve">(ESBL), </w:t>
            </w:r>
            <w:r w:rsidRPr="009221D8">
              <w:rPr>
                <w:rFonts w:cs="Arial"/>
              </w:rPr>
              <w:t>са обикновено резистентни на флуорохинолони</w:t>
            </w:r>
          </w:p>
          <w:p w14:paraId="19BB520F" w14:textId="1227EA96" w:rsidR="009221D8" w:rsidRPr="009221D8" w:rsidRDefault="009221D8" w:rsidP="009221D8">
            <w:pPr>
              <w:rPr>
                <w:rFonts w:cs="Arial"/>
              </w:rPr>
            </w:pPr>
            <w:r w:rsidRPr="009221D8">
              <w:rPr>
                <w:rFonts w:cs="Arial"/>
              </w:rPr>
              <w:t>Честота на резистентност &gt; 50% в една или повече страни</w:t>
            </w:r>
          </w:p>
        </w:tc>
      </w:tr>
    </w:tbl>
    <w:p w14:paraId="09565F45" w14:textId="3FBFD361" w:rsidR="009221D8" w:rsidRPr="0091385D" w:rsidRDefault="009221D8"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4EF51E1A" w14:textId="77777777" w:rsidR="009221D8" w:rsidRPr="009221D8" w:rsidRDefault="009221D8" w:rsidP="009221D8">
      <w:pPr>
        <w:pStyle w:val="Heading3"/>
        <w:rPr>
          <w:rFonts w:eastAsia="Times New Roman"/>
          <w:sz w:val="28"/>
          <w:u w:val="single"/>
          <w:lang w:eastAsia="bg-BG"/>
        </w:rPr>
      </w:pPr>
      <w:r w:rsidRPr="009221D8">
        <w:rPr>
          <w:rFonts w:eastAsia="Times New Roman"/>
          <w:u w:val="single"/>
          <w:lang w:eastAsia="bg-BG"/>
        </w:rPr>
        <w:t>Абсорбция и бионаличност</w:t>
      </w:r>
    </w:p>
    <w:p w14:paraId="2C90A2D0"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След перорално приложение моксифлоксацин се абсорбира бързо и почти напълно. Абсолютната бионаличност е приблизително 91%.</w:t>
      </w:r>
    </w:p>
    <w:p w14:paraId="1EBEBA4E" w14:textId="77777777" w:rsidR="009221D8" w:rsidRPr="009221D8" w:rsidRDefault="009221D8" w:rsidP="009221D8">
      <w:pPr>
        <w:spacing w:line="240" w:lineRule="auto"/>
        <w:rPr>
          <w:rFonts w:eastAsia="Times New Roman" w:cs="Arial"/>
          <w:color w:val="000000"/>
          <w:szCs w:val="20"/>
          <w:lang w:eastAsia="bg-BG"/>
        </w:rPr>
      </w:pPr>
    </w:p>
    <w:p w14:paraId="43C2D776" w14:textId="29D9AC96"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Фармакокинетиката е линейна в интервала 50-800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еднократна доза и до 600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веднъж дневно за период от 10 дни. След перорална доза от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пикови </w:t>
      </w:r>
      <w:r w:rsidRPr="009221D8">
        <w:rPr>
          <w:rFonts w:eastAsia="Times New Roman" w:cs="Arial"/>
          <w:color w:val="000000"/>
          <w:szCs w:val="20"/>
          <w:lang w:eastAsia="bg-BG"/>
        </w:rPr>
        <w:lastRenderedPageBreak/>
        <w:t xml:space="preserve">концентрации от 3,1 </w:t>
      </w:r>
      <w:r w:rsidRPr="009221D8">
        <w:rPr>
          <w:rFonts w:eastAsia="Times New Roman" w:cs="Arial"/>
          <w:color w:val="000000"/>
          <w:szCs w:val="20"/>
          <w:lang w:val="en-US"/>
        </w:rPr>
        <w:t xml:space="preserve">mg/l </w:t>
      </w:r>
      <w:r w:rsidRPr="009221D8">
        <w:rPr>
          <w:rFonts w:eastAsia="Times New Roman" w:cs="Arial"/>
          <w:color w:val="000000"/>
          <w:szCs w:val="20"/>
          <w:lang w:eastAsia="bg-BG"/>
        </w:rPr>
        <w:t xml:space="preserve">се постигат в рамките на 0,5-4 часа след приложението. Пиковите и най-ниските плазмени концентрации в равновесно състояние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веднъж дневно) са съответно 3,2 и 0,6 </w:t>
      </w:r>
      <w:r w:rsidRPr="009221D8">
        <w:rPr>
          <w:rFonts w:eastAsia="Times New Roman" w:cs="Arial"/>
          <w:color w:val="000000"/>
          <w:szCs w:val="20"/>
          <w:lang w:val="en-US"/>
        </w:rPr>
        <w:t xml:space="preserve">mg/l. </w:t>
      </w:r>
      <w:r w:rsidRPr="009221D8">
        <w:rPr>
          <w:rFonts w:eastAsia="Times New Roman" w:cs="Arial"/>
          <w:color w:val="000000"/>
          <w:szCs w:val="20"/>
          <w:lang w:eastAsia="bg-BG"/>
        </w:rPr>
        <w:t>В равновесно състояние експозицията в дозовия интервал е приблизително с 30% по-висока, отколкото след първата доза.</w:t>
      </w:r>
    </w:p>
    <w:p w14:paraId="39847718" w14:textId="77777777" w:rsidR="009221D8" w:rsidRPr="009221D8" w:rsidRDefault="009221D8" w:rsidP="009221D8">
      <w:pPr>
        <w:spacing w:line="240" w:lineRule="auto"/>
        <w:rPr>
          <w:rFonts w:eastAsia="Times New Roman" w:cs="Arial"/>
          <w:color w:val="000000"/>
          <w:szCs w:val="20"/>
          <w:u w:val="single"/>
          <w:lang w:eastAsia="bg-BG"/>
        </w:rPr>
      </w:pPr>
    </w:p>
    <w:p w14:paraId="24D091CD" w14:textId="6415F5D2" w:rsidR="009221D8" w:rsidRPr="009221D8" w:rsidRDefault="009221D8" w:rsidP="009221D8">
      <w:pPr>
        <w:pStyle w:val="Heading3"/>
        <w:rPr>
          <w:rFonts w:eastAsia="Times New Roman"/>
          <w:sz w:val="28"/>
          <w:u w:val="single"/>
          <w:lang w:eastAsia="bg-BG"/>
        </w:rPr>
      </w:pPr>
      <w:r w:rsidRPr="009221D8">
        <w:rPr>
          <w:rFonts w:eastAsia="Times New Roman"/>
          <w:u w:val="single"/>
          <w:lang w:eastAsia="bg-BG"/>
        </w:rPr>
        <w:t>Разпределение</w:t>
      </w:r>
    </w:p>
    <w:p w14:paraId="70762755"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Моксифлоксацин се разпределя бързо в екстраваскуларните пространства; след доза от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се наблюдава </w:t>
      </w:r>
      <w:r w:rsidRPr="009221D8">
        <w:rPr>
          <w:rFonts w:eastAsia="Times New Roman" w:cs="Arial"/>
          <w:color w:val="000000"/>
          <w:szCs w:val="20"/>
          <w:lang w:val="en-US"/>
        </w:rPr>
        <w:t xml:space="preserve">AUC </w:t>
      </w:r>
      <w:r w:rsidRPr="009221D8">
        <w:rPr>
          <w:rFonts w:eastAsia="Times New Roman" w:cs="Arial"/>
          <w:color w:val="000000"/>
          <w:szCs w:val="20"/>
          <w:lang w:eastAsia="bg-BG"/>
        </w:rPr>
        <w:t xml:space="preserve">от 35 </w:t>
      </w:r>
      <w:r w:rsidRPr="009221D8">
        <w:rPr>
          <w:rFonts w:eastAsia="Times New Roman" w:cs="Arial"/>
          <w:color w:val="000000"/>
          <w:szCs w:val="20"/>
          <w:lang w:val="en-US"/>
        </w:rPr>
        <w:t>m-</w:t>
      </w:r>
      <w:proofErr w:type="spellStart"/>
      <w:r w:rsidRPr="009221D8">
        <w:rPr>
          <w:rFonts w:eastAsia="Times New Roman" w:cs="Arial"/>
          <w:color w:val="000000"/>
          <w:szCs w:val="20"/>
          <w:lang w:val="en-US"/>
        </w:rPr>
        <w:t>gh</w:t>
      </w:r>
      <w:proofErr w:type="spellEnd"/>
      <w:r w:rsidRPr="009221D8">
        <w:rPr>
          <w:rFonts w:eastAsia="Times New Roman" w:cs="Arial"/>
          <w:color w:val="000000"/>
          <w:szCs w:val="20"/>
          <w:lang w:val="en-US"/>
        </w:rPr>
        <w:t xml:space="preserve">/l. </w:t>
      </w:r>
      <w:r w:rsidRPr="009221D8">
        <w:rPr>
          <w:rFonts w:eastAsia="Times New Roman" w:cs="Arial"/>
          <w:color w:val="000000"/>
          <w:szCs w:val="20"/>
          <w:lang w:eastAsia="bg-BG"/>
        </w:rPr>
        <w:t xml:space="preserve">Обемът на разпределение в равновесно състояние </w:t>
      </w:r>
      <w:r w:rsidRPr="009221D8">
        <w:rPr>
          <w:rFonts w:eastAsia="Times New Roman" w:cs="Arial"/>
          <w:color w:val="000000"/>
          <w:szCs w:val="20"/>
          <w:lang w:val="en-US"/>
        </w:rPr>
        <w:t>(</w:t>
      </w:r>
      <w:proofErr w:type="spellStart"/>
      <w:r w:rsidRPr="009221D8">
        <w:rPr>
          <w:rFonts w:eastAsia="Times New Roman" w:cs="Arial"/>
          <w:color w:val="000000"/>
          <w:szCs w:val="20"/>
          <w:lang w:val="en-US"/>
        </w:rPr>
        <w:t>Vss</w:t>
      </w:r>
      <w:proofErr w:type="spellEnd"/>
      <w:r w:rsidRPr="009221D8">
        <w:rPr>
          <w:rFonts w:eastAsia="Times New Roman" w:cs="Arial"/>
          <w:color w:val="000000"/>
          <w:szCs w:val="20"/>
          <w:lang w:val="en-US"/>
        </w:rPr>
        <w:t xml:space="preserve">) </w:t>
      </w:r>
      <w:r w:rsidRPr="009221D8">
        <w:rPr>
          <w:rFonts w:eastAsia="Times New Roman" w:cs="Arial"/>
          <w:color w:val="000000"/>
          <w:szCs w:val="20"/>
          <w:lang w:eastAsia="bg-BG"/>
        </w:rPr>
        <w:t>е приблизително 2</w:t>
      </w:r>
      <w:r w:rsidRPr="009221D8">
        <w:rPr>
          <w:rFonts w:eastAsia="Times New Roman" w:cs="Arial"/>
          <w:color w:val="000000"/>
          <w:szCs w:val="20"/>
          <w:lang w:val="en-US"/>
        </w:rPr>
        <w:t xml:space="preserve"> l/kg. </w:t>
      </w:r>
      <w:r w:rsidRPr="009221D8">
        <w:rPr>
          <w:rFonts w:eastAsia="Times New Roman" w:cs="Arial"/>
          <w:i/>
          <w:iCs/>
          <w:color w:val="000000"/>
          <w:szCs w:val="20"/>
          <w:lang w:val="en-US"/>
        </w:rPr>
        <w:t>In vitro</w:t>
      </w:r>
      <w:r w:rsidRPr="009221D8">
        <w:rPr>
          <w:rFonts w:eastAsia="Times New Roman" w:cs="Arial"/>
          <w:color w:val="000000"/>
          <w:szCs w:val="20"/>
          <w:lang w:val="en-US"/>
        </w:rPr>
        <w:t xml:space="preserve"> </w:t>
      </w:r>
      <w:r w:rsidRPr="009221D8">
        <w:rPr>
          <w:rFonts w:eastAsia="Times New Roman" w:cs="Arial"/>
          <w:color w:val="000000"/>
          <w:szCs w:val="20"/>
          <w:lang w:eastAsia="bg-BG"/>
        </w:rPr>
        <w:t xml:space="preserve">и </w:t>
      </w:r>
      <w:r w:rsidRPr="009221D8">
        <w:rPr>
          <w:rFonts w:eastAsia="Times New Roman" w:cs="Arial"/>
          <w:i/>
          <w:iCs/>
          <w:color w:val="000000"/>
          <w:szCs w:val="20"/>
          <w:lang w:val="en-US"/>
        </w:rPr>
        <w:t>ex vivo</w:t>
      </w:r>
      <w:r w:rsidRPr="009221D8">
        <w:rPr>
          <w:rFonts w:eastAsia="Times New Roman" w:cs="Arial"/>
          <w:color w:val="000000"/>
          <w:szCs w:val="20"/>
          <w:lang w:val="en-US"/>
        </w:rPr>
        <w:t xml:space="preserve"> </w:t>
      </w:r>
      <w:r w:rsidRPr="009221D8">
        <w:rPr>
          <w:rFonts w:eastAsia="Times New Roman" w:cs="Arial"/>
          <w:color w:val="000000"/>
          <w:szCs w:val="20"/>
          <w:lang w:eastAsia="bg-BG"/>
        </w:rPr>
        <w:t>експерименти показват свързване с протеините приблизително 40-42%, независимо от концентрацията на лекарството. Моксифлоксацин се свързва основно със серумния албумин.</w:t>
      </w:r>
    </w:p>
    <w:p w14:paraId="45551830" w14:textId="15FE0493" w:rsidR="007A2185" w:rsidRPr="009221D8" w:rsidRDefault="009221D8" w:rsidP="009221D8">
      <w:pPr>
        <w:rPr>
          <w:rFonts w:eastAsia="Times New Roman" w:cs="Arial"/>
          <w:color w:val="000000"/>
          <w:szCs w:val="20"/>
          <w:lang w:eastAsia="bg-BG"/>
        </w:rPr>
      </w:pPr>
      <w:r w:rsidRPr="009221D8">
        <w:rPr>
          <w:rFonts w:eastAsia="Times New Roman" w:cs="Arial"/>
          <w:color w:val="000000"/>
          <w:szCs w:val="20"/>
          <w:lang w:eastAsia="bg-BG"/>
        </w:rPr>
        <w:t xml:space="preserve">Следните пикови концентрации (средна геометрична стойност) са наблюдавани след прилагане на единична перорална доза от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моксифлоксацин:</w:t>
      </w:r>
    </w:p>
    <w:p w14:paraId="4D0244C2" w14:textId="6B1499A5" w:rsidR="009221D8" w:rsidRDefault="009221D8" w:rsidP="009221D8">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3116"/>
        <w:gridCol w:w="3117"/>
        <w:gridCol w:w="3117"/>
      </w:tblGrid>
      <w:tr w:rsidR="009221D8" w14:paraId="26AE5F82" w14:textId="77777777" w:rsidTr="009221D8">
        <w:tc>
          <w:tcPr>
            <w:tcW w:w="3116" w:type="dxa"/>
          </w:tcPr>
          <w:p w14:paraId="4ACA0E5F" w14:textId="2DA6318E" w:rsidR="009221D8" w:rsidRPr="009221D8" w:rsidRDefault="009221D8" w:rsidP="009221D8">
            <w:r w:rsidRPr="009221D8">
              <w:rPr>
                <w:b/>
                <w:bCs/>
                <w:szCs w:val="20"/>
              </w:rPr>
              <w:t>Тъкан</w:t>
            </w:r>
          </w:p>
        </w:tc>
        <w:tc>
          <w:tcPr>
            <w:tcW w:w="3117" w:type="dxa"/>
          </w:tcPr>
          <w:p w14:paraId="44962B01" w14:textId="5BC7D493" w:rsidR="009221D8" w:rsidRPr="009221D8" w:rsidRDefault="009221D8" w:rsidP="009221D8">
            <w:r w:rsidRPr="009221D8">
              <w:rPr>
                <w:b/>
                <w:bCs/>
                <w:szCs w:val="20"/>
              </w:rPr>
              <w:t>Концентрация</w:t>
            </w:r>
          </w:p>
        </w:tc>
        <w:tc>
          <w:tcPr>
            <w:tcW w:w="3117" w:type="dxa"/>
          </w:tcPr>
          <w:p w14:paraId="4FFC8CB2" w14:textId="1C32E9E4" w:rsidR="009221D8" w:rsidRPr="009221D8" w:rsidRDefault="009221D8" w:rsidP="009221D8">
            <w:r w:rsidRPr="009221D8">
              <w:rPr>
                <w:b/>
                <w:bCs/>
                <w:szCs w:val="20"/>
              </w:rPr>
              <w:t>Съотношение място: плазма</w:t>
            </w:r>
          </w:p>
        </w:tc>
      </w:tr>
      <w:tr w:rsidR="009221D8" w14:paraId="7DD2FA40" w14:textId="77777777" w:rsidTr="009221D8">
        <w:tc>
          <w:tcPr>
            <w:tcW w:w="3116" w:type="dxa"/>
          </w:tcPr>
          <w:p w14:paraId="0A92C5B6" w14:textId="6843852D" w:rsidR="009221D8" w:rsidRPr="009221D8" w:rsidRDefault="009221D8" w:rsidP="009221D8">
            <w:r w:rsidRPr="009221D8">
              <w:rPr>
                <w:szCs w:val="20"/>
              </w:rPr>
              <w:t>Плазма</w:t>
            </w:r>
          </w:p>
        </w:tc>
        <w:tc>
          <w:tcPr>
            <w:tcW w:w="3117" w:type="dxa"/>
          </w:tcPr>
          <w:p w14:paraId="3BB79588" w14:textId="0158F5C7" w:rsidR="009221D8" w:rsidRPr="009221D8" w:rsidRDefault="009221D8" w:rsidP="009221D8">
            <w:r w:rsidRPr="009221D8">
              <w:rPr>
                <w:szCs w:val="20"/>
              </w:rPr>
              <w:t xml:space="preserve">3,1 </w:t>
            </w:r>
            <w:r w:rsidRPr="009221D8">
              <w:rPr>
                <w:szCs w:val="20"/>
                <w:lang w:val="en-US"/>
              </w:rPr>
              <w:t>mg/l</w:t>
            </w:r>
          </w:p>
        </w:tc>
        <w:tc>
          <w:tcPr>
            <w:tcW w:w="3117" w:type="dxa"/>
          </w:tcPr>
          <w:p w14:paraId="0CF06803" w14:textId="77777777" w:rsidR="009221D8" w:rsidRPr="009221D8" w:rsidRDefault="009221D8" w:rsidP="009221D8"/>
        </w:tc>
      </w:tr>
      <w:tr w:rsidR="009221D8" w14:paraId="50B57B6C" w14:textId="77777777" w:rsidTr="009221D8">
        <w:tc>
          <w:tcPr>
            <w:tcW w:w="3116" w:type="dxa"/>
          </w:tcPr>
          <w:p w14:paraId="21D76E2D" w14:textId="4CD99262" w:rsidR="009221D8" w:rsidRPr="009221D8" w:rsidRDefault="009221D8" w:rsidP="009221D8">
            <w:r w:rsidRPr="009221D8">
              <w:rPr>
                <w:szCs w:val="20"/>
              </w:rPr>
              <w:t>Слюнка</w:t>
            </w:r>
          </w:p>
        </w:tc>
        <w:tc>
          <w:tcPr>
            <w:tcW w:w="3117" w:type="dxa"/>
          </w:tcPr>
          <w:p w14:paraId="60AA70D0" w14:textId="51D19131" w:rsidR="009221D8" w:rsidRPr="009221D8" w:rsidRDefault="009221D8" w:rsidP="009221D8">
            <w:r w:rsidRPr="009221D8">
              <w:rPr>
                <w:szCs w:val="20"/>
              </w:rPr>
              <w:t xml:space="preserve">3,6 </w:t>
            </w:r>
            <w:r w:rsidRPr="009221D8">
              <w:rPr>
                <w:szCs w:val="20"/>
                <w:lang w:val="en-US"/>
              </w:rPr>
              <w:t>mg/l</w:t>
            </w:r>
          </w:p>
        </w:tc>
        <w:tc>
          <w:tcPr>
            <w:tcW w:w="3117" w:type="dxa"/>
          </w:tcPr>
          <w:p w14:paraId="05B6CBCF" w14:textId="6FBBF710" w:rsidR="009221D8" w:rsidRPr="009221D8" w:rsidRDefault="009221D8" w:rsidP="009221D8">
            <w:r w:rsidRPr="009221D8">
              <w:rPr>
                <w:szCs w:val="20"/>
                <w:lang w:val="en-US"/>
              </w:rPr>
              <w:t>0,75-1,3</w:t>
            </w:r>
          </w:p>
        </w:tc>
      </w:tr>
      <w:tr w:rsidR="009221D8" w14:paraId="572BAE63" w14:textId="77777777" w:rsidTr="009221D8">
        <w:tc>
          <w:tcPr>
            <w:tcW w:w="3116" w:type="dxa"/>
          </w:tcPr>
          <w:p w14:paraId="5D4CB30D" w14:textId="19022118" w:rsidR="009221D8" w:rsidRPr="009221D8" w:rsidRDefault="009221D8" w:rsidP="009221D8">
            <w:r w:rsidRPr="009221D8">
              <w:rPr>
                <w:szCs w:val="20"/>
              </w:rPr>
              <w:t>Мехурна течност</w:t>
            </w:r>
          </w:p>
        </w:tc>
        <w:tc>
          <w:tcPr>
            <w:tcW w:w="3117" w:type="dxa"/>
          </w:tcPr>
          <w:p w14:paraId="627DEB3D" w14:textId="01BC4800" w:rsidR="009221D8" w:rsidRPr="009221D8" w:rsidRDefault="009221D8" w:rsidP="009221D8">
            <w:r w:rsidRPr="009221D8">
              <w:rPr>
                <w:szCs w:val="20"/>
                <w:lang w:val="en-US"/>
              </w:rPr>
              <w:t>1,6‘ mg/l</w:t>
            </w:r>
          </w:p>
        </w:tc>
        <w:tc>
          <w:tcPr>
            <w:tcW w:w="3117" w:type="dxa"/>
          </w:tcPr>
          <w:p w14:paraId="13B6641F" w14:textId="2F22D6E8" w:rsidR="009221D8" w:rsidRPr="009221D8" w:rsidRDefault="009221D8" w:rsidP="009221D8">
            <w:r w:rsidRPr="009221D8">
              <w:rPr>
                <w:szCs w:val="20"/>
                <w:lang w:val="en-US"/>
              </w:rPr>
              <w:t>1,7</w:t>
            </w:r>
            <w:r w:rsidRPr="009221D8">
              <w:rPr>
                <w:szCs w:val="20"/>
                <w:vertAlign w:val="superscript"/>
                <w:lang w:val="en-US"/>
              </w:rPr>
              <w:t>1</w:t>
            </w:r>
          </w:p>
        </w:tc>
      </w:tr>
      <w:tr w:rsidR="009221D8" w14:paraId="1D6EE21E" w14:textId="77777777" w:rsidTr="009221D8">
        <w:tc>
          <w:tcPr>
            <w:tcW w:w="3116" w:type="dxa"/>
          </w:tcPr>
          <w:p w14:paraId="41CDDD7D" w14:textId="669B50E2" w:rsidR="009221D8" w:rsidRPr="009221D8" w:rsidRDefault="009221D8" w:rsidP="009221D8">
            <w:r w:rsidRPr="009221D8">
              <w:rPr>
                <w:szCs w:val="20"/>
              </w:rPr>
              <w:t>Бронхиална лигавица</w:t>
            </w:r>
          </w:p>
        </w:tc>
        <w:tc>
          <w:tcPr>
            <w:tcW w:w="3117" w:type="dxa"/>
          </w:tcPr>
          <w:p w14:paraId="11B6CFDE" w14:textId="6F7ACD55" w:rsidR="009221D8" w:rsidRPr="009221D8" w:rsidRDefault="009221D8" w:rsidP="009221D8">
            <w:r w:rsidRPr="009221D8">
              <w:rPr>
                <w:szCs w:val="20"/>
              </w:rPr>
              <w:t xml:space="preserve">5,4 </w:t>
            </w:r>
            <w:r w:rsidRPr="009221D8">
              <w:rPr>
                <w:szCs w:val="20"/>
                <w:lang w:val="en-US"/>
              </w:rPr>
              <w:t>mg/kg</w:t>
            </w:r>
          </w:p>
        </w:tc>
        <w:tc>
          <w:tcPr>
            <w:tcW w:w="3117" w:type="dxa"/>
          </w:tcPr>
          <w:p w14:paraId="2D5127C1" w14:textId="552430E9" w:rsidR="009221D8" w:rsidRPr="009221D8" w:rsidRDefault="009221D8" w:rsidP="009221D8">
            <w:r w:rsidRPr="009221D8">
              <w:rPr>
                <w:szCs w:val="20"/>
                <w:lang w:val="en-US"/>
              </w:rPr>
              <w:t>1,7-2,1</w:t>
            </w:r>
          </w:p>
        </w:tc>
      </w:tr>
      <w:tr w:rsidR="009221D8" w14:paraId="22F29ED8" w14:textId="77777777" w:rsidTr="009221D8">
        <w:tc>
          <w:tcPr>
            <w:tcW w:w="3116" w:type="dxa"/>
          </w:tcPr>
          <w:p w14:paraId="41E56BEB" w14:textId="68753E5F" w:rsidR="009221D8" w:rsidRPr="009221D8" w:rsidRDefault="009221D8" w:rsidP="009221D8">
            <w:r w:rsidRPr="009221D8">
              <w:rPr>
                <w:szCs w:val="20"/>
              </w:rPr>
              <w:t>Алвеоларни макрофаги</w:t>
            </w:r>
          </w:p>
        </w:tc>
        <w:tc>
          <w:tcPr>
            <w:tcW w:w="3117" w:type="dxa"/>
          </w:tcPr>
          <w:p w14:paraId="1969FA1A" w14:textId="74E6B9A5" w:rsidR="009221D8" w:rsidRPr="009221D8" w:rsidRDefault="009221D8" w:rsidP="009221D8">
            <w:r w:rsidRPr="009221D8">
              <w:rPr>
                <w:szCs w:val="20"/>
              </w:rPr>
              <w:t xml:space="preserve">56,7 </w:t>
            </w:r>
            <w:r w:rsidRPr="009221D8">
              <w:rPr>
                <w:szCs w:val="20"/>
                <w:lang w:val="en-US"/>
              </w:rPr>
              <w:t>mg/kg</w:t>
            </w:r>
          </w:p>
        </w:tc>
        <w:tc>
          <w:tcPr>
            <w:tcW w:w="3117" w:type="dxa"/>
          </w:tcPr>
          <w:p w14:paraId="11AC8839" w14:textId="526CE7CD" w:rsidR="009221D8" w:rsidRPr="009221D8" w:rsidRDefault="009221D8" w:rsidP="009221D8">
            <w:r w:rsidRPr="009221D8">
              <w:rPr>
                <w:szCs w:val="20"/>
                <w:lang w:val="en-US"/>
              </w:rPr>
              <w:t>18,6-70,0</w:t>
            </w:r>
          </w:p>
        </w:tc>
      </w:tr>
      <w:tr w:rsidR="009221D8" w14:paraId="051871E9" w14:textId="77777777" w:rsidTr="009221D8">
        <w:tc>
          <w:tcPr>
            <w:tcW w:w="3116" w:type="dxa"/>
          </w:tcPr>
          <w:p w14:paraId="50C4776B" w14:textId="37057CDD" w:rsidR="009221D8" w:rsidRPr="009221D8" w:rsidRDefault="009221D8" w:rsidP="009221D8">
            <w:r w:rsidRPr="009221D8">
              <w:rPr>
                <w:szCs w:val="20"/>
              </w:rPr>
              <w:t>Течност, покриваща епитела</w:t>
            </w:r>
          </w:p>
        </w:tc>
        <w:tc>
          <w:tcPr>
            <w:tcW w:w="3117" w:type="dxa"/>
          </w:tcPr>
          <w:p w14:paraId="1C26317E" w14:textId="6893F882" w:rsidR="009221D8" w:rsidRPr="009221D8" w:rsidRDefault="009221D8" w:rsidP="009221D8">
            <w:r w:rsidRPr="009221D8">
              <w:rPr>
                <w:szCs w:val="20"/>
                <w:lang w:val="en-US"/>
              </w:rPr>
              <w:t>20,7 mg/l</w:t>
            </w:r>
          </w:p>
        </w:tc>
        <w:tc>
          <w:tcPr>
            <w:tcW w:w="3117" w:type="dxa"/>
          </w:tcPr>
          <w:p w14:paraId="00457EA7" w14:textId="0FB18558" w:rsidR="009221D8" w:rsidRPr="009221D8" w:rsidRDefault="009221D8" w:rsidP="009221D8">
            <w:r w:rsidRPr="009221D8">
              <w:rPr>
                <w:szCs w:val="20"/>
                <w:lang w:val="en-US"/>
              </w:rPr>
              <w:t>5-7</w:t>
            </w:r>
          </w:p>
        </w:tc>
      </w:tr>
      <w:tr w:rsidR="009221D8" w14:paraId="68C600FE" w14:textId="77777777" w:rsidTr="009221D8">
        <w:tc>
          <w:tcPr>
            <w:tcW w:w="3116" w:type="dxa"/>
          </w:tcPr>
          <w:p w14:paraId="15D6B5B1" w14:textId="28554CF3" w:rsidR="009221D8" w:rsidRPr="009221D8" w:rsidRDefault="009221D8" w:rsidP="009221D8">
            <w:r w:rsidRPr="009221D8">
              <w:rPr>
                <w:szCs w:val="20"/>
              </w:rPr>
              <w:t>Максиларен синус</w:t>
            </w:r>
          </w:p>
        </w:tc>
        <w:tc>
          <w:tcPr>
            <w:tcW w:w="3117" w:type="dxa"/>
          </w:tcPr>
          <w:p w14:paraId="6904F212" w14:textId="6B75C0CB" w:rsidR="009221D8" w:rsidRPr="009221D8" w:rsidRDefault="009221D8" w:rsidP="009221D8">
            <w:r w:rsidRPr="009221D8">
              <w:rPr>
                <w:szCs w:val="20"/>
                <w:lang w:val="en-US"/>
              </w:rPr>
              <w:t>7,5 mg/kg</w:t>
            </w:r>
          </w:p>
        </w:tc>
        <w:tc>
          <w:tcPr>
            <w:tcW w:w="3117" w:type="dxa"/>
          </w:tcPr>
          <w:p w14:paraId="7DC77AFC" w14:textId="1F7226A1" w:rsidR="009221D8" w:rsidRPr="009221D8" w:rsidRDefault="009221D8" w:rsidP="009221D8">
            <w:r w:rsidRPr="009221D8">
              <w:rPr>
                <w:szCs w:val="20"/>
                <w:lang w:val="en-US"/>
              </w:rPr>
              <w:t>2,0</w:t>
            </w:r>
          </w:p>
        </w:tc>
      </w:tr>
      <w:tr w:rsidR="009221D8" w14:paraId="4F5BE7B7" w14:textId="77777777" w:rsidTr="009221D8">
        <w:tc>
          <w:tcPr>
            <w:tcW w:w="3116" w:type="dxa"/>
          </w:tcPr>
          <w:p w14:paraId="0F20FC66" w14:textId="7940C421" w:rsidR="009221D8" w:rsidRPr="009221D8" w:rsidRDefault="009221D8" w:rsidP="009221D8">
            <w:r w:rsidRPr="009221D8">
              <w:rPr>
                <w:szCs w:val="20"/>
              </w:rPr>
              <w:t>Етмоидален синус</w:t>
            </w:r>
          </w:p>
        </w:tc>
        <w:tc>
          <w:tcPr>
            <w:tcW w:w="3117" w:type="dxa"/>
          </w:tcPr>
          <w:p w14:paraId="7F7F8CA6" w14:textId="44B1176E" w:rsidR="009221D8" w:rsidRPr="009221D8" w:rsidRDefault="009221D8" w:rsidP="009221D8">
            <w:r w:rsidRPr="009221D8">
              <w:rPr>
                <w:szCs w:val="20"/>
                <w:lang w:val="en-US"/>
              </w:rPr>
              <w:t>8,2 mg/kg</w:t>
            </w:r>
          </w:p>
        </w:tc>
        <w:tc>
          <w:tcPr>
            <w:tcW w:w="3117" w:type="dxa"/>
          </w:tcPr>
          <w:p w14:paraId="5B43B3F7" w14:textId="58DCB119" w:rsidR="009221D8" w:rsidRPr="009221D8" w:rsidRDefault="009221D8" w:rsidP="009221D8">
            <w:r w:rsidRPr="009221D8">
              <w:rPr>
                <w:szCs w:val="20"/>
                <w:lang w:val="en-US"/>
              </w:rPr>
              <w:t>2,1</w:t>
            </w:r>
          </w:p>
        </w:tc>
      </w:tr>
      <w:tr w:rsidR="009221D8" w14:paraId="04F3FD8B" w14:textId="77777777" w:rsidTr="009221D8">
        <w:tc>
          <w:tcPr>
            <w:tcW w:w="3116" w:type="dxa"/>
          </w:tcPr>
          <w:p w14:paraId="13D54148" w14:textId="1348C5B5" w:rsidR="009221D8" w:rsidRPr="009221D8" w:rsidRDefault="009221D8" w:rsidP="009221D8">
            <w:r w:rsidRPr="009221D8">
              <w:rPr>
                <w:szCs w:val="20"/>
              </w:rPr>
              <w:t>Назални полипи</w:t>
            </w:r>
          </w:p>
        </w:tc>
        <w:tc>
          <w:tcPr>
            <w:tcW w:w="3117" w:type="dxa"/>
          </w:tcPr>
          <w:p w14:paraId="77362CE9" w14:textId="69D55C96" w:rsidR="009221D8" w:rsidRPr="009221D8" w:rsidRDefault="009221D8" w:rsidP="009221D8">
            <w:r w:rsidRPr="009221D8">
              <w:rPr>
                <w:szCs w:val="20"/>
              </w:rPr>
              <w:t xml:space="preserve">9,1 </w:t>
            </w:r>
            <w:proofErr w:type="spellStart"/>
            <w:r w:rsidRPr="009221D8">
              <w:rPr>
                <w:szCs w:val="20"/>
                <w:lang w:val="en-US"/>
              </w:rPr>
              <w:t>rng</w:t>
            </w:r>
            <w:proofErr w:type="spellEnd"/>
            <w:r w:rsidRPr="009221D8">
              <w:rPr>
                <w:szCs w:val="20"/>
                <w:lang w:val="en-US"/>
              </w:rPr>
              <w:t>/kg</w:t>
            </w:r>
          </w:p>
        </w:tc>
        <w:tc>
          <w:tcPr>
            <w:tcW w:w="3117" w:type="dxa"/>
          </w:tcPr>
          <w:p w14:paraId="7465EAF7" w14:textId="394DCA4C" w:rsidR="009221D8" w:rsidRPr="009221D8" w:rsidRDefault="009221D8" w:rsidP="009221D8">
            <w:r w:rsidRPr="009221D8">
              <w:rPr>
                <w:szCs w:val="20"/>
              </w:rPr>
              <w:t>2,6</w:t>
            </w:r>
          </w:p>
        </w:tc>
      </w:tr>
      <w:tr w:rsidR="009221D8" w14:paraId="143E66B2" w14:textId="77777777" w:rsidTr="009221D8">
        <w:tc>
          <w:tcPr>
            <w:tcW w:w="3116" w:type="dxa"/>
          </w:tcPr>
          <w:p w14:paraId="1F52820F" w14:textId="78569D59" w:rsidR="009221D8" w:rsidRPr="009221D8" w:rsidRDefault="009221D8" w:rsidP="009221D8">
            <w:r w:rsidRPr="009221D8">
              <w:rPr>
                <w:szCs w:val="20"/>
              </w:rPr>
              <w:t>Интерстициална течност</w:t>
            </w:r>
          </w:p>
        </w:tc>
        <w:tc>
          <w:tcPr>
            <w:tcW w:w="3117" w:type="dxa"/>
          </w:tcPr>
          <w:p w14:paraId="3B5434A5" w14:textId="2DDF5412" w:rsidR="009221D8" w:rsidRPr="009221D8" w:rsidRDefault="009221D8" w:rsidP="009221D8">
            <w:r w:rsidRPr="009221D8">
              <w:rPr>
                <w:szCs w:val="20"/>
              </w:rPr>
              <w:t>1,0</w:t>
            </w:r>
            <w:r w:rsidRPr="009221D8">
              <w:rPr>
                <w:szCs w:val="20"/>
                <w:vertAlign w:val="superscript"/>
              </w:rPr>
              <w:t>2</w:t>
            </w:r>
            <w:r w:rsidRPr="009221D8">
              <w:rPr>
                <w:szCs w:val="20"/>
              </w:rPr>
              <w:t xml:space="preserve"> </w:t>
            </w:r>
            <w:r w:rsidRPr="009221D8">
              <w:rPr>
                <w:szCs w:val="20"/>
                <w:lang w:val="en-US"/>
              </w:rPr>
              <w:t>mg/l</w:t>
            </w:r>
          </w:p>
        </w:tc>
        <w:tc>
          <w:tcPr>
            <w:tcW w:w="3117" w:type="dxa"/>
          </w:tcPr>
          <w:p w14:paraId="28746473" w14:textId="6BA91060" w:rsidR="009221D8" w:rsidRPr="009221D8" w:rsidRDefault="009221D8" w:rsidP="009221D8">
            <w:r w:rsidRPr="009221D8">
              <w:rPr>
                <w:szCs w:val="20"/>
              </w:rPr>
              <w:t>0,&amp;-1,4</w:t>
            </w:r>
            <w:r w:rsidRPr="009221D8">
              <w:rPr>
                <w:szCs w:val="20"/>
                <w:vertAlign w:val="superscript"/>
              </w:rPr>
              <w:t>2,3</w:t>
            </w:r>
          </w:p>
        </w:tc>
      </w:tr>
      <w:tr w:rsidR="009221D8" w14:paraId="14064B4D" w14:textId="77777777" w:rsidTr="009221D8">
        <w:tc>
          <w:tcPr>
            <w:tcW w:w="3116" w:type="dxa"/>
          </w:tcPr>
          <w:p w14:paraId="38F6891D" w14:textId="4FE62AE9" w:rsidR="009221D8" w:rsidRPr="009221D8" w:rsidRDefault="009221D8" w:rsidP="009221D8">
            <w:r w:rsidRPr="009221D8">
              <w:rPr>
                <w:szCs w:val="20"/>
              </w:rPr>
              <w:t>Женски генитален тракт*</w:t>
            </w:r>
          </w:p>
        </w:tc>
        <w:tc>
          <w:tcPr>
            <w:tcW w:w="3117" w:type="dxa"/>
          </w:tcPr>
          <w:p w14:paraId="64F6FE31" w14:textId="4C09062F" w:rsidR="009221D8" w:rsidRPr="009221D8" w:rsidRDefault="009221D8" w:rsidP="009221D8">
            <w:r w:rsidRPr="009221D8">
              <w:rPr>
                <w:szCs w:val="20"/>
              </w:rPr>
              <w:t>10,2</w:t>
            </w:r>
            <w:r w:rsidRPr="009221D8">
              <w:rPr>
                <w:szCs w:val="20"/>
                <w:vertAlign w:val="superscript"/>
              </w:rPr>
              <w:t>4</w:t>
            </w:r>
            <w:r w:rsidRPr="009221D8">
              <w:rPr>
                <w:szCs w:val="20"/>
                <w:lang w:val="en-US"/>
              </w:rPr>
              <w:t>mg/kg</w:t>
            </w:r>
          </w:p>
        </w:tc>
        <w:tc>
          <w:tcPr>
            <w:tcW w:w="3117" w:type="dxa"/>
          </w:tcPr>
          <w:p w14:paraId="728283C7" w14:textId="113F153D" w:rsidR="009221D8" w:rsidRPr="009221D8" w:rsidRDefault="009221D8" w:rsidP="009221D8">
            <w:r w:rsidRPr="009221D8">
              <w:rPr>
                <w:szCs w:val="20"/>
              </w:rPr>
              <w:t>1,72</w:t>
            </w:r>
            <w:r w:rsidRPr="009221D8">
              <w:rPr>
                <w:szCs w:val="20"/>
                <w:vertAlign w:val="superscript"/>
              </w:rPr>
              <w:t>4</w:t>
            </w:r>
          </w:p>
        </w:tc>
      </w:tr>
    </w:tbl>
    <w:p w14:paraId="79A452DF" w14:textId="77777777" w:rsidR="009221D8" w:rsidRPr="009221D8" w:rsidRDefault="009221D8" w:rsidP="009221D8">
      <w:pPr>
        <w:spacing w:line="240" w:lineRule="auto"/>
        <w:rPr>
          <w:rFonts w:eastAsia="Times New Roman" w:cs="Arial"/>
          <w:sz w:val="24"/>
          <w:szCs w:val="24"/>
          <w:lang w:eastAsia="bg-BG"/>
        </w:rPr>
      </w:pPr>
      <w:r w:rsidRPr="009221D8">
        <w:rPr>
          <w:rFonts w:eastAsia="Times New Roman" w:cs="Arial"/>
          <w:color w:val="000000"/>
          <w:sz w:val="20"/>
          <w:szCs w:val="20"/>
          <w:lang w:eastAsia="bg-BG"/>
        </w:rPr>
        <w:t xml:space="preserve">* интравенозно приложение на единична доза от 400 </w:t>
      </w:r>
      <w:r w:rsidRPr="009221D8">
        <w:rPr>
          <w:rFonts w:eastAsia="Times New Roman" w:cs="Arial"/>
          <w:color w:val="000000"/>
          <w:sz w:val="20"/>
          <w:szCs w:val="20"/>
          <w:lang w:val="en-US"/>
        </w:rPr>
        <w:t>mg</w:t>
      </w:r>
    </w:p>
    <w:p w14:paraId="61145D46" w14:textId="3ACACD8D" w:rsidR="009221D8" w:rsidRPr="009221D8" w:rsidRDefault="009221D8" w:rsidP="009221D8">
      <w:pPr>
        <w:spacing w:line="240" w:lineRule="auto"/>
        <w:rPr>
          <w:rFonts w:eastAsia="Times New Roman" w:cs="Arial"/>
          <w:sz w:val="24"/>
          <w:szCs w:val="24"/>
          <w:lang w:eastAsia="bg-BG"/>
        </w:rPr>
      </w:pPr>
      <w:r w:rsidRPr="009221D8">
        <w:rPr>
          <w:rFonts w:eastAsia="Times New Roman" w:cs="Arial"/>
          <w:color w:val="000000"/>
          <w:sz w:val="20"/>
          <w:szCs w:val="20"/>
          <w:vertAlign w:val="superscript"/>
          <w:lang w:eastAsia="bg-BG"/>
        </w:rPr>
        <w:t>1</w:t>
      </w:r>
      <w:r w:rsidRPr="009221D8">
        <w:rPr>
          <w:rFonts w:eastAsia="Times New Roman" w:cs="Arial"/>
          <w:color w:val="000000"/>
          <w:sz w:val="20"/>
          <w:szCs w:val="20"/>
          <w:lang w:eastAsia="bg-BG"/>
        </w:rPr>
        <w:t xml:space="preserve"> 10 часа след приложение</w:t>
      </w:r>
    </w:p>
    <w:p w14:paraId="654B2549" w14:textId="77777777" w:rsidR="009221D8" w:rsidRPr="009221D8" w:rsidRDefault="009221D8" w:rsidP="009221D8">
      <w:pPr>
        <w:spacing w:line="240" w:lineRule="auto"/>
        <w:rPr>
          <w:rFonts w:eastAsia="Times New Roman" w:cs="Arial"/>
          <w:sz w:val="24"/>
          <w:szCs w:val="24"/>
          <w:lang w:eastAsia="bg-BG"/>
        </w:rPr>
      </w:pPr>
      <w:r w:rsidRPr="009221D8">
        <w:rPr>
          <w:rFonts w:eastAsia="Times New Roman" w:cs="Arial"/>
          <w:color w:val="000000"/>
          <w:sz w:val="20"/>
          <w:szCs w:val="20"/>
          <w:vertAlign w:val="superscript"/>
          <w:lang w:eastAsia="bg-BG"/>
        </w:rPr>
        <w:t>2</w:t>
      </w:r>
      <w:r w:rsidRPr="009221D8">
        <w:rPr>
          <w:rFonts w:eastAsia="Times New Roman" w:cs="Arial"/>
          <w:color w:val="000000"/>
          <w:sz w:val="20"/>
          <w:szCs w:val="20"/>
          <w:lang w:val="en-US"/>
        </w:rPr>
        <w:t xml:space="preserve"> </w:t>
      </w:r>
      <w:r w:rsidRPr="009221D8">
        <w:rPr>
          <w:rFonts w:eastAsia="Times New Roman" w:cs="Arial"/>
          <w:color w:val="000000"/>
          <w:sz w:val="20"/>
          <w:szCs w:val="20"/>
          <w:lang w:eastAsia="bg-BG"/>
        </w:rPr>
        <w:t>концентрация на несвързано лекарство</w:t>
      </w:r>
    </w:p>
    <w:p w14:paraId="0EE26014" w14:textId="77777777" w:rsidR="009221D8" w:rsidRPr="009221D8" w:rsidRDefault="009221D8" w:rsidP="009221D8">
      <w:pPr>
        <w:spacing w:line="240" w:lineRule="auto"/>
        <w:rPr>
          <w:rFonts w:eastAsia="Times New Roman" w:cs="Arial"/>
          <w:sz w:val="24"/>
          <w:szCs w:val="24"/>
          <w:lang w:eastAsia="bg-BG"/>
        </w:rPr>
      </w:pPr>
      <w:r w:rsidRPr="009221D8">
        <w:rPr>
          <w:rFonts w:eastAsia="Times New Roman" w:cs="Arial"/>
          <w:color w:val="000000"/>
          <w:sz w:val="20"/>
          <w:szCs w:val="20"/>
          <w:vertAlign w:val="superscript"/>
          <w:lang w:eastAsia="bg-BG"/>
        </w:rPr>
        <w:t>3</w:t>
      </w:r>
      <w:r w:rsidRPr="009221D8">
        <w:rPr>
          <w:rFonts w:eastAsia="Times New Roman" w:cs="Arial"/>
          <w:color w:val="000000"/>
          <w:sz w:val="20"/>
          <w:szCs w:val="20"/>
          <w:lang w:eastAsia="bg-BG"/>
        </w:rPr>
        <w:t xml:space="preserve"> от 3 часа до 36 часа след дозата</w:t>
      </w:r>
    </w:p>
    <w:p w14:paraId="1D8C8ABA" w14:textId="77777777" w:rsidR="009221D8" w:rsidRPr="009221D8" w:rsidRDefault="009221D8" w:rsidP="009221D8">
      <w:pPr>
        <w:spacing w:line="240" w:lineRule="auto"/>
        <w:rPr>
          <w:rFonts w:eastAsia="Times New Roman" w:cs="Arial"/>
          <w:sz w:val="24"/>
          <w:szCs w:val="24"/>
          <w:lang w:eastAsia="bg-BG"/>
        </w:rPr>
      </w:pPr>
      <w:r w:rsidRPr="009221D8">
        <w:rPr>
          <w:rFonts w:eastAsia="Times New Roman" w:cs="Arial"/>
          <w:color w:val="000000"/>
          <w:sz w:val="20"/>
          <w:szCs w:val="20"/>
          <w:vertAlign w:val="superscript"/>
          <w:lang w:eastAsia="bg-BG"/>
        </w:rPr>
        <w:t>4</w:t>
      </w:r>
      <w:r w:rsidRPr="009221D8">
        <w:rPr>
          <w:rFonts w:eastAsia="Times New Roman" w:cs="Arial"/>
          <w:color w:val="000000"/>
          <w:sz w:val="20"/>
          <w:szCs w:val="20"/>
          <w:lang w:eastAsia="bg-BG"/>
        </w:rPr>
        <w:t xml:space="preserve"> в края на инфузия</w:t>
      </w:r>
    </w:p>
    <w:p w14:paraId="337E8FD9" w14:textId="77777777" w:rsidR="009221D8" w:rsidRDefault="009221D8" w:rsidP="009221D8">
      <w:pPr>
        <w:spacing w:line="240" w:lineRule="auto"/>
        <w:rPr>
          <w:rFonts w:ascii="Times New Roman" w:eastAsia="Times New Roman" w:hAnsi="Times New Roman" w:cs="Times New Roman"/>
          <w:color w:val="000000"/>
          <w:sz w:val="20"/>
          <w:szCs w:val="20"/>
          <w:u w:val="single"/>
          <w:lang w:eastAsia="bg-BG"/>
        </w:rPr>
      </w:pPr>
    </w:p>
    <w:p w14:paraId="33B2C289" w14:textId="03C18E59" w:rsidR="009221D8" w:rsidRPr="009221D8" w:rsidRDefault="009221D8" w:rsidP="009221D8">
      <w:pPr>
        <w:pStyle w:val="Heading3"/>
        <w:rPr>
          <w:rFonts w:eastAsia="Times New Roman"/>
          <w:sz w:val="28"/>
          <w:u w:val="single"/>
          <w:lang w:eastAsia="bg-BG"/>
        </w:rPr>
      </w:pPr>
      <w:r w:rsidRPr="009221D8">
        <w:rPr>
          <w:rFonts w:eastAsia="Times New Roman"/>
          <w:u w:val="single"/>
          <w:lang w:eastAsia="bg-BG"/>
        </w:rPr>
        <w:t>Биотрансформация</w:t>
      </w:r>
    </w:p>
    <w:p w14:paraId="6BDDC7C0"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Моксифлоксацин претърпява биотрансформация от фаза II и се екскретира чрез бъбреците и жлъчката/фекалиите като непроменено лекарство, както и под формата на сулфо-сьединение </w:t>
      </w:r>
      <w:r w:rsidRPr="009221D8">
        <w:rPr>
          <w:rFonts w:eastAsia="Times New Roman" w:cs="Arial"/>
          <w:color w:val="000000"/>
          <w:szCs w:val="20"/>
          <w:lang w:val="en-US"/>
        </w:rPr>
        <w:t xml:space="preserve">(M1) </w:t>
      </w:r>
      <w:r w:rsidRPr="009221D8">
        <w:rPr>
          <w:rFonts w:eastAsia="Times New Roman" w:cs="Arial"/>
          <w:color w:val="000000"/>
          <w:szCs w:val="20"/>
          <w:lang w:eastAsia="bg-BG"/>
        </w:rPr>
        <w:t xml:space="preserve">и глюкуронид (M2). </w:t>
      </w:r>
      <w:r w:rsidRPr="009221D8">
        <w:rPr>
          <w:rFonts w:eastAsia="Times New Roman" w:cs="Arial"/>
          <w:color w:val="000000"/>
          <w:szCs w:val="20"/>
          <w:lang w:val="en-US"/>
        </w:rPr>
        <w:t xml:space="preserve">M1 </w:t>
      </w:r>
      <w:r w:rsidRPr="009221D8">
        <w:rPr>
          <w:rFonts w:eastAsia="Times New Roman" w:cs="Arial"/>
          <w:color w:val="000000"/>
          <w:szCs w:val="20"/>
          <w:lang w:eastAsia="bg-BG"/>
        </w:rPr>
        <w:t>и M2 са единствените метаболити, които са от значение за човека, като и двата са микробиологично неактивни.</w:t>
      </w:r>
    </w:p>
    <w:p w14:paraId="4616BEB1" w14:textId="77777777" w:rsidR="009221D8" w:rsidRPr="009221D8" w:rsidRDefault="009221D8" w:rsidP="009221D8">
      <w:pPr>
        <w:spacing w:line="240" w:lineRule="auto"/>
        <w:rPr>
          <w:rFonts w:eastAsia="Times New Roman" w:cs="Arial"/>
          <w:color w:val="000000"/>
          <w:szCs w:val="20"/>
          <w:lang w:eastAsia="bg-BG"/>
        </w:rPr>
      </w:pPr>
    </w:p>
    <w:p w14:paraId="3645039E" w14:textId="1961556C"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В клинични проучвания фаза I и </w:t>
      </w:r>
      <w:r w:rsidRPr="009221D8">
        <w:rPr>
          <w:rFonts w:eastAsia="Times New Roman" w:cs="Arial"/>
          <w:i/>
          <w:iCs/>
          <w:color w:val="000000"/>
          <w:szCs w:val="20"/>
          <w:lang w:val="en-US"/>
        </w:rPr>
        <w:t>in vitro</w:t>
      </w:r>
      <w:r w:rsidRPr="009221D8">
        <w:rPr>
          <w:rFonts w:eastAsia="Times New Roman" w:cs="Arial"/>
          <w:color w:val="000000"/>
          <w:szCs w:val="20"/>
          <w:lang w:val="en-US"/>
        </w:rPr>
        <w:t xml:space="preserve"> </w:t>
      </w:r>
      <w:r w:rsidRPr="009221D8">
        <w:rPr>
          <w:rFonts w:eastAsia="Times New Roman" w:cs="Arial"/>
          <w:color w:val="000000"/>
          <w:szCs w:val="20"/>
          <w:lang w:eastAsia="bg-BG"/>
        </w:rPr>
        <w:t>проучвания не са наблюдавани метаболитни фармакокинетични взаимодействия с други лекарства, подложени на биотрансформация от фаза I, включващи ензими от групата на цитохром Р450. Няма данни за оксидативен метаболизъм.</w:t>
      </w:r>
    </w:p>
    <w:p w14:paraId="641B3B5F" w14:textId="77777777" w:rsidR="009221D8" w:rsidRPr="009221D8" w:rsidRDefault="009221D8" w:rsidP="009221D8">
      <w:pPr>
        <w:spacing w:line="240" w:lineRule="auto"/>
        <w:rPr>
          <w:rFonts w:eastAsia="Times New Roman" w:cs="Arial"/>
          <w:color w:val="000000"/>
          <w:szCs w:val="20"/>
          <w:u w:val="single"/>
          <w:lang w:eastAsia="bg-BG"/>
        </w:rPr>
      </w:pPr>
    </w:p>
    <w:p w14:paraId="10A88969" w14:textId="1A0244EF" w:rsidR="009221D8" w:rsidRPr="009221D8" w:rsidRDefault="009221D8" w:rsidP="009221D8">
      <w:pPr>
        <w:pStyle w:val="Heading3"/>
        <w:rPr>
          <w:rFonts w:eastAsia="Times New Roman"/>
          <w:sz w:val="28"/>
          <w:u w:val="single"/>
          <w:lang w:eastAsia="bg-BG"/>
        </w:rPr>
      </w:pPr>
      <w:r w:rsidRPr="009221D8">
        <w:rPr>
          <w:rFonts w:eastAsia="Times New Roman"/>
          <w:u w:val="single"/>
          <w:lang w:eastAsia="bg-BG"/>
        </w:rPr>
        <w:t>Елиминиране</w:t>
      </w:r>
    </w:p>
    <w:p w14:paraId="2CAC3FC9"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Моксифлоксацин се елиминира от плазмата със среден терминален полуживот от приблизително 12 часа. Средната стойност на общия телесен клирънс след доза от 400 </w:t>
      </w:r>
      <w:r w:rsidRPr="009221D8">
        <w:rPr>
          <w:rFonts w:eastAsia="Times New Roman" w:cs="Arial"/>
          <w:color w:val="000000"/>
          <w:szCs w:val="20"/>
          <w:lang w:val="en-US"/>
        </w:rPr>
        <w:lastRenderedPageBreak/>
        <w:t xml:space="preserve">mg </w:t>
      </w:r>
      <w:r w:rsidRPr="009221D8">
        <w:rPr>
          <w:rFonts w:eastAsia="Times New Roman" w:cs="Arial"/>
          <w:color w:val="000000"/>
          <w:szCs w:val="20"/>
          <w:lang w:eastAsia="bg-BG"/>
        </w:rPr>
        <w:t xml:space="preserve">варира от 179 до 246 </w:t>
      </w:r>
      <w:r w:rsidRPr="009221D8">
        <w:rPr>
          <w:rFonts w:eastAsia="Times New Roman" w:cs="Arial"/>
          <w:color w:val="000000"/>
          <w:szCs w:val="20"/>
          <w:lang w:val="en-US"/>
        </w:rPr>
        <w:t xml:space="preserve">ml/min. </w:t>
      </w:r>
      <w:r w:rsidRPr="009221D8">
        <w:rPr>
          <w:rFonts w:eastAsia="Times New Roman" w:cs="Arial"/>
          <w:color w:val="000000"/>
          <w:szCs w:val="20"/>
          <w:lang w:eastAsia="bg-BG"/>
        </w:rPr>
        <w:t xml:space="preserve">Бъбречният клирънс е около 24 - 53 </w:t>
      </w:r>
      <w:r w:rsidRPr="009221D8">
        <w:rPr>
          <w:rFonts w:eastAsia="Times New Roman" w:cs="Arial"/>
          <w:color w:val="000000"/>
          <w:szCs w:val="20"/>
          <w:lang w:val="en-US"/>
        </w:rPr>
        <w:t xml:space="preserve">ml/min, </w:t>
      </w:r>
      <w:r w:rsidRPr="009221D8">
        <w:rPr>
          <w:rFonts w:eastAsia="Times New Roman" w:cs="Arial"/>
          <w:color w:val="000000"/>
          <w:szCs w:val="20"/>
          <w:lang w:eastAsia="bg-BG"/>
        </w:rPr>
        <w:t>което предполага частична тубулна реабсорбция на лекарството от бъбреците.</w:t>
      </w:r>
    </w:p>
    <w:p w14:paraId="6717D629"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След доза от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възстановяването от урината (приблизително 19% за непромененото лекарство, приблизително 2,5% за </w:t>
      </w:r>
      <w:r w:rsidRPr="009221D8">
        <w:rPr>
          <w:rFonts w:eastAsia="Times New Roman" w:cs="Arial"/>
          <w:color w:val="000000"/>
          <w:szCs w:val="20"/>
          <w:lang w:val="en-US"/>
        </w:rPr>
        <w:t xml:space="preserve">M1 </w:t>
      </w:r>
      <w:r w:rsidRPr="009221D8">
        <w:rPr>
          <w:rFonts w:eastAsia="Times New Roman" w:cs="Arial"/>
          <w:color w:val="000000"/>
          <w:szCs w:val="20"/>
          <w:lang w:eastAsia="bg-BG"/>
        </w:rPr>
        <w:t xml:space="preserve">и приблизително 14% за M2) и фекалиите (приблизително 25% за непромененото лекарство, приблизително 36% за </w:t>
      </w:r>
      <w:r w:rsidRPr="009221D8">
        <w:rPr>
          <w:rFonts w:eastAsia="Times New Roman" w:cs="Arial"/>
          <w:color w:val="000000"/>
          <w:szCs w:val="20"/>
          <w:lang w:val="en-US"/>
        </w:rPr>
        <w:t xml:space="preserve">M1 </w:t>
      </w:r>
      <w:r w:rsidRPr="009221D8">
        <w:rPr>
          <w:rFonts w:eastAsia="Times New Roman" w:cs="Arial"/>
          <w:color w:val="000000"/>
          <w:szCs w:val="20"/>
          <w:lang w:eastAsia="bg-BG"/>
        </w:rPr>
        <w:t>и без възстановяване за M2) възлиза на приблизително 96%.</w:t>
      </w:r>
    </w:p>
    <w:p w14:paraId="187FE26D"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Едновременното приложение на моксифлоксацин с ранитидин или пробенецид не променя бъбречния клирънс на изходното лекарство.</w:t>
      </w:r>
    </w:p>
    <w:p w14:paraId="628DDE19" w14:textId="77777777" w:rsidR="009221D8" w:rsidRDefault="009221D8" w:rsidP="009221D8">
      <w:pPr>
        <w:spacing w:line="240" w:lineRule="auto"/>
        <w:rPr>
          <w:rFonts w:ascii="Times New Roman" w:eastAsia="Times New Roman" w:hAnsi="Times New Roman" w:cs="Times New Roman"/>
          <w:i/>
          <w:iCs/>
          <w:color w:val="000000"/>
          <w:sz w:val="20"/>
          <w:szCs w:val="20"/>
          <w:lang w:eastAsia="bg-BG"/>
        </w:rPr>
      </w:pPr>
    </w:p>
    <w:p w14:paraId="7D1E28EA" w14:textId="719E5773" w:rsidR="009221D8" w:rsidRPr="009221D8" w:rsidRDefault="009221D8" w:rsidP="009221D8">
      <w:pPr>
        <w:spacing w:line="240" w:lineRule="auto"/>
        <w:rPr>
          <w:rFonts w:eastAsia="Times New Roman" w:cs="Arial"/>
          <w:sz w:val="28"/>
          <w:szCs w:val="24"/>
          <w:lang w:eastAsia="bg-BG"/>
        </w:rPr>
      </w:pPr>
      <w:r w:rsidRPr="009221D8">
        <w:rPr>
          <w:rFonts w:eastAsia="Times New Roman" w:cs="Arial"/>
          <w:i/>
          <w:iCs/>
          <w:color w:val="000000"/>
          <w:szCs w:val="20"/>
          <w:lang w:eastAsia="bg-BG"/>
        </w:rPr>
        <w:t>Пациенти в старческа възраст и пациенти с ниско телесно тегло</w:t>
      </w:r>
    </w:p>
    <w:p w14:paraId="0914977E"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При здрави доброволци с ниско телесно тегло (като жени) и при доброволци в старческа възраст се наблюдават по-високи плазмени концентрации.</w:t>
      </w:r>
    </w:p>
    <w:p w14:paraId="2755B24E" w14:textId="77777777" w:rsidR="009221D8" w:rsidRPr="009221D8" w:rsidRDefault="009221D8" w:rsidP="009221D8">
      <w:pPr>
        <w:spacing w:line="240" w:lineRule="auto"/>
        <w:rPr>
          <w:rFonts w:eastAsia="Times New Roman" w:cs="Arial"/>
          <w:i/>
          <w:iCs/>
          <w:color w:val="000000"/>
          <w:szCs w:val="20"/>
          <w:lang w:eastAsia="bg-BG"/>
        </w:rPr>
      </w:pPr>
    </w:p>
    <w:p w14:paraId="76046143" w14:textId="778E40B7" w:rsidR="009221D8" w:rsidRPr="009221D8" w:rsidRDefault="009221D8" w:rsidP="009221D8">
      <w:pPr>
        <w:spacing w:line="240" w:lineRule="auto"/>
        <w:rPr>
          <w:rFonts w:eastAsia="Times New Roman" w:cs="Arial"/>
          <w:sz w:val="28"/>
          <w:szCs w:val="24"/>
          <w:lang w:eastAsia="bg-BG"/>
        </w:rPr>
      </w:pPr>
      <w:r w:rsidRPr="009221D8">
        <w:rPr>
          <w:rFonts w:eastAsia="Times New Roman" w:cs="Arial"/>
          <w:i/>
          <w:iCs/>
          <w:color w:val="000000"/>
          <w:szCs w:val="20"/>
          <w:lang w:eastAsia="bg-BG"/>
        </w:rPr>
        <w:t>Бъбречно увреждане</w:t>
      </w:r>
    </w:p>
    <w:p w14:paraId="211432CA"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Фармакокинетичните свойства на моксифлоксацин не се различават значимо при пациенти с бъбречно увреждане (включително креатининов клирънс &gt; 20 </w:t>
      </w:r>
      <w:r w:rsidRPr="009221D8">
        <w:rPr>
          <w:rFonts w:eastAsia="Times New Roman" w:cs="Arial"/>
          <w:color w:val="000000"/>
          <w:szCs w:val="20"/>
          <w:lang w:val="en-US"/>
        </w:rPr>
        <w:t>ml/min/1,73 m</w:t>
      </w:r>
      <w:r w:rsidRPr="009221D8">
        <w:rPr>
          <w:rFonts w:eastAsia="Times New Roman" w:cs="Arial"/>
          <w:color w:val="000000"/>
          <w:szCs w:val="20"/>
          <w:vertAlign w:val="superscript"/>
          <w:lang w:val="en-US"/>
        </w:rPr>
        <w:t>2</w:t>
      </w:r>
      <w:r w:rsidRPr="009221D8">
        <w:rPr>
          <w:rFonts w:eastAsia="Times New Roman" w:cs="Arial"/>
          <w:color w:val="000000"/>
          <w:szCs w:val="20"/>
          <w:lang w:val="en-US"/>
        </w:rPr>
        <w:t xml:space="preserve">). </w:t>
      </w:r>
      <w:r w:rsidRPr="009221D8">
        <w:rPr>
          <w:rFonts w:eastAsia="Times New Roman" w:cs="Arial"/>
          <w:color w:val="000000"/>
          <w:szCs w:val="20"/>
          <w:lang w:eastAsia="bg-BG"/>
        </w:rPr>
        <w:t xml:space="preserve">С намаляването на бъбречната функция концентрациите на метаболита M2 (глюкуронид) се повишават с фактор от 2,5 (с креатининов клирънс &lt; 30 </w:t>
      </w:r>
      <w:r w:rsidRPr="009221D8">
        <w:rPr>
          <w:rFonts w:eastAsia="Times New Roman" w:cs="Arial"/>
          <w:color w:val="000000"/>
          <w:szCs w:val="20"/>
          <w:lang w:val="en-US"/>
        </w:rPr>
        <w:t>ml/min/1,73 m</w:t>
      </w:r>
      <w:r w:rsidRPr="009221D8">
        <w:rPr>
          <w:rFonts w:eastAsia="Times New Roman" w:cs="Arial"/>
          <w:color w:val="000000"/>
          <w:szCs w:val="20"/>
          <w:vertAlign w:val="superscript"/>
          <w:lang w:val="en-US"/>
        </w:rPr>
        <w:t>2</w:t>
      </w:r>
      <w:r w:rsidRPr="009221D8">
        <w:rPr>
          <w:rFonts w:eastAsia="Times New Roman" w:cs="Arial"/>
          <w:color w:val="000000"/>
          <w:szCs w:val="20"/>
          <w:lang w:val="en-US"/>
        </w:rPr>
        <w:t>).</w:t>
      </w:r>
    </w:p>
    <w:p w14:paraId="08CE1AD2" w14:textId="77777777" w:rsidR="009221D8" w:rsidRPr="009221D8" w:rsidRDefault="009221D8" w:rsidP="009221D8">
      <w:pPr>
        <w:spacing w:line="240" w:lineRule="auto"/>
        <w:rPr>
          <w:rFonts w:eastAsia="Times New Roman" w:cs="Arial"/>
          <w:i/>
          <w:iCs/>
          <w:color w:val="000000"/>
          <w:szCs w:val="20"/>
          <w:lang w:eastAsia="bg-BG"/>
        </w:rPr>
      </w:pPr>
    </w:p>
    <w:p w14:paraId="1EED3525" w14:textId="1DA61DB3" w:rsidR="009221D8" w:rsidRPr="009221D8" w:rsidRDefault="009221D8" w:rsidP="009221D8">
      <w:pPr>
        <w:spacing w:line="240" w:lineRule="auto"/>
        <w:rPr>
          <w:rFonts w:eastAsia="Times New Roman" w:cs="Arial"/>
          <w:sz w:val="28"/>
          <w:szCs w:val="24"/>
          <w:lang w:eastAsia="bg-BG"/>
        </w:rPr>
      </w:pPr>
      <w:r w:rsidRPr="009221D8">
        <w:rPr>
          <w:rFonts w:eastAsia="Times New Roman" w:cs="Arial"/>
          <w:i/>
          <w:iCs/>
          <w:color w:val="000000"/>
          <w:szCs w:val="20"/>
          <w:lang w:eastAsia="bg-BG"/>
        </w:rPr>
        <w:t>Чернодробно увреждане</w:t>
      </w:r>
    </w:p>
    <w:p w14:paraId="1057409C" w14:textId="3644AAE6" w:rsidR="009221D8" w:rsidRPr="009221D8" w:rsidRDefault="009221D8" w:rsidP="009221D8">
      <w:pPr>
        <w:rPr>
          <w:rFonts w:cs="Arial"/>
          <w:sz w:val="24"/>
          <w:lang w:val="en-US"/>
        </w:rPr>
      </w:pPr>
      <w:r w:rsidRPr="009221D8">
        <w:rPr>
          <w:rFonts w:eastAsia="Times New Roman" w:cs="Arial"/>
          <w:color w:val="000000"/>
          <w:szCs w:val="20"/>
          <w:lang w:eastAsia="bg-BG"/>
        </w:rPr>
        <w:t xml:space="preserve">Въз основа на проведените досега фармакокинетични проучвания при пациенти с чернодробна недостатъчност </w:t>
      </w:r>
      <w:r w:rsidRPr="009221D8">
        <w:rPr>
          <w:rFonts w:eastAsia="Times New Roman" w:cs="Arial"/>
          <w:color w:val="000000"/>
          <w:szCs w:val="20"/>
          <w:lang w:val="en-US"/>
        </w:rPr>
        <w:t xml:space="preserve">(Child Pugh </w:t>
      </w:r>
      <w:r w:rsidRPr="009221D8">
        <w:rPr>
          <w:rFonts w:eastAsia="Times New Roman" w:cs="Arial"/>
          <w:color w:val="000000"/>
          <w:szCs w:val="20"/>
          <w:lang w:eastAsia="bg-BG"/>
        </w:rPr>
        <w:t xml:space="preserve">А, В), не е възможно да се определи дали има някакви различия в сравнение със здрави доброволци. Нарушената чернодробна функция е свързана с по-висока експозиция на </w:t>
      </w:r>
      <w:r w:rsidRPr="009221D8">
        <w:rPr>
          <w:rFonts w:eastAsia="Times New Roman" w:cs="Arial"/>
          <w:color w:val="000000"/>
          <w:szCs w:val="20"/>
          <w:lang w:val="en-US"/>
        </w:rPr>
        <w:t xml:space="preserve">M1 </w:t>
      </w:r>
      <w:r w:rsidRPr="009221D8">
        <w:rPr>
          <w:rFonts w:eastAsia="Times New Roman" w:cs="Arial"/>
          <w:color w:val="000000"/>
          <w:szCs w:val="20"/>
          <w:lang w:eastAsia="bg-BG"/>
        </w:rPr>
        <w:t>в плазмата, докато експозицията на основното лекарство е сравнима с</w:t>
      </w:r>
      <w:r w:rsidRPr="009221D8">
        <w:rPr>
          <w:rFonts w:eastAsia="Times New Roman" w:cs="Arial"/>
          <w:color w:val="000000"/>
          <w:szCs w:val="20"/>
          <w:lang w:val="en-US" w:eastAsia="bg-BG"/>
        </w:rPr>
        <w:t xml:space="preserve"> </w:t>
      </w:r>
      <w:r w:rsidRPr="009221D8">
        <w:rPr>
          <w:rFonts w:cs="Arial"/>
          <w:szCs w:val="20"/>
        </w:rPr>
        <w:t>експозицията при здрави доброволци. Няма достатъчно опит в клиничната употреба на моксифлоксацин при пациенти с нарушена чернодробна функция.</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490B833C"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Ефекти върху хематопоетичната система (леко понижаване на броя на еритроцитите и тромбоцитите) са наблюдавани при плъхове и маймуни. Какго при други хинолони, при плъхове, маймуни и кучета се наблюдава хепатотоксичност (повишени чернодробни ензими и вакуоларна дегенерация). При маймуни е възникнала токсичност на ЦНС (конвулсии). Тези ефекти се наблюдават само след третиране с високи дози моксифлоксацин или след продължително третиране.</w:t>
      </w:r>
    </w:p>
    <w:p w14:paraId="2C0C9203" w14:textId="77777777" w:rsidR="009221D8" w:rsidRPr="009221D8" w:rsidRDefault="009221D8" w:rsidP="009221D8">
      <w:pPr>
        <w:spacing w:line="240" w:lineRule="auto"/>
        <w:rPr>
          <w:rFonts w:eastAsia="Times New Roman" w:cs="Arial"/>
          <w:color w:val="000000"/>
          <w:szCs w:val="20"/>
          <w:lang w:eastAsia="bg-BG"/>
        </w:rPr>
      </w:pPr>
    </w:p>
    <w:p w14:paraId="59B665B8" w14:textId="253CE43C"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Моксифлоксацин, подобно на други хинолони, е генотоксичен при </w:t>
      </w:r>
      <w:r w:rsidRPr="009221D8">
        <w:rPr>
          <w:rFonts w:eastAsia="Times New Roman" w:cs="Arial"/>
          <w:i/>
          <w:iCs/>
          <w:color w:val="000000"/>
          <w:szCs w:val="20"/>
          <w:lang w:val="en-US"/>
        </w:rPr>
        <w:t>in vitro</w:t>
      </w:r>
      <w:r w:rsidRPr="009221D8">
        <w:rPr>
          <w:rFonts w:eastAsia="Times New Roman" w:cs="Arial"/>
          <w:color w:val="000000"/>
          <w:szCs w:val="20"/>
          <w:lang w:val="en-US"/>
        </w:rPr>
        <w:t xml:space="preserve"> </w:t>
      </w:r>
      <w:r w:rsidRPr="009221D8">
        <w:rPr>
          <w:rFonts w:eastAsia="Times New Roman" w:cs="Arial"/>
          <w:color w:val="000000"/>
          <w:szCs w:val="20"/>
          <w:lang w:eastAsia="bg-BG"/>
        </w:rPr>
        <w:t xml:space="preserve">тестове, използващи бактерии или клетки от бозайници. Тъй като тези ефекти могат да бъдат обяснени чрез взаимодействие с гиразата в бактериите и, при по-високи концентрации, чрез взаимодействие с топоизомераза II в клетките на бозайници, може да се определи прагова концентрация за генотоксичност. При </w:t>
      </w:r>
      <w:r w:rsidRPr="009221D8">
        <w:rPr>
          <w:rFonts w:eastAsia="Times New Roman" w:cs="Arial"/>
          <w:i/>
          <w:iCs/>
          <w:color w:val="000000"/>
          <w:szCs w:val="20"/>
          <w:lang w:val="en-US"/>
        </w:rPr>
        <w:t>in vivo</w:t>
      </w:r>
      <w:r w:rsidRPr="009221D8">
        <w:rPr>
          <w:rFonts w:eastAsia="Times New Roman" w:cs="Arial"/>
          <w:color w:val="000000"/>
          <w:szCs w:val="20"/>
          <w:lang w:val="en-US"/>
        </w:rPr>
        <w:t xml:space="preserve"> </w:t>
      </w:r>
      <w:r w:rsidRPr="009221D8">
        <w:rPr>
          <w:rFonts w:eastAsia="Times New Roman" w:cs="Arial"/>
          <w:color w:val="000000"/>
          <w:szCs w:val="20"/>
          <w:lang w:eastAsia="bg-BG"/>
        </w:rPr>
        <w:t>тестове не е установено наличие на генотоксичност въпреки факта, че са използвани много високи дози моксифлоксацин. По този начин могат да се установят достатъчни граници на безопасност за терапевтичната доза при човека. Моксифлоксацин не е канцерогенен в проучване на инициация-активиране при плъхове.</w:t>
      </w:r>
    </w:p>
    <w:p w14:paraId="320A3040" w14:textId="77777777" w:rsidR="009221D8" w:rsidRPr="009221D8" w:rsidRDefault="009221D8" w:rsidP="009221D8">
      <w:pPr>
        <w:spacing w:line="240" w:lineRule="auto"/>
        <w:rPr>
          <w:rFonts w:eastAsia="Times New Roman" w:cs="Arial"/>
          <w:color w:val="000000"/>
          <w:szCs w:val="20"/>
          <w:lang w:eastAsia="bg-BG"/>
        </w:rPr>
      </w:pPr>
    </w:p>
    <w:p w14:paraId="45692447" w14:textId="794A4A1D"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Много хинолони са фотореактивни и могат да индуцират фототоксични, фотомутагенни и фотоканцерогенни ефекти. Противно на това за моксифлоксацин е доказано, че е лишен </w:t>
      </w:r>
      <w:r w:rsidRPr="009221D8">
        <w:rPr>
          <w:rFonts w:eastAsia="Times New Roman" w:cs="Arial"/>
          <w:color w:val="000000"/>
          <w:szCs w:val="20"/>
          <w:lang w:eastAsia="bg-BG"/>
        </w:rPr>
        <w:lastRenderedPageBreak/>
        <w:t xml:space="preserve">от фототоксични и фотогенотоксични свойства, когато е изследван в обстойна програма с проучвания </w:t>
      </w:r>
      <w:r w:rsidRPr="009221D8">
        <w:rPr>
          <w:rFonts w:eastAsia="Times New Roman" w:cs="Arial"/>
          <w:i/>
          <w:iCs/>
          <w:color w:val="000000"/>
          <w:szCs w:val="20"/>
          <w:lang w:val="en-US"/>
        </w:rPr>
        <w:t>in vitro</w:t>
      </w:r>
      <w:r w:rsidRPr="009221D8">
        <w:rPr>
          <w:rFonts w:eastAsia="Times New Roman" w:cs="Arial"/>
          <w:color w:val="000000"/>
          <w:szCs w:val="20"/>
          <w:lang w:val="en-US"/>
        </w:rPr>
        <w:t xml:space="preserve"> </w:t>
      </w:r>
      <w:r w:rsidRPr="009221D8">
        <w:rPr>
          <w:rFonts w:eastAsia="Times New Roman" w:cs="Arial"/>
          <w:color w:val="000000"/>
          <w:szCs w:val="20"/>
          <w:lang w:eastAsia="bg-BG"/>
        </w:rPr>
        <w:t xml:space="preserve">и </w:t>
      </w:r>
      <w:r w:rsidRPr="009221D8">
        <w:rPr>
          <w:rFonts w:eastAsia="Times New Roman" w:cs="Arial"/>
          <w:i/>
          <w:iCs/>
          <w:color w:val="000000"/>
          <w:szCs w:val="20"/>
          <w:lang w:val="en-US"/>
        </w:rPr>
        <w:t>in vivo.</w:t>
      </w:r>
      <w:r w:rsidRPr="009221D8">
        <w:rPr>
          <w:rFonts w:eastAsia="Times New Roman" w:cs="Arial"/>
          <w:color w:val="000000"/>
          <w:szCs w:val="20"/>
          <w:lang w:val="en-US"/>
        </w:rPr>
        <w:t xml:space="preserve"> </w:t>
      </w:r>
      <w:r w:rsidRPr="009221D8">
        <w:rPr>
          <w:rFonts w:eastAsia="Times New Roman" w:cs="Arial"/>
          <w:color w:val="000000"/>
          <w:szCs w:val="20"/>
          <w:lang w:eastAsia="bg-BG"/>
        </w:rPr>
        <w:t>При същите условия други хинолони индуцират ефекти.</w:t>
      </w:r>
    </w:p>
    <w:p w14:paraId="6DA188DD" w14:textId="77777777"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При високи концентрации моксифлоксацин е инхибитор на бързия компонент на забавения изправителен калиев поток на сърцето и по този начин може да доведе до удължаване на </w:t>
      </w:r>
      <w:r w:rsidRPr="009221D8">
        <w:rPr>
          <w:rFonts w:eastAsia="Times New Roman" w:cs="Arial"/>
          <w:color w:val="000000"/>
          <w:szCs w:val="20"/>
          <w:lang w:val="en-US"/>
        </w:rPr>
        <w:t xml:space="preserve">QT </w:t>
      </w:r>
      <w:r w:rsidRPr="009221D8">
        <w:rPr>
          <w:rFonts w:eastAsia="Times New Roman" w:cs="Arial"/>
          <w:color w:val="000000"/>
          <w:szCs w:val="20"/>
          <w:lang w:eastAsia="bg-BG"/>
        </w:rPr>
        <w:t xml:space="preserve">интервала. Токсикологичните проучвания, проведени при кучета с перорални дози ≥ 90 </w:t>
      </w:r>
      <w:r w:rsidRPr="009221D8">
        <w:rPr>
          <w:rFonts w:eastAsia="Times New Roman" w:cs="Arial"/>
          <w:color w:val="000000"/>
          <w:szCs w:val="20"/>
          <w:lang w:val="en-US"/>
        </w:rPr>
        <w:t xml:space="preserve">mg/kg, </w:t>
      </w:r>
      <w:r w:rsidRPr="009221D8">
        <w:rPr>
          <w:rFonts w:eastAsia="Times New Roman" w:cs="Arial"/>
          <w:color w:val="000000"/>
          <w:szCs w:val="20"/>
          <w:lang w:eastAsia="bg-BG"/>
        </w:rPr>
        <w:t xml:space="preserve">водещи до плазмени концентрации ≥ 16 </w:t>
      </w:r>
      <w:r w:rsidRPr="009221D8">
        <w:rPr>
          <w:rFonts w:eastAsia="Times New Roman" w:cs="Arial"/>
          <w:color w:val="000000"/>
          <w:szCs w:val="20"/>
          <w:lang w:val="en-US"/>
        </w:rPr>
        <w:t xml:space="preserve">mg/l, </w:t>
      </w:r>
      <w:r w:rsidRPr="009221D8">
        <w:rPr>
          <w:rFonts w:eastAsia="Times New Roman" w:cs="Arial"/>
          <w:color w:val="000000"/>
          <w:szCs w:val="20"/>
          <w:lang w:eastAsia="bg-BG"/>
        </w:rPr>
        <w:t xml:space="preserve">са довели до удължаване на </w:t>
      </w:r>
      <w:r w:rsidRPr="009221D8">
        <w:rPr>
          <w:rFonts w:eastAsia="Times New Roman" w:cs="Arial"/>
          <w:color w:val="000000"/>
          <w:szCs w:val="20"/>
          <w:lang w:val="en-US"/>
        </w:rPr>
        <w:t xml:space="preserve">QT </w:t>
      </w:r>
      <w:r w:rsidRPr="009221D8">
        <w:rPr>
          <w:rFonts w:eastAsia="Times New Roman" w:cs="Arial"/>
          <w:color w:val="000000"/>
          <w:szCs w:val="20"/>
          <w:lang w:eastAsia="bg-BG"/>
        </w:rPr>
        <w:t xml:space="preserve">интервала, но без аритмии. Само след много високо кумулативно интравенозно приложение с повече от 50 пъти дозата при хора (&gt; 300 </w:t>
      </w:r>
      <w:r w:rsidRPr="009221D8">
        <w:rPr>
          <w:rFonts w:eastAsia="Times New Roman" w:cs="Arial"/>
          <w:i/>
          <w:iCs/>
          <w:color w:val="000000"/>
          <w:szCs w:val="20"/>
          <w:lang w:val="en-US"/>
        </w:rPr>
        <w:t>mg/kg),</w:t>
      </w:r>
      <w:r w:rsidRPr="009221D8">
        <w:rPr>
          <w:rFonts w:eastAsia="Times New Roman" w:cs="Arial"/>
          <w:color w:val="000000"/>
          <w:szCs w:val="20"/>
          <w:lang w:val="en-US"/>
        </w:rPr>
        <w:t xml:space="preserve"> </w:t>
      </w:r>
      <w:r w:rsidRPr="009221D8">
        <w:rPr>
          <w:rFonts w:eastAsia="Times New Roman" w:cs="Arial"/>
          <w:color w:val="000000"/>
          <w:szCs w:val="20"/>
          <w:lang w:eastAsia="bg-BG"/>
        </w:rPr>
        <w:t xml:space="preserve">водещо до плазмени концентрации ≥ 200 </w:t>
      </w:r>
      <w:r w:rsidRPr="009221D8">
        <w:rPr>
          <w:rFonts w:eastAsia="Times New Roman" w:cs="Arial"/>
          <w:color w:val="000000"/>
          <w:szCs w:val="20"/>
          <w:lang w:val="en-US"/>
        </w:rPr>
        <w:t xml:space="preserve">mg/l </w:t>
      </w:r>
      <w:r w:rsidRPr="009221D8">
        <w:rPr>
          <w:rFonts w:eastAsia="Times New Roman" w:cs="Arial"/>
          <w:color w:val="000000"/>
          <w:szCs w:val="20"/>
          <w:lang w:eastAsia="bg-BG"/>
        </w:rPr>
        <w:t>(над 40 пъти терапевтичното ниво), са наблюдавани обратими нефатални камерни аритмии.</w:t>
      </w:r>
    </w:p>
    <w:p w14:paraId="198BDA28" w14:textId="77777777" w:rsidR="009221D8" w:rsidRPr="009221D8" w:rsidRDefault="009221D8" w:rsidP="009221D8">
      <w:pPr>
        <w:spacing w:line="240" w:lineRule="auto"/>
        <w:rPr>
          <w:rFonts w:eastAsia="Times New Roman" w:cs="Arial"/>
          <w:color w:val="000000"/>
          <w:szCs w:val="20"/>
          <w:lang w:eastAsia="bg-BG"/>
        </w:rPr>
      </w:pPr>
    </w:p>
    <w:p w14:paraId="690C74A7" w14:textId="4B79C51E"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Известно е, че хинолоните причиняват лезии в хрущяла на основните диартродиални стави при незрели животни. Най-ниската перорална доза моксифлоксацин, причиняваща токсичност на ставите при ювенилни кучета, е била четири пъти по-голяма от максималната препоръчителна терапевтична доза от 400 </w:t>
      </w:r>
      <w:r w:rsidRPr="009221D8">
        <w:rPr>
          <w:rFonts w:eastAsia="Times New Roman" w:cs="Arial"/>
          <w:color w:val="000000"/>
          <w:szCs w:val="20"/>
          <w:lang w:val="en-US"/>
        </w:rPr>
        <w:t xml:space="preserve">mg </w:t>
      </w:r>
      <w:r w:rsidRPr="009221D8">
        <w:rPr>
          <w:rFonts w:eastAsia="Times New Roman" w:cs="Arial"/>
          <w:color w:val="000000"/>
          <w:szCs w:val="20"/>
          <w:lang w:eastAsia="bg-BG"/>
        </w:rPr>
        <w:t xml:space="preserve">(при приемане на телесно тегло от 50 </w:t>
      </w:r>
      <w:r w:rsidRPr="009221D8">
        <w:rPr>
          <w:rFonts w:eastAsia="Times New Roman" w:cs="Arial"/>
          <w:color w:val="000000"/>
          <w:szCs w:val="20"/>
          <w:lang w:val="en-US"/>
        </w:rPr>
        <w:t xml:space="preserve">kg) </w:t>
      </w:r>
      <w:r w:rsidRPr="009221D8">
        <w:rPr>
          <w:rFonts w:eastAsia="Times New Roman" w:cs="Arial"/>
          <w:color w:val="000000"/>
          <w:szCs w:val="20"/>
          <w:lang w:eastAsia="bg-BG"/>
        </w:rPr>
        <w:t xml:space="preserve">на база </w:t>
      </w:r>
      <w:r w:rsidRPr="009221D8">
        <w:rPr>
          <w:rFonts w:eastAsia="Times New Roman" w:cs="Arial"/>
          <w:color w:val="000000"/>
          <w:szCs w:val="20"/>
          <w:lang w:val="en-US"/>
        </w:rPr>
        <w:t xml:space="preserve">mg/kg, </w:t>
      </w:r>
      <w:r w:rsidRPr="009221D8">
        <w:rPr>
          <w:rFonts w:eastAsia="Times New Roman" w:cs="Arial"/>
          <w:color w:val="000000"/>
          <w:szCs w:val="20"/>
          <w:lang w:eastAsia="bg-BG"/>
        </w:rPr>
        <w:t>с плазмени концентрации два до три пъти по-високи от максималната терапевтична доза.</w:t>
      </w:r>
    </w:p>
    <w:p w14:paraId="349596CC" w14:textId="77777777" w:rsidR="009221D8" w:rsidRPr="009221D8" w:rsidRDefault="009221D8" w:rsidP="009221D8">
      <w:pPr>
        <w:spacing w:line="240" w:lineRule="auto"/>
        <w:rPr>
          <w:rFonts w:eastAsia="Times New Roman" w:cs="Arial"/>
          <w:color w:val="000000"/>
          <w:szCs w:val="20"/>
          <w:lang w:eastAsia="bg-BG"/>
        </w:rPr>
      </w:pPr>
    </w:p>
    <w:p w14:paraId="1DE419F0" w14:textId="62BE2B72" w:rsidR="009221D8" w:rsidRPr="009221D8" w:rsidRDefault="009221D8" w:rsidP="009221D8">
      <w:pPr>
        <w:spacing w:line="240" w:lineRule="auto"/>
        <w:rPr>
          <w:rFonts w:eastAsia="Times New Roman" w:cs="Arial"/>
          <w:sz w:val="28"/>
          <w:szCs w:val="24"/>
          <w:lang w:eastAsia="bg-BG"/>
        </w:rPr>
      </w:pPr>
      <w:r w:rsidRPr="009221D8">
        <w:rPr>
          <w:rFonts w:eastAsia="Times New Roman" w:cs="Arial"/>
          <w:color w:val="000000"/>
          <w:szCs w:val="20"/>
          <w:lang w:eastAsia="bg-BG"/>
        </w:rPr>
        <w:t xml:space="preserve">Изследванията за токсичност при плъхове и маймуни (многократно дозиране до шест месеца) не показват данни за окулотоксичен риск. При кучета високи перорални дози (≥ 60 </w:t>
      </w:r>
      <w:r w:rsidRPr="009221D8">
        <w:rPr>
          <w:rFonts w:eastAsia="Times New Roman" w:cs="Arial"/>
          <w:color w:val="000000"/>
          <w:szCs w:val="20"/>
          <w:lang w:val="en-US"/>
        </w:rPr>
        <w:t xml:space="preserve">mg/kg), </w:t>
      </w:r>
      <w:r w:rsidRPr="009221D8">
        <w:rPr>
          <w:rFonts w:eastAsia="Times New Roman" w:cs="Arial"/>
          <w:color w:val="000000"/>
          <w:szCs w:val="20"/>
          <w:lang w:eastAsia="bg-BG"/>
        </w:rPr>
        <w:t xml:space="preserve">водещи до плазмени концентрации ≥ 20 </w:t>
      </w:r>
      <w:r w:rsidRPr="009221D8">
        <w:rPr>
          <w:rFonts w:eastAsia="Times New Roman" w:cs="Arial"/>
          <w:color w:val="000000"/>
          <w:szCs w:val="20"/>
          <w:lang w:val="en-US"/>
        </w:rPr>
        <w:t xml:space="preserve">mg/l, </w:t>
      </w:r>
      <w:r w:rsidRPr="009221D8">
        <w:rPr>
          <w:rFonts w:eastAsia="Times New Roman" w:cs="Arial"/>
          <w:color w:val="000000"/>
          <w:szCs w:val="20"/>
          <w:lang w:eastAsia="bg-BG"/>
        </w:rPr>
        <w:t>причиняват промени в електроретинограмата и в изолирани случаи атрофия на ретината.</w:t>
      </w:r>
    </w:p>
    <w:p w14:paraId="0D8E7C22" w14:textId="77777777" w:rsidR="009221D8" w:rsidRPr="009221D8" w:rsidRDefault="009221D8" w:rsidP="009221D8">
      <w:pPr>
        <w:rPr>
          <w:rFonts w:eastAsia="Times New Roman" w:cs="Arial"/>
          <w:color w:val="000000"/>
          <w:szCs w:val="20"/>
          <w:lang w:eastAsia="bg-BG"/>
        </w:rPr>
      </w:pPr>
    </w:p>
    <w:p w14:paraId="13A7B62A" w14:textId="31B1F09A" w:rsidR="007A2185" w:rsidRPr="009221D8" w:rsidRDefault="009221D8" w:rsidP="009221D8">
      <w:pPr>
        <w:rPr>
          <w:rFonts w:cs="Arial"/>
          <w:sz w:val="24"/>
          <w:lang w:val="en-US"/>
        </w:rPr>
      </w:pPr>
      <w:r w:rsidRPr="009221D8">
        <w:rPr>
          <w:rFonts w:eastAsia="Times New Roman" w:cs="Arial"/>
          <w:color w:val="000000"/>
          <w:szCs w:val="20"/>
          <w:lang w:eastAsia="bg-BG"/>
        </w:rPr>
        <w:t>Проучвания върху репродукцията, проведени върху плъхове, зайци и маймуни, показват преминаване на моксифлоксацин през плацентата. Проучвания при плъхове (перорално и</w:t>
      </w:r>
      <w:r w:rsidRPr="009221D8">
        <w:rPr>
          <w:rFonts w:eastAsia="Times New Roman" w:cs="Arial"/>
          <w:color w:val="000000"/>
          <w:szCs w:val="20"/>
          <w:lang w:val="en-US" w:eastAsia="bg-BG"/>
        </w:rPr>
        <w:t xml:space="preserve"> </w:t>
      </w:r>
      <w:r w:rsidRPr="009221D8">
        <w:rPr>
          <w:rFonts w:cs="Arial"/>
          <w:szCs w:val="20"/>
        </w:rPr>
        <w:t xml:space="preserve">интравенозно) и маймуни (перорално) не представят доказателства за тератогенност или увреждане на фертилитета след прилагане на моксифлоксацин. Леко повишена честота на малформации на прешлени и ребра е наблюдавана при зародиши на зайци, но само при доза (20 </w:t>
      </w:r>
      <w:r w:rsidRPr="009221D8">
        <w:rPr>
          <w:rFonts w:cs="Arial"/>
          <w:szCs w:val="20"/>
          <w:lang w:val="en-US"/>
        </w:rPr>
        <w:t xml:space="preserve">mg/kg </w:t>
      </w:r>
      <w:r w:rsidRPr="009221D8">
        <w:rPr>
          <w:rFonts w:cs="Arial"/>
          <w:szCs w:val="20"/>
        </w:rPr>
        <w:t xml:space="preserve">интравенозно), която се свързва с тежка токсичност за майката. Наблюдава се увеличение на случаите на аборти при маймуни и зайци при терапевтични плазмени концентрации за хора. При плъхове се наблюдава намаляване на теглото на плодовете, увеличена пренатална загуба, леко увеличена продължителност на бременността и повишена спонтанна активност на някои мъжки и женски потомства при дози, които са 63 пъти максималната препоръчителна доза на база </w:t>
      </w:r>
      <w:r w:rsidRPr="009221D8">
        <w:rPr>
          <w:rFonts w:cs="Arial"/>
          <w:szCs w:val="20"/>
          <w:lang w:val="en-US"/>
        </w:rPr>
        <w:t xml:space="preserve">mg/kg </w:t>
      </w:r>
      <w:r w:rsidRPr="009221D8">
        <w:rPr>
          <w:rFonts w:cs="Arial"/>
          <w:szCs w:val="20"/>
        </w:rPr>
        <w:t>с плазмени концентрации в обхвата на терапевтичната доза за хора.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803D6CD" w14:textId="77777777" w:rsidR="00714BDA" w:rsidRPr="00714BDA" w:rsidRDefault="00714BDA" w:rsidP="00714BDA">
      <w:pPr>
        <w:spacing w:line="240" w:lineRule="auto"/>
        <w:rPr>
          <w:rFonts w:eastAsia="Times New Roman" w:cs="Arial"/>
          <w:lang w:val="en-US" w:eastAsia="bg-BG"/>
        </w:rPr>
      </w:pPr>
      <w:r w:rsidRPr="00714BDA">
        <w:rPr>
          <w:rFonts w:eastAsia="Times New Roman" w:cs="Arial"/>
          <w:color w:val="000000"/>
          <w:lang w:val="en-US"/>
        </w:rPr>
        <w:t xml:space="preserve">ALKALOID-INT </w:t>
      </w:r>
      <w:proofErr w:type="spellStart"/>
      <w:r w:rsidRPr="00714BDA">
        <w:rPr>
          <w:rFonts w:eastAsia="Times New Roman" w:cs="Arial"/>
          <w:color w:val="000000"/>
          <w:lang w:val="en-US"/>
        </w:rPr>
        <w:t>d.o.o</w:t>
      </w:r>
      <w:proofErr w:type="spellEnd"/>
      <w:r w:rsidRPr="00714BDA">
        <w:rPr>
          <w:rFonts w:eastAsia="Times New Roman" w:cs="Arial"/>
          <w:color w:val="000000"/>
          <w:lang w:val="en-US"/>
        </w:rPr>
        <w:t xml:space="preserve">., </w:t>
      </w:r>
      <w:r w:rsidRPr="00714BDA">
        <w:rPr>
          <w:rFonts w:eastAsia="Times New Roman" w:cs="Arial"/>
          <w:color w:val="000000"/>
          <w:lang w:eastAsia="bg-BG"/>
        </w:rPr>
        <w:t>Šlandrova ulica</w:t>
      </w:r>
      <w:r w:rsidRPr="00714BDA">
        <w:rPr>
          <w:rFonts w:eastAsia="Times New Roman" w:cs="Arial"/>
          <w:color w:val="000000"/>
          <w:lang w:val="en-US"/>
        </w:rPr>
        <w:t xml:space="preserve"> </w:t>
      </w:r>
      <w:r w:rsidRPr="00714BDA">
        <w:rPr>
          <w:rFonts w:eastAsia="Times New Roman" w:cs="Arial"/>
          <w:color w:val="000000"/>
          <w:lang w:eastAsia="bg-BG"/>
        </w:rPr>
        <w:t>4</w:t>
      </w:r>
      <w:proofErr w:type="gramStart"/>
      <w:r w:rsidRPr="00714BDA">
        <w:rPr>
          <w:rFonts w:eastAsia="Times New Roman" w:cs="Arial"/>
          <w:color w:val="000000"/>
          <w:lang w:eastAsia="bg-BG"/>
        </w:rPr>
        <w:t>,1231</w:t>
      </w:r>
      <w:proofErr w:type="gramEnd"/>
      <w:r w:rsidRPr="00714BDA">
        <w:rPr>
          <w:rFonts w:eastAsia="Times New Roman" w:cs="Arial"/>
          <w:color w:val="000000"/>
          <w:lang w:eastAsia="bg-BG"/>
        </w:rPr>
        <w:t xml:space="preserve"> </w:t>
      </w:r>
      <w:r w:rsidRPr="00714BDA">
        <w:rPr>
          <w:rFonts w:eastAsia="Times New Roman" w:cs="Arial"/>
          <w:color w:val="000000"/>
          <w:lang w:val="en-US"/>
        </w:rPr>
        <w:t xml:space="preserve">Ljubljana - </w:t>
      </w:r>
      <w:r w:rsidRPr="00714BDA">
        <w:rPr>
          <w:rFonts w:eastAsia="Times New Roman" w:cs="Arial"/>
          <w:color w:val="000000"/>
          <w:lang w:eastAsia="bg-BG"/>
        </w:rPr>
        <w:t>Črnuče</w:t>
      </w:r>
    </w:p>
    <w:p w14:paraId="76545B66" w14:textId="77777777" w:rsidR="00714BDA" w:rsidRPr="00714BDA" w:rsidRDefault="00714BDA" w:rsidP="00714BDA">
      <w:pPr>
        <w:spacing w:line="240" w:lineRule="auto"/>
        <w:rPr>
          <w:rFonts w:eastAsia="Times New Roman" w:cs="Arial"/>
          <w:lang w:val="en-US" w:eastAsia="bg-BG"/>
        </w:rPr>
      </w:pPr>
      <w:r w:rsidRPr="00714BDA">
        <w:rPr>
          <w:rFonts w:eastAsia="Times New Roman" w:cs="Arial"/>
          <w:color w:val="000000"/>
          <w:lang w:eastAsia="bg-BG"/>
        </w:rPr>
        <w:t>Словения</w:t>
      </w:r>
    </w:p>
    <w:p w14:paraId="1D434B99" w14:textId="77777777" w:rsidR="00714BDA" w:rsidRPr="00714BDA" w:rsidRDefault="00714BDA" w:rsidP="00714BDA">
      <w:pPr>
        <w:spacing w:line="240" w:lineRule="auto"/>
        <w:rPr>
          <w:rFonts w:eastAsia="Times New Roman" w:cs="Arial"/>
          <w:lang w:val="en-US" w:eastAsia="bg-BG"/>
        </w:rPr>
      </w:pPr>
      <w:r w:rsidRPr="00714BDA">
        <w:rPr>
          <w:rFonts w:eastAsia="Times New Roman" w:cs="Arial"/>
          <w:color w:val="000000"/>
          <w:lang w:eastAsia="bg-BG"/>
        </w:rPr>
        <w:t>тел.:</w:t>
      </w:r>
      <w:r w:rsidRPr="00714BDA">
        <w:rPr>
          <w:rFonts w:eastAsia="Times New Roman" w:cs="Arial"/>
          <w:color w:val="000000"/>
          <w:lang w:val="en-US"/>
        </w:rPr>
        <w:t>+ 386 1 30042 90</w:t>
      </w:r>
    </w:p>
    <w:p w14:paraId="39B7E3A8" w14:textId="77777777" w:rsidR="00714BDA" w:rsidRPr="00714BDA" w:rsidRDefault="00714BDA" w:rsidP="00714BDA">
      <w:pPr>
        <w:spacing w:line="240" w:lineRule="auto"/>
        <w:rPr>
          <w:rFonts w:eastAsia="Times New Roman" w:cs="Arial"/>
          <w:lang w:val="en-US" w:eastAsia="bg-BG"/>
        </w:rPr>
      </w:pPr>
      <w:r w:rsidRPr="00714BDA">
        <w:rPr>
          <w:rFonts w:eastAsia="Times New Roman" w:cs="Arial"/>
          <w:color w:val="000000"/>
          <w:lang w:eastAsia="bg-BG"/>
        </w:rPr>
        <w:t>факс:</w:t>
      </w:r>
      <w:r w:rsidRPr="00714BDA">
        <w:rPr>
          <w:rFonts w:eastAsia="Times New Roman" w:cs="Arial"/>
          <w:color w:val="000000"/>
          <w:lang w:val="en-US"/>
        </w:rPr>
        <w:t xml:space="preserve">+ 386 </w:t>
      </w:r>
      <w:r w:rsidRPr="00714BDA">
        <w:rPr>
          <w:rFonts w:eastAsia="Times New Roman" w:cs="Arial"/>
          <w:color w:val="000000"/>
          <w:lang w:eastAsia="bg-BG"/>
        </w:rPr>
        <w:t>1 300 42 91</w:t>
      </w:r>
    </w:p>
    <w:p w14:paraId="4F02909F" w14:textId="5EA56AE9" w:rsidR="007A2185" w:rsidRPr="00714BDA" w:rsidRDefault="00714BDA" w:rsidP="00714BDA">
      <w:pPr>
        <w:rPr>
          <w:rFonts w:cs="Arial"/>
        </w:rPr>
      </w:pPr>
      <w:r w:rsidRPr="00714BDA">
        <w:rPr>
          <w:rFonts w:eastAsia="Times New Roman" w:cs="Arial"/>
          <w:color w:val="000000"/>
          <w:lang w:eastAsia="bg-BG"/>
        </w:rPr>
        <w:t xml:space="preserve">имейл: </w:t>
      </w:r>
      <w:hyperlink r:id="rId6" w:history="1">
        <w:r w:rsidRPr="00714BDA">
          <w:rPr>
            <w:rFonts w:eastAsia="Times New Roman" w:cs="Arial"/>
            <w:color w:val="000000"/>
            <w:u w:val="single"/>
            <w:lang w:val="en-US"/>
          </w:rPr>
          <w:t>jnfo@alkaloid.si</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E4AB34D" w:rsidR="007A2185" w:rsidRPr="00714BDA" w:rsidRDefault="00714BDA" w:rsidP="0091385D">
      <w:pPr>
        <w:rPr>
          <w:rFonts w:cs="Arial"/>
        </w:rPr>
      </w:pPr>
      <w:proofErr w:type="spellStart"/>
      <w:r w:rsidRPr="00714BDA">
        <w:rPr>
          <w:rFonts w:cs="Arial"/>
          <w:lang w:val="en-US"/>
        </w:rPr>
        <w:lastRenderedPageBreak/>
        <w:t>Pe</w:t>
      </w:r>
      <w:proofErr w:type="spellEnd"/>
      <w:r w:rsidRPr="00714BDA">
        <w:rPr>
          <w:rFonts w:cs="Arial"/>
        </w:rPr>
        <w:t>г.</w:t>
      </w:r>
      <w:r w:rsidRPr="00714BDA">
        <w:rPr>
          <w:rFonts w:cs="Arial"/>
          <w:lang w:val="en-US"/>
        </w:rPr>
        <w:t xml:space="preserve"> </w:t>
      </w:r>
      <w:r w:rsidRPr="00714BDA">
        <w:rPr>
          <w:rFonts w:cs="Arial"/>
        </w:rPr>
        <w:t>№ 20170368</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03DC9F58" w14:textId="77777777" w:rsidR="00714BDA" w:rsidRPr="00714BDA" w:rsidRDefault="00714BDA" w:rsidP="00714BDA">
      <w:pPr>
        <w:spacing w:line="240" w:lineRule="auto"/>
        <w:rPr>
          <w:rFonts w:eastAsia="Times New Roman" w:cs="Arial"/>
          <w:lang w:eastAsia="bg-BG"/>
        </w:rPr>
      </w:pPr>
      <w:r w:rsidRPr="00714BDA">
        <w:rPr>
          <w:rFonts w:eastAsia="Times New Roman" w:cs="Arial"/>
          <w:color w:val="000000"/>
          <w:lang w:eastAsia="bg-BG"/>
        </w:rPr>
        <w:t>Дата на първо разрешаване: 11 Декември 2017</w:t>
      </w:r>
    </w:p>
    <w:p w14:paraId="6C57D8B6" w14:textId="41D9A8B1" w:rsidR="007A2185" w:rsidRPr="00714BDA" w:rsidRDefault="00714BDA" w:rsidP="00714BDA">
      <w:pPr>
        <w:rPr>
          <w:rFonts w:cs="Arial"/>
        </w:rPr>
      </w:pPr>
      <w:r w:rsidRPr="00714BDA">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7573E69" w:rsidR="007A2185" w:rsidRPr="00714BDA" w:rsidRDefault="00714BDA" w:rsidP="0091385D">
      <w:pPr>
        <w:rPr>
          <w:rFonts w:cs="Arial"/>
        </w:rPr>
      </w:pPr>
      <w:r w:rsidRPr="00714BDA">
        <w:rPr>
          <w:rFonts w:cs="Arial"/>
        </w:rPr>
        <w:t>04/2022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AA6E01"/>
    <w:multiLevelType w:val="hybridMultilevel"/>
    <w:tmpl w:val="347A8584"/>
    <w:lvl w:ilvl="0" w:tplc="EB7C8CC0">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D6221"/>
    <w:multiLevelType w:val="hybridMultilevel"/>
    <w:tmpl w:val="960CDC7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2315D"/>
    <w:multiLevelType w:val="hybridMultilevel"/>
    <w:tmpl w:val="F618938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24CFA"/>
    <w:multiLevelType w:val="hybridMultilevel"/>
    <w:tmpl w:val="C30ADD0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70ABB"/>
    <w:multiLevelType w:val="hybridMultilevel"/>
    <w:tmpl w:val="AD4A62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611F"/>
    <w:multiLevelType w:val="hybridMultilevel"/>
    <w:tmpl w:val="53EA9BA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A574C"/>
    <w:multiLevelType w:val="hybridMultilevel"/>
    <w:tmpl w:val="9DFA0DA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36143"/>
    <w:multiLevelType w:val="hybridMultilevel"/>
    <w:tmpl w:val="72A6EC9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63EC7"/>
    <w:multiLevelType w:val="hybridMultilevel"/>
    <w:tmpl w:val="11509E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5"/>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8"/>
  </w:num>
  <w:num w:numId="12">
    <w:abstractNumId w:val="17"/>
  </w:num>
  <w:num w:numId="13">
    <w:abstractNumId w:val="24"/>
  </w:num>
  <w:num w:numId="14">
    <w:abstractNumId w:val="14"/>
  </w:num>
  <w:num w:numId="15">
    <w:abstractNumId w:val="37"/>
  </w:num>
  <w:num w:numId="16">
    <w:abstractNumId w:val="12"/>
  </w:num>
  <w:num w:numId="17">
    <w:abstractNumId w:val="31"/>
  </w:num>
  <w:num w:numId="18">
    <w:abstractNumId w:val="8"/>
  </w:num>
  <w:num w:numId="19">
    <w:abstractNumId w:val="33"/>
  </w:num>
  <w:num w:numId="20">
    <w:abstractNumId w:val="29"/>
  </w:num>
  <w:num w:numId="21">
    <w:abstractNumId w:val="20"/>
  </w:num>
  <w:num w:numId="22">
    <w:abstractNumId w:val="32"/>
  </w:num>
  <w:num w:numId="23">
    <w:abstractNumId w:val="22"/>
  </w:num>
  <w:num w:numId="24">
    <w:abstractNumId w:val="10"/>
  </w:num>
  <w:num w:numId="25">
    <w:abstractNumId w:val="28"/>
  </w:num>
  <w:num w:numId="26">
    <w:abstractNumId w:val="27"/>
  </w:num>
  <w:num w:numId="27">
    <w:abstractNumId w:val="40"/>
  </w:num>
  <w:num w:numId="28">
    <w:abstractNumId w:val="6"/>
  </w:num>
  <w:num w:numId="29">
    <w:abstractNumId w:val="26"/>
  </w:num>
  <w:num w:numId="30">
    <w:abstractNumId w:val="43"/>
  </w:num>
  <w:num w:numId="31">
    <w:abstractNumId w:val="5"/>
  </w:num>
  <w:num w:numId="32">
    <w:abstractNumId w:val="42"/>
  </w:num>
  <w:num w:numId="33">
    <w:abstractNumId w:val="36"/>
  </w:num>
  <w:num w:numId="34">
    <w:abstractNumId w:val="41"/>
  </w:num>
  <w:num w:numId="35">
    <w:abstractNumId w:val="16"/>
  </w:num>
  <w:num w:numId="36">
    <w:abstractNumId w:val="34"/>
  </w:num>
  <w:num w:numId="37">
    <w:abstractNumId w:val="7"/>
  </w:num>
  <w:num w:numId="38">
    <w:abstractNumId w:val="25"/>
  </w:num>
  <w:num w:numId="39">
    <w:abstractNumId w:val="11"/>
  </w:num>
  <w:num w:numId="40">
    <w:abstractNumId w:val="9"/>
  </w:num>
  <w:num w:numId="41">
    <w:abstractNumId w:val="23"/>
  </w:num>
  <w:num w:numId="42">
    <w:abstractNumId w:val="30"/>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22FF9"/>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14BDA"/>
    <w:rsid w:val="0075649D"/>
    <w:rsid w:val="007A2185"/>
    <w:rsid w:val="007C605B"/>
    <w:rsid w:val="008134C8"/>
    <w:rsid w:val="00814073"/>
    <w:rsid w:val="00826F0D"/>
    <w:rsid w:val="00893B92"/>
    <w:rsid w:val="008A6AF2"/>
    <w:rsid w:val="008C70A2"/>
    <w:rsid w:val="008F1AF3"/>
    <w:rsid w:val="0091385D"/>
    <w:rsid w:val="009221D8"/>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fo@alkaloid.si"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7005</Words>
  <Characters>39934</Characters>
  <Application>Microsoft Office Word</Application>
  <DocSecurity>0</DocSecurity>
  <Lines>332</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2023-03-28T15:25:00Z</dcterms:created>
  <dcterms:modified xsi:type="dcterms:W3CDTF">2023-03-28T15:25:00Z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