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42B4602E" w:rsidR="00AA23EC" w:rsidRDefault="00DD466D" w:rsidP="00DD466D">
      <w:pPr>
        <w:pStyle w:val="Heading1"/>
      </w:pPr>
      <w:r>
        <w:t>1.ИМЕ НА ЛЕКАРСТВЕНИЯ ПРОДУКТ</w:t>
      </w:r>
    </w:p>
    <w:p w14:paraId="1CDA8B12" w14:textId="0715FA86" w:rsidR="000D0CFC" w:rsidRDefault="000D0CFC" w:rsidP="000D0CFC"/>
    <w:p w14:paraId="64F4A7B8" w14:textId="77777777" w:rsidR="000D0CFC" w:rsidRPr="000D0CFC" w:rsidRDefault="000D0CFC" w:rsidP="000D0CFC">
      <w:pPr>
        <w:rPr>
          <w:sz w:val="24"/>
          <w:szCs w:val="24"/>
        </w:rPr>
      </w:pPr>
      <w:r w:rsidRPr="000D0CFC">
        <w:rPr>
          <w:lang w:eastAsia="bg-BG"/>
        </w:rPr>
        <w:t xml:space="preserve">Клацид 250 </w:t>
      </w:r>
      <w:r w:rsidRPr="000D0CFC">
        <w:rPr>
          <w:lang w:val="en-US"/>
        </w:rPr>
        <w:t xml:space="preserve">mg </w:t>
      </w:r>
      <w:r w:rsidRPr="000D0CFC">
        <w:rPr>
          <w:lang w:eastAsia="bg-BG"/>
        </w:rPr>
        <w:t>филмирани таблетки</w:t>
      </w:r>
    </w:p>
    <w:p w14:paraId="71389701" w14:textId="18D3337C" w:rsidR="000D0CFC" w:rsidRPr="000D0CFC" w:rsidRDefault="000D0CFC" w:rsidP="000D0CFC">
      <w:proofErr w:type="spellStart"/>
      <w:r w:rsidRPr="000D0CFC">
        <w:rPr>
          <w:lang w:val="en-US"/>
        </w:rPr>
        <w:t>Klacid</w:t>
      </w:r>
      <w:proofErr w:type="spellEnd"/>
      <w:r w:rsidRPr="000D0CFC">
        <w:rPr>
          <w:lang w:val="en-US"/>
        </w:rPr>
        <w:t xml:space="preserve"> </w:t>
      </w:r>
      <w:r w:rsidRPr="000D0CFC">
        <w:rPr>
          <w:lang w:eastAsia="bg-BG"/>
        </w:rPr>
        <w:t xml:space="preserve">250 </w:t>
      </w:r>
      <w:r w:rsidRPr="000D0CFC">
        <w:rPr>
          <w:lang w:val="en-US"/>
        </w:rPr>
        <w:t>mg film-coated tablets</w:t>
      </w:r>
    </w:p>
    <w:p w14:paraId="0A368469" w14:textId="796AD643" w:rsidR="00C0049F" w:rsidRDefault="00DD466D" w:rsidP="009F1313">
      <w:pPr>
        <w:pStyle w:val="Heading1"/>
      </w:pPr>
      <w:r>
        <w:t>2. КАЧЕСТВЕН И КОЛИЧЕСТВЕН СЪСТАВ</w:t>
      </w:r>
    </w:p>
    <w:p w14:paraId="12AACDB7" w14:textId="3DA2A53F" w:rsidR="000D0CFC" w:rsidRDefault="000D0CFC" w:rsidP="000D0CFC"/>
    <w:p w14:paraId="23AA2B78" w14:textId="51C17F57" w:rsidR="000D0CFC" w:rsidRPr="000D0CFC" w:rsidRDefault="000D0CFC" w:rsidP="000D0CFC">
      <w:r>
        <w:t xml:space="preserve">Всяка филмирана таблетка съдържа 250 </w:t>
      </w:r>
      <w:r>
        <w:rPr>
          <w:lang w:val="en-US"/>
        </w:rPr>
        <w:t>mg</w:t>
      </w:r>
      <w:r w:rsidRPr="000D0CFC">
        <w:t xml:space="preserve"> </w:t>
      </w:r>
      <w:r>
        <w:t xml:space="preserve">кларитромицин </w:t>
      </w:r>
      <w:r w:rsidRPr="000D0CFC">
        <w:rPr>
          <w:i/>
          <w:iCs/>
        </w:rPr>
        <w:t>(</w:t>
      </w:r>
      <w:r>
        <w:rPr>
          <w:i/>
          <w:iCs/>
          <w:lang w:val="en-US"/>
        </w:rPr>
        <w:t>clarithromycin</w:t>
      </w:r>
      <w:r w:rsidRPr="000D0CFC">
        <w:rPr>
          <w:i/>
          <w:iCs/>
        </w:rPr>
        <w:t>).</w:t>
      </w:r>
    </w:p>
    <w:p w14:paraId="614984C4" w14:textId="073F0D44" w:rsidR="008A6AF2" w:rsidRDefault="00DD466D" w:rsidP="002C50EE">
      <w:pPr>
        <w:pStyle w:val="Heading1"/>
      </w:pPr>
      <w:r>
        <w:t>3. ЛЕКАРСТВЕНА ФОРМА</w:t>
      </w:r>
    </w:p>
    <w:p w14:paraId="18ECA952" w14:textId="4A286A6F" w:rsidR="000D0CFC" w:rsidRDefault="000D0CFC" w:rsidP="000D0CFC"/>
    <w:p w14:paraId="65E6CE14" w14:textId="77777777" w:rsidR="000D0CFC" w:rsidRPr="000D0CFC" w:rsidRDefault="000D0CFC" w:rsidP="000D0CFC">
      <w:pPr>
        <w:rPr>
          <w:sz w:val="24"/>
          <w:szCs w:val="24"/>
        </w:rPr>
      </w:pPr>
      <w:r w:rsidRPr="000D0CFC">
        <w:rPr>
          <w:lang w:eastAsia="bg-BG"/>
        </w:rPr>
        <w:t>Филмирани таблетки.</w:t>
      </w:r>
    </w:p>
    <w:p w14:paraId="0B87EE48" w14:textId="627CBDCA" w:rsidR="000D0CFC" w:rsidRPr="000D0CFC" w:rsidRDefault="000D0CFC" w:rsidP="000D0CFC">
      <w:r w:rsidRPr="000D0CFC">
        <w:rPr>
          <w:lang w:eastAsia="bg-BG"/>
        </w:rPr>
        <w:t>Таблетките са жълти на цвят и с овална форма.</w:t>
      </w:r>
    </w:p>
    <w:p w14:paraId="490FC2C4" w14:textId="32682B15" w:rsidR="002C50EE" w:rsidRDefault="002C50EE" w:rsidP="002C50EE">
      <w:pPr>
        <w:pStyle w:val="Heading1"/>
      </w:pPr>
      <w:r>
        <w:t>4. КЛИНИЧНИ ДАННИ</w:t>
      </w:r>
    </w:p>
    <w:p w14:paraId="08CF5669" w14:textId="6689D721" w:rsidR="00426E5F" w:rsidRDefault="002C50EE" w:rsidP="00A65A81">
      <w:pPr>
        <w:pStyle w:val="Heading2"/>
      </w:pPr>
      <w:r>
        <w:t>4.1. Терапевтични показания</w:t>
      </w:r>
    </w:p>
    <w:p w14:paraId="510F0AA4" w14:textId="491826DF" w:rsidR="000D0CFC" w:rsidRDefault="000D0CFC" w:rsidP="000D0CFC"/>
    <w:p w14:paraId="2FE3BB24" w14:textId="77777777" w:rsidR="000D0CFC" w:rsidRPr="000D0CFC" w:rsidRDefault="000D0CFC" w:rsidP="000D0CFC">
      <w:pPr>
        <w:rPr>
          <w:sz w:val="24"/>
          <w:szCs w:val="24"/>
        </w:rPr>
      </w:pPr>
      <w:r w:rsidRPr="000D0CFC">
        <w:rPr>
          <w:lang w:eastAsia="bg-BG"/>
        </w:rPr>
        <w:t>Клацид филмирани таблетки е показан за лечение на инфекции, причинени от чувствителни микроорганизми, като:</w:t>
      </w:r>
    </w:p>
    <w:p w14:paraId="4E8F1E8E" w14:textId="77777777" w:rsidR="000D0CFC" w:rsidRPr="000D0CFC" w:rsidRDefault="000D0CFC" w:rsidP="000D0CFC">
      <w:pPr>
        <w:pStyle w:val="ListParagraph"/>
        <w:numPr>
          <w:ilvl w:val="0"/>
          <w:numId w:val="34"/>
        </w:numPr>
        <w:rPr>
          <w:lang w:eastAsia="bg-BG"/>
        </w:rPr>
      </w:pPr>
      <w:r w:rsidRPr="000D0CFC">
        <w:rPr>
          <w:lang w:eastAsia="bg-BG"/>
        </w:rPr>
        <w:t>Инфекции на долните дихателни пътища (напр. бронхит, пневмония);</w:t>
      </w:r>
    </w:p>
    <w:p w14:paraId="63941C8E" w14:textId="77777777" w:rsidR="000D0CFC" w:rsidRPr="000D0CFC" w:rsidRDefault="000D0CFC" w:rsidP="000D0CFC">
      <w:pPr>
        <w:pStyle w:val="ListParagraph"/>
        <w:numPr>
          <w:ilvl w:val="0"/>
          <w:numId w:val="34"/>
        </w:numPr>
        <w:rPr>
          <w:lang w:eastAsia="bg-BG"/>
        </w:rPr>
      </w:pPr>
      <w:r w:rsidRPr="000D0CFC">
        <w:rPr>
          <w:lang w:eastAsia="bg-BG"/>
        </w:rPr>
        <w:t>Инфекции на горните дихателни пътища (напр. синуит, фарингит) (вж. точки 4.4 и 5.1 относно тестване за чувствителност);</w:t>
      </w:r>
    </w:p>
    <w:p w14:paraId="44184DCD" w14:textId="77777777" w:rsidR="000D0CFC" w:rsidRPr="000D0CFC" w:rsidRDefault="000D0CFC" w:rsidP="000D0CFC">
      <w:pPr>
        <w:pStyle w:val="ListParagraph"/>
        <w:numPr>
          <w:ilvl w:val="0"/>
          <w:numId w:val="34"/>
        </w:numPr>
        <w:rPr>
          <w:lang w:eastAsia="bg-BG"/>
        </w:rPr>
      </w:pPr>
      <w:r w:rsidRPr="000D0CFC">
        <w:rPr>
          <w:lang w:eastAsia="bg-BG"/>
        </w:rPr>
        <w:t>Инфекции на кожата и меките тъкани (напр. фоликулит, целулит, еризипел) (вж. точки 4.4 и 5.1 относно тестване за чувствителност);</w:t>
      </w:r>
    </w:p>
    <w:p w14:paraId="736D7F9F" w14:textId="77777777" w:rsidR="000D0CFC" w:rsidRPr="000D0CFC" w:rsidRDefault="000D0CFC" w:rsidP="000D0CFC">
      <w:pPr>
        <w:pStyle w:val="ListParagraph"/>
        <w:numPr>
          <w:ilvl w:val="0"/>
          <w:numId w:val="34"/>
        </w:numPr>
        <w:rPr>
          <w:lang w:eastAsia="bg-BG"/>
        </w:rPr>
      </w:pPr>
      <w:r w:rsidRPr="000D0CFC">
        <w:rPr>
          <w:lang w:eastAsia="bg-BG"/>
        </w:rPr>
        <w:t xml:space="preserve">Дисеминирани или локализирани микобактериални инфекции, причинени от </w:t>
      </w:r>
      <w:r w:rsidRPr="000D0CFC">
        <w:rPr>
          <w:i/>
          <w:iCs/>
          <w:lang w:val="en-US"/>
        </w:rPr>
        <w:t>Mycobacterium</w:t>
      </w:r>
      <w:r w:rsidRPr="000D0CFC">
        <w:rPr>
          <w:i/>
          <w:iCs/>
        </w:rPr>
        <w:t xml:space="preserve"> </w:t>
      </w:r>
      <w:proofErr w:type="spellStart"/>
      <w:r w:rsidRPr="000D0CFC">
        <w:rPr>
          <w:i/>
          <w:iCs/>
          <w:lang w:val="en-US"/>
        </w:rPr>
        <w:t>avium</w:t>
      </w:r>
      <w:proofErr w:type="spellEnd"/>
      <w:r w:rsidRPr="000D0CFC">
        <w:t xml:space="preserve"> </w:t>
      </w:r>
      <w:r w:rsidRPr="000D0CFC">
        <w:rPr>
          <w:lang w:eastAsia="bg-BG"/>
        </w:rPr>
        <w:t xml:space="preserve">или </w:t>
      </w:r>
      <w:r w:rsidRPr="000D0CFC">
        <w:rPr>
          <w:i/>
          <w:iCs/>
          <w:lang w:val="en-US"/>
        </w:rPr>
        <w:t>Mycobacterium</w:t>
      </w:r>
      <w:r w:rsidRPr="000D0CFC">
        <w:rPr>
          <w:i/>
          <w:iCs/>
        </w:rPr>
        <w:t xml:space="preserve"> </w:t>
      </w:r>
      <w:proofErr w:type="spellStart"/>
      <w:r w:rsidRPr="000D0CFC">
        <w:rPr>
          <w:i/>
          <w:iCs/>
          <w:lang w:val="en-US"/>
        </w:rPr>
        <w:t>intracellulare</w:t>
      </w:r>
      <w:proofErr w:type="spellEnd"/>
      <w:r w:rsidRPr="000D0CFC">
        <w:rPr>
          <w:i/>
          <w:iCs/>
        </w:rPr>
        <w:t>.</w:t>
      </w:r>
      <w:r w:rsidRPr="000D0CFC">
        <w:t xml:space="preserve"> </w:t>
      </w:r>
      <w:r w:rsidRPr="000D0CFC">
        <w:rPr>
          <w:lang w:eastAsia="bg-BG"/>
        </w:rPr>
        <w:t xml:space="preserve">Локализирани инфекции, причинени от </w:t>
      </w:r>
      <w:r w:rsidRPr="000D0CFC">
        <w:rPr>
          <w:i/>
          <w:iCs/>
          <w:lang w:val="en-US"/>
        </w:rPr>
        <w:t>Mycobacterium</w:t>
      </w:r>
      <w:r w:rsidRPr="000D0CFC">
        <w:rPr>
          <w:i/>
          <w:iCs/>
        </w:rPr>
        <w:t xml:space="preserve"> </w:t>
      </w:r>
      <w:proofErr w:type="spellStart"/>
      <w:r w:rsidRPr="000D0CFC">
        <w:rPr>
          <w:i/>
          <w:iCs/>
          <w:lang w:val="en-US"/>
        </w:rPr>
        <w:t>chelonae</w:t>
      </w:r>
      <w:proofErr w:type="spellEnd"/>
      <w:r w:rsidRPr="000D0CFC">
        <w:rPr>
          <w:i/>
          <w:iCs/>
        </w:rPr>
        <w:t xml:space="preserve">, </w:t>
      </w:r>
      <w:r w:rsidRPr="000D0CFC">
        <w:rPr>
          <w:i/>
          <w:iCs/>
          <w:lang w:val="en-US"/>
        </w:rPr>
        <w:t>Mycobacterium</w:t>
      </w:r>
      <w:r w:rsidRPr="000D0CFC">
        <w:rPr>
          <w:i/>
          <w:iCs/>
        </w:rPr>
        <w:t xml:space="preserve"> </w:t>
      </w:r>
      <w:proofErr w:type="spellStart"/>
      <w:r w:rsidRPr="000D0CFC">
        <w:rPr>
          <w:i/>
          <w:iCs/>
          <w:lang w:val="en-US"/>
        </w:rPr>
        <w:t>fortuitum</w:t>
      </w:r>
      <w:proofErr w:type="spellEnd"/>
      <w:r w:rsidRPr="000D0CFC">
        <w:t xml:space="preserve"> </w:t>
      </w:r>
      <w:r w:rsidRPr="000D0CFC">
        <w:rPr>
          <w:lang w:eastAsia="bg-BG"/>
        </w:rPr>
        <w:t xml:space="preserve">или </w:t>
      </w:r>
      <w:r w:rsidRPr="000D0CFC">
        <w:rPr>
          <w:i/>
          <w:iCs/>
          <w:lang w:val="en-US"/>
        </w:rPr>
        <w:t>Mycobacterium</w:t>
      </w:r>
      <w:r w:rsidRPr="000D0CFC">
        <w:rPr>
          <w:i/>
          <w:iCs/>
        </w:rPr>
        <w:t xml:space="preserve"> </w:t>
      </w:r>
      <w:proofErr w:type="spellStart"/>
      <w:r w:rsidRPr="000D0CFC">
        <w:rPr>
          <w:i/>
          <w:iCs/>
          <w:lang w:val="en-US"/>
        </w:rPr>
        <w:t>kansasii</w:t>
      </w:r>
      <w:proofErr w:type="spellEnd"/>
      <w:r w:rsidRPr="000D0CFC">
        <w:rPr>
          <w:i/>
          <w:iCs/>
        </w:rPr>
        <w:t>:</w:t>
      </w:r>
    </w:p>
    <w:p w14:paraId="4AC5E1E9" w14:textId="77777777" w:rsidR="000D0CFC" w:rsidRPr="000D0CFC" w:rsidRDefault="000D0CFC" w:rsidP="000D0CFC">
      <w:pPr>
        <w:pStyle w:val="ListParagraph"/>
        <w:numPr>
          <w:ilvl w:val="0"/>
          <w:numId w:val="34"/>
        </w:numPr>
        <w:rPr>
          <w:lang w:eastAsia="bg-BG"/>
        </w:rPr>
      </w:pPr>
      <w:r w:rsidRPr="000D0CFC">
        <w:rPr>
          <w:lang w:eastAsia="bg-BG"/>
        </w:rPr>
        <w:t xml:space="preserve">Профилактика на дисеминирани инфекции, причинени от </w:t>
      </w:r>
      <w:r w:rsidRPr="000D0CFC">
        <w:rPr>
          <w:i/>
          <w:iCs/>
          <w:lang w:val="en-US"/>
        </w:rPr>
        <w:t>Mycobacterium</w:t>
      </w:r>
      <w:r w:rsidRPr="000D0CFC">
        <w:rPr>
          <w:i/>
          <w:iCs/>
          <w:lang w:val="ru-RU"/>
        </w:rPr>
        <w:t xml:space="preserve"> </w:t>
      </w:r>
      <w:proofErr w:type="spellStart"/>
      <w:r w:rsidRPr="000D0CFC">
        <w:rPr>
          <w:i/>
          <w:iCs/>
          <w:lang w:val="en-US"/>
        </w:rPr>
        <w:t>avium</w:t>
      </w:r>
      <w:proofErr w:type="spellEnd"/>
      <w:r w:rsidRPr="000D0CFC">
        <w:rPr>
          <w:i/>
          <w:iCs/>
          <w:lang w:val="ru-RU"/>
        </w:rPr>
        <w:t xml:space="preserve"> </w:t>
      </w:r>
      <w:r w:rsidRPr="000D0CFC">
        <w:rPr>
          <w:i/>
          <w:iCs/>
          <w:lang w:val="en-US"/>
        </w:rPr>
        <w:t>complex</w:t>
      </w:r>
      <w:r w:rsidRPr="000D0CFC">
        <w:rPr>
          <w:i/>
          <w:iCs/>
          <w:lang w:val="ru-RU"/>
        </w:rPr>
        <w:t xml:space="preserve"> </w:t>
      </w:r>
      <w:r w:rsidRPr="000D0CFC">
        <w:rPr>
          <w:lang w:eastAsia="bg-BG"/>
        </w:rPr>
        <w:t xml:space="preserve">(МАС) при пациенти със СПИН и брой на </w:t>
      </w:r>
      <w:r w:rsidRPr="000D0CFC">
        <w:rPr>
          <w:lang w:val="en-US"/>
        </w:rPr>
        <w:t>CD</w:t>
      </w:r>
      <w:r w:rsidRPr="000D0CFC">
        <w:rPr>
          <w:lang w:val="ru-RU"/>
        </w:rPr>
        <w:t xml:space="preserve">4 </w:t>
      </w:r>
      <w:r w:rsidRPr="000D0CFC">
        <w:rPr>
          <w:lang w:eastAsia="bg-BG"/>
        </w:rPr>
        <w:t xml:space="preserve">лимфоцитите равен или по-нисък от </w:t>
      </w:r>
      <w:r w:rsidRPr="000D0CFC">
        <w:rPr>
          <w:lang w:val="ru-RU"/>
        </w:rPr>
        <w:t>100/</w:t>
      </w:r>
      <w:r w:rsidRPr="000D0CFC">
        <w:rPr>
          <w:lang w:val="en-US"/>
        </w:rPr>
        <w:t>mm</w:t>
      </w:r>
      <w:r w:rsidRPr="000D0CFC">
        <w:rPr>
          <w:vertAlign w:val="superscript"/>
          <w:lang w:val="ru-RU"/>
        </w:rPr>
        <w:t>3</w:t>
      </w:r>
      <w:r w:rsidRPr="000D0CFC">
        <w:rPr>
          <w:lang w:val="ru-RU"/>
        </w:rPr>
        <w:t>;</w:t>
      </w:r>
    </w:p>
    <w:p w14:paraId="247877E5" w14:textId="77777777" w:rsidR="000D0CFC" w:rsidRPr="000D0CFC" w:rsidRDefault="000D0CFC" w:rsidP="000D0CFC">
      <w:pPr>
        <w:pStyle w:val="ListParagraph"/>
        <w:numPr>
          <w:ilvl w:val="0"/>
          <w:numId w:val="34"/>
        </w:numPr>
        <w:rPr>
          <w:lang w:eastAsia="bg-BG"/>
        </w:rPr>
      </w:pPr>
      <w:r w:rsidRPr="000D0CFC">
        <w:rPr>
          <w:lang w:eastAsia="bg-BG"/>
        </w:rPr>
        <w:t xml:space="preserve">Ерадикация на </w:t>
      </w:r>
      <w:r w:rsidRPr="000D0CFC">
        <w:rPr>
          <w:i/>
          <w:iCs/>
          <w:lang w:val="en-US"/>
        </w:rPr>
        <w:t>Helicobacter</w:t>
      </w:r>
      <w:r w:rsidRPr="000D0CFC">
        <w:rPr>
          <w:i/>
          <w:iCs/>
          <w:lang w:val="ru-RU"/>
        </w:rPr>
        <w:t xml:space="preserve"> </w:t>
      </w:r>
      <w:r w:rsidRPr="000D0CFC">
        <w:rPr>
          <w:i/>
          <w:iCs/>
          <w:lang w:val="en-US"/>
        </w:rPr>
        <w:t>pylori</w:t>
      </w:r>
      <w:r w:rsidRPr="000D0CFC">
        <w:rPr>
          <w:lang w:val="ru-RU"/>
        </w:rPr>
        <w:t xml:space="preserve"> </w:t>
      </w:r>
      <w:r w:rsidRPr="000D0CFC">
        <w:rPr>
          <w:lang w:eastAsia="bg-BG"/>
        </w:rPr>
        <w:t>при потисната стомашна киселинност, което води до намаляване честотата на повторна поява на язва на дванадесетопръстника (вж. точка 5.1);</w:t>
      </w:r>
    </w:p>
    <w:p w14:paraId="3C9C5446" w14:textId="77777777" w:rsidR="000D0CFC" w:rsidRPr="000D0CFC" w:rsidRDefault="000D0CFC" w:rsidP="000D0CFC">
      <w:pPr>
        <w:pStyle w:val="ListParagraph"/>
        <w:numPr>
          <w:ilvl w:val="0"/>
          <w:numId w:val="34"/>
        </w:numPr>
        <w:rPr>
          <w:lang w:eastAsia="bg-BG"/>
        </w:rPr>
      </w:pPr>
      <w:r w:rsidRPr="000D0CFC">
        <w:rPr>
          <w:lang w:eastAsia="bg-BG"/>
        </w:rPr>
        <w:t>Лечение на одонтогенни инфекции.</w:t>
      </w:r>
    </w:p>
    <w:p w14:paraId="3E980510" w14:textId="77777777" w:rsidR="000D0CFC" w:rsidRPr="000D0CFC" w:rsidRDefault="000D0CFC" w:rsidP="000D0CFC"/>
    <w:p w14:paraId="28E43CAE" w14:textId="6EFE7FD4" w:rsidR="00426E5F" w:rsidRDefault="002C50EE" w:rsidP="00A65A81">
      <w:pPr>
        <w:pStyle w:val="Heading2"/>
      </w:pPr>
      <w:r>
        <w:t>4.2. Дозировка и начин на приложение</w:t>
      </w:r>
    </w:p>
    <w:p w14:paraId="347ACFF1" w14:textId="668827FD" w:rsidR="000D0CFC" w:rsidRDefault="000D0CFC" w:rsidP="000D0CFC"/>
    <w:p w14:paraId="799A914B" w14:textId="77777777" w:rsidR="000D0CFC" w:rsidRPr="000D0CFC" w:rsidRDefault="000D0CFC" w:rsidP="000D0CFC">
      <w:pPr>
        <w:pStyle w:val="Heading3"/>
        <w:rPr>
          <w:rFonts w:eastAsia="Times New Roman"/>
          <w:u w:val="single"/>
        </w:rPr>
      </w:pPr>
      <w:r w:rsidRPr="000D0CFC">
        <w:rPr>
          <w:rFonts w:eastAsia="Times New Roman"/>
          <w:u w:val="single"/>
          <w:lang w:eastAsia="bg-BG"/>
        </w:rPr>
        <w:t>Дозировка</w:t>
      </w:r>
    </w:p>
    <w:p w14:paraId="007DE62A" w14:textId="77777777" w:rsidR="000D0CFC" w:rsidRPr="000D0CFC" w:rsidRDefault="000D0CFC" w:rsidP="000D0CFC">
      <w:pPr>
        <w:spacing w:line="240" w:lineRule="auto"/>
        <w:rPr>
          <w:rFonts w:eastAsia="Times New Roman" w:cs="Arial"/>
          <w:i/>
          <w:iCs/>
          <w:color w:val="000000"/>
          <w:lang w:eastAsia="bg-BG"/>
        </w:rPr>
      </w:pPr>
    </w:p>
    <w:p w14:paraId="39C4D53F" w14:textId="499BFE77"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t>Възрастни</w:t>
      </w:r>
    </w:p>
    <w:p w14:paraId="3059F1C4" w14:textId="77777777" w:rsidR="000D0CFC" w:rsidRPr="000D0CFC" w:rsidRDefault="000D0CFC" w:rsidP="000D0CFC">
      <w:pPr>
        <w:spacing w:line="240" w:lineRule="auto"/>
        <w:rPr>
          <w:rFonts w:eastAsia="Times New Roman" w:cs="Arial"/>
          <w:color w:val="000000"/>
          <w:lang w:eastAsia="bg-BG"/>
        </w:rPr>
      </w:pPr>
    </w:p>
    <w:p w14:paraId="6AB6E20B" w14:textId="77777777" w:rsidR="000D0CFC" w:rsidRPr="000D0CFC" w:rsidRDefault="000D0CFC" w:rsidP="000D0CFC">
      <w:pPr>
        <w:spacing w:line="240" w:lineRule="auto"/>
        <w:rPr>
          <w:rFonts w:eastAsia="Times New Roman" w:cs="Arial"/>
          <w:color w:val="000000"/>
          <w:lang w:eastAsia="bg-BG"/>
        </w:rPr>
      </w:pPr>
      <w:r w:rsidRPr="000D0CFC">
        <w:rPr>
          <w:rFonts w:eastAsia="Times New Roman" w:cs="Arial"/>
          <w:color w:val="000000"/>
          <w:lang w:eastAsia="bg-BG"/>
        </w:rPr>
        <w:t xml:space="preserve">Обичайната препоръчвана доза на Клацид за възрастни и деца на и над 12 годишна възраст е една таблетка от 250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два пъти дневно. При по-тежки инфекции дозировката може</w:t>
      </w:r>
      <w:r w:rsidRPr="000D0CFC">
        <w:rPr>
          <w:rFonts w:eastAsia="Times New Roman" w:cs="Arial"/>
          <w:color w:val="000000"/>
          <w:lang w:val="ru-RU"/>
        </w:rPr>
        <w:t xml:space="preserve"> </w:t>
      </w:r>
      <w:r w:rsidRPr="000D0CFC">
        <w:rPr>
          <w:rFonts w:eastAsia="Times New Roman" w:cs="Arial"/>
          <w:color w:val="000000"/>
          <w:lang w:eastAsia="bg-BG"/>
        </w:rPr>
        <w:t xml:space="preserve">да бъде повишена до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два пъти дневно. Обичайната продължителност на лечението е от 6 до 14 дни, с изключение на лечението на пневмонии придобити в обществото и синуити които изискват 6 до 14 </w:t>
      </w:r>
    </w:p>
    <w:p w14:paraId="4F35940C" w14:textId="059CC825"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дни лечение.</w:t>
      </w:r>
    </w:p>
    <w:p w14:paraId="085F777F" w14:textId="77777777" w:rsidR="000D0CFC" w:rsidRPr="000D0CFC" w:rsidRDefault="000D0CFC" w:rsidP="000D0CFC">
      <w:pPr>
        <w:rPr>
          <w:rFonts w:eastAsia="Times New Roman" w:cs="Arial"/>
          <w:i/>
          <w:iCs/>
          <w:color w:val="000000"/>
          <w:lang w:eastAsia="bg-BG"/>
        </w:rPr>
      </w:pPr>
    </w:p>
    <w:p w14:paraId="10731424" w14:textId="5177F902" w:rsidR="000D0CFC" w:rsidRPr="000D0CFC" w:rsidRDefault="000D0CFC" w:rsidP="000D0CFC">
      <w:pPr>
        <w:rPr>
          <w:rFonts w:eastAsia="Times New Roman" w:cs="Arial"/>
          <w:i/>
          <w:iCs/>
          <w:color w:val="000000"/>
          <w:lang w:eastAsia="bg-BG"/>
        </w:rPr>
      </w:pPr>
      <w:r w:rsidRPr="000D0CFC">
        <w:rPr>
          <w:rFonts w:eastAsia="Times New Roman" w:cs="Arial"/>
          <w:i/>
          <w:iCs/>
          <w:color w:val="000000"/>
          <w:lang w:eastAsia="bg-BG"/>
        </w:rPr>
        <w:t>Пациенти с микобактериални инфекции</w:t>
      </w:r>
    </w:p>
    <w:p w14:paraId="303CF0D3"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Препоръчваната доза за възрастни с микобактериални инфекции е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два пъти дневно.</w:t>
      </w:r>
    </w:p>
    <w:p w14:paraId="777C837B" w14:textId="77777777" w:rsidR="000D0CFC" w:rsidRPr="000D0CFC" w:rsidRDefault="000D0CFC" w:rsidP="000D0CFC">
      <w:pPr>
        <w:spacing w:line="240" w:lineRule="auto"/>
        <w:rPr>
          <w:rFonts w:eastAsia="Times New Roman" w:cs="Arial"/>
          <w:color w:val="000000"/>
          <w:lang w:eastAsia="bg-BG"/>
        </w:rPr>
      </w:pPr>
    </w:p>
    <w:p w14:paraId="2CEFA5CC" w14:textId="53B590B0"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Лечението на дисеминирани инфекции, причинени от </w:t>
      </w:r>
      <w:r w:rsidRPr="000D0CFC">
        <w:rPr>
          <w:rFonts w:eastAsia="Times New Roman" w:cs="Arial"/>
          <w:i/>
          <w:iCs/>
          <w:color w:val="000000"/>
          <w:lang w:val="en-US"/>
        </w:rPr>
        <w:t>Mycobacterium</w:t>
      </w:r>
      <w:r w:rsidRPr="000D0CFC">
        <w:rPr>
          <w:rFonts w:eastAsia="Times New Roman" w:cs="Arial"/>
          <w:i/>
          <w:iCs/>
          <w:color w:val="000000"/>
          <w:lang w:val="ru-RU"/>
        </w:rPr>
        <w:t xml:space="preserve"> </w:t>
      </w:r>
      <w:proofErr w:type="spellStart"/>
      <w:r w:rsidRPr="000D0CFC">
        <w:rPr>
          <w:rFonts w:eastAsia="Times New Roman" w:cs="Arial"/>
          <w:i/>
          <w:iCs/>
          <w:color w:val="000000"/>
          <w:lang w:val="en-US"/>
        </w:rPr>
        <w:t>avium</w:t>
      </w:r>
      <w:proofErr w:type="spellEnd"/>
      <w:r w:rsidRPr="000D0CFC">
        <w:rPr>
          <w:rFonts w:eastAsia="Times New Roman" w:cs="Arial"/>
          <w:i/>
          <w:iCs/>
          <w:color w:val="000000"/>
          <w:lang w:val="ru-RU"/>
        </w:rPr>
        <w:t xml:space="preserve"> </w:t>
      </w:r>
      <w:r w:rsidRPr="000D0CFC">
        <w:rPr>
          <w:rFonts w:eastAsia="Times New Roman" w:cs="Arial"/>
          <w:i/>
          <w:iCs/>
          <w:color w:val="000000"/>
          <w:lang w:val="en-US"/>
        </w:rPr>
        <w:t>complex</w:t>
      </w:r>
      <w:r w:rsidRPr="000D0CFC">
        <w:rPr>
          <w:rFonts w:eastAsia="Times New Roman" w:cs="Arial"/>
          <w:color w:val="000000"/>
          <w:lang w:val="ru-RU"/>
        </w:rPr>
        <w:t xml:space="preserve"> </w:t>
      </w:r>
      <w:r w:rsidRPr="000D0CFC">
        <w:rPr>
          <w:rFonts w:eastAsia="Times New Roman" w:cs="Arial"/>
          <w:color w:val="000000"/>
          <w:lang w:eastAsia="bg-BG"/>
        </w:rPr>
        <w:t>при пациенти със СПИН трябва да продължи до наличие на клиничен и микробиологичен ефект. Клацид трябва да се прилага в комбинация с други антимикобактериални лекарствени продукти.</w:t>
      </w:r>
    </w:p>
    <w:p w14:paraId="5E21DA03" w14:textId="77777777" w:rsidR="000D0CFC" w:rsidRPr="000D0CFC" w:rsidRDefault="000D0CFC" w:rsidP="000D0CFC">
      <w:pPr>
        <w:spacing w:line="240" w:lineRule="auto"/>
        <w:rPr>
          <w:rFonts w:eastAsia="Times New Roman" w:cs="Arial"/>
          <w:color w:val="000000"/>
          <w:lang w:eastAsia="bg-BG"/>
        </w:rPr>
      </w:pPr>
    </w:p>
    <w:p w14:paraId="00B8401B" w14:textId="459AC91B"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Лечението на другите нетуберкулозни микобактериални инфекции трябва да продължи по преценка на лекаря.</w:t>
      </w:r>
    </w:p>
    <w:p w14:paraId="6F7A65A8" w14:textId="77777777" w:rsidR="000D0CFC" w:rsidRPr="000D0CFC" w:rsidRDefault="000D0CFC" w:rsidP="000D0CFC">
      <w:pPr>
        <w:spacing w:line="240" w:lineRule="auto"/>
        <w:rPr>
          <w:rFonts w:eastAsia="Times New Roman" w:cs="Arial"/>
          <w:i/>
          <w:iCs/>
          <w:color w:val="000000"/>
          <w:lang w:eastAsia="bg-BG"/>
        </w:rPr>
      </w:pPr>
    </w:p>
    <w:p w14:paraId="377FF9BE" w14:textId="14C5487B"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t>Профилактика на инфекции от МАС</w:t>
      </w:r>
    </w:p>
    <w:p w14:paraId="439CAEC3"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Препоръчваната доза Клацид за възрастни е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два пъти дневно.</w:t>
      </w:r>
    </w:p>
    <w:p w14:paraId="2B5D16E2" w14:textId="77777777" w:rsidR="000D0CFC" w:rsidRPr="000D0CFC" w:rsidRDefault="000D0CFC" w:rsidP="000D0CFC">
      <w:pPr>
        <w:spacing w:line="240" w:lineRule="auto"/>
        <w:rPr>
          <w:rFonts w:eastAsia="Times New Roman" w:cs="Arial"/>
          <w:i/>
          <w:iCs/>
          <w:color w:val="000000"/>
          <w:lang w:eastAsia="bg-BG"/>
        </w:rPr>
      </w:pPr>
    </w:p>
    <w:p w14:paraId="6CE951BE" w14:textId="51BF1A34"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t>Одонтогенни инфекции</w:t>
      </w:r>
    </w:p>
    <w:p w14:paraId="4DF1DD3C" w14:textId="2D439559"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Дозата на Клацид за лечение на одонтогенни инфекции е една таблетка от 250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два пъти дневно в продължение на 5 дни.</w:t>
      </w:r>
    </w:p>
    <w:p w14:paraId="76139159" w14:textId="77777777" w:rsidR="000D0CFC" w:rsidRPr="000D0CFC" w:rsidRDefault="000D0CFC" w:rsidP="000D0CFC">
      <w:pPr>
        <w:spacing w:line="240" w:lineRule="auto"/>
        <w:rPr>
          <w:rFonts w:eastAsia="Times New Roman" w:cs="Arial"/>
          <w:color w:val="000000"/>
          <w:lang w:eastAsia="bg-BG"/>
        </w:rPr>
      </w:pPr>
    </w:p>
    <w:p w14:paraId="52C12056" w14:textId="65367AD8"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При пациенти с пептична язва, дължаща се на </w:t>
      </w:r>
      <w:proofErr w:type="spellStart"/>
      <w:r w:rsidRPr="000D0CFC">
        <w:rPr>
          <w:rFonts w:eastAsia="Times New Roman" w:cs="Arial"/>
          <w:i/>
          <w:iCs/>
          <w:color w:val="000000"/>
          <w:lang w:val="en-US"/>
        </w:rPr>
        <w:t>Hpylori</w:t>
      </w:r>
      <w:proofErr w:type="spellEnd"/>
      <w:r w:rsidRPr="000D0CFC">
        <w:rPr>
          <w:rFonts w:eastAsia="Times New Roman" w:cs="Arial"/>
          <w:color w:val="000000"/>
          <w:lang w:val="ru-RU"/>
        </w:rPr>
        <w:t xml:space="preserve"> </w:t>
      </w:r>
      <w:r w:rsidRPr="000D0CFC">
        <w:rPr>
          <w:rFonts w:eastAsia="Times New Roman" w:cs="Arial"/>
          <w:color w:val="000000"/>
          <w:lang w:eastAsia="bg-BG"/>
        </w:rPr>
        <w:t xml:space="preserve">инфекция, Клацид се прилага в доза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два пъти дневно в комбинация с други подходящи антимикробни лекарствени продукти и инхибитори на протонната помпа за 7-14 дни, в съответствие с националните и международни препоръки за ерадикация на </w:t>
      </w:r>
      <w:r w:rsidRPr="000D0CFC">
        <w:rPr>
          <w:rFonts w:eastAsia="Times New Roman" w:cs="Arial"/>
          <w:i/>
          <w:iCs/>
          <w:color w:val="000000"/>
          <w:lang w:eastAsia="bg-BG"/>
        </w:rPr>
        <w:t xml:space="preserve">Н. </w:t>
      </w:r>
      <w:proofErr w:type="gramStart"/>
      <w:r w:rsidRPr="000D0CFC">
        <w:rPr>
          <w:rFonts w:eastAsia="Times New Roman" w:cs="Arial"/>
          <w:i/>
          <w:iCs/>
          <w:color w:val="000000"/>
          <w:lang w:val="en-US"/>
        </w:rPr>
        <w:t>pylori</w:t>
      </w:r>
      <w:proofErr w:type="gramEnd"/>
      <w:r w:rsidRPr="000D0CFC">
        <w:rPr>
          <w:rFonts w:eastAsia="Times New Roman" w:cs="Arial"/>
          <w:i/>
          <w:iCs/>
          <w:color w:val="000000"/>
          <w:lang w:val="ru-RU"/>
        </w:rPr>
        <w:t>.</w:t>
      </w:r>
    </w:p>
    <w:p w14:paraId="7DCE0F86" w14:textId="77777777" w:rsidR="000D0CFC" w:rsidRPr="000D0CFC" w:rsidRDefault="000D0CFC" w:rsidP="000D0CFC">
      <w:pPr>
        <w:spacing w:line="240" w:lineRule="auto"/>
        <w:rPr>
          <w:rFonts w:eastAsia="Times New Roman" w:cs="Arial"/>
          <w:i/>
          <w:iCs/>
          <w:color w:val="000000"/>
          <w:lang w:eastAsia="bg-BG"/>
        </w:rPr>
      </w:pPr>
    </w:p>
    <w:p w14:paraId="56025F67" w14:textId="7D2133D3"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t>Пациенти с бъбречни увреждания</w:t>
      </w:r>
    </w:p>
    <w:p w14:paraId="3412DC4B"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При пациенти с бъбречни увреждания с креатининов клирънс под 30 </w:t>
      </w:r>
      <w:r w:rsidRPr="000D0CFC">
        <w:rPr>
          <w:rFonts w:eastAsia="Times New Roman" w:cs="Arial"/>
          <w:color w:val="000000"/>
          <w:lang w:val="en-US"/>
        </w:rPr>
        <w:t>ml</w:t>
      </w:r>
      <w:r w:rsidRPr="000D0CFC">
        <w:rPr>
          <w:rFonts w:eastAsia="Times New Roman" w:cs="Arial"/>
          <w:color w:val="000000"/>
          <w:lang w:val="ru-RU"/>
        </w:rPr>
        <w:t>/</w:t>
      </w:r>
      <w:r w:rsidRPr="000D0CFC">
        <w:rPr>
          <w:rFonts w:eastAsia="Times New Roman" w:cs="Arial"/>
          <w:color w:val="000000"/>
          <w:lang w:val="en-US"/>
        </w:rPr>
        <w:t>min</w:t>
      </w:r>
      <w:r w:rsidRPr="000D0CFC">
        <w:rPr>
          <w:rFonts w:eastAsia="Times New Roman" w:cs="Arial"/>
          <w:color w:val="000000"/>
          <w:lang w:val="ru-RU"/>
        </w:rPr>
        <w:t xml:space="preserve">, </w:t>
      </w:r>
      <w:r w:rsidRPr="000D0CFC">
        <w:rPr>
          <w:rFonts w:eastAsia="Times New Roman" w:cs="Arial"/>
          <w:color w:val="000000"/>
          <w:lang w:eastAsia="bg-BG"/>
        </w:rPr>
        <w:t xml:space="preserve">дозата на Клацид трябва да се намали наполовина, т.е. 250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веднъж дневно или 250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два пъти дневно при по- тежки инфекции. При тези пациенти лечението не трябва на продължава повече от 14 дни.</w:t>
      </w:r>
    </w:p>
    <w:p w14:paraId="178FA7B3" w14:textId="77777777" w:rsidR="000D0CFC" w:rsidRPr="000D0CFC" w:rsidRDefault="000D0CFC" w:rsidP="000D0CFC">
      <w:pPr>
        <w:spacing w:line="240" w:lineRule="auto"/>
        <w:rPr>
          <w:rFonts w:eastAsia="Times New Roman" w:cs="Arial"/>
          <w:i/>
          <w:iCs/>
          <w:color w:val="000000"/>
          <w:lang w:eastAsia="bg-BG"/>
        </w:rPr>
      </w:pPr>
    </w:p>
    <w:p w14:paraId="5299F5F9" w14:textId="3E4FD448"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t>Педиатрична популация</w:t>
      </w:r>
    </w:p>
    <w:p w14:paraId="777E2B4B"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Употребата на Клацид 250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филмирани таблетки не е проучвана при деца под 12 годишна възраст.</w:t>
      </w:r>
    </w:p>
    <w:p w14:paraId="0298B293" w14:textId="77777777" w:rsidR="000D0CFC" w:rsidRPr="000D0CFC" w:rsidRDefault="000D0CFC" w:rsidP="000D0CFC"/>
    <w:p w14:paraId="45A3672A" w14:textId="453FD345" w:rsidR="00426E5F" w:rsidRDefault="002C50EE" w:rsidP="00A65A81">
      <w:pPr>
        <w:pStyle w:val="Heading2"/>
      </w:pPr>
      <w:r>
        <w:t>4.3. Противопоказания</w:t>
      </w:r>
    </w:p>
    <w:p w14:paraId="3C98E3D2" w14:textId="5068BC64" w:rsidR="000D0CFC" w:rsidRDefault="000D0CFC" w:rsidP="000D0CFC"/>
    <w:p w14:paraId="3D301DA2" w14:textId="77777777" w:rsidR="000D0CFC" w:rsidRPr="000D0CFC" w:rsidRDefault="000D0CFC" w:rsidP="000D0CFC">
      <w:pPr>
        <w:pStyle w:val="ListParagraph"/>
        <w:numPr>
          <w:ilvl w:val="0"/>
          <w:numId w:val="35"/>
        </w:numPr>
        <w:rPr>
          <w:lang w:eastAsia="bg-BG"/>
        </w:rPr>
      </w:pPr>
      <w:r w:rsidRPr="000D0CFC">
        <w:rPr>
          <w:lang w:eastAsia="bg-BG"/>
        </w:rPr>
        <w:t>Свръхчувствителност към макролидни антибиотици или към някое от помощните вещества, изброени в точка 6.1.</w:t>
      </w:r>
    </w:p>
    <w:p w14:paraId="79EDA112" w14:textId="77777777" w:rsidR="000D0CFC" w:rsidRPr="000D0CFC" w:rsidRDefault="000D0CFC" w:rsidP="000D0CFC">
      <w:pPr>
        <w:pStyle w:val="ListParagraph"/>
        <w:numPr>
          <w:ilvl w:val="0"/>
          <w:numId w:val="35"/>
        </w:numPr>
        <w:rPr>
          <w:lang w:eastAsia="bg-BG"/>
        </w:rPr>
      </w:pPr>
      <w:r w:rsidRPr="000D0CFC">
        <w:rPr>
          <w:lang w:eastAsia="bg-BG"/>
        </w:rPr>
        <w:t xml:space="preserve">Едновременно приложение на Клацид с някое от следните лекарства е противопоказано: астемизол, цизаприд, домперидон, пимозид, терфенадин, тъй като това може да доведе до удължаване на </w:t>
      </w:r>
      <w:r w:rsidRPr="000D0CFC">
        <w:rPr>
          <w:lang w:val="en-US"/>
        </w:rPr>
        <w:t>QT</w:t>
      </w:r>
      <w:r w:rsidRPr="000D0CFC">
        <w:rPr>
          <w:lang w:val="ru-RU"/>
        </w:rPr>
        <w:t xml:space="preserve"> </w:t>
      </w:r>
      <w:r w:rsidRPr="000D0CFC">
        <w:rPr>
          <w:lang w:eastAsia="bg-BG"/>
        </w:rPr>
        <w:t xml:space="preserve">и сърдечни аритмии, включително камерна тахикардия, камерно мъждене и </w:t>
      </w:r>
      <w:proofErr w:type="spellStart"/>
      <w:r w:rsidRPr="000D0CFC">
        <w:rPr>
          <w:i/>
          <w:iCs/>
          <w:lang w:val="en-US"/>
        </w:rPr>
        <w:t>torsades</w:t>
      </w:r>
      <w:proofErr w:type="spellEnd"/>
      <w:r w:rsidRPr="000D0CFC">
        <w:rPr>
          <w:i/>
          <w:iCs/>
          <w:lang w:val="ru-RU"/>
        </w:rPr>
        <w:t xml:space="preserve"> </w:t>
      </w:r>
      <w:r w:rsidRPr="000D0CFC">
        <w:rPr>
          <w:i/>
          <w:iCs/>
          <w:lang w:val="en-US"/>
        </w:rPr>
        <w:t>de</w:t>
      </w:r>
      <w:r w:rsidRPr="000D0CFC">
        <w:rPr>
          <w:i/>
          <w:iCs/>
          <w:lang w:val="ru-RU"/>
        </w:rPr>
        <w:t xml:space="preserve"> </w:t>
      </w:r>
      <w:r w:rsidRPr="000D0CFC">
        <w:rPr>
          <w:i/>
          <w:iCs/>
          <w:lang w:val="en-US"/>
        </w:rPr>
        <w:t>pointes</w:t>
      </w:r>
      <w:r w:rsidRPr="000D0CFC">
        <w:rPr>
          <w:lang w:val="ru-RU"/>
        </w:rPr>
        <w:t xml:space="preserve"> </w:t>
      </w:r>
      <w:r w:rsidRPr="000D0CFC">
        <w:rPr>
          <w:lang w:eastAsia="bg-BG"/>
        </w:rPr>
        <w:t>(вж. точка 4.4 и 4.5).</w:t>
      </w:r>
    </w:p>
    <w:p w14:paraId="2C492BD9" w14:textId="77777777" w:rsidR="000D0CFC" w:rsidRPr="000D0CFC" w:rsidRDefault="000D0CFC" w:rsidP="000D0CFC">
      <w:pPr>
        <w:pStyle w:val="ListParagraph"/>
        <w:numPr>
          <w:ilvl w:val="0"/>
          <w:numId w:val="35"/>
        </w:numPr>
        <w:rPr>
          <w:lang w:eastAsia="bg-BG"/>
        </w:rPr>
      </w:pPr>
      <w:r w:rsidRPr="000D0CFC">
        <w:rPr>
          <w:lang w:eastAsia="bg-BG"/>
        </w:rPr>
        <w:lastRenderedPageBreak/>
        <w:t>Едновременно приложение на Клацид с ерго алкалоиди (напр. ерготамин и дихидроерготамин) е противопоказано, тъй като това може да доведе до повишена ерго токсичност (вж. точка 4.5).</w:t>
      </w:r>
    </w:p>
    <w:p w14:paraId="0E23E480" w14:textId="77777777" w:rsidR="000D0CFC" w:rsidRPr="000D0CFC" w:rsidRDefault="000D0CFC" w:rsidP="000D0CFC">
      <w:pPr>
        <w:pStyle w:val="ListParagraph"/>
        <w:numPr>
          <w:ilvl w:val="0"/>
          <w:numId w:val="35"/>
        </w:numPr>
        <w:rPr>
          <w:lang w:eastAsia="bg-BG"/>
        </w:rPr>
      </w:pPr>
      <w:r w:rsidRPr="000D0CFC">
        <w:rPr>
          <w:lang w:eastAsia="bg-BG"/>
        </w:rPr>
        <w:t>Едновременно приложение на Клацид и перорален мидазолам е противопоказано (вж. точка 4.5).</w:t>
      </w:r>
    </w:p>
    <w:p w14:paraId="1201AC9D" w14:textId="77777777" w:rsidR="000D0CFC" w:rsidRPr="000D0CFC" w:rsidRDefault="000D0CFC" w:rsidP="000D0CFC">
      <w:pPr>
        <w:pStyle w:val="ListParagraph"/>
        <w:numPr>
          <w:ilvl w:val="0"/>
          <w:numId w:val="35"/>
        </w:numPr>
        <w:rPr>
          <w:lang w:eastAsia="bg-BG"/>
        </w:rPr>
      </w:pPr>
      <w:r w:rsidRPr="000D0CFC">
        <w:rPr>
          <w:lang w:eastAsia="bg-BG"/>
        </w:rPr>
        <w:t>Съпътстващото приложение на кларитромицин и ломитапид е противопоказано (вж. точка 4.5).</w:t>
      </w:r>
    </w:p>
    <w:p w14:paraId="6547B9A8" w14:textId="77777777" w:rsidR="000D0CFC" w:rsidRPr="000D0CFC" w:rsidRDefault="000D0CFC" w:rsidP="000D0CFC">
      <w:pPr>
        <w:pStyle w:val="ListParagraph"/>
        <w:numPr>
          <w:ilvl w:val="0"/>
          <w:numId w:val="35"/>
        </w:numPr>
        <w:rPr>
          <w:lang w:eastAsia="bg-BG"/>
        </w:rPr>
      </w:pPr>
      <w:r w:rsidRPr="000D0CFC">
        <w:rPr>
          <w:lang w:eastAsia="bg-BG"/>
        </w:rPr>
        <w:t xml:space="preserve">Клацид не трябва да се прилага при пациенти с анамнеза за удължен </w:t>
      </w:r>
      <w:r w:rsidRPr="000D0CFC">
        <w:rPr>
          <w:lang w:val="en-US"/>
        </w:rPr>
        <w:t>QT</w:t>
      </w:r>
      <w:r w:rsidRPr="000D0CFC">
        <w:rPr>
          <w:lang w:val="ru-RU"/>
        </w:rPr>
        <w:t xml:space="preserve"> (</w:t>
      </w:r>
      <w:r w:rsidRPr="000D0CFC">
        <w:rPr>
          <w:lang w:eastAsia="bg-BG"/>
        </w:rPr>
        <w:t xml:space="preserve">вродено или документирано придобито удължаване на </w:t>
      </w:r>
      <w:r w:rsidRPr="000D0CFC">
        <w:rPr>
          <w:lang w:val="en-US"/>
        </w:rPr>
        <w:t>QT</w:t>
      </w:r>
      <w:r w:rsidRPr="000D0CFC">
        <w:rPr>
          <w:lang w:eastAsia="bg-BG"/>
        </w:rPr>
        <w:t xml:space="preserve">-интервала) или камерна сърдечна аритмия, включително </w:t>
      </w:r>
      <w:proofErr w:type="spellStart"/>
      <w:r w:rsidRPr="000D0CFC">
        <w:rPr>
          <w:i/>
          <w:iCs/>
          <w:lang w:val="en-US"/>
        </w:rPr>
        <w:t>torsades</w:t>
      </w:r>
      <w:proofErr w:type="spellEnd"/>
      <w:r w:rsidRPr="000D0CFC">
        <w:rPr>
          <w:i/>
          <w:iCs/>
          <w:lang w:val="ru-RU"/>
        </w:rPr>
        <w:t xml:space="preserve"> </w:t>
      </w:r>
      <w:proofErr w:type="spellStart"/>
      <w:r w:rsidRPr="000D0CFC">
        <w:rPr>
          <w:i/>
          <w:iCs/>
          <w:lang w:val="en-US"/>
        </w:rPr>
        <w:t>depointes</w:t>
      </w:r>
      <w:proofErr w:type="spellEnd"/>
      <w:r w:rsidRPr="000D0CFC">
        <w:rPr>
          <w:lang w:val="ru-RU"/>
        </w:rPr>
        <w:t xml:space="preserve"> </w:t>
      </w:r>
      <w:r w:rsidRPr="000D0CFC">
        <w:rPr>
          <w:lang w:eastAsia="bg-BG"/>
        </w:rPr>
        <w:t>(вж. точки 4.4 и 4.5).</w:t>
      </w:r>
    </w:p>
    <w:p w14:paraId="0BAA4BD5" w14:textId="77777777" w:rsidR="000D0CFC" w:rsidRPr="000D0CFC" w:rsidRDefault="000D0CFC" w:rsidP="000D0CFC">
      <w:pPr>
        <w:pStyle w:val="ListParagraph"/>
        <w:numPr>
          <w:ilvl w:val="0"/>
          <w:numId w:val="35"/>
        </w:numPr>
        <w:rPr>
          <w:lang w:eastAsia="bg-BG"/>
        </w:rPr>
      </w:pPr>
      <w:r w:rsidRPr="000D0CFC">
        <w:rPr>
          <w:lang w:eastAsia="bg-BG"/>
        </w:rPr>
        <w:t xml:space="preserve">Клацид не трябва да се прилага на пациенти с електролитни нарушения (хипокалиемия еле хипомагнезиемия, поради риск от удължаване на </w:t>
      </w:r>
      <w:r w:rsidRPr="000D0CFC">
        <w:rPr>
          <w:lang w:val="en-US"/>
        </w:rPr>
        <w:t>QT</w:t>
      </w:r>
      <w:r w:rsidRPr="000D0CFC">
        <w:rPr>
          <w:lang w:eastAsia="bg-BG"/>
        </w:rPr>
        <w:t>-интервала.</w:t>
      </w:r>
    </w:p>
    <w:p w14:paraId="6238C424" w14:textId="77777777" w:rsidR="000D0CFC" w:rsidRPr="000D0CFC" w:rsidRDefault="000D0CFC" w:rsidP="000D0CFC">
      <w:pPr>
        <w:pStyle w:val="ListParagraph"/>
        <w:numPr>
          <w:ilvl w:val="0"/>
          <w:numId w:val="35"/>
        </w:numPr>
        <w:rPr>
          <w:sz w:val="24"/>
          <w:szCs w:val="24"/>
        </w:rPr>
      </w:pPr>
      <w:r w:rsidRPr="000D0CFC">
        <w:rPr>
          <w:lang w:eastAsia="bg-BG"/>
        </w:rPr>
        <w:t>Клацид не трябва да се използва при пациенти с тежка чернодробна недостатъчнност в</w:t>
      </w:r>
      <w:r>
        <w:rPr>
          <w:lang w:eastAsia="bg-BG"/>
        </w:rPr>
        <w:t xml:space="preserve"> </w:t>
      </w:r>
      <w:r w:rsidRPr="000D0CFC">
        <w:rPr>
          <w:lang w:eastAsia="bg-BG"/>
        </w:rPr>
        <w:t>комбинация с бъбречно увреждане.</w:t>
      </w:r>
    </w:p>
    <w:p w14:paraId="36C98A4C" w14:textId="77777777" w:rsidR="000D0CFC" w:rsidRPr="000D0CFC" w:rsidRDefault="000D0CFC" w:rsidP="000D0CFC">
      <w:pPr>
        <w:pStyle w:val="ListParagraph"/>
        <w:numPr>
          <w:ilvl w:val="0"/>
          <w:numId w:val="35"/>
        </w:numPr>
        <w:rPr>
          <w:lang w:eastAsia="bg-BG"/>
        </w:rPr>
      </w:pPr>
      <w:r w:rsidRPr="000D0CFC">
        <w:rPr>
          <w:lang w:eastAsia="bg-BG"/>
        </w:rPr>
        <w:t xml:space="preserve">Клацид не трябва да се прилага едновременно с </w:t>
      </w:r>
      <w:r w:rsidRPr="000D0CFC">
        <w:rPr>
          <w:lang w:val="en-US"/>
        </w:rPr>
        <w:t>HMG</w:t>
      </w:r>
      <w:r w:rsidRPr="000D0CFC">
        <w:rPr>
          <w:lang w:val="ru-RU"/>
        </w:rPr>
        <w:t>-</w:t>
      </w:r>
      <w:r w:rsidRPr="000D0CFC">
        <w:rPr>
          <w:lang w:val="en-US"/>
        </w:rPr>
        <w:t>CoA</w:t>
      </w:r>
      <w:r w:rsidRPr="000D0CFC">
        <w:rPr>
          <w:lang w:val="ru-RU"/>
        </w:rPr>
        <w:t xml:space="preserve"> </w:t>
      </w:r>
      <w:r w:rsidRPr="000D0CFC">
        <w:rPr>
          <w:lang w:eastAsia="bg-BG"/>
        </w:rPr>
        <w:t xml:space="preserve">редукгазни инхибитори (статини), които се метаболизират основно от </w:t>
      </w:r>
      <w:r w:rsidRPr="000D0CFC">
        <w:rPr>
          <w:lang w:val="en-US"/>
        </w:rPr>
        <w:t>CYP</w:t>
      </w:r>
      <w:r w:rsidRPr="000D0CFC">
        <w:rPr>
          <w:lang w:val="ru-RU"/>
        </w:rPr>
        <w:t>3</w:t>
      </w:r>
      <w:r w:rsidRPr="000D0CFC">
        <w:rPr>
          <w:lang w:val="en-US"/>
        </w:rPr>
        <w:t>A</w:t>
      </w:r>
      <w:r w:rsidRPr="000D0CFC">
        <w:rPr>
          <w:lang w:val="ru-RU"/>
        </w:rPr>
        <w:t xml:space="preserve">4 </w:t>
      </w:r>
      <w:r w:rsidRPr="000D0CFC">
        <w:rPr>
          <w:lang w:eastAsia="bg-BG"/>
        </w:rPr>
        <w:t>(ловастатин или симвастатин), поради повишен риск от миопатия, включително рабдомиолиза (вж. точка 4.4).</w:t>
      </w:r>
    </w:p>
    <w:p w14:paraId="6CCB4AB1" w14:textId="77777777" w:rsidR="000D0CFC" w:rsidRPr="000D0CFC" w:rsidRDefault="000D0CFC" w:rsidP="000D0CFC">
      <w:pPr>
        <w:pStyle w:val="ListParagraph"/>
        <w:numPr>
          <w:ilvl w:val="0"/>
          <w:numId w:val="35"/>
        </w:numPr>
        <w:rPr>
          <w:lang w:eastAsia="bg-BG"/>
        </w:rPr>
      </w:pPr>
      <w:r w:rsidRPr="000D0CFC">
        <w:rPr>
          <w:lang w:eastAsia="bg-BG"/>
        </w:rPr>
        <w:t xml:space="preserve">Както и при други мощни </w:t>
      </w:r>
      <w:r w:rsidRPr="000D0CFC">
        <w:rPr>
          <w:lang w:val="en-US"/>
        </w:rPr>
        <w:t>CYP</w:t>
      </w:r>
      <w:r w:rsidRPr="000D0CFC">
        <w:rPr>
          <w:lang w:val="ru-RU"/>
        </w:rPr>
        <w:t>3</w:t>
      </w:r>
      <w:r w:rsidRPr="000D0CFC">
        <w:rPr>
          <w:lang w:val="en-US"/>
        </w:rPr>
        <w:t>A</w:t>
      </w:r>
      <w:r w:rsidRPr="000D0CFC">
        <w:rPr>
          <w:lang w:val="ru-RU"/>
        </w:rPr>
        <w:t xml:space="preserve">4 </w:t>
      </w:r>
      <w:r w:rsidRPr="000D0CFC">
        <w:rPr>
          <w:lang w:eastAsia="bg-BG"/>
        </w:rPr>
        <w:t>инхибитори Клацид не трябва да се употребяват едновременно с колхицин (вж. точки 4.4 и 4.5).</w:t>
      </w:r>
    </w:p>
    <w:p w14:paraId="4DFD5446" w14:textId="77777777" w:rsidR="000D0CFC" w:rsidRPr="000D0CFC" w:rsidRDefault="000D0CFC" w:rsidP="000D0CFC">
      <w:pPr>
        <w:pStyle w:val="ListParagraph"/>
        <w:numPr>
          <w:ilvl w:val="0"/>
          <w:numId w:val="35"/>
        </w:numPr>
        <w:rPr>
          <w:lang w:eastAsia="bg-BG"/>
        </w:rPr>
      </w:pPr>
      <w:r w:rsidRPr="000D0CFC">
        <w:rPr>
          <w:lang w:eastAsia="bg-BG"/>
        </w:rPr>
        <w:t>Едновременно приложение на Клацид с тикагрелор или ранолазин.</w:t>
      </w:r>
    </w:p>
    <w:p w14:paraId="5D101EA5" w14:textId="73A84CAC" w:rsidR="000D0CFC" w:rsidRPr="000D0CFC" w:rsidRDefault="000D0CFC" w:rsidP="000D0CFC"/>
    <w:p w14:paraId="13D1C252" w14:textId="392C05B1" w:rsidR="00426E5F" w:rsidRDefault="002C50EE" w:rsidP="00A65A81">
      <w:pPr>
        <w:pStyle w:val="Heading2"/>
      </w:pPr>
      <w:r>
        <w:t>4.4. Специални предупреждения и предпазни мерки при употреба</w:t>
      </w:r>
    </w:p>
    <w:p w14:paraId="68E318C9" w14:textId="6B3ACDC7" w:rsidR="000D0CFC" w:rsidRDefault="000D0CFC" w:rsidP="000D0CFC"/>
    <w:p w14:paraId="57D3097D"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Употребата на антимикробна терапия, като Клацид за лечение на </w:t>
      </w:r>
      <w:r w:rsidRPr="000D0CFC">
        <w:rPr>
          <w:rFonts w:eastAsia="Times New Roman" w:cs="Arial"/>
          <w:i/>
          <w:iCs/>
          <w:color w:val="000000"/>
          <w:lang w:val="en-US"/>
        </w:rPr>
        <w:t>H</w:t>
      </w:r>
      <w:r w:rsidRPr="000D0CFC">
        <w:rPr>
          <w:rFonts w:eastAsia="Times New Roman" w:cs="Arial"/>
          <w:i/>
          <w:iCs/>
          <w:color w:val="000000"/>
          <w:lang w:val="ru-RU"/>
        </w:rPr>
        <w:t>.</w:t>
      </w:r>
      <w:r w:rsidRPr="000D0CFC">
        <w:rPr>
          <w:rFonts w:eastAsia="Times New Roman" w:cs="Arial"/>
          <w:i/>
          <w:iCs/>
          <w:color w:val="000000"/>
          <w:lang w:val="en-US"/>
        </w:rPr>
        <w:t>pylori</w:t>
      </w:r>
      <w:r w:rsidRPr="000D0CFC">
        <w:rPr>
          <w:rFonts w:eastAsia="Times New Roman" w:cs="Arial"/>
          <w:color w:val="000000"/>
          <w:lang w:val="ru-RU"/>
        </w:rPr>
        <w:t xml:space="preserve"> </w:t>
      </w:r>
      <w:r w:rsidRPr="000D0CFC">
        <w:rPr>
          <w:rFonts w:eastAsia="Times New Roman" w:cs="Arial"/>
          <w:color w:val="000000"/>
          <w:lang w:eastAsia="bg-BG"/>
        </w:rPr>
        <w:t>инфекции може да селектира резистентни организми.</w:t>
      </w:r>
    </w:p>
    <w:p w14:paraId="21289AD8" w14:textId="77777777" w:rsidR="000D0CFC" w:rsidRPr="000D0CFC" w:rsidRDefault="000D0CFC" w:rsidP="000D0CFC">
      <w:pPr>
        <w:spacing w:line="240" w:lineRule="auto"/>
        <w:rPr>
          <w:rFonts w:eastAsia="Times New Roman" w:cs="Arial"/>
          <w:color w:val="000000"/>
          <w:lang w:eastAsia="bg-BG"/>
        </w:rPr>
      </w:pPr>
    </w:p>
    <w:p w14:paraId="561FD920" w14:textId="75DC57FE" w:rsidR="000D0CFC" w:rsidRPr="000D0CFC" w:rsidRDefault="000D0CFC" w:rsidP="000D0CFC">
      <w:pPr>
        <w:spacing w:line="240" w:lineRule="auto"/>
        <w:rPr>
          <w:rFonts w:eastAsia="Times New Roman" w:cs="Arial"/>
        </w:rPr>
      </w:pPr>
      <w:r w:rsidRPr="000D0CFC">
        <w:rPr>
          <w:rFonts w:eastAsia="Times New Roman" w:cs="Arial"/>
          <w:color w:val="000000"/>
          <w:lang w:eastAsia="bg-BG"/>
        </w:rPr>
        <w:t>Лекарят не трябва да предписва Клацид на бременни жени без да е направена внимателна оценка на ползите спрямо риска, особено през първите три месеца на бременността.</w:t>
      </w:r>
    </w:p>
    <w:p w14:paraId="16554DCF" w14:textId="77777777" w:rsidR="000D0CFC" w:rsidRPr="000D0CFC" w:rsidRDefault="000D0CFC" w:rsidP="000D0CFC">
      <w:pPr>
        <w:spacing w:line="240" w:lineRule="auto"/>
        <w:rPr>
          <w:rFonts w:eastAsia="Times New Roman" w:cs="Arial"/>
          <w:color w:val="000000"/>
          <w:lang w:eastAsia="bg-BG"/>
        </w:rPr>
      </w:pPr>
    </w:p>
    <w:p w14:paraId="1ED97CDD" w14:textId="2DC915C7" w:rsidR="000D0CFC" w:rsidRPr="000D0CFC" w:rsidRDefault="000D0CFC" w:rsidP="000D0CFC">
      <w:pPr>
        <w:spacing w:line="240" w:lineRule="auto"/>
        <w:rPr>
          <w:rFonts w:eastAsia="Times New Roman" w:cs="Arial"/>
        </w:rPr>
      </w:pPr>
      <w:r w:rsidRPr="000D0CFC">
        <w:rPr>
          <w:rFonts w:eastAsia="Times New Roman" w:cs="Arial"/>
          <w:color w:val="000000"/>
          <w:lang w:eastAsia="bg-BG"/>
        </w:rPr>
        <w:t>Дълготрайната употреба, както и при други антибиотици, може да доведе до колонизация с повишен брой не чувствителни бактерии и гъби. Ако се появят суперинфекции, трябва да се започне подходяща терапия.</w:t>
      </w:r>
    </w:p>
    <w:p w14:paraId="6F97EF95" w14:textId="77777777" w:rsidR="000D0CFC" w:rsidRPr="000D0CFC" w:rsidRDefault="000D0CFC" w:rsidP="000D0CFC">
      <w:pPr>
        <w:spacing w:line="240" w:lineRule="auto"/>
        <w:rPr>
          <w:rFonts w:eastAsia="Times New Roman" w:cs="Arial"/>
          <w:color w:val="000000"/>
          <w:lang w:eastAsia="bg-BG"/>
        </w:rPr>
      </w:pPr>
    </w:p>
    <w:p w14:paraId="1897F4C4" w14:textId="6196C1DC" w:rsidR="000D0CFC" w:rsidRPr="000D0CFC" w:rsidRDefault="000D0CFC" w:rsidP="000D0CFC">
      <w:pPr>
        <w:spacing w:line="240" w:lineRule="auto"/>
        <w:rPr>
          <w:rFonts w:eastAsia="Times New Roman" w:cs="Arial"/>
        </w:rPr>
      </w:pPr>
      <w:r w:rsidRPr="000D0CFC">
        <w:rPr>
          <w:rFonts w:eastAsia="Times New Roman" w:cs="Arial"/>
          <w:color w:val="000000"/>
          <w:lang w:eastAsia="bg-BG"/>
        </w:rPr>
        <w:t>Клацид се отделя главно през черния дроб. Следователно се изисква повишено внимание при назначаване на антибиотика на пациенти с увредена чернодробна функция.</w:t>
      </w:r>
    </w:p>
    <w:p w14:paraId="4EE887DA" w14:textId="77777777" w:rsidR="000D0CFC" w:rsidRPr="000D0CFC" w:rsidRDefault="000D0CFC" w:rsidP="000D0CFC">
      <w:pPr>
        <w:spacing w:line="240" w:lineRule="auto"/>
        <w:rPr>
          <w:rFonts w:eastAsia="Times New Roman" w:cs="Arial"/>
          <w:color w:val="000000"/>
          <w:lang w:eastAsia="bg-BG"/>
        </w:rPr>
      </w:pPr>
    </w:p>
    <w:p w14:paraId="1895CBD0" w14:textId="32CF1F17" w:rsidR="000D0CFC" w:rsidRPr="000D0CFC" w:rsidRDefault="000D0CFC" w:rsidP="000D0CFC">
      <w:pPr>
        <w:spacing w:line="240" w:lineRule="auto"/>
        <w:rPr>
          <w:rFonts w:eastAsia="Times New Roman" w:cs="Arial"/>
        </w:rPr>
      </w:pPr>
      <w:r w:rsidRPr="000D0CFC">
        <w:rPr>
          <w:rFonts w:eastAsia="Times New Roman" w:cs="Arial"/>
          <w:color w:val="000000"/>
          <w:lang w:eastAsia="bg-BG"/>
        </w:rPr>
        <w:t>Повишено внимание е необходимо и при приложението на Клацид при пациенти с умерено до тежко бъбречно увреждане.</w:t>
      </w:r>
    </w:p>
    <w:p w14:paraId="437BE25B" w14:textId="77777777" w:rsidR="000D0CFC" w:rsidRPr="000D0CFC" w:rsidRDefault="000D0CFC" w:rsidP="000D0CFC">
      <w:pPr>
        <w:spacing w:line="240" w:lineRule="auto"/>
        <w:rPr>
          <w:rFonts w:eastAsia="Times New Roman" w:cs="Arial"/>
          <w:color w:val="000000"/>
          <w:lang w:eastAsia="bg-BG"/>
        </w:rPr>
      </w:pPr>
    </w:p>
    <w:p w14:paraId="157E5BD9" w14:textId="2B9663B5" w:rsidR="000D0CFC" w:rsidRPr="000D0CFC" w:rsidRDefault="000D0CFC" w:rsidP="000D0CFC">
      <w:pPr>
        <w:spacing w:line="240" w:lineRule="auto"/>
        <w:rPr>
          <w:rFonts w:eastAsia="Times New Roman" w:cs="Arial"/>
          <w:color w:val="000000"/>
          <w:lang w:eastAsia="bg-BG"/>
        </w:rPr>
      </w:pPr>
      <w:r w:rsidRPr="000D0CFC">
        <w:rPr>
          <w:rFonts w:eastAsia="Times New Roman" w:cs="Arial"/>
          <w:color w:val="000000"/>
          <w:lang w:eastAsia="bg-BG"/>
        </w:rPr>
        <w:t xml:space="preserve">При приложение на Клацид са били докладвани чернодробна дисфункция, включително повишени </w:t>
      </w:r>
    </w:p>
    <w:p w14:paraId="45B89E6A" w14:textId="49B08F82"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чернодробни ензими, и хепатоцелуларен и/или холестатичен хепатит, с или без жълтеница. Тази чернодробна дисфункция може да бъде тежка и обикновено е обратима. В някои случаи е докладвана чернодробна недостатъчност с фатален изход и обикновено </w:t>
      </w:r>
      <w:r w:rsidRPr="000D0CFC">
        <w:rPr>
          <w:rFonts w:eastAsia="Times New Roman" w:cs="Arial"/>
          <w:color w:val="000000"/>
          <w:lang w:eastAsia="bg-BG"/>
        </w:rPr>
        <w:lastRenderedPageBreak/>
        <w:t>е свързана със сериозни придружаващи заболявалия и/или съпътстващи лекарствени средства. Пациентите трябва да прекъснат незабавно приема на Клацид ако се развият признаци и симптоми на хепатит, като анорексия, жълтеница, тъмна урина, сърбеж, или напрегнат корем.</w:t>
      </w:r>
    </w:p>
    <w:p w14:paraId="73EA14FD" w14:textId="77777777" w:rsidR="000D0CFC" w:rsidRPr="000D0CFC" w:rsidRDefault="000D0CFC" w:rsidP="000D0CFC">
      <w:pPr>
        <w:spacing w:line="240" w:lineRule="auto"/>
        <w:rPr>
          <w:rFonts w:eastAsia="Times New Roman" w:cs="Arial"/>
          <w:color w:val="000000"/>
          <w:lang w:eastAsia="bg-BG"/>
        </w:rPr>
      </w:pPr>
    </w:p>
    <w:p w14:paraId="56A216A8" w14:textId="02A7A1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Псевдомембранозен колит е съобщаван при почти всички антибактериални лекарствени продукти, включително макролиди и може да варира от леко до живото-застрашаващо състояние. </w:t>
      </w:r>
      <w:proofErr w:type="spellStart"/>
      <w:r w:rsidRPr="000D0CFC">
        <w:rPr>
          <w:rFonts w:eastAsia="Times New Roman" w:cs="Arial"/>
          <w:i/>
          <w:iCs/>
          <w:color w:val="000000"/>
          <w:lang w:val="en-US"/>
        </w:rPr>
        <w:t>Clostridioides</w:t>
      </w:r>
      <w:proofErr w:type="spellEnd"/>
      <w:r w:rsidRPr="000D0CFC">
        <w:rPr>
          <w:rFonts w:eastAsia="Times New Roman" w:cs="Arial"/>
          <w:color w:val="000000"/>
          <w:lang w:val="ru-RU"/>
        </w:rPr>
        <w:t xml:space="preserve"> </w:t>
      </w:r>
      <w:r w:rsidRPr="000D0CFC">
        <w:rPr>
          <w:rFonts w:eastAsia="Times New Roman" w:cs="Arial"/>
          <w:color w:val="000000"/>
          <w:lang w:val="en-US"/>
        </w:rPr>
        <w:t>difficile</w:t>
      </w:r>
      <w:r w:rsidRPr="000D0CFC">
        <w:rPr>
          <w:rFonts w:eastAsia="Times New Roman" w:cs="Arial"/>
          <w:color w:val="000000"/>
          <w:lang w:eastAsia="bg-BG"/>
        </w:rPr>
        <w:t xml:space="preserve">-свързана диария </w:t>
      </w:r>
      <w:r w:rsidRPr="000D0CFC">
        <w:rPr>
          <w:rFonts w:eastAsia="Times New Roman" w:cs="Arial"/>
          <w:color w:val="000000"/>
          <w:lang w:val="ru-RU"/>
        </w:rPr>
        <w:t>(</w:t>
      </w:r>
      <w:r w:rsidRPr="000D0CFC">
        <w:rPr>
          <w:rFonts w:eastAsia="Times New Roman" w:cs="Arial"/>
          <w:color w:val="000000"/>
          <w:lang w:val="en-US"/>
        </w:rPr>
        <w:t>CDAD</w:t>
      </w:r>
      <w:r w:rsidRPr="000D0CFC">
        <w:rPr>
          <w:rFonts w:eastAsia="Times New Roman" w:cs="Arial"/>
          <w:color w:val="000000"/>
          <w:lang w:val="ru-RU"/>
        </w:rPr>
        <w:t xml:space="preserve">) </w:t>
      </w:r>
      <w:r w:rsidRPr="000D0CFC">
        <w:rPr>
          <w:rFonts w:eastAsia="Times New Roman" w:cs="Arial"/>
          <w:color w:val="000000"/>
          <w:lang w:eastAsia="bg-BG"/>
        </w:rPr>
        <w:t xml:space="preserve">е съобщаван при приложението на почти всички антибактериални лекарствени продукти, включително Клацид и може да варира от лека диария до фатален колит. Лечението с антибактериални лекарствени продукти нарушава нормалната флора на дебелото черво, което може да доведе до свръхрастеж на С. </w:t>
      </w:r>
      <w:proofErr w:type="gramStart"/>
      <w:r w:rsidRPr="000D0CFC">
        <w:rPr>
          <w:rFonts w:eastAsia="Times New Roman" w:cs="Arial"/>
          <w:color w:val="000000"/>
          <w:lang w:val="en-US"/>
        </w:rPr>
        <w:t>difficile</w:t>
      </w:r>
      <w:proofErr w:type="gramEnd"/>
      <w:r w:rsidRPr="000D0CFC">
        <w:rPr>
          <w:rFonts w:eastAsia="Times New Roman" w:cs="Arial"/>
          <w:color w:val="000000"/>
          <w:lang w:val="ru-RU"/>
        </w:rPr>
        <w:t xml:space="preserve">. </w:t>
      </w:r>
      <w:r w:rsidRPr="000D0CFC">
        <w:rPr>
          <w:rFonts w:eastAsia="Times New Roman" w:cs="Arial"/>
          <w:color w:val="000000"/>
          <w:lang w:val="en-US"/>
        </w:rPr>
        <w:t>CDAD</w:t>
      </w:r>
      <w:r w:rsidRPr="000D0CFC">
        <w:rPr>
          <w:rFonts w:eastAsia="Times New Roman" w:cs="Arial"/>
          <w:color w:val="000000"/>
          <w:lang w:val="ru-RU"/>
        </w:rPr>
        <w:t xml:space="preserve"> </w:t>
      </w:r>
      <w:r w:rsidRPr="000D0CFC">
        <w:rPr>
          <w:rFonts w:eastAsia="Times New Roman" w:cs="Arial"/>
          <w:color w:val="000000"/>
          <w:lang w:eastAsia="bg-BG"/>
        </w:rPr>
        <w:t xml:space="preserve">трябва да се има предвид при всички пациенти с диария след приложението на антибиотици. Необходимо е внимателното снемане на медицинска анамнеза, тъй като случаи на </w:t>
      </w:r>
      <w:r w:rsidRPr="000D0CFC">
        <w:rPr>
          <w:rFonts w:eastAsia="Times New Roman" w:cs="Arial"/>
          <w:color w:val="000000"/>
          <w:lang w:val="en-US"/>
        </w:rPr>
        <w:t>CDAD</w:t>
      </w:r>
      <w:r w:rsidRPr="000D0CFC">
        <w:rPr>
          <w:rFonts w:eastAsia="Times New Roman" w:cs="Arial"/>
          <w:color w:val="000000"/>
          <w:lang w:val="ru-RU"/>
        </w:rPr>
        <w:t xml:space="preserve"> </w:t>
      </w:r>
      <w:r w:rsidRPr="000D0CFC">
        <w:rPr>
          <w:rFonts w:eastAsia="Times New Roman" w:cs="Arial"/>
          <w:color w:val="000000"/>
          <w:lang w:eastAsia="bg-BG"/>
        </w:rPr>
        <w:t>са съобщавани до два месеца след приложението на антибактериалните лекарствени продукти.</w:t>
      </w:r>
    </w:p>
    <w:p w14:paraId="49F121C3" w14:textId="77777777" w:rsidR="000D0CFC" w:rsidRPr="000D0CFC" w:rsidRDefault="000D0CFC" w:rsidP="000D0CFC">
      <w:pPr>
        <w:spacing w:line="240" w:lineRule="auto"/>
        <w:rPr>
          <w:rFonts w:eastAsia="Times New Roman" w:cs="Arial"/>
          <w:color w:val="000000"/>
          <w:u w:val="single"/>
          <w:lang w:eastAsia="bg-BG"/>
        </w:rPr>
      </w:pPr>
    </w:p>
    <w:p w14:paraId="234C162E" w14:textId="7634280B"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Колхицин</w:t>
      </w:r>
    </w:p>
    <w:p w14:paraId="38FBB2CF"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По време на пост-маркетинговия период са съобщавани случаи на колхицинова токсичност при едновременното приложение на Клацид и колхицин, особено при пациенти в старческа възраст, като някои от пациентите са били с бъбречна недостатъчност. Докладвани са смъртни случаи при някои от тезипациенти (вж. точка 4.5). Едновременното приложение на</w:t>
      </w:r>
      <w:r w:rsidRPr="000D0CFC">
        <w:rPr>
          <w:rFonts w:eastAsia="Times New Roman" w:cs="Arial"/>
          <w:color w:val="000000"/>
          <w:lang w:val="ru-RU"/>
        </w:rPr>
        <w:t xml:space="preserve"> </w:t>
      </w:r>
      <w:r w:rsidRPr="000D0CFC">
        <w:rPr>
          <w:rFonts w:eastAsia="Times New Roman" w:cs="Arial"/>
          <w:color w:val="000000"/>
          <w:lang w:eastAsia="bg-BG"/>
        </w:rPr>
        <w:t>Клацид и колхицин е противопоказано (вж. точка 4.3).</w:t>
      </w:r>
    </w:p>
    <w:p w14:paraId="68B4AFEF" w14:textId="77777777" w:rsidR="000D0CFC" w:rsidRPr="000D0CFC" w:rsidRDefault="000D0CFC" w:rsidP="000D0CFC">
      <w:pPr>
        <w:spacing w:line="240" w:lineRule="auto"/>
        <w:rPr>
          <w:rFonts w:eastAsia="Times New Roman" w:cs="Arial"/>
          <w:color w:val="000000"/>
          <w:lang w:eastAsia="bg-BG"/>
        </w:rPr>
      </w:pPr>
    </w:p>
    <w:p w14:paraId="2B078FB5" w14:textId="42A901BE" w:rsidR="000D0CFC" w:rsidRPr="000D0CFC" w:rsidRDefault="000D0CFC" w:rsidP="000D0CFC">
      <w:pPr>
        <w:spacing w:line="240" w:lineRule="auto"/>
        <w:rPr>
          <w:rFonts w:eastAsia="Times New Roman" w:cs="Arial"/>
        </w:rPr>
      </w:pPr>
      <w:r w:rsidRPr="000D0CFC">
        <w:rPr>
          <w:rFonts w:eastAsia="Times New Roman" w:cs="Arial"/>
          <w:color w:val="000000"/>
          <w:lang w:eastAsia="bg-BG"/>
        </w:rPr>
        <w:t>Повишено внимание се препоръчва при едновременното прилагане на Клацид и</w:t>
      </w:r>
    </w:p>
    <w:p w14:paraId="49F547AC" w14:textId="76CE62D3" w:rsidR="000D0CFC" w:rsidRPr="000D0CFC" w:rsidRDefault="000D0CFC" w:rsidP="000D0CFC">
      <w:pPr>
        <w:rPr>
          <w:rFonts w:eastAsia="Times New Roman" w:cs="Arial"/>
          <w:color w:val="000000"/>
          <w:lang w:eastAsia="bg-BG"/>
        </w:rPr>
      </w:pPr>
      <w:r w:rsidRPr="000D0CFC">
        <w:rPr>
          <w:rFonts w:eastAsia="Times New Roman" w:cs="Arial"/>
          <w:color w:val="000000"/>
          <w:lang w:eastAsia="bg-BG"/>
        </w:rPr>
        <w:t>триазолобензодиазепини, като триазолам и интравенозен или оромукозен мидазолам (вж. точка 4.5).</w:t>
      </w:r>
    </w:p>
    <w:p w14:paraId="66B23448" w14:textId="5D8CA345" w:rsidR="000D0CFC" w:rsidRPr="000D0CFC" w:rsidRDefault="000D0CFC" w:rsidP="000D0CFC">
      <w:pPr>
        <w:rPr>
          <w:rFonts w:eastAsia="Times New Roman" w:cs="Arial"/>
          <w:color w:val="000000"/>
          <w:lang w:eastAsia="bg-BG"/>
        </w:rPr>
      </w:pPr>
    </w:p>
    <w:p w14:paraId="42B5C5D4" w14:textId="77777777"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Сърдечносъдови събития</w:t>
      </w:r>
    </w:p>
    <w:p w14:paraId="52731C26"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Удължена сърдечна реполяризация и удължаване на </w:t>
      </w:r>
      <w:r w:rsidRPr="000D0CFC">
        <w:rPr>
          <w:rFonts w:eastAsia="Times New Roman" w:cs="Arial"/>
          <w:color w:val="000000"/>
          <w:lang w:val="en-US"/>
        </w:rPr>
        <w:t>QT</w:t>
      </w:r>
      <w:r w:rsidRPr="000D0CFC">
        <w:rPr>
          <w:rFonts w:eastAsia="Times New Roman" w:cs="Arial"/>
          <w:color w:val="000000"/>
          <w:lang w:eastAsia="bg-BG"/>
        </w:rPr>
        <w:t xml:space="preserve">-интервала, свързани с риск за развитие на сърдечна аритмия и </w:t>
      </w:r>
      <w:proofErr w:type="spellStart"/>
      <w:r w:rsidRPr="000D0CFC">
        <w:rPr>
          <w:rFonts w:eastAsia="Times New Roman" w:cs="Arial"/>
          <w:i/>
          <w:iCs/>
          <w:color w:val="000000"/>
          <w:lang w:val="en-US"/>
        </w:rPr>
        <w:t>torsades</w:t>
      </w:r>
      <w:proofErr w:type="spellEnd"/>
      <w:r w:rsidRPr="000D0CFC">
        <w:rPr>
          <w:rFonts w:eastAsia="Times New Roman" w:cs="Arial"/>
          <w:i/>
          <w:iCs/>
          <w:color w:val="000000"/>
          <w:lang w:val="ru-RU"/>
        </w:rPr>
        <w:t xml:space="preserve"> </w:t>
      </w:r>
      <w:r w:rsidRPr="000D0CFC">
        <w:rPr>
          <w:rFonts w:eastAsia="Times New Roman" w:cs="Arial"/>
          <w:i/>
          <w:iCs/>
          <w:color w:val="000000"/>
          <w:lang w:val="en-US"/>
        </w:rPr>
        <w:t>de</w:t>
      </w:r>
      <w:r w:rsidRPr="000D0CFC">
        <w:rPr>
          <w:rFonts w:eastAsia="Times New Roman" w:cs="Arial"/>
          <w:i/>
          <w:iCs/>
          <w:color w:val="000000"/>
          <w:lang w:val="ru-RU"/>
        </w:rPr>
        <w:t xml:space="preserve"> </w:t>
      </w:r>
      <w:r w:rsidRPr="000D0CFC">
        <w:rPr>
          <w:rFonts w:eastAsia="Times New Roman" w:cs="Arial"/>
          <w:i/>
          <w:iCs/>
          <w:color w:val="000000"/>
          <w:lang w:val="en-US"/>
        </w:rPr>
        <w:t>pointes</w:t>
      </w:r>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 xml:space="preserve">са наблюдавани при пациенти лекувани с макролиди, включително кларитромицин (вж. точка 4.8). Следователно, тъй като следните ситуации могат да доведат до повишен риск от камерни аритмии (включително </w:t>
      </w:r>
      <w:proofErr w:type="spellStart"/>
      <w:r w:rsidRPr="000D0CFC">
        <w:rPr>
          <w:rFonts w:eastAsia="Times New Roman" w:cs="Arial"/>
          <w:i/>
          <w:iCs/>
          <w:color w:val="000000"/>
          <w:lang w:val="en-US"/>
        </w:rPr>
        <w:t>torsades</w:t>
      </w:r>
      <w:proofErr w:type="spellEnd"/>
      <w:r w:rsidRPr="000D0CFC">
        <w:rPr>
          <w:rFonts w:eastAsia="Times New Roman" w:cs="Arial"/>
          <w:i/>
          <w:iCs/>
          <w:color w:val="000000"/>
          <w:lang w:val="ru-RU"/>
        </w:rPr>
        <w:t xml:space="preserve"> </w:t>
      </w:r>
      <w:r w:rsidRPr="000D0CFC">
        <w:rPr>
          <w:rFonts w:eastAsia="Times New Roman" w:cs="Arial"/>
          <w:i/>
          <w:iCs/>
          <w:color w:val="000000"/>
          <w:lang w:val="en-US"/>
        </w:rPr>
        <w:t>de</w:t>
      </w:r>
      <w:r w:rsidRPr="000D0CFC">
        <w:rPr>
          <w:rFonts w:eastAsia="Times New Roman" w:cs="Arial"/>
          <w:i/>
          <w:iCs/>
          <w:color w:val="000000"/>
          <w:lang w:val="ru-RU"/>
        </w:rPr>
        <w:t xml:space="preserve"> </w:t>
      </w:r>
      <w:r w:rsidRPr="000D0CFC">
        <w:rPr>
          <w:rFonts w:eastAsia="Times New Roman" w:cs="Arial"/>
          <w:i/>
          <w:iCs/>
          <w:color w:val="000000"/>
          <w:lang w:val="en-US"/>
        </w:rPr>
        <w:t>pointes</w:t>
      </w:r>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Клацид трябва да се използва с повишено внимание при следните пациенти:</w:t>
      </w:r>
    </w:p>
    <w:p w14:paraId="0FC56042" w14:textId="77777777" w:rsidR="000D0CFC" w:rsidRDefault="000D0CFC" w:rsidP="000D0CFC">
      <w:pPr>
        <w:pStyle w:val="ListParagraph"/>
        <w:numPr>
          <w:ilvl w:val="0"/>
          <w:numId w:val="36"/>
        </w:numPr>
        <w:spacing w:line="240" w:lineRule="auto"/>
        <w:rPr>
          <w:rFonts w:eastAsia="Times New Roman" w:cs="Arial"/>
          <w:color w:val="000000"/>
          <w:lang w:eastAsia="bg-BG"/>
        </w:rPr>
      </w:pPr>
      <w:r w:rsidRPr="000D0CFC">
        <w:rPr>
          <w:rFonts w:eastAsia="Times New Roman" w:cs="Arial"/>
          <w:color w:val="000000"/>
          <w:lang w:eastAsia="bg-BG"/>
        </w:rPr>
        <w:t>Пациенти с исхемична болест на сърцето, тежка сърдечна недостатъчност, проводни нарушения или клинично значима брадикардия.</w:t>
      </w:r>
    </w:p>
    <w:p w14:paraId="55151A61" w14:textId="77777777" w:rsidR="000D0CFC" w:rsidRDefault="000D0CFC" w:rsidP="000D0CFC">
      <w:pPr>
        <w:pStyle w:val="ListParagraph"/>
        <w:numPr>
          <w:ilvl w:val="0"/>
          <w:numId w:val="36"/>
        </w:numPr>
        <w:spacing w:line="240" w:lineRule="auto"/>
        <w:rPr>
          <w:rFonts w:eastAsia="Times New Roman" w:cs="Arial"/>
          <w:color w:val="000000"/>
          <w:lang w:eastAsia="bg-BG"/>
        </w:rPr>
      </w:pPr>
      <w:r w:rsidRPr="000D0CFC">
        <w:rPr>
          <w:rFonts w:eastAsia="Times New Roman" w:cs="Arial"/>
          <w:color w:val="000000"/>
          <w:lang w:eastAsia="bg-BG"/>
        </w:rPr>
        <w:t>Клацид не трябва да се дава на пациенти с електролитни нарушения, като хипокалиемия или хипомагнезиемия (вж. точка 4.3).</w:t>
      </w:r>
    </w:p>
    <w:p w14:paraId="3E05D0DB" w14:textId="77777777" w:rsidR="000D0CFC" w:rsidRDefault="000D0CFC" w:rsidP="000D0CFC">
      <w:pPr>
        <w:pStyle w:val="ListParagraph"/>
        <w:numPr>
          <w:ilvl w:val="0"/>
          <w:numId w:val="36"/>
        </w:numPr>
        <w:spacing w:line="240" w:lineRule="auto"/>
        <w:rPr>
          <w:rFonts w:eastAsia="Times New Roman" w:cs="Arial"/>
          <w:color w:val="000000"/>
          <w:lang w:eastAsia="bg-BG"/>
        </w:rPr>
      </w:pPr>
      <w:r w:rsidRPr="000D0CFC">
        <w:rPr>
          <w:rFonts w:eastAsia="Times New Roman" w:cs="Arial"/>
          <w:color w:val="000000"/>
          <w:lang w:eastAsia="bg-BG"/>
        </w:rPr>
        <w:t xml:space="preserve">Пациенти, приемащи едновременно други лекарствени продукти, които се свързват с удължаване на </w:t>
      </w:r>
      <w:r w:rsidRPr="000D0CFC">
        <w:rPr>
          <w:rFonts w:eastAsia="Times New Roman" w:cs="Arial"/>
          <w:color w:val="000000"/>
          <w:lang w:val="en-US"/>
        </w:rPr>
        <w:t>QT</w:t>
      </w:r>
      <w:r w:rsidRPr="000D0CFC">
        <w:rPr>
          <w:rFonts w:eastAsia="Times New Roman" w:cs="Arial"/>
          <w:color w:val="000000"/>
          <w:lang w:eastAsia="bg-BG"/>
        </w:rPr>
        <w:t>-интервала (вж. точка 4.5).</w:t>
      </w:r>
    </w:p>
    <w:p w14:paraId="3CCF5756" w14:textId="77777777" w:rsidR="000D0CFC" w:rsidRDefault="000D0CFC" w:rsidP="000D0CFC">
      <w:pPr>
        <w:pStyle w:val="ListParagraph"/>
        <w:numPr>
          <w:ilvl w:val="0"/>
          <w:numId w:val="36"/>
        </w:numPr>
        <w:spacing w:line="240" w:lineRule="auto"/>
        <w:rPr>
          <w:rFonts w:eastAsia="Times New Roman" w:cs="Arial"/>
          <w:color w:val="000000"/>
          <w:lang w:eastAsia="bg-BG"/>
        </w:rPr>
      </w:pPr>
      <w:r w:rsidRPr="000D0CFC">
        <w:rPr>
          <w:rFonts w:eastAsia="Times New Roman" w:cs="Arial"/>
          <w:color w:val="000000"/>
          <w:lang w:eastAsia="bg-BG"/>
        </w:rPr>
        <w:t>Съпътстващото приложение на Клацид и астемизол, цизаприд, домперидон, пимозид и терфенадин е противопоказано (вж. точка 4.3).</w:t>
      </w:r>
    </w:p>
    <w:p w14:paraId="09EF5A5C" w14:textId="6E2FDA1C" w:rsidR="000D0CFC" w:rsidRPr="000D0CFC" w:rsidRDefault="000D0CFC" w:rsidP="000D0CFC">
      <w:pPr>
        <w:pStyle w:val="ListParagraph"/>
        <w:numPr>
          <w:ilvl w:val="0"/>
          <w:numId w:val="36"/>
        </w:numPr>
        <w:spacing w:line="240" w:lineRule="auto"/>
        <w:rPr>
          <w:rFonts w:eastAsia="Times New Roman" w:cs="Arial"/>
          <w:color w:val="000000"/>
          <w:lang w:eastAsia="bg-BG"/>
        </w:rPr>
      </w:pPr>
      <w:r w:rsidRPr="000D0CFC">
        <w:rPr>
          <w:rFonts w:eastAsia="Times New Roman" w:cs="Arial"/>
          <w:color w:val="000000"/>
          <w:lang w:eastAsia="bg-BG"/>
        </w:rPr>
        <w:t xml:space="preserve">Клацид не трябва да се използва при пациенти с вродено или документирано удължаване на </w:t>
      </w:r>
      <w:r w:rsidRPr="000D0CFC">
        <w:rPr>
          <w:rFonts w:eastAsia="Times New Roman" w:cs="Arial"/>
          <w:color w:val="000000"/>
          <w:lang w:val="en-US"/>
        </w:rPr>
        <w:t>QT</w:t>
      </w:r>
      <w:r w:rsidRPr="000D0CFC">
        <w:rPr>
          <w:rFonts w:eastAsia="Times New Roman" w:cs="Arial"/>
          <w:color w:val="000000"/>
          <w:lang w:eastAsia="bg-BG"/>
        </w:rPr>
        <w:t>-интервала или анамнеза за камерна аритмия (вж. точка 4.3).</w:t>
      </w:r>
    </w:p>
    <w:p w14:paraId="62DD5E8C" w14:textId="77777777" w:rsidR="000D0CFC" w:rsidRPr="000D0CFC" w:rsidRDefault="000D0CFC" w:rsidP="000D0CFC">
      <w:pPr>
        <w:spacing w:line="240" w:lineRule="auto"/>
        <w:rPr>
          <w:rFonts w:eastAsia="Times New Roman" w:cs="Arial"/>
          <w:color w:val="000000"/>
          <w:lang w:eastAsia="bg-BG"/>
        </w:rPr>
      </w:pPr>
    </w:p>
    <w:p w14:paraId="3E6A3C03" w14:textId="269CA7C8"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Епидемиологични проучвания, изследващи риска от нежелани сърдечносъдови последствия при прилагане на макролиди, са показали различни резултати. Някои неинтервенционални проучвания са идентифицирали рядък краткосрочен риск от аритмия, инфаркт на миокарда и сърдечносъдова смъртност, свързана с макролиди, </w:t>
      </w:r>
      <w:r w:rsidRPr="000D0CFC">
        <w:rPr>
          <w:rFonts w:eastAsia="Times New Roman" w:cs="Arial"/>
          <w:color w:val="000000"/>
          <w:lang w:eastAsia="bg-BG"/>
        </w:rPr>
        <w:lastRenderedPageBreak/>
        <w:t>включително кларитромицин. Вземането предвид на тези данни трябва да се балансира с ползите от лечението при предписване на Клацид.</w:t>
      </w:r>
    </w:p>
    <w:p w14:paraId="176C08DC" w14:textId="77777777" w:rsidR="000D0CFC" w:rsidRPr="000D0CFC" w:rsidRDefault="000D0CFC" w:rsidP="000D0CFC">
      <w:pPr>
        <w:spacing w:line="240" w:lineRule="auto"/>
        <w:rPr>
          <w:rFonts w:eastAsia="Times New Roman" w:cs="Arial"/>
          <w:color w:val="000000"/>
          <w:u w:val="single"/>
          <w:lang w:eastAsia="bg-BG"/>
        </w:rPr>
      </w:pPr>
    </w:p>
    <w:p w14:paraId="0C8D0899" w14:textId="269E067F"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Пневмония</w:t>
      </w:r>
    </w:p>
    <w:p w14:paraId="198F9054"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Поради засилващата се резистентност на </w:t>
      </w:r>
      <w:r w:rsidRPr="000D0CFC">
        <w:rPr>
          <w:rFonts w:eastAsia="Times New Roman" w:cs="Arial"/>
          <w:i/>
          <w:iCs/>
          <w:color w:val="000000"/>
          <w:lang w:val="en-US"/>
        </w:rPr>
        <w:t>Streptococcus</w:t>
      </w:r>
      <w:r w:rsidRPr="000D0CFC">
        <w:rPr>
          <w:rFonts w:eastAsia="Times New Roman" w:cs="Arial"/>
          <w:i/>
          <w:iCs/>
          <w:color w:val="000000"/>
          <w:lang w:val="ru-RU"/>
        </w:rPr>
        <w:t xml:space="preserve"> </w:t>
      </w:r>
      <w:proofErr w:type="spellStart"/>
      <w:r w:rsidRPr="000D0CFC">
        <w:rPr>
          <w:rFonts w:eastAsia="Times New Roman" w:cs="Arial"/>
          <w:i/>
          <w:iCs/>
          <w:color w:val="000000"/>
          <w:lang w:val="en-US"/>
        </w:rPr>
        <w:t>pneumoniae</w:t>
      </w:r>
      <w:proofErr w:type="spellEnd"/>
      <w:r w:rsidRPr="000D0CFC">
        <w:rPr>
          <w:rFonts w:eastAsia="Times New Roman" w:cs="Arial"/>
          <w:i/>
          <w:iCs/>
          <w:color w:val="000000"/>
          <w:lang w:val="ru-RU"/>
        </w:rPr>
        <w:t xml:space="preserve"> </w:t>
      </w:r>
      <w:r w:rsidRPr="000D0CFC">
        <w:rPr>
          <w:rFonts w:eastAsia="Times New Roman" w:cs="Arial"/>
          <w:i/>
          <w:iCs/>
          <w:color w:val="000000"/>
          <w:lang w:eastAsia="bg-BG"/>
        </w:rPr>
        <w:t>към</w:t>
      </w:r>
      <w:r w:rsidRPr="000D0CFC">
        <w:rPr>
          <w:rFonts w:eastAsia="Times New Roman" w:cs="Arial"/>
          <w:color w:val="000000"/>
          <w:lang w:eastAsia="bg-BG"/>
        </w:rPr>
        <w:t xml:space="preserve"> макролиди е необходимо предварително тестване за резистентност при изписване на Клацид за пневмонии придобити в обществото. При вътреболнични пневмонии Клацид трябва да се използва в комбинаци с допълнителни подходящи антибиотици.</w:t>
      </w:r>
    </w:p>
    <w:p w14:paraId="096FF1DB" w14:textId="77777777" w:rsidR="000D0CFC" w:rsidRPr="000D0CFC" w:rsidRDefault="000D0CFC" w:rsidP="000D0CFC">
      <w:pPr>
        <w:spacing w:line="240" w:lineRule="auto"/>
        <w:rPr>
          <w:rFonts w:eastAsia="Times New Roman" w:cs="Arial"/>
          <w:color w:val="000000"/>
          <w:u w:val="single"/>
          <w:lang w:eastAsia="bg-BG"/>
        </w:rPr>
      </w:pPr>
    </w:p>
    <w:p w14:paraId="33A0A994" w14:textId="15D437DE"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Кожни и меко-тьканни инфекции с лека до умерена тежест</w:t>
      </w:r>
    </w:p>
    <w:p w14:paraId="35965C0C"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Тези инфекции най-често се причиняват от </w:t>
      </w:r>
      <w:r w:rsidRPr="000D0CFC">
        <w:rPr>
          <w:rFonts w:eastAsia="Times New Roman" w:cs="Arial"/>
          <w:i/>
          <w:iCs/>
          <w:color w:val="000000"/>
          <w:lang w:val="en-US"/>
        </w:rPr>
        <w:t>Staphylococcus</w:t>
      </w:r>
      <w:r w:rsidRPr="000D0CFC">
        <w:rPr>
          <w:rFonts w:eastAsia="Times New Roman" w:cs="Arial"/>
          <w:i/>
          <w:iCs/>
          <w:color w:val="000000"/>
          <w:lang w:val="ru-RU"/>
        </w:rPr>
        <w:t xml:space="preserve"> </w:t>
      </w:r>
      <w:r w:rsidRPr="000D0CFC">
        <w:rPr>
          <w:rFonts w:eastAsia="Times New Roman" w:cs="Arial"/>
          <w:i/>
          <w:iCs/>
          <w:color w:val="000000"/>
          <w:lang w:val="en-US"/>
        </w:rPr>
        <w:t>aureus</w:t>
      </w:r>
      <w:r w:rsidRPr="000D0CFC">
        <w:rPr>
          <w:rFonts w:eastAsia="Times New Roman" w:cs="Arial"/>
          <w:color w:val="000000"/>
          <w:lang w:val="ru-RU"/>
        </w:rPr>
        <w:t xml:space="preserve"> </w:t>
      </w:r>
      <w:r w:rsidRPr="000D0CFC">
        <w:rPr>
          <w:rFonts w:eastAsia="Times New Roman" w:cs="Arial"/>
          <w:color w:val="000000"/>
          <w:lang w:eastAsia="bg-BG"/>
        </w:rPr>
        <w:t xml:space="preserve">и </w:t>
      </w:r>
      <w:r w:rsidRPr="000D0CFC">
        <w:rPr>
          <w:rFonts w:eastAsia="Times New Roman" w:cs="Arial"/>
          <w:i/>
          <w:iCs/>
          <w:color w:val="000000"/>
          <w:lang w:val="en-US"/>
        </w:rPr>
        <w:t>Streptococcus</w:t>
      </w:r>
      <w:r w:rsidRPr="000D0CFC">
        <w:rPr>
          <w:rFonts w:eastAsia="Times New Roman" w:cs="Arial"/>
          <w:i/>
          <w:iCs/>
          <w:color w:val="000000"/>
          <w:lang w:val="ru-RU"/>
        </w:rPr>
        <w:t xml:space="preserve"> </w:t>
      </w:r>
      <w:proofErr w:type="spellStart"/>
      <w:r w:rsidRPr="000D0CFC">
        <w:rPr>
          <w:rFonts w:eastAsia="Times New Roman" w:cs="Arial"/>
          <w:i/>
          <w:iCs/>
          <w:color w:val="000000"/>
          <w:lang w:val="en-US"/>
        </w:rPr>
        <w:t>pyogenes</w:t>
      </w:r>
      <w:proofErr w:type="spellEnd"/>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 xml:space="preserve">като и двата причинителя могат да бъдат резистентни на макролиди. Затова е необходимо да се проведат тестове за чувствителност. В случаи, когато бета-лактамни антибиотици не могат да бъдат използвани (напр. алергия), други антибиотици като клиндамицин може да бъдат лекарство на пръв избор. В момента само за макролидите се счита, че имат роля при някои кожни и меко- тьканни инфекции причинени от </w:t>
      </w:r>
      <w:proofErr w:type="spellStart"/>
      <w:r w:rsidRPr="000D0CFC">
        <w:rPr>
          <w:rFonts w:eastAsia="Times New Roman" w:cs="Arial"/>
          <w:i/>
          <w:iCs/>
          <w:color w:val="000000"/>
          <w:lang w:val="en-US"/>
        </w:rPr>
        <w:t>Corynebacterium</w:t>
      </w:r>
      <w:proofErr w:type="spellEnd"/>
      <w:r w:rsidRPr="000D0CFC">
        <w:rPr>
          <w:rFonts w:eastAsia="Times New Roman" w:cs="Arial"/>
          <w:i/>
          <w:iCs/>
          <w:color w:val="000000"/>
          <w:lang w:val="ru-RU"/>
        </w:rPr>
        <w:t xml:space="preserve"> </w:t>
      </w:r>
      <w:proofErr w:type="spellStart"/>
      <w:r w:rsidRPr="000D0CFC">
        <w:rPr>
          <w:rFonts w:eastAsia="Times New Roman" w:cs="Arial"/>
          <w:i/>
          <w:iCs/>
          <w:color w:val="000000"/>
          <w:lang w:val="en-US"/>
        </w:rPr>
        <w:t>minutissimum</w:t>
      </w:r>
      <w:proofErr w:type="spellEnd"/>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акне вулгарис и еризипел, и в случаи, където не може да се използва пеницилиново лечение.</w:t>
      </w:r>
    </w:p>
    <w:p w14:paraId="5550BFA0" w14:textId="77777777" w:rsidR="000D0CFC" w:rsidRPr="000D0CFC" w:rsidRDefault="000D0CFC" w:rsidP="000D0CFC">
      <w:pPr>
        <w:spacing w:line="240" w:lineRule="auto"/>
        <w:rPr>
          <w:rFonts w:eastAsia="Times New Roman" w:cs="Arial"/>
          <w:color w:val="000000"/>
          <w:lang w:eastAsia="bg-BG"/>
        </w:rPr>
      </w:pPr>
    </w:p>
    <w:p w14:paraId="6456048F" w14:textId="7CAB5E62"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Терапията с Клацид трябва да се преустанови незабавно и подходящо лечение трябва да се започне спешно при сериозни остри реакции на свръхчувствителност, като анафилаксия, тежки кожни нежелани реакции </w:t>
      </w:r>
      <w:r w:rsidRPr="000D0CFC">
        <w:rPr>
          <w:rFonts w:eastAsia="Times New Roman" w:cs="Arial"/>
          <w:color w:val="000000"/>
          <w:lang w:val="ru-RU"/>
        </w:rPr>
        <w:t>(</w:t>
      </w:r>
      <w:r w:rsidRPr="000D0CFC">
        <w:rPr>
          <w:rFonts w:eastAsia="Times New Roman" w:cs="Arial"/>
          <w:color w:val="000000"/>
          <w:lang w:val="en-US"/>
        </w:rPr>
        <w:t>SCAR</w:t>
      </w:r>
      <w:r w:rsidRPr="000D0CFC">
        <w:rPr>
          <w:rFonts w:eastAsia="Times New Roman" w:cs="Arial"/>
          <w:color w:val="000000"/>
          <w:lang w:val="ru-RU"/>
        </w:rPr>
        <w:t xml:space="preserve">) </w:t>
      </w:r>
      <w:r w:rsidRPr="000D0CFC">
        <w:rPr>
          <w:rFonts w:eastAsia="Times New Roman" w:cs="Arial"/>
          <w:color w:val="000000"/>
          <w:lang w:eastAsia="bg-BG"/>
        </w:rPr>
        <w:t xml:space="preserve">(напр. остра генерализирана екзантематозна пустулоза </w:t>
      </w:r>
      <w:r w:rsidRPr="000D0CFC">
        <w:rPr>
          <w:rFonts w:eastAsia="Times New Roman" w:cs="Arial"/>
          <w:color w:val="000000"/>
          <w:lang w:val="ru-RU"/>
        </w:rPr>
        <w:t>(</w:t>
      </w:r>
      <w:r w:rsidRPr="000D0CFC">
        <w:rPr>
          <w:rFonts w:eastAsia="Times New Roman" w:cs="Arial"/>
          <w:color w:val="000000"/>
          <w:lang w:val="en-US"/>
        </w:rPr>
        <w:t>AGEP</w:t>
      </w:r>
      <w:r w:rsidRPr="000D0CFC">
        <w:rPr>
          <w:rFonts w:eastAsia="Times New Roman" w:cs="Arial"/>
          <w:color w:val="000000"/>
          <w:lang w:val="ru-RU"/>
        </w:rPr>
        <w:t xml:space="preserve">), </w:t>
      </w:r>
      <w:r w:rsidRPr="000D0CFC">
        <w:rPr>
          <w:rFonts w:eastAsia="Times New Roman" w:cs="Arial"/>
          <w:color w:val="000000"/>
          <w:lang w:eastAsia="bg-BG"/>
        </w:rPr>
        <w:t xml:space="preserve">синдром на </w:t>
      </w:r>
      <w:r w:rsidRPr="000D0CFC">
        <w:rPr>
          <w:rFonts w:eastAsia="Times New Roman" w:cs="Arial"/>
          <w:i/>
          <w:iCs/>
          <w:color w:val="000000"/>
          <w:lang w:val="en-US"/>
        </w:rPr>
        <w:t>Stevens</w:t>
      </w:r>
      <w:r w:rsidRPr="000D0CFC">
        <w:rPr>
          <w:rFonts w:eastAsia="Times New Roman" w:cs="Arial"/>
          <w:i/>
          <w:iCs/>
          <w:color w:val="000000"/>
          <w:lang w:val="ru-RU"/>
        </w:rPr>
        <w:t>-</w:t>
      </w:r>
      <w:r w:rsidRPr="000D0CFC">
        <w:rPr>
          <w:rFonts w:eastAsia="Times New Roman" w:cs="Arial"/>
          <w:i/>
          <w:iCs/>
          <w:color w:val="000000"/>
          <w:lang w:val="en-US"/>
        </w:rPr>
        <w:t>Johnson</w:t>
      </w:r>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 xml:space="preserve">токсична епидермална некролиза и кожен обрив с еозинофилия и системни симптоми </w:t>
      </w:r>
      <w:r w:rsidRPr="000D0CFC">
        <w:rPr>
          <w:rFonts w:eastAsia="Times New Roman" w:cs="Arial"/>
          <w:color w:val="000000"/>
          <w:lang w:val="ru-RU"/>
        </w:rPr>
        <w:t>(</w:t>
      </w:r>
      <w:r w:rsidRPr="000D0CFC">
        <w:rPr>
          <w:rFonts w:eastAsia="Times New Roman" w:cs="Arial"/>
          <w:color w:val="000000"/>
          <w:lang w:val="en-US"/>
        </w:rPr>
        <w:t>DRESS</w:t>
      </w:r>
      <w:r w:rsidRPr="000D0CFC">
        <w:rPr>
          <w:rFonts w:eastAsia="Times New Roman" w:cs="Arial"/>
          <w:color w:val="000000"/>
          <w:lang w:val="ru-RU"/>
        </w:rPr>
        <w:t>)).</w:t>
      </w:r>
    </w:p>
    <w:p w14:paraId="788AB76A" w14:textId="77777777" w:rsidR="000D0CFC" w:rsidRPr="000D0CFC" w:rsidRDefault="000D0CFC" w:rsidP="000D0CFC">
      <w:pPr>
        <w:spacing w:line="240" w:lineRule="auto"/>
        <w:rPr>
          <w:rFonts w:eastAsia="Times New Roman" w:cs="Arial"/>
          <w:color w:val="000000"/>
          <w:lang w:eastAsia="bg-BG"/>
        </w:rPr>
      </w:pPr>
    </w:p>
    <w:p w14:paraId="52F9D7BC" w14:textId="1226E0CC"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Клацид трябва да се използва с повишено внимание при приложение с лекарства, които индуцират цитохром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4 </w:t>
      </w:r>
      <w:r w:rsidRPr="000D0CFC">
        <w:rPr>
          <w:rFonts w:eastAsia="Times New Roman" w:cs="Arial"/>
          <w:color w:val="000000"/>
          <w:lang w:eastAsia="bg-BG"/>
        </w:rPr>
        <w:t>ензима (вж. точка 4.5).</w:t>
      </w:r>
    </w:p>
    <w:p w14:paraId="5636DF71" w14:textId="77777777" w:rsidR="000D0CFC" w:rsidRPr="000D0CFC" w:rsidRDefault="000D0CFC" w:rsidP="000D0CFC">
      <w:pPr>
        <w:spacing w:line="240" w:lineRule="auto"/>
        <w:rPr>
          <w:rFonts w:eastAsia="Times New Roman" w:cs="Arial"/>
          <w:color w:val="000000"/>
          <w:lang w:eastAsia="bg-BG"/>
        </w:rPr>
      </w:pPr>
    </w:p>
    <w:p w14:paraId="55D635D1" w14:textId="0BF87897" w:rsidR="000D0CFC" w:rsidRPr="000D0CFC" w:rsidRDefault="000D0CFC" w:rsidP="000D0CFC">
      <w:pPr>
        <w:spacing w:line="240" w:lineRule="auto"/>
        <w:rPr>
          <w:rFonts w:eastAsia="Times New Roman" w:cs="Arial"/>
        </w:rPr>
      </w:pPr>
      <w:r w:rsidRPr="000D0CFC">
        <w:rPr>
          <w:rFonts w:eastAsia="Times New Roman" w:cs="Arial"/>
          <w:color w:val="000000"/>
          <w:lang w:eastAsia="bg-BG"/>
        </w:rPr>
        <w:t>Необходимо е също и повишено внимание поради възможността за кръстосана резистентност между Клацид и други макролиди, какго и с линкомицин и клиндамицин.</w:t>
      </w:r>
    </w:p>
    <w:p w14:paraId="7EC2A31D" w14:textId="77777777" w:rsidR="000D0CFC" w:rsidRPr="000D0CFC" w:rsidRDefault="000D0CFC" w:rsidP="000D0CFC">
      <w:pPr>
        <w:spacing w:line="240" w:lineRule="auto"/>
        <w:rPr>
          <w:rFonts w:eastAsia="Times New Roman" w:cs="Arial"/>
          <w:color w:val="000000"/>
          <w:u w:val="single"/>
          <w:lang w:val="ru-RU"/>
        </w:rPr>
      </w:pPr>
    </w:p>
    <w:p w14:paraId="15DB69B2" w14:textId="4F5EB13F" w:rsidR="000D0CFC" w:rsidRPr="000D0CFC" w:rsidRDefault="000D0CFC" w:rsidP="000D0CFC">
      <w:pPr>
        <w:spacing w:line="240" w:lineRule="auto"/>
        <w:rPr>
          <w:rFonts w:eastAsia="Times New Roman" w:cs="Arial"/>
        </w:rPr>
      </w:pPr>
      <w:r w:rsidRPr="000D0CFC">
        <w:rPr>
          <w:rFonts w:eastAsia="Times New Roman" w:cs="Arial"/>
          <w:color w:val="000000"/>
          <w:u w:val="single"/>
          <w:lang w:val="en-US"/>
        </w:rPr>
        <w:t>HMG</w:t>
      </w:r>
      <w:r w:rsidRPr="000D0CFC">
        <w:rPr>
          <w:rFonts w:eastAsia="Times New Roman" w:cs="Arial"/>
          <w:color w:val="000000"/>
          <w:u w:val="single"/>
          <w:lang w:val="ru-RU"/>
        </w:rPr>
        <w:t>-</w:t>
      </w:r>
      <w:r w:rsidRPr="000D0CFC">
        <w:rPr>
          <w:rFonts w:eastAsia="Times New Roman" w:cs="Arial"/>
          <w:color w:val="000000"/>
          <w:u w:val="single"/>
          <w:lang w:val="en-US"/>
        </w:rPr>
        <w:t>CoA</w:t>
      </w:r>
      <w:r w:rsidRPr="000D0CFC">
        <w:rPr>
          <w:rFonts w:eastAsia="Times New Roman" w:cs="Arial"/>
          <w:color w:val="000000"/>
          <w:u w:val="single"/>
          <w:lang w:val="ru-RU"/>
        </w:rPr>
        <w:t xml:space="preserve"> </w:t>
      </w:r>
      <w:r w:rsidRPr="000D0CFC">
        <w:rPr>
          <w:rFonts w:eastAsia="Times New Roman" w:cs="Arial"/>
          <w:color w:val="000000"/>
          <w:u w:val="single"/>
          <w:lang w:eastAsia="bg-BG"/>
        </w:rPr>
        <w:t>редуктазни инхибитори (статини)</w:t>
      </w:r>
    </w:p>
    <w:p w14:paraId="17D63C5D" w14:textId="77777777" w:rsidR="000D0CFC" w:rsidRPr="000D0CFC" w:rsidRDefault="000D0CFC" w:rsidP="000D0CFC">
      <w:pPr>
        <w:rPr>
          <w:rFonts w:eastAsia="Times New Roman" w:cs="Arial"/>
        </w:rPr>
      </w:pPr>
      <w:r w:rsidRPr="000D0CFC">
        <w:rPr>
          <w:rFonts w:eastAsia="Times New Roman" w:cs="Arial"/>
          <w:color w:val="000000"/>
          <w:lang w:eastAsia="bg-BG"/>
        </w:rPr>
        <w:t xml:space="preserve">Едновременно приемане на Клацид с ловастатин и симвастатин е противопоказано (вж. точка 4.3) Необходимо е повишено внимание, когато се изписва Клацид с други статини. Докладвани са случаи на рабдомиолиза при пациенти, приемали кларитромицин и статини. Пациентите трябва да се наблюдават за признаци и симптоми на миопатия. В случаи когато едновременната употреба на Клацид със статини не може да се избегне, препоръчва се да се изпише най-ниската регистрирана доза на статин. Може да се обмисли използването на статии, който не зависи от метаболизма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(напр. флувастатин) (вж. точка 4.5).</w:t>
      </w:r>
    </w:p>
    <w:p w14:paraId="1C7E0025" w14:textId="77777777" w:rsidR="000D0CFC" w:rsidRPr="000D0CFC" w:rsidRDefault="000D0CFC" w:rsidP="000D0CFC">
      <w:pPr>
        <w:spacing w:line="240" w:lineRule="auto"/>
        <w:rPr>
          <w:rFonts w:eastAsia="Times New Roman" w:cs="Arial"/>
          <w:color w:val="000000"/>
          <w:u w:val="single"/>
          <w:lang w:eastAsia="bg-BG"/>
        </w:rPr>
      </w:pPr>
    </w:p>
    <w:p w14:paraId="10D66F7D" w14:textId="6955D29F"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Перорални хипогликемични лекарства/Инсулин</w:t>
      </w:r>
    </w:p>
    <w:p w14:paraId="0D7FCEA1"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Едновременното приемане на перорални хипогликемични лекарства (като сулфанилурея) и/или инсулин с Клацид може да доведе до значима хипогликемия. Препоръчва се внимателно проследяване на нивата на глюкозата.</w:t>
      </w:r>
    </w:p>
    <w:p w14:paraId="35AA517E" w14:textId="77777777" w:rsidR="000D0CFC" w:rsidRPr="000D0CFC" w:rsidRDefault="000D0CFC" w:rsidP="000D0CFC">
      <w:pPr>
        <w:spacing w:line="240" w:lineRule="auto"/>
        <w:rPr>
          <w:rFonts w:eastAsia="Times New Roman" w:cs="Arial"/>
          <w:color w:val="000000"/>
          <w:u w:val="single"/>
          <w:lang w:eastAsia="bg-BG"/>
        </w:rPr>
      </w:pPr>
    </w:p>
    <w:p w14:paraId="7B269D26" w14:textId="11FD18BA"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Перорални антикоагуланти</w:t>
      </w:r>
    </w:p>
    <w:p w14:paraId="1367B085"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Съществува риск от сериозна хеморагия и значителни повишаванеияна </w:t>
      </w:r>
      <w:r w:rsidRPr="000D0CFC">
        <w:rPr>
          <w:rFonts w:eastAsia="Times New Roman" w:cs="Arial"/>
          <w:color w:val="000000"/>
          <w:lang w:val="en-US"/>
        </w:rPr>
        <w:t>INR</w:t>
      </w:r>
      <w:r w:rsidRPr="000D0CFC">
        <w:rPr>
          <w:rFonts w:eastAsia="Times New Roman" w:cs="Arial"/>
          <w:color w:val="000000"/>
          <w:lang w:val="ru-RU"/>
        </w:rPr>
        <w:t xml:space="preserve"> </w:t>
      </w:r>
      <w:r w:rsidRPr="000D0CFC">
        <w:rPr>
          <w:rFonts w:eastAsia="Times New Roman" w:cs="Arial"/>
          <w:color w:val="000000"/>
          <w:lang w:eastAsia="bg-BG"/>
        </w:rPr>
        <w:t xml:space="preserve">и протромбиновото време, когато варфарин и кларитромицин се прилагат едновременно. </w:t>
      </w:r>
      <w:r w:rsidRPr="000D0CFC">
        <w:rPr>
          <w:rFonts w:eastAsia="Times New Roman" w:cs="Arial"/>
          <w:color w:val="000000"/>
          <w:lang w:val="en-US"/>
        </w:rPr>
        <w:lastRenderedPageBreak/>
        <w:t>INR</w:t>
      </w:r>
      <w:r w:rsidRPr="000D0CFC">
        <w:rPr>
          <w:rFonts w:eastAsia="Times New Roman" w:cs="Arial"/>
          <w:color w:val="000000"/>
          <w:lang w:val="ru-RU"/>
        </w:rPr>
        <w:t xml:space="preserve"> </w:t>
      </w:r>
      <w:r w:rsidRPr="000D0CFC">
        <w:rPr>
          <w:rFonts w:eastAsia="Times New Roman" w:cs="Arial"/>
          <w:color w:val="000000"/>
          <w:lang w:eastAsia="bg-BG"/>
        </w:rPr>
        <w:t>и протромбиновото време трябва да се проследяват често в периода на едновременен прием на перорални антикоагуланти и Клацид.</w:t>
      </w:r>
    </w:p>
    <w:p w14:paraId="0DC9CE54" w14:textId="77777777" w:rsidR="000D0CFC" w:rsidRPr="000D0CFC" w:rsidRDefault="000D0CFC" w:rsidP="000D0CFC">
      <w:pPr>
        <w:spacing w:line="240" w:lineRule="auto"/>
        <w:rPr>
          <w:rFonts w:eastAsia="Times New Roman" w:cs="Arial"/>
          <w:color w:val="000000"/>
          <w:lang w:eastAsia="bg-BG"/>
        </w:rPr>
      </w:pPr>
    </w:p>
    <w:p w14:paraId="0BEB9F95" w14:textId="28D851E0" w:rsidR="000D0CFC" w:rsidRPr="000D0CFC" w:rsidRDefault="000D0CFC" w:rsidP="000D0CFC">
      <w:pPr>
        <w:spacing w:line="240" w:lineRule="auto"/>
        <w:rPr>
          <w:rFonts w:eastAsia="Times New Roman" w:cs="Arial"/>
        </w:rPr>
      </w:pPr>
      <w:r w:rsidRPr="000D0CFC">
        <w:rPr>
          <w:rFonts w:eastAsia="Times New Roman" w:cs="Arial"/>
          <w:color w:val="000000"/>
          <w:lang w:eastAsia="bg-BG"/>
        </w:rPr>
        <w:t>Трябва да се обръща особено внимание, когато кларитромицин се прилага едновременно с директно действащи перорални антикоагуланти, като дабигатран, ривароксабан и апиксабан, особено при пациенти с висок риск от кървене (вж. точка 4.5).</w:t>
      </w:r>
    </w:p>
    <w:p w14:paraId="7760643B" w14:textId="61811838" w:rsidR="000D0CFC" w:rsidRPr="000D0CFC" w:rsidRDefault="000D0CFC" w:rsidP="000D0CFC"/>
    <w:p w14:paraId="302A1C2B" w14:textId="79565F1F" w:rsidR="00426E5F" w:rsidRDefault="002C50EE" w:rsidP="00A65A81">
      <w:pPr>
        <w:pStyle w:val="Heading2"/>
      </w:pPr>
      <w:r>
        <w:t>4.5. Взаимодействие с други лекарствени продукти и други форми на взаимодействие</w:t>
      </w:r>
    </w:p>
    <w:p w14:paraId="018C2326" w14:textId="782D1815" w:rsidR="000D0CFC" w:rsidRDefault="000D0CFC" w:rsidP="000D0CFC"/>
    <w:p w14:paraId="5C07950C" w14:textId="77777777" w:rsidR="000D0CFC" w:rsidRPr="000D0CFC" w:rsidRDefault="000D0CFC" w:rsidP="000D0CFC">
      <w:pPr>
        <w:spacing w:line="240" w:lineRule="auto"/>
        <w:rPr>
          <w:rFonts w:eastAsia="Times New Roman" w:cs="Arial"/>
        </w:rPr>
      </w:pPr>
      <w:r w:rsidRPr="000D0CFC">
        <w:rPr>
          <w:rFonts w:eastAsia="Times New Roman" w:cs="Arial"/>
          <w:i/>
          <w:iCs/>
          <w:color w:val="000000"/>
          <w:u w:val="single"/>
          <w:lang w:eastAsia="bg-BG"/>
        </w:rPr>
        <w:t>Приложението на посочените по-долу лекарствени продукти е строго противопоказано поради възможността от появата на тежки ефекти на лекарствени взаимодействия:</w:t>
      </w:r>
    </w:p>
    <w:p w14:paraId="7069F8D7" w14:textId="77777777" w:rsidR="000D0CFC" w:rsidRPr="000D0CFC" w:rsidRDefault="000D0CFC" w:rsidP="000D0CFC">
      <w:pPr>
        <w:spacing w:line="240" w:lineRule="auto"/>
        <w:rPr>
          <w:rFonts w:eastAsia="Times New Roman" w:cs="Arial"/>
          <w:color w:val="000000"/>
          <w:u w:val="single"/>
          <w:lang w:eastAsia="bg-BG"/>
        </w:rPr>
      </w:pPr>
    </w:p>
    <w:p w14:paraId="29EDE2A0" w14:textId="09F0A802"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Астемизол, цизаприд, домперидон, пимозид, и терфенадин</w:t>
      </w:r>
    </w:p>
    <w:p w14:paraId="261BD1DE"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Докладвани са повишени нива на цизаприд при пациенти, лекувани едновременно с цизаприд и Клацид. Това може да доведе до удължаване на </w:t>
      </w:r>
      <w:r w:rsidRPr="000D0CFC">
        <w:rPr>
          <w:rFonts w:eastAsia="Times New Roman" w:cs="Arial"/>
          <w:color w:val="000000"/>
          <w:lang w:val="en-US"/>
        </w:rPr>
        <w:t>QT</w:t>
      </w:r>
      <w:r w:rsidRPr="000D0CFC">
        <w:rPr>
          <w:rFonts w:eastAsia="Times New Roman" w:cs="Arial"/>
          <w:color w:val="000000"/>
          <w:lang w:eastAsia="bg-BG"/>
        </w:rPr>
        <w:t xml:space="preserve">-интервала и сърдечни аритмии, вкл. камерна тахикардия, камерна фибрилация и </w:t>
      </w:r>
      <w:proofErr w:type="spellStart"/>
      <w:r w:rsidRPr="000D0CFC">
        <w:rPr>
          <w:rFonts w:eastAsia="Times New Roman" w:cs="Arial"/>
          <w:i/>
          <w:iCs/>
          <w:color w:val="000000"/>
          <w:lang w:val="en-US"/>
        </w:rPr>
        <w:t>torsades</w:t>
      </w:r>
      <w:proofErr w:type="spellEnd"/>
      <w:r w:rsidRPr="000D0CFC">
        <w:rPr>
          <w:rFonts w:eastAsia="Times New Roman" w:cs="Arial"/>
          <w:i/>
          <w:iCs/>
          <w:color w:val="000000"/>
          <w:lang w:val="ru-RU"/>
        </w:rPr>
        <w:t xml:space="preserve"> </w:t>
      </w:r>
      <w:r w:rsidRPr="000D0CFC">
        <w:rPr>
          <w:rFonts w:eastAsia="Times New Roman" w:cs="Arial"/>
          <w:i/>
          <w:iCs/>
          <w:color w:val="000000"/>
          <w:lang w:val="en-US"/>
        </w:rPr>
        <w:t>de</w:t>
      </w:r>
      <w:r w:rsidRPr="000D0CFC">
        <w:rPr>
          <w:rFonts w:eastAsia="Times New Roman" w:cs="Arial"/>
          <w:i/>
          <w:iCs/>
          <w:color w:val="000000"/>
          <w:lang w:val="ru-RU"/>
        </w:rPr>
        <w:t xml:space="preserve"> </w:t>
      </w:r>
      <w:r w:rsidRPr="000D0CFC">
        <w:rPr>
          <w:rFonts w:eastAsia="Times New Roman" w:cs="Arial"/>
          <w:i/>
          <w:iCs/>
          <w:color w:val="000000"/>
          <w:lang w:val="en-US"/>
        </w:rPr>
        <w:t>pointes</w:t>
      </w:r>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Подобни ефекти са наблюдавани при пациенти, приемащи едновременно Клацид и пимозид (вижте точка 4.3).</w:t>
      </w:r>
    </w:p>
    <w:p w14:paraId="358C9631" w14:textId="77777777" w:rsidR="000D0CFC" w:rsidRPr="000D0CFC" w:rsidRDefault="000D0CFC" w:rsidP="000D0CFC">
      <w:pPr>
        <w:spacing w:line="240" w:lineRule="auto"/>
        <w:rPr>
          <w:rFonts w:eastAsia="Times New Roman" w:cs="Arial"/>
          <w:color w:val="000000"/>
          <w:lang w:eastAsia="bg-BG"/>
        </w:rPr>
      </w:pPr>
    </w:p>
    <w:p w14:paraId="144EFEE7" w14:textId="2C7C3F13"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Докладвано е, че макролидите повлияват метаболизма на терфенадин, което води до повишаване на плазмените му нива и се свързва със сърдечни аритмии като удължаване на </w:t>
      </w:r>
      <w:r w:rsidRPr="000D0CFC">
        <w:rPr>
          <w:rFonts w:eastAsia="Times New Roman" w:cs="Arial"/>
          <w:color w:val="000000"/>
          <w:lang w:val="en-US"/>
        </w:rPr>
        <w:t>QT</w:t>
      </w:r>
      <w:r w:rsidRPr="000D0CFC">
        <w:rPr>
          <w:rFonts w:eastAsia="Times New Roman" w:cs="Arial"/>
          <w:color w:val="000000"/>
          <w:lang w:eastAsia="bg-BG"/>
        </w:rPr>
        <w:t xml:space="preserve">-интервала, камерна тахикардия, камерна фибрилация и камерно мъждене и </w:t>
      </w:r>
      <w:proofErr w:type="spellStart"/>
      <w:r w:rsidRPr="000D0CFC">
        <w:rPr>
          <w:rFonts w:eastAsia="Times New Roman" w:cs="Arial"/>
          <w:i/>
          <w:iCs/>
          <w:color w:val="000000"/>
          <w:lang w:val="en-US"/>
        </w:rPr>
        <w:t>torsades</w:t>
      </w:r>
      <w:proofErr w:type="spellEnd"/>
      <w:r w:rsidRPr="000D0CFC">
        <w:rPr>
          <w:rFonts w:eastAsia="Times New Roman" w:cs="Arial"/>
          <w:i/>
          <w:iCs/>
          <w:color w:val="000000"/>
          <w:lang w:val="ru-RU"/>
        </w:rPr>
        <w:t xml:space="preserve"> </w:t>
      </w:r>
      <w:r w:rsidRPr="000D0CFC">
        <w:rPr>
          <w:rFonts w:eastAsia="Times New Roman" w:cs="Arial"/>
          <w:i/>
          <w:iCs/>
          <w:color w:val="000000"/>
          <w:lang w:val="en-US"/>
        </w:rPr>
        <w:t>de</w:t>
      </w:r>
      <w:r w:rsidRPr="000D0CFC">
        <w:rPr>
          <w:rFonts w:eastAsia="Times New Roman" w:cs="Arial"/>
          <w:i/>
          <w:iCs/>
          <w:color w:val="000000"/>
          <w:lang w:val="ru-RU"/>
        </w:rPr>
        <w:t xml:space="preserve"> </w:t>
      </w:r>
      <w:r w:rsidRPr="000D0CFC">
        <w:rPr>
          <w:rFonts w:eastAsia="Times New Roman" w:cs="Arial"/>
          <w:i/>
          <w:iCs/>
          <w:color w:val="000000"/>
          <w:lang w:val="en-US"/>
        </w:rPr>
        <w:t>pointes</w:t>
      </w:r>
      <w:r w:rsidRPr="000D0CFC">
        <w:rPr>
          <w:rFonts w:eastAsia="Times New Roman" w:cs="Arial"/>
          <w:color w:val="000000"/>
          <w:lang w:val="ru-RU"/>
        </w:rPr>
        <w:t xml:space="preserve"> </w:t>
      </w:r>
      <w:r w:rsidRPr="000D0CFC">
        <w:rPr>
          <w:rFonts w:eastAsia="Times New Roman" w:cs="Arial"/>
          <w:color w:val="000000"/>
          <w:lang w:eastAsia="bg-BG"/>
        </w:rPr>
        <w:t xml:space="preserve">(вж. точка 4.3). В едно проучване при 14 здрави доброволци, едновременното приложение на Клацид и терфенадин е довело от двукратно до трикратно повишаване на серумните нива на киселия метаболит на терфенадин и до удължаване на </w:t>
      </w:r>
      <w:r w:rsidRPr="000D0CFC">
        <w:rPr>
          <w:rFonts w:eastAsia="Times New Roman" w:cs="Arial"/>
          <w:color w:val="000000"/>
          <w:lang w:val="en-US"/>
        </w:rPr>
        <w:t>QT</w:t>
      </w:r>
      <w:r w:rsidRPr="000D0CFC">
        <w:rPr>
          <w:rFonts w:eastAsia="Times New Roman" w:cs="Arial"/>
          <w:color w:val="000000"/>
          <w:lang w:eastAsia="bg-BG"/>
        </w:rPr>
        <w:t>-интервала, който не е довел до каквито и да е клинично проявени ефекти. Подобни ефекти са наблюдавани и при едновременно лечение с астемизол и други макролиди</w:t>
      </w:r>
    </w:p>
    <w:p w14:paraId="302BE066" w14:textId="77777777" w:rsidR="000D0CFC" w:rsidRPr="000D0CFC" w:rsidRDefault="000D0CFC" w:rsidP="000D0CFC">
      <w:pPr>
        <w:spacing w:line="240" w:lineRule="auto"/>
        <w:rPr>
          <w:rFonts w:eastAsia="Times New Roman" w:cs="Arial"/>
          <w:color w:val="000000"/>
          <w:u w:val="single"/>
          <w:lang w:eastAsia="bg-BG"/>
        </w:rPr>
      </w:pPr>
    </w:p>
    <w:p w14:paraId="3595A1CF" w14:textId="6D6AAAEB"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Ерго алкалоиди</w:t>
      </w:r>
    </w:p>
    <w:p w14:paraId="486D5D63"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Пост-маркетинговите съобщения показват, че едновременното приложение на Клацид и ерготамин или дихидроерготамин е свързано с остра ерготаминова токсичност, характеризираща се с вазоспазъм и исхемия на крайниците и други тъкани, включително централната нервна система. Едновременното приложение на Клацид и ерго алкалоиди е противопоказано (вж. точка 4.3).</w:t>
      </w:r>
    </w:p>
    <w:p w14:paraId="76E1ECE6" w14:textId="77777777" w:rsidR="000D0CFC" w:rsidRPr="000D0CFC" w:rsidRDefault="000D0CFC" w:rsidP="000D0CFC">
      <w:pPr>
        <w:spacing w:line="240" w:lineRule="auto"/>
        <w:rPr>
          <w:rFonts w:eastAsia="Times New Roman" w:cs="Arial"/>
          <w:color w:val="000000"/>
          <w:u w:val="single"/>
          <w:lang w:eastAsia="bg-BG"/>
        </w:rPr>
      </w:pPr>
    </w:p>
    <w:p w14:paraId="26A47AFB" w14:textId="1E4C799B"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Перорален мидазолам</w:t>
      </w:r>
    </w:p>
    <w:p w14:paraId="0F0EA4C3"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Когато мидазолам е бил приеман едновременно с таблетки Клацид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два пъти дневно), частта под кривата </w:t>
      </w:r>
      <w:r w:rsidRPr="000D0CFC">
        <w:rPr>
          <w:rFonts w:eastAsia="Times New Roman" w:cs="Arial"/>
          <w:color w:val="000000"/>
          <w:lang w:val="ru-RU"/>
        </w:rPr>
        <w:t>(</w:t>
      </w:r>
      <w:r w:rsidRPr="000D0CFC">
        <w:rPr>
          <w:rFonts w:eastAsia="Times New Roman" w:cs="Arial"/>
          <w:color w:val="000000"/>
          <w:lang w:val="en-US"/>
        </w:rPr>
        <w:t>AUC</w:t>
      </w:r>
      <w:r w:rsidRPr="000D0CFC">
        <w:rPr>
          <w:rFonts w:eastAsia="Times New Roman" w:cs="Arial"/>
          <w:color w:val="000000"/>
          <w:lang w:val="ru-RU"/>
        </w:rPr>
        <w:t xml:space="preserve">) </w:t>
      </w:r>
      <w:r w:rsidRPr="000D0CFC">
        <w:rPr>
          <w:rFonts w:eastAsia="Times New Roman" w:cs="Arial"/>
          <w:color w:val="000000"/>
          <w:lang w:eastAsia="bg-BG"/>
        </w:rPr>
        <w:t>на мидазолам е била увеличена 7 пъти след перорално п</w:t>
      </w:r>
      <w:r w:rsidRPr="000D0CFC">
        <w:rPr>
          <w:rFonts w:eastAsia="Times New Roman" w:cs="Arial"/>
          <w:color w:val="000000"/>
          <w:u w:val="single"/>
          <w:lang w:eastAsia="bg-BG"/>
        </w:rPr>
        <w:t>рило</w:t>
      </w:r>
      <w:r w:rsidRPr="000D0CFC">
        <w:rPr>
          <w:rFonts w:eastAsia="Times New Roman" w:cs="Arial"/>
          <w:color w:val="000000"/>
          <w:lang w:eastAsia="bg-BG"/>
        </w:rPr>
        <w:t>жение на мидазолам. Едновременното приложение на перорален мидазолам и Клацид е противопоказно (вж. точка 4.3).</w:t>
      </w:r>
    </w:p>
    <w:p w14:paraId="3FD37B72" w14:textId="77777777" w:rsidR="000D0CFC" w:rsidRPr="000D0CFC" w:rsidRDefault="000D0CFC" w:rsidP="000D0CFC">
      <w:pPr>
        <w:spacing w:line="240" w:lineRule="auto"/>
        <w:rPr>
          <w:rFonts w:eastAsia="Times New Roman" w:cs="Arial"/>
        </w:rPr>
      </w:pPr>
    </w:p>
    <w:p w14:paraId="2F339D81" w14:textId="77777777" w:rsidR="000D0CFC" w:rsidRPr="000D0CFC" w:rsidRDefault="000D0CFC" w:rsidP="000D0CFC">
      <w:pPr>
        <w:spacing w:line="240" w:lineRule="auto"/>
        <w:rPr>
          <w:rFonts w:eastAsia="Times New Roman" w:cs="Arial"/>
        </w:rPr>
      </w:pPr>
      <w:r w:rsidRPr="000D0CFC">
        <w:rPr>
          <w:rFonts w:eastAsia="Times New Roman" w:cs="Arial"/>
          <w:color w:val="000000"/>
          <w:u w:val="single"/>
          <w:lang w:val="en-US"/>
        </w:rPr>
        <w:t>HMG</w:t>
      </w:r>
      <w:r w:rsidRPr="000D0CFC">
        <w:rPr>
          <w:rFonts w:eastAsia="Times New Roman" w:cs="Arial"/>
          <w:color w:val="000000"/>
          <w:u w:val="single"/>
          <w:lang w:val="ru-RU"/>
        </w:rPr>
        <w:t>-</w:t>
      </w:r>
      <w:r w:rsidRPr="000D0CFC">
        <w:rPr>
          <w:rFonts w:eastAsia="Times New Roman" w:cs="Arial"/>
          <w:color w:val="000000"/>
          <w:u w:val="single"/>
          <w:lang w:val="en-US"/>
        </w:rPr>
        <w:t>CoA</w:t>
      </w:r>
      <w:r w:rsidRPr="000D0CFC">
        <w:rPr>
          <w:rFonts w:eastAsia="Times New Roman" w:cs="Arial"/>
          <w:color w:val="000000"/>
          <w:u w:val="single"/>
          <w:lang w:val="ru-RU"/>
        </w:rPr>
        <w:t xml:space="preserve"> </w:t>
      </w:r>
      <w:r w:rsidRPr="000D0CFC">
        <w:rPr>
          <w:rFonts w:eastAsia="Times New Roman" w:cs="Arial"/>
          <w:color w:val="000000"/>
          <w:u w:val="single"/>
          <w:lang w:eastAsia="bg-BG"/>
        </w:rPr>
        <w:t>редукгазни инхибитори (статини)</w:t>
      </w:r>
    </w:p>
    <w:p w14:paraId="26995AB7" w14:textId="77777777" w:rsidR="000D0CFC" w:rsidRPr="000D0CFC" w:rsidRDefault="000D0CFC" w:rsidP="000D0CFC">
      <w:pPr>
        <w:rPr>
          <w:rFonts w:eastAsia="Times New Roman" w:cs="Arial"/>
        </w:rPr>
      </w:pPr>
      <w:r w:rsidRPr="000D0CFC">
        <w:rPr>
          <w:rFonts w:eastAsia="Times New Roman" w:cs="Arial"/>
          <w:color w:val="000000"/>
          <w:lang w:eastAsia="bg-BG"/>
        </w:rPr>
        <w:t xml:space="preserve">Едновременно приемане на Клацид с ловастатин и симвастатин е противопоказно (вж. точка 4.3), тъй като тези статини се метаболизират основно от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4 </w:t>
      </w:r>
      <w:r w:rsidRPr="000D0CFC">
        <w:rPr>
          <w:rFonts w:eastAsia="Times New Roman" w:cs="Arial"/>
          <w:color w:val="000000"/>
          <w:lang w:eastAsia="bg-BG"/>
        </w:rPr>
        <w:t xml:space="preserve">и едновременното лечение с Клацид повишава техните плазмени концентрации, което повишава риска от миопатия, включително рабдомиолиза. Докладвани са случаи на рабдомиолиза при </w:t>
      </w:r>
      <w:r w:rsidRPr="000D0CFC">
        <w:rPr>
          <w:rFonts w:eastAsia="Times New Roman" w:cs="Arial"/>
          <w:color w:val="000000"/>
          <w:lang w:eastAsia="bg-BG"/>
        </w:rPr>
        <w:lastRenderedPageBreak/>
        <w:t>пациенти, приемали едновременно Клацид и тези статини. Ако лечението с Клацид не може да се избегне, терапията с ловастатин или симвастатин трябва да бъде прекъсната.</w:t>
      </w:r>
    </w:p>
    <w:p w14:paraId="6CD7E7C8" w14:textId="77777777" w:rsidR="000D0CFC" w:rsidRPr="000D0CFC" w:rsidRDefault="000D0CFC" w:rsidP="000D0CFC">
      <w:pPr>
        <w:spacing w:line="240" w:lineRule="auto"/>
        <w:rPr>
          <w:rFonts w:eastAsia="Times New Roman" w:cs="Arial"/>
          <w:color w:val="000000"/>
          <w:lang w:eastAsia="bg-BG"/>
        </w:rPr>
      </w:pPr>
    </w:p>
    <w:p w14:paraId="6439D972" w14:textId="5C98CC06"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Необходимо е повишено внимание при предписването на Клацид със статини. В случаи когато едновременната употреба на Клацид със статини не може да се избегне, препоръчва се да се изпише най-ниската регистрирана доза на статии. Може да се обмисли използването на статии, който не зависи от метаболизма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(напр. флувастатин). Пациентите трябва да се наблюдават за признаци и симптоми на миопатия.</w:t>
      </w:r>
    </w:p>
    <w:p w14:paraId="2415CD15" w14:textId="77777777" w:rsidR="000D0CFC" w:rsidRPr="000D0CFC" w:rsidRDefault="000D0CFC" w:rsidP="000D0CFC">
      <w:pPr>
        <w:spacing w:line="240" w:lineRule="auto"/>
        <w:rPr>
          <w:rFonts w:eastAsia="Times New Roman" w:cs="Arial"/>
          <w:i/>
          <w:iCs/>
          <w:color w:val="000000"/>
          <w:u w:val="single"/>
          <w:lang w:eastAsia="bg-BG"/>
        </w:rPr>
      </w:pPr>
    </w:p>
    <w:p w14:paraId="1A57E8BF" w14:textId="42F3F549" w:rsidR="000D0CFC" w:rsidRPr="000D0CFC" w:rsidRDefault="000D0CFC" w:rsidP="000D0CFC">
      <w:pPr>
        <w:spacing w:line="240" w:lineRule="auto"/>
        <w:rPr>
          <w:rFonts w:eastAsia="Times New Roman" w:cs="Arial"/>
        </w:rPr>
      </w:pPr>
      <w:r w:rsidRPr="000D0CFC">
        <w:rPr>
          <w:rFonts w:eastAsia="Times New Roman" w:cs="Arial"/>
          <w:i/>
          <w:iCs/>
          <w:color w:val="000000"/>
          <w:u w:val="single"/>
          <w:lang w:eastAsia="bg-BG"/>
        </w:rPr>
        <w:t>Ефект на други лекарствени продукти върху Клацид</w:t>
      </w:r>
    </w:p>
    <w:p w14:paraId="2CE4B24C" w14:textId="77777777" w:rsidR="000D0CFC" w:rsidRPr="000D0CFC" w:rsidRDefault="000D0CFC" w:rsidP="000D0CFC">
      <w:pPr>
        <w:spacing w:line="240" w:lineRule="auto"/>
        <w:rPr>
          <w:rFonts w:eastAsia="Times New Roman" w:cs="Arial"/>
          <w:color w:val="000000"/>
          <w:lang w:eastAsia="bg-BG"/>
        </w:rPr>
      </w:pPr>
    </w:p>
    <w:p w14:paraId="3988A44E" w14:textId="4A29490F"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Лекарства, които са индуктори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4 </w:t>
      </w:r>
      <w:r w:rsidRPr="000D0CFC">
        <w:rPr>
          <w:rFonts w:eastAsia="Times New Roman" w:cs="Arial"/>
          <w:color w:val="000000"/>
          <w:lang w:eastAsia="bg-BG"/>
        </w:rPr>
        <w:t xml:space="preserve">(напр. рифампицин, фенитоин, карбамазепин, фенобарбитал, жълт кантарион) може да индуцират метаболизма на Клацид. Това може да доведе до субтерапевтични нива на Клацид, водещо до намалена ефикасност. Освен това може да е необходимо да се мониторират плазмените нива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4 </w:t>
      </w:r>
      <w:r w:rsidRPr="000D0CFC">
        <w:rPr>
          <w:rFonts w:eastAsia="Times New Roman" w:cs="Arial"/>
          <w:color w:val="000000"/>
          <w:lang w:eastAsia="bg-BG"/>
        </w:rPr>
        <w:t xml:space="preserve">индукгора, които може да се увеличат поради инхибицията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4 </w:t>
      </w:r>
      <w:r w:rsidRPr="000D0CFC">
        <w:rPr>
          <w:rFonts w:eastAsia="Times New Roman" w:cs="Arial"/>
          <w:color w:val="000000"/>
          <w:lang w:eastAsia="bg-BG"/>
        </w:rPr>
        <w:t xml:space="preserve">от Клацид (вижте също продуктовата информация за приеманите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4 </w:t>
      </w:r>
      <w:r w:rsidRPr="000D0CFC">
        <w:rPr>
          <w:rFonts w:eastAsia="Times New Roman" w:cs="Arial"/>
          <w:color w:val="000000"/>
          <w:lang w:eastAsia="bg-BG"/>
        </w:rPr>
        <w:t>инхибитори). Едновременното приложение на рифабутин и Клацид може да доведе до повишаване серумните нива на рифабутин и понижаване на серумните нива на Клацид, едновременно с повишен риск от увеит.</w:t>
      </w:r>
    </w:p>
    <w:p w14:paraId="300BA798" w14:textId="77777777" w:rsidR="000D0CFC" w:rsidRPr="000D0CFC" w:rsidRDefault="000D0CFC" w:rsidP="000D0CFC">
      <w:pPr>
        <w:spacing w:line="240" w:lineRule="auto"/>
        <w:rPr>
          <w:rFonts w:eastAsia="Times New Roman" w:cs="Arial"/>
          <w:color w:val="000000"/>
          <w:lang w:eastAsia="bg-BG"/>
        </w:rPr>
      </w:pPr>
    </w:p>
    <w:p w14:paraId="4A1411A9" w14:textId="7369771E" w:rsidR="000D0CFC" w:rsidRPr="000D0CFC" w:rsidRDefault="000D0CFC" w:rsidP="000D0CFC">
      <w:pPr>
        <w:spacing w:line="240" w:lineRule="auto"/>
        <w:rPr>
          <w:rFonts w:eastAsia="Times New Roman" w:cs="Arial"/>
        </w:rPr>
      </w:pPr>
      <w:r w:rsidRPr="000D0CFC">
        <w:rPr>
          <w:rFonts w:eastAsia="Times New Roman" w:cs="Arial"/>
          <w:color w:val="000000"/>
          <w:lang w:eastAsia="bg-BG"/>
        </w:rPr>
        <w:t>За посочените по-долу лекарства е известно или се предполага, че повлияват циркулиращите концентрации на Клацид; може да е необходима промяна в дозата на Клацид или обмислянето на алтернативно лечение.</w:t>
      </w:r>
    </w:p>
    <w:p w14:paraId="69B0E953" w14:textId="77777777" w:rsidR="000D0CFC" w:rsidRPr="000D0CFC" w:rsidRDefault="000D0CFC" w:rsidP="000D0CFC">
      <w:pPr>
        <w:spacing w:line="240" w:lineRule="auto"/>
        <w:rPr>
          <w:rFonts w:eastAsia="Times New Roman" w:cs="Arial"/>
          <w:color w:val="000000"/>
          <w:u w:val="single"/>
          <w:lang w:eastAsia="bg-BG"/>
        </w:rPr>
      </w:pPr>
    </w:p>
    <w:p w14:paraId="7EF66B9D" w14:textId="36FB81D7"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Ефавиренц невипарин. рифампицин, рифабутин и рифапентин</w:t>
      </w:r>
    </w:p>
    <w:p w14:paraId="4E8B6377"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Мощни индуктори на цитохром Р 450 метаболитната система като ефавиренц, невипарин, рифампицин, рифабутин и рифапентин могат да засилят метаболизма на Клацид и така да понижат плазмените му нива, като повишават тези на 14(</w:t>
      </w:r>
      <w:r w:rsidRPr="000D0CFC">
        <w:rPr>
          <w:rFonts w:eastAsia="Times New Roman" w:cs="Arial"/>
          <w:color w:val="000000"/>
          <w:lang w:val="en-US"/>
        </w:rPr>
        <w:t>R</w:t>
      </w:r>
      <w:r w:rsidRPr="000D0CFC">
        <w:rPr>
          <w:rFonts w:eastAsia="Times New Roman" w:cs="Arial"/>
          <w:color w:val="000000"/>
          <w:lang w:eastAsia="bg-BG"/>
        </w:rPr>
        <w:t>)-хидрокси-кларитромицин (14-ОН- кларитромицин), който е също микробиологично активен метаболит. Тъй като микробиологичната активност на Клацид и 14-ОН-кларитромицин е различна за различните бактерии, желаният терапемтичен ефект може да бъде нарушен при едновременно прилагане на Клацид и ензимни индуктори.</w:t>
      </w:r>
    </w:p>
    <w:p w14:paraId="1600C7BE" w14:textId="77777777" w:rsidR="000D0CFC" w:rsidRPr="000D0CFC" w:rsidRDefault="000D0CFC" w:rsidP="000D0CFC">
      <w:pPr>
        <w:spacing w:line="240" w:lineRule="auto"/>
        <w:rPr>
          <w:rFonts w:eastAsia="Times New Roman" w:cs="Arial"/>
          <w:color w:val="000000"/>
          <w:u w:val="single"/>
          <w:lang w:eastAsia="bg-BG"/>
        </w:rPr>
      </w:pPr>
    </w:p>
    <w:p w14:paraId="5473A8C4" w14:textId="566FB1B1"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Етравирин</w:t>
      </w:r>
    </w:p>
    <w:p w14:paraId="741E4D8D"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Експозицията на Клацид е била понижена от етравирин; но концентрациите на активния метаболит 14-ОН-кларитромицин са били повишени. Поради това, че 14-ОН-кларитромицин има намалена активност към </w:t>
      </w:r>
      <w:r w:rsidRPr="000D0CFC">
        <w:rPr>
          <w:rFonts w:eastAsia="Times New Roman" w:cs="Arial"/>
          <w:i/>
          <w:iCs/>
          <w:color w:val="000000"/>
          <w:lang w:val="en-US"/>
        </w:rPr>
        <w:t>Mycobacterium</w:t>
      </w:r>
      <w:r w:rsidRPr="000D0CFC">
        <w:rPr>
          <w:rFonts w:eastAsia="Times New Roman" w:cs="Arial"/>
          <w:i/>
          <w:iCs/>
          <w:color w:val="000000"/>
          <w:lang w:val="ru-RU"/>
        </w:rPr>
        <w:t xml:space="preserve"> </w:t>
      </w:r>
      <w:proofErr w:type="spellStart"/>
      <w:r w:rsidRPr="000D0CFC">
        <w:rPr>
          <w:rFonts w:eastAsia="Times New Roman" w:cs="Arial"/>
          <w:i/>
          <w:iCs/>
          <w:color w:val="000000"/>
          <w:lang w:val="en-US"/>
        </w:rPr>
        <w:t>avium</w:t>
      </w:r>
      <w:proofErr w:type="spellEnd"/>
      <w:r w:rsidRPr="000D0CFC">
        <w:rPr>
          <w:rFonts w:eastAsia="Times New Roman" w:cs="Arial"/>
          <w:i/>
          <w:iCs/>
          <w:color w:val="000000"/>
          <w:lang w:val="ru-RU"/>
        </w:rPr>
        <w:t xml:space="preserve"> </w:t>
      </w:r>
      <w:r w:rsidRPr="000D0CFC">
        <w:rPr>
          <w:rFonts w:eastAsia="Times New Roman" w:cs="Arial"/>
          <w:i/>
          <w:iCs/>
          <w:color w:val="000000"/>
          <w:lang w:val="en-US"/>
        </w:rPr>
        <w:t>complex</w:t>
      </w:r>
      <w:r w:rsidRPr="000D0CFC">
        <w:rPr>
          <w:rFonts w:eastAsia="Times New Roman" w:cs="Arial"/>
          <w:color w:val="000000"/>
          <w:lang w:val="ru-RU"/>
        </w:rPr>
        <w:t xml:space="preserve"> </w:t>
      </w:r>
      <w:r w:rsidRPr="000D0CFC">
        <w:rPr>
          <w:rFonts w:eastAsia="Times New Roman" w:cs="Arial"/>
          <w:color w:val="000000"/>
          <w:lang w:eastAsia="bg-BG"/>
        </w:rPr>
        <w:t>(МАС), общата активност към този патоген може да бъде нарушена; затова трябва да се имат предвид алтернативи на Клацид за лечение на МАС.</w:t>
      </w:r>
    </w:p>
    <w:p w14:paraId="4A8E76C8" w14:textId="77777777" w:rsidR="000D0CFC" w:rsidRPr="000D0CFC" w:rsidRDefault="000D0CFC" w:rsidP="000D0CFC">
      <w:pPr>
        <w:spacing w:line="240" w:lineRule="auto"/>
        <w:rPr>
          <w:rFonts w:eastAsia="Times New Roman" w:cs="Arial"/>
          <w:color w:val="000000"/>
          <w:u w:val="single"/>
          <w:lang w:eastAsia="bg-BG"/>
        </w:rPr>
      </w:pPr>
    </w:p>
    <w:p w14:paraId="49921F12" w14:textId="76A8F366"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Флуконазол</w:t>
      </w:r>
    </w:p>
    <w:p w14:paraId="05BED155"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Едновременното приложение на флуконазол 200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дневно и Клацид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два пъти дневно при 21 здрави доброволци е довело до повишаване на средните минимални равновесни концентрации </w:t>
      </w:r>
      <w:r w:rsidRPr="000D0CFC">
        <w:rPr>
          <w:rFonts w:eastAsia="Times New Roman" w:cs="Arial"/>
          <w:color w:val="000000"/>
          <w:lang w:val="ru-RU"/>
        </w:rPr>
        <w:t>(</w:t>
      </w:r>
      <w:proofErr w:type="spellStart"/>
      <w:r w:rsidRPr="000D0CFC">
        <w:rPr>
          <w:rFonts w:eastAsia="Times New Roman" w:cs="Arial"/>
          <w:color w:val="000000"/>
          <w:lang w:val="en-US"/>
        </w:rPr>
        <w:t>C</w:t>
      </w:r>
      <w:r w:rsidRPr="000D0CFC">
        <w:rPr>
          <w:rFonts w:eastAsia="Times New Roman" w:cs="Arial"/>
          <w:color w:val="000000"/>
          <w:vertAlign w:val="subscript"/>
          <w:lang w:val="en-US"/>
        </w:rPr>
        <w:t>min</w:t>
      </w:r>
      <w:proofErr w:type="spellEnd"/>
      <w:r w:rsidRPr="000D0CFC">
        <w:rPr>
          <w:rFonts w:eastAsia="Times New Roman" w:cs="Arial"/>
          <w:color w:val="000000"/>
          <w:lang w:val="ru-RU"/>
        </w:rPr>
        <w:t xml:space="preserve">) </w:t>
      </w:r>
      <w:r w:rsidRPr="000D0CFC">
        <w:rPr>
          <w:rFonts w:eastAsia="Times New Roman" w:cs="Arial"/>
          <w:color w:val="000000"/>
          <w:lang w:eastAsia="bg-BG"/>
        </w:rPr>
        <w:t xml:space="preserve">на Клацид и площа под кривата </w:t>
      </w:r>
      <w:r w:rsidRPr="000D0CFC">
        <w:rPr>
          <w:rFonts w:eastAsia="Times New Roman" w:cs="Arial"/>
          <w:color w:val="000000"/>
          <w:lang w:val="ru-RU"/>
        </w:rPr>
        <w:t>(</w:t>
      </w:r>
      <w:r w:rsidRPr="000D0CFC">
        <w:rPr>
          <w:rFonts w:eastAsia="Times New Roman" w:cs="Arial"/>
          <w:color w:val="000000"/>
          <w:lang w:val="en-US"/>
        </w:rPr>
        <w:t>AUC</w:t>
      </w:r>
      <w:r w:rsidRPr="000D0CFC">
        <w:rPr>
          <w:rFonts w:eastAsia="Times New Roman" w:cs="Arial"/>
          <w:color w:val="000000"/>
          <w:lang w:val="ru-RU"/>
        </w:rPr>
        <w:t xml:space="preserve">), </w:t>
      </w:r>
      <w:r w:rsidRPr="000D0CFC">
        <w:rPr>
          <w:rFonts w:eastAsia="Times New Roman" w:cs="Arial"/>
          <w:color w:val="000000"/>
          <w:lang w:eastAsia="bg-BG"/>
        </w:rPr>
        <w:t>съответно с 33% и 18%. Равновесните концентрации на активния метаболит 14-ОН-кларитромицин не са променени значително при едновременното приложение с флуконазол. Не се налага адаптиране на дозата на Клацид.</w:t>
      </w:r>
    </w:p>
    <w:p w14:paraId="5B2D5F2C" w14:textId="77777777" w:rsidR="000D0CFC" w:rsidRPr="000D0CFC" w:rsidRDefault="000D0CFC" w:rsidP="000D0CFC">
      <w:pPr>
        <w:spacing w:line="240" w:lineRule="auto"/>
        <w:rPr>
          <w:rFonts w:eastAsia="Times New Roman" w:cs="Arial"/>
          <w:color w:val="000000"/>
          <w:u w:val="single"/>
          <w:lang w:eastAsia="bg-BG"/>
        </w:rPr>
      </w:pPr>
    </w:p>
    <w:p w14:paraId="04714A8D" w14:textId="0DADAF5E"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Ритонавир</w:t>
      </w:r>
    </w:p>
    <w:p w14:paraId="0945BE32"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lastRenderedPageBreak/>
        <w:t>Фармакокинетично проучване е демонстрирало, че едновременно приемане на ритонавир 200</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на всеки 8 часа и Клацид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на всеки 12 часа е довело</w:t>
      </w:r>
      <w:r w:rsidRPr="000D0CFC">
        <w:rPr>
          <w:rFonts w:eastAsia="Times New Roman" w:cs="Arial"/>
          <w:color w:val="000000"/>
          <w:lang w:val="ru-RU"/>
        </w:rPr>
        <w:t xml:space="preserve"> </w:t>
      </w:r>
      <w:r w:rsidRPr="000D0CFC">
        <w:rPr>
          <w:rFonts w:eastAsia="Times New Roman" w:cs="Arial"/>
          <w:color w:val="000000"/>
          <w:lang w:eastAsia="bg-BG"/>
        </w:rPr>
        <w:t>до значително потискане на</w:t>
      </w:r>
    </w:p>
    <w:p w14:paraId="539E35C4"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метаболизма на Клацид. Максималната концентрация (С</w:t>
      </w:r>
      <w:r w:rsidRPr="000D0CFC">
        <w:rPr>
          <w:rFonts w:eastAsia="Times New Roman" w:cs="Arial"/>
          <w:color w:val="000000"/>
          <w:vertAlign w:val="subscript"/>
          <w:lang w:val="en-US"/>
        </w:rPr>
        <w:t>max</w:t>
      </w:r>
      <w:r w:rsidRPr="000D0CFC">
        <w:rPr>
          <w:rFonts w:eastAsia="Times New Roman" w:cs="Arial"/>
          <w:color w:val="000000"/>
          <w:lang w:val="ru-RU"/>
        </w:rPr>
        <w:t xml:space="preserve">) </w:t>
      </w:r>
      <w:r w:rsidRPr="000D0CFC">
        <w:rPr>
          <w:rFonts w:eastAsia="Times New Roman" w:cs="Arial"/>
          <w:color w:val="000000"/>
          <w:lang w:eastAsia="bg-BG"/>
        </w:rPr>
        <w:t xml:space="preserve">на Клацид се повишава с 31%, </w:t>
      </w:r>
      <w:proofErr w:type="spellStart"/>
      <w:r w:rsidRPr="000D0CFC">
        <w:rPr>
          <w:rFonts w:eastAsia="Times New Roman" w:cs="Arial"/>
          <w:color w:val="000000"/>
          <w:lang w:val="en-US"/>
        </w:rPr>
        <w:t>C</w:t>
      </w:r>
      <w:r w:rsidRPr="000D0CFC">
        <w:rPr>
          <w:rFonts w:eastAsia="Times New Roman" w:cs="Arial"/>
          <w:color w:val="000000"/>
          <w:vertAlign w:val="subscript"/>
          <w:lang w:val="en-US"/>
        </w:rPr>
        <w:t>min</w:t>
      </w:r>
      <w:proofErr w:type="spellEnd"/>
      <w:r w:rsidRPr="000D0CFC">
        <w:rPr>
          <w:rFonts w:eastAsia="Times New Roman" w:cs="Arial"/>
          <w:color w:val="000000"/>
          <w:lang w:val="ru-RU"/>
        </w:rPr>
        <w:t xml:space="preserve"> </w:t>
      </w:r>
      <w:r w:rsidRPr="000D0CFC">
        <w:rPr>
          <w:rFonts w:eastAsia="Times New Roman" w:cs="Arial"/>
          <w:color w:val="000000"/>
          <w:lang w:eastAsia="bg-BG"/>
        </w:rPr>
        <w:t>се</w:t>
      </w:r>
    </w:p>
    <w:p w14:paraId="7781837B"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повишава с 182% и </w:t>
      </w:r>
      <w:r w:rsidRPr="000D0CFC">
        <w:rPr>
          <w:rFonts w:eastAsia="Times New Roman" w:cs="Arial"/>
          <w:color w:val="000000"/>
          <w:lang w:val="en-US"/>
        </w:rPr>
        <w:t>AUC</w:t>
      </w:r>
      <w:r w:rsidRPr="000D0CFC">
        <w:rPr>
          <w:rFonts w:eastAsia="Times New Roman" w:cs="Arial"/>
          <w:color w:val="000000"/>
          <w:lang w:val="ru-RU"/>
        </w:rPr>
        <w:t xml:space="preserve"> </w:t>
      </w:r>
      <w:r w:rsidRPr="000D0CFC">
        <w:rPr>
          <w:rFonts w:eastAsia="Times New Roman" w:cs="Arial"/>
          <w:color w:val="000000"/>
          <w:lang w:eastAsia="bg-BG"/>
        </w:rPr>
        <w:t>- със 77% при едновременно приемане на ритонавир. Наблюдавано е</w:t>
      </w:r>
    </w:p>
    <w:p w14:paraId="3E9DF960"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пълно потискане на образуването на 14-ОН-кларитромицин. Поради широкия терапевтичен прозорец на Клацид, при пациенти с нормална бъбречна функция не се налага намаляване на дозата. Въпреки това, при пациенти с бъбречно увреждане, трябва да се обмисли следното: при</w:t>
      </w:r>
    </w:p>
    <w:p w14:paraId="7501CF12" w14:textId="0AA9EEB6" w:rsidR="000D0CFC" w:rsidRPr="000D0CFC" w:rsidRDefault="000D0CFC" w:rsidP="000D0CFC">
      <w:pPr>
        <w:rPr>
          <w:rFonts w:eastAsia="Times New Roman" w:cs="Arial"/>
          <w:color w:val="000000"/>
          <w:lang w:eastAsia="bg-BG"/>
        </w:rPr>
      </w:pPr>
      <w:r w:rsidRPr="000D0CFC">
        <w:rPr>
          <w:rFonts w:eastAsia="Times New Roman" w:cs="Arial"/>
          <w:color w:val="000000"/>
          <w:lang w:eastAsia="bg-BG"/>
        </w:rPr>
        <w:t xml:space="preserve">пациенти с креатининов клирънс от 30 до 60 </w:t>
      </w:r>
      <w:r w:rsidRPr="000D0CFC">
        <w:rPr>
          <w:rFonts w:eastAsia="Times New Roman" w:cs="Arial"/>
          <w:color w:val="000000"/>
          <w:lang w:val="en-US"/>
        </w:rPr>
        <w:t>ml</w:t>
      </w:r>
      <w:r w:rsidRPr="000D0CFC">
        <w:rPr>
          <w:rFonts w:eastAsia="Times New Roman" w:cs="Arial"/>
          <w:color w:val="000000"/>
          <w:lang w:val="ru-RU"/>
        </w:rPr>
        <w:t>/</w:t>
      </w:r>
      <w:r w:rsidRPr="000D0CFC">
        <w:rPr>
          <w:rFonts w:eastAsia="Times New Roman" w:cs="Arial"/>
          <w:color w:val="000000"/>
          <w:lang w:val="en-US"/>
        </w:rPr>
        <w:t>min</w:t>
      </w:r>
      <w:r w:rsidRPr="000D0CFC">
        <w:rPr>
          <w:rFonts w:eastAsia="Times New Roman" w:cs="Arial"/>
          <w:color w:val="000000"/>
          <w:lang w:val="ru-RU"/>
        </w:rPr>
        <w:t xml:space="preserve"> </w:t>
      </w:r>
      <w:r w:rsidRPr="000D0CFC">
        <w:rPr>
          <w:rFonts w:eastAsia="Times New Roman" w:cs="Arial"/>
          <w:color w:val="000000"/>
          <w:lang w:eastAsia="bg-BG"/>
        </w:rPr>
        <w:t>дозата на Клацид трябва да се намали с 50%.</w:t>
      </w:r>
    </w:p>
    <w:p w14:paraId="34377F67" w14:textId="501F709A" w:rsidR="000D0CFC" w:rsidRPr="000D0CFC" w:rsidRDefault="000D0CFC" w:rsidP="000D0CFC">
      <w:pPr>
        <w:rPr>
          <w:rFonts w:eastAsia="Times New Roman" w:cs="Arial"/>
          <w:color w:val="000000"/>
          <w:lang w:eastAsia="bg-BG"/>
        </w:rPr>
      </w:pPr>
    </w:p>
    <w:p w14:paraId="3D01A06C"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При пациенти с креатининов клирън &lt; 30 </w:t>
      </w:r>
      <w:r w:rsidRPr="000D0CFC">
        <w:rPr>
          <w:rFonts w:eastAsia="Times New Roman" w:cs="Arial"/>
          <w:color w:val="000000"/>
          <w:lang w:val="en-US"/>
        </w:rPr>
        <w:t>ml</w:t>
      </w:r>
      <w:r w:rsidRPr="000D0CFC">
        <w:rPr>
          <w:rFonts w:eastAsia="Times New Roman" w:cs="Arial"/>
          <w:color w:val="000000"/>
          <w:lang w:val="ru-RU"/>
        </w:rPr>
        <w:t>/</w:t>
      </w:r>
      <w:r w:rsidRPr="000D0CFC">
        <w:rPr>
          <w:rFonts w:eastAsia="Times New Roman" w:cs="Arial"/>
          <w:color w:val="000000"/>
          <w:lang w:val="en-US"/>
        </w:rPr>
        <w:t>min</w:t>
      </w:r>
      <w:r w:rsidRPr="000D0CFC">
        <w:rPr>
          <w:rFonts w:eastAsia="Times New Roman" w:cs="Arial"/>
          <w:color w:val="000000"/>
          <w:lang w:val="ru-RU"/>
        </w:rPr>
        <w:t xml:space="preserve"> </w:t>
      </w:r>
      <w:r w:rsidRPr="000D0CFC">
        <w:rPr>
          <w:rFonts w:eastAsia="Times New Roman" w:cs="Arial"/>
          <w:color w:val="000000"/>
          <w:lang w:eastAsia="bg-BG"/>
        </w:rPr>
        <w:t xml:space="preserve">дозата на Клацид трябва да се намали със 75%. Дози на Клацид по-високи от 1 </w:t>
      </w:r>
      <w:r w:rsidRPr="000D0CFC">
        <w:rPr>
          <w:rFonts w:eastAsia="Times New Roman" w:cs="Arial"/>
          <w:color w:val="000000"/>
          <w:lang w:val="en-US"/>
        </w:rPr>
        <w:t>g</w:t>
      </w:r>
      <w:r w:rsidRPr="000D0CFC">
        <w:rPr>
          <w:rFonts w:eastAsia="Times New Roman" w:cs="Arial"/>
          <w:color w:val="000000"/>
          <w:lang w:val="ru-RU"/>
        </w:rPr>
        <w:t xml:space="preserve"> </w:t>
      </w:r>
      <w:r w:rsidRPr="000D0CFC">
        <w:rPr>
          <w:rFonts w:eastAsia="Times New Roman" w:cs="Arial"/>
          <w:color w:val="000000"/>
          <w:lang w:eastAsia="bg-BG"/>
        </w:rPr>
        <w:t>дневно не трябва да се прилагат заедно с ритонавир.</w:t>
      </w:r>
    </w:p>
    <w:p w14:paraId="2A29522C" w14:textId="77777777" w:rsidR="000D0CFC" w:rsidRPr="000D0CFC" w:rsidRDefault="000D0CFC" w:rsidP="000D0CFC">
      <w:pPr>
        <w:spacing w:line="240" w:lineRule="auto"/>
        <w:rPr>
          <w:rFonts w:eastAsia="Times New Roman" w:cs="Arial"/>
          <w:color w:val="000000"/>
          <w:lang w:eastAsia="bg-BG"/>
        </w:rPr>
      </w:pPr>
    </w:p>
    <w:p w14:paraId="02741F1D" w14:textId="34C950B0"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Подобно адаптиране на дозата трябва да се има предвид при пациенти с намалена бъбречна функция, когато ритонавир се използва като фармакокинетичен подобрител с други </w:t>
      </w:r>
      <w:r w:rsidRPr="000D0CFC">
        <w:rPr>
          <w:rFonts w:eastAsia="Times New Roman" w:cs="Arial"/>
          <w:color w:val="000000"/>
          <w:lang w:val="en-US"/>
        </w:rPr>
        <w:t>HIV</w:t>
      </w:r>
      <w:r w:rsidRPr="000D0CFC">
        <w:rPr>
          <w:rFonts w:eastAsia="Times New Roman" w:cs="Arial"/>
          <w:color w:val="000000"/>
          <w:lang w:val="ru-RU"/>
        </w:rPr>
        <w:t xml:space="preserve"> </w:t>
      </w:r>
      <w:r w:rsidRPr="000D0CFC">
        <w:rPr>
          <w:rFonts w:eastAsia="Times New Roman" w:cs="Arial"/>
          <w:color w:val="000000"/>
          <w:lang w:eastAsia="bg-BG"/>
        </w:rPr>
        <w:t>протеазни инхибитори, включително атазанавир и саквинавир (вижте ,Двупосочни фармакокинетични взаимодействия“).</w:t>
      </w:r>
    </w:p>
    <w:p w14:paraId="7EE510FA" w14:textId="77777777" w:rsidR="000D0CFC" w:rsidRPr="000D0CFC" w:rsidRDefault="000D0CFC" w:rsidP="000D0CFC">
      <w:pPr>
        <w:spacing w:line="240" w:lineRule="auto"/>
        <w:rPr>
          <w:rFonts w:eastAsia="Times New Roman" w:cs="Arial"/>
          <w:i/>
          <w:iCs/>
          <w:color w:val="000000"/>
          <w:u w:val="single"/>
          <w:lang w:eastAsia="bg-BG"/>
        </w:rPr>
      </w:pPr>
    </w:p>
    <w:p w14:paraId="3BDA40C6" w14:textId="0928D7A2" w:rsidR="000D0CFC" w:rsidRPr="000D0CFC" w:rsidRDefault="000D0CFC" w:rsidP="000D0CFC">
      <w:pPr>
        <w:spacing w:line="240" w:lineRule="auto"/>
        <w:rPr>
          <w:rFonts w:eastAsia="Times New Roman" w:cs="Arial"/>
        </w:rPr>
      </w:pPr>
      <w:r w:rsidRPr="000D0CFC">
        <w:rPr>
          <w:rFonts w:eastAsia="Times New Roman" w:cs="Arial"/>
          <w:i/>
          <w:iCs/>
          <w:color w:val="000000"/>
          <w:u w:val="single"/>
          <w:lang w:eastAsia="bg-BG"/>
        </w:rPr>
        <w:t>Ефекти на Клацид върху други лекарства</w:t>
      </w:r>
    </w:p>
    <w:p w14:paraId="759C52FE" w14:textId="77777777" w:rsidR="000D0CFC" w:rsidRPr="000D0CFC" w:rsidRDefault="000D0CFC" w:rsidP="000D0CFC">
      <w:pPr>
        <w:spacing w:line="240" w:lineRule="auto"/>
        <w:rPr>
          <w:rFonts w:eastAsia="Times New Roman" w:cs="Arial"/>
          <w:color w:val="000000"/>
          <w:u w:val="single"/>
          <w:lang w:eastAsia="bg-BG"/>
        </w:rPr>
      </w:pPr>
    </w:p>
    <w:p w14:paraId="3EF3D056" w14:textId="3BB04D90"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Антиаритмици</w:t>
      </w:r>
    </w:p>
    <w:p w14:paraId="2A8C4D02"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Съществуват постмаркетингови съобщения за </w:t>
      </w:r>
      <w:proofErr w:type="spellStart"/>
      <w:r w:rsidRPr="000D0CFC">
        <w:rPr>
          <w:rFonts w:eastAsia="Times New Roman" w:cs="Arial"/>
          <w:i/>
          <w:iCs/>
          <w:color w:val="000000"/>
          <w:lang w:val="en-US"/>
        </w:rPr>
        <w:t>torsades</w:t>
      </w:r>
      <w:proofErr w:type="spellEnd"/>
      <w:r w:rsidRPr="000D0CFC">
        <w:rPr>
          <w:rFonts w:eastAsia="Times New Roman" w:cs="Arial"/>
          <w:i/>
          <w:iCs/>
          <w:color w:val="000000"/>
          <w:lang w:val="ru-RU"/>
        </w:rPr>
        <w:t xml:space="preserve"> </w:t>
      </w:r>
      <w:r w:rsidRPr="000D0CFC">
        <w:rPr>
          <w:rFonts w:eastAsia="Times New Roman" w:cs="Arial"/>
          <w:i/>
          <w:iCs/>
          <w:color w:val="000000"/>
          <w:lang w:val="en-US"/>
        </w:rPr>
        <w:t>de</w:t>
      </w:r>
      <w:r w:rsidRPr="000D0CFC">
        <w:rPr>
          <w:rFonts w:eastAsia="Times New Roman" w:cs="Arial"/>
          <w:i/>
          <w:iCs/>
          <w:color w:val="000000"/>
          <w:lang w:val="ru-RU"/>
        </w:rPr>
        <w:t xml:space="preserve"> </w:t>
      </w:r>
      <w:r w:rsidRPr="000D0CFC">
        <w:rPr>
          <w:rFonts w:eastAsia="Times New Roman" w:cs="Arial"/>
          <w:i/>
          <w:iCs/>
          <w:color w:val="000000"/>
          <w:lang w:val="en-US"/>
        </w:rPr>
        <w:t>pointes</w:t>
      </w:r>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 xml:space="preserve">настъпващи при едновременно приложение на Клацид и хинидин или дизопирамид. При едновременно прилагане на Клацид с тези лекарства, електрокардиограмите трябва да се наблюдават за удължаване на </w:t>
      </w:r>
      <w:r w:rsidRPr="000D0CFC">
        <w:rPr>
          <w:rFonts w:eastAsia="Times New Roman" w:cs="Arial"/>
          <w:color w:val="000000"/>
          <w:lang w:val="en-US"/>
        </w:rPr>
        <w:t>QT</w:t>
      </w:r>
      <w:r w:rsidRPr="000D0CFC">
        <w:rPr>
          <w:rFonts w:eastAsia="Times New Roman" w:cs="Arial"/>
          <w:color w:val="000000"/>
          <w:lang w:eastAsia="bg-BG"/>
        </w:rPr>
        <w:t>-интервала. По време на лечението трябва да се мониторират серумните нива на тези лекарства.</w:t>
      </w:r>
    </w:p>
    <w:p w14:paraId="0DB6DFB1" w14:textId="77777777" w:rsidR="000D0CFC" w:rsidRPr="000D0CFC" w:rsidRDefault="000D0CFC" w:rsidP="000D0CFC">
      <w:pPr>
        <w:spacing w:line="240" w:lineRule="auto"/>
        <w:rPr>
          <w:rFonts w:eastAsia="Times New Roman" w:cs="Arial"/>
          <w:color w:val="000000"/>
          <w:lang w:eastAsia="bg-BG"/>
        </w:rPr>
      </w:pPr>
    </w:p>
    <w:p w14:paraId="6373106E" w14:textId="400B5489" w:rsidR="000D0CFC" w:rsidRPr="000D0CFC" w:rsidRDefault="000D0CFC" w:rsidP="000D0CFC">
      <w:pPr>
        <w:spacing w:line="240" w:lineRule="auto"/>
        <w:rPr>
          <w:rFonts w:eastAsia="Times New Roman" w:cs="Arial"/>
        </w:rPr>
      </w:pPr>
      <w:r w:rsidRPr="000D0CFC">
        <w:rPr>
          <w:rFonts w:eastAsia="Times New Roman" w:cs="Arial"/>
          <w:color w:val="000000"/>
          <w:lang w:eastAsia="bg-BG"/>
        </w:rPr>
        <w:t>Докладвани са постмаркетингови съобщения за хипогликемия при едновременно приложение на Клацид и дизопирамид. Следователно трябва да бъдат мониторирани нивата на кръвната захар при едновременното приложение на Клацид и дизопирамид.</w:t>
      </w:r>
    </w:p>
    <w:p w14:paraId="42D3525B" w14:textId="77777777" w:rsidR="000D0CFC" w:rsidRPr="000D0CFC" w:rsidRDefault="000D0CFC" w:rsidP="000D0CFC">
      <w:pPr>
        <w:spacing w:line="240" w:lineRule="auto"/>
        <w:rPr>
          <w:rFonts w:eastAsia="Times New Roman" w:cs="Arial"/>
          <w:color w:val="000000"/>
          <w:u w:val="single"/>
          <w:lang w:eastAsia="bg-BG"/>
        </w:rPr>
      </w:pPr>
    </w:p>
    <w:p w14:paraId="504A2979" w14:textId="7482390B"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Перорални хипогликемични лекарства/Инсулин</w:t>
      </w:r>
    </w:p>
    <w:p w14:paraId="4825D4CF"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При някои хипогликемични лекарства като натеглинид и репаглинид може да се включи инхибиция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ензими от Клацид и това може да причини хипогликемия при едновременно приемане. Препоръчва се внимателно проследяване на нивата на глюкозата.</w:t>
      </w:r>
    </w:p>
    <w:p w14:paraId="6D767563" w14:textId="77777777" w:rsidR="000D0CFC" w:rsidRPr="000D0CFC" w:rsidRDefault="000D0CFC" w:rsidP="000D0CFC">
      <w:pPr>
        <w:spacing w:line="240" w:lineRule="auto"/>
        <w:rPr>
          <w:rFonts w:eastAsia="Times New Roman" w:cs="Arial"/>
          <w:color w:val="000000"/>
          <w:u w:val="single"/>
          <w:lang w:eastAsia="bg-BG"/>
        </w:rPr>
      </w:pPr>
    </w:p>
    <w:p w14:paraId="6E61D879" w14:textId="3946D56C"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 xml:space="preserve">Взаимодействия, базирани на </w:t>
      </w:r>
      <w:r w:rsidRPr="000D0CFC">
        <w:rPr>
          <w:rFonts w:eastAsia="Times New Roman" w:cs="Arial"/>
          <w:color w:val="000000"/>
          <w:u w:val="single"/>
          <w:lang w:val="en-US"/>
        </w:rPr>
        <w:t>CYP</w:t>
      </w:r>
      <w:r w:rsidRPr="000D0CFC">
        <w:rPr>
          <w:rFonts w:eastAsia="Times New Roman" w:cs="Arial"/>
          <w:color w:val="000000"/>
          <w:u w:val="single"/>
          <w:lang w:val="ru-RU"/>
        </w:rPr>
        <w:t>3</w:t>
      </w:r>
      <w:r w:rsidRPr="000D0CFC">
        <w:rPr>
          <w:rFonts w:eastAsia="Times New Roman" w:cs="Arial"/>
          <w:color w:val="000000"/>
          <w:u w:val="single"/>
          <w:lang w:eastAsia="bg-BG"/>
        </w:rPr>
        <w:t>А</w:t>
      </w:r>
    </w:p>
    <w:p w14:paraId="3ABA7A8A"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Едновременното приложение на Клацид, за който е известно, че инхибира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и лекарства, метаболизирани основно от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може да доведе до повишаване концентрациите на тези лекарства, което да повиши или удължи, както терапевтичния, така и нежеланите ефекти на едновременно прилаганото лекарство. Необходимо е внимание, когато Клацид се прилага едновременно с други лекарства, за които се знае, че са субстрати на ензим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особено ако субстрата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има тесни терапевтични граници (напр. карбамазепин) и/или субстрата се метаболизира екстензивно от този ензим. Може да се обмисли корекция на дозата, и когато е възможно, </w:t>
      </w:r>
      <w:r w:rsidRPr="000D0CFC">
        <w:rPr>
          <w:rFonts w:eastAsia="Times New Roman" w:cs="Arial"/>
          <w:color w:val="000000"/>
          <w:lang w:eastAsia="bg-BG"/>
        </w:rPr>
        <w:lastRenderedPageBreak/>
        <w:t xml:space="preserve">да се проследяват внимателно серумните концентрации на лекарствата, които се метаболизират от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при пациенти, които получават едновременно кларитромицин.</w:t>
      </w:r>
    </w:p>
    <w:p w14:paraId="1F3B1950" w14:textId="77777777" w:rsidR="000D0CFC" w:rsidRPr="000D0CFC" w:rsidRDefault="000D0CFC" w:rsidP="000D0CFC">
      <w:pPr>
        <w:spacing w:line="240" w:lineRule="auto"/>
        <w:rPr>
          <w:rFonts w:eastAsia="Times New Roman" w:cs="Arial"/>
          <w:color w:val="000000"/>
          <w:lang w:eastAsia="bg-BG"/>
        </w:rPr>
      </w:pPr>
    </w:p>
    <w:p w14:paraId="1EFBDF38" w14:textId="6EC88FA2" w:rsidR="000D0CFC" w:rsidRPr="000D0CFC" w:rsidRDefault="000D0CFC" w:rsidP="000D0CFC">
      <w:pPr>
        <w:spacing w:line="240" w:lineRule="auto"/>
        <w:rPr>
          <w:rFonts w:eastAsia="Times New Roman" w:cs="Arial"/>
        </w:rPr>
      </w:pPr>
      <w:r w:rsidRPr="000D0CFC">
        <w:rPr>
          <w:rFonts w:eastAsia="Times New Roman" w:cs="Arial"/>
          <w:color w:val="000000"/>
          <w:lang w:eastAsia="bg-BG"/>
        </w:rPr>
        <w:t>Съпътстващото приложение на кларитромицин и ломитапид е противопоказано поради възможността за значително повишаване на трансаминазите (вж. точка 4.3).</w:t>
      </w:r>
    </w:p>
    <w:p w14:paraId="0D25660C" w14:textId="77777777" w:rsidR="000D0CFC" w:rsidRPr="000D0CFC" w:rsidRDefault="000D0CFC" w:rsidP="000D0CFC">
      <w:pPr>
        <w:spacing w:line="240" w:lineRule="auto"/>
        <w:rPr>
          <w:rFonts w:eastAsia="Times New Roman" w:cs="Arial"/>
          <w:color w:val="000000"/>
          <w:lang w:eastAsia="bg-BG"/>
        </w:rPr>
      </w:pPr>
    </w:p>
    <w:p w14:paraId="3FAF2E14" w14:textId="76B15C0D"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За следните лекарства или лекарствени класове се знае или се предполага, че се метаболизират от същия </w:t>
      </w:r>
      <w:r w:rsidRPr="000D0CFC">
        <w:rPr>
          <w:rFonts w:eastAsia="Times New Roman" w:cs="Arial"/>
          <w:color w:val="000000"/>
          <w:lang w:val="en-US"/>
        </w:rPr>
        <w:t>CYP</w:t>
      </w:r>
      <w:r w:rsidRPr="000D0CFC">
        <w:rPr>
          <w:rFonts w:eastAsia="Times New Roman" w:cs="Arial"/>
          <w:color w:val="000000"/>
        </w:rPr>
        <w:t>3</w:t>
      </w:r>
      <w:r w:rsidRPr="000D0CFC">
        <w:rPr>
          <w:rFonts w:eastAsia="Times New Roman" w:cs="Arial"/>
          <w:color w:val="000000"/>
          <w:lang w:val="en-US"/>
        </w:rPr>
        <w:t>A</w:t>
      </w:r>
      <w:r w:rsidRPr="000D0CFC">
        <w:rPr>
          <w:rFonts w:eastAsia="Times New Roman" w:cs="Arial"/>
          <w:color w:val="000000"/>
        </w:rPr>
        <w:t xml:space="preserve"> </w:t>
      </w:r>
      <w:r w:rsidRPr="000D0CFC">
        <w:rPr>
          <w:rFonts w:eastAsia="Times New Roman" w:cs="Arial"/>
          <w:color w:val="000000"/>
          <w:lang w:eastAsia="bg-BG"/>
        </w:rPr>
        <w:t>изоензим: алпразолам, астемизол, карбамазепин, цилостазол, цизаприд, циклоспорин, дизопирамид, домперидон, ерго алкалоиди, ибрутиниб, ломитапид, ловастатин, метилпреднизолон, мидазолам, омепразол, перорални антикоагуланти (напр. варфарин, ривароксабан, апиксабан), атипични антипсихотици (напр. кветиапин), пимозид, хинидин, рифабутин, силденафил, симвастатин, такролимус, терфенадин, тиазолам и винбластин, като този списък не е пълен.</w:t>
      </w:r>
    </w:p>
    <w:p w14:paraId="059D1814" w14:textId="77777777" w:rsidR="000D0CFC" w:rsidRPr="000D0CFC" w:rsidRDefault="000D0CFC" w:rsidP="000D0CFC">
      <w:pPr>
        <w:spacing w:line="240" w:lineRule="auto"/>
        <w:rPr>
          <w:rFonts w:eastAsia="Times New Roman" w:cs="Arial"/>
          <w:color w:val="000000"/>
          <w:lang w:eastAsia="bg-BG"/>
        </w:rPr>
      </w:pPr>
    </w:p>
    <w:p w14:paraId="3E877AB9" w14:textId="6EEC9856" w:rsidR="000D0CFC" w:rsidRPr="000D0CFC" w:rsidRDefault="000D0CFC" w:rsidP="000D0CFC">
      <w:pPr>
        <w:spacing w:line="240" w:lineRule="auto"/>
        <w:rPr>
          <w:rFonts w:eastAsia="Times New Roman" w:cs="Arial"/>
        </w:rPr>
      </w:pPr>
      <w:r w:rsidRPr="000D0CFC">
        <w:rPr>
          <w:rFonts w:eastAsia="Times New Roman" w:cs="Arial"/>
          <w:color w:val="000000"/>
          <w:lang w:eastAsia="bg-BG"/>
        </w:rPr>
        <w:t>Лекарства, които взаимодействат чрез подобни механизми с други изоензими от цитохром Р450 системата, са фенитоин, теофилин и валпроат.</w:t>
      </w:r>
    </w:p>
    <w:p w14:paraId="25920C3F" w14:textId="77777777" w:rsidR="000D0CFC" w:rsidRPr="000D0CFC" w:rsidRDefault="000D0CFC" w:rsidP="000D0CFC">
      <w:pPr>
        <w:spacing w:line="240" w:lineRule="auto"/>
        <w:rPr>
          <w:rFonts w:eastAsia="Times New Roman" w:cs="Arial"/>
          <w:color w:val="000000"/>
          <w:u w:val="single"/>
          <w:lang w:eastAsia="bg-BG"/>
        </w:rPr>
      </w:pPr>
    </w:p>
    <w:p w14:paraId="6E7BF3A8" w14:textId="2CCBE80D"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 xml:space="preserve">Директно действащи перорални антикоагуланти </w:t>
      </w:r>
      <w:r w:rsidRPr="000D0CFC">
        <w:rPr>
          <w:rFonts w:eastAsia="Times New Roman" w:cs="Arial"/>
          <w:color w:val="000000"/>
          <w:u w:val="single"/>
          <w:lang w:val="ru-RU"/>
        </w:rPr>
        <w:t>(</w:t>
      </w:r>
      <w:r w:rsidRPr="000D0CFC">
        <w:rPr>
          <w:rFonts w:eastAsia="Times New Roman" w:cs="Arial"/>
          <w:color w:val="000000"/>
          <w:u w:val="single"/>
          <w:lang w:val="en-US"/>
        </w:rPr>
        <w:t>DOAC</w:t>
      </w:r>
      <w:r w:rsidRPr="000D0CFC">
        <w:rPr>
          <w:rFonts w:eastAsia="Times New Roman" w:cs="Arial"/>
          <w:color w:val="000000"/>
          <w:u w:val="single"/>
          <w:lang w:val="ru-RU"/>
        </w:rPr>
        <w:t>)</w:t>
      </w:r>
    </w:p>
    <w:p w14:paraId="612FAA25" w14:textId="0E421A7C" w:rsidR="000D0CFC" w:rsidRPr="000D0CFC" w:rsidRDefault="000D0CFC" w:rsidP="000D0CFC">
      <w:pPr>
        <w:rPr>
          <w:rFonts w:eastAsia="Times New Roman" w:cs="Arial"/>
          <w:color w:val="000000"/>
          <w:lang w:eastAsia="bg-BG"/>
        </w:rPr>
      </w:pPr>
      <w:r w:rsidRPr="000D0CFC">
        <w:rPr>
          <w:rFonts w:eastAsia="Times New Roman" w:cs="Arial"/>
          <w:color w:val="000000"/>
          <w:lang w:eastAsia="bg-BG"/>
        </w:rPr>
        <w:t>Директно действащият перорален антикоагулант дабигатран е субстрат за ефлуксния транспортер</w:t>
      </w:r>
      <w:r w:rsidRPr="000D0CFC">
        <w:rPr>
          <w:rFonts w:eastAsia="Times New Roman" w:cs="Arial"/>
          <w:color w:val="000000"/>
          <w:lang w:val="ru-RU"/>
        </w:rPr>
        <w:t xml:space="preserve"> </w:t>
      </w:r>
      <w:r w:rsidRPr="000D0CFC">
        <w:rPr>
          <w:rFonts w:eastAsia="Times New Roman" w:cs="Arial"/>
          <w:color w:val="000000"/>
          <w:lang w:val="en-US"/>
        </w:rPr>
        <w:t>P</w:t>
      </w:r>
      <w:r w:rsidRPr="000D0CFC">
        <w:rPr>
          <w:rFonts w:eastAsia="Times New Roman" w:cs="Arial"/>
          <w:color w:val="000000"/>
          <w:lang w:val="ru-RU"/>
        </w:rPr>
        <w:t>-</w:t>
      </w:r>
      <w:proofErr w:type="spellStart"/>
      <w:r w:rsidRPr="000D0CFC">
        <w:rPr>
          <w:rFonts w:eastAsia="Times New Roman" w:cs="Arial"/>
          <w:color w:val="000000"/>
          <w:lang w:val="en-US"/>
        </w:rPr>
        <w:t>gp</w:t>
      </w:r>
      <w:proofErr w:type="spellEnd"/>
      <w:r w:rsidRPr="000D0CFC">
        <w:rPr>
          <w:rFonts w:eastAsia="Times New Roman" w:cs="Arial"/>
          <w:color w:val="000000"/>
          <w:lang w:val="ru-RU"/>
        </w:rPr>
        <w:t xml:space="preserve">. </w:t>
      </w:r>
      <w:r w:rsidRPr="000D0CFC">
        <w:rPr>
          <w:rFonts w:eastAsia="Times New Roman" w:cs="Arial"/>
          <w:color w:val="000000"/>
          <w:lang w:eastAsia="bg-BG"/>
        </w:rPr>
        <w:t xml:space="preserve">Ривароксабан и апиксабан се метаболизират чрез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4 </w:t>
      </w:r>
      <w:r w:rsidRPr="000D0CFC">
        <w:rPr>
          <w:rFonts w:eastAsia="Times New Roman" w:cs="Arial"/>
          <w:color w:val="000000"/>
          <w:lang w:eastAsia="bg-BG"/>
        </w:rPr>
        <w:t xml:space="preserve">и също са субстрати за </w:t>
      </w:r>
      <w:r w:rsidRPr="000D0CFC">
        <w:rPr>
          <w:rFonts w:eastAsia="Times New Roman" w:cs="Arial"/>
          <w:color w:val="000000"/>
          <w:lang w:val="en-US"/>
        </w:rPr>
        <w:t>P</w:t>
      </w:r>
      <w:r w:rsidRPr="000D0CFC">
        <w:rPr>
          <w:rFonts w:eastAsia="Times New Roman" w:cs="Arial"/>
          <w:color w:val="000000"/>
          <w:lang w:val="ru-RU"/>
        </w:rPr>
        <w:t>-</w:t>
      </w:r>
      <w:proofErr w:type="spellStart"/>
      <w:r w:rsidRPr="000D0CFC">
        <w:rPr>
          <w:rFonts w:eastAsia="Times New Roman" w:cs="Arial"/>
          <w:color w:val="000000"/>
          <w:lang w:val="en-US"/>
        </w:rPr>
        <w:t>gp</w:t>
      </w:r>
      <w:proofErr w:type="spellEnd"/>
      <w:r w:rsidRPr="000D0CFC">
        <w:rPr>
          <w:rFonts w:eastAsia="Times New Roman" w:cs="Arial"/>
          <w:color w:val="000000"/>
          <w:lang w:val="ru-RU"/>
        </w:rPr>
        <w:t xml:space="preserve">. </w:t>
      </w:r>
      <w:r w:rsidRPr="000D0CFC">
        <w:rPr>
          <w:rFonts w:eastAsia="Times New Roman" w:cs="Arial"/>
          <w:color w:val="000000"/>
          <w:lang w:eastAsia="bg-BG"/>
        </w:rPr>
        <w:t>Трябва да се обръща особено внимание, когато кларитромицин се прилага едновременно с тези средства, особено при пациенти с висок риск от кървене (вж. точка 4.4).</w:t>
      </w:r>
    </w:p>
    <w:p w14:paraId="18FEB8E0" w14:textId="7F073B31" w:rsidR="000D0CFC" w:rsidRPr="000D0CFC" w:rsidRDefault="000D0CFC" w:rsidP="000D0CFC">
      <w:pPr>
        <w:rPr>
          <w:rFonts w:eastAsia="Times New Roman" w:cs="Arial"/>
          <w:color w:val="000000"/>
          <w:lang w:eastAsia="bg-BG"/>
        </w:rPr>
      </w:pPr>
    </w:p>
    <w:p w14:paraId="21CAE008" w14:textId="77777777"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Омепразол</w:t>
      </w:r>
    </w:p>
    <w:p w14:paraId="7F0154C4"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Клацид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на всеки 8 часа) е прилаган в комбинация с омепразол (40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дневно) на здрави възрастни лица. Равновесните плазмени концентрации на омепразол се увеличават </w:t>
      </w:r>
      <w:r w:rsidRPr="000D0CFC">
        <w:rPr>
          <w:rFonts w:eastAsia="Times New Roman" w:cs="Arial"/>
          <w:color w:val="000000"/>
          <w:lang w:val="ru-RU"/>
        </w:rPr>
        <w:t>(</w:t>
      </w:r>
      <w:proofErr w:type="spellStart"/>
      <w:r w:rsidRPr="000D0CFC">
        <w:rPr>
          <w:rFonts w:eastAsia="Times New Roman" w:cs="Arial"/>
          <w:color w:val="000000"/>
          <w:lang w:val="en-US"/>
        </w:rPr>
        <w:t>C</w:t>
      </w:r>
      <w:r w:rsidRPr="000D0CFC">
        <w:rPr>
          <w:rFonts w:eastAsia="Times New Roman" w:cs="Arial"/>
          <w:color w:val="000000"/>
          <w:vertAlign w:val="subscript"/>
          <w:lang w:val="en-US"/>
        </w:rPr>
        <w:t>max</w:t>
      </w:r>
      <w:proofErr w:type="spellEnd"/>
      <w:r w:rsidRPr="000D0CFC">
        <w:rPr>
          <w:rFonts w:eastAsia="Times New Roman" w:cs="Arial"/>
          <w:color w:val="000000"/>
          <w:lang w:val="ru-RU"/>
        </w:rPr>
        <w:t xml:space="preserve">, </w:t>
      </w:r>
      <w:r w:rsidRPr="000D0CFC">
        <w:rPr>
          <w:rFonts w:eastAsia="Times New Roman" w:cs="Arial"/>
          <w:color w:val="000000"/>
          <w:lang w:val="en-US"/>
        </w:rPr>
        <w:t>AUC</w:t>
      </w:r>
      <w:r w:rsidRPr="000D0CFC">
        <w:rPr>
          <w:rFonts w:eastAsia="Times New Roman" w:cs="Arial"/>
          <w:color w:val="000000"/>
          <w:vertAlign w:val="subscript"/>
          <w:lang w:val="ru-RU"/>
        </w:rPr>
        <w:t>0-24</w:t>
      </w:r>
      <w:r w:rsidRPr="000D0CFC">
        <w:rPr>
          <w:rFonts w:eastAsia="Times New Roman" w:cs="Arial"/>
          <w:color w:val="000000"/>
          <w:lang w:val="ru-RU"/>
        </w:rPr>
        <w:t xml:space="preserve"> </w:t>
      </w:r>
      <w:r w:rsidRPr="000D0CFC">
        <w:rPr>
          <w:rFonts w:eastAsia="Times New Roman" w:cs="Arial"/>
          <w:color w:val="000000"/>
          <w:lang w:eastAsia="bg-BG"/>
        </w:rPr>
        <w:t xml:space="preserve">и </w:t>
      </w:r>
      <w:r w:rsidRPr="000D0CFC">
        <w:rPr>
          <w:rFonts w:eastAsia="Times New Roman" w:cs="Arial"/>
          <w:color w:val="000000"/>
          <w:lang w:val="en-US"/>
        </w:rPr>
        <w:t>t</w:t>
      </w:r>
      <w:r w:rsidRPr="000D0CFC">
        <w:rPr>
          <w:rFonts w:eastAsia="Times New Roman" w:cs="Arial"/>
          <w:color w:val="000000"/>
          <w:vertAlign w:val="subscript"/>
          <w:lang w:val="ru-RU"/>
        </w:rPr>
        <w:t>1/2</w:t>
      </w:r>
      <w:r w:rsidRPr="000D0CFC">
        <w:rPr>
          <w:rFonts w:eastAsia="Times New Roman" w:cs="Arial"/>
          <w:color w:val="000000"/>
          <w:lang w:val="ru-RU"/>
        </w:rPr>
        <w:t xml:space="preserve"> </w:t>
      </w:r>
      <w:r w:rsidRPr="000D0CFC">
        <w:rPr>
          <w:rFonts w:eastAsia="Times New Roman" w:cs="Arial"/>
          <w:color w:val="000000"/>
          <w:lang w:eastAsia="bg-BG"/>
        </w:rPr>
        <w:t xml:space="preserve">се увеличават с 30%, 89% и 34%, съответно) при едновременно прилагане на Клацид. Средната 24-часова стойност на </w:t>
      </w:r>
      <w:r w:rsidRPr="000D0CFC">
        <w:rPr>
          <w:rFonts w:eastAsia="Times New Roman" w:cs="Arial"/>
          <w:color w:val="000000"/>
          <w:lang w:val="en-US"/>
        </w:rPr>
        <w:t>pH</w:t>
      </w:r>
      <w:r w:rsidRPr="000D0CFC">
        <w:rPr>
          <w:rFonts w:eastAsia="Times New Roman" w:cs="Arial"/>
          <w:color w:val="000000"/>
          <w:lang w:val="ru-RU"/>
        </w:rPr>
        <w:t xml:space="preserve"> </w:t>
      </w:r>
      <w:r w:rsidRPr="000D0CFC">
        <w:rPr>
          <w:rFonts w:eastAsia="Times New Roman" w:cs="Arial"/>
          <w:color w:val="000000"/>
          <w:lang w:eastAsia="bg-BG"/>
        </w:rPr>
        <w:t>на стомаха е била 5,2, когато омепразол е бил прилаган самостоятелно и 5,7, когато омепразол е бил прилаган с Клацид.</w:t>
      </w:r>
    </w:p>
    <w:p w14:paraId="05824922" w14:textId="77777777" w:rsidR="000D0CFC" w:rsidRPr="000D0CFC" w:rsidRDefault="000D0CFC" w:rsidP="000D0CFC">
      <w:pPr>
        <w:spacing w:line="240" w:lineRule="auto"/>
        <w:rPr>
          <w:rFonts w:eastAsia="Times New Roman" w:cs="Arial"/>
          <w:color w:val="000000"/>
          <w:u w:val="single"/>
          <w:lang w:eastAsia="bg-BG"/>
        </w:rPr>
      </w:pPr>
    </w:p>
    <w:p w14:paraId="711DD671" w14:textId="4C702683"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Силденафил, тадалафил и варденафил</w:t>
      </w:r>
    </w:p>
    <w:p w14:paraId="20B894FB"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Всеки един от тези фосфодиестеразни инхибитори се метаболизира поне отчасти от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като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може да бъде инхибиран при едновременното приложение на Клацид. Едновременното приложение на Клацид със силденафил, тадалафил и варденафил, обикновено води до повишаване експозицията на фосфодиестеразния инхибитор. При едновременното приложение на силденафил, тадалафил и варденафил с Клацид трябва да се обмисли възможността за понижаване на тяхната доза.</w:t>
      </w:r>
    </w:p>
    <w:p w14:paraId="0F4EC2AF" w14:textId="77777777" w:rsidR="000D0CFC" w:rsidRPr="000D0CFC" w:rsidRDefault="000D0CFC" w:rsidP="000D0CFC">
      <w:pPr>
        <w:spacing w:line="240" w:lineRule="auto"/>
        <w:rPr>
          <w:rFonts w:eastAsia="Times New Roman" w:cs="Arial"/>
          <w:color w:val="000000"/>
          <w:u w:val="single"/>
          <w:lang w:eastAsia="bg-BG"/>
        </w:rPr>
      </w:pPr>
    </w:p>
    <w:p w14:paraId="64381242" w14:textId="723C5326"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Теофилин, карбамазепин</w:t>
      </w:r>
    </w:p>
    <w:p w14:paraId="56216D34"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Резултати от клинични проучвания показват, че съществува умерено, но статистическо значимо (р≤0.05) повишаване на нивата на циркулиращия теофилин или карбамазепин, когато едно от тези лекарства се прилага едновременно с Клацид.</w:t>
      </w:r>
    </w:p>
    <w:p w14:paraId="257D05E6" w14:textId="77777777" w:rsidR="000D0CFC" w:rsidRPr="000D0CFC" w:rsidRDefault="000D0CFC" w:rsidP="000D0CFC">
      <w:pPr>
        <w:spacing w:line="240" w:lineRule="auto"/>
        <w:rPr>
          <w:rFonts w:eastAsia="Times New Roman" w:cs="Arial"/>
          <w:color w:val="000000"/>
          <w:u w:val="single"/>
          <w:lang w:eastAsia="bg-BG"/>
        </w:rPr>
      </w:pPr>
    </w:p>
    <w:p w14:paraId="5B674E10" w14:textId="5B8F5A03"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Толтеродин</w:t>
      </w:r>
    </w:p>
    <w:p w14:paraId="252AA46A"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Метаболизмът на толтеродин се осъществява основно чрез </w:t>
      </w:r>
      <w:r w:rsidRPr="000D0CFC">
        <w:rPr>
          <w:rFonts w:eastAsia="Times New Roman" w:cs="Arial"/>
          <w:color w:val="000000"/>
          <w:lang w:val="ru-RU"/>
        </w:rPr>
        <w:t>2</w:t>
      </w:r>
      <w:r w:rsidRPr="000D0CFC">
        <w:rPr>
          <w:rFonts w:eastAsia="Times New Roman" w:cs="Arial"/>
          <w:color w:val="000000"/>
          <w:lang w:val="en-US"/>
        </w:rPr>
        <w:t>D</w:t>
      </w:r>
      <w:r w:rsidRPr="000D0CFC">
        <w:rPr>
          <w:rFonts w:eastAsia="Times New Roman" w:cs="Arial"/>
          <w:color w:val="000000"/>
          <w:lang w:val="ru-RU"/>
        </w:rPr>
        <w:t xml:space="preserve">6 </w:t>
      </w:r>
      <w:r w:rsidRPr="000D0CFC">
        <w:rPr>
          <w:rFonts w:eastAsia="Times New Roman" w:cs="Arial"/>
          <w:color w:val="000000"/>
          <w:lang w:eastAsia="bg-BG"/>
        </w:rPr>
        <w:t xml:space="preserve">изоформата на цитохром Р450 </w:t>
      </w:r>
      <w:r w:rsidRPr="000D0CFC">
        <w:rPr>
          <w:rFonts w:eastAsia="Times New Roman" w:cs="Arial"/>
          <w:color w:val="000000"/>
          <w:lang w:val="ru-RU"/>
        </w:rPr>
        <w:t>(</w:t>
      </w:r>
      <w:r w:rsidRPr="000D0CFC">
        <w:rPr>
          <w:rFonts w:eastAsia="Times New Roman" w:cs="Arial"/>
          <w:color w:val="000000"/>
          <w:lang w:val="en-US"/>
        </w:rPr>
        <w:t>CYP</w:t>
      </w:r>
      <w:r w:rsidRPr="000D0CFC">
        <w:rPr>
          <w:rFonts w:eastAsia="Times New Roman" w:cs="Arial"/>
          <w:color w:val="000000"/>
          <w:lang w:val="ru-RU"/>
        </w:rPr>
        <w:t>2</w:t>
      </w:r>
      <w:r w:rsidRPr="000D0CFC">
        <w:rPr>
          <w:rFonts w:eastAsia="Times New Roman" w:cs="Arial"/>
          <w:color w:val="000000"/>
          <w:lang w:val="en-US"/>
        </w:rPr>
        <w:t>D</w:t>
      </w:r>
      <w:r w:rsidRPr="000D0CFC">
        <w:rPr>
          <w:rFonts w:eastAsia="Times New Roman" w:cs="Arial"/>
          <w:color w:val="000000"/>
          <w:lang w:val="ru-RU"/>
        </w:rPr>
        <w:t xml:space="preserve">6). </w:t>
      </w:r>
      <w:r w:rsidRPr="000D0CFC">
        <w:rPr>
          <w:rFonts w:eastAsia="Times New Roman" w:cs="Arial"/>
          <w:color w:val="000000"/>
          <w:lang w:eastAsia="bg-BG"/>
        </w:rPr>
        <w:t xml:space="preserve">Въпреки това, при част от популацията с липса на </w:t>
      </w:r>
      <w:r w:rsidRPr="000D0CFC">
        <w:rPr>
          <w:rFonts w:eastAsia="Times New Roman" w:cs="Arial"/>
          <w:color w:val="000000"/>
          <w:lang w:val="en-US"/>
        </w:rPr>
        <w:t>CYP</w:t>
      </w:r>
      <w:r w:rsidRPr="000D0CFC">
        <w:rPr>
          <w:rFonts w:eastAsia="Times New Roman" w:cs="Arial"/>
          <w:color w:val="000000"/>
          <w:lang w:val="ru-RU"/>
        </w:rPr>
        <w:t>2</w:t>
      </w:r>
      <w:r w:rsidRPr="000D0CFC">
        <w:rPr>
          <w:rFonts w:eastAsia="Times New Roman" w:cs="Arial"/>
          <w:color w:val="000000"/>
          <w:lang w:val="en-US"/>
        </w:rPr>
        <w:t>D</w:t>
      </w:r>
      <w:r w:rsidRPr="000D0CFC">
        <w:rPr>
          <w:rFonts w:eastAsia="Times New Roman" w:cs="Arial"/>
          <w:color w:val="000000"/>
          <w:lang w:val="ru-RU"/>
        </w:rPr>
        <w:t xml:space="preserve">6, </w:t>
      </w:r>
      <w:r w:rsidRPr="000D0CFC">
        <w:rPr>
          <w:rFonts w:eastAsia="Times New Roman" w:cs="Arial"/>
          <w:color w:val="000000"/>
          <w:lang w:eastAsia="bg-BG"/>
        </w:rPr>
        <w:t xml:space="preserve">е установено че метаболизмът се извършва с помощта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При тази част от популацията, </w:t>
      </w:r>
      <w:r w:rsidRPr="000D0CFC">
        <w:rPr>
          <w:rFonts w:eastAsia="Times New Roman" w:cs="Arial"/>
          <w:color w:val="000000"/>
          <w:lang w:eastAsia="bg-BG"/>
        </w:rPr>
        <w:lastRenderedPageBreak/>
        <w:t xml:space="preserve">инхибирането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води до значително </w:t>
      </w:r>
      <w:r w:rsidRPr="000D0CFC">
        <w:rPr>
          <w:rFonts w:eastAsia="Times New Roman" w:cs="Arial"/>
          <w:i/>
          <w:iCs/>
          <w:color w:val="000000"/>
          <w:lang w:eastAsia="bg-BG"/>
        </w:rPr>
        <w:t>по-високи серумни</w:t>
      </w:r>
      <w:r w:rsidRPr="000D0CFC">
        <w:rPr>
          <w:rFonts w:eastAsia="Times New Roman" w:cs="Arial"/>
          <w:color w:val="000000"/>
          <w:lang w:eastAsia="bg-BG"/>
        </w:rPr>
        <w:t xml:space="preserve"> концентрации на толтеродин. Може да е необходимо намаляване дозата на толтеродин в присъствието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инхибитори, като Клацид при популацията на слабо метаболизиращи чрез </w:t>
      </w:r>
      <w:r w:rsidRPr="000D0CFC">
        <w:rPr>
          <w:rFonts w:eastAsia="Times New Roman" w:cs="Arial"/>
          <w:color w:val="000000"/>
          <w:lang w:val="en-US"/>
        </w:rPr>
        <w:t>CYP</w:t>
      </w:r>
      <w:r w:rsidRPr="000D0CFC">
        <w:rPr>
          <w:rFonts w:eastAsia="Times New Roman" w:cs="Arial"/>
          <w:color w:val="000000"/>
          <w:lang w:val="ru-RU"/>
        </w:rPr>
        <w:t>2</w:t>
      </w:r>
      <w:r w:rsidRPr="000D0CFC">
        <w:rPr>
          <w:rFonts w:eastAsia="Times New Roman" w:cs="Arial"/>
          <w:color w:val="000000"/>
          <w:lang w:val="en-US"/>
        </w:rPr>
        <w:t>D</w:t>
      </w:r>
      <w:r w:rsidRPr="000D0CFC">
        <w:rPr>
          <w:rFonts w:eastAsia="Times New Roman" w:cs="Arial"/>
          <w:color w:val="000000"/>
          <w:lang w:val="ru-RU"/>
        </w:rPr>
        <w:t>6.</w:t>
      </w:r>
    </w:p>
    <w:p w14:paraId="7654E392" w14:textId="77777777" w:rsidR="000D0CFC" w:rsidRPr="000D0CFC" w:rsidRDefault="000D0CFC" w:rsidP="000D0CFC">
      <w:pPr>
        <w:spacing w:line="240" w:lineRule="auto"/>
        <w:rPr>
          <w:rFonts w:eastAsia="Times New Roman" w:cs="Arial"/>
          <w:color w:val="000000"/>
          <w:u w:val="single"/>
          <w:lang w:eastAsia="bg-BG"/>
        </w:rPr>
      </w:pPr>
    </w:p>
    <w:p w14:paraId="6FF23FDC" w14:textId="4858161B"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Триазолбензодиазепини (напр. алпразолам. мидазолам, триазолам)</w:t>
      </w:r>
    </w:p>
    <w:p w14:paraId="3B88D475"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Когато мидазолам се прилага заедно с Клацид таблетки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два пъти дневно), </w:t>
      </w:r>
      <w:r w:rsidRPr="000D0CFC">
        <w:rPr>
          <w:rFonts w:eastAsia="Times New Roman" w:cs="Arial"/>
          <w:color w:val="000000"/>
          <w:lang w:val="en-US"/>
        </w:rPr>
        <w:t>AUC</w:t>
      </w:r>
      <w:r w:rsidRPr="000D0CFC">
        <w:rPr>
          <w:rFonts w:eastAsia="Times New Roman" w:cs="Arial"/>
          <w:color w:val="000000"/>
          <w:lang w:val="ru-RU"/>
        </w:rPr>
        <w:t xml:space="preserve"> </w:t>
      </w:r>
      <w:r w:rsidRPr="000D0CFC">
        <w:rPr>
          <w:rFonts w:eastAsia="Times New Roman" w:cs="Arial"/>
          <w:color w:val="000000"/>
          <w:lang w:eastAsia="bg-BG"/>
        </w:rPr>
        <w:t xml:space="preserve">на мидазолам е повишено 2,7-пъти след интравенозно приложение на мидазолам. </w:t>
      </w:r>
      <w:r w:rsidRPr="000D0CFC">
        <w:rPr>
          <w:rFonts w:eastAsia="Times New Roman" w:cs="Arial"/>
          <w:i/>
          <w:iCs/>
          <w:color w:val="000000"/>
          <w:lang w:eastAsia="bg-BG"/>
        </w:rPr>
        <w:t>При</w:t>
      </w:r>
      <w:r w:rsidRPr="000D0CFC">
        <w:rPr>
          <w:rFonts w:eastAsia="Times New Roman" w:cs="Arial"/>
          <w:color w:val="000000"/>
          <w:lang w:eastAsia="bg-BG"/>
        </w:rPr>
        <w:t xml:space="preserve"> интравенозно приложение на мидазолам с Клацид, пациентите трябва да бъдат редовно наблюдавани с оглед евентуална промяна на дозата. Приложението на мидазолам по оромукозен път, което може да заобиколи пресистемното елиминиране на лекарството, е по-вероятно да доведе до взаимодействие, подобно на наблюдаваното след интравенозно приложение на мидазолам, отколкото до взаимодействие, подобно на това след перорално приложение.</w:t>
      </w:r>
    </w:p>
    <w:p w14:paraId="13206E66" w14:textId="77777777" w:rsidR="000D0CFC" w:rsidRPr="000D0CFC" w:rsidRDefault="000D0CFC" w:rsidP="000D0CFC">
      <w:pPr>
        <w:spacing w:line="240" w:lineRule="auto"/>
        <w:rPr>
          <w:rFonts w:eastAsia="Times New Roman" w:cs="Arial"/>
          <w:color w:val="000000"/>
          <w:lang w:eastAsia="bg-BG"/>
        </w:rPr>
      </w:pPr>
    </w:p>
    <w:p w14:paraId="0B4B57F6" w14:textId="31AB491B"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Същите предпазни мерки трябва да се приложат и по отношение на другите бензодиазепини, метаболизирани от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включително триазолам и алпразолам. При бензодиазепините, чието елиминиране не е зависимо от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(темазепам, нитразепам, лоразепам) не се очаква клинично значимо взаимодействие с Клацид.</w:t>
      </w:r>
    </w:p>
    <w:p w14:paraId="4BDE3AAC" w14:textId="77777777" w:rsidR="000D0CFC" w:rsidRPr="000D0CFC" w:rsidRDefault="000D0CFC" w:rsidP="000D0CFC">
      <w:pPr>
        <w:spacing w:line="240" w:lineRule="auto"/>
        <w:rPr>
          <w:rFonts w:eastAsia="Times New Roman" w:cs="Arial"/>
          <w:color w:val="000000"/>
          <w:lang w:eastAsia="bg-BG"/>
        </w:rPr>
      </w:pPr>
    </w:p>
    <w:p w14:paraId="647A2878" w14:textId="5CDAAAFB" w:rsidR="000D0CFC" w:rsidRPr="000D0CFC" w:rsidRDefault="000D0CFC" w:rsidP="000D0CFC">
      <w:pPr>
        <w:spacing w:line="240" w:lineRule="auto"/>
        <w:rPr>
          <w:rFonts w:eastAsia="Times New Roman" w:cs="Arial"/>
        </w:rPr>
      </w:pPr>
      <w:r w:rsidRPr="000D0CFC">
        <w:rPr>
          <w:rFonts w:eastAsia="Times New Roman" w:cs="Arial"/>
          <w:color w:val="000000"/>
          <w:lang w:eastAsia="bg-BG"/>
        </w:rPr>
        <w:t>Има постмаркетингови съобщения за лекарствени взаимодействия и ефекти върху централната нервна система (ЦНС) (напр. сомнолентност и обърканост) при едновременното приложение на Клацид и триазолам. Препоръчва се проследяване на пациентите по отношение на повишаване на фармакологичните ефекти върху ЦНС.</w:t>
      </w:r>
    </w:p>
    <w:p w14:paraId="229F85BF" w14:textId="77777777" w:rsidR="000D0CFC" w:rsidRPr="000D0CFC" w:rsidRDefault="000D0CFC" w:rsidP="000D0CFC">
      <w:pPr>
        <w:spacing w:line="240" w:lineRule="auto"/>
        <w:rPr>
          <w:rFonts w:eastAsia="Times New Roman" w:cs="Arial"/>
          <w:b/>
          <w:bCs/>
          <w:i/>
          <w:iCs/>
          <w:color w:val="000000"/>
          <w:u w:val="single"/>
          <w:lang w:eastAsia="bg-BG"/>
        </w:rPr>
      </w:pPr>
    </w:p>
    <w:p w14:paraId="3D6F74F6" w14:textId="5E37ED82" w:rsidR="000D0CFC" w:rsidRPr="000D0CFC" w:rsidRDefault="000D0CFC" w:rsidP="000D0CFC">
      <w:pPr>
        <w:spacing w:line="240" w:lineRule="auto"/>
        <w:rPr>
          <w:rFonts w:eastAsia="Times New Roman" w:cs="Arial"/>
        </w:rPr>
      </w:pPr>
      <w:r w:rsidRPr="000D0CFC">
        <w:rPr>
          <w:rFonts w:eastAsia="Times New Roman" w:cs="Arial"/>
          <w:b/>
          <w:bCs/>
          <w:i/>
          <w:iCs/>
          <w:color w:val="000000"/>
          <w:u w:val="single"/>
          <w:lang w:eastAsia="bg-BG"/>
        </w:rPr>
        <w:t>Други лекарствени взаимодействия</w:t>
      </w:r>
    </w:p>
    <w:p w14:paraId="1AEFDA2F" w14:textId="77777777" w:rsidR="000D0CFC" w:rsidRPr="000D0CFC" w:rsidRDefault="000D0CFC" w:rsidP="000D0CFC">
      <w:pPr>
        <w:spacing w:line="240" w:lineRule="auto"/>
        <w:rPr>
          <w:rFonts w:eastAsia="Times New Roman" w:cs="Arial"/>
          <w:color w:val="000000"/>
          <w:u w:val="single"/>
          <w:lang w:eastAsia="bg-BG"/>
        </w:rPr>
      </w:pPr>
    </w:p>
    <w:p w14:paraId="77E6D462" w14:textId="277DAA02"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Колхицин</w:t>
      </w:r>
    </w:p>
    <w:p w14:paraId="5376D47D" w14:textId="7E91ED2D" w:rsidR="000D0CFC" w:rsidRPr="000D0CFC" w:rsidRDefault="000D0CFC" w:rsidP="000D0CFC">
      <w:pPr>
        <w:rPr>
          <w:rFonts w:eastAsia="Times New Roman" w:cs="Arial"/>
          <w:color w:val="000000"/>
          <w:lang w:eastAsia="bg-BG"/>
        </w:rPr>
      </w:pPr>
      <w:r w:rsidRPr="000D0CFC">
        <w:rPr>
          <w:rFonts w:eastAsia="Times New Roman" w:cs="Arial"/>
          <w:color w:val="000000"/>
          <w:lang w:eastAsia="bg-BG"/>
        </w:rPr>
        <w:t xml:space="preserve">Колхицин е субстрат както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така и на ефлуксния транспортер </w:t>
      </w:r>
      <w:r w:rsidRPr="000D0CFC">
        <w:rPr>
          <w:rFonts w:eastAsia="Times New Roman" w:cs="Arial"/>
          <w:color w:val="000000"/>
          <w:lang w:val="en-US"/>
        </w:rPr>
        <w:t>P</w:t>
      </w:r>
      <w:r w:rsidRPr="000D0CFC">
        <w:rPr>
          <w:rFonts w:eastAsia="Times New Roman" w:cs="Arial"/>
          <w:color w:val="000000"/>
          <w:lang w:val="ru-RU"/>
        </w:rPr>
        <w:t>-</w:t>
      </w:r>
      <w:r w:rsidRPr="000D0CFC">
        <w:rPr>
          <w:rFonts w:eastAsia="Times New Roman" w:cs="Arial"/>
          <w:color w:val="000000"/>
          <w:lang w:eastAsia="bg-BG"/>
        </w:rPr>
        <w:t>гликопротеин (</w:t>
      </w:r>
      <w:proofErr w:type="spellStart"/>
      <w:r w:rsidRPr="000D0CFC">
        <w:rPr>
          <w:rFonts w:eastAsia="Times New Roman" w:cs="Arial"/>
          <w:color w:val="000000"/>
          <w:lang w:val="en-US"/>
        </w:rPr>
        <w:t>Pgp</w:t>
      </w:r>
      <w:proofErr w:type="spellEnd"/>
      <w:r w:rsidRPr="000D0CFC">
        <w:rPr>
          <w:rFonts w:eastAsia="Times New Roman" w:cs="Arial"/>
          <w:color w:val="000000"/>
          <w:lang w:val="ru-RU"/>
        </w:rPr>
        <w:t xml:space="preserve">). </w:t>
      </w:r>
      <w:r w:rsidRPr="000D0CFC">
        <w:rPr>
          <w:rFonts w:eastAsia="Times New Roman" w:cs="Arial"/>
          <w:color w:val="000000"/>
          <w:lang w:eastAsia="bg-BG"/>
        </w:rPr>
        <w:t xml:space="preserve">Известно е, че Клацид и други макролиди са инхибитори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и </w:t>
      </w:r>
      <w:proofErr w:type="spellStart"/>
      <w:r w:rsidRPr="000D0CFC">
        <w:rPr>
          <w:rFonts w:eastAsia="Times New Roman" w:cs="Arial"/>
          <w:color w:val="000000"/>
          <w:lang w:val="en-US"/>
        </w:rPr>
        <w:t>Pgp</w:t>
      </w:r>
      <w:proofErr w:type="spellEnd"/>
      <w:r w:rsidRPr="000D0CFC">
        <w:rPr>
          <w:rFonts w:eastAsia="Times New Roman" w:cs="Arial"/>
          <w:color w:val="000000"/>
          <w:lang w:val="ru-RU"/>
        </w:rPr>
        <w:t xml:space="preserve">. </w:t>
      </w:r>
      <w:r w:rsidRPr="000D0CFC">
        <w:rPr>
          <w:rFonts w:eastAsia="Times New Roman" w:cs="Arial"/>
          <w:color w:val="000000"/>
          <w:lang w:eastAsia="bg-BG"/>
        </w:rPr>
        <w:t xml:space="preserve">При едновременното приложение на Клацид и колхицин, инхибирането на </w:t>
      </w:r>
      <w:proofErr w:type="spellStart"/>
      <w:r w:rsidRPr="000D0CFC">
        <w:rPr>
          <w:rFonts w:eastAsia="Times New Roman" w:cs="Arial"/>
          <w:color w:val="000000"/>
          <w:lang w:val="en-US"/>
        </w:rPr>
        <w:t>Pgp</w:t>
      </w:r>
      <w:proofErr w:type="spellEnd"/>
      <w:r w:rsidRPr="000D0CFC">
        <w:rPr>
          <w:rFonts w:eastAsia="Times New Roman" w:cs="Arial"/>
          <w:color w:val="000000"/>
          <w:lang w:val="ru-RU"/>
        </w:rPr>
        <w:t xml:space="preserve"> </w:t>
      </w:r>
      <w:r w:rsidRPr="000D0CFC">
        <w:rPr>
          <w:rFonts w:eastAsia="Times New Roman" w:cs="Arial"/>
          <w:color w:val="000000"/>
          <w:lang w:eastAsia="bg-BG"/>
        </w:rPr>
        <w:t xml:space="preserve">и/или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от Клацид може да доведе до повишаване експозицията на колхицин. Едновременното прилагане на колхицин и Клацид е противопоказано (вж. точки 4.3 и 4.4).</w:t>
      </w:r>
    </w:p>
    <w:p w14:paraId="3F44C8B7" w14:textId="4CD4E793" w:rsidR="000D0CFC" w:rsidRPr="000D0CFC" w:rsidRDefault="000D0CFC" w:rsidP="000D0CFC">
      <w:pPr>
        <w:rPr>
          <w:rFonts w:eastAsia="Times New Roman" w:cs="Arial"/>
          <w:color w:val="000000"/>
          <w:lang w:eastAsia="bg-BG"/>
        </w:rPr>
      </w:pPr>
    </w:p>
    <w:p w14:paraId="1334EA09" w14:textId="77777777"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Дигоксин</w:t>
      </w:r>
    </w:p>
    <w:p w14:paraId="66837959" w14:textId="77777777" w:rsidR="000D0CFC" w:rsidRPr="000D0CFC" w:rsidRDefault="000D0CFC" w:rsidP="000D0CFC">
      <w:pPr>
        <w:spacing w:line="240" w:lineRule="auto"/>
        <w:rPr>
          <w:rFonts w:eastAsia="Times New Roman" w:cs="Arial"/>
          <w:color w:val="000000"/>
          <w:lang w:eastAsia="bg-BG"/>
        </w:rPr>
      </w:pPr>
      <w:r w:rsidRPr="000D0CFC">
        <w:rPr>
          <w:rFonts w:eastAsia="Times New Roman" w:cs="Arial"/>
          <w:color w:val="000000"/>
          <w:lang w:eastAsia="bg-BG"/>
        </w:rPr>
        <w:t xml:space="preserve">Счита се, че дигоксин е субстрат на ефлуксния транспортер Р-гликопротеин </w:t>
      </w:r>
      <w:r w:rsidRPr="000D0CFC">
        <w:rPr>
          <w:rFonts w:eastAsia="Times New Roman" w:cs="Arial"/>
          <w:color w:val="000000"/>
          <w:lang w:val="ru-RU"/>
        </w:rPr>
        <w:t>(</w:t>
      </w:r>
      <w:proofErr w:type="spellStart"/>
      <w:r w:rsidRPr="000D0CFC">
        <w:rPr>
          <w:rFonts w:eastAsia="Times New Roman" w:cs="Arial"/>
          <w:color w:val="000000"/>
          <w:lang w:val="en-US"/>
        </w:rPr>
        <w:t>Pgp</w:t>
      </w:r>
      <w:proofErr w:type="spellEnd"/>
      <w:r w:rsidRPr="000D0CFC">
        <w:rPr>
          <w:rFonts w:eastAsia="Times New Roman" w:cs="Arial"/>
          <w:color w:val="000000"/>
          <w:lang w:val="ru-RU"/>
        </w:rPr>
        <w:t xml:space="preserve">). </w:t>
      </w:r>
      <w:r w:rsidRPr="000D0CFC">
        <w:rPr>
          <w:rFonts w:eastAsia="Times New Roman" w:cs="Arial"/>
          <w:color w:val="000000"/>
          <w:lang w:eastAsia="bg-BG"/>
        </w:rPr>
        <w:t xml:space="preserve">Известно е, че Клацид инхибира </w:t>
      </w:r>
      <w:proofErr w:type="spellStart"/>
      <w:r w:rsidRPr="000D0CFC">
        <w:rPr>
          <w:rFonts w:eastAsia="Times New Roman" w:cs="Arial"/>
          <w:color w:val="000000"/>
          <w:lang w:val="en-US"/>
        </w:rPr>
        <w:t>Pgp</w:t>
      </w:r>
      <w:proofErr w:type="spellEnd"/>
      <w:r w:rsidRPr="000D0CFC">
        <w:rPr>
          <w:rFonts w:eastAsia="Times New Roman" w:cs="Arial"/>
          <w:color w:val="000000"/>
          <w:lang w:val="ru-RU"/>
        </w:rPr>
        <w:t xml:space="preserve">. </w:t>
      </w:r>
      <w:r w:rsidRPr="000D0CFC">
        <w:rPr>
          <w:rFonts w:eastAsia="Times New Roman" w:cs="Arial"/>
          <w:color w:val="000000"/>
          <w:lang w:eastAsia="bg-BG"/>
        </w:rPr>
        <w:t xml:space="preserve">При едновременното приложение на Клацид и дигоксин, инхибирането на </w:t>
      </w:r>
      <w:proofErr w:type="spellStart"/>
      <w:r w:rsidRPr="000D0CFC">
        <w:rPr>
          <w:rFonts w:eastAsia="Times New Roman" w:cs="Arial"/>
          <w:color w:val="000000"/>
          <w:lang w:val="en-US"/>
        </w:rPr>
        <w:t>Pgp</w:t>
      </w:r>
      <w:proofErr w:type="spellEnd"/>
      <w:r w:rsidRPr="000D0CFC">
        <w:rPr>
          <w:rFonts w:eastAsia="Times New Roman" w:cs="Arial"/>
          <w:color w:val="000000"/>
          <w:lang w:val="ru-RU"/>
        </w:rPr>
        <w:t xml:space="preserve"> </w:t>
      </w:r>
      <w:r w:rsidRPr="000D0CFC">
        <w:rPr>
          <w:rFonts w:eastAsia="Times New Roman" w:cs="Arial"/>
          <w:color w:val="000000"/>
          <w:lang w:eastAsia="bg-BG"/>
        </w:rPr>
        <w:t xml:space="preserve">от Клацид може да доведе до повишаване експозицията на дигоксин. В постмаркетинговия период също са съобщавани случаи на повишение на серумни концентрации на дигоксин при пациентите, приемащи Клацид и дигоксин. Някои от пациентите са показали клинични признаци на дигоксинова интоксикация, включително потенциално фатални аритмии. Серумните концентрации на дигоксин трябва да бъдат внимателно проследявани при пациентите, приемащи </w:t>
      </w:r>
    </w:p>
    <w:p w14:paraId="70031EED" w14:textId="7B46CF16" w:rsidR="000D0CFC" w:rsidRPr="000D0CFC" w:rsidRDefault="000D0CFC" w:rsidP="000D0CFC">
      <w:pPr>
        <w:spacing w:line="240" w:lineRule="auto"/>
        <w:rPr>
          <w:rFonts w:eastAsia="Times New Roman" w:cs="Arial"/>
        </w:rPr>
      </w:pPr>
      <w:r w:rsidRPr="000D0CFC">
        <w:rPr>
          <w:rFonts w:eastAsia="Times New Roman" w:cs="Arial"/>
          <w:color w:val="000000"/>
          <w:lang w:eastAsia="bg-BG"/>
        </w:rPr>
        <w:t>едновременно дигоксин и Клацид.</w:t>
      </w:r>
    </w:p>
    <w:p w14:paraId="2ED7F188" w14:textId="77777777" w:rsidR="000D0CFC" w:rsidRPr="000D0CFC" w:rsidRDefault="000D0CFC" w:rsidP="000D0CFC">
      <w:pPr>
        <w:spacing w:line="240" w:lineRule="auto"/>
        <w:rPr>
          <w:rFonts w:eastAsia="Times New Roman" w:cs="Arial"/>
          <w:color w:val="000000"/>
          <w:u w:val="single"/>
          <w:lang w:eastAsia="bg-BG"/>
        </w:rPr>
      </w:pPr>
    </w:p>
    <w:p w14:paraId="42C66B20" w14:textId="5CD33CFF"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Зидовудин</w:t>
      </w:r>
    </w:p>
    <w:p w14:paraId="51087C5F"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Едновременното перорално приложение на Клацид таблетки и зидовудин при </w:t>
      </w:r>
      <w:r w:rsidRPr="000D0CFC">
        <w:rPr>
          <w:rFonts w:eastAsia="Times New Roman" w:cs="Arial"/>
          <w:color w:val="000000"/>
          <w:lang w:val="en-US"/>
        </w:rPr>
        <w:t>HIV</w:t>
      </w:r>
      <w:r w:rsidRPr="000D0CFC">
        <w:rPr>
          <w:rFonts w:eastAsia="Times New Roman" w:cs="Arial"/>
          <w:color w:val="000000"/>
          <w:lang w:eastAsia="bg-BG"/>
        </w:rPr>
        <w:t xml:space="preserve">-инфектирани възрастни пациенти може да доведе до понижено равновесно състояние на концентрациите на зидовудин. Тъй като най-вероятно Клацид повлиява резорбцията на едновременно приложения перорален зидовудин, това взаимодействие може да се </w:t>
      </w:r>
      <w:r w:rsidRPr="000D0CFC">
        <w:rPr>
          <w:rFonts w:eastAsia="Times New Roman" w:cs="Arial"/>
          <w:color w:val="000000"/>
          <w:lang w:eastAsia="bg-BG"/>
        </w:rPr>
        <w:lastRenderedPageBreak/>
        <w:t xml:space="preserve">избегне в голяма степен чрез разделяне на дозите на Клацид и зидовудин за постигане на 4-часови интервали между приема на лекарствата. Това взаимодействие не се появява при педиатрични </w:t>
      </w:r>
      <w:r w:rsidRPr="000D0CFC">
        <w:rPr>
          <w:rFonts w:eastAsia="Times New Roman" w:cs="Arial"/>
          <w:color w:val="000000"/>
          <w:lang w:val="en-US"/>
        </w:rPr>
        <w:t>HIV</w:t>
      </w:r>
      <w:r w:rsidRPr="000D0CFC">
        <w:rPr>
          <w:rFonts w:eastAsia="Times New Roman" w:cs="Arial"/>
          <w:color w:val="000000"/>
          <w:lang w:eastAsia="bg-BG"/>
        </w:rPr>
        <w:t>-инфектирани пациенти, приемащи Клацид суспензия със зидовудин или дидеоксиинозин. Това взаимодействие е малко вероятно, когато Клацид се прилага чрез интравенозна инфузия.</w:t>
      </w:r>
    </w:p>
    <w:p w14:paraId="2F842331" w14:textId="77777777" w:rsidR="000D0CFC" w:rsidRPr="000D0CFC" w:rsidRDefault="000D0CFC" w:rsidP="000D0CFC">
      <w:pPr>
        <w:spacing w:line="240" w:lineRule="auto"/>
        <w:rPr>
          <w:rFonts w:eastAsia="Times New Roman" w:cs="Arial"/>
          <w:color w:val="000000"/>
          <w:u w:val="single"/>
          <w:lang w:eastAsia="bg-BG"/>
        </w:rPr>
      </w:pPr>
    </w:p>
    <w:p w14:paraId="4D9828DE" w14:textId="58938C8F"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Фенитоин и валпроат</w:t>
      </w:r>
    </w:p>
    <w:p w14:paraId="6164BD1D"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Има спонтанни или публикувани съобщения за взаимодействия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4 </w:t>
      </w:r>
      <w:r w:rsidRPr="000D0CFC">
        <w:rPr>
          <w:rFonts w:eastAsia="Times New Roman" w:cs="Arial"/>
          <w:color w:val="000000"/>
          <w:lang w:eastAsia="bg-BG"/>
        </w:rPr>
        <w:t xml:space="preserve">инхибитори, включително Клацид с лекарства, за които се счита, че не се метаболизират от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4 </w:t>
      </w:r>
      <w:r w:rsidRPr="000D0CFC">
        <w:rPr>
          <w:rFonts w:eastAsia="Times New Roman" w:cs="Arial"/>
          <w:color w:val="000000"/>
          <w:lang w:eastAsia="bg-BG"/>
        </w:rPr>
        <w:t>(напр. фенитоин и валпроат). Препоръчва се измерване на серумните нива на тези лекарства, когато се прилагат едновременно с Клацид. Съобщавани са повишени серумни нива.</w:t>
      </w:r>
    </w:p>
    <w:p w14:paraId="4575F061" w14:textId="77777777" w:rsidR="000D0CFC" w:rsidRPr="000D0CFC" w:rsidRDefault="000D0CFC" w:rsidP="000D0CFC">
      <w:pPr>
        <w:spacing w:line="240" w:lineRule="auto"/>
        <w:rPr>
          <w:rFonts w:eastAsia="Times New Roman" w:cs="Arial"/>
          <w:i/>
          <w:iCs/>
          <w:color w:val="000000"/>
          <w:u w:val="single"/>
          <w:lang w:eastAsia="bg-BG"/>
        </w:rPr>
      </w:pPr>
    </w:p>
    <w:p w14:paraId="70B7F406" w14:textId="61EC689B" w:rsidR="000D0CFC" w:rsidRPr="000D0CFC" w:rsidRDefault="000D0CFC" w:rsidP="000D0CFC">
      <w:pPr>
        <w:spacing w:line="240" w:lineRule="auto"/>
        <w:rPr>
          <w:rFonts w:eastAsia="Times New Roman" w:cs="Arial"/>
        </w:rPr>
      </w:pPr>
      <w:r w:rsidRPr="000D0CFC">
        <w:rPr>
          <w:rFonts w:eastAsia="Times New Roman" w:cs="Arial"/>
          <w:i/>
          <w:iCs/>
          <w:color w:val="000000"/>
          <w:u w:val="single"/>
          <w:lang w:eastAsia="bg-BG"/>
        </w:rPr>
        <w:t>Двупосочни Фармакокинетични взаимодействия</w:t>
      </w:r>
    </w:p>
    <w:p w14:paraId="678E8760" w14:textId="77777777" w:rsidR="000D0CFC" w:rsidRPr="000D0CFC" w:rsidRDefault="000D0CFC" w:rsidP="000D0CFC">
      <w:pPr>
        <w:spacing w:line="240" w:lineRule="auto"/>
        <w:rPr>
          <w:rFonts w:eastAsia="Times New Roman" w:cs="Arial"/>
          <w:color w:val="000000"/>
          <w:u w:val="single"/>
          <w:lang w:eastAsia="bg-BG"/>
        </w:rPr>
      </w:pPr>
    </w:p>
    <w:p w14:paraId="5C1978FF" w14:textId="611B18AD"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Атазанавир</w:t>
      </w:r>
    </w:p>
    <w:p w14:paraId="5843C15A"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Клацид и атазанавир са субстрати и инхибитори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 xml:space="preserve">и съществуват данни за двупосочно лекарствено взаимодействие. Едновременното приложение на Клацид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два пъти дневно) с атазанавир (400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веднъж дневно) води до двукратно повишение експозицията на Клацид и 70% понижение на експозицията 14-ОН-кларитромицин, при 28% повишение </w:t>
      </w:r>
      <w:r w:rsidRPr="000D0CFC">
        <w:rPr>
          <w:rFonts w:eastAsia="Times New Roman" w:cs="Arial"/>
          <w:color w:val="000000"/>
          <w:lang w:val="en-US"/>
        </w:rPr>
        <w:t>AUC</w:t>
      </w:r>
      <w:r w:rsidRPr="000D0CFC">
        <w:rPr>
          <w:rFonts w:eastAsia="Times New Roman" w:cs="Arial"/>
          <w:color w:val="000000"/>
          <w:lang w:val="ru-RU"/>
        </w:rPr>
        <w:t xml:space="preserve"> </w:t>
      </w:r>
      <w:r w:rsidRPr="000D0CFC">
        <w:rPr>
          <w:rFonts w:eastAsia="Times New Roman" w:cs="Arial"/>
          <w:color w:val="000000"/>
          <w:lang w:eastAsia="bg-BG"/>
        </w:rPr>
        <w:t xml:space="preserve">на атазанавир. Поради широкия терапевтичен прозорец на Клацид, не се налага понижаване на дозата при пациенти с нормална бъбречна функция. При пациентите с умерена увредена бъбречна функция (креатининов клирънс 30 до 60 </w:t>
      </w:r>
      <w:r w:rsidRPr="000D0CFC">
        <w:rPr>
          <w:rFonts w:eastAsia="Times New Roman" w:cs="Arial"/>
          <w:color w:val="000000"/>
          <w:lang w:val="en-US"/>
        </w:rPr>
        <w:t>ml</w:t>
      </w:r>
      <w:r w:rsidRPr="000D0CFC">
        <w:rPr>
          <w:rFonts w:eastAsia="Times New Roman" w:cs="Arial"/>
          <w:color w:val="000000"/>
          <w:lang w:val="ru-RU"/>
        </w:rPr>
        <w:t>/</w:t>
      </w:r>
      <w:r w:rsidRPr="000D0CFC">
        <w:rPr>
          <w:rFonts w:eastAsia="Times New Roman" w:cs="Arial"/>
          <w:color w:val="000000"/>
          <w:lang w:val="en-US"/>
        </w:rPr>
        <w:t>min</w:t>
      </w:r>
      <w:r w:rsidRPr="000D0CFC">
        <w:rPr>
          <w:rFonts w:eastAsia="Times New Roman" w:cs="Arial"/>
          <w:color w:val="000000"/>
          <w:lang w:val="ru-RU"/>
        </w:rPr>
        <w:t xml:space="preserve">), </w:t>
      </w:r>
      <w:r w:rsidRPr="000D0CFC">
        <w:rPr>
          <w:rFonts w:eastAsia="Times New Roman" w:cs="Arial"/>
          <w:color w:val="000000"/>
          <w:lang w:eastAsia="bg-BG"/>
        </w:rPr>
        <w:t xml:space="preserve">дозата на Клацид трябва да бъде намалена с 50%. При пациентите с креатининов клирънс &lt;30 </w:t>
      </w:r>
      <w:r w:rsidRPr="000D0CFC">
        <w:rPr>
          <w:rFonts w:eastAsia="Times New Roman" w:cs="Arial"/>
          <w:color w:val="000000"/>
          <w:lang w:val="en-US"/>
        </w:rPr>
        <w:t>ml</w:t>
      </w:r>
      <w:r w:rsidRPr="000D0CFC">
        <w:rPr>
          <w:rFonts w:eastAsia="Times New Roman" w:cs="Arial"/>
          <w:color w:val="000000"/>
          <w:lang w:val="ru-RU"/>
        </w:rPr>
        <w:t>/</w:t>
      </w:r>
      <w:r w:rsidRPr="000D0CFC">
        <w:rPr>
          <w:rFonts w:eastAsia="Times New Roman" w:cs="Arial"/>
          <w:color w:val="000000"/>
          <w:lang w:val="en-US"/>
        </w:rPr>
        <w:t>min</w:t>
      </w:r>
      <w:r w:rsidRPr="000D0CFC">
        <w:rPr>
          <w:rFonts w:eastAsia="Times New Roman" w:cs="Arial"/>
          <w:color w:val="000000"/>
          <w:lang w:val="ru-RU"/>
        </w:rPr>
        <w:t xml:space="preserve">, </w:t>
      </w:r>
      <w:r w:rsidRPr="000D0CFC">
        <w:rPr>
          <w:rFonts w:eastAsia="Times New Roman" w:cs="Arial"/>
          <w:color w:val="000000"/>
          <w:lang w:eastAsia="bg-BG"/>
        </w:rPr>
        <w:t xml:space="preserve">дозата на Клацид трябва да бъде намалена със 75% при използването на подходяща лекарствена форма на Клацид. Дози на Клаццд, по-високи от 1 000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дневно не трябва да се прилагат заедно с протеазни инхибитори.</w:t>
      </w:r>
    </w:p>
    <w:p w14:paraId="5BD3A2D8" w14:textId="77777777" w:rsidR="000D0CFC" w:rsidRPr="000D0CFC" w:rsidRDefault="000D0CFC" w:rsidP="000D0CFC">
      <w:pPr>
        <w:spacing w:line="240" w:lineRule="auto"/>
        <w:rPr>
          <w:rFonts w:eastAsia="Times New Roman" w:cs="Arial"/>
          <w:color w:val="000000"/>
          <w:u w:val="single"/>
          <w:lang w:eastAsia="bg-BG"/>
        </w:rPr>
      </w:pPr>
    </w:p>
    <w:p w14:paraId="3A5D770E" w14:textId="3C6DD00F"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Блокери на калциевите канали</w:t>
      </w:r>
    </w:p>
    <w:p w14:paraId="2EAD3A5D"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Препоръчва се повишено внимание при едновременното приложение на Клацид и блокери на калциевите канали, които се метаболизират от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4 </w:t>
      </w:r>
      <w:r w:rsidRPr="000D0CFC">
        <w:rPr>
          <w:rFonts w:eastAsia="Times New Roman" w:cs="Arial"/>
          <w:color w:val="000000"/>
          <w:lang w:eastAsia="bg-BG"/>
        </w:rPr>
        <w:t>(напр. верапамил, амлодипин, дилтиазем) поради риск от хипотония. Плазмените концентрации на Клацид, какго и на блокерите на калциевите канали може да се увеличат, което се дължи на взаимодействието им. Хипотония, брадиаритмия и лактатна ацидоза са били наблюдавани при пациенти, приемащи едновременно Клацид и верапамил.</w:t>
      </w:r>
    </w:p>
    <w:p w14:paraId="5E56A110" w14:textId="77777777" w:rsidR="000D0CFC" w:rsidRPr="000D0CFC" w:rsidRDefault="000D0CFC" w:rsidP="000D0CFC">
      <w:pPr>
        <w:spacing w:line="240" w:lineRule="auto"/>
        <w:rPr>
          <w:rFonts w:eastAsia="Times New Roman" w:cs="Arial"/>
          <w:color w:val="000000"/>
          <w:u w:val="single"/>
          <w:lang w:eastAsia="bg-BG"/>
        </w:rPr>
      </w:pPr>
    </w:p>
    <w:p w14:paraId="46A4D94D" w14:textId="36FB3615"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Итраконазол</w:t>
      </w:r>
    </w:p>
    <w:p w14:paraId="3D313ECE"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Клацид и итраконазол са субстрати и инхибитори на </w:t>
      </w:r>
      <w:r w:rsidRPr="000D0CFC">
        <w:rPr>
          <w:rFonts w:eastAsia="Times New Roman" w:cs="Arial"/>
          <w:color w:val="000000"/>
          <w:lang w:val="en-US"/>
        </w:rPr>
        <w:t>CYP</w:t>
      </w:r>
      <w:r w:rsidRPr="000D0CFC">
        <w:rPr>
          <w:rFonts w:eastAsia="Times New Roman" w:cs="Arial"/>
          <w:color w:val="000000"/>
          <w:lang w:val="ru-RU"/>
        </w:rPr>
        <w:t>3</w:t>
      </w:r>
      <w:r w:rsidRPr="000D0CFC">
        <w:rPr>
          <w:rFonts w:eastAsia="Times New Roman" w:cs="Arial"/>
          <w:color w:val="000000"/>
          <w:lang w:val="en-US"/>
        </w:rPr>
        <w:t>A</w:t>
      </w:r>
      <w:r w:rsidRPr="000D0CFC">
        <w:rPr>
          <w:rFonts w:eastAsia="Times New Roman" w:cs="Arial"/>
          <w:color w:val="000000"/>
          <w:lang w:val="ru-RU"/>
        </w:rPr>
        <w:t xml:space="preserve">, </w:t>
      </w:r>
      <w:r w:rsidRPr="000D0CFC">
        <w:rPr>
          <w:rFonts w:eastAsia="Times New Roman" w:cs="Arial"/>
          <w:color w:val="000000"/>
          <w:lang w:eastAsia="bg-BG"/>
        </w:rPr>
        <w:t>което води додвупосочно лекарствено взаимодействие. Клацид може да повиши плазмените нива на итраконазол, а</w:t>
      </w:r>
    </w:p>
    <w:p w14:paraId="25434AE4"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итраконазол може да повиши плазмените нива на Клацид. Пациентите, приемащи едновременно итраконазол и Клацид трябва да бъдат редовно проследявани за признаци или симптоми на повишен или удължен фармакологичен ефект.</w:t>
      </w:r>
    </w:p>
    <w:p w14:paraId="77A2AE07" w14:textId="77777777" w:rsidR="000D0CFC" w:rsidRPr="000D0CFC" w:rsidRDefault="000D0CFC" w:rsidP="000D0CFC">
      <w:pPr>
        <w:rPr>
          <w:rFonts w:eastAsia="Times New Roman" w:cs="Arial"/>
          <w:color w:val="000000"/>
          <w:u w:val="single"/>
          <w:lang w:eastAsia="bg-BG"/>
        </w:rPr>
      </w:pPr>
    </w:p>
    <w:p w14:paraId="1EC4DD1A" w14:textId="2D59C1A7" w:rsidR="000D0CFC" w:rsidRPr="000D0CFC" w:rsidRDefault="000D0CFC" w:rsidP="000D0CFC">
      <w:pPr>
        <w:rPr>
          <w:rFonts w:eastAsia="Times New Roman" w:cs="Arial"/>
          <w:color w:val="000000"/>
          <w:u w:val="single"/>
          <w:lang w:eastAsia="bg-BG"/>
        </w:rPr>
      </w:pPr>
      <w:r w:rsidRPr="000D0CFC">
        <w:rPr>
          <w:rFonts w:eastAsia="Times New Roman" w:cs="Arial"/>
          <w:color w:val="000000"/>
          <w:u w:val="single"/>
          <w:lang w:eastAsia="bg-BG"/>
        </w:rPr>
        <w:t>Саквинавир</w:t>
      </w:r>
    </w:p>
    <w:p w14:paraId="6766F5F0" w14:textId="7EE97C1D" w:rsidR="000D0CFC" w:rsidRDefault="000D0CFC" w:rsidP="000D0CFC">
      <w:pPr>
        <w:rPr>
          <w:rFonts w:cs="Arial"/>
        </w:rPr>
      </w:pPr>
      <w:r w:rsidRPr="000D0CFC">
        <w:rPr>
          <w:rFonts w:cs="Arial"/>
        </w:rPr>
        <w:t xml:space="preserve">Клацид и саквинавир са субстрати и инихибитори на </w:t>
      </w:r>
      <w:r w:rsidRPr="000D0CFC">
        <w:rPr>
          <w:rFonts w:cs="Arial"/>
          <w:lang w:val="en-US"/>
        </w:rPr>
        <w:t>CYP</w:t>
      </w:r>
      <w:r w:rsidRPr="000D0CFC">
        <w:rPr>
          <w:rFonts w:cs="Arial"/>
          <w:lang w:val="ru-RU"/>
        </w:rPr>
        <w:t>3</w:t>
      </w:r>
      <w:r w:rsidRPr="000D0CFC">
        <w:rPr>
          <w:rFonts w:cs="Arial"/>
          <w:lang w:val="en-US"/>
        </w:rPr>
        <w:t>A</w:t>
      </w:r>
      <w:r w:rsidRPr="000D0CFC">
        <w:rPr>
          <w:rFonts w:cs="Arial"/>
          <w:lang w:val="ru-RU"/>
        </w:rPr>
        <w:t xml:space="preserve"> </w:t>
      </w:r>
      <w:r w:rsidRPr="000D0CFC">
        <w:rPr>
          <w:rFonts w:cs="Arial"/>
        </w:rPr>
        <w:t xml:space="preserve">и има данни за двупосочни лекарствени взаимодействия. Едновременното приложение на Клацид (500 </w:t>
      </w:r>
      <w:r w:rsidRPr="000D0CFC">
        <w:rPr>
          <w:rFonts w:cs="Arial"/>
          <w:lang w:val="en-US"/>
        </w:rPr>
        <w:t>mg</w:t>
      </w:r>
      <w:r w:rsidRPr="000D0CFC">
        <w:rPr>
          <w:rFonts w:cs="Arial"/>
          <w:lang w:val="ru-RU"/>
        </w:rPr>
        <w:t xml:space="preserve"> </w:t>
      </w:r>
      <w:r w:rsidRPr="000D0CFC">
        <w:rPr>
          <w:rFonts w:cs="Arial"/>
        </w:rPr>
        <w:t xml:space="preserve">два пъти дневно) и саквинавир (меки желатинови капсули, 1 200 </w:t>
      </w:r>
      <w:r w:rsidRPr="000D0CFC">
        <w:rPr>
          <w:rFonts w:cs="Arial"/>
          <w:lang w:val="en-US"/>
        </w:rPr>
        <w:t>mg</w:t>
      </w:r>
      <w:r w:rsidRPr="000D0CFC">
        <w:rPr>
          <w:rFonts w:cs="Arial"/>
          <w:lang w:val="ru-RU"/>
        </w:rPr>
        <w:t xml:space="preserve"> </w:t>
      </w:r>
      <w:r w:rsidRPr="000D0CFC">
        <w:rPr>
          <w:rFonts w:cs="Arial"/>
        </w:rPr>
        <w:t xml:space="preserve">три пъти дневно) при 12 здрави доброволци е довело до стойности в равновесно състояние на </w:t>
      </w:r>
      <w:r w:rsidRPr="000D0CFC">
        <w:rPr>
          <w:rFonts w:cs="Arial"/>
          <w:lang w:val="en-US"/>
        </w:rPr>
        <w:t>AUC</w:t>
      </w:r>
      <w:r w:rsidRPr="000D0CFC">
        <w:rPr>
          <w:rFonts w:cs="Arial"/>
          <w:lang w:val="ru-RU"/>
        </w:rPr>
        <w:t xml:space="preserve"> </w:t>
      </w:r>
      <w:r w:rsidRPr="000D0CFC">
        <w:rPr>
          <w:rFonts w:cs="Arial"/>
        </w:rPr>
        <w:t>и С</w:t>
      </w:r>
      <w:r w:rsidRPr="000D0CFC">
        <w:rPr>
          <w:rFonts w:cs="Arial"/>
          <w:vertAlign w:val="subscript"/>
          <w:lang w:val="en-US"/>
        </w:rPr>
        <w:t>max</w:t>
      </w:r>
      <w:r w:rsidRPr="000D0CFC">
        <w:rPr>
          <w:rFonts w:cs="Arial"/>
        </w:rPr>
        <w:t xml:space="preserve"> на саквинавир, съответно 177% и 187% по-високи от тези при самостоятелното приложение </w:t>
      </w:r>
      <w:r w:rsidRPr="000D0CFC">
        <w:rPr>
          <w:rFonts w:cs="Arial"/>
        </w:rPr>
        <w:lastRenderedPageBreak/>
        <w:t xml:space="preserve">на саквинавир. Стойностите на </w:t>
      </w:r>
      <w:r w:rsidRPr="000D0CFC">
        <w:rPr>
          <w:rFonts w:cs="Arial"/>
          <w:lang w:val="en-US"/>
        </w:rPr>
        <w:t>AUC</w:t>
      </w:r>
      <w:r w:rsidRPr="000D0CFC">
        <w:rPr>
          <w:rFonts w:cs="Arial"/>
          <w:lang w:val="ru-RU"/>
        </w:rPr>
        <w:t xml:space="preserve"> </w:t>
      </w:r>
      <w:r w:rsidRPr="000D0CFC">
        <w:rPr>
          <w:rFonts w:cs="Arial"/>
        </w:rPr>
        <w:t>и С</w:t>
      </w:r>
      <w:r w:rsidRPr="000D0CFC">
        <w:rPr>
          <w:rFonts w:cs="Arial"/>
          <w:vertAlign w:val="subscript"/>
          <w:lang w:val="en-US"/>
        </w:rPr>
        <w:t>max</w:t>
      </w:r>
      <w:r w:rsidRPr="000D0CFC">
        <w:rPr>
          <w:rFonts w:cs="Arial"/>
        </w:rPr>
        <w:t xml:space="preserve"> на Клацид са били с около 40% по-високи в сравнение с тези при самостоятелното приложение на Клацид. Не се налага промяна на дозата при едновременното приложение на двете лекарства за ограничен период от време в проучваните дози/лекарствени форми. Данните от проучванията върху лекарствените взаимодействия при приложението на меките желатинови капсули може да не са показателни по отношение на ефектите при приложението на саквинавир под формата на твърди желатинови капсули. Данните от проучванията върху лекарствените взаимодействия при самостоятелно приложението на саквинавир може да не са показателни по отношение на наблюдаваните ефекти при лечението със саквинавир/ритонавир. При едновременното приложение на саквинавир с ритонавир, трябва да се имат предвид потенциалните ефекти на ритонавир върху Клацид (вж. точка 4.5).</w:t>
      </w:r>
    </w:p>
    <w:p w14:paraId="5E4B590C" w14:textId="77777777" w:rsidR="000D0CFC" w:rsidRPr="000D0CFC" w:rsidRDefault="000D0CFC" w:rsidP="000D0CFC">
      <w:pPr>
        <w:rPr>
          <w:rFonts w:cs="Arial"/>
        </w:rPr>
      </w:pPr>
    </w:p>
    <w:p w14:paraId="73662265" w14:textId="0BA40C96" w:rsidR="00426E5F" w:rsidRDefault="002C50EE" w:rsidP="00A65A81">
      <w:pPr>
        <w:pStyle w:val="Heading2"/>
      </w:pPr>
      <w:r>
        <w:t>4.6. Фертилитет, бременност и кърмене</w:t>
      </w:r>
    </w:p>
    <w:p w14:paraId="2F838732" w14:textId="63E6658C" w:rsidR="000D0CFC" w:rsidRDefault="000D0CFC" w:rsidP="000D0CFC"/>
    <w:p w14:paraId="6C36B012" w14:textId="308FCE81" w:rsidR="000D0CFC" w:rsidRPr="000D0CFC" w:rsidRDefault="000D0CFC" w:rsidP="000D0CFC">
      <w:pPr>
        <w:pStyle w:val="Heading3"/>
        <w:rPr>
          <w:rFonts w:eastAsia="Times New Roman"/>
          <w:u w:val="single"/>
        </w:rPr>
      </w:pPr>
      <w:r w:rsidRPr="000D0CFC">
        <w:rPr>
          <w:rFonts w:eastAsia="Times New Roman"/>
          <w:u w:val="single"/>
          <w:lang w:eastAsia="bg-BG"/>
        </w:rPr>
        <w:t>Бременност</w:t>
      </w:r>
    </w:p>
    <w:p w14:paraId="090D96AE"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Безопасността на Клацид по време на бременност не е установена. Въз основа на променливи резултати, получени от проучвания при животни и опита при хора, не може да се изключи вероятността от нежелани реакции върху ембриофеталното развитие. В някои обсервационни проучвания, оценяващи експозицията на кларитромицин през първия и втория триместър, се съобщава за повишен риск от спонтанен аборт в сравнение с неизползването на антибиотик или използването на друг антибиотик през същия период. Наличните епидемиологични проучвания относно риска от сериозни вродени малформации при употребата на макролиди, включително кларитромицин, по време на бременност предоставят противоречиви резултати. Поради това не се препоръчва приемът на Клацид по време на бременност без да е внимателно направена оценка на ползите спрямо рисковете.</w:t>
      </w:r>
    </w:p>
    <w:p w14:paraId="7AAF424F" w14:textId="77777777" w:rsidR="000D0CFC" w:rsidRPr="000D0CFC" w:rsidRDefault="000D0CFC" w:rsidP="000D0CFC">
      <w:pPr>
        <w:spacing w:line="240" w:lineRule="auto"/>
        <w:rPr>
          <w:rFonts w:eastAsia="Times New Roman" w:cs="Arial"/>
          <w:color w:val="000000"/>
          <w:u w:val="single"/>
          <w:lang w:eastAsia="bg-BG"/>
        </w:rPr>
      </w:pPr>
    </w:p>
    <w:p w14:paraId="695A59AA" w14:textId="5B94E8AE" w:rsidR="000D0CFC" w:rsidRPr="000D0CFC" w:rsidRDefault="000D0CFC" w:rsidP="000D0CFC">
      <w:pPr>
        <w:pStyle w:val="Heading3"/>
        <w:rPr>
          <w:rFonts w:eastAsia="Times New Roman"/>
          <w:u w:val="single"/>
        </w:rPr>
      </w:pPr>
      <w:r w:rsidRPr="000D0CFC">
        <w:rPr>
          <w:rFonts w:eastAsia="Times New Roman"/>
          <w:u w:val="single"/>
          <w:lang w:eastAsia="bg-BG"/>
        </w:rPr>
        <w:t>Кърмене</w:t>
      </w:r>
    </w:p>
    <w:p w14:paraId="4A2EC166"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Безопасността на Клацид по време на кърмене не е установена. Клацид се отделя в кърмата в малки количества. Изчислено е, че кърмачето, ще получи около 1,7% от дозата кларитромицин, коригираната според теглото на майката.</w:t>
      </w:r>
    </w:p>
    <w:p w14:paraId="3FD7F9BF" w14:textId="77777777" w:rsidR="000D0CFC" w:rsidRPr="000D0CFC" w:rsidRDefault="000D0CFC" w:rsidP="000D0CFC">
      <w:pPr>
        <w:spacing w:line="240" w:lineRule="auto"/>
        <w:rPr>
          <w:rFonts w:eastAsia="Times New Roman" w:cs="Arial"/>
          <w:color w:val="000000"/>
          <w:u w:val="single"/>
          <w:lang w:eastAsia="bg-BG"/>
        </w:rPr>
      </w:pPr>
    </w:p>
    <w:p w14:paraId="7EBE3C72" w14:textId="2294C1B5" w:rsidR="000D0CFC" w:rsidRPr="000D0CFC" w:rsidRDefault="000D0CFC" w:rsidP="000D0CFC">
      <w:pPr>
        <w:pStyle w:val="Heading3"/>
        <w:rPr>
          <w:rFonts w:eastAsia="Times New Roman"/>
          <w:u w:val="single"/>
        </w:rPr>
      </w:pPr>
      <w:r w:rsidRPr="000D0CFC">
        <w:rPr>
          <w:rFonts w:eastAsia="Times New Roman"/>
          <w:u w:val="single"/>
          <w:lang w:eastAsia="bg-BG"/>
        </w:rPr>
        <w:t>Фертилитет</w:t>
      </w:r>
    </w:p>
    <w:p w14:paraId="6321CBCF"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u w:val="single"/>
          <w:lang w:eastAsia="bg-BG"/>
        </w:rPr>
        <w:t>Проучванията при плъхове не показват данни за вредни ефекти върху фертилитета (вж. точка 5.3).</w:t>
      </w:r>
    </w:p>
    <w:p w14:paraId="18D2AAA4" w14:textId="77777777" w:rsidR="000D0CFC" w:rsidRPr="000D0CFC" w:rsidRDefault="000D0CFC" w:rsidP="000D0CFC"/>
    <w:p w14:paraId="2B2E0E23" w14:textId="0DC4793A" w:rsidR="00426E5F" w:rsidRDefault="002C50EE" w:rsidP="00A65A81">
      <w:pPr>
        <w:pStyle w:val="Heading2"/>
      </w:pPr>
      <w:r>
        <w:t>4.7. Ефекти върху способността за шофиране и работа с машини</w:t>
      </w:r>
    </w:p>
    <w:p w14:paraId="456B5CC5" w14:textId="42D2BBF8" w:rsidR="000D0CFC" w:rsidRDefault="000D0CFC" w:rsidP="000D0CFC"/>
    <w:p w14:paraId="3851F35D" w14:textId="77777777" w:rsidR="000D0CFC" w:rsidRPr="000D0CFC" w:rsidRDefault="000D0CFC" w:rsidP="000D0CFC">
      <w:pPr>
        <w:rPr>
          <w:sz w:val="24"/>
          <w:szCs w:val="24"/>
        </w:rPr>
      </w:pPr>
      <w:r w:rsidRPr="000D0CFC">
        <w:rPr>
          <w:lang w:eastAsia="bg-BG"/>
        </w:rPr>
        <w:t>Няма данни за влиянието на Клацид върху способността за шофиране или работа с машини. Преди шофиране или работа с машини трябва да се има предвид възможността за поява на замаяност, вертиго, обърканост и дезориентация, които могат да се появят при приема на това лекарство.</w:t>
      </w:r>
    </w:p>
    <w:p w14:paraId="29820119" w14:textId="77777777" w:rsidR="000D0CFC" w:rsidRPr="000D0CFC" w:rsidRDefault="000D0CFC" w:rsidP="000D0CFC"/>
    <w:p w14:paraId="25EF1252" w14:textId="3AF209A8" w:rsidR="00426E5F" w:rsidRDefault="002C50EE" w:rsidP="00A65A81">
      <w:pPr>
        <w:pStyle w:val="Heading2"/>
      </w:pPr>
      <w:r>
        <w:t>4.8. Нежелани лекарствени реакции</w:t>
      </w:r>
    </w:p>
    <w:p w14:paraId="726947D2" w14:textId="4BF542AB" w:rsidR="000D0CFC" w:rsidRDefault="000D0CFC" w:rsidP="000D0CFC"/>
    <w:p w14:paraId="689D9A37"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lastRenderedPageBreak/>
        <w:t>Най-често срещаните нежелани лекарствени реакции, свързани с терапията с Клацид при възрастни и педиатрична популация са коремна болка, диария, гадене, повръщане и променен вкус. Тези нежелани реакции обикновено са леки по интензивност и са в съответствие с познатия профил на безопасност на макролидните антибиотици.</w:t>
      </w:r>
    </w:p>
    <w:p w14:paraId="4E150810" w14:textId="77777777" w:rsidR="000D0CFC" w:rsidRPr="000D0CFC" w:rsidRDefault="000D0CFC" w:rsidP="000D0CFC">
      <w:pPr>
        <w:rPr>
          <w:rFonts w:eastAsia="Times New Roman" w:cs="Arial"/>
          <w:color w:val="000000"/>
          <w:lang w:eastAsia="bg-BG"/>
        </w:rPr>
      </w:pPr>
    </w:p>
    <w:p w14:paraId="1B0B6BDF" w14:textId="17E31AEB" w:rsidR="000D0CFC" w:rsidRPr="000D0CFC" w:rsidRDefault="000D0CFC" w:rsidP="000D0CFC">
      <w:pPr>
        <w:rPr>
          <w:rFonts w:eastAsia="Times New Roman" w:cs="Arial"/>
          <w:color w:val="000000"/>
          <w:lang w:eastAsia="bg-BG"/>
        </w:rPr>
      </w:pPr>
      <w:r w:rsidRPr="000D0CFC">
        <w:rPr>
          <w:rFonts w:eastAsia="Times New Roman" w:cs="Arial"/>
          <w:color w:val="000000"/>
          <w:lang w:eastAsia="bg-BG"/>
        </w:rPr>
        <w:t>Няма значима разлика в честотата на тези стомашно-чревни нежелани реакции, по време на клинични изпитвания между популациите пациенти с или без предшестващи микобактериални инфекции.</w:t>
      </w:r>
    </w:p>
    <w:p w14:paraId="7E8C5952" w14:textId="694BA894" w:rsidR="000D0CFC" w:rsidRPr="000D0CFC" w:rsidRDefault="000D0CFC" w:rsidP="000D0CFC">
      <w:pPr>
        <w:rPr>
          <w:rFonts w:eastAsia="Times New Roman" w:cs="Arial"/>
          <w:color w:val="000000"/>
          <w:lang w:eastAsia="bg-BG"/>
        </w:rPr>
      </w:pPr>
    </w:p>
    <w:p w14:paraId="7A107B03"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Следващата таблица показва докладваните нежелани реакции от клинични изпитвания и от постмаркетинговия опит с Клацид гранули за перорална суспензия, таблетки с изменено освобождаване, филмирани таблетки и прах за инфузионен рзтвор.</w:t>
      </w:r>
    </w:p>
    <w:p w14:paraId="4A890578" w14:textId="77777777" w:rsidR="000D0CFC" w:rsidRPr="000D0CFC" w:rsidRDefault="000D0CFC" w:rsidP="000D0CFC">
      <w:pPr>
        <w:spacing w:line="240" w:lineRule="auto"/>
        <w:rPr>
          <w:rFonts w:eastAsia="Times New Roman" w:cs="Arial"/>
          <w:color w:val="000000"/>
          <w:lang w:eastAsia="bg-BG"/>
        </w:rPr>
      </w:pPr>
    </w:p>
    <w:p w14:paraId="654C16C0" w14:textId="23EDBC6D" w:rsidR="000D0CFC" w:rsidRDefault="000D0CFC" w:rsidP="000D0CFC">
      <w:pPr>
        <w:spacing w:line="240" w:lineRule="auto"/>
        <w:rPr>
          <w:rFonts w:eastAsia="Times New Roman" w:cs="Arial"/>
          <w:color w:val="000000"/>
          <w:lang w:eastAsia="bg-BG"/>
        </w:rPr>
      </w:pPr>
      <w:r w:rsidRPr="000D0CFC">
        <w:rPr>
          <w:rFonts w:eastAsia="Times New Roman" w:cs="Arial"/>
          <w:color w:val="000000"/>
          <w:lang w:eastAsia="bg-BG"/>
        </w:rPr>
        <w:t>Реакциите, считани като поне възможно свързани с Клацид са показани по системно-органна класификация и определени по честота като: много чести (≥1/10), чести (≥1/100 до &lt;1/10), нечести (≥1/1 000 до &lt;1/100 ) и с неизвестна честота (нежелани реакции от постмаркетинговия опит; от наличните данни не може да бъде направена оценка). Във всяка група по честота, нежеланите реакции са представени в низходящ ред на тяхната сериозност, там където сериозността може да бъде оценена.</w:t>
      </w:r>
    </w:p>
    <w:p w14:paraId="7262778A" w14:textId="4690D016" w:rsidR="000D0CFC" w:rsidRDefault="000D0CFC" w:rsidP="000D0CFC">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1848"/>
        <w:gridCol w:w="999"/>
        <w:gridCol w:w="1793"/>
        <w:gridCol w:w="2463"/>
        <w:gridCol w:w="2247"/>
      </w:tblGrid>
      <w:tr w:rsidR="000D0CFC" w14:paraId="6D1A57B9" w14:textId="77777777" w:rsidTr="000D0CFC">
        <w:tc>
          <w:tcPr>
            <w:tcW w:w="1893" w:type="dxa"/>
          </w:tcPr>
          <w:p w14:paraId="5FDEE5C0" w14:textId="59C2838C" w:rsidR="000D0CFC" w:rsidRPr="000D0CFC" w:rsidRDefault="000D0CFC" w:rsidP="000D0CFC">
            <w:pPr>
              <w:spacing w:line="240" w:lineRule="auto"/>
              <w:rPr>
                <w:rFonts w:eastAsia="Times New Roman" w:cs="Arial"/>
              </w:rPr>
            </w:pPr>
            <w:proofErr w:type="spellStart"/>
            <w:r w:rsidRPr="000D0CFC">
              <w:rPr>
                <w:lang w:val="en-US"/>
              </w:rPr>
              <w:t>MedDRA</w:t>
            </w:r>
            <w:proofErr w:type="spellEnd"/>
            <w:r w:rsidRPr="000D0CFC">
              <w:t>-база данни на Системо- органни класове</w:t>
            </w:r>
          </w:p>
        </w:tc>
        <w:tc>
          <w:tcPr>
            <w:tcW w:w="1021" w:type="dxa"/>
          </w:tcPr>
          <w:p w14:paraId="0520E02E" w14:textId="163D7C69" w:rsidR="000D0CFC" w:rsidRPr="000D0CFC" w:rsidRDefault="000D0CFC" w:rsidP="000D0CFC">
            <w:pPr>
              <w:spacing w:line="240" w:lineRule="auto"/>
              <w:rPr>
                <w:rFonts w:eastAsia="Times New Roman" w:cs="Arial"/>
              </w:rPr>
            </w:pPr>
            <w:r w:rsidRPr="000D0CFC">
              <w:t>Много чести (≥1/10)</w:t>
            </w:r>
          </w:p>
        </w:tc>
        <w:tc>
          <w:tcPr>
            <w:tcW w:w="1836" w:type="dxa"/>
          </w:tcPr>
          <w:p w14:paraId="5944E7A0" w14:textId="4FDA86DC" w:rsidR="000D0CFC" w:rsidRPr="000D0CFC" w:rsidRDefault="000D0CFC" w:rsidP="000D0CFC">
            <w:pPr>
              <w:spacing w:line="240" w:lineRule="auto"/>
              <w:rPr>
                <w:rFonts w:eastAsia="Times New Roman" w:cs="Arial"/>
              </w:rPr>
            </w:pPr>
            <w:r w:rsidRPr="000D0CFC">
              <w:t xml:space="preserve">Чести </w:t>
            </w:r>
            <w:r w:rsidRPr="000D0CFC">
              <w:rPr>
                <w:i/>
                <w:iCs/>
              </w:rPr>
              <w:t xml:space="preserve">(≥1/100 до </w:t>
            </w:r>
            <w:r w:rsidRPr="000D0CFC">
              <w:t>&lt;1/10)</w:t>
            </w:r>
          </w:p>
        </w:tc>
        <w:tc>
          <w:tcPr>
            <w:tcW w:w="2524" w:type="dxa"/>
          </w:tcPr>
          <w:p w14:paraId="0D74810A" w14:textId="77777777" w:rsidR="000D0CFC" w:rsidRPr="000D0CFC" w:rsidRDefault="000D0CFC" w:rsidP="000D0CFC">
            <w:r w:rsidRPr="000D0CFC">
              <w:t>Нечести</w:t>
            </w:r>
          </w:p>
          <w:p w14:paraId="4376D7B1" w14:textId="49870B50" w:rsidR="000D0CFC" w:rsidRPr="000D0CFC" w:rsidRDefault="000D0CFC" w:rsidP="000D0CFC">
            <w:pPr>
              <w:spacing w:line="240" w:lineRule="auto"/>
              <w:rPr>
                <w:rFonts w:eastAsia="Times New Roman" w:cs="Arial"/>
              </w:rPr>
            </w:pPr>
            <w:r w:rsidRPr="000D0CFC">
              <w:rPr>
                <w:i/>
                <w:iCs/>
              </w:rPr>
              <w:t>(≥1/1</w:t>
            </w:r>
            <w:r w:rsidRPr="000D0CFC">
              <w:t xml:space="preserve"> 000 </w:t>
            </w:r>
            <w:r w:rsidRPr="000D0CFC">
              <w:rPr>
                <w:i/>
                <w:iCs/>
              </w:rPr>
              <w:t>до &lt;1/100)</w:t>
            </w:r>
          </w:p>
        </w:tc>
        <w:tc>
          <w:tcPr>
            <w:tcW w:w="2302" w:type="dxa"/>
          </w:tcPr>
          <w:p w14:paraId="413D70BA" w14:textId="5CC9DC1E" w:rsidR="000D0CFC" w:rsidRPr="000D0CFC" w:rsidRDefault="000D0CFC" w:rsidP="000D0CFC">
            <w:pPr>
              <w:spacing w:line="240" w:lineRule="auto"/>
              <w:rPr>
                <w:rFonts w:eastAsia="Times New Roman" w:cs="Arial"/>
              </w:rPr>
            </w:pPr>
            <w:r w:rsidRPr="000D0CFC">
              <w:t>С неизвестна честота* (от наличните данни не може да бъде направена оценка)</w:t>
            </w:r>
          </w:p>
        </w:tc>
      </w:tr>
      <w:tr w:rsidR="000D0CFC" w14:paraId="4EBA2DC9" w14:textId="77777777" w:rsidTr="000D0CFC">
        <w:tc>
          <w:tcPr>
            <w:tcW w:w="1893" w:type="dxa"/>
          </w:tcPr>
          <w:p w14:paraId="26A45157" w14:textId="470E65DB" w:rsidR="000D0CFC" w:rsidRPr="000D0CFC" w:rsidRDefault="000D0CFC" w:rsidP="000D0CFC">
            <w:pPr>
              <w:spacing w:line="240" w:lineRule="auto"/>
              <w:rPr>
                <w:rFonts w:eastAsia="Times New Roman" w:cs="Arial"/>
              </w:rPr>
            </w:pPr>
            <w:r w:rsidRPr="000D0CFC">
              <w:t>Инфекции и инфестации</w:t>
            </w:r>
          </w:p>
        </w:tc>
        <w:tc>
          <w:tcPr>
            <w:tcW w:w="1021" w:type="dxa"/>
          </w:tcPr>
          <w:p w14:paraId="08D13746" w14:textId="77777777" w:rsidR="000D0CFC" w:rsidRPr="000D0CFC" w:rsidRDefault="000D0CFC" w:rsidP="000D0CFC">
            <w:pPr>
              <w:spacing w:line="240" w:lineRule="auto"/>
              <w:rPr>
                <w:rFonts w:eastAsia="Times New Roman" w:cs="Arial"/>
              </w:rPr>
            </w:pPr>
          </w:p>
        </w:tc>
        <w:tc>
          <w:tcPr>
            <w:tcW w:w="1836" w:type="dxa"/>
          </w:tcPr>
          <w:p w14:paraId="5D42228A" w14:textId="77777777" w:rsidR="000D0CFC" w:rsidRPr="000D0CFC" w:rsidRDefault="000D0CFC" w:rsidP="000D0CFC">
            <w:pPr>
              <w:spacing w:line="240" w:lineRule="auto"/>
              <w:rPr>
                <w:rFonts w:eastAsia="Times New Roman" w:cs="Arial"/>
              </w:rPr>
            </w:pPr>
          </w:p>
        </w:tc>
        <w:tc>
          <w:tcPr>
            <w:tcW w:w="2524" w:type="dxa"/>
          </w:tcPr>
          <w:p w14:paraId="4D33E51E" w14:textId="0E665F2C" w:rsidR="000D0CFC" w:rsidRPr="000D0CFC" w:rsidRDefault="000D0CFC" w:rsidP="000D0CFC">
            <w:pPr>
              <w:spacing w:line="240" w:lineRule="auto"/>
              <w:rPr>
                <w:rFonts w:eastAsia="Times New Roman" w:cs="Arial"/>
              </w:rPr>
            </w:pPr>
            <w:r w:rsidRPr="000D0CFC">
              <w:t>Целулит</w:t>
            </w:r>
            <w:r w:rsidRPr="000D0CFC">
              <w:rPr>
                <w:vertAlign w:val="superscript"/>
              </w:rPr>
              <w:t>1</w:t>
            </w:r>
            <w:r w:rsidRPr="000D0CFC">
              <w:t>, кандидиаза, гастроентерит</w:t>
            </w:r>
            <w:r w:rsidRPr="000D0CFC">
              <w:rPr>
                <w:vertAlign w:val="superscript"/>
              </w:rPr>
              <w:t>2</w:t>
            </w:r>
            <w:r w:rsidRPr="000D0CFC">
              <w:t>, инфекция</w:t>
            </w:r>
            <w:r w:rsidRPr="000D0CFC">
              <w:rPr>
                <w:vertAlign w:val="superscript"/>
              </w:rPr>
              <w:t>3</w:t>
            </w:r>
            <w:r w:rsidRPr="000D0CFC">
              <w:t>, вагинални инфекции</w:t>
            </w:r>
          </w:p>
        </w:tc>
        <w:tc>
          <w:tcPr>
            <w:tcW w:w="2302" w:type="dxa"/>
          </w:tcPr>
          <w:p w14:paraId="5AE999B2" w14:textId="085DE1F2" w:rsidR="000D0CFC" w:rsidRPr="000D0CFC" w:rsidRDefault="000D0CFC" w:rsidP="000D0CFC">
            <w:pPr>
              <w:spacing w:line="240" w:lineRule="auto"/>
              <w:rPr>
                <w:rFonts w:eastAsia="Times New Roman" w:cs="Arial"/>
              </w:rPr>
            </w:pPr>
            <w:r w:rsidRPr="000D0CFC">
              <w:t>Псевдомембранозен колит, еризипел,</w:t>
            </w:r>
          </w:p>
        </w:tc>
      </w:tr>
      <w:tr w:rsidR="000D0CFC" w14:paraId="7824AD87" w14:textId="77777777" w:rsidTr="000D0CFC">
        <w:tc>
          <w:tcPr>
            <w:tcW w:w="1893" w:type="dxa"/>
          </w:tcPr>
          <w:p w14:paraId="577B55FA" w14:textId="14B1B4EB" w:rsidR="000D0CFC" w:rsidRPr="000D0CFC" w:rsidRDefault="000D0CFC" w:rsidP="000D0CFC">
            <w:pPr>
              <w:spacing w:line="240" w:lineRule="auto"/>
              <w:rPr>
                <w:rFonts w:eastAsia="Times New Roman" w:cs="Arial"/>
              </w:rPr>
            </w:pPr>
            <w:r w:rsidRPr="000D0CFC">
              <w:t>Нарушения на кръвта и лимфната система</w:t>
            </w:r>
          </w:p>
        </w:tc>
        <w:tc>
          <w:tcPr>
            <w:tcW w:w="1021" w:type="dxa"/>
          </w:tcPr>
          <w:p w14:paraId="319E4F7B" w14:textId="77777777" w:rsidR="000D0CFC" w:rsidRPr="000D0CFC" w:rsidRDefault="000D0CFC" w:rsidP="000D0CFC">
            <w:pPr>
              <w:spacing w:line="240" w:lineRule="auto"/>
              <w:rPr>
                <w:rFonts w:eastAsia="Times New Roman" w:cs="Arial"/>
              </w:rPr>
            </w:pPr>
          </w:p>
        </w:tc>
        <w:tc>
          <w:tcPr>
            <w:tcW w:w="1836" w:type="dxa"/>
          </w:tcPr>
          <w:p w14:paraId="215BFE99" w14:textId="77777777" w:rsidR="000D0CFC" w:rsidRPr="000D0CFC" w:rsidRDefault="000D0CFC" w:rsidP="000D0CFC">
            <w:pPr>
              <w:spacing w:line="240" w:lineRule="auto"/>
              <w:rPr>
                <w:rFonts w:eastAsia="Times New Roman" w:cs="Arial"/>
              </w:rPr>
            </w:pPr>
          </w:p>
        </w:tc>
        <w:tc>
          <w:tcPr>
            <w:tcW w:w="2524" w:type="dxa"/>
          </w:tcPr>
          <w:p w14:paraId="6142F00C" w14:textId="00765119" w:rsidR="000D0CFC" w:rsidRPr="000D0CFC" w:rsidRDefault="000D0CFC" w:rsidP="000D0CFC">
            <w:pPr>
              <w:spacing w:line="240" w:lineRule="auto"/>
              <w:rPr>
                <w:rFonts w:eastAsia="Times New Roman" w:cs="Arial"/>
              </w:rPr>
            </w:pPr>
            <w:r w:rsidRPr="000D0CFC">
              <w:t>Левкопения, неутропения</w:t>
            </w:r>
            <w:r w:rsidRPr="000D0CFC">
              <w:rPr>
                <w:vertAlign w:val="superscript"/>
              </w:rPr>
              <w:t>4</w:t>
            </w:r>
            <w:r w:rsidRPr="000D0CFC">
              <w:t>, тромбоцитемия</w:t>
            </w:r>
            <w:r w:rsidRPr="000D0CFC">
              <w:rPr>
                <w:vertAlign w:val="superscript"/>
              </w:rPr>
              <w:t>3</w:t>
            </w:r>
            <w:r w:rsidRPr="000D0CFC">
              <w:t>, еозинофилия</w:t>
            </w:r>
            <w:r w:rsidRPr="000D0CFC">
              <w:rPr>
                <w:vertAlign w:val="superscript"/>
              </w:rPr>
              <w:t>4</w:t>
            </w:r>
          </w:p>
        </w:tc>
        <w:tc>
          <w:tcPr>
            <w:tcW w:w="2302" w:type="dxa"/>
          </w:tcPr>
          <w:p w14:paraId="5FFFEC9A" w14:textId="5611E8A0" w:rsidR="000D0CFC" w:rsidRPr="000D0CFC" w:rsidRDefault="000D0CFC" w:rsidP="000D0CFC">
            <w:pPr>
              <w:spacing w:line="240" w:lineRule="auto"/>
              <w:rPr>
                <w:rFonts w:eastAsia="Times New Roman" w:cs="Arial"/>
              </w:rPr>
            </w:pPr>
            <w:r w:rsidRPr="000D0CFC">
              <w:t>Агранулоцитоза, тромбоцитопения</w:t>
            </w:r>
          </w:p>
        </w:tc>
      </w:tr>
      <w:tr w:rsidR="000D0CFC" w14:paraId="1CD5749A" w14:textId="77777777" w:rsidTr="000D0CFC">
        <w:tc>
          <w:tcPr>
            <w:tcW w:w="1893" w:type="dxa"/>
          </w:tcPr>
          <w:p w14:paraId="32220F3A" w14:textId="081612FA" w:rsidR="000D0CFC" w:rsidRPr="000D0CFC" w:rsidRDefault="000D0CFC" w:rsidP="000D0CFC">
            <w:pPr>
              <w:spacing w:line="240" w:lineRule="auto"/>
              <w:rPr>
                <w:rFonts w:eastAsia="Times New Roman" w:cs="Arial"/>
              </w:rPr>
            </w:pPr>
            <w:r w:rsidRPr="000D0CFC">
              <w:t>Нарушения на имунната система</w:t>
            </w:r>
          </w:p>
        </w:tc>
        <w:tc>
          <w:tcPr>
            <w:tcW w:w="1021" w:type="dxa"/>
          </w:tcPr>
          <w:p w14:paraId="5FAEEF39" w14:textId="77777777" w:rsidR="000D0CFC" w:rsidRPr="000D0CFC" w:rsidRDefault="000D0CFC" w:rsidP="000D0CFC">
            <w:pPr>
              <w:spacing w:line="240" w:lineRule="auto"/>
              <w:rPr>
                <w:rFonts w:eastAsia="Times New Roman" w:cs="Arial"/>
              </w:rPr>
            </w:pPr>
          </w:p>
        </w:tc>
        <w:tc>
          <w:tcPr>
            <w:tcW w:w="1836" w:type="dxa"/>
          </w:tcPr>
          <w:p w14:paraId="551C3EAA" w14:textId="77777777" w:rsidR="000D0CFC" w:rsidRPr="000D0CFC" w:rsidRDefault="000D0CFC" w:rsidP="000D0CFC">
            <w:pPr>
              <w:spacing w:line="240" w:lineRule="auto"/>
              <w:rPr>
                <w:rFonts w:eastAsia="Times New Roman" w:cs="Arial"/>
              </w:rPr>
            </w:pPr>
          </w:p>
        </w:tc>
        <w:tc>
          <w:tcPr>
            <w:tcW w:w="2524" w:type="dxa"/>
          </w:tcPr>
          <w:p w14:paraId="379CDB3F" w14:textId="51E2BF62" w:rsidR="000D0CFC" w:rsidRPr="000D0CFC" w:rsidRDefault="000D0CFC" w:rsidP="000D0CFC">
            <w:pPr>
              <w:spacing w:line="240" w:lineRule="auto"/>
              <w:rPr>
                <w:rFonts w:eastAsia="Times New Roman" w:cs="Arial"/>
              </w:rPr>
            </w:pPr>
            <w:r w:rsidRPr="000D0CFC">
              <w:t>Анафилактоидна реакция</w:t>
            </w:r>
            <w:r w:rsidRPr="000D0CFC">
              <w:rPr>
                <w:vertAlign w:val="superscript"/>
              </w:rPr>
              <w:t>1</w:t>
            </w:r>
            <w:r w:rsidRPr="000D0CFC">
              <w:t>, свръхчувствителност</w:t>
            </w:r>
          </w:p>
        </w:tc>
        <w:tc>
          <w:tcPr>
            <w:tcW w:w="2302" w:type="dxa"/>
          </w:tcPr>
          <w:p w14:paraId="1793D169" w14:textId="02D50625" w:rsidR="000D0CFC" w:rsidRPr="000D0CFC" w:rsidRDefault="000D0CFC" w:rsidP="000D0CFC">
            <w:pPr>
              <w:spacing w:line="240" w:lineRule="auto"/>
              <w:rPr>
                <w:rFonts w:eastAsia="Times New Roman" w:cs="Arial"/>
              </w:rPr>
            </w:pPr>
            <w:r w:rsidRPr="000D0CFC">
              <w:t>Анафилактична реакция, ангиоедем</w:t>
            </w:r>
          </w:p>
        </w:tc>
      </w:tr>
      <w:tr w:rsidR="000D0CFC" w14:paraId="047580B4" w14:textId="77777777" w:rsidTr="000D0CFC">
        <w:tc>
          <w:tcPr>
            <w:tcW w:w="1893" w:type="dxa"/>
          </w:tcPr>
          <w:p w14:paraId="43E6E80D" w14:textId="4159705D" w:rsidR="000D0CFC" w:rsidRPr="000D0CFC" w:rsidRDefault="000D0CFC" w:rsidP="000D0CFC">
            <w:pPr>
              <w:spacing w:line="240" w:lineRule="auto"/>
              <w:rPr>
                <w:rFonts w:eastAsia="Times New Roman" w:cs="Arial"/>
              </w:rPr>
            </w:pPr>
            <w:r w:rsidRPr="000D0CFC">
              <w:t>Нарушения на метаболизма и храненето</w:t>
            </w:r>
          </w:p>
        </w:tc>
        <w:tc>
          <w:tcPr>
            <w:tcW w:w="1021" w:type="dxa"/>
          </w:tcPr>
          <w:p w14:paraId="0C6105BB" w14:textId="77777777" w:rsidR="000D0CFC" w:rsidRPr="000D0CFC" w:rsidRDefault="000D0CFC" w:rsidP="000D0CFC">
            <w:pPr>
              <w:spacing w:line="240" w:lineRule="auto"/>
              <w:rPr>
                <w:rFonts w:eastAsia="Times New Roman" w:cs="Arial"/>
              </w:rPr>
            </w:pPr>
          </w:p>
        </w:tc>
        <w:tc>
          <w:tcPr>
            <w:tcW w:w="1836" w:type="dxa"/>
          </w:tcPr>
          <w:p w14:paraId="01258398" w14:textId="77777777" w:rsidR="000D0CFC" w:rsidRPr="000D0CFC" w:rsidRDefault="000D0CFC" w:rsidP="000D0CFC">
            <w:pPr>
              <w:spacing w:line="240" w:lineRule="auto"/>
              <w:rPr>
                <w:rFonts w:eastAsia="Times New Roman" w:cs="Arial"/>
              </w:rPr>
            </w:pPr>
          </w:p>
        </w:tc>
        <w:tc>
          <w:tcPr>
            <w:tcW w:w="2524" w:type="dxa"/>
          </w:tcPr>
          <w:p w14:paraId="17361B96" w14:textId="1F387F19" w:rsidR="000D0CFC" w:rsidRPr="000D0CFC" w:rsidRDefault="000D0CFC" w:rsidP="000D0CFC">
            <w:pPr>
              <w:spacing w:line="240" w:lineRule="auto"/>
              <w:rPr>
                <w:rFonts w:eastAsia="Times New Roman" w:cs="Arial"/>
              </w:rPr>
            </w:pPr>
            <w:r w:rsidRPr="000D0CFC">
              <w:t>Анорексия, понижен апетит</w:t>
            </w:r>
          </w:p>
        </w:tc>
        <w:tc>
          <w:tcPr>
            <w:tcW w:w="2302" w:type="dxa"/>
          </w:tcPr>
          <w:p w14:paraId="11CD1A45" w14:textId="77777777" w:rsidR="000D0CFC" w:rsidRPr="000D0CFC" w:rsidRDefault="000D0CFC" w:rsidP="000D0CFC">
            <w:pPr>
              <w:spacing w:line="240" w:lineRule="auto"/>
              <w:rPr>
                <w:rFonts w:eastAsia="Times New Roman" w:cs="Arial"/>
              </w:rPr>
            </w:pPr>
          </w:p>
        </w:tc>
      </w:tr>
      <w:tr w:rsidR="000D0CFC" w14:paraId="37B53A54" w14:textId="77777777" w:rsidTr="000D0CFC">
        <w:tc>
          <w:tcPr>
            <w:tcW w:w="1893" w:type="dxa"/>
          </w:tcPr>
          <w:p w14:paraId="2AD73AFE" w14:textId="0506E46F" w:rsidR="000D0CFC" w:rsidRPr="000D0CFC" w:rsidRDefault="000D0CFC" w:rsidP="000D0CFC">
            <w:pPr>
              <w:spacing w:line="240" w:lineRule="auto"/>
              <w:rPr>
                <w:rFonts w:eastAsia="Times New Roman" w:cs="Arial"/>
              </w:rPr>
            </w:pPr>
            <w:r w:rsidRPr="000D0CFC">
              <w:t>Психични нарушения</w:t>
            </w:r>
          </w:p>
        </w:tc>
        <w:tc>
          <w:tcPr>
            <w:tcW w:w="1021" w:type="dxa"/>
          </w:tcPr>
          <w:p w14:paraId="1DFEE9F2" w14:textId="77777777" w:rsidR="000D0CFC" w:rsidRPr="000D0CFC" w:rsidRDefault="000D0CFC" w:rsidP="000D0CFC">
            <w:pPr>
              <w:spacing w:line="240" w:lineRule="auto"/>
              <w:rPr>
                <w:rFonts w:eastAsia="Times New Roman" w:cs="Arial"/>
              </w:rPr>
            </w:pPr>
          </w:p>
        </w:tc>
        <w:tc>
          <w:tcPr>
            <w:tcW w:w="1836" w:type="dxa"/>
          </w:tcPr>
          <w:p w14:paraId="5761A591" w14:textId="747617AA" w:rsidR="000D0CFC" w:rsidRPr="000D0CFC" w:rsidRDefault="000D0CFC" w:rsidP="000D0CFC">
            <w:pPr>
              <w:spacing w:line="240" w:lineRule="auto"/>
              <w:rPr>
                <w:rFonts w:eastAsia="Times New Roman" w:cs="Arial"/>
              </w:rPr>
            </w:pPr>
            <w:r w:rsidRPr="000D0CFC">
              <w:t>Безсъние</w:t>
            </w:r>
          </w:p>
        </w:tc>
        <w:tc>
          <w:tcPr>
            <w:tcW w:w="2524" w:type="dxa"/>
          </w:tcPr>
          <w:p w14:paraId="58199A28" w14:textId="7176CE70" w:rsidR="000D0CFC" w:rsidRPr="000D0CFC" w:rsidRDefault="000D0CFC" w:rsidP="000D0CFC">
            <w:pPr>
              <w:spacing w:line="240" w:lineRule="auto"/>
              <w:rPr>
                <w:rFonts w:eastAsia="Times New Roman" w:cs="Arial"/>
              </w:rPr>
            </w:pPr>
            <w:r w:rsidRPr="000D0CFC">
              <w:t>Тревожност, нервност</w:t>
            </w:r>
            <w:r w:rsidRPr="000D0CFC">
              <w:rPr>
                <w:vertAlign w:val="superscript"/>
              </w:rPr>
              <w:t>3</w:t>
            </w:r>
            <w:r w:rsidRPr="000D0CFC">
              <w:t>,</w:t>
            </w:r>
          </w:p>
        </w:tc>
        <w:tc>
          <w:tcPr>
            <w:tcW w:w="2302" w:type="dxa"/>
          </w:tcPr>
          <w:p w14:paraId="693BD708" w14:textId="75DA9E4A" w:rsidR="000D0CFC" w:rsidRPr="000D0CFC" w:rsidRDefault="000D0CFC" w:rsidP="000D0CFC">
            <w:pPr>
              <w:spacing w:line="240" w:lineRule="auto"/>
              <w:rPr>
                <w:rFonts w:eastAsia="Times New Roman" w:cs="Arial"/>
              </w:rPr>
            </w:pPr>
            <w:r w:rsidRPr="000D0CFC">
              <w:t>Психотични нарушения, състояние на обърканост, деперсонализация, депресия, дезориентация, халюцинация, необичайни сънища, мания</w:t>
            </w:r>
          </w:p>
        </w:tc>
      </w:tr>
      <w:tr w:rsidR="000D0CFC" w14:paraId="63244034" w14:textId="77777777" w:rsidTr="000D0CFC">
        <w:tc>
          <w:tcPr>
            <w:tcW w:w="1893" w:type="dxa"/>
          </w:tcPr>
          <w:p w14:paraId="3E8B7BFC" w14:textId="5EF7639C" w:rsidR="000D0CFC" w:rsidRPr="000D0CFC" w:rsidRDefault="000D0CFC" w:rsidP="000D0CFC">
            <w:pPr>
              <w:spacing w:line="240" w:lineRule="auto"/>
              <w:rPr>
                <w:rFonts w:eastAsia="Times New Roman" w:cs="Arial"/>
              </w:rPr>
            </w:pPr>
            <w:r w:rsidRPr="000D0CFC">
              <w:lastRenderedPageBreak/>
              <w:t>Нарушения на нервната система</w:t>
            </w:r>
          </w:p>
        </w:tc>
        <w:tc>
          <w:tcPr>
            <w:tcW w:w="1021" w:type="dxa"/>
          </w:tcPr>
          <w:p w14:paraId="082059BA" w14:textId="77777777" w:rsidR="000D0CFC" w:rsidRPr="000D0CFC" w:rsidRDefault="000D0CFC" w:rsidP="000D0CFC">
            <w:pPr>
              <w:spacing w:line="240" w:lineRule="auto"/>
              <w:rPr>
                <w:rFonts w:eastAsia="Times New Roman" w:cs="Arial"/>
              </w:rPr>
            </w:pPr>
          </w:p>
        </w:tc>
        <w:tc>
          <w:tcPr>
            <w:tcW w:w="1836" w:type="dxa"/>
          </w:tcPr>
          <w:p w14:paraId="5C1EEC9E" w14:textId="53B532B5" w:rsidR="000D0CFC" w:rsidRPr="000D0CFC" w:rsidRDefault="000D0CFC" w:rsidP="000D0CFC">
            <w:pPr>
              <w:spacing w:line="240" w:lineRule="auto"/>
              <w:rPr>
                <w:rFonts w:eastAsia="Times New Roman" w:cs="Arial"/>
              </w:rPr>
            </w:pPr>
            <w:r w:rsidRPr="000D0CFC">
              <w:t>Дисгеузия главоболие</w:t>
            </w:r>
          </w:p>
        </w:tc>
        <w:tc>
          <w:tcPr>
            <w:tcW w:w="2524" w:type="dxa"/>
          </w:tcPr>
          <w:p w14:paraId="29683E25" w14:textId="69673E31" w:rsidR="000D0CFC" w:rsidRPr="000D0CFC" w:rsidRDefault="000D0CFC" w:rsidP="000D0CFC">
            <w:pPr>
              <w:spacing w:line="240" w:lineRule="auto"/>
              <w:rPr>
                <w:rFonts w:eastAsia="Times New Roman" w:cs="Arial"/>
              </w:rPr>
            </w:pPr>
            <w:r w:rsidRPr="000D0CFC">
              <w:t>Загуба на съзнание</w:t>
            </w:r>
            <w:r w:rsidRPr="000D0CFC">
              <w:rPr>
                <w:vertAlign w:val="superscript"/>
              </w:rPr>
              <w:t>1</w:t>
            </w:r>
            <w:r w:rsidRPr="000D0CFC">
              <w:t>, дискинезия</w:t>
            </w:r>
            <w:r w:rsidRPr="000D0CFC">
              <w:rPr>
                <w:vertAlign w:val="superscript"/>
              </w:rPr>
              <w:t>1</w:t>
            </w:r>
            <w:r w:rsidRPr="000D0CFC">
              <w:t>, замаяност, сънливост, тремор</w:t>
            </w:r>
          </w:p>
        </w:tc>
        <w:tc>
          <w:tcPr>
            <w:tcW w:w="2302" w:type="dxa"/>
          </w:tcPr>
          <w:p w14:paraId="1F24D5A1" w14:textId="38C9C1FB" w:rsidR="000D0CFC" w:rsidRPr="000D0CFC" w:rsidRDefault="000D0CFC" w:rsidP="000D0CFC">
            <w:pPr>
              <w:spacing w:line="240" w:lineRule="auto"/>
              <w:rPr>
                <w:rFonts w:eastAsia="Times New Roman" w:cs="Arial"/>
              </w:rPr>
            </w:pPr>
            <w:r w:rsidRPr="000D0CFC">
              <w:t>Конвулсии, агеузия, паросмия, аносмия, парестезия</w:t>
            </w:r>
          </w:p>
        </w:tc>
      </w:tr>
      <w:tr w:rsidR="000D0CFC" w14:paraId="23F5C4CF" w14:textId="77777777" w:rsidTr="000D0CFC">
        <w:tc>
          <w:tcPr>
            <w:tcW w:w="1893" w:type="dxa"/>
          </w:tcPr>
          <w:p w14:paraId="00BFE602" w14:textId="2F238E68" w:rsidR="000D0CFC" w:rsidRPr="000D0CFC" w:rsidRDefault="000D0CFC" w:rsidP="000D0CFC">
            <w:pPr>
              <w:spacing w:line="240" w:lineRule="auto"/>
              <w:rPr>
                <w:rFonts w:eastAsia="Times New Roman" w:cs="Arial"/>
              </w:rPr>
            </w:pPr>
            <w:r w:rsidRPr="000D0CFC">
              <w:t>Нарушения на ухото и лабиринта</w:t>
            </w:r>
          </w:p>
        </w:tc>
        <w:tc>
          <w:tcPr>
            <w:tcW w:w="1021" w:type="dxa"/>
          </w:tcPr>
          <w:p w14:paraId="5CE78968" w14:textId="77777777" w:rsidR="000D0CFC" w:rsidRPr="000D0CFC" w:rsidRDefault="000D0CFC" w:rsidP="000D0CFC">
            <w:pPr>
              <w:spacing w:line="240" w:lineRule="auto"/>
              <w:rPr>
                <w:rFonts w:eastAsia="Times New Roman" w:cs="Arial"/>
              </w:rPr>
            </w:pPr>
          </w:p>
        </w:tc>
        <w:tc>
          <w:tcPr>
            <w:tcW w:w="1836" w:type="dxa"/>
          </w:tcPr>
          <w:p w14:paraId="398F3AD7" w14:textId="77777777" w:rsidR="000D0CFC" w:rsidRPr="000D0CFC" w:rsidRDefault="000D0CFC" w:rsidP="000D0CFC">
            <w:pPr>
              <w:spacing w:line="240" w:lineRule="auto"/>
              <w:rPr>
                <w:rFonts w:eastAsia="Times New Roman" w:cs="Arial"/>
              </w:rPr>
            </w:pPr>
          </w:p>
        </w:tc>
        <w:tc>
          <w:tcPr>
            <w:tcW w:w="2524" w:type="dxa"/>
          </w:tcPr>
          <w:p w14:paraId="46D12A2A" w14:textId="021AE58E" w:rsidR="000D0CFC" w:rsidRPr="000D0CFC" w:rsidRDefault="000D0CFC" w:rsidP="000D0CFC">
            <w:pPr>
              <w:spacing w:line="240" w:lineRule="auto"/>
              <w:rPr>
                <w:rFonts w:eastAsia="Times New Roman" w:cs="Arial"/>
              </w:rPr>
            </w:pPr>
            <w:r w:rsidRPr="000D0CFC">
              <w:t>Вертиго, нарушения на слуха, тинитус</w:t>
            </w:r>
          </w:p>
        </w:tc>
        <w:tc>
          <w:tcPr>
            <w:tcW w:w="2302" w:type="dxa"/>
          </w:tcPr>
          <w:p w14:paraId="614B61DA" w14:textId="5CE52DC9" w:rsidR="000D0CFC" w:rsidRPr="000D0CFC" w:rsidRDefault="000D0CFC" w:rsidP="000D0CFC">
            <w:pPr>
              <w:spacing w:line="240" w:lineRule="auto"/>
              <w:rPr>
                <w:rFonts w:eastAsia="Times New Roman" w:cs="Arial"/>
              </w:rPr>
            </w:pPr>
            <w:r w:rsidRPr="000D0CFC">
              <w:t>Глухота</w:t>
            </w:r>
          </w:p>
        </w:tc>
      </w:tr>
      <w:tr w:rsidR="000D0CFC" w14:paraId="212710EB" w14:textId="77777777" w:rsidTr="000D0CFC">
        <w:tc>
          <w:tcPr>
            <w:tcW w:w="1893" w:type="dxa"/>
          </w:tcPr>
          <w:p w14:paraId="268C0028" w14:textId="5F1A5083" w:rsidR="000D0CFC" w:rsidRPr="000D0CFC" w:rsidRDefault="000D0CFC" w:rsidP="000D0CFC">
            <w:pPr>
              <w:spacing w:line="240" w:lineRule="auto"/>
              <w:rPr>
                <w:rFonts w:eastAsia="Times New Roman" w:cs="Arial"/>
              </w:rPr>
            </w:pPr>
            <w:r w:rsidRPr="000D0CFC">
              <w:t>Сърдечни нарушения</w:t>
            </w:r>
          </w:p>
        </w:tc>
        <w:tc>
          <w:tcPr>
            <w:tcW w:w="1021" w:type="dxa"/>
          </w:tcPr>
          <w:p w14:paraId="63EED8E5" w14:textId="77777777" w:rsidR="000D0CFC" w:rsidRPr="000D0CFC" w:rsidRDefault="000D0CFC" w:rsidP="000D0CFC">
            <w:pPr>
              <w:spacing w:line="240" w:lineRule="auto"/>
              <w:rPr>
                <w:rFonts w:eastAsia="Times New Roman" w:cs="Arial"/>
              </w:rPr>
            </w:pPr>
          </w:p>
        </w:tc>
        <w:tc>
          <w:tcPr>
            <w:tcW w:w="1836" w:type="dxa"/>
          </w:tcPr>
          <w:p w14:paraId="5D03A547" w14:textId="77777777" w:rsidR="000D0CFC" w:rsidRPr="000D0CFC" w:rsidRDefault="000D0CFC" w:rsidP="000D0CFC">
            <w:pPr>
              <w:spacing w:line="240" w:lineRule="auto"/>
              <w:rPr>
                <w:rFonts w:eastAsia="Times New Roman" w:cs="Arial"/>
              </w:rPr>
            </w:pPr>
          </w:p>
        </w:tc>
        <w:tc>
          <w:tcPr>
            <w:tcW w:w="2524" w:type="dxa"/>
          </w:tcPr>
          <w:p w14:paraId="6FE877B2" w14:textId="0F8F8FEE" w:rsidR="000D0CFC" w:rsidRPr="000D0CFC" w:rsidRDefault="000D0CFC" w:rsidP="000D0CFC">
            <w:pPr>
              <w:spacing w:line="240" w:lineRule="auto"/>
              <w:rPr>
                <w:rFonts w:eastAsia="Times New Roman" w:cs="Arial"/>
              </w:rPr>
            </w:pPr>
            <w:r w:rsidRPr="000D0CFC">
              <w:t>Сърдечен арест</w:t>
            </w:r>
            <w:r w:rsidRPr="000D0CFC">
              <w:rPr>
                <w:vertAlign w:val="superscript"/>
              </w:rPr>
              <w:t>1</w:t>
            </w:r>
            <w:r w:rsidRPr="000D0CFC">
              <w:t>, предсърдно мъждене</w:t>
            </w:r>
            <w:r w:rsidRPr="000D0CFC">
              <w:rPr>
                <w:vertAlign w:val="superscript"/>
              </w:rPr>
              <w:t>1</w:t>
            </w:r>
            <w:r w:rsidRPr="000D0CFC">
              <w:t xml:space="preserve">, удължен </w:t>
            </w:r>
            <w:r w:rsidRPr="000D0CFC">
              <w:rPr>
                <w:lang w:val="en-US"/>
              </w:rPr>
              <w:t>QT</w:t>
            </w:r>
            <w:r w:rsidRPr="000D0CFC">
              <w:rPr>
                <w:lang w:val="ru-RU"/>
              </w:rPr>
              <w:t xml:space="preserve"> </w:t>
            </w:r>
            <w:r w:rsidRPr="000D0CFC">
              <w:t>в ЕКГ, екстрасистоли</w:t>
            </w:r>
            <w:r w:rsidRPr="000D0CFC">
              <w:rPr>
                <w:vertAlign w:val="superscript"/>
              </w:rPr>
              <w:t>1</w:t>
            </w:r>
            <w:r w:rsidRPr="000D0CFC">
              <w:t>, палпитации</w:t>
            </w:r>
          </w:p>
        </w:tc>
        <w:tc>
          <w:tcPr>
            <w:tcW w:w="2302" w:type="dxa"/>
          </w:tcPr>
          <w:p w14:paraId="4444DEE0" w14:textId="119144E0" w:rsidR="000D0CFC" w:rsidRPr="000D0CFC" w:rsidRDefault="000D0CFC" w:rsidP="000D0CFC">
            <w:pPr>
              <w:spacing w:line="240" w:lineRule="auto"/>
              <w:rPr>
                <w:rFonts w:eastAsia="Times New Roman" w:cs="Arial"/>
              </w:rPr>
            </w:pPr>
            <w:r w:rsidRPr="000D0CFC">
              <w:rPr>
                <w:i/>
                <w:iCs/>
                <w:lang w:val="en-US"/>
              </w:rPr>
              <w:t>Torsade</w:t>
            </w:r>
            <w:r w:rsidRPr="000D0CFC">
              <w:rPr>
                <w:i/>
                <w:iCs/>
                <w:lang w:val="ru-RU"/>
              </w:rPr>
              <w:t xml:space="preserve"> </w:t>
            </w:r>
            <w:r w:rsidRPr="000D0CFC">
              <w:rPr>
                <w:i/>
                <w:iCs/>
                <w:lang w:val="en-US"/>
              </w:rPr>
              <w:t>de</w:t>
            </w:r>
            <w:r w:rsidRPr="000D0CFC">
              <w:rPr>
                <w:i/>
                <w:iCs/>
                <w:lang w:val="ru-RU"/>
              </w:rPr>
              <w:t xml:space="preserve"> </w:t>
            </w:r>
            <w:r w:rsidRPr="000D0CFC">
              <w:rPr>
                <w:i/>
                <w:iCs/>
                <w:lang w:val="en-US"/>
              </w:rPr>
              <w:t>pointes</w:t>
            </w:r>
            <w:r w:rsidRPr="000D0CFC">
              <w:rPr>
                <w:i/>
                <w:iCs/>
                <w:lang w:val="ru-RU"/>
              </w:rPr>
              <w:t xml:space="preserve">, </w:t>
            </w:r>
            <w:r w:rsidRPr="000D0CFC">
              <w:t>камерна тахикардия, камерно мъждене</w:t>
            </w:r>
          </w:p>
        </w:tc>
      </w:tr>
      <w:tr w:rsidR="000D0CFC" w14:paraId="032CB635" w14:textId="77777777" w:rsidTr="000D0CFC">
        <w:tc>
          <w:tcPr>
            <w:tcW w:w="1893" w:type="dxa"/>
          </w:tcPr>
          <w:p w14:paraId="72C0BD2B" w14:textId="0D0C0DAF" w:rsidR="000D0CFC" w:rsidRPr="000D0CFC" w:rsidRDefault="000D0CFC" w:rsidP="000D0CFC">
            <w:pPr>
              <w:spacing w:line="240" w:lineRule="auto"/>
              <w:rPr>
                <w:rFonts w:eastAsia="Times New Roman" w:cs="Arial"/>
              </w:rPr>
            </w:pPr>
            <w:r w:rsidRPr="000D0CFC">
              <w:t>Съдови нарушения</w:t>
            </w:r>
          </w:p>
        </w:tc>
        <w:tc>
          <w:tcPr>
            <w:tcW w:w="1021" w:type="dxa"/>
          </w:tcPr>
          <w:p w14:paraId="6726047E" w14:textId="77777777" w:rsidR="000D0CFC" w:rsidRPr="000D0CFC" w:rsidRDefault="000D0CFC" w:rsidP="000D0CFC">
            <w:pPr>
              <w:spacing w:line="240" w:lineRule="auto"/>
              <w:rPr>
                <w:rFonts w:eastAsia="Times New Roman" w:cs="Arial"/>
              </w:rPr>
            </w:pPr>
          </w:p>
        </w:tc>
        <w:tc>
          <w:tcPr>
            <w:tcW w:w="1836" w:type="dxa"/>
          </w:tcPr>
          <w:p w14:paraId="388748F0" w14:textId="2275B0EB" w:rsidR="000D0CFC" w:rsidRPr="000D0CFC" w:rsidRDefault="000D0CFC" w:rsidP="000D0CFC">
            <w:pPr>
              <w:spacing w:line="240" w:lineRule="auto"/>
              <w:rPr>
                <w:rFonts w:eastAsia="Times New Roman" w:cs="Arial"/>
              </w:rPr>
            </w:pPr>
            <w:r w:rsidRPr="000D0CFC">
              <w:t>Вазодилатация</w:t>
            </w:r>
            <w:r w:rsidRPr="000D0CFC">
              <w:rPr>
                <w:vertAlign w:val="superscript"/>
              </w:rPr>
              <w:t>1</w:t>
            </w:r>
          </w:p>
        </w:tc>
        <w:tc>
          <w:tcPr>
            <w:tcW w:w="2524" w:type="dxa"/>
          </w:tcPr>
          <w:p w14:paraId="3905FFFF" w14:textId="77777777" w:rsidR="000D0CFC" w:rsidRPr="000D0CFC" w:rsidRDefault="000D0CFC" w:rsidP="000D0CFC">
            <w:pPr>
              <w:spacing w:line="240" w:lineRule="auto"/>
              <w:rPr>
                <w:rFonts w:eastAsia="Times New Roman" w:cs="Arial"/>
              </w:rPr>
            </w:pPr>
          </w:p>
        </w:tc>
        <w:tc>
          <w:tcPr>
            <w:tcW w:w="2302" w:type="dxa"/>
          </w:tcPr>
          <w:p w14:paraId="363AA730" w14:textId="1810DFA5" w:rsidR="000D0CFC" w:rsidRPr="000D0CFC" w:rsidRDefault="000D0CFC" w:rsidP="000D0CFC">
            <w:pPr>
              <w:spacing w:line="240" w:lineRule="auto"/>
              <w:rPr>
                <w:rFonts w:eastAsia="Times New Roman" w:cs="Arial"/>
              </w:rPr>
            </w:pPr>
            <w:r w:rsidRPr="000D0CFC">
              <w:t>Хеморагия</w:t>
            </w:r>
          </w:p>
        </w:tc>
      </w:tr>
      <w:tr w:rsidR="000D0CFC" w14:paraId="0F9CF347" w14:textId="77777777" w:rsidTr="000D0CFC">
        <w:tc>
          <w:tcPr>
            <w:tcW w:w="1893" w:type="dxa"/>
          </w:tcPr>
          <w:p w14:paraId="6556B398" w14:textId="5A60803A" w:rsidR="000D0CFC" w:rsidRPr="000D0CFC" w:rsidRDefault="000D0CFC" w:rsidP="000D0CFC">
            <w:pPr>
              <w:spacing w:line="240" w:lineRule="auto"/>
              <w:rPr>
                <w:rFonts w:eastAsia="Times New Roman" w:cs="Arial"/>
              </w:rPr>
            </w:pPr>
            <w:r w:rsidRPr="000D0CFC">
              <w:t>Респираторни, гръдни и медиастинални нарушения</w:t>
            </w:r>
          </w:p>
        </w:tc>
        <w:tc>
          <w:tcPr>
            <w:tcW w:w="1021" w:type="dxa"/>
          </w:tcPr>
          <w:p w14:paraId="4A34ABBB" w14:textId="77777777" w:rsidR="000D0CFC" w:rsidRPr="000D0CFC" w:rsidRDefault="000D0CFC" w:rsidP="000D0CFC">
            <w:pPr>
              <w:spacing w:line="240" w:lineRule="auto"/>
              <w:rPr>
                <w:rFonts w:eastAsia="Times New Roman" w:cs="Arial"/>
              </w:rPr>
            </w:pPr>
          </w:p>
        </w:tc>
        <w:tc>
          <w:tcPr>
            <w:tcW w:w="1836" w:type="dxa"/>
          </w:tcPr>
          <w:p w14:paraId="61AD09C9" w14:textId="77777777" w:rsidR="000D0CFC" w:rsidRPr="000D0CFC" w:rsidRDefault="000D0CFC" w:rsidP="000D0CFC">
            <w:pPr>
              <w:spacing w:line="240" w:lineRule="auto"/>
              <w:rPr>
                <w:rFonts w:eastAsia="Times New Roman" w:cs="Arial"/>
              </w:rPr>
            </w:pPr>
          </w:p>
        </w:tc>
        <w:tc>
          <w:tcPr>
            <w:tcW w:w="2524" w:type="dxa"/>
          </w:tcPr>
          <w:p w14:paraId="465D5097" w14:textId="43240F41" w:rsidR="000D0CFC" w:rsidRPr="000D0CFC" w:rsidRDefault="000D0CFC" w:rsidP="000D0CFC">
            <w:pPr>
              <w:spacing w:line="240" w:lineRule="auto"/>
              <w:rPr>
                <w:rFonts w:eastAsia="Times New Roman" w:cs="Arial"/>
              </w:rPr>
            </w:pPr>
            <w:r w:rsidRPr="000D0CFC">
              <w:t>Астма</w:t>
            </w:r>
            <w:r w:rsidRPr="000D0CFC">
              <w:rPr>
                <w:vertAlign w:val="superscript"/>
              </w:rPr>
              <w:t>1</w:t>
            </w:r>
            <w:r w:rsidRPr="000D0CFC">
              <w:t>, епистаксис</w:t>
            </w:r>
            <w:r w:rsidRPr="000D0CFC">
              <w:rPr>
                <w:vertAlign w:val="superscript"/>
              </w:rPr>
              <w:t>2</w:t>
            </w:r>
            <w:r w:rsidRPr="000D0CFC">
              <w:t>, белодробен емболизъм</w:t>
            </w:r>
            <w:r w:rsidRPr="000D0CFC">
              <w:rPr>
                <w:vertAlign w:val="superscript"/>
              </w:rPr>
              <w:t>1</w:t>
            </w:r>
          </w:p>
        </w:tc>
        <w:tc>
          <w:tcPr>
            <w:tcW w:w="2302" w:type="dxa"/>
          </w:tcPr>
          <w:p w14:paraId="04E99244" w14:textId="77777777" w:rsidR="000D0CFC" w:rsidRPr="000D0CFC" w:rsidRDefault="000D0CFC" w:rsidP="000D0CFC">
            <w:pPr>
              <w:spacing w:line="240" w:lineRule="auto"/>
              <w:rPr>
                <w:rFonts w:eastAsia="Times New Roman" w:cs="Arial"/>
              </w:rPr>
            </w:pPr>
          </w:p>
        </w:tc>
      </w:tr>
      <w:tr w:rsidR="000D0CFC" w14:paraId="4B14B564" w14:textId="77777777" w:rsidTr="000D0CFC">
        <w:tc>
          <w:tcPr>
            <w:tcW w:w="1893" w:type="dxa"/>
          </w:tcPr>
          <w:p w14:paraId="132DA397" w14:textId="596A16D0" w:rsidR="000D0CFC" w:rsidRPr="000D0CFC" w:rsidRDefault="000D0CFC" w:rsidP="000D0CFC">
            <w:pPr>
              <w:spacing w:line="240" w:lineRule="auto"/>
              <w:rPr>
                <w:rFonts w:eastAsia="Times New Roman" w:cs="Arial"/>
              </w:rPr>
            </w:pPr>
            <w:r w:rsidRPr="000D0CFC">
              <w:t>Стомашно-чревни нарушения</w:t>
            </w:r>
          </w:p>
        </w:tc>
        <w:tc>
          <w:tcPr>
            <w:tcW w:w="1021" w:type="dxa"/>
          </w:tcPr>
          <w:p w14:paraId="58E9A58E" w14:textId="77777777" w:rsidR="000D0CFC" w:rsidRPr="000D0CFC" w:rsidRDefault="000D0CFC" w:rsidP="000D0CFC">
            <w:pPr>
              <w:spacing w:line="240" w:lineRule="auto"/>
              <w:rPr>
                <w:rFonts w:eastAsia="Times New Roman" w:cs="Arial"/>
              </w:rPr>
            </w:pPr>
          </w:p>
        </w:tc>
        <w:tc>
          <w:tcPr>
            <w:tcW w:w="1836" w:type="dxa"/>
          </w:tcPr>
          <w:p w14:paraId="1681204A" w14:textId="55FA2079" w:rsidR="000D0CFC" w:rsidRPr="000D0CFC" w:rsidRDefault="000D0CFC" w:rsidP="000D0CFC">
            <w:pPr>
              <w:spacing w:line="240" w:lineRule="auto"/>
              <w:rPr>
                <w:rFonts w:eastAsia="Times New Roman" w:cs="Arial"/>
              </w:rPr>
            </w:pPr>
            <w:r w:rsidRPr="000D0CFC">
              <w:t>Диария, повръщане, диспепсия, гадене, коремна болка</w:t>
            </w:r>
          </w:p>
        </w:tc>
        <w:tc>
          <w:tcPr>
            <w:tcW w:w="2524" w:type="dxa"/>
          </w:tcPr>
          <w:p w14:paraId="72C07957" w14:textId="49E2B7A6" w:rsidR="000D0CFC" w:rsidRPr="000D0CFC" w:rsidRDefault="000D0CFC" w:rsidP="000D0CFC">
            <w:pPr>
              <w:rPr>
                <w:rFonts w:ascii="Times New Roman" w:eastAsia="Times New Roman" w:hAnsi="Times New Roman" w:cs="Times New Roman"/>
                <w:sz w:val="24"/>
                <w:szCs w:val="24"/>
              </w:rPr>
            </w:pPr>
            <w:r w:rsidRPr="000D0CFC">
              <w:t>Езофагит</w:t>
            </w:r>
            <w:r w:rsidRPr="000D0CFC">
              <w:rPr>
                <w:vertAlign w:val="superscript"/>
              </w:rPr>
              <w:t>1</w:t>
            </w:r>
            <w:r w:rsidRPr="000D0CFC">
              <w:t>, гастроезофагеална рефлуксна болест</w:t>
            </w:r>
            <w:r w:rsidRPr="000D0CFC">
              <w:rPr>
                <w:vertAlign w:val="superscript"/>
              </w:rPr>
              <w:t>2</w:t>
            </w:r>
            <w:r w:rsidRPr="000D0CFC">
              <w:t>, гастрит, прокталгия</w:t>
            </w:r>
            <w:r w:rsidRPr="000D0CFC">
              <w:rPr>
                <w:vertAlign w:val="superscript"/>
              </w:rPr>
              <w:t>2</w:t>
            </w:r>
            <w:r w:rsidRPr="000D0CFC">
              <w:t>, стоматит, глосит,</w:t>
            </w:r>
            <w:r>
              <w:rPr>
                <w:sz w:val="20"/>
                <w:szCs w:val="20"/>
              </w:rPr>
              <w:t xml:space="preserve"> </w:t>
            </w:r>
            <w:r w:rsidRPr="000D0CFC">
              <w:rPr>
                <w:lang w:eastAsia="bg-BG"/>
              </w:rPr>
              <w:t>подуване на корема4, констипация, сухота в устата, оригване, флатуленция</w:t>
            </w:r>
          </w:p>
        </w:tc>
        <w:tc>
          <w:tcPr>
            <w:tcW w:w="2302" w:type="dxa"/>
          </w:tcPr>
          <w:p w14:paraId="1B35C153" w14:textId="77777777" w:rsidR="000D0CFC" w:rsidRPr="000D0CFC" w:rsidRDefault="000D0CFC" w:rsidP="000D0CFC">
            <w:r w:rsidRPr="000D0CFC">
              <w:t>Остър панкреатит,</w:t>
            </w:r>
          </w:p>
          <w:p w14:paraId="7846535B" w14:textId="77777777" w:rsidR="000D0CFC" w:rsidRPr="000D0CFC" w:rsidRDefault="000D0CFC" w:rsidP="000D0CFC">
            <w:r w:rsidRPr="000D0CFC">
              <w:t>промени в цвета на</w:t>
            </w:r>
          </w:p>
          <w:p w14:paraId="3CF8D1D4" w14:textId="77777777" w:rsidR="000D0CFC" w:rsidRPr="000D0CFC" w:rsidRDefault="000D0CFC" w:rsidP="000D0CFC">
            <w:r w:rsidRPr="000D0CFC">
              <w:t>езика, промени в цвета</w:t>
            </w:r>
          </w:p>
          <w:p w14:paraId="5CFC033A" w14:textId="309690F3" w:rsidR="000D0CFC" w:rsidRPr="000D0CFC" w:rsidRDefault="000D0CFC" w:rsidP="000D0CFC">
            <w:pPr>
              <w:spacing w:line="240" w:lineRule="auto"/>
              <w:rPr>
                <w:rFonts w:eastAsia="Times New Roman" w:cs="Arial"/>
              </w:rPr>
            </w:pPr>
            <w:r w:rsidRPr="000D0CFC">
              <w:t>на зъбите</w:t>
            </w:r>
          </w:p>
        </w:tc>
      </w:tr>
      <w:tr w:rsidR="000D0CFC" w14:paraId="12D0A070" w14:textId="77777777" w:rsidTr="000D0CFC">
        <w:tc>
          <w:tcPr>
            <w:tcW w:w="1893" w:type="dxa"/>
          </w:tcPr>
          <w:p w14:paraId="747F97B0" w14:textId="10261474" w:rsidR="000D0CFC" w:rsidRPr="000D0CFC" w:rsidRDefault="000D0CFC" w:rsidP="000D0CFC">
            <w:pPr>
              <w:spacing w:line="240" w:lineRule="auto"/>
              <w:rPr>
                <w:rFonts w:eastAsia="Times New Roman" w:cs="Arial"/>
                <w:szCs w:val="24"/>
              </w:rPr>
            </w:pPr>
            <w:r w:rsidRPr="000D0CFC">
              <w:rPr>
                <w:szCs w:val="20"/>
              </w:rPr>
              <w:t>Хепатобилиарни нарушения</w:t>
            </w:r>
          </w:p>
        </w:tc>
        <w:tc>
          <w:tcPr>
            <w:tcW w:w="1021" w:type="dxa"/>
          </w:tcPr>
          <w:p w14:paraId="5DEB3D63" w14:textId="77777777" w:rsidR="000D0CFC" w:rsidRPr="000D0CFC" w:rsidRDefault="000D0CFC" w:rsidP="000D0CFC">
            <w:pPr>
              <w:spacing w:line="240" w:lineRule="auto"/>
              <w:rPr>
                <w:rFonts w:eastAsia="Times New Roman" w:cs="Arial"/>
                <w:szCs w:val="24"/>
              </w:rPr>
            </w:pPr>
          </w:p>
        </w:tc>
        <w:tc>
          <w:tcPr>
            <w:tcW w:w="1836" w:type="dxa"/>
          </w:tcPr>
          <w:p w14:paraId="249EE1F2" w14:textId="1FEB6D66" w:rsidR="000D0CFC" w:rsidRPr="000D0CFC" w:rsidRDefault="000D0CFC" w:rsidP="000D0CFC">
            <w:pPr>
              <w:spacing w:line="240" w:lineRule="auto"/>
              <w:rPr>
                <w:rFonts w:eastAsia="Times New Roman" w:cs="Arial"/>
                <w:szCs w:val="24"/>
              </w:rPr>
            </w:pPr>
            <w:r w:rsidRPr="000D0CFC">
              <w:rPr>
                <w:szCs w:val="20"/>
              </w:rPr>
              <w:t>Абнормен чернодробен функционален тест</w:t>
            </w:r>
          </w:p>
        </w:tc>
        <w:tc>
          <w:tcPr>
            <w:tcW w:w="2524" w:type="dxa"/>
          </w:tcPr>
          <w:p w14:paraId="7E4ED8BA" w14:textId="25D0B1EE" w:rsidR="000D0CFC" w:rsidRPr="000D0CFC" w:rsidRDefault="000D0CFC" w:rsidP="000D0CFC">
            <w:pPr>
              <w:spacing w:line="240" w:lineRule="auto"/>
              <w:rPr>
                <w:rFonts w:eastAsia="Times New Roman" w:cs="Arial"/>
                <w:szCs w:val="24"/>
              </w:rPr>
            </w:pPr>
            <w:r w:rsidRPr="000D0CFC">
              <w:rPr>
                <w:szCs w:val="20"/>
              </w:rPr>
              <w:t>Холестаза</w:t>
            </w:r>
            <w:r w:rsidRPr="000D0CFC">
              <w:rPr>
                <w:szCs w:val="20"/>
                <w:vertAlign w:val="superscript"/>
              </w:rPr>
              <w:t>4</w:t>
            </w:r>
            <w:r w:rsidRPr="000D0CFC">
              <w:rPr>
                <w:szCs w:val="20"/>
              </w:rPr>
              <w:t>, хепатит</w:t>
            </w:r>
            <w:r w:rsidRPr="000D0CFC">
              <w:rPr>
                <w:szCs w:val="20"/>
                <w:vertAlign w:val="superscript"/>
              </w:rPr>
              <w:t>4</w:t>
            </w:r>
            <w:r w:rsidRPr="000D0CFC">
              <w:rPr>
                <w:szCs w:val="20"/>
              </w:rPr>
              <w:t>, повишена аланин аминотрансфераза, повишена аспартат аминотрансфераза, повишена гама- глутамилтрансфераза</w:t>
            </w:r>
            <w:r w:rsidRPr="000D0CFC">
              <w:rPr>
                <w:szCs w:val="20"/>
                <w:vertAlign w:val="superscript"/>
              </w:rPr>
              <w:t>4</w:t>
            </w:r>
          </w:p>
        </w:tc>
        <w:tc>
          <w:tcPr>
            <w:tcW w:w="2302" w:type="dxa"/>
          </w:tcPr>
          <w:p w14:paraId="31DD5347" w14:textId="5246C310" w:rsidR="000D0CFC" w:rsidRPr="000D0CFC" w:rsidRDefault="000D0CFC" w:rsidP="000D0CFC">
            <w:pPr>
              <w:spacing w:line="240" w:lineRule="auto"/>
              <w:rPr>
                <w:rFonts w:eastAsia="Times New Roman" w:cs="Arial"/>
                <w:szCs w:val="24"/>
              </w:rPr>
            </w:pPr>
            <w:r w:rsidRPr="000D0CFC">
              <w:rPr>
                <w:szCs w:val="20"/>
              </w:rPr>
              <w:t>Чернодробна недостатъчност, хепатоцелуларна жълтеница</w:t>
            </w:r>
          </w:p>
        </w:tc>
      </w:tr>
      <w:tr w:rsidR="000D0CFC" w14:paraId="3B96B36B" w14:textId="77777777" w:rsidTr="000D0CFC">
        <w:tc>
          <w:tcPr>
            <w:tcW w:w="1893" w:type="dxa"/>
          </w:tcPr>
          <w:p w14:paraId="68A7B3C3" w14:textId="7FB62136" w:rsidR="000D0CFC" w:rsidRPr="000D0CFC" w:rsidRDefault="000D0CFC" w:rsidP="000D0CFC">
            <w:pPr>
              <w:spacing w:line="240" w:lineRule="auto"/>
              <w:rPr>
                <w:rFonts w:eastAsia="Times New Roman" w:cs="Arial"/>
                <w:szCs w:val="24"/>
              </w:rPr>
            </w:pPr>
            <w:r w:rsidRPr="000D0CFC">
              <w:rPr>
                <w:szCs w:val="20"/>
              </w:rPr>
              <w:t>Нарушения на кожата и подкожната тъкан</w:t>
            </w:r>
          </w:p>
        </w:tc>
        <w:tc>
          <w:tcPr>
            <w:tcW w:w="1021" w:type="dxa"/>
          </w:tcPr>
          <w:p w14:paraId="04A84032" w14:textId="77777777" w:rsidR="000D0CFC" w:rsidRPr="000D0CFC" w:rsidRDefault="000D0CFC" w:rsidP="000D0CFC">
            <w:pPr>
              <w:spacing w:line="240" w:lineRule="auto"/>
              <w:rPr>
                <w:rFonts w:eastAsia="Times New Roman" w:cs="Arial"/>
                <w:szCs w:val="24"/>
              </w:rPr>
            </w:pPr>
          </w:p>
        </w:tc>
        <w:tc>
          <w:tcPr>
            <w:tcW w:w="1836" w:type="dxa"/>
          </w:tcPr>
          <w:p w14:paraId="45B37769" w14:textId="0925241C" w:rsidR="000D0CFC" w:rsidRPr="000D0CFC" w:rsidRDefault="000D0CFC" w:rsidP="000D0CFC">
            <w:pPr>
              <w:spacing w:line="240" w:lineRule="auto"/>
              <w:rPr>
                <w:rFonts w:eastAsia="Times New Roman" w:cs="Arial"/>
                <w:szCs w:val="24"/>
              </w:rPr>
            </w:pPr>
            <w:r w:rsidRPr="000D0CFC">
              <w:rPr>
                <w:szCs w:val="20"/>
              </w:rPr>
              <w:t>Обрив, хиперхидроза</w:t>
            </w:r>
          </w:p>
        </w:tc>
        <w:tc>
          <w:tcPr>
            <w:tcW w:w="2524" w:type="dxa"/>
          </w:tcPr>
          <w:p w14:paraId="10F8C84C" w14:textId="70E6F3A7" w:rsidR="000D0CFC" w:rsidRPr="000D0CFC" w:rsidRDefault="000D0CFC" w:rsidP="000D0CFC">
            <w:pPr>
              <w:spacing w:line="240" w:lineRule="auto"/>
              <w:rPr>
                <w:rFonts w:eastAsia="Times New Roman" w:cs="Arial"/>
                <w:szCs w:val="24"/>
              </w:rPr>
            </w:pPr>
            <w:r w:rsidRPr="000D0CFC">
              <w:rPr>
                <w:szCs w:val="20"/>
              </w:rPr>
              <w:t>Булозен дерматит</w:t>
            </w:r>
            <w:r w:rsidRPr="000D0CFC">
              <w:rPr>
                <w:szCs w:val="20"/>
                <w:vertAlign w:val="superscript"/>
              </w:rPr>
              <w:t>1</w:t>
            </w:r>
            <w:r w:rsidRPr="000D0CFC">
              <w:rPr>
                <w:szCs w:val="20"/>
              </w:rPr>
              <w:t>, сърбеж, уртикария, макуло-папулозен обрив</w:t>
            </w:r>
            <w:r w:rsidRPr="000D0CFC">
              <w:rPr>
                <w:szCs w:val="20"/>
                <w:vertAlign w:val="superscript"/>
              </w:rPr>
              <w:t>3</w:t>
            </w:r>
          </w:p>
        </w:tc>
        <w:tc>
          <w:tcPr>
            <w:tcW w:w="2302" w:type="dxa"/>
          </w:tcPr>
          <w:p w14:paraId="3328B439" w14:textId="671E3152" w:rsidR="000D0CFC" w:rsidRPr="000D0CFC" w:rsidRDefault="000D0CFC" w:rsidP="000D0CFC">
            <w:pPr>
              <w:spacing w:line="240" w:lineRule="auto"/>
              <w:rPr>
                <w:rFonts w:eastAsia="Times New Roman" w:cs="Arial"/>
                <w:szCs w:val="24"/>
              </w:rPr>
            </w:pPr>
            <w:r w:rsidRPr="000D0CFC">
              <w:rPr>
                <w:szCs w:val="20"/>
              </w:rPr>
              <w:t xml:space="preserve">Тежки кожни нежелани реакции </w:t>
            </w:r>
            <w:r w:rsidRPr="000D0CFC">
              <w:rPr>
                <w:szCs w:val="20"/>
                <w:lang w:val="ru-RU"/>
              </w:rPr>
              <w:t>(</w:t>
            </w:r>
            <w:r w:rsidRPr="000D0CFC">
              <w:rPr>
                <w:szCs w:val="20"/>
                <w:lang w:val="en-US"/>
              </w:rPr>
              <w:t>SCAR</w:t>
            </w:r>
            <w:r w:rsidRPr="000D0CFC">
              <w:rPr>
                <w:szCs w:val="20"/>
                <w:lang w:val="ru-RU"/>
              </w:rPr>
              <w:t xml:space="preserve">) </w:t>
            </w:r>
            <w:r w:rsidRPr="000D0CFC">
              <w:rPr>
                <w:szCs w:val="20"/>
              </w:rPr>
              <w:t xml:space="preserve">(напр. остра генерализирана екзантематозна пустулоза </w:t>
            </w:r>
            <w:r w:rsidRPr="000D0CFC">
              <w:rPr>
                <w:szCs w:val="20"/>
                <w:lang w:val="ru-RU"/>
              </w:rPr>
              <w:t>(</w:t>
            </w:r>
            <w:r w:rsidRPr="000D0CFC">
              <w:rPr>
                <w:szCs w:val="20"/>
                <w:lang w:val="en-US"/>
              </w:rPr>
              <w:t>AGEP</w:t>
            </w:r>
            <w:r w:rsidRPr="000D0CFC">
              <w:rPr>
                <w:szCs w:val="20"/>
                <w:lang w:val="ru-RU"/>
              </w:rPr>
              <w:t xml:space="preserve">), </w:t>
            </w:r>
            <w:r w:rsidRPr="000D0CFC">
              <w:rPr>
                <w:szCs w:val="20"/>
              </w:rPr>
              <w:t xml:space="preserve">синдром на Стивънс- Джонсън, токсична епидермална некролиза, лекарствен обрив с </w:t>
            </w:r>
            <w:r w:rsidRPr="000D0CFC">
              <w:rPr>
                <w:szCs w:val="20"/>
              </w:rPr>
              <w:lastRenderedPageBreak/>
              <w:t xml:space="preserve">еозинофилия и системни симптоми </w:t>
            </w:r>
            <w:r w:rsidRPr="000D0CFC">
              <w:rPr>
                <w:szCs w:val="20"/>
                <w:lang w:val="ru-RU"/>
              </w:rPr>
              <w:t>(</w:t>
            </w:r>
            <w:r w:rsidRPr="000D0CFC">
              <w:rPr>
                <w:szCs w:val="20"/>
                <w:lang w:val="en-US"/>
              </w:rPr>
              <w:t>DRESS</w:t>
            </w:r>
            <w:r w:rsidRPr="000D0CFC">
              <w:rPr>
                <w:szCs w:val="20"/>
                <w:lang w:val="ru-RU"/>
              </w:rPr>
              <w:t xml:space="preserve">), </w:t>
            </w:r>
            <w:r w:rsidRPr="000D0CFC">
              <w:rPr>
                <w:szCs w:val="20"/>
              </w:rPr>
              <w:t>акне</w:t>
            </w:r>
          </w:p>
        </w:tc>
      </w:tr>
      <w:tr w:rsidR="000D0CFC" w14:paraId="2C5EB25D" w14:textId="77777777" w:rsidTr="000D0CFC">
        <w:tc>
          <w:tcPr>
            <w:tcW w:w="1893" w:type="dxa"/>
          </w:tcPr>
          <w:p w14:paraId="1F6DD901" w14:textId="0C57071C" w:rsidR="000D0CFC" w:rsidRPr="000D0CFC" w:rsidRDefault="000D0CFC" w:rsidP="000D0CFC">
            <w:pPr>
              <w:spacing w:line="240" w:lineRule="auto"/>
              <w:rPr>
                <w:rFonts w:eastAsia="Times New Roman" w:cs="Arial"/>
                <w:szCs w:val="24"/>
              </w:rPr>
            </w:pPr>
            <w:r w:rsidRPr="000D0CFC">
              <w:rPr>
                <w:szCs w:val="20"/>
              </w:rPr>
              <w:lastRenderedPageBreak/>
              <w:t>Нарушения на мускуло-скелетната система и съединителната тъкан</w:t>
            </w:r>
          </w:p>
        </w:tc>
        <w:tc>
          <w:tcPr>
            <w:tcW w:w="1021" w:type="dxa"/>
          </w:tcPr>
          <w:p w14:paraId="542AB9A1" w14:textId="77777777" w:rsidR="000D0CFC" w:rsidRPr="000D0CFC" w:rsidRDefault="000D0CFC" w:rsidP="000D0CFC">
            <w:pPr>
              <w:spacing w:line="240" w:lineRule="auto"/>
              <w:rPr>
                <w:rFonts w:eastAsia="Times New Roman" w:cs="Arial"/>
                <w:szCs w:val="24"/>
              </w:rPr>
            </w:pPr>
          </w:p>
        </w:tc>
        <w:tc>
          <w:tcPr>
            <w:tcW w:w="1836" w:type="dxa"/>
          </w:tcPr>
          <w:p w14:paraId="06202D29" w14:textId="77777777" w:rsidR="000D0CFC" w:rsidRPr="000D0CFC" w:rsidRDefault="000D0CFC" w:rsidP="000D0CFC">
            <w:pPr>
              <w:spacing w:line="240" w:lineRule="auto"/>
              <w:rPr>
                <w:rFonts w:eastAsia="Times New Roman" w:cs="Arial"/>
                <w:szCs w:val="24"/>
              </w:rPr>
            </w:pPr>
          </w:p>
        </w:tc>
        <w:tc>
          <w:tcPr>
            <w:tcW w:w="2524" w:type="dxa"/>
          </w:tcPr>
          <w:p w14:paraId="1B711EF1" w14:textId="01B87B5E" w:rsidR="000D0CFC" w:rsidRPr="000D0CFC" w:rsidRDefault="000D0CFC" w:rsidP="000D0CFC">
            <w:pPr>
              <w:spacing w:line="240" w:lineRule="auto"/>
              <w:rPr>
                <w:rFonts w:eastAsia="Times New Roman" w:cs="Arial"/>
                <w:szCs w:val="24"/>
              </w:rPr>
            </w:pPr>
            <w:r w:rsidRPr="000D0CFC">
              <w:rPr>
                <w:szCs w:val="20"/>
              </w:rPr>
              <w:t>Мускулни спазми</w:t>
            </w:r>
            <w:r w:rsidRPr="000D0CFC">
              <w:rPr>
                <w:szCs w:val="20"/>
                <w:vertAlign w:val="superscript"/>
              </w:rPr>
              <w:t>3</w:t>
            </w:r>
            <w:r w:rsidRPr="000D0CFC">
              <w:rPr>
                <w:szCs w:val="20"/>
              </w:rPr>
              <w:t>, мускуло-скелетна скованост</w:t>
            </w:r>
            <w:r w:rsidRPr="000D0CFC">
              <w:rPr>
                <w:szCs w:val="20"/>
                <w:vertAlign w:val="superscript"/>
              </w:rPr>
              <w:t>1</w:t>
            </w:r>
            <w:r w:rsidRPr="000D0CFC">
              <w:rPr>
                <w:szCs w:val="20"/>
              </w:rPr>
              <w:t>, миалгия</w:t>
            </w:r>
            <w:r w:rsidRPr="000D0CFC">
              <w:rPr>
                <w:szCs w:val="20"/>
                <w:vertAlign w:val="superscript"/>
              </w:rPr>
              <w:t>2</w:t>
            </w:r>
          </w:p>
        </w:tc>
        <w:tc>
          <w:tcPr>
            <w:tcW w:w="2302" w:type="dxa"/>
          </w:tcPr>
          <w:p w14:paraId="5DBCBAFF" w14:textId="1D616F7C" w:rsidR="000D0CFC" w:rsidRPr="000D0CFC" w:rsidRDefault="000D0CFC" w:rsidP="000D0CFC">
            <w:pPr>
              <w:spacing w:line="240" w:lineRule="auto"/>
              <w:rPr>
                <w:rFonts w:eastAsia="Times New Roman" w:cs="Arial"/>
                <w:szCs w:val="24"/>
              </w:rPr>
            </w:pPr>
            <w:r w:rsidRPr="000D0CFC">
              <w:rPr>
                <w:szCs w:val="20"/>
              </w:rPr>
              <w:t>Рабдомиолиза</w:t>
            </w:r>
            <w:r w:rsidRPr="000D0CFC">
              <w:rPr>
                <w:szCs w:val="20"/>
                <w:vertAlign w:val="superscript"/>
              </w:rPr>
              <w:t>2**,</w:t>
            </w:r>
            <w:r w:rsidRPr="000D0CFC">
              <w:rPr>
                <w:szCs w:val="20"/>
              </w:rPr>
              <w:t xml:space="preserve"> миопатия</w:t>
            </w:r>
          </w:p>
        </w:tc>
      </w:tr>
      <w:tr w:rsidR="000D0CFC" w14:paraId="73A5325E" w14:textId="77777777" w:rsidTr="000D0CFC">
        <w:tc>
          <w:tcPr>
            <w:tcW w:w="1893" w:type="dxa"/>
          </w:tcPr>
          <w:p w14:paraId="47ED5893" w14:textId="3DFEB394" w:rsidR="000D0CFC" w:rsidRPr="000D0CFC" w:rsidRDefault="000D0CFC" w:rsidP="000D0CFC">
            <w:pPr>
              <w:spacing w:line="240" w:lineRule="auto"/>
              <w:rPr>
                <w:rFonts w:eastAsia="Times New Roman" w:cs="Arial"/>
                <w:szCs w:val="24"/>
              </w:rPr>
            </w:pPr>
            <w:r w:rsidRPr="000D0CFC">
              <w:rPr>
                <w:szCs w:val="20"/>
              </w:rPr>
              <w:t>Нарушения на бъбреците и пикочните пътища</w:t>
            </w:r>
          </w:p>
        </w:tc>
        <w:tc>
          <w:tcPr>
            <w:tcW w:w="1021" w:type="dxa"/>
          </w:tcPr>
          <w:p w14:paraId="776BE17B" w14:textId="77777777" w:rsidR="000D0CFC" w:rsidRPr="000D0CFC" w:rsidRDefault="000D0CFC" w:rsidP="000D0CFC">
            <w:pPr>
              <w:spacing w:line="240" w:lineRule="auto"/>
              <w:rPr>
                <w:rFonts w:eastAsia="Times New Roman" w:cs="Arial"/>
                <w:szCs w:val="24"/>
              </w:rPr>
            </w:pPr>
          </w:p>
        </w:tc>
        <w:tc>
          <w:tcPr>
            <w:tcW w:w="1836" w:type="dxa"/>
          </w:tcPr>
          <w:p w14:paraId="00B622F9" w14:textId="77777777" w:rsidR="000D0CFC" w:rsidRPr="000D0CFC" w:rsidRDefault="000D0CFC" w:rsidP="000D0CFC">
            <w:pPr>
              <w:spacing w:line="240" w:lineRule="auto"/>
              <w:rPr>
                <w:rFonts w:eastAsia="Times New Roman" w:cs="Arial"/>
                <w:szCs w:val="24"/>
              </w:rPr>
            </w:pPr>
          </w:p>
        </w:tc>
        <w:tc>
          <w:tcPr>
            <w:tcW w:w="2524" w:type="dxa"/>
          </w:tcPr>
          <w:p w14:paraId="66686486" w14:textId="6F3C02D7" w:rsidR="000D0CFC" w:rsidRPr="000D0CFC" w:rsidRDefault="000D0CFC" w:rsidP="000D0CFC">
            <w:pPr>
              <w:spacing w:line="240" w:lineRule="auto"/>
              <w:rPr>
                <w:rFonts w:eastAsia="Times New Roman" w:cs="Arial"/>
                <w:szCs w:val="24"/>
              </w:rPr>
            </w:pPr>
            <w:r w:rsidRPr="000D0CFC">
              <w:rPr>
                <w:szCs w:val="20"/>
              </w:rPr>
              <w:t>Увеличение на креатинина в кръвта</w:t>
            </w:r>
            <w:r w:rsidRPr="000D0CFC">
              <w:rPr>
                <w:szCs w:val="20"/>
                <w:vertAlign w:val="superscript"/>
              </w:rPr>
              <w:t>1</w:t>
            </w:r>
            <w:r w:rsidRPr="000D0CFC">
              <w:rPr>
                <w:szCs w:val="20"/>
              </w:rPr>
              <w:t>, увеличение на уреята в кръвта</w:t>
            </w:r>
            <w:r w:rsidRPr="000D0CFC">
              <w:rPr>
                <w:szCs w:val="20"/>
                <w:vertAlign w:val="superscript"/>
              </w:rPr>
              <w:t>1</w:t>
            </w:r>
          </w:p>
        </w:tc>
        <w:tc>
          <w:tcPr>
            <w:tcW w:w="2302" w:type="dxa"/>
          </w:tcPr>
          <w:p w14:paraId="4DE5601E" w14:textId="6C45D648" w:rsidR="000D0CFC" w:rsidRPr="000D0CFC" w:rsidRDefault="000D0CFC" w:rsidP="000D0CFC">
            <w:pPr>
              <w:spacing w:line="240" w:lineRule="auto"/>
              <w:rPr>
                <w:rFonts w:eastAsia="Times New Roman" w:cs="Arial"/>
                <w:szCs w:val="24"/>
              </w:rPr>
            </w:pPr>
            <w:r w:rsidRPr="000D0CFC">
              <w:rPr>
                <w:szCs w:val="20"/>
              </w:rPr>
              <w:t>Бъбречна недостатъчност, интерстициален нефрит</w:t>
            </w:r>
          </w:p>
        </w:tc>
      </w:tr>
      <w:tr w:rsidR="000D0CFC" w14:paraId="73FD2D17" w14:textId="77777777" w:rsidTr="000D0CFC">
        <w:tc>
          <w:tcPr>
            <w:tcW w:w="1893" w:type="dxa"/>
          </w:tcPr>
          <w:p w14:paraId="238A2754" w14:textId="4E3A82D0" w:rsidR="000D0CFC" w:rsidRPr="000D0CFC" w:rsidRDefault="000D0CFC" w:rsidP="000D0CFC">
            <w:pPr>
              <w:spacing w:line="240" w:lineRule="auto"/>
              <w:rPr>
                <w:rFonts w:eastAsia="Times New Roman" w:cs="Arial"/>
                <w:szCs w:val="24"/>
              </w:rPr>
            </w:pPr>
            <w:r w:rsidRPr="000D0CFC">
              <w:rPr>
                <w:szCs w:val="20"/>
              </w:rPr>
              <w:t>Общи нарушения и ефекти на мястото на приложение</w:t>
            </w:r>
          </w:p>
        </w:tc>
        <w:tc>
          <w:tcPr>
            <w:tcW w:w="1021" w:type="dxa"/>
          </w:tcPr>
          <w:p w14:paraId="061379A4" w14:textId="35B94CBD" w:rsidR="000D0CFC" w:rsidRPr="000D0CFC" w:rsidRDefault="000D0CFC" w:rsidP="000D0CFC">
            <w:pPr>
              <w:spacing w:line="240" w:lineRule="auto"/>
              <w:rPr>
                <w:rFonts w:eastAsia="Times New Roman" w:cs="Arial"/>
                <w:szCs w:val="24"/>
              </w:rPr>
            </w:pPr>
            <w:r w:rsidRPr="000D0CFC">
              <w:rPr>
                <w:szCs w:val="20"/>
              </w:rPr>
              <w:t>Флебит на мястото на инжект иране</w:t>
            </w:r>
            <w:r w:rsidRPr="000D0CFC">
              <w:rPr>
                <w:szCs w:val="20"/>
                <w:vertAlign w:val="superscript"/>
              </w:rPr>
              <w:t>1</w:t>
            </w:r>
          </w:p>
        </w:tc>
        <w:tc>
          <w:tcPr>
            <w:tcW w:w="1836" w:type="dxa"/>
          </w:tcPr>
          <w:p w14:paraId="342E3DEE" w14:textId="20C1CD12" w:rsidR="000D0CFC" w:rsidRPr="000D0CFC" w:rsidRDefault="000D0CFC" w:rsidP="000D0CFC">
            <w:pPr>
              <w:spacing w:line="240" w:lineRule="auto"/>
              <w:rPr>
                <w:rFonts w:eastAsia="Times New Roman" w:cs="Arial"/>
                <w:szCs w:val="24"/>
              </w:rPr>
            </w:pPr>
            <w:r w:rsidRPr="000D0CFC">
              <w:rPr>
                <w:szCs w:val="20"/>
              </w:rPr>
              <w:t>Болка на мястото на инжектиране</w:t>
            </w:r>
            <w:r w:rsidRPr="000D0CFC">
              <w:rPr>
                <w:szCs w:val="20"/>
                <w:vertAlign w:val="superscript"/>
              </w:rPr>
              <w:t>1</w:t>
            </w:r>
            <w:r w:rsidRPr="000D0CFC">
              <w:rPr>
                <w:szCs w:val="20"/>
              </w:rPr>
              <w:t>, възпаление на мястото на инжектиране</w:t>
            </w:r>
            <w:r w:rsidRPr="000D0CFC">
              <w:rPr>
                <w:szCs w:val="20"/>
                <w:vertAlign w:val="superscript"/>
              </w:rPr>
              <w:t>1</w:t>
            </w:r>
          </w:p>
        </w:tc>
        <w:tc>
          <w:tcPr>
            <w:tcW w:w="2524" w:type="dxa"/>
          </w:tcPr>
          <w:p w14:paraId="6D0A9386" w14:textId="45E50048" w:rsidR="000D0CFC" w:rsidRPr="000D0CFC" w:rsidRDefault="000D0CFC" w:rsidP="000D0CFC">
            <w:pPr>
              <w:spacing w:line="240" w:lineRule="auto"/>
              <w:rPr>
                <w:rFonts w:eastAsia="Times New Roman" w:cs="Arial"/>
                <w:szCs w:val="24"/>
              </w:rPr>
            </w:pPr>
            <w:r w:rsidRPr="000D0CFC">
              <w:rPr>
                <w:szCs w:val="20"/>
              </w:rPr>
              <w:t>Неразположение</w:t>
            </w:r>
            <w:r w:rsidRPr="000D0CFC">
              <w:rPr>
                <w:szCs w:val="20"/>
                <w:vertAlign w:val="superscript"/>
              </w:rPr>
              <w:t>4</w:t>
            </w:r>
            <w:r w:rsidRPr="000D0CFC">
              <w:rPr>
                <w:szCs w:val="20"/>
              </w:rPr>
              <w:t>, повишена температура</w:t>
            </w:r>
            <w:r w:rsidRPr="000D0CFC">
              <w:rPr>
                <w:szCs w:val="20"/>
                <w:vertAlign w:val="superscript"/>
              </w:rPr>
              <w:t>3</w:t>
            </w:r>
            <w:r w:rsidRPr="000D0CFC">
              <w:rPr>
                <w:szCs w:val="20"/>
              </w:rPr>
              <w:t>, астения, гръдна болка</w:t>
            </w:r>
            <w:r w:rsidRPr="000D0CFC">
              <w:rPr>
                <w:szCs w:val="20"/>
                <w:vertAlign w:val="superscript"/>
              </w:rPr>
              <w:t>4</w:t>
            </w:r>
            <w:r w:rsidRPr="000D0CFC">
              <w:rPr>
                <w:szCs w:val="20"/>
              </w:rPr>
              <w:t>, втрисане</w:t>
            </w:r>
            <w:r w:rsidRPr="000D0CFC">
              <w:rPr>
                <w:szCs w:val="20"/>
                <w:vertAlign w:val="superscript"/>
              </w:rPr>
              <w:t>4</w:t>
            </w:r>
            <w:r w:rsidRPr="000D0CFC">
              <w:rPr>
                <w:szCs w:val="20"/>
              </w:rPr>
              <w:t>, умора</w:t>
            </w:r>
            <w:r w:rsidRPr="000D0CFC">
              <w:rPr>
                <w:szCs w:val="20"/>
                <w:vertAlign w:val="superscript"/>
              </w:rPr>
              <w:t>4</w:t>
            </w:r>
          </w:p>
        </w:tc>
        <w:tc>
          <w:tcPr>
            <w:tcW w:w="2302" w:type="dxa"/>
          </w:tcPr>
          <w:p w14:paraId="49CA6122" w14:textId="77777777" w:rsidR="000D0CFC" w:rsidRPr="000D0CFC" w:rsidRDefault="000D0CFC" w:rsidP="000D0CFC">
            <w:pPr>
              <w:spacing w:line="240" w:lineRule="auto"/>
              <w:rPr>
                <w:rFonts w:eastAsia="Times New Roman" w:cs="Arial"/>
                <w:szCs w:val="24"/>
              </w:rPr>
            </w:pPr>
          </w:p>
        </w:tc>
      </w:tr>
      <w:tr w:rsidR="000D0CFC" w14:paraId="39E2F23A" w14:textId="77777777" w:rsidTr="000D0CFC">
        <w:tc>
          <w:tcPr>
            <w:tcW w:w="1893" w:type="dxa"/>
          </w:tcPr>
          <w:p w14:paraId="52B7C018" w14:textId="7D48B4B3" w:rsidR="000D0CFC" w:rsidRPr="000D0CFC" w:rsidRDefault="000D0CFC" w:rsidP="000D0CFC">
            <w:pPr>
              <w:spacing w:line="240" w:lineRule="auto"/>
              <w:rPr>
                <w:rFonts w:eastAsia="Times New Roman" w:cs="Arial"/>
                <w:szCs w:val="24"/>
              </w:rPr>
            </w:pPr>
            <w:r w:rsidRPr="000D0CFC">
              <w:rPr>
                <w:szCs w:val="20"/>
              </w:rPr>
              <w:t>Изследвания</w:t>
            </w:r>
          </w:p>
        </w:tc>
        <w:tc>
          <w:tcPr>
            <w:tcW w:w="1021" w:type="dxa"/>
          </w:tcPr>
          <w:p w14:paraId="6E51328E" w14:textId="77777777" w:rsidR="000D0CFC" w:rsidRPr="000D0CFC" w:rsidRDefault="000D0CFC" w:rsidP="000D0CFC">
            <w:pPr>
              <w:spacing w:line="240" w:lineRule="auto"/>
              <w:rPr>
                <w:rFonts w:eastAsia="Times New Roman" w:cs="Arial"/>
                <w:szCs w:val="24"/>
              </w:rPr>
            </w:pPr>
          </w:p>
        </w:tc>
        <w:tc>
          <w:tcPr>
            <w:tcW w:w="1836" w:type="dxa"/>
          </w:tcPr>
          <w:p w14:paraId="3C0D699F" w14:textId="77777777" w:rsidR="000D0CFC" w:rsidRPr="000D0CFC" w:rsidRDefault="000D0CFC" w:rsidP="000D0CFC">
            <w:pPr>
              <w:spacing w:line="240" w:lineRule="auto"/>
              <w:rPr>
                <w:rFonts w:eastAsia="Times New Roman" w:cs="Arial"/>
                <w:szCs w:val="24"/>
              </w:rPr>
            </w:pPr>
          </w:p>
        </w:tc>
        <w:tc>
          <w:tcPr>
            <w:tcW w:w="2524" w:type="dxa"/>
          </w:tcPr>
          <w:p w14:paraId="6999D24C" w14:textId="69494277" w:rsidR="000D0CFC" w:rsidRPr="000D0CFC" w:rsidRDefault="000D0CFC" w:rsidP="000D0CFC">
            <w:pPr>
              <w:spacing w:line="240" w:lineRule="auto"/>
              <w:rPr>
                <w:rFonts w:eastAsia="Times New Roman" w:cs="Arial"/>
                <w:szCs w:val="24"/>
              </w:rPr>
            </w:pPr>
            <w:r w:rsidRPr="000D0CFC">
              <w:rPr>
                <w:szCs w:val="20"/>
              </w:rPr>
              <w:t>Абнормно отношение албумин глобулин</w:t>
            </w:r>
            <w:r w:rsidRPr="000D0CFC">
              <w:rPr>
                <w:szCs w:val="20"/>
                <w:vertAlign w:val="superscript"/>
              </w:rPr>
              <w:t>1</w:t>
            </w:r>
            <w:r w:rsidRPr="000D0CFC">
              <w:rPr>
                <w:szCs w:val="20"/>
              </w:rPr>
              <w:t>, повишение на алкалната фосфатаза в кръвта</w:t>
            </w:r>
            <w:r w:rsidRPr="000D0CFC">
              <w:rPr>
                <w:szCs w:val="20"/>
                <w:vertAlign w:val="superscript"/>
              </w:rPr>
              <w:t>4</w:t>
            </w:r>
            <w:r w:rsidRPr="000D0CFC">
              <w:rPr>
                <w:szCs w:val="20"/>
              </w:rPr>
              <w:t>, повишение на лактат дехидрогеназата в кръвта</w:t>
            </w:r>
            <w:r w:rsidRPr="000D0CFC">
              <w:rPr>
                <w:szCs w:val="20"/>
                <w:vertAlign w:val="superscript"/>
              </w:rPr>
              <w:t>4</w:t>
            </w:r>
          </w:p>
        </w:tc>
        <w:tc>
          <w:tcPr>
            <w:tcW w:w="2302" w:type="dxa"/>
          </w:tcPr>
          <w:p w14:paraId="4D25B022" w14:textId="3A87D0C8" w:rsidR="000D0CFC" w:rsidRPr="000D0CFC" w:rsidRDefault="000D0CFC" w:rsidP="000D0CFC">
            <w:pPr>
              <w:spacing w:line="240" w:lineRule="auto"/>
              <w:rPr>
                <w:rFonts w:eastAsia="Times New Roman" w:cs="Arial"/>
                <w:szCs w:val="24"/>
              </w:rPr>
            </w:pPr>
            <w:r w:rsidRPr="000D0CFC">
              <w:rPr>
                <w:szCs w:val="20"/>
              </w:rPr>
              <w:t xml:space="preserve">Повишен </w:t>
            </w:r>
            <w:r w:rsidRPr="000D0CFC">
              <w:rPr>
                <w:szCs w:val="20"/>
                <w:lang w:val="en-US"/>
              </w:rPr>
              <w:t>INR</w:t>
            </w:r>
            <w:r w:rsidRPr="000D0CFC">
              <w:rPr>
                <w:szCs w:val="20"/>
                <w:lang w:val="ru-RU"/>
              </w:rPr>
              <w:t xml:space="preserve">, </w:t>
            </w:r>
            <w:r w:rsidRPr="000D0CFC">
              <w:rPr>
                <w:szCs w:val="20"/>
              </w:rPr>
              <w:t>удължено протромбиново време, абнормен цвят на урина</w:t>
            </w:r>
          </w:p>
        </w:tc>
      </w:tr>
    </w:tbl>
    <w:p w14:paraId="10673E4B"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*Поради това, че тези реакции да докладвани доброволно от популация с неопределен размер, не винаги е възможно да се предположи надежно тяхната честота или да се установи причинно-следствена връзка с експозицията към лекарството. Експозицията на пациентите се предполага да е по-голяма от I милиард дни пациенто-лечение за Клацид.</w:t>
      </w:r>
    </w:p>
    <w:p w14:paraId="63CD6C9B" w14:textId="69632F95" w:rsidR="000D0CFC" w:rsidRPr="000D0CFC" w:rsidRDefault="000D0CFC" w:rsidP="000D0CFC">
      <w:pPr>
        <w:spacing w:line="240" w:lineRule="auto"/>
        <w:rPr>
          <w:rFonts w:eastAsia="Times New Roman" w:cs="Arial"/>
          <w:color w:val="000000"/>
          <w:lang w:eastAsia="bg-BG"/>
        </w:rPr>
      </w:pPr>
      <w:r w:rsidRPr="000D0CFC">
        <w:rPr>
          <w:rFonts w:eastAsia="Times New Roman" w:cs="Arial"/>
          <w:color w:val="000000"/>
          <w:lang w:eastAsia="bg-BG"/>
        </w:rPr>
        <w:t>**В някои от докладите за рабдомиолиза, Клацид е прилаган едновременно с други лекарства, за които е известно, че са свързани с появата на рабдомиолиза (като статини, фибрати, колхицин или алопуринол)</w:t>
      </w:r>
    </w:p>
    <w:p w14:paraId="1D25537A" w14:textId="77777777" w:rsidR="000D0CFC" w:rsidRPr="000D0CFC" w:rsidRDefault="000D0CFC" w:rsidP="000D0CFC">
      <w:pPr>
        <w:spacing w:line="240" w:lineRule="auto"/>
        <w:rPr>
          <w:rFonts w:eastAsia="Times New Roman" w:cs="Arial"/>
        </w:rPr>
      </w:pPr>
    </w:p>
    <w:p w14:paraId="5ACC5A56" w14:textId="3C003BD3" w:rsidR="000D0CFC" w:rsidRPr="000D0CFC" w:rsidRDefault="000D0CFC" w:rsidP="000D0CFC">
      <w:pPr>
        <w:spacing w:line="240" w:lineRule="auto"/>
        <w:rPr>
          <w:rFonts w:eastAsia="Times New Roman" w:cs="Arial"/>
          <w:color w:val="000000"/>
          <w:lang w:eastAsia="bg-BG"/>
        </w:rPr>
      </w:pPr>
      <w:r w:rsidRPr="000D0CFC">
        <w:rPr>
          <w:rFonts w:eastAsia="Times New Roman" w:cs="Arial"/>
          <w:color w:val="000000"/>
          <w:vertAlign w:val="superscript"/>
          <w:lang w:eastAsia="bg-BG"/>
        </w:rPr>
        <w:t>1</w:t>
      </w:r>
      <w:r w:rsidRPr="000D0CFC">
        <w:rPr>
          <w:rFonts w:eastAsia="Times New Roman" w:cs="Arial"/>
          <w:color w:val="000000"/>
          <w:lang w:eastAsia="bg-BG"/>
        </w:rPr>
        <w:t>НЛР докладвани само за прах за инфузионен разтвор</w:t>
      </w:r>
    </w:p>
    <w:p w14:paraId="6CB281E3" w14:textId="7003D295" w:rsidR="000D0CFC" w:rsidRPr="000D0CFC" w:rsidRDefault="000D0CFC" w:rsidP="000D0CFC">
      <w:pPr>
        <w:spacing w:line="240" w:lineRule="auto"/>
        <w:rPr>
          <w:rFonts w:eastAsia="Times New Roman" w:cs="Arial"/>
          <w:color w:val="000000"/>
          <w:lang w:eastAsia="bg-BG"/>
        </w:rPr>
      </w:pPr>
      <w:r w:rsidRPr="000D0CFC">
        <w:rPr>
          <w:rFonts w:eastAsia="Times New Roman" w:cs="Arial"/>
          <w:color w:val="000000"/>
          <w:vertAlign w:val="superscript"/>
          <w:lang w:eastAsia="bg-BG"/>
        </w:rPr>
        <w:t>2</w:t>
      </w:r>
      <w:r w:rsidRPr="000D0CFC">
        <w:rPr>
          <w:rFonts w:eastAsia="Times New Roman" w:cs="Arial"/>
          <w:color w:val="000000"/>
          <w:lang w:eastAsia="bg-BG"/>
        </w:rPr>
        <w:t>НЛР докладвани само за таблетки с удължено освобождаване</w:t>
      </w:r>
    </w:p>
    <w:p w14:paraId="172DC9D8" w14:textId="5DB2A287" w:rsidR="000D0CFC" w:rsidRPr="000D0CFC" w:rsidRDefault="000D0CFC" w:rsidP="000D0CFC">
      <w:pPr>
        <w:spacing w:line="240" w:lineRule="auto"/>
        <w:rPr>
          <w:rFonts w:eastAsia="Times New Roman" w:cs="Arial"/>
          <w:color w:val="000000"/>
          <w:lang w:eastAsia="bg-BG"/>
        </w:rPr>
      </w:pPr>
      <w:r w:rsidRPr="000D0CFC">
        <w:rPr>
          <w:rFonts w:eastAsia="Times New Roman" w:cs="Arial"/>
          <w:color w:val="000000"/>
          <w:vertAlign w:val="superscript"/>
          <w:lang w:eastAsia="bg-BG"/>
        </w:rPr>
        <w:t>3</w:t>
      </w:r>
      <w:r w:rsidRPr="000D0CFC">
        <w:rPr>
          <w:rFonts w:eastAsia="Times New Roman" w:cs="Arial"/>
          <w:color w:val="000000"/>
          <w:lang w:eastAsia="bg-BG"/>
        </w:rPr>
        <w:t>НЛР докладвани само за гранули за перорална суспензия</w:t>
      </w:r>
    </w:p>
    <w:p w14:paraId="52A517FE" w14:textId="2911ED63" w:rsidR="000D0CFC" w:rsidRPr="000D0CFC" w:rsidRDefault="000D0CFC" w:rsidP="000D0CFC">
      <w:pPr>
        <w:spacing w:line="240" w:lineRule="auto"/>
        <w:rPr>
          <w:rFonts w:eastAsia="Times New Roman" w:cs="Arial"/>
          <w:color w:val="000000"/>
          <w:lang w:eastAsia="bg-BG"/>
        </w:rPr>
      </w:pPr>
      <w:r w:rsidRPr="000D0CFC">
        <w:rPr>
          <w:rFonts w:eastAsia="Times New Roman" w:cs="Arial"/>
          <w:color w:val="000000"/>
          <w:vertAlign w:val="superscript"/>
          <w:lang w:eastAsia="bg-BG"/>
        </w:rPr>
        <w:t>4</w:t>
      </w:r>
      <w:r w:rsidRPr="000D0CFC">
        <w:rPr>
          <w:rFonts w:eastAsia="Times New Roman" w:cs="Arial"/>
          <w:color w:val="000000"/>
          <w:lang w:eastAsia="bg-BG"/>
        </w:rPr>
        <w:t>НЛР докладвани само за таблетки с незабавно освобождаване</w:t>
      </w:r>
      <w:r w:rsidRPr="000D0CFC">
        <w:rPr>
          <w:rFonts w:eastAsia="Times New Roman" w:cs="Arial"/>
          <w:color w:val="000000"/>
          <w:lang w:eastAsia="bg-BG"/>
        </w:rPr>
        <w:tab/>
      </w:r>
    </w:p>
    <w:p w14:paraId="5CF6212A" w14:textId="77777777" w:rsidR="000D0CFC" w:rsidRPr="000D0CFC" w:rsidRDefault="000D0CFC" w:rsidP="000D0CFC">
      <w:pPr>
        <w:spacing w:line="240" w:lineRule="auto"/>
        <w:rPr>
          <w:rFonts w:eastAsia="Times New Roman" w:cs="Arial"/>
          <w:color w:val="000000"/>
          <w:lang w:eastAsia="bg-BG"/>
        </w:rPr>
      </w:pPr>
    </w:p>
    <w:p w14:paraId="3C8BA5A6" w14:textId="7BCC0559" w:rsidR="000D0CFC" w:rsidRPr="000D0CFC" w:rsidRDefault="000D0CFC" w:rsidP="000D0CFC">
      <w:pPr>
        <w:spacing w:line="240" w:lineRule="auto"/>
        <w:rPr>
          <w:rFonts w:eastAsia="Times New Roman" w:cs="Arial"/>
        </w:rPr>
      </w:pPr>
      <w:r w:rsidRPr="000D0CFC">
        <w:rPr>
          <w:rFonts w:eastAsia="Times New Roman" w:cs="Arial"/>
          <w:color w:val="000000"/>
          <w:lang w:eastAsia="bg-BG"/>
        </w:rPr>
        <w:t>Честотата, вида и тежестта на нежеланите лекарства при деца се очаква да бъдат същите като при възрастни.</w:t>
      </w:r>
    </w:p>
    <w:p w14:paraId="168F3778" w14:textId="2602DA1B" w:rsidR="000D0CFC" w:rsidRDefault="000D0CFC" w:rsidP="000D0CFC"/>
    <w:p w14:paraId="228E2D77" w14:textId="77777777"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Имунокомпрометипани пациенти</w:t>
      </w:r>
    </w:p>
    <w:p w14:paraId="4372FEA1"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При пациенти със СПИН и други имунокомпрометирани пациенти, лекувани за микобактериални инфекции с по-високи перорални дози Клацид за продължителен период, често е било трудно да се отличат нежеланите събития, свързани с Клацид от симптомите на СПИН или съпътстващото заболяване.</w:t>
      </w:r>
    </w:p>
    <w:p w14:paraId="14E4E173" w14:textId="77777777" w:rsidR="000D0CFC" w:rsidRPr="000D0CFC" w:rsidRDefault="000D0CFC" w:rsidP="000D0CFC">
      <w:pPr>
        <w:spacing w:line="240" w:lineRule="auto"/>
        <w:rPr>
          <w:rFonts w:eastAsia="Times New Roman" w:cs="Arial"/>
          <w:color w:val="000000"/>
          <w:lang w:eastAsia="bg-BG"/>
        </w:rPr>
      </w:pPr>
    </w:p>
    <w:p w14:paraId="2D9F3C82" w14:textId="2C2B5191" w:rsidR="000D0CFC" w:rsidRPr="000D0CFC" w:rsidRDefault="000D0CFC" w:rsidP="000D0CFC">
      <w:pPr>
        <w:spacing w:line="240" w:lineRule="auto"/>
        <w:rPr>
          <w:rFonts w:eastAsia="Times New Roman" w:cs="Arial"/>
        </w:rPr>
      </w:pPr>
      <w:r w:rsidRPr="000D0CFC">
        <w:rPr>
          <w:rFonts w:eastAsia="Times New Roman" w:cs="Arial"/>
          <w:color w:val="000000"/>
          <w:lang w:eastAsia="bg-BG"/>
        </w:rPr>
        <w:lastRenderedPageBreak/>
        <w:t xml:space="preserve">При възрастни пациенти, лекувани с Клацид 1 000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обща дневна доза, най-често докладваните нежелани събития са: гадене, повръщане, промяна на вкуса, коремна болка, диария, обриви, флатуленция, главоболие, запек, нарушения на слуха, повишени серумна глутамат оксалоацетат трансаминаза </w:t>
      </w:r>
      <w:r w:rsidRPr="000D0CFC">
        <w:rPr>
          <w:rFonts w:eastAsia="Times New Roman" w:cs="Arial"/>
          <w:color w:val="000000"/>
          <w:lang w:val="ru-RU"/>
        </w:rPr>
        <w:t>(</w:t>
      </w:r>
      <w:r w:rsidRPr="000D0CFC">
        <w:rPr>
          <w:rFonts w:eastAsia="Times New Roman" w:cs="Arial"/>
          <w:color w:val="000000"/>
          <w:lang w:val="en-US"/>
        </w:rPr>
        <w:t>SGOT</w:t>
      </w:r>
      <w:r w:rsidRPr="000D0CFC">
        <w:rPr>
          <w:rFonts w:eastAsia="Times New Roman" w:cs="Arial"/>
          <w:color w:val="000000"/>
          <w:lang w:val="ru-RU"/>
        </w:rPr>
        <w:t xml:space="preserve">) </w:t>
      </w:r>
      <w:r w:rsidRPr="000D0CFC">
        <w:rPr>
          <w:rFonts w:eastAsia="Times New Roman" w:cs="Arial"/>
          <w:color w:val="000000"/>
          <w:lang w:eastAsia="bg-BG"/>
        </w:rPr>
        <w:t xml:space="preserve">и серумна глутамат пируват трансаминаза </w:t>
      </w:r>
      <w:r w:rsidRPr="000D0CFC">
        <w:rPr>
          <w:rFonts w:eastAsia="Times New Roman" w:cs="Arial"/>
          <w:color w:val="000000"/>
          <w:lang w:val="ru-RU"/>
        </w:rPr>
        <w:t>(</w:t>
      </w:r>
      <w:r w:rsidRPr="000D0CFC">
        <w:rPr>
          <w:rFonts w:eastAsia="Times New Roman" w:cs="Arial"/>
          <w:color w:val="000000"/>
          <w:lang w:val="en-US"/>
        </w:rPr>
        <w:t>SGPT</w:t>
      </w:r>
      <w:r w:rsidRPr="000D0CFC">
        <w:rPr>
          <w:rFonts w:eastAsia="Times New Roman" w:cs="Arial"/>
          <w:color w:val="000000"/>
          <w:lang w:val="ru-RU"/>
        </w:rPr>
        <w:t xml:space="preserve">). </w:t>
      </w:r>
      <w:r w:rsidRPr="000D0CFC">
        <w:rPr>
          <w:rFonts w:eastAsia="Times New Roman" w:cs="Arial"/>
          <w:color w:val="000000"/>
          <w:lang w:eastAsia="bg-BG"/>
        </w:rPr>
        <w:t>Допълнителни събития с по-ниска честота са задух, безсъние и сухота в устата.</w:t>
      </w:r>
    </w:p>
    <w:p w14:paraId="27842850" w14:textId="77777777" w:rsidR="000D0CFC" w:rsidRPr="000D0CFC" w:rsidRDefault="000D0CFC" w:rsidP="000D0CFC">
      <w:pPr>
        <w:spacing w:line="240" w:lineRule="auto"/>
        <w:rPr>
          <w:rFonts w:eastAsia="Times New Roman" w:cs="Arial"/>
          <w:color w:val="000000"/>
          <w:lang w:eastAsia="bg-BG"/>
        </w:rPr>
      </w:pPr>
    </w:p>
    <w:p w14:paraId="50E10EC8" w14:textId="2BA9ADFA"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При тези имунокомпрометирани пациенти лабораторните показатели са оценени при анализиране на тези стойности без включване на големите отклонения (т.е. екстремно високи и екстремно ниски) за конкретното изследване. На базата на тези критерии, около 2% до 3% от тези пациенти, които получават 1 000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Клацид дневно са имали сериозно повишени нива на </w:t>
      </w:r>
      <w:r w:rsidRPr="000D0CFC">
        <w:rPr>
          <w:rFonts w:eastAsia="Times New Roman" w:cs="Arial"/>
          <w:color w:val="000000"/>
          <w:lang w:val="en-US"/>
        </w:rPr>
        <w:t>SGOT</w:t>
      </w:r>
      <w:r w:rsidRPr="000D0CFC">
        <w:rPr>
          <w:rFonts w:eastAsia="Times New Roman" w:cs="Arial"/>
          <w:color w:val="000000"/>
          <w:lang w:val="ru-RU"/>
        </w:rPr>
        <w:t xml:space="preserve"> </w:t>
      </w:r>
      <w:r w:rsidRPr="000D0CFC">
        <w:rPr>
          <w:rFonts w:eastAsia="Times New Roman" w:cs="Arial"/>
          <w:color w:val="000000"/>
          <w:lang w:eastAsia="bg-BG"/>
        </w:rPr>
        <w:t xml:space="preserve">и </w:t>
      </w:r>
      <w:r w:rsidRPr="000D0CFC">
        <w:rPr>
          <w:rFonts w:eastAsia="Times New Roman" w:cs="Arial"/>
          <w:color w:val="000000"/>
          <w:lang w:val="en-US"/>
        </w:rPr>
        <w:t>SGPT</w:t>
      </w:r>
      <w:r w:rsidRPr="000D0CFC">
        <w:rPr>
          <w:rFonts w:eastAsia="Times New Roman" w:cs="Arial"/>
          <w:color w:val="000000"/>
          <w:lang w:val="ru-RU"/>
        </w:rPr>
        <w:t xml:space="preserve"> </w:t>
      </w:r>
      <w:r w:rsidRPr="000D0CFC">
        <w:rPr>
          <w:rFonts w:eastAsia="Times New Roman" w:cs="Arial"/>
          <w:color w:val="000000"/>
          <w:lang w:eastAsia="bg-BG"/>
        </w:rPr>
        <w:t>и абнормно нисък брой бели кръвни клетки и тромбоцити. Нисък процент пациенти са имали повишени нива на урея.</w:t>
      </w:r>
    </w:p>
    <w:p w14:paraId="107E9589" w14:textId="77777777" w:rsidR="000D0CFC" w:rsidRPr="000D0CFC" w:rsidRDefault="000D0CFC" w:rsidP="000D0CFC">
      <w:pPr>
        <w:spacing w:line="240" w:lineRule="auto"/>
        <w:rPr>
          <w:rFonts w:eastAsia="Times New Roman" w:cs="Arial"/>
          <w:color w:val="000000"/>
          <w:u w:val="single"/>
          <w:lang w:eastAsia="bg-BG"/>
        </w:rPr>
      </w:pPr>
    </w:p>
    <w:p w14:paraId="6500FA67" w14:textId="140B4C66"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Съобщаване на подозирани нежелани реакции</w:t>
      </w:r>
    </w:p>
    <w:p w14:paraId="719322E6"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w:t>
      </w:r>
      <w:r w:rsidRPr="000D0CFC">
        <w:rPr>
          <w:rFonts w:eastAsia="Times New Roman" w:cs="Arial"/>
          <w:i/>
          <w:iCs/>
          <w:color w:val="000000"/>
          <w:lang w:eastAsia="bg-BG"/>
        </w:rPr>
        <w:t>всяка</w:t>
      </w:r>
      <w:r w:rsidRPr="000D0CFC">
        <w:rPr>
          <w:rFonts w:eastAsia="Times New Roman" w:cs="Arial"/>
          <w:color w:val="000000"/>
          <w:lang w:eastAsia="bg-BG"/>
        </w:rPr>
        <w:t xml:space="preserve"> подозирана нежелана реакция чрез национална система за съобщаване:</w:t>
      </w:r>
    </w:p>
    <w:p w14:paraId="7A4E2C06" w14:textId="77777777" w:rsidR="000D0CFC" w:rsidRPr="000D0CFC" w:rsidRDefault="000D0CFC" w:rsidP="000D0CFC">
      <w:pPr>
        <w:spacing w:line="240" w:lineRule="auto"/>
        <w:rPr>
          <w:rFonts w:eastAsia="Times New Roman" w:cs="Arial"/>
          <w:color w:val="000000"/>
          <w:lang w:eastAsia="bg-BG"/>
        </w:rPr>
      </w:pPr>
    </w:p>
    <w:p w14:paraId="34AEB775" w14:textId="633B7040" w:rsidR="000D0CFC" w:rsidRPr="000D0CFC" w:rsidRDefault="000D0CFC" w:rsidP="000D0CFC">
      <w:pPr>
        <w:spacing w:line="240" w:lineRule="auto"/>
        <w:rPr>
          <w:rFonts w:eastAsia="Times New Roman" w:cs="Arial"/>
        </w:rPr>
      </w:pPr>
      <w:r w:rsidRPr="000D0CFC">
        <w:rPr>
          <w:rFonts w:eastAsia="Times New Roman" w:cs="Arial"/>
          <w:color w:val="000000"/>
          <w:lang w:eastAsia="bg-BG"/>
        </w:rPr>
        <w:t>Изпълнителна агенция по лекарствата (ИАЛ)</w:t>
      </w:r>
    </w:p>
    <w:p w14:paraId="2DC0DE8B"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ул.,Дамян Груев” № 8</w:t>
      </w:r>
    </w:p>
    <w:p w14:paraId="5B264892"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1303 София</w:t>
      </w:r>
    </w:p>
    <w:p w14:paraId="66BAED37" w14:textId="77777777" w:rsidR="000D0CFC" w:rsidRPr="000D0CFC" w:rsidRDefault="000D0CFC" w:rsidP="000D0CFC">
      <w:pPr>
        <w:spacing w:line="240" w:lineRule="auto"/>
        <w:rPr>
          <w:rFonts w:ascii="Times New Roman" w:eastAsia="Times New Roman" w:hAnsi="Times New Roman" w:cs="Times New Roman"/>
          <w:sz w:val="24"/>
          <w:szCs w:val="24"/>
        </w:rPr>
      </w:pPr>
      <w:r w:rsidRPr="000D0CFC">
        <w:rPr>
          <w:rFonts w:eastAsia="Times New Roman" w:cs="Arial"/>
          <w:color w:val="000000"/>
          <w:lang w:eastAsia="bg-BG"/>
        </w:rPr>
        <w:t xml:space="preserve">Тел.:+35 928903417 уебсайт: </w:t>
      </w:r>
      <w:r w:rsidRPr="000D0CFC">
        <w:rPr>
          <w:rFonts w:eastAsia="Times New Roman" w:cs="Arial"/>
        </w:rPr>
        <w:fldChar w:fldCharType="begin"/>
      </w:r>
      <w:r w:rsidRPr="000D0CFC">
        <w:rPr>
          <w:rFonts w:eastAsia="Times New Roman" w:cs="Arial"/>
        </w:rPr>
        <w:instrText xml:space="preserve"> HYPERLINK "http://www.bda.bg" </w:instrText>
      </w:r>
      <w:r w:rsidRPr="000D0CFC">
        <w:rPr>
          <w:rFonts w:eastAsia="Times New Roman" w:cs="Arial"/>
        </w:rPr>
      </w:r>
      <w:r w:rsidRPr="000D0CFC">
        <w:rPr>
          <w:rFonts w:eastAsia="Times New Roman" w:cs="Arial"/>
        </w:rPr>
        <w:fldChar w:fldCharType="separate"/>
      </w:r>
      <w:r w:rsidRPr="000D0CFC">
        <w:rPr>
          <w:rFonts w:eastAsia="Times New Roman" w:cs="Arial"/>
          <w:color w:val="000000"/>
          <w:u w:val="single"/>
          <w:lang w:val="en-US"/>
        </w:rPr>
        <w:t>www</w:t>
      </w:r>
      <w:r w:rsidRPr="000D0CFC">
        <w:rPr>
          <w:rFonts w:eastAsia="Times New Roman" w:cs="Arial"/>
          <w:color w:val="000000"/>
          <w:u w:val="single"/>
          <w:lang w:val="ru-RU"/>
        </w:rPr>
        <w:t>.</w:t>
      </w:r>
      <w:proofErr w:type="spellStart"/>
      <w:r w:rsidRPr="000D0CFC">
        <w:rPr>
          <w:rFonts w:eastAsia="Times New Roman" w:cs="Arial"/>
          <w:color w:val="000000"/>
          <w:u w:val="single"/>
          <w:lang w:val="en-US"/>
        </w:rPr>
        <w:t>bda</w:t>
      </w:r>
      <w:proofErr w:type="spellEnd"/>
      <w:r w:rsidRPr="000D0CFC">
        <w:rPr>
          <w:rFonts w:eastAsia="Times New Roman" w:cs="Arial"/>
          <w:color w:val="000000"/>
          <w:u w:val="single"/>
          <w:lang w:val="ru-RU"/>
        </w:rPr>
        <w:t>.</w:t>
      </w:r>
      <w:proofErr w:type="spellStart"/>
      <w:r w:rsidRPr="000D0CFC">
        <w:rPr>
          <w:rFonts w:eastAsia="Times New Roman" w:cs="Arial"/>
          <w:color w:val="000000"/>
          <w:u w:val="single"/>
          <w:lang w:val="en-US"/>
        </w:rPr>
        <w:t>bg</w:t>
      </w:r>
      <w:proofErr w:type="spellEnd"/>
      <w:r w:rsidRPr="000D0CFC">
        <w:rPr>
          <w:rFonts w:eastAsia="Times New Roman" w:cs="Arial"/>
        </w:rPr>
        <w:fldChar w:fldCharType="end"/>
      </w:r>
      <w:r w:rsidRPr="000D0CFC">
        <w:rPr>
          <w:rFonts w:eastAsia="Times New Roman" w:cs="Arial"/>
          <w:color w:val="000000"/>
          <w:u w:val="single"/>
          <w:lang w:val="ru-RU"/>
        </w:rPr>
        <w:t xml:space="preserve"> </w:t>
      </w:r>
      <w:r w:rsidRPr="000D0CFC">
        <w:rPr>
          <w:rFonts w:eastAsia="Times New Roman" w:cs="Arial"/>
          <w:color w:val="000000"/>
          <w:lang w:eastAsia="bg-BG"/>
        </w:rPr>
        <w:t>Като съобщавате нежелани реакции, можете да дадете своя принос за получаване на повече информация относно безопасността на това лекарство.</w:t>
      </w:r>
    </w:p>
    <w:p w14:paraId="5675F93A" w14:textId="77777777" w:rsidR="000D0CFC" w:rsidRPr="000D0CFC" w:rsidRDefault="000D0CFC" w:rsidP="000D0CFC"/>
    <w:p w14:paraId="5B0378B8" w14:textId="7F0896A6" w:rsidR="00426E5F" w:rsidRDefault="002C50EE" w:rsidP="00A65A81">
      <w:pPr>
        <w:pStyle w:val="Heading2"/>
      </w:pPr>
      <w:r>
        <w:t>4.9. Предозиране</w:t>
      </w:r>
    </w:p>
    <w:p w14:paraId="0788675A" w14:textId="16F1A3B7" w:rsidR="000D0CFC" w:rsidRDefault="000D0CFC" w:rsidP="000D0CFC"/>
    <w:p w14:paraId="146FCB13" w14:textId="77777777" w:rsidR="000D0CFC" w:rsidRPr="000D0CFC" w:rsidRDefault="000D0CFC" w:rsidP="000D0CFC">
      <w:pPr>
        <w:pStyle w:val="Heading3"/>
        <w:rPr>
          <w:rFonts w:eastAsia="Times New Roman"/>
          <w:u w:val="single"/>
        </w:rPr>
      </w:pPr>
      <w:r w:rsidRPr="000D0CFC">
        <w:rPr>
          <w:rFonts w:eastAsia="Times New Roman"/>
          <w:u w:val="single"/>
          <w:lang w:eastAsia="bg-BG"/>
        </w:rPr>
        <w:t>Симптоми</w:t>
      </w:r>
    </w:p>
    <w:p w14:paraId="1FCE539F" w14:textId="77777777" w:rsidR="000D0CFC" w:rsidRPr="000D0CFC" w:rsidRDefault="000D0CFC" w:rsidP="000D0CFC">
      <w:pPr>
        <w:rPr>
          <w:sz w:val="24"/>
          <w:szCs w:val="24"/>
        </w:rPr>
      </w:pPr>
      <w:r w:rsidRPr="000D0CFC">
        <w:rPr>
          <w:lang w:eastAsia="bg-BG"/>
        </w:rPr>
        <w:t>Получените съобщения показват, че приема на големи количества Клацид може да доведе до появата на стомашно-чревни симптоми. При един пациент с анамнеза за биполярно разстройство, приел осем грама Клацид, е наблюдавано нарушение на менталните функции, параноидно поведение, хипокалиемия и хипоксемия.</w:t>
      </w:r>
    </w:p>
    <w:p w14:paraId="25D06A7B" w14:textId="77777777" w:rsidR="000D0CFC" w:rsidRDefault="000D0CFC" w:rsidP="000D0CFC">
      <w:pPr>
        <w:rPr>
          <w:lang w:eastAsia="bg-BG"/>
        </w:rPr>
      </w:pPr>
    </w:p>
    <w:p w14:paraId="496ACBAF" w14:textId="37D5F2CD" w:rsidR="000D0CFC" w:rsidRPr="000D0CFC" w:rsidRDefault="000D0CFC" w:rsidP="000D0CFC">
      <w:pPr>
        <w:pStyle w:val="Heading3"/>
        <w:rPr>
          <w:rFonts w:eastAsia="Times New Roman"/>
          <w:u w:val="single"/>
        </w:rPr>
      </w:pPr>
      <w:r w:rsidRPr="000D0CFC">
        <w:rPr>
          <w:rFonts w:eastAsia="Times New Roman"/>
          <w:u w:val="single"/>
          <w:lang w:eastAsia="bg-BG"/>
        </w:rPr>
        <w:t>Лечение</w:t>
      </w:r>
    </w:p>
    <w:p w14:paraId="4F2269EA" w14:textId="48D391E6" w:rsidR="000D0CFC" w:rsidRDefault="000D0CFC" w:rsidP="000D0CFC">
      <w:pPr>
        <w:rPr>
          <w:sz w:val="24"/>
          <w:szCs w:val="24"/>
        </w:rPr>
      </w:pPr>
      <w:r w:rsidRPr="000D0CFC">
        <w:rPr>
          <w:lang w:eastAsia="bg-BG"/>
        </w:rPr>
        <w:t>Нежеланите ефекти, придружаващи предозирането, трябва да се лекуват със своевременно елиминиране на неабсорбираното лекарство и поддържащи мерки. Както при останалите макролиди, не се очаква серумните нива на кларитромицин да се повлияят значително при хемодиализа или перитонеална диализа.</w:t>
      </w:r>
    </w:p>
    <w:p w14:paraId="7790FC4B" w14:textId="77777777" w:rsidR="000D0CFC" w:rsidRPr="000D0CFC" w:rsidRDefault="000D0CFC" w:rsidP="000D0CFC">
      <w:pPr>
        <w:rPr>
          <w:sz w:val="24"/>
          <w:szCs w:val="24"/>
        </w:rPr>
      </w:pPr>
    </w:p>
    <w:p w14:paraId="02081B24" w14:textId="1F46E296" w:rsidR="00395555" w:rsidRPr="00395555" w:rsidRDefault="002C50EE" w:rsidP="008A6AF2">
      <w:pPr>
        <w:pStyle w:val="Heading1"/>
      </w:pPr>
      <w:r>
        <w:t>5. ФАРМАКОЛОГИЧНИ СВОЙСТВА</w:t>
      </w:r>
    </w:p>
    <w:p w14:paraId="5279C268" w14:textId="4791B984" w:rsidR="00426E5F" w:rsidRDefault="002C50EE" w:rsidP="00A65A81">
      <w:pPr>
        <w:pStyle w:val="Heading2"/>
      </w:pPr>
      <w:r>
        <w:t>5.1. Фармакодинамични свойства</w:t>
      </w:r>
    </w:p>
    <w:p w14:paraId="3C86C5B6" w14:textId="195B98E8" w:rsidR="000D0CFC" w:rsidRDefault="000D0CFC" w:rsidP="000D0CFC"/>
    <w:p w14:paraId="1977B77A"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Фармакотерапевтична група: анти-бактериални лекарствени продукти за системно приложение макролиди, АТС код: </w:t>
      </w:r>
      <w:r w:rsidRPr="000D0CFC">
        <w:rPr>
          <w:rFonts w:eastAsia="Times New Roman" w:cs="Arial"/>
          <w:color w:val="000000"/>
          <w:lang w:val="en-US"/>
        </w:rPr>
        <w:t>J</w:t>
      </w:r>
      <w:r w:rsidRPr="000D0CFC">
        <w:rPr>
          <w:rFonts w:eastAsia="Times New Roman" w:cs="Arial"/>
          <w:color w:val="000000"/>
          <w:lang w:val="ru-RU"/>
        </w:rPr>
        <w:t>01</w:t>
      </w:r>
      <w:r w:rsidRPr="000D0CFC">
        <w:rPr>
          <w:rFonts w:eastAsia="Times New Roman" w:cs="Arial"/>
          <w:color w:val="000000"/>
          <w:lang w:val="en-US"/>
        </w:rPr>
        <w:t>FA</w:t>
      </w:r>
      <w:r w:rsidRPr="000D0CFC">
        <w:rPr>
          <w:rFonts w:eastAsia="Times New Roman" w:cs="Arial"/>
          <w:color w:val="000000"/>
          <w:lang w:val="ru-RU"/>
        </w:rPr>
        <w:t>09</w:t>
      </w:r>
    </w:p>
    <w:p w14:paraId="6A05C230" w14:textId="102BBDFD" w:rsidR="000D0CFC" w:rsidRPr="000D0CFC" w:rsidRDefault="000D0CFC" w:rsidP="000D0CFC">
      <w:pPr>
        <w:rPr>
          <w:rFonts w:cs="Arial"/>
        </w:rPr>
      </w:pPr>
    </w:p>
    <w:p w14:paraId="1B85EED0"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Кларитромицин е полусинтетичен макролиден антибиотик получен чрез замяна на СН</w:t>
      </w:r>
      <w:r w:rsidRPr="000D0CFC">
        <w:rPr>
          <w:rFonts w:eastAsia="Times New Roman" w:cs="Arial"/>
          <w:color w:val="000000"/>
          <w:vertAlign w:val="subscript"/>
          <w:lang w:eastAsia="bg-BG"/>
        </w:rPr>
        <w:t>3</w:t>
      </w:r>
      <w:r w:rsidRPr="000D0CFC">
        <w:rPr>
          <w:rFonts w:eastAsia="Times New Roman" w:cs="Arial"/>
          <w:color w:val="000000"/>
          <w:lang w:eastAsia="bg-BG"/>
        </w:rPr>
        <w:t>О група с хидроксилна (ОН) група на позиция 6 от еритромицино лактонен пръстен. По-конкретно кларитромицин е 6-О-метил еритромицин А. Белият до почти бял антибиотичен прах е горчив, практически без миризма, по същество неразтворим във вода и слабо разтворим в етанол, метанол и ацетонитрил. Неговото молекулно тегло е 747.96.</w:t>
      </w:r>
    </w:p>
    <w:p w14:paraId="6ADB32D0" w14:textId="77777777" w:rsidR="000D0CFC" w:rsidRPr="000D0CFC" w:rsidRDefault="000D0CFC" w:rsidP="000D0CFC">
      <w:pPr>
        <w:spacing w:line="240" w:lineRule="auto"/>
        <w:rPr>
          <w:rFonts w:eastAsia="Times New Roman" w:cs="Arial"/>
          <w:color w:val="000000"/>
          <w:u w:val="single"/>
          <w:lang w:eastAsia="bg-BG"/>
        </w:rPr>
      </w:pPr>
    </w:p>
    <w:p w14:paraId="7C2763F2" w14:textId="208008B8"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Микробиология</w:t>
      </w:r>
    </w:p>
    <w:p w14:paraId="30434A24" w14:textId="77777777" w:rsidR="000D0CFC" w:rsidRPr="000D0CFC" w:rsidRDefault="000D0CFC" w:rsidP="000D0CFC">
      <w:pPr>
        <w:spacing w:line="240" w:lineRule="auto"/>
        <w:rPr>
          <w:rFonts w:eastAsia="Times New Roman" w:cs="Arial"/>
          <w:color w:val="000000"/>
          <w:lang w:eastAsia="bg-BG"/>
        </w:rPr>
      </w:pPr>
    </w:p>
    <w:p w14:paraId="0E323892" w14:textId="11A98AEC"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Кларитромицин упражнява антибактериалното си действие чрез свързване с </w:t>
      </w:r>
      <w:r w:rsidRPr="000D0CFC">
        <w:rPr>
          <w:rFonts w:eastAsia="Times New Roman" w:cs="Arial"/>
          <w:color w:val="000000"/>
          <w:lang w:val="ru-RU"/>
        </w:rPr>
        <w:t>50</w:t>
      </w:r>
      <w:r w:rsidRPr="000D0CFC">
        <w:rPr>
          <w:rFonts w:eastAsia="Times New Roman" w:cs="Arial"/>
          <w:color w:val="000000"/>
          <w:lang w:val="en-US"/>
        </w:rPr>
        <w:t>S</w:t>
      </w:r>
      <w:r w:rsidRPr="000D0CFC">
        <w:rPr>
          <w:rFonts w:eastAsia="Times New Roman" w:cs="Arial"/>
          <w:color w:val="000000"/>
          <w:lang w:val="ru-RU"/>
        </w:rPr>
        <w:t xml:space="preserve"> </w:t>
      </w:r>
      <w:r w:rsidRPr="000D0CFC">
        <w:rPr>
          <w:rFonts w:eastAsia="Times New Roman" w:cs="Arial"/>
          <w:color w:val="000000"/>
          <w:lang w:eastAsia="bg-BG"/>
        </w:rPr>
        <w:t>рибозомната субединица на чувствителните бактерии и потиска протеиновата синтеза.</w:t>
      </w:r>
    </w:p>
    <w:p w14:paraId="68654F8C" w14:textId="77777777" w:rsidR="000D0CFC" w:rsidRPr="000D0CFC" w:rsidRDefault="000D0CFC" w:rsidP="000D0CFC">
      <w:pPr>
        <w:spacing w:line="240" w:lineRule="auto"/>
        <w:rPr>
          <w:rFonts w:eastAsia="Times New Roman" w:cs="Arial"/>
          <w:color w:val="000000"/>
          <w:lang w:eastAsia="bg-BG"/>
        </w:rPr>
      </w:pPr>
    </w:p>
    <w:p w14:paraId="37B1040B" w14:textId="6741F51D"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Кларитромицин демонстрира отлична </w:t>
      </w:r>
      <w:r w:rsidRPr="000D0CFC">
        <w:rPr>
          <w:rFonts w:eastAsia="Times New Roman" w:cs="Arial"/>
          <w:i/>
          <w:iCs/>
          <w:color w:val="000000"/>
          <w:lang w:val="en-US"/>
        </w:rPr>
        <w:t>in</w:t>
      </w:r>
      <w:r w:rsidRPr="000D0CFC">
        <w:rPr>
          <w:rFonts w:eastAsia="Times New Roman" w:cs="Arial"/>
          <w:i/>
          <w:iCs/>
          <w:color w:val="000000"/>
          <w:lang w:val="ru-RU"/>
        </w:rPr>
        <w:t xml:space="preserve"> </w:t>
      </w:r>
      <w:r w:rsidRPr="000D0CFC">
        <w:rPr>
          <w:rFonts w:eastAsia="Times New Roman" w:cs="Arial"/>
          <w:i/>
          <w:iCs/>
          <w:color w:val="000000"/>
          <w:lang w:val="en-US"/>
        </w:rPr>
        <w:t>vitro</w:t>
      </w:r>
      <w:r w:rsidRPr="000D0CFC">
        <w:rPr>
          <w:rFonts w:eastAsia="Times New Roman" w:cs="Arial"/>
          <w:color w:val="000000"/>
          <w:lang w:val="ru-RU"/>
        </w:rPr>
        <w:t xml:space="preserve"> </w:t>
      </w:r>
      <w:r w:rsidRPr="000D0CFC">
        <w:rPr>
          <w:rFonts w:eastAsia="Times New Roman" w:cs="Arial"/>
          <w:color w:val="000000"/>
          <w:lang w:eastAsia="bg-BG"/>
        </w:rPr>
        <w:t xml:space="preserve">активност срещу стандартни щамове бактерии и клинични изолати. Той притежава много мощно антибактериално действие срещу широк спектър от аеробни и анаеробни Грам-положителни и Грам-отрицателни организми. Минималните инхибиторни концентрации (МИК) на кларитромицин като цяло са с едно </w:t>
      </w:r>
      <w:r w:rsidRPr="000D0CFC">
        <w:rPr>
          <w:rFonts w:eastAsia="Times New Roman" w:cs="Arial"/>
          <w:color w:val="000000"/>
          <w:lang w:val="en-US"/>
        </w:rPr>
        <w:t>log</w:t>
      </w:r>
      <w:r w:rsidRPr="000D0CFC">
        <w:rPr>
          <w:rFonts w:eastAsia="Times New Roman" w:cs="Arial"/>
          <w:color w:val="000000"/>
          <w:vertAlign w:val="subscript"/>
          <w:lang w:val="ru-RU"/>
        </w:rPr>
        <w:t>2</w:t>
      </w:r>
      <w:r w:rsidRPr="000D0CFC">
        <w:rPr>
          <w:rFonts w:eastAsia="Times New Roman" w:cs="Arial"/>
          <w:color w:val="000000"/>
          <w:lang w:val="ru-RU"/>
        </w:rPr>
        <w:t xml:space="preserve"> </w:t>
      </w:r>
      <w:r w:rsidRPr="000D0CFC">
        <w:rPr>
          <w:rFonts w:eastAsia="Times New Roman" w:cs="Arial"/>
          <w:color w:val="000000"/>
          <w:lang w:eastAsia="bg-BG"/>
        </w:rPr>
        <w:t>разреждане по- силни от МИК на еритромицин.</w:t>
      </w:r>
    </w:p>
    <w:p w14:paraId="6D300BCF" w14:textId="77777777" w:rsidR="000D0CFC" w:rsidRPr="000D0CFC" w:rsidRDefault="000D0CFC" w:rsidP="000D0CFC">
      <w:pPr>
        <w:spacing w:line="240" w:lineRule="auto"/>
        <w:rPr>
          <w:rFonts w:eastAsia="Times New Roman" w:cs="Arial"/>
          <w:i/>
          <w:iCs/>
          <w:color w:val="000000"/>
          <w:lang w:val="en-US"/>
        </w:rPr>
      </w:pPr>
    </w:p>
    <w:p w14:paraId="1CF4ED05" w14:textId="74F16EAE" w:rsidR="000D0CFC" w:rsidRPr="000D0CFC" w:rsidRDefault="000D0CFC" w:rsidP="000D0CFC">
      <w:pPr>
        <w:spacing w:line="240" w:lineRule="auto"/>
        <w:rPr>
          <w:rFonts w:eastAsia="Times New Roman" w:cs="Arial"/>
        </w:rPr>
      </w:pPr>
      <w:r w:rsidRPr="000D0CFC">
        <w:rPr>
          <w:rFonts w:eastAsia="Times New Roman" w:cs="Arial"/>
          <w:i/>
          <w:iCs/>
          <w:color w:val="000000"/>
          <w:lang w:val="en-US"/>
        </w:rPr>
        <w:t>In</w:t>
      </w:r>
      <w:r w:rsidRPr="000D0CFC">
        <w:rPr>
          <w:rFonts w:eastAsia="Times New Roman" w:cs="Arial"/>
          <w:i/>
          <w:iCs/>
          <w:color w:val="000000"/>
        </w:rPr>
        <w:t xml:space="preserve"> </w:t>
      </w:r>
      <w:r w:rsidRPr="000D0CFC">
        <w:rPr>
          <w:rFonts w:eastAsia="Times New Roman" w:cs="Arial"/>
          <w:i/>
          <w:iCs/>
          <w:color w:val="000000"/>
          <w:lang w:val="en-US"/>
        </w:rPr>
        <w:t>vitro</w:t>
      </w:r>
      <w:r w:rsidRPr="000D0CFC">
        <w:rPr>
          <w:rFonts w:eastAsia="Times New Roman" w:cs="Arial"/>
          <w:color w:val="000000"/>
        </w:rPr>
        <w:t xml:space="preserve"> </w:t>
      </w:r>
      <w:r w:rsidRPr="000D0CFC">
        <w:rPr>
          <w:rFonts w:eastAsia="Times New Roman" w:cs="Arial"/>
          <w:color w:val="000000"/>
          <w:lang w:eastAsia="bg-BG"/>
        </w:rPr>
        <w:t xml:space="preserve">данните също показват, че кларитромицин има отлична активност срещу </w:t>
      </w:r>
      <w:r w:rsidRPr="000D0CFC">
        <w:rPr>
          <w:rFonts w:eastAsia="Times New Roman" w:cs="Arial"/>
          <w:i/>
          <w:iCs/>
          <w:color w:val="000000"/>
          <w:lang w:val="en-US"/>
        </w:rPr>
        <w:t>Legionella</w:t>
      </w:r>
      <w:r w:rsidRPr="000D0CFC">
        <w:rPr>
          <w:rFonts w:eastAsia="Times New Roman" w:cs="Arial"/>
          <w:i/>
          <w:iCs/>
          <w:color w:val="000000"/>
        </w:rPr>
        <w:t xml:space="preserve"> </w:t>
      </w:r>
      <w:proofErr w:type="spellStart"/>
      <w:r w:rsidRPr="000D0CFC">
        <w:rPr>
          <w:rFonts w:eastAsia="Times New Roman" w:cs="Arial"/>
          <w:i/>
          <w:iCs/>
          <w:color w:val="000000"/>
          <w:lang w:val="en-US"/>
        </w:rPr>
        <w:t>pneumophila</w:t>
      </w:r>
      <w:proofErr w:type="spellEnd"/>
      <w:r w:rsidRPr="000D0CFC">
        <w:rPr>
          <w:rFonts w:eastAsia="Times New Roman" w:cs="Arial"/>
          <w:color w:val="000000"/>
        </w:rPr>
        <w:t xml:space="preserve"> </w:t>
      </w:r>
      <w:r w:rsidRPr="000D0CFC">
        <w:rPr>
          <w:rFonts w:eastAsia="Times New Roman" w:cs="Arial"/>
          <w:color w:val="000000"/>
          <w:lang w:eastAsia="bg-BG"/>
        </w:rPr>
        <w:t xml:space="preserve">и </w:t>
      </w:r>
      <w:r w:rsidRPr="000D0CFC">
        <w:rPr>
          <w:rFonts w:eastAsia="Times New Roman" w:cs="Arial"/>
          <w:i/>
          <w:iCs/>
          <w:color w:val="000000"/>
          <w:lang w:val="en-US"/>
        </w:rPr>
        <w:t>Mycoplasma</w:t>
      </w:r>
      <w:r w:rsidRPr="000D0CFC">
        <w:rPr>
          <w:rFonts w:eastAsia="Times New Roman" w:cs="Arial"/>
          <w:i/>
          <w:iCs/>
          <w:color w:val="000000"/>
        </w:rPr>
        <w:t xml:space="preserve"> </w:t>
      </w:r>
      <w:proofErr w:type="spellStart"/>
      <w:r w:rsidRPr="000D0CFC">
        <w:rPr>
          <w:rFonts w:eastAsia="Times New Roman" w:cs="Arial"/>
          <w:i/>
          <w:iCs/>
          <w:color w:val="000000"/>
          <w:lang w:val="en-US"/>
        </w:rPr>
        <w:t>pneumoniae</w:t>
      </w:r>
      <w:proofErr w:type="spellEnd"/>
      <w:r w:rsidRPr="000D0CFC">
        <w:rPr>
          <w:rFonts w:eastAsia="Times New Roman" w:cs="Arial"/>
          <w:i/>
          <w:iCs/>
          <w:color w:val="000000"/>
        </w:rPr>
        <w:t>.</w:t>
      </w:r>
      <w:r w:rsidRPr="000D0CFC">
        <w:rPr>
          <w:rFonts w:eastAsia="Times New Roman" w:cs="Arial"/>
          <w:color w:val="000000"/>
        </w:rPr>
        <w:t xml:space="preserve"> </w:t>
      </w:r>
      <w:r w:rsidRPr="000D0CFC">
        <w:rPr>
          <w:rFonts w:eastAsia="Times New Roman" w:cs="Arial"/>
          <w:color w:val="000000"/>
          <w:lang w:eastAsia="bg-BG"/>
        </w:rPr>
        <w:t xml:space="preserve">Той е бактерициден за </w:t>
      </w:r>
      <w:r w:rsidRPr="000D0CFC">
        <w:rPr>
          <w:rFonts w:eastAsia="Times New Roman" w:cs="Arial"/>
          <w:i/>
          <w:iCs/>
          <w:color w:val="000000"/>
          <w:lang w:val="en-US"/>
        </w:rPr>
        <w:t>Helicobacter</w:t>
      </w:r>
      <w:r w:rsidRPr="000D0CFC">
        <w:rPr>
          <w:rFonts w:eastAsia="Times New Roman" w:cs="Arial"/>
          <w:i/>
          <w:iCs/>
          <w:color w:val="000000"/>
          <w:lang w:val="ru-RU"/>
        </w:rPr>
        <w:t xml:space="preserve"> </w:t>
      </w:r>
      <w:r w:rsidRPr="000D0CFC">
        <w:rPr>
          <w:rFonts w:eastAsia="Times New Roman" w:cs="Arial"/>
          <w:i/>
          <w:iCs/>
          <w:color w:val="000000"/>
          <w:lang w:val="en-US"/>
        </w:rPr>
        <w:t>pylori</w:t>
      </w:r>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 xml:space="preserve">тази активност на кларитромицин е по-висока при неутрално </w:t>
      </w:r>
      <w:r w:rsidRPr="000D0CFC">
        <w:rPr>
          <w:rFonts w:eastAsia="Times New Roman" w:cs="Arial"/>
          <w:color w:val="000000"/>
          <w:lang w:val="en-US"/>
        </w:rPr>
        <w:t>pH</w:t>
      </w:r>
      <w:r w:rsidRPr="000D0CFC">
        <w:rPr>
          <w:rFonts w:eastAsia="Times New Roman" w:cs="Arial"/>
          <w:color w:val="000000"/>
          <w:lang w:val="ru-RU"/>
        </w:rPr>
        <w:t xml:space="preserve">, </w:t>
      </w:r>
      <w:r w:rsidRPr="000D0CFC">
        <w:rPr>
          <w:rFonts w:eastAsia="Times New Roman" w:cs="Arial"/>
          <w:color w:val="000000"/>
          <w:lang w:eastAsia="bg-BG"/>
        </w:rPr>
        <w:t xml:space="preserve">отколкото при кисело </w:t>
      </w:r>
      <w:r w:rsidRPr="000D0CFC">
        <w:rPr>
          <w:rFonts w:eastAsia="Times New Roman" w:cs="Arial"/>
          <w:color w:val="000000"/>
          <w:lang w:val="en-US"/>
        </w:rPr>
        <w:t>pH</w:t>
      </w:r>
      <w:r w:rsidRPr="000D0CFC">
        <w:rPr>
          <w:rFonts w:eastAsia="Times New Roman" w:cs="Arial"/>
          <w:color w:val="000000"/>
          <w:lang w:val="ru-RU"/>
        </w:rPr>
        <w:t xml:space="preserve">. </w:t>
      </w:r>
      <w:r w:rsidRPr="000D0CFC">
        <w:rPr>
          <w:rFonts w:eastAsia="Times New Roman" w:cs="Arial"/>
          <w:i/>
          <w:iCs/>
          <w:color w:val="000000"/>
          <w:lang w:val="en-US"/>
        </w:rPr>
        <w:t>In</w:t>
      </w:r>
      <w:r w:rsidRPr="000D0CFC">
        <w:rPr>
          <w:rFonts w:eastAsia="Times New Roman" w:cs="Arial"/>
          <w:i/>
          <w:iCs/>
          <w:color w:val="000000"/>
          <w:lang w:val="ru-RU"/>
        </w:rPr>
        <w:t xml:space="preserve"> </w:t>
      </w:r>
      <w:r w:rsidRPr="000D0CFC">
        <w:rPr>
          <w:rFonts w:eastAsia="Times New Roman" w:cs="Arial"/>
          <w:i/>
          <w:iCs/>
          <w:color w:val="000000"/>
          <w:lang w:val="en-US"/>
        </w:rPr>
        <w:t>vitro</w:t>
      </w:r>
      <w:r w:rsidRPr="000D0CFC">
        <w:rPr>
          <w:rFonts w:eastAsia="Times New Roman" w:cs="Arial"/>
          <w:color w:val="000000"/>
          <w:lang w:val="ru-RU"/>
        </w:rPr>
        <w:t xml:space="preserve"> </w:t>
      </w:r>
      <w:r w:rsidRPr="000D0CFC">
        <w:rPr>
          <w:rFonts w:eastAsia="Times New Roman" w:cs="Arial"/>
          <w:color w:val="000000"/>
          <w:lang w:eastAsia="bg-BG"/>
        </w:rPr>
        <w:t xml:space="preserve">и </w:t>
      </w:r>
      <w:r w:rsidRPr="000D0CFC">
        <w:rPr>
          <w:rFonts w:eastAsia="Times New Roman" w:cs="Arial"/>
          <w:i/>
          <w:iCs/>
          <w:color w:val="000000"/>
          <w:lang w:val="en-US"/>
        </w:rPr>
        <w:t>in</w:t>
      </w:r>
      <w:r w:rsidRPr="000D0CFC">
        <w:rPr>
          <w:rFonts w:eastAsia="Times New Roman" w:cs="Arial"/>
          <w:i/>
          <w:iCs/>
          <w:color w:val="000000"/>
          <w:lang w:val="ru-RU"/>
        </w:rPr>
        <w:t xml:space="preserve"> </w:t>
      </w:r>
      <w:r w:rsidRPr="000D0CFC">
        <w:rPr>
          <w:rFonts w:eastAsia="Times New Roman" w:cs="Arial"/>
          <w:i/>
          <w:iCs/>
          <w:color w:val="000000"/>
          <w:lang w:val="en-US"/>
        </w:rPr>
        <w:t>vivo</w:t>
      </w:r>
      <w:r w:rsidRPr="000D0CFC">
        <w:rPr>
          <w:rFonts w:eastAsia="Times New Roman" w:cs="Arial"/>
          <w:i/>
          <w:iCs/>
          <w:color w:val="000000"/>
          <w:lang w:val="ru-RU"/>
        </w:rPr>
        <w:t xml:space="preserve"> </w:t>
      </w:r>
      <w:r w:rsidRPr="000D0CFC">
        <w:rPr>
          <w:rFonts w:eastAsia="Times New Roman" w:cs="Arial"/>
          <w:color w:val="000000"/>
          <w:lang w:eastAsia="bg-BG"/>
        </w:rPr>
        <w:t xml:space="preserve">данните показват, че този антибиотик има активност срещу клинично значими микобактериални видове. </w:t>
      </w:r>
      <w:r w:rsidRPr="000D0CFC">
        <w:rPr>
          <w:rFonts w:eastAsia="Times New Roman" w:cs="Arial"/>
          <w:i/>
          <w:iCs/>
          <w:color w:val="000000"/>
          <w:lang w:val="en-US"/>
        </w:rPr>
        <w:t>In</w:t>
      </w:r>
      <w:r w:rsidRPr="000D0CFC">
        <w:rPr>
          <w:rFonts w:eastAsia="Times New Roman" w:cs="Arial"/>
          <w:i/>
          <w:iCs/>
          <w:color w:val="000000"/>
        </w:rPr>
        <w:t xml:space="preserve"> </w:t>
      </w:r>
      <w:r w:rsidRPr="000D0CFC">
        <w:rPr>
          <w:rFonts w:eastAsia="Times New Roman" w:cs="Arial"/>
          <w:i/>
          <w:iCs/>
          <w:color w:val="000000"/>
          <w:lang w:val="en-US"/>
        </w:rPr>
        <w:t>vitro</w:t>
      </w:r>
      <w:r w:rsidRPr="000D0CFC">
        <w:rPr>
          <w:rFonts w:eastAsia="Times New Roman" w:cs="Arial"/>
          <w:color w:val="000000"/>
        </w:rPr>
        <w:t xml:space="preserve"> </w:t>
      </w:r>
      <w:r w:rsidRPr="000D0CFC">
        <w:rPr>
          <w:rFonts w:eastAsia="Times New Roman" w:cs="Arial"/>
          <w:color w:val="000000"/>
          <w:lang w:eastAsia="bg-BG"/>
        </w:rPr>
        <w:t xml:space="preserve">данните показват, че </w:t>
      </w:r>
      <w:proofErr w:type="spellStart"/>
      <w:r w:rsidRPr="000D0CFC">
        <w:rPr>
          <w:rFonts w:eastAsia="Times New Roman" w:cs="Arial"/>
          <w:i/>
          <w:iCs/>
          <w:color w:val="000000"/>
          <w:lang w:val="en-US"/>
        </w:rPr>
        <w:t>Enterobacteriaceae</w:t>
      </w:r>
      <w:proofErr w:type="spellEnd"/>
      <w:r w:rsidRPr="000D0CFC">
        <w:rPr>
          <w:rFonts w:eastAsia="Times New Roman" w:cs="Arial"/>
          <w:i/>
          <w:iCs/>
          <w:color w:val="000000"/>
        </w:rPr>
        <w:t xml:space="preserve">, </w:t>
      </w:r>
      <w:r w:rsidRPr="000D0CFC">
        <w:rPr>
          <w:rFonts w:eastAsia="Times New Roman" w:cs="Arial"/>
          <w:i/>
          <w:iCs/>
          <w:color w:val="000000"/>
          <w:lang w:val="en-US"/>
        </w:rPr>
        <w:t>Pseudomonas</w:t>
      </w:r>
      <w:r w:rsidRPr="000D0CFC">
        <w:rPr>
          <w:rFonts w:eastAsia="Times New Roman" w:cs="Arial"/>
          <w:color w:val="000000"/>
        </w:rPr>
        <w:t xml:space="preserve"> </w:t>
      </w:r>
      <w:r w:rsidRPr="000D0CFC">
        <w:rPr>
          <w:rFonts w:eastAsia="Times New Roman" w:cs="Arial"/>
          <w:color w:val="000000"/>
          <w:lang w:eastAsia="bg-BG"/>
        </w:rPr>
        <w:t>видовете и други не ферментативни лактозо-отрицателни Грам-отрицателни бактерии не са чувствителни към кларитромицин.</w:t>
      </w:r>
    </w:p>
    <w:p w14:paraId="7108AD68" w14:textId="77777777" w:rsidR="000D0CFC" w:rsidRPr="000D0CFC" w:rsidRDefault="000D0CFC" w:rsidP="000D0CFC">
      <w:pPr>
        <w:spacing w:line="240" w:lineRule="auto"/>
        <w:rPr>
          <w:rFonts w:eastAsia="Times New Roman" w:cs="Arial"/>
          <w:color w:val="000000"/>
          <w:lang w:eastAsia="bg-BG"/>
        </w:rPr>
      </w:pPr>
    </w:p>
    <w:p w14:paraId="7B35962E" w14:textId="652C56BE"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Кларитромицин е показал активност срещу повечето щамове на следните микроорганизми както </w:t>
      </w:r>
      <w:r w:rsidRPr="000D0CFC">
        <w:rPr>
          <w:rFonts w:eastAsia="Times New Roman" w:cs="Arial"/>
          <w:i/>
          <w:iCs/>
          <w:color w:val="000000"/>
          <w:lang w:val="en-US"/>
        </w:rPr>
        <w:t>in</w:t>
      </w:r>
      <w:r w:rsidRPr="000D0CFC">
        <w:rPr>
          <w:rFonts w:eastAsia="Times New Roman" w:cs="Arial"/>
          <w:i/>
          <w:iCs/>
          <w:color w:val="000000"/>
          <w:lang w:val="ru-RU"/>
        </w:rPr>
        <w:t xml:space="preserve"> </w:t>
      </w:r>
      <w:r w:rsidRPr="000D0CFC">
        <w:rPr>
          <w:rFonts w:eastAsia="Times New Roman" w:cs="Arial"/>
          <w:i/>
          <w:iCs/>
          <w:color w:val="000000"/>
          <w:lang w:val="en-US"/>
        </w:rPr>
        <w:t>vitro</w:t>
      </w:r>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 xml:space="preserve">така и </w:t>
      </w:r>
      <w:r w:rsidRPr="000D0CFC">
        <w:rPr>
          <w:rFonts w:eastAsia="Times New Roman" w:cs="Arial"/>
          <w:i/>
          <w:iCs/>
          <w:color w:val="000000"/>
          <w:lang w:eastAsia="bg-BG"/>
        </w:rPr>
        <w:t>при</w:t>
      </w:r>
      <w:r w:rsidRPr="000D0CFC">
        <w:rPr>
          <w:rFonts w:eastAsia="Times New Roman" w:cs="Arial"/>
          <w:color w:val="000000"/>
          <w:lang w:eastAsia="bg-BG"/>
        </w:rPr>
        <w:t xml:space="preserve"> клинични инфекции, както е описано </w:t>
      </w:r>
      <w:r w:rsidRPr="000D0CFC">
        <w:rPr>
          <w:rFonts w:eastAsia="Times New Roman" w:cs="Arial"/>
          <w:i/>
          <w:iCs/>
          <w:color w:val="000000"/>
          <w:lang w:eastAsia="bg-BG"/>
        </w:rPr>
        <w:t>в точка</w:t>
      </w:r>
      <w:r w:rsidRPr="000D0CFC">
        <w:rPr>
          <w:rFonts w:eastAsia="Times New Roman" w:cs="Arial"/>
          <w:color w:val="000000"/>
          <w:lang w:eastAsia="bg-BG"/>
        </w:rPr>
        <w:t xml:space="preserve"> 4.1:</w:t>
      </w:r>
    </w:p>
    <w:p w14:paraId="19441D7F" w14:textId="77777777" w:rsidR="000D0CFC" w:rsidRPr="000D0CFC" w:rsidRDefault="000D0CFC" w:rsidP="000D0CFC">
      <w:pPr>
        <w:spacing w:line="240" w:lineRule="auto"/>
        <w:rPr>
          <w:rFonts w:eastAsia="Times New Roman" w:cs="Arial"/>
          <w:b/>
          <w:bCs/>
          <w:color w:val="000000"/>
          <w:lang w:eastAsia="bg-BG"/>
        </w:rPr>
      </w:pPr>
      <w:bookmarkStart w:id="1" w:name="bookmark0"/>
    </w:p>
    <w:p w14:paraId="51CF59D9" w14:textId="5193417C" w:rsidR="000D0CFC" w:rsidRPr="000D0CFC" w:rsidRDefault="000D0CFC" w:rsidP="000D0CFC">
      <w:pPr>
        <w:spacing w:line="240" w:lineRule="auto"/>
        <w:rPr>
          <w:rFonts w:eastAsia="Times New Roman" w:cs="Arial"/>
        </w:rPr>
      </w:pPr>
      <w:r w:rsidRPr="000D0CFC">
        <w:rPr>
          <w:rFonts w:eastAsia="Times New Roman" w:cs="Arial"/>
          <w:b/>
          <w:bCs/>
          <w:color w:val="000000"/>
          <w:lang w:eastAsia="bg-BG"/>
        </w:rPr>
        <w:t>Аеробни Грам-положителни микроорганизми</w:t>
      </w:r>
      <w:bookmarkEnd w:id="1"/>
    </w:p>
    <w:p w14:paraId="1AB6AC7B"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Staphylococcus</w:t>
      </w:r>
      <w:r w:rsidRPr="000D0CFC">
        <w:rPr>
          <w:rFonts w:eastAsia="Times New Roman" w:cs="Arial"/>
          <w:i/>
          <w:iCs/>
          <w:color w:val="000000"/>
          <w:lang w:val="ru-RU"/>
        </w:rPr>
        <w:t xml:space="preserve"> </w:t>
      </w:r>
      <w:r w:rsidRPr="000D0CFC">
        <w:rPr>
          <w:rFonts w:eastAsia="Times New Roman" w:cs="Arial"/>
          <w:i/>
          <w:iCs/>
          <w:color w:val="000000"/>
          <w:lang w:val="en-US"/>
        </w:rPr>
        <w:t>aureus</w:t>
      </w:r>
    </w:p>
    <w:p w14:paraId="6D03AB92"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 xml:space="preserve">Streptococcus </w:t>
      </w:r>
      <w:proofErr w:type="spellStart"/>
      <w:r w:rsidRPr="000D0CFC">
        <w:rPr>
          <w:rFonts w:eastAsia="Times New Roman" w:cs="Arial"/>
          <w:i/>
          <w:iCs/>
          <w:color w:val="000000"/>
          <w:lang w:val="en-US"/>
        </w:rPr>
        <w:t>pneumoniae</w:t>
      </w:r>
      <w:proofErr w:type="spellEnd"/>
    </w:p>
    <w:p w14:paraId="40D9E56B"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 xml:space="preserve">Streptococcus </w:t>
      </w:r>
      <w:proofErr w:type="spellStart"/>
      <w:r w:rsidRPr="000D0CFC">
        <w:rPr>
          <w:rFonts w:eastAsia="Times New Roman" w:cs="Arial"/>
          <w:i/>
          <w:iCs/>
          <w:color w:val="000000"/>
          <w:lang w:val="en-US"/>
        </w:rPr>
        <w:t>pyogenes</w:t>
      </w:r>
      <w:proofErr w:type="spellEnd"/>
    </w:p>
    <w:p w14:paraId="02430A93"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 xml:space="preserve">Listeria </w:t>
      </w:r>
      <w:proofErr w:type="spellStart"/>
      <w:r w:rsidRPr="000D0CFC">
        <w:rPr>
          <w:rFonts w:eastAsia="Times New Roman" w:cs="Arial"/>
          <w:i/>
          <w:iCs/>
          <w:color w:val="000000"/>
          <w:lang w:val="en-US"/>
        </w:rPr>
        <w:t>monocytogenes</w:t>
      </w:r>
      <w:proofErr w:type="spellEnd"/>
    </w:p>
    <w:p w14:paraId="0D7B630A" w14:textId="77777777" w:rsidR="000D0CFC" w:rsidRPr="000D0CFC" w:rsidRDefault="000D0CFC" w:rsidP="000D0CFC">
      <w:pPr>
        <w:spacing w:line="240" w:lineRule="auto"/>
        <w:rPr>
          <w:rFonts w:eastAsia="Times New Roman" w:cs="Arial"/>
          <w:b/>
          <w:bCs/>
          <w:color w:val="000000"/>
          <w:lang w:eastAsia="bg-BG"/>
        </w:rPr>
      </w:pPr>
      <w:bookmarkStart w:id="2" w:name="bookmark2"/>
    </w:p>
    <w:p w14:paraId="60F94E91" w14:textId="6BFABEEC" w:rsidR="000D0CFC" w:rsidRPr="000D0CFC" w:rsidRDefault="000D0CFC" w:rsidP="000D0CFC">
      <w:pPr>
        <w:spacing w:line="240" w:lineRule="auto"/>
        <w:rPr>
          <w:rFonts w:eastAsia="Times New Roman" w:cs="Arial"/>
        </w:rPr>
      </w:pPr>
      <w:r w:rsidRPr="000D0CFC">
        <w:rPr>
          <w:rFonts w:eastAsia="Times New Roman" w:cs="Arial"/>
          <w:b/>
          <w:bCs/>
          <w:color w:val="000000"/>
          <w:lang w:eastAsia="bg-BG"/>
        </w:rPr>
        <w:t>Аеробни Грам-отрицателни микроорганизми</w:t>
      </w:r>
      <w:bookmarkEnd w:id="2"/>
    </w:p>
    <w:p w14:paraId="5747EE1D" w14:textId="77777777" w:rsidR="000D0CFC" w:rsidRPr="000D0CFC" w:rsidRDefault="000D0CFC" w:rsidP="000D0CFC">
      <w:pPr>
        <w:spacing w:line="240" w:lineRule="auto"/>
        <w:rPr>
          <w:rFonts w:eastAsia="Times New Roman" w:cs="Arial"/>
        </w:rPr>
      </w:pPr>
      <w:proofErr w:type="spellStart"/>
      <w:r w:rsidRPr="000D0CFC">
        <w:rPr>
          <w:rFonts w:eastAsia="Times New Roman" w:cs="Arial"/>
          <w:i/>
          <w:iCs/>
          <w:color w:val="000000"/>
          <w:lang w:val="en-US"/>
        </w:rPr>
        <w:t>Haemophilus</w:t>
      </w:r>
      <w:proofErr w:type="spellEnd"/>
      <w:r w:rsidRPr="000D0CFC">
        <w:rPr>
          <w:rFonts w:eastAsia="Times New Roman" w:cs="Arial"/>
          <w:i/>
          <w:iCs/>
          <w:color w:val="000000"/>
        </w:rPr>
        <w:t xml:space="preserve"> </w:t>
      </w:r>
      <w:proofErr w:type="spellStart"/>
      <w:r w:rsidRPr="000D0CFC">
        <w:rPr>
          <w:rFonts w:eastAsia="Times New Roman" w:cs="Arial"/>
          <w:i/>
          <w:iCs/>
          <w:color w:val="000000"/>
          <w:lang w:val="en-US"/>
        </w:rPr>
        <w:t>influenzae</w:t>
      </w:r>
      <w:proofErr w:type="spellEnd"/>
    </w:p>
    <w:p w14:paraId="7D86AC6B" w14:textId="77777777" w:rsidR="000D0CFC" w:rsidRPr="000D0CFC" w:rsidRDefault="000D0CFC" w:rsidP="000D0CFC">
      <w:pPr>
        <w:spacing w:line="240" w:lineRule="auto"/>
        <w:rPr>
          <w:rFonts w:eastAsia="Times New Roman" w:cs="Arial"/>
        </w:rPr>
      </w:pPr>
      <w:proofErr w:type="spellStart"/>
      <w:r w:rsidRPr="000D0CFC">
        <w:rPr>
          <w:rFonts w:eastAsia="Times New Roman" w:cs="Arial"/>
          <w:i/>
          <w:iCs/>
          <w:color w:val="000000"/>
          <w:lang w:val="en-US"/>
        </w:rPr>
        <w:t>Haemophilus</w:t>
      </w:r>
      <w:proofErr w:type="spellEnd"/>
      <w:r w:rsidRPr="000D0CFC">
        <w:rPr>
          <w:rFonts w:eastAsia="Times New Roman" w:cs="Arial"/>
          <w:i/>
          <w:iCs/>
          <w:color w:val="000000"/>
          <w:lang w:val="en-US"/>
        </w:rPr>
        <w:t xml:space="preserve"> </w:t>
      </w:r>
      <w:proofErr w:type="spellStart"/>
      <w:r w:rsidRPr="000D0CFC">
        <w:rPr>
          <w:rFonts w:eastAsia="Times New Roman" w:cs="Arial"/>
          <w:i/>
          <w:iCs/>
          <w:color w:val="000000"/>
          <w:lang w:val="en-US"/>
        </w:rPr>
        <w:t>parainfluenzae</w:t>
      </w:r>
      <w:proofErr w:type="spellEnd"/>
    </w:p>
    <w:p w14:paraId="32917590"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 xml:space="preserve">Moraxella </w:t>
      </w:r>
      <w:proofErr w:type="spellStart"/>
      <w:r w:rsidRPr="000D0CFC">
        <w:rPr>
          <w:rFonts w:eastAsia="Times New Roman" w:cs="Arial"/>
          <w:i/>
          <w:iCs/>
          <w:color w:val="000000"/>
          <w:lang w:val="en-US"/>
        </w:rPr>
        <w:t>catarrhalis</w:t>
      </w:r>
      <w:proofErr w:type="spellEnd"/>
    </w:p>
    <w:p w14:paraId="1157F659"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 xml:space="preserve">Neisseria </w:t>
      </w:r>
      <w:proofErr w:type="spellStart"/>
      <w:r w:rsidRPr="000D0CFC">
        <w:rPr>
          <w:rFonts w:eastAsia="Times New Roman" w:cs="Arial"/>
          <w:i/>
          <w:iCs/>
          <w:color w:val="000000"/>
          <w:lang w:val="en-US"/>
        </w:rPr>
        <w:t>gonorrhoeae</w:t>
      </w:r>
      <w:proofErr w:type="spellEnd"/>
    </w:p>
    <w:p w14:paraId="7692706C"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Legionella</w:t>
      </w:r>
      <w:r w:rsidRPr="000D0CFC">
        <w:rPr>
          <w:rFonts w:eastAsia="Times New Roman" w:cs="Arial"/>
          <w:i/>
          <w:iCs/>
          <w:color w:val="000000"/>
        </w:rPr>
        <w:t xml:space="preserve"> </w:t>
      </w:r>
      <w:proofErr w:type="spellStart"/>
      <w:r w:rsidRPr="000D0CFC">
        <w:rPr>
          <w:rFonts w:eastAsia="Times New Roman" w:cs="Arial"/>
          <w:i/>
          <w:iCs/>
          <w:color w:val="000000"/>
          <w:lang w:val="en-US"/>
        </w:rPr>
        <w:t>pneumophila</w:t>
      </w:r>
      <w:proofErr w:type="spellEnd"/>
    </w:p>
    <w:p w14:paraId="7C8095AB" w14:textId="77777777" w:rsidR="000D0CFC" w:rsidRPr="000D0CFC" w:rsidRDefault="000D0CFC" w:rsidP="000D0CFC">
      <w:pPr>
        <w:spacing w:line="240" w:lineRule="auto"/>
        <w:rPr>
          <w:rFonts w:eastAsia="Times New Roman" w:cs="Arial"/>
          <w:b/>
          <w:bCs/>
          <w:color w:val="000000"/>
          <w:lang w:eastAsia="bg-BG"/>
        </w:rPr>
      </w:pPr>
      <w:bookmarkStart w:id="3" w:name="bookmark4"/>
    </w:p>
    <w:p w14:paraId="6AEFD2FF" w14:textId="65BC1BBA" w:rsidR="000D0CFC" w:rsidRPr="000D0CFC" w:rsidRDefault="000D0CFC" w:rsidP="000D0CFC">
      <w:pPr>
        <w:spacing w:line="240" w:lineRule="auto"/>
        <w:rPr>
          <w:rFonts w:eastAsia="Times New Roman" w:cs="Arial"/>
        </w:rPr>
      </w:pPr>
      <w:r w:rsidRPr="000D0CFC">
        <w:rPr>
          <w:rFonts w:eastAsia="Times New Roman" w:cs="Arial"/>
          <w:b/>
          <w:bCs/>
          <w:color w:val="000000"/>
          <w:lang w:eastAsia="bg-BG"/>
        </w:rPr>
        <w:t>Други микроорганизми</w:t>
      </w:r>
      <w:bookmarkEnd w:id="3"/>
    </w:p>
    <w:p w14:paraId="0D7E72E8"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Mycoplasma</w:t>
      </w:r>
      <w:r w:rsidRPr="000D0CFC">
        <w:rPr>
          <w:rFonts w:eastAsia="Times New Roman" w:cs="Arial"/>
          <w:i/>
          <w:iCs/>
          <w:color w:val="000000"/>
        </w:rPr>
        <w:t xml:space="preserve"> </w:t>
      </w:r>
      <w:proofErr w:type="spellStart"/>
      <w:r w:rsidRPr="000D0CFC">
        <w:rPr>
          <w:rFonts w:eastAsia="Times New Roman" w:cs="Arial"/>
          <w:i/>
          <w:iCs/>
          <w:color w:val="000000"/>
          <w:lang w:val="en-US"/>
        </w:rPr>
        <w:t>pneumoniae</w:t>
      </w:r>
      <w:proofErr w:type="spellEnd"/>
    </w:p>
    <w:p w14:paraId="470AE1E8"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Chlamydia</w:t>
      </w:r>
      <w:r w:rsidRPr="000D0CFC">
        <w:rPr>
          <w:rFonts w:eastAsia="Times New Roman" w:cs="Arial"/>
          <w:i/>
          <w:iCs/>
          <w:color w:val="000000"/>
        </w:rPr>
        <w:t xml:space="preserve"> </w:t>
      </w:r>
      <w:proofErr w:type="spellStart"/>
      <w:r w:rsidRPr="000D0CFC">
        <w:rPr>
          <w:rFonts w:eastAsia="Times New Roman" w:cs="Arial"/>
          <w:i/>
          <w:iCs/>
          <w:color w:val="000000"/>
          <w:lang w:val="en-US"/>
        </w:rPr>
        <w:t>pneumoniae</w:t>
      </w:r>
      <w:proofErr w:type="spellEnd"/>
      <w:r w:rsidRPr="000D0CFC">
        <w:rPr>
          <w:rFonts w:eastAsia="Times New Roman" w:cs="Arial"/>
          <w:color w:val="000000"/>
        </w:rPr>
        <w:t xml:space="preserve"> (</w:t>
      </w:r>
      <w:r w:rsidRPr="000D0CFC">
        <w:rPr>
          <w:rFonts w:eastAsia="Times New Roman" w:cs="Arial"/>
          <w:color w:val="000000"/>
          <w:lang w:val="en-US"/>
        </w:rPr>
        <w:t>TWAR</w:t>
      </w:r>
      <w:r w:rsidRPr="000D0CFC">
        <w:rPr>
          <w:rFonts w:eastAsia="Times New Roman" w:cs="Arial"/>
          <w:color w:val="000000"/>
        </w:rPr>
        <w:t>)</w:t>
      </w:r>
    </w:p>
    <w:p w14:paraId="0FF9303C" w14:textId="77777777" w:rsidR="000D0CFC" w:rsidRPr="000D0CFC" w:rsidRDefault="000D0CFC" w:rsidP="000D0CFC">
      <w:pPr>
        <w:spacing w:line="240" w:lineRule="auto"/>
        <w:rPr>
          <w:rFonts w:eastAsia="Times New Roman" w:cs="Arial"/>
          <w:b/>
          <w:bCs/>
          <w:color w:val="000000"/>
          <w:lang w:eastAsia="bg-BG"/>
        </w:rPr>
      </w:pPr>
      <w:bookmarkStart w:id="4" w:name="bookmark6"/>
    </w:p>
    <w:p w14:paraId="078960E5" w14:textId="1562F261" w:rsidR="000D0CFC" w:rsidRPr="000D0CFC" w:rsidRDefault="000D0CFC" w:rsidP="000D0CFC">
      <w:pPr>
        <w:spacing w:line="240" w:lineRule="auto"/>
        <w:rPr>
          <w:rFonts w:eastAsia="Times New Roman" w:cs="Arial"/>
        </w:rPr>
      </w:pPr>
      <w:r w:rsidRPr="000D0CFC">
        <w:rPr>
          <w:rFonts w:eastAsia="Times New Roman" w:cs="Arial"/>
          <w:b/>
          <w:bCs/>
          <w:color w:val="000000"/>
          <w:lang w:eastAsia="bg-BG"/>
        </w:rPr>
        <w:t>Микобактерни</w:t>
      </w:r>
      <w:bookmarkEnd w:id="4"/>
    </w:p>
    <w:p w14:paraId="3C56DBFA"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Mycobacterium</w:t>
      </w:r>
      <w:r w:rsidRPr="000D0CFC">
        <w:rPr>
          <w:rFonts w:eastAsia="Times New Roman" w:cs="Arial"/>
          <w:i/>
          <w:iCs/>
          <w:color w:val="000000"/>
        </w:rPr>
        <w:t xml:space="preserve"> </w:t>
      </w:r>
      <w:proofErr w:type="spellStart"/>
      <w:r w:rsidRPr="000D0CFC">
        <w:rPr>
          <w:rFonts w:eastAsia="Times New Roman" w:cs="Arial"/>
          <w:i/>
          <w:iCs/>
          <w:color w:val="000000"/>
          <w:lang w:val="en-US"/>
        </w:rPr>
        <w:t>leprae</w:t>
      </w:r>
      <w:proofErr w:type="spellEnd"/>
    </w:p>
    <w:p w14:paraId="6B41D4CB"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 xml:space="preserve">Mycobacterium </w:t>
      </w:r>
      <w:proofErr w:type="spellStart"/>
      <w:r w:rsidRPr="000D0CFC">
        <w:rPr>
          <w:rFonts w:eastAsia="Times New Roman" w:cs="Arial"/>
          <w:i/>
          <w:iCs/>
          <w:color w:val="000000"/>
          <w:lang w:val="en-US"/>
        </w:rPr>
        <w:t>kansasii</w:t>
      </w:r>
      <w:proofErr w:type="spellEnd"/>
    </w:p>
    <w:p w14:paraId="578D5AD1"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 xml:space="preserve">Mycobacterium </w:t>
      </w:r>
      <w:proofErr w:type="spellStart"/>
      <w:r w:rsidRPr="000D0CFC">
        <w:rPr>
          <w:rFonts w:eastAsia="Times New Roman" w:cs="Arial"/>
          <w:i/>
          <w:iCs/>
          <w:color w:val="000000"/>
          <w:lang w:val="en-US"/>
        </w:rPr>
        <w:t>chelonae</w:t>
      </w:r>
      <w:proofErr w:type="spellEnd"/>
    </w:p>
    <w:p w14:paraId="64E1F37E"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 xml:space="preserve">Mycobacterium </w:t>
      </w:r>
      <w:proofErr w:type="spellStart"/>
      <w:r w:rsidRPr="000D0CFC">
        <w:rPr>
          <w:rFonts w:eastAsia="Times New Roman" w:cs="Arial"/>
          <w:i/>
          <w:iCs/>
          <w:color w:val="000000"/>
          <w:lang w:val="en-US"/>
        </w:rPr>
        <w:t>fortuitum</w:t>
      </w:r>
      <w:proofErr w:type="spellEnd"/>
    </w:p>
    <w:p w14:paraId="4B47145F"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lastRenderedPageBreak/>
        <w:t xml:space="preserve">Mycobacterium </w:t>
      </w:r>
      <w:proofErr w:type="spellStart"/>
      <w:r w:rsidRPr="000D0CFC">
        <w:rPr>
          <w:rFonts w:eastAsia="Times New Roman" w:cs="Arial"/>
          <w:i/>
          <w:iCs/>
          <w:color w:val="000000"/>
          <w:lang w:val="en-US"/>
        </w:rPr>
        <w:t>avium</w:t>
      </w:r>
      <w:proofErr w:type="spellEnd"/>
      <w:r w:rsidRPr="000D0CFC">
        <w:rPr>
          <w:rFonts w:eastAsia="Times New Roman" w:cs="Arial"/>
          <w:i/>
          <w:iCs/>
          <w:color w:val="000000"/>
          <w:lang w:val="en-US"/>
        </w:rPr>
        <w:t xml:space="preserve"> complex</w:t>
      </w:r>
      <w:r w:rsidRPr="000D0CFC">
        <w:rPr>
          <w:rFonts w:eastAsia="Times New Roman" w:cs="Arial"/>
          <w:color w:val="000000"/>
          <w:lang w:val="en-US"/>
        </w:rPr>
        <w:t xml:space="preserve"> (MAC), </w:t>
      </w:r>
      <w:r w:rsidRPr="000D0CFC">
        <w:rPr>
          <w:rFonts w:eastAsia="Times New Roman" w:cs="Arial"/>
          <w:color w:val="000000"/>
          <w:lang w:eastAsia="bg-BG"/>
        </w:rPr>
        <w:t xml:space="preserve">състоящи се от: </w:t>
      </w:r>
      <w:r w:rsidRPr="000D0CFC">
        <w:rPr>
          <w:rFonts w:eastAsia="Times New Roman" w:cs="Arial"/>
          <w:i/>
          <w:iCs/>
          <w:color w:val="000000"/>
          <w:lang w:val="en-US"/>
        </w:rPr>
        <w:t xml:space="preserve">Mycobacterium </w:t>
      </w:r>
      <w:proofErr w:type="spellStart"/>
      <w:r w:rsidRPr="000D0CFC">
        <w:rPr>
          <w:rFonts w:eastAsia="Times New Roman" w:cs="Arial"/>
          <w:i/>
          <w:iCs/>
          <w:color w:val="000000"/>
          <w:lang w:val="en-US"/>
        </w:rPr>
        <w:t>avium</w:t>
      </w:r>
      <w:proofErr w:type="spellEnd"/>
    </w:p>
    <w:p w14:paraId="00E55410"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 xml:space="preserve">Mycobacterium </w:t>
      </w:r>
      <w:proofErr w:type="spellStart"/>
      <w:r w:rsidRPr="000D0CFC">
        <w:rPr>
          <w:rFonts w:eastAsia="Times New Roman" w:cs="Arial"/>
          <w:i/>
          <w:iCs/>
          <w:color w:val="000000"/>
          <w:lang w:val="en-US"/>
        </w:rPr>
        <w:t>Intracellulare</w:t>
      </w:r>
      <w:proofErr w:type="spellEnd"/>
    </w:p>
    <w:p w14:paraId="4DA6DC6C" w14:textId="77777777" w:rsidR="000D0CFC" w:rsidRPr="000D0CFC" w:rsidRDefault="000D0CFC" w:rsidP="000D0CFC">
      <w:pPr>
        <w:rPr>
          <w:rFonts w:eastAsia="Times New Roman" w:cs="Arial"/>
          <w:color w:val="000000"/>
          <w:lang w:eastAsia="bg-BG"/>
        </w:rPr>
      </w:pPr>
    </w:p>
    <w:p w14:paraId="79244662" w14:textId="763949B3" w:rsidR="000D0CFC" w:rsidRPr="000D0CFC" w:rsidRDefault="000D0CFC" w:rsidP="000D0CFC">
      <w:pPr>
        <w:rPr>
          <w:rFonts w:eastAsia="Times New Roman" w:cs="Arial"/>
          <w:color w:val="000000"/>
          <w:lang w:eastAsia="bg-BG"/>
        </w:rPr>
      </w:pPr>
      <w:r w:rsidRPr="000D0CFC">
        <w:rPr>
          <w:rFonts w:eastAsia="Times New Roman" w:cs="Arial"/>
          <w:color w:val="000000"/>
          <w:lang w:eastAsia="bg-BG"/>
        </w:rPr>
        <w:t>Бета-лактамазната продукция не трябва да има ефект върху активността на</w:t>
      </w:r>
      <w:r w:rsidRPr="000D0CFC">
        <w:rPr>
          <w:rFonts w:eastAsia="Times New Roman" w:cs="Arial"/>
          <w:color w:val="000000"/>
          <w:lang w:val="ru-RU"/>
        </w:rPr>
        <w:t xml:space="preserve"> </w:t>
      </w:r>
      <w:r w:rsidRPr="000D0CFC">
        <w:rPr>
          <w:rFonts w:eastAsia="Times New Roman" w:cs="Arial"/>
          <w:color w:val="000000"/>
          <w:lang w:eastAsia="bg-BG"/>
        </w:rPr>
        <w:t>кларитромицин</w:t>
      </w:r>
    </w:p>
    <w:p w14:paraId="0ECD46DA" w14:textId="7423BF2E" w:rsidR="000D0CFC" w:rsidRPr="000D0CFC" w:rsidRDefault="000D0CFC" w:rsidP="000D0CFC">
      <w:pPr>
        <w:rPr>
          <w:rFonts w:eastAsia="Times New Roman" w:cs="Arial"/>
          <w:color w:val="000000"/>
          <w:lang w:eastAsia="bg-BG"/>
        </w:rPr>
      </w:pPr>
    </w:p>
    <w:p w14:paraId="15688A33"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ЗАБЕЛЕЖКА: Повечето щамове метицилин-резистентни и оксацилин-резистентни стафилококи са резистентни към кларитромицин.</w:t>
      </w:r>
    </w:p>
    <w:p w14:paraId="56AC40E9" w14:textId="77777777" w:rsidR="000D0CFC" w:rsidRPr="000D0CFC" w:rsidRDefault="000D0CFC" w:rsidP="000D0CFC">
      <w:pPr>
        <w:spacing w:line="240" w:lineRule="auto"/>
        <w:rPr>
          <w:rFonts w:eastAsia="Times New Roman" w:cs="Arial"/>
          <w:b/>
          <w:bCs/>
          <w:color w:val="000000"/>
          <w:lang w:val="en-US"/>
        </w:rPr>
      </w:pPr>
    </w:p>
    <w:p w14:paraId="668A81DE" w14:textId="1C82881B" w:rsidR="000D0CFC" w:rsidRPr="000D0CFC" w:rsidRDefault="000D0CFC" w:rsidP="000D0CFC">
      <w:pPr>
        <w:spacing w:line="240" w:lineRule="auto"/>
        <w:rPr>
          <w:rFonts w:eastAsia="Times New Roman" w:cs="Arial"/>
        </w:rPr>
      </w:pPr>
      <w:r w:rsidRPr="000D0CFC">
        <w:rPr>
          <w:rFonts w:eastAsia="Times New Roman" w:cs="Arial"/>
          <w:b/>
          <w:bCs/>
          <w:color w:val="000000"/>
          <w:lang w:val="en-US"/>
        </w:rPr>
        <w:t>Helicobacter</w:t>
      </w:r>
    </w:p>
    <w:p w14:paraId="0A88C0CD" w14:textId="77777777" w:rsidR="000D0CFC" w:rsidRPr="000D0CFC" w:rsidRDefault="000D0CFC" w:rsidP="000D0CFC">
      <w:pPr>
        <w:spacing w:line="240" w:lineRule="auto"/>
        <w:rPr>
          <w:rFonts w:eastAsia="Times New Roman" w:cs="Arial"/>
          <w:i/>
          <w:iCs/>
          <w:color w:val="000000"/>
          <w:lang w:val="en-US"/>
        </w:rPr>
      </w:pPr>
    </w:p>
    <w:p w14:paraId="6AA51C74" w14:textId="294300F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Helicobacter</w:t>
      </w:r>
      <w:r w:rsidRPr="000D0CFC">
        <w:rPr>
          <w:rFonts w:eastAsia="Times New Roman" w:cs="Arial"/>
          <w:i/>
          <w:iCs/>
          <w:color w:val="000000"/>
          <w:lang w:val="ru-RU"/>
        </w:rPr>
        <w:t xml:space="preserve"> </w:t>
      </w:r>
      <w:r w:rsidRPr="000D0CFC">
        <w:rPr>
          <w:rFonts w:eastAsia="Times New Roman" w:cs="Arial"/>
          <w:i/>
          <w:iCs/>
          <w:color w:val="000000"/>
          <w:lang w:val="en-US"/>
        </w:rPr>
        <w:t>pylori</w:t>
      </w:r>
    </w:p>
    <w:p w14:paraId="5B41832D"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eastAsia="bg-BG"/>
        </w:rPr>
        <w:t xml:space="preserve">Н. </w:t>
      </w:r>
      <w:proofErr w:type="gramStart"/>
      <w:r w:rsidRPr="000D0CFC">
        <w:rPr>
          <w:rFonts w:eastAsia="Times New Roman" w:cs="Arial"/>
          <w:i/>
          <w:iCs/>
          <w:color w:val="000000"/>
          <w:lang w:val="en-US"/>
        </w:rPr>
        <w:t>pylori</w:t>
      </w:r>
      <w:proofErr w:type="gramEnd"/>
      <w:r w:rsidRPr="000D0CFC">
        <w:rPr>
          <w:rFonts w:eastAsia="Times New Roman" w:cs="Arial"/>
          <w:color w:val="000000"/>
          <w:lang w:val="ru-RU"/>
        </w:rPr>
        <w:t xml:space="preserve"> </w:t>
      </w:r>
      <w:r w:rsidRPr="000D0CFC">
        <w:rPr>
          <w:rFonts w:eastAsia="Times New Roman" w:cs="Arial"/>
          <w:color w:val="000000"/>
          <w:lang w:eastAsia="bg-BG"/>
        </w:rPr>
        <w:t>е изолиран в култури, получени преди терапията, като кларитромицин МИК са определени преди лечението при 104 пациента. От тях четирима пациенти имат резистентни щамове, двама пациенти имат щамове с междинна чувствителност и 98 пациента имат чувствителни щамове.</w:t>
      </w:r>
    </w:p>
    <w:p w14:paraId="7B524AE8"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Следните </w:t>
      </w:r>
      <w:r w:rsidRPr="000D0CFC">
        <w:rPr>
          <w:rFonts w:eastAsia="Times New Roman" w:cs="Arial"/>
          <w:i/>
          <w:iCs/>
          <w:color w:val="000000"/>
          <w:lang w:val="en-US"/>
        </w:rPr>
        <w:t>in</w:t>
      </w:r>
      <w:r w:rsidRPr="000D0CFC">
        <w:rPr>
          <w:rFonts w:eastAsia="Times New Roman" w:cs="Arial"/>
          <w:i/>
          <w:iCs/>
          <w:color w:val="000000"/>
          <w:lang w:val="ru-RU"/>
        </w:rPr>
        <w:t xml:space="preserve"> </w:t>
      </w:r>
      <w:r w:rsidRPr="000D0CFC">
        <w:rPr>
          <w:rFonts w:eastAsia="Times New Roman" w:cs="Arial"/>
          <w:i/>
          <w:iCs/>
          <w:color w:val="000000"/>
          <w:lang w:val="en-US"/>
        </w:rPr>
        <w:t>vitro</w:t>
      </w:r>
      <w:r w:rsidRPr="000D0CFC">
        <w:rPr>
          <w:rFonts w:eastAsia="Times New Roman" w:cs="Arial"/>
          <w:color w:val="000000"/>
          <w:lang w:val="ru-RU"/>
        </w:rPr>
        <w:t xml:space="preserve"> </w:t>
      </w:r>
      <w:r w:rsidRPr="000D0CFC">
        <w:rPr>
          <w:rFonts w:eastAsia="Times New Roman" w:cs="Arial"/>
          <w:color w:val="000000"/>
          <w:lang w:eastAsia="bg-BG"/>
        </w:rPr>
        <w:t xml:space="preserve">данни са налични, </w:t>
      </w:r>
      <w:r w:rsidRPr="000D0CFC">
        <w:rPr>
          <w:rFonts w:eastAsia="Times New Roman" w:cs="Arial"/>
          <w:b/>
          <w:bCs/>
          <w:color w:val="000000"/>
          <w:u w:val="single"/>
          <w:lang w:eastAsia="bg-BG"/>
        </w:rPr>
        <w:t>но тяхната клинична значимост не е известна</w:t>
      </w:r>
      <w:r w:rsidRPr="000D0CFC">
        <w:rPr>
          <w:rFonts w:eastAsia="Times New Roman" w:cs="Arial"/>
          <w:b/>
          <w:bCs/>
          <w:color w:val="000000"/>
          <w:lang w:eastAsia="bg-BG"/>
        </w:rPr>
        <w:t xml:space="preserve">. </w:t>
      </w:r>
      <w:r w:rsidRPr="000D0CFC">
        <w:rPr>
          <w:rFonts w:eastAsia="Times New Roman" w:cs="Arial"/>
          <w:color w:val="000000"/>
          <w:lang w:eastAsia="bg-BG"/>
        </w:rPr>
        <w:t xml:space="preserve">Кларитромицин показва </w:t>
      </w:r>
      <w:r w:rsidRPr="000D0CFC">
        <w:rPr>
          <w:rFonts w:eastAsia="Times New Roman" w:cs="Arial"/>
          <w:i/>
          <w:iCs/>
          <w:color w:val="000000"/>
          <w:lang w:val="en-US"/>
        </w:rPr>
        <w:t>in</w:t>
      </w:r>
      <w:r w:rsidRPr="000D0CFC">
        <w:rPr>
          <w:rFonts w:eastAsia="Times New Roman" w:cs="Arial"/>
          <w:i/>
          <w:iCs/>
          <w:color w:val="000000"/>
          <w:lang w:val="ru-RU"/>
        </w:rPr>
        <w:t xml:space="preserve"> </w:t>
      </w:r>
      <w:r w:rsidRPr="000D0CFC">
        <w:rPr>
          <w:rFonts w:eastAsia="Times New Roman" w:cs="Arial"/>
          <w:i/>
          <w:iCs/>
          <w:color w:val="000000"/>
          <w:lang w:val="en-US"/>
        </w:rPr>
        <w:t>vitro</w:t>
      </w:r>
      <w:r w:rsidRPr="000D0CFC">
        <w:rPr>
          <w:rFonts w:eastAsia="Times New Roman" w:cs="Arial"/>
          <w:color w:val="000000"/>
          <w:lang w:val="ru-RU"/>
        </w:rPr>
        <w:t xml:space="preserve"> </w:t>
      </w:r>
      <w:r w:rsidRPr="000D0CFC">
        <w:rPr>
          <w:rFonts w:eastAsia="Times New Roman" w:cs="Arial"/>
          <w:color w:val="000000"/>
          <w:lang w:eastAsia="bg-BG"/>
        </w:rPr>
        <w:t>активност срещу повечето щамове на следните микроорганизми; все пак безопасността и ефективността на кларитромицин при лечение на клинични инфекции, дължащи се на тези микроорганизми, не са установени при подходящи и добре контролирани клинични изпитвания.</w:t>
      </w:r>
    </w:p>
    <w:p w14:paraId="672E787D" w14:textId="77777777" w:rsidR="000D0CFC" w:rsidRPr="000D0CFC" w:rsidRDefault="000D0CFC" w:rsidP="000D0CFC">
      <w:pPr>
        <w:spacing w:line="240" w:lineRule="auto"/>
        <w:rPr>
          <w:rFonts w:eastAsia="Times New Roman" w:cs="Arial"/>
          <w:b/>
          <w:bCs/>
          <w:color w:val="000000"/>
          <w:lang w:eastAsia="bg-BG"/>
        </w:rPr>
      </w:pPr>
    </w:p>
    <w:p w14:paraId="1F10A643" w14:textId="3B592D5F" w:rsidR="000D0CFC" w:rsidRPr="000D0CFC" w:rsidRDefault="000D0CFC" w:rsidP="000D0CFC">
      <w:pPr>
        <w:spacing w:line="240" w:lineRule="auto"/>
        <w:rPr>
          <w:rFonts w:eastAsia="Times New Roman" w:cs="Arial"/>
        </w:rPr>
      </w:pPr>
      <w:r w:rsidRPr="000D0CFC">
        <w:rPr>
          <w:rFonts w:eastAsia="Times New Roman" w:cs="Arial"/>
          <w:b/>
          <w:bCs/>
          <w:color w:val="000000"/>
          <w:lang w:eastAsia="bg-BG"/>
        </w:rPr>
        <w:t>Аеробни Грам-положителни микроорганизми</w:t>
      </w:r>
    </w:p>
    <w:p w14:paraId="5CC7151B"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Streptococcus</w:t>
      </w:r>
      <w:r w:rsidRPr="000D0CFC">
        <w:rPr>
          <w:rFonts w:eastAsia="Times New Roman" w:cs="Arial"/>
          <w:i/>
          <w:iCs/>
          <w:color w:val="000000"/>
        </w:rPr>
        <w:t xml:space="preserve"> </w:t>
      </w:r>
      <w:proofErr w:type="spellStart"/>
      <w:r w:rsidRPr="000D0CFC">
        <w:rPr>
          <w:rFonts w:eastAsia="Times New Roman" w:cs="Arial"/>
          <w:i/>
          <w:iCs/>
          <w:color w:val="000000"/>
          <w:lang w:val="en-US"/>
        </w:rPr>
        <w:t>agalactiae</w:t>
      </w:r>
      <w:proofErr w:type="spellEnd"/>
    </w:p>
    <w:p w14:paraId="5C81928F"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 xml:space="preserve">Streptococci </w:t>
      </w:r>
      <w:r w:rsidRPr="000D0CFC">
        <w:rPr>
          <w:rFonts w:eastAsia="Times New Roman" w:cs="Arial"/>
          <w:i/>
          <w:iCs/>
          <w:color w:val="000000"/>
          <w:lang w:eastAsia="bg-BG"/>
        </w:rPr>
        <w:t xml:space="preserve">(Група </w:t>
      </w:r>
      <w:r w:rsidRPr="000D0CFC">
        <w:rPr>
          <w:rFonts w:eastAsia="Times New Roman" w:cs="Arial"/>
          <w:i/>
          <w:iCs/>
          <w:color w:val="000000"/>
          <w:lang w:val="en-US"/>
        </w:rPr>
        <w:t>C</w:t>
      </w:r>
      <w:proofErr w:type="gramStart"/>
      <w:r w:rsidRPr="000D0CFC">
        <w:rPr>
          <w:rFonts w:eastAsia="Times New Roman" w:cs="Arial"/>
          <w:i/>
          <w:iCs/>
          <w:color w:val="000000"/>
          <w:lang w:val="en-US"/>
        </w:rPr>
        <w:t>,F,G</w:t>
      </w:r>
      <w:proofErr w:type="gramEnd"/>
      <w:r w:rsidRPr="000D0CFC">
        <w:rPr>
          <w:rFonts w:eastAsia="Times New Roman" w:cs="Arial"/>
          <w:i/>
          <w:iCs/>
          <w:color w:val="000000"/>
          <w:lang w:val="en-US"/>
        </w:rPr>
        <w:t>)</w:t>
      </w:r>
    </w:p>
    <w:p w14:paraId="71E06B69" w14:textId="77777777" w:rsidR="000D0CFC" w:rsidRPr="000D0CFC" w:rsidRDefault="000D0CFC" w:rsidP="000D0CFC">
      <w:pPr>
        <w:spacing w:line="240" w:lineRule="auto"/>
        <w:rPr>
          <w:rFonts w:eastAsia="Times New Roman" w:cs="Arial"/>
        </w:rPr>
      </w:pPr>
      <w:proofErr w:type="spellStart"/>
      <w:r w:rsidRPr="000D0CFC">
        <w:rPr>
          <w:rFonts w:eastAsia="Times New Roman" w:cs="Arial"/>
          <w:i/>
          <w:iCs/>
          <w:color w:val="000000"/>
          <w:lang w:val="en-US"/>
        </w:rPr>
        <w:t>Viridans</w:t>
      </w:r>
      <w:proofErr w:type="spellEnd"/>
      <w:r w:rsidRPr="000D0CFC">
        <w:rPr>
          <w:rFonts w:eastAsia="Times New Roman" w:cs="Arial"/>
          <w:i/>
          <w:iCs/>
          <w:color w:val="000000"/>
        </w:rPr>
        <w:t xml:space="preserve"> </w:t>
      </w:r>
      <w:r w:rsidRPr="000D0CFC">
        <w:rPr>
          <w:rFonts w:eastAsia="Times New Roman" w:cs="Arial"/>
          <w:i/>
          <w:iCs/>
          <w:color w:val="000000"/>
          <w:lang w:eastAsia="bg-BG"/>
        </w:rPr>
        <w:t xml:space="preserve">група </w:t>
      </w:r>
      <w:r w:rsidRPr="000D0CFC">
        <w:rPr>
          <w:rFonts w:eastAsia="Times New Roman" w:cs="Arial"/>
          <w:i/>
          <w:iCs/>
          <w:color w:val="000000"/>
          <w:lang w:val="en-US"/>
        </w:rPr>
        <w:t>streptococci</w:t>
      </w:r>
    </w:p>
    <w:p w14:paraId="0533E334" w14:textId="77777777" w:rsidR="000D0CFC" w:rsidRPr="000D0CFC" w:rsidRDefault="000D0CFC" w:rsidP="000D0CFC">
      <w:pPr>
        <w:spacing w:line="240" w:lineRule="auto"/>
        <w:rPr>
          <w:rFonts w:eastAsia="Times New Roman" w:cs="Arial"/>
          <w:b/>
          <w:bCs/>
          <w:color w:val="000000"/>
          <w:lang w:eastAsia="bg-BG"/>
        </w:rPr>
      </w:pPr>
    </w:p>
    <w:p w14:paraId="498597D3" w14:textId="7CD15196" w:rsidR="000D0CFC" w:rsidRPr="000D0CFC" w:rsidRDefault="000D0CFC" w:rsidP="000D0CFC">
      <w:pPr>
        <w:spacing w:line="240" w:lineRule="auto"/>
        <w:rPr>
          <w:rFonts w:eastAsia="Times New Roman" w:cs="Arial"/>
        </w:rPr>
      </w:pPr>
      <w:r w:rsidRPr="000D0CFC">
        <w:rPr>
          <w:rFonts w:eastAsia="Times New Roman" w:cs="Arial"/>
          <w:b/>
          <w:bCs/>
          <w:color w:val="000000"/>
          <w:lang w:eastAsia="bg-BG"/>
        </w:rPr>
        <w:t>Аеробни Грам-отрицателни микроорганизми</w:t>
      </w:r>
    </w:p>
    <w:p w14:paraId="251E5D16" w14:textId="77777777" w:rsidR="000D0CFC" w:rsidRPr="000D0CFC" w:rsidRDefault="000D0CFC" w:rsidP="000D0CFC">
      <w:pPr>
        <w:spacing w:line="240" w:lineRule="auto"/>
        <w:rPr>
          <w:rFonts w:eastAsia="Times New Roman" w:cs="Arial"/>
        </w:rPr>
      </w:pPr>
      <w:proofErr w:type="spellStart"/>
      <w:r w:rsidRPr="000D0CFC">
        <w:rPr>
          <w:rFonts w:eastAsia="Times New Roman" w:cs="Arial"/>
          <w:i/>
          <w:iCs/>
          <w:color w:val="000000"/>
          <w:lang w:val="en-US"/>
        </w:rPr>
        <w:t>Bordetella</w:t>
      </w:r>
      <w:proofErr w:type="spellEnd"/>
      <w:r w:rsidRPr="000D0CFC">
        <w:rPr>
          <w:rFonts w:eastAsia="Times New Roman" w:cs="Arial"/>
          <w:i/>
          <w:iCs/>
          <w:color w:val="000000"/>
        </w:rPr>
        <w:t xml:space="preserve"> </w:t>
      </w:r>
      <w:r w:rsidRPr="000D0CFC">
        <w:rPr>
          <w:rFonts w:eastAsia="Times New Roman" w:cs="Arial"/>
          <w:i/>
          <w:iCs/>
          <w:color w:val="000000"/>
          <w:lang w:val="en-US"/>
        </w:rPr>
        <w:t>pertussis</w:t>
      </w:r>
    </w:p>
    <w:p w14:paraId="18E5C9E5" w14:textId="77777777" w:rsidR="000D0CFC" w:rsidRPr="000D0CFC" w:rsidRDefault="000D0CFC" w:rsidP="000D0CFC">
      <w:pPr>
        <w:spacing w:line="240" w:lineRule="auto"/>
        <w:rPr>
          <w:rFonts w:eastAsia="Times New Roman" w:cs="Arial"/>
        </w:rPr>
      </w:pPr>
      <w:proofErr w:type="spellStart"/>
      <w:r w:rsidRPr="000D0CFC">
        <w:rPr>
          <w:rFonts w:eastAsia="Times New Roman" w:cs="Arial"/>
          <w:i/>
          <w:iCs/>
          <w:color w:val="000000"/>
          <w:lang w:val="en-US"/>
        </w:rPr>
        <w:t>Pasteurella</w:t>
      </w:r>
      <w:proofErr w:type="spellEnd"/>
      <w:r w:rsidRPr="000D0CFC">
        <w:rPr>
          <w:rFonts w:eastAsia="Times New Roman" w:cs="Arial"/>
          <w:i/>
          <w:iCs/>
          <w:color w:val="000000"/>
        </w:rPr>
        <w:t xml:space="preserve"> </w:t>
      </w:r>
      <w:proofErr w:type="spellStart"/>
      <w:r w:rsidRPr="000D0CFC">
        <w:rPr>
          <w:rFonts w:eastAsia="Times New Roman" w:cs="Arial"/>
          <w:i/>
          <w:iCs/>
          <w:color w:val="000000"/>
          <w:lang w:val="en-US"/>
        </w:rPr>
        <w:t>multocida</w:t>
      </w:r>
      <w:proofErr w:type="spellEnd"/>
    </w:p>
    <w:p w14:paraId="3CF3F010" w14:textId="77777777" w:rsidR="000D0CFC" w:rsidRPr="000D0CFC" w:rsidRDefault="000D0CFC" w:rsidP="000D0CFC">
      <w:pPr>
        <w:spacing w:line="240" w:lineRule="auto"/>
        <w:rPr>
          <w:rFonts w:eastAsia="Times New Roman" w:cs="Arial"/>
          <w:b/>
          <w:bCs/>
          <w:color w:val="000000"/>
          <w:lang w:eastAsia="bg-BG"/>
        </w:rPr>
      </w:pPr>
    </w:p>
    <w:p w14:paraId="427F12CF" w14:textId="329FF12C" w:rsidR="000D0CFC" w:rsidRPr="000D0CFC" w:rsidRDefault="000D0CFC" w:rsidP="000D0CFC">
      <w:pPr>
        <w:spacing w:line="240" w:lineRule="auto"/>
        <w:rPr>
          <w:rFonts w:eastAsia="Times New Roman" w:cs="Arial"/>
        </w:rPr>
      </w:pPr>
      <w:r w:rsidRPr="000D0CFC">
        <w:rPr>
          <w:rFonts w:eastAsia="Times New Roman" w:cs="Arial"/>
          <w:b/>
          <w:bCs/>
          <w:color w:val="000000"/>
          <w:lang w:eastAsia="bg-BG"/>
        </w:rPr>
        <w:t>Анаеробни Грам-положителни микроорганизми</w:t>
      </w:r>
    </w:p>
    <w:p w14:paraId="20016704"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 xml:space="preserve">Clostridium </w:t>
      </w:r>
      <w:proofErr w:type="spellStart"/>
      <w:r w:rsidRPr="000D0CFC">
        <w:rPr>
          <w:rFonts w:eastAsia="Times New Roman" w:cs="Arial"/>
          <w:i/>
          <w:iCs/>
          <w:color w:val="000000"/>
          <w:lang w:val="en-US"/>
        </w:rPr>
        <w:t>perfringens</w:t>
      </w:r>
      <w:proofErr w:type="spellEnd"/>
    </w:p>
    <w:p w14:paraId="70D9D9CB" w14:textId="77777777" w:rsidR="000D0CFC" w:rsidRPr="000D0CFC" w:rsidRDefault="000D0CFC" w:rsidP="000D0CFC">
      <w:pPr>
        <w:spacing w:line="240" w:lineRule="auto"/>
        <w:rPr>
          <w:rFonts w:eastAsia="Times New Roman" w:cs="Arial"/>
        </w:rPr>
      </w:pPr>
      <w:proofErr w:type="spellStart"/>
      <w:r w:rsidRPr="000D0CFC">
        <w:rPr>
          <w:rFonts w:eastAsia="Times New Roman" w:cs="Arial"/>
          <w:i/>
          <w:iCs/>
          <w:color w:val="000000"/>
          <w:lang w:val="en-US"/>
        </w:rPr>
        <w:t>Peptococcus</w:t>
      </w:r>
      <w:proofErr w:type="spellEnd"/>
      <w:r w:rsidRPr="000D0CFC">
        <w:rPr>
          <w:rFonts w:eastAsia="Times New Roman" w:cs="Arial"/>
          <w:i/>
          <w:iCs/>
          <w:color w:val="000000"/>
          <w:lang w:val="en-US"/>
        </w:rPr>
        <w:t xml:space="preserve"> </w:t>
      </w:r>
      <w:proofErr w:type="spellStart"/>
      <w:proofErr w:type="gramStart"/>
      <w:r w:rsidRPr="000D0CFC">
        <w:rPr>
          <w:rFonts w:eastAsia="Times New Roman" w:cs="Arial"/>
          <w:i/>
          <w:iCs/>
          <w:color w:val="000000"/>
          <w:lang w:val="en-US"/>
        </w:rPr>
        <w:t>niger</w:t>
      </w:r>
      <w:proofErr w:type="spellEnd"/>
      <w:proofErr w:type="gramEnd"/>
    </w:p>
    <w:p w14:paraId="70853CAD" w14:textId="77777777" w:rsidR="000D0CFC" w:rsidRPr="000D0CFC" w:rsidRDefault="000D0CFC" w:rsidP="000D0CFC">
      <w:pPr>
        <w:spacing w:line="240" w:lineRule="auto"/>
        <w:rPr>
          <w:rFonts w:eastAsia="Times New Roman" w:cs="Arial"/>
        </w:rPr>
      </w:pPr>
      <w:proofErr w:type="spellStart"/>
      <w:r w:rsidRPr="000D0CFC">
        <w:rPr>
          <w:rFonts w:eastAsia="Times New Roman" w:cs="Arial"/>
          <w:i/>
          <w:iCs/>
          <w:color w:val="000000"/>
          <w:lang w:val="en-US"/>
        </w:rPr>
        <w:t>Propionibacterium</w:t>
      </w:r>
      <w:proofErr w:type="spellEnd"/>
      <w:r w:rsidRPr="000D0CFC">
        <w:rPr>
          <w:rFonts w:eastAsia="Times New Roman" w:cs="Arial"/>
          <w:i/>
          <w:iCs/>
          <w:color w:val="000000"/>
          <w:lang w:val="en-US"/>
        </w:rPr>
        <w:t xml:space="preserve"> acnes</w:t>
      </w:r>
    </w:p>
    <w:p w14:paraId="36C6EB15" w14:textId="77777777" w:rsidR="000D0CFC" w:rsidRPr="000D0CFC" w:rsidRDefault="000D0CFC" w:rsidP="000D0CFC">
      <w:pPr>
        <w:spacing w:line="240" w:lineRule="auto"/>
        <w:rPr>
          <w:rFonts w:eastAsia="Times New Roman" w:cs="Arial"/>
          <w:b/>
          <w:bCs/>
          <w:color w:val="000000"/>
          <w:lang w:eastAsia="bg-BG"/>
        </w:rPr>
      </w:pPr>
      <w:bookmarkStart w:id="5" w:name="bookmark8"/>
    </w:p>
    <w:p w14:paraId="4275A379" w14:textId="754D6FCC" w:rsidR="000D0CFC" w:rsidRPr="000D0CFC" w:rsidRDefault="000D0CFC" w:rsidP="000D0CFC">
      <w:pPr>
        <w:spacing w:line="240" w:lineRule="auto"/>
        <w:rPr>
          <w:rFonts w:eastAsia="Times New Roman" w:cs="Arial"/>
        </w:rPr>
      </w:pPr>
      <w:r w:rsidRPr="000D0CFC">
        <w:rPr>
          <w:rFonts w:eastAsia="Times New Roman" w:cs="Arial"/>
          <w:b/>
          <w:bCs/>
          <w:color w:val="000000"/>
          <w:lang w:eastAsia="bg-BG"/>
        </w:rPr>
        <w:t>Анаеробни Грам-отрицателни микроорганизми</w:t>
      </w:r>
      <w:bookmarkEnd w:id="5"/>
    </w:p>
    <w:p w14:paraId="360D1EB7" w14:textId="77777777" w:rsidR="000D0CFC" w:rsidRPr="000D0CFC" w:rsidRDefault="000D0CFC" w:rsidP="000D0CFC">
      <w:pPr>
        <w:spacing w:line="240" w:lineRule="auto"/>
        <w:rPr>
          <w:rFonts w:eastAsia="Times New Roman" w:cs="Arial"/>
        </w:rPr>
      </w:pPr>
      <w:proofErr w:type="spellStart"/>
      <w:r w:rsidRPr="000D0CFC">
        <w:rPr>
          <w:rFonts w:eastAsia="Times New Roman" w:cs="Arial"/>
          <w:i/>
          <w:iCs/>
          <w:color w:val="000000"/>
          <w:lang w:val="en-US"/>
        </w:rPr>
        <w:t>Bacteroides</w:t>
      </w:r>
      <w:proofErr w:type="spellEnd"/>
      <w:r w:rsidRPr="000D0CFC">
        <w:rPr>
          <w:rFonts w:eastAsia="Times New Roman" w:cs="Arial"/>
          <w:i/>
          <w:iCs/>
          <w:color w:val="000000"/>
        </w:rPr>
        <w:t xml:space="preserve"> </w:t>
      </w:r>
      <w:proofErr w:type="spellStart"/>
      <w:r w:rsidRPr="000D0CFC">
        <w:rPr>
          <w:rFonts w:eastAsia="Times New Roman" w:cs="Arial"/>
          <w:i/>
          <w:iCs/>
          <w:color w:val="000000"/>
          <w:lang w:val="en-US"/>
        </w:rPr>
        <w:t>melaninogenicus</w:t>
      </w:r>
      <w:proofErr w:type="spellEnd"/>
    </w:p>
    <w:p w14:paraId="01288246" w14:textId="77777777" w:rsidR="000D0CFC" w:rsidRPr="000D0CFC" w:rsidRDefault="000D0CFC" w:rsidP="000D0CFC">
      <w:pPr>
        <w:spacing w:line="240" w:lineRule="auto"/>
        <w:rPr>
          <w:rFonts w:eastAsia="Times New Roman" w:cs="Arial"/>
          <w:b/>
          <w:bCs/>
          <w:color w:val="000000"/>
          <w:lang w:eastAsia="bg-BG"/>
        </w:rPr>
      </w:pPr>
      <w:bookmarkStart w:id="6" w:name="bookmark10"/>
    </w:p>
    <w:p w14:paraId="30603071" w14:textId="083555C8" w:rsidR="000D0CFC" w:rsidRPr="000D0CFC" w:rsidRDefault="000D0CFC" w:rsidP="000D0CFC">
      <w:pPr>
        <w:spacing w:line="240" w:lineRule="auto"/>
        <w:rPr>
          <w:rFonts w:eastAsia="Times New Roman" w:cs="Arial"/>
        </w:rPr>
      </w:pPr>
      <w:r w:rsidRPr="000D0CFC">
        <w:rPr>
          <w:rFonts w:eastAsia="Times New Roman" w:cs="Arial"/>
          <w:b/>
          <w:bCs/>
          <w:color w:val="000000"/>
          <w:lang w:eastAsia="bg-BG"/>
        </w:rPr>
        <w:t>Спирохети</w:t>
      </w:r>
      <w:bookmarkEnd w:id="6"/>
    </w:p>
    <w:p w14:paraId="752F3058" w14:textId="77777777" w:rsidR="000D0CFC" w:rsidRPr="000D0CFC" w:rsidRDefault="000D0CFC" w:rsidP="000D0CFC">
      <w:pPr>
        <w:spacing w:line="240" w:lineRule="auto"/>
        <w:rPr>
          <w:rFonts w:eastAsia="Times New Roman" w:cs="Arial"/>
        </w:rPr>
      </w:pPr>
      <w:proofErr w:type="spellStart"/>
      <w:r w:rsidRPr="000D0CFC">
        <w:rPr>
          <w:rFonts w:eastAsia="Times New Roman" w:cs="Arial"/>
          <w:i/>
          <w:iCs/>
          <w:color w:val="000000"/>
          <w:lang w:val="en-US"/>
        </w:rPr>
        <w:t>Borrelia</w:t>
      </w:r>
      <w:proofErr w:type="spellEnd"/>
      <w:r w:rsidRPr="000D0CFC">
        <w:rPr>
          <w:rFonts w:eastAsia="Times New Roman" w:cs="Arial"/>
          <w:i/>
          <w:iCs/>
          <w:color w:val="000000"/>
        </w:rPr>
        <w:t xml:space="preserve"> </w:t>
      </w:r>
      <w:proofErr w:type="spellStart"/>
      <w:r w:rsidRPr="000D0CFC">
        <w:rPr>
          <w:rFonts w:eastAsia="Times New Roman" w:cs="Arial"/>
          <w:i/>
          <w:iCs/>
          <w:color w:val="000000"/>
          <w:lang w:val="en-US"/>
        </w:rPr>
        <w:t>burgdorferi</w:t>
      </w:r>
      <w:proofErr w:type="spellEnd"/>
    </w:p>
    <w:p w14:paraId="2E5EA33F" w14:textId="77777777" w:rsidR="000D0CFC" w:rsidRPr="000D0CFC" w:rsidRDefault="000D0CFC" w:rsidP="000D0CFC">
      <w:pPr>
        <w:spacing w:line="240" w:lineRule="auto"/>
        <w:rPr>
          <w:rFonts w:eastAsia="Times New Roman" w:cs="Arial"/>
        </w:rPr>
      </w:pPr>
      <w:proofErr w:type="spellStart"/>
      <w:r w:rsidRPr="000D0CFC">
        <w:rPr>
          <w:rFonts w:eastAsia="Times New Roman" w:cs="Arial"/>
          <w:i/>
          <w:iCs/>
          <w:color w:val="000000"/>
          <w:lang w:val="en-US"/>
        </w:rPr>
        <w:t>Treponema</w:t>
      </w:r>
      <w:proofErr w:type="spellEnd"/>
      <w:r w:rsidRPr="000D0CFC">
        <w:rPr>
          <w:rFonts w:eastAsia="Times New Roman" w:cs="Arial"/>
          <w:i/>
          <w:iCs/>
          <w:color w:val="000000"/>
        </w:rPr>
        <w:t xml:space="preserve"> </w:t>
      </w:r>
      <w:r w:rsidRPr="000D0CFC">
        <w:rPr>
          <w:rFonts w:eastAsia="Times New Roman" w:cs="Arial"/>
          <w:i/>
          <w:iCs/>
          <w:color w:val="000000"/>
          <w:lang w:val="en-US"/>
        </w:rPr>
        <w:t>pallidum</w:t>
      </w:r>
    </w:p>
    <w:p w14:paraId="2F597C6D" w14:textId="77777777" w:rsidR="000D0CFC" w:rsidRPr="000D0CFC" w:rsidRDefault="000D0CFC" w:rsidP="000D0CFC">
      <w:pPr>
        <w:spacing w:line="240" w:lineRule="auto"/>
        <w:rPr>
          <w:rFonts w:eastAsia="Times New Roman" w:cs="Arial"/>
          <w:b/>
          <w:bCs/>
          <w:color w:val="000000"/>
          <w:lang w:eastAsia="bg-BG"/>
        </w:rPr>
      </w:pPr>
      <w:bookmarkStart w:id="7" w:name="bookmark12"/>
    </w:p>
    <w:p w14:paraId="7FA9645A" w14:textId="0A1A55C7" w:rsidR="000D0CFC" w:rsidRPr="000D0CFC" w:rsidRDefault="000D0CFC" w:rsidP="000D0CFC">
      <w:pPr>
        <w:spacing w:line="240" w:lineRule="auto"/>
        <w:rPr>
          <w:rFonts w:eastAsia="Times New Roman" w:cs="Arial"/>
        </w:rPr>
      </w:pPr>
      <w:r w:rsidRPr="000D0CFC">
        <w:rPr>
          <w:rFonts w:eastAsia="Times New Roman" w:cs="Arial"/>
          <w:b/>
          <w:bCs/>
          <w:color w:val="000000"/>
          <w:lang w:eastAsia="bg-BG"/>
        </w:rPr>
        <w:t>Кампилобактер</w:t>
      </w:r>
      <w:bookmarkEnd w:id="7"/>
    </w:p>
    <w:p w14:paraId="207BC0F1" w14:textId="77777777" w:rsidR="000D0CFC" w:rsidRPr="000D0CFC" w:rsidRDefault="000D0CFC" w:rsidP="000D0CFC">
      <w:pPr>
        <w:spacing w:line="240" w:lineRule="auto"/>
        <w:rPr>
          <w:rFonts w:eastAsia="Times New Roman" w:cs="Arial"/>
        </w:rPr>
      </w:pPr>
      <w:r w:rsidRPr="000D0CFC">
        <w:rPr>
          <w:rFonts w:eastAsia="Times New Roman" w:cs="Arial"/>
          <w:i/>
          <w:iCs/>
          <w:color w:val="000000"/>
          <w:lang w:val="en-US"/>
        </w:rPr>
        <w:t>Campylobacter</w:t>
      </w:r>
      <w:r w:rsidRPr="000D0CFC">
        <w:rPr>
          <w:rFonts w:eastAsia="Times New Roman" w:cs="Arial"/>
          <w:i/>
          <w:iCs/>
          <w:color w:val="000000"/>
          <w:lang w:val="ru-RU"/>
        </w:rPr>
        <w:t xml:space="preserve"> </w:t>
      </w:r>
      <w:proofErr w:type="spellStart"/>
      <w:r w:rsidRPr="000D0CFC">
        <w:rPr>
          <w:rFonts w:eastAsia="Times New Roman" w:cs="Arial"/>
          <w:i/>
          <w:iCs/>
          <w:color w:val="000000"/>
          <w:lang w:val="en-US"/>
        </w:rPr>
        <w:t>jejuni</w:t>
      </w:r>
      <w:proofErr w:type="spellEnd"/>
    </w:p>
    <w:p w14:paraId="0917751A" w14:textId="77777777" w:rsidR="000D0CFC" w:rsidRPr="000D0CFC" w:rsidRDefault="000D0CFC" w:rsidP="000D0CFC">
      <w:pPr>
        <w:spacing w:line="240" w:lineRule="auto"/>
        <w:rPr>
          <w:rFonts w:eastAsia="Times New Roman" w:cs="Arial"/>
          <w:color w:val="000000"/>
          <w:lang w:eastAsia="bg-BG"/>
        </w:rPr>
      </w:pPr>
    </w:p>
    <w:p w14:paraId="46A594EC" w14:textId="17072B5E"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Основният метаболит на кларитромицин при човека и други примати е микробиологично активният метаболит 14-ОН-кларитромицин. Този метаболит е също толкова активен или 1 до 2 пъти по-малко активен от изходното съединение за повечето организми, с изключение на </w:t>
      </w:r>
      <w:r w:rsidRPr="000D0CFC">
        <w:rPr>
          <w:rFonts w:eastAsia="Times New Roman" w:cs="Arial"/>
          <w:i/>
          <w:iCs/>
          <w:color w:val="000000"/>
          <w:lang w:eastAsia="bg-BG"/>
        </w:rPr>
        <w:t xml:space="preserve">Н </w:t>
      </w:r>
      <w:proofErr w:type="spellStart"/>
      <w:r w:rsidRPr="000D0CFC">
        <w:rPr>
          <w:rFonts w:eastAsia="Times New Roman" w:cs="Arial"/>
          <w:i/>
          <w:iCs/>
          <w:color w:val="000000"/>
          <w:lang w:val="en-US"/>
        </w:rPr>
        <w:t>influenzae</w:t>
      </w:r>
      <w:proofErr w:type="spellEnd"/>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срещу който е два пъти по-активен. Изходното вещество и 14-</w:t>
      </w:r>
      <w:r w:rsidRPr="000D0CFC">
        <w:rPr>
          <w:rFonts w:eastAsia="Times New Roman" w:cs="Arial"/>
          <w:color w:val="000000"/>
          <w:lang w:eastAsia="bg-BG"/>
        </w:rPr>
        <w:lastRenderedPageBreak/>
        <w:t xml:space="preserve">ОН метаболитьт упражняват адитивен или синергичен ефект върху </w:t>
      </w:r>
      <w:r w:rsidRPr="000D0CFC">
        <w:rPr>
          <w:rFonts w:eastAsia="Times New Roman" w:cs="Arial"/>
          <w:i/>
          <w:iCs/>
          <w:color w:val="000000"/>
          <w:lang w:eastAsia="bg-BG"/>
        </w:rPr>
        <w:t xml:space="preserve">Н </w:t>
      </w:r>
      <w:proofErr w:type="spellStart"/>
      <w:r w:rsidRPr="000D0CFC">
        <w:rPr>
          <w:rFonts w:eastAsia="Times New Roman" w:cs="Arial"/>
          <w:i/>
          <w:iCs/>
          <w:color w:val="000000"/>
          <w:lang w:val="en-US"/>
        </w:rPr>
        <w:t>influenzae</w:t>
      </w:r>
      <w:proofErr w:type="spellEnd"/>
      <w:r w:rsidRPr="000D0CFC">
        <w:rPr>
          <w:rFonts w:eastAsia="Times New Roman" w:cs="Arial"/>
          <w:i/>
          <w:iCs/>
          <w:color w:val="000000"/>
          <w:lang w:val="ru-RU"/>
        </w:rPr>
        <w:t xml:space="preserve"> </w:t>
      </w:r>
      <w:r w:rsidRPr="000D0CFC">
        <w:rPr>
          <w:rFonts w:eastAsia="Times New Roman" w:cs="Arial"/>
          <w:i/>
          <w:iCs/>
          <w:color w:val="000000"/>
          <w:lang w:val="en-US"/>
        </w:rPr>
        <w:t>in</w:t>
      </w:r>
      <w:r w:rsidRPr="000D0CFC">
        <w:rPr>
          <w:rFonts w:eastAsia="Times New Roman" w:cs="Arial"/>
          <w:i/>
          <w:iCs/>
          <w:color w:val="000000"/>
          <w:lang w:val="ru-RU"/>
        </w:rPr>
        <w:t xml:space="preserve"> </w:t>
      </w:r>
      <w:r w:rsidRPr="000D0CFC">
        <w:rPr>
          <w:rFonts w:eastAsia="Times New Roman" w:cs="Arial"/>
          <w:i/>
          <w:iCs/>
          <w:color w:val="000000"/>
          <w:lang w:val="en-US"/>
        </w:rPr>
        <w:t>vitro</w:t>
      </w:r>
      <w:r w:rsidRPr="000D0CFC">
        <w:rPr>
          <w:rFonts w:eastAsia="Times New Roman" w:cs="Arial"/>
          <w:color w:val="000000"/>
          <w:lang w:val="ru-RU"/>
        </w:rPr>
        <w:t xml:space="preserve"> </w:t>
      </w:r>
      <w:r w:rsidRPr="000D0CFC">
        <w:rPr>
          <w:rFonts w:eastAsia="Times New Roman" w:cs="Arial"/>
          <w:color w:val="000000"/>
          <w:lang w:eastAsia="bg-BG"/>
        </w:rPr>
        <w:t xml:space="preserve">и </w:t>
      </w:r>
      <w:r w:rsidRPr="000D0CFC">
        <w:rPr>
          <w:rFonts w:eastAsia="Times New Roman" w:cs="Arial"/>
          <w:i/>
          <w:iCs/>
          <w:color w:val="000000"/>
          <w:lang w:val="en-US"/>
        </w:rPr>
        <w:t>in</w:t>
      </w:r>
      <w:r w:rsidRPr="000D0CFC">
        <w:rPr>
          <w:rFonts w:eastAsia="Times New Roman" w:cs="Arial"/>
          <w:i/>
          <w:iCs/>
          <w:color w:val="000000"/>
          <w:lang w:val="ru-RU"/>
        </w:rPr>
        <w:t xml:space="preserve"> </w:t>
      </w:r>
      <w:r w:rsidRPr="000D0CFC">
        <w:rPr>
          <w:rFonts w:eastAsia="Times New Roman" w:cs="Arial"/>
          <w:i/>
          <w:iCs/>
          <w:color w:val="000000"/>
          <w:lang w:val="en-US"/>
        </w:rPr>
        <w:t>vivo</w:t>
      </w:r>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в зависимост от бактериалните щамове.</w:t>
      </w:r>
    </w:p>
    <w:p w14:paraId="299FB14C" w14:textId="77777777" w:rsidR="000D0CFC" w:rsidRPr="000D0CFC" w:rsidRDefault="000D0CFC" w:rsidP="000D0CFC">
      <w:pPr>
        <w:spacing w:line="240" w:lineRule="auto"/>
        <w:rPr>
          <w:rFonts w:eastAsia="Times New Roman" w:cs="Arial"/>
          <w:color w:val="000000"/>
          <w:lang w:eastAsia="bg-BG"/>
        </w:rPr>
      </w:pPr>
    </w:p>
    <w:p w14:paraId="594F047D" w14:textId="63F42E43"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За кларитромицин е установено, че е два до десет пъти по-активен от еритромицин в няколко експериментални животински инфекциозни модели. Показано е например, че е по-ефективен от еритромицин при миши системни инфекции, миши подкожни абсцеси и миши инфекции на дихателните пътища, причинени от 5. </w:t>
      </w:r>
      <w:proofErr w:type="spellStart"/>
      <w:proofErr w:type="gramStart"/>
      <w:r w:rsidRPr="000D0CFC">
        <w:rPr>
          <w:rFonts w:eastAsia="Times New Roman" w:cs="Arial"/>
          <w:i/>
          <w:iCs/>
          <w:color w:val="000000"/>
          <w:lang w:val="en-US"/>
        </w:rPr>
        <w:t>pneumoniae</w:t>
      </w:r>
      <w:proofErr w:type="spellEnd"/>
      <w:proofErr w:type="gramEnd"/>
      <w:r w:rsidRPr="000D0CFC">
        <w:rPr>
          <w:rFonts w:eastAsia="Times New Roman" w:cs="Arial"/>
          <w:i/>
          <w:iCs/>
          <w:color w:val="000000"/>
          <w:lang w:val="ru-RU"/>
        </w:rPr>
        <w:t xml:space="preserve">, </w:t>
      </w:r>
      <w:r w:rsidRPr="000D0CFC">
        <w:rPr>
          <w:rFonts w:eastAsia="Times New Roman" w:cs="Arial"/>
          <w:i/>
          <w:iCs/>
          <w:color w:val="000000"/>
          <w:lang w:val="en-US"/>
        </w:rPr>
        <w:t>S</w:t>
      </w:r>
      <w:r w:rsidRPr="000D0CFC">
        <w:rPr>
          <w:rFonts w:eastAsia="Times New Roman" w:cs="Arial"/>
          <w:i/>
          <w:iCs/>
          <w:color w:val="000000"/>
          <w:lang w:val="ru-RU"/>
        </w:rPr>
        <w:t xml:space="preserve">. </w:t>
      </w:r>
      <w:r w:rsidRPr="000D0CFC">
        <w:rPr>
          <w:rFonts w:eastAsia="Times New Roman" w:cs="Arial"/>
          <w:i/>
          <w:iCs/>
          <w:color w:val="000000"/>
          <w:lang w:val="en-US"/>
        </w:rPr>
        <w:t>aureus</w:t>
      </w:r>
      <w:r w:rsidRPr="000D0CFC">
        <w:rPr>
          <w:rFonts w:eastAsia="Times New Roman" w:cs="Arial"/>
          <w:i/>
          <w:iCs/>
          <w:color w:val="000000"/>
          <w:lang w:val="ru-RU"/>
        </w:rPr>
        <w:t xml:space="preserve">, </w:t>
      </w:r>
      <w:r w:rsidRPr="000D0CFC">
        <w:rPr>
          <w:rFonts w:eastAsia="Times New Roman" w:cs="Arial"/>
          <w:i/>
          <w:iCs/>
          <w:color w:val="000000"/>
          <w:lang w:val="en-US"/>
        </w:rPr>
        <w:t>S</w:t>
      </w:r>
      <w:r w:rsidRPr="000D0CFC">
        <w:rPr>
          <w:rFonts w:eastAsia="Times New Roman" w:cs="Arial"/>
          <w:i/>
          <w:iCs/>
          <w:color w:val="000000"/>
          <w:lang w:val="ru-RU"/>
        </w:rPr>
        <w:t xml:space="preserve">. </w:t>
      </w:r>
      <w:proofErr w:type="spellStart"/>
      <w:r w:rsidRPr="000D0CFC">
        <w:rPr>
          <w:rFonts w:eastAsia="Times New Roman" w:cs="Arial"/>
          <w:i/>
          <w:iCs/>
          <w:color w:val="000000"/>
          <w:lang w:val="en-US"/>
        </w:rPr>
        <w:t>pyogenes</w:t>
      </w:r>
      <w:proofErr w:type="spellEnd"/>
      <w:r w:rsidRPr="000D0CFC">
        <w:rPr>
          <w:rFonts w:eastAsia="Times New Roman" w:cs="Arial"/>
          <w:color w:val="000000"/>
          <w:lang w:val="ru-RU"/>
        </w:rPr>
        <w:t xml:space="preserve"> </w:t>
      </w:r>
      <w:r w:rsidRPr="000D0CFC">
        <w:rPr>
          <w:rFonts w:eastAsia="Times New Roman" w:cs="Arial"/>
          <w:color w:val="000000"/>
          <w:lang w:eastAsia="bg-BG"/>
        </w:rPr>
        <w:t xml:space="preserve">и </w:t>
      </w:r>
      <w:r w:rsidRPr="000D0CFC">
        <w:rPr>
          <w:rFonts w:eastAsia="Times New Roman" w:cs="Arial"/>
          <w:color w:val="000000"/>
          <w:lang w:val="en-US"/>
        </w:rPr>
        <w:t>H</w:t>
      </w:r>
      <w:r w:rsidRPr="000D0CFC">
        <w:rPr>
          <w:rFonts w:eastAsia="Times New Roman" w:cs="Arial"/>
          <w:color w:val="000000"/>
          <w:lang w:val="ru-RU"/>
        </w:rPr>
        <w:t xml:space="preserve">. </w:t>
      </w:r>
      <w:proofErr w:type="spellStart"/>
      <w:r w:rsidRPr="000D0CFC">
        <w:rPr>
          <w:rFonts w:eastAsia="Times New Roman" w:cs="Arial"/>
          <w:color w:val="000000"/>
          <w:lang w:val="en-US"/>
        </w:rPr>
        <w:t>mfluenzae</w:t>
      </w:r>
      <w:proofErr w:type="spellEnd"/>
      <w:r w:rsidRPr="000D0CFC">
        <w:rPr>
          <w:rFonts w:eastAsia="Times New Roman" w:cs="Arial"/>
          <w:color w:val="000000"/>
          <w:lang w:val="ru-RU"/>
        </w:rPr>
        <w:t xml:space="preserve">. </w:t>
      </w:r>
      <w:r w:rsidRPr="000D0CFC">
        <w:rPr>
          <w:rFonts w:eastAsia="Times New Roman" w:cs="Arial"/>
          <w:color w:val="000000"/>
          <w:lang w:eastAsia="bg-BG"/>
        </w:rPr>
        <w:t xml:space="preserve">При морски свинчета </w:t>
      </w:r>
      <w:r w:rsidRPr="000D0CFC">
        <w:rPr>
          <w:rFonts w:eastAsia="Times New Roman" w:cs="Arial"/>
          <w:color w:val="000000"/>
          <w:lang w:val="en-US"/>
        </w:rPr>
        <w:t>c</w:t>
      </w:r>
      <w:r w:rsidRPr="000D0CFC">
        <w:rPr>
          <w:rFonts w:eastAsia="Times New Roman" w:cs="Arial"/>
          <w:color w:val="000000"/>
          <w:lang w:val="ru-RU"/>
        </w:rPr>
        <w:t xml:space="preserve"> </w:t>
      </w:r>
      <w:r w:rsidRPr="000D0CFC">
        <w:rPr>
          <w:rFonts w:eastAsia="Times New Roman" w:cs="Arial"/>
          <w:color w:val="000000"/>
          <w:lang w:eastAsia="bg-BG"/>
        </w:rPr>
        <w:t xml:space="preserve">легионелна инфекция този ефект е по-силно изразен; интраперитопелана доза от 1,6 </w:t>
      </w:r>
      <w:r w:rsidRPr="000D0CFC">
        <w:rPr>
          <w:rFonts w:eastAsia="Times New Roman" w:cs="Arial"/>
          <w:color w:val="000000"/>
          <w:lang w:val="en-US"/>
        </w:rPr>
        <w:t>mg</w:t>
      </w:r>
      <w:r w:rsidRPr="000D0CFC">
        <w:rPr>
          <w:rFonts w:eastAsia="Times New Roman" w:cs="Arial"/>
          <w:color w:val="000000"/>
          <w:lang w:val="ru-RU"/>
        </w:rPr>
        <w:t>/</w:t>
      </w:r>
      <w:r w:rsidRPr="000D0CFC">
        <w:rPr>
          <w:rFonts w:eastAsia="Times New Roman" w:cs="Arial"/>
          <w:color w:val="000000"/>
          <w:lang w:val="en-US"/>
        </w:rPr>
        <w:t>kg</w:t>
      </w:r>
      <w:r w:rsidRPr="000D0CFC">
        <w:rPr>
          <w:rFonts w:eastAsia="Times New Roman" w:cs="Arial"/>
          <w:color w:val="000000"/>
          <w:lang w:eastAsia="bg-BG"/>
        </w:rPr>
        <w:t xml:space="preserve">/ден кларитромицин е по-ефективна от 50 </w:t>
      </w:r>
      <w:r w:rsidRPr="000D0CFC">
        <w:rPr>
          <w:rFonts w:eastAsia="Times New Roman" w:cs="Arial"/>
          <w:color w:val="000000"/>
          <w:lang w:val="en-US"/>
        </w:rPr>
        <w:t>mg</w:t>
      </w:r>
      <w:r w:rsidRPr="000D0CFC">
        <w:rPr>
          <w:rFonts w:eastAsia="Times New Roman" w:cs="Arial"/>
          <w:color w:val="000000"/>
          <w:lang w:val="ru-RU"/>
        </w:rPr>
        <w:t>/</w:t>
      </w:r>
      <w:r w:rsidRPr="000D0CFC">
        <w:rPr>
          <w:rFonts w:eastAsia="Times New Roman" w:cs="Arial"/>
          <w:color w:val="000000"/>
          <w:lang w:val="en-US"/>
        </w:rPr>
        <w:t>kg</w:t>
      </w:r>
      <w:r w:rsidRPr="000D0CFC">
        <w:rPr>
          <w:rFonts w:eastAsia="Times New Roman" w:cs="Arial"/>
          <w:color w:val="000000"/>
          <w:lang w:eastAsia="bg-BG"/>
        </w:rPr>
        <w:t>/ден еритромицин</w:t>
      </w:r>
    </w:p>
    <w:p w14:paraId="2B23BC54" w14:textId="77777777" w:rsidR="000D0CFC" w:rsidRPr="000D0CFC" w:rsidRDefault="000D0CFC" w:rsidP="000D0CFC">
      <w:pPr>
        <w:rPr>
          <w:rFonts w:eastAsia="Times New Roman" w:cs="Arial"/>
          <w:color w:val="000000"/>
          <w:u w:val="single"/>
          <w:lang w:eastAsia="bg-BG"/>
        </w:rPr>
      </w:pPr>
    </w:p>
    <w:p w14:paraId="1A6A4B70" w14:textId="14FCA02F" w:rsidR="000D0CFC" w:rsidRPr="000D0CFC" w:rsidRDefault="000D0CFC" w:rsidP="000D0CFC">
      <w:pPr>
        <w:rPr>
          <w:rFonts w:eastAsia="Times New Roman" w:cs="Arial"/>
          <w:color w:val="000000"/>
          <w:u w:val="single"/>
          <w:lang w:eastAsia="bg-BG"/>
        </w:rPr>
      </w:pPr>
      <w:r w:rsidRPr="000D0CFC">
        <w:rPr>
          <w:rFonts w:eastAsia="Times New Roman" w:cs="Arial"/>
          <w:color w:val="000000"/>
          <w:u w:val="single"/>
          <w:lang w:eastAsia="bg-BG"/>
        </w:rPr>
        <w:t>Тестове за чувствителност</w:t>
      </w:r>
    </w:p>
    <w:p w14:paraId="7FFDB1EF"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Количествени методи, които изискват измерването на зонови диаметри, дават най-точните преценки за чувствителността на бактериите към антимикробни лекарства. Една препоръчана процедура използва дискове, напоени с 15 μ</w:t>
      </w:r>
      <w:r w:rsidRPr="000D0CFC">
        <w:rPr>
          <w:rFonts w:eastAsia="Times New Roman" w:cs="Arial"/>
          <w:color w:val="000000"/>
          <w:lang w:val="en-US"/>
        </w:rPr>
        <w:t>g</w:t>
      </w:r>
      <w:r w:rsidRPr="000D0CFC">
        <w:rPr>
          <w:rFonts w:eastAsia="Times New Roman" w:cs="Arial"/>
          <w:color w:val="000000"/>
          <w:lang w:val="ru-RU"/>
        </w:rPr>
        <w:t xml:space="preserve"> </w:t>
      </w:r>
      <w:r w:rsidRPr="000D0CFC">
        <w:rPr>
          <w:rFonts w:eastAsia="Times New Roman" w:cs="Arial"/>
          <w:color w:val="000000"/>
          <w:lang w:eastAsia="bg-BG"/>
        </w:rPr>
        <w:t>кларитромицин, за изследване на чувствителността (дифузионен тест на Кърби-Бауер); интерпретирането корелира диаметрите на инхибиторната зона на този дисков тест с МИК стойностите на кларитромицин. МИК стойностите се определят чрез бульонен или метод на разреждане в агар.</w:t>
      </w:r>
    </w:p>
    <w:p w14:paraId="0279F40B" w14:textId="77777777" w:rsidR="000D0CFC" w:rsidRPr="000D0CFC" w:rsidRDefault="000D0CFC" w:rsidP="000D0CFC">
      <w:pPr>
        <w:spacing w:line="240" w:lineRule="auto"/>
        <w:rPr>
          <w:rFonts w:eastAsia="Times New Roman" w:cs="Arial"/>
          <w:color w:val="000000"/>
          <w:lang w:eastAsia="bg-BG"/>
        </w:rPr>
      </w:pPr>
    </w:p>
    <w:p w14:paraId="42A00FF1" w14:textId="325BAFF4" w:rsidR="000D0CFC" w:rsidRPr="000D0CFC" w:rsidRDefault="000D0CFC" w:rsidP="000D0CFC">
      <w:pPr>
        <w:spacing w:line="240" w:lineRule="auto"/>
        <w:rPr>
          <w:rFonts w:eastAsia="Times New Roman" w:cs="Arial"/>
        </w:rPr>
      </w:pPr>
      <w:r w:rsidRPr="000D0CFC">
        <w:rPr>
          <w:rFonts w:eastAsia="Times New Roman" w:cs="Arial"/>
          <w:color w:val="000000"/>
          <w:lang w:eastAsia="bg-BG"/>
        </w:rPr>
        <w:t>При тези процедури резултат „чувствителен“ на лабораторията показва, че инфектиращият организъм вероятно ще се повлияе от терапията. Резултат „резистентен” показва, че инфектиращият микроорганизъм вероятно няма да се повлияе от терапията. Резултат „междинна чувствителност” предполага, че терапевтичният ефект на лекарството може да е несигурен или микроорганизмът ще бъде чувствителен, ако се използват по-високи дози. (Междинната чувствителност също се нарича умерена чувствителност.)</w:t>
      </w:r>
    </w:p>
    <w:p w14:paraId="7AD401F3" w14:textId="77777777" w:rsidR="000D0CFC" w:rsidRPr="000D0CFC" w:rsidRDefault="000D0CFC" w:rsidP="000D0CFC">
      <w:pPr>
        <w:spacing w:line="240" w:lineRule="auto"/>
        <w:rPr>
          <w:rFonts w:eastAsia="Times New Roman" w:cs="Arial"/>
          <w:color w:val="000000"/>
          <w:lang w:eastAsia="bg-BG"/>
        </w:rPr>
      </w:pPr>
    </w:p>
    <w:p w14:paraId="11905C9B" w14:textId="17217D63" w:rsidR="000D0CFC" w:rsidRPr="000D0CFC" w:rsidRDefault="000D0CFC" w:rsidP="000D0CFC">
      <w:pPr>
        <w:spacing w:line="240" w:lineRule="auto"/>
        <w:rPr>
          <w:rFonts w:eastAsia="Times New Roman" w:cs="Arial"/>
        </w:rPr>
      </w:pPr>
      <w:r w:rsidRPr="000D0CFC">
        <w:rPr>
          <w:rFonts w:eastAsia="Times New Roman" w:cs="Arial"/>
          <w:color w:val="000000"/>
          <w:lang w:eastAsia="bg-BG"/>
        </w:rPr>
        <w:t>Моля, вижте специфичната информация за Вашата страна или регион относно гранични стойности за чувствителност, резистентност и междинна чувствителност.</w:t>
      </w:r>
    </w:p>
    <w:p w14:paraId="46DFEA04" w14:textId="77777777" w:rsidR="000D0CFC" w:rsidRPr="000D0CFC" w:rsidRDefault="000D0CFC" w:rsidP="000D0CFC">
      <w:pPr>
        <w:spacing w:line="240" w:lineRule="auto"/>
        <w:rPr>
          <w:rFonts w:eastAsia="Times New Roman" w:cs="Arial"/>
          <w:color w:val="000000"/>
          <w:u w:val="single"/>
          <w:lang w:eastAsia="bg-BG"/>
        </w:rPr>
      </w:pPr>
    </w:p>
    <w:p w14:paraId="6A3D67CB" w14:textId="7CBBACC5" w:rsidR="000D0CFC" w:rsidRPr="000D0CFC" w:rsidRDefault="000D0CFC" w:rsidP="000D0CFC">
      <w:pPr>
        <w:spacing w:line="240" w:lineRule="auto"/>
        <w:rPr>
          <w:rFonts w:eastAsia="Times New Roman" w:cs="Arial"/>
        </w:rPr>
      </w:pPr>
      <w:r w:rsidRPr="000D0CFC">
        <w:rPr>
          <w:rFonts w:eastAsia="Times New Roman" w:cs="Arial"/>
          <w:color w:val="000000"/>
          <w:u w:val="single"/>
          <w:lang w:eastAsia="bg-BG"/>
        </w:rPr>
        <w:t>Клинични изпитвания</w:t>
      </w:r>
    </w:p>
    <w:p w14:paraId="37636F90" w14:textId="77777777" w:rsidR="000D0CFC" w:rsidRPr="000D0CFC" w:rsidRDefault="000D0CFC" w:rsidP="000D0CFC">
      <w:pPr>
        <w:spacing w:line="240" w:lineRule="auto"/>
        <w:rPr>
          <w:rFonts w:eastAsia="Times New Roman" w:cs="Arial"/>
          <w:i/>
          <w:iCs/>
          <w:color w:val="000000"/>
          <w:lang w:val="en-US"/>
        </w:rPr>
      </w:pPr>
    </w:p>
    <w:p w14:paraId="50C3CD82" w14:textId="0D0296E4" w:rsidR="000D0CFC" w:rsidRPr="000D0CFC" w:rsidRDefault="000D0CFC" w:rsidP="000D0CFC">
      <w:pPr>
        <w:spacing w:line="240" w:lineRule="auto"/>
        <w:rPr>
          <w:rFonts w:eastAsia="Times New Roman" w:cs="Arial"/>
        </w:rPr>
      </w:pPr>
      <w:r w:rsidRPr="000D0CFC">
        <w:rPr>
          <w:rFonts w:eastAsia="Times New Roman" w:cs="Arial"/>
          <w:i/>
          <w:iCs/>
          <w:color w:val="000000"/>
          <w:lang w:val="en-US"/>
        </w:rPr>
        <w:t>Helicobacter</w:t>
      </w:r>
      <w:r w:rsidRPr="000D0CFC">
        <w:rPr>
          <w:rFonts w:eastAsia="Times New Roman" w:cs="Arial"/>
          <w:i/>
          <w:iCs/>
          <w:color w:val="000000"/>
        </w:rPr>
        <w:t xml:space="preserve"> </w:t>
      </w:r>
      <w:r w:rsidRPr="000D0CFC">
        <w:rPr>
          <w:rFonts w:eastAsia="Times New Roman" w:cs="Arial"/>
          <w:i/>
          <w:iCs/>
          <w:color w:val="000000"/>
          <w:lang w:val="en-US"/>
        </w:rPr>
        <w:t>pylori</w:t>
      </w:r>
      <w:r w:rsidRPr="000D0CFC">
        <w:rPr>
          <w:rFonts w:eastAsia="Times New Roman" w:cs="Arial"/>
          <w:color w:val="000000"/>
        </w:rPr>
        <w:t xml:space="preserve"> </w:t>
      </w:r>
      <w:r w:rsidRPr="000D0CFC">
        <w:rPr>
          <w:rFonts w:eastAsia="Times New Roman" w:cs="Arial"/>
          <w:color w:val="000000"/>
          <w:lang w:eastAsia="bg-BG"/>
        </w:rPr>
        <w:t xml:space="preserve">е силно свързан с пептичната язвена болест. Деветдесет (90) до 100% от пациентите с дуоденални язви са инфектирани с този патоген. Доказано е че, ерадикацията на </w:t>
      </w:r>
      <w:proofErr w:type="spellStart"/>
      <w:r w:rsidRPr="000D0CFC">
        <w:rPr>
          <w:rFonts w:eastAsia="Times New Roman" w:cs="Arial"/>
          <w:i/>
          <w:iCs/>
          <w:color w:val="000000"/>
          <w:lang w:val="en-US"/>
        </w:rPr>
        <w:t>Hpylori</w:t>
      </w:r>
      <w:proofErr w:type="spellEnd"/>
      <w:r w:rsidRPr="000D0CFC">
        <w:rPr>
          <w:rFonts w:eastAsia="Times New Roman" w:cs="Arial"/>
          <w:color w:val="000000"/>
          <w:lang w:val="ru-RU"/>
        </w:rPr>
        <w:t xml:space="preserve"> </w:t>
      </w:r>
      <w:r w:rsidRPr="000D0CFC">
        <w:rPr>
          <w:rFonts w:eastAsia="Times New Roman" w:cs="Arial"/>
          <w:color w:val="000000"/>
          <w:lang w:eastAsia="bg-BG"/>
        </w:rPr>
        <w:t>намалява честотата на повторна поява на дуоденалната язва, като по този начин намалява необходимостта от поддържаща антисекреторна терапия.</w:t>
      </w:r>
    </w:p>
    <w:p w14:paraId="05E3BE27" w14:textId="77777777" w:rsidR="000D0CFC" w:rsidRPr="000D0CFC" w:rsidRDefault="000D0CFC" w:rsidP="000D0CFC">
      <w:pPr>
        <w:spacing w:line="240" w:lineRule="auto"/>
        <w:rPr>
          <w:rFonts w:eastAsia="Times New Roman" w:cs="Arial"/>
          <w:i/>
          <w:iCs/>
          <w:color w:val="000000"/>
          <w:lang w:eastAsia="bg-BG"/>
        </w:rPr>
      </w:pPr>
    </w:p>
    <w:p w14:paraId="02AFCA40" w14:textId="1F8329B5" w:rsidR="000D0CFC" w:rsidRPr="000D0CFC" w:rsidRDefault="000D0CFC" w:rsidP="000D0CFC">
      <w:pPr>
        <w:spacing w:line="240" w:lineRule="auto"/>
        <w:rPr>
          <w:rFonts w:eastAsia="Times New Roman" w:cs="Arial"/>
        </w:rPr>
      </w:pPr>
      <w:r w:rsidRPr="000D0CFC">
        <w:rPr>
          <w:rFonts w:eastAsia="Times New Roman" w:cs="Arial"/>
          <w:i/>
          <w:iCs/>
          <w:color w:val="000000"/>
          <w:lang w:eastAsia="bg-BG"/>
        </w:rPr>
        <w:t>Тройна терапия при дуоденална язвена болест</w:t>
      </w:r>
    </w:p>
    <w:p w14:paraId="2CEE9A72" w14:textId="7777777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В добре контролирано двойно сляпо проучване пациенти, с </w:t>
      </w:r>
      <w:r w:rsidRPr="000D0CFC">
        <w:rPr>
          <w:rFonts w:eastAsia="Times New Roman" w:cs="Arial"/>
          <w:i/>
          <w:iCs/>
          <w:color w:val="000000"/>
          <w:lang w:eastAsia="bg-BG"/>
        </w:rPr>
        <w:t xml:space="preserve">Н. </w:t>
      </w:r>
      <w:r w:rsidRPr="000D0CFC">
        <w:rPr>
          <w:rFonts w:eastAsia="Times New Roman" w:cs="Arial"/>
          <w:i/>
          <w:iCs/>
          <w:color w:val="000000"/>
          <w:lang w:val="en-US"/>
        </w:rPr>
        <w:t>pylori</w:t>
      </w:r>
      <w:r w:rsidRPr="000D0CFC">
        <w:rPr>
          <w:rFonts w:eastAsia="Times New Roman" w:cs="Arial"/>
          <w:color w:val="000000"/>
          <w:lang w:val="ru-RU"/>
        </w:rPr>
        <w:t xml:space="preserve"> </w:t>
      </w:r>
      <w:r w:rsidRPr="000D0CFC">
        <w:rPr>
          <w:rFonts w:eastAsia="Times New Roman" w:cs="Arial"/>
          <w:color w:val="000000"/>
          <w:lang w:eastAsia="bg-BG"/>
        </w:rPr>
        <w:t xml:space="preserve">инфектирана дуоденална язва получават, тройна терапия с кларитромицин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val="en-US"/>
        </w:rPr>
        <w:t>b</w:t>
      </w:r>
      <w:r w:rsidRPr="000D0CFC">
        <w:rPr>
          <w:rFonts w:eastAsia="Times New Roman" w:cs="Arial"/>
          <w:color w:val="000000"/>
          <w:lang w:val="ru-RU"/>
        </w:rPr>
        <w:t>.</w:t>
      </w:r>
      <w:proofErr w:type="spellStart"/>
      <w:r w:rsidRPr="000D0CFC">
        <w:rPr>
          <w:rFonts w:eastAsia="Times New Roman" w:cs="Arial"/>
          <w:color w:val="000000"/>
          <w:lang w:val="en-US"/>
        </w:rPr>
        <w:t>i</w:t>
      </w:r>
      <w:proofErr w:type="spellEnd"/>
      <w:r w:rsidRPr="000D0CFC">
        <w:rPr>
          <w:rFonts w:eastAsia="Times New Roman" w:cs="Arial"/>
          <w:color w:val="000000"/>
          <w:lang w:val="ru-RU"/>
        </w:rPr>
        <w:t>.</w:t>
      </w:r>
      <w:r w:rsidRPr="000D0CFC">
        <w:rPr>
          <w:rFonts w:eastAsia="Times New Roman" w:cs="Arial"/>
          <w:color w:val="000000"/>
          <w:lang w:val="en-US"/>
        </w:rPr>
        <w:t>d</w:t>
      </w:r>
      <w:r w:rsidRPr="000D0CFC">
        <w:rPr>
          <w:rFonts w:eastAsia="Times New Roman" w:cs="Arial"/>
          <w:color w:val="000000"/>
          <w:lang w:val="ru-RU"/>
        </w:rPr>
        <w:t xml:space="preserve">. </w:t>
      </w:r>
      <w:r w:rsidRPr="000D0CFC">
        <w:rPr>
          <w:rFonts w:eastAsia="Times New Roman" w:cs="Arial"/>
          <w:color w:val="000000"/>
          <w:lang w:eastAsia="bg-BG"/>
        </w:rPr>
        <w:t xml:space="preserve">(два пъти дневно), амоксицилин 1 000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val="en-US"/>
        </w:rPr>
        <w:t>b</w:t>
      </w:r>
      <w:r w:rsidRPr="000D0CFC">
        <w:rPr>
          <w:rFonts w:eastAsia="Times New Roman" w:cs="Arial"/>
          <w:color w:val="000000"/>
          <w:lang w:val="ru-RU"/>
        </w:rPr>
        <w:t>.</w:t>
      </w:r>
      <w:proofErr w:type="spellStart"/>
      <w:r w:rsidRPr="000D0CFC">
        <w:rPr>
          <w:rFonts w:eastAsia="Times New Roman" w:cs="Arial"/>
          <w:color w:val="000000"/>
          <w:lang w:val="en-US"/>
        </w:rPr>
        <w:t>i</w:t>
      </w:r>
      <w:proofErr w:type="spellEnd"/>
      <w:r w:rsidRPr="000D0CFC">
        <w:rPr>
          <w:rFonts w:eastAsia="Times New Roman" w:cs="Arial"/>
          <w:color w:val="000000"/>
          <w:lang w:val="ru-RU"/>
        </w:rPr>
        <w:t>.</w:t>
      </w:r>
      <w:r w:rsidRPr="000D0CFC">
        <w:rPr>
          <w:rFonts w:eastAsia="Times New Roman" w:cs="Arial"/>
          <w:color w:val="000000"/>
          <w:lang w:val="en-US"/>
        </w:rPr>
        <w:t>d</w:t>
      </w:r>
      <w:r w:rsidRPr="000D0CFC">
        <w:rPr>
          <w:rFonts w:eastAsia="Times New Roman" w:cs="Arial"/>
          <w:color w:val="000000"/>
          <w:lang w:val="ru-RU"/>
        </w:rPr>
        <w:t xml:space="preserve">. </w:t>
      </w:r>
      <w:r w:rsidRPr="000D0CFC">
        <w:rPr>
          <w:rFonts w:eastAsia="Times New Roman" w:cs="Arial"/>
          <w:color w:val="000000"/>
          <w:lang w:eastAsia="bg-BG"/>
        </w:rPr>
        <w:t xml:space="preserve">и омепразол 20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дневно за десет дни или двойна терапия с кларитромицин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val="en-US"/>
        </w:rPr>
        <w:t>t</w:t>
      </w:r>
      <w:r w:rsidRPr="000D0CFC">
        <w:rPr>
          <w:rFonts w:eastAsia="Times New Roman" w:cs="Arial"/>
          <w:color w:val="000000"/>
          <w:lang w:val="ru-RU"/>
        </w:rPr>
        <w:t>.</w:t>
      </w:r>
      <w:proofErr w:type="spellStart"/>
      <w:r w:rsidRPr="000D0CFC">
        <w:rPr>
          <w:rFonts w:eastAsia="Times New Roman" w:cs="Arial"/>
          <w:color w:val="000000"/>
          <w:lang w:val="en-US"/>
        </w:rPr>
        <w:t>i</w:t>
      </w:r>
      <w:proofErr w:type="spellEnd"/>
      <w:r w:rsidRPr="000D0CFC">
        <w:rPr>
          <w:rFonts w:eastAsia="Times New Roman" w:cs="Arial"/>
          <w:color w:val="000000"/>
          <w:lang w:val="ru-RU"/>
        </w:rPr>
        <w:t>.</w:t>
      </w:r>
      <w:r w:rsidRPr="000D0CFC">
        <w:rPr>
          <w:rFonts w:eastAsia="Times New Roman" w:cs="Arial"/>
          <w:color w:val="000000"/>
          <w:lang w:val="en-US"/>
        </w:rPr>
        <w:t>d</w:t>
      </w:r>
      <w:r w:rsidRPr="000D0CFC">
        <w:rPr>
          <w:rFonts w:eastAsia="Times New Roman" w:cs="Arial"/>
          <w:color w:val="000000"/>
          <w:lang w:val="ru-RU"/>
        </w:rPr>
        <w:t xml:space="preserve">. </w:t>
      </w:r>
      <w:r w:rsidRPr="000D0CFC">
        <w:rPr>
          <w:rFonts w:eastAsia="Times New Roman" w:cs="Arial"/>
          <w:color w:val="000000"/>
          <w:lang w:eastAsia="bg-BG"/>
        </w:rPr>
        <w:t xml:space="preserve">(три пъти дневно) и омепразол 40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дневно за 14 дни. </w:t>
      </w:r>
      <w:r w:rsidRPr="000D0CFC">
        <w:rPr>
          <w:rFonts w:eastAsia="Times New Roman" w:cs="Arial"/>
          <w:i/>
          <w:iCs/>
          <w:color w:val="000000"/>
          <w:lang w:eastAsia="bg-BG"/>
        </w:rPr>
        <w:t xml:space="preserve">Н. </w:t>
      </w:r>
      <w:r w:rsidRPr="000D0CFC">
        <w:rPr>
          <w:rFonts w:eastAsia="Times New Roman" w:cs="Arial"/>
          <w:i/>
          <w:iCs/>
          <w:color w:val="000000"/>
          <w:lang w:val="en-US"/>
        </w:rPr>
        <w:t>pylori</w:t>
      </w:r>
      <w:r w:rsidRPr="000D0CFC">
        <w:rPr>
          <w:rFonts w:eastAsia="Times New Roman" w:cs="Arial"/>
          <w:color w:val="000000"/>
          <w:lang w:val="ru-RU"/>
        </w:rPr>
        <w:t xml:space="preserve"> </w:t>
      </w:r>
      <w:r w:rsidRPr="000D0CFC">
        <w:rPr>
          <w:rFonts w:eastAsia="Times New Roman" w:cs="Arial"/>
          <w:color w:val="000000"/>
          <w:lang w:eastAsia="bg-BG"/>
        </w:rPr>
        <w:t>е ерадикиран при 90% от пациентите, получаващи тройна терапия с кларитромицин, и при 60% от пациентите, получаващи двойна терапия.</w:t>
      </w:r>
    </w:p>
    <w:p w14:paraId="13362702" w14:textId="77777777" w:rsidR="000D0CFC" w:rsidRPr="000D0CFC" w:rsidRDefault="000D0CFC" w:rsidP="000D0CFC">
      <w:pPr>
        <w:spacing w:line="240" w:lineRule="auto"/>
        <w:rPr>
          <w:rFonts w:eastAsia="Times New Roman" w:cs="Arial"/>
          <w:color w:val="000000"/>
          <w:lang w:eastAsia="bg-BG"/>
        </w:rPr>
      </w:pPr>
    </w:p>
    <w:p w14:paraId="58A7CCCC" w14:textId="50A2DE47" w:rsidR="000D0CFC" w:rsidRPr="000D0CFC" w:rsidRDefault="000D0CFC" w:rsidP="000D0CFC">
      <w:pPr>
        <w:spacing w:line="240" w:lineRule="auto"/>
        <w:rPr>
          <w:rFonts w:eastAsia="Times New Roman" w:cs="Arial"/>
        </w:rPr>
      </w:pPr>
      <w:r w:rsidRPr="000D0CFC">
        <w:rPr>
          <w:rFonts w:eastAsia="Times New Roman" w:cs="Arial"/>
          <w:color w:val="000000"/>
          <w:lang w:eastAsia="bg-BG"/>
        </w:rPr>
        <w:t xml:space="preserve">В независимо проучване пациенти, инфектирани с </w:t>
      </w:r>
      <w:r w:rsidRPr="000D0CFC">
        <w:rPr>
          <w:rFonts w:eastAsia="Times New Roman" w:cs="Arial"/>
          <w:i/>
          <w:iCs/>
          <w:color w:val="000000"/>
          <w:lang w:eastAsia="bg-BG"/>
        </w:rPr>
        <w:t xml:space="preserve">Н </w:t>
      </w:r>
      <w:r w:rsidRPr="000D0CFC">
        <w:rPr>
          <w:rFonts w:eastAsia="Times New Roman" w:cs="Arial"/>
          <w:i/>
          <w:iCs/>
          <w:color w:val="000000"/>
          <w:lang w:val="en-US"/>
        </w:rPr>
        <w:t>pylori</w:t>
      </w:r>
      <w:r w:rsidRPr="000D0CFC">
        <w:rPr>
          <w:rFonts w:eastAsia="Times New Roman" w:cs="Arial"/>
          <w:i/>
          <w:iCs/>
          <w:color w:val="000000"/>
          <w:lang w:val="ru-RU"/>
        </w:rPr>
        <w:t>,</w:t>
      </w:r>
      <w:r w:rsidRPr="000D0CFC">
        <w:rPr>
          <w:rFonts w:eastAsia="Times New Roman" w:cs="Arial"/>
          <w:color w:val="000000"/>
          <w:lang w:val="ru-RU"/>
        </w:rPr>
        <w:t xml:space="preserve"> </w:t>
      </w:r>
      <w:r w:rsidRPr="000D0CFC">
        <w:rPr>
          <w:rFonts w:eastAsia="Times New Roman" w:cs="Arial"/>
          <w:color w:val="000000"/>
          <w:lang w:eastAsia="bg-BG"/>
        </w:rPr>
        <w:t xml:space="preserve">получават терапия за ерадикация с кларитромицин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val="en-US"/>
        </w:rPr>
        <w:t>b</w:t>
      </w:r>
      <w:r w:rsidRPr="000D0CFC">
        <w:rPr>
          <w:rFonts w:eastAsia="Times New Roman" w:cs="Arial"/>
          <w:color w:val="000000"/>
          <w:lang w:val="ru-RU"/>
        </w:rPr>
        <w:t>.</w:t>
      </w:r>
      <w:proofErr w:type="spellStart"/>
      <w:r w:rsidRPr="000D0CFC">
        <w:rPr>
          <w:rFonts w:eastAsia="Times New Roman" w:cs="Arial"/>
          <w:color w:val="000000"/>
          <w:lang w:val="en-US"/>
        </w:rPr>
        <w:t>i</w:t>
      </w:r>
      <w:proofErr w:type="spellEnd"/>
      <w:r w:rsidRPr="000D0CFC">
        <w:rPr>
          <w:rFonts w:eastAsia="Times New Roman" w:cs="Arial"/>
          <w:color w:val="000000"/>
          <w:lang w:val="ru-RU"/>
        </w:rPr>
        <w:t>.</w:t>
      </w:r>
      <w:r w:rsidRPr="000D0CFC">
        <w:rPr>
          <w:rFonts w:eastAsia="Times New Roman" w:cs="Arial"/>
          <w:color w:val="000000"/>
          <w:lang w:val="en-US"/>
        </w:rPr>
        <w:t>d</w:t>
      </w:r>
      <w:r w:rsidRPr="000D0CFC">
        <w:rPr>
          <w:rFonts w:eastAsia="Times New Roman" w:cs="Arial"/>
          <w:color w:val="000000"/>
          <w:lang w:val="ru-RU"/>
        </w:rPr>
        <w:t xml:space="preserve">. </w:t>
      </w:r>
      <w:r w:rsidRPr="000D0CFC">
        <w:rPr>
          <w:rFonts w:eastAsia="Times New Roman" w:cs="Arial"/>
          <w:color w:val="000000"/>
          <w:lang w:eastAsia="bg-BG"/>
        </w:rPr>
        <w:t xml:space="preserve">в комбинация с амоксицилин 1 000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val="en-US"/>
        </w:rPr>
        <w:t>b</w:t>
      </w:r>
      <w:r w:rsidRPr="000D0CFC">
        <w:rPr>
          <w:rFonts w:eastAsia="Times New Roman" w:cs="Arial"/>
          <w:color w:val="000000"/>
          <w:lang w:val="ru-RU"/>
        </w:rPr>
        <w:t>.</w:t>
      </w:r>
      <w:proofErr w:type="spellStart"/>
      <w:r w:rsidRPr="000D0CFC">
        <w:rPr>
          <w:rFonts w:eastAsia="Times New Roman" w:cs="Arial"/>
          <w:color w:val="000000"/>
          <w:lang w:val="en-US"/>
        </w:rPr>
        <w:t>i</w:t>
      </w:r>
      <w:proofErr w:type="spellEnd"/>
      <w:r w:rsidRPr="000D0CFC">
        <w:rPr>
          <w:rFonts w:eastAsia="Times New Roman" w:cs="Arial"/>
          <w:color w:val="000000"/>
          <w:lang w:val="ru-RU"/>
        </w:rPr>
        <w:t>.</w:t>
      </w:r>
      <w:r w:rsidRPr="000D0CFC">
        <w:rPr>
          <w:rFonts w:eastAsia="Times New Roman" w:cs="Arial"/>
          <w:color w:val="000000"/>
          <w:lang w:val="en-US"/>
        </w:rPr>
        <w:t>d</w:t>
      </w:r>
      <w:r w:rsidRPr="000D0CFC">
        <w:rPr>
          <w:rFonts w:eastAsia="Times New Roman" w:cs="Arial"/>
          <w:color w:val="000000"/>
          <w:lang w:val="ru-RU"/>
        </w:rPr>
        <w:t xml:space="preserve">. </w:t>
      </w:r>
      <w:r w:rsidRPr="000D0CFC">
        <w:rPr>
          <w:rFonts w:eastAsia="Times New Roman" w:cs="Arial"/>
          <w:color w:val="000000"/>
          <w:lang w:eastAsia="bg-BG"/>
        </w:rPr>
        <w:t xml:space="preserve">и омепразол 20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дневно (Група А) или омепразол 20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val="en-US"/>
        </w:rPr>
        <w:t>b</w:t>
      </w:r>
      <w:r w:rsidRPr="000D0CFC">
        <w:rPr>
          <w:rFonts w:eastAsia="Times New Roman" w:cs="Arial"/>
          <w:color w:val="000000"/>
          <w:lang w:val="ru-RU"/>
        </w:rPr>
        <w:t>.</w:t>
      </w:r>
      <w:proofErr w:type="spellStart"/>
      <w:r w:rsidRPr="000D0CFC">
        <w:rPr>
          <w:rFonts w:eastAsia="Times New Roman" w:cs="Arial"/>
          <w:color w:val="000000"/>
          <w:lang w:val="en-US"/>
        </w:rPr>
        <w:t>i</w:t>
      </w:r>
      <w:proofErr w:type="spellEnd"/>
      <w:r w:rsidRPr="000D0CFC">
        <w:rPr>
          <w:rFonts w:eastAsia="Times New Roman" w:cs="Arial"/>
          <w:color w:val="000000"/>
          <w:lang w:val="ru-RU"/>
        </w:rPr>
        <w:t>.</w:t>
      </w:r>
      <w:r w:rsidRPr="000D0CFC">
        <w:rPr>
          <w:rFonts w:eastAsia="Times New Roman" w:cs="Arial"/>
          <w:color w:val="000000"/>
          <w:lang w:val="en-US"/>
        </w:rPr>
        <w:t>d</w:t>
      </w:r>
      <w:r w:rsidRPr="000D0CFC">
        <w:rPr>
          <w:rFonts w:eastAsia="Times New Roman" w:cs="Arial"/>
          <w:color w:val="000000"/>
          <w:lang w:val="ru-RU"/>
        </w:rPr>
        <w:t xml:space="preserve">. </w:t>
      </w:r>
      <w:r w:rsidRPr="000D0CFC">
        <w:rPr>
          <w:rFonts w:eastAsia="Times New Roman" w:cs="Arial"/>
          <w:color w:val="000000"/>
          <w:lang w:eastAsia="bg-BG"/>
        </w:rPr>
        <w:t xml:space="preserve">(Група В) за седем дни. При тези пациенти, които преди това не са лекувани с анти-Н </w:t>
      </w:r>
      <w:r w:rsidRPr="000D0CFC">
        <w:rPr>
          <w:rFonts w:eastAsia="Times New Roman" w:cs="Arial"/>
          <w:i/>
          <w:iCs/>
          <w:color w:val="000000"/>
          <w:lang w:val="en-US"/>
        </w:rPr>
        <w:t>pylori</w:t>
      </w:r>
      <w:r w:rsidRPr="000D0CFC">
        <w:rPr>
          <w:rFonts w:eastAsia="Times New Roman" w:cs="Arial"/>
          <w:color w:val="000000"/>
          <w:lang w:val="ru-RU"/>
        </w:rPr>
        <w:t xml:space="preserve"> </w:t>
      </w:r>
      <w:r w:rsidRPr="000D0CFC">
        <w:rPr>
          <w:rFonts w:eastAsia="Times New Roman" w:cs="Arial"/>
          <w:color w:val="000000"/>
          <w:lang w:eastAsia="bg-BG"/>
        </w:rPr>
        <w:t xml:space="preserve">терапия, </w:t>
      </w:r>
      <w:r w:rsidRPr="000D0CFC">
        <w:rPr>
          <w:rFonts w:eastAsia="Times New Roman" w:cs="Arial"/>
          <w:i/>
          <w:iCs/>
          <w:color w:val="000000"/>
          <w:lang w:eastAsia="bg-BG"/>
        </w:rPr>
        <w:t xml:space="preserve">Н. </w:t>
      </w:r>
      <w:proofErr w:type="gramStart"/>
      <w:r w:rsidRPr="000D0CFC">
        <w:rPr>
          <w:rFonts w:eastAsia="Times New Roman" w:cs="Arial"/>
          <w:i/>
          <w:iCs/>
          <w:color w:val="000000"/>
          <w:lang w:val="en-US"/>
        </w:rPr>
        <w:t>pylori</w:t>
      </w:r>
      <w:proofErr w:type="gramEnd"/>
      <w:r w:rsidRPr="000D0CFC">
        <w:rPr>
          <w:rFonts w:eastAsia="Times New Roman" w:cs="Arial"/>
          <w:color w:val="000000"/>
          <w:lang w:val="ru-RU"/>
        </w:rPr>
        <w:t xml:space="preserve"> </w:t>
      </w:r>
      <w:r w:rsidRPr="000D0CFC">
        <w:rPr>
          <w:rFonts w:eastAsia="Times New Roman" w:cs="Arial"/>
          <w:color w:val="000000"/>
          <w:lang w:eastAsia="bg-BG"/>
        </w:rPr>
        <w:t xml:space="preserve">е </w:t>
      </w:r>
      <w:r w:rsidRPr="000D0CFC">
        <w:rPr>
          <w:rFonts w:eastAsia="Times New Roman" w:cs="Arial"/>
          <w:color w:val="000000"/>
          <w:lang w:eastAsia="bg-BG"/>
        </w:rPr>
        <w:lastRenderedPageBreak/>
        <w:t>ерадикиран при 86% (95% С</w:t>
      </w:r>
      <w:r w:rsidRPr="000D0CFC">
        <w:rPr>
          <w:rFonts w:eastAsia="Times New Roman" w:cs="Arial"/>
          <w:color w:val="000000"/>
          <w:lang w:val="en-US"/>
        </w:rPr>
        <w:t>I</w:t>
      </w:r>
      <w:r w:rsidRPr="000D0CFC">
        <w:rPr>
          <w:rFonts w:eastAsia="Times New Roman" w:cs="Arial"/>
          <w:color w:val="000000"/>
          <w:lang w:eastAsia="bg-BG"/>
        </w:rPr>
        <w:t>=69-95) от пациентите в Група А и при 75% (95% С</w:t>
      </w:r>
      <w:r w:rsidRPr="000D0CFC">
        <w:rPr>
          <w:rFonts w:eastAsia="Times New Roman" w:cs="Arial"/>
          <w:color w:val="000000"/>
          <w:lang w:val="en-US"/>
        </w:rPr>
        <w:t>I</w:t>
      </w:r>
      <w:r w:rsidRPr="000D0CFC">
        <w:rPr>
          <w:rFonts w:eastAsia="Times New Roman" w:cs="Arial"/>
          <w:color w:val="000000"/>
          <w:lang w:eastAsia="bg-BG"/>
        </w:rPr>
        <w:t>=62-85) от пациентите в Група В, като разликата не е била статистически значима.</w:t>
      </w:r>
    </w:p>
    <w:p w14:paraId="2811DEF3" w14:textId="77777777" w:rsidR="000D0CFC" w:rsidRPr="000D0CFC" w:rsidRDefault="000D0CFC" w:rsidP="000D0CFC">
      <w:pPr>
        <w:spacing w:line="240" w:lineRule="auto"/>
        <w:rPr>
          <w:rFonts w:eastAsia="Times New Roman" w:cs="Arial"/>
          <w:color w:val="000000"/>
          <w:lang w:eastAsia="bg-BG"/>
        </w:rPr>
      </w:pPr>
    </w:p>
    <w:p w14:paraId="3868A698" w14:textId="21CBF20F" w:rsidR="000D0CFC" w:rsidRPr="000D0CFC" w:rsidRDefault="000D0CFC" w:rsidP="000D0CFC">
      <w:pPr>
        <w:spacing w:line="240" w:lineRule="auto"/>
        <w:rPr>
          <w:rFonts w:ascii="Times New Roman" w:eastAsia="Times New Roman" w:hAnsi="Times New Roman" w:cs="Times New Roman"/>
          <w:sz w:val="24"/>
          <w:szCs w:val="24"/>
        </w:rPr>
      </w:pPr>
      <w:r w:rsidRPr="000D0CFC">
        <w:rPr>
          <w:rFonts w:eastAsia="Times New Roman" w:cs="Arial"/>
          <w:color w:val="000000"/>
          <w:lang w:eastAsia="bg-BG"/>
        </w:rPr>
        <w:t xml:space="preserve">В отворено проучване </w:t>
      </w:r>
      <w:r w:rsidRPr="000D0CFC">
        <w:rPr>
          <w:rFonts w:eastAsia="Times New Roman" w:cs="Arial"/>
          <w:i/>
          <w:iCs/>
          <w:color w:val="000000"/>
          <w:lang w:eastAsia="bg-BG"/>
        </w:rPr>
        <w:t xml:space="preserve">Н. </w:t>
      </w:r>
      <w:r w:rsidRPr="000D0CFC">
        <w:rPr>
          <w:rFonts w:eastAsia="Times New Roman" w:cs="Arial"/>
          <w:i/>
          <w:iCs/>
          <w:color w:val="000000"/>
          <w:lang w:val="en-US"/>
        </w:rPr>
        <w:t>pylori</w:t>
      </w:r>
      <w:r w:rsidRPr="000D0CFC">
        <w:rPr>
          <w:rFonts w:eastAsia="Times New Roman" w:cs="Arial"/>
          <w:color w:val="000000"/>
        </w:rPr>
        <w:t xml:space="preserve"> </w:t>
      </w:r>
      <w:r w:rsidRPr="000D0CFC">
        <w:rPr>
          <w:rFonts w:eastAsia="Times New Roman" w:cs="Arial"/>
          <w:color w:val="000000"/>
          <w:lang w:eastAsia="bg-BG"/>
        </w:rPr>
        <w:t xml:space="preserve">инфектирани пациенти с дуоденална язва или неязвена диспепсия </w:t>
      </w:r>
      <w:r w:rsidRPr="000D0CFC">
        <w:rPr>
          <w:rFonts w:eastAsia="Times New Roman" w:cs="Arial"/>
          <w:color w:val="000000"/>
        </w:rPr>
        <w:t>(</w:t>
      </w:r>
      <w:r w:rsidRPr="000D0CFC">
        <w:rPr>
          <w:rFonts w:eastAsia="Times New Roman" w:cs="Arial"/>
          <w:color w:val="000000"/>
          <w:lang w:val="en-US"/>
        </w:rPr>
        <w:t>NUD</w:t>
      </w:r>
      <w:r w:rsidRPr="000D0CFC">
        <w:rPr>
          <w:rFonts w:eastAsia="Times New Roman" w:cs="Arial"/>
          <w:color w:val="000000"/>
        </w:rPr>
        <w:t xml:space="preserve">) </w:t>
      </w:r>
      <w:r w:rsidRPr="000D0CFC">
        <w:rPr>
          <w:rFonts w:eastAsia="Times New Roman" w:cs="Arial"/>
          <w:color w:val="000000"/>
          <w:lang w:eastAsia="bg-BG"/>
        </w:rPr>
        <w:t xml:space="preserve">получават терапия за ерадикация с кларитромицин 500 </w:t>
      </w:r>
      <w:r w:rsidRPr="000D0CFC">
        <w:rPr>
          <w:rFonts w:eastAsia="Times New Roman" w:cs="Arial"/>
          <w:color w:val="000000"/>
          <w:lang w:val="en-US"/>
        </w:rPr>
        <w:t>mg</w:t>
      </w:r>
      <w:r w:rsidRPr="000D0CFC">
        <w:rPr>
          <w:rFonts w:eastAsia="Times New Roman" w:cs="Arial"/>
          <w:color w:val="000000"/>
        </w:rPr>
        <w:t xml:space="preserve"> </w:t>
      </w:r>
      <w:r w:rsidRPr="000D0CFC">
        <w:rPr>
          <w:rFonts w:eastAsia="Times New Roman" w:cs="Arial"/>
          <w:color w:val="000000"/>
          <w:lang w:val="en-US"/>
        </w:rPr>
        <w:t>b</w:t>
      </w:r>
      <w:r w:rsidRPr="000D0CFC">
        <w:rPr>
          <w:rFonts w:eastAsia="Times New Roman" w:cs="Arial"/>
          <w:color w:val="000000"/>
        </w:rPr>
        <w:t>.</w:t>
      </w:r>
      <w:proofErr w:type="spellStart"/>
      <w:r w:rsidRPr="000D0CFC">
        <w:rPr>
          <w:rFonts w:eastAsia="Times New Roman" w:cs="Arial"/>
          <w:color w:val="000000"/>
          <w:lang w:val="en-US"/>
        </w:rPr>
        <w:t>i</w:t>
      </w:r>
      <w:proofErr w:type="spellEnd"/>
      <w:r w:rsidRPr="000D0CFC">
        <w:rPr>
          <w:rFonts w:eastAsia="Times New Roman" w:cs="Arial"/>
          <w:color w:val="000000"/>
        </w:rPr>
        <w:t>.</w:t>
      </w:r>
      <w:r w:rsidRPr="000D0CFC">
        <w:rPr>
          <w:rFonts w:eastAsia="Times New Roman" w:cs="Arial"/>
          <w:color w:val="000000"/>
          <w:lang w:val="en-US"/>
        </w:rPr>
        <w:t>d</w:t>
      </w:r>
      <w:r w:rsidRPr="000D0CFC">
        <w:rPr>
          <w:rFonts w:eastAsia="Times New Roman" w:cs="Arial"/>
          <w:color w:val="000000"/>
        </w:rPr>
        <w:t xml:space="preserve">., </w:t>
      </w:r>
      <w:r w:rsidRPr="000D0CFC">
        <w:rPr>
          <w:rFonts w:eastAsia="Times New Roman" w:cs="Arial"/>
          <w:color w:val="000000"/>
          <w:lang w:eastAsia="bg-BG"/>
        </w:rPr>
        <w:t xml:space="preserve">лансопразол 30 </w:t>
      </w:r>
      <w:r w:rsidRPr="000D0CFC">
        <w:rPr>
          <w:rFonts w:eastAsia="Times New Roman" w:cs="Arial"/>
          <w:color w:val="000000"/>
          <w:lang w:val="en-US"/>
        </w:rPr>
        <w:t>mg</w:t>
      </w:r>
      <w:r w:rsidRPr="000D0CFC">
        <w:rPr>
          <w:rFonts w:eastAsia="Times New Roman" w:cs="Arial"/>
          <w:color w:val="000000"/>
        </w:rPr>
        <w:t xml:space="preserve"> </w:t>
      </w:r>
      <w:r w:rsidRPr="000D0CFC">
        <w:rPr>
          <w:rFonts w:eastAsia="Times New Roman" w:cs="Arial"/>
          <w:color w:val="000000"/>
          <w:lang w:val="en-US"/>
        </w:rPr>
        <w:t>b</w:t>
      </w:r>
      <w:r w:rsidRPr="000D0CFC">
        <w:rPr>
          <w:rFonts w:eastAsia="Times New Roman" w:cs="Arial"/>
          <w:color w:val="000000"/>
        </w:rPr>
        <w:t>.</w:t>
      </w:r>
      <w:proofErr w:type="spellStart"/>
      <w:r w:rsidRPr="000D0CFC">
        <w:rPr>
          <w:rFonts w:eastAsia="Times New Roman" w:cs="Arial"/>
          <w:color w:val="000000"/>
          <w:lang w:val="en-US"/>
        </w:rPr>
        <w:t>i</w:t>
      </w:r>
      <w:proofErr w:type="spellEnd"/>
      <w:r w:rsidRPr="000D0CFC">
        <w:rPr>
          <w:rFonts w:eastAsia="Times New Roman" w:cs="Arial"/>
          <w:color w:val="000000"/>
        </w:rPr>
        <w:t>.</w:t>
      </w:r>
      <w:r w:rsidRPr="000D0CFC">
        <w:rPr>
          <w:rFonts w:eastAsia="Times New Roman" w:cs="Arial"/>
          <w:color w:val="000000"/>
          <w:lang w:val="en-US"/>
        </w:rPr>
        <w:t>d</w:t>
      </w:r>
      <w:r w:rsidRPr="000D0CFC">
        <w:rPr>
          <w:rFonts w:eastAsia="Times New Roman" w:cs="Arial"/>
          <w:color w:val="000000"/>
        </w:rPr>
        <w:t xml:space="preserve">. </w:t>
      </w:r>
      <w:r w:rsidRPr="000D0CFC">
        <w:rPr>
          <w:rFonts w:eastAsia="Times New Roman" w:cs="Arial"/>
          <w:color w:val="000000"/>
          <w:lang w:eastAsia="bg-BG"/>
        </w:rPr>
        <w:t xml:space="preserve">плюс амоксицилин 1 000 </w:t>
      </w:r>
      <w:r w:rsidRPr="000D0CFC">
        <w:rPr>
          <w:rFonts w:eastAsia="Times New Roman" w:cs="Arial"/>
          <w:color w:val="000000"/>
          <w:lang w:val="en-US"/>
        </w:rPr>
        <w:t>mg</w:t>
      </w:r>
      <w:r w:rsidRPr="000D0CFC">
        <w:rPr>
          <w:rFonts w:eastAsia="Times New Roman" w:cs="Arial"/>
          <w:color w:val="000000"/>
        </w:rPr>
        <w:t xml:space="preserve"> </w:t>
      </w:r>
      <w:r w:rsidRPr="000D0CFC">
        <w:rPr>
          <w:rFonts w:eastAsia="Times New Roman" w:cs="Arial"/>
          <w:color w:val="000000"/>
          <w:lang w:val="en-US"/>
        </w:rPr>
        <w:t>b</w:t>
      </w:r>
      <w:r w:rsidRPr="000D0CFC">
        <w:rPr>
          <w:rFonts w:eastAsia="Times New Roman" w:cs="Arial"/>
          <w:color w:val="000000"/>
        </w:rPr>
        <w:t>.</w:t>
      </w:r>
      <w:proofErr w:type="spellStart"/>
      <w:r w:rsidRPr="000D0CFC">
        <w:rPr>
          <w:rFonts w:eastAsia="Times New Roman" w:cs="Arial"/>
          <w:color w:val="000000"/>
          <w:lang w:val="en-US"/>
        </w:rPr>
        <w:t>i</w:t>
      </w:r>
      <w:proofErr w:type="spellEnd"/>
      <w:r w:rsidRPr="000D0CFC">
        <w:rPr>
          <w:rFonts w:eastAsia="Times New Roman" w:cs="Arial"/>
          <w:color w:val="000000"/>
        </w:rPr>
        <w:t>.</w:t>
      </w:r>
      <w:r w:rsidRPr="000D0CFC">
        <w:rPr>
          <w:rFonts w:eastAsia="Times New Roman" w:cs="Arial"/>
          <w:color w:val="000000"/>
          <w:lang w:val="en-US"/>
        </w:rPr>
        <w:t>d</w:t>
      </w:r>
      <w:r w:rsidRPr="000D0CFC">
        <w:rPr>
          <w:rFonts w:eastAsia="Times New Roman" w:cs="Arial"/>
          <w:color w:val="000000"/>
        </w:rPr>
        <w:t xml:space="preserve">. </w:t>
      </w:r>
      <w:r w:rsidRPr="000D0CFC">
        <w:rPr>
          <w:rFonts w:eastAsia="Times New Roman" w:cs="Arial"/>
          <w:color w:val="000000"/>
          <w:lang w:eastAsia="bg-BG"/>
        </w:rPr>
        <w:t xml:space="preserve">за десет дни. При анализа на всички лекувани пациенти </w:t>
      </w:r>
      <w:r w:rsidRPr="000D0CFC">
        <w:rPr>
          <w:rFonts w:eastAsia="Times New Roman" w:cs="Arial"/>
          <w:i/>
          <w:iCs/>
          <w:color w:val="000000"/>
          <w:lang w:eastAsia="bg-BG"/>
        </w:rPr>
        <w:t xml:space="preserve">Н. </w:t>
      </w:r>
      <w:proofErr w:type="gramStart"/>
      <w:r w:rsidRPr="000D0CFC">
        <w:rPr>
          <w:rFonts w:eastAsia="Times New Roman" w:cs="Arial"/>
          <w:i/>
          <w:iCs/>
          <w:color w:val="000000"/>
          <w:lang w:val="en-US"/>
        </w:rPr>
        <w:t>pylori</w:t>
      </w:r>
      <w:proofErr w:type="gramEnd"/>
      <w:r w:rsidRPr="000D0CFC">
        <w:rPr>
          <w:rFonts w:eastAsia="Times New Roman" w:cs="Arial"/>
          <w:i/>
          <w:iCs/>
          <w:color w:val="000000"/>
          <w:lang w:val="ru-RU"/>
        </w:rPr>
        <w:t xml:space="preserve"> </w:t>
      </w:r>
      <w:r w:rsidRPr="000D0CFC">
        <w:rPr>
          <w:rFonts w:eastAsia="Times New Roman" w:cs="Arial"/>
          <w:i/>
          <w:iCs/>
          <w:color w:val="000000"/>
          <w:lang w:eastAsia="bg-BG"/>
        </w:rPr>
        <w:t>е</w:t>
      </w:r>
      <w:r w:rsidRPr="000D0CFC">
        <w:rPr>
          <w:rFonts w:eastAsia="Times New Roman" w:cs="Arial"/>
          <w:color w:val="000000"/>
          <w:lang w:eastAsia="bg-BG"/>
        </w:rPr>
        <w:t xml:space="preserve"> ерадикиран при 91% от пациентите.</w:t>
      </w:r>
    </w:p>
    <w:p w14:paraId="3A99F15C" w14:textId="77165F3F" w:rsidR="000D0CFC" w:rsidRPr="000D0CFC" w:rsidRDefault="000D0CFC" w:rsidP="000D0CFC"/>
    <w:p w14:paraId="5C51B4CC" w14:textId="5F280219" w:rsidR="00426E5F" w:rsidRDefault="002C50EE" w:rsidP="00A65A81">
      <w:pPr>
        <w:pStyle w:val="Heading2"/>
      </w:pPr>
      <w:r>
        <w:t>5.2. Фармакокинетични свойства</w:t>
      </w:r>
    </w:p>
    <w:p w14:paraId="1CE5541F" w14:textId="24D8F757" w:rsidR="000D0CFC" w:rsidRDefault="000D0CFC" w:rsidP="000D0CFC"/>
    <w:p w14:paraId="210D7104" w14:textId="77777777" w:rsidR="000D0CFC" w:rsidRPr="00032D2C" w:rsidRDefault="000D0CFC" w:rsidP="00032D2C">
      <w:pPr>
        <w:pStyle w:val="Heading3"/>
        <w:rPr>
          <w:rFonts w:eastAsia="Times New Roman"/>
          <w:u w:val="single"/>
        </w:rPr>
      </w:pPr>
      <w:r w:rsidRPr="00032D2C">
        <w:rPr>
          <w:rFonts w:eastAsia="Times New Roman"/>
          <w:u w:val="single"/>
          <w:lang w:eastAsia="bg-BG"/>
        </w:rPr>
        <w:t>Абсорбция</w:t>
      </w:r>
    </w:p>
    <w:p w14:paraId="6BC771B3" w14:textId="77777777" w:rsidR="000D0CFC" w:rsidRPr="000D0CFC" w:rsidRDefault="000D0CFC" w:rsidP="000D0CFC">
      <w:pPr>
        <w:spacing w:line="240" w:lineRule="auto"/>
        <w:rPr>
          <w:rFonts w:eastAsia="Times New Roman" w:cs="Arial"/>
          <w:color w:val="000000"/>
          <w:lang w:eastAsia="bg-BG"/>
        </w:rPr>
      </w:pPr>
    </w:p>
    <w:p w14:paraId="1BB55A3B" w14:textId="6A161243"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Кинетиката на орално приложен кларитромицин е широко проучена при няколко животински вида и при възрастни хора. Тези проучвания показват, че кларитромицин се абсорбира лесно и бързо с абсолютна бионаличност приблизително 50%. Открита е ниска или липсваща непредвидена акумулация, а метаболитната диспозиция не се променя при нито един от видовете след множествено дозиране. Приемът на храна непосредствено преди дозирането повишава</w:t>
      </w:r>
    </w:p>
    <w:p w14:paraId="3295826C" w14:textId="7248864D" w:rsidR="000D0CFC" w:rsidRPr="000D0CFC" w:rsidRDefault="000D0CFC" w:rsidP="000D0CFC">
      <w:pPr>
        <w:rPr>
          <w:rFonts w:eastAsia="Times New Roman" w:cs="Arial"/>
          <w:color w:val="000000"/>
          <w:lang w:eastAsia="bg-BG"/>
        </w:rPr>
      </w:pPr>
      <w:r w:rsidRPr="000D0CFC">
        <w:rPr>
          <w:rFonts w:eastAsia="Times New Roman" w:cs="Arial"/>
          <w:color w:val="000000"/>
          <w:lang w:eastAsia="bg-BG"/>
        </w:rPr>
        <w:t>бионаличностга на кларитромицин средно с 25%. Като цяло това повишението слабо и трябва да има малка клинична значимост при препоръчаните режими на дозиране. Следователно кларитромицин може да бъде прилаган при наличие или отсъствие на храна.</w:t>
      </w:r>
    </w:p>
    <w:p w14:paraId="63552E0F" w14:textId="55D4D97A" w:rsidR="000D0CFC" w:rsidRPr="000D0CFC" w:rsidRDefault="000D0CFC" w:rsidP="000D0CFC">
      <w:pPr>
        <w:rPr>
          <w:rFonts w:eastAsia="Times New Roman" w:cs="Arial"/>
          <w:color w:val="000000"/>
          <w:lang w:eastAsia="bg-BG"/>
        </w:rPr>
      </w:pPr>
    </w:p>
    <w:p w14:paraId="6C5DC2D5" w14:textId="77777777" w:rsidR="000D0CFC" w:rsidRPr="00032D2C" w:rsidRDefault="000D0CFC" w:rsidP="00032D2C">
      <w:pPr>
        <w:pStyle w:val="Heading3"/>
        <w:rPr>
          <w:rFonts w:eastAsia="Times New Roman"/>
          <w:u w:val="single"/>
        </w:rPr>
      </w:pPr>
      <w:r w:rsidRPr="00032D2C">
        <w:rPr>
          <w:rFonts w:eastAsia="Times New Roman"/>
          <w:u w:val="single"/>
          <w:lang w:eastAsia="bg-BG"/>
        </w:rPr>
        <w:t>Разпределение, биотрансформация и елиминиране</w:t>
      </w:r>
    </w:p>
    <w:p w14:paraId="22030CFD" w14:textId="77777777" w:rsidR="000D0CFC" w:rsidRPr="000D0CFC" w:rsidRDefault="000D0CFC" w:rsidP="000D0CFC">
      <w:pPr>
        <w:spacing w:line="240" w:lineRule="auto"/>
        <w:rPr>
          <w:rFonts w:eastAsia="Times New Roman" w:cs="Arial"/>
          <w:i/>
          <w:iCs/>
          <w:color w:val="000000"/>
          <w:lang w:val="en-US"/>
        </w:rPr>
      </w:pPr>
    </w:p>
    <w:p w14:paraId="640845A9" w14:textId="73370D38"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val="en-US"/>
        </w:rPr>
        <w:t>In</w:t>
      </w:r>
      <w:r w:rsidRPr="000D0CFC">
        <w:rPr>
          <w:rFonts w:eastAsia="Times New Roman" w:cs="Arial"/>
          <w:i/>
          <w:iCs/>
          <w:color w:val="000000"/>
          <w:lang w:val="ru-RU"/>
        </w:rPr>
        <w:t xml:space="preserve"> </w:t>
      </w:r>
      <w:r w:rsidRPr="000D0CFC">
        <w:rPr>
          <w:rFonts w:eastAsia="Times New Roman" w:cs="Arial"/>
          <w:i/>
          <w:iCs/>
          <w:color w:val="000000"/>
          <w:lang w:val="en-US"/>
        </w:rPr>
        <w:t>vitro</w:t>
      </w:r>
    </w:p>
    <w:p w14:paraId="2C654DF8" w14:textId="77777777"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val="en-US"/>
        </w:rPr>
        <w:t>In</w:t>
      </w:r>
      <w:r w:rsidRPr="000D0CFC">
        <w:rPr>
          <w:rFonts w:eastAsia="Times New Roman" w:cs="Arial"/>
          <w:i/>
          <w:iCs/>
          <w:color w:val="000000"/>
          <w:lang w:val="ru-RU"/>
        </w:rPr>
        <w:t xml:space="preserve"> </w:t>
      </w:r>
      <w:r w:rsidRPr="000D0CFC">
        <w:rPr>
          <w:rFonts w:eastAsia="Times New Roman" w:cs="Arial"/>
          <w:i/>
          <w:iCs/>
          <w:color w:val="000000"/>
          <w:lang w:val="en-US"/>
        </w:rPr>
        <w:t>vitro</w:t>
      </w:r>
      <w:r w:rsidRPr="000D0CFC">
        <w:rPr>
          <w:rFonts w:eastAsia="Times New Roman" w:cs="Arial"/>
          <w:color w:val="000000"/>
          <w:lang w:val="ru-RU"/>
        </w:rPr>
        <w:t xml:space="preserve"> </w:t>
      </w:r>
      <w:r w:rsidRPr="000D0CFC">
        <w:rPr>
          <w:rFonts w:eastAsia="Times New Roman" w:cs="Arial"/>
          <w:color w:val="000000"/>
          <w:lang w:eastAsia="bg-BG"/>
        </w:rPr>
        <w:t xml:space="preserve">проучвания показват, че свързването на кларитромицин с протеини в човешката плазма, е средно около 70% при концентрации от 0,45 до 4,5 </w:t>
      </w:r>
      <w:proofErr w:type="spellStart"/>
      <w:r w:rsidRPr="000D0CFC">
        <w:rPr>
          <w:rFonts w:eastAsia="Times New Roman" w:cs="Arial"/>
          <w:color w:val="000000"/>
          <w:lang w:val="en-US"/>
        </w:rPr>
        <w:t>pg</w:t>
      </w:r>
      <w:proofErr w:type="spellEnd"/>
      <w:r w:rsidRPr="000D0CFC">
        <w:rPr>
          <w:rFonts w:eastAsia="Times New Roman" w:cs="Arial"/>
          <w:color w:val="000000"/>
          <w:lang w:val="ru-RU"/>
        </w:rPr>
        <w:t>/</w:t>
      </w:r>
      <w:r w:rsidRPr="000D0CFC">
        <w:rPr>
          <w:rFonts w:eastAsia="Times New Roman" w:cs="Arial"/>
          <w:color w:val="000000"/>
          <w:lang w:val="en-US"/>
        </w:rPr>
        <w:t>ml</w:t>
      </w:r>
      <w:r w:rsidRPr="000D0CFC">
        <w:rPr>
          <w:rFonts w:eastAsia="Times New Roman" w:cs="Arial"/>
          <w:color w:val="000000"/>
          <w:lang w:val="ru-RU"/>
        </w:rPr>
        <w:t xml:space="preserve">. </w:t>
      </w:r>
      <w:r w:rsidRPr="000D0CFC">
        <w:rPr>
          <w:rFonts w:eastAsia="Times New Roman" w:cs="Arial"/>
          <w:color w:val="000000"/>
          <w:lang w:eastAsia="bg-BG"/>
        </w:rPr>
        <w:t xml:space="preserve">Понижение в свързването до 41% при 45,0 </w:t>
      </w:r>
      <w:r w:rsidRPr="000D0CFC">
        <w:rPr>
          <w:rFonts w:eastAsia="Times New Roman" w:cs="Arial"/>
          <w:color w:val="000000"/>
          <w:lang w:val="en-US"/>
        </w:rPr>
        <w:t>jig</w:t>
      </w:r>
      <w:r w:rsidRPr="000D0CFC">
        <w:rPr>
          <w:rFonts w:eastAsia="Times New Roman" w:cs="Arial"/>
          <w:color w:val="000000"/>
          <w:lang w:val="ru-RU"/>
        </w:rPr>
        <w:t>/</w:t>
      </w:r>
      <w:r w:rsidRPr="000D0CFC">
        <w:rPr>
          <w:rFonts w:eastAsia="Times New Roman" w:cs="Arial"/>
          <w:color w:val="000000"/>
          <w:lang w:val="en-US"/>
        </w:rPr>
        <w:t>ml</w:t>
      </w:r>
      <w:r w:rsidRPr="000D0CFC">
        <w:rPr>
          <w:rFonts w:eastAsia="Times New Roman" w:cs="Arial"/>
          <w:color w:val="000000"/>
          <w:lang w:val="ru-RU"/>
        </w:rPr>
        <w:t xml:space="preserve"> </w:t>
      </w:r>
      <w:r w:rsidRPr="000D0CFC">
        <w:rPr>
          <w:rFonts w:eastAsia="Times New Roman" w:cs="Arial"/>
          <w:color w:val="000000"/>
          <w:lang w:eastAsia="bg-BG"/>
        </w:rPr>
        <w:t>предполага, че местата на свързване могат да бъдат наситени, но това се случва само при концентрации, далеч надхвърлящи терапевтичните лекарствени нива.</w:t>
      </w:r>
    </w:p>
    <w:p w14:paraId="5B875E3C" w14:textId="77777777" w:rsidR="000D0CFC" w:rsidRPr="000D0CFC" w:rsidRDefault="000D0CFC" w:rsidP="000D0CFC">
      <w:pPr>
        <w:spacing w:line="240" w:lineRule="auto"/>
        <w:rPr>
          <w:rFonts w:eastAsia="Times New Roman" w:cs="Arial"/>
          <w:i/>
          <w:iCs/>
          <w:color w:val="000000"/>
          <w:lang w:val="en-US"/>
        </w:rPr>
      </w:pPr>
    </w:p>
    <w:p w14:paraId="456CFA4F" w14:textId="20403D96"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val="en-US"/>
        </w:rPr>
        <w:t>In</w:t>
      </w:r>
      <w:r w:rsidRPr="000D0CFC">
        <w:rPr>
          <w:rFonts w:eastAsia="Times New Roman" w:cs="Arial"/>
          <w:i/>
          <w:iCs/>
          <w:color w:val="000000"/>
          <w:lang w:val="ru-RU"/>
        </w:rPr>
        <w:t xml:space="preserve"> </w:t>
      </w:r>
      <w:r w:rsidRPr="000D0CFC">
        <w:rPr>
          <w:rFonts w:eastAsia="Times New Roman" w:cs="Arial"/>
          <w:i/>
          <w:iCs/>
          <w:color w:val="000000"/>
          <w:lang w:val="en-US"/>
        </w:rPr>
        <w:t>vivo</w:t>
      </w:r>
    </w:p>
    <w:p w14:paraId="00CB9307"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Резултати от проучвания с животни показват, че нивата на кларитромицин във всички тъкани, с изключение на централната нервна система, са няколко пъти по-високи от циркулиращите лекарствени нива. Най-високите концентрации обикновено се откриват в черния дроб и белите дробове, където отношенията тъкан към плазма (Т/Р) достигат 10 до 20.</w:t>
      </w:r>
    </w:p>
    <w:p w14:paraId="67075B23" w14:textId="77777777" w:rsidR="000D0CFC" w:rsidRPr="000D0CFC" w:rsidRDefault="000D0CFC" w:rsidP="000D0CFC">
      <w:pPr>
        <w:spacing w:line="240" w:lineRule="auto"/>
        <w:rPr>
          <w:rFonts w:eastAsia="Times New Roman" w:cs="Arial"/>
          <w:i/>
          <w:iCs/>
          <w:color w:val="000000"/>
          <w:lang w:eastAsia="bg-BG"/>
        </w:rPr>
      </w:pPr>
    </w:p>
    <w:p w14:paraId="1CD41D5B" w14:textId="1B2EA1F1"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t>Здрави индивиди</w:t>
      </w:r>
    </w:p>
    <w:p w14:paraId="1076ED2D"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С дозиране два пъти на ден от 250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пикова плазмена концентрация в равновесно состояние се достига за два до три дни и средно е 1 </w:t>
      </w:r>
      <w:proofErr w:type="spellStart"/>
      <w:r w:rsidRPr="000D0CFC">
        <w:rPr>
          <w:rFonts w:eastAsia="Times New Roman" w:cs="Arial"/>
          <w:color w:val="000000"/>
          <w:lang w:val="en-US"/>
        </w:rPr>
        <w:t>pg</w:t>
      </w:r>
      <w:proofErr w:type="spellEnd"/>
      <w:r w:rsidRPr="000D0CFC">
        <w:rPr>
          <w:rFonts w:eastAsia="Times New Roman" w:cs="Arial"/>
          <w:color w:val="000000"/>
          <w:lang w:val="ru-RU"/>
        </w:rPr>
        <w:t>/</w:t>
      </w:r>
      <w:r w:rsidRPr="000D0CFC">
        <w:rPr>
          <w:rFonts w:eastAsia="Times New Roman" w:cs="Arial"/>
          <w:color w:val="000000"/>
          <w:lang w:val="en-US"/>
        </w:rPr>
        <w:t>ml</w:t>
      </w:r>
      <w:r w:rsidRPr="000D0CFC">
        <w:rPr>
          <w:rFonts w:eastAsia="Times New Roman" w:cs="Arial"/>
          <w:color w:val="000000"/>
          <w:lang w:val="ru-RU"/>
        </w:rPr>
        <w:t xml:space="preserve"> </w:t>
      </w:r>
      <w:r w:rsidRPr="000D0CFC">
        <w:rPr>
          <w:rFonts w:eastAsia="Times New Roman" w:cs="Arial"/>
          <w:color w:val="000000"/>
          <w:lang w:eastAsia="bg-BG"/>
        </w:rPr>
        <w:t xml:space="preserve">за кларитромицин и 0,6 </w:t>
      </w:r>
      <w:proofErr w:type="spellStart"/>
      <w:r w:rsidRPr="000D0CFC">
        <w:rPr>
          <w:rFonts w:eastAsia="Times New Roman" w:cs="Arial"/>
          <w:color w:val="000000"/>
          <w:lang w:val="en-US"/>
        </w:rPr>
        <w:t>pg</w:t>
      </w:r>
      <w:proofErr w:type="spellEnd"/>
      <w:r w:rsidRPr="000D0CFC">
        <w:rPr>
          <w:rFonts w:eastAsia="Times New Roman" w:cs="Arial"/>
          <w:color w:val="000000"/>
          <w:lang w:val="ru-RU"/>
        </w:rPr>
        <w:t>/</w:t>
      </w:r>
      <w:r w:rsidRPr="000D0CFC">
        <w:rPr>
          <w:rFonts w:eastAsia="Times New Roman" w:cs="Arial"/>
          <w:color w:val="000000"/>
          <w:lang w:val="en-US"/>
        </w:rPr>
        <w:t>ml</w:t>
      </w:r>
      <w:r w:rsidRPr="000D0CFC">
        <w:rPr>
          <w:rFonts w:eastAsia="Times New Roman" w:cs="Arial"/>
          <w:color w:val="000000"/>
          <w:lang w:val="ru-RU"/>
        </w:rPr>
        <w:t xml:space="preserve"> </w:t>
      </w:r>
      <w:r w:rsidRPr="000D0CFC">
        <w:rPr>
          <w:rFonts w:eastAsia="Times New Roman" w:cs="Arial"/>
          <w:color w:val="000000"/>
          <w:lang w:eastAsia="bg-BG"/>
        </w:rPr>
        <w:t xml:space="preserve">за 14-ОН- кларитромицин, докато елиминационните полуживоти на изходното лекарство и метаболита са три до четири часа и пет до шест часа, съответно. С дозиране два пъти дневно на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val="en-US"/>
        </w:rPr>
        <w:t>Cm</w:t>
      </w:r>
      <w:r w:rsidRPr="000D0CFC">
        <w:rPr>
          <w:rFonts w:eastAsia="Times New Roman" w:cs="Arial"/>
          <w:color w:val="000000"/>
          <w:lang w:val="ru-RU"/>
        </w:rPr>
        <w:t xml:space="preserve">» </w:t>
      </w:r>
      <w:r w:rsidRPr="000D0CFC">
        <w:rPr>
          <w:rFonts w:eastAsia="Times New Roman" w:cs="Arial"/>
          <w:color w:val="000000"/>
          <w:lang w:eastAsia="bg-BG"/>
        </w:rPr>
        <w:t xml:space="preserve">в равновесно състояние за кларитромицин и за неговия хидроксилиран метаболит е получена с петата доза. След петата и седмата дози Спих в равновесно състояние за кларитромицин е средно 2,7 и 2,9 </w:t>
      </w:r>
      <w:proofErr w:type="spellStart"/>
      <w:r w:rsidRPr="000D0CFC">
        <w:rPr>
          <w:rFonts w:eastAsia="Times New Roman" w:cs="Arial"/>
          <w:color w:val="000000"/>
          <w:lang w:val="en-US"/>
        </w:rPr>
        <w:t>pg</w:t>
      </w:r>
      <w:proofErr w:type="spellEnd"/>
      <w:r w:rsidRPr="000D0CFC">
        <w:rPr>
          <w:rFonts w:eastAsia="Times New Roman" w:cs="Arial"/>
          <w:color w:val="000000"/>
          <w:lang w:val="ru-RU"/>
        </w:rPr>
        <w:t>/</w:t>
      </w:r>
      <w:r w:rsidRPr="000D0CFC">
        <w:rPr>
          <w:rFonts w:eastAsia="Times New Roman" w:cs="Arial"/>
          <w:color w:val="000000"/>
          <w:lang w:val="en-US"/>
        </w:rPr>
        <w:t>ml</w:t>
      </w:r>
      <w:r w:rsidRPr="000D0CFC">
        <w:rPr>
          <w:rFonts w:eastAsia="Times New Roman" w:cs="Arial"/>
          <w:color w:val="000000"/>
          <w:lang w:val="ru-RU"/>
        </w:rPr>
        <w:t xml:space="preserve">; </w:t>
      </w:r>
      <w:r w:rsidRPr="000D0CFC">
        <w:rPr>
          <w:rFonts w:eastAsia="Times New Roman" w:cs="Arial"/>
          <w:color w:val="000000"/>
          <w:lang w:eastAsia="bg-BG"/>
        </w:rPr>
        <w:t xml:space="preserve">за неговия хидроксилиран метаболит е средно 0,88 и 0,83 </w:t>
      </w:r>
      <w:r w:rsidRPr="000D0CFC">
        <w:rPr>
          <w:rFonts w:eastAsia="Times New Roman" w:cs="Arial"/>
          <w:color w:val="000000"/>
          <w:lang w:val="en-US"/>
        </w:rPr>
        <w:t>gg</w:t>
      </w:r>
      <w:r w:rsidRPr="000D0CFC">
        <w:rPr>
          <w:rFonts w:eastAsia="Times New Roman" w:cs="Arial"/>
          <w:color w:val="000000"/>
          <w:lang w:val="ru-RU"/>
        </w:rPr>
        <w:t>/</w:t>
      </w:r>
      <w:r w:rsidRPr="000D0CFC">
        <w:rPr>
          <w:rFonts w:eastAsia="Times New Roman" w:cs="Arial"/>
          <w:color w:val="000000"/>
          <w:lang w:val="en-US"/>
        </w:rPr>
        <w:t>ml</w:t>
      </w:r>
      <w:r w:rsidRPr="000D0CFC">
        <w:rPr>
          <w:rFonts w:eastAsia="Times New Roman" w:cs="Arial"/>
          <w:color w:val="000000"/>
          <w:lang w:val="ru-RU"/>
        </w:rPr>
        <w:t xml:space="preserve">, </w:t>
      </w:r>
      <w:r w:rsidRPr="000D0CFC">
        <w:rPr>
          <w:rFonts w:eastAsia="Times New Roman" w:cs="Arial"/>
          <w:color w:val="000000"/>
          <w:lang w:eastAsia="bg-BG"/>
        </w:rPr>
        <w:t xml:space="preserve">съответно. Полуживотът на изходното лекарство при дозово ниво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е 4,5 до 4,8 часа, докато този на 14- ОН-</w:t>
      </w:r>
      <w:r w:rsidRPr="000D0CFC">
        <w:rPr>
          <w:rFonts w:eastAsia="Times New Roman" w:cs="Arial"/>
          <w:color w:val="000000"/>
          <w:lang w:eastAsia="bg-BG"/>
        </w:rPr>
        <w:lastRenderedPageBreak/>
        <w:t xml:space="preserve">кларитромицин е 6,9 до 8,7 часа. В равновесно състояние нивата на 14-ОН-кларитромицин не се повишават пропорционално на дозата кларитромицин, а полуживота на кларитромицин и неговия хидроксилиран метаболит е с тенденция да бъдат по-дълги при по-високи дози. Това нелинейно фармакокинетично поведение на кларитромицин заедно с общото понижение във формирането на 14-хидроксилирани и </w:t>
      </w:r>
      <w:r w:rsidRPr="000D0CFC">
        <w:rPr>
          <w:rFonts w:eastAsia="Times New Roman" w:cs="Arial"/>
          <w:color w:val="000000"/>
          <w:lang w:val="en-US"/>
        </w:rPr>
        <w:t>N</w:t>
      </w:r>
      <w:r w:rsidRPr="000D0CFC">
        <w:rPr>
          <w:rFonts w:eastAsia="Times New Roman" w:cs="Arial"/>
          <w:color w:val="000000"/>
          <w:lang w:eastAsia="bg-BG"/>
        </w:rPr>
        <w:t>-деметилирани продукти при по-високи дози показва, че нелинейният метаболизъм на кларитромицин става по-силно изразен при по-високи дози.</w:t>
      </w:r>
    </w:p>
    <w:p w14:paraId="45925E0B" w14:textId="77777777" w:rsidR="000D0CFC" w:rsidRPr="000D0CFC" w:rsidRDefault="000D0CFC" w:rsidP="000D0CFC">
      <w:pPr>
        <w:spacing w:line="240" w:lineRule="auto"/>
        <w:rPr>
          <w:rFonts w:eastAsia="Times New Roman" w:cs="Arial"/>
          <w:color w:val="000000"/>
          <w:lang w:eastAsia="bg-BG"/>
        </w:rPr>
      </w:pPr>
    </w:p>
    <w:p w14:paraId="3D759068" w14:textId="56F30EFA"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При възрастни хора, на които са давани единични орални дози от 250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или 1 200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кларитромицин, уринната екскреция представлява 37,9% за по-ниската доза и 46,0% за по- високата доза. Фекалната елиминация представлява 40,2% и 29,1% (това включва индивид със само една фекална проба, съдържаща 14,1%) от тези съответни дози.</w:t>
      </w:r>
    </w:p>
    <w:p w14:paraId="48F76BE5" w14:textId="77777777" w:rsidR="000D0CFC" w:rsidRPr="000D0CFC" w:rsidRDefault="000D0CFC" w:rsidP="000D0CFC">
      <w:pPr>
        <w:spacing w:line="240" w:lineRule="auto"/>
        <w:rPr>
          <w:rFonts w:eastAsia="Times New Roman" w:cs="Arial"/>
          <w:i/>
          <w:iCs/>
          <w:color w:val="000000"/>
          <w:lang w:eastAsia="bg-BG"/>
        </w:rPr>
      </w:pPr>
    </w:p>
    <w:p w14:paraId="6231B8B0" w14:textId="638D90C3"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t>Пациенти</w:t>
      </w:r>
    </w:p>
    <w:p w14:paraId="2887246F" w14:textId="793D5665" w:rsidR="000D0CFC" w:rsidRDefault="000D0CFC" w:rsidP="000D0CFC">
      <w:pPr>
        <w:spacing w:line="240" w:lineRule="auto"/>
        <w:rPr>
          <w:rFonts w:eastAsia="Times New Roman" w:cs="Arial"/>
          <w:color w:val="000000"/>
          <w:lang w:eastAsia="bg-BG"/>
        </w:rPr>
      </w:pPr>
      <w:r w:rsidRPr="000D0CFC">
        <w:rPr>
          <w:rFonts w:eastAsia="Times New Roman" w:cs="Arial"/>
          <w:color w:val="000000"/>
          <w:lang w:eastAsia="bg-BG"/>
        </w:rPr>
        <w:t>Кларитромицин и неговият 14-ОН метаболит се разпределят лесно в телесните тъкани и течности. Ограничени данни от малък брой пациенти предполагат, че кларитромицин не достига значими нива в цереброспиналната течност след орални дози (т.е., само 1 до 2% от серумните нива в цереброспиналната течност при пациенти с нормална крьвно-ликворна бариера). Концентрациите в тъканите обикновено са няколко пъти по-високи от серумните концентрации. Примери за тъканните и серумните концентрации са представени по-долу:</w:t>
      </w:r>
    </w:p>
    <w:p w14:paraId="4128495E" w14:textId="41936B8C" w:rsidR="000D0CFC" w:rsidRDefault="000D0CFC" w:rsidP="000D0CFC">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3122"/>
        <w:gridCol w:w="3113"/>
        <w:gridCol w:w="3115"/>
      </w:tblGrid>
      <w:tr w:rsidR="000D0CFC" w14:paraId="5F9B6840" w14:textId="77777777" w:rsidTr="000D0CFC">
        <w:tc>
          <w:tcPr>
            <w:tcW w:w="9576" w:type="dxa"/>
            <w:gridSpan w:val="3"/>
          </w:tcPr>
          <w:p w14:paraId="58B62AF9" w14:textId="139CE123" w:rsidR="000D0CFC" w:rsidRPr="000D0CFC" w:rsidRDefault="000D0CFC" w:rsidP="000D0CFC">
            <w:pPr>
              <w:spacing w:line="240" w:lineRule="auto"/>
              <w:jc w:val="center"/>
              <w:rPr>
                <w:rFonts w:eastAsia="Times New Roman" w:cs="Arial"/>
                <w:sz w:val="24"/>
                <w:szCs w:val="24"/>
              </w:rPr>
            </w:pPr>
            <w:r w:rsidRPr="000D0CFC">
              <w:rPr>
                <w:rFonts w:eastAsia="Times New Roman" w:cs="Arial"/>
                <w:b/>
                <w:bCs/>
                <w:color w:val="000000"/>
                <w:lang w:eastAsia="bg-BG"/>
              </w:rPr>
              <w:t xml:space="preserve">КОНЦЕНТРАЦИЯ </w:t>
            </w:r>
            <w:r w:rsidRPr="000D0CFC">
              <w:rPr>
                <w:rFonts w:eastAsia="Times New Roman" w:cs="Arial"/>
                <w:color w:val="000000"/>
                <w:lang w:eastAsia="bg-BG"/>
              </w:rPr>
              <w:t xml:space="preserve">(след 250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на всеки 12 часа)</w:t>
            </w:r>
          </w:p>
        </w:tc>
      </w:tr>
      <w:tr w:rsidR="000D0CFC" w14:paraId="205CDED2" w14:textId="77777777" w:rsidTr="000D0CFC">
        <w:tc>
          <w:tcPr>
            <w:tcW w:w="3192" w:type="dxa"/>
            <w:vAlign w:val="center"/>
          </w:tcPr>
          <w:p w14:paraId="67FB3843" w14:textId="5A531F0C" w:rsidR="000D0CFC" w:rsidRDefault="000D0CFC" w:rsidP="000D0CFC">
            <w:pPr>
              <w:rPr>
                <w:rFonts w:eastAsia="Times New Roman" w:cs="Arial"/>
                <w:sz w:val="24"/>
                <w:szCs w:val="24"/>
              </w:rPr>
            </w:pPr>
            <w:r>
              <w:t>Вид тъкан</w:t>
            </w:r>
          </w:p>
        </w:tc>
        <w:tc>
          <w:tcPr>
            <w:tcW w:w="3192" w:type="dxa"/>
            <w:vAlign w:val="bottom"/>
          </w:tcPr>
          <w:p w14:paraId="41DAFB42" w14:textId="77777777" w:rsidR="000D0CFC" w:rsidRDefault="000D0CFC" w:rsidP="000D0CFC">
            <w:r>
              <w:t>Тъкан</w:t>
            </w:r>
          </w:p>
          <w:p w14:paraId="2BAA5A74" w14:textId="08E5DC09" w:rsidR="000D0CFC" w:rsidRDefault="000D0CFC" w:rsidP="000D0CFC">
            <w:pPr>
              <w:rPr>
                <w:rFonts w:eastAsia="Times New Roman" w:cs="Arial"/>
                <w:sz w:val="24"/>
                <w:szCs w:val="24"/>
              </w:rPr>
            </w:pPr>
            <w:r>
              <w:rPr>
                <w:lang w:val="en-US"/>
              </w:rPr>
              <w:t>(</w:t>
            </w:r>
            <w:r>
              <w:t>μ</w:t>
            </w:r>
            <w:r>
              <w:rPr>
                <w:lang w:val="en-US"/>
              </w:rPr>
              <w:t>g/g)</w:t>
            </w:r>
          </w:p>
        </w:tc>
        <w:tc>
          <w:tcPr>
            <w:tcW w:w="3192" w:type="dxa"/>
            <w:vAlign w:val="bottom"/>
          </w:tcPr>
          <w:p w14:paraId="415CCE23" w14:textId="7536FC90" w:rsidR="000D0CFC" w:rsidRDefault="000D0CFC" w:rsidP="000D0CFC">
            <w:pPr>
              <w:rPr>
                <w:rFonts w:eastAsia="Times New Roman" w:cs="Arial"/>
                <w:sz w:val="24"/>
                <w:szCs w:val="24"/>
              </w:rPr>
            </w:pPr>
            <w:r>
              <w:t xml:space="preserve">Серум </w:t>
            </w:r>
            <w:r>
              <w:rPr>
                <w:lang w:val="en-US"/>
              </w:rPr>
              <w:t>(</w:t>
            </w:r>
            <w:r>
              <w:t>μ</w:t>
            </w:r>
            <w:r>
              <w:rPr>
                <w:lang w:val="en-US"/>
              </w:rPr>
              <w:t>g/ml)</w:t>
            </w:r>
          </w:p>
        </w:tc>
      </w:tr>
      <w:tr w:rsidR="000D0CFC" w14:paraId="68FD8723" w14:textId="77777777" w:rsidTr="000D0CFC">
        <w:tc>
          <w:tcPr>
            <w:tcW w:w="3192" w:type="dxa"/>
            <w:vAlign w:val="bottom"/>
          </w:tcPr>
          <w:p w14:paraId="25DCEA6B" w14:textId="59842276" w:rsidR="000D0CFC" w:rsidRDefault="000D0CFC" w:rsidP="000D0CFC">
            <w:pPr>
              <w:rPr>
                <w:rFonts w:eastAsia="Times New Roman" w:cs="Arial"/>
                <w:sz w:val="24"/>
                <w:szCs w:val="24"/>
              </w:rPr>
            </w:pPr>
            <w:r>
              <w:t>Сливица</w:t>
            </w:r>
          </w:p>
        </w:tc>
        <w:tc>
          <w:tcPr>
            <w:tcW w:w="3192" w:type="dxa"/>
            <w:vAlign w:val="bottom"/>
          </w:tcPr>
          <w:p w14:paraId="2719D354" w14:textId="3D2AF657" w:rsidR="000D0CFC" w:rsidRDefault="000D0CFC" w:rsidP="000D0CFC">
            <w:pPr>
              <w:rPr>
                <w:rFonts w:eastAsia="Times New Roman" w:cs="Arial"/>
                <w:sz w:val="24"/>
                <w:szCs w:val="24"/>
              </w:rPr>
            </w:pPr>
            <w:r>
              <w:t>1,6</w:t>
            </w:r>
          </w:p>
        </w:tc>
        <w:tc>
          <w:tcPr>
            <w:tcW w:w="3192" w:type="dxa"/>
            <w:vAlign w:val="bottom"/>
          </w:tcPr>
          <w:p w14:paraId="24CD09CB" w14:textId="3439298B" w:rsidR="000D0CFC" w:rsidRDefault="000D0CFC" w:rsidP="000D0CFC">
            <w:pPr>
              <w:rPr>
                <w:rFonts w:eastAsia="Times New Roman" w:cs="Arial"/>
                <w:sz w:val="24"/>
                <w:szCs w:val="24"/>
              </w:rPr>
            </w:pPr>
            <w:r>
              <w:t>0,8</w:t>
            </w:r>
          </w:p>
        </w:tc>
      </w:tr>
      <w:tr w:rsidR="000D0CFC" w14:paraId="56EE1A55" w14:textId="77777777" w:rsidTr="000D0CFC">
        <w:tc>
          <w:tcPr>
            <w:tcW w:w="3192" w:type="dxa"/>
            <w:vAlign w:val="bottom"/>
          </w:tcPr>
          <w:p w14:paraId="6136341C" w14:textId="0FFB8D58" w:rsidR="000D0CFC" w:rsidRDefault="000D0CFC" w:rsidP="000D0CFC">
            <w:pPr>
              <w:rPr>
                <w:rFonts w:eastAsia="Times New Roman" w:cs="Arial"/>
                <w:sz w:val="24"/>
                <w:szCs w:val="24"/>
              </w:rPr>
            </w:pPr>
            <w:r>
              <w:t>Бял дроб</w:t>
            </w:r>
          </w:p>
        </w:tc>
        <w:tc>
          <w:tcPr>
            <w:tcW w:w="3192" w:type="dxa"/>
            <w:vAlign w:val="bottom"/>
          </w:tcPr>
          <w:p w14:paraId="777A13AC" w14:textId="406A2643" w:rsidR="000D0CFC" w:rsidRDefault="000D0CFC" w:rsidP="000D0CFC">
            <w:pPr>
              <w:rPr>
                <w:rFonts w:eastAsia="Times New Roman" w:cs="Arial"/>
                <w:sz w:val="24"/>
                <w:szCs w:val="24"/>
              </w:rPr>
            </w:pPr>
            <w:r>
              <w:t>8,8</w:t>
            </w:r>
          </w:p>
        </w:tc>
        <w:tc>
          <w:tcPr>
            <w:tcW w:w="3192" w:type="dxa"/>
            <w:vAlign w:val="bottom"/>
          </w:tcPr>
          <w:p w14:paraId="2151B734" w14:textId="434AA225" w:rsidR="000D0CFC" w:rsidRDefault="000D0CFC" w:rsidP="000D0CFC">
            <w:pPr>
              <w:rPr>
                <w:rFonts w:eastAsia="Times New Roman" w:cs="Arial"/>
                <w:sz w:val="24"/>
                <w:szCs w:val="24"/>
              </w:rPr>
            </w:pPr>
            <w:r>
              <w:t>1,7</w:t>
            </w:r>
          </w:p>
        </w:tc>
      </w:tr>
    </w:tbl>
    <w:p w14:paraId="4F91AFE0" w14:textId="213B3C10" w:rsidR="000D0CFC" w:rsidRDefault="000D0CFC" w:rsidP="000D0CFC">
      <w:pPr>
        <w:spacing w:line="240" w:lineRule="auto"/>
        <w:rPr>
          <w:rFonts w:eastAsia="Times New Roman" w:cs="Arial"/>
          <w:sz w:val="24"/>
          <w:szCs w:val="24"/>
        </w:rPr>
      </w:pPr>
    </w:p>
    <w:p w14:paraId="6D9BEF96" w14:textId="77777777"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t>Чернодробно увреждане</w:t>
      </w:r>
    </w:p>
    <w:p w14:paraId="48A86A0A"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В проучване, сравняващо една група от здрави хора с група пациенти с чернодробно увреждане, на които се дават 250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кларитромицин </w:t>
      </w:r>
      <w:r w:rsidRPr="000D0CFC">
        <w:rPr>
          <w:rFonts w:eastAsia="Times New Roman" w:cs="Arial"/>
          <w:color w:val="000000"/>
          <w:lang w:val="en-US"/>
        </w:rPr>
        <w:t>b</w:t>
      </w:r>
      <w:r w:rsidRPr="000D0CFC">
        <w:rPr>
          <w:rFonts w:eastAsia="Times New Roman" w:cs="Arial"/>
          <w:color w:val="000000"/>
          <w:lang w:val="ru-RU"/>
        </w:rPr>
        <w:t>.</w:t>
      </w:r>
      <w:proofErr w:type="spellStart"/>
      <w:r w:rsidRPr="000D0CFC">
        <w:rPr>
          <w:rFonts w:eastAsia="Times New Roman" w:cs="Arial"/>
          <w:color w:val="000000"/>
          <w:lang w:val="en-US"/>
        </w:rPr>
        <w:t>i</w:t>
      </w:r>
      <w:proofErr w:type="spellEnd"/>
      <w:r w:rsidRPr="000D0CFC">
        <w:rPr>
          <w:rFonts w:eastAsia="Times New Roman" w:cs="Arial"/>
          <w:color w:val="000000"/>
          <w:lang w:val="ru-RU"/>
        </w:rPr>
        <w:t>.</w:t>
      </w:r>
      <w:r w:rsidRPr="000D0CFC">
        <w:rPr>
          <w:rFonts w:eastAsia="Times New Roman" w:cs="Arial"/>
          <w:color w:val="000000"/>
          <w:lang w:val="en-US"/>
        </w:rPr>
        <w:t>d</w:t>
      </w:r>
      <w:r w:rsidRPr="000D0CFC">
        <w:rPr>
          <w:rFonts w:eastAsia="Times New Roman" w:cs="Arial"/>
          <w:color w:val="000000"/>
          <w:lang w:val="ru-RU"/>
        </w:rPr>
        <w:t xml:space="preserve">. </w:t>
      </w:r>
      <w:r w:rsidRPr="000D0CFC">
        <w:rPr>
          <w:rFonts w:eastAsia="Times New Roman" w:cs="Arial"/>
          <w:color w:val="000000"/>
          <w:lang w:eastAsia="bg-BG"/>
        </w:rPr>
        <w:t xml:space="preserve">за два дни и единична доза от 250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на третия ден, плазмените нива в равновесно състояние и системният клирънс на кларитромицин не се различават значимо между двете групи. За разлика от това концентрациите в равновесно състояние на 14-ОН метаболита са подчертано по-ниски при групата с чернодробно увреждане. Този намален метаболитен клирънс на изходното вещество чрез 14-хидроксилиране частично се компенсира от повишение на бъбречния клирънс на изходното лекарство, което има за резултат сравними нива в равновесно състояние на изходното лекарство при чернодробно увредени и здрави индивиди. Тези резултати показват, че не е необходимо коригиране на дозировката при пациенти с умерено или тежко чернодробно увреждане, но с нормална бъбречна функция.</w:t>
      </w:r>
    </w:p>
    <w:p w14:paraId="51A6C68D" w14:textId="77777777" w:rsidR="000D0CFC" w:rsidRPr="000D0CFC" w:rsidRDefault="000D0CFC" w:rsidP="000D0CFC">
      <w:pPr>
        <w:spacing w:line="240" w:lineRule="auto"/>
        <w:rPr>
          <w:rFonts w:eastAsia="Times New Roman" w:cs="Arial"/>
          <w:i/>
          <w:iCs/>
          <w:color w:val="000000"/>
          <w:lang w:eastAsia="bg-BG"/>
        </w:rPr>
      </w:pPr>
    </w:p>
    <w:p w14:paraId="7FF8E176" w14:textId="31B396A3"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t>Бъбречно увреждане</w:t>
      </w:r>
    </w:p>
    <w:p w14:paraId="09EE7849"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Проведено е проучване за оценка и сравнение на фармакокинетичния профил на множествени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орални дози кларитромицин при индивиди с нормална и понижена бъбречна функция. Плазмените нива, полуживотьт, С</w:t>
      </w:r>
      <w:r w:rsidRPr="000D0CFC">
        <w:rPr>
          <w:rFonts w:eastAsia="Times New Roman" w:cs="Arial"/>
          <w:color w:val="000000"/>
          <w:vertAlign w:val="subscript"/>
          <w:lang w:val="en-US"/>
        </w:rPr>
        <w:t>max</w:t>
      </w:r>
      <w:r w:rsidRPr="000D0CFC">
        <w:rPr>
          <w:rFonts w:eastAsia="Times New Roman" w:cs="Arial"/>
          <w:color w:val="000000"/>
          <w:lang w:eastAsia="bg-BG"/>
        </w:rPr>
        <w:t xml:space="preserve"> и С</w:t>
      </w:r>
      <w:r w:rsidRPr="000D0CFC">
        <w:rPr>
          <w:rFonts w:eastAsia="Times New Roman" w:cs="Arial"/>
          <w:color w:val="000000"/>
          <w:vertAlign w:val="subscript"/>
          <w:lang w:val="en-US"/>
        </w:rPr>
        <w:t>min</w:t>
      </w:r>
      <w:r w:rsidRPr="000D0CFC">
        <w:rPr>
          <w:rFonts w:eastAsia="Times New Roman" w:cs="Arial"/>
          <w:color w:val="000000"/>
          <w:lang w:eastAsia="bg-BG"/>
        </w:rPr>
        <w:t xml:space="preserve">за кларитромицин и неговият 14-ОН метаболит са по- високи и </w:t>
      </w:r>
      <w:r w:rsidRPr="000D0CFC">
        <w:rPr>
          <w:rFonts w:eastAsia="Times New Roman" w:cs="Arial"/>
          <w:color w:val="000000"/>
          <w:lang w:val="en-US"/>
        </w:rPr>
        <w:t>AUC</w:t>
      </w:r>
      <w:r w:rsidRPr="000D0CFC">
        <w:rPr>
          <w:rFonts w:eastAsia="Times New Roman" w:cs="Arial"/>
          <w:color w:val="000000"/>
          <w:lang w:val="ru-RU"/>
        </w:rPr>
        <w:t xml:space="preserve"> </w:t>
      </w:r>
      <w:r w:rsidRPr="000D0CFC">
        <w:rPr>
          <w:rFonts w:eastAsia="Times New Roman" w:cs="Arial"/>
          <w:color w:val="000000"/>
          <w:lang w:eastAsia="bg-BG"/>
        </w:rPr>
        <w:t xml:space="preserve">(площ под кривата) е по-голяма при пациенти с бъбречно увреждане. </w:t>
      </w:r>
      <w:proofErr w:type="spellStart"/>
      <w:r w:rsidRPr="000D0CFC">
        <w:rPr>
          <w:rFonts w:eastAsia="Times New Roman" w:cs="Arial"/>
          <w:color w:val="000000"/>
          <w:lang w:val="en-US"/>
        </w:rPr>
        <w:t>K</w:t>
      </w:r>
      <w:r w:rsidRPr="000D0CFC">
        <w:rPr>
          <w:rFonts w:eastAsia="Times New Roman" w:cs="Arial"/>
          <w:color w:val="000000"/>
          <w:vertAlign w:val="subscript"/>
          <w:lang w:val="en-US"/>
        </w:rPr>
        <w:t>elim</w:t>
      </w:r>
      <w:proofErr w:type="spellEnd"/>
      <w:r w:rsidRPr="000D0CFC">
        <w:rPr>
          <w:rFonts w:eastAsia="Times New Roman" w:cs="Arial"/>
          <w:color w:val="000000"/>
          <w:lang w:val="ru-RU"/>
        </w:rPr>
        <w:t xml:space="preserve"> </w:t>
      </w:r>
      <w:r w:rsidRPr="000D0CFC">
        <w:rPr>
          <w:rFonts w:eastAsia="Times New Roman" w:cs="Arial"/>
          <w:color w:val="000000"/>
          <w:lang w:eastAsia="bg-BG"/>
        </w:rPr>
        <w:t>и уринната екскреция са по-ниски. Степента на разлика между тези параметри корелира със степента на бъбречно увреждане; колкото по-тежко е бъбречното увреждане, толкова по-значима е разликата (вж. точка 4.2).</w:t>
      </w:r>
    </w:p>
    <w:p w14:paraId="7A32E0AD" w14:textId="77777777" w:rsidR="000D0CFC" w:rsidRPr="000D0CFC" w:rsidRDefault="000D0CFC" w:rsidP="000D0CFC">
      <w:pPr>
        <w:spacing w:line="240" w:lineRule="auto"/>
        <w:rPr>
          <w:rFonts w:eastAsia="Times New Roman" w:cs="Arial"/>
          <w:i/>
          <w:iCs/>
          <w:color w:val="000000"/>
          <w:lang w:eastAsia="bg-BG"/>
        </w:rPr>
      </w:pPr>
    </w:p>
    <w:p w14:paraId="1C894B48" w14:textId="061BF92D"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lastRenderedPageBreak/>
        <w:t>Пациенти в старческа възраст</w:t>
      </w:r>
    </w:p>
    <w:p w14:paraId="5A19DCED"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Проведено е също проучване за оценка и сравнение на безопасността и фармакокинетичните профили на множествени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орални дози кларитромицин при здрави мъже и жени с старческа възраст спрямо тези при здрави млади мъже. В групата от пациенти в старческа възраст циркулиращите плазмени нива са по-високи, а елиминацията е по-бавна, отколкото при по- младата група, както за изходното лекарство, така и за 14-ОН метаболита. Все пак, няма разлика между двете групи, когато бъбречният клирънс корелира с креатининовия клирънс. Заключението от тези резултати е, че всеки ефект при използването на кларитромицин е свързан с бъбречната функция, а не с възрастта сама по себе си.</w:t>
      </w:r>
    </w:p>
    <w:p w14:paraId="6014A481" w14:textId="77777777" w:rsidR="000D0CFC" w:rsidRPr="000D0CFC" w:rsidRDefault="000D0CFC" w:rsidP="000D0CFC">
      <w:pPr>
        <w:spacing w:line="240" w:lineRule="auto"/>
        <w:rPr>
          <w:rFonts w:eastAsia="Times New Roman" w:cs="Arial"/>
          <w:i/>
          <w:iCs/>
          <w:color w:val="000000"/>
          <w:lang w:eastAsia="bg-BG"/>
        </w:rPr>
      </w:pPr>
    </w:p>
    <w:p w14:paraId="2D3D4CC9" w14:textId="0CE248EF"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t xml:space="preserve">Инфекции с </w:t>
      </w:r>
      <w:r w:rsidRPr="000D0CFC">
        <w:rPr>
          <w:rFonts w:eastAsia="Times New Roman" w:cs="Arial"/>
          <w:i/>
          <w:iCs/>
          <w:color w:val="000000"/>
          <w:lang w:val="en-US"/>
        </w:rPr>
        <w:t>Mycobacterium</w:t>
      </w:r>
      <w:r w:rsidRPr="000D0CFC">
        <w:rPr>
          <w:rFonts w:eastAsia="Times New Roman" w:cs="Arial"/>
          <w:i/>
          <w:iCs/>
          <w:color w:val="000000"/>
          <w:lang w:val="ru-RU"/>
        </w:rPr>
        <w:t xml:space="preserve"> </w:t>
      </w:r>
      <w:proofErr w:type="spellStart"/>
      <w:r w:rsidRPr="000D0CFC">
        <w:rPr>
          <w:rFonts w:eastAsia="Times New Roman" w:cs="Arial"/>
          <w:i/>
          <w:iCs/>
          <w:color w:val="000000"/>
          <w:lang w:val="en-US"/>
        </w:rPr>
        <w:t>avium</w:t>
      </w:r>
      <w:proofErr w:type="spellEnd"/>
    </w:p>
    <w:p w14:paraId="23B788F2"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Концентрациите в равновесно състояние на кларитромицин и 14-ОН-кларитромицин, наблюдавани след приложението на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дози кларитромицин на всеки 12 часа при възрастни пациенти с </w:t>
      </w:r>
      <w:r w:rsidRPr="000D0CFC">
        <w:rPr>
          <w:rFonts w:eastAsia="Times New Roman" w:cs="Arial"/>
          <w:color w:val="000000"/>
          <w:lang w:val="en-US"/>
        </w:rPr>
        <w:t>HIV</w:t>
      </w:r>
      <w:r w:rsidRPr="000D0CFC">
        <w:rPr>
          <w:rFonts w:eastAsia="Times New Roman" w:cs="Arial"/>
          <w:color w:val="000000"/>
          <w:lang w:val="ru-RU"/>
        </w:rPr>
        <w:t xml:space="preserve"> </w:t>
      </w:r>
      <w:r w:rsidRPr="000D0CFC">
        <w:rPr>
          <w:rFonts w:eastAsia="Times New Roman" w:cs="Arial"/>
          <w:color w:val="000000"/>
          <w:lang w:eastAsia="bg-BG"/>
        </w:rPr>
        <w:t xml:space="preserve">инфекция, са подобни на тези, наблюдавани при здрави индивиди. Все пак при по- високите дози, които могат да бъдат необходими за лечение на инфекциите с </w:t>
      </w:r>
      <w:r w:rsidRPr="000D0CFC">
        <w:rPr>
          <w:rFonts w:eastAsia="Times New Roman" w:cs="Arial"/>
          <w:i/>
          <w:iCs/>
          <w:color w:val="000000"/>
          <w:lang w:val="en-US"/>
        </w:rPr>
        <w:t>Mycobacterium</w:t>
      </w:r>
      <w:r w:rsidRPr="000D0CFC">
        <w:rPr>
          <w:rFonts w:eastAsia="Times New Roman" w:cs="Arial"/>
          <w:i/>
          <w:iCs/>
          <w:color w:val="000000"/>
          <w:lang w:val="ru-RU"/>
        </w:rPr>
        <w:t xml:space="preserve"> </w:t>
      </w:r>
      <w:proofErr w:type="spellStart"/>
      <w:r w:rsidRPr="000D0CFC">
        <w:rPr>
          <w:rFonts w:eastAsia="Times New Roman" w:cs="Arial"/>
          <w:i/>
          <w:iCs/>
          <w:color w:val="000000"/>
          <w:lang w:val="en-US"/>
        </w:rPr>
        <w:t>avium</w:t>
      </w:r>
      <w:proofErr w:type="spellEnd"/>
      <w:r w:rsidRPr="000D0CFC">
        <w:rPr>
          <w:rFonts w:eastAsia="Times New Roman" w:cs="Arial"/>
          <w:i/>
          <w:iCs/>
          <w:color w:val="000000"/>
          <w:lang w:val="ru-RU"/>
        </w:rPr>
        <w:t xml:space="preserve">, </w:t>
      </w:r>
      <w:r w:rsidRPr="000D0CFC">
        <w:rPr>
          <w:rFonts w:eastAsia="Times New Roman" w:cs="Arial"/>
          <w:color w:val="000000"/>
          <w:lang w:eastAsia="bg-BG"/>
        </w:rPr>
        <w:t xml:space="preserve">концентрациите на кларитромицин са значително по-високи от тези, наблюдавани при обичайните дози. При възрастни </w:t>
      </w:r>
      <w:r w:rsidRPr="000D0CFC">
        <w:rPr>
          <w:rFonts w:eastAsia="Times New Roman" w:cs="Arial"/>
          <w:color w:val="000000"/>
          <w:lang w:val="en-US"/>
        </w:rPr>
        <w:t>HIV</w:t>
      </w:r>
      <w:r w:rsidRPr="000D0CFC">
        <w:rPr>
          <w:rFonts w:eastAsia="Times New Roman" w:cs="Arial"/>
          <w:color w:val="000000"/>
          <w:lang w:eastAsia="bg-BG"/>
        </w:rPr>
        <w:t xml:space="preserve">-инфектирани пациенти, приемащи 1 000 и 2 000 </w:t>
      </w:r>
      <w:r w:rsidRPr="000D0CFC">
        <w:rPr>
          <w:rFonts w:eastAsia="Times New Roman" w:cs="Arial"/>
          <w:color w:val="000000"/>
          <w:lang w:val="en-US"/>
        </w:rPr>
        <w:t>mg</w:t>
      </w:r>
      <w:r w:rsidRPr="000D0CFC">
        <w:rPr>
          <w:rFonts w:eastAsia="Times New Roman" w:cs="Arial"/>
          <w:color w:val="000000"/>
          <w:lang w:eastAsia="bg-BG"/>
        </w:rPr>
        <w:t>/ден, разделени на две дози, стойностите на С</w:t>
      </w:r>
      <w:r w:rsidRPr="000D0CFC">
        <w:rPr>
          <w:rFonts w:eastAsia="Times New Roman" w:cs="Arial"/>
          <w:color w:val="000000"/>
          <w:vertAlign w:val="subscript"/>
          <w:lang w:val="en-US"/>
        </w:rPr>
        <w:t>max</w:t>
      </w:r>
      <w:r w:rsidRPr="000D0CFC">
        <w:rPr>
          <w:rFonts w:eastAsia="Times New Roman" w:cs="Arial"/>
          <w:color w:val="000000"/>
          <w:lang w:eastAsia="bg-BG"/>
        </w:rPr>
        <w:t xml:space="preserve"> на кларитромицин в равновесно състояние варират от 2 до 4 μ</w:t>
      </w:r>
      <w:r w:rsidRPr="000D0CFC">
        <w:rPr>
          <w:rFonts w:eastAsia="Times New Roman" w:cs="Arial"/>
          <w:color w:val="000000"/>
          <w:lang w:val="en-US"/>
        </w:rPr>
        <w:t>g</w:t>
      </w:r>
      <w:r w:rsidRPr="000D0CFC">
        <w:rPr>
          <w:rFonts w:eastAsia="Times New Roman" w:cs="Arial"/>
          <w:color w:val="000000"/>
          <w:lang w:val="ru-RU"/>
        </w:rPr>
        <w:t>/</w:t>
      </w:r>
      <w:r w:rsidRPr="000D0CFC">
        <w:rPr>
          <w:rFonts w:eastAsia="Times New Roman" w:cs="Arial"/>
          <w:color w:val="000000"/>
          <w:lang w:val="en-US"/>
        </w:rPr>
        <w:t>ml</w:t>
      </w:r>
      <w:r w:rsidRPr="000D0CFC">
        <w:rPr>
          <w:rFonts w:eastAsia="Times New Roman" w:cs="Arial"/>
          <w:color w:val="000000"/>
          <w:lang w:val="ru-RU"/>
        </w:rPr>
        <w:t xml:space="preserve"> </w:t>
      </w:r>
      <w:r w:rsidRPr="000D0CFC">
        <w:rPr>
          <w:rFonts w:eastAsia="Times New Roman" w:cs="Arial"/>
          <w:color w:val="000000"/>
          <w:lang w:eastAsia="bg-BG"/>
        </w:rPr>
        <w:t>и 5 до 10 μ</w:t>
      </w:r>
      <w:r w:rsidRPr="000D0CFC">
        <w:rPr>
          <w:rFonts w:eastAsia="Times New Roman" w:cs="Arial"/>
          <w:color w:val="000000"/>
          <w:lang w:val="en-US"/>
        </w:rPr>
        <w:t>g</w:t>
      </w:r>
      <w:r w:rsidRPr="000D0CFC">
        <w:rPr>
          <w:rFonts w:eastAsia="Times New Roman" w:cs="Arial"/>
          <w:color w:val="000000"/>
          <w:lang w:val="ru-RU"/>
        </w:rPr>
        <w:t>/</w:t>
      </w:r>
      <w:r w:rsidRPr="000D0CFC">
        <w:rPr>
          <w:rFonts w:eastAsia="Times New Roman" w:cs="Arial"/>
          <w:color w:val="000000"/>
          <w:lang w:val="en-US"/>
        </w:rPr>
        <w:t>ml</w:t>
      </w:r>
      <w:r w:rsidRPr="000D0CFC">
        <w:rPr>
          <w:rFonts w:eastAsia="Times New Roman" w:cs="Arial"/>
          <w:color w:val="000000"/>
          <w:lang w:val="ru-RU"/>
        </w:rPr>
        <w:t xml:space="preserve">, </w:t>
      </w:r>
      <w:r w:rsidRPr="000D0CFC">
        <w:rPr>
          <w:rFonts w:eastAsia="Times New Roman" w:cs="Arial"/>
          <w:color w:val="000000"/>
          <w:lang w:eastAsia="bg-BG"/>
        </w:rPr>
        <w:t>съответно. Елиминационните полуживоти изглеждат удължени при тези по-високи дози в сравнение с тези, наблюдавани при обичайните дози при здрави индивиди. По-високите плазмени концентрации и по-дългите елиминационни полуживоти, наблюдавани при тези дози, са в съответствие с известната нелинейност във фармакокинетиката на кларитромицин.</w:t>
      </w:r>
    </w:p>
    <w:p w14:paraId="4B1CA9B4" w14:textId="77777777" w:rsidR="000D0CFC" w:rsidRPr="000D0CFC" w:rsidRDefault="000D0CFC" w:rsidP="000D0CFC">
      <w:pPr>
        <w:spacing w:line="240" w:lineRule="auto"/>
        <w:rPr>
          <w:rFonts w:eastAsia="Times New Roman" w:cs="Arial"/>
          <w:i/>
          <w:iCs/>
          <w:color w:val="000000"/>
          <w:lang w:eastAsia="bg-BG"/>
        </w:rPr>
      </w:pPr>
    </w:p>
    <w:p w14:paraId="530D8228" w14:textId="12F7E519" w:rsidR="000D0CFC" w:rsidRPr="000D0CFC" w:rsidRDefault="000D0CFC" w:rsidP="000D0CFC">
      <w:pPr>
        <w:spacing w:line="240" w:lineRule="auto"/>
        <w:rPr>
          <w:rFonts w:eastAsia="Times New Roman" w:cs="Arial"/>
          <w:sz w:val="24"/>
          <w:szCs w:val="24"/>
        </w:rPr>
      </w:pPr>
      <w:r w:rsidRPr="000D0CFC">
        <w:rPr>
          <w:rFonts w:eastAsia="Times New Roman" w:cs="Arial"/>
          <w:i/>
          <w:iCs/>
          <w:color w:val="000000"/>
          <w:lang w:eastAsia="bg-BG"/>
        </w:rPr>
        <w:t>Едновременно приложение с Омепразол</w:t>
      </w:r>
    </w:p>
    <w:p w14:paraId="484714FE" w14:textId="77777777"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 xml:space="preserve">Проведено е фармакокинетично проучване с кларитромицин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три пъти дневно и омепразол 40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веднъж дневно. Когато се дава единствено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кларитромицин на всеки осем часа, средната стойност на С</w:t>
      </w:r>
      <w:r w:rsidRPr="000D0CFC">
        <w:rPr>
          <w:rFonts w:eastAsia="Times New Roman" w:cs="Arial"/>
          <w:color w:val="000000"/>
          <w:vertAlign w:val="subscript"/>
          <w:lang w:val="en-US"/>
        </w:rPr>
        <w:t>max</w:t>
      </w:r>
      <w:r w:rsidRPr="000D0CFC">
        <w:rPr>
          <w:rFonts w:eastAsia="Times New Roman" w:cs="Arial"/>
          <w:color w:val="000000"/>
          <w:lang w:eastAsia="bg-BG"/>
        </w:rPr>
        <w:t xml:space="preserve"> в равновесно състояние е приблизително 3,8 μ</w:t>
      </w:r>
      <w:r w:rsidRPr="000D0CFC">
        <w:rPr>
          <w:rFonts w:eastAsia="Times New Roman" w:cs="Arial"/>
          <w:color w:val="000000"/>
          <w:lang w:val="en-US"/>
        </w:rPr>
        <w:t>g</w:t>
      </w:r>
      <w:r w:rsidRPr="000D0CFC">
        <w:rPr>
          <w:rFonts w:eastAsia="Times New Roman" w:cs="Arial"/>
          <w:color w:val="000000"/>
          <w:lang w:val="ru-RU"/>
        </w:rPr>
        <w:t>/</w:t>
      </w:r>
      <w:r w:rsidRPr="000D0CFC">
        <w:rPr>
          <w:rFonts w:eastAsia="Times New Roman" w:cs="Arial"/>
          <w:color w:val="000000"/>
          <w:lang w:val="en-US"/>
        </w:rPr>
        <w:t>ml</w:t>
      </w:r>
      <w:r w:rsidRPr="000D0CFC">
        <w:rPr>
          <w:rFonts w:eastAsia="Times New Roman" w:cs="Arial"/>
          <w:color w:val="000000"/>
          <w:lang w:val="ru-RU"/>
        </w:rPr>
        <w:t xml:space="preserve">, </w:t>
      </w:r>
      <w:r w:rsidRPr="000D0CFC">
        <w:rPr>
          <w:rFonts w:eastAsia="Times New Roman" w:cs="Arial"/>
          <w:color w:val="000000"/>
          <w:lang w:eastAsia="bg-BG"/>
        </w:rPr>
        <w:t xml:space="preserve">а средната стойност на </w:t>
      </w:r>
      <w:proofErr w:type="spellStart"/>
      <w:r w:rsidRPr="000D0CFC">
        <w:rPr>
          <w:rFonts w:eastAsia="Times New Roman" w:cs="Arial"/>
          <w:color w:val="000000"/>
          <w:lang w:val="en-US"/>
        </w:rPr>
        <w:t>C</w:t>
      </w:r>
      <w:r w:rsidRPr="000D0CFC">
        <w:rPr>
          <w:rFonts w:eastAsia="Times New Roman" w:cs="Arial"/>
          <w:color w:val="000000"/>
          <w:vertAlign w:val="subscript"/>
          <w:lang w:val="en-US"/>
        </w:rPr>
        <w:t>min</w:t>
      </w:r>
      <w:proofErr w:type="spellEnd"/>
      <w:r w:rsidRPr="000D0CFC">
        <w:rPr>
          <w:rFonts w:eastAsia="Times New Roman" w:cs="Arial"/>
          <w:color w:val="000000"/>
          <w:lang w:val="ru-RU"/>
        </w:rPr>
        <w:t xml:space="preserve"> </w:t>
      </w:r>
      <w:r w:rsidRPr="000D0CFC">
        <w:rPr>
          <w:rFonts w:eastAsia="Times New Roman" w:cs="Arial"/>
          <w:color w:val="000000"/>
          <w:lang w:eastAsia="bg-BG"/>
        </w:rPr>
        <w:t>е приблизително 1,8 μ</w:t>
      </w:r>
      <w:r w:rsidRPr="000D0CFC">
        <w:rPr>
          <w:rFonts w:eastAsia="Times New Roman" w:cs="Arial"/>
          <w:color w:val="000000"/>
          <w:lang w:val="en-US"/>
        </w:rPr>
        <w:t>g</w:t>
      </w:r>
      <w:r w:rsidRPr="000D0CFC">
        <w:rPr>
          <w:rFonts w:eastAsia="Times New Roman" w:cs="Arial"/>
          <w:color w:val="000000"/>
          <w:lang w:val="ru-RU"/>
        </w:rPr>
        <w:t>/</w:t>
      </w:r>
      <w:r w:rsidRPr="000D0CFC">
        <w:rPr>
          <w:rFonts w:eastAsia="Times New Roman" w:cs="Arial"/>
          <w:color w:val="000000"/>
          <w:lang w:val="en-US"/>
        </w:rPr>
        <w:t>ml</w:t>
      </w:r>
      <w:r w:rsidRPr="000D0CFC">
        <w:rPr>
          <w:rFonts w:eastAsia="Times New Roman" w:cs="Arial"/>
          <w:color w:val="000000"/>
          <w:lang w:val="ru-RU"/>
        </w:rPr>
        <w:t xml:space="preserve">. </w:t>
      </w:r>
      <w:r w:rsidRPr="000D0CFC">
        <w:rPr>
          <w:rFonts w:eastAsia="Times New Roman" w:cs="Arial"/>
          <w:color w:val="000000"/>
          <w:lang w:eastAsia="bg-BG"/>
        </w:rPr>
        <w:t xml:space="preserve">Средната </w:t>
      </w:r>
      <w:r w:rsidRPr="000D0CFC">
        <w:rPr>
          <w:rFonts w:eastAsia="Times New Roman" w:cs="Arial"/>
          <w:color w:val="000000"/>
          <w:lang w:val="en-US"/>
        </w:rPr>
        <w:t>AUC</w:t>
      </w:r>
      <w:r w:rsidRPr="000D0CFC">
        <w:rPr>
          <w:rFonts w:eastAsia="Times New Roman" w:cs="Arial"/>
          <w:color w:val="000000"/>
          <w:vertAlign w:val="subscript"/>
          <w:lang w:val="ru-RU"/>
        </w:rPr>
        <w:t>0-8</w:t>
      </w:r>
      <w:r w:rsidRPr="000D0CFC">
        <w:rPr>
          <w:rFonts w:eastAsia="Times New Roman" w:cs="Arial"/>
          <w:color w:val="000000"/>
          <w:lang w:val="ru-RU"/>
        </w:rPr>
        <w:t xml:space="preserve"> </w:t>
      </w:r>
      <w:r w:rsidRPr="000D0CFC">
        <w:rPr>
          <w:rFonts w:eastAsia="Times New Roman" w:cs="Arial"/>
          <w:color w:val="000000"/>
          <w:lang w:eastAsia="bg-BG"/>
        </w:rPr>
        <w:t>за кларитромицин е 22,9 μ</w:t>
      </w:r>
      <w:r w:rsidRPr="000D0CFC">
        <w:rPr>
          <w:rFonts w:eastAsia="Times New Roman" w:cs="Arial"/>
          <w:color w:val="000000"/>
          <w:lang w:val="en-US"/>
        </w:rPr>
        <w:t>g</w:t>
      </w:r>
      <w:r w:rsidRPr="000D0CFC">
        <w:rPr>
          <w:rFonts w:eastAsia="Times New Roman" w:cs="Arial"/>
          <w:color w:val="000000"/>
          <w:lang w:eastAsia="bg-BG"/>
        </w:rPr>
        <w:t>/час/</w:t>
      </w:r>
      <w:r w:rsidRPr="000D0CFC">
        <w:rPr>
          <w:rFonts w:eastAsia="Times New Roman" w:cs="Arial"/>
          <w:color w:val="000000"/>
          <w:lang w:val="en-US"/>
        </w:rPr>
        <w:t>ml</w:t>
      </w:r>
      <w:r w:rsidRPr="000D0CFC">
        <w:rPr>
          <w:rFonts w:eastAsia="Times New Roman" w:cs="Arial"/>
          <w:color w:val="000000"/>
          <w:lang w:eastAsia="bg-BG"/>
        </w:rPr>
        <w:t xml:space="preserve">. </w:t>
      </w:r>
      <w:proofErr w:type="spellStart"/>
      <w:r w:rsidRPr="000D0CFC">
        <w:rPr>
          <w:rFonts w:eastAsia="Times New Roman" w:cs="Arial"/>
          <w:color w:val="000000"/>
          <w:lang w:val="en-US"/>
        </w:rPr>
        <w:t>T</w:t>
      </w:r>
      <w:r w:rsidRPr="000D0CFC">
        <w:rPr>
          <w:rFonts w:eastAsia="Times New Roman" w:cs="Arial"/>
          <w:color w:val="000000"/>
          <w:vertAlign w:val="subscript"/>
          <w:lang w:val="en-US"/>
        </w:rPr>
        <w:t>max</w:t>
      </w:r>
      <w:proofErr w:type="spellEnd"/>
      <w:r w:rsidRPr="000D0CFC">
        <w:rPr>
          <w:rFonts w:eastAsia="Times New Roman" w:cs="Arial"/>
          <w:color w:val="000000"/>
          <w:lang w:val="ru-RU"/>
        </w:rPr>
        <w:t xml:space="preserve"> </w:t>
      </w:r>
      <w:r w:rsidRPr="000D0CFC">
        <w:rPr>
          <w:rFonts w:eastAsia="Times New Roman" w:cs="Arial"/>
          <w:color w:val="000000"/>
          <w:lang w:eastAsia="bg-BG"/>
        </w:rPr>
        <w:t>и полуживотьт са 2</w:t>
      </w:r>
      <w:proofErr w:type="gramStart"/>
      <w:r w:rsidRPr="000D0CFC">
        <w:rPr>
          <w:rFonts w:eastAsia="Times New Roman" w:cs="Arial"/>
          <w:color w:val="000000"/>
          <w:lang w:eastAsia="bg-BG"/>
        </w:rPr>
        <w:t>,1</w:t>
      </w:r>
      <w:proofErr w:type="gramEnd"/>
      <w:r w:rsidRPr="000D0CFC">
        <w:rPr>
          <w:rFonts w:eastAsia="Times New Roman" w:cs="Arial"/>
          <w:color w:val="000000"/>
          <w:lang w:eastAsia="bg-BG"/>
        </w:rPr>
        <w:t xml:space="preserve"> и 5,3 часа, съответно, когато кларитромицин се дозира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три пъти дневно.</w:t>
      </w:r>
    </w:p>
    <w:p w14:paraId="19507630" w14:textId="77777777" w:rsidR="000D0CFC" w:rsidRPr="000D0CFC" w:rsidRDefault="000D0CFC" w:rsidP="000D0CFC">
      <w:pPr>
        <w:spacing w:line="240" w:lineRule="auto"/>
        <w:rPr>
          <w:rFonts w:eastAsia="Times New Roman" w:cs="Arial"/>
          <w:color w:val="000000"/>
          <w:lang w:eastAsia="bg-BG"/>
        </w:rPr>
      </w:pPr>
    </w:p>
    <w:p w14:paraId="21B2848D" w14:textId="77777777" w:rsidR="000D0CFC" w:rsidRPr="000D0CFC" w:rsidRDefault="000D0CFC" w:rsidP="000D0CFC">
      <w:pPr>
        <w:rPr>
          <w:rFonts w:eastAsia="Times New Roman" w:cs="Arial"/>
          <w:sz w:val="24"/>
          <w:szCs w:val="24"/>
        </w:rPr>
      </w:pPr>
      <w:r w:rsidRPr="000D0CFC">
        <w:rPr>
          <w:rFonts w:eastAsia="Times New Roman" w:cs="Arial"/>
          <w:color w:val="000000"/>
          <w:lang w:eastAsia="bg-BG"/>
        </w:rPr>
        <w:t xml:space="preserve">В същото проучване, когато кларитромицин 500 </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три пъти дневно се прилага с омепразол 40</w:t>
      </w:r>
      <w:r w:rsidRPr="000D0CFC">
        <w:rPr>
          <w:rFonts w:eastAsia="Times New Roman" w:cs="Arial"/>
          <w:color w:val="000000"/>
          <w:lang w:val="en-US"/>
        </w:rPr>
        <w:t>mg</w:t>
      </w:r>
      <w:r w:rsidRPr="000D0CFC">
        <w:rPr>
          <w:rFonts w:eastAsia="Times New Roman" w:cs="Arial"/>
          <w:color w:val="000000"/>
          <w:lang w:val="ru-RU"/>
        </w:rPr>
        <w:t xml:space="preserve"> </w:t>
      </w:r>
      <w:r w:rsidRPr="000D0CFC">
        <w:rPr>
          <w:rFonts w:eastAsia="Times New Roman" w:cs="Arial"/>
          <w:color w:val="000000"/>
          <w:lang w:eastAsia="bg-BG"/>
        </w:rPr>
        <w:t xml:space="preserve">веднъж дневно, е наблюдавано повишение на полуживота и </w:t>
      </w:r>
      <w:r w:rsidRPr="000D0CFC">
        <w:rPr>
          <w:rFonts w:eastAsia="Times New Roman" w:cs="Arial"/>
          <w:color w:val="000000"/>
          <w:lang w:val="en-US"/>
        </w:rPr>
        <w:t>AUC</w:t>
      </w:r>
      <w:r w:rsidRPr="000D0CFC">
        <w:rPr>
          <w:rFonts w:eastAsia="Times New Roman" w:cs="Arial"/>
          <w:color w:val="000000"/>
          <w:vertAlign w:val="subscript"/>
          <w:lang w:val="ru-RU"/>
        </w:rPr>
        <w:t>0-24</w:t>
      </w:r>
      <w:r w:rsidRPr="000D0CFC">
        <w:rPr>
          <w:rFonts w:eastAsia="Times New Roman" w:cs="Arial"/>
          <w:color w:val="000000"/>
          <w:lang w:eastAsia="bg-BG"/>
        </w:rPr>
        <w:t xml:space="preserve"> на омепразола. Общо за всички индивиди средната </w:t>
      </w:r>
      <w:r w:rsidRPr="000D0CFC">
        <w:rPr>
          <w:rFonts w:eastAsia="Times New Roman" w:cs="Arial"/>
          <w:color w:val="000000"/>
          <w:lang w:val="en-US"/>
        </w:rPr>
        <w:t>AUC</w:t>
      </w:r>
      <w:r w:rsidRPr="000D0CFC">
        <w:rPr>
          <w:rFonts w:eastAsia="Times New Roman" w:cs="Arial"/>
          <w:color w:val="000000"/>
          <w:vertAlign w:val="subscript"/>
          <w:lang w:val="ru-RU"/>
        </w:rPr>
        <w:t>0-24</w:t>
      </w:r>
      <w:r w:rsidRPr="000D0CFC">
        <w:rPr>
          <w:rFonts w:eastAsia="Times New Roman" w:cs="Arial"/>
          <w:color w:val="000000"/>
          <w:lang w:val="ru-RU"/>
        </w:rPr>
        <w:t xml:space="preserve"> </w:t>
      </w:r>
      <w:r w:rsidRPr="000D0CFC">
        <w:rPr>
          <w:rFonts w:eastAsia="Times New Roman" w:cs="Arial"/>
          <w:color w:val="000000"/>
          <w:lang w:eastAsia="bg-BG"/>
        </w:rPr>
        <w:t>на омепразол е с 89% по-голяма, а средната хармонична стойност на Т</w:t>
      </w:r>
      <w:r w:rsidRPr="000D0CFC">
        <w:rPr>
          <w:rFonts w:eastAsia="Times New Roman" w:cs="Arial"/>
          <w:color w:val="000000"/>
          <w:vertAlign w:val="subscript"/>
          <w:lang w:eastAsia="bg-BG"/>
        </w:rPr>
        <w:t>1/2</w:t>
      </w:r>
      <w:r w:rsidRPr="000D0CFC">
        <w:rPr>
          <w:rFonts w:eastAsia="Times New Roman" w:cs="Arial"/>
          <w:color w:val="000000"/>
          <w:lang w:eastAsia="bg-BG"/>
        </w:rPr>
        <w:t xml:space="preserve"> на омепразол е с 34% по-голяма, когато омепразол се прилага с кларитомицин, отколкото когато омепразол се прилага самостоятелно. Когато кларитромицин се прилага с омепразол, </w:t>
      </w:r>
      <w:proofErr w:type="spellStart"/>
      <w:r w:rsidRPr="000D0CFC">
        <w:rPr>
          <w:rFonts w:eastAsia="Times New Roman" w:cs="Arial"/>
          <w:color w:val="000000"/>
          <w:lang w:val="en-US"/>
        </w:rPr>
        <w:t>C</w:t>
      </w:r>
      <w:r w:rsidRPr="000D0CFC">
        <w:rPr>
          <w:rFonts w:eastAsia="Times New Roman" w:cs="Arial"/>
          <w:color w:val="000000"/>
          <w:vertAlign w:val="subscript"/>
          <w:lang w:val="en-US"/>
        </w:rPr>
        <w:t>max</w:t>
      </w:r>
      <w:proofErr w:type="spellEnd"/>
      <w:r w:rsidRPr="000D0CFC">
        <w:rPr>
          <w:rFonts w:eastAsia="Times New Roman" w:cs="Arial"/>
          <w:color w:val="000000"/>
          <w:lang w:val="ru-RU"/>
        </w:rPr>
        <w:t xml:space="preserve"> </w:t>
      </w:r>
      <w:r w:rsidRPr="000D0CFC">
        <w:rPr>
          <w:rFonts w:eastAsia="Times New Roman" w:cs="Arial"/>
          <w:color w:val="000000"/>
          <w:lang w:eastAsia="bg-BG"/>
        </w:rPr>
        <w:t>в равновесно състояние, С</w:t>
      </w:r>
      <w:r w:rsidRPr="000D0CFC">
        <w:rPr>
          <w:rFonts w:eastAsia="Times New Roman" w:cs="Arial"/>
          <w:color w:val="000000"/>
          <w:vertAlign w:val="subscript"/>
          <w:lang w:val="en-US"/>
        </w:rPr>
        <w:t>min</w:t>
      </w:r>
      <w:r w:rsidRPr="000D0CFC">
        <w:rPr>
          <w:rFonts w:eastAsia="Times New Roman" w:cs="Arial"/>
          <w:color w:val="000000"/>
          <w:lang w:eastAsia="bg-BG"/>
        </w:rPr>
        <w:t xml:space="preserve"> и </w:t>
      </w:r>
      <w:r w:rsidRPr="000D0CFC">
        <w:rPr>
          <w:rFonts w:eastAsia="Times New Roman" w:cs="Arial"/>
          <w:color w:val="000000"/>
          <w:lang w:val="en-US"/>
        </w:rPr>
        <w:t>AUC</w:t>
      </w:r>
      <w:r w:rsidRPr="000D0CFC">
        <w:rPr>
          <w:rFonts w:eastAsia="Times New Roman" w:cs="Arial"/>
          <w:color w:val="000000"/>
          <w:vertAlign w:val="subscript"/>
          <w:lang w:val="ru-RU"/>
        </w:rPr>
        <w:t>0-8</w:t>
      </w:r>
      <w:r w:rsidRPr="000D0CFC">
        <w:rPr>
          <w:rFonts w:eastAsia="Times New Roman" w:cs="Arial"/>
          <w:color w:val="000000"/>
          <w:lang w:val="ru-RU"/>
        </w:rPr>
        <w:t xml:space="preserve"> </w:t>
      </w:r>
      <w:r w:rsidRPr="000D0CFC">
        <w:rPr>
          <w:rFonts w:eastAsia="Times New Roman" w:cs="Arial"/>
          <w:color w:val="000000"/>
          <w:lang w:eastAsia="bg-BG"/>
        </w:rPr>
        <w:t>на кларитромицин се повишават с 10%, 27% и 15%, съответно, спрямо достигнатите стойностите, когато кларитромицин се прилага с плацебо.</w:t>
      </w:r>
    </w:p>
    <w:p w14:paraId="195552CB" w14:textId="77777777" w:rsidR="000D0CFC" w:rsidRPr="000D0CFC" w:rsidRDefault="000D0CFC" w:rsidP="000D0CFC">
      <w:pPr>
        <w:spacing w:line="240" w:lineRule="auto"/>
        <w:rPr>
          <w:rFonts w:eastAsia="Times New Roman" w:cs="Arial"/>
          <w:color w:val="000000"/>
          <w:lang w:eastAsia="bg-BG"/>
        </w:rPr>
      </w:pPr>
    </w:p>
    <w:p w14:paraId="787BE463" w14:textId="3D023919" w:rsidR="000D0CFC" w:rsidRPr="000D0CFC" w:rsidRDefault="000D0CFC" w:rsidP="000D0CFC">
      <w:pPr>
        <w:spacing w:line="240" w:lineRule="auto"/>
        <w:rPr>
          <w:rFonts w:eastAsia="Times New Roman" w:cs="Arial"/>
          <w:sz w:val="24"/>
          <w:szCs w:val="24"/>
        </w:rPr>
      </w:pPr>
      <w:r w:rsidRPr="000D0CFC">
        <w:rPr>
          <w:rFonts w:eastAsia="Times New Roman" w:cs="Arial"/>
          <w:color w:val="000000"/>
          <w:lang w:eastAsia="bg-BG"/>
        </w:rPr>
        <w:t>В равновесно състояние концентрациите на кларитромицин в стомашната лигавица шест часа след дозирането са приблизително 25-пъти по-високи за кларитромицин/омепразол групата в сравнение с групата само с кларитромицин. Шест часа след дозирането средните концентрации на кларитромицин в стомашните тьканни са приблизително 2-пъти по-високи, когато кларитромицин се дава с омепразол, отколкото когато кларитромицин се дава с плацебо.</w:t>
      </w:r>
    </w:p>
    <w:p w14:paraId="61A809F7" w14:textId="77777777" w:rsidR="000D0CFC" w:rsidRPr="000D0CFC" w:rsidRDefault="000D0CFC" w:rsidP="000D0CFC"/>
    <w:p w14:paraId="028E658A" w14:textId="177D1910" w:rsidR="00395555" w:rsidRDefault="002C50EE" w:rsidP="008A6AF2">
      <w:pPr>
        <w:pStyle w:val="Heading2"/>
      </w:pPr>
      <w:r>
        <w:lastRenderedPageBreak/>
        <w:t>5.3. Предклинични данни за безопасност</w:t>
      </w:r>
    </w:p>
    <w:p w14:paraId="353738A1" w14:textId="22844CB6" w:rsidR="000D0CFC" w:rsidRDefault="000D0CFC" w:rsidP="000D0CFC"/>
    <w:p w14:paraId="6081FF06" w14:textId="77777777" w:rsidR="000D0CFC" w:rsidRPr="00032D2C" w:rsidRDefault="000D0CFC" w:rsidP="000D0CFC">
      <w:pPr>
        <w:spacing w:line="240" w:lineRule="auto"/>
        <w:rPr>
          <w:rFonts w:eastAsia="Times New Roman" w:cs="Arial"/>
          <w:sz w:val="24"/>
          <w:szCs w:val="24"/>
        </w:rPr>
      </w:pPr>
      <w:r w:rsidRPr="00032D2C">
        <w:rPr>
          <w:rFonts w:eastAsia="Times New Roman" w:cs="Arial"/>
          <w:color w:val="000000"/>
          <w:u w:val="single"/>
          <w:lang w:eastAsia="bg-BG"/>
        </w:rPr>
        <w:t>Остра, подостра и хронична токсичност</w:t>
      </w:r>
    </w:p>
    <w:p w14:paraId="762182DC" w14:textId="77777777" w:rsidR="000D0CFC" w:rsidRPr="00032D2C" w:rsidRDefault="000D0CFC" w:rsidP="000D0CFC">
      <w:pPr>
        <w:spacing w:line="240" w:lineRule="auto"/>
        <w:rPr>
          <w:rFonts w:eastAsia="Times New Roman" w:cs="Arial"/>
          <w:sz w:val="24"/>
          <w:szCs w:val="24"/>
        </w:rPr>
      </w:pPr>
      <w:r w:rsidRPr="00032D2C">
        <w:rPr>
          <w:rFonts w:eastAsia="Times New Roman" w:cs="Arial"/>
          <w:color w:val="000000"/>
          <w:lang w:eastAsia="bg-BG"/>
        </w:rPr>
        <w:t>Извършени са проучвания с мишки, плъхове, кучета и/или маймуни с орално приложен кларитромицин. Продължителността на приложение варира от единична орална доза до повторяемо дневно орално приложение за шест последователни месеца.</w:t>
      </w:r>
    </w:p>
    <w:p w14:paraId="7EA63185" w14:textId="77777777" w:rsidR="000D0CFC" w:rsidRPr="00032D2C" w:rsidRDefault="000D0CFC" w:rsidP="000D0CFC">
      <w:pPr>
        <w:spacing w:line="240" w:lineRule="auto"/>
        <w:rPr>
          <w:rFonts w:eastAsia="Times New Roman" w:cs="Arial"/>
          <w:sz w:val="24"/>
          <w:szCs w:val="24"/>
        </w:rPr>
      </w:pPr>
      <w:r w:rsidRPr="00032D2C">
        <w:rPr>
          <w:rFonts w:eastAsia="Times New Roman" w:cs="Arial"/>
          <w:color w:val="000000"/>
          <w:lang w:eastAsia="bg-BG"/>
        </w:rPr>
        <w:t xml:space="preserve">При проучвания на острата токсичност при мишки и плъхове, умира един плъх, но нито една мишка след единично приложение на 5 </w:t>
      </w:r>
      <w:r w:rsidRPr="00032D2C">
        <w:rPr>
          <w:rFonts w:eastAsia="Times New Roman" w:cs="Arial"/>
          <w:color w:val="000000"/>
          <w:lang w:val="en-US"/>
        </w:rPr>
        <w:t>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val="ru-RU"/>
        </w:rPr>
        <w:t xml:space="preserve"> </w:t>
      </w:r>
      <w:r w:rsidRPr="00032D2C">
        <w:rPr>
          <w:rFonts w:eastAsia="Times New Roman" w:cs="Arial"/>
          <w:color w:val="000000"/>
          <w:lang w:eastAsia="bg-BG"/>
        </w:rPr>
        <w:t xml:space="preserve">телесно тегло. Следователно медианната летална доза е по-висока от 5 </w:t>
      </w:r>
      <w:r w:rsidRPr="00032D2C">
        <w:rPr>
          <w:rFonts w:eastAsia="Times New Roman" w:cs="Arial"/>
          <w:color w:val="000000"/>
          <w:lang w:val="en-US"/>
        </w:rPr>
        <w:t>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val="ru-RU"/>
        </w:rPr>
        <w:t xml:space="preserve">, </w:t>
      </w:r>
      <w:r w:rsidRPr="00032D2C">
        <w:rPr>
          <w:rFonts w:eastAsia="Times New Roman" w:cs="Arial"/>
          <w:color w:val="000000"/>
          <w:lang w:eastAsia="bg-BG"/>
        </w:rPr>
        <w:t>най-високата приемлива доза за приложение.</w:t>
      </w:r>
    </w:p>
    <w:p w14:paraId="0A527947" w14:textId="77777777" w:rsidR="000D0CFC" w:rsidRPr="00032D2C" w:rsidRDefault="000D0CFC" w:rsidP="000D0CFC">
      <w:pPr>
        <w:spacing w:line="240" w:lineRule="auto"/>
        <w:rPr>
          <w:rFonts w:eastAsia="Times New Roman" w:cs="Arial"/>
          <w:color w:val="000000"/>
          <w:lang w:eastAsia="bg-BG"/>
        </w:rPr>
      </w:pPr>
    </w:p>
    <w:p w14:paraId="48C6C868" w14:textId="265E4A3B" w:rsidR="000D0CFC" w:rsidRPr="00032D2C" w:rsidRDefault="000D0CFC" w:rsidP="000D0CFC">
      <w:pPr>
        <w:spacing w:line="240" w:lineRule="auto"/>
        <w:rPr>
          <w:rFonts w:eastAsia="Times New Roman" w:cs="Arial"/>
          <w:sz w:val="24"/>
          <w:szCs w:val="24"/>
        </w:rPr>
      </w:pPr>
      <w:r w:rsidRPr="00032D2C">
        <w:rPr>
          <w:rFonts w:eastAsia="Times New Roman" w:cs="Arial"/>
          <w:color w:val="000000"/>
          <w:lang w:eastAsia="bg-BG"/>
        </w:rPr>
        <w:t xml:space="preserve">Няма нежелани ефекти дължащи се на кларитромицин при примати, изложени на 100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 xml:space="preserve">/ден за 14 последователни дни или на 35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 xml:space="preserve">/ден за един месец. Също така не са наблюдавани нежелани ефекти при плъхове, изложени на 75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 xml:space="preserve">/ден за един месец, на 35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 xml:space="preserve">/ден за три месеца или на 8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 xml:space="preserve">/ден за шест месеца. Кучетата са по-чувствителни към кларитромицин, като толерират 50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 xml:space="preserve">/ден за 14 дни, 10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 xml:space="preserve">/ден за един и три месеца и 4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/ден за шест месеца без странични ефекти.</w:t>
      </w:r>
    </w:p>
    <w:p w14:paraId="25DCE588" w14:textId="77777777" w:rsidR="000D0CFC" w:rsidRPr="00032D2C" w:rsidRDefault="000D0CFC" w:rsidP="000D0CFC">
      <w:pPr>
        <w:spacing w:line="240" w:lineRule="auto"/>
        <w:rPr>
          <w:rFonts w:eastAsia="Times New Roman" w:cs="Arial"/>
          <w:color w:val="000000"/>
          <w:lang w:eastAsia="bg-BG"/>
        </w:rPr>
      </w:pPr>
    </w:p>
    <w:p w14:paraId="0D0318D3" w14:textId="393E4B56" w:rsidR="000D0CFC" w:rsidRPr="00032D2C" w:rsidRDefault="000D0CFC" w:rsidP="000D0CFC">
      <w:pPr>
        <w:spacing w:line="240" w:lineRule="auto"/>
        <w:rPr>
          <w:rFonts w:eastAsia="Times New Roman" w:cs="Arial"/>
          <w:sz w:val="24"/>
          <w:szCs w:val="24"/>
        </w:rPr>
      </w:pPr>
      <w:r w:rsidRPr="00032D2C">
        <w:rPr>
          <w:rFonts w:eastAsia="Times New Roman" w:cs="Arial"/>
          <w:color w:val="000000"/>
          <w:lang w:eastAsia="bg-BG"/>
        </w:rPr>
        <w:t xml:space="preserve">Главните клинични признаци при токсични дози в проучванията, описани горе, включват повръщане, слабост, намалена консумация на храна и намалено покачване на тегло, саливация, дехидратация и хиперактивност. Две от десетте маймуни, получаващи 400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 xml:space="preserve">/ден, умират на осмия лечебен ден; жълто оцветени фекалии са отделени в няколко изолирани случая от някои от оцелелите маймуни, на които е давана доза 400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/ден за 28 дни.</w:t>
      </w:r>
    </w:p>
    <w:p w14:paraId="22768E50" w14:textId="77777777" w:rsidR="000D0CFC" w:rsidRPr="00032D2C" w:rsidRDefault="000D0CFC" w:rsidP="000D0CFC">
      <w:pPr>
        <w:spacing w:line="240" w:lineRule="auto"/>
        <w:rPr>
          <w:rFonts w:eastAsia="Times New Roman" w:cs="Arial"/>
          <w:color w:val="000000"/>
          <w:lang w:eastAsia="bg-BG"/>
        </w:rPr>
      </w:pPr>
    </w:p>
    <w:p w14:paraId="4ADBFE5D" w14:textId="7E9B2F67" w:rsidR="000D0CFC" w:rsidRPr="00032D2C" w:rsidRDefault="000D0CFC" w:rsidP="000D0CFC">
      <w:pPr>
        <w:spacing w:line="240" w:lineRule="auto"/>
        <w:rPr>
          <w:rFonts w:eastAsia="Times New Roman" w:cs="Arial"/>
          <w:sz w:val="24"/>
          <w:szCs w:val="24"/>
        </w:rPr>
      </w:pPr>
      <w:r w:rsidRPr="00032D2C">
        <w:rPr>
          <w:rFonts w:eastAsia="Times New Roman" w:cs="Arial"/>
          <w:color w:val="000000"/>
          <w:lang w:eastAsia="bg-BG"/>
        </w:rPr>
        <w:t>Първичният таргетен орган при токсични дозировки за всички видове е черният дроб. Развитието на хепатотоксичност при всички видове се открива чрез ранно повишение на серумните концентрации на алкалната фосфатаза, аланин и аспартат аминотрансфераза, гама-глутамил трансфераза и/или лакгат дехидрогеназа. Прекъсването на приема на лекарството обикновено има за резултат връщане до или към нормалните концентрации на тези специфични параметри.</w:t>
      </w:r>
    </w:p>
    <w:p w14:paraId="44F17826" w14:textId="77777777" w:rsidR="000D0CFC" w:rsidRPr="00032D2C" w:rsidRDefault="000D0CFC" w:rsidP="000D0CFC">
      <w:pPr>
        <w:spacing w:line="240" w:lineRule="auto"/>
        <w:rPr>
          <w:rFonts w:eastAsia="Times New Roman" w:cs="Arial"/>
          <w:color w:val="000000"/>
          <w:lang w:eastAsia="bg-BG"/>
        </w:rPr>
      </w:pPr>
    </w:p>
    <w:p w14:paraId="74BA19F6" w14:textId="3E790CEB" w:rsidR="000D0CFC" w:rsidRPr="00032D2C" w:rsidRDefault="000D0CFC" w:rsidP="000D0CFC">
      <w:pPr>
        <w:spacing w:line="240" w:lineRule="auto"/>
        <w:rPr>
          <w:rFonts w:eastAsia="Times New Roman" w:cs="Arial"/>
          <w:sz w:val="24"/>
          <w:szCs w:val="24"/>
        </w:rPr>
      </w:pPr>
      <w:r w:rsidRPr="00032D2C">
        <w:rPr>
          <w:rFonts w:eastAsia="Times New Roman" w:cs="Arial"/>
          <w:color w:val="000000"/>
          <w:lang w:eastAsia="bg-BG"/>
        </w:rPr>
        <w:t xml:space="preserve">Допълнителни тъкани, които по-рядко се засягат при различните проучвания, включват стомах, тимус и други лимфоидни тъкани, както и бъбреците. Конюнктивална инекция и лакримация, след близки до терапевтичните дозировки, са наблюдавани само при кучета. При масивна дозировка от </w:t>
      </w:r>
      <w:r w:rsidRPr="00032D2C">
        <w:rPr>
          <w:rFonts w:eastAsia="Times New Roman" w:cs="Arial"/>
          <w:i/>
          <w:iCs/>
          <w:color w:val="000000"/>
          <w:lang w:eastAsia="bg-BG"/>
        </w:rPr>
        <w:t>400</w:t>
      </w:r>
      <w:r w:rsidRPr="00032D2C">
        <w:rPr>
          <w:rFonts w:eastAsia="Times New Roman" w:cs="Arial"/>
          <w:color w:val="000000"/>
          <w:lang w:eastAsia="bg-BG"/>
        </w:rPr>
        <w:t xml:space="preserve">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/ден някои кучета и маймуни развиват потъмняване на роговицата и/или оток.</w:t>
      </w:r>
    </w:p>
    <w:p w14:paraId="36002430" w14:textId="77777777" w:rsidR="000D0CFC" w:rsidRPr="00032D2C" w:rsidRDefault="000D0CFC" w:rsidP="000D0CFC">
      <w:pPr>
        <w:spacing w:line="240" w:lineRule="auto"/>
        <w:rPr>
          <w:rFonts w:eastAsia="Times New Roman" w:cs="Arial"/>
          <w:color w:val="000000"/>
          <w:u w:val="single"/>
          <w:lang w:eastAsia="bg-BG"/>
        </w:rPr>
      </w:pPr>
    </w:p>
    <w:p w14:paraId="2282ECF4" w14:textId="56F5FD38" w:rsidR="000D0CFC" w:rsidRPr="00032D2C" w:rsidRDefault="000D0CFC" w:rsidP="000D0CFC">
      <w:pPr>
        <w:spacing w:line="240" w:lineRule="auto"/>
        <w:rPr>
          <w:rFonts w:eastAsia="Times New Roman" w:cs="Arial"/>
          <w:sz w:val="24"/>
          <w:szCs w:val="24"/>
        </w:rPr>
      </w:pPr>
      <w:r w:rsidRPr="00032D2C">
        <w:rPr>
          <w:rFonts w:eastAsia="Times New Roman" w:cs="Arial"/>
          <w:color w:val="000000"/>
          <w:u w:val="single"/>
          <w:lang w:eastAsia="bg-BG"/>
        </w:rPr>
        <w:t>Фертилност, репродукция и тератогенност</w:t>
      </w:r>
    </w:p>
    <w:p w14:paraId="1F38893F" w14:textId="77777777" w:rsidR="000D0CFC" w:rsidRPr="00032D2C" w:rsidRDefault="000D0CFC" w:rsidP="000D0CFC">
      <w:pPr>
        <w:spacing w:line="240" w:lineRule="auto"/>
        <w:rPr>
          <w:rFonts w:eastAsia="Times New Roman" w:cs="Arial"/>
          <w:color w:val="000000"/>
          <w:lang w:eastAsia="bg-BG"/>
        </w:rPr>
      </w:pPr>
    </w:p>
    <w:p w14:paraId="578FEC9A" w14:textId="77777777" w:rsidR="00032D2C" w:rsidRPr="00032D2C" w:rsidRDefault="000D0CFC" w:rsidP="00032D2C">
      <w:pPr>
        <w:rPr>
          <w:rFonts w:eastAsia="Times New Roman" w:cs="Arial"/>
          <w:sz w:val="24"/>
          <w:szCs w:val="24"/>
        </w:rPr>
      </w:pPr>
      <w:r w:rsidRPr="00032D2C">
        <w:rPr>
          <w:rFonts w:eastAsia="Times New Roman" w:cs="Arial"/>
          <w:color w:val="000000"/>
          <w:lang w:eastAsia="bg-BG"/>
        </w:rPr>
        <w:t xml:space="preserve">Проучвания за фертилност и репродукция показват, че дневни дозировки от 150 до 160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 xml:space="preserve">/ден при мъжки и женски плъхове не предизвикват странични ефекти върху половия цикъл, фертилностга, раждането и броя и жизнеността на потомството. Две проучвания за тератогенност с плъхове </w:t>
      </w:r>
      <w:proofErr w:type="spellStart"/>
      <w:r w:rsidRPr="00032D2C">
        <w:rPr>
          <w:rFonts w:eastAsia="Times New Roman" w:cs="Arial"/>
          <w:i/>
          <w:iCs/>
          <w:color w:val="000000"/>
          <w:lang w:val="en-US"/>
        </w:rPr>
        <w:t>Wistar</w:t>
      </w:r>
      <w:proofErr w:type="spellEnd"/>
      <w:r w:rsidRPr="00032D2C">
        <w:rPr>
          <w:rFonts w:eastAsia="Times New Roman" w:cs="Arial"/>
          <w:i/>
          <w:iCs/>
          <w:color w:val="000000"/>
          <w:lang w:val="ru-RU"/>
        </w:rPr>
        <w:t xml:space="preserve"> </w:t>
      </w:r>
      <w:r w:rsidRPr="00032D2C">
        <w:rPr>
          <w:rFonts w:eastAsia="Times New Roman" w:cs="Arial"/>
          <w:i/>
          <w:iCs/>
          <w:color w:val="000000"/>
          <w:lang w:eastAsia="bg-BG"/>
        </w:rPr>
        <w:t>(р.о.)</w:t>
      </w:r>
      <w:r w:rsidRPr="00032D2C">
        <w:rPr>
          <w:rFonts w:eastAsia="Times New Roman" w:cs="Arial"/>
          <w:color w:val="000000"/>
          <w:lang w:eastAsia="bg-BG"/>
        </w:rPr>
        <w:t xml:space="preserve"> и </w:t>
      </w:r>
      <w:r w:rsidRPr="00032D2C">
        <w:rPr>
          <w:rFonts w:eastAsia="Times New Roman" w:cs="Arial"/>
          <w:color w:val="000000"/>
          <w:lang w:val="en-US"/>
        </w:rPr>
        <w:t>Sprague</w:t>
      </w:r>
      <w:r w:rsidRPr="00032D2C">
        <w:rPr>
          <w:rFonts w:eastAsia="Times New Roman" w:cs="Arial"/>
          <w:color w:val="000000"/>
          <w:lang w:val="ru-RU"/>
        </w:rPr>
        <w:t>-</w:t>
      </w:r>
      <w:r w:rsidRPr="00032D2C">
        <w:rPr>
          <w:rFonts w:eastAsia="Times New Roman" w:cs="Arial"/>
          <w:color w:val="000000"/>
          <w:lang w:val="en-US"/>
        </w:rPr>
        <w:t>Dawley</w:t>
      </w:r>
      <w:r w:rsidRPr="00032D2C">
        <w:rPr>
          <w:rFonts w:eastAsia="Times New Roman" w:cs="Arial"/>
          <w:color w:val="000000"/>
          <w:lang w:val="ru-RU"/>
        </w:rPr>
        <w:t xml:space="preserve"> </w:t>
      </w:r>
      <w:r w:rsidRPr="00032D2C">
        <w:rPr>
          <w:rFonts w:eastAsia="Times New Roman" w:cs="Arial"/>
          <w:i/>
          <w:iCs/>
          <w:color w:val="000000"/>
          <w:lang w:eastAsia="bg-BG"/>
        </w:rPr>
        <w:t>(р.о.</w:t>
      </w:r>
      <w:r w:rsidRPr="00032D2C">
        <w:rPr>
          <w:rFonts w:eastAsia="Times New Roman" w:cs="Arial"/>
          <w:color w:val="000000"/>
          <w:lang w:eastAsia="bg-BG"/>
        </w:rPr>
        <w:t xml:space="preserve"> и /. </w:t>
      </w:r>
      <w:r w:rsidRPr="00032D2C">
        <w:rPr>
          <w:rFonts w:eastAsia="Times New Roman" w:cs="Arial"/>
          <w:color w:val="000000"/>
          <w:lang w:val="en-US"/>
        </w:rPr>
        <w:t>v</w:t>
      </w:r>
      <w:r w:rsidRPr="00032D2C">
        <w:rPr>
          <w:rFonts w:eastAsia="Times New Roman" w:cs="Arial"/>
          <w:color w:val="000000"/>
          <w:lang w:val="ru-RU"/>
        </w:rPr>
        <w:t xml:space="preserve">.), </w:t>
      </w:r>
      <w:r w:rsidRPr="00032D2C">
        <w:rPr>
          <w:rFonts w:eastAsia="Times New Roman" w:cs="Arial"/>
          <w:color w:val="000000"/>
          <w:lang w:eastAsia="bg-BG"/>
        </w:rPr>
        <w:t>едно проучване с новозеландски бели зайци и едно проучване с маймуни макак не демонстрират каквато и да е тератогенност на кларитромицин.</w:t>
      </w:r>
      <w:r w:rsidRPr="00032D2C">
        <w:rPr>
          <w:rFonts w:eastAsia="Times New Roman" w:cs="Arial"/>
          <w:color w:val="000000"/>
          <w:u w:val="single"/>
          <w:lang w:eastAsia="bg-BG"/>
        </w:rPr>
        <w:t xml:space="preserve"> </w:t>
      </w:r>
      <w:r w:rsidRPr="00032D2C">
        <w:rPr>
          <w:rFonts w:eastAsia="Times New Roman" w:cs="Arial"/>
          <w:color w:val="000000"/>
          <w:lang w:eastAsia="bg-BG"/>
        </w:rPr>
        <w:t xml:space="preserve">Само в едно допълнително проучване със </w:t>
      </w:r>
      <w:r w:rsidRPr="00032D2C">
        <w:rPr>
          <w:rFonts w:eastAsia="Times New Roman" w:cs="Arial"/>
          <w:i/>
          <w:iCs/>
          <w:color w:val="000000"/>
          <w:lang w:val="en-US"/>
        </w:rPr>
        <w:t>Sprague</w:t>
      </w:r>
      <w:r w:rsidRPr="00032D2C">
        <w:rPr>
          <w:rFonts w:eastAsia="Times New Roman" w:cs="Arial"/>
          <w:i/>
          <w:iCs/>
          <w:color w:val="000000"/>
          <w:lang w:val="ru-RU"/>
        </w:rPr>
        <w:t>-</w:t>
      </w:r>
      <w:r w:rsidRPr="00032D2C">
        <w:rPr>
          <w:rFonts w:eastAsia="Times New Roman" w:cs="Arial"/>
          <w:i/>
          <w:iCs/>
          <w:color w:val="000000"/>
          <w:lang w:val="en-US"/>
        </w:rPr>
        <w:t>Dawley</w:t>
      </w:r>
      <w:r w:rsidRPr="00032D2C">
        <w:rPr>
          <w:rFonts w:eastAsia="Times New Roman" w:cs="Arial"/>
          <w:color w:val="000000"/>
          <w:lang w:val="ru-RU"/>
        </w:rPr>
        <w:t xml:space="preserve"> </w:t>
      </w:r>
      <w:r w:rsidRPr="00032D2C">
        <w:rPr>
          <w:rFonts w:eastAsia="Times New Roman" w:cs="Arial"/>
          <w:color w:val="000000"/>
          <w:lang w:eastAsia="bg-BG"/>
        </w:rPr>
        <w:t>плъхове при подобно дози и практически подобни условия се открива много ниска, статистически незначима, честота (приблизително 6%) на сърдечно-съдови аномалии. Тези аномалии изглежда се дължат на спонтанна експресия на генетични промени в колонията. Две проучвания с мишки също показват</w:t>
      </w:r>
      <w:r w:rsidR="00032D2C" w:rsidRPr="00032D2C">
        <w:rPr>
          <w:rFonts w:eastAsia="Times New Roman" w:cs="Arial"/>
          <w:color w:val="000000"/>
          <w:lang w:eastAsia="bg-BG"/>
        </w:rPr>
        <w:t xml:space="preserve"> променлива честота на </w:t>
      </w:r>
      <w:r w:rsidR="00032D2C" w:rsidRPr="00032D2C">
        <w:rPr>
          <w:rFonts w:eastAsia="Times New Roman" w:cs="Arial"/>
          <w:color w:val="000000"/>
          <w:lang w:eastAsia="bg-BG"/>
        </w:rPr>
        <w:lastRenderedPageBreak/>
        <w:t xml:space="preserve">цепнато небце (3 до 30%) след дози 70 пъти над горната граница на обичайната дневна клинична доза при хора (500 </w:t>
      </w:r>
      <w:r w:rsidR="00032D2C" w:rsidRPr="00032D2C">
        <w:rPr>
          <w:rFonts w:eastAsia="Times New Roman" w:cs="Arial"/>
          <w:color w:val="000000"/>
          <w:lang w:val="en-US"/>
        </w:rPr>
        <w:t>mg</w:t>
      </w:r>
      <w:r w:rsidR="00032D2C" w:rsidRPr="00032D2C">
        <w:rPr>
          <w:rFonts w:eastAsia="Times New Roman" w:cs="Arial"/>
          <w:color w:val="000000"/>
          <w:lang w:val="ru-RU"/>
        </w:rPr>
        <w:t xml:space="preserve"> </w:t>
      </w:r>
      <w:r w:rsidR="00032D2C" w:rsidRPr="00032D2C">
        <w:rPr>
          <w:rFonts w:eastAsia="Times New Roman" w:cs="Arial"/>
          <w:color w:val="000000"/>
          <w:lang w:eastAsia="bg-BG"/>
        </w:rPr>
        <w:t>два пъти дневно), но не и при 35 пъти максималната дневна клинична доза при хора, което предполага майчина и фетална токсичност, но не тератогенност.</w:t>
      </w:r>
    </w:p>
    <w:p w14:paraId="650DE439" w14:textId="77777777" w:rsidR="00032D2C" w:rsidRPr="00032D2C" w:rsidRDefault="00032D2C" w:rsidP="00032D2C">
      <w:pPr>
        <w:spacing w:line="240" w:lineRule="auto"/>
        <w:rPr>
          <w:rFonts w:eastAsia="Times New Roman" w:cs="Arial"/>
          <w:color w:val="000000"/>
          <w:lang w:eastAsia="bg-BG"/>
        </w:rPr>
      </w:pPr>
    </w:p>
    <w:p w14:paraId="4774A597" w14:textId="4A4C1D53" w:rsidR="00032D2C" w:rsidRPr="00032D2C" w:rsidRDefault="00032D2C" w:rsidP="00032D2C">
      <w:pPr>
        <w:spacing w:line="240" w:lineRule="auto"/>
        <w:rPr>
          <w:rFonts w:eastAsia="Times New Roman" w:cs="Arial"/>
          <w:sz w:val="24"/>
          <w:szCs w:val="24"/>
        </w:rPr>
      </w:pPr>
      <w:r w:rsidRPr="00032D2C">
        <w:rPr>
          <w:rFonts w:eastAsia="Times New Roman" w:cs="Arial"/>
          <w:color w:val="000000"/>
          <w:lang w:eastAsia="bg-BG"/>
        </w:rPr>
        <w:t xml:space="preserve">За кларитромицин е показано, че причинява загуба на ембриона при маймуни, когато се прилага приблизително десет пъти над горната граница на обичайната дневна доза при хора (500 </w:t>
      </w:r>
      <w:r w:rsidRPr="00032D2C">
        <w:rPr>
          <w:rFonts w:eastAsia="Times New Roman" w:cs="Arial"/>
          <w:color w:val="000000"/>
          <w:lang w:val="en-US"/>
        </w:rPr>
        <w:t>mg</w:t>
      </w:r>
      <w:r w:rsidRPr="00032D2C">
        <w:rPr>
          <w:rFonts w:eastAsia="Times New Roman" w:cs="Arial"/>
          <w:color w:val="000000"/>
          <w:lang w:val="ru-RU"/>
        </w:rPr>
        <w:t xml:space="preserve"> </w:t>
      </w:r>
      <w:r w:rsidRPr="00032D2C">
        <w:rPr>
          <w:rFonts w:eastAsia="Times New Roman" w:cs="Arial"/>
          <w:color w:val="000000"/>
          <w:lang w:eastAsia="bg-BG"/>
        </w:rPr>
        <w:t>два пъти дневно), започвайки от 20 гестационен ден. Този ефект се отдава на майчина токсичност на лекарството при много високи дози. Допълнително проучване с бременни маймуни при дозировки приблизително 2,5 до 5 пъти максималната планирана дневна дозировка не показва конкретна опасност за плода.</w:t>
      </w:r>
    </w:p>
    <w:p w14:paraId="5739DF28" w14:textId="77777777" w:rsidR="00032D2C" w:rsidRPr="00032D2C" w:rsidRDefault="00032D2C" w:rsidP="00032D2C">
      <w:pPr>
        <w:spacing w:line="240" w:lineRule="auto"/>
        <w:rPr>
          <w:rFonts w:eastAsia="Times New Roman" w:cs="Arial"/>
          <w:color w:val="000000"/>
          <w:lang w:eastAsia="bg-BG"/>
        </w:rPr>
      </w:pPr>
    </w:p>
    <w:p w14:paraId="61015CEF" w14:textId="60F94E33" w:rsidR="00032D2C" w:rsidRPr="00032D2C" w:rsidRDefault="00032D2C" w:rsidP="00032D2C">
      <w:pPr>
        <w:spacing w:line="240" w:lineRule="auto"/>
        <w:rPr>
          <w:rFonts w:eastAsia="Times New Roman" w:cs="Arial"/>
          <w:sz w:val="24"/>
          <w:szCs w:val="24"/>
        </w:rPr>
      </w:pPr>
      <w:r w:rsidRPr="00032D2C">
        <w:rPr>
          <w:rFonts w:eastAsia="Times New Roman" w:cs="Arial"/>
          <w:color w:val="000000"/>
          <w:lang w:eastAsia="bg-BG"/>
        </w:rPr>
        <w:t xml:space="preserve">Доминантен летален тест при мишки, на които са давани 1 000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 xml:space="preserve">/ден (приблизително 70 пъти максималната дневна клинична доза при хора), е видимо отрицателен за мутагенна активност, а в Сегмент I проучване на плъхове, третирани с до 500 </w:t>
      </w:r>
      <w:r w:rsidRPr="00032D2C">
        <w:rPr>
          <w:rFonts w:eastAsia="Times New Roman" w:cs="Arial"/>
          <w:color w:val="000000"/>
          <w:lang w:val="en-US"/>
        </w:rPr>
        <w:t>mg</w:t>
      </w:r>
      <w:r w:rsidRPr="00032D2C">
        <w:rPr>
          <w:rFonts w:eastAsia="Times New Roman" w:cs="Arial"/>
          <w:color w:val="000000"/>
          <w:lang w:val="ru-RU"/>
        </w:rPr>
        <w:t>/</w:t>
      </w:r>
      <w:r w:rsidRPr="00032D2C">
        <w:rPr>
          <w:rFonts w:eastAsia="Times New Roman" w:cs="Arial"/>
          <w:color w:val="000000"/>
          <w:lang w:val="en-US"/>
        </w:rPr>
        <w:t>kg</w:t>
      </w:r>
      <w:r w:rsidRPr="00032D2C">
        <w:rPr>
          <w:rFonts w:eastAsia="Times New Roman" w:cs="Arial"/>
          <w:color w:val="000000"/>
          <w:lang w:eastAsia="bg-BG"/>
        </w:rPr>
        <w:t>/ден (приблизително 35 пъти максималната дневна клинична доза при хора) за 80 дни, не е показано доказателство за функционално увреждане на мъжката фертилност, дължащо се на тази продължителна експозиция на тези много високи дози кларитромицин.</w:t>
      </w:r>
    </w:p>
    <w:p w14:paraId="53C340EF" w14:textId="77777777" w:rsidR="00032D2C" w:rsidRPr="00032D2C" w:rsidRDefault="00032D2C" w:rsidP="00032D2C">
      <w:pPr>
        <w:spacing w:line="240" w:lineRule="auto"/>
        <w:rPr>
          <w:rFonts w:eastAsia="Times New Roman" w:cs="Arial"/>
          <w:color w:val="000000"/>
          <w:u w:val="single"/>
          <w:lang w:eastAsia="bg-BG"/>
        </w:rPr>
      </w:pPr>
    </w:p>
    <w:p w14:paraId="0C5716D1" w14:textId="6232D932" w:rsidR="00032D2C" w:rsidRPr="00032D2C" w:rsidRDefault="00032D2C" w:rsidP="00032D2C">
      <w:pPr>
        <w:spacing w:line="240" w:lineRule="auto"/>
        <w:rPr>
          <w:rFonts w:eastAsia="Times New Roman" w:cs="Arial"/>
          <w:sz w:val="24"/>
          <w:szCs w:val="24"/>
        </w:rPr>
      </w:pPr>
      <w:r w:rsidRPr="00032D2C">
        <w:rPr>
          <w:rFonts w:eastAsia="Times New Roman" w:cs="Arial"/>
          <w:color w:val="000000"/>
          <w:u w:val="single"/>
          <w:lang w:eastAsia="bg-BG"/>
        </w:rPr>
        <w:t>Мутагенност</w:t>
      </w:r>
    </w:p>
    <w:p w14:paraId="6035A693" w14:textId="77777777" w:rsidR="00032D2C" w:rsidRPr="00032D2C" w:rsidRDefault="00032D2C" w:rsidP="00032D2C">
      <w:pPr>
        <w:spacing w:line="240" w:lineRule="auto"/>
        <w:rPr>
          <w:rFonts w:eastAsia="Times New Roman" w:cs="Arial"/>
          <w:color w:val="000000"/>
          <w:lang w:eastAsia="bg-BG"/>
        </w:rPr>
      </w:pPr>
    </w:p>
    <w:p w14:paraId="0413092D" w14:textId="049EEEA3" w:rsidR="00032D2C" w:rsidRPr="00032D2C" w:rsidRDefault="00032D2C" w:rsidP="00032D2C">
      <w:pPr>
        <w:spacing w:line="240" w:lineRule="auto"/>
        <w:rPr>
          <w:rFonts w:eastAsia="Times New Roman" w:cs="Arial"/>
          <w:sz w:val="24"/>
          <w:szCs w:val="24"/>
        </w:rPr>
      </w:pPr>
      <w:r w:rsidRPr="00032D2C">
        <w:rPr>
          <w:rFonts w:eastAsia="Times New Roman" w:cs="Arial"/>
          <w:color w:val="000000"/>
          <w:lang w:eastAsia="bg-BG"/>
        </w:rPr>
        <w:t xml:space="preserve">Извършени са проучвания за оценка на мутагенния потенциал на кларитромицин, като са използвани неактивни и активирани плъши чернодробни микрозомни тестови системи (тест на </w:t>
      </w:r>
      <w:r w:rsidRPr="00032D2C">
        <w:rPr>
          <w:rFonts w:eastAsia="Times New Roman" w:cs="Arial"/>
          <w:i/>
          <w:iCs/>
          <w:color w:val="000000"/>
          <w:lang w:val="en-US"/>
        </w:rPr>
        <w:t>Ames</w:t>
      </w:r>
      <w:r w:rsidRPr="00032D2C">
        <w:rPr>
          <w:rFonts w:eastAsia="Times New Roman" w:cs="Arial"/>
          <w:i/>
          <w:iCs/>
          <w:color w:val="000000"/>
          <w:lang w:val="ru-RU"/>
        </w:rPr>
        <w:t>).</w:t>
      </w:r>
      <w:r w:rsidRPr="00032D2C">
        <w:rPr>
          <w:rFonts w:eastAsia="Times New Roman" w:cs="Arial"/>
          <w:color w:val="000000"/>
          <w:lang w:val="ru-RU"/>
        </w:rPr>
        <w:t xml:space="preserve"> </w:t>
      </w:r>
      <w:r w:rsidRPr="00032D2C">
        <w:rPr>
          <w:rFonts w:eastAsia="Times New Roman" w:cs="Arial"/>
          <w:color w:val="000000"/>
          <w:lang w:eastAsia="bg-BG"/>
        </w:rPr>
        <w:t>Резултатите от тези проучвания показват липса на доказателство за мутагенен потенциал при лекарствени концентрации от 25 μ</w:t>
      </w:r>
      <w:r w:rsidRPr="00032D2C">
        <w:rPr>
          <w:rFonts w:eastAsia="Times New Roman" w:cs="Arial"/>
          <w:color w:val="000000"/>
          <w:lang w:val="en-US"/>
        </w:rPr>
        <w:t>g</w:t>
      </w:r>
      <w:r w:rsidRPr="00032D2C">
        <w:rPr>
          <w:rFonts w:eastAsia="Times New Roman" w:cs="Arial"/>
          <w:color w:val="000000"/>
          <w:lang w:eastAsia="bg-BG"/>
        </w:rPr>
        <w:t>/петриева паничка или по-ниски. При концентрация от 50</w:t>
      </w:r>
    </w:p>
    <w:p w14:paraId="6953AE21" w14:textId="77777777" w:rsidR="00032D2C" w:rsidRPr="00032D2C" w:rsidRDefault="00032D2C" w:rsidP="00032D2C">
      <w:pPr>
        <w:spacing w:line="240" w:lineRule="auto"/>
        <w:rPr>
          <w:rFonts w:eastAsia="Times New Roman" w:cs="Arial"/>
          <w:sz w:val="24"/>
          <w:szCs w:val="24"/>
        </w:rPr>
      </w:pPr>
      <w:r w:rsidRPr="00032D2C">
        <w:rPr>
          <w:rFonts w:eastAsia="Times New Roman" w:cs="Arial"/>
          <w:color w:val="000000"/>
          <w:lang w:eastAsia="bg-BG"/>
        </w:rPr>
        <w:t>μ</w:t>
      </w:r>
      <w:r w:rsidRPr="00032D2C">
        <w:rPr>
          <w:rFonts w:eastAsia="Times New Roman" w:cs="Arial"/>
          <w:color w:val="000000"/>
          <w:lang w:val="en-US"/>
        </w:rPr>
        <w:t>g</w:t>
      </w:r>
      <w:r w:rsidRPr="00032D2C">
        <w:rPr>
          <w:rFonts w:eastAsia="Times New Roman" w:cs="Arial"/>
          <w:color w:val="000000"/>
          <w:lang w:val="ru-RU"/>
        </w:rPr>
        <w:t xml:space="preserve"> </w:t>
      </w:r>
      <w:r w:rsidRPr="00032D2C">
        <w:rPr>
          <w:rFonts w:eastAsia="Times New Roman" w:cs="Arial"/>
          <w:color w:val="000000"/>
          <w:lang w:eastAsia="bg-BG"/>
        </w:rPr>
        <w:t>лекарството е било токсично за всички изследвани щамове.</w:t>
      </w:r>
    </w:p>
    <w:p w14:paraId="487F9BE3" w14:textId="05443A8F" w:rsidR="000D0CFC" w:rsidRPr="000D0CFC" w:rsidRDefault="000D0CFC" w:rsidP="000D0CFC"/>
    <w:p w14:paraId="6A7820AB" w14:textId="5EA2B06D" w:rsidR="008A6AF2" w:rsidRDefault="002C50EE" w:rsidP="00395555">
      <w:pPr>
        <w:pStyle w:val="Heading1"/>
      </w:pPr>
      <w:r>
        <w:t>7. ПРИТЕЖАТЕЛ НА РАЗРЕШЕНИЕТО ЗА УПОТРЕБА</w:t>
      </w:r>
    </w:p>
    <w:p w14:paraId="22571C5E" w14:textId="02E802AA" w:rsidR="00032D2C" w:rsidRDefault="00032D2C" w:rsidP="00032D2C"/>
    <w:p w14:paraId="65B858F4" w14:textId="77777777" w:rsidR="00032D2C" w:rsidRPr="00032D2C" w:rsidRDefault="00032D2C" w:rsidP="00032D2C">
      <w:pPr>
        <w:rPr>
          <w:sz w:val="24"/>
          <w:szCs w:val="24"/>
        </w:rPr>
      </w:pPr>
      <w:r w:rsidRPr="00032D2C">
        <w:rPr>
          <w:lang w:eastAsia="bg-BG"/>
        </w:rPr>
        <w:t>Майлан ЕООД</w:t>
      </w:r>
    </w:p>
    <w:p w14:paraId="6C396CD1" w14:textId="77777777" w:rsidR="00032D2C" w:rsidRPr="00032D2C" w:rsidRDefault="00032D2C" w:rsidP="00032D2C">
      <w:pPr>
        <w:rPr>
          <w:sz w:val="24"/>
          <w:szCs w:val="24"/>
        </w:rPr>
      </w:pPr>
      <w:r w:rsidRPr="00032D2C">
        <w:rPr>
          <w:lang w:eastAsia="bg-BG"/>
        </w:rPr>
        <w:t>Офис сграда „Сердика офиси“</w:t>
      </w:r>
    </w:p>
    <w:p w14:paraId="72108881" w14:textId="77777777" w:rsidR="00032D2C" w:rsidRPr="00032D2C" w:rsidRDefault="00032D2C" w:rsidP="00032D2C">
      <w:pPr>
        <w:rPr>
          <w:sz w:val="24"/>
          <w:szCs w:val="24"/>
        </w:rPr>
      </w:pPr>
      <w:r w:rsidRPr="00032D2C">
        <w:rPr>
          <w:lang w:eastAsia="bg-BG"/>
        </w:rPr>
        <w:t>бул. Ситняково № 48, ет. 7</w:t>
      </w:r>
    </w:p>
    <w:p w14:paraId="7F51C35B" w14:textId="77777777" w:rsidR="00032D2C" w:rsidRPr="00032D2C" w:rsidRDefault="00032D2C" w:rsidP="00032D2C">
      <w:pPr>
        <w:rPr>
          <w:sz w:val="24"/>
          <w:szCs w:val="24"/>
        </w:rPr>
      </w:pPr>
      <w:r w:rsidRPr="00032D2C">
        <w:rPr>
          <w:lang w:eastAsia="bg-BG"/>
        </w:rPr>
        <w:t>1505 София, България</w:t>
      </w:r>
    </w:p>
    <w:p w14:paraId="19BAF64C" w14:textId="77777777" w:rsidR="00032D2C" w:rsidRPr="00032D2C" w:rsidRDefault="00032D2C" w:rsidP="00032D2C"/>
    <w:p w14:paraId="04840D59" w14:textId="7EC07C0E" w:rsidR="002C50EE" w:rsidRDefault="002C50EE" w:rsidP="00395555">
      <w:pPr>
        <w:pStyle w:val="Heading1"/>
      </w:pPr>
      <w:r>
        <w:t>8. НОМЕР НА РАЗРЕШЕНИЕТО ЗА УПОТРЕБА</w:t>
      </w:r>
    </w:p>
    <w:p w14:paraId="39642AFC" w14:textId="52D1CFCD" w:rsidR="00032D2C" w:rsidRDefault="00032D2C" w:rsidP="00032D2C"/>
    <w:p w14:paraId="169A5D35" w14:textId="77777777" w:rsidR="00032D2C" w:rsidRPr="00032D2C" w:rsidRDefault="00032D2C" w:rsidP="00032D2C">
      <w:pPr>
        <w:rPr>
          <w:sz w:val="24"/>
          <w:szCs w:val="24"/>
        </w:rPr>
      </w:pPr>
      <w:r w:rsidRPr="00032D2C">
        <w:rPr>
          <w:lang w:eastAsia="bg-BG"/>
        </w:rPr>
        <w:t>Регистрационен номер: 20010734</w:t>
      </w:r>
    </w:p>
    <w:p w14:paraId="561DC589" w14:textId="77777777" w:rsidR="00032D2C" w:rsidRPr="00032D2C" w:rsidRDefault="00032D2C" w:rsidP="00032D2C"/>
    <w:p w14:paraId="2CCB5832" w14:textId="3AF685C8" w:rsidR="007C605B" w:rsidRDefault="002C50EE" w:rsidP="007C605B">
      <w:pPr>
        <w:pStyle w:val="Heading1"/>
      </w:pPr>
      <w:r>
        <w:t>9. ДАТА НА ПЪРВО РАЗРЕШАВАНЕ/ПОДНОВЯВАНЕ НА РАЗРЕШЕНИЕТО ЗА УПОТРЕБА</w:t>
      </w:r>
    </w:p>
    <w:p w14:paraId="1E772718" w14:textId="5C238A99" w:rsidR="00032D2C" w:rsidRDefault="00032D2C" w:rsidP="00032D2C"/>
    <w:p w14:paraId="38D6C03B" w14:textId="77777777" w:rsidR="00032D2C" w:rsidRPr="00032D2C" w:rsidRDefault="00032D2C" w:rsidP="00032D2C">
      <w:pPr>
        <w:rPr>
          <w:sz w:val="24"/>
          <w:szCs w:val="24"/>
        </w:rPr>
      </w:pPr>
      <w:r w:rsidRPr="00032D2C">
        <w:rPr>
          <w:lang w:eastAsia="bg-BG"/>
        </w:rPr>
        <w:t>Дата на първо разрешаване: 25 юни 2001 г.</w:t>
      </w:r>
    </w:p>
    <w:p w14:paraId="5A890957" w14:textId="5CFE0B63" w:rsidR="00032D2C" w:rsidRPr="00032D2C" w:rsidRDefault="00032D2C" w:rsidP="00032D2C">
      <w:pPr>
        <w:rPr>
          <w:sz w:val="24"/>
          <w:szCs w:val="24"/>
        </w:rPr>
      </w:pPr>
      <w:r w:rsidRPr="00032D2C">
        <w:rPr>
          <w:lang w:eastAsia="bg-BG"/>
        </w:rPr>
        <w:t>Дата на последно подновяване: 4 октомври 2011 г.</w:t>
      </w:r>
    </w:p>
    <w:p w14:paraId="0E9D0119" w14:textId="0245C6D7" w:rsidR="002C50EE" w:rsidRDefault="002C50EE" w:rsidP="002C50EE">
      <w:pPr>
        <w:pStyle w:val="Heading1"/>
      </w:pPr>
      <w:r>
        <w:lastRenderedPageBreak/>
        <w:t>10. ДАТА НА АКТУАЛИЗИРАНЕ НА ТЕКСТА</w:t>
      </w:r>
    </w:p>
    <w:bookmarkEnd w:id="0"/>
    <w:p w14:paraId="43FB38A2" w14:textId="4F0601D2" w:rsidR="007C605B" w:rsidRPr="003E3126" w:rsidRDefault="00032D2C" w:rsidP="00032D2C">
      <w:r>
        <w:t>02/2021</w:t>
      </w:r>
      <w:bookmarkStart w:id="8" w:name="_GoBack"/>
      <w:bookmarkEnd w:id="8"/>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246BF"/>
    <w:multiLevelType w:val="hybridMultilevel"/>
    <w:tmpl w:val="A52E83D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E3849"/>
    <w:multiLevelType w:val="hybridMultilevel"/>
    <w:tmpl w:val="2DEE512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F0915"/>
    <w:multiLevelType w:val="hybridMultilevel"/>
    <w:tmpl w:val="1826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83615"/>
    <w:multiLevelType w:val="hybridMultilevel"/>
    <w:tmpl w:val="F74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2"/>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1"/>
  </w:num>
  <w:num w:numId="15">
    <w:abstractNumId w:val="30"/>
  </w:num>
  <w:num w:numId="16">
    <w:abstractNumId w:val="9"/>
  </w:num>
  <w:num w:numId="17">
    <w:abstractNumId w:val="26"/>
  </w:num>
  <w:num w:numId="18">
    <w:abstractNumId w:val="7"/>
  </w:num>
  <w:num w:numId="19">
    <w:abstractNumId w:val="28"/>
  </w:num>
  <w:num w:numId="20">
    <w:abstractNumId w:val="25"/>
  </w:num>
  <w:num w:numId="21">
    <w:abstractNumId w:val="18"/>
  </w:num>
  <w:num w:numId="22">
    <w:abstractNumId w:val="27"/>
  </w:num>
  <w:num w:numId="23">
    <w:abstractNumId w:val="19"/>
  </w:num>
  <w:num w:numId="24">
    <w:abstractNumId w:val="8"/>
  </w:num>
  <w:num w:numId="25">
    <w:abstractNumId w:val="24"/>
  </w:num>
  <w:num w:numId="26">
    <w:abstractNumId w:val="23"/>
  </w:num>
  <w:num w:numId="27">
    <w:abstractNumId w:val="33"/>
  </w:num>
  <w:num w:numId="28">
    <w:abstractNumId w:val="6"/>
  </w:num>
  <w:num w:numId="29">
    <w:abstractNumId w:val="22"/>
  </w:num>
  <w:num w:numId="30">
    <w:abstractNumId w:val="35"/>
  </w:num>
  <w:num w:numId="31">
    <w:abstractNumId w:val="5"/>
  </w:num>
  <w:num w:numId="32">
    <w:abstractNumId w:val="34"/>
  </w:num>
  <w:num w:numId="33">
    <w:abstractNumId w:val="13"/>
  </w:num>
  <w:num w:numId="34">
    <w:abstractNumId w:val="14"/>
  </w:num>
  <w:num w:numId="35">
    <w:abstractNumId w:val="2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32D2C"/>
    <w:rsid w:val="000D0CFC"/>
    <w:rsid w:val="00185A46"/>
    <w:rsid w:val="001915B6"/>
    <w:rsid w:val="001D1B23"/>
    <w:rsid w:val="002B3C38"/>
    <w:rsid w:val="002B4DBB"/>
    <w:rsid w:val="002C50EE"/>
    <w:rsid w:val="00340A0A"/>
    <w:rsid w:val="003765DC"/>
    <w:rsid w:val="00395555"/>
    <w:rsid w:val="003E3126"/>
    <w:rsid w:val="00426E5F"/>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9009</Words>
  <Characters>51352</Characters>
  <Application>Microsoft Office Word</Application>
  <DocSecurity>0</DocSecurity>
  <Lines>427</Lines>
  <Paragraphs>120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2022-02-18T17:25:00Z</dcterms:created>
  <dcterms:modified xsi:type="dcterms:W3CDTF">2022-02-18T17:25:00Z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