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4F735328" w14:textId="6FB8F774" w:rsidR="00DF4C8E" w:rsidRDefault="00DD466D" w:rsidP="00F44498">
      <w:pPr>
        <w:pStyle w:val="Heading1"/>
      </w:pPr>
      <w:r>
        <w:t>1.ИМЕ НА ЛЕКАРСТВЕНИЯ ПРОДУКТ</w:t>
      </w:r>
    </w:p>
    <w:p w14:paraId="25F9FF73" w14:textId="02C99E3F" w:rsidR="00830C0E" w:rsidRDefault="00830C0E" w:rsidP="00830C0E"/>
    <w:p w14:paraId="33C925EA" w14:textId="77777777" w:rsidR="00830C0E" w:rsidRPr="00830C0E" w:rsidRDefault="00830C0E" w:rsidP="00830C0E">
      <w:pPr>
        <w:rPr>
          <w:sz w:val="24"/>
          <w:szCs w:val="24"/>
        </w:rPr>
      </w:pPr>
      <w:r w:rsidRPr="00830C0E">
        <w:rPr>
          <w:lang w:eastAsia="bg-BG"/>
        </w:rPr>
        <w:t xml:space="preserve">Клеримед 250 </w:t>
      </w:r>
      <w:r w:rsidRPr="00830C0E">
        <w:rPr>
          <w:lang w:val="en-US"/>
        </w:rPr>
        <w:t>mg</w:t>
      </w:r>
      <w:r w:rsidRPr="00830C0E">
        <w:t xml:space="preserve"> </w:t>
      </w:r>
      <w:r w:rsidRPr="00830C0E">
        <w:rPr>
          <w:lang w:eastAsia="bg-BG"/>
        </w:rPr>
        <w:t>филмирани таблетки</w:t>
      </w:r>
    </w:p>
    <w:p w14:paraId="46C051F5" w14:textId="77777777" w:rsidR="00830C0E" w:rsidRPr="00830C0E" w:rsidRDefault="00830C0E" w:rsidP="00830C0E">
      <w:pPr>
        <w:rPr>
          <w:sz w:val="24"/>
          <w:szCs w:val="24"/>
        </w:rPr>
      </w:pPr>
      <w:proofErr w:type="spellStart"/>
      <w:r w:rsidRPr="00830C0E">
        <w:rPr>
          <w:lang w:val="en-US"/>
        </w:rPr>
        <w:t>Klerimed</w:t>
      </w:r>
      <w:proofErr w:type="spellEnd"/>
      <w:r w:rsidRPr="00830C0E">
        <w:t xml:space="preserve"> </w:t>
      </w:r>
      <w:r w:rsidRPr="00830C0E">
        <w:rPr>
          <w:lang w:eastAsia="bg-BG"/>
        </w:rPr>
        <w:t xml:space="preserve">250 </w:t>
      </w:r>
      <w:r w:rsidRPr="00830C0E">
        <w:rPr>
          <w:lang w:val="en-US"/>
        </w:rPr>
        <w:t>mg</w:t>
      </w:r>
      <w:r w:rsidRPr="00830C0E">
        <w:t xml:space="preserve"> </w:t>
      </w:r>
      <w:r w:rsidRPr="00830C0E">
        <w:rPr>
          <w:lang w:val="en-US"/>
        </w:rPr>
        <w:t>film</w:t>
      </w:r>
      <w:r w:rsidRPr="00830C0E">
        <w:t>-</w:t>
      </w:r>
      <w:r w:rsidRPr="00830C0E">
        <w:rPr>
          <w:lang w:val="en-US"/>
        </w:rPr>
        <w:t>coated</w:t>
      </w:r>
      <w:r w:rsidRPr="00830C0E">
        <w:t xml:space="preserve"> </w:t>
      </w:r>
      <w:r w:rsidRPr="00830C0E">
        <w:rPr>
          <w:lang w:val="en-US"/>
        </w:rPr>
        <w:t>tablets</w:t>
      </w:r>
    </w:p>
    <w:p w14:paraId="5B14F693" w14:textId="77777777" w:rsidR="00830C0E" w:rsidRPr="00830C0E" w:rsidRDefault="00830C0E" w:rsidP="00830C0E">
      <w:pPr>
        <w:rPr>
          <w:sz w:val="24"/>
          <w:szCs w:val="24"/>
          <w:lang w:val="en-US"/>
        </w:rPr>
      </w:pPr>
      <w:r w:rsidRPr="00830C0E">
        <w:rPr>
          <w:lang w:eastAsia="bg-BG"/>
        </w:rPr>
        <w:t xml:space="preserve">Клеримед </w:t>
      </w:r>
      <w:r w:rsidRPr="00830C0E">
        <w:rPr>
          <w:lang w:val="en-US"/>
        </w:rPr>
        <w:t xml:space="preserve">500 mg </w:t>
      </w:r>
      <w:r w:rsidRPr="00830C0E">
        <w:rPr>
          <w:lang w:eastAsia="bg-BG"/>
        </w:rPr>
        <w:t>филмирани таблетки</w:t>
      </w:r>
    </w:p>
    <w:p w14:paraId="0BC88499" w14:textId="4E4445AF" w:rsidR="00830C0E" w:rsidRPr="00830C0E" w:rsidRDefault="00830C0E" w:rsidP="00830C0E">
      <w:proofErr w:type="spellStart"/>
      <w:r w:rsidRPr="00830C0E">
        <w:rPr>
          <w:lang w:val="en-US"/>
        </w:rPr>
        <w:t>Klerimed</w:t>
      </w:r>
      <w:proofErr w:type="spellEnd"/>
      <w:r w:rsidRPr="00830C0E">
        <w:rPr>
          <w:lang w:val="en-US"/>
        </w:rPr>
        <w:t xml:space="preserve"> </w:t>
      </w:r>
      <w:r w:rsidRPr="00830C0E">
        <w:rPr>
          <w:lang w:eastAsia="bg-BG"/>
        </w:rPr>
        <w:t xml:space="preserve">500 </w:t>
      </w:r>
      <w:r w:rsidRPr="00830C0E">
        <w:rPr>
          <w:lang w:val="en-US"/>
        </w:rPr>
        <w:t>mg film-coated tablets</w:t>
      </w:r>
    </w:p>
    <w:p w14:paraId="2BF7ACB1" w14:textId="2C323413" w:rsidR="00DF4C8E" w:rsidRDefault="00DD466D" w:rsidP="00F44498">
      <w:pPr>
        <w:pStyle w:val="Heading1"/>
      </w:pPr>
      <w:r>
        <w:t>2. КАЧЕСТВЕН И КОЛИЧЕСТВЕН СЪСТАВ</w:t>
      </w:r>
    </w:p>
    <w:p w14:paraId="1D048D27" w14:textId="52A7D940" w:rsidR="00830C0E" w:rsidRDefault="00830C0E" w:rsidP="00830C0E"/>
    <w:p w14:paraId="0C463C0D" w14:textId="7C8A3F43" w:rsidR="00830C0E" w:rsidRPr="00830C0E" w:rsidRDefault="00830C0E" w:rsidP="00830C0E">
      <w:r>
        <w:t xml:space="preserve">Всяка филмирана таблетка Клеримед съдържа 250 </w:t>
      </w:r>
      <w:r>
        <w:rPr>
          <w:lang w:val="en-US"/>
        </w:rPr>
        <w:t>mg</w:t>
      </w:r>
      <w:r w:rsidRPr="00830C0E">
        <w:t xml:space="preserve"> </w:t>
      </w:r>
      <w:r>
        <w:t xml:space="preserve">или 500 </w:t>
      </w:r>
      <w:r>
        <w:rPr>
          <w:lang w:val="en-US"/>
        </w:rPr>
        <w:t>mg</w:t>
      </w:r>
      <w:r w:rsidRPr="00830C0E">
        <w:t xml:space="preserve"> </w:t>
      </w:r>
      <w:r>
        <w:t xml:space="preserve">кларитромицин </w:t>
      </w:r>
      <w:r w:rsidRPr="00830C0E">
        <w:t>(</w:t>
      </w:r>
      <w:r>
        <w:rPr>
          <w:lang w:val="en-US"/>
        </w:rPr>
        <w:t>clarithromycin</w:t>
      </w:r>
      <w:r w:rsidRPr="00830C0E">
        <w:t>)</w:t>
      </w:r>
      <w:r>
        <w:t>.</w:t>
      </w:r>
    </w:p>
    <w:p w14:paraId="614984C4" w14:textId="5EA9F99B" w:rsidR="008A6AF2" w:rsidRDefault="00DD466D" w:rsidP="002C50EE">
      <w:pPr>
        <w:pStyle w:val="Heading1"/>
      </w:pPr>
      <w:r>
        <w:t>3. ЛЕКАРСТВЕНА ФОРМА</w:t>
      </w:r>
    </w:p>
    <w:p w14:paraId="39D98A59" w14:textId="699D4668" w:rsidR="00830C0E" w:rsidRDefault="00830C0E" w:rsidP="00830C0E"/>
    <w:p w14:paraId="263111FD" w14:textId="77777777" w:rsidR="00830C0E" w:rsidRPr="00830C0E" w:rsidRDefault="00830C0E" w:rsidP="00830C0E">
      <w:pPr>
        <w:rPr>
          <w:sz w:val="24"/>
          <w:szCs w:val="24"/>
        </w:rPr>
      </w:pPr>
      <w:r w:rsidRPr="00830C0E">
        <w:rPr>
          <w:lang w:eastAsia="bg-BG"/>
        </w:rPr>
        <w:t>Филмирани таблетки.</w:t>
      </w:r>
    </w:p>
    <w:p w14:paraId="438BEF2D" w14:textId="77777777" w:rsidR="00830C0E" w:rsidRPr="00830C0E" w:rsidRDefault="00830C0E" w:rsidP="00830C0E">
      <w:pPr>
        <w:rPr>
          <w:sz w:val="24"/>
          <w:szCs w:val="24"/>
        </w:rPr>
      </w:pPr>
      <w:r w:rsidRPr="00830C0E">
        <w:rPr>
          <w:lang w:eastAsia="bg-BG"/>
        </w:rPr>
        <w:t xml:space="preserve">Клеримед 250 </w:t>
      </w:r>
      <w:r w:rsidRPr="00830C0E">
        <w:rPr>
          <w:lang w:val="en-US"/>
        </w:rPr>
        <w:t>mg</w:t>
      </w:r>
      <w:r w:rsidRPr="00830C0E">
        <w:rPr>
          <w:lang w:val="ru-RU"/>
        </w:rPr>
        <w:t xml:space="preserve">: </w:t>
      </w:r>
      <w:r w:rsidRPr="00830C0E">
        <w:rPr>
          <w:lang w:eastAsia="bg-BG"/>
        </w:rPr>
        <w:t xml:space="preserve">жълти, с овална форма скосени филмирани таблетки, с делителна черта от едната страна и размери </w:t>
      </w:r>
      <w:r w:rsidRPr="00830C0E">
        <w:rPr>
          <w:lang w:val="ru-RU"/>
        </w:rPr>
        <w:t>14</w:t>
      </w:r>
      <w:r w:rsidRPr="00830C0E">
        <w:rPr>
          <w:lang w:val="en-US"/>
        </w:rPr>
        <w:t>x</w:t>
      </w:r>
      <w:r w:rsidRPr="00830C0E">
        <w:rPr>
          <w:lang w:val="ru-RU"/>
        </w:rPr>
        <w:t xml:space="preserve">8 </w:t>
      </w:r>
      <w:r w:rsidRPr="00830C0E">
        <w:rPr>
          <w:lang w:val="en-US"/>
        </w:rPr>
        <w:t>mm</w:t>
      </w:r>
      <w:r w:rsidRPr="00830C0E">
        <w:rPr>
          <w:lang w:val="ru-RU"/>
        </w:rPr>
        <w:t>.</w:t>
      </w:r>
    </w:p>
    <w:p w14:paraId="6A636A23" w14:textId="77777777" w:rsidR="00830C0E" w:rsidRPr="00830C0E" w:rsidRDefault="00830C0E" w:rsidP="00830C0E">
      <w:pPr>
        <w:rPr>
          <w:sz w:val="24"/>
          <w:szCs w:val="24"/>
        </w:rPr>
      </w:pPr>
      <w:r w:rsidRPr="00830C0E">
        <w:rPr>
          <w:lang w:eastAsia="bg-BG"/>
        </w:rPr>
        <w:t xml:space="preserve">Клеримед 500 </w:t>
      </w:r>
      <w:r w:rsidRPr="00830C0E">
        <w:rPr>
          <w:lang w:val="en-US"/>
        </w:rPr>
        <w:t>mg</w:t>
      </w:r>
      <w:r w:rsidRPr="00830C0E">
        <w:rPr>
          <w:lang w:val="ru-RU"/>
        </w:rPr>
        <w:t xml:space="preserve">: </w:t>
      </w:r>
      <w:r w:rsidRPr="00830C0E">
        <w:rPr>
          <w:lang w:eastAsia="bg-BG"/>
        </w:rPr>
        <w:t xml:space="preserve">жълти, с овална форма скосени филмирани таблетки с диаметър на ядрото 19,0 х 10,0 </w:t>
      </w:r>
      <w:r w:rsidRPr="00830C0E">
        <w:rPr>
          <w:lang w:val="en-US"/>
        </w:rPr>
        <w:t>mm</w:t>
      </w:r>
      <w:r w:rsidRPr="00830C0E">
        <w:rPr>
          <w:lang w:val="ru-RU"/>
        </w:rPr>
        <w:t>.</w:t>
      </w:r>
    </w:p>
    <w:p w14:paraId="51A2E7F6" w14:textId="77777777" w:rsidR="00830C0E" w:rsidRPr="00830C0E" w:rsidRDefault="00830C0E" w:rsidP="00830C0E"/>
    <w:p w14:paraId="490FC2C4" w14:textId="32682B15" w:rsidR="002C50EE" w:rsidRDefault="002C50EE" w:rsidP="002C50EE">
      <w:pPr>
        <w:pStyle w:val="Heading1"/>
      </w:pPr>
      <w:r>
        <w:t>4. КЛИНИЧНИ ДАННИ</w:t>
      </w:r>
    </w:p>
    <w:p w14:paraId="754A29C8" w14:textId="34304510" w:rsidR="00C0049F" w:rsidRDefault="002C50EE" w:rsidP="009F1313">
      <w:pPr>
        <w:pStyle w:val="Heading2"/>
      </w:pPr>
      <w:r>
        <w:t>4.1. Терапевтични показания</w:t>
      </w:r>
    </w:p>
    <w:p w14:paraId="3B129A43" w14:textId="02EBA3ED" w:rsidR="00DF4C8E" w:rsidRDefault="00DF4C8E" w:rsidP="00DF4C8E">
      <w:pPr>
        <w:rPr>
          <w:rFonts w:cs="Arial"/>
          <w:sz w:val="24"/>
        </w:rPr>
      </w:pPr>
    </w:p>
    <w:p w14:paraId="31C4A27C" w14:textId="77777777" w:rsidR="00830C0E" w:rsidRPr="00830C0E" w:rsidRDefault="00830C0E" w:rsidP="00830C0E">
      <w:pPr>
        <w:rPr>
          <w:sz w:val="24"/>
          <w:szCs w:val="24"/>
        </w:rPr>
      </w:pPr>
      <w:r w:rsidRPr="00830C0E">
        <w:rPr>
          <w:lang w:eastAsia="bg-BG"/>
        </w:rPr>
        <w:t>За лечение на инфекции, причинени от чувствителни микроорганизми като:</w:t>
      </w:r>
    </w:p>
    <w:p w14:paraId="5F9A3A6C" w14:textId="77777777" w:rsidR="00830C0E" w:rsidRPr="00830C0E" w:rsidRDefault="00830C0E" w:rsidP="00830C0E">
      <w:pPr>
        <w:pStyle w:val="ListParagraph"/>
        <w:numPr>
          <w:ilvl w:val="0"/>
          <w:numId w:val="34"/>
        </w:numPr>
        <w:rPr>
          <w:lang w:eastAsia="bg-BG"/>
        </w:rPr>
      </w:pPr>
      <w:r w:rsidRPr="00830C0E">
        <w:rPr>
          <w:lang w:eastAsia="bg-BG"/>
        </w:rPr>
        <w:t>инфекции на горните дихателни пътища (като фарингит,синуит) (вижте точки</w:t>
      </w:r>
    </w:p>
    <w:p w14:paraId="3AC03719" w14:textId="77777777" w:rsidR="00830C0E" w:rsidRPr="00830C0E" w:rsidRDefault="00830C0E" w:rsidP="00830C0E">
      <w:pPr>
        <w:pStyle w:val="ListParagraph"/>
        <w:rPr>
          <w:sz w:val="24"/>
          <w:szCs w:val="24"/>
        </w:rPr>
      </w:pPr>
      <w:r w:rsidRPr="00830C0E">
        <w:rPr>
          <w:lang w:eastAsia="bg-BG"/>
        </w:rPr>
        <w:t>4.4 и 5.1 относно тестване за чувствителност);</w:t>
      </w:r>
    </w:p>
    <w:p w14:paraId="7B0E8934" w14:textId="77777777" w:rsidR="00830C0E" w:rsidRPr="00830C0E" w:rsidRDefault="00830C0E" w:rsidP="00830C0E">
      <w:pPr>
        <w:pStyle w:val="ListParagraph"/>
        <w:numPr>
          <w:ilvl w:val="0"/>
          <w:numId w:val="34"/>
        </w:numPr>
        <w:rPr>
          <w:lang w:eastAsia="bg-BG"/>
        </w:rPr>
      </w:pPr>
      <w:r w:rsidRPr="00830C0E">
        <w:rPr>
          <w:lang w:eastAsia="bg-BG"/>
        </w:rPr>
        <w:t>инфекции на долните дихателни пътища (като бронхит, пневмония);</w:t>
      </w:r>
    </w:p>
    <w:p w14:paraId="77B288E6" w14:textId="77777777" w:rsidR="00830C0E" w:rsidRPr="00830C0E" w:rsidRDefault="00830C0E" w:rsidP="00830C0E">
      <w:pPr>
        <w:pStyle w:val="ListParagraph"/>
        <w:numPr>
          <w:ilvl w:val="0"/>
          <w:numId w:val="34"/>
        </w:numPr>
        <w:rPr>
          <w:lang w:eastAsia="bg-BG"/>
        </w:rPr>
      </w:pPr>
      <w:r w:rsidRPr="00830C0E">
        <w:rPr>
          <w:lang w:eastAsia="bg-BG"/>
        </w:rPr>
        <w:t>инфекции на кожата и меките тъкани (като фоликулит, целулит, еризипел)</w:t>
      </w:r>
    </w:p>
    <w:p w14:paraId="173AC6E2" w14:textId="77777777" w:rsidR="00830C0E" w:rsidRPr="00830C0E" w:rsidRDefault="00830C0E" w:rsidP="00830C0E">
      <w:pPr>
        <w:pStyle w:val="ListParagraph"/>
        <w:rPr>
          <w:sz w:val="24"/>
          <w:szCs w:val="24"/>
        </w:rPr>
      </w:pPr>
      <w:r w:rsidRPr="00830C0E">
        <w:rPr>
          <w:lang w:eastAsia="bg-BG"/>
        </w:rPr>
        <w:t>(вижте точки 4.4 и 5.1 относно тестване за чувствителност)</w:t>
      </w:r>
    </w:p>
    <w:p w14:paraId="42B0025D" w14:textId="45F2B3B5" w:rsidR="00830C0E" w:rsidRPr="00830C0E" w:rsidRDefault="00830C0E" w:rsidP="00830C0E">
      <w:pPr>
        <w:pStyle w:val="ListParagraph"/>
        <w:numPr>
          <w:ilvl w:val="0"/>
          <w:numId w:val="34"/>
        </w:numPr>
        <w:rPr>
          <w:lang w:eastAsia="bg-BG"/>
        </w:rPr>
      </w:pPr>
      <w:r w:rsidRPr="00830C0E">
        <w:rPr>
          <w:lang w:eastAsia="bg-BG"/>
        </w:rPr>
        <w:t>дисеминирани или локализирани микобактериални инфекции, причинени от</w:t>
      </w:r>
      <w:r>
        <w:rPr>
          <w:lang w:eastAsia="bg-BG"/>
        </w:rPr>
        <w:t xml:space="preserve"> </w:t>
      </w:r>
      <w:r w:rsidRPr="00830C0E">
        <w:rPr>
          <w:i/>
          <w:iCs/>
          <w:lang w:val="en-US"/>
        </w:rPr>
        <w:t>Mycobacterium</w:t>
      </w:r>
      <w:r w:rsidRPr="00830C0E">
        <w:rPr>
          <w:i/>
          <w:iCs/>
        </w:rPr>
        <w:t xml:space="preserve"> </w:t>
      </w:r>
      <w:proofErr w:type="spellStart"/>
      <w:r w:rsidRPr="00830C0E">
        <w:rPr>
          <w:i/>
          <w:iCs/>
          <w:lang w:val="en-US"/>
        </w:rPr>
        <w:t>avium</w:t>
      </w:r>
      <w:proofErr w:type="spellEnd"/>
      <w:r w:rsidRPr="00830C0E">
        <w:t xml:space="preserve"> </w:t>
      </w:r>
      <w:r w:rsidRPr="00830C0E">
        <w:rPr>
          <w:lang w:eastAsia="bg-BG"/>
        </w:rPr>
        <w:t xml:space="preserve">или </w:t>
      </w:r>
      <w:r w:rsidRPr="00830C0E">
        <w:rPr>
          <w:i/>
          <w:iCs/>
          <w:lang w:val="en-US"/>
        </w:rPr>
        <w:t>Mycobacterium</w:t>
      </w:r>
      <w:r w:rsidRPr="00830C0E">
        <w:rPr>
          <w:i/>
          <w:iCs/>
        </w:rPr>
        <w:t xml:space="preserve"> </w:t>
      </w:r>
      <w:proofErr w:type="spellStart"/>
      <w:r w:rsidRPr="00830C0E">
        <w:rPr>
          <w:i/>
          <w:iCs/>
          <w:lang w:val="en-US"/>
        </w:rPr>
        <w:t>intracellulare</w:t>
      </w:r>
      <w:proofErr w:type="spellEnd"/>
      <w:r w:rsidRPr="00830C0E">
        <w:rPr>
          <w:i/>
          <w:iCs/>
        </w:rPr>
        <w:t>.</w:t>
      </w:r>
      <w:r w:rsidRPr="00830C0E">
        <w:t xml:space="preserve"> </w:t>
      </w:r>
      <w:r w:rsidRPr="00830C0E">
        <w:rPr>
          <w:lang w:eastAsia="bg-BG"/>
        </w:rPr>
        <w:t>Локализирани инфекции, причинени от</w:t>
      </w:r>
      <w:r w:rsidRPr="00830C0E">
        <w:rPr>
          <w:i/>
          <w:iCs/>
          <w:lang w:eastAsia="bg-BG"/>
        </w:rPr>
        <w:t xml:space="preserve"> </w:t>
      </w:r>
      <w:r w:rsidRPr="00830C0E">
        <w:rPr>
          <w:i/>
          <w:iCs/>
          <w:lang w:val="en-US"/>
        </w:rPr>
        <w:t xml:space="preserve">Mycobacterium </w:t>
      </w:r>
      <w:proofErr w:type="spellStart"/>
      <w:r w:rsidRPr="00830C0E">
        <w:rPr>
          <w:i/>
          <w:iCs/>
          <w:lang w:val="en-US"/>
        </w:rPr>
        <w:t>chelonae</w:t>
      </w:r>
      <w:proofErr w:type="spellEnd"/>
      <w:r w:rsidRPr="00830C0E">
        <w:rPr>
          <w:i/>
          <w:iCs/>
          <w:lang w:val="en-US"/>
        </w:rPr>
        <w:t xml:space="preserve">, </w:t>
      </w:r>
      <w:proofErr w:type="spellStart"/>
      <w:r w:rsidRPr="00830C0E">
        <w:rPr>
          <w:i/>
          <w:iCs/>
          <w:lang w:val="en-US"/>
        </w:rPr>
        <w:t>Mycibacterium</w:t>
      </w:r>
      <w:proofErr w:type="spellEnd"/>
      <w:r w:rsidRPr="00830C0E">
        <w:rPr>
          <w:i/>
          <w:iCs/>
          <w:lang w:val="en-US"/>
        </w:rPr>
        <w:t xml:space="preserve"> </w:t>
      </w:r>
      <w:proofErr w:type="spellStart"/>
      <w:r w:rsidRPr="00830C0E">
        <w:rPr>
          <w:i/>
          <w:iCs/>
          <w:lang w:val="en-US"/>
        </w:rPr>
        <w:t>fortuinum</w:t>
      </w:r>
      <w:proofErr w:type="spellEnd"/>
      <w:r w:rsidRPr="00830C0E">
        <w:rPr>
          <w:i/>
          <w:iCs/>
          <w:lang w:val="en-US"/>
        </w:rPr>
        <w:t xml:space="preserve"> </w:t>
      </w:r>
      <w:r w:rsidRPr="00830C0E">
        <w:rPr>
          <w:i/>
          <w:iCs/>
          <w:lang w:eastAsia="bg-BG"/>
        </w:rPr>
        <w:t xml:space="preserve">или </w:t>
      </w:r>
      <w:r w:rsidRPr="00830C0E">
        <w:rPr>
          <w:i/>
          <w:iCs/>
          <w:lang w:val="en-US"/>
        </w:rPr>
        <w:t xml:space="preserve">Mycobacterium </w:t>
      </w:r>
      <w:proofErr w:type="spellStart"/>
      <w:r w:rsidRPr="00830C0E">
        <w:rPr>
          <w:i/>
          <w:iCs/>
          <w:lang w:val="en-US"/>
        </w:rPr>
        <w:t>kansasii</w:t>
      </w:r>
      <w:proofErr w:type="spellEnd"/>
    </w:p>
    <w:p w14:paraId="755790F5" w14:textId="77777777" w:rsidR="00830C0E" w:rsidRPr="00830C0E" w:rsidRDefault="00830C0E" w:rsidP="00830C0E">
      <w:pPr>
        <w:pStyle w:val="ListParagraph"/>
        <w:numPr>
          <w:ilvl w:val="0"/>
          <w:numId w:val="34"/>
        </w:numPr>
        <w:rPr>
          <w:lang w:eastAsia="bg-BG"/>
        </w:rPr>
      </w:pPr>
      <w:r w:rsidRPr="00830C0E">
        <w:rPr>
          <w:lang w:eastAsia="bg-BG"/>
        </w:rPr>
        <w:t xml:space="preserve">профилактика на дисеминирани инфекции, причинени от </w:t>
      </w:r>
      <w:r w:rsidRPr="00830C0E">
        <w:rPr>
          <w:i/>
          <w:iCs/>
          <w:lang w:val="en-US"/>
        </w:rPr>
        <w:t>Mycobacterium</w:t>
      </w:r>
      <w:r w:rsidRPr="00830C0E">
        <w:rPr>
          <w:i/>
          <w:iCs/>
          <w:lang w:val="ru-RU"/>
        </w:rPr>
        <w:t xml:space="preserve"> </w:t>
      </w:r>
      <w:proofErr w:type="spellStart"/>
      <w:r w:rsidRPr="00830C0E">
        <w:rPr>
          <w:i/>
          <w:iCs/>
          <w:lang w:val="en-US"/>
        </w:rPr>
        <w:t>avium</w:t>
      </w:r>
      <w:proofErr w:type="spellEnd"/>
    </w:p>
    <w:p w14:paraId="7B528D9A" w14:textId="77777777" w:rsidR="00830C0E" w:rsidRDefault="00830C0E" w:rsidP="00830C0E">
      <w:pPr>
        <w:pStyle w:val="ListParagraph"/>
        <w:rPr>
          <w:lang w:val="ru-RU"/>
        </w:rPr>
      </w:pPr>
      <w:proofErr w:type="gramStart"/>
      <w:r w:rsidRPr="00830C0E">
        <w:rPr>
          <w:i/>
          <w:iCs/>
          <w:lang w:val="en-US"/>
        </w:rPr>
        <w:t>complex</w:t>
      </w:r>
      <w:proofErr w:type="gramEnd"/>
      <w:r w:rsidRPr="00830C0E">
        <w:rPr>
          <w:lang w:val="ru-RU"/>
        </w:rPr>
        <w:t xml:space="preserve"> </w:t>
      </w:r>
      <w:r w:rsidRPr="00830C0E">
        <w:rPr>
          <w:lang w:eastAsia="bg-BG"/>
        </w:rPr>
        <w:t xml:space="preserve">(МАС) при пациенти със СПИН и брой на </w:t>
      </w:r>
      <w:r w:rsidRPr="00830C0E">
        <w:rPr>
          <w:lang w:val="en-US"/>
        </w:rPr>
        <w:t>CD</w:t>
      </w:r>
      <w:r w:rsidRPr="00830C0E">
        <w:rPr>
          <w:lang w:val="ru-RU"/>
        </w:rPr>
        <w:t xml:space="preserve">4 </w:t>
      </w:r>
      <w:r w:rsidRPr="00830C0E">
        <w:rPr>
          <w:lang w:eastAsia="bg-BG"/>
        </w:rPr>
        <w:t xml:space="preserve">лимфоцитите равен или по-нисък от </w:t>
      </w:r>
      <w:r w:rsidRPr="00830C0E">
        <w:rPr>
          <w:lang w:val="ru-RU"/>
        </w:rPr>
        <w:t>100/</w:t>
      </w:r>
      <w:r w:rsidRPr="00830C0E">
        <w:rPr>
          <w:lang w:val="en-US"/>
        </w:rPr>
        <w:t>mm</w:t>
      </w:r>
      <w:r w:rsidRPr="00830C0E">
        <w:rPr>
          <w:lang w:val="ru-RU"/>
        </w:rPr>
        <w:t>3.</w:t>
      </w:r>
    </w:p>
    <w:p w14:paraId="150DA60A" w14:textId="7D247968" w:rsidR="00830C0E" w:rsidRPr="00830C0E" w:rsidRDefault="00830C0E" w:rsidP="00830C0E">
      <w:pPr>
        <w:pStyle w:val="ListParagraph"/>
        <w:numPr>
          <w:ilvl w:val="0"/>
          <w:numId w:val="34"/>
        </w:numPr>
        <w:rPr>
          <w:sz w:val="24"/>
          <w:szCs w:val="24"/>
        </w:rPr>
      </w:pPr>
      <w:r w:rsidRPr="00830C0E">
        <w:rPr>
          <w:lang w:eastAsia="bg-BG"/>
        </w:rPr>
        <w:t xml:space="preserve">ерадикация на </w:t>
      </w:r>
      <w:r w:rsidRPr="00830C0E">
        <w:rPr>
          <w:i/>
          <w:iCs/>
          <w:lang w:val="en-US"/>
        </w:rPr>
        <w:t>Helicobacter</w:t>
      </w:r>
      <w:r w:rsidRPr="00830C0E">
        <w:rPr>
          <w:i/>
          <w:iCs/>
          <w:lang w:val="ru-RU"/>
        </w:rPr>
        <w:t xml:space="preserve"> </w:t>
      </w:r>
      <w:r w:rsidRPr="00830C0E">
        <w:rPr>
          <w:i/>
          <w:iCs/>
          <w:lang w:val="en-US"/>
        </w:rPr>
        <w:t>pylori</w:t>
      </w:r>
      <w:r w:rsidRPr="00830C0E">
        <w:rPr>
          <w:lang w:val="ru-RU"/>
        </w:rPr>
        <w:t xml:space="preserve"> </w:t>
      </w:r>
      <w:r w:rsidRPr="00830C0E">
        <w:rPr>
          <w:lang w:eastAsia="bg-BG"/>
        </w:rPr>
        <w:t>при потисната стомашна киселинност, което</w:t>
      </w:r>
    </w:p>
    <w:p w14:paraId="47A791D1" w14:textId="77777777" w:rsidR="00830C0E" w:rsidRPr="00830C0E" w:rsidRDefault="00830C0E" w:rsidP="00830C0E">
      <w:pPr>
        <w:pStyle w:val="ListParagraph"/>
        <w:rPr>
          <w:sz w:val="24"/>
          <w:szCs w:val="24"/>
        </w:rPr>
      </w:pPr>
      <w:r w:rsidRPr="00830C0E">
        <w:rPr>
          <w:lang w:eastAsia="bg-BG"/>
        </w:rPr>
        <w:t>води до намаляване честотата на повторна язва на дванадесетопръстника (вижте точка 5.1)</w:t>
      </w:r>
    </w:p>
    <w:p w14:paraId="0291E402" w14:textId="77777777" w:rsidR="00830C0E" w:rsidRPr="00830C0E" w:rsidRDefault="00830C0E" w:rsidP="00830C0E">
      <w:pPr>
        <w:pStyle w:val="ListParagraph"/>
        <w:numPr>
          <w:ilvl w:val="0"/>
          <w:numId w:val="34"/>
        </w:numPr>
        <w:rPr>
          <w:lang w:eastAsia="bg-BG"/>
        </w:rPr>
      </w:pPr>
      <w:r w:rsidRPr="00830C0E">
        <w:rPr>
          <w:lang w:eastAsia="bg-BG"/>
        </w:rPr>
        <w:t>лечение на одонтогенни инфекции.</w:t>
      </w:r>
    </w:p>
    <w:p w14:paraId="1CD370BA" w14:textId="7698400C" w:rsidR="00830C0E" w:rsidRPr="00DF4C8E" w:rsidRDefault="00830C0E" w:rsidP="00DF4C8E">
      <w:pPr>
        <w:rPr>
          <w:rFonts w:cs="Arial"/>
          <w:sz w:val="24"/>
        </w:rPr>
      </w:pPr>
    </w:p>
    <w:p w14:paraId="778B4979" w14:textId="0AE50C36" w:rsidR="00DF4C8E" w:rsidRDefault="002C50EE" w:rsidP="00F44498">
      <w:pPr>
        <w:pStyle w:val="Heading2"/>
      </w:pPr>
      <w:r>
        <w:lastRenderedPageBreak/>
        <w:t>4.2. Дозировка и начин на приложение</w:t>
      </w:r>
    </w:p>
    <w:p w14:paraId="101224D9" w14:textId="231C5946" w:rsidR="00830C0E" w:rsidRDefault="00830C0E" w:rsidP="00830C0E"/>
    <w:p w14:paraId="4CA8439D" w14:textId="77777777" w:rsidR="00830C0E" w:rsidRPr="00830C0E" w:rsidRDefault="00830C0E" w:rsidP="00830C0E">
      <w:pPr>
        <w:pStyle w:val="Heading3"/>
        <w:rPr>
          <w:rFonts w:eastAsia="Times New Roman"/>
          <w:sz w:val="32"/>
          <w:u w:val="single"/>
        </w:rPr>
      </w:pPr>
      <w:r w:rsidRPr="00830C0E">
        <w:rPr>
          <w:rFonts w:eastAsia="Times New Roman"/>
          <w:u w:val="single"/>
          <w:lang w:eastAsia="bg-BG"/>
        </w:rPr>
        <w:t>Дозировка</w:t>
      </w:r>
    </w:p>
    <w:p w14:paraId="13B7D9B8" w14:textId="77777777" w:rsidR="00830C0E" w:rsidRPr="00830C0E" w:rsidRDefault="00830C0E" w:rsidP="00830C0E">
      <w:pPr>
        <w:spacing w:line="240" w:lineRule="auto"/>
        <w:rPr>
          <w:rFonts w:eastAsia="Times New Roman" w:cs="Arial"/>
          <w:b/>
          <w:bCs/>
          <w:i/>
          <w:iCs/>
          <w:color w:val="000000"/>
          <w:szCs w:val="19"/>
          <w:lang w:eastAsia="bg-BG"/>
        </w:rPr>
      </w:pPr>
    </w:p>
    <w:p w14:paraId="6E36B686" w14:textId="0F282F54" w:rsidR="00830C0E" w:rsidRPr="00830C0E" w:rsidRDefault="00830C0E" w:rsidP="00830C0E">
      <w:pPr>
        <w:spacing w:line="240" w:lineRule="auto"/>
        <w:rPr>
          <w:rFonts w:eastAsia="Times New Roman" w:cs="Arial"/>
          <w:bCs/>
          <w:i/>
          <w:iCs/>
          <w:color w:val="000000"/>
          <w:szCs w:val="19"/>
          <w:lang w:eastAsia="bg-BG"/>
        </w:rPr>
      </w:pPr>
      <w:r w:rsidRPr="00830C0E">
        <w:rPr>
          <w:rFonts w:eastAsia="Times New Roman" w:cs="Arial"/>
          <w:bCs/>
          <w:i/>
          <w:iCs/>
          <w:color w:val="000000"/>
          <w:szCs w:val="19"/>
          <w:lang w:eastAsia="bg-BG"/>
        </w:rPr>
        <w:t>Възрастни:</w:t>
      </w:r>
    </w:p>
    <w:p w14:paraId="2F1FF53B"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Обичайната препоръчителна доза при възрастни и деца на и над 12 години е една таблетка от 250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 xml:space="preserve">два пъти дневно. При по-тежки инфекции дозата може да бъде повишена до 500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два пъти дневно. Обичайната продължителност на лечението е 5 до 14 дни с изключение на лечението на пневмонии, придобити в обществото и синуити, които изискват 6 до 14 дни лечение.</w:t>
      </w:r>
    </w:p>
    <w:p w14:paraId="1F66796D" w14:textId="77777777" w:rsidR="00830C0E" w:rsidRPr="00830C0E" w:rsidRDefault="00830C0E" w:rsidP="00830C0E">
      <w:pPr>
        <w:spacing w:line="240" w:lineRule="auto"/>
        <w:rPr>
          <w:rFonts w:eastAsia="Times New Roman" w:cs="Arial"/>
          <w:bCs/>
          <w:i/>
          <w:iCs/>
          <w:color w:val="000000"/>
          <w:szCs w:val="19"/>
          <w:lang w:eastAsia="bg-BG"/>
        </w:rPr>
      </w:pPr>
    </w:p>
    <w:p w14:paraId="780F9DAA" w14:textId="41CE38D1" w:rsidR="00830C0E" w:rsidRPr="00830C0E" w:rsidRDefault="00830C0E" w:rsidP="00830C0E">
      <w:pPr>
        <w:spacing w:line="240" w:lineRule="auto"/>
        <w:rPr>
          <w:rFonts w:eastAsia="Times New Roman" w:cs="Arial"/>
          <w:sz w:val="32"/>
          <w:szCs w:val="24"/>
        </w:rPr>
      </w:pPr>
      <w:r w:rsidRPr="00830C0E">
        <w:rPr>
          <w:rFonts w:eastAsia="Times New Roman" w:cs="Arial"/>
          <w:bCs/>
          <w:i/>
          <w:iCs/>
          <w:color w:val="000000"/>
          <w:szCs w:val="19"/>
          <w:lang w:eastAsia="bg-BG"/>
        </w:rPr>
        <w:t>Дозиране при пациенти е микобактериални инфекции</w:t>
      </w:r>
    </w:p>
    <w:p w14:paraId="0A207CAB"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Препоръчваната доза за възрастни с микобактериални инфекции е 500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два пъти дневно.</w:t>
      </w:r>
    </w:p>
    <w:p w14:paraId="53899112" w14:textId="77777777" w:rsidR="00830C0E" w:rsidRPr="00830C0E" w:rsidRDefault="00830C0E" w:rsidP="00830C0E">
      <w:pPr>
        <w:spacing w:line="240" w:lineRule="auto"/>
        <w:rPr>
          <w:rFonts w:eastAsia="Times New Roman" w:cs="Arial"/>
          <w:bCs/>
          <w:color w:val="000000"/>
          <w:szCs w:val="19"/>
          <w:lang w:eastAsia="bg-BG"/>
        </w:rPr>
      </w:pPr>
    </w:p>
    <w:p w14:paraId="1B5B73FB" w14:textId="041FD05F" w:rsidR="00830C0E" w:rsidRPr="00830C0E" w:rsidRDefault="00830C0E" w:rsidP="00830C0E">
      <w:pPr>
        <w:spacing w:line="240" w:lineRule="auto"/>
        <w:rPr>
          <w:rFonts w:eastAsia="Times New Roman" w:cs="Arial"/>
          <w:bCs/>
          <w:color w:val="000000"/>
          <w:szCs w:val="19"/>
          <w:lang w:eastAsia="bg-BG"/>
        </w:rPr>
      </w:pPr>
      <w:r w:rsidRPr="00830C0E">
        <w:rPr>
          <w:rFonts w:eastAsia="Times New Roman" w:cs="Arial"/>
          <w:bCs/>
          <w:color w:val="000000"/>
          <w:szCs w:val="19"/>
          <w:lang w:eastAsia="bg-BG"/>
        </w:rPr>
        <w:t xml:space="preserve">Лечението на дисеминирани инфекции, причинени от </w:t>
      </w:r>
      <w:r w:rsidRPr="00830C0E">
        <w:rPr>
          <w:rFonts w:eastAsia="Times New Roman" w:cs="Arial"/>
          <w:bCs/>
          <w:i/>
          <w:iCs/>
          <w:color w:val="000000"/>
          <w:szCs w:val="19"/>
          <w:lang w:val="en-US"/>
        </w:rPr>
        <w:t>Mycobacterium</w:t>
      </w:r>
      <w:r w:rsidRPr="00830C0E">
        <w:rPr>
          <w:rFonts w:eastAsia="Times New Roman" w:cs="Arial"/>
          <w:bCs/>
          <w:i/>
          <w:iCs/>
          <w:color w:val="000000"/>
          <w:szCs w:val="19"/>
          <w:lang w:val="ru-RU"/>
        </w:rPr>
        <w:t xml:space="preserve"> </w:t>
      </w:r>
      <w:proofErr w:type="spellStart"/>
      <w:r w:rsidRPr="00830C0E">
        <w:rPr>
          <w:rFonts w:eastAsia="Times New Roman" w:cs="Arial"/>
          <w:bCs/>
          <w:i/>
          <w:iCs/>
          <w:color w:val="000000"/>
          <w:szCs w:val="19"/>
          <w:lang w:val="en-US"/>
        </w:rPr>
        <w:t>avium</w:t>
      </w:r>
      <w:proofErr w:type="spellEnd"/>
      <w:r w:rsidRPr="00830C0E">
        <w:rPr>
          <w:rFonts w:eastAsia="Times New Roman" w:cs="Arial"/>
          <w:bCs/>
          <w:i/>
          <w:iCs/>
          <w:color w:val="000000"/>
          <w:szCs w:val="19"/>
          <w:lang w:val="ru-RU"/>
        </w:rPr>
        <w:t xml:space="preserve"> </w:t>
      </w:r>
      <w:r w:rsidRPr="00830C0E">
        <w:rPr>
          <w:rFonts w:eastAsia="Times New Roman" w:cs="Arial"/>
          <w:bCs/>
          <w:i/>
          <w:iCs/>
          <w:color w:val="000000"/>
          <w:szCs w:val="19"/>
          <w:lang w:val="en-US"/>
        </w:rPr>
        <w:t>complex</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при пациенти със СПИН трябва да продължи до наличие на клиничен и микробиологичен ефект. Кларитромицин трябва да се прилага в комбинация с други антимикобактериални лекарствени продукти.</w:t>
      </w:r>
    </w:p>
    <w:p w14:paraId="15C12298" w14:textId="77777777" w:rsidR="00830C0E" w:rsidRPr="00830C0E" w:rsidRDefault="00830C0E" w:rsidP="00830C0E">
      <w:pPr>
        <w:spacing w:line="240" w:lineRule="auto"/>
        <w:rPr>
          <w:rFonts w:eastAsia="Times New Roman" w:cs="Arial"/>
          <w:bCs/>
          <w:color w:val="000000"/>
          <w:szCs w:val="19"/>
          <w:lang w:eastAsia="bg-BG"/>
        </w:rPr>
      </w:pPr>
    </w:p>
    <w:p w14:paraId="1E7D1F14" w14:textId="5F8F4118"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Лечението на други нетуберкулозни микобактериални инфекции трябва да продължи по преценка на лекаря.</w:t>
      </w:r>
    </w:p>
    <w:p w14:paraId="43746761" w14:textId="77777777" w:rsidR="00830C0E" w:rsidRPr="00830C0E" w:rsidRDefault="00830C0E" w:rsidP="00830C0E">
      <w:pPr>
        <w:spacing w:line="240" w:lineRule="auto"/>
        <w:rPr>
          <w:rFonts w:eastAsia="Times New Roman" w:cs="Arial"/>
          <w:bCs/>
          <w:i/>
          <w:iCs/>
          <w:color w:val="000000"/>
          <w:szCs w:val="19"/>
          <w:lang w:eastAsia="bg-BG"/>
        </w:rPr>
      </w:pPr>
    </w:p>
    <w:p w14:paraId="411E1343" w14:textId="2D58D1C6" w:rsidR="00830C0E" w:rsidRPr="00830C0E" w:rsidRDefault="00830C0E" w:rsidP="00830C0E">
      <w:pPr>
        <w:spacing w:line="240" w:lineRule="auto"/>
        <w:rPr>
          <w:rFonts w:eastAsia="Times New Roman" w:cs="Arial"/>
          <w:sz w:val="32"/>
          <w:szCs w:val="24"/>
        </w:rPr>
      </w:pPr>
      <w:r w:rsidRPr="00830C0E">
        <w:rPr>
          <w:rFonts w:eastAsia="Times New Roman" w:cs="Arial"/>
          <w:bCs/>
          <w:i/>
          <w:iCs/>
          <w:color w:val="000000"/>
          <w:szCs w:val="19"/>
          <w:lang w:eastAsia="bg-BG"/>
        </w:rPr>
        <w:t>Профилактика на инфекции от МАС</w:t>
      </w:r>
    </w:p>
    <w:p w14:paraId="39D5D8BE"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Препоръчаната доза кларитромицин за възрастни е 500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два пъти дневно.</w:t>
      </w:r>
    </w:p>
    <w:p w14:paraId="452A3B2B" w14:textId="77777777" w:rsidR="00830C0E" w:rsidRPr="00830C0E" w:rsidRDefault="00830C0E" w:rsidP="00830C0E">
      <w:pPr>
        <w:spacing w:line="240" w:lineRule="auto"/>
        <w:rPr>
          <w:rFonts w:eastAsia="Times New Roman" w:cs="Arial"/>
          <w:bCs/>
          <w:i/>
          <w:iCs/>
          <w:color w:val="000000"/>
          <w:szCs w:val="19"/>
          <w:lang w:eastAsia="bg-BG"/>
        </w:rPr>
      </w:pPr>
    </w:p>
    <w:p w14:paraId="5BE8BDF9" w14:textId="63AED4E5" w:rsidR="00830C0E" w:rsidRPr="00830C0E" w:rsidRDefault="00830C0E" w:rsidP="00830C0E">
      <w:pPr>
        <w:spacing w:line="240" w:lineRule="auto"/>
        <w:rPr>
          <w:rFonts w:eastAsia="Times New Roman" w:cs="Arial"/>
          <w:sz w:val="32"/>
          <w:szCs w:val="24"/>
        </w:rPr>
      </w:pPr>
      <w:r w:rsidRPr="00830C0E">
        <w:rPr>
          <w:rFonts w:eastAsia="Times New Roman" w:cs="Arial"/>
          <w:bCs/>
          <w:i/>
          <w:iCs/>
          <w:color w:val="000000"/>
          <w:szCs w:val="19"/>
          <w:lang w:eastAsia="bg-BG"/>
        </w:rPr>
        <w:t>Одонтогенни инфекции</w:t>
      </w:r>
    </w:p>
    <w:p w14:paraId="0ACCE834"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Дозата кларитромицин за лечение на одонтогенни инфекции е една таблетка от 250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два пъти дневно в продължение на 5 дни.</w:t>
      </w:r>
    </w:p>
    <w:p w14:paraId="67794464" w14:textId="77777777" w:rsidR="00830C0E" w:rsidRPr="00830C0E" w:rsidRDefault="00830C0E" w:rsidP="00830C0E">
      <w:pPr>
        <w:spacing w:line="240" w:lineRule="auto"/>
        <w:rPr>
          <w:rFonts w:eastAsia="Times New Roman" w:cs="Arial"/>
          <w:bCs/>
          <w:color w:val="000000"/>
          <w:szCs w:val="19"/>
          <w:lang w:eastAsia="bg-BG"/>
        </w:rPr>
      </w:pPr>
    </w:p>
    <w:p w14:paraId="50336471" w14:textId="5EA1279B" w:rsidR="00830C0E" w:rsidRPr="00830C0E" w:rsidRDefault="00830C0E" w:rsidP="00830C0E">
      <w:pPr>
        <w:spacing w:line="240" w:lineRule="auto"/>
        <w:rPr>
          <w:rFonts w:eastAsia="Times New Roman" w:cs="Arial"/>
          <w:bCs/>
          <w:color w:val="000000"/>
          <w:szCs w:val="19"/>
          <w:lang w:eastAsia="bg-BG"/>
        </w:rPr>
      </w:pPr>
      <w:r w:rsidRPr="00830C0E">
        <w:rPr>
          <w:rFonts w:eastAsia="Times New Roman" w:cs="Arial"/>
          <w:bCs/>
          <w:color w:val="000000"/>
          <w:szCs w:val="19"/>
          <w:lang w:eastAsia="bg-BG"/>
        </w:rPr>
        <w:t xml:space="preserve">При пациенти с пептична язва, дължаща се на </w:t>
      </w:r>
      <w:r w:rsidRPr="00830C0E">
        <w:rPr>
          <w:rFonts w:eastAsia="Times New Roman" w:cs="Arial"/>
          <w:bCs/>
          <w:i/>
          <w:iCs/>
          <w:color w:val="000000"/>
          <w:szCs w:val="19"/>
          <w:lang w:eastAsia="bg-BG"/>
        </w:rPr>
        <w:t xml:space="preserve">Н. </w:t>
      </w:r>
      <w:proofErr w:type="gramStart"/>
      <w:r w:rsidRPr="00830C0E">
        <w:rPr>
          <w:rFonts w:eastAsia="Times New Roman" w:cs="Arial"/>
          <w:bCs/>
          <w:i/>
          <w:iCs/>
          <w:color w:val="000000"/>
          <w:szCs w:val="19"/>
          <w:lang w:val="en-US"/>
        </w:rPr>
        <w:t>pylori</w:t>
      </w:r>
      <w:proofErr w:type="gramEnd"/>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 xml:space="preserve">инфекция, кларитромицин се прилага в доза 500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 xml:space="preserve">два </w:t>
      </w:r>
    </w:p>
    <w:p w14:paraId="71F4D832" w14:textId="002CC2A2"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пъти дневно в комбинация с други подходящи антимикробни лекарствени продукти и инхибитори на протонната помпа за 7 - 14 дни, в съответствие с националните и международните препоръки за ерадикация на </w:t>
      </w:r>
      <w:r w:rsidRPr="00830C0E">
        <w:rPr>
          <w:rFonts w:eastAsia="Times New Roman" w:cs="Arial"/>
          <w:bCs/>
          <w:i/>
          <w:iCs/>
          <w:color w:val="000000"/>
          <w:szCs w:val="19"/>
          <w:lang w:eastAsia="bg-BG"/>
        </w:rPr>
        <w:t xml:space="preserve">Н. </w:t>
      </w:r>
      <w:r w:rsidRPr="00830C0E">
        <w:rPr>
          <w:rFonts w:eastAsia="Times New Roman" w:cs="Arial"/>
          <w:bCs/>
          <w:i/>
          <w:iCs/>
          <w:color w:val="000000"/>
          <w:szCs w:val="19"/>
          <w:lang w:val="en-US"/>
        </w:rPr>
        <w:t>Pylori</w:t>
      </w:r>
      <w:r w:rsidRPr="00830C0E">
        <w:rPr>
          <w:rFonts w:eastAsia="Times New Roman" w:cs="Arial"/>
          <w:bCs/>
          <w:i/>
          <w:iCs/>
          <w:color w:val="000000"/>
          <w:szCs w:val="19"/>
          <w:lang w:val="ru-RU"/>
        </w:rPr>
        <w:t>.</w:t>
      </w:r>
    </w:p>
    <w:p w14:paraId="1A41240F" w14:textId="77777777" w:rsidR="00830C0E" w:rsidRPr="00830C0E" w:rsidRDefault="00830C0E" w:rsidP="00830C0E">
      <w:pPr>
        <w:spacing w:line="240" w:lineRule="auto"/>
        <w:rPr>
          <w:rFonts w:eastAsia="Times New Roman" w:cs="Arial"/>
          <w:bCs/>
          <w:i/>
          <w:iCs/>
          <w:color w:val="000000"/>
          <w:szCs w:val="19"/>
          <w:lang w:eastAsia="bg-BG"/>
        </w:rPr>
      </w:pPr>
    </w:p>
    <w:p w14:paraId="5916F70A" w14:textId="32419D6D" w:rsidR="00830C0E" w:rsidRPr="00830C0E" w:rsidRDefault="00830C0E" w:rsidP="00830C0E">
      <w:pPr>
        <w:spacing w:line="240" w:lineRule="auto"/>
        <w:rPr>
          <w:rFonts w:eastAsia="Times New Roman" w:cs="Arial"/>
          <w:sz w:val="32"/>
          <w:szCs w:val="24"/>
        </w:rPr>
      </w:pPr>
      <w:r w:rsidRPr="00830C0E">
        <w:rPr>
          <w:rFonts w:eastAsia="Times New Roman" w:cs="Arial"/>
          <w:bCs/>
          <w:i/>
          <w:iCs/>
          <w:color w:val="000000"/>
          <w:szCs w:val="19"/>
          <w:lang w:eastAsia="bg-BG"/>
        </w:rPr>
        <w:t>Пациенти с бъбречни увреждания</w:t>
      </w:r>
    </w:p>
    <w:p w14:paraId="611024A8"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 xml:space="preserve">При пациенти с бъбречни увреждания с креатининов клирънс </w:t>
      </w:r>
      <w:r w:rsidRPr="00830C0E">
        <w:rPr>
          <w:rFonts w:eastAsia="Times New Roman" w:cs="Arial"/>
          <w:bCs/>
          <w:color w:val="000000"/>
          <w:szCs w:val="19"/>
          <w:lang w:val="ru-RU"/>
        </w:rPr>
        <w:t>&lt;30</w:t>
      </w:r>
      <w:r w:rsidRPr="00830C0E">
        <w:rPr>
          <w:rFonts w:eastAsia="Times New Roman" w:cs="Arial"/>
          <w:bCs/>
          <w:color w:val="000000"/>
          <w:szCs w:val="19"/>
          <w:lang w:val="en-US"/>
        </w:rPr>
        <w:t>ml</w:t>
      </w:r>
      <w:r w:rsidRPr="00830C0E">
        <w:rPr>
          <w:rFonts w:eastAsia="Times New Roman" w:cs="Arial"/>
          <w:bCs/>
          <w:color w:val="000000"/>
          <w:szCs w:val="19"/>
          <w:lang w:val="ru-RU"/>
        </w:rPr>
        <w:t>/</w:t>
      </w:r>
      <w:r w:rsidRPr="00830C0E">
        <w:rPr>
          <w:rFonts w:eastAsia="Times New Roman" w:cs="Arial"/>
          <w:bCs/>
          <w:color w:val="000000"/>
          <w:szCs w:val="19"/>
          <w:lang w:val="en-US"/>
        </w:rPr>
        <w:t>min</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 xml:space="preserve">дозата кларитромицин трябва да бъде намалена наполовина, т.е. 250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 xml:space="preserve">веднъж дневно или 250 </w:t>
      </w:r>
      <w:r w:rsidRPr="00830C0E">
        <w:rPr>
          <w:rFonts w:eastAsia="Times New Roman" w:cs="Arial"/>
          <w:bCs/>
          <w:color w:val="000000"/>
          <w:szCs w:val="19"/>
          <w:lang w:val="en-US"/>
        </w:rPr>
        <w:t>mg</w:t>
      </w:r>
      <w:r w:rsidRPr="00830C0E">
        <w:rPr>
          <w:rFonts w:eastAsia="Times New Roman" w:cs="Arial"/>
          <w:bCs/>
          <w:color w:val="000000"/>
          <w:szCs w:val="19"/>
          <w:lang w:val="ru-RU"/>
        </w:rPr>
        <w:t xml:space="preserve"> </w:t>
      </w:r>
      <w:r w:rsidRPr="00830C0E">
        <w:rPr>
          <w:rFonts w:eastAsia="Times New Roman" w:cs="Arial"/>
          <w:bCs/>
          <w:color w:val="000000"/>
          <w:szCs w:val="19"/>
          <w:lang w:eastAsia="bg-BG"/>
        </w:rPr>
        <w:t>два пъти дневно при тежки инфекции. При тези пациенти лечението не трябва да продължава повече от 14 дни.</w:t>
      </w:r>
    </w:p>
    <w:p w14:paraId="08639DC6" w14:textId="77777777" w:rsidR="00830C0E" w:rsidRPr="00830C0E" w:rsidRDefault="00830C0E" w:rsidP="00830C0E">
      <w:pPr>
        <w:spacing w:line="240" w:lineRule="auto"/>
        <w:rPr>
          <w:rFonts w:eastAsia="Times New Roman" w:cs="Arial"/>
          <w:bCs/>
          <w:i/>
          <w:iCs/>
          <w:color w:val="000000"/>
          <w:szCs w:val="19"/>
          <w:lang w:eastAsia="bg-BG"/>
        </w:rPr>
      </w:pPr>
    </w:p>
    <w:p w14:paraId="435B1BB2" w14:textId="10C59EA3" w:rsidR="00830C0E" w:rsidRPr="00830C0E" w:rsidRDefault="00830C0E" w:rsidP="00830C0E">
      <w:pPr>
        <w:spacing w:line="240" w:lineRule="auto"/>
        <w:rPr>
          <w:rFonts w:eastAsia="Times New Roman" w:cs="Arial"/>
          <w:sz w:val="32"/>
          <w:szCs w:val="24"/>
        </w:rPr>
      </w:pPr>
      <w:r w:rsidRPr="00830C0E">
        <w:rPr>
          <w:rFonts w:eastAsia="Times New Roman" w:cs="Arial"/>
          <w:bCs/>
          <w:i/>
          <w:iCs/>
          <w:color w:val="000000"/>
          <w:szCs w:val="19"/>
          <w:lang w:eastAsia="bg-BG"/>
        </w:rPr>
        <w:t>Педиатрична популация</w:t>
      </w:r>
    </w:p>
    <w:p w14:paraId="19424D43" w14:textId="77777777" w:rsidR="00830C0E" w:rsidRPr="00830C0E" w:rsidRDefault="00830C0E" w:rsidP="00830C0E">
      <w:pPr>
        <w:spacing w:line="240" w:lineRule="auto"/>
        <w:rPr>
          <w:rFonts w:eastAsia="Times New Roman" w:cs="Arial"/>
          <w:sz w:val="32"/>
          <w:szCs w:val="24"/>
        </w:rPr>
      </w:pPr>
      <w:r w:rsidRPr="00830C0E">
        <w:rPr>
          <w:rFonts w:eastAsia="Times New Roman" w:cs="Arial"/>
          <w:bCs/>
          <w:color w:val="000000"/>
          <w:szCs w:val="19"/>
          <w:lang w:eastAsia="bg-BG"/>
        </w:rPr>
        <w:t>Употребата на кларитромицин не е проучвана при деца под 12-годишна възраст.</w:t>
      </w:r>
    </w:p>
    <w:p w14:paraId="3A740A8D" w14:textId="77777777" w:rsidR="00830C0E" w:rsidRPr="00830C0E" w:rsidRDefault="00830C0E" w:rsidP="00830C0E">
      <w:pPr>
        <w:spacing w:line="240" w:lineRule="auto"/>
        <w:rPr>
          <w:rFonts w:eastAsia="Times New Roman" w:cs="Arial"/>
          <w:bCs/>
          <w:color w:val="000000"/>
          <w:szCs w:val="19"/>
          <w:u w:val="single"/>
          <w:lang w:eastAsia="bg-BG"/>
        </w:rPr>
      </w:pPr>
    </w:p>
    <w:p w14:paraId="1F9AD5C3" w14:textId="50111589" w:rsidR="00830C0E" w:rsidRPr="00830C0E" w:rsidRDefault="00830C0E" w:rsidP="00830C0E">
      <w:pPr>
        <w:pStyle w:val="Heading3"/>
        <w:rPr>
          <w:rFonts w:eastAsia="Times New Roman"/>
          <w:sz w:val="32"/>
          <w:u w:val="single"/>
        </w:rPr>
      </w:pPr>
      <w:r w:rsidRPr="00830C0E">
        <w:rPr>
          <w:rFonts w:eastAsia="Times New Roman"/>
          <w:u w:val="single"/>
          <w:lang w:eastAsia="bg-BG"/>
        </w:rPr>
        <w:t>Начин на приложение</w:t>
      </w:r>
    </w:p>
    <w:p w14:paraId="12076C30" w14:textId="77777777" w:rsidR="00830C0E" w:rsidRPr="00830C0E" w:rsidRDefault="00830C0E" w:rsidP="00830C0E">
      <w:pPr>
        <w:spacing w:line="240" w:lineRule="auto"/>
        <w:rPr>
          <w:rFonts w:ascii="Times New Roman" w:eastAsia="Times New Roman" w:hAnsi="Times New Roman" w:cs="Times New Roman"/>
          <w:sz w:val="24"/>
          <w:szCs w:val="24"/>
        </w:rPr>
      </w:pPr>
      <w:r w:rsidRPr="00830C0E">
        <w:rPr>
          <w:rFonts w:eastAsia="Times New Roman" w:cs="Arial"/>
          <w:bCs/>
          <w:color w:val="000000"/>
          <w:szCs w:val="19"/>
          <w:lang w:eastAsia="bg-BG"/>
        </w:rPr>
        <w:t>За перорално приложение. Храната не повлиява бионаличността.</w:t>
      </w:r>
    </w:p>
    <w:p w14:paraId="13AC67EF" w14:textId="77777777" w:rsidR="00830C0E" w:rsidRPr="00830C0E" w:rsidRDefault="00830C0E" w:rsidP="00830C0E">
      <w:pPr>
        <w:spacing w:line="240" w:lineRule="auto"/>
        <w:rPr>
          <w:rFonts w:ascii="Times New Roman" w:eastAsia="Times New Roman" w:hAnsi="Times New Roman" w:cs="Times New Roman"/>
          <w:sz w:val="24"/>
          <w:szCs w:val="24"/>
        </w:rPr>
      </w:pPr>
    </w:p>
    <w:p w14:paraId="11998E00" w14:textId="77777777" w:rsidR="00830C0E" w:rsidRPr="00830C0E" w:rsidRDefault="00830C0E" w:rsidP="00830C0E"/>
    <w:p w14:paraId="6A85390E" w14:textId="3F068BF1" w:rsidR="00DF4C8E" w:rsidRDefault="002C50EE" w:rsidP="00F44498">
      <w:pPr>
        <w:pStyle w:val="Heading2"/>
      </w:pPr>
      <w:r>
        <w:lastRenderedPageBreak/>
        <w:t>4.3. Противопоказания</w:t>
      </w:r>
    </w:p>
    <w:p w14:paraId="79337F4E" w14:textId="47A7BC9C" w:rsidR="00830C0E" w:rsidRDefault="00830C0E" w:rsidP="00830C0E"/>
    <w:p w14:paraId="22A2AB8A" w14:textId="77777777" w:rsidR="00830C0E" w:rsidRPr="00830C0E" w:rsidRDefault="00830C0E" w:rsidP="00830C0E">
      <w:pPr>
        <w:pStyle w:val="ListParagraph"/>
        <w:numPr>
          <w:ilvl w:val="0"/>
          <w:numId w:val="34"/>
        </w:numPr>
        <w:spacing w:line="240" w:lineRule="auto"/>
        <w:rPr>
          <w:rFonts w:eastAsia="Times New Roman" w:cs="Arial"/>
        </w:rPr>
      </w:pPr>
      <w:r w:rsidRPr="00830C0E">
        <w:rPr>
          <w:rFonts w:eastAsia="Times New Roman" w:cs="Arial"/>
          <w:bCs/>
          <w:color w:val="000000"/>
          <w:lang w:eastAsia="bg-BG"/>
        </w:rPr>
        <w:t>Свръхчувствителност към активното вещесто, към макролидни антибиотици или към някое от помощните вещества, изброени в точка 6.1.</w:t>
      </w:r>
    </w:p>
    <w:p w14:paraId="0365589B" w14:textId="77777777" w:rsidR="00830C0E" w:rsidRPr="00830C0E" w:rsidRDefault="00830C0E" w:rsidP="00830C0E">
      <w:pPr>
        <w:pStyle w:val="ListParagraph"/>
        <w:numPr>
          <w:ilvl w:val="0"/>
          <w:numId w:val="34"/>
        </w:numPr>
        <w:spacing w:line="240" w:lineRule="auto"/>
        <w:rPr>
          <w:rFonts w:eastAsia="Times New Roman" w:cs="Arial"/>
        </w:rPr>
      </w:pPr>
      <w:r w:rsidRPr="00830C0E">
        <w:rPr>
          <w:rFonts w:eastAsia="Times New Roman" w:cs="Arial"/>
          <w:bCs/>
          <w:color w:val="000000"/>
          <w:lang w:eastAsia="bg-BG"/>
        </w:rPr>
        <w:t xml:space="preserve">Съвместно приложение на кларитромицин с някое от следните лекарства е противопоказано: астемизол, цизаприд, пимозид, терфенадин, тъй като това може да доведе да удължаване на </w:t>
      </w:r>
      <w:r w:rsidRPr="00830C0E">
        <w:rPr>
          <w:rFonts w:eastAsia="Times New Roman" w:cs="Arial"/>
          <w:bCs/>
          <w:color w:val="000000"/>
          <w:lang w:val="en-US"/>
        </w:rPr>
        <w:t>QT</w:t>
      </w:r>
      <w:r w:rsidRPr="00830C0E">
        <w:rPr>
          <w:rFonts w:eastAsia="Times New Roman" w:cs="Arial"/>
          <w:bCs/>
          <w:color w:val="000000"/>
          <w:lang w:eastAsia="bg-BG"/>
        </w:rPr>
        <w:t xml:space="preserve">-интервала и сърдечни аритмии, включително камерно мъждене, камерна тахикардия и полиморфна камерна тахикардия </w:t>
      </w:r>
      <w:r w:rsidRPr="00830C0E">
        <w:rPr>
          <w:rFonts w:eastAsia="Times New Roman" w:cs="Arial"/>
          <w:bCs/>
          <w:i/>
          <w:iCs/>
          <w:color w:val="000000"/>
          <w:lang w:val="ru-RU"/>
        </w:rPr>
        <w:t>(</w:t>
      </w:r>
      <w:r w:rsidRPr="00830C0E">
        <w:rPr>
          <w:rFonts w:eastAsia="Times New Roman" w:cs="Arial"/>
          <w:bCs/>
          <w:i/>
          <w:iCs/>
          <w:color w:val="000000"/>
          <w:lang w:val="en-US"/>
        </w:rPr>
        <w:t>torsade</w:t>
      </w:r>
      <w:r w:rsidRPr="00830C0E">
        <w:rPr>
          <w:rFonts w:eastAsia="Times New Roman" w:cs="Arial"/>
          <w:bCs/>
          <w:i/>
          <w:iCs/>
          <w:color w:val="000000"/>
          <w:lang w:eastAsia="bg-BG"/>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 xml:space="preserve">) </w:t>
      </w:r>
      <w:r w:rsidRPr="00830C0E">
        <w:rPr>
          <w:rFonts w:eastAsia="Times New Roman" w:cs="Arial"/>
          <w:bCs/>
          <w:color w:val="000000"/>
          <w:lang w:eastAsia="bg-BG"/>
        </w:rPr>
        <w:t>(вижте точка 4.5).</w:t>
      </w:r>
    </w:p>
    <w:p w14:paraId="33D868E0" w14:textId="7F2D2EB2" w:rsidR="00830C0E" w:rsidRPr="00830C0E" w:rsidRDefault="00830C0E" w:rsidP="00830C0E">
      <w:pPr>
        <w:pStyle w:val="ListParagraph"/>
        <w:numPr>
          <w:ilvl w:val="0"/>
          <w:numId w:val="34"/>
        </w:numPr>
        <w:spacing w:line="240" w:lineRule="auto"/>
        <w:rPr>
          <w:rFonts w:eastAsia="Times New Roman" w:cs="Arial"/>
        </w:rPr>
      </w:pPr>
      <w:r w:rsidRPr="00830C0E">
        <w:rPr>
          <w:rFonts w:eastAsia="Times New Roman" w:cs="Arial"/>
          <w:bCs/>
          <w:color w:val="000000"/>
          <w:lang w:eastAsia="bg-BG"/>
        </w:rPr>
        <w:t>Съвместно приложение с тикагрелор или ранолазин.</w:t>
      </w:r>
    </w:p>
    <w:p w14:paraId="138AE421"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Съвместното приложение на кларитромицин и ерго алкалоиди (като ерготамин или дихидроерготамин) е противопоказано, тъй като това може да доведе до повишена ерго токсичност (вижте точка 4.5).</w:t>
      </w:r>
    </w:p>
    <w:p w14:paraId="5DCAF452"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Съвместно приложение с перорален мидазолам (вижте точка 4.5).</w:t>
      </w:r>
    </w:p>
    <w:p w14:paraId="2EACB2AF"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Съпътстващото приложение на кларитромицин и ломитапид е противопоказано (вижте точка 4.5).</w:t>
      </w:r>
    </w:p>
    <w:p w14:paraId="5ADBD98E"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 xml:space="preserve">Кларитромицин не трябва да се прилага при пациенти с анамнеза за удължен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 xml:space="preserve">интервал (вродено или документирано придобито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 xml:space="preserve">интервала) или камерна сърдечна аритмия, включително полиморфна камерна тахикардия </w:t>
      </w:r>
      <w:r w:rsidRPr="00830C0E">
        <w:rPr>
          <w:rFonts w:eastAsia="Times New Roman" w:cs="Arial"/>
          <w:bCs/>
          <w:i/>
          <w:iCs/>
          <w:color w:val="000000"/>
          <w:lang w:val="ru-RU"/>
        </w:rPr>
        <w:t>(</w:t>
      </w:r>
      <w:proofErr w:type="spellStart"/>
      <w:r w:rsidRPr="00830C0E">
        <w:rPr>
          <w:rFonts w:eastAsia="Times New Roman" w:cs="Arial"/>
          <w:bCs/>
          <w:i/>
          <w:iCs/>
          <w:color w:val="000000"/>
          <w:lang w:val="en-US"/>
        </w:rPr>
        <w:t>torsades</w:t>
      </w:r>
      <w:proofErr w:type="spellEnd"/>
      <w:r w:rsidRPr="00830C0E">
        <w:rPr>
          <w:rFonts w:eastAsia="Times New Roman" w:cs="Arial"/>
          <w:bCs/>
          <w:i/>
          <w:iCs/>
          <w:color w:val="000000"/>
          <w:lang w:val="ru-RU"/>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(вижте точки 4.4 и 4.5).</w:t>
      </w:r>
    </w:p>
    <w:p w14:paraId="34B94608"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 xml:space="preserve">Кларитромицин не трябва да се прилага на пациенти с електролитни нарушения (хипокалиемия или хипомагнезиемия поради риск от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интервала).</w:t>
      </w:r>
    </w:p>
    <w:p w14:paraId="609963D3"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Кларитромицин не трябва да се прилага при пациенти с тежка чернодробна недостатъчност в комбинация с бъбречно увреждане.</w:t>
      </w:r>
    </w:p>
    <w:p w14:paraId="10397076" w14:textId="77777777"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 xml:space="preserve">Кларитромицин не трябва да се прилага съвместно с </w:t>
      </w:r>
      <w:r w:rsidRPr="00830C0E">
        <w:rPr>
          <w:rFonts w:eastAsia="Times New Roman" w:cs="Arial"/>
          <w:bCs/>
          <w:color w:val="000000"/>
          <w:lang w:val="en-US"/>
        </w:rPr>
        <w:t>HMG</w:t>
      </w:r>
      <w:r w:rsidRPr="00830C0E">
        <w:rPr>
          <w:rFonts w:eastAsia="Times New Roman" w:cs="Arial"/>
          <w:bCs/>
          <w:color w:val="000000"/>
          <w:lang w:val="ru-RU"/>
        </w:rPr>
        <w:t>-</w:t>
      </w:r>
      <w:r w:rsidRPr="00830C0E">
        <w:rPr>
          <w:rFonts w:eastAsia="Times New Roman" w:cs="Arial"/>
          <w:bCs/>
          <w:color w:val="000000"/>
          <w:lang w:val="en-US"/>
        </w:rPr>
        <w:t>CoA</w:t>
      </w:r>
      <w:r w:rsidRPr="00830C0E">
        <w:rPr>
          <w:rFonts w:eastAsia="Times New Roman" w:cs="Arial"/>
          <w:bCs/>
          <w:color w:val="000000"/>
          <w:lang w:val="ru-RU"/>
        </w:rPr>
        <w:t xml:space="preserve"> </w:t>
      </w:r>
      <w:r w:rsidRPr="00830C0E">
        <w:rPr>
          <w:rFonts w:eastAsia="Times New Roman" w:cs="Arial"/>
          <w:bCs/>
          <w:color w:val="000000"/>
          <w:lang w:eastAsia="bg-BG"/>
        </w:rPr>
        <w:t xml:space="preserve">редуктазни инхибитори (статини), които се метаболизират основно от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val="ru-RU"/>
        </w:rPr>
        <w:t xml:space="preserve">4 </w:t>
      </w:r>
      <w:r w:rsidRPr="00830C0E">
        <w:rPr>
          <w:rFonts w:eastAsia="Times New Roman" w:cs="Arial"/>
          <w:bCs/>
          <w:color w:val="000000"/>
          <w:lang w:eastAsia="bg-BG"/>
        </w:rPr>
        <w:t>(ловастатин или симвастатин), поради повишен риск от миопатия, включително рабдомиолиза (вижте точка 4.5).</w:t>
      </w:r>
    </w:p>
    <w:p w14:paraId="3592CDA5" w14:textId="0B066ABC" w:rsidR="00830C0E" w:rsidRPr="00830C0E" w:rsidRDefault="00830C0E" w:rsidP="00830C0E">
      <w:pPr>
        <w:pStyle w:val="ListParagraph"/>
        <w:numPr>
          <w:ilvl w:val="0"/>
          <w:numId w:val="35"/>
        </w:numPr>
        <w:spacing w:line="240" w:lineRule="auto"/>
        <w:rPr>
          <w:rFonts w:eastAsia="Times New Roman" w:cs="Arial"/>
        </w:rPr>
      </w:pPr>
      <w:r w:rsidRPr="00830C0E">
        <w:rPr>
          <w:rFonts w:eastAsia="Times New Roman" w:cs="Arial"/>
          <w:bCs/>
          <w:color w:val="000000"/>
          <w:lang w:eastAsia="bg-BG"/>
        </w:rPr>
        <w:t xml:space="preserve">Както и при други мощни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val="ru-RU"/>
        </w:rPr>
        <w:t xml:space="preserve">4 </w:t>
      </w:r>
      <w:r w:rsidRPr="00830C0E">
        <w:rPr>
          <w:rFonts w:eastAsia="Times New Roman" w:cs="Arial"/>
          <w:bCs/>
          <w:color w:val="000000"/>
          <w:lang w:eastAsia="bg-BG"/>
        </w:rPr>
        <w:t>инхибитори, кларитромицин не трябва да се прилага едновременно с колхицин (вижте точки 4.4 и 4.5).</w:t>
      </w:r>
    </w:p>
    <w:p w14:paraId="08FB8E75" w14:textId="77777777" w:rsidR="00830C0E" w:rsidRPr="00830C0E" w:rsidRDefault="00830C0E" w:rsidP="00830C0E"/>
    <w:p w14:paraId="115C9528" w14:textId="25DD0C72" w:rsidR="00DF4C8E" w:rsidRDefault="002C50EE" w:rsidP="00F44498">
      <w:pPr>
        <w:pStyle w:val="Heading2"/>
      </w:pPr>
      <w:r>
        <w:t>4.4. Специални предупреждения и предпазни мерки при употреба</w:t>
      </w:r>
    </w:p>
    <w:p w14:paraId="2C334928" w14:textId="468A51E8" w:rsidR="00830C0E" w:rsidRDefault="00830C0E" w:rsidP="00830C0E"/>
    <w:p w14:paraId="382B778B"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Употребата на антимикробна терапия като кларитромицин за лечение на </w:t>
      </w:r>
      <w:r w:rsidRPr="00830C0E">
        <w:rPr>
          <w:rFonts w:eastAsia="Times New Roman" w:cs="Arial"/>
          <w:bCs/>
          <w:i/>
          <w:iCs/>
          <w:color w:val="000000"/>
          <w:lang w:eastAsia="bg-BG"/>
        </w:rPr>
        <w:t xml:space="preserve">Н. </w:t>
      </w:r>
      <w:proofErr w:type="gramStart"/>
      <w:r w:rsidRPr="00830C0E">
        <w:rPr>
          <w:rFonts w:eastAsia="Times New Roman" w:cs="Arial"/>
          <w:bCs/>
          <w:i/>
          <w:iCs/>
          <w:color w:val="000000"/>
          <w:lang w:val="en-US"/>
        </w:rPr>
        <w:t>pylori</w:t>
      </w:r>
      <w:proofErr w:type="gramEnd"/>
      <w:r w:rsidRPr="00830C0E">
        <w:rPr>
          <w:rFonts w:eastAsia="Times New Roman" w:cs="Arial"/>
          <w:bCs/>
          <w:i/>
          <w:iCs/>
          <w:color w:val="000000"/>
          <w:lang w:val="ru-RU"/>
        </w:rPr>
        <w:t xml:space="preserve"> </w:t>
      </w:r>
      <w:r w:rsidRPr="00830C0E">
        <w:rPr>
          <w:rFonts w:eastAsia="Times New Roman" w:cs="Arial"/>
          <w:bCs/>
          <w:color w:val="000000"/>
          <w:lang w:eastAsia="bg-BG"/>
        </w:rPr>
        <w:t>инфекции може да селектира резистентни организми.</w:t>
      </w:r>
    </w:p>
    <w:p w14:paraId="79F27B41" w14:textId="77777777" w:rsidR="00830C0E" w:rsidRPr="00830C0E" w:rsidRDefault="00830C0E" w:rsidP="00830C0E">
      <w:pPr>
        <w:spacing w:line="240" w:lineRule="auto"/>
        <w:rPr>
          <w:rFonts w:eastAsia="Times New Roman" w:cs="Arial"/>
          <w:bCs/>
          <w:color w:val="000000"/>
          <w:lang w:eastAsia="bg-BG"/>
        </w:rPr>
      </w:pPr>
    </w:p>
    <w:p w14:paraId="7695EF37" w14:textId="50DE4463"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Лекарят не трябва да предписва кларитромицин на бременни жени без да е направена внимателна оценка на ползата и риска, особено през първите три месеца от бременността.</w:t>
      </w:r>
    </w:p>
    <w:p w14:paraId="599D7778" w14:textId="77777777" w:rsidR="00830C0E" w:rsidRPr="00830C0E" w:rsidRDefault="00830C0E" w:rsidP="00830C0E">
      <w:pPr>
        <w:spacing w:line="240" w:lineRule="auto"/>
        <w:rPr>
          <w:rFonts w:eastAsia="Times New Roman" w:cs="Arial"/>
          <w:bCs/>
          <w:color w:val="000000"/>
          <w:lang w:eastAsia="bg-BG"/>
        </w:rPr>
      </w:pPr>
    </w:p>
    <w:p w14:paraId="6F0D6843" w14:textId="77777777" w:rsidR="00830C0E" w:rsidRPr="00830C0E" w:rsidRDefault="00830C0E" w:rsidP="00830C0E">
      <w:pPr>
        <w:spacing w:line="240" w:lineRule="auto"/>
        <w:rPr>
          <w:rFonts w:eastAsia="Times New Roman" w:cs="Arial"/>
          <w:bCs/>
          <w:color w:val="000000"/>
          <w:lang w:eastAsia="bg-BG"/>
        </w:rPr>
      </w:pPr>
      <w:r w:rsidRPr="00830C0E">
        <w:rPr>
          <w:rFonts w:eastAsia="Times New Roman" w:cs="Arial"/>
          <w:bCs/>
          <w:color w:val="000000"/>
          <w:lang w:eastAsia="bg-BG"/>
        </w:rPr>
        <w:t xml:space="preserve">Дългосрочното приложение, както и при други антибиотици, може да доведе до колонизация с повишен брой на чувствителни бактерии и гъби. Ако се появи суперинфекция, трябва да се започне подходящо </w:t>
      </w:r>
    </w:p>
    <w:p w14:paraId="7106FFB9" w14:textId="08FD0DF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лечение.</w:t>
      </w:r>
    </w:p>
    <w:p w14:paraId="0A9BEF15" w14:textId="77777777" w:rsidR="00830C0E" w:rsidRPr="00830C0E" w:rsidRDefault="00830C0E" w:rsidP="00830C0E">
      <w:pPr>
        <w:spacing w:line="240" w:lineRule="auto"/>
        <w:rPr>
          <w:rFonts w:eastAsia="Times New Roman" w:cs="Arial"/>
          <w:bCs/>
          <w:color w:val="000000"/>
          <w:lang w:eastAsia="bg-BG"/>
        </w:rPr>
      </w:pPr>
    </w:p>
    <w:p w14:paraId="348D4808" w14:textId="7065C0A2"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Повишено внимание се препоръчва при пациенти с тежка бъбречна недостатъчност.</w:t>
      </w:r>
    </w:p>
    <w:p w14:paraId="0CFBEFBA" w14:textId="77777777" w:rsidR="00830C0E" w:rsidRPr="00830C0E" w:rsidRDefault="00830C0E" w:rsidP="00830C0E">
      <w:pPr>
        <w:spacing w:line="240" w:lineRule="auto"/>
        <w:rPr>
          <w:rFonts w:eastAsia="Times New Roman" w:cs="Arial"/>
          <w:bCs/>
          <w:color w:val="000000"/>
          <w:lang w:eastAsia="bg-BG"/>
        </w:rPr>
      </w:pPr>
    </w:p>
    <w:p w14:paraId="2B111D12" w14:textId="1B2F9F38"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lastRenderedPageBreak/>
        <w:t>При приложение на кларитромицин са били съобщавани чернодробна дисфункция, включително повишени чернодробни ензими, и хепатоцелуларен и/или холестатичен хепатит, с или без жълтеница. Тази чернодробна дисфункция може да бъде тежка и обикновено е обратима. В някои случаи е съобщавана чернодробна недостатъчност с фатален изход и обикновено е свързана със сериозни съпътстващи заболявалия и/ или съпътстващо приложение на лекарствени продукти. Пациентите трябва да преустановят незабавно приема на кларитромицин, ако развият признаци или симптоми на хепатит като анорексия, жълтеница, тъмна урина, сърбеж или напрегнат корем.</w:t>
      </w:r>
    </w:p>
    <w:p w14:paraId="038BCD41" w14:textId="77777777" w:rsidR="00830C0E" w:rsidRPr="00830C0E" w:rsidRDefault="00830C0E" w:rsidP="00830C0E">
      <w:pPr>
        <w:spacing w:line="240" w:lineRule="auto"/>
        <w:rPr>
          <w:rFonts w:eastAsia="Times New Roman" w:cs="Arial"/>
          <w:bCs/>
          <w:color w:val="000000"/>
          <w:lang w:eastAsia="bg-BG"/>
        </w:rPr>
      </w:pPr>
    </w:p>
    <w:p w14:paraId="55CFBA2C" w14:textId="77777777" w:rsidR="00830C0E" w:rsidRPr="00830C0E" w:rsidRDefault="00830C0E" w:rsidP="00830C0E">
      <w:pPr>
        <w:rPr>
          <w:rFonts w:eastAsia="Times New Roman" w:cs="Arial"/>
        </w:rPr>
      </w:pPr>
      <w:r w:rsidRPr="00830C0E">
        <w:rPr>
          <w:rFonts w:eastAsia="Times New Roman" w:cs="Arial"/>
          <w:bCs/>
          <w:color w:val="000000"/>
          <w:lang w:eastAsia="bg-BG"/>
        </w:rPr>
        <w:t>Псевдомембранозен колит е съобщаван при почти всички антибактериални лекарствени продукти, включително макролиди и може да варира от леко до животозастрашаващо</w:t>
      </w:r>
      <w:r w:rsidRPr="00830C0E">
        <w:rPr>
          <w:rFonts w:eastAsia="Times New Roman" w:cs="Arial"/>
          <w:bCs/>
          <w:color w:val="000000"/>
          <w:u w:val="single"/>
          <w:lang w:eastAsia="bg-BG"/>
        </w:rPr>
        <w:t xml:space="preserve"> </w:t>
      </w:r>
      <w:r w:rsidRPr="00830C0E">
        <w:rPr>
          <w:rFonts w:eastAsia="Times New Roman" w:cs="Arial"/>
          <w:bCs/>
          <w:color w:val="000000"/>
          <w:lang w:eastAsia="bg-BG"/>
        </w:rPr>
        <w:t xml:space="preserve">състояние. Диария, свързана с </w:t>
      </w:r>
      <w:r w:rsidRPr="00830C0E">
        <w:rPr>
          <w:rFonts w:eastAsia="Times New Roman" w:cs="Arial"/>
          <w:bCs/>
          <w:i/>
          <w:iCs/>
          <w:color w:val="000000"/>
          <w:lang w:val="en-US"/>
        </w:rPr>
        <w:t>Clostridium</w:t>
      </w:r>
      <w:r w:rsidRPr="00830C0E">
        <w:rPr>
          <w:rFonts w:eastAsia="Times New Roman" w:cs="Arial"/>
          <w:bCs/>
          <w:i/>
          <w:iCs/>
          <w:color w:val="000000"/>
          <w:lang w:val="ru-RU"/>
        </w:rPr>
        <w:t xml:space="preserve"> </w:t>
      </w:r>
      <w:r w:rsidRPr="00830C0E">
        <w:rPr>
          <w:rFonts w:eastAsia="Times New Roman" w:cs="Arial"/>
          <w:bCs/>
          <w:i/>
          <w:iCs/>
          <w:color w:val="000000"/>
          <w:lang w:val="en-US"/>
        </w:rPr>
        <w:t>difficile</w:t>
      </w:r>
      <w:r w:rsidRPr="00830C0E">
        <w:rPr>
          <w:rFonts w:eastAsia="Times New Roman" w:cs="Arial"/>
          <w:bCs/>
          <w:color w:val="000000"/>
          <w:lang w:val="ru-RU"/>
        </w:rPr>
        <w:t xml:space="preserve"> (</w:t>
      </w:r>
      <w:r w:rsidRPr="00830C0E">
        <w:rPr>
          <w:rFonts w:eastAsia="Times New Roman" w:cs="Arial"/>
          <w:bCs/>
          <w:color w:val="000000"/>
          <w:lang w:val="en-US"/>
        </w:rPr>
        <w:t>CDAD</w:t>
      </w:r>
      <w:r w:rsidRPr="00830C0E">
        <w:rPr>
          <w:rFonts w:eastAsia="Times New Roman" w:cs="Arial"/>
          <w:bCs/>
          <w:color w:val="000000"/>
          <w:lang w:val="ru-RU"/>
        </w:rPr>
        <w:t xml:space="preserve">) </w:t>
      </w:r>
      <w:r w:rsidRPr="00830C0E">
        <w:rPr>
          <w:rFonts w:eastAsia="Times New Roman" w:cs="Arial"/>
          <w:bCs/>
          <w:color w:val="000000"/>
          <w:lang w:eastAsia="bg-BG"/>
        </w:rPr>
        <w:t xml:space="preserve">е съобщавана при приложението на почти всички антибактериални лекарствени продукти, включително кларицитромин, и може да варира от лека диария до фатален колит. Лечението с антибактериални лекарствени продукти нарушава нормалната флора на дебелото черво, което може да доведе до свръхрастеж на </w:t>
      </w:r>
      <w:r w:rsidRPr="00830C0E">
        <w:rPr>
          <w:rFonts w:eastAsia="Times New Roman" w:cs="Arial"/>
          <w:bCs/>
          <w:i/>
          <w:iCs/>
          <w:color w:val="000000"/>
          <w:lang w:eastAsia="bg-BG"/>
        </w:rPr>
        <w:t xml:space="preserve">С. </w:t>
      </w:r>
      <w:r w:rsidRPr="00830C0E">
        <w:rPr>
          <w:rFonts w:eastAsia="Times New Roman" w:cs="Arial"/>
          <w:bCs/>
          <w:i/>
          <w:iCs/>
          <w:color w:val="000000"/>
          <w:lang w:val="en-US"/>
        </w:rPr>
        <w:t>Difficile</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val="en-US"/>
        </w:rPr>
        <w:t>CDAD</w:t>
      </w:r>
      <w:r w:rsidRPr="00830C0E">
        <w:rPr>
          <w:rFonts w:eastAsia="Times New Roman" w:cs="Arial"/>
          <w:bCs/>
          <w:color w:val="000000"/>
          <w:lang w:val="ru-RU"/>
        </w:rPr>
        <w:t xml:space="preserve"> </w:t>
      </w:r>
      <w:r w:rsidRPr="00830C0E">
        <w:rPr>
          <w:rFonts w:eastAsia="Times New Roman" w:cs="Arial"/>
          <w:bCs/>
          <w:color w:val="000000"/>
          <w:lang w:eastAsia="bg-BG"/>
        </w:rPr>
        <w:t xml:space="preserve">трябва да се има предвид при всички пациенти с диария след приложение на антибиотици. Необходимо е внимателното снемане на медицинска анамнеза, тъй като случаи на </w:t>
      </w:r>
      <w:r w:rsidRPr="00830C0E">
        <w:rPr>
          <w:rFonts w:eastAsia="Times New Roman" w:cs="Arial"/>
          <w:bCs/>
          <w:color w:val="000000"/>
          <w:lang w:val="en-US"/>
        </w:rPr>
        <w:t>CDAD</w:t>
      </w:r>
      <w:r w:rsidRPr="00830C0E">
        <w:rPr>
          <w:rFonts w:eastAsia="Times New Roman" w:cs="Arial"/>
          <w:bCs/>
          <w:color w:val="000000"/>
          <w:lang w:val="ru-RU"/>
        </w:rPr>
        <w:t xml:space="preserve"> </w:t>
      </w:r>
      <w:r w:rsidRPr="00830C0E">
        <w:rPr>
          <w:rFonts w:eastAsia="Times New Roman" w:cs="Arial"/>
          <w:bCs/>
          <w:color w:val="000000"/>
          <w:lang w:eastAsia="bg-BG"/>
        </w:rPr>
        <w:t>са съобщавани около два месеца след приложение на антибактериални лекарствени продукти.</w:t>
      </w:r>
    </w:p>
    <w:p w14:paraId="46F835B2" w14:textId="77777777" w:rsidR="00830C0E" w:rsidRPr="00830C0E" w:rsidRDefault="00830C0E" w:rsidP="00830C0E">
      <w:pPr>
        <w:spacing w:line="240" w:lineRule="auto"/>
        <w:rPr>
          <w:rFonts w:eastAsia="Times New Roman" w:cs="Arial"/>
          <w:bCs/>
          <w:color w:val="000000"/>
          <w:lang w:eastAsia="bg-BG"/>
        </w:rPr>
      </w:pPr>
    </w:p>
    <w:p w14:paraId="1D260E3E" w14:textId="6D2531E6"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Кларитромицин се екскретира основно чрез черния дроб. Поради това се изисква повишено внимание, когато антибиотикът се приема от пациенти с увредена чернодробна функция. Необходимо е внимание и при приложение на кларитромицин при пациенти с умерено до тежко бъбречно увреждане.</w:t>
      </w:r>
    </w:p>
    <w:p w14:paraId="5B005EE9" w14:textId="77777777" w:rsidR="00830C0E" w:rsidRPr="00830C0E" w:rsidRDefault="00830C0E" w:rsidP="00830C0E">
      <w:pPr>
        <w:spacing w:line="240" w:lineRule="auto"/>
        <w:rPr>
          <w:rFonts w:eastAsia="Times New Roman" w:cs="Arial"/>
          <w:bCs/>
          <w:color w:val="000000"/>
          <w:u w:val="single"/>
          <w:lang w:eastAsia="bg-BG"/>
        </w:rPr>
      </w:pPr>
    </w:p>
    <w:p w14:paraId="57FD1559" w14:textId="3B30D24B"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Колхипин</w:t>
      </w:r>
    </w:p>
    <w:p w14:paraId="2328D359"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При постмаркетинговия опит са съобщавани случаи на колхицинова токсичност при едновременното приложение на кларитромицин и колхицин, особено при пациенти в старческа възраст, като някои от пациентите са били с бъбречна недостатъчност. Съобщавани са смъртни случаи при някои пациенти (вижте точка 4.5). Едновременното приложение на кларитромицин и колхицин е противопоказано (вижте точка 4.3).</w:t>
      </w:r>
    </w:p>
    <w:p w14:paraId="703E0651" w14:textId="77777777" w:rsidR="00830C0E" w:rsidRPr="00830C0E" w:rsidRDefault="00830C0E" w:rsidP="00830C0E">
      <w:pPr>
        <w:spacing w:line="240" w:lineRule="auto"/>
        <w:rPr>
          <w:rFonts w:eastAsia="Times New Roman" w:cs="Arial"/>
          <w:bCs/>
          <w:color w:val="000000"/>
          <w:lang w:eastAsia="bg-BG"/>
        </w:rPr>
      </w:pPr>
    </w:p>
    <w:p w14:paraId="7040B2E7" w14:textId="3845FE6A"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Повишено внимание се препоръчва при съвместно приложение на кларитромицин и триазолобензодиазепини, като триазолам и интравенозен или оромукозен мидазолам (вижте точка 4.5).</w:t>
      </w:r>
    </w:p>
    <w:p w14:paraId="103B0609" w14:textId="77777777" w:rsidR="00830C0E" w:rsidRPr="00830C0E" w:rsidRDefault="00830C0E" w:rsidP="00830C0E">
      <w:pPr>
        <w:spacing w:line="240" w:lineRule="auto"/>
        <w:rPr>
          <w:rFonts w:eastAsia="Times New Roman" w:cs="Arial"/>
          <w:bCs/>
          <w:color w:val="000000"/>
          <w:u w:val="single"/>
          <w:lang w:eastAsia="bg-BG"/>
        </w:rPr>
      </w:pPr>
    </w:p>
    <w:p w14:paraId="7D1C433F" w14:textId="16853B27"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Сърдечно-съдови събития</w:t>
      </w:r>
    </w:p>
    <w:p w14:paraId="404CC77D"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Удължена сърдечна реполаризация и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 xml:space="preserve">интервал, които са свързани с риск от развитие на сърдечна аритмия и полиморфна камерна тахикардия </w:t>
      </w:r>
      <w:r w:rsidRPr="00830C0E">
        <w:rPr>
          <w:rFonts w:eastAsia="Times New Roman" w:cs="Arial"/>
          <w:bCs/>
          <w:i/>
          <w:iCs/>
          <w:color w:val="000000"/>
          <w:lang w:val="ru-RU"/>
        </w:rPr>
        <w:t>(</w:t>
      </w:r>
      <w:proofErr w:type="spellStart"/>
      <w:r w:rsidRPr="00830C0E">
        <w:rPr>
          <w:rFonts w:eastAsia="Times New Roman" w:cs="Arial"/>
          <w:bCs/>
          <w:i/>
          <w:iCs/>
          <w:color w:val="000000"/>
          <w:lang w:val="en-US"/>
        </w:rPr>
        <w:t>torsades</w:t>
      </w:r>
      <w:proofErr w:type="spellEnd"/>
      <w:r w:rsidRPr="00830C0E">
        <w:rPr>
          <w:rFonts w:eastAsia="Times New Roman" w:cs="Arial"/>
          <w:bCs/>
          <w:i/>
          <w:iCs/>
          <w:color w:val="000000"/>
          <w:lang w:val="ru-RU"/>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 xml:space="preserve">са наблюдавани при лечение с макролиди, включително кларитромицин (вижте точка 4.8). Тъй като следните ситуации могат да доведат до повишен риск от камерни аритмии (включително </w:t>
      </w:r>
      <w:proofErr w:type="spellStart"/>
      <w:r w:rsidRPr="00830C0E">
        <w:rPr>
          <w:rFonts w:eastAsia="Times New Roman" w:cs="Arial"/>
          <w:bCs/>
          <w:i/>
          <w:iCs/>
          <w:color w:val="000000"/>
          <w:lang w:val="en-US"/>
        </w:rPr>
        <w:t>torsades</w:t>
      </w:r>
      <w:proofErr w:type="spellEnd"/>
      <w:r w:rsidRPr="00830C0E">
        <w:rPr>
          <w:rFonts w:eastAsia="Times New Roman" w:cs="Arial"/>
          <w:bCs/>
          <w:i/>
          <w:iCs/>
          <w:color w:val="000000"/>
          <w:lang w:val="ru-RU"/>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кларитромицин трябва да бъде използван с повишено внимание при:</w:t>
      </w:r>
    </w:p>
    <w:p w14:paraId="28F4BE0F" w14:textId="77777777" w:rsidR="00830C0E" w:rsidRPr="00830C0E" w:rsidRDefault="00830C0E" w:rsidP="00830C0E">
      <w:pPr>
        <w:pStyle w:val="ListParagraph"/>
        <w:numPr>
          <w:ilvl w:val="0"/>
          <w:numId w:val="36"/>
        </w:numPr>
        <w:spacing w:line="240" w:lineRule="auto"/>
        <w:rPr>
          <w:rFonts w:eastAsia="Times New Roman" w:cs="Arial"/>
        </w:rPr>
      </w:pPr>
      <w:r w:rsidRPr="00830C0E">
        <w:rPr>
          <w:rFonts w:eastAsia="Times New Roman" w:cs="Arial"/>
          <w:bCs/>
          <w:color w:val="000000"/>
          <w:lang w:eastAsia="bg-BG"/>
        </w:rPr>
        <w:t>Пациенти с коронарна артериална болест (исхемична болест на сърцето), тежка сърдечна недостатъчност, проводни нарушения или клинично значима брадикардия.</w:t>
      </w:r>
    </w:p>
    <w:p w14:paraId="4A2073C2" w14:textId="77777777" w:rsidR="00830C0E" w:rsidRPr="00830C0E" w:rsidRDefault="00830C0E" w:rsidP="00830C0E">
      <w:pPr>
        <w:pStyle w:val="ListParagraph"/>
        <w:numPr>
          <w:ilvl w:val="0"/>
          <w:numId w:val="36"/>
        </w:numPr>
        <w:spacing w:line="240" w:lineRule="auto"/>
        <w:rPr>
          <w:rFonts w:eastAsia="Times New Roman" w:cs="Arial"/>
        </w:rPr>
      </w:pPr>
      <w:r w:rsidRPr="00830C0E">
        <w:rPr>
          <w:rFonts w:eastAsia="Times New Roman" w:cs="Arial"/>
          <w:bCs/>
          <w:color w:val="000000"/>
          <w:lang w:eastAsia="bg-BG"/>
        </w:rPr>
        <w:t>Пациенти с елекролитни смущения. Кларитромицин не трябва да се прилага при пациенти с хипокалиемия (вижте точка 4.3).</w:t>
      </w:r>
    </w:p>
    <w:p w14:paraId="2F65C938" w14:textId="77777777" w:rsidR="00830C0E" w:rsidRPr="00830C0E" w:rsidRDefault="00830C0E" w:rsidP="00830C0E">
      <w:pPr>
        <w:pStyle w:val="ListParagraph"/>
        <w:numPr>
          <w:ilvl w:val="0"/>
          <w:numId w:val="36"/>
        </w:numPr>
        <w:spacing w:line="240" w:lineRule="auto"/>
        <w:rPr>
          <w:rFonts w:eastAsia="Times New Roman" w:cs="Arial"/>
        </w:rPr>
      </w:pPr>
      <w:r w:rsidRPr="00830C0E">
        <w:rPr>
          <w:rFonts w:eastAsia="Times New Roman" w:cs="Arial"/>
          <w:bCs/>
          <w:color w:val="000000"/>
          <w:lang w:eastAsia="bg-BG"/>
        </w:rPr>
        <w:t xml:space="preserve">Пациенти, които приемат съпъстващо други лекарствени продукти, свързвани с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интервала (вижте точка 4.5).</w:t>
      </w:r>
    </w:p>
    <w:p w14:paraId="78040557" w14:textId="77777777" w:rsidR="00830C0E" w:rsidRPr="00830C0E" w:rsidRDefault="00830C0E" w:rsidP="00830C0E">
      <w:pPr>
        <w:pStyle w:val="ListParagraph"/>
        <w:numPr>
          <w:ilvl w:val="0"/>
          <w:numId w:val="36"/>
        </w:numPr>
        <w:spacing w:line="240" w:lineRule="auto"/>
        <w:rPr>
          <w:rFonts w:eastAsia="Times New Roman" w:cs="Arial"/>
        </w:rPr>
      </w:pPr>
      <w:r w:rsidRPr="00830C0E">
        <w:rPr>
          <w:rFonts w:eastAsia="Times New Roman" w:cs="Arial"/>
          <w:bCs/>
          <w:color w:val="000000"/>
          <w:lang w:eastAsia="bg-BG"/>
        </w:rPr>
        <w:lastRenderedPageBreak/>
        <w:t>Съпътстващо приложение на кларитромицин с астемизол, цизаприд, пимозид и терфенадин е противопоказано (вижте точка 4.3).</w:t>
      </w:r>
    </w:p>
    <w:p w14:paraId="6172D66A" w14:textId="6CEA6A7C" w:rsidR="00830C0E" w:rsidRPr="00830C0E" w:rsidRDefault="00830C0E" w:rsidP="00830C0E">
      <w:pPr>
        <w:pStyle w:val="ListParagraph"/>
        <w:numPr>
          <w:ilvl w:val="0"/>
          <w:numId w:val="36"/>
        </w:numPr>
        <w:spacing w:line="240" w:lineRule="auto"/>
        <w:rPr>
          <w:rFonts w:eastAsia="Times New Roman" w:cs="Arial"/>
        </w:rPr>
      </w:pPr>
      <w:r w:rsidRPr="00830C0E">
        <w:rPr>
          <w:rFonts w:eastAsia="Times New Roman" w:cs="Arial"/>
          <w:bCs/>
          <w:color w:val="000000"/>
          <w:lang w:eastAsia="bg-BG"/>
        </w:rPr>
        <w:t xml:space="preserve">Кларитромицин не трябва да се използва при пациенти с вродено или документирано придобито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интервала или анамнеза за камерна аритмия (вижте точка 4.3).</w:t>
      </w:r>
    </w:p>
    <w:p w14:paraId="3B383255" w14:textId="77777777" w:rsidR="00830C0E" w:rsidRPr="00830C0E" w:rsidRDefault="00830C0E" w:rsidP="00830C0E">
      <w:pPr>
        <w:spacing w:line="240" w:lineRule="auto"/>
        <w:rPr>
          <w:rFonts w:eastAsia="Times New Roman" w:cs="Arial"/>
          <w:bCs/>
          <w:color w:val="000000"/>
          <w:lang w:eastAsia="bg-BG"/>
        </w:rPr>
      </w:pPr>
    </w:p>
    <w:p w14:paraId="0D98842A" w14:textId="4D4DC2D5"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Епидемиологични проучвания, изследващи риска от нежелани сърдечно-съдови последствия при прилагане на макролиди са показали различни резултати. Някои неинтервенционални проучвания са идентифицирали рядък краткосрочен риск от аритмия, инфаркт на миокарда и сърдечно-съдова смъртност, свързана с макролиди, включително кларитромицин. Вземането предвид на тези находки трябва да се балансира с ползите от лечението при предписване на кларитромицин.</w:t>
      </w:r>
    </w:p>
    <w:p w14:paraId="072362A7" w14:textId="77777777" w:rsidR="00830C0E" w:rsidRPr="00830C0E" w:rsidRDefault="00830C0E" w:rsidP="00830C0E">
      <w:pPr>
        <w:spacing w:line="240" w:lineRule="auto"/>
        <w:rPr>
          <w:rFonts w:eastAsia="Times New Roman" w:cs="Arial"/>
          <w:bCs/>
          <w:color w:val="000000"/>
          <w:u w:val="single"/>
          <w:lang w:eastAsia="bg-BG"/>
        </w:rPr>
      </w:pPr>
    </w:p>
    <w:p w14:paraId="2F130910" w14:textId="75EFAF42"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Пневмония</w:t>
      </w:r>
    </w:p>
    <w:p w14:paraId="4033E2F7" w14:textId="77777777" w:rsidR="00830C0E" w:rsidRPr="00830C0E" w:rsidRDefault="00830C0E" w:rsidP="00830C0E">
      <w:pPr>
        <w:rPr>
          <w:rFonts w:eastAsia="Times New Roman" w:cs="Arial"/>
        </w:rPr>
      </w:pPr>
      <w:r w:rsidRPr="00830C0E">
        <w:rPr>
          <w:rFonts w:eastAsia="Times New Roman" w:cs="Arial"/>
          <w:bCs/>
          <w:color w:val="000000"/>
          <w:lang w:eastAsia="bg-BG"/>
        </w:rPr>
        <w:t xml:space="preserve">Поради засилващата се резистентност на </w:t>
      </w:r>
      <w:r w:rsidRPr="00830C0E">
        <w:rPr>
          <w:rFonts w:eastAsia="Times New Roman" w:cs="Arial"/>
          <w:bCs/>
          <w:i/>
          <w:iCs/>
          <w:color w:val="000000"/>
          <w:lang w:val="en-US"/>
        </w:rPr>
        <w:t>Streptococcus</w:t>
      </w:r>
      <w:r w:rsidRPr="00830C0E">
        <w:rPr>
          <w:rFonts w:eastAsia="Times New Roman" w:cs="Arial"/>
          <w:bCs/>
          <w:i/>
          <w:iCs/>
          <w:color w:val="000000"/>
          <w:lang w:val="ru-RU"/>
        </w:rPr>
        <w:t xml:space="preserve"> </w:t>
      </w:r>
      <w:r w:rsidRPr="00830C0E">
        <w:rPr>
          <w:rFonts w:eastAsia="Times New Roman" w:cs="Arial"/>
          <w:bCs/>
          <w:i/>
          <w:iCs/>
          <w:color w:val="000000"/>
          <w:lang w:val="en-US"/>
        </w:rPr>
        <w:t>pneumonia</w:t>
      </w:r>
      <w:r w:rsidRPr="00830C0E">
        <w:rPr>
          <w:rFonts w:eastAsia="Times New Roman" w:cs="Arial"/>
          <w:bCs/>
          <w:color w:val="000000"/>
          <w:lang w:val="ru-RU"/>
        </w:rPr>
        <w:t xml:space="preserve"> </w:t>
      </w:r>
      <w:r w:rsidRPr="00830C0E">
        <w:rPr>
          <w:rFonts w:eastAsia="Times New Roman" w:cs="Arial"/>
          <w:bCs/>
          <w:color w:val="000000"/>
          <w:lang w:eastAsia="bg-BG"/>
        </w:rPr>
        <w:t>към макролиди е необходимо предварително тестване за резистентност при предписване на кларитромицин за придобити в обществото пневмонии. При вътреболнични пневмонии кларитромицин трябва да се прилага с допълнителни подходящи антибиотици.</w:t>
      </w:r>
    </w:p>
    <w:p w14:paraId="12EA4A27" w14:textId="77777777" w:rsidR="00830C0E" w:rsidRPr="00830C0E" w:rsidRDefault="00830C0E" w:rsidP="00830C0E">
      <w:pPr>
        <w:spacing w:line="240" w:lineRule="auto"/>
        <w:rPr>
          <w:rFonts w:eastAsia="Times New Roman" w:cs="Arial"/>
          <w:bCs/>
          <w:color w:val="000000"/>
          <w:u w:val="single"/>
          <w:lang w:eastAsia="bg-BG"/>
        </w:rPr>
      </w:pPr>
    </w:p>
    <w:p w14:paraId="2196E37E" w14:textId="32F24267"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Инфекции на кожата и меките тъкани с лека до умерена тежест</w:t>
      </w:r>
    </w:p>
    <w:p w14:paraId="34A2105F"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Тези инфекции най-често се причиняват от </w:t>
      </w:r>
      <w:r w:rsidRPr="00830C0E">
        <w:rPr>
          <w:rFonts w:eastAsia="Times New Roman" w:cs="Arial"/>
          <w:bCs/>
          <w:i/>
          <w:iCs/>
          <w:color w:val="000000"/>
          <w:lang w:val="en-US"/>
        </w:rPr>
        <w:t>Staphylococcus</w:t>
      </w:r>
      <w:r w:rsidRPr="00830C0E">
        <w:rPr>
          <w:rFonts w:eastAsia="Times New Roman" w:cs="Arial"/>
          <w:bCs/>
          <w:i/>
          <w:iCs/>
          <w:color w:val="000000"/>
          <w:lang w:val="ru-RU"/>
        </w:rPr>
        <w:t xml:space="preserve"> </w:t>
      </w:r>
      <w:r w:rsidRPr="00830C0E">
        <w:rPr>
          <w:rFonts w:eastAsia="Times New Roman" w:cs="Arial"/>
          <w:bCs/>
          <w:i/>
          <w:iCs/>
          <w:color w:val="000000"/>
          <w:lang w:val="en-US"/>
        </w:rPr>
        <w:t>aureus</w:t>
      </w:r>
      <w:r w:rsidRPr="00830C0E">
        <w:rPr>
          <w:rFonts w:eastAsia="Times New Roman" w:cs="Arial"/>
          <w:bCs/>
          <w:color w:val="000000"/>
          <w:lang w:val="ru-RU"/>
        </w:rPr>
        <w:t xml:space="preserve"> </w:t>
      </w:r>
      <w:r w:rsidRPr="00830C0E">
        <w:rPr>
          <w:rFonts w:eastAsia="Times New Roman" w:cs="Arial"/>
          <w:bCs/>
          <w:color w:val="000000"/>
          <w:lang w:eastAsia="bg-BG"/>
        </w:rPr>
        <w:t xml:space="preserve">и </w:t>
      </w:r>
      <w:r w:rsidRPr="00830C0E">
        <w:rPr>
          <w:rFonts w:eastAsia="Times New Roman" w:cs="Arial"/>
          <w:bCs/>
          <w:i/>
          <w:iCs/>
          <w:color w:val="000000"/>
          <w:lang w:val="en-US"/>
        </w:rPr>
        <w:t>Streptococcus</w:t>
      </w:r>
      <w:r w:rsidRPr="00830C0E">
        <w:rPr>
          <w:rFonts w:eastAsia="Times New Roman" w:cs="Arial"/>
          <w:bCs/>
          <w:i/>
          <w:iCs/>
          <w:color w:val="000000"/>
          <w:lang w:val="ru-RU"/>
        </w:rPr>
        <w:t xml:space="preserve"> </w:t>
      </w:r>
      <w:proofErr w:type="spellStart"/>
      <w:r w:rsidRPr="00830C0E">
        <w:rPr>
          <w:rFonts w:eastAsia="Times New Roman" w:cs="Arial"/>
          <w:bCs/>
          <w:i/>
          <w:iCs/>
          <w:color w:val="000000"/>
          <w:lang w:val="en-US"/>
        </w:rPr>
        <w:t>pyogenes</w:t>
      </w:r>
      <w:proofErr w:type="spellEnd"/>
      <w:r w:rsidRPr="00830C0E">
        <w:rPr>
          <w:rFonts w:eastAsia="Times New Roman" w:cs="Arial"/>
          <w:bCs/>
          <w:i/>
          <w:iCs/>
          <w:color w:val="000000"/>
          <w:lang w:val="ru-RU"/>
        </w:rPr>
        <w:t xml:space="preserve">, </w:t>
      </w:r>
      <w:r w:rsidRPr="00830C0E">
        <w:rPr>
          <w:rFonts w:eastAsia="Times New Roman" w:cs="Arial"/>
          <w:bCs/>
          <w:color w:val="000000"/>
          <w:lang w:eastAsia="bg-BG"/>
        </w:rPr>
        <w:t xml:space="preserve">като и двата причинителя могат да бъдат резистентни на макролиди. Поради това е необходимо да се проведат тестове за чувствителност. В случаи, при които не могат да бъдат приложени бета-лактамни антибиотици (напр. алергия), други антибиотици като клиндамицин могат да бъдат използвани като лекарство от първи избор. Към момента само за някои от макролидите се счита, че имат роля при някои инфекции на кожата и меките тъкани, причинени от </w:t>
      </w:r>
      <w:proofErr w:type="spellStart"/>
      <w:r w:rsidRPr="00830C0E">
        <w:rPr>
          <w:rFonts w:eastAsia="Times New Roman" w:cs="Arial"/>
          <w:bCs/>
          <w:i/>
          <w:iCs/>
          <w:color w:val="000000"/>
          <w:lang w:val="en-US"/>
        </w:rPr>
        <w:t>Corybacierium</w:t>
      </w:r>
      <w:proofErr w:type="spellEnd"/>
      <w:r w:rsidRPr="00830C0E">
        <w:rPr>
          <w:rFonts w:eastAsia="Times New Roman" w:cs="Arial"/>
          <w:bCs/>
          <w:i/>
          <w:iCs/>
          <w:color w:val="000000"/>
          <w:lang w:val="ru-RU"/>
        </w:rPr>
        <w:t xml:space="preserve"> </w:t>
      </w:r>
      <w:proofErr w:type="spellStart"/>
      <w:r w:rsidRPr="00830C0E">
        <w:rPr>
          <w:rFonts w:eastAsia="Times New Roman" w:cs="Arial"/>
          <w:bCs/>
          <w:i/>
          <w:iCs/>
          <w:color w:val="000000"/>
          <w:lang w:val="en-US"/>
        </w:rPr>
        <w:t>minutissimum</w:t>
      </w:r>
      <w:proofErr w:type="spellEnd"/>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акне вулгарис и еризипел, и в случаи, при които не може да се използва лечение с пеницилини.</w:t>
      </w:r>
    </w:p>
    <w:p w14:paraId="3CF723A3" w14:textId="77777777" w:rsidR="00830C0E" w:rsidRPr="00830C0E" w:rsidRDefault="00830C0E" w:rsidP="00830C0E">
      <w:pPr>
        <w:spacing w:line="240" w:lineRule="auto"/>
        <w:rPr>
          <w:rFonts w:eastAsia="Times New Roman" w:cs="Arial"/>
          <w:bCs/>
          <w:color w:val="000000"/>
          <w:lang w:eastAsia="bg-BG"/>
        </w:rPr>
      </w:pPr>
    </w:p>
    <w:p w14:paraId="485ADDCF" w14:textId="412B80C0"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В случай на тежки остри реакции на свръхчувствителност като анафилаксия, тежки кожни нежелани реакции </w:t>
      </w:r>
      <w:r w:rsidRPr="00830C0E">
        <w:rPr>
          <w:rFonts w:eastAsia="Times New Roman" w:cs="Arial"/>
          <w:bCs/>
          <w:color w:val="000000"/>
          <w:lang w:val="ru-RU"/>
        </w:rPr>
        <w:t>(</w:t>
      </w:r>
      <w:r w:rsidRPr="00830C0E">
        <w:rPr>
          <w:rFonts w:eastAsia="Times New Roman" w:cs="Arial"/>
          <w:bCs/>
          <w:color w:val="000000"/>
          <w:lang w:val="en-US"/>
        </w:rPr>
        <w:t>SCAR</w:t>
      </w:r>
      <w:r w:rsidRPr="00830C0E">
        <w:rPr>
          <w:rFonts w:eastAsia="Times New Roman" w:cs="Arial"/>
          <w:bCs/>
          <w:color w:val="000000"/>
          <w:lang w:val="ru-RU"/>
        </w:rPr>
        <w:t xml:space="preserve">) </w:t>
      </w:r>
      <w:r w:rsidRPr="00830C0E">
        <w:rPr>
          <w:rFonts w:eastAsia="Times New Roman" w:cs="Arial"/>
          <w:bCs/>
          <w:color w:val="000000"/>
          <w:lang w:eastAsia="bg-BG"/>
        </w:rPr>
        <w:t xml:space="preserve">(например, остра генерализирана екзантемозна пустулоза </w:t>
      </w:r>
      <w:r w:rsidRPr="00830C0E">
        <w:rPr>
          <w:rFonts w:eastAsia="Times New Roman" w:cs="Arial"/>
          <w:bCs/>
          <w:color w:val="000000"/>
          <w:lang w:val="ru-RU"/>
        </w:rPr>
        <w:t>(</w:t>
      </w:r>
      <w:r w:rsidRPr="00830C0E">
        <w:rPr>
          <w:rFonts w:eastAsia="Times New Roman" w:cs="Arial"/>
          <w:bCs/>
          <w:color w:val="000000"/>
          <w:lang w:val="en-US"/>
        </w:rPr>
        <w:t>AGEP</w:t>
      </w:r>
      <w:r w:rsidRPr="00830C0E">
        <w:rPr>
          <w:rFonts w:eastAsia="Times New Roman" w:cs="Arial"/>
          <w:bCs/>
          <w:color w:val="000000"/>
          <w:lang w:val="ru-RU"/>
        </w:rPr>
        <w:t xml:space="preserve">)), </w:t>
      </w:r>
      <w:r w:rsidRPr="00830C0E">
        <w:rPr>
          <w:rFonts w:eastAsia="Times New Roman" w:cs="Arial"/>
          <w:bCs/>
          <w:color w:val="000000"/>
          <w:lang w:eastAsia="bg-BG"/>
        </w:rPr>
        <w:t xml:space="preserve">Синдром на Стивънс-Джонсън, токсична епидермална некролиза и лекарствен обрив с еозинофилия и системни симптоми </w:t>
      </w:r>
      <w:r w:rsidRPr="00830C0E">
        <w:rPr>
          <w:rFonts w:eastAsia="Times New Roman" w:cs="Arial"/>
          <w:bCs/>
          <w:color w:val="000000"/>
          <w:lang w:val="ru-RU"/>
        </w:rPr>
        <w:t>(</w:t>
      </w:r>
      <w:r w:rsidRPr="00830C0E">
        <w:rPr>
          <w:rFonts w:eastAsia="Times New Roman" w:cs="Arial"/>
          <w:bCs/>
          <w:color w:val="000000"/>
          <w:lang w:val="en-US"/>
        </w:rPr>
        <w:t>DRESS</w:t>
      </w:r>
      <w:r w:rsidRPr="00830C0E">
        <w:rPr>
          <w:rFonts w:eastAsia="Times New Roman" w:cs="Arial"/>
          <w:bCs/>
          <w:color w:val="000000"/>
          <w:lang w:val="ru-RU"/>
        </w:rPr>
        <w:t xml:space="preserve">), </w:t>
      </w:r>
      <w:r w:rsidRPr="00830C0E">
        <w:rPr>
          <w:rFonts w:eastAsia="Times New Roman" w:cs="Arial"/>
          <w:bCs/>
          <w:color w:val="000000"/>
          <w:lang w:eastAsia="bg-BG"/>
        </w:rPr>
        <w:t>терапията с кларитромицин трябва незабавно да се спре и спешно да се започне подходящо лечение.</w:t>
      </w:r>
    </w:p>
    <w:p w14:paraId="6DB22B87" w14:textId="77777777" w:rsidR="00830C0E" w:rsidRPr="00830C0E" w:rsidRDefault="00830C0E" w:rsidP="00830C0E">
      <w:pPr>
        <w:spacing w:line="240" w:lineRule="auto"/>
        <w:rPr>
          <w:rFonts w:eastAsia="Times New Roman" w:cs="Arial"/>
          <w:bCs/>
          <w:color w:val="000000"/>
          <w:lang w:eastAsia="bg-BG"/>
        </w:rPr>
      </w:pPr>
    </w:p>
    <w:p w14:paraId="60FC2B1C" w14:textId="701EEE8B"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Кларитромицин трябва да се прилага с повишено внимание при приложение на лекарства, които индуцират цитохром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val="ru-RU"/>
        </w:rPr>
        <w:t xml:space="preserve">4 </w:t>
      </w:r>
      <w:r w:rsidRPr="00830C0E">
        <w:rPr>
          <w:rFonts w:eastAsia="Times New Roman" w:cs="Arial"/>
          <w:bCs/>
          <w:color w:val="000000"/>
          <w:lang w:eastAsia="bg-BG"/>
        </w:rPr>
        <w:t>ензима (вижте точка 4.3).</w:t>
      </w:r>
    </w:p>
    <w:p w14:paraId="201B27D9" w14:textId="77777777" w:rsidR="00830C0E" w:rsidRPr="00830C0E" w:rsidRDefault="00830C0E" w:rsidP="00830C0E">
      <w:pPr>
        <w:spacing w:line="240" w:lineRule="auto"/>
        <w:rPr>
          <w:rFonts w:eastAsia="Times New Roman" w:cs="Arial"/>
          <w:bCs/>
          <w:color w:val="000000"/>
          <w:lang w:eastAsia="bg-BG"/>
        </w:rPr>
      </w:pPr>
    </w:p>
    <w:p w14:paraId="450EB401" w14:textId="673CBC92"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Необходимо е повишено внимание също </w:t>
      </w:r>
      <w:r w:rsidRPr="00830C0E">
        <w:rPr>
          <w:rFonts w:eastAsia="Times New Roman" w:cs="Arial"/>
          <w:bCs/>
          <w:i/>
          <w:iCs/>
          <w:color w:val="000000"/>
          <w:lang w:eastAsia="bg-BG"/>
        </w:rPr>
        <w:t>и</w:t>
      </w:r>
      <w:r w:rsidRPr="00830C0E">
        <w:rPr>
          <w:rFonts w:eastAsia="Times New Roman" w:cs="Arial"/>
          <w:bCs/>
          <w:color w:val="000000"/>
          <w:lang w:eastAsia="bg-BG"/>
        </w:rPr>
        <w:t xml:space="preserve"> поради възможността за кръстосана резистентност между кларитромицин и други макролиди, както и с линкомиции и клиндамицин.</w:t>
      </w:r>
    </w:p>
    <w:p w14:paraId="0F06106E" w14:textId="77777777" w:rsidR="00830C0E" w:rsidRPr="00830C0E" w:rsidRDefault="00830C0E" w:rsidP="00830C0E">
      <w:pPr>
        <w:spacing w:line="240" w:lineRule="auto"/>
        <w:rPr>
          <w:rFonts w:eastAsia="Times New Roman" w:cs="Arial"/>
          <w:bCs/>
          <w:color w:val="000000"/>
          <w:u w:val="single"/>
          <w:lang w:val="en-US"/>
        </w:rPr>
      </w:pPr>
    </w:p>
    <w:p w14:paraId="601C543E" w14:textId="4CD47E82" w:rsidR="00830C0E" w:rsidRPr="00830C0E" w:rsidRDefault="00830C0E" w:rsidP="00830C0E">
      <w:pPr>
        <w:spacing w:line="240" w:lineRule="auto"/>
        <w:rPr>
          <w:rFonts w:eastAsia="Times New Roman" w:cs="Arial"/>
        </w:rPr>
      </w:pPr>
      <w:r w:rsidRPr="00830C0E">
        <w:rPr>
          <w:rFonts w:eastAsia="Times New Roman" w:cs="Arial"/>
          <w:bCs/>
          <w:color w:val="000000"/>
          <w:u w:val="single"/>
          <w:lang w:val="en-US"/>
        </w:rPr>
        <w:t>HMG</w:t>
      </w:r>
      <w:r w:rsidRPr="00830C0E">
        <w:rPr>
          <w:rFonts w:eastAsia="Times New Roman" w:cs="Arial"/>
          <w:bCs/>
          <w:color w:val="000000"/>
          <w:u w:val="single"/>
          <w:lang w:val="ru-RU"/>
        </w:rPr>
        <w:t>-</w:t>
      </w:r>
      <w:r w:rsidRPr="00830C0E">
        <w:rPr>
          <w:rFonts w:eastAsia="Times New Roman" w:cs="Arial"/>
          <w:bCs/>
          <w:color w:val="000000"/>
          <w:u w:val="single"/>
          <w:lang w:val="en-US"/>
        </w:rPr>
        <w:t>CoA</w:t>
      </w:r>
      <w:r w:rsidRPr="00830C0E">
        <w:rPr>
          <w:rFonts w:eastAsia="Times New Roman" w:cs="Arial"/>
          <w:bCs/>
          <w:color w:val="000000"/>
          <w:u w:val="single"/>
          <w:lang w:val="ru-RU"/>
        </w:rPr>
        <w:t xml:space="preserve"> </w:t>
      </w:r>
      <w:r w:rsidRPr="00830C0E">
        <w:rPr>
          <w:rFonts w:eastAsia="Times New Roman" w:cs="Arial"/>
          <w:bCs/>
          <w:color w:val="000000"/>
          <w:u w:val="single"/>
          <w:lang w:eastAsia="bg-BG"/>
        </w:rPr>
        <w:t>редуктазни инхибитори (статини)</w:t>
      </w:r>
    </w:p>
    <w:p w14:paraId="39D8AC1C"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Съвместното приложение на кларитромицин и ловастатин и симвастатин е противопоказано (вижте точка 4.3).</w:t>
      </w:r>
    </w:p>
    <w:p w14:paraId="484F82FE"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Необходимо е повишено внимание, когато кларитромицин се предписва съвместно с други статини. Съобщавани са случаи на рабдомиолиза при пациенти, приемали кларитромицин и статини. Пациентите трябва да бъдат наблюдавани за признаци и симптоми на миопатия. В случаи, при които съвместното приложение на кларитромицин и </w:t>
      </w:r>
      <w:r w:rsidRPr="00830C0E">
        <w:rPr>
          <w:rFonts w:eastAsia="Times New Roman" w:cs="Arial"/>
          <w:bCs/>
          <w:color w:val="000000"/>
          <w:lang w:eastAsia="bg-BG"/>
        </w:rPr>
        <w:lastRenderedPageBreak/>
        <w:t xml:space="preserve">статини не може да се избегне, се препоръчва предписването на най-ниската регистрирана доза статии. Може да се обмисли приложението на статии, който не зависи от метаболизма на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val="ru-RU"/>
        </w:rPr>
        <w:t xml:space="preserve"> </w:t>
      </w:r>
      <w:r w:rsidRPr="00830C0E">
        <w:rPr>
          <w:rFonts w:eastAsia="Times New Roman" w:cs="Arial"/>
          <w:bCs/>
          <w:color w:val="000000"/>
          <w:lang w:eastAsia="bg-BG"/>
        </w:rPr>
        <w:t>(напр. флувастатин) (вижте точка 4.5).</w:t>
      </w:r>
    </w:p>
    <w:p w14:paraId="7F3B9DBE" w14:textId="77777777" w:rsidR="00830C0E" w:rsidRPr="00830C0E" w:rsidRDefault="00830C0E" w:rsidP="00830C0E">
      <w:pPr>
        <w:spacing w:line="240" w:lineRule="auto"/>
        <w:rPr>
          <w:rFonts w:eastAsia="Times New Roman" w:cs="Arial"/>
          <w:bCs/>
          <w:color w:val="000000"/>
          <w:u w:val="single"/>
          <w:lang w:eastAsia="bg-BG"/>
        </w:rPr>
      </w:pPr>
    </w:p>
    <w:p w14:paraId="2D61156E" w14:textId="76B0FF35"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Перорални хипогликемични агенти/ инсулин</w:t>
      </w:r>
    </w:p>
    <w:p w14:paraId="007FD78F"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Съвместното приложение на перорални хипогликемични лекарства (като сулфонилурейни продукти) и/ или инсулин с кларитромицин може да доведе до значима хипогликемия. Препоръчва се внимателно проследяване на нивата на глюкозата (вижте точка 4.5).</w:t>
      </w:r>
    </w:p>
    <w:p w14:paraId="2E9FA820" w14:textId="77777777" w:rsidR="00830C0E" w:rsidRPr="00830C0E" w:rsidRDefault="00830C0E" w:rsidP="00830C0E">
      <w:pPr>
        <w:spacing w:line="240" w:lineRule="auto"/>
        <w:rPr>
          <w:rFonts w:eastAsia="Times New Roman" w:cs="Arial"/>
          <w:bCs/>
          <w:color w:val="000000"/>
          <w:u w:val="single"/>
          <w:lang w:eastAsia="bg-BG"/>
        </w:rPr>
      </w:pPr>
    </w:p>
    <w:p w14:paraId="437D3E13" w14:textId="2D1F8E37"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Перорални антикоагуланти</w:t>
      </w:r>
    </w:p>
    <w:p w14:paraId="36C3306D"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Съществува риск от сериозна хеморагия и значително повишаване на Международното нормализирано съотношение </w:t>
      </w:r>
      <w:r w:rsidRPr="00830C0E">
        <w:rPr>
          <w:rFonts w:eastAsia="Times New Roman" w:cs="Arial"/>
          <w:bCs/>
          <w:color w:val="000000"/>
          <w:lang w:val="ru-RU"/>
        </w:rPr>
        <w:t>(</w:t>
      </w:r>
      <w:r w:rsidRPr="00830C0E">
        <w:rPr>
          <w:rFonts w:eastAsia="Times New Roman" w:cs="Arial"/>
          <w:bCs/>
          <w:color w:val="000000"/>
          <w:lang w:val="en-US"/>
        </w:rPr>
        <w:t>INR</w:t>
      </w:r>
      <w:r w:rsidRPr="00830C0E">
        <w:rPr>
          <w:rFonts w:eastAsia="Times New Roman" w:cs="Arial"/>
          <w:bCs/>
          <w:color w:val="000000"/>
          <w:lang w:val="ru-RU"/>
        </w:rPr>
        <w:t xml:space="preserve">) </w:t>
      </w:r>
      <w:r w:rsidRPr="00830C0E">
        <w:rPr>
          <w:rFonts w:eastAsia="Times New Roman" w:cs="Arial"/>
          <w:bCs/>
          <w:color w:val="000000"/>
          <w:lang w:eastAsia="bg-BG"/>
        </w:rPr>
        <w:t xml:space="preserve">и протромбиновото време, когато кларитромицин се приема съвместно с варфарин. </w:t>
      </w:r>
      <w:r w:rsidRPr="00830C0E">
        <w:rPr>
          <w:rFonts w:eastAsia="Times New Roman" w:cs="Arial"/>
          <w:bCs/>
          <w:color w:val="000000"/>
          <w:lang w:val="en-US"/>
        </w:rPr>
        <w:t>INR</w:t>
      </w:r>
      <w:r w:rsidRPr="00830C0E">
        <w:rPr>
          <w:rFonts w:eastAsia="Times New Roman" w:cs="Arial"/>
          <w:bCs/>
          <w:color w:val="000000"/>
          <w:lang w:val="ru-RU"/>
        </w:rPr>
        <w:t xml:space="preserve"> </w:t>
      </w:r>
      <w:r w:rsidRPr="00830C0E">
        <w:rPr>
          <w:rFonts w:eastAsia="Times New Roman" w:cs="Arial"/>
          <w:bCs/>
          <w:color w:val="000000"/>
          <w:lang w:eastAsia="bg-BG"/>
        </w:rPr>
        <w:t>и протромбиновото време трябва да бъдат проследявани често в периода на съвместен прием на кларитромицин и перорални антикоагуланти.</w:t>
      </w:r>
    </w:p>
    <w:p w14:paraId="4A94FDED" w14:textId="79259C83"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Трябва да се обръща особено внимание, когато кларитромицин се прилага едновременно с</w:t>
      </w:r>
      <w:r w:rsidRPr="00830C0E">
        <w:rPr>
          <w:rFonts w:eastAsia="Times New Roman" w:cs="Arial"/>
          <w:bCs/>
          <w:color w:val="000000"/>
          <w:u w:val="single"/>
          <w:lang w:eastAsia="bg-BG"/>
        </w:rPr>
        <w:t xml:space="preserve"> </w:t>
      </w:r>
      <w:r w:rsidRPr="00830C0E">
        <w:rPr>
          <w:rFonts w:eastAsia="Times New Roman" w:cs="Arial"/>
          <w:bCs/>
          <w:color w:val="000000"/>
          <w:lang w:eastAsia="bg-BG"/>
        </w:rPr>
        <w:t>директно действащи перорални антикоагуланти, като дабигатран, ривароксабан и апиксабан, особено при пациенти с висок риск от кървене (вижте точка 4.5).</w:t>
      </w:r>
    </w:p>
    <w:p w14:paraId="43750AF8" w14:textId="77777777" w:rsidR="00830C0E" w:rsidRPr="00830C0E" w:rsidRDefault="00830C0E" w:rsidP="00830C0E"/>
    <w:p w14:paraId="070777EC" w14:textId="43363B88" w:rsidR="00DF4C8E" w:rsidRDefault="002C50EE" w:rsidP="00F44498">
      <w:pPr>
        <w:pStyle w:val="Heading2"/>
      </w:pPr>
      <w:r>
        <w:t>4.5. Взаимодействие с други лекарствени продукти и други форми на взаимодействие</w:t>
      </w:r>
    </w:p>
    <w:p w14:paraId="12969605" w14:textId="3605E77A" w:rsidR="00830C0E" w:rsidRDefault="00830C0E" w:rsidP="00830C0E"/>
    <w:p w14:paraId="1E1810EA"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Приложението на посочените по-долу лекарствени продукти е строго противопоказано поради риск от поява на тежки ефекти на лекарствени взаимодействия</w:t>
      </w:r>
    </w:p>
    <w:p w14:paraId="2D3BBE46" w14:textId="77777777" w:rsidR="00D13A48" w:rsidRPr="00D13A48" w:rsidRDefault="00D13A48" w:rsidP="00830C0E">
      <w:pPr>
        <w:spacing w:line="240" w:lineRule="auto"/>
        <w:rPr>
          <w:rFonts w:eastAsia="Times New Roman" w:cs="Arial"/>
          <w:bCs/>
          <w:color w:val="000000"/>
          <w:u w:val="single"/>
          <w:lang w:eastAsia="bg-BG"/>
        </w:rPr>
      </w:pPr>
    </w:p>
    <w:p w14:paraId="1C4DAC3D" w14:textId="0CAEE960"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Цизаприд, пимозид. астемизол и терфенадин</w:t>
      </w:r>
    </w:p>
    <w:p w14:paraId="6AD561B8"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Съобщавани са повишени нива на цизаприд при пациенти, лекувани едновременно с кларитромицин и цизаприд. Това може да доведе до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 xml:space="preserve">интервала и сърдечни аритмии, включително камерна тахикардия, камерни фибрилации и полиморфна камерна тахикардия </w:t>
      </w:r>
      <w:r w:rsidRPr="00830C0E">
        <w:rPr>
          <w:rFonts w:eastAsia="Times New Roman" w:cs="Arial"/>
          <w:bCs/>
          <w:i/>
          <w:iCs/>
          <w:color w:val="000000"/>
          <w:lang w:val="ru-RU"/>
        </w:rPr>
        <w:t>(</w:t>
      </w:r>
      <w:proofErr w:type="spellStart"/>
      <w:r w:rsidRPr="00830C0E">
        <w:rPr>
          <w:rFonts w:eastAsia="Times New Roman" w:cs="Arial"/>
          <w:bCs/>
          <w:i/>
          <w:iCs/>
          <w:color w:val="000000"/>
          <w:lang w:val="en-US"/>
        </w:rPr>
        <w:t>torsades</w:t>
      </w:r>
      <w:proofErr w:type="spellEnd"/>
      <w:r w:rsidRPr="00830C0E">
        <w:rPr>
          <w:rFonts w:eastAsia="Times New Roman" w:cs="Arial"/>
          <w:bCs/>
          <w:i/>
          <w:iCs/>
          <w:color w:val="000000"/>
          <w:lang w:val="ru-RU"/>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Подобни ефекти са наблюдавани при пациенти, приемали едновременно кларитромицин и пимозид (вижте точка 4.3).</w:t>
      </w:r>
    </w:p>
    <w:p w14:paraId="1712CD94"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Съобщавано е, че макролидите повлияват метаболизма на терфенадин, което води до повишаване на плазмените му нива и се свързва със сърдечни аритмии като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 xml:space="preserve">интервала, камерна тахикардия, камерна фибрилация и камерно мъждене и полиморфна камерна тахикардия </w:t>
      </w:r>
      <w:r w:rsidRPr="00830C0E">
        <w:rPr>
          <w:rFonts w:eastAsia="Times New Roman" w:cs="Arial"/>
          <w:bCs/>
          <w:i/>
          <w:iCs/>
          <w:color w:val="000000"/>
          <w:lang w:val="ru-RU"/>
        </w:rPr>
        <w:t>(</w:t>
      </w:r>
      <w:proofErr w:type="spellStart"/>
      <w:r w:rsidRPr="00830C0E">
        <w:rPr>
          <w:rFonts w:eastAsia="Times New Roman" w:cs="Arial"/>
          <w:bCs/>
          <w:i/>
          <w:iCs/>
          <w:color w:val="000000"/>
          <w:lang w:val="en-US"/>
        </w:rPr>
        <w:t>torsades</w:t>
      </w:r>
      <w:proofErr w:type="spellEnd"/>
      <w:r w:rsidRPr="00830C0E">
        <w:rPr>
          <w:rFonts w:eastAsia="Times New Roman" w:cs="Arial"/>
          <w:bCs/>
          <w:i/>
          <w:iCs/>
          <w:color w:val="000000"/>
          <w:lang w:val="ru-RU"/>
        </w:rPr>
        <w:t xml:space="preserve"> </w:t>
      </w:r>
      <w:r w:rsidRPr="00830C0E">
        <w:rPr>
          <w:rFonts w:eastAsia="Times New Roman" w:cs="Arial"/>
          <w:bCs/>
          <w:i/>
          <w:iCs/>
          <w:color w:val="000000"/>
          <w:lang w:val="en-US"/>
        </w:rPr>
        <w:t>de</w:t>
      </w:r>
      <w:r w:rsidRPr="00830C0E">
        <w:rPr>
          <w:rFonts w:eastAsia="Times New Roman" w:cs="Arial"/>
          <w:bCs/>
          <w:i/>
          <w:iCs/>
          <w:color w:val="000000"/>
          <w:lang w:val="ru-RU"/>
        </w:rPr>
        <w:t xml:space="preserve"> </w:t>
      </w:r>
      <w:r w:rsidRPr="00830C0E">
        <w:rPr>
          <w:rFonts w:eastAsia="Times New Roman" w:cs="Arial"/>
          <w:bCs/>
          <w:i/>
          <w:iCs/>
          <w:color w:val="000000"/>
          <w:lang w:val="en-US"/>
        </w:rPr>
        <w:t>pointes</w:t>
      </w:r>
      <w:r w:rsidRPr="00830C0E">
        <w:rPr>
          <w:rFonts w:eastAsia="Times New Roman" w:cs="Arial"/>
          <w:bCs/>
          <w:i/>
          <w:iCs/>
          <w:color w:val="000000"/>
          <w:lang w:val="ru-RU"/>
        </w:rPr>
        <w:t>)</w:t>
      </w:r>
      <w:r w:rsidRPr="00830C0E">
        <w:rPr>
          <w:rFonts w:eastAsia="Times New Roman" w:cs="Arial"/>
          <w:bCs/>
          <w:color w:val="000000"/>
          <w:lang w:val="ru-RU"/>
        </w:rPr>
        <w:t xml:space="preserve"> </w:t>
      </w:r>
      <w:r w:rsidRPr="00830C0E">
        <w:rPr>
          <w:rFonts w:eastAsia="Times New Roman" w:cs="Arial"/>
          <w:bCs/>
          <w:color w:val="000000"/>
          <w:lang w:eastAsia="bg-BG"/>
        </w:rPr>
        <w:t xml:space="preserve">(вижте точка 4.3). При клинично проучване при 14 здрави доброволци съвместното приложение на кларитромицин и терфенадин е причинило от двукратно до трикратно повишение на серумните нива на киселия метаболит на терфенадин и до удължаване на </w:t>
      </w:r>
      <w:r w:rsidRPr="00830C0E">
        <w:rPr>
          <w:rFonts w:eastAsia="Times New Roman" w:cs="Arial"/>
          <w:bCs/>
          <w:color w:val="000000"/>
          <w:lang w:val="en-US"/>
        </w:rPr>
        <w:t>QT</w:t>
      </w:r>
      <w:r w:rsidRPr="00830C0E">
        <w:rPr>
          <w:rFonts w:eastAsia="Times New Roman" w:cs="Arial"/>
          <w:bCs/>
          <w:color w:val="000000"/>
          <w:lang w:val="ru-RU"/>
        </w:rPr>
        <w:t xml:space="preserve"> </w:t>
      </w:r>
      <w:r w:rsidRPr="00830C0E">
        <w:rPr>
          <w:rFonts w:eastAsia="Times New Roman" w:cs="Arial"/>
          <w:bCs/>
          <w:color w:val="000000"/>
          <w:lang w:eastAsia="bg-BG"/>
        </w:rPr>
        <w:t>интервала, който не е довел до никакви клинично значими ефекти. Подобни ефекти са наблюдавани и при съвместно приложение с астемизол и други макролиди.</w:t>
      </w:r>
    </w:p>
    <w:p w14:paraId="53FEB0AD" w14:textId="77777777" w:rsidR="00D13A48" w:rsidRPr="00D13A48" w:rsidRDefault="00D13A48" w:rsidP="00830C0E">
      <w:pPr>
        <w:spacing w:line="240" w:lineRule="auto"/>
        <w:rPr>
          <w:rFonts w:eastAsia="Times New Roman" w:cs="Arial"/>
          <w:bCs/>
          <w:color w:val="000000"/>
          <w:u w:val="single"/>
          <w:lang w:eastAsia="bg-BG"/>
        </w:rPr>
      </w:pPr>
    </w:p>
    <w:p w14:paraId="47655273" w14:textId="213A4891"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Ерго алкалоиди</w:t>
      </w:r>
    </w:p>
    <w:p w14:paraId="1518DBA6" w14:textId="06846C45"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Постмаркетингови съобщения показват, че съвместното приложение на кларитромицин и ерготамин или дихидроерготамин е свързано с остра ерготаминова токсичност, характеризираща се с вазоспазъм и исхемия на крайниците и други тъкани, включително централната нервна система. Съвместното приложение на кларитромицин и тези лекарствени продукти е противопоказано (вижте точка 4.3).</w:t>
      </w:r>
    </w:p>
    <w:p w14:paraId="050AA9CB" w14:textId="77777777" w:rsidR="00D13A48" w:rsidRPr="00D13A48" w:rsidRDefault="00D13A48" w:rsidP="00830C0E">
      <w:pPr>
        <w:spacing w:line="240" w:lineRule="auto"/>
        <w:rPr>
          <w:rFonts w:eastAsia="Times New Roman" w:cs="Arial"/>
          <w:bCs/>
          <w:color w:val="000000"/>
          <w:u w:val="single"/>
          <w:lang w:eastAsia="bg-BG"/>
        </w:rPr>
      </w:pPr>
    </w:p>
    <w:p w14:paraId="75AF28EC" w14:textId="6CCCBA0E" w:rsidR="00830C0E" w:rsidRPr="00830C0E" w:rsidRDefault="00830C0E" w:rsidP="00830C0E">
      <w:pPr>
        <w:spacing w:line="240" w:lineRule="auto"/>
        <w:rPr>
          <w:rFonts w:eastAsia="Times New Roman" w:cs="Arial"/>
        </w:rPr>
      </w:pPr>
      <w:r w:rsidRPr="00830C0E">
        <w:rPr>
          <w:rFonts w:eastAsia="Times New Roman" w:cs="Arial"/>
          <w:bCs/>
          <w:color w:val="000000"/>
          <w:u w:val="single"/>
          <w:lang w:eastAsia="bg-BG"/>
        </w:rPr>
        <w:t>Перорален мидазолам</w:t>
      </w:r>
    </w:p>
    <w:p w14:paraId="5BC1D9B9"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lastRenderedPageBreak/>
        <w:t xml:space="preserve">Когато мидазолам е назначава съвместно с кларитромицин (500 </w:t>
      </w:r>
      <w:r w:rsidRPr="00830C0E">
        <w:rPr>
          <w:rFonts w:eastAsia="Times New Roman" w:cs="Arial"/>
          <w:bCs/>
          <w:color w:val="000000"/>
          <w:lang w:val="en-US"/>
        </w:rPr>
        <w:t>mg</w:t>
      </w:r>
      <w:r w:rsidRPr="00830C0E">
        <w:rPr>
          <w:rFonts w:eastAsia="Times New Roman" w:cs="Arial"/>
          <w:bCs/>
          <w:color w:val="000000"/>
          <w:lang w:val="ru-RU"/>
        </w:rPr>
        <w:t xml:space="preserve"> </w:t>
      </w:r>
      <w:r w:rsidRPr="00830C0E">
        <w:rPr>
          <w:rFonts w:eastAsia="Times New Roman" w:cs="Arial"/>
          <w:bCs/>
          <w:color w:val="000000"/>
          <w:lang w:eastAsia="bg-BG"/>
        </w:rPr>
        <w:t xml:space="preserve">два пъти дневно), частта под кривата </w:t>
      </w:r>
      <w:r w:rsidRPr="00830C0E">
        <w:rPr>
          <w:rFonts w:eastAsia="Times New Roman" w:cs="Arial"/>
          <w:bCs/>
          <w:color w:val="000000"/>
          <w:lang w:val="ru-RU"/>
        </w:rPr>
        <w:t>(</w:t>
      </w:r>
      <w:r w:rsidRPr="00830C0E">
        <w:rPr>
          <w:rFonts w:eastAsia="Times New Roman" w:cs="Arial"/>
          <w:bCs/>
          <w:color w:val="000000"/>
          <w:lang w:val="en-US"/>
        </w:rPr>
        <w:t>AUC</w:t>
      </w:r>
      <w:r w:rsidRPr="00830C0E">
        <w:rPr>
          <w:rFonts w:eastAsia="Times New Roman" w:cs="Arial"/>
          <w:bCs/>
          <w:color w:val="000000"/>
          <w:lang w:val="ru-RU"/>
        </w:rPr>
        <w:t xml:space="preserve">) </w:t>
      </w:r>
      <w:r w:rsidRPr="00830C0E">
        <w:rPr>
          <w:rFonts w:eastAsia="Times New Roman" w:cs="Arial"/>
          <w:bCs/>
          <w:color w:val="000000"/>
          <w:lang w:eastAsia="bg-BG"/>
        </w:rPr>
        <w:t>на мидазолам е била увеличена 7 пъти след перорално приложение на мидазолам. Съвместното приложение на мидазолам и кларитромицин е противопоказано (вижте точка 4.3).</w:t>
      </w:r>
    </w:p>
    <w:p w14:paraId="4C634608" w14:textId="77777777" w:rsidR="00D13A48" w:rsidRPr="00D13A48" w:rsidRDefault="00D13A48" w:rsidP="00830C0E">
      <w:pPr>
        <w:spacing w:line="240" w:lineRule="auto"/>
        <w:rPr>
          <w:rFonts w:eastAsia="Times New Roman" w:cs="Arial"/>
          <w:bCs/>
          <w:color w:val="000000"/>
          <w:u w:val="single"/>
          <w:lang w:val="en-US"/>
        </w:rPr>
      </w:pPr>
    </w:p>
    <w:p w14:paraId="36CA6EF1" w14:textId="05208A38" w:rsidR="00830C0E" w:rsidRPr="00830C0E" w:rsidRDefault="00830C0E" w:rsidP="00830C0E">
      <w:pPr>
        <w:spacing w:line="240" w:lineRule="auto"/>
        <w:rPr>
          <w:rFonts w:eastAsia="Times New Roman" w:cs="Arial"/>
        </w:rPr>
      </w:pPr>
      <w:r w:rsidRPr="00830C0E">
        <w:rPr>
          <w:rFonts w:eastAsia="Times New Roman" w:cs="Arial"/>
          <w:bCs/>
          <w:color w:val="000000"/>
          <w:u w:val="single"/>
          <w:lang w:val="en-US"/>
        </w:rPr>
        <w:t>HMG</w:t>
      </w:r>
      <w:r w:rsidRPr="00830C0E">
        <w:rPr>
          <w:rFonts w:eastAsia="Times New Roman" w:cs="Arial"/>
          <w:bCs/>
          <w:color w:val="000000"/>
          <w:u w:val="single"/>
          <w:lang w:val="ru-RU"/>
        </w:rPr>
        <w:t>-</w:t>
      </w:r>
      <w:r w:rsidRPr="00830C0E">
        <w:rPr>
          <w:rFonts w:eastAsia="Times New Roman" w:cs="Arial"/>
          <w:bCs/>
          <w:color w:val="000000"/>
          <w:u w:val="single"/>
          <w:lang w:val="en-US"/>
        </w:rPr>
        <w:t>CoA</w:t>
      </w:r>
      <w:r w:rsidRPr="00830C0E">
        <w:rPr>
          <w:rFonts w:eastAsia="Times New Roman" w:cs="Arial"/>
          <w:bCs/>
          <w:color w:val="000000"/>
          <w:u w:val="single"/>
          <w:lang w:val="ru-RU"/>
        </w:rPr>
        <w:t xml:space="preserve"> </w:t>
      </w:r>
      <w:r w:rsidRPr="00830C0E">
        <w:rPr>
          <w:rFonts w:eastAsia="Times New Roman" w:cs="Arial"/>
          <w:bCs/>
          <w:color w:val="000000"/>
          <w:u w:val="single"/>
          <w:lang w:eastAsia="bg-BG"/>
        </w:rPr>
        <w:t>редуктазни инхибитори (статини)</w:t>
      </w:r>
    </w:p>
    <w:p w14:paraId="0F0EDA23" w14:textId="77777777" w:rsidR="00830C0E" w:rsidRPr="00830C0E" w:rsidRDefault="00830C0E" w:rsidP="00830C0E">
      <w:pPr>
        <w:spacing w:line="240" w:lineRule="auto"/>
        <w:rPr>
          <w:rFonts w:eastAsia="Times New Roman" w:cs="Arial"/>
        </w:rPr>
      </w:pPr>
      <w:r w:rsidRPr="00830C0E">
        <w:rPr>
          <w:rFonts w:eastAsia="Times New Roman" w:cs="Arial"/>
          <w:bCs/>
          <w:color w:val="000000"/>
          <w:lang w:eastAsia="bg-BG"/>
        </w:rPr>
        <w:t xml:space="preserve">Съвместното приложение на кларитромицин и ловастатин и симвастатии е противопоказано (вижте точка 4.3), тъй като тези статини се метаболизират основно от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val="ru-RU"/>
        </w:rPr>
        <w:t xml:space="preserve">4 </w:t>
      </w:r>
      <w:r w:rsidRPr="00830C0E">
        <w:rPr>
          <w:rFonts w:eastAsia="Times New Roman" w:cs="Arial"/>
          <w:bCs/>
          <w:color w:val="000000"/>
          <w:lang w:eastAsia="bg-BG"/>
        </w:rPr>
        <w:t xml:space="preserve">и кларитромицин повишава техните плазмени концентрации, което повишава риска от миопатия, включително рабдомиолиза. Има съобщения за рабдомиолиза при пациенти, приемали едновременно кларитромицин </w:t>
      </w:r>
      <w:r w:rsidRPr="00830C0E">
        <w:rPr>
          <w:rFonts w:eastAsia="Times New Roman" w:cs="Arial"/>
          <w:bCs/>
          <w:i/>
          <w:iCs/>
          <w:color w:val="000000"/>
          <w:lang w:eastAsia="bg-BG"/>
        </w:rPr>
        <w:t>и</w:t>
      </w:r>
      <w:r w:rsidRPr="00830C0E">
        <w:rPr>
          <w:rFonts w:eastAsia="Times New Roman" w:cs="Arial"/>
          <w:bCs/>
          <w:color w:val="000000"/>
          <w:lang w:eastAsia="bg-BG"/>
        </w:rPr>
        <w:t xml:space="preserve"> тези статини. Ако лечението с кларитромицин не може да се избегне, терапията с ловастатин или симвастатии трябва да бъде преустановена.</w:t>
      </w:r>
    </w:p>
    <w:p w14:paraId="1B8E0CDD" w14:textId="00D466C0" w:rsidR="00830C0E" w:rsidRPr="00D13A48" w:rsidRDefault="00830C0E" w:rsidP="00D13A48">
      <w:pPr>
        <w:spacing w:line="240" w:lineRule="auto"/>
        <w:rPr>
          <w:rFonts w:eastAsia="Times New Roman" w:cs="Arial"/>
          <w:bCs/>
          <w:color w:val="000000"/>
          <w:lang w:eastAsia="bg-BG"/>
        </w:rPr>
      </w:pPr>
      <w:r w:rsidRPr="00830C0E">
        <w:rPr>
          <w:rFonts w:eastAsia="Times New Roman" w:cs="Arial"/>
          <w:bCs/>
          <w:color w:val="000000"/>
          <w:lang w:eastAsia="bg-BG"/>
        </w:rPr>
        <w:t xml:space="preserve">Необходимо е повишено внимание при предписването на кларитромицин със статини. Когато едновременното приложение на кларитромицин и статини не може да бъде избегнато, се препоръчва предписването на най-ниската регистрирана доза станин. Може да се обмисли използването на статии, който не зависи от метаболизма на </w:t>
      </w:r>
      <w:r w:rsidRPr="00830C0E">
        <w:rPr>
          <w:rFonts w:eastAsia="Times New Roman" w:cs="Arial"/>
          <w:bCs/>
          <w:color w:val="000000"/>
          <w:lang w:val="en-US"/>
        </w:rPr>
        <w:t>CYP</w:t>
      </w:r>
      <w:r w:rsidRPr="00830C0E">
        <w:rPr>
          <w:rFonts w:eastAsia="Times New Roman" w:cs="Arial"/>
          <w:bCs/>
          <w:color w:val="000000"/>
          <w:lang w:val="ru-RU"/>
        </w:rPr>
        <w:t>3</w:t>
      </w:r>
      <w:r w:rsidRPr="00830C0E">
        <w:rPr>
          <w:rFonts w:eastAsia="Times New Roman" w:cs="Arial"/>
          <w:bCs/>
          <w:color w:val="000000"/>
          <w:lang w:val="en-US"/>
        </w:rPr>
        <w:t>A</w:t>
      </w:r>
      <w:r w:rsidRPr="00830C0E">
        <w:rPr>
          <w:rFonts w:eastAsia="Times New Roman" w:cs="Arial"/>
          <w:bCs/>
          <w:color w:val="000000"/>
          <w:lang w:eastAsia="bg-BG"/>
        </w:rPr>
        <w:t xml:space="preserve"> (например флувастатин). Пациентите трябва да бъдат наблюдавани</w:t>
      </w:r>
      <w:r w:rsidRPr="00830C0E">
        <w:rPr>
          <w:rFonts w:eastAsia="Times New Roman" w:cs="Arial"/>
          <w:bCs/>
          <w:color w:val="000000"/>
          <w:lang w:val="ru-RU"/>
        </w:rPr>
        <w:t xml:space="preserve"> </w:t>
      </w:r>
      <w:r w:rsidRPr="00830C0E">
        <w:rPr>
          <w:rFonts w:eastAsia="Times New Roman" w:cs="Arial"/>
          <w:bCs/>
          <w:color w:val="000000"/>
          <w:lang w:eastAsia="bg-BG"/>
        </w:rPr>
        <w:t>за признаци и</w:t>
      </w:r>
      <w:r w:rsidR="00D13A48" w:rsidRPr="00D13A48">
        <w:rPr>
          <w:rFonts w:eastAsia="Times New Roman" w:cs="Arial"/>
        </w:rPr>
        <w:t xml:space="preserve"> </w:t>
      </w:r>
      <w:r w:rsidRPr="00D13A48">
        <w:rPr>
          <w:rFonts w:eastAsia="Times New Roman" w:cs="Arial"/>
          <w:bCs/>
          <w:color w:val="000000"/>
          <w:lang w:eastAsia="bg-BG"/>
        </w:rPr>
        <w:t>симптоми на миопатия.</w:t>
      </w:r>
    </w:p>
    <w:p w14:paraId="6F7687BF" w14:textId="3142ACD7" w:rsidR="00D13A48" w:rsidRPr="00D13A48" w:rsidRDefault="00D13A48" w:rsidP="00D13A48">
      <w:pPr>
        <w:spacing w:line="240" w:lineRule="auto"/>
        <w:rPr>
          <w:rFonts w:eastAsia="Times New Roman" w:cs="Arial"/>
          <w:bCs/>
          <w:color w:val="000000"/>
          <w:lang w:eastAsia="bg-BG"/>
        </w:rPr>
      </w:pPr>
    </w:p>
    <w:p w14:paraId="2B39D23C"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Съпътстващото приложение на кларитромицин и ломитапид е противопоказано поради възможността за значително повишаване на трансаминазите (вижте точка 43).</w:t>
      </w:r>
    </w:p>
    <w:p w14:paraId="644313EC"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Ефекти на други лекарствени продукти върху кларитромицин</w:t>
      </w:r>
    </w:p>
    <w:p w14:paraId="7C60338D"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Лекарства, които са индуктори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 xml:space="preserve">(като рифампицин, фенитоин, карбамазепин, фенобарбитал, жълт кантарион) могат да индуцират метаболизма на кларитромицин. Това може да доведе до субтерапевтични нива на кларитромицин, които водят до намалена ефикасност. В допълнение, може да е необходимо да се мониторират плазмените нива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 xml:space="preserve">индуктора, които могат да се повишат поради инхибирането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 xml:space="preserve">от кларитромицин (вижте също продуктовата информация за приложените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инхибитори). Съвместното приложение на кларитромицин и рифабутин може да доведе до повишаване на серумните нива на рифабутин и понижаване на серумните нива на кларитромицин, едновременно с повишен риск от увеит.</w:t>
      </w:r>
    </w:p>
    <w:p w14:paraId="47FF8162" w14:textId="77777777" w:rsidR="00D13A48" w:rsidRPr="00D13A48" w:rsidRDefault="00D13A48" w:rsidP="00D13A48">
      <w:pPr>
        <w:spacing w:line="240" w:lineRule="auto"/>
        <w:rPr>
          <w:rFonts w:eastAsia="Times New Roman" w:cs="Arial"/>
          <w:bCs/>
          <w:color w:val="000000"/>
          <w:lang w:eastAsia="bg-BG"/>
        </w:rPr>
      </w:pPr>
    </w:p>
    <w:p w14:paraId="11A69ADE" w14:textId="6A408371"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За представените по-долу лекарства е известно или се предполага, че повлияват циркулиращите концентрации на кларитромицин; може да е необходима промяна на дозата кларитромицин или обмисляне на алтернативно лечение:</w:t>
      </w:r>
    </w:p>
    <w:p w14:paraId="73311003" w14:textId="77777777" w:rsidR="00D13A48" w:rsidRPr="00D13A48" w:rsidRDefault="00D13A48" w:rsidP="00D13A48">
      <w:pPr>
        <w:spacing w:line="240" w:lineRule="auto"/>
        <w:rPr>
          <w:rFonts w:eastAsia="Times New Roman" w:cs="Arial"/>
          <w:bCs/>
          <w:color w:val="000000"/>
          <w:u w:val="single"/>
          <w:lang w:eastAsia="bg-BG"/>
        </w:rPr>
      </w:pPr>
    </w:p>
    <w:p w14:paraId="3F8FE6D4" w14:textId="301365B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Ефавиренц невипарин. рифампицин. рифабутин и пиФапентин</w:t>
      </w:r>
    </w:p>
    <w:p w14:paraId="0E9724F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Мощни индуктори на Р450 системата като ефавиренц, невипарин, рифампицин, рифабутин и рифапентин могат да засилят метаболизма на кларитромицин и така да понижат плазмените му нива, като повишават тези на 14-ОН- кларитромицин, метаболит, който също е микробиологично активен. Тъй като микробиологичната активност на кларитромицин и 14-ОН-кларитромицин е различна за различните бактерии, желаният ефект може да бъде нарушен при съвместно приложение на кларитромицин и ензимни индуктори.</w:t>
      </w:r>
    </w:p>
    <w:p w14:paraId="08BE61DC" w14:textId="77777777" w:rsidR="00D13A48" w:rsidRPr="00D13A48" w:rsidRDefault="00D13A48" w:rsidP="00D13A48">
      <w:pPr>
        <w:spacing w:line="240" w:lineRule="auto"/>
        <w:rPr>
          <w:rFonts w:eastAsia="Times New Roman" w:cs="Arial"/>
          <w:bCs/>
          <w:color w:val="000000"/>
          <w:u w:val="single"/>
          <w:lang w:eastAsia="bg-BG"/>
        </w:rPr>
      </w:pPr>
    </w:p>
    <w:p w14:paraId="5772CCCF" w14:textId="3C4045B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Етравирин</w:t>
      </w:r>
    </w:p>
    <w:p w14:paraId="6A28054D"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Експозицията на кларитромицин е била понижена от етравирин, но концентрацията на активния метаболит 14-ОН-кларитромицин е била повишена. Поради това, че 14-ОН- кларитромицин има редуцирана активност към </w:t>
      </w:r>
      <w:r w:rsidRPr="00D13A48">
        <w:rPr>
          <w:rFonts w:eastAsia="Times New Roman" w:cs="Arial"/>
          <w:bCs/>
          <w:i/>
          <w:iCs/>
          <w:color w:val="000000"/>
          <w:lang w:val="en-US"/>
        </w:rPr>
        <w:t>Mycobacterium</w:t>
      </w:r>
      <w:r w:rsidRPr="00D13A48">
        <w:rPr>
          <w:rFonts w:eastAsia="Times New Roman" w:cs="Arial"/>
          <w:bCs/>
          <w:i/>
          <w:iCs/>
          <w:color w:val="000000"/>
          <w:lang w:val="ru-RU"/>
        </w:rPr>
        <w:t xml:space="preserve"> </w:t>
      </w:r>
      <w:proofErr w:type="spellStart"/>
      <w:r w:rsidRPr="00D13A48">
        <w:rPr>
          <w:rFonts w:eastAsia="Times New Roman" w:cs="Arial"/>
          <w:bCs/>
          <w:i/>
          <w:iCs/>
          <w:color w:val="000000"/>
          <w:lang w:val="en-US"/>
        </w:rPr>
        <w:t>avium</w:t>
      </w:r>
      <w:proofErr w:type="spellEnd"/>
      <w:r w:rsidRPr="00D13A48">
        <w:rPr>
          <w:rFonts w:eastAsia="Times New Roman" w:cs="Arial"/>
          <w:bCs/>
          <w:i/>
          <w:iCs/>
          <w:color w:val="000000"/>
          <w:lang w:val="ru-RU"/>
        </w:rPr>
        <w:t xml:space="preserve"> </w:t>
      </w:r>
      <w:r w:rsidRPr="00D13A48">
        <w:rPr>
          <w:rFonts w:eastAsia="Times New Roman" w:cs="Arial"/>
          <w:bCs/>
          <w:i/>
          <w:iCs/>
          <w:color w:val="000000"/>
          <w:lang w:val="en-US"/>
        </w:rPr>
        <w:t>complex</w:t>
      </w:r>
      <w:r w:rsidRPr="00D13A48">
        <w:rPr>
          <w:rFonts w:eastAsia="Times New Roman" w:cs="Arial"/>
          <w:bCs/>
          <w:color w:val="000000"/>
          <w:lang w:val="ru-RU"/>
        </w:rPr>
        <w:t xml:space="preserve"> (</w:t>
      </w:r>
      <w:r w:rsidRPr="00D13A48">
        <w:rPr>
          <w:rFonts w:eastAsia="Times New Roman" w:cs="Arial"/>
          <w:bCs/>
          <w:color w:val="000000"/>
          <w:lang w:val="en-US"/>
        </w:rPr>
        <w:t>MAC</w:t>
      </w:r>
      <w:r w:rsidRPr="00D13A48">
        <w:rPr>
          <w:rFonts w:eastAsia="Times New Roman" w:cs="Arial"/>
          <w:bCs/>
          <w:color w:val="000000"/>
          <w:lang w:val="ru-RU"/>
        </w:rPr>
        <w:t xml:space="preserve">), </w:t>
      </w:r>
      <w:r w:rsidRPr="00D13A48">
        <w:rPr>
          <w:rFonts w:eastAsia="Times New Roman" w:cs="Arial"/>
          <w:bCs/>
          <w:color w:val="000000"/>
          <w:lang w:eastAsia="bg-BG"/>
        </w:rPr>
        <w:lastRenderedPageBreak/>
        <w:t>общата активност към този патоген може да бъде нарушена; поради това трябва да се имат предвид алтернативи на кларитромицин за лечение на МАС.</w:t>
      </w:r>
    </w:p>
    <w:p w14:paraId="0AA29473" w14:textId="77777777" w:rsidR="00D13A48" w:rsidRPr="00D13A48" w:rsidRDefault="00D13A48" w:rsidP="00D13A48">
      <w:pPr>
        <w:spacing w:line="240" w:lineRule="auto"/>
        <w:rPr>
          <w:rFonts w:eastAsia="Times New Roman" w:cs="Arial"/>
          <w:bCs/>
          <w:color w:val="000000"/>
          <w:u w:val="single"/>
          <w:lang w:eastAsia="bg-BG"/>
        </w:rPr>
      </w:pPr>
    </w:p>
    <w:p w14:paraId="1C604E97" w14:textId="0ABCDE23"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Флуконазол</w:t>
      </w:r>
    </w:p>
    <w:p w14:paraId="35B3B4BF"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Съвместното приложение на флуконазол 200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и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при 21 здрави доброволци е довело до повишение на средните минимални равновесни концентрации </w:t>
      </w:r>
      <w:r w:rsidRPr="00D13A48">
        <w:rPr>
          <w:rFonts w:eastAsia="Times New Roman" w:cs="Arial"/>
          <w:bCs/>
          <w:color w:val="000000"/>
          <w:lang w:val="ru-RU"/>
        </w:rPr>
        <w:t>(</w:t>
      </w:r>
      <w:proofErr w:type="spellStart"/>
      <w:r w:rsidRPr="00D13A48">
        <w:rPr>
          <w:rFonts w:eastAsia="Times New Roman" w:cs="Arial"/>
          <w:bCs/>
          <w:color w:val="000000"/>
          <w:lang w:val="en-US"/>
        </w:rPr>
        <w:t>Cmin</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на кларитромицин и площта под кривата </w:t>
      </w:r>
      <w:r w:rsidRPr="00D13A48">
        <w:rPr>
          <w:rFonts w:eastAsia="Times New Roman" w:cs="Arial"/>
          <w:bCs/>
          <w:color w:val="000000"/>
          <w:lang w:val="ru-RU"/>
        </w:rPr>
        <w:t>(</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съответно с 33% и 18%. Равновесните концентрации на активния метаболит 14-ОН- кларитромицин не са променени значително при съвместното приложение с флуконазол. Не се налага адаптиране на дозата кларитромицин.</w:t>
      </w:r>
    </w:p>
    <w:p w14:paraId="31A889D1" w14:textId="77777777" w:rsidR="00D13A48" w:rsidRPr="00D13A48" w:rsidRDefault="00D13A48" w:rsidP="00D13A48">
      <w:pPr>
        <w:spacing w:line="240" w:lineRule="auto"/>
        <w:rPr>
          <w:rFonts w:eastAsia="Times New Roman" w:cs="Arial"/>
          <w:bCs/>
          <w:color w:val="000000"/>
          <w:u w:val="single"/>
          <w:lang w:eastAsia="bg-BG"/>
        </w:rPr>
      </w:pPr>
    </w:p>
    <w:p w14:paraId="4A29DE93" w14:textId="1A25A7F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Ритонавир</w:t>
      </w:r>
    </w:p>
    <w:p w14:paraId="5E18B39C" w14:textId="77777777" w:rsidR="00D13A48" w:rsidRPr="00D13A48" w:rsidRDefault="00D13A48" w:rsidP="00D13A48">
      <w:pPr>
        <w:rPr>
          <w:rFonts w:eastAsia="Times New Roman" w:cs="Arial"/>
        </w:rPr>
      </w:pPr>
      <w:r w:rsidRPr="00D13A48">
        <w:rPr>
          <w:rFonts w:eastAsia="Times New Roman" w:cs="Arial"/>
          <w:bCs/>
          <w:color w:val="000000"/>
          <w:lang w:eastAsia="bg-BG"/>
        </w:rPr>
        <w:t xml:space="preserve">При фармакокинетично проучване е демонстрирано, че едновременното приложение на ритонавир 200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на всеки 8 часа и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на всеки 12 часа е довело до значително потискане на метаболизма на кларитромицин. При съвместно приложен</w:t>
      </w:r>
      <w:r w:rsidRPr="00D13A48">
        <w:rPr>
          <w:rFonts w:eastAsia="Times New Roman" w:cs="Arial"/>
          <w:bCs/>
          <w:color w:val="000000"/>
          <w:u w:val="single"/>
          <w:lang w:eastAsia="bg-BG"/>
        </w:rPr>
        <w:t xml:space="preserve">ие на </w:t>
      </w:r>
      <w:r w:rsidRPr="00D13A48">
        <w:rPr>
          <w:rFonts w:eastAsia="Times New Roman" w:cs="Arial"/>
          <w:bCs/>
          <w:color w:val="000000"/>
          <w:lang w:eastAsia="bg-BG"/>
        </w:rPr>
        <w:t>ритонавир максималната плазмена концентрация (С</w:t>
      </w:r>
      <w:r w:rsidRPr="00D13A48">
        <w:rPr>
          <w:rFonts w:eastAsia="Times New Roman" w:cs="Arial"/>
          <w:bCs/>
          <w:color w:val="000000"/>
          <w:lang w:val="en-US"/>
        </w:rPr>
        <w:t>max</w:t>
      </w:r>
      <w:r w:rsidRPr="00D13A48">
        <w:rPr>
          <w:rFonts w:eastAsia="Times New Roman" w:cs="Arial"/>
          <w:bCs/>
          <w:color w:val="000000"/>
          <w:lang w:eastAsia="bg-BG"/>
        </w:rPr>
        <w:t>) на кларитромицин се повишава с</w:t>
      </w:r>
      <w:r w:rsidRPr="00D13A48">
        <w:rPr>
          <w:rFonts w:eastAsia="Times New Roman" w:cs="Arial"/>
          <w:bCs/>
          <w:i/>
          <w:iCs/>
          <w:color w:val="000000"/>
          <w:lang w:eastAsia="bg-BG"/>
        </w:rPr>
        <w:t xml:space="preserve"> </w:t>
      </w:r>
      <w:r w:rsidRPr="00D13A48">
        <w:rPr>
          <w:rFonts w:eastAsia="Times New Roman" w:cs="Arial"/>
          <w:bCs/>
          <w:color w:val="000000"/>
          <w:lang w:eastAsia="bg-BG"/>
        </w:rPr>
        <w:t xml:space="preserve">31%, </w:t>
      </w:r>
      <w:proofErr w:type="spellStart"/>
      <w:r w:rsidRPr="00D13A48">
        <w:rPr>
          <w:rFonts w:eastAsia="Times New Roman" w:cs="Arial"/>
          <w:bCs/>
          <w:color w:val="000000"/>
          <w:lang w:val="en-US"/>
        </w:rPr>
        <w:t>Cmin</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се повишава с 182%, а площта под кривата </w:t>
      </w:r>
      <w:r w:rsidRPr="00D13A48">
        <w:rPr>
          <w:rFonts w:eastAsia="Times New Roman" w:cs="Arial"/>
          <w:bCs/>
          <w:color w:val="000000"/>
          <w:lang w:val="ru-RU"/>
        </w:rPr>
        <w:t>(</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 xml:space="preserve">с 77%. Наблюдавано е пълно потискане на образуването на 14-ОН-кларитромицин. Поради широкия терапевтичен прозорец на кларитромицин, при пациенти с нормална бъбречна функция не се налага понижаване на дозата. Въпреки това, при пациенти с бъбречно увреждане трябва да се обмисли следното: при пациенти с креатининов клирьнс от 30 до 60 </w:t>
      </w:r>
      <w:r w:rsidRPr="00D13A48">
        <w:rPr>
          <w:rFonts w:eastAsia="Times New Roman" w:cs="Arial"/>
          <w:bCs/>
          <w:color w:val="000000"/>
          <w:lang w:val="en-US"/>
        </w:rPr>
        <w:t>ml</w:t>
      </w:r>
      <w:r w:rsidRPr="00D13A48">
        <w:rPr>
          <w:rFonts w:eastAsia="Times New Roman" w:cs="Arial"/>
          <w:bCs/>
          <w:color w:val="000000"/>
          <w:lang w:val="ru-RU"/>
        </w:rPr>
        <w:t>/</w:t>
      </w:r>
      <w:r w:rsidRPr="00D13A48">
        <w:rPr>
          <w:rFonts w:eastAsia="Times New Roman" w:cs="Arial"/>
          <w:bCs/>
          <w:color w:val="000000"/>
          <w:lang w:val="en-US"/>
        </w:rPr>
        <w:t>min</w:t>
      </w:r>
      <w:r w:rsidRPr="00D13A48">
        <w:rPr>
          <w:rFonts w:eastAsia="Times New Roman" w:cs="Arial"/>
          <w:bCs/>
          <w:color w:val="000000"/>
          <w:lang w:val="ru-RU"/>
        </w:rPr>
        <w:t xml:space="preserve"> </w:t>
      </w:r>
      <w:r w:rsidRPr="00D13A48">
        <w:rPr>
          <w:rFonts w:eastAsia="Times New Roman" w:cs="Arial"/>
          <w:bCs/>
          <w:color w:val="000000"/>
          <w:lang w:eastAsia="bg-BG"/>
        </w:rPr>
        <w:t xml:space="preserve">дозата кларитромицин трябва да се понижи с 50%. При пациенти с креатининов клирьнс &lt;30 </w:t>
      </w:r>
      <w:r w:rsidRPr="00D13A48">
        <w:rPr>
          <w:rFonts w:eastAsia="Times New Roman" w:cs="Arial"/>
          <w:bCs/>
          <w:color w:val="000000"/>
          <w:lang w:val="en-US"/>
        </w:rPr>
        <w:t>ml</w:t>
      </w:r>
      <w:r w:rsidRPr="00D13A48">
        <w:rPr>
          <w:rFonts w:eastAsia="Times New Roman" w:cs="Arial"/>
          <w:bCs/>
          <w:color w:val="000000"/>
          <w:lang w:val="ru-RU"/>
        </w:rPr>
        <w:t>/</w:t>
      </w:r>
      <w:r w:rsidRPr="00D13A48">
        <w:rPr>
          <w:rFonts w:eastAsia="Times New Roman" w:cs="Arial"/>
          <w:bCs/>
          <w:color w:val="000000"/>
          <w:lang w:val="en-US"/>
        </w:rPr>
        <w:t>min</w:t>
      </w:r>
      <w:r w:rsidRPr="00D13A48">
        <w:rPr>
          <w:rFonts w:eastAsia="Times New Roman" w:cs="Arial"/>
          <w:bCs/>
          <w:color w:val="000000"/>
          <w:lang w:val="ru-RU"/>
        </w:rPr>
        <w:t xml:space="preserve"> </w:t>
      </w:r>
      <w:r w:rsidRPr="00D13A48">
        <w:rPr>
          <w:rFonts w:eastAsia="Times New Roman" w:cs="Arial"/>
          <w:bCs/>
          <w:color w:val="000000"/>
          <w:lang w:eastAsia="bg-BG"/>
        </w:rPr>
        <w:t xml:space="preserve">дозата кларитромицин трябва да се понижи с 75%. Дози по-високи от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дневно не трябва да се прилагат съвместно с ритонавир.</w:t>
      </w:r>
    </w:p>
    <w:p w14:paraId="74AF50D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Подобно адаптиране на дозата следва да се има предвид при пациенти с намалена бъбречна функция, когато ритонавир се използва като фармакокинетичен подобрител с други ХИВ-протеазни инхибитори, включително атазанавир и саквинавир (вижте по-долу Двупосочни фармакокинетични взаимодействия).</w:t>
      </w:r>
    </w:p>
    <w:p w14:paraId="54677C69" w14:textId="77777777" w:rsidR="00D13A48" w:rsidRPr="00D13A48" w:rsidRDefault="00D13A48" w:rsidP="00D13A48">
      <w:pPr>
        <w:spacing w:line="240" w:lineRule="auto"/>
        <w:rPr>
          <w:rFonts w:eastAsia="Times New Roman" w:cs="Arial"/>
          <w:bCs/>
          <w:color w:val="000000"/>
          <w:lang w:eastAsia="bg-BG"/>
        </w:rPr>
      </w:pPr>
    </w:p>
    <w:p w14:paraId="04BE55C1" w14:textId="318B9F35"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Ефекти на кларитромицин върху други лекарствени продукти</w:t>
      </w:r>
    </w:p>
    <w:p w14:paraId="62093785" w14:textId="77777777" w:rsidR="00D13A48" w:rsidRPr="00D13A48" w:rsidRDefault="00D13A48" w:rsidP="00D13A48">
      <w:pPr>
        <w:spacing w:line="240" w:lineRule="auto"/>
        <w:rPr>
          <w:rFonts w:eastAsia="Times New Roman" w:cs="Arial"/>
          <w:bCs/>
          <w:color w:val="000000"/>
          <w:u w:val="single"/>
          <w:lang w:eastAsia="bg-BG"/>
        </w:rPr>
      </w:pPr>
    </w:p>
    <w:p w14:paraId="14EC7F65" w14:textId="211C9EEA"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 xml:space="preserve">Взаимодействия, базирани на </w:t>
      </w:r>
      <w:r w:rsidRPr="00D13A48">
        <w:rPr>
          <w:rFonts w:eastAsia="Times New Roman" w:cs="Arial"/>
          <w:bCs/>
          <w:color w:val="000000"/>
          <w:u w:val="single"/>
          <w:lang w:val="en-US"/>
        </w:rPr>
        <w:t>CYP</w:t>
      </w:r>
      <w:r w:rsidRPr="00D13A48">
        <w:rPr>
          <w:rFonts w:eastAsia="Times New Roman" w:cs="Arial"/>
          <w:bCs/>
          <w:color w:val="000000"/>
          <w:u w:val="single"/>
          <w:lang w:val="ru-RU"/>
        </w:rPr>
        <w:t>3</w:t>
      </w:r>
      <w:r w:rsidRPr="00D13A48">
        <w:rPr>
          <w:rFonts w:eastAsia="Times New Roman" w:cs="Arial"/>
          <w:bCs/>
          <w:color w:val="000000"/>
          <w:u w:val="single"/>
          <w:lang w:val="en-US"/>
        </w:rPr>
        <w:t>A</w:t>
      </w:r>
      <w:r w:rsidRPr="00D13A48">
        <w:rPr>
          <w:rFonts w:eastAsia="Times New Roman" w:cs="Arial"/>
          <w:bCs/>
          <w:color w:val="000000"/>
          <w:u w:val="single"/>
          <w:lang w:val="ru-RU"/>
        </w:rPr>
        <w:t>4</w:t>
      </w:r>
    </w:p>
    <w:p w14:paraId="4FDFF49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Съвместното приложение на кларитромицин, за който е известно, че инхибира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и лекарства, метаболизирани основно с помощта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може да доведе до повишаване концентрациите на тези лекарства, което да повиши или удължи както терапевтичния, така и нежеланите ефекти на съвместно прилаганато с кларитромицин лекарство. Кларитромицин трябва да се прилага с повишено внимание при пациенти на лечение с други лекарства, за които е известно, че са субстрати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особено ако те имат тесни граници на безопасност (като карбамазепин) и/или се метаболизират екстензивно от този ензим.</w:t>
      </w:r>
    </w:p>
    <w:p w14:paraId="5DB7602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Може да се обмисли промяна на дозата, а когато е възможно и редовно проследяване на серумните концентрации на лекарствата, метаболизирани предимно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при пациенти които приемат съвместно кларитро</w:t>
      </w:r>
      <w:r w:rsidRPr="00D13A48">
        <w:rPr>
          <w:rFonts w:eastAsia="Times New Roman" w:cs="Arial"/>
          <w:bCs/>
          <w:color w:val="000000"/>
          <w:u w:val="single"/>
          <w:lang w:eastAsia="bg-BG"/>
        </w:rPr>
        <w:t>мицин</w:t>
      </w:r>
      <w:r w:rsidRPr="00D13A48">
        <w:rPr>
          <w:rFonts w:eastAsia="Times New Roman" w:cs="Arial"/>
          <w:bCs/>
          <w:color w:val="000000"/>
          <w:lang w:eastAsia="bg-BG"/>
        </w:rPr>
        <w:t>.</w:t>
      </w:r>
    </w:p>
    <w:p w14:paraId="5EF1B34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За следните лекарства или лекарствени класове е известно или се предполага, че се метаболизират от същия </w:t>
      </w:r>
      <w:r w:rsidRPr="00D13A48">
        <w:rPr>
          <w:rFonts w:eastAsia="Times New Roman" w:cs="Arial"/>
          <w:bCs/>
          <w:color w:val="000000"/>
          <w:lang w:val="en-US"/>
        </w:rPr>
        <w:t>CYP</w:t>
      </w:r>
      <w:r w:rsidRPr="00D13A48">
        <w:rPr>
          <w:rFonts w:eastAsia="Times New Roman" w:cs="Arial"/>
          <w:bCs/>
          <w:color w:val="000000"/>
        </w:rPr>
        <w:t>3</w:t>
      </w:r>
      <w:r w:rsidRPr="00D13A48">
        <w:rPr>
          <w:rFonts w:eastAsia="Times New Roman" w:cs="Arial"/>
          <w:bCs/>
          <w:color w:val="000000"/>
          <w:lang w:val="en-US"/>
        </w:rPr>
        <w:t>A</w:t>
      </w:r>
      <w:r w:rsidRPr="00D13A48">
        <w:rPr>
          <w:rFonts w:eastAsia="Times New Roman" w:cs="Arial"/>
          <w:bCs/>
          <w:color w:val="000000"/>
        </w:rPr>
        <w:t xml:space="preserve"> </w:t>
      </w:r>
      <w:r w:rsidRPr="00D13A48">
        <w:rPr>
          <w:rFonts w:eastAsia="Times New Roman" w:cs="Arial"/>
          <w:bCs/>
          <w:color w:val="000000"/>
          <w:lang w:eastAsia="bg-BG"/>
        </w:rPr>
        <w:t xml:space="preserve">изоензим: алпразолам, астемизол, карбамазепин, цилостазол, цизаприд, циклоспорин, дизопирамид, ерготаминови алкалоиди, ловастатин, метилпреднизолон, мидазолам, омепразол, перорални антикоагуланти (като варфарин, ривароксабан, апиксабан), атипични антипсихотици (като кветиапин), пимозид, квинидин, рифабутин, силденафил, симвастатии, такролимус, терфенадин, триазолам и </w:t>
      </w:r>
      <w:r w:rsidRPr="00D13A48">
        <w:rPr>
          <w:rFonts w:eastAsia="Times New Roman" w:cs="Arial"/>
          <w:bCs/>
          <w:color w:val="000000"/>
          <w:lang w:eastAsia="bg-BG"/>
        </w:rPr>
        <w:lastRenderedPageBreak/>
        <w:t>винбластин. Лекарства, които взаимодействат чрез подобни механизми с други изоензими от цитохром Р450 системата са фенитоин, теофилин и валпроат.</w:t>
      </w:r>
    </w:p>
    <w:p w14:paraId="25C46D36" w14:textId="77777777" w:rsidR="00D13A48" w:rsidRPr="00D13A48" w:rsidRDefault="00D13A48" w:rsidP="00D13A48">
      <w:pPr>
        <w:spacing w:line="240" w:lineRule="auto"/>
        <w:rPr>
          <w:rFonts w:eastAsia="Times New Roman" w:cs="Arial"/>
          <w:bCs/>
          <w:color w:val="000000"/>
          <w:u w:val="single"/>
          <w:lang w:eastAsia="bg-BG"/>
        </w:rPr>
      </w:pPr>
    </w:p>
    <w:p w14:paraId="79789511" w14:textId="16A3D238"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 xml:space="preserve">Директно действащи перорални антикоагуланти </w:t>
      </w:r>
      <w:r w:rsidRPr="00D13A48">
        <w:rPr>
          <w:rFonts w:eastAsia="Times New Roman" w:cs="Arial"/>
          <w:bCs/>
          <w:color w:val="000000"/>
          <w:u w:val="single"/>
          <w:lang w:val="ru-RU"/>
        </w:rPr>
        <w:t>(</w:t>
      </w:r>
      <w:r w:rsidRPr="00D13A48">
        <w:rPr>
          <w:rFonts w:eastAsia="Times New Roman" w:cs="Arial"/>
          <w:bCs/>
          <w:color w:val="000000"/>
          <w:u w:val="single"/>
          <w:lang w:val="en-US"/>
        </w:rPr>
        <w:t>DOAC</w:t>
      </w:r>
      <w:r w:rsidRPr="00D13A48">
        <w:rPr>
          <w:rFonts w:eastAsia="Times New Roman" w:cs="Arial"/>
          <w:bCs/>
          <w:color w:val="000000"/>
          <w:u w:val="single"/>
          <w:lang w:val="ru-RU"/>
        </w:rPr>
        <w:t>)</w:t>
      </w:r>
    </w:p>
    <w:p w14:paraId="21FBB64C"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Директно действащият перорален антикоагулант дабигатран е субстрат за ефлуксния транспортер </w:t>
      </w:r>
      <w:r w:rsidRPr="00D13A48">
        <w:rPr>
          <w:rFonts w:eastAsia="Times New Roman" w:cs="Arial"/>
          <w:bCs/>
          <w:color w:val="000000"/>
          <w:lang w:val="en-US"/>
        </w:rPr>
        <w:t>P</w:t>
      </w:r>
      <w:r w:rsidRPr="00D13A48">
        <w:rPr>
          <w:rFonts w:eastAsia="Times New Roman" w:cs="Arial"/>
          <w:bCs/>
          <w:color w:val="000000"/>
          <w:lang w:val="ru-RU"/>
        </w:rPr>
        <w:t>-</w:t>
      </w:r>
      <w:proofErr w:type="spellStart"/>
      <w:r w:rsidRPr="00D13A48">
        <w:rPr>
          <w:rFonts w:eastAsia="Times New Roman" w:cs="Arial"/>
          <w:bCs/>
          <w:color w:val="000000"/>
          <w:lang w:val="en-US"/>
        </w:rPr>
        <w:t>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Ривароксабан и апиксабан се метаболизират чрез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 xml:space="preserve">и също са субстрати за </w:t>
      </w:r>
      <w:r w:rsidRPr="00D13A48">
        <w:rPr>
          <w:rFonts w:eastAsia="Times New Roman" w:cs="Arial"/>
          <w:bCs/>
          <w:color w:val="000000"/>
          <w:lang w:val="en-US"/>
        </w:rPr>
        <w:t>P</w:t>
      </w:r>
      <w:r w:rsidRPr="00D13A48">
        <w:rPr>
          <w:rFonts w:eastAsia="Times New Roman" w:cs="Arial"/>
          <w:bCs/>
          <w:color w:val="000000"/>
          <w:lang w:val="ru-RU"/>
        </w:rPr>
        <w:t>-</w:t>
      </w:r>
      <w:proofErr w:type="spellStart"/>
      <w:r w:rsidRPr="00D13A48">
        <w:rPr>
          <w:rFonts w:eastAsia="Times New Roman" w:cs="Arial"/>
          <w:bCs/>
          <w:color w:val="000000"/>
          <w:lang w:val="en-US"/>
        </w:rPr>
        <w:t>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Трябва да се обръща особено внимание, когато кларитромицин се прилага едновременно с тези средства, особено при пациенти с висок риск от кървене (вж. точка 4.4).</w:t>
      </w:r>
    </w:p>
    <w:p w14:paraId="08BA4424" w14:textId="77777777" w:rsidR="00D13A48" w:rsidRPr="00D13A48" w:rsidRDefault="00D13A48" w:rsidP="00D13A48">
      <w:pPr>
        <w:spacing w:line="240" w:lineRule="auto"/>
        <w:rPr>
          <w:rFonts w:eastAsia="Times New Roman" w:cs="Arial"/>
          <w:bCs/>
          <w:color w:val="000000"/>
          <w:u w:val="single"/>
          <w:lang w:eastAsia="bg-BG"/>
        </w:rPr>
      </w:pPr>
    </w:p>
    <w:p w14:paraId="508D44AB" w14:textId="7B9E734D"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Антиаритмици</w:t>
      </w:r>
    </w:p>
    <w:p w14:paraId="569043C3"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Има постмаркетингови съобщения за полиморфна камерна тахикардия </w:t>
      </w:r>
      <w:r w:rsidRPr="00D13A48">
        <w:rPr>
          <w:rFonts w:eastAsia="Times New Roman" w:cs="Arial"/>
          <w:bCs/>
          <w:i/>
          <w:iCs/>
          <w:color w:val="000000"/>
          <w:lang w:val="ru-RU"/>
        </w:rPr>
        <w:t>(</w:t>
      </w:r>
      <w:proofErr w:type="spellStart"/>
      <w:r w:rsidRPr="00D13A48">
        <w:rPr>
          <w:rFonts w:eastAsia="Times New Roman" w:cs="Arial"/>
          <w:bCs/>
          <w:i/>
          <w:iCs/>
          <w:color w:val="000000"/>
          <w:lang w:val="en-US"/>
        </w:rPr>
        <w:t>torsades</w:t>
      </w:r>
      <w:proofErr w:type="spellEnd"/>
      <w:r w:rsidRPr="00D13A48">
        <w:rPr>
          <w:rFonts w:eastAsia="Times New Roman" w:cs="Arial"/>
          <w:bCs/>
          <w:i/>
          <w:iCs/>
          <w:color w:val="000000"/>
          <w:lang w:val="ru-RU"/>
        </w:rPr>
        <w:t xml:space="preserve"> </w:t>
      </w:r>
      <w:r w:rsidRPr="00D13A48">
        <w:rPr>
          <w:rFonts w:eastAsia="Times New Roman" w:cs="Arial"/>
          <w:bCs/>
          <w:i/>
          <w:iCs/>
          <w:color w:val="000000"/>
          <w:lang w:val="en-US"/>
        </w:rPr>
        <w:t>de</w:t>
      </w:r>
      <w:r w:rsidRPr="00D13A48">
        <w:rPr>
          <w:rFonts w:eastAsia="Times New Roman" w:cs="Arial"/>
          <w:bCs/>
          <w:i/>
          <w:iCs/>
          <w:color w:val="000000"/>
          <w:lang w:val="ru-RU"/>
        </w:rPr>
        <w:t xml:space="preserve"> </w:t>
      </w:r>
      <w:r w:rsidRPr="00D13A48">
        <w:rPr>
          <w:rFonts w:eastAsia="Times New Roman" w:cs="Arial"/>
          <w:bCs/>
          <w:i/>
          <w:iCs/>
          <w:color w:val="000000"/>
          <w:lang w:val="en-US"/>
        </w:rPr>
        <w:t>pointes</w:t>
      </w:r>
      <w:r w:rsidRPr="00D13A48">
        <w:rPr>
          <w:rFonts w:eastAsia="Times New Roman" w:cs="Arial"/>
          <w:bCs/>
          <w:i/>
          <w:iCs/>
          <w:color w:val="000000"/>
          <w:lang w:val="ru-RU"/>
        </w:rPr>
        <w:t xml:space="preserve">), </w:t>
      </w:r>
      <w:r w:rsidRPr="00D13A48">
        <w:rPr>
          <w:rFonts w:eastAsia="Times New Roman" w:cs="Arial"/>
          <w:bCs/>
          <w:color w:val="000000"/>
          <w:lang w:eastAsia="bg-BG"/>
        </w:rPr>
        <w:t xml:space="preserve">настъпваща при съвместно приложение на кларитромицин и хинндин или дизопирамид. При съвместно приложение на кларитромицин с тези лекарства, електрокардиограмите трябва да бъдат проследявани за удължаване на </w:t>
      </w:r>
      <w:r w:rsidRPr="00D13A48">
        <w:rPr>
          <w:rFonts w:eastAsia="Times New Roman" w:cs="Arial"/>
          <w:bCs/>
          <w:color w:val="000000"/>
          <w:lang w:val="en-US"/>
        </w:rPr>
        <w:t>QT</w:t>
      </w:r>
      <w:r w:rsidRPr="00D13A48">
        <w:rPr>
          <w:rFonts w:eastAsia="Times New Roman" w:cs="Arial"/>
          <w:bCs/>
          <w:color w:val="000000"/>
          <w:lang w:val="ru-RU"/>
        </w:rPr>
        <w:t xml:space="preserve"> </w:t>
      </w:r>
      <w:r w:rsidRPr="00D13A48">
        <w:rPr>
          <w:rFonts w:eastAsia="Times New Roman" w:cs="Arial"/>
          <w:bCs/>
          <w:color w:val="000000"/>
          <w:lang w:eastAsia="bg-BG"/>
        </w:rPr>
        <w:t>интервала. По време на лечението трябва да бъдат мониторирани серумните нива на лекарствата.</w:t>
      </w:r>
    </w:p>
    <w:p w14:paraId="302B8550" w14:textId="77777777" w:rsidR="00D13A48" w:rsidRPr="00D13A48" w:rsidRDefault="00D13A48" w:rsidP="00D13A48">
      <w:pPr>
        <w:spacing w:line="240" w:lineRule="auto"/>
        <w:rPr>
          <w:rFonts w:eastAsia="Times New Roman" w:cs="Arial"/>
          <w:bCs/>
          <w:color w:val="000000"/>
          <w:lang w:eastAsia="bg-BG"/>
        </w:rPr>
      </w:pPr>
      <w:r w:rsidRPr="00D13A48">
        <w:rPr>
          <w:rFonts w:eastAsia="Times New Roman" w:cs="Arial"/>
          <w:bCs/>
          <w:color w:val="000000"/>
          <w:lang w:eastAsia="bg-BG"/>
        </w:rPr>
        <w:t xml:space="preserve">Има постмаркетингови съобщения за хипогликемия при съвместно приложение на кларитромицин и дизопирамид. Следователно трябва да бъдат мониторирани нивата на кръвната захар при съвместно приложение на кларитромицин и дизопирамид. </w:t>
      </w:r>
    </w:p>
    <w:p w14:paraId="5232F0A2" w14:textId="77777777" w:rsidR="00D13A48" w:rsidRPr="00D13A48" w:rsidRDefault="00D13A48" w:rsidP="00D13A48">
      <w:pPr>
        <w:spacing w:line="240" w:lineRule="auto"/>
        <w:rPr>
          <w:rFonts w:eastAsia="Times New Roman" w:cs="Arial"/>
          <w:bCs/>
          <w:color w:val="000000"/>
          <w:lang w:eastAsia="bg-BG"/>
        </w:rPr>
      </w:pPr>
    </w:p>
    <w:p w14:paraId="65ED7C42" w14:textId="10A62DAD" w:rsidR="00D13A48" w:rsidRPr="00D13A48" w:rsidRDefault="00D13A48" w:rsidP="00D13A48">
      <w:pPr>
        <w:spacing w:line="240" w:lineRule="auto"/>
        <w:rPr>
          <w:rFonts w:eastAsia="Times New Roman" w:cs="Arial"/>
          <w:bCs/>
          <w:color w:val="000000"/>
          <w:lang w:eastAsia="bg-BG"/>
        </w:rPr>
      </w:pPr>
      <w:r w:rsidRPr="00D13A48">
        <w:rPr>
          <w:rFonts w:eastAsia="Times New Roman" w:cs="Arial"/>
          <w:bCs/>
          <w:color w:val="000000"/>
          <w:u w:val="single"/>
          <w:lang w:eastAsia="bg-BG"/>
        </w:rPr>
        <w:t>Перорални хипогликемични агенти/ инсулин</w:t>
      </w:r>
    </w:p>
    <w:p w14:paraId="67E2431A"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При някои хипогликемични лекарства като натеглинид и репаглинид може да се включи инхибиране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ензимите от кларитромицин и това може да причини хипогликемия при съвместно приложение. Препоръчва се внимателно проследяване на нивата на глюкозата.</w:t>
      </w:r>
    </w:p>
    <w:p w14:paraId="203E4DE4" w14:textId="77777777" w:rsidR="00D13A48" w:rsidRPr="00D13A48" w:rsidRDefault="00D13A48" w:rsidP="00D13A48">
      <w:pPr>
        <w:spacing w:line="240" w:lineRule="auto"/>
        <w:rPr>
          <w:rFonts w:eastAsia="Times New Roman" w:cs="Arial"/>
          <w:bCs/>
          <w:color w:val="000000"/>
          <w:u w:val="single"/>
          <w:lang w:eastAsia="bg-BG"/>
        </w:rPr>
      </w:pPr>
    </w:p>
    <w:p w14:paraId="6E35202C" w14:textId="54A3855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Омепразол</w:t>
      </w:r>
    </w:p>
    <w:p w14:paraId="07202F20"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на всеки 8 часа) е прилаган в комбинация с омепразол (40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на здрави възрастни субекти. Равновесните плазмени концентрации на омепразол се повишават </w:t>
      </w:r>
      <w:r w:rsidRPr="00D13A48">
        <w:rPr>
          <w:rFonts w:eastAsia="Times New Roman" w:cs="Arial"/>
          <w:bCs/>
          <w:color w:val="000000"/>
          <w:lang w:val="ru-RU"/>
        </w:rPr>
        <w:t>(</w:t>
      </w:r>
      <w:proofErr w:type="spellStart"/>
      <w:r w:rsidRPr="00D13A48">
        <w:rPr>
          <w:rFonts w:eastAsia="Times New Roman" w:cs="Arial"/>
          <w:bCs/>
          <w:color w:val="000000"/>
          <w:lang w:val="en-US"/>
        </w:rPr>
        <w:t>Cmax</w:t>
      </w:r>
      <w:proofErr w:type="spellEnd"/>
      <w:r w:rsidRPr="00D13A48">
        <w:rPr>
          <w:rFonts w:eastAsia="Times New Roman" w:cs="Arial"/>
          <w:bCs/>
          <w:color w:val="000000"/>
          <w:lang w:val="ru-RU"/>
        </w:rPr>
        <w:t xml:space="preserve">, </w:t>
      </w:r>
      <w:r w:rsidRPr="00D13A48">
        <w:rPr>
          <w:rFonts w:eastAsia="Times New Roman" w:cs="Arial"/>
          <w:bCs/>
          <w:color w:val="000000"/>
          <w:lang w:val="en-US"/>
        </w:rPr>
        <w:t>AUC</w:t>
      </w:r>
      <w:r w:rsidRPr="00D13A48">
        <w:rPr>
          <w:rFonts w:eastAsia="Times New Roman" w:cs="Arial"/>
          <w:bCs/>
          <w:color w:val="000000"/>
          <w:lang w:val="ru-RU"/>
        </w:rPr>
        <w:t xml:space="preserve">0-24 </w:t>
      </w:r>
      <w:r w:rsidRPr="00D13A48">
        <w:rPr>
          <w:rFonts w:eastAsia="Times New Roman" w:cs="Arial"/>
          <w:bCs/>
          <w:color w:val="000000"/>
          <w:lang w:eastAsia="bg-BG"/>
        </w:rPr>
        <w:t xml:space="preserve">и </w:t>
      </w:r>
      <w:proofErr w:type="spellStart"/>
      <w:r w:rsidRPr="00D13A48">
        <w:rPr>
          <w:rFonts w:eastAsia="Times New Roman" w:cs="Arial"/>
          <w:bCs/>
          <w:color w:val="000000"/>
          <w:lang w:val="en-US"/>
        </w:rPr>
        <w:t>tl</w:t>
      </w:r>
      <w:proofErr w:type="spellEnd"/>
      <w:r w:rsidRPr="00D13A48">
        <w:rPr>
          <w:rFonts w:eastAsia="Times New Roman" w:cs="Arial"/>
          <w:bCs/>
          <w:color w:val="000000"/>
          <w:lang w:val="ru-RU"/>
        </w:rPr>
        <w:t xml:space="preserve">/2 </w:t>
      </w:r>
      <w:r w:rsidRPr="00D13A48">
        <w:rPr>
          <w:rFonts w:eastAsia="Times New Roman" w:cs="Arial"/>
          <w:bCs/>
          <w:color w:val="000000"/>
          <w:lang w:eastAsia="bg-BG"/>
        </w:rPr>
        <w:t xml:space="preserve">се увеличават съответно с 30%, 89% и 34%) при съвместно приложение с кларитромицин. Средната 24-часова стойност на </w:t>
      </w:r>
      <w:r w:rsidRPr="00D13A48">
        <w:rPr>
          <w:rFonts w:eastAsia="Times New Roman" w:cs="Arial"/>
          <w:bCs/>
          <w:color w:val="000000"/>
          <w:lang w:val="en-US"/>
        </w:rPr>
        <w:t>pH</w:t>
      </w:r>
      <w:r w:rsidRPr="00D13A48">
        <w:rPr>
          <w:rFonts w:eastAsia="Times New Roman" w:cs="Arial"/>
          <w:bCs/>
          <w:color w:val="000000"/>
          <w:lang w:val="ru-RU"/>
        </w:rPr>
        <w:t xml:space="preserve"> </w:t>
      </w:r>
      <w:r w:rsidRPr="00D13A48">
        <w:rPr>
          <w:rFonts w:eastAsia="Times New Roman" w:cs="Arial"/>
          <w:bCs/>
          <w:color w:val="000000"/>
          <w:lang w:eastAsia="bg-BG"/>
        </w:rPr>
        <w:t>е била 5,2, когато омепразол е прилаган самостоятелно, и 5,7, когато омепразол е прилаган съвместно с кларитромицин.</w:t>
      </w:r>
    </w:p>
    <w:p w14:paraId="3C7E4ED8" w14:textId="77777777" w:rsidR="00D13A48" w:rsidRPr="00D13A48" w:rsidRDefault="00D13A48" w:rsidP="00D13A48">
      <w:pPr>
        <w:spacing w:line="240" w:lineRule="auto"/>
        <w:rPr>
          <w:rFonts w:eastAsia="Times New Roman" w:cs="Arial"/>
          <w:bCs/>
          <w:color w:val="000000"/>
          <w:u w:val="single"/>
          <w:lang w:eastAsia="bg-BG"/>
        </w:rPr>
      </w:pPr>
    </w:p>
    <w:p w14:paraId="78BC8AE8" w14:textId="19AA7CB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Силденафил. тадалафил и варденафил</w:t>
      </w:r>
    </w:p>
    <w:p w14:paraId="7429CD88"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Всеки от тези фосфодиестеразни инхибитори се метаболизира поне отчасти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като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може да бъде ихибиран при едновременното приложение с кларитромицин. Съвместното приложение на кларитромицин със силденафил, тадалафил и варденафил обикновено води до повишаване на експозицията на фосфодиестеразния инхибитор. При съвместно приложение на силденафил, тадалафил и варденафил с кларитромицин трябва да се обмисли възможността за понижаване на тяхната доза.</w:t>
      </w:r>
    </w:p>
    <w:p w14:paraId="37E422D0" w14:textId="77777777" w:rsidR="00D13A48" w:rsidRPr="00D13A48" w:rsidRDefault="00D13A48" w:rsidP="00D13A48">
      <w:pPr>
        <w:spacing w:line="240" w:lineRule="auto"/>
        <w:rPr>
          <w:rFonts w:eastAsia="Times New Roman" w:cs="Arial"/>
          <w:bCs/>
          <w:color w:val="000000"/>
          <w:u w:val="single"/>
          <w:lang w:eastAsia="bg-BG"/>
        </w:rPr>
      </w:pPr>
    </w:p>
    <w:p w14:paraId="02BEBFF0" w14:textId="113EF906"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Теофилин. карбамазепин</w:t>
      </w:r>
    </w:p>
    <w:p w14:paraId="6AD61275"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Резултати от клинични проучвания показват, че съществува умерено, но статистически значимо (р&lt;0,05) повишение на нивата на циркулиращия теофилин или карбамазепин, когато всяко от тези лекарства се прилага съвместно с кларитромицин.</w:t>
      </w:r>
    </w:p>
    <w:p w14:paraId="2E0B5B5F" w14:textId="77777777" w:rsidR="00D13A48" w:rsidRPr="00D13A48" w:rsidRDefault="00D13A48" w:rsidP="00D13A48">
      <w:pPr>
        <w:spacing w:line="240" w:lineRule="auto"/>
        <w:rPr>
          <w:rFonts w:eastAsia="Times New Roman" w:cs="Arial"/>
          <w:bCs/>
          <w:color w:val="000000"/>
          <w:u w:val="single"/>
          <w:lang w:eastAsia="bg-BG"/>
        </w:rPr>
      </w:pPr>
    </w:p>
    <w:p w14:paraId="318EFC28" w14:textId="461851EA"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Толтеродин</w:t>
      </w:r>
    </w:p>
    <w:p w14:paraId="556C596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Метаболизмът на толтеродин се осъществява предимно чрез </w:t>
      </w:r>
      <w:r w:rsidRPr="00D13A48">
        <w:rPr>
          <w:rFonts w:eastAsia="Times New Roman" w:cs="Arial"/>
          <w:bCs/>
          <w:color w:val="000000"/>
          <w:lang w:val="ru-RU"/>
        </w:rPr>
        <w:t>2</w:t>
      </w:r>
      <w:r w:rsidRPr="00D13A48">
        <w:rPr>
          <w:rFonts w:eastAsia="Times New Roman" w:cs="Arial"/>
          <w:bCs/>
          <w:color w:val="000000"/>
          <w:lang w:val="en-US"/>
        </w:rPr>
        <w:t>D</w:t>
      </w:r>
      <w:r w:rsidRPr="00D13A48">
        <w:rPr>
          <w:rFonts w:eastAsia="Times New Roman" w:cs="Arial"/>
          <w:bCs/>
          <w:color w:val="000000"/>
          <w:lang w:val="ru-RU"/>
        </w:rPr>
        <w:t xml:space="preserve">6 </w:t>
      </w:r>
      <w:r w:rsidRPr="00D13A48">
        <w:rPr>
          <w:rFonts w:eastAsia="Times New Roman" w:cs="Arial"/>
          <w:bCs/>
          <w:color w:val="000000"/>
          <w:lang w:eastAsia="bg-BG"/>
        </w:rPr>
        <w:t xml:space="preserve">изоформата на цитохром Р450 </w:t>
      </w:r>
      <w:r w:rsidRPr="00D13A48">
        <w:rPr>
          <w:rFonts w:eastAsia="Times New Roman" w:cs="Arial"/>
          <w:bCs/>
          <w:color w:val="000000"/>
          <w:lang w:val="ru-RU"/>
        </w:rPr>
        <w:t>(</w:t>
      </w:r>
      <w:r w:rsidRPr="00D13A48">
        <w:rPr>
          <w:rFonts w:eastAsia="Times New Roman" w:cs="Arial"/>
          <w:bCs/>
          <w:color w:val="000000"/>
          <w:lang w:val="en-US"/>
        </w:rPr>
        <w:t>CYP</w:t>
      </w:r>
      <w:r w:rsidRPr="00D13A48">
        <w:rPr>
          <w:rFonts w:eastAsia="Times New Roman" w:cs="Arial"/>
          <w:bCs/>
          <w:color w:val="000000"/>
          <w:lang w:val="ru-RU"/>
        </w:rPr>
        <w:t>2</w:t>
      </w:r>
      <w:r w:rsidRPr="00D13A48">
        <w:rPr>
          <w:rFonts w:eastAsia="Times New Roman" w:cs="Arial"/>
          <w:bCs/>
          <w:color w:val="000000"/>
          <w:lang w:val="en-US"/>
        </w:rPr>
        <w:t>D</w:t>
      </w:r>
      <w:r w:rsidRPr="00D13A48">
        <w:rPr>
          <w:rFonts w:eastAsia="Times New Roman" w:cs="Arial"/>
          <w:bCs/>
          <w:color w:val="000000"/>
          <w:lang w:val="ru-RU"/>
        </w:rPr>
        <w:t xml:space="preserve">6). </w:t>
      </w:r>
      <w:r w:rsidRPr="00D13A48">
        <w:rPr>
          <w:rFonts w:eastAsia="Times New Roman" w:cs="Arial"/>
          <w:bCs/>
          <w:color w:val="000000"/>
          <w:lang w:eastAsia="bg-BG"/>
        </w:rPr>
        <w:t xml:space="preserve">Въпреки това, при популацията с липса на </w:t>
      </w:r>
      <w:r w:rsidRPr="00D13A48">
        <w:rPr>
          <w:rFonts w:eastAsia="Times New Roman" w:cs="Arial"/>
          <w:bCs/>
          <w:color w:val="000000"/>
          <w:lang w:val="en-US"/>
        </w:rPr>
        <w:t>CYP</w:t>
      </w:r>
      <w:r w:rsidRPr="00D13A48">
        <w:rPr>
          <w:rFonts w:eastAsia="Times New Roman" w:cs="Arial"/>
          <w:bCs/>
          <w:color w:val="000000"/>
          <w:lang w:val="ru-RU"/>
        </w:rPr>
        <w:t>2</w:t>
      </w:r>
      <w:r w:rsidRPr="00D13A48">
        <w:rPr>
          <w:rFonts w:eastAsia="Times New Roman" w:cs="Arial"/>
          <w:bCs/>
          <w:color w:val="000000"/>
          <w:lang w:val="en-US"/>
        </w:rPr>
        <w:t>D</w:t>
      </w:r>
      <w:r w:rsidRPr="00D13A48">
        <w:rPr>
          <w:rFonts w:eastAsia="Times New Roman" w:cs="Arial"/>
          <w:bCs/>
          <w:color w:val="000000"/>
          <w:lang w:val="ru-RU"/>
        </w:rPr>
        <w:t xml:space="preserve">6 </w:t>
      </w:r>
      <w:r w:rsidRPr="00D13A48">
        <w:rPr>
          <w:rFonts w:eastAsia="Times New Roman" w:cs="Arial"/>
          <w:bCs/>
          <w:color w:val="000000"/>
          <w:lang w:eastAsia="bg-BG"/>
        </w:rPr>
        <w:t xml:space="preserve">е установено, че метаболизмът се извършва с помощта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При тази трупа </w:t>
      </w:r>
      <w:r w:rsidRPr="00D13A48">
        <w:rPr>
          <w:rFonts w:eastAsia="Times New Roman" w:cs="Arial"/>
          <w:bCs/>
          <w:color w:val="000000"/>
          <w:lang w:eastAsia="bg-BG"/>
        </w:rPr>
        <w:lastRenderedPageBreak/>
        <w:t xml:space="preserve">инхибирането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води до значително по-високи концентрации на толтеродин. Може да е необходимо понижаване на дозата на толтеродин в присъствието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инхибитори като кларитромицин при популацията на слаби метаболизатори чрез </w:t>
      </w:r>
      <w:r w:rsidRPr="00D13A48">
        <w:rPr>
          <w:rFonts w:eastAsia="Times New Roman" w:cs="Arial"/>
          <w:bCs/>
          <w:color w:val="000000"/>
          <w:lang w:val="en-US"/>
        </w:rPr>
        <w:t>CYP</w:t>
      </w:r>
      <w:r w:rsidRPr="00D13A48">
        <w:rPr>
          <w:rFonts w:eastAsia="Times New Roman" w:cs="Arial"/>
          <w:bCs/>
          <w:color w:val="000000"/>
          <w:lang w:val="ru-RU"/>
        </w:rPr>
        <w:t>2</w:t>
      </w:r>
      <w:r w:rsidRPr="00D13A48">
        <w:rPr>
          <w:rFonts w:eastAsia="Times New Roman" w:cs="Arial"/>
          <w:bCs/>
          <w:color w:val="000000"/>
          <w:lang w:val="en-US"/>
        </w:rPr>
        <w:t>D</w:t>
      </w:r>
      <w:r w:rsidRPr="00D13A48">
        <w:rPr>
          <w:rFonts w:eastAsia="Times New Roman" w:cs="Arial"/>
          <w:bCs/>
          <w:color w:val="000000"/>
          <w:lang w:val="ru-RU"/>
        </w:rPr>
        <w:t>6.</w:t>
      </w:r>
    </w:p>
    <w:p w14:paraId="636C2C1D" w14:textId="77777777" w:rsidR="00D13A48" w:rsidRPr="00D13A48" w:rsidRDefault="00D13A48" w:rsidP="00D13A48">
      <w:pPr>
        <w:spacing w:line="240" w:lineRule="auto"/>
        <w:rPr>
          <w:rFonts w:eastAsia="Times New Roman" w:cs="Arial"/>
          <w:bCs/>
          <w:color w:val="000000"/>
          <w:u w:val="single"/>
          <w:lang w:eastAsia="bg-BG"/>
        </w:rPr>
      </w:pPr>
    </w:p>
    <w:p w14:paraId="38AFB511" w14:textId="04BD0B6E"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Триазолбензодиазепини (като апоазолам, мидазолам. тоиазолам)</w:t>
      </w:r>
    </w:p>
    <w:p w14:paraId="47C21A6D"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Когато мидазолам се прилага съвместно с кларитромицин таблетки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на мидазолам се повишава 2,7 пъти след интравенозно приложение на мидазолам. При интравенозно приложение на мидазолам заедно с кларитромицин пациентите трябва да бъдат проследявани редовно с оглед евентуална промяна на дозата. Приложението на мидазолам по оромукозен път, което може да заобиколи пресистемното елиминиране на лекарството е по-вероятно да доведе до взаимодействие подобно на наблюдаваното след интравенозно приложение на мидазолам, отколкото до взаимодействие подобно на това след перорално приложение.</w:t>
      </w:r>
    </w:p>
    <w:p w14:paraId="7C7CABD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Същите предпазни мерки трябва да се приложат и по отношение на другите бензодиазепини, метаболизирани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включително триазолам и алпразолам. При бензодиазепините, чието метаболизиране не зависи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(темазепин, нитразепам, лоразепам), не се очаква клинично значимо взаимодействие с кларитромицин.</w:t>
      </w:r>
    </w:p>
    <w:p w14:paraId="55D9A562"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Има постмаркетингови съобщения за лекарствени взаимодействия и ефекти върху ЦНС (като сънливост и обърканост) при съвместно приложение на кларитромицин и триазолам. Препоръчва се проследяване на пациентите за повишаване на фармакологичните ефекти върху ЦНС.</w:t>
      </w:r>
    </w:p>
    <w:p w14:paraId="2B874E52" w14:textId="47E5345E" w:rsidR="00D13A48" w:rsidRPr="00D13A48" w:rsidRDefault="00D13A48" w:rsidP="00D13A48">
      <w:pPr>
        <w:spacing w:line="240" w:lineRule="auto"/>
        <w:rPr>
          <w:rFonts w:eastAsia="Times New Roman" w:cs="Arial"/>
        </w:rPr>
      </w:pPr>
    </w:p>
    <w:p w14:paraId="5EAC9351"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Други лекарствени взаимодействия</w:t>
      </w:r>
    </w:p>
    <w:p w14:paraId="1D9C7B7F" w14:textId="77777777"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Колхицин</w:t>
      </w:r>
    </w:p>
    <w:p w14:paraId="173A6E4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Колхицин е субстрат както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така и на ефлуксната транспортна система Р- гликопротеин </w:t>
      </w:r>
      <w:r w:rsidRPr="00D13A48">
        <w:rPr>
          <w:rFonts w:eastAsia="Times New Roman" w:cs="Arial"/>
          <w:bCs/>
          <w:color w:val="000000"/>
          <w:lang w:val="ru-RU"/>
        </w:rPr>
        <w:t>(</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Известно е, че кларитромицин и други макролиди са инхибитори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и </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При съвместно приложение на кларитромицин и колхицин, инхибирането на </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и/или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от кларитромицин може да доведе до повишаване на експозицията на колхицин. Съвместното приложение на колхицин и кларитромицин е противопоказано (вижте точки 4.3 и 4.4).</w:t>
      </w:r>
    </w:p>
    <w:p w14:paraId="516F67E1" w14:textId="77777777" w:rsidR="00D13A48" w:rsidRPr="00D13A48" w:rsidRDefault="00D13A48" w:rsidP="00D13A48">
      <w:pPr>
        <w:spacing w:line="240" w:lineRule="auto"/>
        <w:rPr>
          <w:rFonts w:eastAsia="Times New Roman" w:cs="Arial"/>
          <w:bCs/>
          <w:color w:val="000000"/>
          <w:u w:val="single"/>
          <w:lang w:eastAsia="bg-BG"/>
        </w:rPr>
      </w:pPr>
    </w:p>
    <w:p w14:paraId="37A5B45F" w14:textId="5E3925E3"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Дигоксин</w:t>
      </w:r>
    </w:p>
    <w:p w14:paraId="6B056FC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Счита се, че дигоксин е субстрат на ефлуксната транспортна система Р-гликопротеин </w:t>
      </w:r>
      <w:r w:rsidRPr="00D13A48">
        <w:rPr>
          <w:rFonts w:eastAsia="Times New Roman" w:cs="Arial"/>
          <w:bCs/>
          <w:color w:val="000000"/>
          <w:lang w:val="ru-RU"/>
        </w:rPr>
        <w:t>(</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Известно е, че кларитромицин инхибира </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При съвместно приложение на кларитромицин и дигоксин, инхибирането на </w:t>
      </w:r>
      <w:proofErr w:type="spellStart"/>
      <w:r w:rsidRPr="00D13A48">
        <w:rPr>
          <w:rFonts w:eastAsia="Times New Roman" w:cs="Arial"/>
          <w:bCs/>
          <w:color w:val="000000"/>
          <w:lang w:val="en-US"/>
        </w:rPr>
        <w:t>Pgp</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от кларитромицин може да доведе до повишаване експозицията на дигоксин. В постмаркетинговия период са съобщавани случаи на повишение на суремните концентрации на дигоксин при пациенти, приемали кларитромицин и дигоксин. Някои от пациентите са показали клинични признаци на дигоксинова интоксикация, включително потенциално фатални аритмии. Серумните концентрации на дигоксин трябва да бъдат внимателно проследявани при пациентите, които приемат съвместно дигоксин и кларитромицин.</w:t>
      </w:r>
    </w:p>
    <w:p w14:paraId="6F301340" w14:textId="77777777" w:rsidR="00D13A48" w:rsidRPr="00D13A48" w:rsidRDefault="00D13A48" w:rsidP="00D13A48">
      <w:pPr>
        <w:spacing w:line="240" w:lineRule="auto"/>
        <w:rPr>
          <w:rFonts w:eastAsia="Times New Roman" w:cs="Arial"/>
          <w:bCs/>
          <w:color w:val="000000"/>
          <w:u w:val="single"/>
          <w:lang w:eastAsia="bg-BG"/>
        </w:rPr>
      </w:pPr>
    </w:p>
    <w:p w14:paraId="4A9E529A" w14:textId="39F10A97"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Зидовудин</w:t>
      </w:r>
    </w:p>
    <w:p w14:paraId="36D3BD08"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Съвместното перорално приложение на кларитромицин таблетки и зидовудин при ХИВ- инфектирани възрастни може да доведе до понижено равновесно състояние на концентрациите на зидовудин. Тъй като кларитромицин повлиява резорбцията на съвместно приложения перорален зидовудин, това взаимодействие може да се избегне чрез разделяне на дозите кларитромицин и зидовудин за постигане на 4-часови интервали между приема на лекарствата. Това взаимодейтвие не се появява при ХИВ-инфектирани педиатрични пациенти, които приемат кларитромицин суспензия заедно със </w:t>
      </w:r>
      <w:r w:rsidRPr="00D13A48">
        <w:rPr>
          <w:rFonts w:eastAsia="Times New Roman" w:cs="Arial"/>
          <w:bCs/>
          <w:color w:val="000000"/>
          <w:lang w:eastAsia="bg-BG"/>
        </w:rPr>
        <w:lastRenderedPageBreak/>
        <w:t>зидовудин или дидеоксинозин. Това взаимодействие е малко вероятно, когато кларитромицин се прилага чрез интравенозна инфузия.</w:t>
      </w:r>
    </w:p>
    <w:p w14:paraId="43F06068" w14:textId="77777777" w:rsidR="00D13A48" w:rsidRPr="00D13A48" w:rsidRDefault="00D13A48" w:rsidP="00D13A48">
      <w:pPr>
        <w:spacing w:line="240" w:lineRule="auto"/>
        <w:rPr>
          <w:rFonts w:eastAsia="Times New Roman" w:cs="Arial"/>
          <w:bCs/>
          <w:color w:val="000000"/>
          <w:u w:val="single"/>
          <w:lang w:eastAsia="bg-BG"/>
        </w:rPr>
      </w:pPr>
    </w:p>
    <w:p w14:paraId="7407A2A3" w14:textId="225F7AA2"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Фенитоин и валпроат</w:t>
      </w:r>
    </w:p>
    <w:p w14:paraId="63F7330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Налице са спонтанни и публикувани съобщения за взаимодействие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 xml:space="preserve">инхибитори, включително кларитромицин, с лекарства, за които се счита, че не се метаболизират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(като фенитоин и валпроат). Препоръчва се определяне на серумните нива на тези лекарства, когато се прилагат съвместно с кларитромицин. Съобщавано е за повишени серумни нива.</w:t>
      </w:r>
    </w:p>
    <w:p w14:paraId="1E3D5987" w14:textId="77777777" w:rsidR="00D13A48" w:rsidRPr="00D13A48" w:rsidRDefault="00D13A48" w:rsidP="00D13A48">
      <w:pPr>
        <w:spacing w:line="240" w:lineRule="auto"/>
        <w:rPr>
          <w:rFonts w:eastAsia="Times New Roman" w:cs="Arial"/>
          <w:bCs/>
          <w:color w:val="000000"/>
          <w:lang w:eastAsia="bg-BG"/>
        </w:rPr>
      </w:pPr>
    </w:p>
    <w:p w14:paraId="1D6DC8CC" w14:textId="77AF6186"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Двупосочни фармакокинетични взаимодействия</w:t>
      </w:r>
    </w:p>
    <w:p w14:paraId="17BCFC80" w14:textId="77777777"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Атазанавир</w:t>
      </w:r>
    </w:p>
    <w:p w14:paraId="251A0419" w14:textId="77777777" w:rsidR="00D13A48" w:rsidRPr="00D13A48" w:rsidRDefault="00D13A48" w:rsidP="00D13A48">
      <w:pPr>
        <w:rPr>
          <w:rFonts w:eastAsia="Times New Roman" w:cs="Arial"/>
        </w:rPr>
      </w:pPr>
      <w:r w:rsidRPr="00D13A48">
        <w:rPr>
          <w:rFonts w:eastAsia="Times New Roman" w:cs="Arial"/>
          <w:bCs/>
          <w:color w:val="000000"/>
          <w:lang w:eastAsia="bg-BG"/>
        </w:rPr>
        <w:t xml:space="preserve">Кларитромицин и атазанавир са субстрати и инхибитори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и съществуват данни за двупосочно взаимодействие. Съвместното приложение на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и атазанавир (400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веднъж дневно) води до двукратно повишение на експозицията на кларитромицин и 70% понижение на експозицията на 14-ОН- кларитромицин, при 28% повишение на </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 xml:space="preserve">на атазанавир. Поради широкия терапевтичен прозорец на кларитромицин не се налага понижаване на дозата при пациенти с нормална бъбречна функция. При пациенти с умерено увреждане на бъбречна фукнция  (креатининов клирьнс между 30 и 60 </w:t>
      </w:r>
      <w:r w:rsidRPr="00D13A48">
        <w:rPr>
          <w:rFonts w:eastAsia="Times New Roman" w:cs="Arial"/>
          <w:bCs/>
          <w:color w:val="000000"/>
          <w:lang w:val="en-US"/>
        </w:rPr>
        <w:t>ml</w:t>
      </w:r>
      <w:r w:rsidRPr="00D13A48">
        <w:rPr>
          <w:rFonts w:eastAsia="Times New Roman" w:cs="Arial"/>
          <w:bCs/>
          <w:color w:val="000000"/>
          <w:lang w:val="ru-RU"/>
        </w:rPr>
        <w:t>/</w:t>
      </w:r>
      <w:r w:rsidRPr="00D13A48">
        <w:rPr>
          <w:rFonts w:eastAsia="Times New Roman" w:cs="Arial"/>
          <w:bCs/>
          <w:color w:val="000000"/>
          <w:lang w:val="en-US"/>
        </w:rPr>
        <w:t>min</w:t>
      </w:r>
      <w:r w:rsidRPr="00D13A48">
        <w:rPr>
          <w:rFonts w:eastAsia="Times New Roman" w:cs="Arial"/>
          <w:bCs/>
          <w:color w:val="000000"/>
          <w:lang w:val="ru-RU"/>
        </w:rPr>
        <w:t xml:space="preserve">) </w:t>
      </w:r>
      <w:r w:rsidRPr="00D13A48">
        <w:rPr>
          <w:rFonts w:eastAsia="Times New Roman" w:cs="Arial"/>
          <w:bCs/>
          <w:color w:val="000000"/>
          <w:lang w:eastAsia="bg-BG"/>
        </w:rPr>
        <w:t xml:space="preserve">дозата на кларитромицин трябва да бъде понижена с 50%. При пациенти с креатининов клирьнс ≤30 </w:t>
      </w:r>
      <w:r w:rsidRPr="00D13A48">
        <w:rPr>
          <w:rFonts w:eastAsia="Times New Roman" w:cs="Arial"/>
          <w:bCs/>
          <w:color w:val="000000"/>
          <w:lang w:val="en-US"/>
        </w:rPr>
        <w:t>ml</w:t>
      </w:r>
      <w:r w:rsidRPr="00D13A48">
        <w:rPr>
          <w:rFonts w:eastAsia="Times New Roman" w:cs="Arial"/>
          <w:bCs/>
          <w:color w:val="000000"/>
          <w:lang w:val="ru-RU"/>
        </w:rPr>
        <w:t>/</w:t>
      </w:r>
      <w:r w:rsidRPr="00D13A48">
        <w:rPr>
          <w:rFonts w:eastAsia="Times New Roman" w:cs="Arial"/>
          <w:bCs/>
          <w:color w:val="000000"/>
          <w:lang w:val="en-US"/>
        </w:rPr>
        <w:t>min</w:t>
      </w:r>
      <w:r w:rsidRPr="00D13A48">
        <w:rPr>
          <w:rFonts w:eastAsia="Times New Roman" w:cs="Arial"/>
          <w:bCs/>
          <w:color w:val="000000"/>
          <w:lang w:val="ru-RU"/>
        </w:rPr>
        <w:t xml:space="preserve"> </w:t>
      </w:r>
      <w:r w:rsidRPr="00D13A48">
        <w:rPr>
          <w:rFonts w:eastAsia="Times New Roman" w:cs="Arial"/>
          <w:bCs/>
          <w:color w:val="000000"/>
          <w:lang w:eastAsia="bg-BG"/>
        </w:rPr>
        <w:t>дозата кларитромицин</w:t>
      </w:r>
      <w:r w:rsidRPr="00D13A48">
        <w:rPr>
          <w:rFonts w:eastAsia="Times New Roman" w:cs="Arial"/>
          <w:bCs/>
          <w:color w:val="000000"/>
          <w:vertAlign w:val="superscript"/>
          <w:lang w:eastAsia="bg-BG"/>
        </w:rPr>
        <w:t xml:space="preserve"> </w:t>
      </w:r>
      <w:r w:rsidRPr="00D13A48">
        <w:rPr>
          <w:rFonts w:eastAsia="Times New Roman" w:cs="Arial"/>
          <w:bCs/>
          <w:color w:val="000000"/>
          <w:lang w:eastAsia="bg-BG"/>
        </w:rPr>
        <w:t xml:space="preserve">трябва да бъде понижена с 75% при използване на подходяща лекарствена форма на кларитромицин. Дози кларитромицин </w:t>
      </w:r>
      <w:r w:rsidRPr="00D13A48">
        <w:rPr>
          <w:rFonts w:eastAsia="Times New Roman" w:cs="Arial"/>
          <w:bCs/>
          <w:color w:val="000000"/>
          <w:lang w:val="en-US"/>
        </w:rPr>
        <w:t>or</w:t>
      </w:r>
      <w:r w:rsidRPr="00D13A48">
        <w:rPr>
          <w:rFonts w:eastAsia="Times New Roman" w:cs="Arial"/>
          <w:bCs/>
          <w:color w:val="000000"/>
          <w:lang w:val="ru-RU"/>
        </w:rPr>
        <w:t xml:space="preserve"> </w:t>
      </w:r>
      <w:r w:rsidRPr="00D13A48">
        <w:rPr>
          <w:rFonts w:eastAsia="Times New Roman" w:cs="Arial"/>
          <w:bCs/>
          <w:color w:val="000000"/>
          <w:lang w:eastAsia="bg-BG"/>
        </w:rPr>
        <w:t>1</w:t>
      </w:r>
      <w:r w:rsidRPr="00D13A48">
        <w:rPr>
          <w:rFonts w:eastAsia="Times New Roman" w:cs="Arial"/>
          <w:bCs/>
          <w:i/>
          <w:iCs/>
          <w:color w:val="000000"/>
          <w:lang w:eastAsia="bg-BG"/>
        </w:rPr>
        <w:t xml:space="preserve">000 </w:t>
      </w:r>
      <w:r w:rsidRPr="00D13A48">
        <w:rPr>
          <w:rFonts w:eastAsia="Times New Roman" w:cs="Arial"/>
          <w:bCs/>
          <w:i/>
          <w:i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дневно не трябва да се прилагат заедно с протеазни инхибитори.</w:t>
      </w:r>
    </w:p>
    <w:p w14:paraId="19F0C827" w14:textId="77777777" w:rsidR="00D13A48" w:rsidRPr="00D13A48" w:rsidRDefault="00D13A48" w:rsidP="00D13A48">
      <w:pPr>
        <w:spacing w:line="240" w:lineRule="auto"/>
        <w:rPr>
          <w:rFonts w:eastAsia="Times New Roman" w:cs="Arial"/>
          <w:bCs/>
          <w:color w:val="000000"/>
          <w:u w:val="single"/>
          <w:lang w:eastAsia="bg-BG"/>
        </w:rPr>
      </w:pPr>
    </w:p>
    <w:p w14:paraId="721C07AC" w14:textId="39FF807B"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Блокери на калциевите канали</w:t>
      </w:r>
    </w:p>
    <w:p w14:paraId="385F5476"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Препоръчва се повишено внимание при съвместно приложение на кларитромицин и блокери на калциевите канали, които се метаболизират от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4 </w:t>
      </w:r>
      <w:r w:rsidRPr="00D13A48">
        <w:rPr>
          <w:rFonts w:eastAsia="Times New Roman" w:cs="Arial"/>
          <w:bCs/>
          <w:color w:val="000000"/>
          <w:lang w:eastAsia="bg-BG"/>
        </w:rPr>
        <w:t>(като верапамил, амлодипин, дилтиазем) поради риск от хипотония. Плазмените концентрации на кларитромицин и на блокерите на калциевите канали може да се повишат, което се дължи на взаимодействието им. При пациенти, приемали съвместно кларитромицин и верапамил са наблюдавани хипотония, брадикардия и лактатна ацидоза.</w:t>
      </w:r>
    </w:p>
    <w:p w14:paraId="0DF952EF" w14:textId="77777777" w:rsidR="00D13A48" w:rsidRPr="00D13A48" w:rsidRDefault="00D13A48" w:rsidP="00D13A48">
      <w:pPr>
        <w:spacing w:line="240" w:lineRule="auto"/>
        <w:rPr>
          <w:rFonts w:eastAsia="Times New Roman" w:cs="Arial"/>
          <w:bCs/>
          <w:color w:val="000000"/>
          <w:u w:val="single"/>
          <w:lang w:eastAsia="bg-BG"/>
        </w:rPr>
      </w:pPr>
    </w:p>
    <w:p w14:paraId="3C37F9D3" w14:textId="453B4600"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Итраконазол</w:t>
      </w:r>
    </w:p>
    <w:p w14:paraId="4A77EE04"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Кларитромицин и итраконазол са субстрати и инхибитори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което води до двупосочно взаимодействие. Кларитромицин може да повиши плазмените нива на итраконазол, а итраконазол може да повиши плазмените концентрации на кларитромицин. Пациентите, които приемат съвместно итраконазол и кларитромицин, трябва да бъдат проследявани редовно за признаци и симптоми на повишен или удължен фармакологичен ефект.</w:t>
      </w:r>
    </w:p>
    <w:p w14:paraId="65B5E780" w14:textId="77777777" w:rsidR="00D13A48" w:rsidRPr="00D13A48" w:rsidRDefault="00D13A48" w:rsidP="00D13A48">
      <w:pPr>
        <w:spacing w:line="240" w:lineRule="auto"/>
        <w:rPr>
          <w:rFonts w:eastAsia="Times New Roman" w:cs="Arial"/>
          <w:bCs/>
          <w:color w:val="000000"/>
          <w:u w:val="single"/>
          <w:lang w:eastAsia="bg-BG"/>
        </w:rPr>
      </w:pPr>
    </w:p>
    <w:p w14:paraId="75F2EB89" w14:textId="30EF41A3"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Секвинавир</w:t>
      </w:r>
    </w:p>
    <w:p w14:paraId="0342F00B"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Кларитромицин и секвинавир са субстрати и инхибитори на </w:t>
      </w:r>
      <w:r w:rsidRPr="00D13A48">
        <w:rPr>
          <w:rFonts w:eastAsia="Times New Roman" w:cs="Arial"/>
          <w:bCs/>
          <w:color w:val="000000"/>
          <w:lang w:val="en-US"/>
        </w:rPr>
        <w:t>CYP</w:t>
      </w:r>
      <w:r w:rsidRPr="00D13A48">
        <w:rPr>
          <w:rFonts w:eastAsia="Times New Roman" w:cs="Arial"/>
          <w:bCs/>
          <w:color w:val="000000"/>
          <w:lang w:val="ru-RU"/>
        </w:rPr>
        <w:t>3</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color w:val="000000"/>
          <w:lang w:eastAsia="bg-BG"/>
        </w:rPr>
        <w:t xml:space="preserve">и са доказани двупосочни лекарствени взаимодействия. Съвместното приложение на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и саквинавир (меки желатинови капсули 1200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три пъти дневно) при 12 здрави доброволци е довело до стойности в равновесно състояние на </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и С</w:t>
      </w:r>
      <w:r w:rsidRPr="00D13A48">
        <w:rPr>
          <w:rFonts w:eastAsia="Times New Roman" w:cs="Arial"/>
          <w:bCs/>
          <w:color w:val="000000"/>
          <w:lang w:val="en-US"/>
        </w:rPr>
        <w:t>max</w:t>
      </w:r>
      <w:r w:rsidRPr="00D13A48">
        <w:rPr>
          <w:rFonts w:eastAsia="Times New Roman" w:cs="Arial"/>
          <w:bCs/>
          <w:color w:val="000000"/>
          <w:lang w:eastAsia="bg-BG"/>
        </w:rPr>
        <w:t xml:space="preserve"> на саквинавир съответно 177% и 187% по-високи от тези при самостоятелно приложение на саквинавир. Стойностите на </w:t>
      </w:r>
      <w:r w:rsidRPr="00D13A48">
        <w:rPr>
          <w:rFonts w:eastAsia="Times New Roman" w:cs="Arial"/>
          <w:bCs/>
          <w:color w:val="000000"/>
          <w:lang w:val="en-US"/>
        </w:rPr>
        <w:t>AUC</w:t>
      </w:r>
      <w:r w:rsidRPr="00D13A48">
        <w:rPr>
          <w:rFonts w:eastAsia="Times New Roman" w:cs="Arial"/>
          <w:bCs/>
          <w:color w:val="000000"/>
          <w:lang w:val="ru-RU"/>
        </w:rPr>
        <w:t xml:space="preserve"> </w:t>
      </w:r>
      <w:r w:rsidRPr="00D13A48">
        <w:rPr>
          <w:rFonts w:eastAsia="Times New Roman" w:cs="Arial"/>
          <w:bCs/>
          <w:color w:val="000000"/>
          <w:lang w:eastAsia="bg-BG"/>
        </w:rPr>
        <w:t>и С</w:t>
      </w:r>
      <w:r w:rsidRPr="00D13A48">
        <w:rPr>
          <w:rFonts w:eastAsia="Times New Roman" w:cs="Arial"/>
          <w:bCs/>
          <w:color w:val="000000"/>
          <w:lang w:val="en-US"/>
        </w:rPr>
        <w:t>max</w:t>
      </w:r>
      <w:r w:rsidRPr="00D13A48">
        <w:rPr>
          <w:rFonts w:eastAsia="Times New Roman" w:cs="Arial"/>
          <w:bCs/>
          <w:color w:val="000000"/>
          <w:lang w:eastAsia="bg-BG"/>
        </w:rPr>
        <w:t xml:space="preserve"> на кларитромицин са били с около 40% по-високи в сравнение с тези при самостоятелно приложение на кларитромицин. Не се налага промяна на дозата при съвместно приложение на двете </w:t>
      </w:r>
      <w:r w:rsidRPr="00D13A48">
        <w:rPr>
          <w:rFonts w:eastAsia="Times New Roman" w:cs="Arial"/>
          <w:bCs/>
          <w:color w:val="000000"/>
          <w:lang w:eastAsia="bg-BG"/>
        </w:rPr>
        <w:lastRenderedPageBreak/>
        <w:t>лекарства за ограничен период от време в проучваните дози/ лекарствени форми. Данните от проучванията за лекарствени взаимодействия при приложение на меки желатинови капсули може да не са показателни за ефектите при приложение на саквинавир под формата на твърди желатинови капсули. Данните от проучванията за лекарствени взаимодействия при самостоятелно приложение на саквинавир може да не са показателни за наблюдаваните ефекти при лечение със саквинавир/ ритонавир. При съвместно приложение на саквинавир и ритонавир трябва да бъдат отчетени потенциалните ефекти на ритонавир върху кларитромицин (вижте точка 4.5).</w:t>
      </w:r>
    </w:p>
    <w:p w14:paraId="3F16E033" w14:textId="2C1E63AA" w:rsidR="00D13A48" w:rsidRPr="00D13A48" w:rsidRDefault="00D13A48" w:rsidP="00D13A48">
      <w:pPr>
        <w:spacing w:line="240" w:lineRule="auto"/>
        <w:rPr>
          <w:rFonts w:ascii="Times New Roman" w:eastAsia="Times New Roman" w:hAnsi="Times New Roman" w:cs="Times New Roman"/>
          <w:sz w:val="24"/>
          <w:szCs w:val="24"/>
        </w:rPr>
      </w:pPr>
    </w:p>
    <w:p w14:paraId="29D2BD58" w14:textId="24E234B8" w:rsidR="00DF4C8E" w:rsidRDefault="002C50EE" w:rsidP="00F44498">
      <w:pPr>
        <w:pStyle w:val="Heading2"/>
      </w:pPr>
      <w:r>
        <w:t>4.6. Фертилитет, бременност и кърмене</w:t>
      </w:r>
    </w:p>
    <w:p w14:paraId="150D4705" w14:textId="396A4BEE" w:rsidR="00D13A48" w:rsidRDefault="00D13A48" w:rsidP="00D13A48"/>
    <w:p w14:paraId="6BD0E034" w14:textId="77777777" w:rsidR="00D13A48" w:rsidRPr="00D13A48" w:rsidRDefault="00D13A48" w:rsidP="00D13A48">
      <w:pPr>
        <w:pStyle w:val="Heading3"/>
        <w:rPr>
          <w:rFonts w:eastAsia="Times New Roman"/>
          <w:u w:val="single"/>
        </w:rPr>
      </w:pPr>
      <w:r w:rsidRPr="00D13A48">
        <w:rPr>
          <w:rFonts w:eastAsia="Times New Roman"/>
          <w:u w:val="single"/>
          <w:lang w:eastAsia="bg-BG"/>
        </w:rPr>
        <w:t>Бременност</w:t>
      </w:r>
    </w:p>
    <w:p w14:paraId="47361943" w14:textId="77777777" w:rsidR="00D13A48" w:rsidRPr="00D13A48" w:rsidRDefault="00D13A48" w:rsidP="00D13A48">
      <w:pPr>
        <w:rPr>
          <w:sz w:val="24"/>
          <w:szCs w:val="24"/>
        </w:rPr>
      </w:pPr>
      <w:r w:rsidRPr="00D13A48">
        <w:rPr>
          <w:lang w:eastAsia="bg-BG"/>
        </w:rPr>
        <w:t>Безопасността на кларитромицин за употреба по време на бременност не е установена. Въз основа на променливи резултати, получени от проучвания при животни и опита при хора, не може да се изключи вероятността от нежелани реакции върху ембриофеталното развитие. В някои обсервационни проучвания, оценяващи експозицията на кларитромицин през първия и втория триместър, се съобщава за повишен риск от спонтанен аборт в сравнение с нсизползването на антибиотик или използването на друг антибиотик през същия период. Наличните епидемиологични проучвания относно риска от сериозни вродени малформации при употребата на макролиди, включително кларитромицин, по време на бременност предоставят противоречиви резултати.</w:t>
      </w:r>
    </w:p>
    <w:p w14:paraId="3DEFBD62" w14:textId="56A1889C" w:rsidR="00D13A48" w:rsidRDefault="00D13A48" w:rsidP="00D13A48">
      <w:pPr>
        <w:rPr>
          <w:lang w:eastAsia="bg-BG"/>
        </w:rPr>
      </w:pPr>
      <w:r w:rsidRPr="00D13A48">
        <w:rPr>
          <w:lang w:eastAsia="bg-BG"/>
        </w:rPr>
        <w:t>Поради това по време на бременност кларитромицин не се препоръчва без да е направена внимателна оценка на ползата спрямо риска.</w:t>
      </w:r>
    </w:p>
    <w:p w14:paraId="0E02ACB5" w14:textId="17A84724" w:rsidR="00D13A48" w:rsidRDefault="00D13A48" w:rsidP="00D13A48">
      <w:pPr>
        <w:rPr>
          <w:lang w:eastAsia="bg-BG"/>
        </w:rPr>
      </w:pPr>
    </w:p>
    <w:p w14:paraId="50C87806" w14:textId="77777777" w:rsidR="00D13A48" w:rsidRPr="00D13A48" w:rsidRDefault="00D13A48" w:rsidP="00D13A48">
      <w:pPr>
        <w:pStyle w:val="Heading3"/>
        <w:rPr>
          <w:rFonts w:eastAsia="Times New Roman"/>
          <w:u w:val="single"/>
        </w:rPr>
      </w:pPr>
      <w:r w:rsidRPr="00D13A48">
        <w:rPr>
          <w:rFonts w:eastAsia="Times New Roman"/>
          <w:u w:val="single"/>
          <w:lang w:eastAsia="bg-BG"/>
        </w:rPr>
        <w:t>Кърмене</w:t>
      </w:r>
    </w:p>
    <w:p w14:paraId="35B1691A" w14:textId="77777777" w:rsidR="00D13A48" w:rsidRPr="00D13A48" w:rsidRDefault="00D13A48" w:rsidP="00D13A48">
      <w:pPr>
        <w:rPr>
          <w:sz w:val="24"/>
          <w:szCs w:val="24"/>
        </w:rPr>
      </w:pPr>
      <w:r w:rsidRPr="00D13A48">
        <w:rPr>
          <w:lang w:eastAsia="bg-BG"/>
        </w:rPr>
        <w:t>Безопасността на кларитромицин при кърмене не е установена. Кларитромицин се екскретира в кърмата в малки количества. Изчислено е, че кърмачето, ще получи около 1,7% от дозата кларитромицин, коригираната според теглото на майката.</w:t>
      </w:r>
    </w:p>
    <w:p w14:paraId="2DBDEA13" w14:textId="77777777" w:rsidR="00D13A48" w:rsidRPr="00D13A48" w:rsidRDefault="00D13A48" w:rsidP="00D13A48"/>
    <w:p w14:paraId="4DF5A2E7" w14:textId="7219EC00" w:rsidR="00DF4C8E" w:rsidRDefault="002C50EE" w:rsidP="00F44498">
      <w:pPr>
        <w:pStyle w:val="Heading2"/>
      </w:pPr>
      <w:r>
        <w:t>4.7. Ефекти върху способността за шофиране и работа с машини</w:t>
      </w:r>
    </w:p>
    <w:p w14:paraId="677FA8DE" w14:textId="277E4A01" w:rsidR="00D13A48" w:rsidRDefault="00D13A48" w:rsidP="00D13A48"/>
    <w:p w14:paraId="32E9DDC8" w14:textId="417F8AF5" w:rsidR="00D13A48" w:rsidRDefault="00D13A48" w:rsidP="00D13A48">
      <w:r>
        <w:t>Няма данни за влиянието на кларитромицин върху способността за шофиране и работа с машини. При шофиране и работа с машини трябва да се има предвид възможността за поява на замаяност, вертиго, обърканост и дезиориентация.</w:t>
      </w:r>
    </w:p>
    <w:p w14:paraId="5502BB02" w14:textId="77777777" w:rsidR="00D13A48" w:rsidRPr="00D13A48" w:rsidRDefault="00D13A48" w:rsidP="00D13A48"/>
    <w:p w14:paraId="28229498" w14:textId="4DD955DB" w:rsidR="00DF4C8E" w:rsidRDefault="002C50EE" w:rsidP="00F44498">
      <w:pPr>
        <w:pStyle w:val="Heading2"/>
      </w:pPr>
      <w:r>
        <w:t>4.8. Нежелани лекарствени реакции</w:t>
      </w:r>
    </w:p>
    <w:p w14:paraId="25BF9338" w14:textId="64CD2C0B" w:rsidR="00D13A48" w:rsidRDefault="00D13A48" w:rsidP="00D13A48"/>
    <w:p w14:paraId="37B96102"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Резюме на профила на безопасност</w:t>
      </w:r>
    </w:p>
    <w:p w14:paraId="5DCB6E0E"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Най-често срещаните нежелани лекарствени реакции, свързани с лечение с кларитромицин при възрастни и деца са болка в корема, диария, гадене, повръщане и промени във вкуса. Тези нежелани реакции обикновено са леки по интензитет и са в съответствие с познатия профил на безопасност на макролидните антибиотици.</w:t>
      </w:r>
    </w:p>
    <w:p w14:paraId="6049F13E"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Няма значима разлика в честотата на тези стомашно-чревни нежелани реакции по време на клиничните проучвания между популациите пациенти с или без предшестващи микобактериални инфекции.</w:t>
      </w:r>
    </w:p>
    <w:p w14:paraId="5D716846" w14:textId="77777777" w:rsidR="00D13A48" w:rsidRPr="00D13A48" w:rsidRDefault="00D13A48" w:rsidP="00D13A48">
      <w:pPr>
        <w:spacing w:line="240" w:lineRule="auto"/>
        <w:rPr>
          <w:rFonts w:eastAsia="Times New Roman" w:cs="Arial"/>
          <w:bCs/>
          <w:color w:val="000000"/>
          <w:szCs w:val="19"/>
          <w:lang w:eastAsia="bg-BG"/>
        </w:rPr>
      </w:pPr>
    </w:p>
    <w:p w14:paraId="0FB8AF6B" w14:textId="2B43A72E"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lastRenderedPageBreak/>
        <w:t>Посочената по-долу таблица показва съобщаваните нежелани реакции от клиничните проучвания и постмаркетинговия опит с всички лекарствени форми кларитромицин.</w:t>
      </w:r>
    </w:p>
    <w:p w14:paraId="25403526" w14:textId="77777777" w:rsidR="00D13A48" w:rsidRPr="00D13A48" w:rsidRDefault="00D13A48" w:rsidP="00D13A48">
      <w:pPr>
        <w:rPr>
          <w:rFonts w:eastAsia="Times New Roman" w:cs="Arial"/>
          <w:bCs/>
          <w:color w:val="000000"/>
          <w:szCs w:val="19"/>
          <w:lang w:eastAsia="bg-BG"/>
        </w:rPr>
      </w:pPr>
    </w:p>
    <w:p w14:paraId="2E1F868D" w14:textId="21EDED75" w:rsidR="00D13A48" w:rsidRPr="00D13A48" w:rsidRDefault="00D13A48" w:rsidP="00D13A48">
      <w:pPr>
        <w:rPr>
          <w:rFonts w:eastAsia="Times New Roman" w:cs="Arial"/>
          <w:bCs/>
          <w:color w:val="000000"/>
          <w:szCs w:val="19"/>
          <w:lang w:eastAsia="bg-BG"/>
        </w:rPr>
      </w:pPr>
      <w:r w:rsidRPr="00D13A48">
        <w:rPr>
          <w:rFonts w:eastAsia="Times New Roman" w:cs="Arial"/>
          <w:bCs/>
          <w:color w:val="000000"/>
          <w:szCs w:val="19"/>
          <w:lang w:eastAsia="bg-BG"/>
        </w:rPr>
        <w:t>Реакциите, за които се счита, че са поне възможно свързани с кларитромицин са описани по системо-органната класификация и са определени по честота съгласно следната конвенция: много чести (≥1/10), чести (≥1/100 до &lt; 1/10), нечести (≥1/1000 до &lt; 1/100) и с неизвестна честота (честотата не може да бъде определена от наличните данни). Във всяка от групите по честота нежеланите реакции са представени в низходящ ред по отношение на тяхната сериозност, там където сериозността може да бъде оценена.</w:t>
      </w:r>
    </w:p>
    <w:p w14:paraId="1D537D71" w14:textId="3FBB658A" w:rsidR="00D13A48" w:rsidRDefault="00D13A48" w:rsidP="00D13A48"/>
    <w:tbl>
      <w:tblPr>
        <w:tblStyle w:val="TableGrid"/>
        <w:tblW w:w="0" w:type="auto"/>
        <w:tblLook w:val="04A0" w:firstRow="1" w:lastRow="0" w:firstColumn="1" w:lastColumn="0" w:noHBand="0" w:noVBand="1"/>
      </w:tblPr>
      <w:tblGrid>
        <w:gridCol w:w="1777"/>
        <w:gridCol w:w="1486"/>
        <w:gridCol w:w="1724"/>
        <w:gridCol w:w="2205"/>
        <w:gridCol w:w="2158"/>
      </w:tblGrid>
      <w:tr w:rsidR="00D13A48" w14:paraId="1F982696" w14:textId="77777777" w:rsidTr="00D13A48">
        <w:tc>
          <w:tcPr>
            <w:tcW w:w="1777" w:type="dxa"/>
          </w:tcPr>
          <w:p w14:paraId="39945E4A" w14:textId="7F906636" w:rsidR="00D13A48" w:rsidRPr="00D13A48" w:rsidRDefault="00D13A48" w:rsidP="00D13A48">
            <w:r w:rsidRPr="00D13A48">
              <w:rPr>
                <w:bCs/>
                <w:szCs w:val="19"/>
              </w:rPr>
              <w:t>Система орган клас</w:t>
            </w:r>
          </w:p>
        </w:tc>
        <w:tc>
          <w:tcPr>
            <w:tcW w:w="1486" w:type="dxa"/>
          </w:tcPr>
          <w:p w14:paraId="61AE1A6E" w14:textId="77777777" w:rsidR="00D13A48" w:rsidRPr="00D13A48" w:rsidRDefault="00D13A48" w:rsidP="00D13A48">
            <w:r w:rsidRPr="00D13A48">
              <w:rPr>
                <w:bCs/>
                <w:szCs w:val="19"/>
              </w:rPr>
              <w:t>Много чести</w:t>
            </w:r>
          </w:p>
          <w:p w14:paraId="0BF21ED1" w14:textId="6F38CEB1" w:rsidR="00D13A48" w:rsidRPr="00D13A48" w:rsidRDefault="00D13A48" w:rsidP="00D13A48">
            <w:r w:rsidRPr="00D13A48">
              <w:rPr>
                <w:bCs/>
                <w:szCs w:val="19"/>
              </w:rPr>
              <w:t>≥1/10</w:t>
            </w:r>
          </w:p>
        </w:tc>
        <w:tc>
          <w:tcPr>
            <w:tcW w:w="1724" w:type="dxa"/>
          </w:tcPr>
          <w:p w14:paraId="715E493E" w14:textId="77777777" w:rsidR="00D13A48" w:rsidRPr="00D13A48" w:rsidRDefault="00D13A48" w:rsidP="00D13A48">
            <w:r w:rsidRPr="00D13A48">
              <w:rPr>
                <w:bCs/>
                <w:szCs w:val="19"/>
              </w:rPr>
              <w:t>Чести</w:t>
            </w:r>
          </w:p>
          <w:p w14:paraId="6294FAE9" w14:textId="492CD3EC" w:rsidR="00D13A48" w:rsidRPr="00D13A48" w:rsidRDefault="00D13A48" w:rsidP="00D13A48">
            <w:r w:rsidRPr="00D13A48">
              <w:rPr>
                <w:bCs/>
                <w:szCs w:val="19"/>
              </w:rPr>
              <w:t>≥1/100 до &lt; 1/10</w:t>
            </w:r>
          </w:p>
        </w:tc>
        <w:tc>
          <w:tcPr>
            <w:tcW w:w="2205" w:type="dxa"/>
          </w:tcPr>
          <w:p w14:paraId="57CADD13" w14:textId="77777777" w:rsidR="00D13A48" w:rsidRPr="00D13A48" w:rsidRDefault="00D13A48" w:rsidP="00D13A48">
            <w:r w:rsidRPr="00D13A48">
              <w:rPr>
                <w:bCs/>
                <w:szCs w:val="19"/>
              </w:rPr>
              <w:t>Нечести</w:t>
            </w:r>
          </w:p>
          <w:p w14:paraId="086AA553" w14:textId="1C9001AA" w:rsidR="00D13A48" w:rsidRPr="00D13A48" w:rsidRDefault="00D13A48" w:rsidP="00D13A48">
            <w:r w:rsidRPr="00D13A48">
              <w:rPr>
                <w:bCs/>
                <w:szCs w:val="19"/>
              </w:rPr>
              <w:t>≥1/1,000 до &lt;1/100</w:t>
            </w:r>
          </w:p>
        </w:tc>
        <w:tc>
          <w:tcPr>
            <w:tcW w:w="2158" w:type="dxa"/>
          </w:tcPr>
          <w:p w14:paraId="5B9C8F7A" w14:textId="77777777" w:rsidR="00D13A48" w:rsidRPr="00D13A48" w:rsidRDefault="00D13A48" w:rsidP="00D13A48">
            <w:r w:rsidRPr="00D13A48">
              <w:rPr>
                <w:bCs/>
                <w:szCs w:val="19"/>
              </w:rPr>
              <w:t>С неизвестна честота</w:t>
            </w:r>
          </w:p>
          <w:p w14:paraId="7E550B1C" w14:textId="2039286B" w:rsidR="00D13A48" w:rsidRPr="00D13A48" w:rsidRDefault="00D13A48" w:rsidP="00D13A48">
            <w:r w:rsidRPr="00D13A48">
              <w:rPr>
                <w:bCs/>
                <w:szCs w:val="19"/>
              </w:rPr>
              <w:t>(*не може да бъде установена от наличните данни)</w:t>
            </w:r>
          </w:p>
        </w:tc>
      </w:tr>
      <w:tr w:rsidR="00D13A48" w14:paraId="1D68074A" w14:textId="77777777" w:rsidTr="00D13A48">
        <w:tc>
          <w:tcPr>
            <w:tcW w:w="1777" w:type="dxa"/>
          </w:tcPr>
          <w:p w14:paraId="2B0D143F" w14:textId="4BD05654" w:rsidR="00D13A48" w:rsidRPr="00D13A48" w:rsidRDefault="00D13A48" w:rsidP="00D13A48">
            <w:r w:rsidRPr="00D13A48">
              <w:rPr>
                <w:bCs/>
                <w:szCs w:val="19"/>
              </w:rPr>
              <w:t>Инфекции и инфестации</w:t>
            </w:r>
          </w:p>
        </w:tc>
        <w:tc>
          <w:tcPr>
            <w:tcW w:w="1486" w:type="dxa"/>
          </w:tcPr>
          <w:p w14:paraId="2FCE80DE" w14:textId="77777777" w:rsidR="00D13A48" w:rsidRPr="00D13A48" w:rsidRDefault="00D13A48" w:rsidP="00D13A48"/>
        </w:tc>
        <w:tc>
          <w:tcPr>
            <w:tcW w:w="1724" w:type="dxa"/>
          </w:tcPr>
          <w:p w14:paraId="20327F2B" w14:textId="77777777" w:rsidR="00D13A48" w:rsidRPr="00D13A48" w:rsidRDefault="00D13A48" w:rsidP="00D13A48"/>
        </w:tc>
        <w:tc>
          <w:tcPr>
            <w:tcW w:w="2205" w:type="dxa"/>
          </w:tcPr>
          <w:p w14:paraId="4C456924" w14:textId="128CBCF8" w:rsidR="00D13A48" w:rsidRPr="00D13A48" w:rsidRDefault="00D13A48" w:rsidP="00D13A48">
            <w:r w:rsidRPr="00D13A48">
              <w:rPr>
                <w:bCs/>
                <w:szCs w:val="19"/>
              </w:rPr>
              <w:t>Целулит</w:t>
            </w:r>
            <w:r w:rsidRPr="00D13A48">
              <w:rPr>
                <w:bCs/>
                <w:szCs w:val="19"/>
                <w:vertAlign w:val="superscript"/>
              </w:rPr>
              <w:t>1</w:t>
            </w:r>
            <w:r w:rsidRPr="00D13A48">
              <w:rPr>
                <w:bCs/>
                <w:szCs w:val="19"/>
              </w:rPr>
              <w:t>, кандидиаза, гастроентерит</w:t>
            </w:r>
            <w:r w:rsidRPr="00D13A48">
              <w:rPr>
                <w:bCs/>
                <w:szCs w:val="19"/>
                <w:vertAlign w:val="superscript"/>
              </w:rPr>
              <w:t>2</w:t>
            </w:r>
            <w:r w:rsidRPr="00D13A48">
              <w:rPr>
                <w:bCs/>
                <w:szCs w:val="19"/>
              </w:rPr>
              <w:t>, инфекция</w:t>
            </w:r>
            <w:r w:rsidRPr="00D13A48">
              <w:rPr>
                <w:bCs/>
                <w:szCs w:val="19"/>
                <w:vertAlign w:val="superscript"/>
              </w:rPr>
              <w:t>3</w:t>
            </w:r>
            <w:r w:rsidRPr="00D13A48">
              <w:rPr>
                <w:bCs/>
                <w:szCs w:val="19"/>
              </w:rPr>
              <w:t>, вагинална инфекция</w:t>
            </w:r>
          </w:p>
        </w:tc>
        <w:tc>
          <w:tcPr>
            <w:tcW w:w="2158" w:type="dxa"/>
          </w:tcPr>
          <w:p w14:paraId="1DDF5FB9" w14:textId="3C3A3183" w:rsidR="00D13A48" w:rsidRPr="00D13A48" w:rsidRDefault="00D13A48" w:rsidP="00D13A48">
            <w:r w:rsidRPr="00D13A48">
              <w:rPr>
                <w:bCs/>
                <w:szCs w:val="19"/>
              </w:rPr>
              <w:t>Псевдомембранозен колит, еризипел</w:t>
            </w:r>
          </w:p>
        </w:tc>
      </w:tr>
      <w:tr w:rsidR="00D13A48" w14:paraId="6A30D0BA" w14:textId="77777777" w:rsidTr="00D13A48">
        <w:tc>
          <w:tcPr>
            <w:tcW w:w="1777" w:type="dxa"/>
          </w:tcPr>
          <w:p w14:paraId="1F8A4A01" w14:textId="77777777" w:rsidR="00D13A48" w:rsidRPr="00D13A48" w:rsidRDefault="00D13A48" w:rsidP="00D13A48">
            <w:r w:rsidRPr="00D13A48">
              <w:rPr>
                <w:bCs/>
                <w:szCs w:val="19"/>
              </w:rPr>
              <w:t>Нарушения на кръвта</w:t>
            </w:r>
            <w:r w:rsidRPr="00D13A48">
              <w:rPr>
                <w:bCs/>
                <w:szCs w:val="19"/>
              </w:rPr>
              <w:tab/>
              <w:t>и</w:t>
            </w:r>
          </w:p>
          <w:p w14:paraId="3AEC5582" w14:textId="1745D2EB" w:rsidR="00D13A48" w:rsidRPr="00D13A48" w:rsidRDefault="00D13A48" w:rsidP="00D13A48">
            <w:r w:rsidRPr="00D13A48">
              <w:rPr>
                <w:bCs/>
                <w:szCs w:val="19"/>
              </w:rPr>
              <w:t>лимфната система</w:t>
            </w:r>
          </w:p>
        </w:tc>
        <w:tc>
          <w:tcPr>
            <w:tcW w:w="1486" w:type="dxa"/>
          </w:tcPr>
          <w:p w14:paraId="17993BD6" w14:textId="77777777" w:rsidR="00D13A48" w:rsidRPr="00D13A48" w:rsidRDefault="00D13A48" w:rsidP="00D13A48"/>
        </w:tc>
        <w:tc>
          <w:tcPr>
            <w:tcW w:w="1724" w:type="dxa"/>
          </w:tcPr>
          <w:p w14:paraId="6C9951E3" w14:textId="77777777" w:rsidR="00D13A48" w:rsidRPr="00D13A48" w:rsidRDefault="00D13A48" w:rsidP="00D13A48"/>
        </w:tc>
        <w:tc>
          <w:tcPr>
            <w:tcW w:w="2205" w:type="dxa"/>
          </w:tcPr>
          <w:p w14:paraId="50E766CD" w14:textId="6CB950F1" w:rsidR="00D13A48" w:rsidRPr="00D13A48" w:rsidRDefault="00D13A48" w:rsidP="00D13A48">
            <w:r w:rsidRPr="00D13A48">
              <w:rPr>
                <w:bCs/>
                <w:szCs w:val="19"/>
              </w:rPr>
              <w:t>Левкопения, неутропения</w:t>
            </w:r>
            <w:r w:rsidRPr="00D13A48">
              <w:rPr>
                <w:bCs/>
                <w:szCs w:val="19"/>
                <w:vertAlign w:val="superscript"/>
              </w:rPr>
              <w:t>4</w:t>
            </w:r>
            <w:r w:rsidRPr="00D13A48">
              <w:rPr>
                <w:bCs/>
                <w:szCs w:val="19"/>
              </w:rPr>
              <w:t>, тромбоцинемия</w:t>
            </w:r>
            <w:r w:rsidRPr="00D13A48">
              <w:rPr>
                <w:bCs/>
                <w:szCs w:val="19"/>
                <w:vertAlign w:val="superscript"/>
              </w:rPr>
              <w:t>3</w:t>
            </w:r>
            <w:r w:rsidRPr="00D13A48">
              <w:rPr>
                <w:bCs/>
                <w:szCs w:val="19"/>
              </w:rPr>
              <w:t>, еозинофилия</w:t>
            </w:r>
            <w:r w:rsidRPr="00D13A48">
              <w:rPr>
                <w:bCs/>
                <w:szCs w:val="19"/>
                <w:vertAlign w:val="superscript"/>
              </w:rPr>
              <w:t>4</w:t>
            </w:r>
          </w:p>
        </w:tc>
        <w:tc>
          <w:tcPr>
            <w:tcW w:w="2158" w:type="dxa"/>
          </w:tcPr>
          <w:p w14:paraId="585FB1B2" w14:textId="1C632A02" w:rsidR="00D13A48" w:rsidRPr="00D13A48" w:rsidRDefault="00D13A48" w:rsidP="00D13A48">
            <w:r w:rsidRPr="00D13A48">
              <w:rPr>
                <w:bCs/>
                <w:szCs w:val="19"/>
              </w:rPr>
              <w:t>Агланулоцитоза, тромбоцитопения</w:t>
            </w:r>
          </w:p>
        </w:tc>
      </w:tr>
      <w:tr w:rsidR="00D13A48" w14:paraId="1A7B79DF" w14:textId="77777777" w:rsidTr="00D13A48">
        <w:tc>
          <w:tcPr>
            <w:tcW w:w="1777" w:type="dxa"/>
          </w:tcPr>
          <w:p w14:paraId="6DC47251" w14:textId="234F5D54" w:rsidR="00D13A48" w:rsidRPr="00D13A48" w:rsidRDefault="00D13A48" w:rsidP="00D13A48">
            <w:r w:rsidRPr="00D13A48">
              <w:rPr>
                <w:bCs/>
                <w:szCs w:val="19"/>
              </w:rPr>
              <w:t>Нарушения на имунната система</w:t>
            </w:r>
          </w:p>
        </w:tc>
        <w:tc>
          <w:tcPr>
            <w:tcW w:w="1486" w:type="dxa"/>
          </w:tcPr>
          <w:p w14:paraId="24628C35" w14:textId="77777777" w:rsidR="00D13A48" w:rsidRPr="00D13A48" w:rsidRDefault="00D13A48" w:rsidP="00D13A48"/>
        </w:tc>
        <w:tc>
          <w:tcPr>
            <w:tcW w:w="1724" w:type="dxa"/>
          </w:tcPr>
          <w:p w14:paraId="73A98D9D" w14:textId="77777777" w:rsidR="00D13A48" w:rsidRPr="00D13A48" w:rsidRDefault="00D13A48" w:rsidP="00D13A48"/>
        </w:tc>
        <w:tc>
          <w:tcPr>
            <w:tcW w:w="2205" w:type="dxa"/>
          </w:tcPr>
          <w:p w14:paraId="4AAAC15C" w14:textId="36BC27BF" w:rsidR="00D13A48" w:rsidRPr="00D13A48" w:rsidRDefault="00D13A48" w:rsidP="00D13A48">
            <w:r w:rsidRPr="00D13A48">
              <w:rPr>
                <w:bCs/>
                <w:szCs w:val="19"/>
              </w:rPr>
              <w:t>Анафилактоидна реакция</w:t>
            </w:r>
            <w:r w:rsidRPr="00D13A48">
              <w:rPr>
                <w:bCs/>
                <w:szCs w:val="19"/>
                <w:vertAlign w:val="superscript"/>
              </w:rPr>
              <w:t>1</w:t>
            </w:r>
            <w:r w:rsidRPr="00D13A48">
              <w:rPr>
                <w:bCs/>
                <w:szCs w:val="19"/>
              </w:rPr>
              <w:t>, свръхчувствителност</w:t>
            </w:r>
          </w:p>
        </w:tc>
        <w:tc>
          <w:tcPr>
            <w:tcW w:w="2158" w:type="dxa"/>
          </w:tcPr>
          <w:p w14:paraId="13C8D40C" w14:textId="6B4DA81F" w:rsidR="00D13A48" w:rsidRPr="00D13A48" w:rsidRDefault="00D13A48" w:rsidP="00D13A48">
            <w:r w:rsidRPr="00D13A48">
              <w:rPr>
                <w:bCs/>
                <w:szCs w:val="19"/>
              </w:rPr>
              <w:t>Анафилантична реакци</w:t>
            </w:r>
            <w:r w:rsidRPr="00D13A48">
              <w:rPr>
                <w:bCs/>
                <w:szCs w:val="19"/>
                <w:u w:val="single"/>
              </w:rPr>
              <w:t>я. анги</w:t>
            </w:r>
            <w:r w:rsidRPr="00D13A48">
              <w:rPr>
                <w:bCs/>
                <w:szCs w:val="19"/>
              </w:rPr>
              <w:t>оедем</w:t>
            </w:r>
          </w:p>
        </w:tc>
      </w:tr>
      <w:tr w:rsidR="00D13A48" w14:paraId="3166F3AD" w14:textId="77777777" w:rsidTr="00D13A48">
        <w:tc>
          <w:tcPr>
            <w:tcW w:w="1777" w:type="dxa"/>
            <w:vAlign w:val="bottom"/>
          </w:tcPr>
          <w:p w14:paraId="0DFF2B9E" w14:textId="3EE5B7B1" w:rsidR="00D13A48" w:rsidRPr="00D13A48" w:rsidRDefault="00D13A48" w:rsidP="00D13A48">
            <w:r w:rsidRPr="00D13A48">
              <w:rPr>
                <w:bCs/>
                <w:szCs w:val="19"/>
              </w:rPr>
              <w:t xml:space="preserve">Нарушения на метаболизма и </w:t>
            </w:r>
            <w:r w:rsidRPr="00D13A48">
              <w:rPr>
                <w:bCs/>
                <w:szCs w:val="19"/>
                <w:u w:val="single"/>
              </w:rPr>
              <w:t>хранен</w:t>
            </w:r>
            <w:r w:rsidRPr="00D13A48">
              <w:rPr>
                <w:bCs/>
                <w:szCs w:val="19"/>
              </w:rPr>
              <w:t>ето</w:t>
            </w:r>
          </w:p>
        </w:tc>
        <w:tc>
          <w:tcPr>
            <w:tcW w:w="1486" w:type="dxa"/>
          </w:tcPr>
          <w:p w14:paraId="11390A71" w14:textId="77777777" w:rsidR="00D13A48" w:rsidRPr="00D13A48" w:rsidRDefault="00D13A48" w:rsidP="00D13A48"/>
        </w:tc>
        <w:tc>
          <w:tcPr>
            <w:tcW w:w="1724" w:type="dxa"/>
          </w:tcPr>
          <w:p w14:paraId="545253D0" w14:textId="77777777" w:rsidR="00D13A48" w:rsidRPr="00D13A48" w:rsidRDefault="00D13A48" w:rsidP="00D13A48"/>
        </w:tc>
        <w:tc>
          <w:tcPr>
            <w:tcW w:w="2205" w:type="dxa"/>
          </w:tcPr>
          <w:p w14:paraId="75662654" w14:textId="0DC4C4D1" w:rsidR="00D13A48" w:rsidRPr="00D13A48" w:rsidRDefault="00D13A48" w:rsidP="00D13A48">
            <w:r w:rsidRPr="00D13A48">
              <w:rPr>
                <w:bCs/>
                <w:szCs w:val="19"/>
              </w:rPr>
              <w:t>Анорексия, понижен апетит</w:t>
            </w:r>
          </w:p>
        </w:tc>
        <w:tc>
          <w:tcPr>
            <w:tcW w:w="2158" w:type="dxa"/>
          </w:tcPr>
          <w:p w14:paraId="6AD96790" w14:textId="77777777" w:rsidR="00D13A48" w:rsidRPr="00D13A48" w:rsidRDefault="00D13A48" w:rsidP="00D13A48"/>
        </w:tc>
      </w:tr>
      <w:tr w:rsidR="00D13A48" w14:paraId="6FAEA661" w14:textId="77777777" w:rsidTr="00D13A48">
        <w:tc>
          <w:tcPr>
            <w:tcW w:w="1777" w:type="dxa"/>
          </w:tcPr>
          <w:p w14:paraId="559F1122" w14:textId="50BF2C4A" w:rsidR="00D13A48" w:rsidRPr="00D13A48" w:rsidRDefault="00D13A48" w:rsidP="00D13A48">
            <w:r w:rsidRPr="00D13A48">
              <w:rPr>
                <w:bCs/>
                <w:szCs w:val="19"/>
              </w:rPr>
              <w:t>Психични нарушения</w:t>
            </w:r>
          </w:p>
        </w:tc>
        <w:tc>
          <w:tcPr>
            <w:tcW w:w="1486" w:type="dxa"/>
          </w:tcPr>
          <w:p w14:paraId="526124A9" w14:textId="77777777" w:rsidR="00D13A48" w:rsidRPr="00D13A48" w:rsidRDefault="00D13A48" w:rsidP="00D13A48"/>
        </w:tc>
        <w:tc>
          <w:tcPr>
            <w:tcW w:w="1724" w:type="dxa"/>
          </w:tcPr>
          <w:p w14:paraId="73C84307" w14:textId="5112ECB9" w:rsidR="00D13A48" w:rsidRPr="00D13A48" w:rsidRDefault="00D13A48" w:rsidP="00D13A48">
            <w:r w:rsidRPr="00D13A48">
              <w:rPr>
                <w:bCs/>
                <w:szCs w:val="19"/>
              </w:rPr>
              <w:t>Безсъния</w:t>
            </w:r>
          </w:p>
        </w:tc>
        <w:tc>
          <w:tcPr>
            <w:tcW w:w="2205" w:type="dxa"/>
          </w:tcPr>
          <w:p w14:paraId="64C0695D" w14:textId="5E1046E1" w:rsidR="00D13A48" w:rsidRPr="00D13A48" w:rsidRDefault="00D13A48" w:rsidP="00D13A48">
            <w:r w:rsidRPr="00D13A48">
              <w:rPr>
                <w:bCs/>
                <w:szCs w:val="19"/>
              </w:rPr>
              <w:t>Тревожност, нервност</w:t>
            </w:r>
            <w:r w:rsidRPr="00D13A48">
              <w:rPr>
                <w:bCs/>
                <w:szCs w:val="19"/>
                <w:vertAlign w:val="superscript"/>
              </w:rPr>
              <w:t>3</w:t>
            </w:r>
          </w:p>
        </w:tc>
        <w:tc>
          <w:tcPr>
            <w:tcW w:w="2158" w:type="dxa"/>
            <w:vAlign w:val="bottom"/>
          </w:tcPr>
          <w:p w14:paraId="4496FE82" w14:textId="317BFF21" w:rsidR="00D13A48" w:rsidRPr="00D13A48" w:rsidRDefault="00D13A48" w:rsidP="00D13A48">
            <w:r w:rsidRPr="00D13A48">
              <w:rPr>
                <w:bCs/>
                <w:szCs w:val="19"/>
              </w:rPr>
              <w:t>Психотични нарушения, обърканост, деперсонализация, депресия, дезориентация, халюцинации, необичайни сънища, мания</w:t>
            </w:r>
          </w:p>
        </w:tc>
      </w:tr>
      <w:tr w:rsidR="00D13A48" w14:paraId="2F4EB78E" w14:textId="77777777" w:rsidTr="00D13A48">
        <w:tc>
          <w:tcPr>
            <w:tcW w:w="1777" w:type="dxa"/>
          </w:tcPr>
          <w:p w14:paraId="1A31B952" w14:textId="7CF76336" w:rsidR="00D13A48" w:rsidRPr="00D13A48" w:rsidRDefault="00D13A48" w:rsidP="00D13A48">
            <w:r w:rsidRPr="00D13A48">
              <w:rPr>
                <w:bCs/>
                <w:szCs w:val="19"/>
              </w:rPr>
              <w:t>Нарушения на нервната система</w:t>
            </w:r>
          </w:p>
        </w:tc>
        <w:tc>
          <w:tcPr>
            <w:tcW w:w="1486" w:type="dxa"/>
          </w:tcPr>
          <w:p w14:paraId="009F4FCA" w14:textId="77777777" w:rsidR="00D13A48" w:rsidRPr="00D13A48" w:rsidRDefault="00D13A48" w:rsidP="00D13A48"/>
        </w:tc>
        <w:tc>
          <w:tcPr>
            <w:tcW w:w="1724" w:type="dxa"/>
            <w:vAlign w:val="bottom"/>
          </w:tcPr>
          <w:p w14:paraId="7AC4B96B" w14:textId="39A600BC" w:rsidR="00D13A48" w:rsidRPr="00D13A48" w:rsidRDefault="00D13A48" w:rsidP="00D13A48">
            <w:r w:rsidRPr="00D13A48">
              <w:rPr>
                <w:bCs/>
                <w:szCs w:val="19"/>
              </w:rPr>
              <w:t>Дисгеузия, главоболие, промяна във вкуса</w:t>
            </w:r>
          </w:p>
        </w:tc>
        <w:tc>
          <w:tcPr>
            <w:tcW w:w="2205" w:type="dxa"/>
            <w:vAlign w:val="bottom"/>
          </w:tcPr>
          <w:p w14:paraId="680A312F" w14:textId="3076F85A" w:rsidR="00D13A48" w:rsidRPr="00D13A48" w:rsidRDefault="00D13A48" w:rsidP="00D13A48">
            <w:r w:rsidRPr="00D13A48">
              <w:rPr>
                <w:bCs/>
                <w:szCs w:val="19"/>
              </w:rPr>
              <w:t>Загуба на съзнание</w:t>
            </w:r>
            <w:r w:rsidRPr="00D13A48">
              <w:rPr>
                <w:bCs/>
                <w:szCs w:val="19"/>
                <w:vertAlign w:val="superscript"/>
              </w:rPr>
              <w:t>1</w:t>
            </w:r>
            <w:r w:rsidRPr="00D13A48">
              <w:rPr>
                <w:bCs/>
                <w:szCs w:val="19"/>
              </w:rPr>
              <w:t>, дискинезия</w:t>
            </w:r>
            <w:r w:rsidRPr="00D13A48">
              <w:rPr>
                <w:bCs/>
                <w:szCs w:val="19"/>
                <w:vertAlign w:val="superscript"/>
              </w:rPr>
              <w:t>1</w:t>
            </w:r>
            <w:r w:rsidRPr="00D13A48">
              <w:rPr>
                <w:bCs/>
                <w:szCs w:val="19"/>
              </w:rPr>
              <w:t>, замаяност, сънливост, тремор</w:t>
            </w:r>
          </w:p>
        </w:tc>
        <w:tc>
          <w:tcPr>
            <w:tcW w:w="2158" w:type="dxa"/>
          </w:tcPr>
          <w:p w14:paraId="6A0DD26E" w14:textId="5F22562E" w:rsidR="00D13A48" w:rsidRPr="00D13A48" w:rsidRDefault="00D13A48" w:rsidP="00D13A48">
            <w:r w:rsidRPr="00D13A48">
              <w:rPr>
                <w:bCs/>
                <w:szCs w:val="19"/>
              </w:rPr>
              <w:t>Конвулсии, агеузия, паросмия, аносмия, парестезия</w:t>
            </w:r>
          </w:p>
        </w:tc>
      </w:tr>
      <w:tr w:rsidR="00D13A48" w14:paraId="7D22C4A1" w14:textId="77777777" w:rsidTr="00D13A48">
        <w:tc>
          <w:tcPr>
            <w:tcW w:w="1777" w:type="dxa"/>
            <w:vAlign w:val="bottom"/>
          </w:tcPr>
          <w:p w14:paraId="79E48425" w14:textId="43511979" w:rsidR="00D13A48" w:rsidRPr="00D13A48" w:rsidRDefault="00D13A48" w:rsidP="00D13A48">
            <w:r w:rsidRPr="00D13A48">
              <w:rPr>
                <w:bCs/>
                <w:szCs w:val="19"/>
              </w:rPr>
              <w:lastRenderedPageBreak/>
              <w:t>Нарушения на ухото и лабиринта</w:t>
            </w:r>
          </w:p>
        </w:tc>
        <w:tc>
          <w:tcPr>
            <w:tcW w:w="1486" w:type="dxa"/>
          </w:tcPr>
          <w:p w14:paraId="4EAE7D2C" w14:textId="77777777" w:rsidR="00D13A48" w:rsidRPr="00D13A48" w:rsidRDefault="00D13A48" w:rsidP="00D13A48"/>
        </w:tc>
        <w:tc>
          <w:tcPr>
            <w:tcW w:w="1724" w:type="dxa"/>
          </w:tcPr>
          <w:p w14:paraId="1704D309" w14:textId="77777777" w:rsidR="00D13A48" w:rsidRPr="00D13A48" w:rsidRDefault="00D13A48" w:rsidP="00D13A48"/>
        </w:tc>
        <w:tc>
          <w:tcPr>
            <w:tcW w:w="2205" w:type="dxa"/>
          </w:tcPr>
          <w:p w14:paraId="2F20AFC7" w14:textId="194B0CFA" w:rsidR="00D13A48" w:rsidRPr="00D13A48" w:rsidRDefault="00D13A48" w:rsidP="00D13A48">
            <w:r w:rsidRPr="00D13A48">
              <w:rPr>
                <w:bCs/>
                <w:szCs w:val="19"/>
              </w:rPr>
              <w:t>Вертиго, нарушения на слуха, тинитус</w:t>
            </w:r>
          </w:p>
        </w:tc>
        <w:tc>
          <w:tcPr>
            <w:tcW w:w="2158" w:type="dxa"/>
          </w:tcPr>
          <w:p w14:paraId="14041EEA" w14:textId="6F3D9A60" w:rsidR="00D13A48" w:rsidRPr="00D13A48" w:rsidRDefault="00D13A48" w:rsidP="00D13A48">
            <w:r w:rsidRPr="00D13A48">
              <w:rPr>
                <w:bCs/>
                <w:szCs w:val="19"/>
              </w:rPr>
              <w:t>Глухота</w:t>
            </w:r>
          </w:p>
        </w:tc>
      </w:tr>
      <w:tr w:rsidR="00D13A48" w14:paraId="43113BA1" w14:textId="77777777" w:rsidTr="00D13A48">
        <w:tc>
          <w:tcPr>
            <w:tcW w:w="1777" w:type="dxa"/>
          </w:tcPr>
          <w:p w14:paraId="39DE5B96" w14:textId="295840A0" w:rsidR="00D13A48" w:rsidRPr="00D13A48" w:rsidRDefault="00D13A48" w:rsidP="00D13A48">
            <w:r w:rsidRPr="00D13A48">
              <w:rPr>
                <w:bCs/>
                <w:szCs w:val="19"/>
              </w:rPr>
              <w:t>Сърдечни нарушения</w:t>
            </w:r>
          </w:p>
        </w:tc>
        <w:tc>
          <w:tcPr>
            <w:tcW w:w="1486" w:type="dxa"/>
          </w:tcPr>
          <w:p w14:paraId="226C5027" w14:textId="77777777" w:rsidR="00D13A48" w:rsidRPr="00D13A48" w:rsidRDefault="00D13A48" w:rsidP="00D13A48"/>
        </w:tc>
        <w:tc>
          <w:tcPr>
            <w:tcW w:w="1724" w:type="dxa"/>
          </w:tcPr>
          <w:p w14:paraId="304BA6A9" w14:textId="77777777" w:rsidR="00D13A48" w:rsidRPr="00D13A48" w:rsidRDefault="00D13A48" w:rsidP="00D13A48"/>
        </w:tc>
        <w:tc>
          <w:tcPr>
            <w:tcW w:w="2205" w:type="dxa"/>
            <w:vAlign w:val="bottom"/>
          </w:tcPr>
          <w:p w14:paraId="6145679A" w14:textId="39B3F565" w:rsidR="00D13A48" w:rsidRPr="00D13A48" w:rsidRDefault="00D13A48" w:rsidP="00D13A48">
            <w:r w:rsidRPr="00D13A48">
              <w:rPr>
                <w:bCs/>
                <w:szCs w:val="19"/>
              </w:rPr>
              <w:t>Сърдечен арест</w:t>
            </w:r>
            <w:r w:rsidRPr="00D13A48">
              <w:rPr>
                <w:bCs/>
                <w:szCs w:val="19"/>
                <w:vertAlign w:val="superscript"/>
              </w:rPr>
              <w:t>1</w:t>
            </w:r>
            <w:r w:rsidRPr="00D13A48">
              <w:rPr>
                <w:bCs/>
                <w:szCs w:val="19"/>
              </w:rPr>
              <w:t>, предсърдно мъждене</w:t>
            </w:r>
            <w:r w:rsidRPr="00D13A48">
              <w:rPr>
                <w:bCs/>
                <w:szCs w:val="19"/>
                <w:vertAlign w:val="superscript"/>
              </w:rPr>
              <w:t>1</w:t>
            </w:r>
            <w:r w:rsidRPr="00D13A48">
              <w:rPr>
                <w:bCs/>
                <w:szCs w:val="19"/>
              </w:rPr>
              <w:t xml:space="preserve">, удължен </w:t>
            </w:r>
            <w:r w:rsidRPr="00D13A48">
              <w:rPr>
                <w:bCs/>
                <w:i/>
                <w:iCs/>
                <w:szCs w:val="19"/>
                <w:lang w:val="en-US"/>
              </w:rPr>
              <w:t>QT</w:t>
            </w:r>
            <w:r w:rsidRPr="00D13A48">
              <w:rPr>
                <w:bCs/>
                <w:szCs w:val="19"/>
                <w:lang w:val="ru-RU"/>
              </w:rPr>
              <w:t xml:space="preserve"> </w:t>
            </w:r>
            <w:r w:rsidRPr="00D13A48">
              <w:rPr>
                <w:bCs/>
                <w:szCs w:val="19"/>
              </w:rPr>
              <w:t>интервал при ЕКГ, екстрасистоли</w:t>
            </w:r>
            <w:r w:rsidRPr="00D13A48">
              <w:rPr>
                <w:bCs/>
                <w:szCs w:val="19"/>
                <w:vertAlign w:val="superscript"/>
              </w:rPr>
              <w:t>1</w:t>
            </w:r>
            <w:r w:rsidRPr="00D13A48">
              <w:rPr>
                <w:bCs/>
                <w:szCs w:val="19"/>
              </w:rPr>
              <w:t>, палпитации</w:t>
            </w:r>
          </w:p>
        </w:tc>
        <w:tc>
          <w:tcPr>
            <w:tcW w:w="2158" w:type="dxa"/>
            <w:vAlign w:val="bottom"/>
          </w:tcPr>
          <w:p w14:paraId="47D9F12B" w14:textId="77777777" w:rsidR="00D13A48" w:rsidRPr="00D13A48" w:rsidRDefault="00D13A48" w:rsidP="00D13A48">
            <w:r w:rsidRPr="00D13A48">
              <w:rPr>
                <w:bCs/>
                <w:szCs w:val="19"/>
              </w:rPr>
              <w:t>Полиморфна камерна тахикардия (</w:t>
            </w:r>
            <w:proofErr w:type="spellStart"/>
            <w:r w:rsidRPr="00D13A48">
              <w:rPr>
                <w:bCs/>
                <w:szCs w:val="19"/>
                <w:lang w:val="en-US"/>
              </w:rPr>
              <w:t>Torsades</w:t>
            </w:r>
            <w:proofErr w:type="spellEnd"/>
            <w:r w:rsidRPr="00D13A48">
              <w:rPr>
                <w:bCs/>
                <w:szCs w:val="19"/>
              </w:rPr>
              <w:tab/>
            </w:r>
            <w:r w:rsidRPr="00D13A48">
              <w:rPr>
                <w:bCs/>
                <w:szCs w:val="19"/>
                <w:lang w:val="en-US"/>
              </w:rPr>
              <w:t>de</w:t>
            </w:r>
          </w:p>
          <w:p w14:paraId="3EA4605A" w14:textId="0F05D16C" w:rsidR="00D13A48" w:rsidRPr="00D13A48" w:rsidRDefault="00D13A48" w:rsidP="00D13A48">
            <w:r w:rsidRPr="00D13A48">
              <w:rPr>
                <w:bCs/>
                <w:szCs w:val="19"/>
                <w:lang w:val="en-US"/>
              </w:rPr>
              <w:t>pointes</w:t>
            </w:r>
            <w:r w:rsidRPr="00D13A48">
              <w:rPr>
                <w:bCs/>
                <w:szCs w:val="19"/>
              </w:rPr>
              <w:t>), камерна тахикардия, камерно мъждене</w:t>
            </w:r>
          </w:p>
        </w:tc>
      </w:tr>
      <w:tr w:rsidR="00D13A48" w14:paraId="6780B646" w14:textId="77777777" w:rsidTr="00D13A48">
        <w:tc>
          <w:tcPr>
            <w:tcW w:w="1777" w:type="dxa"/>
            <w:vAlign w:val="bottom"/>
          </w:tcPr>
          <w:p w14:paraId="07296EA7" w14:textId="5F9DF081" w:rsidR="00D13A48" w:rsidRPr="00D13A48" w:rsidRDefault="00D13A48" w:rsidP="00D13A48">
            <w:r w:rsidRPr="00D13A48">
              <w:rPr>
                <w:bCs/>
                <w:szCs w:val="19"/>
              </w:rPr>
              <w:t>Съдови нарушения</w:t>
            </w:r>
          </w:p>
        </w:tc>
        <w:tc>
          <w:tcPr>
            <w:tcW w:w="1486" w:type="dxa"/>
          </w:tcPr>
          <w:p w14:paraId="5B86A401" w14:textId="77777777" w:rsidR="00D13A48" w:rsidRPr="00D13A48" w:rsidRDefault="00D13A48" w:rsidP="00D13A48"/>
        </w:tc>
        <w:tc>
          <w:tcPr>
            <w:tcW w:w="1724" w:type="dxa"/>
          </w:tcPr>
          <w:p w14:paraId="574EA210" w14:textId="49205D0E" w:rsidR="00D13A48" w:rsidRPr="00D13A48" w:rsidRDefault="00D13A48" w:rsidP="00D13A48">
            <w:r w:rsidRPr="00D13A48">
              <w:rPr>
                <w:bCs/>
                <w:szCs w:val="19"/>
              </w:rPr>
              <w:t>Вазодилатация</w:t>
            </w:r>
            <w:r w:rsidRPr="00D13A48">
              <w:rPr>
                <w:bCs/>
                <w:szCs w:val="19"/>
                <w:vertAlign w:val="superscript"/>
              </w:rPr>
              <w:t>1</w:t>
            </w:r>
          </w:p>
        </w:tc>
        <w:tc>
          <w:tcPr>
            <w:tcW w:w="2205" w:type="dxa"/>
          </w:tcPr>
          <w:p w14:paraId="7EAC28A2" w14:textId="77777777" w:rsidR="00D13A48" w:rsidRPr="00D13A48" w:rsidRDefault="00D13A48" w:rsidP="00D13A48"/>
        </w:tc>
        <w:tc>
          <w:tcPr>
            <w:tcW w:w="2158" w:type="dxa"/>
          </w:tcPr>
          <w:p w14:paraId="2D9FD37A" w14:textId="799EB3E8" w:rsidR="00D13A48" w:rsidRPr="00D13A48" w:rsidRDefault="00D13A48" w:rsidP="00D13A48">
            <w:r w:rsidRPr="00D13A48">
              <w:rPr>
                <w:bCs/>
                <w:szCs w:val="19"/>
              </w:rPr>
              <w:t>Хеморагия</w:t>
            </w:r>
          </w:p>
        </w:tc>
      </w:tr>
      <w:tr w:rsidR="00D13A48" w14:paraId="70BAB645" w14:textId="77777777" w:rsidTr="00D13A48">
        <w:tc>
          <w:tcPr>
            <w:tcW w:w="1777" w:type="dxa"/>
          </w:tcPr>
          <w:p w14:paraId="5868B29B" w14:textId="77777777" w:rsidR="00D13A48" w:rsidRPr="00D13A48" w:rsidRDefault="00D13A48" w:rsidP="00D13A48">
            <w:r w:rsidRPr="00D13A48">
              <w:rPr>
                <w:bCs/>
                <w:szCs w:val="19"/>
              </w:rPr>
              <w:t>Респираторни, гръдни</w:t>
            </w:r>
            <w:r w:rsidRPr="00D13A48">
              <w:rPr>
                <w:bCs/>
                <w:szCs w:val="19"/>
              </w:rPr>
              <w:tab/>
              <w:t>и</w:t>
            </w:r>
          </w:p>
          <w:p w14:paraId="4FDD9C28" w14:textId="4398D0BB" w:rsidR="00D13A48" w:rsidRPr="00D13A48" w:rsidRDefault="00D13A48" w:rsidP="00D13A48">
            <w:r w:rsidRPr="00D13A48">
              <w:rPr>
                <w:bCs/>
                <w:szCs w:val="19"/>
              </w:rPr>
              <w:t>медиастинални нарушения</w:t>
            </w:r>
          </w:p>
        </w:tc>
        <w:tc>
          <w:tcPr>
            <w:tcW w:w="1486" w:type="dxa"/>
          </w:tcPr>
          <w:p w14:paraId="03BC869F" w14:textId="77777777" w:rsidR="00D13A48" w:rsidRPr="00D13A48" w:rsidRDefault="00D13A48" w:rsidP="00D13A48"/>
        </w:tc>
        <w:tc>
          <w:tcPr>
            <w:tcW w:w="1724" w:type="dxa"/>
          </w:tcPr>
          <w:p w14:paraId="72853E4D" w14:textId="77777777" w:rsidR="00D13A48" w:rsidRPr="00D13A48" w:rsidRDefault="00D13A48" w:rsidP="00D13A48"/>
        </w:tc>
        <w:tc>
          <w:tcPr>
            <w:tcW w:w="2205" w:type="dxa"/>
          </w:tcPr>
          <w:p w14:paraId="7CB4072E" w14:textId="588C6967" w:rsidR="00D13A48" w:rsidRPr="00D13A48" w:rsidRDefault="00D13A48" w:rsidP="00D13A48">
            <w:r w:rsidRPr="00D13A48">
              <w:rPr>
                <w:bCs/>
                <w:szCs w:val="19"/>
              </w:rPr>
              <w:t>Астма</w:t>
            </w:r>
            <w:r w:rsidRPr="00D13A48">
              <w:rPr>
                <w:bCs/>
                <w:szCs w:val="19"/>
                <w:vertAlign w:val="superscript"/>
              </w:rPr>
              <w:t>1</w:t>
            </w:r>
            <w:r w:rsidRPr="00D13A48">
              <w:rPr>
                <w:bCs/>
                <w:szCs w:val="19"/>
              </w:rPr>
              <w:t>, епистаксис</w:t>
            </w:r>
            <w:r w:rsidRPr="00D13A48">
              <w:rPr>
                <w:bCs/>
                <w:szCs w:val="19"/>
                <w:vertAlign w:val="superscript"/>
              </w:rPr>
              <w:t>2</w:t>
            </w:r>
            <w:r w:rsidRPr="00D13A48">
              <w:rPr>
                <w:bCs/>
                <w:szCs w:val="19"/>
              </w:rPr>
              <w:t>, белодробен емболизъм</w:t>
            </w:r>
            <w:r w:rsidRPr="00D13A48">
              <w:rPr>
                <w:bCs/>
                <w:szCs w:val="19"/>
                <w:vertAlign w:val="superscript"/>
              </w:rPr>
              <w:t>1</w:t>
            </w:r>
          </w:p>
        </w:tc>
        <w:tc>
          <w:tcPr>
            <w:tcW w:w="2158" w:type="dxa"/>
          </w:tcPr>
          <w:p w14:paraId="21846F9E" w14:textId="77777777" w:rsidR="00D13A48" w:rsidRPr="00D13A48" w:rsidRDefault="00D13A48" w:rsidP="00D13A48"/>
        </w:tc>
      </w:tr>
      <w:tr w:rsidR="00D13A48" w14:paraId="436E4CCD" w14:textId="77777777" w:rsidTr="00D13A48">
        <w:tc>
          <w:tcPr>
            <w:tcW w:w="1777" w:type="dxa"/>
          </w:tcPr>
          <w:p w14:paraId="45EF65E9" w14:textId="1DB47B99" w:rsidR="00D13A48" w:rsidRPr="00D13A48" w:rsidRDefault="00D13A48" w:rsidP="00D13A48">
            <w:r w:rsidRPr="00D13A48">
              <w:rPr>
                <w:bCs/>
                <w:szCs w:val="19"/>
              </w:rPr>
              <w:t>Стомашно- чревни нарушения</w:t>
            </w:r>
          </w:p>
        </w:tc>
        <w:tc>
          <w:tcPr>
            <w:tcW w:w="1486" w:type="dxa"/>
          </w:tcPr>
          <w:p w14:paraId="0C256467" w14:textId="77777777" w:rsidR="00D13A48" w:rsidRPr="00D13A48" w:rsidRDefault="00D13A48" w:rsidP="00D13A48"/>
        </w:tc>
        <w:tc>
          <w:tcPr>
            <w:tcW w:w="1724" w:type="dxa"/>
          </w:tcPr>
          <w:p w14:paraId="11898535" w14:textId="2FF654A1" w:rsidR="00D13A48" w:rsidRPr="00D13A48" w:rsidRDefault="00D13A48" w:rsidP="00D13A48">
            <w:r w:rsidRPr="00D13A48">
              <w:rPr>
                <w:bCs/>
                <w:szCs w:val="19"/>
              </w:rPr>
              <w:t>Диария, повръщане, диспепсия, гадене, болка в корема</w:t>
            </w:r>
          </w:p>
        </w:tc>
        <w:tc>
          <w:tcPr>
            <w:tcW w:w="2205" w:type="dxa"/>
            <w:vAlign w:val="bottom"/>
          </w:tcPr>
          <w:p w14:paraId="63C80829" w14:textId="1819793C" w:rsidR="00D13A48" w:rsidRPr="00D13A48" w:rsidRDefault="00D13A48" w:rsidP="00D13A48">
            <w:r w:rsidRPr="00D13A48">
              <w:rPr>
                <w:bCs/>
                <w:szCs w:val="19"/>
              </w:rPr>
              <w:t>Езофагит</w:t>
            </w:r>
            <w:r w:rsidRPr="00D13A48">
              <w:rPr>
                <w:bCs/>
                <w:szCs w:val="19"/>
                <w:vertAlign w:val="superscript"/>
              </w:rPr>
              <w:t>1</w:t>
            </w:r>
            <w:r w:rsidRPr="00D13A48">
              <w:rPr>
                <w:bCs/>
                <w:szCs w:val="19"/>
              </w:rPr>
              <w:t>, гастроинтестинална рефлуксна болест</w:t>
            </w:r>
            <w:r w:rsidRPr="00D13A48">
              <w:rPr>
                <w:bCs/>
                <w:szCs w:val="19"/>
                <w:vertAlign w:val="superscript"/>
              </w:rPr>
              <w:t>2</w:t>
            </w:r>
            <w:r w:rsidRPr="00D13A48">
              <w:rPr>
                <w:bCs/>
                <w:szCs w:val="19"/>
              </w:rPr>
              <w:t>, гастрит, лрокталгия</w:t>
            </w:r>
            <w:r w:rsidRPr="00D13A48">
              <w:rPr>
                <w:bCs/>
                <w:szCs w:val="19"/>
                <w:vertAlign w:val="superscript"/>
              </w:rPr>
              <w:t>2</w:t>
            </w:r>
            <w:r w:rsidRPr="00D13A48">
              <w:rPr>
                <w:bCs/>
                <w:szCs w:val="19"/>
              </w:rPr>
              <w:t>, стоматит, глосит, подуване на корема</w:t>
            </w:r>
            <w:r w:rsidRPr="00D13A48">
              <w:rPr>
                <w:bCs/>
                <w:szCs w:val="19"/>
                <w:vertAlign w:val="superscript"/>
              </w:rPr>
              <w:t>4</w:t>
            </w:r>
            <w:r w:rsidRPr="00D13A48">
              <w:rPr>
                <w:bCs/>
                <w:szCs w:val="19"/>
              </w:rPr>
              <w:t>, констипация, сухота в устата, оригване, флатуленция</w:t>
            </w:r>
          </w:p>
        </w:tc>
        <w:tc>
          <w:tcPr>
            <w:tcW w:w="2158" w:type="dxa"/>
          </w:tcPr>
          <w:p w14:paraId="0BEDF8CB" w14:textId="244CB6FC" w:rsidR="00D13A48" w:rsidRPr="00D13A48" w:rsidRDefault="00D13A48" w:rsidP="00D13A48">
            <w:r w:rsidRPr="00D13A48">
              <w:rPr>
                <w:bCs/>
                <w:szCs w:val="19"/>
              </w:rPr>
              <w:t>Остър панкреатит, промени в цвета на езика, промени в цвета на зъбите</w:t>
            </w:r>
          </w:p>
        </w:tc>
      </w:tr>
      <w:tr w:rsidR="00D13A48" w14:paraId="65B6397F" w14:textId="77777777" w:rsidTr="00D13A48">
        <w:tc>
          <w:tcPr>
            <w:tcW w:w="1777" w:type="dxa"/>
          </w:tcPr>
          <w:p w14:paraId="79853221" w14:textId="2E14A043" w:rsidR="00D13A48" w:rsidRPr="00D13A48" w:rsidRDefault="00D13A48" w:rsidP="00D13A48">
            <w:r w:rsidRPr="00D13A48">
              <w:rPr>
                <w:bCs/>
                <w:szCs w:val="19"/>
              </w:rPr>
              <w:t>Хепатобилиарни нарушения</w:t>
            </w:r>
          </w:p>
        </w:tc>
        <w:tc>
          <w:tcPr>
            <w:tcW w:w="1486" w:type="dxa"/>
          </w:tcPr>
          <w:p w14:paraId="05E11E25" w14:textId="77777777" w:rsidR="00D13A48" w:rsidRPr="00D13A48" w:rsidRDefault="00D13A48" w:rsidP="00D13A48"/>
        </w:tc>
        <w:tc>
          <w:tcPr>
            <w:tcW w:w="1724" w:type="dxa"/>
          </w:tcPr>
          <w:p w14:paraId="284E1230" w14:textId="68550573" w:rsidR="00D13A48" w:rsidRPr="00D13A48" w:rsidRDefault="00D13A48" w:rsidP="00D13A48">
            <w:r w:rsidRPr="00D13A48">
              <w:rPr>
                <w:bCs/>
                <w:szCs w:val="19"/>
              </w:rPr>
              <w:t>Абнормен чернодробен функционален тест</w:t>
            </w:r>
          </w:p>
        </w:tc>
        <w:tc>
          <w:tcPr>
            <w:tcW w:w="2205" w:type="dxa"/>
            <w:vAlign w:val="bottom"/>
          </w:tcPr>
          <w:p w14:paraId="20BF0830" w14:textId="77777777" w:rsidR="00D13A48" w:rsidRPr="00D13A48" w:rsidRDefault="00D13A48" w:rsidP="00D13A48">
            <w:r w:rsidRPr="00D13A48">
              <w:rPr>
                <w:bCs/>
                <w:szCs w:val="19"/>
              </w:rPr>
              <w:t>Холестаза</w:t>
            </w:r>
            <w:r w:rsidRPr="00D13A48">
              <w:rPr>
                <w:bCs/>
                <w:szCs w:val="19"/>
                <w:vertAlign w:val="superscript"/>
              </w:rPr>
              <w:t>4</w:t>
            </w:r>
            <w:r w:rsidRPr="00D13A48">
              <w:rPr>
                <w:bCs/>
                <w:szCs w:val="19"/>
              </w:rPr>
              <w:t>, хепатит</w:t>
            </w:r>
            <w:r w:rsidRPr="00D13A48">
              <w:rPr>
                <w:bCs/>
                <w:szCs w:val="19"/>
                <w:vertAlign w:val="superscript"/>
              </w:rPr>
              <w:t>4</w:t>
            </w:r>
            <w:r w:rsidRPr="00D13A48">
              <w:rPr>
                <w:bCs/>
                <w:szCs w:val="19"/>
              </w:rPr>
              <w:t>, повишена аланин аминотрансфераза, повишена аспартат аминотрансфераза, повишена</w:t>
            </w:r>
            <w:r w:rsidRPr="00D13A48">
              <w:rPr>
                <w:bCs/>
                <w:szCs w:val="19"/>
              </w:rPr>
              <w:tab/>
              <w:t>гама-</w:t>
            </w:r>
          </w:p>
          <w:p w14:paraId="561C7D60" w14:textId="5BA9D322" w:rsidR="00D13A48" w:rsidRPr="00D13A48" w:rsidRDefault="00D13A48" w:rsidP="00D13A48">
            <w:r w:rsidRPr="00D13A48">
              <w:rPr>
                <w:bCs/>
                <w:szCs w:val="19"/>
              </w:rPr>
              <w:t>глутамил трансфераза</w:t>
            </w:r>
            <w:r w:rsidRPr="00D13A48">
              <w:rPr>
                <w:bCs/>
                <w:szCs w:val="19"/>
                <w:vertAlign w:val="superscript"/>
              </w:rPr>
              <w:t>4</w:t>
            </w:r>
          </w:p>
        </w:tc>
        <w:tc>
          <w:tcPr>
            <w:tcW w:w="2158" w:type="dxa"/>
          </w:tcPr>
          <w:p w14:paraId="1E029FB9" w14:textId="1D1593F3" w:rsidR="00D13A48" w:rsidRPr="00D13A48" w:rsidRDefault="00D13A48" w:rsidP="00D13A48">
            <w:r w:rsidRPr="00D13A48">
              <w:rPr>
                <w:bCs/>
                <w:szCs w:val="19"/>
              </w:rPr>
              <w:t>Чернодробна недостатъчност, хепатоцелуларна жълтеница</w:t>
            </w:r>
          </w:p>
        </w:tc>
      </w:tr>
      <w:tr w:rsidR="00D13A48" w14:paraId="56E53491" w14:textId="77777777" w:rsidTr="00D13A48">
        <w:tc>
          <w:tcPr>
            <w:tcW w:w="1777" w:type="dxa"/>
          </w:tcPr>
          <w:p w14:paraId="50084C0B" w14:textId="77777777" w:rsidR="00D13A48" w:rsidRPr="00D13A48" w:rsidRDefault="00D13A48" w:rsidP="00D13A48">
            <w:r w:rsidRPr="00D13A48">
              <w:rPr>
                <w:bCs/>
                <w:szCs w:val="19"/>
              </w:rPr>
              <w:t>Нарушения на кожата</w:t>
            </w:r>
            <w:r w:rsidRPr="00D13A48">
              <w:rPr>
                <w:bCs/>
                <w:szCs w:val="19"/>
              </w:rPr>
              <w:tab/>
              <w:t>и</w:t>
            </w:r>
          </w:p>
          <w:p w14:paraId="1AC8AD4F" w14:textId="695A2A25" w:rsidR="00D13A48" w:rsidRPr="00D13A48" w:rsidRDefault="00D13A48" w:rsidP="00D13A48">
            <w:r w:rsidRPr="00D13A48">
              <w:rPr>
                <w:bCs/>
                <w:szCs w:val="19"/>
              </w:rPr>
              <w:t>подкожната тъкан</w:t>
            </w:r>
          </w:p>
        </w:tc>
        <w:tc>
          <w:tcPr>
            <w:tcW w:w="1486" w:type="dxa"/>
          </w:tcPr>
          <w:p w14:paraId="1FAD5FF5" w14:textId="77777777" w:rsidR="00D13A48" w:rsidRPr="00D13A48" w:rsidRDefault="00D13A48" w:rsidP="00D13A48"/>
        </w:tc>
        <w:tc>
          <w:tcPr>
            <w:tcW w:w="1724" w:type="dxa"/>
          </w:tcPr>
          <w:p w14:paraId="5946EC94" w14:textId="430FB9B7" w:rsidR="00D13A48" w:rsidRPr="00D13A48" w:rsidRDefault="00D13A48" w:rsidP="00D13A48">
            <w:r w:rsidRPr="00D13A48">
              <w:rPr>
                <w:bCs/>
                <w:szCs w:val="19"/>
              </w:rPr>
              <w:t>Обрив, хиперхидроза</w:t>
            </w:r>
          </w:p>
        </w:tc>
        <w:tc>
          <w:tcPr>
            <w:tcW w:w="2205" w:type="dxa"/>
          </w:tcPr>
          <w:p w14:paraId="10EEDAE9" w14:textId="4D546703" w:rsidR="00D13A48" w:rsidRPr="00D13A48" w:rsidRDefault="00D13A48" w:rsidP="00D13A48">
            <w:r w:rsidRPr="00D13A48">
              <w:rPr>
                <w:bCs/>
                <w:szCs w:val="19"/>
              </w:rPr>
              <w:t>Булозен дерматит</w:t>
            </w:r>
            <w:r w:rsidRPr="00D13A48">
              <w:rPr>
                <w:bCs/>
                <w:szCs w:val="19"/>
                <w:vertAlign w:val="superscript"/>
              </w:rPr>
              <w:t>1</w:t>
            </w:r>
            <w:r w:rsidRPr="00D13A48">
              <w:rPr>
                <w:bCs/>
                <w:szCs w:val="19"/>
              </w:rPr>
              <w:t>, сърбеж, уртикария, макулопапулозен обрив</w:t>
            </w:r>
            <w:r w:rsidRPr="00D13A48">
              <w:rPr>
                <w:bCs/>
                <w:szCs w:val="19"/>
                <w:vertAlign w:val="superscript"/>
              </w:rPr>
              <w:t>3</w:t>
            </w:r>
          </w:p>
        </w:tc>
        <w:tc>
          <w:tcPr>
            <w:tcW w:w="2158" w:type="dxa"/>
          </w:tcPr>
          <w:p w14:paraId="3A00CD82" w14:textId="77777777" w:rsidR="00D13A48" w:rsidRPr="00D13A48" w:rsidRDefault="00D13A48" w:rsidP="00D13A48">
            <w:r w:rsidRPr="00D13A48">
              <w:rPr>
                <w:bCs/>
                <w:szCs w:val="19"/>
              </w:rPr>
              <w:t xml:space="preserve">Остра генерализирана екзантемозна пустулоза </w:t>
            </w:r>
            <w:r w:rsidRPr="00D13A48">
              <w:rPr>
                <w:bCs/>
                <w:szCs w:val="19"/>
                <w:lang w:val="ru-RU"/>
              </w:rPr>
              <w:t>(</w:t>
            </w:r>
            <w:r w:rsidRPr="00D13A48">
              <w:rPr>
                <w:bCs/>
                <w:szCs w:val="19"/>
                <w:lang w:val="en-US"/>
              </w:rPr>
              <w:t>AGEP</w:t>
            </w:r>
            <w:r w:rsidRPr="00D13A48">
              <w:rPr>
                <w:bCs/>
                <w:szCs w:val="19"/>
                <w:lang w:val="ru-RU"/>
              </w:rPr>
              <w:t xml:space="preserve">), </w:t>
            </w:r>
            <w:r w:rsidRPr="00D13A48">
              <w:rPr>
                <w:bCs/>
                <w:szCs w:val="19"/>
              </w:rPr>
              <w:t>Синдром</w:t>
            </w:r>
            <w:r w:rsidRPr="00D13A48">
              <w:rPr>
                <w:bCs/>
                <w:szCs w:val="19"/>
              </w:rPr>
              <w:tab/>
              <w:t>на</w:t>
            </w:r>
          </w:p>
          <w:p w14:paraId="4BD8D1E3" w14:textId="77777777" w:rsidR="00D13A48" w:rsidRPr="00D13A48" w:rsidRDefault="00D13A48" w:rsidP="00D13A48">
            <w:r w:rsidRPr="00D13A48">
              <w:rPr>
                <w:bCs/>
                <w:szCs w:val="19"/>
              </w:rPr>
              <w:t xml:space="preserve">Стивънс-Джонсън, токсична епидермална </w:t>
            </w:r>
            <w:r w:rsidRPr="00D13A48">
              <w:rPr>
                <w:bCs/>
                <w:szCs w:val="19"/>
              </w:rPr>
              <w:lastRenderedPageBreak/>
              <w:t>некролиза, лекарствен обрив с еозинофилия</w:t>
            </w:r>
            <w:r w:rsidRPr="00D13A48">
              <w:rPr>
                <w:bCs/>
                <w:szCs w:val="19"/>
              </w:rPr>
              <w:tab/>
              <w:t>и</w:t>
            </w:r>
          </w:p>
          <w:p w14:paraId="3650DAC3" w14:textId="57F8CD40" w:rsidR="00D13A48" w:rsidRPr="00D13A48" w:rsidRDefault="00D13A48" w:rsidP="00D13A48">
            <w:r w:rsidRPr="00D13A48">
              <w:rPr>
                <w:bCs/>
                <w:szCs w:val="19"/>
              </w:rPr>
              <w:t xml:space="preserve">системни симптоми </w:t>
            </w:r>
            <w:r w:rsidRPr="00D13A48">
              <w:rPr>
                <w:bCs/>
                <w:szCs w:val="19"/>
                <w:lang w:val="en-US"/>
              </w:rPr>
              <w:t xml:space="preserve">(DRESS), </w:t>
            </w:r>
            <w:r w:rsidRPr="00D13A48">
              <w:rPr>
                <w:bCs/>
                <w:szCs w:val="19"/>
              </w:rPr>
              <w:t>акне</w:t>
            </w:r>
          </w:p>
        </w:tc>
      </w:tr>
      <w:tr w:rsidR="00D13A48" w14:paraId="67FCBC1A" w14:textId="77777777" w:rsidTr="00D13A48">
        <w:tc>
          <w:tcPr>
            <w:tcW w:w="1777" w:type="dxa"/>
          </w:tcPr>
          <w:p w14:paraId="7EE6FDA4" w14:textId="77777777" w:rsidR="00D13A48" w:rsidRPr="00D13A48" w:rsidRDefault="00D13A48" w:rsidP="00D13A48">
            <w:r w:rsidRPr="00D13A48">
              <w:rPr>
                <w:bCs/>
                <w:szCs w:val="19"/>
              </w:rPr>
              <w:lastRenderedPageBreak/>
              <w:t>Нарушения на мускулно- скелетната система</w:t>
            </w:r>
            <w:r w:rsidRPr="00D13A48">
              <w:rPr>
                <w:bCs/>
                <w:szCs w:val="19"/>
              </w:rPr>
              <w:tab/>
              <w:t>и</w:t>
            </w:r>
          </w:p>
          <w:p w14:paraId="321E94B0" w14:textId="7E9D8445" w:rsidR="00D13A48" w:rsidRPr="00D13A48" w:rsidRDefault="00D13A48" w:rsidP="00D13A48">
            <w:r w:rsidRPr="00D13A48">
              <w:rPr>
                <w:bCs/>
                <w:szCs w:val="19"/>
              </w:rPr>
              <w:t>съединителната тъкан</w:t>
            </w:r>
          </w:p>
        </w:tc>
        <w:tc>
          <w:tcPr>
            <w:tcW w:w="1486" w:type="dxa"/>
          </w:tcPr>
          <w:p w14:paraId="5A3B00FF" w14:textId="77777777" w:rsidR="00D13A48" w:rsidRPr="00D13A48" w:rsidRDefault="00D13A48" w:rsidP="00D13A48"/>
        </w:tc>
        <w:tc>
          <w:tcPr>
            <w:tcW w:w="1724" w:type="dxa"/>
          </w:tcPr>
          <w:p w14:paraId="24A22768" w14:textId="77777777" w:rsidR="00D13A48" w:rsidRPr="00D13A48" w:rsidRDefault="00D13A48" w:rsidP="00D13A48"/>
        </w:tc>
        <w:tc>
          <w:tcPr>
            <w:tcW w:w="2205" w:type="dxa"/>
          </w:tcPr>
          <w:p w14:paraId="7BCE826A" w14:textId="7BE84978" w:rsidR="00D13A48" w:rsidRPr="00D13A48" w:rsidRDefault="00D13A48" w:rsidP="00D13A48">
            <w:r w:rsidRPr="00D13A48">
              <w:rPr>
                <w:bCs/>
                <w:szCs w:val="19"/>
              </w:rPr>
              <w:t>Мускулни спазми</w:t>
            </w:r>
            <w:r w:rsidRPr="00D13A48">
              <w:rPr>
                <w:bCs/>
                <w:szCs w:val="19"/>
                <w:vertAlign w:val="superscript"/>
              </w:rPr>
              <w:t>3</w:t>
            </w:r>
            <w:r w:rsidRPr="00D13A48">
              <w:rPr>
                <w:bCs/>
                <w:szCs w:val="19"/>
              </w:rPr>
              <w:t>, мускулно-скелетна скованост</w:t>
            </w:r>
            <w:r w:rsidRPr="00D13A48">
              <w:rPr>
                <w:bCs/>
                <w:szCs w:val="19"/>
                <w:vertAlign w:val="superscript"/>
              </w:rPr>
              <w:t>1</w:t>
            </w:r>
            <w:r w:rsidRPr="00D13A48">
              <w:rPr>
                <w:bCs/>
                <w:szCs w:val="19"/>
              </w:rPr>
              <w:t>, миалгия</w:t>
            </w:r>
            <w:r w:rsidRPr="00D13A48">
              <w:rPr>
                <w:bCs/>
                <w:szCs w:val="19"/>
                <w:vertAlign w:val="superscript"/>
              </w:rPr>
              <w:t>2</w:t>
            </w:r>
          </w:p>
        </w:tc>
        <w:tc>
          <w:tcPr>
            <w:tcW w:w="2158" w:type="dxa"/>
          </w:tcPr>
          <w:p w14:paraId="3C6E2135" w14:textId="19576AEB" w:rsidR="00D13A48" w:rsidRPr="00D13A48" w:rsidRDefault="00D13A48" w:rsidP="00D13A48">
            <w:r w:rsidRPr="00D13A48">
              <w:rPr>
                <w:bCs/>
                <w:szCs w:val="19"/>
              </w:rPr>
              <w:t>Рабдомиолиза**</w:t>
            </w:r>
            <w:r w:rsidRPr="00D13A48">
              <w:rPr>
                <w:bCs/>
                <w:szCs w:val="19"/>
                <w:vertAlign w:val="superscript"/>
              </w:rPr>
              <w:t>2,</w:t>
            </w:r>
            <w:r w:rsidRPr="00D13A48">
              <w:rPr>
                <w:bCs/>
                <w:szCs w:val="19"/>
              </w:rPr>
              <w:t xml:space="preserve"> , миопатия</w:t>
            </w:r>
          </w:p>
        </w:tc>
      </w:tr>
      <w:tr w:rsidR="00D13A48" w14:paraId="5D95F9E0" w14:textId="77777777" w:rsidTr="00D13A48">
        <w:tc>
          <w:tcPr>
            <w:tcW w:w="1777" w:type="dxa"/>
          </w:tcPr>
          <w:p w14:paraId="65C92715" w14:textId="49AD899E" w:rsidR="00D13A48" w:rsidRPr="00D13A48" w:rsidRDefault="00D13A48" w:rsidP="00D13A48">
            <w:r w:rsidRPr="00D13A48">
              <w:rPr>
                <w:bCs/>
                <w:szCs w:val="19"/>
              </w:rPr>
              <w:t>Нарушения на бъбреците и пикочните пътища</w:t>
            </w:r>
          </w:p>
        </w:tc>
        <w:tc>
          <w:tcPr>
            <w:tcW w:w="1486" w:type="dxa"/>
          </w:tcPr>
          <w:p w14:paraId="70ED3135" w14:textId="77777777" w:rsidR="00D13A48" w:rsidRPr="00D13A48" w:rsidRDefault="00D13A48" w:rsidP="00D13A48"/>
        </w:tc>
        <w:tc>
          <w:tcPr>
            <w:tcW w:w="1724" w:type="dxa"/>
          </w:tcPr>
          <w:p w14:paraId="5685C3A0" w14:textId="77777777" w:rsidR="00D13A48" w:rsidRPr="00D13A48" w:rsidRDefault="00D13A48" w:rsidP="00D13A48"/>
        </w:tc>
        <w:tc>
          <w:tcPr>
            <w:tcW w:w="2205" w:type="dxa"/>
          </w:tcPr>
          <w:p w14:paraId="64AEB740" w14:textId="218560D8" w:rsidR="00D13A48" w:rsidRPr="00D13A48" w:rsidRDefault="00D13A48" w:rsidP="00D13A48">
            <w:r w:rsidRPr="00D13A48">
              <w:rPr>
                <w:bCs/>
                <w:szCs w:val="19"/>
              </w:rPr>
              <w:t>Повишен креатинин в кръвта</w:t>
            </w:r>
            <w:r w:rsidRPr="00D13A48">
              <w:rPr>
                <w:bCs/>
                <w:szCs w:val="19"/>
                <w:vertAlign w:val="superscript"/>
              </w:rPr>
              <w:t>1</w:t>
            </w:r>
            <w:r w:rsidRPr="00D13A48">
              <w:rPr>
                <w:bCs/>
                <w:szCs w:val="19"/>
              </w:rPr>
              <w:t>, повишена урея в кръвта</w:t>
            </w:r>
            <w:r w:rsidRPr="00D13A48">
              <w:rPr>
                <w:bCs/>
                <w:szCs w:val="19"/>
                <w:vertAlign w:val="superscript"/>
              </w:rPr>
              <w:t>1</w:t>
            </w:r>
          </w:p>
        </w:tc>
        <w:tc>
          <w:tcPr>
            <w:tcW w:w="2158" w:type="dxa"/>
          </w:tcPr>
          <w:p w14:paraId="1DB90232" w14:textId="14E10E45" w:rsidR="00D13A48" w:rsidRPr="00D13A48" w:rsidRDefault="00D13A48" w:rsidP="00D13A48">
            <w:r w:rsidRPr="00D13A48">
              <w:rPr>
                <w:bCs/>
                <w:szCs w:val="19"/>
              </w:rPr>
              <w:t>Бъбречна недостатъчност, интерстициален нефрит</w:t>
            </w:r>
          </w:p>
        </w:tc>
      </w:tr>
      <w:tr w:rsidR="00D13A48" w14:paraId="1486E89C" w14:textId="77777777" w:rsidTr="00D13A48">
        <w:tc>
          <w:tcPr>
            <w:tcW w:w="1777" w:type="dxa"/>
          </w:tcPr>
          <w:p w14:paraId="18ED31B4" w14:textId="77777777" w:rsidR="00D13A48" w:rsidRPr="00D13A48" w:rsidRDefault="00D13A48" w:rsidP="00D13A48">
            <w:r w:rsidRPr="00D13A48">
              <w:rPr>
                <w:bCs/>
                <w:szCs w:val="19"/>
              </w:rPr>
              <w:t>Общи нарушения и ефекти</w:t>
            </w:r>
            <w:r w:rsidRPr="00D13A48">
              <w:rPr>
                <w:bCs/>
                <w:szCs w:val="19"/>
              </w:rPr>
              <w:tab/>
              <w:t>на</w:t>
            </w:r>
          </w:p>
          <w:p w14:paraId="5E98888D" w14:textId="77777777" w:rsidR="00D13A48" w:rsidRPr="00D13A48" w:rsidRDefault="00D13A48" w:rsidP="00D13A48">
            <w:r w:rsidRPr="00D13A48">
              <w:rPr>
                <w:bCs/>
                <w:szCs w:val="19"/>
              </w:rPr>
              <w:t>мястото</w:t>
            </w:r>
            <w:r w:rsidRPr="00D13A48">
              <w:rPr>
                <w:bCs/>
                <w:szCs w:val="19"/>
              </w:rPr>
              <w:tab/>
              <w:t>на</w:t>
            </w:r>
          </w:p>
          <w:p w14:paraId="5D9FEBAD" w14:textId="1CBB71FA" w:rsidR="00D13A48" w:rsidRPr="00D13A48" w:rsidRDefault="00D13A48" w:rsidP="00D13A48">
            <w:r w:rsidRPr="00D13A48">
              <w:rPr>
                <w:bCs/>
                <w:szCs w:val="19"/>
              </w:rPr>
              <w:t>приложение</w:t>
            </w:r>
          </w:p>
        </w:tc>
        <w:tc>
          <w:tcPr>
            <w:tcW w:w="1486" w:type="dxa"/>
          </w:tcPr>
          <w:p w14:paraId="5B213BDD" w14:textId="5E1034BF" w:rsidR="00D13A48" w:rsidRPr="00D13A48" w:rsidRDefault="00D13A48" w:rsidP="00D13A48">
            <w:r w:rsidRPr="00D13A48">
              <w:rPr>
                <w:bCs/>
                <w:szCs w:val="19"/>
              </w:rPr>
              <w:t>Флебит на мястото на инжектиране</w:t>
            </w:r>
            <w:r w:rsidRPr="00D13A48">
              <w:rPr>
                <w:bCs/>
                <w:szCs w:val="19"/>
                <w:vertAlign w:val="superscript"/>
              </w:rPr>
              <w:t>1</w:t>
            </w:r>
          </w:p>
        </w:tc>
        <w:tc>
          <w:tcPr>
            <w:tcW w:w="1724" w:type="dxa"/>
          </w:tcPr>
          <w:p w14:paraId="2EC474AE" w14:textId="77777777" w:rsidR="00D13A48" w:rsidRPr="00D13A48" w:rsidRDefault="00D13A48" w:rsidP="00D13A48">
            <w:r w:rsidRPr="00D13A48">
              <w:rPr>
                <w:bCs/>
                <w:szCs w:val="19"/>
              </w:rPr>
              <w:t>Болка</w:t>
            </w:r>
            <w:r w:rsidRPr="00D13A48">
              <w:rPr>
                <w:bCs/>
                <w:szCs w:val="19"/>
              </w:rPr>
              <w:tab/>
              <w:t>на</w:t>
            </w:r>
          </w:p>
          <w:p w14:paraId="41BD0343" w14:textId="77777777" w:rsidR="00D13A48" w:rsidRPr="00D13A48" w:rsidRDefault="00D13A48" w:rsidP="00D13A48">
            <w:r w:rsidRPr="00D13A48">
              <w:rPr>
                <w:bCs/>
                <w:szCs w:val="19"/>
              </w:rPr>
              <w:t>мястото</w:t>
            </w:r>
            <w:r w:rsidRPr="00D13A48">
              <w:rPr>
                <w:bCs/>
                <w:szCs w:val="19"/>
              </w:rPr>
              <w:tab/>
              <w:t>на</w:t>
            </w:r>
          </w:p>
          <w:p w14:paraId="0B330932" w14:textId="77777777" w:rsidR="00D13A48" w:rsidRPr="00D13A48" w:rsidRDefault="00D13A48" w:rsidP="00D13A48">
            <w:r w:rsidRPr="00D13A48">
              <w:rPr>
                <w:bCs/>
                <w:szCs w:val="19"/>
              </w:rPr>
              <w:t>инжектиране</w:t>
            </w:r>
            <w:r w:rsidRPr="00D13A48">
              <w:rPr>
                <w:bCs/>
                <w:szCs w:val="19"/>
                <w:vertAlign w:val="superscript"/>
              </w:rPr>
              <w:t>1</w:t>
            </w:r>
            <w:r w:rsidRPr="00D13A48">
              <w:rPr>
                <w:bCs/>
                <w:szCs w:val="19"/>
              </w:rPr>
              <w:t>, възпаление на мястото</w:t>
            </w:r>
            <w:r w:rsidRPr="00D13A48">
              <w:rPr>
                <w:bCs/>
                <w:szCs w:val="19"/>
              </w:rPr>
              <w:tab/>
              <w:t>на</w:t>
            </w:r>
          </w:p>
          <w:p w14:paraId="25027C55" w14:textId="3FF46D33" w:rsidR="00D13A48" w:rsidRPr="00D13A48" w:rsidRDefault="00D13A48" w:rsidP="00D13A48">
            <w:r w:rsidRPr="00D13A48">
              <w:rPr>
                <w:bCs/>
                <w:szCs w:val="19"/>
              </w:rPr>
              <w:t>инжектиране</w:t>
            </w:r>
            <w:r w:rsidRPr="00D13A48">
              <w:rPr>
                <w:bCs/>
                <w:szCs w:val="19"/>
                <w:vertAlign w:val="superscript"/>
              </w:rPr>
              <w:t>1</w:t>
            </w:r>
          </w:p>
        </w:tc>
        <w:tc>
          <w:tcPr>
            <w:tcW w:w="2205" w:type="dxa"/>
          </w:tcPr>
          <w:p w14:paraId="6B6883B2" w14:textId="1F0E138C" w:rsidR="00D13A48" w:rsidRPr="00D13A48" w:rsidRDefault="00D13A48" w:rsidP="00D13A48">
            <w:r w:rsidRPr="00D13A48">
              <w:rPr>
                <w:bCs/>
                <w:szCs w:val="19"/>
              </w:rPr>
              <w:t>Неразположение</w:t>
            </w:r>
            <w:r w:rsidRPr="00D13A48">
              <w:rPr>
                <w:bCs/>
                <w:szCs w:val="19"/>
                <w:vertAlign w:val="superscript"/>
              </w:rPr>
              <w:t>4</w:t>
            </w:r>
            <w:r w:rsidRPr="00D13A48">
              <w:rPr>
                <w:bCs/>
                <w:szCs w:val="19"/>
              </w:rPr>
              <w:t>, пирексия</w:t>
            </w:r>
            <w:r w:rsidRPr="00D13A48">
              <w:rPr>
                <w:bCs/>
                <w:szCs w:val="19"/>
                <w:vertAlign w:val="superscript"/>
              </w:rPr>
              <w:t>3</w:t>
            </w:r>
            <w:r w:rsidRPr="00D13A48">
              <w:rPr>
                <w:bCs/>
                <w:szCs w:val="19"/>
              </w:rPr>
              <w:t>, астения, болка в гърдите</w:t>
            </w:r>
            <w:r w:rsidRPr="00D13A48">
              <w:rPr>
                <w:bCs/>
                <w:szCs w:val="19"/>
                <w:vertAlign w:val="superscript"/>
              </w:rPr>
              <w:t>4</w:t>
            </w:r>
            <w:r w:rsidRPr="00D13A48">
              <w:rPr>
                <w:bCs/>
                <w:szCs w:val="19"/>
              </w:rPr>
              <w:t>, втрисане</w:t>
            </w:r>
            <w:r w:rsidRPr="00D13A48">
              <w:rPr>
                <w:bCs/>
                <w:szCs w:val="19"/>
                <w:vertAlign w:val="superscript"/>
              </w:rPr>
              <w:t>4</w:t>
            </w:r>
            <w:r w:rsidRPr="00D13A48">
              <w:rPr>
                <w:bCs/>
                <w:szCs w:val="19"/>
              </w:rPr>
              <w:t>, умора</w:t>
            </w:r>
            <w:r w:rsidRPr="00D13A48">
              <w:rPr>
                <w:bCs/>
                <w:szCs w:val="19"/>
                <w:vertAlign w:val="superscript"/>
              </w:rPr>
              <w:t>4</w:t>
            </w:r>
          </w:p>
        </w:tc>
        <w:tc>
          <w:tcPr>
            <w:tcW w:w="2158" w:type="dxa"/>
          </w:tcPr>
          <w:p w14:paraId="2391340F" w14:textId="77777777" w:rsidR="00D13A48" w:rsidRPr="00D13A48" w:rsidRDefault="00D13A48" w:rsidP="00D13A48"/>
        </w:tc>
      </w:tr>
      <w:tr w:rsidR="00D13A48" w14:paraId="37E0B9D8" w14:textId="77777777" w:rsidTr="00D13A48">
        <w:tc>
          <w:tcPr>
            <w:tcW w:w="1777" w:type="dxa"/>
          </w:tcPr>
          <w:p w14:paraId="16967540" w14:textId="7A10A96A" w:rsidR="00D13A48" w:rsidRPr="00D13A48" w:rsidRDefault="00D13A48" w:rsidP="00D13A48">
            <w:r w:rsidRPr="00D13A48">
              <w:rPr>
                <w:bCs/>
                <w:szCs w:val="19"/>
              </w:rPr>
              <w:t>Изследвания</w:t>
            </w:r>
          </w:p>
        </w:tc>
        <w:tc>
          <w:tcPr>
            <w:tcW w:w="1486" w:type="dxa"/>
          </w:tcPr>
          <w:p w14:paraId="251CE428" w14:textId="77777777" w:rsidR="00D13A48" w:rsidRPr="00D13A48" w:rsidRDefault="00D13A48" w:rsidP="00D13A48"/>
        </w:tc>
        <w:tc>
          <w:tcPr>
            <w:tcW w:w="1724" w:type="dxa"/>
          </w:tcPr>
          <w:p w14:paraId="60698615" w14:textId="77777777" w:rsidR="00D13A48" w:rsidRPr="00D13A48" w:rsidRDefault="00D13A48" w:rsidP="00D13A48"/>
        </w:tc>
        <w:tc>
          <w:tcPr>
            <w:tcW w:w="2205" w:type="dxa"/>
          </w:tcPr>
          <w:p w14:paraId="4B49AC45" w14:textId="6C403341" w:rsidR="00D13A48" w:rsidRPr="00D13A48" w:rsidRDefault="00D13A48" w:rsidP="00D13A48">
            <w:r w:rsidRPr="00D13A48">
              <w:rPr>
                <w:bCs/>
                <w:szCs w:val="19"/>
              </w:rPr>
              <w:t>Абнормно съотношение албумин глобулин</w:t>
            </w:r>
            <w:r w:rsidRPr="00D13A48">
              <w:rPr>
                <w:bCs/>
                <w:szCs w:val="19"/>
                <w:vertAlign w:val="superscript"/>
              </w:rPr>
              <w:t>1</w:t>
            </w:r>
            <w:r w:rsidRPr="00D13A48">
              <w:rPr>
                <w:bCs/>
                <w:szCs w:val="19"/>
              </w:rPr>
              <w:t>, повишена алкална фосфатаза в кръвта</w:t>
            </w:r>
            <w:r w:rsidRPr="00D13A48">
              <w:rPr>
                <w:bCs/>
                <w:szCs w:val="19"/>
                <w:vertAlign w:val="superscript"/>
              </w:rPr>
              <w:t>4</w:t>
            </w:r>
            <w:r w:rsidRPr="00D13A48">
              <w:rPr>
                <w:bCs/>
                <w:szCs w:val="19"/>
              </w:rPr>
              <w:t>, повишена лактат дехидрогеназа в кръвта</w:t>
            </w:r>
            <w:r w:rsidRPr="00D13A48">
              <w:rPr>
                <w:bCs/>
                <w:szCs w:val="19"/>
                <w:vertAlign w:val="superscript"/>
              </w:rPr>
              <w:t>4</w:t>
            </w:r>
          </w:p>
        </w:tc>
        <w:tc>
          <w:tcPr>
            <w:tcW w:w="2158" w:type="dxa"/>
          </w:tcPr>
          <w:p w14:paraId="75FB263E" w14:textId="77777777" w:rsidR="00D13A48" w:rsidRPr="00D13A48" w:rsidRDefault="00D13A48" w:rsidP="00D13A48">
            <w:r w:rsidRPr="00D13A48">
              <w:rPr>
                <w:bCs/>
                <w:szCs w:val="19"/>
              </w:rPr>
              <w:t>Повишен</w:t>
            </w:r>
            <w:r w:rsidRPr="00D13A48">
              <w:rPr>
                <w:bCs/>
                <w:szCs w:val="19"/>
              </w:rPr>
              <w:tab/>
            </w:r>
            <w:r w:rsidRPr="00D13A48">
              <w:rPr>
                <w:bCs/>
                <w:szCs w:val="19"/>
                <w:lang w:val="en-US"/>
              </w:rPr>
              <w:t>INR</w:t>
            </w:r>
            <w:r w:rsidRPr="00D13A48">
              <w:rPr>
                <w:bCs/>
                <w:szCs w:val="19"/>
                <w:lang w:val="ru-RU"/>
              </w:rPr>
              <w:t>,</w:t>
            </w:r>
          </w:p>
          <w:p w14:paraId="6462A855" w14:textId="3EF70C70" w:rsidR="00D13A48" w:rsidRPr="00D13A48" w:rsidRDefault="00D13A48" w:rsidP="00D13A48">
            <w:r w:rsidRPr="00D13A48">
              <w:rPr>
                <w:bCs/>
                <w:szCs w:val="19"/>
              </w:rPr>
              <w:t>удължено протромбиново време, необичаен цвят на урината</w:t>
            </w:r>
          </w:p>
        </w:tc>
      </w:tr>
    </w:tbl>
    <w:p w14:paraId="31C4FDD8"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*Поради това, че тези реакции са докладвани доброволно от популация с неопределен размер, не винаги е възможно да се предположи тяхната честота или да се установи причинно-следствена връзка с експозицията към лекарството. Експозицията на пациентите се предполага да е по-голяма от 1 милиард дни пациенто-лечение с кларитромицин.</w:t>
      </w:r>
    </w:p>
    <w:p w14:paraId="6D4B1C5C"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**В някои случаи на рабдомиолиза кларитромицин е прилаган съвместно с други лекарства, за които е известно, че са свързани с появата на рабдомиолиза (като статини, фибрата, колхицин и алопуринол).</w:t>
      </w:r>
    </w:p>
    <w:p w14:paraId="6D3CFEB5" w14:textId="77777777" w:rsidR="00D13A48" w:rsidRPr="00D13A48" w:rsidRDefault="00D13A48" w:rsidP="00D13A48">
      <w:pPr>
        <w:spacing w:line="240" w:lineRule="auto"/>
        <w:rPr>
          <w:rFonts w:eastAsia="Times New Roman" w:cs="Arial"/>
          <w:bCs/>
          <w:color w:val="000000"/>
          <w:szCs w:val="19"/>
          <w:vertAlign w:val="superscript"/>
          <w:lang w:eastAsia="bg-BG"/>
        </w:rPr>
      </w:pPr>
    </w:p>
    <w:p w14:paraId="758BEDE7" w14:textId="2EFAF95C"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vertAlign w:val="superscript"/>
          <w:lang w:eastAsia="bg-BG"/>
        </w:rPr>
        <w:t>1</w:t>
      </w:r>
      <w:r w:rsidRPr="00D13A48">
        <w:rPr>
          <w:rFonts w:eastAsia="Times New Roman" w:cs="Arial"/>
          <w:bCs/>
          <w:color w:val="000000"/>
          <w:szCs w:val="19"/>
          <w:lang w:eastAsia="bg-BG"/>
        </w:rPr>
        <w:t>НЛР, съобщавани само за прах за инжекционен разтвор</w:t>
      </w:r>
    </w:p>
    <w:p w14:paraId="1432BA1F"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vertAlign w:val="superscript"/>
          <w:lang w:eastAsia="bg-BG"/>
        </w:rPr>
        <w:t>2</w:t>
      </w:r>
      <w:r w:rsidRPr="00D13A48">
        <w:rPr>
          <w:rFonts w:eastAsia="Times New Roman" w:cs="Arial"/>
          <w:bCs/>
          <w:color w:val="000000"/>
          <w:szCs w:val="19"/>
          <w:lang w:eastAsia="bg-BG"/>
        </w:rPr>
        <w:t>НЛР, съобщавани само за таблетки с изменено освобождаване</w:t>
      </w:r>
    </w:p>
    <w:p w14:paraId="791AECD5"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vertAlign w:val="superscript"/>
          <w:lang w:eastAsia="bg-BG"/>
        </w:rPr>
        <w:t>3</w:t>
      </w:r>
      <w:r w:rsidRPr="00D13A48">
        <w:rPr>
          <w:rFonts w:eastAsia="Times New Roman" w:cs="Arial"/>
          <w:bCs/>
          <w:color w:val="000000"/>
          <w:szCs w:val="19"/>
          <w:lang w:eastAsia="bg-BG"/>
        </w:rPr>
        <w:t>НЛР, съобщавани само за гранули за перорална суспензия</w:t>
      </w:r>
    </w:p>
    <w:p w14:paraId="13333647" w14:textId="705BD036" w:rsidR="00D13A48" w:rsidRDefault="00D13A48" w:rsidP="00D13A48">
      <w:pPr>
        <w:rPr>
          <w:rFonts w:eastAsia="Times New Roman" w:cs="Arial"/>
          <w:bCs/>
          <w:color w:val="000000"/>
          <w:szCs w:val="19"/>
          <w:lang w:eastAsia="bg-BG"/>
        </w:rPr>
      </w:pPr>
      <w:r w:rsidRPr="00D13A48">
        <w:rPr>
          <w:rFonts w:eastAsia="Times New Roman" w:cs="Arial"/>
          <w:bCs/>
          <w:color w:val="000000"/>
          <w:szCs w:val="19"/>
          <w:vertAlign w:val="superscript"/>
          <w:lang w:eastAsia="bg-BG"/>
        </w:rPr>
        <w:lastRenderedPageBreak/>
        <w:t>4</w:t>
      </w:r>
      <w:r w:rsidRPr="00D13A48">
        <w:rPr>
          <w:rFonts w:eastAsia="Times New Roman" w:cs="Arial"/>
          <w:bCs/>
          <w:color w:val="000000"/>
          <w:szCs w:val="19"/>
          <w:lang w:eastAsia="bg-BG"/>
        </w:rPr>
        <w:t>НЛР, съобщавани само за филмираните таблетки с незабавно освобождаване</w:t>
      </w:r>
    </w:p>
    <w:p w14:paraId="0D4F9970" w14:textId="41BE0DDE" w:rsidR="00D13A48" w:rsidRDefault="00D13A48" w:rsidP="00D13A48">
      <w:pPr>
        <w:rPr>
          <w:rFonts w:eastAsia="Times New Roman" w:cs="Arial"/>
          <w:bCs/>
          <w:color w:val="000000"/>
          <w:szCs w:val="19"/>
          <w:lang w:eastAsia="bg-BG"/>
        </w:rPr>
      </w:pPr>
    </w:p>
    <w:p w14:paraId="3326CF9F" w14:textId="15922C75" w:rsidR="00D13A48" w:rsidRPr="00D13A48" w:rsidRDefault="00D13A48" w:rsidP="00D13A48">
      <w:pPr>
        <w:rPr>
          <w:rFonts w:cs="Arial"/>
          <w:bCs/>
        </w:rPr>
      </w:pPr>
      <w:r w:rsidRPr="00D13A48">
        <w:rPr>
          <w:rFonts w:cs="Arial"/>
          <w:bCs/>
        </w:rPr>
        <w:t>Честотата, видът и тежестта на нежеланите лекарствени реакции при деца се очаква да бъдат същите като при възрастни.</w:t>
      </w:r>
    </w:p>
    <w:p w14:paraId="23C03C2D" w14:textId="20D1629E" w:rsidR="00D13A48" w:rsidRPr="00D13A48" w:rsidRDefault="00D13A48" w:rsidP="00D13A48">
      <w:pPr>
        <w:rPr>
          <w:rFonts w:cs="Arial"/>
          <w:bCs/>
        </w:rPr>
      </w:pPr>
    </w:p>
    <w:p w14:paraId="50D4FF25" w14:textId="77777777"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Имунокомпрометирани пациенти</w:t>
      </w:r>
    </w:p>
    <w:p w14:paraId="164D14F2"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При пациенти със СПИН или други имунокомпрометирани пациенти, лекувани с по- високи перорални дози кларитромицин за продължителен период за микобактериални инфекции, често е било трудно да се отличат нежеланите реакции, свързани с кларитромицин, от симптомите на СПИН или интеркурентно заболяване.</w:t>
      </w:r>
    </w:p>
    <w:p w14:paraId="26294DF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При възрастни пациенти, лекувани с кларитромицин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обща дневна доза, най-често съобщаваните нежелани реакции са гадене, повръщане, промяна във вкуса, болка в корема, диария, обриви, флатуленция, главоболие, запек, нарушения на слуха, повишени серумна глутамат оксалоацетат трансаминаза </w:t>
      </w:r>
      <w:r w:rsidRPr="00D13A48">
        <w:rPr>
          <w:rFonts w:eastAsia="Times New Roman" w:cs="Arial"/>
          <w:bCs/>
          <w:color w:val="000000"/>
          <w:lang w:val="ru-RU"/>
        </w:rPr>
        <w:t>(</w:t>
      </w:r>
      <w:r w:rsidRPr="00D13A48">
        <w:rPr>
          <w:rFonts w:eastAsia="Times New Roman" w:cs="Arial"/>
          <w:bCs/>
          <w:color w:val="000000"/>
          <w:lang w:val="en-US"/>
        </w:rPr>
        <w:t>SGOT</w:t>
      </w:r>
      <w:r w:rsidRPr="00D13A48">
        <w:rPr>
          <w:rFonts w:eastAsia="Times New Roman" w:cs="Arial"/>
          <w:bCs/>
          <w:color w:val="000000"/>
          <w:lang w:val="ru-RU"/>
        </w:rPr>
        <w:t xml:space="preserve">) </w:t>
      </w:r>
      <w:r w:rsidRPr="00D13A48">
        <w:rPr>
          <w:rFonts w:eastAsia="Times New Roman" w:cs="Arial"/>
          <w:bCs/>
          <w:color w:val="000000"/>
          <w:lang w:eastAsia="bg-BG"/>
        </w:rPr>
        <w:t xml:space="preserve">и серумна глутамат пируват трансаминаза </w:t>
      </w:r>
      <w:r w:rsidRPr="00D13A48">
        <w:rPr>
          <w:rFonts w:eastAsia="Times New Roman" w:cs="Arial"/>
          <w:bCs/>
          <w:color w:val="000000"/>
          <w:lang w:val="ru-RU"/>
        </w:rPr>
        <w:t>(</w:t>
      </w:r>
      <w:r w:rsidRPr="00D13A48">
        <w:rPr>
          <w:rFonts w:eastAsia="Times New Roman" w:cs="Arial"/>
          <w:bCs/>
          <w:color w:val="000000"/>
          <w:lang w:val="en-US"/>
        </w:rPr>
        <w:t>SGPT</w:t>
      </w:r>
      <w:r w:rsidRPr="00D13A48">
        <w:rPr>
          <w:rFonts w:eastAsia="Times New Roman" w:cs="Arial"/>
          <w:bCs/>
          <w:color w:val="000000"/>
          <w:lang w:val="ru-RU"/>
        </w:rPr>
        <w:t xml:space="preserve">). </w:t>
      </w:r>
      <w:r w:rsidRPr="00D13A48">
        <w:rPr>
          <w:rFonts w:eastAsia="Times New Roman" w:cs="Arial"/>
          <w:bCs/>
          <w:color w:val="000000"/>
          <w:lang w:eastAsia="bg-BG"/>
        </w:rPr>
        <w:t>Допълнителни събития с по-ниска честота са задух, безсъние и сухота в устата.</w:t>
      </w:r>
    </w:p>
    <w:p w14:paraId="600ACC60" w14:textId="77777777" w:rsidR="00D13A48" w:rsidRPr="00D13A48" w:rsidRDefault="00D13A48" w:rsidP="00D13A48">
      <w:pPr>
        <w:spacing w:line="240" w:lineRule="auto"/>
        <w:rPr>
          <w:rFonts w:eastAsia="Times New Roman" w:cs="Arial"/>
          <w:bCs/>
          <w:color w:val="000000"/>
          <w:lang w:eastAsia="bg-BG"/>
        </w:rPr>
      </w:pPr>
      <w:r w:rsidRPr="00D13A48">
        <w:rPr>
          <w:rFonts w:eastAsia="Times New Roman" w:cs="Arial"/>
          <w:bCs/>
          <w:color w:val="000000"/>
          <w:lang w:eastAsia="bg-BG"/>
        </w:rPr>
        <w:t xml:space="preserve">При тези имунокомпрометирани пациенти лабораторните показатели са оценени при анализиране на тези стойности без включване на големите отклонения (екстремно високи и екстремно ниски) за конкретното изследване. На базата на тези критерии около 2% до </w:t>
      </w:r>
      <w:r w:rsidRPr="00D13A48">
        <w:rPr>
          <w:rFonts w:eastAsia="Times New Roman" w:cs="Arial"/>
          <w:bCs/>
          <w:i/>
          <w:iCs/>
          <w:color w:val="000000"/>
          <w:lang w:eastAsia="bg-BG"/>
        </w:rPr>
        <w:t xml:space="preserve">3% </w:t>
      </w:r>
      <w:r w:rsidRPr="00D13A48">
        <w:rPr>
          <w:rFonts w:eastAsia="Times New Roman" w:cs="Arial"/>
          <w:bCs/>
          <w:color w:val="000000"/>
          <w:lang w:eastAsia="bg-BG"/>
        </w:rPr>
        <w:t xml:space="preserve">от тези пациенти, които получават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кларитромицин дневно са имали сериозно повишени нива на </w:t>
      </w:r>
      <w:r w:rsidRPr="00D13A48">
        <w:rPr>
          <w:rFonts w:eastAsia="Times New Roman" w:cs="Arial"/>
          <w:bCs/>
          <w:color w:val="000000"/>
          <w:lang w:val="en-US"/>
        </w:rPr>
        <w:t>SGOT</w:t>
      </w:r>
      <w:r w:rsidRPr="00D13A48">
        <w:rPr>
          <w:rFonts w:eastAsia="Times New Roman" w:cs="Arial"/>
          <w:bCs/>
          <w:color w:val="000000"/>
          <w:lang w:val="ru-RU"/>
        </w:rPr>
        <w:t xml:space="preserve"> </w:t>
      </w:r>
      <w:r w:rsidRPr="00D13A48">
        <w:rPr>
          <w:rFonts w:eastAsia="Times New Roman" w:cs="Arial"/>
          <w:bCs/>
          <w:color w:val="000000"/>
          <w:lang w:eastAsia="bg-BG"/>
        </w:rPr>
        <w:t xml:space="preserve">и </w:t>
      </w:r>
      <w:r w:rsidRPr="00D13A48">
        <w:rPr>
          <w:rFonts w:eastAsia="Times New Roman" w:cs="Arial"/>
          <w:bCs/>
          <w:color w:val="000000"/>
          <w:lang w:val="en-US"/>
        </w:rPr>
        <w:t>SGPT</w:t>
      </w:r>
      <w:r w:rsidRPr="00D13A48">
        <w:rPr>
          <w:rFonts w:eastAsia="Times New Roman" w:cs="Arial"/>
          <w:bCs/>
          <w:color w:val="000000"/>
          <w:lang w:val="ru-RU"/>
        </w:rPr>
        <w:t xml:space="preserve"> </w:t>
      </w:r>
      <w:r w:rsidRPr="00D13A48">
        <w:rPr>
          <w:rFonts w:eastAsia="Times New Roman" w:cs="Arial"/>
          <w:bCs/>
          <w:color w:val="000000"/>
          <w:lang w:eastAsia="bg-BG"/>
        </w:rPr>
        <w:t xml:space="preserve">и абнормно нисък брой бели </w:t>
      </w:r>
    </w:p>
    <w:p w14:paraId="19A11CEE" w14:textId="64BDCA6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кръвни клетки и тромбоцити. Нисък процент пациенти са имали повишени нива на урея.</w:t>
      </w:r>
    </w:p>
    <w:p w14:paraId="1475915F" w14:textId="77777777" w:rsidR="00D13A48" w:rsidRPr="00D13A48" w:rsidRDefault="00D13A48" w:rsidP="00D13A48">
      <w:pPr>
        <w:spacing w:line="240" w:lineRule="auto"/>
        <w:rPr>
          <w:rFonts w:eastAsia="Times New Roman" w:cs="Arial"/>
          <w:bCs/>
          <w:color w:val="000000"/>
          <w:u w:val="single"/>
          <w:lang w:eastAsia="bg-BG"/>
        </w:rPr>
      </w:pPr>
    </w:p>
    <w:p w14:paraId="54DF9746" w14:textId="194F5B7D"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Съобщаване на подозирани нежелани реакции</w:t>
      </w:r>
    </w:p>
    <w:p w14:paraId="20BB36D7"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за лекарствения продукт. От медицинските специалисти се изисква за съобщават всяка подозирана нежелана реакция чрез националната система за съобщаване:</w:t>
      </w:r>
    </w:p>
    <w:p w14:paraId="4933AAD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Изпълнителна агенция по лекарствата</w:t>
      </w:r>
    </w:p>
    <w:p w14:paraId="5E2E3161"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ул.,Дамян Груев” № 8</w:t>
      </w:r>
    </w:p>
    <w:p w14:paraId="2D293B51"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1303 София</w:t>
      </w:r>
    </w:p>
    <w:p w14:paraId="21D56D8A"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Тел.:+359 28903417</w:t>
      </w:r>
    </w:p>
    <w:p w14:paraId="13D81C2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уебсайт: </w:t>
      </w:r>
      <w:r w:rsidRPr="00D13A48">
        <w:rPr>
          <w:rFonts w:eastAsia="Times New Roman" w:cs="Arial"/>
        </w:rPr>
        <w:fldChar w:fldCharType="begin"/>
      </w:r>
      <w:r w:rsidRPr="00D13A48">
        <w:rPr>
          <w:rFonts w:eastAsia="Times New Roman" w:cs="Arial"/>
        </w:rPr>
        <w:instrText xml:space="preserve"> HYPERLINK "http://www.bda.bg" </w:instrText>
      </w:r>
      <w:r w:rsidRPr="00D13A48">
        <w:rPr>
          <w:rFonts w:eastAsia="Times New Roman" w:cs="Arial"/>
        </w:rPr>
      </w:r>
      <w:r w:rsidRPr="00D13A48">
        <w:rPr>
          <w:rFonts w:eastAsia="Times New Roman" w:cs="Arial"/>
        </w:rPr>
        <w:fldChar w:fldCharType="separate"/>
      </w:r>
      <w:r w:rsidRPr="00D13A48">
        <w:rPr>
          <w:rFonts w:eastAsia="Times New Roman" w:cs="Arial"/>
          <w:bCs/>
          <w:color w:val="000000"/>
          <w:u w:val="single"/>
          <w:lang w:val="en-US"/>
        </w:rPr>
        <w:t>www</w:t>
      </w:r>
      <w:r w:rsidRPr="00D13A48">
        <w:rPr>
          <w:rFonts w:eastAsia="Times New Roman" w:cs="Arial"/>
          <w:bCs/>
          <w:color w:val="000000"/>
          <w:u w:val="single"/>
          <w:lang w:val="ru-RU"/>
        </w:rPr>
        <w:t>.</w:t>
      </w:r>
      <w:proofErr w:type="spellStart"/>
      <w:r w:rsidRPr="00D13A48">
        <w:rPr>
          <w:rFonts w:eastAsia="Times New Roman" w:cs="Arial"/>
          <w:bCs/>
          <w:color w:val="000000"/>
          <w:u w:val="single"/>
          <w:lang w:val="en-US"/>
        </w:rPr>
        <w:t>bda</w:t>
      </w:r>
      <w:proofErr w:type="spellEnd"/>
      <w:r w:rsidRPr="00D13A48">
        <w:rPr>
          <w:rFonts w:eastAsia="Times New Roman" w:cs="Arial"/>
          <w:bCs/>
          <w:color w:val="000000"/>
          <w:u w:val="single"/>
          <w:lang w:val="ru-RU"/>
        </w:rPr>
        <w:t>.</w:t>
      </w:r>
      <w:proofErr w:type="spellStart"/>
      <w:r w:rsidRPr="00D13A48">
        <w:rPr>
          <w:rFonts w:eastAsia="Times New Roman" w:cs="Arial"/>
          <w:bCs/>
          <w:color w:val="000000"/>
          <w:u w:val="single"/>
          <w:lang w:val="en-US"/>
        </w:rPr>
        <w:t>bg</w:t>
      </w:r>
      <w:proofErr w:type="spellEnd"/>
      <w:r w:rsidRPr="00D13A48">
        <w:rPr>
          <w:rFonts w:eastAsia="Times New Roman" w:cs="Arial"/>
        </w:rPr>
        <w:fldChar w:fldCharType="end"/>
      </w:r>
    </w:p>
    <w:p w14:paraId="1BC0F9D4" w14:textId="77777777" w:rsidR="00D13A48" w:rsidRPr="00D13A48" w:rsidRDefault="00D13A48" w:rsidP="00D13A48">
      <w:pPr>
        <w:rPr>
          <w:rFonts w:cs="Arial"/>
          <w:sz w:val="28"/>
        </w:rPr>
      </w:pPr>
    </w:p>
    <w:p w14:paraId="07687653" w14:textId="466C7DD4" w:rsidR="00DF4C8E" w:rsidRDefault="002C50EE" w:rsidP="00F44498">
      <w:pPr>
        <w:pStyle w:val="Heading2"/>
      </w:pPr>
      <w:r>
        <w:t>4.9. Предозиране</w:t>
      </w:r>
    </w:p>
    <w:p w14:paraId="4B2405E8" w14:textId="40037198" w:rsidR="00D13A48" w:rsidRDefault="00D13A48" w:rsidP="00D13A48"/>
    <w:p w14:paraId="576A141B"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u w:val="single"/>
          <w:lang w:eastAsia="bg-BG"/>
        </w:rPr>
        <w:t>Симптоми</w:t>
      </w:r>
    </w:p>
    <w:p w14:paraId="1B923D35"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 xml:space="preserve">Получените съобщения показват, че приемът на големи количества кларитромицин може да предизвиква стомашно-чревни симптоми. Съществува съобщение за поглъщане на 8 </w:t>
      </w:r>
      <w:r w:rsidRPr="00D13A48">
        <w:rPr>
          <w:rFonts w:eastAsia="Times New Roman" w:cs="Arial"/>
          <w:bCs/>
          <w:color w:val="000000"/>
          <w:szCs w:val="19"/>
          <w:lang w:val="en-US"/>
        </w:rPr>
        <w:t>g</w:t>
      </w:r>
      <w:r w:rsidRPr="00D13A48">
        <w:rPr>
          <w:rFonts w:eastAsia="Times New Roman" w:cs="Arial"/>
          <w:bCs/>
          <w:color w:val="000000"/>
          <w:szCs w:val="19"/>
          <w:lang w:val="ru-RU"/>
        </w:rPr>
        <w:t xml:space="preserve"> </w:t>
      </w:r>
      <w:r w:rsidRPr="00D13A48">
        <w:rPr>
          <w:rFonts w:eastAsia="Times New Roman" w:cs="Arial"/>
          <w:bCs/>
          <w:color w:val="000000"/>
          <w:szCs w:val="19"/>
          <w:lang w:eastAsia="bg-BG"/>
        </w:rPr>
        <w:t>кларитромицин от пациент с анамнеза за биполарно разстройство, който е проявил нарушен ментален статус, параноидно поведение, хипокалемия и хипоксемия.</w:t>
      </w:r>
    </w:p>
    <w:p w14:paraId="4B25AC87" w14:textId="77777777" w:rsidR="00D13A48" w:rsidRPr="00D13A48" w:rsidRDefault="00D13A48" w:rsidP="00D13A48">
      <w:pPr>
        <w:spacing w:line="240" w:lineRule="auto"/>
        <w:rPr>
          <w:rFonts w:eastAsia="Times New Roman" w:cs="Arial"/>
          <w:bCs/>
          <w:color w:val="000000"/>
          <w:szCs w:val="19"/>
          <w:u w:val="single"/>
          <w:lang w:eastAsia="bg-BG"/>
        </w:rPr>
      </w:pPr>
    </w:p>
    <w:p w14:paraId="5442D539" w14:textId="093180C5"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u w:val="single"/>
          <w:lang w:eastAsia="bg-BG"/>
        </w:rPr>
        <w:t>Овладяване на симптомите</w:t>
      </w:r>
    </w:p>
    <w:p w14:paraId="22FAC3AD" w14:textId="77777777" w:rsidR="00D13A48" w:rsidRPr="00D13A48" w:rsidRDefault="00D13A48" w:rsidP="00D13A48">
      <w:pPr>
        <w:spacing w:line="240" w:lineRule="auto"/>
        <w:rPr>
          <w:rFonts w:eastAsia="Times New Roman" w:cs="Arial"/>
          <w:sz w:val="32"/>
          <w:szCs w:val="24"/>
        </w:rPr>
      </w:pPr>
      <w:r w:rsidRPr="00D13A48">
        <w:rPr>
          <w:rFonts w:eastAsia="Times New Roman" w:cs="Arial"/>
          <w:bCs/>
          <w:color w:val="000000"/>
          <w:szCs w:val="19"/>
          <w:lang w:eastAsia="bg-BG"/>
        </w:rPr>
        <w:t>Нежеланите реакции, придружаващи предозирането трябва да бъдат третирани със стомашна промивка и с поддържащи средства. Както при останалите макролиди, хемодиализата и перитонеалната диализа, не се очаква да повлияят значимо серумните нива на кларитромицин.</w:t>
      </w:r>
    </w:p>
    <w:p w14:paraId="5F29A5AA" w14:textId="77777777" w:rsidR="00D13A48" w:rsidRPr="00D13A48" w:rsidRDefault="00D13A48" w:rsidP="00D13A48"/>
    <w:p w14:paraId="02081B24" w14:textId="1F46E296" w:rsidR="00395555" w:rsidRPr="00395555" w:rsidRDefault="002C50EE" w:rsidP="008A6AF2">
      <w:pPr>
        <w:pStyle w:val="Heading1"/>
      </w:pPr>
      <w:r>
        <w:lastRenderedPageBreak/>
        <w:t>5. ФАРМАКОЛОГИЧНИ СВОЙСТВА</w:t>
      </w:r>
    </w:p>
    <w:p w14:paraId="4D47A490" w14:textId="06AAA0E4" w:rsidR="00DF4C8E" w:rsidRDefault="002C50EE" w:rsidP="00F44498">
      <w:pPr>
        <w:pStyle w:val="Heading2"/>
      </w:pPr>
      <w:r>
        <w:t>5.1. Фармакодинамични свойства</w:t>
      </w:r>
    </w:p>
    <w:p w14:paraId="5AEB09EB" w14:textId="05E853F7" w:rsidR="00D13A48" w:rsidRDefault="00D13A48" w:rsidP="00D13A48"/>
    <w:p w14:paraId="6846A1C9"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Фармакотерапевтична група: антибактериални продукти за системно приложение, макролиди, АТС код: </w:t>
      </w:r>
      <w:r w:rsidRPr="00D13A48">
        <w:rPr>
          <w:rFonts w:eastAsia="Times New Roman" w:cs="Arial"/>
          <w:bCs/>
          <w:color w:val="000000"/>
          <w:lang w:val="en-US"/>
        </w:rPr>
        <w:t>J</w:t>
      </w:r>
      <w:r w:rsidRPr="00D13A48">
        <w:rPr>
          <w:rFonts w:eastAsia="Times New Roman" w:cs="Arial"/>
          <w:bCs/>
          <w:color w:val="000000"/>
          <w:lang w:val="ru-RU"/>
        </w:rPr>
        <w:t>01</w:t>
      </w:r>
      <w:r w:rsidRPr="00D13A48">
        <w:rPr>
          <w:rFonts w:eastAsia="Times New Roman" w:cs="Arial"/>
          <w:bCs/>
          <w:color w:val="000000"/>
          <w:lang w:val="en-US"/>
        </w:rPr>
        <w:t>FA</w:t>
      </w:r>
      <w:r w:rsidRPr="00D13A48">
        <w:rPr>
          <w:rFonts w:eastAsia="Times New Roman" w:cs="Arial"/>
          <w:bCs/>
          <w:color w:val="000000"/>
          <w:lang w:val="ru-RU"/>
        </w:rPr>
        <w:t>09.</w:t>
      </w:r>
    </w:p>
    <w:p w14:paraId="4FE0C0A1" w14:textId="77777777" w:rsidR="00D13A48" w:rsidRPr="00D13A48" w:rsidRDefault="00D13A48" w:rsidP="00D13A48">
      <w:pPr>
        <w:spacing w:line="240" w:lineRule="auto"/>
        <w:rPr>
          <w:rFonts w:eastAsia="Times New Roman" w:cs="Arial"/>
          <w:bCs/>
          <w:color w:val="000000"/>
          <w:lang w:eastAsia="bg-BG"/>
        </w:rPr>
      </w:pPr>
    </w:p>
    <w:p w14:paraId="78B99B52" w14:textId="3646A97C"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Кларитромицин е полусинтетичен макролиден антибиотик, получен чрез замяна на СНЗО група с хидроксилна (ОН) група на позиция 6 от еритромицино лактонен пръстен. По- конкретно кларитромицин е 6-О-метил еритромицин А. Белият до почти бял прах е горчив, практически без миризма, по същество неразтворим във вода и слабо разтворим в етанол, метанол и ацетонитрил. Неговото молекулно тегло е 747,96.</w:t>
      </w:r>
    </w:p>
    <w:p w14:paraId="215ADFC1" w14:textId="77777777" w:rsidR="00D13A48" w:rsidRPr="00D13A48" w:rsidRDefault="00D13A48" w:rsidP="00D13A48">
      <w:pPr>
        <w:spacing w:line="240" w:lineRule="auto"/>
        <w:rPr>
          <w:rFonts w:eastAsia="Times New Roman" w:cs="Arial"/>
          <w:bCs/>
          <w:color w:val="000000"/>
          <w:u w:val="single"/>
          <w:lang w:eastAsia="bg-BG"/>
        </w:rPr>
      </w:pPr>
    </w:p>
    <w:p w14:paraId="038889EF" w14:textId="762916C1"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Микробиология</w:t>
      </w:r>
    </w:p>
    <w:p w14:paraId="28205417"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Кларитромицин упражнява антибактериалното си действие чрез свързване с </w:t>
      </w:r>
      <w:r w:rsidRPr="00D13A48">
        <w:rPr>
          <w:rFonts w:eastAsia="Times New Roman" w:cs="Arial"/>
          <w:bCs/>
          <w:color w:val="000000"/>
          <w:lang w:val="ru-RU"/>
        </w:rPr>
        <w:t>50</w:t>
      </w:r>
      <w:r w:rsidRPr="00D13A48">
        <w:rPr>
          <w:rFonts w:eastAsia="Times New Roman" w:cs="Arial"/>
          <w:bCs/>
          <w:color w:val="000000"/>
          <w:lang w:val="en-US"/>
        </w:rPr>
        <w:t>s</w:t>
      </w:r>
      <w:r w:rsidRPr="00D13A48">
        <w:rPr>
          <w:rFonts w:eastAsia="Times New Roman" w:cs="Arial"/>
          <w:bCs/>
          <w:color w:val="000000"/>
          <w:lang w:val="ru-RU"/>
        </w:rPr>
        <w:t xml:space="preserve"> </w:t>
      </w:r>
      <w:r w:rsidRPr="00D13A48">
        <w:rPr>
          <w:rFonts w:eastAsia="Times New Roman" w:cs="Arial"/>
          <w:bCs/>
          <w:color w:val="000000"/>
          <w:lang w:eastAsia="bg-BG"/>
        </w:rPr>
        <w:t xml:space="preserve">рибозомната субединица на чувствителните бактерии и потиска протеиновата синтеза. Кларитромицин демонстрира отлична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 xml:space="preserve">активност срещу стандартни щамове бактерии на клинични изолати. Той притежава много мощно антибактериално действие срещу широк спектър от аеробни и анаеробни Грам-положителни и Грам-отрицателни организми. Минималните инхибиторни концентрации </w:t>
      </w:r>
      <w:r w:rsidRPr="00D13A48">
        <w:rPr>
          <w:rFonts w:eastAsia="Times New Roman" w:cs="Arial"/>
          <w:bCs/>
          <w:color w:val="000000"/>
          <w:lang w:val="ru-RU"/>
        </w:rPr>
        <w:t>(</w:t>
      </w:r>
      <w:r w:rsidRPr="00D13A48">
        <w:rPr>
          <w:rFonts w:eastAsia="Times New Roman" w:cs="Arial"/>
          <w:bCs/>
          <w:color w:val="000000"/>
          <w:lang w:val="en-US"/>
        </w:rPr>
        <w:t>MIC</w:t>
      </w:r>
      <w:r w:rsidRPr="00D13A48">
        <w:rPr>
          <w:rFonts w:eastAsia="Times New Roman" w:cs="Arial"/>
          <w:bCs/>
          <w:color w:val="000000"/>
          <w:lang w:val="ru-RU"/>
        </w:rPr>
        <w:t xml:space="preserve">) </w:t>
      </w:r>
      <w:r w:rsidRPr="00D13A48">
        <w:rPr>
          <w:rFonts w:eastAsia="Times New Roman" w:cs="Arial"/>
          <w:bCs/>
          <w:color w:val="000000"/>
          <w:lang w:eastAsia="bg-BG"/>
        </w:rPr>
        <w:t xml:space="preserve">на кларитромицин като цяло са с едно </w:t>
      </w:r>
      <w:r w:rsidRPr="00D13A48">
        <w:rPr>
          <w:rFonts w:eastAsia="Times New Roman" w:cs="Arial"/>
          <w:bCs/>
          <w:color w:val="000000"/>
          <w:lang w:val="en-US"/>
        </w:rPr>
        <w:t>log</w:t>
      </w:r>
      <w:r w:rsidRPr="00D13A48">
        <w:rPr>
          <w:rFonts w:eastAsia="Times New Roman" w:cs="Arial"/>
          <w:bCs/>
          <w:color w:val="000000"/>
          <w:lang w:val="ru-RU"/>
        </w:rPr>
        <w:t xml:space="preserve">2 </w:t>
      </w:r>
      <w:r w:rsidRPr="00D13A48">
        <w:rPr>
          <w:rFonts w:eastAsia="Times New Roman" w:cs="Arial"/>
          <w:bCs/>
          <w:color w:val="000000"/>
          <w:lang w:eastAsia="bg-BG"/>
        </w:rPr>
        <w:t>разреждане по-силни от МИК на еритромицин.</w:t>
      </w:r>
    </w:p>
    <w:p w14:paraId="5A763334" w14:textId="77777777" w:rsidR="00D13A48" w:rsidRPr="00D13A48" w:rsidRDefault="00D13A48" w:rsidP="00D13A48">
      <w:pPr>
        <w:spacing w:line="240" w:lineRule="auto"/>
        <w:rPr>
          <w:rFonts w:eastAsia="Times New Roman" w:cs="Arial"/>
          <w:bCs/>
          <w:i/>
          <w:iCs/>
          <w:color w:val="000000"/>
          <w:lang w:val="en-US"/>
        </w:rPr>
      </w:pPr>
    </w:p>
    <w:p w14:paraId="7B46CE05" w14:textId="7C4ABE5F"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In</w:t>
      </w:r>
      <w:r w:rsidRPr="00D13A48">
        <w:rPr>
          <w:rFonts w:eastAsia="Times New Roman" w:cs="Arial"/>
          <w:bCs/>
          <w:i/>
          <w:iCs/>
          <w:color w:val="000000"/>
        </w:rPr>
        <w:t xml:space="preserve"> </w:t>
      </w:r>
      <w:r w:rsidRPr="00D13A48">
        <w:rPr>
          <w:rFonts w:eastAsia="Times New Roman" w:cs="Arial"/>
          <w:bCs/>
          <w:i/>
          <w:iCs/>
          <w:color w:val="000000"/>
          <w:lang w:val="en-US"/>
        </w:rPr>
        <w:t>vitro</w:t>
      </w:r>
      <w:r w:rsidRPr="00D13A48">
        <w:rPr>
          <w:rFonts w:eastAsia="Times New Roman" w:cs="Arial"/>
          <w:bCs/>
          <w:color w:val="000000"/>
        </w:rPr>
        <w:t xml:space="preserve"> </w:t>
      </w:r>
      <w:r w:rsidRPr="00D13A48">
        <w:rPr>
          <w:rFonts w:eastAsia="Times New Roman" w:cs="Arial"/>
          <w:bCs/>
          <w:color w:val="000000"/>
          <w:lang w:eastAsia="bg-BG"/>
        </w:rPr>
        <w:t xml:space="preserve">данните също показват, че кларитромицин има отлична активност срещу </w:t>
      </w:r>
      <w:r w:rsidRPr="00D13A48">
        <w:rPr>
          <w:rFonts w:eastAsia="Times New Roman" w:cs="Arial"/>
          <w:bCs/>
          <w:i/>
          <w:iCs/>
          <w:color w:val="000000"/>
          <w:lang w:val="en-US"/>
        </w:rPr>
        <w:t>Legionella</w:t>
      </w:r>
      <w:r w:rsidRPr="00D13A48">
        <w:rPr>
          <w:rFonts w:eastAsia="Times New Roman" w:cs="Arial"/>
          <w:bCs/>
          <w:i/>
          <w:iCs/>
          <w:color w:val="000000"/>
        </w:rPr>
        <w:t xml:space="preserve"> </w:t>
      </w:r>
      <w:proofErr w:type="spellStart"/>
      <w:r w:rsidRPr="00D13A48">
        <w:rPr>
          <w:rFonts w:eastAsia="Times New Roman" w:cs="Arial"/>
          <w:bCs/>
          <w:i/>
          <w:iCs/>
          <w:color w:val="000000"/>
          <w:lang w:val="en-US"/>
        </w:rPr>
        <w:t>pneumophila</w:t>
      </w:r>
      <w:proofErr w:type="spellEnd"/>
      <w:r w:rsidRPr="00D13A48">
        <w:rPr>
          <w:rFonts w:eastAsia="Times New Roman" w:cs="Arial"/>
          <w:bCs/>
          <w:color w:val="000000"/>
        </w:rPr>
        <w:t xml:space="preserve"> </w:t>
      </w:r>
      <w:r w:rsidRPr="00D13A48">
        <w:rPr>
          <w:rFonts w:eastAsia="Times New Roman" w:cs="Arial"/>
          <w:bCs/>
          <w:color w:val="000000"/>
          <w:lang w:eastAsia="bg-BG"/>
        </w:rPr>
        <w:t xml:space="preserve">и </w:t>
      </w:r>
      <w:r w:rsidRPr="00D13A48">
        <w:rPr>
          <w:rFonts w:eastAsia="Times New Roman" w:cs="Arial"/>
          <w:bCs/>
          <w:i/>
          <w:iCs/>
          <w:color w:val="000000"/>
          <w:lang w:val="en-US"/>
        </w:rPr>
        <w:t>Mycoplasma</w:t>
      </w:r>
      <w:r w:rsidRPr="00D13A48">
        <w:rPr>
          <w:rFonts w:eastAsia="Times New Roman" w:cs="Arial"/>
          <w:bCs/>
          <w:i/>
          <w:iCs/>
          <w:color w:val="000000"/>
        </w:rPr>
        <w:t xml:space="preserve"> </w:t>
      </w:r>
      <w:proofErr w:type="spellStart"/>
      <w:r w:rsidRPr="00D13A48">
        <w:rPr>
          <w:rFonts w:eastAsia="Times New Roman" w:cs="Arial"/>
          <w:bCs/>
          <w:i/>
          <w:iCs/>
          <w:color w:val="000000"/>
          <w:lang w:val="en-US"/>
        </w:rPr>
        <w:t>pneumoniae</w:t>
      </w:r>
      <w:proofErr w:type="spellEnd"/>
      <w:r w:rsidRPr="00D13A48">
        <w:rPr>
          <w:rFonts w:eastAsia="Times New Roman" w:cs="Arial"/>
          <w:bCs/>
          <w:i/>
          <w:iCs/>
          <w:color w:val="000000"/>
        </w:rPr>
        <w:t>.</w:t>
      </w:r>
      <w:r w:rsidRPr="00D13A48">
        <w:rPr>
          <w:rFonts w:eastAsia="Times New Roman" w:cs="Arial"/>
          <w:bCs/>
          <w:color w:val="000000"/>
        </w:rPr>
        <w:t xml:space="preserve"> </w:t>
      </w:r>
      <w:r w:rsidRPr="00D13A48">
        <w:rPr>
          <w:rFonts w:eastAsia="Times New Roman" w:cs="Arial"/>
          <w:bCs/>
          <w:color w:val="000000"/>
          <w:lang w:eastAsia="bg-BG"/>
        </w:rPr>
        <w:t xml:space="preserve">Той е бактерициден за </w:t>
      </w:r>
      <w:r w:rsidRPr="00D13A48">
        <w:rPr>
          <w:rFonts w:eastAsia="Times New Roman" w:cs="Arial"/>
          <w:bCs/>
          <w:i/>
          <w:iCs/>
          <w:color w:val="000000"/>
          <w:lang w:val="en-US"/>
        </w:rPr>
        <w:t>Helicobacter</w:t>
      </w:r>
      <w:r w:rsidRPr="00D13A48">
        <w:rPr>
          <w:rFonts w:eastAsia="Times New Roman" w:cs="Arial"/>
          <w:bCs/>
          <w:i/>
          <w:iCs/>
          <w:color w:val="000000"/>
          <w:lang w:val="ru-RU"/>
        </w:rPr>
        <w:t xml:space="preserve">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 xml:space="preserve">тип активност на кларитромицин е по-висока при неутрално </w:t>
      </w:r>
      <w:r w:rsidRPr="00D13A48">
        <w:rPr>
          <w:rFonts w:eastAsia="Times New Roman" w:cs="Arial"/>
          <w:bCs/>
          <w:color w:val="000000"/>
          <w:lang w:val="en-US"/>
        </w:rPr>
        <w:t>pH</w:t>
      </w:r>
      <w:r w:rsidRPr="00D13A48">
        <w:rPr>
          <w:rFonts w:eastAsia="Times New Roman" w:cs="Arial"/>
          <w:bCs/>
          <w:color w:val="000000"/>
          <w:lang w:val="ru-RU"/>
        </w:rPr>
        <w:t xml:space="preserve">, </w:t>
      </w:r>
      <w:r w:rsidRPr="00D13A48">
        <w:rPr>
          <w:rFonts w:eastAsia="Times New Roman" w:cs="Arial"/>
          <w:bCs/>
          <w:color w:val="000000"/>
          <w:lang w:eastAsia="bg-BG"/>
        </w:rPr>
        <w:t xml:space="preserve">отколкото при кисело </w:t>
      </w:r>
      <w:r w:rsidRPr="00D13A48">
        <w:rPr>
          <w:rFonts w:eastAsia="Times New Roman" w:cs="Arial"/>
          <w:bCs/>
          <w:color w:val="000000"/>
          <w:lang w:val="en-US"/>
        </w:rPr>
        <w:t>pH</w:t>
      </w:r>
      <w:r w:rsidRPr="00D13A48">
        <w:rPr>
          <w:rFonts w:eastAsia="Times New Roman" w:cs="Arial"/>
          <w:bCs/>
          <w:color w:val="000000"/>
          <w:lang w:val="ru-RU"/>
        </w:rPr>
        <w:t xml:space="preserve">.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 xml:space="preserve">и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vivo</w:t>
      </w:r>
      <w:r w:rsidRPr="00D13A48">
        <w:rPr>
          <w:rFonts w:eastAsia="Times New Roman" w:cs="Arial"/>
          <w:bCs/>
          <w:color w:val="000000"/>
          <w:lang w:val="ru-RU"/>
        </w:rPr>
        <w:t xml:space="preserve"> </w:t>
      </w:r>
      <w:r w:rsidRPr="00D13A48">
        <w:rPr>
          <w:rFonts w:eastAsia="Times New Roman" w:cs="Arial"/>
          <w:bCs/>
          <w:color w:val="000000"/>
          <w:lang w:eastAsia="bg-BG"/>
        </w:rPr>
        <w:t xml:space="preserve">данните показват, че този антибиотик има активност срещу клинично значими микобактериални видове. </w:t>
      </w:r>
      <w:r w:rsidRPr="00D13A48">
        <w:rPr>
          <w:rFonts w:eastAsia="Times New Roman" w:cs="Arial"/>
          <w:bCs/>
          <w:i/>
          <w:iCs/>
          <w:color w:val="000000"/>
          <w:lang w:val="en-US"/>
        </w:rPr>
        <w:t>In</w:t>
      </w:r>
      <w:r w:rsidRPr="00D13A48">
        <w:rPr>
          <w:rFonts w:eastAsia="Times New Roman" w:cs="Arial"/>
          <w:bCs/>
          <w:i/>
          <w:iCs/>
          <w:color w:val="000000"/>
        </w:rPr>
        <w:t xml:space="preserve"> </w:t>
      </w:r>
      <w:r w:rsidRPr="00D13A48">
        <w:rPr>
          <w:rFonts w:eastAsia="Times New Roman" w:cs="Arial"/>
          <w:bCs/>
          <w:i/>
          <w:iCs/>
          <w:color w:val="000000"/>
          <w:lang w:val="en-US"/>
        </w:rPr>
        <w:t>vitro</w:t>
      </w:r>
      <w:r w:rsidRPr="00D13A48">
        <w:rPr>
          <w:rFonts w:eastAsia="Times New Roman" w:cs="Arial"/>
          <w:bCs/>
          <w:color w:val="000000"/>
        </w:rPr>
        <w:t xml:space="preserve"> </w:t>
      </w:r>
      <w:r w:rsidRPr="00D13A48">
        <w:rPr>
          <w:rFonts w:eastAsia="Times New Roman" w:cs="Arial"/>
          <w:bCs/>
          <w:color w:val="000000"/>
          <w:lang w:eastAsia="bg-BG"/>
        </w:rPr>
        <w:t xml:space="preserve">данните показват, че </w:t>
      </w:r>
      <w:proofErr w:type="spellStart"/>
      <w:r w:rsidRPr="00D13A48">
        <w:rPr>
          <w:rFonts w:eastAsia="Times New Roman" w:cs="Arial"/>
          <w:bCs/>
          <w:i/>
          <w:iCs/>
          <w:color w:val="000000"/>
          <w:lang w:val="en-US"/>
        </w:rPr>
        <w:t>Enterobacteriaceae</w:t>
      </w:r>
      <w:proofErr w:type="spellEnd"/>
      <w:r w:rsidRPr="00D13A48">
        <w:rPr>
          <w:rFonts w:eastAsia="Times New Roman" w:cs="Arial"/>
          <w:bCs/>
          <w:i/>
          <w:iCs/>
          <w:color w:val="000000"/>
        </w:rPr>
        <w:t xml:space="preserve">, </w:t>
      </w:r>
      <w:r w:rsidRPr="00D13A48">
        <w:rPr>
          <w:rFonts w:eastAsia="Times New Roman" w:cs="Arial"/>
          <w:bCs/>
          <w:i/>
          <w:iCs/>
          <w:color w:val="000000"/>
          <w:lang w:val="en-US"/>
        </w:rPr>
        <w:t>Pseudomonas</w:t>
      </w:r>
      <w:r w:rsidRPr="00D13A48">
        <w:rPr>
          <w:rFonts w:eastAsia="Times New Roman" w:cs="Arial"/>
          <w:bCs/>
          <w:color w:val="000000"/>
        </w:rPr>
        <w:t xml:space="preserve"> </w:t>
      </w:r>
      <w:r w:rsidRPr="00D13A48">
        <w:rPr>
          <w:rFonts w:eastAsia="Times New Roman" w:cs="Arial"/>
          <w:bCs/>
          <w:color w:val="000000"/>
          <w:lang w:eastAsia="bg-BG"/>
        </w:rPr>
        <w:t>видовете и други неферментиращи лактоза Грам-отрицателни бактерии не са чувствителни към кларитромицин.</w:t>
      </w:r>
    </w:p>
    <w:p w14:paraId="5A896A30" w14:textId="77777777" w:rsidR="00D13A48" w:rsidRPr="00D13A48" w:rsidRDefault="00D13A48" w:rsidP="00D13A48">
      <w:pPr>
        <w:spacing w:line="240" w:lineRule="auto"/>
        <w:rPr>
          <w:rFonts w:eastAsia="Times New Roman" w:cs="Arial"/>
          <w:bCs/>
          <w:color w:val="000000"/>
          <w:lang w:eastAsia="bg-BG"/>
        </w:rPr>
      </w:pPr>
    </w:p>
    <w:p w14:paraId="665A8396" w14:textId="039732ED"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Кларитромицин е показал активност срещу повечето щамове на следните микроорганизми, както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i/>
          <w:iCs/>
          <w:color w:val="000000"/>
          <w:lang w:val="ru-RU"/>
        </w:rPr>
        <w:t>,</w:t>
      </w:r>
      <w:r w:rsidRPr="00D13A48">
        <w:rPr>
          <w:rFonts w:eastAsia="Times New Roman" w:cs="Arial"/>
          <w:bCs/>
          <w:color w:val="000000"/>
          <w:lang w:val="ru-RU"/>
        </w:rPr>
        <w:t xml:space="preserve"> </w:t>
      </w:r>
      <w:r w:rsidRPr="00D13A48">
        <w:rPr>
          <w:rFonts w:eastAsia="Times New Roman" w:cs="Arial"/>
          <w:bCs/>
          <w:color w:val="000000"/>
          <w:lang w:eastAsia="bg-BG"/>
        </w:rPr>
        <w:t>така и при клинични инфекции както е описано в точка 4.1:</w:t>
      </w:r>
    </w:p>
    <w:p w14:paraId="3976EF61"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Аеробни Грам-положителни микроорганизми:</w:t>
      </w:r>
    </w:p>
    <w:p w14:paraId="22CA2692"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Staphylococcus</w:t>
      </w:r>
      <w:r w:rsidRPr="00D13A48">
        <w:rPr>
          <w:rFonts w:eastAsia="Times New Roman" w:cs="Arial"/>
          <w:bCs/>
          <w:i/>
          <w:iCs/>
          <w:color w:val="000000"/>
          <w:lang w:val="ru-RU"/>
        </w:rPr>
        <w:t xml:space="preserve"> </w:t>
      </w:r>
      <w:r w:rsidRPr="00D13A48">
        <w:rPr>
          <w:rFonts w:eastAsia="Times New Roman" w:cs="Arial"/>
          <w:bCs/>
          <w:i/>
          <w:iCs/>
          <w:color w:val="000000"/>
          <w:lang w:val="en-US"/>
        </w:rPr>
        <w:t>aureus</w:t>
      </w:r>
    </w:p>
    <w:p w14:paraId="403669B5"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Streptococcus </w:t>
      </w:r>
      <w:proofErr w:type="spellStart"/>
      <w:r w:rsidRPr="00D13A48">
        <w:rPr>
          <w:rFonts w:eastAsia="Times New Roman" w:cs="Arial"/>
          <w:bCs/>
          <w:i/>
          <w:iCs/>
          <w:color w:val="000000"/>
          <w:lang w:val="en-US"/>
        </w:rPr>
        <w:t>pneumoniae</w:t>
      </w:r>
      <w:proofErr w:type="spellEnd"/>
    </w:p>
    <w:p w14:paraId="02822737"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Streptococcus </w:t>
      </w:r>
      <w:proofErr w:type="spellStart"/>
      <w:r w:rsidRPr="00D13A48">
        <w:rPr>
          <w:rFonts w:eastAsia="Times New Roman" w:cs="Arial"/>
          <w:bCs/>
          <w:i/>
          <w:iCs/>
          <w:color w:val="000000"/>
          <w:lang w:val="en-US"/>
        </w:rPr>
        <w:t>pyogenes</w:t>
      </w:r>
      <w:proofErr w:type="spellEnd"/>
    </w:p>
    <w:p w14:paraId="56271004"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Listeria </w:t>
      </w:r>
      <w:proofErr w:type="spellStart"/>
      <w:r w:rsidRPr="00D13A48">
        <w:rPr>
          <w:rFonts w:eastAsia="Times New Roman" w:cs="Arial"/>
          <w:bCs/>
          <w:i/>
          <w:iCs/>
          <w:color w:val="000000"/>
          <w:lang w:val="en-US"/>
        </w:rPr>
        <w:t>monocytogenes</w:t>
      </w:r>
      <w:proofErr w:type="spellEnd"/>
      <w:r w:rsidRPr="00D13A48">
        <w:rPr>
          <w:rFonts w:eastAsia="Times New Roman" w:cs="Arial"/>
          <w:bCs/>
          <w:i/>
          <w:iCs/>
          <w:color w:val="000000"/>
          <w:lang w:val="en-US"/>
        </w:rPr>
        <w:t>.</w:t>
      </w:r>
    </w:p>
    <w:p w14:paraId="0E0A41B9" w14:textId="77777777" w:rsidR="00D13A48" w:rsidRPr="00D13A48" w:rsidRDefault="00D13A48" w:rsidP="00D13A48">
      <w:pPr>
        <w:spacing w:line="240" w:lineRule="auto"/>
        <w:rPr>
          <w:rFonts w:eastAsia="Times New Roman" w:cs="Arial"/>
          <w:bCs/>
          <w:i/>
          <w:iCs/>
          <w:color w:val="000000"/>
          <w:u w:val="single"/>
          <w:lang w:eastAsia="bg-BG"/>
        </w:rPr>
      </w:pPr>
    </w:p>
    <w:p w14:paraId="339E5BA6" w14:textId="64BBA733"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Анаеробни Грам-отрицателни микроорганизми</w:t>
      </w:r>
      <w:r w:rsidRPr="00D13A48">
        <w:rPr>
          <w:rFonts w:eastAsia="Times New Roman" w:cs="Arial"/>
          <w:bCs/>
          <w:i/>
          <w:iCs/>
          <w:color w:val="000000"/>
          <w:lang w:eastAsia="bg-BG"/>
        </w:rPr>
        <w:t>:</w:t>
      </w:r>
    </w:p>
    <w:p w14:paraId="5D2EB2E3"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Haemophilus</w:t>
      </w:r>
      <w:proofErr w:type="spellEnd"/>
      <w:r w:rsidRPr="00D13A48">
        <w:rPr>
          <w:rFonts w:eastAsia="Times New Roman" w:cs="Arial"/>
          <w:bCs/>
          <w:i/>
          <w:iCs/>
          <w:color w:val="000000"/>
        </w:rPr>
        <w:t xml:space="preserve"> </w:t>
      </w:r>
      <w:proofErr w:type="spellStart"/>
      <w:r w:rsidRPr="00D13A48">
        <w:rPr>
          <w:rFonts w:eastAsia="Times New Roman" w:cs="Arial"/>
          <w:bCs/>
          <w:i/>
          <w:iCs/>
          <w:color w:val="000000"/>
          <w:lang w:val="en-US"/>
        </w:rPr>
        <w:t>influenzae</w:t>
      </w:r>
      <w:proofErr w:type="spellEnd"/>
    </w:p>
    <w:p w14:paraId="6391A885"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Haemophilus</w:t>
      </w:r>
      <w:proofErr w:type="spellEnd"/>
      <w:r w:rsidRPr="00D13A48">
        <w:rPr>
          <w:rFonts w:eastAsia="Times New Roman" w:cs="Arial"/>
          <w:bCs/>
          <w:i/>
          <w:iCs/>
          <w:color w:val="000000"/>
          <w:lang w:val="en-US"/>
        </w:rPr>
        <w:t xml:space="preserve"> </w:t>
      </w:r>
      <w:proofErr w:type="spellStart"/>
      <w:r w:rsidRPr="00D13A48">
        <w:rPr>
          <w:rFonts w:eastAsia="Times New Roman" w:cs="Arial"/>
          <w:bCs/>
          <w:i/>
          <w:iCs/>
          <w:color w:val="000000"/>
          <w:lang w:val="en-US"/>
        </w:rPr>
        <w:t>parainfluenzae</w:t>
      </w:r>
      <w:proofErr w:type="spellEnd"/>
    </w:p>
    <w:p w14:paraId="65FAF265"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Moraxella </w:t>
      </w:r>
      <w:proofErr w:type="spellStart"/>
      <w:r w:rsidRPr="00D13A48">
        <w:rPr>
          <w:rFonts w:eastAsia="Times New Roman" w:cs="Arial"/>
          <w:bCs/>
          <w:i/>
          <w:iCs/>
          <w:color w:val="000000"/>
          <w:lang w:val="en-US"/>
        </w:rPr>
        <w:t>catarrhalis</w:t>
      </w:r>
      <w:proofErr w:type="spellEnd"/>
    </w:p>
    <w:p w14:paraId="67320519"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Neisseria </w:t>
      </w:r>
      <w:proofErr w:type="spellStart"/>
      <w:r w:rsidRPr="00D13A48">
        <w:rPr>
          <w:rFonts w:eastAsia="Times New Roman" w:cs="Arial"/>
          <w:bCs/>
          <w:i/>
          <w:iCs/>
          <w:color w:val="000000"/>
          <w:lang w:val="en-US"/>
        </w:rPr>
        <w:t>gonorrhoeae</w:t>
      </w:r>
      <w:proofErr w:type="spellEnd"/>
    </w:p>
    <w:p w14:paraId="04FA8C51"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Legionella</w:t>
      </w:r>
      <w:r w:rsidRPr="00D13A48">
        <w:rPr>
          <w:rFonts w:eastAsia="Times New Roman" w:cs="Arial"/>
          <w:bCs/>
          <w:i/>
          <w:iCs/>
          <w:color w:val="000000"/>
        </w:rPr>
        <w:t xml:space="preserve"> </w:t>
      </w:r>
      <w:proofErr w:type="spellStart"/>
      <w:r w:rsidRPr="00D13A48">
        <w:rPr>
          <w:rFonts w:eastAsia="Times New Roman" w:cs="Arial"/>
          <w:bCs/>
          <w:i/>
          <w:iCs/>
          <w:color w:val="000000"/>
          <w:lang w:val="en-US"/>
        </w:rPr>
        <w:t>pneumophila</w:t>
      </w:r>
      <w:proofErr w:type="spellEnd"/>
    </w:p>
    <w:p w14:paraId="0EDFDC26" w14:textId="77777777" w:rsidR="00D13A48" w:rsidRPr="00D13A48" w:rsidRDefault="00D13A48" w:rsidP="00D13A48">
      <w:pPr>
        <w:spacing w:line="240" w:lineRule="auto"/>
        <w:rPr>
          <w:rFonts w:eastAsia="Times New Roman" w:cs="Arial"/>
          <w:bCs/>
          <w:i/>
          <w:iCs/>
          <w:color w:val="000000"/>
          <w:u w:val="single"/>
          <w:lang w:eastAsia="bg-BG"/>
        </w:rPr>
      </w:pPr>
    </w:p>
    <w:p w14:paraId="1AE5B90C" w14:textId="3A8802CA"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Други микроорганизми</w:t>
      </w:r>
      <w:r w:rsidRPr="00D13A48">
        <w:rPr>
          <w:rFonts w:eastAsia="Times New Roman" w:cs="Arial"/>
          <w:bCs/>
          <w:i/>
          <w:iCs/>
          <w:color w:val="000000"/>
          <w:lang w:eastAsia="bg-BG"/>
        </w:rPr>
        <w:t>:</w:t>
      </w:r>
    </w:p>
    <w:p w14:paraId="79F8CEFB"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Mycoplasma</w:t>
      </w:r>
      <w:r w:rsidRPr="00D13A48">
        <w:rPr>
          <w:rFonts w:eastAsia="Times New Roman" w:cs="Arial"/>
          <w:bCs/>
          <w:i/>
          <w:iCs/>
          <w:color w:val="000000"/>
        </w:rPr>
        <w:t xml:space="preserve"> </w:t>
      </w:r>
      <w:r w:rsidRPr="00D13A48">
        <w:rPr>
          <w:rFonts w:eastAsia="Times New Roman" w:cs="Arial"/>
          <w:bCs/>
          <w:i/>
          <w:iCs/>
          <w:color w:val="000000"/>
          <w:lang w:val="en-US"/>
        </w:rPr>
        <w:t>pneumonia</w:t>
      </w:r>
    </w:p>
    <w:p w14:paraId="59297A47"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Chlamydia pneumonia</w:t>
      </w:r>
      <w:r w:rsidRPr="00D13A48">
        <w:rPr>
          <w:rFonts w:eastAsia="Times New Roman" w:cs="Arial"/>
          <w:bCs/>
          <w:color w:val="000000"/>
          <w:lang w:val="en-US"/>
        </w:rPr>
        <w:t xml:space="preserve"> (TWAR)</w:t>
      </w:r>
    </w:p>
    <w:p w14:paraId="4236515D" w14:textId="77777777" w:rsidR="00D13A48" w:rsidRPr="00D13A48" w:rsidRDefault="00D13A48" w:rsidP="00D13A48">
      <w:pPr>
        <w:spacing w:line="240" w:lineRule="auto"/>
        <w:rPr>
          <w:rFonts w:eastAsia="Times New Roman" w:cs="Arial"/>
          <w:bCs/>
          <w:i/>
          <w:iCs/>
          <w:color w:val="000000"/>
          <w:u w:val="single"/>
          <w:lang w:eastAsia="bg-BG"/>
        </w:rPr>
      </w:pPr>
    </w:p>
    <w:p w14:paraId="2744E2D1" w14:textId="3D0D4C56"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Микобактерии</w:t>
      </w:r>
      <w:r w:rsidRPr="00D13A48">
        <w:rPr>
          <w:rFonts w:eastAsia="Times New Roman" w:cs="Arial"/>
          <w:bCs/>
          <w:i/>
          <w:iCs/>
          <w:color w:val="000000"/>
          <w:lang w:eastAsia="bg-BG"/>
        </w:rPr>
        <w:t>:</w:t>
      </w:r>
    </w:p>
    <w:p w14:paraId="18BE2A6B"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Mycobacterium </w:t>
      </w:r>
      <w:proofErr w:type="spellStart"/>
      <w:r w:rsidRPr="00D13A48">
        <w:rPr>
          <w:rFonts w:eastAsia="Times New Roman" w:cs="Arial"/>
          <w:bCs/>
          <w:i/>
          <w:iCs/>
          <w:color w:val="000000"/>
          <w:lang w:val="en-US"/>
        </w:rPr>
        <w:t>leprae</w:t>
      </w:r>
      <w:proofErr w:type="spellEnd"/>
    </w:p>
    <w:p w14:paraId="526E1114"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lastRenderedPageBreak/>
        <w:t xml:space="preserve">Mycobacterium </w:t>
      </w:r>
      <w:proofErr w:type="spellStart"/>
      <w:r w:rsidRPr="00D13A48">
        <w:rPr>
          <w:rFonts w:eastAsia="Times New Roman" w:cs="Arial"/>
          <w:bCs/>
          <w:i/>
          <w:iCs/>
          <w:color w:val="000000"/>
          <w:lang w:val="en-US"/>
        </w:rPr>
        <w:t>kansasii</w:t>
      </w:r>
      <w:proofErr w:type="spellEnd"/>
    </w:p>
    <w:p w14:paraId="63920DAC"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Mycobacterium </w:t>
      </w:r>
      <w:proofErr w:type="spellStart"/>
      <w:r w:rsidRPr="00D13A48">
        <w:rPr>
          <w:rFonts w:eastAsia="Times New Roman" w:cs="Arial"/>
          <w:bCs/>
          <w:i/>
          <w:iCs/>
          <w:color w:val="000000"/>
          <w:lang w:val="en-US"/>
        </w:rPr>
        <w:t>chelonae</w:t>
      </w:r>
      <w:proofErr w:type="spellEnd"/>
    </w:p>
    <w:p w14:paraId="75235E6A"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Mycobacterium </w:t>
      </w:r>
      <w:proofErr w:type="spellStart"/>
      <w:r w:rsidRPr="00D13A48">
        <w:rPr>
          <w:rFonts w:eastAsia="Times New Roman" w:cs="Arial"/>
          <w:bCs/>
          <w:i/>
          <w:iCs/>
          <w:color w:val="000000"/>
          <w:lang w:val="en-US"/>
        </w:rPr>
        <w:t>fortuitum</w:t>
      </w:r>
      <w:proofErr w:type="spellEnd"/>
    </w:p>
    <w:p w14:paraId="3CE9EB2B" w14:textId="38DC399F" w:rsidR="00D13A48" w:rsidRPr="00D13A48" w:rsidRDefault="00D13A48" w:rsidP="00D13A48">
      <w:pPr>
        <w:rPr>
          <w:rFonts w:eastAsia="Times New Roman" w:cs="Arial"/>
          <w:bCs/>
          <w:i/>
          <w:iCs/>
          <w:color w:val="000000"/>
          <w:lang w:val="en-US"/>
        </w:rPr>
      </w:pPr>
      <w:r w:rsidRPr="00D13A48">
        <w:rPr>
          <w:rFonts w:eastAsia="Times New Roman" w:cs="Arial"/>
          <w:bCs/>
          <w:i/>
          <w:iCs/>
          <w:color w:val="000000"/>
          <w:lang w:val="en-US"/>
        </w:rPr>
        <w:t xml:space="preserve">Mycobacterium </w:t>
      </w:r>
      <w:proofErr w:type="spellStart"/>
      <w:r w:rsidRPr="00D13A48">
        <w:rPr>
          <w:rFonts w:eastAsia="Times New Roman" w:cs="Arial"/>
          <w:bCs/>
          <w:i/>
          <w:iCs/>
          <w:color w:val="000000"/>
          <w:lang w:val="en-US"/>
        </w:rPr>
        <w:t>avium</w:t>
      </w:r>
      <w:proofErr w:type="spellEnd"/>
      <w:r w:rsidRPr="00D13A48">
        <w:rPr>
          <w:rFonts w:eastAsia="Times New Roman" w:cs="Arial"/>
          <w:bCs/>
          <w:i/>
          <w:iCs/>
          <w:color w:val="000000"/>
          <w:lang w:val="en-US"/>
        </w:rPr>
        <w:t xml:space="preserve"> complex (MAC),</w:t>
      </w:r>
      <w:r w:rsidRPr="00D13A48">
        <w:rPr>
          <w:rFonts w:eastAsia="Times New Roman" w:cs="Arial"/>
          <w:bCs/>
          <w:color w:val="000000"/>
          <w:lang w:val="en-US"/>
        </w:rPr>
        <w:t xml:space="preserve"> </w:t>
      </w:r>
      <w:r w:rsidRPr="00D13A48">
        <w:rPr>
          <w:rFonts w:eastAsia="Times New Roman" w:cs="Arial"/>
          <w:bCs/>
          <w:color w:val="000000"/>
          <w:lang w:eastAsia="bg-BG"/>
        </w:rPr>
        <w:t xml:space="preserve">състоящи се от: </w:t>
      </w:r>
      <w:r w:rsidRPr="00D13A48">
        <w:rPr>
          <w:rFonts w:eastAsia="Times New Roman" w:cs="Arial"/>
          <w:bCs/>
          <w:i/>
          <w:iCs/>
          <w:color w:val="000000"/>
          <w:lang w:val="en-US"/>
        </w:rPr>
        <w:t xml:space="preserve">Mycobacterium </w:t>
      </w:r>
      <w:proofErr w:type="spellStart"/>
      <w:r w:rsidRPr="00D13A48">
        <w:rPr>
          <w:rFonts w:eastAsia="Times New Roman" w:cs="Arial"/>
          <w:bCs/>
          <w:i/>
          <w:iCs/>
          <w:color w:val="000000"/>
          <w:lang w:val="en-US"/>
        </w:rPr>
        <w:t>avium</w:t>
      </w:r>
      <w:proofErr w:type="spellEnd"/>
    </w:p>
    <w:p w14:paraId="737BF300"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Mycobacterium</w:t>
      </w:r>
      <w:r w:rsidRPr="00D13A48">
        <w:rPr>
          <w:rFonts w:eastAsia="Times New Roman" w:cs="Arial"/>
          <w:bCs/>
          <w:i/>
          <w:iCs/>
          <w:color w:val="000000"/>
          <w:lang w:val="ru-RU"/>
        </w:rPr>
        <w:t xml:space="preserve"> </w:t>
      </w:r>
      <w:proofErr w:type="spellStart"/>
      <w:r w:rsidRPr="00D13A48">
        <w:rPr>
          <w:rFonts w:eastAsia="Times New Roman" w:cs="Arial"/>
          <w:bCs/>
          <w:i/>
          <w:iCs/>
          <w:color w:val="000000"/>
          <w:lang w:val="en-US"/>
        </w:rPr>
        <w:t>intracellulare</w:t>
      </w:r>
      <w:proofErr w:type="spellEnd"/>
    </w:p>
    <w:p w14:paraId="4452E3BF" w14:textId="77777777" w:rsidR="00D13A48" w:rsidRPr="00D13A48" w:rsidRDefault="00D13A48" w:rsidP="00D13A48">
      <w:pPr>
        <w:spacing w:line="240" w:lineRule="auto"/>
        <w:rPr>
          <w:rFonts w:eastAsia="Times New Roman" w:cs="Arial"/>
          <w:bCs/>
          <w:color w:val="000000"/>
          <w:lang w:eastAsia="bg-BG"/>
        </w:rPr>
      </w:pPr>
    </w:p>
    <w:p w14:paraId="75262F26" w14:textId="3E9A6649"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Бета-лактамазната продукция не трябва да има ефект върху кларитромициновата активност.</w:t>
      </w:r>
    </w:p>
    <w:p w14:paraId="78AA76BF" w14:textId="77777777" w:rsidR="00D13A48" w:rsidRPr="00D13A48" w:rsidRDefault="00D13A48" w:rsidP="00D13A48">
      <w:pPr>
        <w:spacing w:line="240" w:lineRule="auto"/>
        <w:rPr>
          <w:rFonts w:eastAsia="Times New Roman" w:cs="Arial"/>
          <w:bCs/>
          <w:color w:val="000000"/>
          <w:lang w:eastAsia="bg-BG"/>
        </w:rPr>
      </w:pPr>
    </w:p>
    <w:p w14:paraId="54EBB13A" w14:textId="5CFD336B"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ЗАБЕЛЕЖКА: Повечето щамове на метицилин-резистентните стафилококи са резистентни и към кларитромицин.</w:t>
      </w:r>
    </w:p>
    <w:p w14:paraId="2ECBD6D3" w14:textId="77777777" w:rsidR="00D13A48" w:rsidRPr="00D13A48" w:rsidRDefault="00D13A48" w:rsidP="00D13A48">
      <w:pPr>
        <w:spacing w:line="240" w:lineRule="auto"/>
        <w:rPr>
          <w:rFonts w:eastAsia="Times New Roman" w:cs="Arial"/>
          <w:bCs/>
          <w:i/>
          <w:iCs/>
          <w:color w:val="000000"/>
          <w:u w:val="single"/>
          <w:lang w:val="ru-RU"/>
        </w:rPr>
      </w:pPr>
    </w:p>
    <w:p w14:paraId="70FAD19D" w14:textId="2ACDA8A7"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val="en-US"/>
        </w:rPr>
        <w:t>Helicobacter</w:t>
      </w:r>
    </w:p>
    <w:p w14:paraId="6148622E"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Helicobacter</w:t>
      </w:r>
      <w:r w:rsidRPr="00D13A48">
        <w:rPr>
          <w:rFonts w:eastAsia="Times New Roman" w:cs="Arial"/>
          <w:bCs/>
          <w:i/>
          <w:iCs/>
          <w:color w:val="000000"/>
          <w:lang w:val="ru-RU"/>
        </w:rPr>
        <w:t xml:space="preserve"> </w:t>
      </w:r>
      <w:r w:rsidRPr="00D13A48">
        <w:rPr>
          <w:rFonts w:eastAsia="Times New Roman" w:cs="Arial"/>
          <w:bCs/>
          <w:i/>
          <w:iCs/>
          <w:color w:val="000000"/>
          <w:lang w:val="en-US"/>
        </w:rPr>
        <w:t>pylori</w:t>
      </w:r>
    </w:p>
    <w:p w14:paraId="30EB5927"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е изолиран в култури, получени преди терапията, като кларитромицин МИК са определени преди лечението при 104 пациента. От тях четирима пациенти имат резистентни щамове, двама пациенти имат щамове с междинна чувствителност и 98 пациенти имат чувствителни щамове.</w:t>
      </w:r>
    </w:p>
    <w:p w14:paraId="4FC7E9DC"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Следните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 xml:space="preserve">данни са налични, </w:t>
      </w:r>
      <w:r w:rsidRPr="00D13A48">
        <w:rPr>
          <w:rFonts w:eastAsia="Times New Roman" w:cs="Arial"/>
          <w:bCs/>
          <w:color w:val="000000"/>
          <w:u w:val="single"/>
          <w:lang w:eastAsia="bg-BG"/>
        </w:rPr>
        <w:t xml:space="preserve">но тяхната клинична значимост не е известна. </w:t>
      </w:r>
      <w:r w:rsidRPr="00D13A48">
        <w:rPr>
          <w:rFonts w:eastAsia="Times New Roman" w:cs="Arial"/>
          <w:bCs/>
          <w:color w:val="000000"/>
          <w:lang w:eastAsia="bg-BG"/>
        </w:rPr>
        <w:t xml:space="preserve">Кларитромицин показва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активност срещу повечето щамове от следните микроорганизми; дължащи се на тези микроорганизми, не са установени при задоволителни и добре контролирани клинични изпитвания.</w:t>
      </w:r>
    </w:p>
    <w:p w14:paraId="570F387D" w14:textId="77777777" w:rsidR="00D13A48" w:rsidRPr="00D13A48" w:rsidRDefault="00D13A48" w:rsidP="00D13A48">
      <w:pPr>
        <w:spacing w:line="240" w:lineRule="auto"/>
        <w:rPr>
          <w:rFonts w:eastAsia="Times New Roman" w:cs="Arial"/>
          <w:bCs/>
          <w:i/>
          <w:iCs/>
          <w:color w:val="000000"/>
          <w:u w:val="single"/>
          <w:lang w:eastAsia="bg-BG"/>
        </w:rPr>
      </w:pPr>
    </w:p>
    <w:p w14:paraId="43637BB5" w14:textId="3AF7FF70"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Аеробни Грам-положителни микроорганизми</w:t>
      </w:r>
      <w:r w:rsidRPr="00D13A48">
        <w:rPr>
          <w:rFonts w:eastAsia="Times New Roman" w:cs="Arial"/>
          <w:bCs/>
          <w:i/>
          <w:iCs/>
          <w:color w:val="000000"/>
          <w:lang w:eastAsia="bg-BG"/>
        </w:rPr>
        <w:t>:</w:t>
      </w:r>
    </w:p>
    <w:p w14:paraId="5A8D9FFA"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Staphylococcus</w:t>
      </w:r>
      <w:r w:rsidRPr="00D13A48">
        <w:rPr>
          <w:rFonts w:eastAsia="Times New Roman" w:cs="Arial"/>
          <w:bCs/>
          <w:i/>
          <w:iCs/>
          <w:color w:val="000000"/>
        </w:rPr>
        <w:t xml:space="preserve"> </w:t>
      </w:r>
      <w:proofErr w:type="spellStart"/>
      <w:r w:rsidRPr="00D13A48">
        <w:rPr>
          <w:rFonts w:eastAsia="Times New Roman" w:cs="Arial"/>
          <w:bCs/>
          <w:i/>
          <w:iCs/>
          <w:color w:val="000000"/>
          <w:lang w:val="en-US"/>
        </w:rPr>
        <w:t>agalactiae</w:t>
      </w:r>
      <w:proofErr w:type="spellEnd"/>
    </w:p>
    <w:p w14:paraId="063F0FC4"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Streptococcci</w:t>
      </w:r>
      <w:proofErr w:type="spellEnd"/>
      <w:r w:rsidRPr="00D13A48">
        <w:rPr>
          <w:rFonts w:eastAsia="Times New Roman" w:cs="Arial"/>
          <w:bCs/>
          <w:i/>
          <w:iCs/>
          <w:color w:val="000000"/>
        </w:rPr>
        <w:t xml:space="preserve"> </w:t>
      </w:r>
      <w:r w:rsidRPr="00D13A48">
        <w:rPr>
          <w:rFonts w:eastAsia="Times New Roman" w:cs="Arial"/>
          <w:bCs/>
          <w:i/>
          <w:iCs/>
          <w:color w:val="000000"/>
          <w:lang w:eastAsia="bg-BG"/>
        </w:rPr>
        <w:t xml:space="preserve">(Група С, </w:t>
      </w:r>
      <w:r w:rsidRPr="00D13A48">
        <w:rPr>
          <w:rFonts w:eastAsia="Times New Roman" w:cs="Arial"/>
          <w:bCs/>
          <w:i/>
          <w:iCs/>
          <w:color w:val="000000"/>
          <w:lang w:val="en-US"/>
        </w:rPr>
        <w:t>F</w:t>
      </w:r>
      <w:r w:rsidRPr="00D13A48">
        <w:rPr>
          <w:rFonts w:eastAsia="Times New Roman" w:cs="Arial"/>
          <w:bCs/>
          <w:i/>
          <w:iCs/>
          <w:color w:val="000000"/>
        </w:rPr>
        <w:t xml:space="preserve">, </w:t>
      </w:r>
      <w:r w:rsidRPr="00D13A48">
        <w:rPr>
          <w:rFonts w:eastAsia="Times New Roman" w:cs="Arial"/>
          <w:bCs/>
          <w:i/>
          <w:iCs/>
          <w:color w:val="000000"/>
          <w:lang w:val="en-US"/>
        </w:rPr>
        <w:t>G</w:t>
      </w:r>
      <w:r w:rsidRPr="00D13A48">
        <w:rPr>
          <w:rFonts w:eastAsia="Times New Roman" w:cs="Arial"/>
          <w:bCs/>
          <w:i/>
          <w:iCs/>
          <w:color w:val="000000"/>
        </w:rPr>
        <w:t>)</w:t>
      </w:r>
    </w:p>
    <w:p w14:paraId="3C4C92CB"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Varidans</w:t>
      </w:r>
      <w:proofErr w:type="spellEnd"/>
      <w:r w:rsidRPr="00D13A48">
        <w:rPr>
          <w:rFonts w:eastAsia="Times New Roman" w:cs="Arial"/>
          <w:bCs/>
          <w:i/>
          <w:iCs/>
          <w:color w:val="000000"/>
        </w:rPr>
        <w:t xml:space="preserve"> </w:t>
      </w:r>
      <w:r w:rsidRPr="00D13A48">
        <w:rPr>
          <w:rFonts w:eastAsia="Times New Roman" w:cs="Arial"/>
          <w:bCs/>
          <w:i/>
          <w:iCs/>
          <w:color w:val="000000"/>
          <w:lang w:eastAsia="bg-BG"/>
        </w:rPr>
        <w:t xml:space="preserve">група </w:t>
      </w:r>
      <w:r w:rsidRPr="00D13A48">
        <w:rPr>
          <w:rFonts w:eastAsia="Times New Roman" w:cs="Arial"/>
          <w:bCs/>
          <w:i/>
          <w:iCs/>
          <w:color w:val="000000"/>
          <w:lang w:val="en-US"/>
        </w:rPr>
        <w:t>streptococci</w:t>
      </w:r>
    </w:p>
    <w:p w14:paraId="0603D5E6" w14:textId="77777777" w:rsidR="00D13A48" w:rsidRPr="00D13A48" w:rsidRDefault="00D13A48" w:rsidP="00D13A48">
      <w:pPr>
        <w:spacing w:line="240" w:lineRule="auto"/>
        <w:rPr>
          <w:rFonts w:eastAsia="Times New Roman" w:cs="Arial"/>
          <w:bCs/>
          <w:i/>
          <w:iCs/>
          <w:color w:val="000000"/>
          <w:u w:val="single"/>
          <w:lang w:eastAsia="bg-BG"/>
        </w:rPr>
      </w:pPr>
    </w:p>
    <w:p w14:paraId="60A83F40" w14:textId="7DF6F437"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Аеробни Грам-отрицателни микроорганизми:</w:t>
      </w:r>
    </w:p>
    <w:p w14:paraId="318F5B5C"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Bordetella</w:t>
      </w:r>
      <w:proofErr w:type="spellEnd"/>
      <w:r w:rsidRPr="00D13A48">
        <w:rPr>
          <w:rFonts w:eastAsia="Times New Roman" w:cs="Arial"/>
          <w:bCs/>
          <w:i/>
          <w:iCs/>
          <w:color w:val="000000"/>
        </w:rPr>
        <w:t xml:space="preserve"> </w:t>
      </w:r>
      <w:r w:rsidRPr="00D13A48">
        <w:rPr>
          <w:rFonts w:eastAsia="Times New Roman" w:cs="Arial"/>
          <w:bCs/>
          <w:i/>
          <w:iCs/>
          <w:color w:val="000000"/>
          <w:lang w:val="en-US"/>
        </w:rPr>
        <w:t>pertussis</w:t>
      </w:r>
    </w:p>
    <w:p w14:paraId="63B09B7B"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Pasteurella</w:t>
      </w:r>
      <w:proofErr w:type="spellEnd"/>
      <w:r w:rsidRPr="00D13A48">
        <w:rPr>
          <w:rFonts w:eastAsia="Times New Roman" w:cs="Arial"/>
          <w:bCs/>
          <w:i/>
          <w:iCs/>
          <w:color w:val="000000"/>
          <w:lang w:val="ru-RU"/>
        </w:rPr>
        <w:t xml:space="preserve"> </w:t>
      </w:r>
      <w:proofErr w:type="spellStart"/>
      <w:r w:rsidRPr="00D13A48">
        <w:rPr>
          <w:rFonts w:eastAsia="Times New Roman" w:cs="Arial"/>
          <w:bCs/>
          <w:i/>
          <w:iCs/>
          <w:color w:val="000000"/>
          <w:lang w:val="en-US"/>
        </w:rPr>
        <w:t>multocida</w:t>
      </w:r>
      <w:proofErr w:type="spellEnd"/>
    </w:p>
    <w:p w14:paraId="73D5E093" w14:textId="77777777" w:rsidR="00D13A48" w:rsidRPr="00D13A48" w:rsidRDefault="00D13A48" w:rsidP="00D13A48">
      <w:pPr>
        <w:spacing w:line="240" w:lineRule="auto"/>
        <w:rPr>
          <w:rFonts w:eastAsia="Times New Roman" w:cs="Arial"/>
          <w:bCs/>
          <w:i/>
          <w:iCs/>
          <w:color w:val="000000"/>
          <w:u w:val="single"/>
          <w:lang w:eastAsia="bg-BG"/>
        </w:rPr>
      </w:pPr>
    </w:p>
    <w:p w14:paraId="0949AD55" w14:textId="5C318C07"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Анаеробни Грам-положителни микроорганизми</w:t>
      </w:r>
      <w:r w:rsidRPr="00D13A48">
        <w:rPr>
          <w:rFonts w:eastAsia="Times New Roman" w:cs="Arial"/>
          <w:bCs/>
          <w:i/>
          <w:iCs/>
          <w:color w:val="000000"/>
          <w:lang w:eastAsia="bg-BG"/>
        </w:rPr>
        <w:t>:</w:t>
      </w:r>
    </w:p>
    <w:p w14:paraId="6A8B3BB7"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 xml:space="preserve">Clostridium </w:t>
      </w:r>
      <w:proofErr w:type="spellStart"/>
      <w:r w:rsidRPr="00D13A48">
        <w:rPr>
          <w:rFonts w:eastAsia="Times New Roman" w:cs="Arial"/>
          <w:bCs/>
          <w:i/>
          <w:iCs/>
          <w:color w:val="000000"/>
          <w:lang w:val="en-US"/>
        </w:rPr>
        <w:t>petflingens</w:t>
      </w:r>
      <w:proofErr w:type="spellEnd"/>
    </w:p>
    <w:p w14:paraId="7A7ED144"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Peptococcus</w:t>
      </w:r>
      <w:proofErr w:type="spellEnd"/>
      <w:r w:rsidRPr="00D13A48">
        <w:rPr>
          <w:rFonts w:eastAsia="Times New Roman" w:cs="Arial"/>
          <w:bCs/>
          <w:i/>
          <w:iCs/>
          <w:color w:val="000000"/>
          <w:lang w:val="en-US"/>
        </w:rPr>
        <w:t xml:space="preserve"> </w:t>
      </w:r>
      <w:proofErr w:type="spellStart"/>
      <w:proofErr w:type="gramStart"/>
      <w:r w:rsidRPr="00D13A48">
        <w:rPr>
          <w:rFonts w:eastAsia="Times New Roman" w:cs="Arial"/>
          <w:bCs/>
          <w:i/>
          <w:iCs/>
          <w:color w:val="000000"/>
          <w:lang w:val="en-US"/>
        </w:rPr>
        <w:t>niger</w:t>
      </w:r>
      <w:proofErr w:type="spellEnd"/>
      <w:proofErr w:type="gramEnd"/>
    </w:p>
    <w:p w14:paraId="6E2F0C38"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Propionibacterium</w:t>
      </w:r>
      <w:proofErr w:type="spellEnd"/>
      <w:r w:rsidRPr="00D13A48">
        <w:rPr>
          <w:rFonts w:eastAsia="Times New Roman" w:cs="Arial"/>
          <w:bCs/>
          <w:i/>
          <w:iCs/>
          <w:color w:val="000000"/>
          <w:lang w:val="en-US"/>
        </w:rPr>
        <w:t xml:space="preserve"> acnes</w:t>
      </w:r>
    </w:p>
    <w:p w14:paraId="232337D5" w14:textId="77777777" w:rsidR="00D13A48" w:rsidRPr="00D13A48" w:rsidRDefault="00D13A48" w:rsidP="00D13A48">
      <w:pPr>
        <w:spacing w:line="240" w:lineRule="auto"/>
        <w:rPr>
          <w:rFonts w:eastAsia="Times New Roman" w:cs="Arial"/>
          <w:bCs/>
          <w:i/>
          <w:iCs/>
          <w:color w:val="000000"/>
          <w:u w:val="single"/>
          <w:lang w:eastAsia="bg-BG"/>
        </w:rPr>
      </w:pPr>
    </w:p>
    <w:p w14:paraId="1DF4BD8D" w14:textId="6F156727"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Анаеробни Грам-отрииателни микроорганизми</w:t>
      </w:r>
      <w:r w:rsidRPr="00D13A48">
        <w:rPr>
          <w:rFonts w:eastAsia="Times New Roman" w:cs="Arial"/>
          <w:bCs/>
          <w:i/>
          <w:iCs/>
          <w:color w:val="000000"/>
          <w:lang w:eastAsia="bg-BG"/>
        </w:rPr>
        <w:t>:</w:t>
      </w:r>
    </w:p>
    <w:p w14:paraId="511891C7"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Bacteroides</w:t>
      </w:r>
      <w:proofErr w:type="spellEnd"/>
      <w:r w:rsidRPr="00D13A48">
        <w:rPr>
          <w:rFonts w:eastAsia="Times New Roman" w:cs="Arial"/>
          <w:bCs/>
          <w:i/>
          <w:iCs/>
          <w:color w:val="000000"/>
        </w:rPr>
        <w:t xml:space="preserve"> </w:t>
      </w:r>
      <w:proofErr w:type="spellStart"/>
      <w:r w:rsidRPr="00D13A48">
        <w:rPr>
          <w:rFonts w:eastAsia="Times New Roman" w:cs="Arial"/>
          <w:bCs/>
          <w:i/>
          <w:iCs/>
          <w:color w:val="000000"/>
          <w:lang w:val="en-US"/>
        </w:rPr>
        <w:t>melaninogenicus</w:t>
      </w:r>
      <w:proofErr w:type="spellEnd"/>
    </w:p>
    <w:p w14:paraId="3DC9C22C" w14:textId="77777777" w:rsidR="00D13A48" w:rsidRPr="00D13A48" w:rsidRDefault="00D13A48" w:rsidP="00D13A48">
      <w:pPr>
        <w:spacing w:line="240" w:lineRule="auto"/>
        <w:rPr>
          <w:rFonts w:eastAsia="Times New Roman" w:cs="Arial"/>
          <w:bCs/>
          <w:i/>
          <w:iCs/>
          <w:color w:val="000000"/>
          <w:u w:val="single"/>
          <w:lang w:val="en-US"/>
        </w:rPr>
      </w:pPr>
    </w:p>
    <w:p w14:paraId="369D6B0A" w14:textId="1921B92D"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u w:val="single"/>
          <w:lang w:val="en-US"/>
        </w:rPr>
        <w:t>Cnupoxemu</w:t>
      </w:r>
      <w:proofErr w:type="spellEnd"/>
      <w:r w:rsidRPr="00D13A48">
        <w:rPr>
          <w:rFonts w:eastAsia="Times New Roman" w:cs="Arial"/>
          <w:bCs/>
          <w:i/>
          <w:iCs/>
          <w:color w:val="000000"/>
          <w:u w:val="single"/>
        </w:rPr>
        <w:t>:</w:t>
      </w:r>
    </w:p>
    <w:p w14:paraId="5020401D"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Borrelia</w:t>
      </w:r>
      <w:proofErr w:type="spellEnd"/>
      <w:r w:rsidRPr="00D13A48">
        <w:rPr>
          <w:rFonts w:eastAsia="Times New Roman" w:cs="Arial"/>
          <w:bCs/>
          <w:i/>
          <w:iCs/>
          <w:color w:val="000000"/>
        </w:rPr>
        <w:t xml:space="preserve"> </w:t>
      </w:r>
      <w:proofErr w:type="spellStart"/>
      <w:r w:rsidRPr="00D13A48">
        <w:rPr>
          <w:rFonts w:eastAsia="Times New Roman" w:cs="Arial"/>
          <w:bCs/>
          <w:i/>
          <w:iCs/>
          <w:color w:val="000000"/>
          <w:lang w:val="en-US"/>
        </w:rPr>
        <w:t>burgodorferi</w:t>
      </w:r>
      <w:proofErr w:type="spellEnd"/>
    </w:p>
    <w:p w14:paraId="0A2449A3" w14:textId="77777777" w:rsidR="00D13A48" w:rsidRPr="00D13A48" w:rsidRDefault="00D13A48" w:rsidP="00D13A48">
      <w:pPr>
        <w:spacing w:line="240" w:lineRule="auto"/>
        <w:rPr>
          <w:rFonts w:eastAsia="Times New Roman" w:cs="Arial"/>
          <w:bCs/>
          <w:i/>
          <w:iCs/>
          <w:color w:val="000000"/>
          <w:u w:val="single"/>
          <w:lang w:eastAsia="bg-BG"/>
        </w:rPr>
      </w:pPr>
    </w:p>
    <w:p w14:paraId="00487E71" w14:textId="002AEF20" w:rsidR="00D13A48" w:rsidRPr="00D13A48" w:rsidRDefault="00D13A48" w:rsidP="00D13A48">
      <w:pPr>
        <w:spacing w:line="240" w:lineRule="auto"/>
        <w:rPr>
          <w:rFonts w:eastAsia="Times New Roman" w:cs="Arial"/>
        </w:rPr>
      </w:pPr>
      <w:r w:rsidRPr="00D13A48">
        <w:rPr>
          <w:rFonts w:eastAsia="Times New Roman" w:cs="Arial"/>
          <w:bCs/>
          <w:i/>
          <w:iCs/>
          <w:color w:val="000000"/>
          <w:u w:val="single"/>
          <w:lang w:eastAsia="bg-BG"/>
        </w:rPr>
        <w:t>Кампилобактер</w:t>
      </w:r>
      <w:r w:rsidRPr="00D13A48">
        <w:rPr>
          <w:rFonts w:eastAsia="Times New Roman" w:cs="Arial"/>
          <w:bCs/>
          <w:i/>
          <w:iCs/>
          <w:color w:val="000000"/>
          <w:lang w:eastAsia="bg-BG"/>
        </w:rPr>
        <w:t>:</w:t>
      </w:r>
    </w:p>
    <w:p w14:paraId="782769B9" w14:textId="77777777" w:rsidR="00D13A48" w:rsidRPr="00D13A48" w:rsidRDefault="00D13A48" w:rsidP="00D13A48">
      <w:pPr>
        <w:spacing w:line="240" w:lineRule="auto"/>
        <w:rPr>
          <w:rFonts w:eastAsia="Times New Roman" w:cs="Arial"/>
        </w:rPr>
      </w:pPr>
      <w:proofErr w:type="spellStart"/>
      <w:r w:rsidRPr="00D13A48">
        <w:rPr>
          <w:rFonts w:eastAsia="Times New Roman" w:cs="Arial"/>
          <w:bCs/>
          <w:i/>
          <w:iCs/>
          <w:color w:val="000000"/>
          <w:lang w:val="en-US"/>
        </w:rPr>
        <w:t>Camphylobacter</w:t>
      </w:r>
      <w:proofErr w:type="spellEnd"/>
      <w:r w:rsidRPr="00D13A48">
        <w:rPr>
          <w:rFonts w:eastAsia="Times New Roman" w:cs="Arial"/>
          <w:bCs/>
          <w:i/>
          <w:iCs/>
          <w:color w:val="000000"/>
        </w:rPr>
        <w:t xml:space="preserve"> </w:t>
      </w:r>
      <w:proofErr w:type="spellStart"/>
      <w:r w:rsidRPr="00D13A48">
        <w:rPr>
          <w:rFonts w:eastAsia="Times New Roman" w:cs="Arial"/>
          <w:bCs/>
          <w:i/>
          <w:iCs/>
          <w:color w:val="000000"/>
          <w:lang w:val="en-US"/>
        </w:rPr>
        <w:t>jejuni</w:t>
      </w:r>
      <w:proofErr w:type="spellEnd"/>
    </w:p>
    <w:p w14:paraId="33478605" w14:textId="77777777" w:rsidR="00D13A48" w:rsidRPr="00D13A48" w:rsidRDefault="00D13A48" w:rsidP="00D13A48">
      <w:pPr>
        <w:spacing w:line="240" w:lineRule="auto"/>
        <w:rPr>
          <w:rFonts w:eastAsia="Times New Roman" w:cs="Arial"/>
          <w:bCs/>
          <w:color w:val="000000"/>
          <w:lang w:eastAsia="bg-BG"/>
        </w:rPr>
      </w:pPr>
    </w:p>
    <w:p w14:paraId="1B0FD2A6" w14:textId="2D29AFBC"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Основният метаболит на кларитромицин при човека и други примати е микробиологично активният метаболит 14-ОН-кларитромицин. Този метаболит е също толкова активен или 1 до 2 пъти по-малко активен от изходното съединение за повечето организми, с изключение на </w:t>
      </w:r>
      <w:r w:rsidRPr="00D13A48">
        <w:rPr>
          <w:rFonts w:eastAsia="Times New Roman" w:cs="Arial"/>
          <w:bCs/>
          <w:i/>
          <w:iCs/>
          <w:color w:val="000000"/>
          <w:lang w:eastAsia="bg-BG"/>
        </w:rPr>
        <w:t xml:space="preserve">Н. </w:t>
      </w:r>
      <w:proofErr w:type="gramStart"/>
      <w:r w:rsidRPr="00D13A48">
        <w:rPr>
          <w:rFonts w:eastAsia="Times New Roman" w:cs="Arial"/>
          <w:bCs/>
          <w:i/>
          <w:iCs/>
          <w:color w:val="000000"/>
          <w:lang w:val="en-US"/>
        </w:rPr>
        <w:t>pylori</w:t>
      </w:r>
      <w:proofErr w:type="gramEnd"/>
      <w:r w:rsidRPr="00D13A48">
        <w:rPr>
          <w:rFonts w:eastAsia="Times New Roman" w:cs="Arial"/>
          <w:bCs/>
          <w:i/>
          <w:iCs/>
          <w:color w:val="000000"/>
          <w:lang w:val="ru-RU"/>
        </w:rPr>
        <w:t>,</w:t>
      </w:r>
      <w:r w:rsidRPr="00D13A48">
        <w:rPr>
          <w:rFonts w:eastAsia="Times New Roman" w:cs="Arial"/>
          <w:bCs/>
          <w:color w:val="000000"/>
          <w:lang w:val="ru-RU"/>
        </w:rPr>
        <w:t xml:space="preserve"> </w:t>
      </w:r>
      <w:r w:rsidRPr="00D13A48">
        <w:rPr>
          <w:rFonts w:eastAsia="Times New Roman" w:cs="Arial"/>
          <w:bCs/>
          <w:color w:val="000000"/>
          <w:lang w:eastAsia="bg-BG"/>
        </w:rPr>
        <w:t xml:space="preserve">срещу който е два пъти по-активен. Изходното вещество и 14-ОН </w:t>
      </w:r>
      <w:r w:rsidRPr="00D13A48">
        <w:rPr>
          <w:rFonts w:eastAsia="Times New Roman" w:cs="Arial"/>
          <w:bCs/>
          <w:color w:val="000000"/>
          <w:lang w:eastAsia="bg-BG"/>
        </w:rPr>
        <w:lastRenderedPageBreak/>
        <w:t xml:space="preserve">метаболитьт упражняват адитивен или синергичен ефект върху </w:t>
      </w:r>
      <w:r w:rsidRPr="00D13A48">
        <w:rPr>
          <w:rFonts w:eastAsia="Times New Roman" w:cs="Arial"/>
          <w:bCs/>
          <w:i/>
          <w:iCs/>
          <w:color w:val="000000"/>
          <w:lang w:eastAsia="bg-BG"/>
        </w:rPr>
        <w:t xml:space="preserve">Н. </w:t>
      </w:r>
      <w:proofErr w:type="gramStart"/>
      <w:r w:rsidRPr="00D13A48">
        <w:rPr>
          <w:rFonts w:eastAsia="Times New Roman" w:cs="Arial"/>
          <w:bCs/>
          <w:i/>
          <w:iCs/>
          <w:color w:val="000000"/>
          <w:lang w:val="en-US"/>
        </w:rPr>
        <w:t>influenza</w:t>
      </w:r>
      <w:proofErr w:type="gramEnd"/>
      <w:r w:rsidRPr="00D13A48">
        <w:rPr>
          <w:rFonts w:eastAsia="Times New Roman" w:cs="Arial"/>
          <w:bCs/>
          <w:i/>
          <w:iCs/>
          <w:color w:val="000000"/>
          <w:lang w:val="ru-RU"/>
        </w:rPr>
        <w:t xml:space="preserve"> </w:t>
      </w: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 xml:space="preserve">и </w:t>
      </w:r>
      <w:r w:rsidRPr="00D13A48">
        <w:rPr>
          <w:rFonts w:eastAsia="Times New Roman" w:cs="Arial"/>
          <w:bCs/>
          <w:color w:val="000000"/>
          <w:lang w:val="en-US"/>
        </w:rPr>
        <w:t>in</w:t>
      </w:r>
      <w:r w:rsidRPr="00D13A48">
        <w:rPr>
          <w:rFonts w:eastAsia="Times New Roman" w:cs="Arial"/>
          <w:bCs/>
          <w:color w:val="000000"/>
          <w:lang w:val="ru-RU"/>
        </w:rPr>
        <w:t xml:space="preserve"> </w:t>
      </w:r>
      <w:r w:rsidRPr="00D13A48">
        <w:rPr>
          <w:rFonts w:eastAsia="Times New Roman" w:cs="Arial"/>
          <w:bCs/>
          <w:color w:val="000000"/>
          <w:lang w:val="en-US"/>
        </w:rPr>
        <w:t>vivo</w:t>
      </w:r>
      <w:r w:rsidRPr="00D13A48">
        <w:rPr>
          <w:rFonts w:eastAsia="Times New Roman" w:cs="Arial"/>
          <w:bCs/>
          <w:color w:val="000000"/>
          <w:lang w:val="ru-RU"/>
        </w:rPr>
        <w:t xml:space="preserve">, </w:t>
      </w:r>
      <w:r w:rsidRPr="00D13A48">
        <w:rPr>
          <w:rFonts w:eastAsia="Times New Roman" w:cs="Arial"/>
          <w:bCs/>
          <w:color w:val="000000"/>
          <w:lang w:eastAsia="bg-BG"/>
        </w:rPr>
        <w:t>в зависимост от бактериалните щамове.</w:t>
      </w:r>
    </w:p>
    <w:p w14:paraId="7F4BB4FB" w14:textId="77777777" w:rsidR="00D13A48" w:rsidRPr="00D13A48" w:rsidRDefault="00D13A48" w:rsidP="00D13A48">
      <w:pPr>
        <w:rPr>
          <w:rFonts w:eastAsia="Times New Roman" w:cs="Arial"/>
          <w:bCs/>
          <w:color w:val="000000"/>
          <w:lang w:eastAsia="bg-BG"/>
        </w:rPr>
      </w:pPr>
    </w:p>
    <w:p w14:paraId="3237EF64" w14:textId="77777777" w:rsidR="00D13A48" w:rsidRPr="00D13A48" w:rsidRDefault="00D13A48" w:rsidP="00D13A48">
      <w:pPr>
        <w:rPr>
          <w:rFonts w:eastAsia="Times New Roman" w:cs="Arial"/>
        </w:rPr>
      </w:pPr>
      <w:r w:rsidRPr="00D13A48">
        <w:rPr>
          <w:rFonts w:eastAsia="Times New Roman" w:cs="Arial"/>
          <w:bCs/>
          <w:color w:val="000000"/>
          <w:lang w:eastAsia="bg-BG"/>
        </w:rPr>
        <w:t xml:space="preserve">За кларитромицин е установено, че е два до десет пъти по-активен от еритромицин в няколко експериментални животински инфекциозни модели. Показано е например, че е по-ефективен от еритромицин при миши системни инфекции, миши подкожни абсцеси и миши инфекции на дихателните пътища, причинени от </w:t>
      </w:r>
      <w:r w:rsidRPr="00D13A48">
        <w:rPr>
          <w:rFonts w:eastAsia="Times New Roman" w:cs="Arial"/>
          <w:bCs/>
          <w:color w:val="000000"/>
          <w:lang w:val="en-US"/>
        </w:rPr>
        <w:t>S</w:t>
      </w:r>
      <w:r w:rsidRPr="00D13A48">
        <w:rPr>
          <w:rFonts w:eastAsia="Times New Roman" w:cs="Arial"/>
          <w:bCs/>
          <w:color w:val="000000"/>
          <w:lang w:val="ru-RU"/>
        </w:rPr>
        <w:t>.</w:t>
      </w:r>
      <w:r w:rsidRPr="00D13A48">
        <w:rPr>
          <w:rFonts w:eastAsia="Times New Roman" w:cs="Arial"/>
          <w:bCs/>
          <w:i/>
          <w:iCs/>
          <w:color w:val="000000"/>
          <w:lang w:eastAsia="bg-BG"/>
        </w:rPr>
        <w:t xml:space="preserve"> </w:t>
      </w:r>
      <w:proofErr w:type="gramStart"/>
      <w:r w:rsidRPr="00D13A48">
        <w:rPr>
          <w:rFonts w:eastAsia="Times New Roman" w:cs="Arial"/>
          <w:bCs/>
          <w:i/>
          <w:iCs/>
          <w:color w:val="000000"/>
          <w:lang w:val="en-US"/>
        </w:rPr>
        <w:t>pneumonia</w:t>
      </w:r>
      <w:proofErr w:type="gramEnd"/>
      <w:r w:rsidRPr="00D13A48">
        <w:rPr>
          <w:rFonts w:eastAsia="Times New Roman" w:cs="Arial"/>
          <w:bCs/>
          <w:i/>
          <w:iCs/>
          <w:color w:val="000000"/>
          <w:lang w:val="ru-RU"/>
        </w:rPr>
        <w:t xml:space="preserve">, </w:t>
      </w:r>
      <w:r w:rsidRPr="00D13A48">
        <w:rPr>
          <w:rFonts w:eastAsia="Times New Roman" w:cs="Arial"/>
          <w:bCs/>
          <w:i/>
          <w:iCs/>
          <w:color w:val="000000"/>
          <w:lang w:val="en-US"/>
        </w:rPr>
        <w:t>S</w:t>
      </w:r>
      <w:r w:rsidRPr="00D13A48">
        <w:rPr>
          <w:rFonts w:eastAsia="Times New Roman" w:cs="Arial"/>
          <w:bCs/>
          <w:i/>
          <w:iCs/>
          <w:color w:val="000000"/>
          <w:lang w:val="ru-RU"/>
        </w:rPr>
        <w:t xml:space="preserve">. </w:t>
      </w:r>
      <w:proofErr w:type="spellStart"/>
      <w:r w:rsidRPr="00D13A48">
        <w:rPr>
          <w:rFonts w:eastAsia="Times New Roman" w:cs="Arial"/>
          <w:bCs/>
          <w:i/>
          <w:iCs/>
          <w:color w:val="000000"/>
          <w:lang w:val="en-US"/>
        </w:rPr>
        <w:t>pyogenes</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 xml:space="preserve">и </w:t>
      </w:r>
      <w:r w:rsidRPr="00D13A48">
        <w:rPr>
          <w:rFonts w:eastAsia="Times New Roman" w:cs="Arial"/>
          <w:bCs/>
          <w:i/>
          <w:iCs/>
          <w:color w:val="000000"/>
          <w:lang w:eastAsia="bg-BG"/>
        </w:rPr>
        <w:t xml:space="preserve">Н. </w:t>
      </w:r>
      <w:proofErr w:type="spellStart"/>
      <w:r w:rsidRPr="00D13A48">
        <w:rPr>
          <w:rFonts w:eastAsia="Times New Roman" w:cs="Arial"/>
          <w:bCs/>
          <w:i/>
          <w:iCs/>
          <w:color w:val="000000"/>
          <w:lang w:val="en-US"/>
        </w:rPr>
        <w:t>influenzae</w:t>
      </w:r>
      <w:proofErr w:type="spellEnd"/>
      <w:r w:rsidRPr="00D13A48">
        <w:rPr>
          <w:rFonts w:eastAsia="Times New Roman" w:cs="Arial"/>
          <w:bCs/>
          <w:i/>
          <w:iCs/>
          <w:color w:val="000000"/>
          <w:lang w:val="ru-RU"/>
        </w:rPr>
        <w:t>.</w:t>
      </w:r>
      <w:r w:rsidRPr="00D13A48">
        <w:rPr>
          <w:rFonts w:eastAsia="Times New Roman" w:cs="Arial"/>
          <w:bCs/>
          <w:color w:val="000000"/>
          <w:lang w:val="ru-RU"/>
        </w:rPr>
        <w:t xml:space="preserve"> </w:t>
      </w:r>
      <w:r w:rsidRPr="00D13A48">
        <w:rPr>
          <w:rFonts w:eastAsia="Times New Roman" w:cs="Arial"/>
          <w:bCs/>
          <w:color w:val="000000"/>
          <w:lang w:eastAsia="bg-BG"/>
        </w:rPr>
        <w:t xml:space="preserve">При морски свинчета с легионелна инфекция този ефект е по-силно изразен; интраперитонеална доза от 1.6 </w:t>
      </w:r>
      <w:r w:rsidRPr="00D13A48">
        <w:rPr>
          <w:rFonts w:eastAsia="Times New Roman" w:cs="Arial"/>
          <w:bCs/>
          <w:color w:val="000000"/>
          <w:lang w:val="en-US"/>
        </w:rPr>
        <w:t>mg</w:t>
      </w:r>
      <w:r w:rsidRPr="00D13A48">
        <w:rPr>
          <w:rFonts w:eastAsia="Times New Roman" w:cs="Arial"/>
          <w:bCs/>
          <w:color w:val="000000"/>
          <w:lang w:val="ru-RU"/>
        </w:rPr>
        <w:t>/</w:t>
      </w:r>
      <w:r w:rsidRPr="00D13A48">
        <w:rPr>
          <w:rFonts w:eastAsia="Times New Roman" w:cs="Arial"/>
          <w:bCs/>
          <w:color w:val="000000"/>
          <w:lang w:val="en-US"/>
        </w:rPr>
        <w:t>kg</w:t>
      </w:r>
      <w:r w:rsidRPr="00D13A48">
        <w:rPr>
          <w:rFonts w:eastAsia="Times New Roman" w:cs="Arial"/>
          <w:bCs/>
          <w:color w:val="000000"/>
          <w:lang w:eastAsia="bg-BG"/>
        </w:rPr>
        <w:t xml:space="preserve">/ден кларитромицин е по-ефективна от 50 </w:t>
      </w:r>
      <w:r w:rsidRPr="00D13A48">
        <w:rPr>
          <w:rFonts w:eastAsia="Times New Roman" w:cs="Arial"/>
          <w:bCs/>
          <w:color w:val="000000"/>
          <w:lang w:val="en-US"/>
        </w:rPr>
        <w:t>mg</w:t>
      </w:r>
      <w:r w:rsidRPr="00D13A48">
        <w:rPr>
          <w:rFonts w:eastAsia="Times New Roman" w:cs="Arial"/>
          <w:bCs/>
          <w:color w:val="000000"/>
          <w:lang w:val="ru-RU"/>
        </w:rPr>
        <w:t>/</w:t>
      </w:r>
      <w:r w:rsidRPr="00D13A48">
        <w:rPr>
          <w:rFonts w:eastAsia="Times New Roman" w:cs="Arial"/>
          <w:bCs/>
          <w:color w:val="000000"/>
          <w:lang w:val="en-US"/>
        </w:rPr>
        <w:t>kg</w:t>
      </w:r>
      <w:r w:rsidRPr="00D13A48">
        <w:rPr>
          <w:rFonts w:eastAsia="Times New Roman" w:cs="Arial"/>
          <w:bCs/>
          <w:color w:val="000000"/>
          <w:lang w:eastAsia="bg-BG"/>
        </w:rPr>
        <w:t>/ден еритромицин.</w:t>
      </w:r>
    </w:p>
    <w:p w14:paraId="69BF9F6D" w14:textId="77777777" w:rsidR="00D13A48" w:rsidRPr="00D13A48" w:rsidRDefault="00D13A48" w:rsidP="00D13A48">
      <w:pPr>
        <w:spacing w:line="240" w:lineRule="auto"/>
        <w:rPr>
          <w:rFonts w:eastAsia="Times New Roman" w:cs="Arial"/>
          <w:bCs/>
          <w:color w:val="000000"/>
          <w:u w:val="single"/>
          <w:lang w:eastAsia="bg-BG"/>
        </w:rPr>
      </w:pPr>
    </w:p>
    <w:p w14:paraId="26E78FD8" w14:textId="26E9932B"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Тестове за чувствителност</w:t>
      </w:r>
    </w:p>
    <w:p w14:paraId="1C861402"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Количествени методи, които изискват измерването на зонови диаметри, дават най-точните преценки за чувствителността на бактериите към антимикробни лекарства. Една пепоръчана процедура използва дискове, напоени с 15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eastAsia="bg-BG"/>
        </w:rPr>
        <w:t>кларитромицин, за изследване на чувствителността (дифузионен тест на Кърби-Бауер); интерпретирането корелира диаметрите на инхибиторната зона на този дисков тест с МИК стойностите на кларитромицин. МИК стойностите се определят чрез бульонен или агар дилуционен метод. При тези процедури съобщение от лабораторията за „чувствителни“ показва, че инфектиращият организъм вероятно ще отговори на терапията. Съобщение за „резистентни“ показва, че инфектиращият микроорганизъм вероятно няма да отговори на терапията. Съобщение за „междинна чувствителност“ предполага, че терапевтичният ефект на лекарството може да е несигурен или микроорганизмът ще бъде чувствителен, ако се използват по-високи дози. (Междинната чувствителност също се нарича умерена чувствителност)</w:t>
      </w:r>
    </w:p>
    <w:p w14:paraId="5EBA4F97"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Моля вижте специфичната информация за Вашата страна или регион относно гранични стойности за чувствителност, резистентност и междинна чувствителност.</w:t>
      </w:r>
    </w:p>
    <w:p w14:paraId="6E45B94B" w14:textId="77777777" w:rsidR="00D13A48" w:rsidRPr="00D13A48" w:rsidRDefault="00D13A48" w:rsidP="00D13A48">
      <w:pPr>
        <w:spacing w:line="240" w:lineRule="auto"/>
        <w:rPr>
          <w:rFonts w:eastAsia="Times New Roman" w:cs="Arial"/>
          <w:bCs/>
          <w:color w:val="000000"/>
          <w:u w:val="single"/>
          <w:lang w:eastAsia="bg-BG"/>
        </w:rPr>
      </w:pPr>
    </w:p>
    <w:p w14:paraId="2C8C3CE8" w14:textId="77540B62" w:rsidR="00D13A48" w:rsidRPr="00D13A48" w:rsidRDefault="00D13A48" w:rsidP="00D13A48">
      <w:pPr>
        <w:spacing w:line="240" w:lineRule="auto"/>
        <w:rPr>
          <w:rFonts w:eastAsia="Times New Roman" w:cs="Arial"/>
        </w:rPr>
      </w:pPr>
      <w:r w:rsidRPr="00D13A48">
        <w:rPr>
          <w:rFonts w:eastAsia="Times New Roman" w:cs="Arial"/>
          <w:bCs/>
          <w:color w:val="000000"/>
          <w:u w:val="single"/>
          <w:lang w:eastAsia="bg-BG"/>
        </w:rPr>
        <w:t>Клинични изпитвания</w:t>
      </w:r>
    </w:p>
    <w:p w14:paraId="1B095D16"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Helicobacter</w:t>
      </w:r>
      <w:r w:rsidRPr="00D13A48">
        <w:rPr>
          <w:rFonts w:eastAsia="Times New Roman" w:cs="Arial"/>
          <w:bCs/>
          <w:i/>
          <w:iCs/>
          <w:color w:val="000000"/>
        </w:rPr>
        <w:t xml:space="preserve"> </w:t>
      </w:r>
      <w:r w:rsidRPr="00D13A48">
        <w:rPr>
          <w:rFonts w:eastAsia="Times New Roman" w:cs="Arial"/>
          <w:bCs/>
          <w:i/>
          <w:iCs/>
          <w:color w:val="000000"/>
          <w:lang w:val="en-US"/>
        </w:rPr>
        <w:t>pylori</w:t>
      </w:r>
      <w:r w:rsidRPr="00D13A48">
        <w:rPr>
          <w:rFonts w:eastAsia="Times New Roman" w:cs="Arial"/>
          <w:bCs/>
          <w:color w:val="000000"/>
        </w:rPr>
        <w:t xml:space="preserve"> </w:t>
      </w:r>
      <w:r w:rsidRPr="00D13A48">
        <w:rPr>
          <w:rFonts w:eastAsia="Times New Roman" w:cs="Arial"/>
          <w:bCs/>
          <w:color w:val="000000"/>
          <w:lang w:eastAsia="bg-BG"/>
        </w:rPr>
        <w:t xml:space="preserve">силно се асоциира с пептична язвена болест. Деветдесет (90) до 100% от пациентите с дуоденални язви са инфектирани с този патоген. Ерадикацията на </w:t>
      </w:r>
      <w:r w:rsidRPr="00D13A48">
        <w:rPr>
          <w:rFonts w:eastAsia="Times New Roman" w:cs="Arial"/>
          <w:bCs/>
          <w:i/>
          <w:iCs/>
          <w:color w:val="000000"/>
          <w:lang w:eastAsia="bg-BG"/>
        </w:rPr>
        <w:t xml:space="preserve">Н. </w:t>
      </w:r>
      <w:proofErr w:type="gramStart"/>
      <w:r w:rsidRPr="00D13A48">
        <w:rPr>
          <w:rFonts w:eastAsia="Times New Roman" w:cs="Arial"/>
          <w:bCs/>
          <w:i/>
          <w:iCs/>
          <w:color w:val="000000"/>
          <w:lang w:val="en-US"/>
        </w:rPr>
        <w:t>pylori</w:t>
      </w:r>
      <w:proofErr w:type="gramEnd"/>
      <w:r w:rsidRPr="00D13A48">
        <w:rPr>
          <w:rFonts w:eastAsia="Times New Roman" w:cs="Arial"/>
          <w:bCs/>
          <w:i/>
          <w:iCs/>
          <w:color w:val="000000"/>
          <w:lang w:val="ru-RU"/>
        </w:rPr>
        <w:t xml:space="preserve"> </w:t>
      </w:r>
      <w:r w:rsidRPr="00D13A48">
        <w:rPr>
          <w:rFonts w:eastAsia="Times New Roman" w:cs="Arial"/>
          <w:bCs/>
          <w:color w:val="000000"/>
          <w:lang w:eastAsia="bg-BG"/>
        </w:rPr>
        <w:t>показва намаляване на честотата на повторна поява на дуоденалната язва, като по този начин намалява нуждата от поддържане на антисекторна терапия.</w:t>
      </w:r>
    </w:p>
    <w:p w14:paraId="1CCFAB42" w14:textId="77777777" w:rsidR="00D13A48" w:rsidRPr="00D13A48" w:rsidRDefault="00D13A48" w:rsidP="00D13A48">
      <w:pPr>
        <w:spacing w:line="240" w:lineRule="auto"/>
        <w:rPr>
          <w:rFonts w:eastAsia="Times New Roman" w:cs="Arial"/>
          <w:bCs/>
          <w:i/>
          <w:iCs/>
          <w:color w:val="000000"/>
          <w:lang w:eastAsia="bg-BG"/>
        </w:rPr>
      </w:pPr>
    </w:p>
    <w:p w14:paraId="5144CF6F" w14:textId="03E2547B" w:rsidR="00D13A48" w:rsidRPr="00D13A48" w:rsidRDefault="00D13A48" w:rsidP="00D13A48">
      <w:pPr>
        <w:spacing w:line="240" w:lineRule="auto"/>
        <w:rPr>
          <w:rFonts w:eastAsia="Times New Roman" w:cs="Arial"/>
        </w:rPr>
      </w:pPr>
      <w:r w:rsidRPr="00D13A48">
        <w:rPr>
          <w:rFonts w:eastAsia="Times New Roman" w:cs="Arial"/>
          <w:bCs/>
          <w:i/>
          <w:iCs/>
          <w:color w:val="000000"/>
          <w:lang w:eastAsia="bg-BG"/>
        </w:rPr>
        <w:t>Тройна терапия при дуоденаяна язвена болест</w:t>
      </w:r>
    </w:p>
    <w:p w14:paraId="57D6C93D"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При добре контролирано двойносляпо проучване при пациенти с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 xml:space="preserve">инфектирана дуоденална язва са получавали тройна терапия с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амоксицилин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и омепразол 20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за десет дни или двойна терапия с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три пъти дневно и омепразол 40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за 14 дни.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е ерадикиран при 90% от пациентите, получаващи тройна терапия с кларитромицин, и при 60% от пациентите, получаващи двойна терапия.</w:t>
      </w:r>
    </w:p>
    <w:p w14:paraId="65F302EC"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В независимо проучване пациенти, инфектирани с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i/>
          <w:iCs/>
          <w:color w:val="000000"/>
          <w:lang w:val="ru-RU"/>
        </w:rPr>
        <w:t>,</w:t>
      </w:r>
      <w:r w:rsidRPr="00D13A48">
        <w:rPr>
          <w:rFonts w:eastAsia="Times New Roman" w:cs="Arial"/>
          <w:bCs/>
          <w:color w:val="000000"/>
          <w:lang w:val="ru-RU"/>
        </w:rPr>
        <w:t xml:space="preserve"> </w:t>
      </w:r>
      <w:r w:rsidRPr="00D13A48">
        <w:rPr>
          <w:rFonts w:eastAsia="Times New Roman" w:cs="Arial"/>
          <w:bCs/>
          <w:color w:val="000000"/>
          <w:lang w:eastAsia="bg-BG"/>
        </w:rPr>
        <w:t xml:space="preserve">получават терапия за ерадикация с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в комбинация с амоксицилин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и омепразол 20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(Група А) или омепразол 20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(Група В) за седем дни. При тези пациенти, които преди това не са лекувани с анти-Н. </w:t>
      </w:r>
      <w:proofErr w:type="gramStart"/>
      <w:r w:rsidRPr="00D13A48">
        <w:rPr>
          <w:rFonts w:eastAsia="Times New Roman" w:cs="Arial"/>
          <w:bCs/>
          <w:i/>
          <w:iCs/>
          <w:color w:val="000000"/>
          <w:lang w:val="en-US"/>
        </w:rPr>
        <w:t>pylori</w:t>
      </w:r>
      <w:proofErr w:type="gramEnd"/>
      <w:r w:rsidRPr="00D13A48">
        <w:rPr>
          <w:rFonts w:eastAsia="Times New Roman" w:cs="Arial"/>
          <w:bCs/>
          <w:color w:val="000000"/>
          <w:lang w:val="ru-RU"/>
        </w:rPr>
        <w:t xml:space="preserve"> </w:t>
      </w:r>
      <w:r w:rsidRPr="00D13A48">
        <w:rPr>
          <w:rFonts w:eastAsia="Times New Roman" w:cs="Arial"/>
          <w:bCs/>
          <w:color w:val="000000"/>
          <w:lang w:eastAsia="bg-BG"/>
        </w:rPr>
        <w:t xml:space="preserve">терапия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е ерадикиран при 86% (95% С1=69-95) от пациентите в Група А и 75% (95% С1=62- 85) от пациентите в Група В, като разликата не е била статистически значима.</w:t>
      </w:r>
    </w:p>
    <w:p w14:paraId="36C408CD"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В открито проучване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 xml:space="preserve">инфектирани пациенти с дуоденаяна язва или неизявена диспепсия </w:t>
      </w:r>
      <w:r w:rsidRPr="00D13A48">
        <w:rPr>
          <w:rFonts w:eastAsia="Times New Roman" w:cs="Arial"/>
          <w:bCs/>
          <w:color w:val="000000"/>
          <w:lang w:val="ru-RU"/>
        </w:rPr>
        <w:t>(</w:t>
      </w:r>
      <w:r w:rsidRPr="00D13A48">
        <w:rPr>
          <w:rFonts w:eastAsia="Times New Roman" w:cs="Arial"/>
          <w:bCs/>
          <w:color w:val="000000"/>
          <w:lang w:val="en-US"/>
        </w:rPr>
        <w:t>NUD</w:t>
      </w:r>
      <w:r w:rsidRPr="00D13A48">
        <w:rPr>
          <w:rFonts w:eastAsia="Times New Roman" w:cs="Arial"/>
          <w:bCs/>
          <w:color w:val="000000"/>
          <w:lang w:val="ru-RU"/>
        </w:rPr>
        <w:t xml:space="preserve">) </w:t>
      </w:r>
      <w:r w:rsidRPr="00D13A48">
        <w:rPr>
          <w:rFonts w:eastAsia="Times New Roman" w:cs="Arial"/>
          <w:bCs/>
          <w:color w:val="000000"/>
          <w:lang w:eastAsia="bg-BG"/>
        </w:rPr>
        <w:t xml:space="preserve">получават лечение с ерадикация на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w:t>
      </w:r>
      <w:r w:rsidRPr="00D13A48">
        <w:rPr>
          <w:rFonts w:eastAsia="Times New Roman" w:cs="Arial"/>
          <w:bCs/>
          <w:color w:val="000000"/>
          <w:lang w:eastAsia="bg-BG"/>
        </w:rPr>
        <w:lastRenderedPageBreak/>
        <w:t xml:space="preserve">дневно, лансопразол 30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плюс амоксицилин 1000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два пъти дневно за десет дни. При анализа на всички лекувани пациенти </w:t>
      </w:r>
      <w:r w:rsidRPr="00D13A48">
        <w:rPr>
          <w:rFonts w:eastAsia="Times New Roman" w:cs="Arial"/>
          <w:bCs/>
          <w:i/>
          <w:iCs/>
          <w:color w:val="000000"/>
          <w:lang w:val="en-US"/>
        </w:rPr>
        <w:t>H</w:t>
      </w:r>
      <w:r w:rsidRPr="00D13A48">
        <w:rPr>
          <w:rFonts w:eastAsia="Times New Roman" w:cs="Arial"/>
          <w:bCs/>
          <w:i/>
          <w:iCs/>
          <w:color w:val="000000"/>
          <w:lang w:val="ru-RU"/>
        </w:rPr>
        <w:t>.</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е ерадикиран при 91% от пациентите.</w:t>
      </w:r>
    </w:p>
    <w:p w14:paraId="260EAA44" w14:textId="77777777" w:rsidR="00D13A48" w:rsidRPr="00D13A48" w:rsidRDefault="00D13A48" w:rsidP="00D13A48">
      <w:pPr>
        <w:spacing w:line="240" w:lineRule="auto"/>
        <w:rPr>
          <w:rFonts w:eastAsia="Times New Roman" w:cs="Arial"/>
        </w:rPr>
      </w:pPr>
    </w:p>
    <w:p w14:paraId="7B4DEA53" w14:textId="601BD030" w:rsidR="00D13A48" w:rsidRPr="00D13A48" w:rsidRDefault="00D13A48" w:rsidP="00D13A48">
      <w:pPr>
        <w:spacing w:line="240" w:lineRule="auto"/>
        <w:rPr>
          <w:rFonts w:eastAsia="Times New Roman" w:cs="Arial"/>
        </w:rPr>
      </w:pPr>
      <w:r w:rsidRPr="00D13A48">
        <w:rPr>
          <w:rFonts w:eastAsia="Times New Roman" w:cs="Arial"/>
          <w:bCs/>
          <w:i/>
          <w:iCs/>
          <w:color w:val="000000"/>
          <w:lang w:eastAsia="bg-BG"/>
        </w:rPr>
        <w:t>Двойна терапия на дуоденална язва</w:t>
      </w:r>
    </w:p>
    <w:p w14:paraId="51D225E0" w14:textId="77777777" w:rsidR="00D13A48" w:rsidRPr="00D13A48" w:rsidRDefault="00D13A48" w:rsidP="00D13A48">
      <w:pPr>
        <w:rPr>
          <w:rFonts w:eastAsia="Times New Roman" w:cs="Arial"/>
        </w:rPr>
      </w:pPr>
      <w:r w:rsidRPr="00D13A48">
        <w:rPr>
          <w:rFonts w:eastAsia="Times New Roman" w:cs="Arial"/>
          <w:bCs/>
          <w:color w:val="000000"/>
          <w:lang w:eastAsia="bg-BG"/>
        </w:rPr>
        <w:t xml:space="preserve">При добре контролирани двойнослепи проучвания пациенти с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i/>
          <w:iCs/>
          <w:color w:val="000000"/>
          <w:lang w:val="ru-RU"/>
        </w:rPr>
        <w:t xml:space="preserve"> </w:t>
      </w:r>
      <w:r w:rsidRPr="00D13A48">
        <w:rPr>
          <w:rFonts w:eastAsia="Times New Roman" w:cs="Arial"/>
          <w:bCs/>
          <w:i/>
          <w:iCs/>
          <w:color w:val="000000"/>
          <w:lang w:eastAsia="bg-BG"/>
        </w:rPr>
        <w:t>инфектирани</w:t>
      </w:r>
      <w:r w:rsidRPr="00D13A48">
        <w:rPr>
          <w:rFonts w:eastAsia="Times New Roman" w:cs="Arial"/>
          <w:bCs/>
          <w:color w:val="000000"/>
          <w:lang w:eastAsia="bg-BG"/>
        </w:rPr>
        <w:t xml:space="preserve"> дуоденални язви получават лечение с ерадикация на кларитромицин 500</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три пъти дневно и омепразол 40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за 14 дни, последвано от омепразол 40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(Проучване А) или омепразол 20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(Проучване В, С и </w:t>
      </w:r>
      <w:r w:rsidRPr="00D13A48">
        <w:rPr>
          <w:rFonts w:eastAsia="Times New Roman" w:cs="Arial"/>
          <w:bCs/>
          <w:color w:val="000000"/>
          <w:lang w:val="en-US"/>
        </w:rPr>
        <w:t>D</w:t>
      </w:r>
      <w:r w:rsidRPr="00D13A48">
        <w:rPr>
          <w:rFonts w:eastAsia="Times New Roman" w:cs="Arial"/>
          <w:bCs/>
          <w:color w:val="000000"/>
          <w:lang w:val="ru-RU"/>
        </w:rPr>
        <w:t xml:space="preserve">) </w:t>
      </w:r>
      <w:r w:rsidRPr="00D13A48">
        <w:rPr>
          <w:rFonts w:eastAsia="Times New Roman" w:cs="Arial"/>
          <w:bCs/>
          <w:color w:val="000000"/>
          <w:lang w:eastAsia="bg-BG"/>
        </w:rPr>
        <w:t xml:space="preserve">дневно за още 14 дни; пациентите във вяска контролна група получават само омепразол за 28 дни. В проучване </w:t>
      </w:r>
      <w:r w:rsidRPr="00D13A48">
        <w:rPr>
          <w:rFonts w:eastAsia="Times New Roman" w:cs="Arial"/>
          <w:bCs/>
          <w:color w:val="000000"/>
          <w:lang w:val="en-US"/>
        </w:rPr>
        <w:t>A</w:t>
      </w:r>
      <w:r w:rsidRPr="00D13A48">
        <w:rPr>
          <w:rFonts w:eastAsia="Times New Roman" w:cs="Arial"/>
          <w:bCs/>
          <w:color w:val="000000"/>
          <w:lang w:val="ru-RU"/>
        </w:rPr>
        <w:t xml:space="preserve"> </w:t>
      </w:r>
      <w:r w:rsidRPr="00D13A48">
        <w:rPr>
          <w:rFonts w:eastAsia="Times New Roman" w:cs="Arial"/>
          <w:bCs/>
          <w:i/>
          <w:iCs/>
          <w:color w:val="000000"/>
          <w:lang w:eastAsia="bg-BG"/>
        </w:rPr>
        <w:t xml:space="preserve">Н. </w:t>
      </w:r>
      <w:r w:rsidRPr="00D13A48">
        <w:rPr>
          <w:rFonts w:eastAsia="Times New Roman" w:cs="Arial"/>
          <w:bCs/>
          <w:i/>
          <w:i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 xml:space="preserve">е ерадикиран при повече от 80% от пациентите, които са получили кларитромицин и омепразол, и само при 1% от пациентите, получили само омепразол. В проучвания В, С и </w:t>
      </w:r>
      <w:r w:rsidRPr="00D13A48">
        <w:rPr>
          <w:rFonts w:eastAsia="Times New Roman" w:cs="Arial"/>
          <w:bCs/>
          <w:color w:val="000000"/>
          <w:lang w:val="en-US"/>
        </w:rPr>
        <w:t>D</w:t>
      </w:r>
      <w:r w:rsidRPr="00D13A48">
        <w:rPr>
          <w:rFonts w:eastAsia="Times New Roman" w:cs="Arial"/>
          <w:bCs/>
          <w:color w:val="000000"/>
          <w:lang w:val="ru-RU"/>
        </w:rPr>
        <w:t xml:space="preserve"> </w:t>
      </w:r>
      <w:r w:rsidRPr="00D13A48">
        <w:rPr>
          <w:rFonts w:eastAsia="Times New Roman" w:cs="Arial"/>
          <w:bCs/>
          <w:color w:val="000000"/>
          <w:lang w:eastAsia="bg-BG"/>
        </w:rPr>
        <w:t>комбинираната честота на ерадикация е над 70% (анализ, подлежащ на клинична оценка) при пациенти, получили кларитромицин и омепразол, и под 1% от пациентите, получили само омепразол. При всяко проучване честотата на язвен рецидив след шест месеца е статистически по-ниска при пациентите, лекувани с кларитромицин и омепразол в сравнение с пациентите, получили само омепразол.</w:t>
      </w:r>
    </w:p>
    <w:p w14:paraId="624BA9D9" w14:textId="77777777" w:rsidR="00D13A48" w:rsidRPr="00D13A48" w:rsidRDefault="00D13A48" w:rsidP="00D13A48">
      <w:pPr>
        <w:spacing w:line="240" w:lineRule="auto"/>
        <w:rPr>
          <w:rFonts w:eastAsia="Times New Roman" w:cs="Arial"/>
          <w:bCs/>
          <w:color w:val="000000"/>
          <w:lang w:eastAsia="bg-BG"/>
        </w:rPr>
      </w:pPr>
    </w:p>
    <w:p w14:paraId="0603D374" w14:textId="5BD3AAC8"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В сляпо за изследователя проучване пациенти, инфектирани с Н. </w:t>
      </w:r>
      <w:r w:rsidRPr="00D13A48">
        <w:rPr>
          <w:rFonts w:eastAsia="Times New Roman" w:cs="Arial"/>
          <w:bCs/>
          <w:color w:val="000000"/>
          <w:lang w:val="en-US"/>
        </w:rPr>
        <w:t>pylori</w:t>
      </w:r>
      <w:r w:rsidRPr="00D13A48">
        <w:rPr>
          <w:rFonts w:eastAsia="Times New Roman" w:cs="Arial"/>
          <w:bCs/>
          <w:color w:val="000000"/>
          <w:lang w:val="ru-RU"/>
        </w:rPr>
        <w:t xml:space="preserve">, </w:t>
      </w:r>
      <w:r w:rsidRPr="00D13A48">
        <w:rPr>
          <w:rFonts w:eastAsia="Times New Roman" w:cs="Arial"/>
          <w:bCs/>
          <w:color w:val="000000"/>
          <w:lang w:eastAsia="bg-BG"/>
        </w:rPr>
        <w:t xml:space="preserve">получават лечение за ерадикация с кларитромицин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три пъти дневно в комбинация с лансопразол 60 </w:t>
      </w:r>
      <w:r w:rsidRPr="00D13A48">
        <w:rPr>
          <w:rFonts w:eastAsia="Times New Roman" w:cs="Arial"/>
          <w:bCs/>
          <w:color w:val="000000"/>
          <w:lang w:val="en-US"/>
        </w:rPr>
        <w:t>mg</w:t>
      </w:r>
      <w:r w:rsidRPr="00D13A48">
        <w:rPr>
          <w:rFonts w:eastAsia="Times New Roman" w:cs="Arial"/>
          <w:bCs/>
          <w:color w:val="000000"/>
          <w:lang w:eastAsia="bg-BG"/>
        </w:rPr>
        <w:t>/дневно в единична или разделени дози за 14 дни. Комбинираната честота на ерадикация е над 60%.</w:t>
      </w:r>
    </w:p>
    <w:p w14:paraId="739B649F" w14:textId="258C2EEB" w:rsidR="00D13A48" w:rsidRPr="00D13A48" w:rsidRDefault="00D13A48" w:rsidP="00D13A48"/>
    <w:p w14:paraId="79643DB7" w14:textId="0DF0A4AC" w:rsidR="00DF4C8E" w:rsidRDefault="002C50EE" w:rsidP="00F44498">
      <w:pPr>
        <w:pStyle w:val="Heading2"/>
      </w:pPr>
      <w:r>
        <w:t>5.2. Фармакокинетични свойства</w:t>
      </w:r>
    </w:p>
    <w:p w14:paraId="63EA0FE8" w14:textId="257124AE" w:rsidR="00D13A48" w:rsidRPr="00D13A48" w:rsidRDefault="00D13A48" w:rsidP="00D13A48">
      <w:pPr>
        <w:pStyle w:val="Heading3"/>
        <w:rPr>
          <w:u w:val="single"/>
        </w:rPr>
      </w:pPr>
    </w:p>
    <w:p w14:paraId="7602A312" w14:textId="77777777" w:rsidR="00D13A48" w:rsidRPr="00D13A48" w:rsidRDefault="00D13A48" w:rsidP="00D13A48">
      <w:pPr>
        <w:pStyle w:val="Heading3"/>
        <w:rPr>
          <w:u w:val="single"/>
        </w:rPr>
      </w:pPr>
      <w:r w:rsidRPr="00D13A48">
        <w:rPr>
          <w:u w:val="single"/>
        </w:rPr>
        <w:t>Абсорбиия</w:t>
      </w:r>
    </w:p>
    <w:p w14:paraId="5E36DB0E"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Кинетиката на орално приложение на кларитромицин е широко проучена при някалко животински вида и при възрастни хора. Тези проучвания показват, че кларитромицин се абсорбира бързо с абсолютна бионаличност приблизително 50%. Открита е ниска или липсваща непредвидена акумулация, а метаболитната диспозиция не се променя при нито един от видовете след множествено дозиране. Приемът на храна непосредствено преди дозирането повишава бионаличността на кларитроцини средно с 25%. Като цяло това повишение е слабо и трябва да има малка клинична значимост при препоръчваните режими на дозиране. Следователно кларитромицин може да бъде прилаган при наличие или отсъствие на храна.</w:t>
      </w:r>
    </w:p>
    <w:p w14:paraId="7D31D977" w14:textId="77777777" w:rsidR="00D13A48" w:rsidRPr="00D13A48" w:rsidRDefault="00D13A48" w:rsidP="00D13A48">
      <w:pPr>
        <w:spacing w:line="240" w:lineRule="auto"/>
        <w:rPr>
          <w:rFonts w:eastAsia="Times New Roman" w:cs="Arial"/>
          <w:bCs/>
          <w:color w:val="000000"/>
          <w:u w:val="single"/>
          <w:lang w:eastAsia="bg-BG"/>
        </w:rPr>
      </w:pPr>
    </w:p>
    <w:p w14:paraId="797E891D" w14:textId="6BDFA109" w:rsidR="00D13A48" w:rsidRPr="00D13A48" w:rsidRDefault="00D13A48" w:rsidP="00D13A48">
      <w:pPr>
        <w:pStyle w:val="Heading3"/>
        <w:rPr>
          <w:u w:val="single"/>
        </w:rPr>
      </w:pPr>
      <w:r w:rsidRPr="00D13A48">
        <w:rPr>
          <w:u w:val="single"/>
        </w:rPr>
        <w:t>Разпределение, биотрансформавия и елиминиране</w:t>
      </w:r>
    </w:p>
    <w:p w14:paraId="065F265C"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p>
    <w:p w14:paraId="0B4F3E9D" w14:textId="7777777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vitro</w:t>
      </w:r>
      <w:r w:rsidRPr="00D13A48">
        <w:rPr>
          <w:rFonts w:eastAsia="Times New Roman" w:cs="Arial"/>
          <w:bCs/>
          <w:color w:val="000000"/>
          <w:lang w:val="ru-RU"/>
        </w:rPr>
        <w:t xml:space="preserve"> </w:t>
      </w:r>
      <w:r w:rsidRPr="00D13A48">
        <w:rPr>
          <w:rFonts w:eastAsia="Times New Roman" w:cs="Arial"/>
          <w:bCs/>
          <w:color w:val="000000"/>
          <w:lang w:eastAsia="bg-BG"/>
        </w:rPr>
        <w:t>проучванията показват, че свързването на кларитромицин с протеини в човешката плазма е средно около 70% при концентрации от 0,45 до 4,5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Понижение в свързването до 44% при 45,0 μ</w:t>
      </w:r>
      <w:r w:rsidRPr="00D13A48">
        <w:rPr>
          <w:rFonts w:eastAsia="Times New Roman" w:cs="Arial"/>
          <w:bCs/>
          <w:color w:val="000000"/>
          <w:lang w:val="en-US"/>
        </w:rPr>
        <w:t>g</w:t>
      </w:r>
      <w:r w:rsidRPr="00D13A48">
        <w:rPr>
          <w:rFonts w:eastAsia="Times New Roman" w:cs="Arial"/>
          <w:bCs/>
          <w:color w:val="000000"/>
          <w:lang w:val="ru-RU"/>
        </w:rPr>
        <w:t>/</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предполага, че местата на свързване могат да бъдат наситени, но това се случва само при концентрации, далеч надхвърлящи терапевтичните лекарствени нива.</w:t>
      </w:r>
    </w:p>
    <w:p w14:paraId="0997B274" w14:textId="77777777" w:rsidR="00D13A48" w:rsidRPr="00D13A48" w:rsidRDefault="00D13A48" w:rsidP="00D13A48">
      <w:pPr>
        <w:spacing w:line="240" w:lineRule="auto"/>
        <w:rPr>
          <w:rFonts w:eastAsia="Times New Roman" w:cs="Arial"/>
          <w:bCs/>
          <w:i/>
          <w:iCs/>
          <w:color w:val="000000"/>
          <w:lang w:val="en-US"/>
        </w:rPr>
      </w:pPr>
    </w:p>
    <w:p w14:paraId="7A21C06F" w14:textId="7C70AC87" w:rsidR="00D13A48" w:rsidRPr="00D13A48" w:rsidRDefault="00D13A48" w:rsidP="00D13A48">
      <w:pPr>
        <w:spacing w:line="240" w:lineRule="auto"/>
        <w:rPr>
          <w:rFonts w:eastAsia="Times New Roman" w:cs="Arial"/>
        </w:rPr>
      </w:pPr>
      <w:r w:rsidRPr="00D13A48">
        <w:rPr>
          <w:rFonts w:eastAsia="Times New Roman" w:cs="Arial"/>
          <w:bCs/>
          <w:i/>
          <w:iCs/>
          <w:color w:val="000000"/>
          <w:lang w:val="en-US"/>
        </w:rPr>
        <w:t>In</w:t>
      </w:r>
      <w:r w:rsidRPr="00D13A48">
        <w:rPr>
          <w:rFonts w:eastAsia="Times New Roman" w:cs="Arial"/>
          <w:bCs/>
          <w:i/>
          <w:iCs/>
          <w:color w:val="000000"/>
          <w:lang w:val="ru-RU"/>
        </w:rPr>
        <w:t xml:space="preserve"> </w:t>
      </w:r>
      <w:r w:rsidRPr="00D13A48">
        <w:rPr>
          <w:rFonts w:eastAsia="Times New Roman" w:cs="Arial"/>
          <w:bCs/>
          <w:i/>
          <w:iCs/>
          <w:color w:val="000000"/>
          <w:lang w:val="en-US"/>
        </w:rPr>
        <w:t>vivo</w:t>
      </w:r>
    </w:p>
    <w:p w14:paraId="7BE05363"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Резултатите от проучвания при животни показват, че нивата на кларитромицин във всички тъкани, с изключение на централната нервна система са няколко пъти по-високи от циркулиращите лекарствени нива. Най-високите концентрации обикновено се откриват </w:t>
      </w:r>
      <w:r w:rsidRPr="00D13A48">
        <w:rPr>
          <w:rFonts w:eastAsia="Times New Roman" w:cs="Arial"/>
          <w:bCs/>
          <w:color w:val="000000"/>
          <w:lang w:eastAsia="bg-BG"/>
        </w:rPr>
        <w:lastRenderedPageBreak/>
        <w:t>в черния дроб и белите дробове, кьдето отношенията тъкан към плазма (Т/Р) достигат 10 до 20.</w:t>
      </w:r>
    </w:p>
    <w:p w14:paraId="41A65735" w14:textId="77777777" w:rsidR="00D13A48" w:rsidRPr="00D13A48" w:rsidRDefault="00D13A48" w:rsidP="00D13A48">
      <w:pPr>
        <w:spacing w:line="240" w:lineRule="auto"/>
        <w:rPr>
          <w:rFonts w:eastAsia="Times New Roman" w:cs="Arial"/>
          <w:bCs/>
          <w:i/>
          <w:iCs/>
          <w:color w:val="000000"/>
          <w:lang w:eastAsia="bg-BG"/>
        </w:rPr>
      </w:pPr>
    </w:p>
    <w:p w14:paraId="67EC00E9" w14:textId="1BA5C5EA" w:rsidR="00D13A48" w:rsidRPr="00D13A48" w:rsidRDefault="00D13A48" w:rsidP="00D13A48">
      <w:pPr>
        <w:spacing w:line="240" w:lineRule="auto"/>
        <w:rPr>
          <w:rFonts w:eastAsia="Times New Roman" w:cs="Arial"/>
        </w:rPr>
      </w:pPr>
      <w:r w:rsidRPr="00D13A48">
        <w:rPr>
          <w:rFonts w:eastAsia="Times New Roman" w:cs="Arial"/>
          <w:bCs/>
          <w:i/>
          <w:iCs/>
          <w:color w:val="000000"/>
          <w:lang w:eastAsia="bg-BG"/>
        </w:rPr>
        <w:t>Здрави индивиди</w:t>
      </w:r>
    </w:p>
    <w:p w14:paraId="6532C02C" w14:textId="77777777" w:rsidR="00D13A48" w:rsidRPr="00D13A48" w:rsidRDefault="00D13A48" w:rsidP="00D13A48">
      <w:pPr>
        <w:rPr>
          <w:rFonts w:eastAsia="Times New Roman" w:cs="Arial"/>
        </w:rPr>
      </w:pPr>
      <w:r w:rsidRPr="00D13A48">
        <w:rPr>
          <w:rFonts w:eastAsia="Times New Roman" w:cs="Arial"/>
          <w:bCs/>
          <w:color w:val="000000"/>
          <w:lang w:eastAsia="bg-BG"/>
        </w:rPr>
        <w:t xml:space="preserve">С дозиране два пъти дневно от 250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равновесното състояние на пиковата плазмена концентрация се достига за два до три дни и средно 1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за кларитромицин и 0,1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 xml:space="preserve">за 14-ОН-кларитромицин, докато елиминационните полуживоти на изходното лекарство и метаболита са съответно три до четири часа и пет до шест часа. С дозиране два пъти дневно на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Стах в равновесно състояние за кларитромицин и за неговия хидроксилиран метаболит е получена с петатата доза. След петатата и седмата доза </w:t>
      </w:r>
      <w:proofErr w:type="spellStart"/>
      <w:r w:rsidRPr="00D13A48">
        <w:rPr>
          <w:rFonts w:eastAsia="Times New Roman" w:cs="Arial"/>
          <w:bCs/>
          <w:color w:val="000000"/>
          <w:lang w:val="en-US"/>
        </w:rPr>
        <w:t>Cmax</w:t>
      </w:r>
      <w:proofErr w:type="spellEnd"/>
      <w:r w:rsidRPr="00D13A48">
        <w:rPr>
          <w:rFonts w:eastAsia="Times New Roman" w:cs="Arial"/>
          <w:bCs/>
          <w:color w:val="000000"/>
          <w:lang w:val="ru-RU"/>
        </w:rPr>
        <w:t xml:space="preserve"> </w:t>
      </w:r>
      <w:r w:rsidRPr="00D13A48">
        <w:rPr>
          <w:rFonts w:eastAsia="Times New Roman" w:cs="Arial"/>
          <w:bCs/>
          <w:color w:val="000000"/>
          <w:lang w:eastAsia="bg-BG"/>
        </w:rPr>
        <w:t>в равновесно състояние за кларитромицин е средно 2,7 и 2,9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 xml:space="preserve">за негония хидроксилиран метаболит е средно 0,88 </w:t>
      </w:r>
      <w:r w:rsidRPr="00D13A48">
        <w:rPr>
          <w:rFonts w:eastAsia="Times New Roman" w:cs="Arial"/>
          <w:bCs/>
          <w:i/>
          <w:iCs/>
          <w:color w:val="000000"/>
          <w:lang w:eastAsia="bg-BG"/>
        </w:rPr>
        <w:t>и</w:t>
      </w:r>
      <w:r w:rsidRPr="00D13A48">
        <w:rPr>
          <w:rFonts w:eastAsia="Times New Roman" w:cs="Arial"/>
          <w:bCs/>
          <w:color w:val="000000"/>
          <w:lang w:eastAsia="bg-BG"/>
        </w:rPr>
        <w:t xml:space="preserve"> 0,83 μ</w:t>
      </w:r>
      <w:r w:rsidRPr="00D13A48">
        <w:rPr>
          <w:rFonts w:eastAsia="Times New Roman" w:cs="Arial"/>
          <w:bCs/>
          <w:color w:val="000000"/>
          <w:lang w:val="en-US"/>
        </w:rPr>
        <w:t>g</w:t>
      </w:r>
      <w:r w:rsidRPr="00D13A48">
        <w:rPr>
          <w:rFonts w:eastAsia="Times New Roman" w:cs="Arial"/>
          <w:bCs/>
          <w:color w:val="000000"/>
          <w:lang w:val="ru-RU"/>
        </w:rPr>
        <w:t xml:space="preserve">/ </w:t>
      </w:r>
      <w:r w:rsidRPr="00D13A48">
        <w:rPr>
          <w:rFonts w:eastAsia="Times New Roman" w:cs="Arial"/>
          <w:bCs/>
          <w:color w:val="000000"/>
          <w:lang w:val="en-US"/>
        </w:rPr>
        <w:t>ml</w:t>
      </w:r>
      <w:r w:rsidRPr="00D13A48">
        <w:rPr>
          <w:rFonts w:eastAsia="Times New Roman" w:cs="Arial"/>
          <w:bCs/>
          <w:color w:val="000000"/>
          <w:lang w:val="ru-RU"/>
        </w:rPr>
        <w:t xml:space="preserve"> </w:t>
      </w:r>
      <w:r w:rsidRPr="00D13A48">
        <w:rPr>
          <w:rFonts w:eastAsia="Times New Roman" w:cs="Arial"/>
          <w:bCs/>
          <w:color w:val="000000"/>
          <w:lang w:eastAsia="bg-BG"/>
        </w:rPr>
        <w:t xml:space="preserve">съответно. Полуживотьт на изходното лекарство при дозово ниво от 500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е 4,8 до 4,8 часа, докато този на 14-ОН- кларитромицин е 6,9 до 8,7 часа. В равновесно състояние нивата на 14-ОН-кларитромицин не се повишават пропорционално на дозата кларитромицин, а полуживотьт на кларитромицин и неговия хидроксилиран метаболит е с тенденция да бъдат по-дълги при по-високи дози. Това нелинейно фармакокинетично поведение на кларитромицин заедно с общото понижение във формирането на 14-хидроксилирани и </w:t>
      </w:r>
      <w:r w:rsidRPr="00D13A48">
        <w:rPr>
          <w:rFonts w:eastAsia="Times New Roman" w:cs="Arial"/>
          <w:bCs/>
          <w:color w:val="000000"/>
          <w:lang w:val="en-US"/>
        </w:rPr>
        <w:t>N</w:t>
      </w:r>
      <w:r w:rsidRPr="00D13A48">
        <w:rPr>
          <w:rFonts w:eastAsia="Times New Roman" w:cs="Arial"/>
          <w:bCs/>
          <w:color w:val="000000"/>
          <w:lang w:eastAsia="bg-BG"/>
        </w:rPr>
        <w:t>-деметилирани продукти при по-високи дози показва, че нелинейният метаболизъм на кларитромицин става по- силно изразен при по-високи дози.</w:t>
      </w:r>
    </w:p>
    <w:p w14:paraId="670340CF" w14:textId="77777777" w:rsidR="00D13A48" w:rsidRPr="00D13A48" w:rsidRDefault="00D13A48" w:rsidP="00D13A48">
      <w:pPr>
        <w:spacing w:line="240" w:lineRule="auto"/>
        <w:rPr>
          <w:rFonts w:eastAsia="Times New Roman" w:cs="Arial"/>
        </w:rPr>
      </w:pPr>
      <w:r w:rsidRPr="00D13A48">
        <w:rPr>
          <w:rFonts w:eastAsia="Times New Roman" w:cs="Arial"/>
          <w:bCs/>
          <w:color w:val="000000"/>
          <w:lang w:eastAsia="bg-BG"/>
        </w:rPr>
        <w:t xml:space="preserve">При възрастни хора, на които са давани единични ораплни дози от 250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 xml:space="preserve">или 1200 </w:t>
      </w:r>
      <w:r w:rsidRPr="00D13A48">
        <w:rPr>
          <w:rFonts w:eastAsia="Times New Roman" w:cs="Arial"/>
          <w:bCs/>
          <w:color w:val="000000"/>
          <w:lang w:val="en-US"/>
        </w:rPr>
        <w:t>mg</w:t>
      </w:r>
      <w:r w:rsidRPr="00D13A48">
        <w:rPr>
          <w:rFonts w:eastAsia="Times New Roman" w:cs="Arial"/>
          <w:bCs/>
          <w:color w:val="000000"/>
          <w:lang w:val="ru-RU"/>
        </w:rPr>
        <w:t xml:space="preserve"> </w:t>
      </w:r>
      <w:r w:rsidRPr="00D13A48">
        <w:rPr>
          <w:rFonts w:eastAsia="Times New Roman" w:cs="Arial"/>
          <w:bCs/>
          <w:color w:val="000000"/>
          <w:lang w:eastAsia="bg-BG"/>
        </w:rPr>
        <w:t>кларитромицин, уринната екскреция представлява 37,9% за по-ниската доза и 46,0% за по- високата доза. Фекалната елиминация представлява 40,2% и 29,1% (това включва индивид със само една фекална проба, съдържаща 14,1%) от тези съответни дози.</w:t>
      </w:r>
    </w:p>
    <w:p w14:paraId="1C8439C1" w14:textId="77777777" w:rsidR="00D13A48" w:rsidRPr="00D13A48" w:rsidRDefault="00D13A48" w:rsidP="00D13A48">
      <w:pPr>
        <w:spacing w:line="240" w:lineRule="auto"/>
        <w:rPr>
          <w:rFonts w:eastAsia="Times New Roman" w:cs="Arial"/>
          <w:bCs/>
          <w:i/>
          <w:iCs/>
          <w:color w:val="000000"/>
          <w:lang w:eastAsia="bg-BG"/>
        </w:rPr>
      </w:pPr>
    </w:p>
    <w:p w14:paraId="02DA2377" w14:textId="60B1B546" w:rsidR="00D13A48" w:rsidRPr="00D13A48" w:rsidRDefault="00D13A48" w:rsidP="00D13A48">
      <w:pPr>
        <w:spacing w:line="240" w:lineRule="auto"/>
        <w:rPr>
          <w:rFonts w:eastAsia="Times New Roman" w:cs="Arial"/>
        </w:rPr>
      </w:pPr>
      <w:r w:rsidRPr="00D13A48">
        <w:rPr>
          <w:rFonts w:eastAsia="Times New Roman" w:cs="Arial"/>
          <w:bCs/>
          <w:i/>
          <w:iCs/>
          <w:color w:val="000000"/>
          <w:lang w:eastAsia="bg-BG"/>
        </w:rPr>
        <w:t>Пациенти</w:t>
      </w:r>
    </w:p>
    <w:p w14:paraId="0098E22F" w14:textId="67362F58" w:rsidR="00D13A48" w:rsidRDefault="00D13A48" w:rsidP="00D13A48">
      <w:pPr>
        <w:rPr>
          <w:rFonts w:eastAsia="Times New Roman" w:cs="Arial"/>
          <w:bCs/>
          <w:color w:val="000000"/>
          <w:lang w:eastAsia="bg-BG"/>
        </w:rPr>
      </w:pPr>
      <w:r w:rsidRPr="00D13A48">
        <w:rPr>
          <w:rFonts w:eastAsia="Times New Roman" w:cs="Arial"/>
          <w:bCs/>
          <w:color w:val="000000"/>
          <w:lang w:eastAsia="bg-BG"/>
        </w:rPr>
        <w:t>Кларитромицин и неговият 14-ОН метаболит се разпределят лесно в телесните тъкани и течности. Ограничени данни от малък брой пациенти предполагат, че кларитромицин не достига значими нива в цереброспиналната течност след орални дози (т.е. само 1 до 2% от серумните нива в цереброспиналната течност при пациенти с нормална крьвно-ликворна бариера). Концентрациите в тъканите обикновено са няколко пъти по-високи от серумните концентрации. Примери за тьканните и серумните концентрации са представени по-долу:</w:t>
      </w:r>
    </w:p>
    <w:tbl>
      <w:tblPr>
        <w:tblStyle w:val="TableGrid"/>
        <w:tblW w:w="0" w:type="auto"/>
        <w:tblLook w:val="04A0" w:firstRow="1" w:lastRow="0" w:firstColumn="1" w:lastColumn="0" w:noHBand="0" w:noVBand="1"/>
      </w:tblPr>
      <w:tblGrid>
        <w:gridCol w:w="3116"/>
        <w:gridCol w:w="3117"/>
        <w:gridCol w:w="3117"/>
      </w:tblGrid>
      <w:tr w:rsidR="00CD5A21" w14:paraId="62DA4F72" w14:textId="77777777" w:rsidTr="00B42747">
        <w:tc>
          <w:tcPr>
            <w:tcW w:w="9350" w:type="dxa"/>
            <w:gridSpan w:val="3"/>
          </w:tcPr>
          <w:p w14:paraId="39B7FFBA" w14:textId="758EBF07" w:rsidR="00CD5A21" w:rsidRPr="00CD5A21" w:rsidRDefault="00CD5A21" w:rsidP="00CD5A21">
            <w:pPr>
              <w:spacing w:line="240" w:lineRule="auto"/>
              <w:jc w:val="center"/>
              <w:rPr>
                <w:rFonts w:eastAsia="Times New Roman" w:cs="Arial"/>
              </w:rPr>
            </w:pPr>
            <w:r w:rsidRPr="00CD5A21">
              <w:rPr>
                <w:rFonts w:eastAsia="Times New Roman" w:cs="Arial"/>
                <w:bCs/>
                <w:color w:val="000000"/>
                <w:lang w:eastAsia="bg-BG"/>
              </w:rPr>
              <w:t xml:space="preserve">КОНЦЕНТРАЦИЯ (след 250 </w:t>
            </w:r>
            <w:r w:rsidRPr="00CD5A21">
              <w:rPr>
                <w:rFonts w:eastAsia="Times New Roman" w:cs="Arial"/>
                <w:bCs/>
                <w:color w:val="000000"/>
                <w:lang w:val="en-US"/>
              </w:rPr>
              <w:t>mg</w:t>
            </w:r>
            <w:r w:rsidRPr="00CD5A21">
              <w:rPr>
                <w:rFonts w:eastAsia="Times New Roman" w:cs="Arial"/>
                <w:bCs/>
                <w:color w:val="000000"/>
                <w:lang w:val="ru-RU"/>
              </w:rPr>
              <w:t xml:space="preserve"> </w:t>
            </w:r>
            <w:r w:rsidRPr="00CD5A21">
              <w:rPr>
                <w:rFonts w:eastAsia="Times New Roman" w:cs="Arial"/>
                <w:bCs/>
                <w:color w:val="000000"/>
                <w:lang w:eastAsia="bg-BG"/>
              </w:rPr>
              <w:t>на всеки 12 часа)</w:t>
            </w:r>
          </w:p>
        </w:tc>
      </w:tr>
      <w:tr w:rsidR="00D13A48" w14:paraId="4EB67495" w14:textId="77777777" w:rsidTr="00D13A48">
        <w:tc>
          <w:tcPr>
            <w:tcW w:w="3116" w:type="dxa"/>
          </w:tcPr>
          <w:p w14:paraId="6C26B030" w14:textId="7E7F1D84" w:rsidR="00D13A48" w:rsidRPr="00CD5A21" w:rsidRDefault="00D13A48" w:rsidP="00D13A48">
            <w:pPr>
              <w:rPr>
                <w:rFonts w:cs="Arial"/>
              </w:rPr>
            </w:pPr>
            <w:r w:rsidRPr="00CD5A21">
              <w:rPr>
                <w:bCs/>
              </w:rPr>
              <w:t>Вид тъкан</w:t>
            </w:r>
          </w:p>
        </w:tc>
        <w:tc>
          <w:tcPr>
            <w:tcW w:w="3117" w:type="dxa"/>
          </w:tcPr>
          <w:p w14:paraId="6D9C5726" w14:textId="77777777" w:rsidR="00D13A48" w:rsidRPr="00CD5A21" w:rsidRDefault="00D13A48" w:rsidP="00D13A48">
            <w:r w:rsidRPr="00CD5A21">
              <w:rPr>
                <w:bCs/>
              </w:rPr>
              <w:t>Тъкан</w:t>
            </w:r>
          </w:p>
          <w:p w14:paraId="2342113C" w14:textId="21C832EF" w:rsidR="00D13A48" w:rsidRPr="00CD5A21" w:rsidRDefault="00D13A48" w:rsidP="00D13A48">
            <w:pPr>
              <w:rPr>
                <w:rFonts w:cs="Arial"/>
              </w:rPr>
            </w:pPr>
            <w:r w:rsidRPr="00CD5A21">
              <w:rPr>
                <w:bCs/>
                <w:lang w:val="en-US"/>
              </w:rPr>
              <w:t>(</w:t>
            </w:r>
            <w:r w:rsidRPr="00CD5A21">
              <w:rPr>
                <w:bCs/>
              </w:rPr>
              <w:t>μ</w:t>
            </w:r>
            <w:r w:rsidRPr="00CD5A21">
              <w:rPr>
                <w:bCs/>
                <w:lang w:val="en-US"/>
              </w:rPr>
              <w:t>g/g)</w:t>
            </w:r>
          </w:p>
        </w:tc>
        <w:tc>
          <w:tcPr>
            <w:tcW w:w="3117" w:type="dxa"/>
          </w:tcPr>
          <w:p w14:paraId="1856C47B" w14:textId="77777777" w:rsidR="00D13A48" w:rsidRPr="00CD5A21" w:rsidRDefault="00D13A48" w:rsidP="00D13A48">
            <w:r w:rsidRPr="00CD5A21">
              <w:rPr>
                <w:bCs/>
              </w:rPr>
              <w:t>Серум</w:t>
            </w:r>
          </w:p>
          <w:p w14:paraId="389BDE93" w14:textId="53BC6B5D" w:rsidR="00D13A48" w:rsidRPr="00CD5A21" w:rsidRDefault="00D13A48" w:rsidP="00D13A48">
            <w:pPr>
              <w:rPr>
                <w:rFonts w:cs="Arial"/>
              </w:rPr>
            </w:pPr>
            <w:r w:rsidRPr="00CD5A21">
              <w:rPr>
                <w:bCs/>
                <w:lang w:val="en-US"/>
              </w:rPr>
              <w:t>(</w:t>
            </w:r>
            <w:r w:rsidRPr="00CD5A21">
              <w:t>μ</w:t>
            </w:r>
            <w:r w:rsidRPr="00CD5A21">
              <w:rPr>
                <w:lang w:val="en-US"/>
              </w:rPr>
              <w:t>g/ml)</w:t>
            </w:r>
          </w:p>
        </w:tc>
      </w:tr>
      <w:tr w:rsidR="00D13A48" w14:paraId="38112F70" w14:textId="77777777" w:rsidTr="00D13A48">
        <w:tc>
          <w:tcPr>
            <w:tcW w:w="3116" w:type="dxa"/>
          </w:tcPr>
          <w:p w14:paraId="48A36766" w14:textId="7E6FAFF7" w:rsidR="00D13A48" w:rsidRPr="00CD5A21" w:rsidRDefault="00D13A48" w:rsidP="00D13A48">
            <w:pPr>
              <w:rPr>
                <w:rFonts w:cs="Arial"/>
              </w:rPr>
            </w:pPr>
            <w:r w:rsidRPr="00CD5A21">
              <w:rPr>
                <w:bCs/>
              </w:rPr>
              <w:t>Сливица</w:t>
            </w:r>
          </w:p>
        </w:tc>
        <w:tc>
          <w:tcPr>
            <w:tcW w:w="3117" w:type="dxa"/>
          </w:tcPr>
          <w:p w14:paraId="3FC283C7" w14:textId="1DBE8720" w:rsidR="00D13A48" w:rsidRPr="00CD5A21" w:rsidRDefault="00D13A48" w:rsidP="00D13A48">
            <w:pPr>
              <w:rPr>
                <w:rFonts w:cs="Arial"/>
              </w:rPr>
            </w:pPr>
            <w:r w:rsidRPr="00CD5A21">
              <w:rPr>
                <w:bCs/>
              </w:rPr>
              <w:t>1,6</w:t>
            </w:r>
          </w:p>
        </w:tc>
        <w:tc>
          <w:tcPr>
            <w:tcW w:w="3117" w:type="dxa"/>
          </w:tcPr>
          <w:p w14:paraId="24464D53" w14:textId="31529BC9" w:rsidR="00D13A48" w:rsidRPr="00CD5A21" w:rsidRDefault="00D13A48" w:rsidP="00D13A48">
            <w:pPr>
              <w:rPr>
                <w:rFonts w:cs="Arial"/>
              </w:rPr>
            </w:pPr>
            <w:r w:rsidRPr="00CD5A21">
              <w:rPr>
                <w:bCs/>
              </w:rPr>
              <w:t>0,8</w:t>
            </w:r>
          </w:p>
        </w:tc>
      </w:tr>
      <w:tr w:rsidR="00D13A48" w14:paraId="45249EC2" w14:textId="77777777" w:rsidTr="00D13A48">
        <w:tc>
          <w:tcPr>
            <w:tcW w:w="3116" w:type="dxa"/>
          </w:tcPr>
          <w:p w14:paraId="06559DB4" w14:textId="492F3A99" w:rsidR="00D13A48" w:rsidRPr="00CD5A21" w:rsidRDefault="00D13A48" w:rsidP="00D13A48">
            <w:pPr>
              <w:rPr>
                <w:rFonts w:cs="Arial"/>
              </w:rPr>
            </w:pPr>
            <w:r w:rsidRPr="00CD5A21">
              <w:rPr>
                <w:bCs/>
              </w:rPr>
              <w:t>Бял дроб</w:t>
            </w:r>
          </w:p>
        </w:tc>
        <w:tc>
          <w:tcPr>
            <w:tcW w:w="3117" w:type="dxa"/>
          </w:tcPr>
          <w:p w14:paraId="1D8FB6D8" w14:textId="33E7CB7C" w:rsidR="00D13A48" w:rsidRPr="00CD5A21" w:rsidRDefault="00D13A48" w:rsidP="00D13A48">
            <w:pPr>
              <w:rPr>
                <w:rFonts w:cs="Arial"/>
              </w:rPr>
            </w:pPr>
            <w:r w:rsidRPr="00CD5A21">
              <w:rPr>
                <w:bCs/>
              </w:rPr>
              <w:t>8,8</w:t>
            </w:r>
          </w:p>
        </w:tc>
        <w:tc>
          <w:tcPr>
            <w:tcW w:w="3117" w:type="dxa"/>
          </w:tcPr>
          <w:p w14:paraId="2D6635A4" w14:textId="5E762DF6" w:rsidR="00D13A48" w:rsidRPr="00CD5A21" w:rsidRDefault="00D13A48" w:rsidP="00D13A48">
            <w:pPr>
              <w:rPr>
                <w:rFonts w:cs="Arial"/>
              </w:rPr>
            </w:pPr>
            <w:r w:rsidRPr="00CD5A21">
              <w:rPr>
                <w:bCs/>
              </w:rPr>
              <w:t>1,7</w:t>
            </w:r>
          </w:p>
        </w:tc>
      </w:tr>
    </w:tbl>
    <w:p w14:paraId="1C5CE437" w14:textId="77777777" w:rsidR="00CD5A21" w:rsidRDefault="00CD5A21" w:rsidP="00CD5A21">
      <w:pPr>
        <w:spacing w:line="240" w:lineRule="auto"/>
        <w:rPr>
          <w:rFonts w:ascii="Times New Roman" w:eastAsia="Times New Roman" w:hAnsi="Times New Roman" w:cs="Times New Roman"/>
          <w:b/>
          <w:bCs/>
          <w:i/>
          <w:iCs/>
          <w:color w:val="000000"/>
          <w:sz w:val="19"/>
          <w:szCs w:val="19"/>
          <w:lang w:eastAsia="bg-BG"/>
        </w:rPr>
      </w:pPr>
    </w:p>
    <w:p w14:paraId="57C7E249" w14:textId="246A481A" w:rsidR="00CD5A21" w:rsidRPr="00CD5A21" w:rsidRDefault="00CD5A21" w:rsidP="00CD5A21">
      <w:pPr>
        <w:spacing w:line="240" w:lineRule="auto"/>
        <w:rPr>
          <w:rFonts w:eastAsia="Times New Roman" w:cs="Arial"/>
          <w:sz w:val="32"/>
          <w:szCs w:val="24"/>
        </w:rPr>
      </w:pPr>
      <w:r w:rsidRPr="00CD5A21">
        <w:rPr>
          <w:rFonts w:eastAsia="Times New Roman" w:cs="Arial"/>
          <w:bCs/>
          <w:i/>
          <w:iCs/>
          <w:color w:val="000000"/>
          <w:szCs w:val="19"/>
          <w:lang w:eastAsia="bg-BG"/>
        </w:rPr>
        <w:t>Чернодробно увреждане</w:t>
      </w:r>
    </w:p>
    <w:p w14:paraId="2A40EBA1"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 xml:space="preserve">В проучване, сравняващо една група здрави хора с група пациенти с чернодробно увреждане, които получават 250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кларитромицин два пъти дневно за два дни и единична доза от 250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на третия ден, плазмените нива в равновесно състояние и системният клирьнс на кларитромицин не се различават значимо между двете групи. За разлика от това, концентрациите в равновесно състояние на 14-ОН метаболита са подчертано по- ниски в групата с чернодробно увреждане. Този намален метаболитен клирьнс на изходното вещество чрез 14-хидроксилиране частично се компенсира от повишение в бъбречния клирьнс на изходното лекарство, което има за резултат сравними нива в равновесно състояние на изходното лекарство при чернодробно увредени и </w:t>
      </w:r>
      <w:r w:rsidRPr="00CD5A21">
        <w:rPr>
          <w:rFonts w:eastAsia="Times New Roman" w:cs="Arial"/>
          <w:bCs/>
          <w:color w:val="000000"/>
          <w:szCs w:val="19"/>
          <w:lang w:eastAsia="bg-BG"/>
        </w:rPr>
        <w:lastRenderedPageBreak/>
        <w:t>здрави индивиди. Тези резултати показват, че не е необходимо коригиране на дозата при пациенти с умерено или тежко чернодробно увреждане, но с нормална бъбречна функция.</w:t>
      </w:r>
    </w:p>
    <w:p w14:paraId="17A15C9A" w14:textId="77777777" w:rsidR="00CD5A21" w:rsidRPr="00CD5A21" w:rsidRDefault="00CD5A21" w:rsidP="00CD5A21">
      <w:pPr>
        <w:spacing w:line="240" w:lineRule="auto"/>
        <w:rPr>
          <w:rFonts w:eastAsia="Times New Roman" w:cs="Arial"/>
          <w:bCs/>
          <w:i/>
          <w:iCs/>
          <w:color w:val="000000"/>
          <w:szCs w:val="19"/>
          <w:lang w:eastAsia="bg-BG"/>
        </w:rPr>
      </w:pPr>
    </w:p>
    <w:p w14:paraId="179C428D" w14:textId="2397F511" w:rsidR="00CD5A21" w:rsidRPr="00CD5A21" w:rsidRDefault="00CD5A21" w:rsidP="00CD5A21">
      <w:pPr>
        <w:spacing w:line="240" w:lineRule="auto"/>
        <w:rPr>
          <w:rFonts w:eastAsia="Times New Roman" w:cs="Arial"/>
          <w:sz w:val="32"/>
          <w:szCs w:val="24"/>
        </w:rPr>
      </w:pPr>
      <w:r w:rsidRPr="00CD5A21">
        <w:rPr>
          <w:rFonts w:eastAsia="Times New Roman" w:cs="Arial"/>
          <w:bCs/>
          <w:i/>
          <w:iCs/>
          <w:color w:val="000000"/>
          <w:szCs w:val="19"/>
          <w:lang w:eastAsia="bg-BG"/>
        </w:rPr>
        <w:t>Бъбречно увреждане</w:t>
      </w:r>
    </w:p>
    <w:p w14:paraId="24C32773" w14:textId="32ABD27F" w:rsidR="00D13A48" w:rsidRPr="00CD5A21" w:rsidRDefault="00CD5A21" w:rsidP="00CD5A21">
      <w:pPr>
        <w:rPr>
          <w:rFonts w:eastAsia="Times New Roman" w:cs="Arial"/>
          <w:bCs/>
          <w:color w:val="000000"/>
          <w:szCs w:val="19"/>
          <w:lang w:eastAsia="bg-BG"/>
        </w:rPr>
      </w:pPr>
      <w:r w:rsidRPr="00CD5A21">
        <w:rPr>
          <w:rFonts w:eastAsia="Times New Roman" w:cs="Arial"/>
          <w:bCs/>
          <w:color w:val="000000"/>
          <w:szCs w:val="19"/>
          <w:lang w:eastAsia="bg-BG"/>
        </w:rPr>
        <w:t xml:space="preserve">Проведено е проучване за оценка и сравнение на фармакокинетичния профил на множествени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орални дози кларитромицин при индивиди с нормална и понижена бъбречна функция. Плазмените нива, полуживотът, Стах и </w:t>
      </w:r>
      <w:proofErr w:type="spellStart"/>
      <w:r w:rsidRPr="00CD5A21">
        <w:rPr>
          <w:rFonts w:eastAsia="Times New Roman" w:cs="Arial"/>
          <w:bCs/>
          <w:color w:val="000000"/>
          <w:szCs w:val="19"/>
          <w:lang w:val="en-US"/>
        </w:rPr>
        <w:t>Cmin</w:t>
      </w:r>
      <w:proofErr w:type="spellEnd"/>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за кларитром</w:t>
      </w:r>
      <w:r w:rsidRPr="00CD5A21">
        <w:rPr>
          <w:rFonts w:eastAsia="Times New Roman" w:cs="Arial"/>
          <w:bCs/>
          <w:color w:val="000000"/>
          <w:szCs w:val="19"/>
          <w:u w:val="single"/>
          <w:lang w:eastAsia="bg-BG"/>
        </w:rPr>
        <w:t xml:space="preserve">ицин и </w:t>
      </w:r>
      <w:r w:rsidRPr="00CD5A21">
        <w:rPr>
          <w:rFonts w:eastAsia="Times New Roman" w:cs="Arial"/>
          <w:bCs/>
          <w:color w:val="000000"/>
          <w:szCs w:val="19"/>
          <w:lang w:eastAsia="bg-BG"/>
        </w:rPr>
        <w:t xml:space="preserve">неговият 14-ОН метаболит са по-високи и </w:t>
      </w:r>
      <w:r w:rsidRPr="00CD5A21">
        <w:rPr>
          <w:rFonts w:eastAsia="Times New Roman" w:cs="Arial"/>
          <w:bCs/>
          <w:color w:val="000000"/>
          <w:szCs w:val="19"/>
          <w:lang w:val="en-US"/>
        </w:rPr>
        <w:t>AUC</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(площ под кривата) е</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по-голяма при пациенти с бъбречно увреждане. </w:t>
      </w:r>
      <w:proofErr w:type="spellStart"/>
      <w:r w:rsidRPr="00CD5A21">
        <w:rPr>
          <w:rFonts w:eastAsia="Times New Roman" w:cs="Arial"/>
          <w:bCs/>
          <w:color w:val="000000"/>
          <w:szCs w:val="19"/>
          <w:lang w:val="en-US"/>
        </w:rPr>
        <w:t>Kelim</w:t>
      </w:r>
      <w:proofErr w:type="spellEnd"/>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и уринната екскреция са по-ниски. Степента на разлика между тези параметри корелира със степента на бъбречно увреждането колкото по- тежко е бъбречното увреждане, толкова по-значима е разликата (вижте точка 4.2).</w:t>
      </w:r>
    </w:p>
    <w:p w14:paraId="04B714AD" w14:textId="7EA0EFB6" w:rsidR="00CD5A21" w:rsidRPr="00CD5A21" w:rsidRDefault="00CD5A21" w:rsidP="00CD5A21">
      <w:pPr>
        <w:rPr>
          <w:rFonts w:eastAsia="Times New Roman" w:cs="Arial"/>
          <w:bCs/>
          <w:color w:val="000000"/>
          <w:szCs w:val="19"/>
          <w:lang w:eastAsia="bg-BG"/>
        </w:rPr>
      </w:pPr>
    </w:p>
    <w:p w14:paraId="4F0FC2DE" w14:textId="77777777" w:rsidR="00CD5A21" w:rsidRPr="00CD5A21" w:rsidRDefault="00CD5A21" w:rsidP="00CD5A21">
      <w:pPr>
        <w:spacing w:line="240" w:lineRule="auto"/>
        <w:rPr>
          <w:rFonts w:eastAsia="Times New Roman" w:cs="Arial"/>
          <w:sz w:val="32"/>
          <w:szCs w:val="24"/>
        </w:rPr>
      </w:pPr>
      <w:r w:rsidRPr="00CD5A21">
        <w:rPr>
          <w:rFonts w:eastAsia="Times New Roman" w:cs="Arial"/>
          <w:bCs/>
          <w:i/>
          <w:iCs/>
          <w:color w:val="000000"/>
          <w:szCs w:val="19"/>
          <w:lang w:eastAsia="bg-BG"/>
        </w:rPr>
        <w:t>Пациенти в старческа възраст</w:t>
      </w:r>
    </w:p>
    <w:p w14:paraId="2AB390FF"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 xml:space="preserve">Проведено е също проучване за оценка и сравнение на безопасността и фармакокинетичните профили на множествени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орални дози кларитромицин при здрави мъже и жени в старческа възраст спрямо тези при здрави млади мъже. Във възрастната група циркулиращите плазмени нива са по-високи, а елиминацията е по-бавна, отколкото при по-младата група, както за изходното лекарство, така и за 14-Он метаболита. Все пак няма разлика между двете групи, когато бъбречния клирънс корелира с креатининовия клирьнс. Заключението от тези резултати е, че всеки ефект при използването на кларитромицин е свързан с бъбречната функция, а не с възрастта сама по себе си.</w:t>
      </w:r>
    </w:p>
    <w:p w14:paraId="549C506E" w14:textId="77777777" w:rsidR="00CD5A21" w:rsidRPr="00CD5A21" w:rsidRDefault="00CD5A21" w:rsidP="00CD5A21">
      <w:pPr>
        <w:spacing w:line="240" w:lineRule="auto"/>
        <w:rPr>
          <w:rFonts w:eastAsia="Times New Roman" w:cs="Arial"/>
          <w:bCs/>
          <w:i/>
          <w:iCs/>
          <w:color w:val="000000"/>
          <w:szCs w:val="19"/>
          <w:lang w:eastAsia="bg-BG"/>
        </w:rPr>
      </w:pPr>
    </w:p>
    <w:p w14:paraId="45CE5204" w14:textId="6F34B8A4" w:rsidR="00CD5A21" w:rsidRPr="00CD5A21" w:rsidRDefault="00CD5A21" w:rsidP="00CD5A21">
      <w:pPr>
        <w:spacing w:line="240" w:lineRule="auto"/>
        <w:rPr>
          <w:rFonts w:eastAsia="Times New Roman" w:cs="Arial"/>
          <w:sz w:val="32"/>
          <w:szCs w:val="24"/>
        </w:rPr>
      </w:pPr>
      <w:r w:rsidRPr="00CD5A21">
        <w:rPr>
          <w:rFonts w:eastAsia="Times New Roman" w:cs="Arial"/>
          <w:bCs/>
          <w:i/>
          <w:iCs/>
          <w:color w:val="000000"/>
          <w:szCs w:val="19"/>
          <w:lang w:eastAsia="bg-BG"/>
        </w:rPr>
        <w:t xml:space="preserve">Инфекции с </w:t>
      </w:r>
      <w:r w:rsidRPr="00CD5A21">
        <w:rPr>
          <w:rFonts w:eastAsia="Times New Roman" w:cs="Arial"/>
          <w:bCs/>
          <w:i/>
          <w:iCs/>
          <w:color w:val="000000"/>
          <w:szCs w:val="19"/>
          <w:lang w:val="en-US"/>
        </w:rPr>
        <w:t>Mycobacterium</w:t>
      </w:r>
      <w:r w:rsidRPr="00CD5A21">
        <w:rPr>
          <w:rFonts w:eastAsia="Times New Roman" w:cs="Arial"/>
          <w:bCs/>
          <w:i/>
          <w:iCs/>
          <w:color w:val="000000"/>
          <w:szCs w:val="19"/>
          <w:lang w:val="ru-RU"/>
        </w:rPr>
        <w:t xml:space="preserve"> </w:t>
      </w:r>
      <w:proofErr w:type="spellStart"/>
      <w:r w:rsidRPr="00CD5A21">
        <w:rPr>
          <w:rFonts w:eastAsia="Times New Roman" w:cs="Arial"/>
          <w:bCs/>
          <w:i/>
          <w:iCs/>
          <w:color w:val="000000"/>
          <w:szCs w:val="19"/>
          <w:lang w:val="en-US"/>
        </w:rPr>
        <w:t>avium</w:t>
      </w:r>
      <w:proofErr w:type="spellEnd"/>
    </w:p>
    <w:p w14:paraId="172D32F4"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 xml:space="preserve">Концентрациите в равновесно състояние на кларитромицин и 14-ОН-кларитромицин, наблюдавани след приложение на дози от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кларитромицин на всеки 12 часа при възрастни пациенти с ХИВ инфекция, са подобни на тези, наблюдавани при здрави индивиди. Все пак при по-високите дози, които могат да бъдат необходими за лечението на инфекциите с </w:t>
      </w:r>
      <w:r w:rsidRPr="00CD5A21">
        <w:rPr>
          <w:rFonts w:eastAsia="Times New Roman" w:cs="Arial"/>
          <w:bCs/>
          <w:i/>
          <w:iCs/>
          <w:color w:val="000000"/>
          <w:szCs w:val="19"/>
          <w:lang w:val="en-US"/>
        </w:rPr>
        <w:t>Mycobacterium</w:t>
      </w:r>
      <w:r w:rsidRPr="00CD5A21">
        <w:rPr>
          <w:rFonts w:eastAsia="Times New Roman" w:cs="Arial"/>
          <w:bCs/>
          <w:i/>
          <w:iCs/>
          <w:color w:val="000000"/>
          <w:szCs w:val="19"/>
          <w:lang w:val="ru-RU"/>
        </w:rPr>
        <w:t xml:space="preserve"> </w:t>
      </w:r>
      <w:proofErr w:type="spellStart"/>
      <w:r w:rsidRPr="00CD5A21">
        <w:rPr>
          <w:rFonts w:eastAsia="Times New Roman" w:cs="Arial"/>
          <w:bCs/>
          <w:i/>
          <w:iCs/>
          <w:color w:val="000000"/>
          <w:szCs w:val="19"/>
          <w:lang w:val="en-US"/>
        </w:rPr>
        <w:t>avium</w:t>
      </w:r>
      <w:proofErr w:type="spellEnd"/>
      <w:r w:rsidRPr="00CD5A21">
        <w:rPr>
          <w:rFonts w:eastAsia="Times New Roman" w:cs="Arial"/>
          <w:bCs/>
          <w:i/>
          <w:iCs/>
          <w:color w:val="000000"/>
          <w:szCs w:val="19"/>
          <w:lang w:val="ru-RU"/>
        </w:rPr>
        <w:t>,</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концентрациите на кларитромицин са значително по-високи от тези, наблюдавани при обичайните дози. При възрастни пациенти, инфектирани с ХИВ, които приемат 1000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и 2000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на ден в две разделени дози, С</w:t>
      </w:r>
      <w:r w:rsidRPr="00CD5A21">
        <w:rPr>
          <w:rFonts w:eastAsia="Times New Roman" w:cs="Arial"/>
          <w:bCs/>
          <w:color w:val="000000"/>
          <w:szCs w:val="19"/>
          <w:lang w:val="en-US"/>
        </w:rPr>
        <w:t>max</w:t>
      </w:r>
      <w:r w:rsidRPr="00CD5A21">
        <w:rPr>
          <w:rFonts w:eastAsia="Times New Roman" w:cs="Arial"/>
          <w:bCs/>
          <w:color w:val="000000"/>
          <w:szCs w:val="19"/>
          <w:lang w:eastAsia="bg-BG"/>
        </w:rPr>
        <w:t xml:space="preserve"> стойностите на кларитромицин в равновесно състояние варират от 2 до 4 μ</w:t>
      </w:r>
      <w:r w:rsidRPr="00CD5A21">
        <w:rPr>
          <w:rFonts w:eastAsia="Times New Roman" w:cs="Arial"/>
          <w:bCs/>
          <w:color w:val="000000"/>
          <w:szCs w:val="19"/>
          <w:lang w:val="en-US"/>
        </w:rPr>
        <w:t>g</w:t>
      </w:r>
      <w:r w:rsidRPr="00CD5A21">
        <w:rPr>
          <w:rFonts w:eastAsia="Times New Roman" w:cs="Arial"/>
          <w:bCs/>
          <w:color w:val="000000"/>
          <w:szCs w:val="19"/>
          <w:lang w:val="ru-RU"/>
        </w:rPr>
        <w:t xml:space="preserve">/ </w:t>
      </w:r>
      <w:r w:rsidRPr="00CD5A21">
        <w:rPr>
          <w:rFonts w:eastAsia="Times New Roman" w:cs="Arial"/>
          <w:bCs/>
          <w:color w:val="000000"/>
          <w:szCs w:val="19"/>
          <w:lang w:val="en-US"/>
        </w:rPr>
        <w:t>ml</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и 5 до 10</w:t>
      </w:r>
      <w:r w:rsidRPr="00CD5A21">
        <w:rPr>
          <w:rFonts w:eastAsia="Times New Roman" w:cs="Arial"/>
          <w:bCs/>
          <w:color w:val="000000"/>
          <w:szCs w:val="19"/>
          <w:lang w:val="ru-RU"/>
        </w:rPr>
        <w:t xml:space="preserve"> </w:t>
      </w:r>
    </w:p>
    <w:p w14:paraId="3C0889C4"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μ</w:t>
      </w:r>
      <w:r w:rsidRPr="00CD5A21">
        <w:rPr>
          <w:rFonts w:eastAsia="Times New Roman" w:cs="Arial"/>
          <w:bCs/>
          <w:color w:val="000000"/>
          <w:szCs w:val="19"/>
          <w:lang w:val="en-US"/>
        </w:rPr>
        <w:t>g</w:t>
      </w:r>
      <w:r w:rsidRPr="00CD5A21">
        <w:rPr>
          <w:rFonts w:eastAsia="Times New Roman" w:cs="Arial"/>
          <w:bCs/>
          <w:color w:val="000000"/>
          <w:szCs w:val="19"/>
          <w:lang w:val="ru-RU"/>
        </w:rPr>
        <w:t xml:space="preserve">/ </w:t>
      </w:r>
      <w:r w:rsidRPr="00CD5A21">
        <w:rPr>
          <w:rFonts w:eastAsia="Times New Roman" w:cs="Arial"/>
          <w:bCs/>
          <w:color w:val="000000"/>
          <w:szCs w:val="19"/>
          <w:lang w:val="en-US"/>
        </w:rPr>
        <w:t>ml</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съответно. Елиминационните полуживоти изглеждат удължени при тези по-високи дози в сравнение с тези, наблюдавани при обичайните дози при здрави индивиди. По- високите плазмени концентрации и по-дългите елиминационни полуживоти, наблюдавани при тези дози, са в съответствие с известната нелинейност на фармакокинетиката на кларитромицин.</w:t>
      </w:r>
    </w:p>
    <w:p w14:paraId="689D222B" w14:textId="77777777" w:rsidR="00CD5A21" w:rsidRPr="00CD5A21" w:rsidRDefault="00CD5A21" w:rsidP="00CD5A21">
      <w:pPr>
        <w:spacing w:line="240" w:lineRule="auto"/>
        <w:rPr>
          <w:rFonts w:eastAsia="Times New Roman" w:cs="Arial"/>
          <w:bCs/>
          <w:i/>
          <w:iCs/>
          <w:color w:val="000000"/>
          <w:szCs w:val="19"/>
          <w:lang w:eastAsia="bg-BG"/>
        </w:rPr>
      </w:pPr>
    </w:p>
    <w:p w14:paraId="2E99F6DA" w14:textId="73D25F40" w:rsidR="00CD5A21" w:rsidRPr="00CD5A21" w:rsidRDefault="00CD5A21" w:rsidP="00CD5A21">
      <w:pPr>
        <w:spacing w:line="240" w:lineRule="auto"/>
        <w:rPr>
          <w:rFonts w:eastAsia="Times New Roman" w:cs="Arial"/>
          <w:sz w:val="32"/>
          <w:szCs w:val="24"/>
        </w:rPr>
      </w:pPr>
      <w:r w:rsidRPr="00CD5A21">
        <w:rPr>
          <w:rFonts w:eastAsia="Times New Roman" w:cs="Arial"/>
          <w:bCs/>
          <w:i/>
          <w:iCs/>
          <w:color w:val="000000"/>
          <w:szCs w:val="19"/>
          <w:lang w:eastAsia="bg-BG"/>
        </w:rPr>
        <w:t>Съвместно приложение с омепразол</w:t>
      </w:r>
    </w:p>
    <w:p w14:paraId="639FCA15"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 xml:space="preserve">Проведено е фармакокинетично проучване с кларитромицин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три пъти дневно и омепразол 40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веднъж дневно. Когато се прилага единствено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кларитромицин на всеки 8 часа, средната стойност на С</w:t>
      </w:r>
      <w:r w:rsidRPr="00CD5A21">
        <w:rPr>
          <w:rFonts w:eastAsia="Times New Roman" w:cs="Arial"/>
          <w:bCs/>
          <w:color w:val="000000"/>
          <w:szCs w:val="19"/>
          <w:lang w:val="en-US"/>
        </w:rPr>
        <w:t>m</w:t>
      </w:r>
      <w:r w:rsidRPr="00CD5A21">
        <w:rPr>
          <w:rFonts w:eastAsia="Times New Roman" w:cs="Arial"/>
          <w:bCs/>
          <w:color w:val="000000"/>
          <w:szCs w:val="19"/>
          <w:lang w:eastAsia="bg-BG"/>
        </w:rPr>
        <w:t>ах в равновесно състояние е приблизително 3.8 μ</w:t>
      </w:r>
      <w:r w:rsidRPr="00CD5A21">
        <w:rPr>
          <w:rFonts w:eastAsia="Times New Roman" w:cs="Arial"/>
          <w:bCs/>
          <w:color w:val="000000"/>
          <w:szCs w:val="19"/>
          <w:lang w:val="en-US"/>
        </w:rPr>
        <w:t>g</w:t>
      </w:r>
      <w:r w:rsidRPr="00CD5A21">
        <w:rPr>
          <w:rFonts w:eastAsia="Times New Roman" w:cs="Arial"/>
          <w:bCs/>
          <w:color w:val="000000"/>
          <w:szCs w:val="19"/>
          <w:lang w:val="ru-RU"/>
        </w:rPr>
        <w:t xml:space="preserve">/ </w:t>
      </w:r>
      <w:r w:rsidRPr="00CD5A21">
        <w:rPr>
          <w:rFonts w:eastAsia="Times New Roman" w:cs="Arial"/>
          <w:bCs/>
          <w:color w:val="000000"/>
          <w:szCs w:val="19"/>
          <w:lang w:val="en-US"/>
        </w:rPr>
        <w:t>ml</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а средната стойност на </w:t>
      </w:r>
      <w:proofErr w:type="spellStart"/>
      <w:r w:rsidRPr="00CD5A21">
        <w:rPr>
          <w:rFonts w:eastAsia="Times New Roman" w:cs="Arial"/>
          <w:bCs/>
          <w:color w:val="000000"/>
          <w:szCs w:val="19"/>
          <w:lang w:val="en-US"/>
        </w:rPr>
        <w:t>Cmin</w:t>
      </w:r>
      <w:proofErr w:type="spellEnd"/>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е приблизително 1,8 μ</w:t>
      </w:r>
      <w:r w:rsidRPr="00CD5A21">
        <w:rPr>
          <w:rFonts w:eastAsia="Times New Roman" w:cs="Arial"/>
          <w:bCs/>
          <w:color w:val="000000"/>
          <w:szCs w:val="19"/>
          <w:lang w:val="en-US"/>
        </w:rPr>
        <w:t>g</w:t>
      </w:r>
      <w:r w:rsidRPr="00CD5A21">
        <w:rPr>
          <w:rFonts w:eastAsia="Times New Roman" w:cs="Arial"/>
          <w:bCs/>
          <w:color w:val="000000"/>
          <w:szCs w:val="19"/>
          <w:lang w:val="ru-RU"/>
        </w:rPr>
        <w:t xml:space="preserve">/ </w:t>
      </w:r>
      <w:r w:rsidRPr="00CD5A21">
        <w:rPr>
          <w:rFonts w:eastAsia="Times New Roman" w:cs="Arial"/>
          <w:bCs/>
          <w:color w:val="000000"/>
          <w:szCs w:val="19"/>
          <w:lang w:val="en-US"/>
        </w:rPr>
        <w:t>ml</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Средната </w:t>
      </w:r>
      <w:r w:rsidRPr="00CD5A21">
        <w:rPr>
          <w:rFonts w:eastAsia="Times New Roman" w:cs="Arial"/>
          <w:bCs/>
          <w:color w:val="000000"/>
          <w:szCs w:val="19"/>
          <w:lang w:val="en-US"/>
        </w:rPr>
        <w:t>AUC</w:t>
      </w:r>
      <w:r w:rsidRPr="00CD5A21">
        <w:rPr>
          <w:rFonts w:eastAsia="Times New Roman" w:cs="Arial"/>
          <w:bCs/>
          <w:color w:val="000000"/>
          <w:szCs w:val="19"/>
          <w:lang w:val="ru-RU"/>
        </w:rPr>
        <w:t xml:space="preserve">0-8 </w:t>
      </w:r>
      <w:r w:rsidRPr="00CD5A21">
        <w:rPr>
          <w:rFonts w:eastAsia="Times New Roman" w:cs="Arial"/>
          <w:bCs/>
          <w:color w:val="000000"/>
          <w:szCs w:val="19"/>
          <w:lang w:eastAsia="bg-BG"/>
        </w:rPr>
        <w:t>за кларитромицин е 22,9 μ</w:t>
      </w:r>
      <w:r w:rsidRPr="00CD5A21">
        <w:rPr>
          <w:rFonts w:eastAsia="Times New Roman" w:cs="Arial"/>
          <w:bCs/>
          <w:color w:val="000000"/>
          <w:szCs w:val="19"/>
          <w:lang w:val="en-US"/>
        </w:rPr>
        <w:t>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час/ </w:t>
      </w:r>
      <w:r w:rsidRPr="00CD5A21">
        <w:rPr>
          <w:rFonts w:eastAsia="Times New Roman" w:cs="Arial"/>
          <w:bCs/>
          <w:color w:val="000000"/>
          <w:szCs w:val="19"/>
          <w:lang w:val="en-US"/>
        </w:rPr>
        <w:t>ml</w:t>
      </w:r>
      <w:r w:rsidRPr="00CD5A21">
        <w:rPr>
          <w:rFonts w:eastAsia="Times New Roman" w:cs="Arial"/>
          <w:bCs/>
          <w:color w:val="000000"/>
          <w:szCs w:val="19"/>
          <w:lang w:val="ru-RU"/>
        </w:rPr>
        <w:t xml:space="preserve">. </w:t>
      </w:r>
      <w:proofErr w:type="spellStart"/>
      <w:r w:rsidRPr="00CD5A21">
        <w:rPr>
          <w:rFonts w:eastAsia="Times New Roman" w:cs="Arial"/>
          <w:bCs/>
          <w:color w:val="000000"/>
          <w:szCs w:val="19"/>
          <w:lang w:val="en-US"/>
        </w:rPr>
        <w:t>Tmax</w:t>
      </w:r>
      <w:proofErr w:type="spellEnd"/>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и полуживотът са 2</w:t>
      </w:r>
      <w:proofErr w:type="gramStart"/>
      <w:r w:rsidRPr="00CD5A21">
        <w:rPr>
          <w:rFonts w:eastAsia="Times New Roman" w:cs="Arial"/>
          <w:bCs/>
          <w:color w:val="000000"/>
          <w:szCs w:val="19"/>
          <w:lang w:eastAsia="bg-BG"/>
        </w:rPr>
        <w:t>,1</w:t>
      </w:r>
      <w:proofErr w:type="gramEnd"/>
      <w:r w:rsidRPr="00CD5A21">
        <w:rPr>
          <w:rFonts w:eastAsia="Times New Roman" w:cs="Arial"/>
          <w:bCs/>
          <w:color w:val="000000"/>
          <w:szCs w:val="19"/>
          <w:lang w:eastAsia="bg-BG"/>
        </w:rPr>
        <w:t xml:space="preserve"> и 5,3 часа, съответно, когато кларитромицин се дозира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три пъти дневно.</w:t>
      </w:r>
    </w:p>
    <w:p w14:paraId="04186D03"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 xml:space="preserve">В същото проучване, когато кларитромицин 500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три пъти дневно се прилага с омепразол 40 </w:t>
      </w:r>
      <w:r w:rsidRPr="00CD5A21">
        <w:rPr>
          <w:rFonts w:eastAsia="Times New Roman" w:cs="Arial"/>
          <w:bCs/>
          <w:color w:val="000000"/>
          <w:szCs w:val="19"/>
          <w:lang w:val="en-US"/>
        </w:rPr>
        <w:t>mg</w:t>
      </w:r>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веднъж дневно е наблюдавано повишение на полуживота и </w:t>
      </w:r>
      <w:r w:rsidRPr="00CD5A21">
        <w:rPr>
          <w:rFonts w:eastAsia="Times New Roman" w:cs="Arial"/>
          <w:bCs/>
          <w:color w:val="000000"/>
          <w:szCs w:val="19"/>
          <w:lang w:val="en-US"/>
        </w:rPr>
        <w:t>AUC</w:t>
      </w:r>
      <w:r w:rsidRPr="00CD5A21">
        <w:rPr>
          <w:rFonts w:eastAsia="Times New Roman" w:cs="Arial"/>
          <w:bCs/>
          <w:color w:val="000000"/>
          <w:szCs w:val="19"/>
          <w:lang w:val="ru-RU"/>
        </w:rPr>
        <w:t xml:space="preserve">0-24 </w:t>
      </w:r>
      <w:r w:rsidRPr="00CD5A21">
        <w:rPr>
          <w:rFonts w:eastAsia="Times New Roman" w:cs="Arial"/>
          <w:bCs/>
          <w:color w:val="000000"/>
          <w:szCs w:val="19"/>
          <w:lang w:eastAsia="bg-BG"/>
        </w:rPr>
        <w:t xml:space="preserve">на омепразол. Общо за всички индивиди средната </w:t>
      </w:r>
      <w:r w:rsidRPr="00CD5A21">
        <w:rPr>
          <w:rFonts w:eastAsia="Times New Roman" w:cs="Arial"/>
          <w:bCs/>
          <w:color w:val="000000"/>
          <w:szCs w:val="19"/>
          <w:lang w:val="en-US"/>
        </w:rPr>
        <w:t>AUC</w:t>
      </w:r>
      <w:r w:rsidRPr="00CD5A21">
        <w:rPr>
          <w:rFonts w:eastAsia="Times New Roman" w:cs="Arial"/>
          <w:bCs/>
          <w:color w:val="000000"/>
          <w:szCs w:val="19"/>
          <w:lang w:val="ru-RU"/>
        </w:rPr>
        <w:t xml:space="preserve">0-24 </w:t>
      </w:r>
      <w:r w:rsidRPr="00CD5A21">
        <w:rPr>
          <w:rFonts w:eastAsia="Times New Roman" w:cs="Arial"/>
          <w:bCs/>
          <w:color w:val="000000"/>
          <w:szCs w:val="19"/>
          <w:lang w:eastAsia="bg-BG"/>
        </w:rPr>
        <w:t>на омепразол е с 89% по-</w:t>
      </w:r>
      <w:r w:rsidRPr="00CD5A21">
        <w:rPr>
          <w:rFonts w:eastAsia="Times New Roman" w:cs="Arial"/>
          <w:bCs/>
          <w:color w:val="000000"/>
          <w:szCs w:val="19"/>
          <w:lang w:eastAsia="bg-BG"/>
        </w:rPr>
        <w:lastRenderedPageBreak/>
        <w:t>голяма, а средната хармонична стойност на Т1/2 на омепразол е с 34% по-голяма, когато омепразол се прилага с кларитромицин, отколкото ако се прилага самостоятелно. Когато кларитромицин се прилага с омепразол, С</w:t>
      </w:r>
      <w:r w:rsidRPr="00CD5A21">
        <w:rPr>
          <w:rFonts w:eastAsia="Times New Roman" w:cs="Arial"/>
          <w:bCs/>
          <w:color w:val="000000"/>
          <w:szCs w:val="19"/>
          <w:lang w:val="en-US"/>
        </w:rPr>
        <w:t>m</w:t>
      </w:r>
      <w:r w:rsidRPr="00CD5A21">
        <w:rPr>
          <w:rFonts w:eastAsia="Times New Roman" w:cs="Arial"/>
          <w:bCs/>
          <w:color w:val="000000"/>
          <w:szCs w:val="19"/>
          <w:lang w:eastAsia="bg-BG"/>
        </w:rPr>
        <w:t xml:space="preserve">ах в равновесно състояние, </w:t>
      </w:r>
      <w:proofErr w:type="spellStart"/>
      <w:r w:rsidRPr="00CD5A21">
        <w:rPr>
          <w:rFonts w:eastAsia="Times New Roman" w:cs="Arial"/>
          <w:bCs/>
          <w:color w:val="000000"/>
          <w:szCs w:val="19"/>
          <w:lang w:val="en-US"/>
        </w:rPr>
        <w:t>Cmin</w:t>
      </w:r>
      <w:proofErr w:type="spellEnd"/>
      <w:r w:rsidRPr="00CD5A21">
        <w:rPr>
          <w:rFonts w:eastAsia="Times New Roman" w:cs="Arial"/>
          <w:bCs/>
          <w:color w:val="000000"/>
          <w:szCs w:val="19"/>
          <w:lang w:val="ru-RU"/>
        </w:rPr>
        <w:t xml:space="preserve"> </w:t>
      </w:r>
      <w:r w:rsidRPr="00CD5A21">
        <w:rPr>
          <w:rFonts w:eastAsia="Times New Roman" w:cs="Arial"/>
          <w:bCs/>
          <w:color w:val="000000"/>
          <w:szCs w:val="19"/>
          <w:lang w:eastAsia="bg-BG"/>
        </w:rPr>
        <w:t xml:space="preserve">и </w:t>
      </w:r>
      <w:r w:rsidRPr="00CD5A21">
        <w:rPr>
          <w:rFonts w:eastAsia="Times New Roman" w:cs="Arial"/>
          <w:bCs/>
          <w:color w:val="000000"/>
          <w:szCs w:val="19"/>
          <w:lang w:val="en-US"/>
        </w:rPr>
        <w:t>AUC</w:t>
      </w:r>
      <w:r w:rsidRPr="00CD5A21">
        <w:rPr>
          <w:rFonts w:eastAsia="Times New Roman" w:cs="Arial"/>
          <w:bCs/>
          <w:color w:val="000000"/>
          <w:szCs w:val="19"/>
          <w:lang w:val="ru-RU"/>
        </w:rPr>
        <w:t xml:space="preserve">0-8 </w:t>
      </w:r>
      <w:r w:rsidRPr="00CD5A21">
        <w:rPr>
          <w:rFonts w:eastAsia="Times New Roman" w:cs="Arial"/>
          <w:bCs/>
          <w:color w:val="000000"/>
          <w:szCs w:val="19"/>
          <w:lang w:eastAsia="bg-BG"/>
        </w:rPr>
        <w:t>на кларитромицин се повишават съответно с 10%, 27% и 15%, спрямо достигнатите стойности, когато кларитромицин се прилага с плацебо.</w:t>
      </w:r>
    </w:p>
    <w:p w14:paraId="381AB65A" w14:textId="77777777" w:rsidR="00CD5A21" w:rsidRPr="00CD5A21" w:rsidRDefault="00CD5A21" w:rsidP="00CD5A21">
      <w:pPr>
        <w:spacing w:line="240" w:lineRule="auto"/>
        <w:rPr>
          <w:rFonts w:eastAsia="Times New Roman" w:cs="Arial"/>
          <w:sz w:val="32"/>
          <w:szCs w:val="24"/>
        </w:rPr>
      </w:pPr>
      <w:r w:rsidRPr="00CD5A21">
        <w:rPr>
          <w:rFonts w:eastAsia="Times New Roman" w:cs="Arial"/>
          <w:bCs/>
          <w:color w:val="000000"/>
          <w:szCs w:val="19"/>
          <w:lang w:eastAsia="bg-BG"/>
        </w:rPr>
        <w:t>В равновесно състояние концентрациите на кларитромицин в стомашната лигавица 6 часа след дозирането са приблизително 25 пъти по-високи за кларитромицин/ омепразол групата в сравнение с групата само с кларитромицин. Шест часа след дозирането средните стомашни тьканни концентрации на кларитромицин са приблизително 2 пъти по-високи , когато кларитромицин е прилаган с омепразол спрямо приложението на кларитромицин с плацебо.</w:t>
      </w:r>
    </w:p>
    <w:p w14:paraId="7F19022A" w14:textId="77777777" w:rsidR="00CD5A21" w:rsidRPr="00D13A48" w:rsidRDefault="00CD5A21" w:rsidP="00CD5A21">
      <w:pPr>
        <w:rPr>
          <w:rFonts w:cs="Arial"/>
        </w:rPr>
      </w:pPr>
    </w:p>
    <w:p w14:paraId="028E658A" w14:textId="10061048" w:rsidR="00395555" w:rsidRDefault="002C50EE" w:rsidP="008A6AF2">
      <w:pPr>
        <w:pStyle w:val="Heading2"/>
      </w:pPr>
      <w:r>
        <w:t>5.3. Предклинични данни за безопасност</w:t>
      </w:r>
    </w:p>
    <w:p w14:paraId="53AB53B3" w14:textId="6EB6E70C" w:rsidR="00CD5A21" w:rsidRDefault="00CD5A21" w:rsidP="00CD5A21"/>
    <w:p w14:paraId="3D243125" w14:textId="77777777" w:rsidR="00CD5A21" w:rsidRPr="00CD5A21" w:rsidRDefault="00CD5A21" w:rsidP="00CD5A21">
      <w:pPr>
        <w:spacing w:line="240" w:lineRule="auto"/>
        <w:rPr>
          <w:rFonts w:eastAsia="Times New Roman" w:cs="Arial"/>
        </w:rPr>
      </w:pPr>
      <w:r w:rsidRPr="00CD5A21">
        <w:rPr>
          <w:rFonts w:eastAsia="Times New Roman" w:cs="Arial"/>
          <w:bCs/>
          <w:color w:val="000000"/>
          <w:u w:val="single"/>
          <w:lang w:eastAsia="bg-BG"/>
        </w:rPr>
        <w:t>Остра, подостря и хронична токсичност</w:t>
      </w:r>
    </w:p>
    <w:p w14:paraId="307E3714"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Извършени са проучвания при мишки, плъхове, кучета и/ или маймуни с перорално приложен кларитромицин. Продължителността на приложение варира от единична перорална доза до повторяемо ежедневно приложение за шест последователни месеца.</w:t>
      </w:r>
    </w:p>
    <w:p w14:paraId="7513BD8C"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 xml:space="preserve">При проучвания на острата токсичност при мишки и плъхове умира един плъх, но нито една мишка след единично приложение на 5 </w:t>
      </w:r>
      <w:r w:rsidRPr="00CD5A21">
        <w:rPr>
          <w:rFonts w:eastAsia="Times New Roman" w:cs="Arial"/>
          <w:bCs/>
          <w:color w:val="000000"/>
          <w:lang w:val="en-US"/>
        </w:rPr>
        <w:t>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телесно тегло. Следователно медиалната летална доза е по-висока от 5 </w:t>
      </w:r>
      <w:r w:rsidRPr="00CD5A21">
        <w:rPr>
          <w:rFonts w:eastAsia="Times New Roman" w:cs="Arial"/>
          <w:bCs/>
          <w:color w:val="000000"/>
          <w:lang w:val="en-US"/>
        </w:rPr>
        <w:t>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най-високата приемлива доза за приложение.</w:t>
      </w:r>
    </w:p>
    <w:p w14:paraId="115BA869"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 xml:space="preserve">Няма нежелани ефекти, дължащи се на кларитромицин, при примати, изложени на 100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14 последователни дни или на 35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един месец. Също така не са наблюдавани нежелани ефекти при плъхове, изложени на 75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един месец, на 35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три месеца или на 8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шест месеца. Кучетата са по-чувствителни към кларитромицин, като толерират 50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14 дни, 10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един и три месеца и 4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за шест месеца без странични ефекти. Основните клинични белези при токсични дози в тези проучвания включват повръщане, слабост, намалена консумация на храна и намалено покачване на тегло, саливация, дехидратация и хиперактивност. Две от десетте маймуни, получаващи 400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умират на осмия лечебен ден; жълто оцветени фекалии са отделени при няколко изолирани случа от някои от оцелелите маймуни, на които е давана доза от 400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дневно за 28 дни.</w:t>
      </w:r>
    </w:p>
    <w:p w14:paraId="04588410"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Първичният таргетен орган при токсични дози за всички видове е черният дроб. Развитието на хепатотоксичност при всички видове се открива чрез ранно повишение на серумните концентрации на алкална фосфатаза, аланин и аспартат аминотрансфераза, гама-глутамил трансфераза и/ или лактат дехидрогеназа. Преустановяването прима на лекарството обикновено има за резултат връщане до или към нормалните концентрации на тези специфични параметри.</w:t>
      </w:r>
    </w:p>
    <w:p w14:paraId="52CF0AF7"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 xml:space="preserve">Допълнителни тъкани, които по-рядко се засягат при различните проучвания, включват стомах, тимус и други лимфоидни тъкани, както и бъбреците. Конюнктивална инекция и лакримация, последващи близки до терапевтичните дози, са наблюдавани само при кучета. При масивна доза от 400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дневно някои кучета и маймуни развиват потъмняване на роговицата и/или оток.</w:t>
      </w:r>
    </w:p>
    <w:p w14:paraId="7F445431" w14:textId="77777777" w:rsidR="00CD5A21" w:rsidRPr="00CD5A21" w:rsidRDefault="00CD5A21" w:rsidP="00CD5A21">
      <w:pPr>
        <w:spacing w:line="240" w:lineRule="auto"/>
        <w:rPr>
          <w:rFonts w:eastAsia="Times New Roman" w:cs="Arial"/>
          <w:bCs/>
          <w:color w:val="000000"/>
          <w:u w:val="single"/>
          <w:lang w:eastAsia="bg-BG"/>
        </w:rPr>
      </w:pPr>
    </w:p>
    <w:p w14:paraId="6BE48590" w14:textId="7A829969" w:rsidR="00CD5A21" w:rsidRPr="00CD5A21" w:rsidRDefault="00CD5A21" w:rsidP="00CD5A21">
      <w:pPr>
        <w:spacing w:line="240" w:lineRule="auto"/>
        <w:rPr>
          <w:rFonts w:eastAsia="Times New Roman" w:cs="Arial"/>
        </w:rPr>
      </w:pPr>
      <w:r w:rsidRPr="00CD5A21">
        <w:rPr>
          <w:rFonts w:eastAsia="Times New Roman" w:cs="Arial"/>
          <w:bCs/>
          <w:color w:val="000000"/>
          <w:u w:val="single"/>
          <w:lang w:eastAsia="bg-BG"/>
        </w:rPr>
        <w:t>Фертилитет. репродукция и тератогенност</w:t>
      </w:r>
    </w:p>
    <w:p w14:paraId="38E4CB5E"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 xml:space="preserve">Прочувания на фертилитета и репродукцията показват, че дневни дози от 150 до 160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при мъжки и женски плъхове не предизвикват странични ефекти върху половия цикъл, фертилитета, раждането и броя и жизнеността на потомството. Две </w:t>
      </w:r>
      <w:r w:rsidRPr="00CD5A21">
        <w:rPr>
          <w:rFonts w:eastAsia="Times New Roman" w:cs="Arial"/>
          <w:bCs/>
          <w:color w:val="000000"/>
          <w:lang w:eastAsia="bg-BG"/>
        </w:rPr>
        <w:lastRenderedPageBreak/>
        <w:t xml:space="preserve">проучвания за тератогенност при плъхове </w:t>
      </w:r>
      <w:proofErr w:type="spellStart"/>
      <w:r w:rsidRPr="00CD5A21">
        <w:rPr>
          <w:rFonts w:eastAsia="Times New Roman" w:cs="Arial"/>
          <w:bCs/>
          <w:i/>
          <w:iCs/>
          <w:color w:val="000000"/>
          <w:lang w:val="en-US"/>
        </w:rPr>
        <w:t>Wistar</w:t>
      </w:r>
      <w:proofErr w:type="spellEnd"/>
      <w:r w:rsidRPr="00CD5A21">
        <w:rPr>
          <w:rFonts w:eastAsia="Times New Roman" w:cs="Arial"/>
          <w:bCs/>
          <w:i/>
          <w:iCs/>
          <w:color w:val="000000"/>
          <w:lang w:val="ru-RU"/>
        </w:rPr>
        <w:t xml:space="preserve"> </w:t>
      </w:r>
      <w:r w:rsidRPr="00CD5A21">
        <w:rPr>
          <w:rFonts w:eastAsia="Times New Roman" w:cs="Arial"/>
          <w:bCs/>
          <w:i/>
          <w:iCs/>
          <w:color w:val="000000"/>
          <w:lang w:eastAsia="bg-BG"/>
        </w:rPr>
        <w:t>(р.о.)</w:t>
      </w:r>
      <w:r w:rsidRPr="00CD5A21">
        <w:rPr>
          <w:rFonts w:eastAsia="Times New Roman" w:cs="Arial"/>
          <w:bCs/>
          <w:color w:val="000000"/>
          <w:lang w:eastAsia="bg-BG"/>
        </w:rPr>
        <w:t xml:space="preserve"> и </w:t>
      </w:r>
      <w:r w:rsidRPr="00CD5A21">
        <w:rPr>
          <w:rFonts w:eastAsia="Times New Roman" w:cs="Arial"/>
          <w:bCs/>
          <w:i/>
          <w:iCs/>
          <w:color w:val="000000"/>
          <w:lang w:val="en-US"/>
        </w:rPr>
        <w:t>Sprague</w:t>
      </w:r>
      <w:r w:rsidRPr="00CD5A21">
        <w:rPr>
          <w:rFonts w:eastAsia="Times New Roman" w:cs="Arial"/>
          <w:bCs/>
          <w:i/>
          <w:iCs/>
          <w:color w:val="000000"/>
          <w:lang w:val="ru-RU"/>
        </w:rPr>
        <w:t>-</w:t>
      </w:r>
      <w:r w:rsidRPr="00CD5A21">
        <w:rPr>
          <w:rFonts w:eastAsia="Times New Roman" w:cs="Arial"/>
          <w:bCs/>
          <w:i/>
          <w:iCs/>
          <w:color w:val="000000"/>
          <w:lang w:val="en-US"/>
        </w:rPr>
        <w:t>Dawley</w:t>
      </w:r>
      <w:r w:rsidRPr="00CD5A21">
        <w:rPr>
          <w:rFonts w:eastAsia="Times New Roman" w:cs="Arial"/>
          <w:bCs/>
          <w:i/>
          <w:iCs/>
          <w:color w:val="000000"/>
          <w:lang w:val="ru-RU"/>
        </w:rPr>
        <w:t xml:space="preserve"> </w:t>
      </w:r>
      <w:r w:rsidRPr="00CD5A21">
        <w:rPr>
          <w:rFonts w:eastAsia="Times New Roman" w:cs="Arial"/>
          <w:bCs/>
          <w:i/>
          <w:iCs/>
          <w:color w:val="000000"/>
          <w:lang w:eastAsia="bg-BG"/>
        </w:rPr>
        <w:t>(р.о и</w:t>
      </w:r>
      <w:r w:rsidRPr="00CD5A21">
        <w:rPr>
          <w:rFonts w:eastAsia="Times New Roman" w:cs="Arial"/>
          <w:bCs/>
          <w:color w:val="000000"/>
          <w:lang w:eastAsia="bg-BG"/>
        </w:rPr>
        <w:t xml:space="preserve"> едно проучване при новозеландски бели зайци и едно проучване при маймуни макак не демонтрират каквато и да е тератогенност на кларитромицин. Само в едно допълнително проучване при </w:t>
      </w:r>
      <w:r w:rsidRPr="00CD5A21">
        <w:rPr>
          <w:rFonts w:eastAsia="Times New Roman" w:cs="Arial"/>
          <w:bCs/>
          <w:i/>
          <w:iCs/>
          <w:color w:val="000000"/>
          <w:lang w:val="en-US"/>
        </w:rPr>
        <w:t>Sprague</w:t>
      </w:r>
      <w:r w:rsidRPr="00CD5A21">
        <w:rPr>
          <w:rFonts w:eastAsia="Times New Roman" w:cs="Arial"/>
          <w:bCs/>
          <w:i/>
          <w:iCs/>
          <w:color w:val="000000"/>
          <w:lang w:val="ru-RU"/>
        </w:rPr>
        <w:t xml:space="preserve">- </w:t>
      </w:r>
      <w:r w:rsidRPr="00CD5A21">
        <w:rPr>
          <w:rFonts w:eastAsia="Times New Roman" w:cs="Arial"/>
          <w:bCs/>
          <w:i/>
          <w:iCs/>
          <w:color w:val="000000"/>
          <w:lang w:val="en-US"/>
        </w:rPr>
        <w:t>Dawley</w:t>
      </w:r>
      <w:r w:rsidRPr="00CD5A21">
        <w:rPr>
          <w:rFonts w:eastAsia="Times New Roman" w:cs="Arial"/>
          <w:bCs/>
          <w:color w:val="000000"/>
          <w:lang w:val="ru-RU"/>
        </w:rPr>
        <w:t xml:space="preserve"> </w:t>
      </w:r>
      <w:r w:rsidRPr="00CD5A21">
        <w:rPr>
          <w:rFonts w:eastAsia="Times New Roman" w:cs="Arial"/>
          <w:bCs/>
          <w:color w:val="000000"/>
          <w:lang w:eastAsia="bg-BG"/>
        </w:rPr>
        <w:t xml:space="preserve">плъхове при подобни дози и практически подобни условия се открива много ниска, статистически незначима честота (приблизително 6%) на сърдечно-съдови аномалии. Тези аномалии изглежда се дължат на спонтанна експресия на генетични промени в колонията. Две проучвания при мишки също показват променлива честота на цепнато небце (3 до 30%) след дози 70 пъти над горната граница на обичайната дневна клинична доза при хора (500 </w:t>
      </w:r>
      <w:r w:rsidRPr="00CD5A21">
        <w:rPr>
          <w:rFonts w:eastAsia="Times New Roman" w:cs="Arial"/>
          <w:bCs/>
          <w:color w:val="000000"/>
          <w:lang w:val="en-US"/>
        </w:rPr>
        <w:t>mg</w:t>
      </w:r>
      <w:r w:rsidRPr="00CD5A21">
        <w:rPr>
          <w:rFonts w:eastAsia="Times New Roman" w:cs="Arial"/>
          <w:bCs/>
          <w:color w:val="000000"/>
          <w:lang w:val="ru-RU"/>
        </w:rPr>
        <w:t xml:space="preserve"> </w:t>
      </w:r>
      <w:r w:rsidRPr="00CD5A21">
        <w:rPr>
          <w:rFonts w:eastAsia="Times New Roman" w:cs="Arial"/>
          <w:bCs/>
          <w:color w:val="000000"/>
          <w:lang w:eastAsia="bg-BG"/>
        </w:rPr>
        <w:t>два пъти дневно), но не и при 35 пъти максималната дневна клинична доза при хора, което предполага майчина и фетална токсичност, но не тератогенност.</w:t>
      </w:r>
    </w:p>
    <w:p w14:paraId="79CA9C36" w14:textId="763B002D" w:rsidR="00CD5A21" w:rsidRPr="00CD5A21" w:rsidRDefault="00CD5A21" w:rsidP="00CD5A21">
      <w:pPr>
        <w:rPr>
          <w:rFonts w:eastAsia="Times New Roman" w:cs="Arial"/>
          <w:bCs/>
          <w:color w:val="000000"/>
          <w:lang w:eastAsia="bg-BG"/>
        </w:rPr>
      </w:pPr>
      <w:r w:rsidRPr="00CD5A21">
        <w:rPr>
          <w:rFonts w:eastAsia="Times New Roman" w:cs="Arial"/>
          <w:bCs/>
          <w:color w:val="000000"/>
          <w:lang w:eastAsia="bg-BG"/>
        </w:rPr>
        <w:t xml:space="preserve">За кларитромицин е показано, че причинява загуба на ембриона при маймуни, когато се прилага приблизително 10 пъти над горната граница на обичайната дневна доза при хора (500 </w:t>
      </w:r>
      <w:r w:rsidRPr="00CD5A21">
        <w:rPr>
          <w:rFonts w:eastAsia="Times New Roman" w:cs="Arial"/>
          <w:bCs/>
          <w:color w:val="000000"/>
          <w:lang w:val="en-US"/>
        </w:rPr>
        <w:t>mg</w:t>
      </w:r>
      <w:r w:rsidRPr="00CD5A21">
        <w:rPr>
          <w:rFonts w:eastAsia="Times New Roman" w:cs="Arial"/>
          <w:bCs/>
          <w:color w:val="000000"/>
          <w:lang w:val="ru-RU"/>
        </w:rPr>
        <w:t xml:space="preserve"> </w:t>
      </w:r>
      <w:r w:rsidRPr="00CD5A21">
        <w:rPr>
          <w:rFonts w:eastAsia="Times New Roman" w:cs="Arial"/>
          <w:bCs/>
          <w:color w:val="000000"/>
          <w:lang w:eastAsia="bg-BG"/>
        </w:rPr>
        <w:t>два пъти дневно), започвайки от 20 гестационен ден. Този ефект се отдава на майчина токсичност на лекарството при много високи дози. Допълнително проучване при бременни маймуни при дози приблизително 2,5 до 5 пъти максималната планирана дневна доза не показва конкретна опасност за плода.</w:t>
      </w:r>
    </w:p>
    <w:p w14:paraId="5082A42D" w14:textId="3EE1267E" w:rsidR="00CD5A21" w:rsidRPr="00CD5A21" w:rsidRDefault="00CD5A21" w:rsidP="00CD5A21">
      <w:pPr>
        <w:rPr>
          <w:rFonts w:eastAsia="Times New Roman" w:cs="Arial"/>
          <w:bCs/>
          <w:color w:val="000000"/>
          <w:lang w:eastAsia="bg-BG"/>
        </w:rPr>
      </w:pPr>
    </w:p>
    <w:p w14:paraId="0EA0789F" w14:textId="77777777" w:rsidR="00CD5A21" w:rsidRPr="00CD5A21" w:rsidRDefault="00CD5A21" w:rsidP="00CD5A21">
      <w:pPr>
        <w:spacing w:line="240" w:lineRule="auto"/>
        <w:rPr>
          <w:rFonts w:eastAsia="Times New Roman" w:cs="Arial"/>
        </w:rPr>
      </w:pPr>
      <w:r w:rsidRPr="00CD5A21">
        <w:rPr>
          <w:rFonts w:eastAsia="Times New Roman" w:cs="Arial"/>
          <w:bCs/>
          <w:color w:val="000000"/>
          <w:lang w:eastAsia="bg-BG"/>
        </w:rPr>
        <w:t xml:space="preserve">Доминантен летален тест при мишки, на които са давани 1000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 xml:space="preserve">дневно (приблизително 70 пъти максималната дневна клинична доза при хора) е видимо отрицателен за мутагенна активност, а в Сегмент I на проучване при плъхове, третирани с 500 </w:t>
      </w:r>
      <w:r w:rsidRPr="00CD5A21">
        <w:rPr>
          <w:rFonts w:eastAsia="Times New Roman" w:cs="Arial"/>
          <w:bCs/>
          <w:color w:val="000000"/>
          <w:lang w:val="en-US"/>
        </w:rPr>
        <w:t>mg</w:t>
      </w:r>
      <w:r w:rsidRPr="00CD5A21">
        <w:rPr>
          <w:rFonts w:eastAsia="Times New Roman" w:cs="Arial"/>
          <w:bCs/>
          <w:color w:val="000000"/>
          <w:lang w:val="ru-RU"/>
        </w:rPr>
        <w:t>/</w:t>
      </w:r>
      <w:r w:rsidRPr="00CD5A21">
        <w:rPr>
          <w:rFonts w:eastAsia="Times New Roman" w:cs="Arial"/>
          <w:bCs/>
          <w:color w:val="000000"/>
          <w:lang w:val="en-US"/>
        </w:rPr>
        <w:t>kg</w:t>
      </w:r>
      <w:r w:rsidRPr="00CD5A21">
        <w:rPr>
          <w:rFonts w:eastAsia="Times New Roman" w:cs="Arial"/>
          <w:bCs/>
          <w:color w:val="000000"/>
          <w:lang w:val="ru-RU"/>
        </w:rPr>
        <w:t xml:space="preserve"> </w:t>
      </w:r>
      <w:r w:rsidRPr="00CD5A21">
        <w:rPr>
          <w:rFonts w:eastAsia="Times New Roman" w:cs="Arial"/>
          <w:bCs/>
          <w:color w:val="000000"/>
          <w:lang w:eastAsia="bg-BG"/>
        </w:rPr>
        <w:t>дневно (приблизително 35 пъти максималната дневна клинична доза при хора) за 80 дни не е показано доказателство за функционално увреждане на мъжката фертилност, дължащо се на тази продължителна експозиция на тези много високи дози кларитромицин.</w:t>
      </w:r>
    </w:p>
    <w:p w14:paraId="7B91E436" w14:textId="77777777" w:rsidR="00CD5A21" w:rsidRPr="00CD5A21" w:rsidRDefault="00CD5A21" w:rsidP="00CD5A21">
      <w:pPr>
        <w:spacing w:line="240" w:lineRule="auto"/>
        <w:rPr>
          <w:rFonts w:eastAsia="Times New Roman" w:cs="Arial"/>
          <w:bCs/>
          <w:color w:val="000000"/>
          <w:u w:val="single"/>
          <w:lang w:eastAsia="bg-BG"/>
        </w:rPr>
      </w:pPr>
    </w:p>
    <w:p w14:paraId="3D40150C" w14:textId="2E57DBA4" w:rsidR="00CD5A21" w:rsidRPr="00CD5A21" w:rsidRDefault="00CD5A21" w:rsidP="00CD5A21">
      <w:pPr>
        <w:spacing w:line="240" w:lineRule="auto"/>
        <w:rPr>
          <w:rFonts w:eastAsia="Times New Roman" w:cs="Arial"/>
        </w:rPr>
      </w:pPr>
      <w:r w:rsidRPr="00CD5A21">
        <w:rPr>
          <w:rFonts w:eastAsia="Times New Roman" w:cs="Arial"/>
          <w:bCs/>
          <w:color w:val="000000"/>
          <w:u w:val="single"/>
          <w:lang w:eastAsia="bg-BG"/>
        </w:rPr>
        <w:t>Мутагенност</w:t>
      </w:r>
    </w:p>
    <w:p w14:paraId="5E744A6B" w14:textId="77777777" w:rsidR="00CD5A21" w:rsidRPr="00CD5A21" w:rsidRDefault="00CD5A21" w:rsidP="00CD5A21">
      <w:pPr>
        <w:spacing w:line="240" w:lineRule="auto"/>
        <w:rPr>
          <w:rFonts w:ascii="Times New Roman" w:eastAsia="Times New Roman" w:hAnsi="Times New Roman" w:cs="Times New Roman"/>
          <w:sz w:val="24"/>
          <w:szCs w:val="24"/>
        </w:rPr>
      </w:pPr>
      <w:r w:rsidRPr="00CD5A21">
        <w:rPr>
          <w:rFonts w:eastAsia="Times New Roman" w:cs="Arial"/>
          <w:bCs/>
          <w:color w:val="000000"/>
          <w:lang w:eastAsia="bg-BG"/>
        </w:rPr>
        <w:t xml:space="preserve">Проведени са проучвания за оценка на мутагенния потенциал на кларитромицин, като са използвани неактивни и активирани плъши чернодробни микрозомни тестови системи (тест на </w:t>
      </w:r>
      <w:r w:rsidRPr="00CD5A21">
        <w:rPr>
          <w:rFonts w:eastAsia="Times New Roman" w:cs="Arial"/>
          <w:bCs/>
          <w:color w:val="000000"/>
          <w:lang w:val="en-US"/>
        </w:rPr>
        <w:t>Ames</w:t>
      </w:r>
      <w:r w:rsidRPr="00CD5A21">
        <w:rPr>
          <w:rFonts w:eastAsia="Times New Roman" w:cs="Arial"/>
          <w:bCs/>
          <w:color w:val="000000"/>
          <w:lang w:val="ru-RU"/>
        </w:rPr>
        <w:t xml:space="preserve">). </w:t>
      </w:r>
      <w:r w:rsidRPr="00CD5A21">
        <w:rPr>
          <w:rFonts w:eastAsia="Times New Roman" w:cs="Arial"/>
          <w:bCs/>
          <w:color w:val="000000"/>
          <w:lang w:eastAsia="bg-BG"/>
        </w:rPr>
        <w:t>Резултатите от тези проучвания показват липса на доказателство за мутагенен потенциал при лекарствени концентрации от 25 μ</w:t>
      </w:r>
      <w:r w:rsidRPr="00CD5A21">
        <w:rPr>
          <w:rFonts w:eastAsia="Times New Roman" w:cs="Arial"/>
          <w:bCs/>
          <w:color w:val="000000"/>
          <w:lang w:val="en-US"/>
        </w:rPr>
        <w:t>g</w:t>
      </w:r>
      <w:r w:rsidRPr="00CD5A21">
        <w:rPr>
          <w:rFonts w:eastAsia="Times New Roman" w:cs="Arial"/>
          <w:bCs/>
          <w:color w:val="000000"/>
          <w:lang w:val="ru-RU"/>
        </w:rPr>
        <w:t xml:space="preserve">/ </w:t>
      </w:r>
      <w:r w:rsidRPr="00CD5A21">
        <w:rPr>
          <w:rFonts w:eastAsia="Times New Roman" w:cs="Arial"/>
          <w:bCs/>
          <w:color w:val="000000"/>
          <w:lang w:eastAsia="bg-BG"/>
        </w:rPr>
        <w:t>петнатриева паничка или по-ниски. При концентрации от 50 μ</w:t>
      </w:r>
      <w:r w:rsidRPr="00CD5A21">
        <w:rPr>
          <w:rFonts w:eastAsia="Times New Roman" w:cs="Arial"/>
          <w:bCs/>
          <w:color w:val="000000"/>
          <w:lang w:val="en-US"/>
        </w:rPr>
        <w:t>g</w:t>
      </w:r>
      <w:r w:rsidRPr="00CD5A21">
        <w:rPr>
          <w:rFonts w:eastAsia="Times New Roman" w:cs="Arial"/>
          <w:bCs/>
          <w:color w:val="000000"/>
          <w:lang w:val="ru-RU"/>
        </w:rPr>
        <w:t xml:space="preserve"> </w:t>
      </w:r>
      <w:r w:rsidRPr="00CD5A21">
        <w:rPr>
          <w:rFonts w:eastAsia="Times New Roman" w:cs="Arial"/>
          <w:bCs/>
          <w:color w:val="000000"/>
          <w:lang w:eastAsia="bg-BG"/>
        </w:rPr>
        <w:t>лекарството е било токсично за всички изследвани щамове.</w:t>
      </w:r>
    </w:p>
    <w:p w14:paraId="5E8E88F0" w14:textId="77777777" w:rsidR="00CD5A21" w:rsidRPr="00CD5A21" w:rsidRDefault="00CD5A21" w:rsidP="00CD5A21"/>
    <w:p w14:paraId="6A7820AB" w14:textId="5EE6DD3A" w:rsidR="008A6AF2" w:rsidRDefault="002C50EE" w:rsidP="00395555">
      <w:pPr>
        <w:pStyle w:val="Heading1"/>
      </w:pPr>
      <w:r>
        <w:t>7. ПРИТЕЖАТЕЛ НА РАЗРЕШЕНИЕТО ЗА УПОТРЕБА</w:t>
      </w:r>
    </w:p>
    <w:p w14:paraId="59C1D7F4" w14:textId="7C869C54" w:rsidR="00CD5A21" w:rsidRDefault="00CD5A21" w:rsidP="00CD5A21"/>
    <w:p w14:paraId="532849E9" w14:textId="3A840387" w:rsidR="00CD5A21" w:rsidRPr="00CD5A21" w:rsidRDefault="00CD5A21" w:rsidP="00CD5A21">
      <w:r>
        <w:t xml:space="preserve">Medochemie Ltd., </w:t>
      </w:r>
      <w:r>
        <w:rPr>
          <w:lang w:eastAsia="bg-BG"/>
        </w:rPr>
        <w:t xml:space="preserve">1-10 </w:t>
      </w:r>
      <w:r>
        <w:t xml:space="preserve">Constantinoupoleos str., 3011 Limassol, </w:t>
      </w:r>
      <w:r>
        <w:rPr>
          <w:lang w:eastAsia="bg-BG"/>
        </w:rPr>
        <w:t>Кипър</w:t>
      </w:r>
    </w:p>
    <w:p w14:paraId="04840D59" w14:textId="3B11FC1B" w:rsidR="002C50EE" w:rsidRDefault="002C50EE" w:rsidP="00395555">
      <w:pPr>
        <w:pStyle w:val="Heading1"/>
      </w:pPr>
      <w:r>
        <w:t>8. НОМЕР НА РАЗРЕШЕНИЕТО ЗА УПОТРЕБА</w:t>
      </w:r>
    </w:p>
    <w:p w14:paraId="3C016403" w14:textId="1C669684" w:rsidR="00CD5A21" w:rsidRDefault="00CD5A21" w:rsidP="00CD5A21"/>
    <w:p w14:paraId="4DFBBB62" w14:textId="77777777" w:rsidR="00CD5A21" w:rsidRPr="00CD5A21" w:rsidRDefault="00CD5A21" w:rsidP="00CD5A21">
      <w:pPr>
        <w:rPr>
          <w:sz w:val="24"/>
          <w:szCs w:val="24"/>
        </w:rPr>
      </w:pPr>
      <w:r w:rsidRPr="00CD5A21">
        <w:rPr>
          <w:lang w:eastAsia="bg-BG"/>
        </w:rPr>
        <w:t xml:space="preserve">Клеримед 250 </w:t>
      </w:r>
      <w:r w:rsidRPr="00CD5A21">
        <w:rPr>
          <w:lang w:val="en-US"/>
        </w:rPr>
        <w:t>mg</w:t>
      </w:r>
      <w:r w:rsidRPr="00CD5A21">
        <w:t>:</w:t>
      </w:r>
    </w:p>
    <w:p w14:paraId="4D507644" w14:textId="77777777" w:rsidR="00CD5A21" w:rsidRPr="00CD5A21" w:rsidRDefault="00CD5A21" w:rsidP="00CD5A21">
      <w:pPr>
        <w:rPr>
          <w:sz w:val="24"/>
          <w:szCs w:val="24"/>
        </w:rPr>
      </w:pPr>
      <w:r w:rsidRPr="00CD5A21">
        <w:rPr>
          <w:lang w:val="en-US"/>
        </w:rPr>
        <w:t>Pen</w:t>
      </w:r>
      <w:r w:rsidRPr="00CD5A21">
        <w:t xml:space="preserve"> №: 20060330</w:t>
      </w:r>
    </w:p>
    <w:p w14:paraId="22D5FC7A" w14:textId="77777777" w:rsidR="00CD5A21" w:rsidRPr="00CD5A21" w:rsidRDefault="00CD5A21" w:rsidP="00CD5A21">
      <w:pPr>
        <w:rPr>
          <w:sz w:val="24"/>
          <w:szCs w:val="24"/>
        </w:rPr>
      </w:pPr>
      <w:r w:rsidRPr="00CD5A21">
        <w:rPr>
          <w:lang w:eastAsia="bg-BG"/>
        </w:rPr>
        <w:t xml:space="preserve">Клеримед </w:t>
      </w:r>
      <w:r w:rsidRPr="00CD5A21">
        <w:t xml:space="preserve">500 </w:t>
      </w:r>
      <w:r w:rsidRPr="00CD5A21">
        <w:rPr>
          <w:lang w:val="en-US"/>
        </w:rPr>
        <w:t>mg</w:t>
      </w:r>
      <w:r w:rsidRPr="00CD5A21">
        <w:t>:</w:t>
      </w:r>
    </w:p>
    <w:p w14:paraId="26A90E1C" w14:textId="06438BC5" w:rsidR="00CD5A21" w:rsidRPr="00CD5A21" w:rsidRDefault="00CD5A21" w:rsidP="00CD5A21">
      <w:pPr>
        <w:rPr>
          <w:lang w:val="ru-RU"/>
        </w:rPr>
      </w:pPr>
      <w:r w:rsidRPr="00CD5A21">
        <w:rPr>
          <w:lang w:val="en-US"/>
        </w:rPr>
        <w:t>Per</w:t>
      </w:r>
      <w:r w:rsidRPr="00CD5A21">
        <w:rPr>
          <w:lang w:val="ru-RU"/>
        </w:rPr>
        <w:t>. №: 20060331</w:t>
      </w:r>
    </w:p>
    <w:p w14:paraId="2CCB5832" w14:textId="434F3AD6" w:rsidR="007C605B" w:rsidRDefault="002C50EE" w:rsidP="007C605B">
      <w:pPr>
        <w:pStyle w:val="Heading1"/>
      </w:pPr>
      <w:r>
        <w:lastRenderedPageBreak/>
        <w:t>9. ДАТА НА ПЪРВО РАЗРЕШАВАНЕ/ПОДНОВЯВАНЕ НА РАЗРЕШЕНИЕТО ЗА УПОТРЕБА</w:t>
      </w:r>
    </w:p>
    <w:p w14:paraId="51910AB1" w14:textId="4454182B" w:rsidR="00CD5A21" w:rsidRDefault="00CD5A21" w:rsidP="00CD5A21"/>
    <w:p w14:paraId="26FD35DA" w14:textId="77777777" w:rsidR="00CD5A21" w:rsidRPr="00CD5A21" w:rsidRDefault="00CD5A21" w:rsidP="00CD5A21">
      <w:pPr>
        <w:rPr>
          <w:sz w:val="24"/>
          <w:szCs w:val="24"/>
        </w:rPr>
      </w:pPr>
      <w:r w:rsidRPr="00CD5A21">
        <w:rPr>
          <w:lang w:eastAsia="bg-BG"/>
        </w:rPr>
        <w:t>Дата на първо разрешаване: 07 юли 2006 г.</w:t>
      </w:r>
    </w:p>
    <w:p w14:paraId="5B07ADC2" w14:textId="77777777" w:rsidR="00CD5A21" w:rsidRPr="00CD5A21" w:rsidRDefault="00CD5A21" w:rsidP="00CD5A21">
      <w:pPr>
        <w:rPr>
          <w:sz w:val="24"/>
          <w:szCs w:val="24"/>
        </w:rPr>
      </w:pPr>
      <w:r w:rsidRPr="00CD5A21">
        <w:rPr>
          <w:lang w:eastAsia="bg-BG"/>
        </w:rPr>
        <w:t>Дата на последно подновяване: 26 октомври 2011 г.</w:t>
      </w:r>
    </w:p>
    <w:p w14:paraId="69300ABA" w14:textId="77777777" w:rsidR="00CD5A21" w:rsidRPr="00CD5A21" w:rsidRDefault="00CD5A21" w:rsidP="00CD5A21"/>
    <w:p w14:paraId="0E9D0119" w14:textId="0245C6D7" w:rsidR="002C50EE" w:rsidRDefault="002C50EE" w:rsidP="002C50EE">
      <w:pPr>
        <w:pStyle w:val="Heading1"/>
      </w:pPr>
      <w:r>
        <w:t>10. ДАТА НА АКТУАЛИЗИРАНЕ НА ТЕКСТА</w:t>
      </w:r>
    </w:p>
    <w:bookmarkEnd w:id="0"/>
    <w:p w14:paraId="43FB38A2" w14:textId="3FCAE8FC" w:rsidR="007C605B" w:rsidRPr="002B0A88" w:rsidRDefault="00CD5A21" w:rsidP="00CD5A21">
      <w:pPr>
        <w:rPr>
          <w:sz w:val="24"/>
          <w:szCs w:val="24"/>
        </w:rPr>
      </w:pPr>
      <w:r>
        <w:t>02/2021</w:t>
      </w:r>
      <w:bookmarkStart w:id="1" w:name="_GoBack"/>
      <w:bookmarkEnd w:id="1"/>
    </w:p>
    <w:sectPr w:rsidR="007C605B" w:rsidRPr="002B0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03B6D1A"/>
    <w:multiLevelType w:val="hybridMultilevel"/>
    <w:tmpl w:val="B8A41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9F271E4"/>
    <w:multiLevelType w:val="hybridMultilevel"/>
    <w:tmpl w:val="DAB60E4E"/>
    <w:lvl w:ilvl="0" w:tplc="7526B936">
      <w:start w:val="4"/>
      <w:numFmt w:val="bullet"/>
      <w:lvlText w:val="-"/>
      <w:lvlJc w:val="left"/>
      <w:pPr>
        <w:ind w:left="720" w:hanging="360"/>
      </w:pPr>
      <w:rPr>
        <w:rFonts w:ascii="Times New Roman" w:eastAsia="Times New Roman" w:hAnsi="Times New Roman" w:cs="Times New Roman" w:hint="default"/>
        <w:b/>
        <w:color w:val="000000"/>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E432DE"/>
    <w:multiLevelType w:val="hybridMultilevel"/>
    <w:tmpl w:val="9270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C46DE1"/>
    <w:multiLevelType w:val="hybridMultilevel"/>
    <w:tmpl w:val="559E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BD4F54"/>
    <w:multiLevelType w:val="hybridMultilevel"/>
    <w:tmpl w:val="0894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4"/>
  </w:num>
  <w:num w:numId="4">
    <w:abstractNumId w:val="3"/>
  </w:num>
  <w:num w:numId="5">
    <w:abstractNumId w:val="1"/>
  </w:num>
  <w:num w:numId="6">
    <w:abstractNumId w:val="19"/>
  </w:num>
  <w:num w:numId="7">
    <w:abstractNumId w:val="11"/>
  </w:num>
  <w:num w:numId="8">
    <w:abstractNumId w:val="18"/>
  </w:num>
  <w:num w:numId="9">
    <w:abstractNumId w:val="2"/>
  </w:num>
  <w:num w:numId="10">
    <w:abstractNumId w:val="4"/>
  </w:num>
  <w:num w:numId="11">
    <w:abstractNumId w:val="32"/>
  </w:num>
  <w:num w:numId="12">
    <w:abstractNumId w:val="16"/>
  </w:num>
  <w:num w:numId="13">
    <w:abstractNumId w:val="22"/>
  </w:num>
  <w:num w:numId="14">
    <w:abstractNumId w:val="13"/>
  </w:num>
  <w:num w:numId="15">
    <w:abstractNumId w:val="31"/>
  </w:num>
  <w:num w:numId="16">
    <w:abstractNumId w:val="10"/>
  </w:num>
  <w:num w:numId="17">
    <w:abstractNumId w:val="27"/>
  </w:num>
  <w:num w:numId="18">
    <w:abstractNumId w:val="8"/>
  </w:num>
  <w:num w:numId="19">
    <w:abstractNumId w:val="29"/>
  </w:num>
  <w:num w:numId="20">
    <w:abstractNumId w:val="26"/>
  </w:num>
  <w:num w:numId="21">
    <w:abstractNumId w:val="20"/>
  </w:num>
  <w:num w:numId="22">
    <w:abstractNumId w:val="28"/>
  </w:num>
  <w:num w:numId="23">
    <w:abstractNumId w:val="21"/>
  </w:num>
  <w:num w:numId="24">
    <w:abstractNumId w:val="9"/>
  </w:num>
  <w:num w:numId="25">
    <w:abstractNumId w:val="25"/>
  </w:num>
  <w:num w:numId="26">
    <w:abstractNumId w:val="24"/>
  </w:num>
  <w:num w:numId="27">
    <w:abstractNumId w:val="34"/>
  </w:num>
  <w:num w:numId="28">
    <w:abstractNumId w:val="6"/>
  </w:num>
  <w:num w:numId="29">
    <w:abstractNumId w:val="23"/>
  </w:num>
  <w:num w:numId="30">
    <w:abstractNumId w:val="35"/>
  </w:num>
  <w:num w:numId="31">
    <w:abstractNumId w:val="5"/>
  </w:num>
  <w:num w:numId="32">
    <w:abstractNumId w:val="17"/>
  </w:num>
  <w:num w:numId="33">
    <w:abstractNumId w:val="33"/>
  </w:num>
  <w:num w:numId="34">
    <w:abstractNumId w:val="15"/>
  </w:num>
  <w:num w:numId="35">
    <w:abstractNumId w:val="7"/>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0A88"/>
    <w:rsid w:val="002B3C38"/>
    <w:rsid w:val="002B4DBB"/>
    <w:rsid w:val="002C50EE"/>
    <w:rsid w:val="00340A0A"/>
    <w:rsid w:val="003765DC"/>
    <w:rsid w:val="00395555"/>
    <w:rsid w:val="003E3126"/>
    <w:rsid w:val="004D4D6B"/>
    <w:rsid w:val="00517A5B"/>
    <w:rsid w:val="00593A00"/>
    <w:rsid w:val="005A66D9"/>
    <w:rsid w:val="00605BCA"/>
    <w:rsid w:val="006158A1"/>
    <w:rsid w:val="00617B1F"/>
    <w:rsid w:val="00672487"/>
    <w:rsid w:val="00672600"/>
    <w:rsid w:val="00681D4A"/>
    <w:rsid w:val="00685882"/>
    <w:rsid w:val="0075649D"/>
    <w:rsid w:val="007C605B"/>
    <w:rsid w:val="00814073"/>
    <w:rsid w:val="00826F0D"/>
    <w:rsid w:val="00830C0E"/>
    <w:rsid w:val="00893B92"/>
    <w:rsid w:val="008A6AF2"/>
    <w:rsid w:val="008C70A2"/>
    <w:rsid w:val="009773E4"/>
    <w:rsid w:val="009B171C"/>
    <w:rsid w:val="009F1313"/>
    <w:rsid w:val="00A20351"/>
    <w:rsid w:val="00AA23EC"/>
    <w:rsid w:val="00AC63CE"/>
    <w:rsid w:val="00AE2107"/>
    <w:rsid w:val="00B275A8"/>
    <w:rsid w:val="00BF2600"/>
    <w:rsid w:val="00C0049F"/>
    <w:rsid w:val="00C07B84"/>
    <w:rsid w:val="00C33464"/>
    <w:rsid w:val="00C809A7"/>
    <w:rsid w:val="00C83063"/>
    <w:rsid w:val="00C87E90"/>
    <w:rsid w:val="00CA1B57"/>
    <w:rsid w:val="00CD5A21"/>
    <w:rsid w:val="00D13A48"/>
    <w:rsid w:val="00D86297"/>
    <w:rsid w:val="00DD466D"/>
    <w:rsid w:val="00DF4C8E"/>
    <w:rsid w:val="00EB6364"/>
    <w:rsid w:val="00F37B64"/>
    <w:rsid w:val="00F44498"/>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9290</Words>
  <Characters>52959</Characters>
  <Application>Microsoft Office Word</Application>
  <DocSecurity>0</DocSecurity>
  <Lines>441</Lines>
  <Paragraphs>124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SATHealth-Guest</cp:lastModifiedBy>
  <cp:revision>2</cp:revision>
  <dcterms:created xsi:type="dcterms:W3CDTF">2022-03-02T14:44:00Z</dcterms:created>
  <dcterms:modified xsi:type="dcterms:W3CDTF">2022-03-02T14:44:00Z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