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224CDC1A"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 xml:space="preserve">Коринкер 20 </w:t>
      </w:r>
      <w:r w:rsidRPr="0024025B">
        <w:rPr>
          <w:rFonts w:eastAsia="Times New Roman" w:cs="Arial"/>
          <w:color w:val="000000"/>
          <w:lang w:val="en-US"/>
        </w:rPr>
        <w:t xml:space="preserve">mg </w:t>
      </w:r>
      <w:r w:rsidRPr="0024025B">
        <w:rPr>
          <w:rFonts w:eastAsia="Times New Roman" w:cs="Arial"/>
          <w:color w:val="000000"/>
          <w:lang w:eastAsia="bg-BG"/>
        </w:rPr>
        <w:t>таблетки с удължено освобождаване</w:t>
      </w:r>
    </w:p>
    <w:p w14:paraId="69AC8148" w14:textId="79A49853" w:rsidR="00EC41ED" w:rsidRPr="000302F5" w:rsidRDefault="0024025B" w:rsidP="0024025B">
      <w:pPr>
        <w:rPr>
          <w:rFonts w:cs="Arial"/>
        </w:rPr>
      </w:pPr>
      <w:proofErr w:type="spellStart"/>
      <w:r w:rsidRPr="000302F5">
        <w:rPr>
          <w:rFonts w:eastAsia="Times New Roman" w:cs="Arial"/>
          <w:color w:val="000000"/>
          <w:lang w:val="en-US"/>
        </w:rPr>
        <w:t>Korincare</w:t>
      </w:r>
      <w:proofErr w:type="spellEnd"/>
      <w:r w:rsidRPr="000302F5">
        <w:rPr>
          <w:rFonts w:eastAsia="Times New Roman" w:cs="Arial"/>
          <w:color w:val="000000"/>
          <w:lang w:val="en-US"/>
        </w:rPr>
        <w:t xml:space="preserve"> </w:t>
      </w:r>
      <w:r w:rsidRPr="000302F5">
        <w:rPr>
          <w:rFonts w:eastAsia="Times New Roman" w:cs="Arial"/>
          <w:color w:val="000000"/>
          <w:lang w:eastAsia="bg-BG"/>
        </w:rPr>
        <w:t xml:space="preserve">20 </w:t>
      </w:r>
      <w:r w:rsidRPr="000302F5">
        <w:rPr>
          <w:rFonts w:eastAsia="Times New Roman" w:cs="Arial"/>
          <w:color w:val="000000"/>
          <w:lang w:val="en-US"/>
        </w:rPr>
        <w:t>mg prolonged-release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067DCF1E"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 xml:space="preserve">Всяка таблетка с удължено освобождаване съдържа 20 </w:t>
      </w:r>
      <w:r w:rsidRPr="0024025B">
        <w:rPr>
          <w:rFonts w:eastAsia="Times New Roman" w:cs="Arial"/>
          <w:color w:val="000000"/>
          <w:lang w:val="en-US"/>
        </w:rPr>
        <w:t xml:space="preserve">mg </w:t>
      </w:r>
      <w:r w:rsidRPr="0024025B">
        <w:rPr>
          <w:rFonts w:eastAsia="Times New Roman" w:cs="Arial"/>
          <w:color w:val="000000"/>
          <w:lang w:eastAsia="bg-BG"/>
        </w:rPr>
        <w:t xml:space="preserve">нифедипин </w:t>
      </w:r>
      <w:r w:rsidRPr="0024025B">
        <w:rPr>
          <w:rFonts w:eastAsia="Times New Roman" w:cs="Arial"/>
          <w:i/>
          <w:iCs/>
          <w:color w:val="000000"/>
          <w:lang w:val="en-US"/>
        </w:rPr>
        <w:t>(</w:t>
      </w:r>
      <w:proofErr w:type="spellStart"/>
      <w:r w:rsidRPr="0024025B">
        <w:rPr>
          <w:rFonts w:eastAsia="Times New Roman" w:cs="Arial"/>
          <w:i/>
          <w:iCs/>
          <w:color w:val="000000"/>
          <w:lang w:val="en-US"/>
        </w:rPr>
        <w:t>nifedipine</w:t>
      </w:r>
      <w:proofErr w:type="spellEnd"/>
      <w:r w:rsidRPr="0024025B">
        <w:rPr>
          <w:rFonts w:eastAsia="Times New Roman" w:cs="Arial"/>
          <w:i/>
          <w:iCs/>
          <w:color w:val="000000"/>
          <w:lang w:val="en-US"/>
        </w:rPr>
        <w:t>).</w:t>
      </w:r>
    </w:p>
    <w:p w14:paraId="54632B43" w14:textId="237F6214" w:rsidR="00EC41ED" w:rsidRPr="000302F5" w:rsidRDefault="0024025B" w:rsidP="0024025B">
      <w:pPr>
        <w:rPr>
          <w:rFonts w:cs="Arial"/>
        </w:rPr>
      </w:pPr>
      <w:r w:rsidRPr="000302F5">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743244F0" w14:textId="27BF5533" w:rsidR="00EC41ED" w:rsidRPr="000302F5" w:rsidRDefault="0024025B" w:rsidP="0091385D">
      <w:pPr>
        <w:rPr>
          <w:rFonts w:cs="Arial"/>
        </w:rPr>
      </w:pPr>
      <w:r w:rsidRPr="000302F5">
        <w:rPr>
          <w:rFonts w:cs="Arial"/>
        </w:rPr>
        <w:t>Таблетка с удължено освобождаване.</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23AD4BC3" w14:textId="77777777" w:rsidR="0024025B" w:rsidRPr="000302F5" w:rsidRDefault="0024025B" w:rsidP="0024025B">
      <w:pPr>
        <w:pStyle w:val="ListParagraph"/>
        <w:numPr>
          <w:ilvl w:val="0"/>
          <w:numId w:val="37"/>
        </w:numPr>
        <w:spacing w:line="240" w:lineRule="auto"/>
        <w:rPr>
          <w:rFonts w:eastAsia="Times New Roman" w:cs="Arial"/>
          <w:color w:val="000000"/>
          <w:lang w:eastAsia="bg-BG"/>
        </w:rPr>
      </w:pPr>
      <w:r w:rsidRPr="000302F5">
        <w:rPr>
          <w:rFonts w:eastAsia="Times New Roman" w:cs="Arial"/>
          <w:color w:val="000000"/>
          <w:lang w:eastAsia="bg-BG"/>
        </w:rPr>
        <w:t>Профилактика на хронична стабилна стенокардия като монотерапия или в комбинация с</w:t>
      </w:r>
    </w:p>
    <w:p w14:paraId="24861007" w14:textId="77777777" w:rsidR="0024025B" w:rsidRPr="000302F5" w:rsidRDefault="0024025B" w:rsidP="0024025B">
      <w:pPr>
        <w:spacing w:line="240" w:lineRule="auto"/>
        <w:rPr>
          <w:rFonts w:eastAsia="Times New Roman" w:cs="Arial"/>
          <w:lang w:eastAsia="bg-BG"/>
        </w:rPr>
      </w:pPr>
      <w:r w:rsidRPr="0024025B">
        <w:rPr>
          <w:rFonts w:eastAsia="Times New Roman" w:cs="Arial"/>
          <w:color w:val="000000"/>
          <w:lang w:eastAsia="bg-BG"/>
        </w:rPr>
        <w:t>β-блокер;</w:t>
      </w:r>
    </w:p>
    <w:p w14:paraId="6DFA4B9D" w14:textId="00179A46" w:rsidR="0091385D" w:rsidRPr="000302F5" w:rsidRDefault="0024025B" w:rsidP="0024025B">
      <w:pPr>
        <w:pStyle w:val="ListParagraph"/>
        <w:numPr>
          <w:ilvl w:val="0"/>
          <w:numId w:val="37"/>
        </w:numPr>
        <w:spacing w:line="240" w:lineRule="auto"/>
        <w:rPr>
          <w:rFonts w:eastAsia="Times New Roman" w:cs="Arial"/>
          <w:lang w:eastAsia="bg-BG"/>
        </w:rPr>
      </w:pPr>
      <w:r w:rsidRPr="000302F5">
        <w:rPr>
          <w:rFonts w:eastAsia="Times New Roman" w:cs="Arial"/>
          <w:color w:val="000000"/>
          <w:lang w:eastAsia="bg-BG"/>
        </w:rPr>
        <w:t>Лечение на лека до умерена есенциална хипертония.</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093976A0" w14:textId="77777777" w:rsidR="0024025B" w:rsidRPr="000302F5" w:rsidRDefault="0024025B" w:rsidP="000302F5">
      <w:pPr>
        <w:pStyle w:val="Heading3"/>
        <w:rPr>
          <w:rFonts w:eastAsia="Times New Roman"/>
          <w:u w:val="single"/>
          <w:lang w:eastAsia="bg-BG"/>
        </w:rPr>
      </w:pPr>
      <w:r w:rsidRPr="000302F5">
        <w:rPr>
          <w:rFonts w:eastAsia="Times New Roman"/>
          <w:u w:val="single"/>
          <w:lang w:eastAsia="bg-BG"/>
        </w:rPr>
        <w:t>Дозировка</w:t>
      </w:r>
    </w:p>
    <w:p w14:paraId="7C88939D"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 xml:space="preserve">Началната доза е 20 </w:t>
      </w:r>
      <w:r w:rsidRPr="0024025B">
        <w:rPr>
          <w:rFonts w:eastAsia="Times New Roman" w:cs="Arial"/>
          <w:color w:val="000000"/>
          <w:lang w:val="en-US"/>
        </w:rPr>
        <w:t xml:space="preserve">mg </w:t>
      </w:r>
      <w:r w:rsidRPr="0024025B">
        <w:rPr>
          <w:rFonts w:eastAsia="Times New Roman" w:cs="Arial"/>
          <w:color w:val="000000"/>
          <w:lang w:eastAsia="bg-BG"/>
        </w:rPr>
        <w:t>веднъж дневно с последващо титриране на дозата в зависимост от терапевтичния отговор.</w:t>
      </w:r>
    </w:p>
    <w:p w14:paraId="1E93F6C8"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 xml:space="preserve">Обичайната поддържаща дневна доза е 2 пъти дневно по 20 </w:t>
      </w:r>
      <w:r w:rsidRPr="0024025B">
        <w:rPr>
          <w:rFonts w:eastAsia="Times New Roman" w:cs="Arial"/>
          <w:color w:val="000000"/>
          <w:lang w:val="en-US"/>
        </w:rPr>
        <w:t xml:space="preserve">mg </w:t>
      </w:r>
      <w:r w:rsidRPr="0024025B">
        <w:rPr>
          <w:rFonts w:eastAsia="Times New Roman" w:cs="Arial"/>
          <w:color w:val="000000"/>
          <w:lang w:eastAsia="bg-BG"/>
        </w:rPr>
        <w:t>(2 пъти дневно по 1 таблетка с удължено освобождаване).</w:t>
      </w:r>
    </w:p>
    <w:p w14:paraId="2D6F1D2A"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 xml:space="preserve">Ако се налага по-висока доза, възможно е постепенно повишаване на дневната доза до максимум 2 пъти дневно по 40 </w:t>
      </w:r>
      <w:r w:rsidRPr="0024025B">
        <w:rPr>
          <w:rFonts w:eastAsia="Times New Roman" w:cs="Arial"/>
          <w:color w:val="000000"/>
          <w:lang w:val="en-US"/>
        </w:rPr>
        <w:t xml:space="preserve">mg </w:t>
      </w:r>
      <w:r w:rsidRPr="0024025B">
        <w:rPr>
          <w:rFonts w:eastAsia="Times New Roman" w:cs="Arial"/>
          <w:color w:val="000000"/>
          <w:lang w:eastAsia="bg-BG"/>
        </w:rPr>
        <w:t>(2 пъти дневно по 2 таблетки с удължено освобождаване).</w:t>
      </w:r>
    </w:p>
    <w:p w14:paraId="1ABEAB2D"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 xml:space="preserve">Максималната дневна доза не трябва да превишава 80 </w:t>
      </w:r>
      <w:r w:rsidRPr="0024025B">
        <w:rPr>
          <w:rFonts w:eastAsia="Times New Roman" w:cs="Arial"/>
          <w:color w:val="000000"/>
          <w:lang w:val="en-US"/>
        </w:rPr>
        <w:t xml:space="preserve">mg </w:t>
      </w:r>
      <w:r w:rsidRPr="0024025B">
        <w:rPr>
          <w:rFonts w:eastAsia="Times New Roman" w:cs="Arial"/>
          <w:color w:val="000000"/>
          <w:lang w:eastAsia="bg-BG"/>
        </w:rPr>
        <w:t>дневно (4 таблетки с удължено освобождаване).</w:t>
      </w:r>
    </w:p>
    <w:p w14:paraId="191FEA78" w14:textId="77777777" w:rsidR="0024025B" w:rsidRPr="000302F5" w:rsidRDefault="0024025B" w:rsidP="0024025B">
      <w:pPr>
        <w:spacing w:line="240" w:lineRule="auto"/>
        <w:rPr>
          <w:rFonts w:eastAsia="Times New Roman" w:cs="Arial"/>
          <w:i/>
          <w:iCs/>
          <w:color w:val="000000"/>
          <w:lang w:eastAsia="bg-BG"/>
        </w:rPr>
      </w:pPr>
    </w:p>
    <w:p w14:paraId="1FB9ABCD" w14:textId="1CEF0858" w:rsidR="0024025B" w:rsidRPr="0024025B" w:rsidRDefault="0024025B" w:rsidP="0024025B">
      <w:pPr>
        <w:spacing w:line="240" w:lineRule="auto"/>
        <w:rPr>
          <w:rFonts w:eastAsia="Times New Roman" w:cs="Arial"/>
          <w:lang w:eastAsia="bg-BG"/>
        </w:rPr>
      </w:pPr>
      <w:r w:rsidRPr="0024025B">
        <w:rPr>
          <w:rFonts w:eastAsia="Times New Roman" w:cs="Arial"/>
          <w:i/>
          <w:iCs/>
          <w:color w:val="000000"/>
          <w:lang w:eastAsia="bg-BG"/>
        </w:rPr>
        <w:t>Продължителност на лечението</w:t>
      </w:r>
    </w:p>
    <w:p w14:paraId="310091C5"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Лекуващия лекар ще определи продължителността на лечението.</w:t>
      </w:r>
    </w:p>
    <w:p w14:paraId="62EBB21D" w14:textId="77777777" w:rsidR="0024025B" w:rsidRPr="000302F5" w:rsidRDefault="0024025B" w:rsidP="0024025B">
      <w:pPr>
        <w:spacing w:line="240" w:lineRule="auto"/>
        <w:rPr>
          <w:rFonts w:eastAsia="Times New Roman" w:cs="Arial"/>
          <w:color w:val="000000"/>
          <w:u w:val="single"/>
          <w:lang w:eastAsia="bg-BG"/>
        </w:rPr>
      </w:pPr>
    </w:p>
    <w:p w14:paraId="7DE4F22D" w14:textId="7872B08B" w:rsidR="0024025B" w:rsidRPr="0024025B" w:rsidRDefault="0024025B" w:rsidP="0024025B">
      <w:pPr>
        <w:spacing w:line="240" w:lineRule="auto"/>
        <w:rPr>
          <w:rFonts w:eastAsia="Times New Roman" w:cs="Arial"/>
          <w:lang w:eastAsia="bg-BG"/>
        </w:rPr>
      </w:pPr>
      <w:r w:rsidRPr="0024025B">
        <w:rPr>
          <w:rFonts w:eastAsia="Times New Roman" w:cs="Arial"/>
          <w:color w:val="000000"/>
          <w:u w:val="single"/>
          <w:lang w:eastAsia="bg-BG"/>
        </w:rPr>
        <w:lastRenderedPageBreak/>
        <w:t>Допълнителна информация за специални групи пациенти</w:t>
      </w:r>
    </w:p>
    <w:p w14:paraId="7D836F66" w14:textId="77777777" w:rsidR="0024025B" w:rsidRPr="000302F5" w:rsidRDefault="0024025B" w:rsidP="0024025B">
      <w:pPr>
        <w:spacing w:line="240" w:lineRule="auto"/>
        <w:rPr>
          <w:rFonts w:eastAsia="Times New Roman" w:cs="Arial"/>
          <w:i/>
          <w:iCs/>
          <w:color w:val="000000"/>
          <w:lang w:eastAsia="bg-BG"/>
        </w:rPr>
      </w:pPr>
    </w:p>
    <w:p w14:paraId="532BB0B7" w14:textId="071CF8DA" w:rsidR="0024025B" w:rsidRPr="0024025B" w:rsidRDefault="0024025B" w:rsidP="0024025B">
      <w:pPr>
        <w:spacing w:line="240" w:lineRule="auto"/>
        <w:rPr>
          <w:rFonts w:eastAsia="Times New Roman" w:cs="Arial"/>
          <w:lang w:eastAsia="bg-BG"/>
        </w:rPr>
      </w:pPr>
      <w:r w:rsidRPr="0024025B">
        <w:rPr>
          <w:rFonts w:eastAsia="Times New Roman" w:cs="Arial"/>
          <w:i/>
          <w:iCs/>
          <w:color w:val="000000"/>
          <w:lang w:eastAsia="bg-BG"/>
        </w:rPr>
        <w:t>Педиатрична популация</w:t>
      </w:r>
    </w:p>
    <w:p w14:paraId="4E274CCC"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Безопасността и ефикасността на нифедипин при деца под 18 години не е установена.</w:t>
      </w:r>
    </w:p>
    <w:p w14:paraId="54BA12AA"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Понастоящем наличните данни за приложение на нифедипин при хипертония са описани в точка 5.1.</w:t>
      </w:r>
    </w:p>
    <w:p w14:paraId="0E4F969B" w14:textId="77777777" w:rsidR="0024025B" w:rsidRPr="000302F5" w:rsidRDefault="0024025B" w:rsidP="0024025B">
      <w:pPr>
        <w:spacing w:line="240" w:lineRule="auto"/>
        <w:rPr>
          <w:rFonts w:eastAsia="Times New Roman" w:cs="Arial"/>
          <w:i/>
          <w:iCs/>
          <w:color w:val="000000"/>
          <w:lang w:eastAsia="bg-BG"/>
        </w:rPr>
      </w:pPr>
    </w:p>
    <w:p w14:paraId="016AD476" w14:textId="3655A2B4" w:rsidR="0024025B" w:rsidRPr="0024025B" w:rsidRDefault="0024025B" w:rsidP="0024025B">
      <w:pPr>
        <w:spacing w:line="240" w:lineRule="auto"/>
        <w:rPr>
          <w:rFonts w:eastAsia="Times New Roman" w:cs="Arial"/>
          <w:lang w:eastAsia="bg-BG"/>
        </w:rPr>
      </w:pPr>
      <w:r w:rsidRPr="0024025B">
        <w:rPr>
          <w:rFonts w:eastAsia="Times New Roman" w:cs="Arial"/>
          <w:i/>
          <w:iCs/>
          <w:color w:val="000000"/>
          <w:lang w:eastAsia="bg-BG"/>
        </w:rPr>
        <w:t>Пациенти в старческа възраст (&gt;65 години)</w:t>
      </w:r>
    </w:p>
    <w:p w14:paraId="7FBF1BCE" w14:textId="7A655807" w:rsidR="00EC41ED" w:rsidRPr="000302F5" w:rsidRDefault="0024025B" w:rsidP="0024025B">
      <w:pPr>
        <w:rPr>
          <w:rFonts w:cs="Arial"/>
        </w:rPr>
      </w:pPr>
      <w:r w:rsidRPr="000302F5">
        <w:rPr>
          <w:rFonts w:eastAsia="Times New Roman" w:cs="Arial"/>
          <w:color w:val="000000"/>
          <w:lang w:eastAsia="bg-BG"/>
        </w:rPr>
        <w:t>Фармакокинетиката на нифедипин се изменя при пациенти в старческа възраст, така</w:t>
      </w:r>
      <w:r w:rsidRPr="000302F5">
        <w:rPr>
          <w:rFonts w:eastAsia="Times New Roman" w:cs="Arial"/>
          <w:color w:val="000000"/>
          <w:lang w:val="en-US"/>
        </w:rPr>
        <w:t xml:space="preserve"> </w:t>
      </w:r>
      <w:r w:rsidRPr="000302F5">
        <w:rPr>
          <w:rFonts w:eastAsia="Times New Roman" w:cs="Arial"/>
          <w:color w:val="000000"/>
          <w:lang w:eastAsia="bg-BG"/>
        </w:rPr>
        <w:t>че за тях  може да са необходими по-ниски поддържащи дози.</w:t>
      </w:r>
    </w:p>
    <w:p w14:paraId="132F3111" w14:textId="1E51692A" w:rsidR="005B0F27" w:rsidRPr="000302F5" w:rsidRDefault="005B0F27" w:rsidP="0091385D">
      <w:pPr>
        <w:rPr>
          <w:rFonts w:cs="Arial"/>
        </w:rPr>
      </w:pPr>
    </w:p>
    <w:p w14:paraId="5CC4D07F" w14:textId="77777777" w:rsidR="0024025B" w:rsidRPr="0024025B" w:rsidRDefault="0024025B" w:rsidP="0024025B">
      <w:pPr>
        <w:spacing w:line="240" w:lineRule="auto"/>
        <w:rPr>
          <w:rFonts w:eastAsia="Times New Roman" w:cs="Arial"/>
          <w:lang w:eastAsia="bg-BG"/>
        </w:rPr>
      </w:pPr>
      <w:r w:rsidRPr="0024025B">
        <w:rPr>
          <w:rFonts w:eastAsia="Times New Roman" w:cs="Arial"/>
          <w:i/>
          <w:iCs/>
          <w:color w:val="000000"/>
          <w:lang w:eastAsia="bg-BG"/>
        </w:rPr>
        <w:t>Пациенти с бъбречно увреждане</w:t>
      </w:r>
    </w:p>
    <w:p w14:paraId="057F7DF8"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Въз основа на фармакокинетичните данни за пациенти с увредена бъбречна функция не се изисква корекция на дозата (вижте т. 5.2).</w:t>
      </w:r>
    </w:p>
    <w:p w14:paraId="5FCB8C50" w14:textId="77777777" w:rsidR="0024025B" w:rsidRPr="000302F5" w:rsidRDefault="0024025B" w:rsidP="0024025B">
      <w:pPr>
        <w:spacing w:line="240" w:lineRule="auto"/>
        <w:rPr>
          <w:rFonts w:eastAsia="Times New Roman" w:cs="Arial"/>
          <w:i/>
          <w:iCs/>
          <w:color w:val="000000"/>
          <w:lang w:eastAsia="bg-BG"/>
        </w:rPr>
      </w:pPr>
    </w:p>
    <w:p w14:paraId="071040CE" w14:textId="048AE6F9" w:rsidR="0024025B" w:rsidRPr="0024025B" w:rsidRDefault="0024025B" w:rsidP="0024025B">
      <w:pPr>
        <w:spacing w:line="240" w:lineRule="auto"/>
        <w:rPr>
          <w:rFonts w:eastAsia="Times New Roman" w:cs="Arial"/>
          <w:lang w:eastAsia="bg-BG"/>
        </w:rPr>
      </w:pPr>
      <w:r w:rsidRPr="0024025B">
        <w:rPr>
          <w:rFonts w:eastAsia="Times New Roman" w:cs="Arial"/>
          <w:i/>
          <w:iCs/>
          <w:color w:val="000000"/>
          <w:lang w:eastAsia="bg-BG"/>
        </w:rPr>
        <w:t>Пациенти с чернодробни увреждания</w:t>
      </w:r>
    </w:p>
    <w:p w14:paraId="1592CAAC"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Нифедипин се метаболизира главно в черния дроб. Затова е необходимо лечението на пациентите с чернодробно увреждане да бъде внимателно проследявано, а в тежки случаи може да се наложи намаляване на дозата. Фармакокинетиката на нифедипин при пациенти с тежко чернодробно увреждане не е изследвана (вижте т. 4.4 и т. 5.2).</w:t>
      </w:r>
    </w:p>
    <w:p w14:paraId="15178EBB" w14:textId="77777777" w:rsidR="0024025B" w:rsidRPr="000302F5" w:rsidRDefault="0024025B" w:rsidP="0024025B">
      <w:pPr>
        <w:spacing w:line="240" w:lineRule="auto"/>
        <w:rPr>
          <w:rFonts w:eastAsia="Times New Roman" w:cs="Arial"/>
          <w:color w:val="000000"/>
          <w:lang w:eastAsia="bg-BG"/>
        </w:rPr>
      </w:pPr>
    </w:p>
    <w:p w14:paraId="3B75E5ED" w14:textId="1ED2B933"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 xml:space="preserve">Едновременната употреба на нифедипин с </w:t>
      </w:r>
      <w:r w:rsidRPr="0024025B">
        <w:rPr>
          <w:rFonts w:eastAsia="Times New Roman" w:cs="Arial"/>
          <w:color w:val="000000"/>
          <w:lang w:val="en-US"/>
        </w:rPr>
        <w:t xml:space="preserve">CYP </w:t>
      </w:r>
      <w:r w:rsidRPr="0024025B">
        <w:rPr>
          <w:rFonts w:eastAsia="Times New Roman" w:cs="Arial"/>
          <w:color w:val="000000"/>
          <w:lang w:eastAsia="bg-BG"/>
        </w:rPr>
        <w:t xml:space="preserve">3А4 инхибитори или </w:t>
      </w:r>
      <w:r w:rsidRPr="0024025B">
        <w:rPr>
          <w:rFonts w:eastAsia="Times New Roman" w:cs="Arial"/>
          <w:color w:val="000000"/>
          <w:lang w:val="en-US"/>
        </w:rPr>
        <w:t xml:space="preserve">CYP </w:t>
      </w:r>
      <w:r w:rsidRPr="0024025B">
        <w:rPr>
          <w:rFonts w:eastAsia="Times New Roman" w:cs="Arial"/>
          <w:color w:val="000000"/>
          <w:lang w:eastAsia="bg-BG"/>
        </w:rPr>
        <w:t>ЗА4 индуктори може да наложи корекция на дозата на нифедипин или спиране на употребата му изобщо (вижте т. 4.5).</w:t>
      </w:r>
    </w:p>
    <w:p w14:paraId="7DA337CF" w14:textId="77777777" w:rsidR="0024025B" w:rsidRPr="000302F5" w:rsidRDefault="0024025B" w:rsidP="0024025B">
      <w:pPr>
        <w:spacing w:line="240" w:lineRule="auto"/>
        <w:rPr>
          <w:rFonts w:eastAsia="Times New Roman" w:cs="Arial"/>
          <w:color w:val="000000"/>
          <w:u w:val="single"/>
          <w:lang w:eastAsia="bg-BG"/>
        </w:rPr>
      </w:pPr>
    </w:p>
    <w:p w14:paraId="35028CD7" w14:textId="0B56024F" w:rsidR="0024025B" w:rsidRPr="000302F5" w:rsidRDefault="0024025B" w:rsidP="000302F5">
      <w:pPr>
        <w:pStyle w:val="Heading3"/>
        <w:rPr>
          <w:rFonts w:eastAsia="Times New Roman"/>
          <w:u w:val="single"/>
          <w:lang w:eastAsia="bg-BG"/>
        </w:rPr>
      </w:pPr>
      <w:r w:rsidRPr="000302F5">
        <w:rPr>
          <w:rFonts w:eastAsia="Times New Roman"/>
          <w:u w:val="single"/>
          <w:lang w:eastAsia="bg-BG"/>
        </w:rPr>
        <w:t>Начин на приложение</w:t>
      </w:r>
    </w:p>
    <w:p w14:paraId="3DE1E27B"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Перорално приложение.</w:t>
      </w:r>
    </w:p>
    <w:p w14:paraId="2F8B0D53" w14:textId="77777777" w:rsidR="0024025B" w:rsidRPr="000302F5" w:rsidRDefault="0024025B" w:rsidP="0024025B">
      <w:pPr>
        <w:spacing w:line="240" w:lineRule="auto"/>
        <w:rPr>
          <w:rFonts w:eastAsia="Times New Roman" w:cs="Arial"/>
          <w:color w:val="000000"/>
          <w:lang w:eastAsia="bg-BG"/>
        </w:rPr>
      </w:pPr>
    </w:p>
    <w:p w14:paraId="1DBA6260" w14:textId="79A0F95B"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Таблетките трябва да се поглъщат цели с чаша вода, със или без храна. Таблетките трябва да се вземат на 24-часови интервали, т.е. винаги по едно и също време на деня, за предпочитане ½</w:t>
      </w:r>
      <w:r w:rsidRPr="0024025B">
        <w:rPr>
          <w:rFonts w:eastAsia="Times New Roman" w:cs="Arial"/>
          <w:i/>
          <w:iCs/>
          <w:color w:val="000000"/>
          <w:lang w:eastAsia="bg-BG"/>
        </w:rPr>
        <w:t xml:space="preserve"> </w:t>
      </w:r>
      <w:r w:rsidRPr="0024025B">
        <w:rPr>
          <w:rFonts w:eastAsia="Times New Roman" w:cs="Arial"/>
          <w:color w:val="000000"/>
          <w:lang w:eastAsia="bg-BG"/>
        </w:rPr>
        <w:t>час преди закуска. Таблетките Коринкер трябва да се поглъщат цели, като при никакви обстоятелства не трябва да се дъвчат или чупят.</w:t>
      </w:r>
    </w:p>
    <w:p w14:paraId="343C3438" w14:textId="125CC09D" w:rsidR="0024025B" w:rsidRPr="000302F5" w:rsidRDefault="0024025B" w:rsidP="0024025B">
      <w:pPr>
        <w:rPr>
          <w:rFonts w:cs="Arial"/>
        </w:rPr>
      </w:pPr>
      <w:r w:rsidRPr="000302F5">
        <w:rPr>
          <w:rFonts w:eastAsia="Times New Roman" w:cs="Arial"/>
          <w:color w:val="000000"/>
          <w:lang w:eastAsia="bg-BG"/>
        </w:rPr>
        <w:t xml:space="preserve">Коринкер 20 </w:t>
      </w:r>
      <w:r w:rsidRPr="000302F5">
        <w:rPr>
          <w:rFonts w:eastAsia="Times New Roman" w:cs="Arial"/>
          <w:color w:val="000000"/>
          <w:lang w:val="en-US"/>
        </w:rPr>
        <w:t xml:space="preserve">mg </w:t>
      </w:r>
      <w:r w:rsidRPr="000302F5">
        <w:rPr>
          <w:rFonts w:eastAsia="Times New Roman" w:cs="Arial"/>
          <w:color w:val="000000"/>
          <w:lang w:eastAsia="bg-BG"/>
        </w:rPr>
        <w:t>таблетки с удължено освобождаване не трябва да се приемат със сок от грейпфрут (вижте т.4.5).</w:t>
      </w:r>
    </w:p>
    <w:p w14:paraId="5935676E" w14:textId="77777777" w:rsidR="0024025B" w:rsidRPr="0091385D" w:rsidRDefault="0024025B"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5A0DA398"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Този лекарствен продукт е противопоказан при пациенти с известна свръхчувствителност към активното вещество или други дихидропиридини (поради риск от кръстосана реактивност), или към някое от помощните вещества, изброени в точка 6.1.</w:t>
      </w:r>
    </w:p>
    <w:p w14:paraId="5849D270"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Нифедипин е противопоказан при бременност и по време на кърмене (вижте т. 4.4, 4.6 и 5.3).</w:t>
      </w:r>
    </w:p>
    <w:p w14:paraId="140DBDD5" w14:textId="77777777" w:rsidR="0024025B" w:rsidRPr="000302F5" w:rsidRDefault="0024025B" w:rsidP="0024025B">
      <w:pPr>
        <w:spacing w:line="240" w:lineRule="auto"/>
        <w:rPr>
          <w:rFonts w:eastAsia="Times New Roman" w:cs="Arial"/>
          <w:color w:val="000000"/>
          <w:lang w:eastAsia="bg-BG"/>
        </w:rPr>
      </w:pPr>
    </w:p>
    <w:p w14:paraId="231AF2D3" w14:textId="4F47E44A"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Нифедипин е противопоказан при пациенти с кардиогенен шок, клинично значима аортна стеноза, нестабилна стенокардия, по време на или в рамките на един месец от прекаран инфаркт на миокарда.</w:t>
      </w:r>
    </w:p>
    <w:p w14:paraId="00998931" w14:textId="77777777" w:rsidR="0024025B" w:rsidRPr="000302F5" w:rsidRDefault="0024025B" w:rsidP="0024025B">
      <w:pPr>
        <w:spacing w:line="240" w:lineRule="auto"/>
        <w:rPr>
          <w:rFonts w:eastAsia="Times New Roman" w:cs="Arial"/>
          <w:color w:val="000000"/>
          <w:lang w:eastAsia="bg-BG"/>
        </w:rPr>
      </w:pPr>
    </w:p>
    <w:p w14:paraId="5BE23DDA" w14:textId="6E384AC6"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Нифедипин не трябва да се използва за лечение на остри пристъпи на стенокардия.</w:t>
      </w:r>
    </w:p>
    <w:p w14:paraId="738DD2A8" w14:textId="77777777" w:rsidR="0024025B" w:rsidRPr="000302F5" w:rsidRDefault="0024025B" w:rsidP="0024025B">
      <w:pPr>
        <w:spacing w:line="240" w:lineRule="auto"/>
        <w:rPr>
          <w:rFonts w:eastAsia="Times New Roman" w:cs="Arial"/>
          <w:color w:val="000000"/>
          <w:lang w:eastAsia="bg-BG"/>
        </w:rPr>
      </w:pPr>
    </w:p>
    <w:p w14:paraId="116BACB0" w14:textId="1D30C8A3"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lastRenderedPageBreak/>
        <w:t>Безопасността на нифедипин при пациенти с малигнена хипертония не е установена.</w:t>
      </w:r>
    </w:p>
    <w:p w14:paraId="3AAF0C91" w14:textId="77777777" w:rsidR="0024025B" w:rsidRPr="000302F5" w:rsidRDefault="0024025B" w:rsidP="0024025B">
      <w:pPr>
        <w:spacing w:line="240" w:lineRule="auto"/>
        <w:rPr>
          <w:rFonts w:eastAsia="Times New Roman" w:cs="Arial"/>
          <w:color w:val="000000"/>
          <w:lang w:eastAsia="bg-BG"/>
        </w:rPr>
      </w:pPr>
    </w:p>
    <w:p w14:paraId="6ACCA344" w14:textId="22D75A4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Нифедипин не трябва да се използва за вторична профилактика на миокарден инфаркт.</w:t>
      </w:r>
    </w:p>
    <w:p w14:paraId="5AAFF83D" w14:textId="77777777" w:rsidR="0024025B" w:rsidRPr="000302F5" w:rsidRDefault="0024025B" w:rsidP="0024025B">
      <w:pPr>
        <w:spacing w:line="240" w:lineRule="auto"/>
        <w:rPr>
          <w:rFonts w:eastAsia="Times New Roman" w:cs="Arial"/>
          <w:color w:val="000000"/>
          <w:lang w:eastAsia="bg-BG"/>
        </w:rPr>
      </w:pPr>
    </w:p>
    <w:p w14:paraId="47A064E8" w14:textId="6881E80C"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Поради продължителността на действие на таблетката, нифедипин не трябва да се прилага при пациенти с чернодробно увреждане.</w:t>
      </w:r>
    </w:p>
    <w:p w14:paraId="5CBAA744" w14:textId="77777777" w:rsidR="0024025B" w:rsidRPr="000302F5" w:rsidRDefault="0024025B" w:rsidP="0024025B">
      <w:pPr>
        <w:spacing w:line="240" w:lineRule="auto"/>
        <w:rPr>
          <w:rFonts w:eastAsia="Times New Roman" w:cs="Arial"/>
          <w:color w:val="000000"/>
          <w:lang w:eastAsia="bg-BG"/>
        </w:rPr>
      </w:pPr>
    </w:p>
    <w:p w14:paraId="6F4C0633" w14:textId="2BD31ADF"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Нифедипин не трябва да се прилага при пациенти с анамнеза за стомашно-чревна обструкция, езофагеална непроходимост, или някаква степен на намален диаметър на лумена на стомашно- чревния тракт.</w:t>
      </w:r>
    </w:p>
    <w:p w14:paraId="12DD06C8" w14:textId="77777777" w:rsidR="0024025B" w:rsidRPr="000302F5" w:rsidRDefault="0024025B" w:rsidP="0024025B">
      <w:pPr>
        <w:spacing w:line="240" w:lineRule="auto"/>
        <w:rPr>
          <w:rFonts w:eastAsia="Times New Roman" w:cs="Arial"/>
          <w:color w:val="000000"/>
          <w:lang w:eastAsia="bg-BG"/>
        </w:rPr>
      </w:pPr>
    </w:p>
    <w:p w14:paraId="5296BE46" w14:textId="7FAFB5C3"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 xml:space="preserve">Нифедипин не трябва да се използва при пациенти с джоб по </w:t>
      </w:r>
      <w:proofErr w:type="spellStart"/>
      <w:r w:rsidRPr="0024025B">
        <w:rPr>
          <w:rFonts w:eastAsia="Times New Roman" w:cs="Arial"/>
          <w:color w:val="000000"/>
          <w:lang w:val="en-US"/>
        </w:rPr>
        <w:t>Kock</w:t>
      </w:r>
      <w:proofErr w:type="spellEnd"/>
      <w:r w:rsidRPr="0024025B">
        <w:rPr>
          <w:rFonts w:eastAsia="Times New Roman" w:cs="Arial"/>
          <w:color w:val="000000"/>
          <w:lang w:val="en-US"/>
        </w:rPr>
        <w:t xml:space="preserve"> </w:t>
      </w:r>
      <w:r w:rsidRPr="0024025B">
        <w:rPr>
          <w:rFonts w:eastAsia="Times New Roman" w:cs="Arial"/>
          <w:color w:val="000000"/>
          <w:lang w:eastAsia="bg-BG"/>
        </w:rPr>
        <w:t>(илеостомия след проктоколектомия).</w:t>
      </w:r>
    </w:p>
    <w:p w14:paraId="49E92FCB" w14:textId="77777777" w:rsidR="0024025B" w:rsidRPr="000302F5" w:rsidRDefault="0024025B" w:rsidP="0024025B">
      <w:pPr>
        <w:rPr>
          <w:rFonts w:eastAsia="Times New Roman" w:cs="Arial"/>
          <w:color w:val="000000"/>
          <w:lang w:eastAsia="bg-BG"/>
        </w:rPr>
      </w:pPr>
    </w:p>
    <w:p w14:paraId="030B6A4D" w14:textId="4459F3C2" w:rsidR="00EC41ED" w:rsidRPr="000302F5" w:rsidRDefault="0024025B" w:rsidP="0024025B">
      <w:pPr>
        <w:rPr>
          <w:rFonts w:cs="Arial"/>
        </w:rPr>
      </w:pPr>
      <w:r w:rsidRPr="000302F5">
        <w:rPr>
          <w:rFonts w:eastAsia="Times New Roman" w:cs="Arial"/>
          <w:color w:val="000000"/>
          <w:lang w:eastAsia="bg-BG"/>
        </w:rPr>
        <w:t>Нифедипин е противопоказан при пациенти с възпалително заболяване на червата или болест на Крон.</w:t>
      </w:r>
    </w:p>
    <w:p w14:paraId="31B39DC6" w14:textId="11DB622E" w:rsidR="0091385D" w:rsidRPr="000302F5" w:rsidRDefault="0091385D" w:rsidP="0091385D">
      <w:pPr>
        <w:rPr>
          <w:rFonts w:cs="Arial"/>
        </w:rPr>
      </w:pPr>
    </w:p>
    <w:p w14:paraId="2852339D" w14:textId="7F00151D" w:rsidR="0024025B" w:rsidRPr="000302F5" w:rsidRDefault="0024025B" w:rsidP="0091385D">
      <w:pPr>
        <w:rPr>
          <w:rFonts w:cs="Arial"/>
        </w:rPr>
      </w:pPr>
      <w:r w:rsidRPr="000302F5">
        <w:rPr>
          <w:rFonts w:cs="Arial"/>
        </w:rPr>
        <w:t>Нифедипин не трябва да се използва в комбинация с рифампицин, защото не може да се постигнат ефективни плазмени нива на нифедипин, поради ензимна индукция (вж. точка 4.5).</w:t>
      </w:r>
    </w:p>
    <w:p w14:paraId="3E75407C" w14:textId="77777777" w:rsidR="0024025B" w:rsidRPr="0091385D" w:rsidRDefault="0024025B"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6F857972"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Таблетките нифедипин трябва да се поглъщат цели, като при никакви обстоятелства не трябва да се дъвчат или чупят.</w:t>
      </w:r>
    </w:p>
    <w:p w14:paraId="252EEC05" w14:textId="77777777" w:rsidR="0024025B" w:rsidRPr="000302F5" w:rsidRDefault="0024025B" w:rsidP="0024025B">
      <w:pPr>
        <w:spacing w:line="240" w:lineRule="auto"/>
        <w:rPr>
          <w:rFonts w:eastAsia="Times New Roman" w:cs="Arial"/>
          <w:color w:val="000000"/>
          <w:lang w:eastAsia="bg-BG"/>
        </w:rPr>
      </w:pPr>
    </w:p>
    <w:p w14:paraId="6E90F6C2" w14:textId="679A4AA8"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 xml:space="preserve">Нифедипин трябва внимателно да се прилага при пациенти с много ниско кръвно налягане (тежка хипотония със систолно налягане по-ниско от 90 </w:t>
      </w:r>
      <w:r w:rsidRPr="0024025B">
        <w:rPr>
          <w:rFonts w:eastAsia="Times New Roman" w:cs="Arial"/>
          <w:color w:val="000000"/>
          <w:lang w:val="en-US"/>
        </w:rPr>
        <w:t>mm Hg</w:t>
      </w:r>
      <w:r w:rsidRPr="0024025B">
        <w:rPr>
          <w:rFonts w:eastAsia="Times New Roman" w:cs="Arial"/>
          <w:color w:val="000000"/>
          <w:lang w:eastAsia="bg-BG"/>
        </w:rPr>
        <w:t>), в случаи на изявена сърдечна недостатъчност и на тежка аортна стеноза.</w:t>
      </w:r>
    </w:p>
    <w:p w14:paraId="062F81FC" w14:textId="77777777" w:rsidR="0024025B" w:rsidRPr="000302F5" w:rsidRDefault="0024025B" w:rsidP="0024025B">
      <w:pPr>
        <w:spacing w:line="240" w:lineRule="auto"/>
        <w:rPr>
          <w:rFonts w:eastAsia="Times New Roman" w:cs="Arial"/>
          <w:color w:val="000000"/>
          <w:lang w:eastAsia="bg-BG"/>
        </w:rPr>
      </w:pPr>
    </w:p>
    <w:p w14:paraId="4A57637E" w14:textId="3456EF85"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Нифедипин не трябва да се използва по време на бременност, освен ако клиничното състояние на пациентката не изисква лечение с нифедипин. Нифедипин трябва да се използва при жени с тежка форма на хипертония, които не се повлияват от стандартното лечение (вижте т.4.6).</w:t>
      </w:r>
    </w:p>
    <w:p w14:paraId="5A84665F" w14:textId="77777777" w:rsidR="0024025B" w:rsidRPr="000302F5" w:rsidRDefault="0024025B" w:rsidP="0024025B">
      <w:pPr>
        <w:spacing w:line="240" w:lineRule="auto"/>
        <w:rPr>
          <w:rFonts w:eastAsia="Times New Roman" w:cs="Arial"/>
          <w:color w:val="000000"/>
          <w:lang w:eastAsia="bg-BG"/>
        </w:rPr>
      </w:pPr>
    </w:p>
    <w:p w14:paraId="1590ABB9" w14:textId="14213F41"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Необходимо е внимателно проследяване на кръвното налягане при едновременно приложение на нифедипин и магнезиев сулфат (приложен интравенозно), поради вероятност от допълнително понижаване на кръвното налягане, което може да увреди и майката, и фетуса.</w:t>
      </w:r>
    </w:p>
    <w:p w14:paraId="6A188E9A"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За подробна информация относно употребата при бременност, вижте точка 4.6.</w:t>
      </w:r>
    </w:p>
    <w:p w14:paraId="65157B41" w14:textId="77777777" w:rsidR="0024025B" w:rsidRPr="000302F5" w:rsidRDefault="0024025B" w:rsidP="0024025B">
      <w:pPr>
        <w:spacing w:line="240" w:lineRule="auto"/>
        <w:rPr>
          <w:rFonts w:eastAsia="Times New Roman" w:cs="Arial"/>
          <w:color w:val="000000"/>
          <w:lang w:eastAsia="bg-BG"/>
        </w:rPr>
      </w:pPr>
    </w:p>
    <w:p w14:paraId="4B23A534" w14:textId="24582879"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Приложението на нифедипин по време на кърмене не се препоръчва, защото има съобщения, че той се екскретира в човешката кърма и ефектът върху новороденото не е известен (вж. точка 4.6).</w:t>
      </w:r>
    </w:p>
    <w:p w14:paraId="4BDF7C82" w14:textId="77777777" w:rsidR="0024025B" w:rsidRPr="000302F5" w:rsidRDefault="0024025B" w:rsidP="0024025B">
      <w:pPr>
        <w:spacing w:line="240" w:lineRule="auto"/>
        <w:rPr>
          <w:rFonts w:eastAsia="Times New Roman" w:cs="Arial"/>
          <w:color w:val="000000"/>
          <w:lang w:eastAsia="bg-BG"/>
        </w:rPr>
      </w:pPr>
    </w:p>
    <w:p w14:paraId="31858E03" w14:textId="0426498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Пациентите с нарушена чернодробна функция трябва да бъдат под постоянно лекарско наблюдение. Може да се наложи намаляване на дозировката.</w:t>
      </w:r>
    </w:p>
    <w:p w14:paraId="5ACC142E" w14:textId="77777777" w:rsidR="0024025B" w:rsidRPr="000302F5" w:rsidRDefault="0024025B" w:rsidP="0024025B">
      <w:pPr>
        <w:spacing w:line="240" w:lineRule="auto"/>
        <w:rPr>
          <w:rFonts w:eastAsia="Times New Roman" w:cs="Arial"/>
          <w:color w:val="000000"/>
          <w:lang w:eastAsia="bg-BG"/>
        </w:rPr>
      </w:pPr>
    </w:p>
    <w:p w14:paraId="6BA5E5EC" w14:textId="57B87778"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 xml:space="preserve">При едновременна употреба на нифедипин с </w:t>
      </w:r>
      <w:r w:rsidRPr="0024025B">
        <w:rPr>
          <w:rFonts w:eastAsia="Times New Roman" w:cs="Arial"/>
          <w:color w:val="000000"/>
          <w:lang w:val="en-US"/>
        </w:rPr>
        <w:t>p</w:t>
      </w:r>
      <w:r w:rsidRPr="0024025B">
        <w:rPr>
          <w:rFonts w:eastAsia="Times New Roman" w:cs="Arial"/>
          <w:color w:val="000000"/>
          <w:lang w:eastAsia="bg-BG"/>
        </w:rPr>
        <w:t xml:space="preserve">-блокери или други антихипертензивни средства е необходимо внимателно наблюдение на пациентите, поради възможен риск от </w:t>
      </w:r>
      <w:r w:rsidRPr="0024025B">
        <w:rPr>
          <w:rFonts w:eastAsia="Times New Roman" w:cs="Arial"/>
          <w:color w:val="000000"/>
          <w:lang w:eastAsia="bg-BG"/>
        </w:rPr>
        <w:lastRenderedPageBreak/>
        <w:t>постурална хипотония. Нифедипин не може да предотврати евентуален „ребаунд” ефект при прекратяване на лечението с друго антихипертензивно средство.</w:t>
      </w:r>
    </w:p>
    <w:p w14:paraId="2346F454" w14:textId="77777777" w:rsidR="0024025B" w:rsidRPr="000302F5" w:rsidRDefault="0024025B" w:rsidP="0024025B">
      <w:pPr>
        <w:spacing w:line="240" w:lineRule="auto"/>
        <w:rPr>
          <w:rFonts w:eastAsia="Times New Roman" w:cs="Arial"/>
          <w:color w:val="000000"/>
          <w:lang w:eastAsia="bg-BG"/>
        </w:rPr>
      </w:pPr>
    </w:p>
    <w:p w14:paraId="567290F5" w14:textId="5B95F78E"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Нифедипин трябва да се прилага с повишено внимание при пациенти с нарушена сърдечна функция. Понякога може да се наблюдава влошаване на сърдечна недостатъчност.</w:t>
      </w:r>
    </w:p>
    <w:p w14:paraId="3FC1158F" w14:textId="77777777" w:rsidR="0024025B" w:rsidRPr="000302F5" w:rsidRDefault="0024025B" w:rsidP="0024025B">
      <w:pPr>
        <w:spacing w:line="240" w:lineRule="auto"/>
        <w:rPr>
          <w:rFonts w:eastAsia="Times New Roman" w:cs="Arial"/>
          <w:color w:val="000000"/>
          <w:lang w:eastAsia="bg-BG"/>
        </w:rPr>
      </w:pPr>
    </w:p>
    <w:p w14:paraId="042FFB85" w14:textId="622EFD8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При пациенти с диабет е необходим стриктен медицински контрол по време на лечението с нифедипин.</w:t>
      </w:r>
    </w:p>
    <w:p w14:paraId="3FD0E21A"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При пациенти на диализа с малигнена хипертония и хиповолемия може да настъпи изразен спад в кръвното налягане.</w:t>
      </w:r>
    </w:p>
    <w:p w14:paraId="545472C5" w14:textId="77777777" w:rsidR="0024025B" w:rsidRPr="000302F5" w:rsidRDefault="0024025B" w:rsidP="0024025B">
      <w:pPr>
        <w:spacing w:line="240" w:lineRule="auto"/>
        <w:rPr>
          <w:rFonts w:eastAsia="Times New Roman" w:cs="Arial"/>
          <w:color w:val="000000"/>
          <w:lang w:eastAsia="bg-BG"/>
        </w:rPr>
      </w:pPr>
    </w:p>
    <w:p w14:paraId="4B7ECF8B" w14:textId="6D64EFE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Нифедипин се метаболизира чрез системата цитохром Р450 ЗА4. Лекарствата, за които е известно, че инхибират или индуцират тази ензимна система, могат да променят ефекта на първо преминаване или клирънса на нифедипин (вж. точка 4.5).</w:t>
      </w:r>
    </w:p>
    <w:p w14:paraId="5ED63AAD" w14:textId="77777777" w:rsidR="0024025B" w:rsidRPr="000302F5" w:rsidRDefault="0024025B" w:rsidP="0024025B">
      <w:pPr>
        <w:spacing w:line="240" w:lineRule="auto"/>
        <w:rPr>
          <w:rFonts w:eastAsia="Times New Roman" w:cs="Arial"/>
          <w:color w:val="000000"/>
          <w:lang w:eastAsia="bg-BG"/>
        </w:rPr>
      </w:pPr>
    </w:p>
    <w:p w14:paraId="5AECE801" w14:textId="46C3C12A"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Лекарства, които са инхибитори на системата цитохром Р450 ЗА4 и следователно могат да доведат до повишени плазмени концентрации на нифедипин, са:</w:t>
      </w:r>
    </w:p>
    <w:p w14:paraId="425212C7" w14:textId="77777777" w:rsidR="0024025B" w:rsidRPr="000302F5" w:rsidRDefault="0024025B" w:rsidP="0024025B">
      <w:pPr>
        <w:pStyle w:val="ListParagraph"/>
        <w:numPr>
          <w:ilvl w:val="0"/>
          <w:numId w:val="38"/>
        </w:numPr>
        <w:spacing w:line="240" w:lineRule="auto"/>
        <w:rPr>
          <w:rFonts w:eastAsia="Times New Roman" w:cs="Arial"/>
          <w:lang w:eastAsia="bg-BG"/>
        </w:rPr>
      </w:pPr>
      <w:r w:rsidRPr="000302F5">
        <w:rPr>
          <w:rFonts w:eastAsia="Times New Roman" w:cs="Arial"/>
          <w:color w:val="000000"/>
          <w:lang w:eastAsia="bg-BG"/>
        </w:rPr>
        <w:t>макролидни антибиотици (напр. еритромицин);</w:t>
      </w:r>
    </w:p>
    <w:p w14:paraId="2C1B9CDC" w14:textId="77777777" w:rsidR="0024025B" w:rsidRPr="000302F5" w:rsidRDefault="0024025B" w:rsidP="0024025B">
      <w:pPr>
        <w:pStyle w:val="ListParagraph"/>
        <w:numPr>
          <w:ilvl w:val="0"/>
          <w:numId w:val="38"/>
        </w:numPr>
        <w:spacing w:line="240" w:lineRule="auto"/>
        <w:rPr>
          <w:rFonts w:eastAsia="Times New Roman" w:cs="Arial"/>
          <w:lang w:eastAsia="bg-BG"/>
        </w:rPr>
      </w:pPr>
      <w:r w:rsidRPr="000302F5">
        <w:rPr>
          <w:rFonts w:eastAsia="Times New Roman" w:cs="Arial"/>
          <w:color w:val="000000"/>
          <w:lang w:eastAsia="bg-BG"/>
        </w:rPr>
        <w:t>анти</w:t>
      </w:r>
      <w:r w:rsidRPr="000302F5">
        <w:rPr>
          <w:rFonts w:eastAsia="Times New Roman" w:cs="Arial"/>
          <w:color w:val="000000"/>
          <w:lang w:val="en-US"/>
        </w:rPr>
        <w:t xml:space="preserve">-HIV </w:t>
      </w:r>
      <w:r w:rsidRPr="000302F5">
        <w:rPr>
          <w:rFonts w:eastAsia="Times New Roman" w:cs="Arial"/>
          <w:color w:val="000000"/>
          <w:lang w:eastAsia="bg-BG"/>
        </w:rPr>
        <w:t>протеазни инхибитори (напр. ритонавир);</w:t>
      </w:r>
    </w:p>
    <w:p w14:paraId="6DF21A80" w14:textId="77777777" w:rsidR="0024025B" w:rsidRPr="000302F5" w:rsidRDefault="0024025B" w:rsidP="0024025B">
      <w:pPr>
        <w:pStyle w:val="ListParagraph"/>
        <w:numPr>
          <w:ilvl w:val="0"/>
          <w:numId w:val="38"/>
        </w:numPr>
        <w:spacing w:line="240" w:lineRule="auto"/>
        <w:rPr>
          <w:rFonts w:eastAsia="Times New Roman" w:cs="Arial"/>
          <w:lang w:eastAsia="bg-BG"/>
        </w:rPr>
      </w:pPr>
      <w:r w:rsidRPr="000302F5">
        <w:rPr>
          <w:rFonts w:eastAsia="Times New Roman" w:cs="Arial"/>
          <w:color w:val="000000"/>
          <w:lang w:eastAsia="bg-BG"/>
        </w:rPr>
        <w:t>азолови антимикотици (напр. кетоконазол);</w:t>
      </w:r>
    </w:p>
    <w:p w14:paraId="6F0363E8" w14:textId="77777777" w:rsidR="0024025B" w:rsidRPr="000302F5" w:rsidRDefault="0024025B" w:rsidP="0024025B">
      <w:pPr>
        <w:pStyle w:val="ListParagraph"/>
        <w:numPr>
          <w:ilvl w:val="0"/>
          <w:numId w:val="38"/>
        </w:numPr>
        <w:spacing w:line="240" w:lineRule="auto"/>
        <w:rPr>
          <w:rFonts w:eastAsia="Times New Roman" w:cs="Arial"/>
          <w:lang w:eastAsia="bg-BG"/>
        </w:rPr>
      </w:pPr>
      <w:r w:rsidRPr="000302F5">
        <w:rPr>
          <w:rFonts w:eastAsia="Times New Roman" w:cs="Arial"/>
          <w:color w:val="000000"/>
          <w:lang w:eastAsia="bg-BG"/>
        </w:rPr>
        <w:t>антидепресантите нефазодон и флуоксетин;</w:t>
      </w:r>
    </w:p>
    <w:p w14:paraId="5F9603C7" w14:textId="77777777" w:rsidR="0024025B" w:rsidRPr="000302F5" w:rsidRDefault="0024025B" w:rsidP="0024025B">
      <w:pPr>
        <w:pStyle w:val="ListParagraph"/>
        <w:numPr>
          <w:ilvl w:val="0"/>
          <w:numId w:val="38"/>
        </w:numPr>
        <w:spacing w:line="240" w:lineRule="auto"/>
        <w:rPr>
          <w:rFonts w:eastAsia="Times New Roman" w:cs="Arial"/>
          <w:lang w:eastAsia="bg-BG"/>
        </w:rPr>
      </w:pPr>
      <w:r w:rsidRPr="000302F5">
        <w:rPr>
          <w:rFonts w:eastAsia="Times New Roman" w:cs="Arial"/>
          <w:color w:val="000000"/>
          <w:lang w:eastAsia="bg-BG"/>
        </w:rPr>
        <w:t>квинупристин/далфопристин;</w:t>
      </w:r>
    </w:p>
    <w:p w14:paraId="47C822AA" w14:textId="77777777" w:rsidR="0024025B" w:rsidRPr="000302F5" w:rsidRDefault="0024025B" w:rsidP="0024025B">
      <w:pPr>
        <w:pStyle w:val="ListParagraph"/>
        <w:numPr>
          <w:ilvl w:val="0"/>
          <w:numId w:val="38"/>
        </w:numPr>
        <w:spacing w:line="240" w:lineRule="auto"/>
        <w:rPr>
          <w:rFonts w:eastAsia="Times New Roman" w:cs="Arial"/>
          <w:lang w:eastAsia="bg-BG"/>
        </w:rPr>
      </w:pPr>
      <w:r w:rsidRPr="000302F5">
        <w:rPr>
          <w:rFonts w:eastAsia="Times New Roman" w:cs="Arial"/>
          <w:color w:val="000000"/>
          <w:lang w:eastAsia="bg-BG"/>
        </w:rPr>
        <w:t>валпроева киселина;</w:t>
      </w:r>
    </w:p>
    <w:p w14:paraId="0E28BBDE" w14:textId="1B9F4288" w:rsidR="007A2185" w:rsidRPr="000302F5" w:rsidRDefault="0024025B" w:rsidP="0024025B">
      <w:pPr>
        <w:pStyle w:val="ListParagraph"/>
        <w:numPr>
          <w:ilvl w:val="0"/>
          <w:numId w:val="38"/>
        </w:numPr>
        <w:spacing w:line="240" w:lineRule="auto"/>
        <w:rPr>
          <w:rFonts w:eastAsia="Times New Roman" w:cs="Arial"/>
          <w:lang w:eastAsia="bg-BG"/>
        </w:rPr>
      </w:pPr>
      <w:r w:rsidRPr="000302F5">
        <w:rPr>
          <w:rFonts w:eastAsia="Times New Roman" w:cs="Arial"/>
          <w:color w:val="000000"/>
          <w:lang w:eastAsia="bg-BG"/>
        </w:rPr>
        <w:t>циметидин.</w:t>
      </w:r>
    </w:p>
    <w:p w14:paraId="24E3E82F" w14:textId="63E6A3A1" w:rsidR="0091385D" w:rsidRPr="000302F5" w:rsidRDefault="0091385D" w:rsidP="0091385D">
      <w:pPr>
        <w:rPr>
          <w:rFonts w:cs="Arial"/>
        </w:rPr>
      </w:pPr>
    </w:p>
    <w:p w14:paraId="22204975" w14:textId="2359CDE9" w:rsidR="0024025B" w:rsidRPr="000302F5" w:rsidRDefault="0024025B" w:rsidP="0091385D">
      <w:pPr>
        <w:rPr>
          <w:rFonts w:cs="Arial"/>
        </w:rPr>
      </w:pPr>
      <w:r w:rsidRPr="000302F5">
        <w:rPr>
          <w:rFonts w:cs="Arial"/>
        </w:rPr>
        <w:t>При едновременно приложение с тези лекарства кръвното налягане трябва да се мониторира и ако е необходимо, трябва да се има предвид редукция на дозата.</w:t>
      </w:r>
    </w:p>
    <w:p w14:paraId="0BC37CA0" w14:textId="77777777" w:rsidR="0024025B" w:rsidRPr="0091385D" w:rsidRDefault="0024025B"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03E878A7" w14:textId="77777777" w:rsidR="0024025B" w:rsidRPr="0024025B" w:rsidRDefault="0024025B" w:rsidP="0024025B">
      <w:pPr>
        <w:spacing w:line="240" w:lineRule="auto"/>
        <w:rPr>
          <w:rFonts w:eastAsia="Times New Roman" w:cs="Arial"/>
          <w:lang w:eastAsia="bg-BG"/>
        </w:rPr>
      </w:pPr>
      <w:bookmarkStart w:id="1" w:name="bookmark0"/>
      <w:r w:rsidRPr="0024025B">
        <w:rPr>
          <w:rFonts w:eastAsia="Times New Roman" w:cs="Arial"/>
          <w:b/>
          <w:bCs/>
          <w:color w:val="000000"/>
          <w:lang w:eastAsia="bg-BG"/>
        </w:rPr>
        <w:t>Лекарства, които повлияват нифедипин</w:t>
      </w:r>
      <w:bookmarkEnd w:id="1"/>
    </w:p>
    <w:p w14:paraId="0869463C"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Нифедипин се метаболизира чрез системата цитохром Р450 3А4, локализирана в чревната мукоза и в черния дроб. Лекарствата, за които е известно, че инхибират или индуцират тази ензимна система, могат да променят ефекта на първо преминаване (след перорално приложение) или клирънса на нифедипин (вж. точка 4.4).</w:t>
      </w:r>
    </w:p>
    <w:p w14:paraId="4E8A214D" w14:textId="77777777" w:rsidR="0024025B" w:rsidRPr="000302F5" w:rsidRDefault="0024025B" w:rsidP="0024025B">
      <w:pPr>
        <w:spacing w:line="240" w:lineRule="auto"/>
        <w:rPr>
          <w:rFonts w:eastAsia="Times New Roman" w:cs="Arial"/>
          <w:color w:val="000000"/>
          <w:lang w:eastAsia="bg-BG"/>
        </w:rPr>
      </w:pPr>
    </w:p>
    <w:p w14:paraId="49B81BAD" w14:textId="0C666054"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Степента, както и продължителността на взаимодействията трябва да се имат предвид, когато нифидипин се прилага заедно със следните лекарства:</w:t>
      </w:r>
    </w:p>
    <w:p w14:paraId="6E494845" w14:textId="77777777" w:rsidR="0024025B" w:rsidRPr="000302F5" w:rsidRDefault="0024025B" w:rsidP="0024025B">
      <w:pPr>
        <w:spacing w:line="240" w:lineRule="auto"/>
        <w:rPr>
          <w:rFonts w:eastAsia="Times New Roman" w:cs="Arial"/>
          <w:b/>
          <w:bCs/>
          <w:color w:val="000000"/>
          <w:lang w:eastAsia="bg-BG"/>
        </w:rPr>
      </w:pPr>
      <w:bookmarkStart w:id="2" w:name="bookmark2"/>
    </w:p>
    <w:p w14:paraId="370A984F" w14:textId="1EEC6772" w:rsidR="0024025B" w:rsidRPr="0024025B" w:rsidRDefault="0024025B" w:rsidP="0024025B">
      <w:pPr>
        <w:spacing w:line="240" w:lineRule="auto"/>
        <w:rPr>
          <w:rFonts w:eastAsia="Times New Roman" w:cs="Arial"/>
          <w:lang w:eastAsia="bg-BG"/>
        </w:rPr>
      </w:pPr>
      <w:r w:rsidRPr="0024025B">
        <w:rPr>
          <w:rFonts w:eastAsia="Times New Roman" w:cs="Arial"/>
          <w:b/>
          <w:bCs/>
          <w:color w:val="000000"/>
          <w:lang w:eastAsia="bg-BG"/>
        </w:rPr>
        <w:t>Рифампицин</w:t>
      </w:r>
      <w:bookmarkEnd w:id="2"/>
    </w:p>
    <w:p w14:paraId="2C81EE16"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Рифампицин силно индуцира системата цитохром Р450 3А4. При едновременно приложение с рифампицин, бионаличността на нифедипин е значително редуцирана и по този начин неговата ефикасност отслабва. Поради това, употребата на нифедипин в комбинация с рифампицин е противопоказана (вж. точка 4.3).</w:t>
      </w:r>
    </w:p>
    <w:p w14:paraId="53EA0FFC" w14:textId="77777777" w:rsidR="0024025B" w:rsidRPr="000302F5" w:rsidRDefault="0024025B" w:rsidP="0024025B">
      <w:pPr>
        <w:spacing w:line="240" w:lineRule="auto"/>
        <w:rPr>
          <w:rFonts w:eastAsia="Times New Roman" w:cs="Arial"/>
          <w:color w:val="000000"/>
          <w:lang w:eastAsia="bg-BG"/>
        </w:rPr>
      </w:pPr>
    </w:p>
    <w:p w14:paraId="0F977E3D" w14:textId="242C55F3"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 xml:space="preserve">При едновременно приложение на нифедипин с инхибитори на системата цитохром Р450 3А4 е необходимо внимателно проследяване на кръвното налягане, като при </w:t>
      </w:r>
      <w:r w:rsidRPr="0024025B">
        <w:rPr>
          <w:rFonts w:eastAsia="Times New Roman" w:cs="Arial"/>
          <w:color w:val="000000"/>
          <w:lang w:eastAsia="bg-BG"/>
        </w:rPr>
        <w:lastRenderedPageBreak/>
        <w:t>необходимост дозата на нифедипин може да се намали (вж. точки 4.2 и 4.4). В по-голяма част от случаите не са провеждани проучвания за оценка на възможните взаимодействия между нифедипин и изброените лекарства.</w:t>
      </w:r>
    </w:p>
    <w:p w14:paraId="63E43242" w14:textId="77777777" w:rsidR="0024025B" w:rsidRPr="000302F5" w:rsidRDefault="0024025B" w:rsidP="0024025B">
      <w:pPr>
        <w:spacing w:line="240" w:lineRule="auto"/>
        <w:rPr>
          <w:rFonts w:eastAsia="Times New Roman" w:cs="Arial"/>
          <w:color w:val="000000"/>
          <w:lang w:eastAsia="bg-BG"/>
        </w:rPr>
      </w:pPr>
    </w:p>
    <w:p w14:paraId="41D29F22" w14:textId="5574260A"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Лекарства, които повишават плазмената концентрация на нифедипин:</w:t>
      </w:r>
    </w:p>
    <w:p w14:paraId="36EC0F95" w14:textId="77777777" w:rsidR="0024025B" w:rsidRPr="000302F5" w:rsidRDefault="0024025B" w:rsidP="0024025B">
      <w:pPr>
        <w:pStyle w:val="ListParagraph"/>
        <w:numPr>
          <w:ilvl w:val="0"/>
          <w:numId w:val="40"/>
        </w:numPr>
        <w:spacing w:line="240" w:lineRule="auto"/>
        <w:rPr>
          <w:rFonts w:eastAsia="Times New Roman" w:cs="Arial"/>
          <w:lang w:eastAsia="bg-BG"/>
        </w:rPr>
      </w:pPr>
      <w:r w:rsidRPr="000302F5">
        <w:rPr>
          <w:rFonts w:eastAsia="Times New Roman" w:cs="Arial"/>
          <w:color w:val="000000"/>
          <w:lang w:eastAsia="bg-BG"/>
        </w:rPr>
        <w:t>макролидни антибиотици (напр. еритромицин);</w:t>
      </w:r>
    </w:p>
    <w:p w14:paraId="103A2151" w14:textId="77777777" w:rsidR="0024025B" w:rsidRPr="000302F5" w:rsidRDefault="0024025B" w:rsidP="0024025B">
      <w:pPr>
        <w:pStyle w:val="ListParagraph"/>
        <w:numPr>
          <w:ilvl w:val="0"/>
          <w:numId w:val="40"/>
        </w:numPr>
        <w:spacing w:line="240" w:lineRule="auto"/>
        <w:rPr>
          <w:rFonts w:eastAsia="Times New Roman" w:cs="Arial"/>
          <w:lang w:eastAsia="bg-BG"/>
        </w:rPr>
      </w:pPr>
      <w:r w:rsidRPr="000302F5">
        <w:rPr>
          <w:rFonts w:eastAsia="Times New Roman" w:cs="Arial"/>
          <w:color w:val="000000"/>
          <w:lang w:eastAsia="bg-BG"/>
        </w:rPr>
        <w:t>анти</w:t>
      </w:r>
      <w:r w:rsidRPr="000302F5">
        <w:rPr>
          <w:rFonts w:eastAsia="Times New Roman" w:cs="Arial"/>
          <w:color w:val="000000"/>
          <w:lang w:val="en-US"/>
        </w:rPr>
        <w:t xml:space="preserve">-HIV </w:t>
      </w:r>
      <w:r w:rsidRPr="000302F5">
        <w:rPr>
          <w:rFonts w:eastAsia="Times New Roman" w:cs="Arial"/>
          <w:color w:val="000000"/>
          <w:lang w:eastAsia="bg-BG"/>
        </w:rPr>
        <w:t>протеазни инхибитори (напр. ритонавир);</w:t>
      </w:r>
    </w:p>
    <w:p w14:paraId="33FC2CEB" w14:textId="77777777" w:rsidR="0024025B" w:rsidRPr="000302F5" w:rsidRDefault="0024025B" w:rsidP="0024025B">
      <w:pPr>
        <w:pStyle w:val="ListParagraph"/>
        <w:numPr>
          <w:ilvl w:val="0"/>
          <w:numId w:val="40"/>
        </w:numPr>
        <w:spacing w:line="240" w:lineRule="auto"/>
        <w:rPr>
          <w:rFonts w:eastAsia="Times New Roman" w:cs="Arial"/>
          <w:lang w:eastAsia="bg-BG"/>
        </w:rPr>
      </w:pPr>
      <w:r w:rsidRPr="000302F5">
        <w:rPr>
          <w:rFonts w:eastAsia="Times New Roman" w:cs="Arial"/>
          <w:color w:val="000000"/>
          <w:lang w:eastAsia="bg-BG"/>
        </w:rPr>
        <w:t>азолови антимикотици (напр. кетоконазол);</w:t>
      </w:r>
    </w:p>
    <w:p w14:paraId="2CAE1BB3" w14:textId="77777777" w:rsidR="0024025B" w:rsidRPr="000302F5" w:rsidRDefault="0024025B" w:rsidP="0024025B">
      <w:pPr>
        <w:pStyle w:val="ListParagraph"/>
        <w:numPr>
          <w:ilvl w:val="0"/>
          <w:numId w:val="40"/>
        </w:numPr>
        <w:spacing w:line="240" w:lineRule="auto"/>
        <w:rPr>
          <w:rFonts w:eastAsia="Times New Roman" w:cs="Arial"/>
          <w:lang w:eastAsia="bg-BG"/>
        </w:rPr>
      </w:pPr>
      <w:r w:rsidRPr="000302F5">
        <w:rPr>
          <w:rFonts w:eastAsia="Times New Roman" w:cs="Arial"/>
          <w:color w:val="000000"/>
          <w:lang w:eastAsia="bg-BG"/>
        </w:rPr>
        <w:t>флуоксетин;</w:t>
      </w:r>
    </w:p>
    <w:p w14:paraId="6AB55728" w14:textId="77777777" w:rsidR="0024025B" w:rsidRPr="000302F5" w:rsidRDefault="0024025B" w:rsidP="0024025B">
      <w:pPr>
        <w:pStyle w:val="ListParagraph"/>
        <w:numPr>
          <w:ilvl w:val="0"/>
          <w:numId w:val="40"/>
        </w:numPr>
        <w:spacing w:line="240" w:lineRule="auto"/>
        <w:rPr>
          <w:rFonts w:eastAsia="Times New Roman" w:cs="Arial"/>
          <w:lang w:eastAsia="bg-BG"/>
        </w:rPr>
      </w:pPr>
      <w:r w:rsidRPr="000302F5">
        <w:rPr>
          <w:rFonts w:eastAsia="Times New Roman" w:cs="Arial"/>
          <w:color w:val="000000"/>
          <w:lang w:eastAsia="bg-BG"/>
        </w:rPr>
        <w:t>нефазодон;</w:t>
      </w:r>
    </w:p>
    <w:p w14:paraId="2F65C47B" w14:textId="77777777" w:rsidR="0024025B" w:rsidRPr="000302F5" w:rsidRDefault="0024025B" w:rsidP="0024025B">
      <w:pPr>
        <w:pStyle w:val="ListParagraph"/>
        <w:numPr>
          <w:ilvl w:val="0"/>
          <w:numId w:val="40"/>
        </w:numPr>
        <w:spacing w:line="240" w:lineRule="auto"/>
        <w:rPr>
          <w:rFonts w:eastAsia="Times New Roman" w:cs="Arial"/>
          <w:lang w:eastAsia="bg-BG"/>
        </w:rPr>
      </w:pPr>
      <w:r w:rsidRPr="000302F5">
        <w:rPr>
          <w:rFonts w:eastAsia="Times New Roman" w:cs="Arial"/>
          <w:color w:val="000000"/>
          <w:lang w:eastAsia="bg-BG"/>
        </w:rPr>
        <w:t>квинупристин/далфопристин;</w:t>
      </w:r>
    </w:p>
    <w:p w14:paraId="49022CCA" w14:textId="77777777" w:rsidR="0024025B" w:rsidRPr="000302F5" w:rsidRDefault="0024025B" w:rsidP="0024025B">
      <w:pPr>
        <w:pStyle w:val="ListParagraph"/>
        <w:numPr>
          <w:ilvl w:val="0"/>
          <w:numId w:val="40"/>
        </w:numPr>
        <w:spacing w:line="240" w:lineRule="auto"/>
        <w:rPr>
          <w:rFonts w:eastAsia="Times New Roman" w:cs="Arial"/>
          <w:lang w:eastAsia="bg-BG"/>
        </w:rPr>
      </w:pPr>
      <w:r w:rsidRPr="000302F5">
        <w:rPr>
          <w:rFonts w:eastAsia="Times New Roman" w:cs="Arial"/>
          <w:color w:val="000000"/>
          <w:lang w:eastAsia="bg-BG"/>
        </w:rPr>
        <w:t>цизаприд:</w:t>
      </w:r>
    </w:p>
    <w:p w14:paraId="64F32758" w14:textId="77777777" w:rsidR="0024025B" w:rsidRPr="000302F5" w:rsidRDefault="0024025B" w:rsidP="0024025B">
      <w:pPr>
        <w:pStyle w:val="ListParagraph"/>
        <w:numPr>
          <w:ilvl w:val="0"/>
          <w:numId w:val="40"/>
        </w:numPr>
        <w:spacing w:line="240" w:lineRule="auto"/>
        <w:rPr>
          <w:rFonts w:eastAsia="Times New Roman" w:cs="Arial"/>
          <w:lang w:eastAsia="bg-BG"/>
        </w:rPr>
      </w:pPr>
      <w:r w:rsidRPr="000302F5">
        <w:rPr>
          <w:rFonts w:eastAsia="Times New Roman" w:cs="Arial"/>
          <w:color w:val="000000"/>
          <w:lang w:eastAsia="bg-BG"/>
        </w:rPr>
        <w:t>валпроева киселина;</w:t>
      </w:r>
    </w:p>
    <w:p w14:paraId="1B04A77D" w14:textId="77777777" w:rsidR="0024025B" w:rsidRPr="000302F5" w:rsidRDefault="0024025B" w:rsidP="0024025B">
      <w:pPr>
        <w:pStyle w:val="ListParagraph"/>
        <w:numPr>
          <w:ilvl w:val="0"/>
          <w:numId w:val="40"/>
        </w:numPr>
        <w:spacing w:line="240" w:lineRule="auto"/>
        <w:rPr>
          <w:rFonts w:eastAsia="Times New Roman" w:cs="Arial"/>
          <w:lang w:eastAsia="bg-BG"/>
        </w:rPr>
      </w:pPr>
      <w:r w:rsidRPr="000302F5">
        <w:rPr>
          <w:rFonts w:eastAsia="Times New Roman" w:cs="Arial"/>
          <w:color w:val="000000"/>
          <w:lang w:eastAsia="bg-BG"/>
        </w:rPr>
        <w:t>циметидин;</w:t>
      </w:r>
    </w:p>
    <w:p w14:paraId="447C9A09" w14:textId="37C1A5DC" w:rsidR="0024025B" w:rsidRPr="000302F5" w:rsidRDefault="0024025B" w:rsidP="0024025B">
      <w:pPr>
        <w:pStyle w:val="ListParagraph"/>
        <w:numPr>
          <w:ilvl w:val="0"/>
          <w:numId w:val="40"/>
        </w:numPr>
        <w:spacing w:line="240" w:lineRule="auto"/>
        <w:rPr>
          <w:rFonts w:eastAsia="Times New Roman" w:cs="Arial"/>
          <w:lang w:eastAsia="bg-BG"/>
        </w:rPr>
      </w:pPr>
      <w:r w:rsidRPr="000302F5">
        <w:rPr>
          <w:rFonts w:eastAsia="Times New Roman" w:cs="Arial"/>
          <w:color w:val="000000"/>
          <w:lang w:eastAsia="bg-BG"/>
        </w:rPr>
        <w:t>дилтиазем.</w:t>
      </w:r>
    </w:p>
    <w:p w14:paraId="0CFE7023" w14:textId="77777777" w:rsidR="0024025B" w:rsidRPr="000302F5" w:rsidRDefault="0024025B" w:rsidP="0024025B">
      <w:pPr>
        <w:spacing w:line="240" w:lineRule="auto"/>
        <w:rPr>
          <w:rFonts w:eastAsia="Times New Roman" w:cs="Arial"/>
          <w:color w:val="000000"/>
          <w:lang w:eastAsia="bg-BG"/>
        </w:rPr>
      </w:pPr>
    </w:p>
    <w:p w14:paraId="7B2E2C13" w14:textId="44690C02"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При едновременното приемане на индуктори на системата цитохром Р450 3А4, клиничният отговор на нифедипин трябва да се мониторира, и ако е необходимо, да се обмисли увеличаване на дозата на нифедипин. Ако дозата на нифедипин се повиши по време на едновременното приложение на двете лекарства, трябва да се обмисли намаляване на дозата на нифедипин, когато лечението се прекрати.</w:t>
      </w:r>
    </w:p>
    <w:p w14:paraId="37935C9F" w14:textId="77777777" w:rsidR="0024025B" w:rsidRPr="000302F5" w:rsidRDefault="0024025B" w:rsidP="0024025B">
      <w:pPr>
        <w:spacing w:line="240" w:lineRule="auto"/>
        <w:rPr>
          <w:rFonts w:eastAsia="Times New Roman" w:cs="Arial"/>
          <w:color w:val="000000"/>
          <w:lang w:eastAsia="bg-BG"/>
        </w:rPr>
      </w:pPr>
    </w:p>
    <w:p w14:paraId="355DDFD2" w14:textId="1820A62A"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Лекарства, които намаляват плазмената концентрация на нифедипин:</w:t>
      </w:r>
    </w:p>
    <w:p w14:paraId="34BC8FF3" w14:textId="77777777" w:rsidR="0024025B" w:rsidRPr="000302F5" w:rsidRDefault="0024025B" w:rsidP="0024025B">
      <w:pPr>
        <w:pStyle w:val="ListParagraph"/>
        <w:numPr>
          <w:ilvl w:val="0"/>
          <w:numId w:val="39"/>
        </w:numPr>
        <w:spacing w:line="240" w:lineRule="auto"/>
        <w:rPr>
          <w:rFonts w:eastAsia="Times New Roman" w:cs="Arial"/>
          <w:lang w:eastAsia="bg-BG"/>
        </w:rPr>
      </w:pPr>
      <w:r w:rsidRPr="000302F5">
        <w:rPr>
          <w:rFonts w:eastAsia="Times New Roman" w:cs="Arial"/>
          <w:color w:val="000000"/>
          <w:lang w:eastAsia="bg-BG"/>
        </w:rPr>
        <w:t>рифампицин (виж горе);</w:t>
      </w:r>
    </w:p>
    <w:p w14:paraId="24890E7D" w14:textId="2BFA665C" w:rsidR="0024025B" w:rsidRPr="000302F5" w:rsidRDefault="0024025B" w:rsidP="0024025B">
      <w:pPr>
        <w:pStyle w:val="ListParagraph"/>
        <w:numPr>
          <w:ilvl w:val="0"/>
          <w:numId w:val="39"/>
        </w:numPr>
        <w:spacing w:line="240" w:lineRule="auto"/>
        <w:rPr>
          <w:rFonts w:eastAsia="Times New Roman" w:cs="Arial"/>
          <w:lang w:eastAsia="bg-BG"/>
        </w:rPr>
      </w:pPr>
      <w:r w:rsidRPr="000302F5">
        <w:rPr>
          <w:rFonts w:eastAsia="Times New Roman" w:cs="Arial"/>
          <w:color w:val="000000"/>
          <w:lang w:eastAsia="bg-BG"/>
        </w:rPr>
        <w:t>фенитоин</w:t>
      </w:r>
      <w:r w:rsidRPr="000302F5">
        <w:rPr>
          <w:rFonts w:eastAsia="Times New Roman" w:cs="Arial"/>
          <w:color w:val="000000"/>
          <w:lang w:val="en-US" w:eastAsia="bg-BG"/>
        </w:rPr>
        <w:t>;</w:t>
      </w:r>
    </w:p>
    <w:p w14:paraId="3C7F8500" w14:textId="77777777" w:rsidR="0024025B" w:rsidRPr="000302F5" w:rsidRDefault="0024025B" w:rsidP="0024025B">
      <w:pPr>
        <w:pStyle w:val="ListParagraph"/>
        <w:numPr>
          <w:ilvl w:val="0"/>
          <w:numId w:val="39"/>
        </w:numPr>
        <w:spacing w:line="240" w:lineRule="auto"/>
        <w:rPr>
          <w:rFonts w:eastAsia="Times New Roman" w:cs="Arial"/>
          <w:lang w:eastAsia="bg-BG"/>
        </w:rPr>
      </w:pPr>
      <w:r w:rsidRPr="000302F5">
        <w:rPr>
          <w:rFonts w:eastAsia="Times New Roman" w:cs="Arial"/>
          <w:color w:val="000000"/>
          <w:lang w:eastAsia="bg-BG"/>
        </w:rPr>
        <w:t>карбамазепин;</w:t>
      </w:r>
    </w:p>
    <w:p w14:paraId="6603D4A7" w14:textId="1080E936" w:rsidR="0024025B" w:rsidRPr="000302F5" w:rsidRDefault="0024025B" w:rsidP="0024025B">
      <w:pPr>
        <w:pStyle w:val="ListParagraph"/>
        <w:numPr>
          <w:ilvl w:val="0"/>
          <w:numId w:val="39"/>
        </w:numPr>
        <w:spacing w:line="240" w:lineRule="auto"/>
        <w:rPr>
          <w:rFonts w:eastAsia="Times New Roman" w:cs="Arial"/>
          <w:lang w:eastAsia="bg-BG"/>
        </w:rPr>
      </w:pPr>
      <w:r w:rsidRPr="000302F5">
        <w:rPr>
          <w:rFonts w:eastAsia="Times New Roman" w:cs="Arial"/>
          <w:color w:val="000000"/>
          <w:lang w:eastAsia="bg-BG"/>
        </w:rPr>
        <w:t>фенобарбитал.</w:t>
      </w:r>
    </w:p>
    <w:p w14:paraId="76B6494D" w14:textId="77777777" w:rsidR="0024025B" w:rsidRPr="000302F5" w:rsidRDefault="0024025B" w:rsidP="0024025B">
      <w:pPr>
        <w:spacing w:line="240" w:lineRule="auto"/>
        <w:rPr>
          <w:rFonts w:eastAsia="Times New Roman" w:cs="Arial"/>
          <w:color w:val="000000"/>
          <w:u w:val="single"/>
          <w:lang w:eastAsia="bg-BG"/>
        </w:rPr>
      </w:pPr>
    </w:p>
    <w:p w14:paraId="3C01F524" w14:textId="2B54FE8E" w:rsidR="0024025B" w:rsidRPr="0024025B" w:rsidRDefault="0024025B" w:rsidP="0024025B">
      <w:pPr>
        <w:spacing w:line="240" w:lineRule="auto"/>
        <w:rPr>
          <w:rFonts w:eastAsia="Times New Roman" w:cs="Arial"/>
          <w:lang w:eastAsia="bg-BG"/>
        </w:rPr>
      </w:pPr>
      <w:r w:rsidRPr="0024025B">
        <w:rPr>
          <w:rFonts w:eastAsia="Times New Roman" w:cs="Arial"/>
          <w:color w:val="000000"/>
          <w:u w:val="single"/>
          <w:lang w:eastAsia="bg-BG"/>
        </w:rPr>
        <w:t>Влияние на нифедипин върху други лекарства:</w:t>
      </w:r>
    </w:p>
    <w:p w14:paraId="5B2761C5" w14:textId="32264430" w:rsidR="0091385D" w:rsidRPr="000302F5" w:rsidRDefault="0024025B" w:rsidP="0024025B">
      <w:pPr>
        <w:rPr>
          <w:rFonts w:cs="Arial"/>
        </w:rPr>
      </w:pPr>
      <w:r w:rsidRPr="000302F5">
        <w:rPr>
          <w:rFonts w:eastAsia="Times New Roman" w:cs="Arial"/>
          <w:color w:val="000000"/>
          <w:lang w:eastAsia="bg-BG"/>
        </w:rPr>
        <w:t>Нифедипин може да засили хипотензивния ефект на едновременно прилагани антихипертензивни лекарствата.</w:t>
      </w:r>
    </w:p>
    <w:p w14:paraId="0395BD2E" w14:textId="1C9A3397" w:rsidR="007A2185" w:rsidRPr="000302F5" w:rsidRDefault="007A2185" w:rsidP="0091385D">
      <w:pPr>
        <w:rPr>
          <w:rFonts w:cs="Arial"/>
        </w:rPr>
      </w:pPr>
    </w:p>
    <w:p w14:paraId="68855D35"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Когато нифедипин се прилага едновременно с β-блокери, пациентите трябва да се проследяват внимателно, тъй като в отделни случаи може да се предизвика влошаване на сърдечната недостатъчност,</w:t>
      </w:r>
    </w:p>
    <w:p w14:paraId="05600EDB" w14:textId="77777777" w:rsidR="0024025B" w:rsidRPr="000302F5" w:rsidRDefault="0024025B" w:rsidP="0024025B">
      <w:pPr>
        <w:spacing w:line="240" w:lineRule="auto"/>
        <w:rPr>
          <w:rFonts w:eastAsia="Times New Roman" w:cs="Arial"/>
          <w:color w:val="000000"/>
          <w:u w:val="single"/>
          <w:lang w:eastAsia="bg-BG"/>
        </w:rPr>
      </w:pPr>
    </w:p>
    <w:p w14:paraId="5F55BBA7" w14:textId="323DBBF2" w:rsidR="0024025B" w:rsidRPr="0024025B" w:rsidRDefault="0024025B" w:rsidP="0024025B">
      <w:pPr>
        <w:spacing w:line="240" w:lineRule="auto"/>
        <w:rPr>
          <w:rFonts w:eastAsia="Times New Roman" w:cs="Arial"/>
          <w:lang w:eastAsia="bg-BG"/>
        </w:rPr>
      </w:pPr>
      <w:r w:rsidRPr="0024025B">
        <w:rPr>
          <w:rFonts w:eastAsia="Times New Roman" w:cs="Arial"/>
          <w:color w:val="000000"/>
          <w:u w:val="single"/>
          <w:lang w:eastAsia="bg-BG"/>
        </w:rPr>
        <w:t>Дигоксин</w:t>
      </w:r>
    </w:p>
    <w:p w14:paraId="770CEA1A"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Едновременното приложение на нифедипин и дигоксин може да доведе до намаляване на клирънса на дигоксин и от там до повишаване на плазмената му концентрация. Като предпазна мярка пациентът трябва да се проверява за симптоми на дигоксиново предозиране и, ако е необходимо, дозата на глюкозида трябва да бъде намалена.</w:t>
      </w:r>
    </w:p>
    <w:p w14:paraId="6AD2C0DD" w14:textId="77777777" w:rsidR="0024025B" w:rsidRPr="000302F5" w:rsidRDefault="0024025B" w:rsidP="0024025B">
      <w:pPr>
        <w:spacing w:line="240" w:lineRule="auto"/>
        <w:rPr>
          <w:rFonts w:eastAsia="Times New Roman" w:cs="Arial"/>
          <w:color w:val="000000"/>
          <w:u w:val="single"/>
          <w:lang w:eastAsia="bg-BG"/>
        </w:rPr>
      </w:pPr>
    </w:p>
    <w:p w14:paraId="457DF1FD" w14:textId="2952DC1B" w:rsidR="0024025B" w:rsidRPr="0024025B" w:rsidRDefault="0024025B" w:rsidP="0024025B">
      <w:pPr>
        <w:spacing w:line="240" w:lineRule="auto"/>
        <w:rPr>
          <w:rFonts w:eastAsia="Times New Roman" w:cs="Arial"/>
          <w:lang w:eastAsia="bg-BG"/>
        </w:rPr>
      </w:pPr>
      <w:r w:rsidRPr="0024025B">
        <w:rPr>
          <w:rFonts w:eastAsia="Times New Roman" w:cs="Arial"/>
          <w:color w:val="000000"/>
          <w:u w:val="single"/>
          <w:lang w:eastAsia="bg-BG"/>
        </w:rPr>
        <w:t>Хинидин</w:t>
      </w:r>
    </w:p>
    <w:p w14:paraId="0BB94B35"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Едновременното приложение на нифедипин с хинидин може да понижи концентрацията на хинидин и след прекратяване приема на нифедипин, в отделни случаи може да се наблюдава значително повишаване на плазмената концентрация на хинидин. Следователно, когато нифедипин се включва допълнително или се прекрати приложението му, се препоръчва мониторинг на плазмената концентрация на хинидин и ако е необходимо, се коригира дозата му. Кръвното налягане трябва внимателно да се мониторира и при необходимост дозата на нифедипин трябва да се намали.</w:t>
      </w:r>
    </w:p>
    <w:p w14:paraId="56E1A3B9" w14:textId="77777777" w:rsidR="0024025B" w:rsidRPr="000302F5" w:rsidRDefault="0024025B" w:rsidP="0024025B">
      <w:pPr>
        <w:spacing w:line="240" w:lineRule="auto"/>
        <w:rPr>
          <w:rFonts w:eastAsia="Times New Roman" w:cs="Arial"/>
          <w:color w:val="000000"/>
          <w:u w:val="single"/>
          <w:lang w:eastAsia="bg-BG"/>
        </w:rPr>
      </w:pPr>
    </w:p>
    <w:p w14:paraId="5E86F0FE" w14:textId="3DE6B605" w:rsidR="0024025B" w:rsidRPr="0024025B" w:rsidRDefault="0024025B" w:rsidP="0024025B">
      <w:pPr>
        <w:spacing w:line="240" w:lineRule="auto"/>
        <w:rPr>
          <w:rFonts w:eastAsia="Times New Roman" w:cs="Arial"/>
          <w:lang w:eastAsia="bg-BG"/>
        </w:rPr>
      </w:pPr>
      <w:r w:rsidRPr="0024025B">
        <w:rPr>
          <w:rFonts w:eastAsia="Times New Roman" w:cs="Arial"/>
          <w:color w:val="000000"/>
          <w:u w:val="single"/>
          <w:lang w:eastAsia="bg-BG"/>
        </w:rPr>
        <w:t>Такролимус</w:t>
      </w:r>
    </w:p>
    <w:p w14:paraId="79D817B6"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Такролимус се метаболизира чрез системата цитохром Р450 3А4. Публикуваните съвременни данни показват, че в отделни случаи дозата на такролимус, приложена едновременно с нифедипин, може да се намали. При едновременно приложение на двете лекарства плазмените концентрации на такролимус трябва да се мониторират и ако е необходимо, дозата на такролимус да се намали.</w:t>
      </w:r>
    </w:p>
    <w:p w14:paraId="4B48AB76" w14:textId="77777777" w:rsidR="0024025B" w:rsidRPr="000302F5" w:rsidRDefault="0024025B" w:rsidP="0024025B">
      <w:pPr>
        <w:spacing w:line="240" w:lineRule="auto"/>
        <w:rPr>
          <w:rFonts w:eastAsia="Times New Roman" w:cs="Arial"/>
          <w:b/>
          <w:bCs/>
          <w:color w:val="000000"/>
          <w:lang w:eastAsia="bg-BG"/>
        </w:rPr>
      </w:pPr>
    </w:p>
    <w:p w14:paraId="7212A058" w14:textId="4C1B3838" w:rsidR="0024025B" w:rsidRPr="0024025B" w:rsidRDefault="0024025B" w:rsidP="0024025B">
      <w:pPr>
        <w:spacing w:line="240" w:lineRule="auto"/>
        <w:rPr>
          <w:rFonts w:eastAsia="Times New Roman" w:cs="Arial"/>
          <w:lang w:eastAsia="bg-BG"/>
        </w:rPr>
      </w:pPr>
      <w:r w:rsidRPr="0024025B">
        <w:rPr>
          <w:rFonts w:eastAsia="Times New Roman" w:cs="Arial"/>
          <w:b/>
          <w:bCs/>
          <w:color w:val="000000"/>
          <w:lang w:eastAsia="bg-BG"/>
        </w:rPr>
        <w:t>Взаимодействия лекарство-храна</w:t>
      </w:r>
    </w:p>
    <w:p w14:paraId="3BDDEEB4" w14:textId="77777777" w:rsidR="0024025B" w:rsidRPr="000302F5" w:rsidRDefault="0024025B" w:rsidP="0024025B">
      <w:pPr>
        <w:spacing w:line="240" w:lineRule="auto"/>
        <w:rPr>
          <w:rFonts w:eastAsia="Times New Roman" w:cs="Arial"/>
          <w:i/>
          <w:iCs/>
          <w:color w:val="000000"/>
          <w:lang w:eastAsia="bg-BG"/>
        </w:rPr>
      </w:pPr>
    </w:p>
    <w:p w14:paraId="4F9E3A4B" w14:textId="2F03B25A" w:rsidR="0024025B" w:rsidRPr="0024025B" w:rsidRDefault="0024025B" w:rsidP="0024025B">
      <w:pPr>
        <w:spacing w:line="240" w:lineRule="auto"/>
        <w:rPr>
          <w:rFonts w:eastAsia="Times New Roman" w:cs="Arial"/>
          <w:lang w:eastAsia="bg-BG"/>
        </w:rPr>
      </w:pPr>
      <w:r w:rsidRPr="0024025B">
        <w:rPr>
          <w:rFonts w:eastAsia="Times New Roman" w:cs="Arial"/>
          <w:i/>
          <w:iCs/>
          <w:color w:val="000000"/>
          <w:lang w:eastAsia="bg-BG"/>
        </w:rPr>
        <w:t>Сок от грейпфрут</w:t>
      </w:r>
    </w:p>
    <w:p w14:paraId="042F1F80" w14:textId="2BFAFCD5" w:rsidR="0024025B" w:rsidRPr="0024025B" w:rsidRDefault="0024025B" w:rsidP="0024025B">
      <w:pPr>
        <w:spacing w:line="240" w:lineRule="auto"/>
        <w:rPr>
          <w:rFonts w:eastAsia="Times New Roman" w:cs="Arial"/>
          <w:lang w:eastAsia="bg-BG"/>
        </w:rPr>
      </w:pPr>
      <w:r w:rsidRPr="0024025B">
        <w:rPr>
          <w:rFonts w:eastAsia="Times New Roman" w:cs="Arial"/>
          <w:i/>
          <w:iCs/>
          <w:color w:val="000000"/>
          <w:lang w:eastAsia="bg-BG"/>
        </w:rPr>
        <w:t>Сокът</w:t>
      </w:r>
      <w:r w:rsidRPr="0024025B">
        <w:rPr>
          <w:rFonts w:eastAsia="Times New Roman" w:cs="Arial"/>
          <w:color w:val="000000"/>
          <w:lang w:eastAsia="bg-BG"/>
        </w:rPr>
        <w:t xml:space="preserve"> от грейпфрут инхибира системата цитохром Р450 3А4. Приложението на нифедипин заедно със сок от грейпфрут води до повишени плазмени концентрации на нифедипин и удължено време на действие, дължащи се на понижен метаболизъм при първо преминаване или намален </w:t>
      </w:r>
      <w:r w:rsidR="00777552">
        <w:rPr>
          <w:rFonts w:eastAsia="Times New Roman" w:cs="Arial"/>
          <w:color w:val="000000"/>
          <w:lang w:eastAsia="bg-BG"/>
        </w:rPr>
        <w:t>клиръ</w:t>
      </w:r>
      <w:bookmarkStart w:id="3" w:name="_GoBack"/>
      <w:bookmarkEnd w:id="3"/>
      <w:r w:rsidRPr="0024025B">
        <w:rPr>
          <w:rFonts w:eastAsia="Times New Roman" w:cs="Arial"/>
          <w:color w:val="000000"/>
          <w:lang w:eastAsia="bg-BG"/>
        </w:rPr>
        <w:t>нс. В последствие, ефектът на понижаване на кръвното налягане може да бъде засилен. След редовен прием на сок от грейпфрут този ефект може да продължи най-малко 3 дни след последния прием на сока от грейпфрут. Следователно приемът на грейпфрут/сок от грейпфрут трябва да се избягва, по време на употребата на нифедипин (вж. точка 4.4).</w:t>
      </w:r>
    </w:p>
    <w:p w14:paraId="71B1046D" w14:textId="77777777" w:rsidR="0024025B" w:rsidRPr="000302F5" w:rsidRDefault="0024025B" w:rsidP="0024025B">
      <w:pPr>
        <w:spacing w:line="240" w:lineRule="auto"/>
        <w:rPr>
          <w:rFonts w:eastAsia="Times New Roman" w:cs="Arial"/>
          <w:color w:val="000000"/>
          <w:u w:val="single"/>
          <w:lang w:eastAsia="bg-BG"/>
        </w:rPr>
      </w:pPr>
    </w:p>
    <w:p w14:paraId="1ED81338" w14:textId="022C1F14" w:rsidR="0024025B" w:rsidRPr="0024025B" w:rsidRDefault="0024025B" w:rsidP="0024025B">
      <w:pPr>
        <w:spacing w:line="240" w:lineRule="auto"/>
        <w:rPr>
          <w:rFonts w:eastAsia="Times New Roman" w:cs="Arial"/>
          <w:lang w:eastAsia="bg-BG"/>
        </w:rPr>
      </w:pPr>
      <w:r w:rsidRPr="0024025B">
        <w:rPr>
          <w:rFonts w:eastAsia="Times New Roman" w:cs="Arial"/>
          <w:color w:val="000000"/>
          <w:u w:val="single"/>
          <w:lang w:eastAsia="bg-BG"/>
        </w:rPr>
        <w:t>Други форми на взаимодействие</w:t>
      </w:r>
    </w:p>
    <w:p w14:paraId="62B9DEC7" w14:textId="62661B24" w:rsidR="0024025B" w:rsidRPr="000302F5" w:rsidRDefault="0024025B" w:rsidP="0024025B">
      <w:pPr>
        <w:rPr>
          <w:rFonts w:cs="Arial"/>
        </w:rPr>
      </w:pPr>
      <w:r w:rsidRPr="000302F5">
        <w:rPr>
          <w:rFonts w:eastAsia="Times New Roman" w:cs="Arial"/>
          <w:color w:val="000000"/>
          <w:lang w:eastAsia="bg-BG"/>
        </w:rPr>
        <w:t xml:space="preserve">Нифедипин може да доведе до фалшиво повишени спектрофотометрични стойности на ванилил-бадемовата киселина в урината. Измерванията с </w:t>
      </w:r>
      <w:r w:rsidRPr="000302F5">
        <w:rPr>
          <w:rFonts w:eastAsia="Times New Roman" w:cs="Arial"/>
          <w:color w:val="000000"/>
          <w:lang w:val="en-US"/>
        </w:rPr>
        <w:t xml:space="preserve">HPLC </w:t>
      </w:r>
      <w:r w:rsidRPr="000302F5">
        <w:rPr>
          <w:rFonts w:eastAsia="Times New Roman" w:cs="Arial"/>
          <w:color w:val="000000"/>
          <w:lang w:eastAsia="bg-BG"/>
        </w:rPr>
        <w:t>не се повлияват.</w:t>
      </w:r>
    </w:p>
    <w:p w14:paraId="2EC18A96" w14:textId="77777777" w:rsidR="0024025B" w:rsidRPr="0091385D" w:rsidRDefault="0024025B"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55D28CA8" w14:textId="77777777" w:rsidR="0024025B" w:rsidRPr="000302F5" w:rsidRDefault="0024025B" w:rsidP="000302F5">
      <w:pPr>
        <w:pStyle w:val="Heading3"/>
        <w:rPr>
          <w:rFonts w:eastAsia="Times New Roman"/>
          <w:u w:val="single"/>
          <w:lang w:eastAsia="bg-BG"/>
        </w:rPr>
      </w:pPr>
      <w:r w:rsidRPr="000302F5">
        <w:rPr>
          <w:rFonts w:eastAsia="Times New Roman"/>
          <w:u w:val="single"/>
          <w:lang w:eastAsia="bg-BG"/>
        </w:rPr>
        <w:t>Бременност</w:t>
      </w:r>
    </w:p>
    <w:p w14:paraId="096AE0A0"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Нифедипин не трябва да се използва по време на бременност, освен ако клиничното състояние на пациентката не изисква лечение с нифедипин (вижте т .4.4).</w:t>
      </w:r>
    </w:p>
    <w:p w14:paraId="18168D61" w14:textId="77777777" w:rsidR="0024025B" w:rsidRPr="000302F5" w:rsidRDefault="0024025B" w:rsidP="0024025B">
      <w:pPr>
        <w:spacing w:line="240" w:lineRule="auto"/>
        <w:rPr>
          <w:rFonts w:eastAsia="Times New Roman" w:cs="Arial"/>
          <w:color w:val="000000"/>
          <w:lang w:eastAsia="bg-BG"/>
        </w:rPr>
      </w:pPr>
    </w:p>
    <w:p w14:paraId="64381A90" w14:textId="0F53ACBD"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При проучвания с животни е доказано, че нифедипин причинява ембриотоксични, фетотоксични и тератогенни ефекти (вижте т. 5.3).</w:t>
      </w:r>
    </w:p>
    <w:p w14:paraId="76615701" w14:textId="77777777" w:rsidR="0024025B" w:rsidRPr="000302F5" w:rsidRDefault="0024025B" w:rsidP="0024025B">
      <w:pPr>
        <w:spacing w:line="240" w:lineRule="auto"/>
        <w:rPr>
          <w:rFonts w:eastAsia="Times New Roman" w:cs="Arial"/>
          <w:color w:val="000000"/>
          <w:lang w:eastAsia="bg-BG"/>
        </w:rPr>
      </w:pPr>
    </w:p>
    <w:p w14:paraId="575FE83E" w14:textId="1504DB64"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Няма проведени адекватни, добре контролирани проучвания при бременни жени.</w:t>
      </w:r>
    </w:p>
    <w:p w14:paraId="6A81EA42" w14:textId="77777777" w:rsidR="0024025B" w:rsidRPr="000302F5" w:rsidRDefault="0024025B" w:rsidP="0024025B">
      <w:pPr>
        <w:rPr>
          <w:rFonts w:eastAsia="Times New Roman" w:cs="Arial"/>
          <w:color w:val="000000"/>
          <w:lang w:eastAsia="bg-BG"/>
        </w:rPr>
      </w:pPr>
    </w:p>
    <w:p w14:paraId="3E59E0DB" w14:textId="77777777" w:rsidR="0024025B" w:rsidRPr="000302F5" w:rsidRDefault="0024025B" w:rsidP="0024025B">
      <w:pPr>
        <w:rPr>
          <w:rFonts w:eastAsia="Times New Roman" w:cs="Arial"/>
          <w:lang w:eastAsia="bg-BG"/>
        </w:rPr>
      </w:pPr>
      <w:r w:rsidRPr="000302F5">
        <w:rPr>
          <w:rFonts w:eastAsia="Times New Roman" w:cs="Arial"/>
          <w:color w:val="000000"/>
          <w:lang w:eastAsia="bg-BG"/>
        </w:rPr>
        <w:t>Няма клинични доказателства за установен специфичен пренатален риск, въпреки че се наблюдава увеличена честота на перинатална асфиксия, на ражданията с цезарово сечение</w:t>
      </w:r>
      <w:r w:rsidRPr="000302F5">
        <w:rPr>
          <w:rFonts w:eastAsia="Times New Roman" w:cs="Arial"/>
          <w:color w:val="000000"/>
          <w:u w:val="single"/>
          <w:lang w:eastAsia="bg-BG"/>
        </w:rPr>
        <w:t xml:space="preserve"> </w:t>
      </w:r>
      <w:r w:rsidRPr="000302F5">
        <w:rPr>
          <w:rFonts w:eastAsia="Times New Roman" w:cs="Arial"/>
          <w:color w:val="000000"/>
          <w:lang w:eastAsia="bg-BG"/>
        </w:rPr>
        <w:t>както и на преждевременните раждания и забавяне растежа на плода в матката. Не е ясно дали тези случаи се дължат на първична хипертония, нейното лечение или на специфичен ефект на лекарството.</w:t>
      </w:r>
    </w:p>
    <w:p w14:paraId="43E01450" w14:textId="77777777" w:rsidR="0024025B" w:rsidRPr="000302F5" w:rsidRDefault="0024025B" w:rsidP="0024025B">
      <w:pPr>
        <w:spacing w:line="240" w:lineRule="auto"/>
        <w:rPr>
          <w:rFonts w:eastAsia="Times New Roman" w:cs="Arial"/>
          <w:color w:val="000000"/>
          <w:lang w:eastAsia="bg-BG"/>
        </w:rPr>
      </w:pPr>
    </w:p>
    <w:p w14:paraId="191409E7" w14:textId="7E6A021D"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Наличните данни не са достатъчни, за да се изключат нежеланите лекарствени реакции при нероденото и новороденото дете. Поради това употребата при бременност е оправдана само след внимателна оценка на съотношението полза/риск и ако всички други варианти за лечение са противопоказани или са се оказали неефективни.</w:t>
      </w:r>
    </w:p>
    <w:p w14:paraId="46627BF9" w14:textId="77777777" w:rsidR="0024025B" w:rsidRPr="000302F5" w:rsidRDefault="0024025B" w:rsidP="0024025B">
      <w:pPr>
        <w:spacing w:line="240" w:lineRule="auto"/>
        <w:rPr>
          <w:rFonts w:eastAsia="Times New Roman" w:cs="Arial"/>
          <w:color w:val="000000"/>
          <w:lang w:eastAsia="bg-BG"/>
        </w:rPr>
      </w:pPr>
    </w:p>
    <w:p w14:paraId="30CC9C50" w14:textId="06780B9F"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 xml:space="preserve">Наблюдаван е остър белодробен оток, когато блокери на калциевите канали, между които и нифедипин, са използвани като токолитичен агент по време на бременност (вж. точка </w:t>
      </w:r>
      <w:r w:rsidRPr="0024025B">
        <w:rPr>
          <w:rFonts w:eastAsia="Times New Roman" w:cs="Arial"/>
          <w:color w:val="000000"/>
          <w:lang w:eastAsia="bg-BG"/>
        </w:rPr>
        <w:lastRenderedPageBreak/>
        <w:t>4.8), особено в случаите на многоплодна бременност (близнаци или повече), с интравенозна и/или съпътстваща употреба на β</w:t>
      </w:r>
      <w:r w:rsidRPr="0024025B">
        <w:rPr>
          <w:rFonts w:eastAsia="Times New Roman" w:cs="Arial"/>
          <w:color w:val="000000"/>
          <w:vertAlign w:val="subscript"/>
          <w:lang w:eastAsia="bg-BG"/>
        </w:rPr>
        <w:t>2</w:t>
      </w:r>
      <w:r w:rsidRPr="0024025B">
        <w:rPr>
          <w:rFonts w:eastAsia="Times New Roman" w:cs="Arial"/>
          <w:color w:val="000000"/>
          <w:lang w:eastAsia="bg-BG"/>
        </w:rPr>
        <w:t>-агонисти.</w:t>
      </w:r>
    </w:p>
    <w:p w14:paraId="2B1F50C0" w14:textId="77777777" w:rsidR="0024025B" w:rsidRPr="000302F5" w:rsidRDefault="0024025B" w:rsidP="0024025B">
      <w:pPr>
        <w:spacing w:line="240" w:lineRule="auto"/>
        <w:rPr>
          <w:rFonts w:eastAsia="Times New Roman" w:cs="Arial"/>
          <w:color w:val="000000"/>
          <w:u w:val="single"/>
          <w:lang w:eastAsia="bg-BG"/>
        </w:rPr>
      </w:pPr>
    </w:p>
    <w:p w14:paraId="34958826" w14:textId="4B3AD58D" w:rsidR="0024025B" w:rsidRPr="000302F5" w:rsidRDefault="0024025B" w:rsidP="000302F5">
      <w:pPr>
        <w:pStyle w:val="Heading3"/>
        <w:rPr>
          <w:rFonts w:eastAsia="Times New Roman"/>
          <w:u w:val="single"/>
          <w:lang w:eastAsia="bg-BG"/>
        </w:rPr>
      </w:pPr>
      <w:r w:rsidRPr="000302F5">
        <w:rPr>
          <w:rFonts w:eastAsia="Times New Roman"/>
          <w:u w:val="single"/>
          <w:lang w:eastAsia="bg-BG"/>
        </w:rPr>
        <w:t>Кърмене</w:t>
      </w:r>
    </w:p>
    <w:p w14:paraId="6794E089"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Нифедипин преминава в майчиното мляко. Концентрацията на нифедипин в кърмата е почти сравнима с концентрацията в серума на майката. При формите с незабавно освобождаване се препоръчва забавяне на кърменето или изцеждането на кърмата с 3 до 4 часа след приложението на лекарството, за да се намали експозицията на кърмачето на нифедипин (вж. точка 4.4).</w:t>
      </w:r>
    </w:p>
    <w:p w14:paraId="4CD32FF2" w14:textId="77777777" w:rsidR="0024025B" w:rsidRPr="000302F5" w:rsidRDefault="0024025B" w:rsidP="0024025B">
      <w:pPr>
        <w:spacing w:line="240" w:lineRule="auto"/>
        <w:rPr>
          <w:rFonts w:eastAsia="Times New Roman" w:cs="Arial"/>
          <w:color w:val="000000"/>
          <w:u w:val="single"/>
          <w:lang w:eastAsia="bg-BG"/>
        </w:rPr>
      </w:pPr>
    </w:p>
    <w:p w14:paraId="5576D397" w14:textId="6B699703" w:rsidR="0024025B" w:rsidRPr="000302F5" w:rsidRDefault="0024025B" w:rsidP="000302F5">
      <w:pPr>
        <w:pStyle w:val="Heading3"/>
        <w:rPr>
          <w:rFonts w:eastAsia="Times New Roman"/>
          <w:u w:val="single"/>
          <w:lang w:eastAsia="bg-BG"/>
        </w:rPr>
      </w:pPr>
      <w:r w:rsidRPr="000302F5">
        <w:rPr>
          <w:rFonts w:eastAsia="Times New Roman"/>
          <w:u w:val="single"/>
          <w:lang w:eastAsia="bg-BG"/>
        </w:rPr>
        <w:t>Фертилитет</w:t>
      </w:r>
    </w:p>
    <w:p w14:paraId="102F0D07" w14:textId="4AA0304E" w:rsidR="007A2185" w:rsidRPr="000302F5" w:rsidRDefault="0024025B" w:rsidP="0024025B">
      <w:pPr>
        <w:rPr>
          <w:rFonts w:cs="Arial"/>
        </w:rPr>
      </w:pPr>
      <w:r w:rsidRPr="000302F5">
        <w:rPr>
          <w:rFonts w:eastAsia="Times New Roman" w:cs="Arial"/>
          <w:color w:val="000000"/>
          <w:lang w:eastAsia="bg-BG"/>
        </w:rPr>
        <w:t xml:space="preserve">В единични случаи на </w:t>
      </w:r>
      <w:r w:rsidRPr="000302F5">
        <w:rPr>
          <w:rFonts w:eastAsia="Times New Roman" w:cs="Arial"/>
          <w:i/>
          <w:iCs/>
          <w:color w:val="000000"/>
          <w:lang w:val="en-US"/>
        </w:rPr>
        <w:t>in vitro</w:t>
      </w:r>
      <w:r w:rsidRPr="000302F5">
        <w:rPr>
          <w:rFonts w:eastAsia="Times New Roman" w:cs="Arial"/>
          <w:color w:val="000000"/>
          <w:lang w:val="en-US"/>
        </w:rPr>
        <w:t xml:space="preserve"> </w:t>
      </w:r>
      <w:r w:rsidRPr="000302F5">
        <w:rPr>
          <w:rFonts w:eastAsia="Times New Roman" w:cs="Arial"/>
          <w:color w:val="000000"/>
          <w:lang w:eastAsia="bg-BG"/>
        </w:rPr>
        <w:t xml:space="preserve">оплождане калциеви антагонисти, като нифедипин са свързани с обратими биохимични промени в областта на главата на сперматозоида, което може да доведе до нарушена функция на сперматозоидите. При мъже с неколкократни неуспешни опити да станат бащи чрез оплождане </w:t>
      </w:r>
      <w:r w:rsidRPr="000302F5">
        <w:rPr>
          <w:rFonts w:eastAsia="Times New Roman" w:cs="Arial"/>
          <w:i/>
          <w:iCs/>
          <w:color w:val="000000"/>
          <w:lang w:val="en-US"/>
        </w:rPr>
        <w:t>in vitro</w:t>
      </w:r>
      <w:r w:rsidRPr="000302F5">
        <w:rPr>
          <w:rFonts w:eastAsia="Times New Roman" w:cs="Arial"/>
          <w:color w:val="000000"/>
          <w:lang w:val="en-US"/>
        </w:rPr>
        <w:t xml:space="preserve"> </w:t>
      </w:r>
      <w:r w:rsidRPr="000302F5">
        <w:rPr>
          <w:rFonts w:eastAsia="Times New Roman" w:cs="Arial"/>
          <w:color w:val="000000"/>
          <w:lang w:eastAsia="bg-BG"/>
        </w:rPr>
        <w:t>и ако няма друго обяснение, като възможна причина за това могат да се приемат калциевите антагонисти като нифедипин.</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1C9ABB96" w14:textId="3A0DC377" w:rsidR="007A2185" w:rsidRPr="000302F5" w:rsidRDefault="0024025B" w:rsidP="0091385D">
      <w:pPr>
        <w:rPr>
          <w:rFonts w:cs="Arial"/>
        </w:rPr>
      </w:pPr>
      <w:r w:rsidRPr="000302F5">
        <w:rPr>
          <w:rFonts w:cs="Arial"/>
        </w:rPr>
        <w:t>Реакциите към това лекарство, които варират по интензитет при отделните пациенти, може да повлияят на способността за шофиране или работа с машини. Това се отнася особено за началото на лечението, при промяна на лечението, и при едновременната употреба с алкохол.</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04902E87"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 xml:space="preserve">Нежеланите лекарствени реакции (НЛР), основаващи се на плацебо-контролирани клинични проучвания с нифедипин, подредени според категориите за честота на </w:t>
      </w:r>
      <w:r w:rsidRPr="0024025B">
        <w:rPr>
          <w:rFonts w:eastAsia="Times New Roman" w:cs="Arial"/>
          <w:color w:val="000000"/>
          <w:lang w:val="en-US"/>
        </w:rPr>
        <w:t xml:space="preserve">CIOMS III </w:t>
      </w:r>
      <w:r w:rsidRPr="0024025B">
        <w:rPr>
          <w:rFonts w:eastAsia="Times New Roman" w:cs="Arial"/>
          <w:color w:val="000000"/>
          <w:lang w:eastAsia="bg-BG"/>
        </w:rPr>
        <w:t xml:space="preserve">(база данни от клинично проучване: нифедипин </w:t>
      </w:r>
      <w:r w:rsidRPr="0024025B">
        <w:rPr>
          <w:rFonts w:eastAsia="Times New Roman" w:cs="Arial"/>
          <w:color w:val="000000"/>
          <w:lang w:val="en-US"/>
        </w:rPr>
        <w:t>n</w:t>
      </w:r>
      <w:r w:rsidRPr="0024025B">
        <w:rPr>
          <w:rFonts w:eastAsia="Times New Roman" w:cs="Arial"/>
          <w:color w:val="000000"/>
          <w:lang w:eastAsia="bg-BG"/>
        </w:rPr>
        <w:t xml:space="preserve">=2661; плацебо </w:t>
      </w:r>
      <w:r w:rsidRPr="0024025B">
        <w:rPr>
          <w:rFonts w:eastAsia="Times New Roman" w:cs="Arial"/>
          <w:color w:val="000000"/>
          <w:lang w:val="en-US"/>
        </w:rPr>
        <w:t>n</w:t>
      </w:r>
      <w:r w:rsidRPr="0024025B">
        <w:rPr>
          <w:rFonts w:eastAsia="Times New Roman" w:cs="Arial"/>
          <w:color w:val="000000"/>
          <w:lang w:eastAsia="bg-BG"/>
        </w:rPr>
        <w:t xml:space="preserve">=1486; статус 22 февруари, 2006 г., и клиничното проучване </w:t>
      </w:r>
      <w:r w:rsidRPr="0024025B">
        <w:rPr>
          <w:rFonts w:eastAsia="Times New Roman" w:cs="Arial"/>
          <w:color w:val="000000"/>
          <w:lang w:val="en-US"/>
        </w:rPr>
        <w:t xml:space="preserve">ACTION: </w:t>
      </w:r>
      <w:r w:rsidRPr="0024025B">
        <w:rPr>
          <w:rFonts w:eastAsia="Times New Roman" w:cs="Arial"/>
          <w:color w:val="000000"/>
          <w:lang w:eastAsia="bg-BG"/>
        </w:rPr>
        <w:t xml:space="preserve">нифедипин </w:t>
      </w:r>
      <w:r w:rsidRPr="0024025B">
        <w:rPr>
          <w:rFonts w:eastAsia="Times New Roman" w:cs="Arial"/>
          <w:color w:val="000000"/>
          <w:lang w:val="en-US"/>
        </w:rPr>
        <w:t>n=</w:t>
      </w:r>
      <w:r w:rsidRPr="0024025B">
        <w:rPr>
          <w:rFonts w:eastAsia="Times New Roman" w:cs="Arial"/>
          <w:color w:val="000000"/>
          <w:lang w:eastAsia="bg-BG"/>
        </w:rPr>
        <w:t xml:space="preserve">3825; плацебо </w:t>
      </w:r>
      <w:r w:rsidRPr="0024025B">
        <w:rPr>
          <w:rFonts w:eastAsia="Times New Roman" w:cs="Arial"/>
          <w:color w:val="000000"/>
          <w:lang w:val="en-US"/>
        </w:rPr>
        <w:t>n</w:t>
      </w:r>
      <w:r w:rsidRPr="0024025B">
        <w:rPr>
          <w:rFonts w:eastAsia="Times New Roman" w:cs="Arial"/>
          <w:color w:val="000000"/>
          <w:lang w:eastAsia="bg-BG"/>
        </w:rPr>
        <w:t>=3840) са представени на таблицата по-долу:</w:t>
      </w:r>
    </w:p>
    <w:p w14:paraId="2A55AAD0"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НЛР, представени като „чести”, са наблюдавани с честота под 3%, с изключение на оток (9,9 %) и главоболие (3,9 %).</w:t>
      </w:r>
    </w:p>
    <w:p w14:paraId="1D57CD47" w14:textId="77777777" w:rsidR="0024025B" w:rsidRPr="000302F5" w:rsidRDefault="0024025B" w:rsidP="0024025B">
      <w:pPr>
        <w:spacing w:line="240" w:lineRule="auto"/>
        <w:rPr>
          <w:rFonts w:eastAsia="Times New Roman" w:cs="Arial"/>
          <w:color w:val="000000"/>
          <w:lang w:eastAsia="bg-BG"/>
        </w:rPr>
      </w:pPr>
    </w:p>
    <w:p w14:paraId="3386C920" w14:textId="7D0AAB3A"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Честотата на съобщаваните НЛР с нифедипин са обобщени в таблицата по-долу. 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3BC71614" w14:textId="77777777" w:rsidR="0024025B" w:rsidRPr="000302F5" w:rsidRDefault="0024025B" w:rsidP="0024025B">
      <w:pPr>
        <w:rPr>
          <w:rFonts w:eastAsia="Times New Roman" w:cs="Arial"/>
          <w:color w:val="000000"/>
          <w:lang w:eastAsia="bg-BG"/>
        </w:rPr>
      </w:pPr>
    </w:p>
    <w:p w14:paraId="0254AACC" w14:textId="5FA6DEBF" w:rsidR="007A2185" w:rsidRPr="000302F5" w:rsidRDefault="0024025B" w:rsidP="0024025B">
      <w:pPr>
        <w:rPr>
          <w:rFonts w:eastAsia="Times New Roman" w:cs="Arial"/>
          <w:color w:val="000000"/>
          <w:lang w:eastAsia="bg-BG"/>
        </w:rPr>
      </w:pPr>
      <w:r w:rsidRPr="000302F5">
        <w:rPr>
          <w:rFonts w:eastAsia="Times New Roman" w:cs="Arial"/>
          <w:color w:val="000000"/>
          <w:lang w:eastAsia="bg-BG"/>
        </w:rPr>
        <w:t>Реакциите са определени като: чести (&gt; 1/100 до &lt; 1/10), нечести (&gt; 1/1 000 до ≤ 1/100) и редки (&gt; 1/10 000 до ≤ 1/1 000). НЛР, определени само въз основа на продължаващото постмаркетингово наблюдение, и тези, чиято честота не може да бъде оценена, са представени „с неизвестна честота”.</w:t>
      </w:r>
    </w:p>
    <w:p w14:paraId="1FBC2B4B" w14:textId="10D590ED" w:rsidR="0024025B" w:rsidRDefault="0024025B" w:rsidP="0024025B">
      <w:pPr>
        <w:rPr>
          <w:rFonts w:ascii="Times New Roman" w:eastAsia="Times New Roman" w:hAnsi="Times New Roman" w:cs="Times New Roman"/>
          <w:color w:val="000000"/>
          <w:sz w:val="19"/>
          <w:szCs w:val="19"/>
          <w:lang w:eastAsia="bg-BG"/>
        </w:rPr>
      </w:pPr>
    </w:p>
    <w:tbl>
      <w:tblPr>
        <w:tblStyle w:val="TableGrid"/>
        <w:tblW w:w="0" w:type="auto"/>
        <w:tblLook w:val="04A0" w:firstRow="1" w:lastRow="0" w:firstColumn="1" w:lastColumn="0" w:noHBand="0" w:noVBand="1"/>
      </w:tblPr>
      <w:tblGrid>
        <w:gridCol w:w="2410"/>
        <w:gridCol w:w="1754"/>
        <w:gridCol w:w="1646"/>
        <w:gridCol w:w="1422"/>
        <w:gridCol w:w="2118"/>
      </w:tblGrid>
      <w:tr w:rsidR="000302F5" w14:paraId="676032D6" w14:textId="77777777" w:rsidTr="000302F5">
        <w:tc>
          <w:tcPr>
            <w:tcW w:w="2333" w:type="dxa"/>
          </w:tcPr>
          <w:p w14:paraId="300AB80F" w14:textId="6FC51D6B" w:rsidR="000302F5" w:rsidRPr="000302F5" w:rsidRDefault="000302F5" w:rsidP="000302F5">
            <w:pPr>
              <w:rPr>
                <w:rFonts w:cs="Arial"/>
              </w:rPr>
            </w:pPr>
            <w:r w:rsidRPr="000302F5">
              <w:rPr>
                <w:rFonts w:cs="Arial"/>
                <w:b/>
                <w:bCs/>
              </w:rPr>
              <w:t xml:space="preserve">Системо-органна класификация </w:t>
            </w:r>
            <w:r w:rsidRPr="000302F5">
              <w:rPr>
                <w:rFonts w:cs="Arial"/>
                <w:b/>
                <w:bCs/>
                <w:lang w:val="en-US"/>
              </w:rPr>
              <w:t>(</w:t>
            </w:r>
            <w:proofErr w:type="spellStart"/>
            <w:r w:rsidRPr="000302F5">
              <w:rPr>
                <w:rFonts w:cs="Arial"/>
                <w:b/>
                <w:bCs/>
                <w:lang w:val="en-US"/>
              </w:rPr>
              <w:t>MedDRA</w:t>
            </w:r>
            <w:proofErr w:type="spellEnd"/>
            <w:r w:rsidRPr="000302F5">
              <w:rPr>
                <w:rFonts w:cs="Arial"/>
                <w:b/>
                <w:bCs/>
                <w:lang w:val="en-US"/>
              </w:rPr>
              <w:t>)</w:t>
            </w:r>
          </w:p>
        </w:tc>
        <w:tc>
          <w:tcPr>
            <w:tcW w:w="1747" w:type="dxa"/>
          </w:tcPr>
          <w:p w14:paraId="2643F410" w14:textId="78068196" w:rsidR="000302F5" w:rsidRPr="000302F5" w:rsidRDefault="000302F5" w:rsidP="000302F5">
            <w:pPr>
              <w:rPr>
                <w:rFonts w:cs="Arial"/>
              </w:rPr>
            </w:pPr>
            <w:r w:rsidRPr="000302F5">
              <w:rPr>
                <w:rFonts w:cs="Arial"/>
                <w:b/>
                <w:bCs/>
              </w:rPr>
              <w:t>Чести</w:t>
            </w:r>
          </w:p>
        </w:tc>
        <w:tc>
          <w:tcPr>
            <w:tcW w:w="1683" w:type="dxa"/>
          </w:tcPr>
          <w:p w14:paraId="17F6D0C6" w14:textId="2CA6511A" w:rsidR="000302F5" w:rsidRPr="000302F5" w:rsidRDefault="000302F5" w:rsidP="000302F5">
            <w:pPr>
              <w:rPr>
                <w:rFonts w:cs="Arial"/>
              </w:rPr>
            </w:pPr>
            <w:r w:rsidRPr="000302F5">
              <w:rPr>
                <w:rFonts w:cs="Arial"/>
                <w:b/>
                <w:bCs/>
              </w:rPr>
              <w:t>Нечести</w:t>
            </w:r>
          </w:p>
        </w:tc>
        <w:tc>
          <w:tcPr>
            <w:tcW w:w="1536" w:type="dxa"/>
          </w:tcPr>
          <w:p w14:paraId="72B3EFED" w14:textId="038224CC" w:rsidR="000302F5" w:rsidRPr="000302F5" w:rsidRDefault="000302F5" w:rsidP="000302F5">
            <w:pPr>
              <w:rPr>
                <w:rFonts w:cs="Arial"/>
              </w:rPr>
            </w:pPr>
            <w:r w:rsidRPr="000302F5">
              <w:rPr>
                <w:rFonts w:cs="Arial"/>
                <w:b/>
                <w:bCs/>
              </w:rPr>
              <w:t>Редки</w:t>
            </w:r>
          </w:p>
        </w:tc>
        <w:tc>
          <w:tcPr>
            <w:tcW w:w="2051" w:type="dxa"/>
          </w:tcPr>
          <w:p w14:paraId="7C08598B" w14:textId="32CA4B20" w:rsidR="000302F5" w:rsidRPr="000302F5" w:rsidRDefault="000302F5" w:rsidP="000302F5">
            <w:pPr>
              <w:rPr>
                <w:rFonts w:cs="Arial"/>
              </w:rPr>
            </w:pPr>
            <w:r w:rsidRPr="000302F5">
              <w:rPr>
                <w:rFonts w:cs="Arial"/>
                <w:b/>
                <w:bCs/>
              </w:rPr>
              <w:t>С неизвестна честот</w:t>
            </w:r>
            <w:r w:rsidRPr="000302F5">
              <w:rPr>
                <w:rFonts w:cs="Arial"/>
                <w:b/>
                <w:bCs/>
                <w:lang w:val="en-US"/>
              </w:rPr>
              <w:t>a</w:t>
            </w:r>
          </w:p>
        </w:tc>
      </w:tr>
      <w:tr w:rsidR="000302F5" w14:paraId="2461607A" w14:textId="77777777" w:rsidTr="000302F5">
        <w:tc>
          <w:tcPr>
            <w:tcW w:w="2333" w:type="dxa"/>
            <w:vAlign w:val="bottom"/>
          </w:tcPr>
          <w:p w14:paraId="708B39FE" w14:textId="0C78652A" w:rsidR="000302F5" w:rsidRPr="000302F5" w:rsidRDefault="000302F5" w:rsidP="000302F5">
            <w:pPr>
              <w:rPr>
                <w:rFonts w:cs="Arial"/>
              </w:rPr>
            </w:pPr>
            <w:r w:rsidRPr="000302F5">
              <w:rPr>
                <w:rFonts w:cs="Arial"/>
                <w:b/>
                <w:bCs/>
              </w:rPr>
              <w:lastRenderedPageBreak/>
              <w:t>Нарушения на кръвта и лимфната система</w:t>
            </w:r>
          </w:p>
        </w:tc>
        <w:tc>
          <w:tcPr>
            <w:tcW w:w="1747" w:type="dxa"/>
          </w:tcPr>
          <w:p w14:paraId="283CC7F3" w14:textId="77777777" w:rsidR="000302F5" w:rsidRPr="000302F5" w:rsidRDefault="000302F5" w:rsidP="000302F5">
            <w:pPr>
              <w:rPr>
                <w:rFonts w:cs="Arial"/>
              </w:rPr>
            </w:pPr>
          </w:p>
        </w:tc>
        <w:tc>
          <w:tcPr>
            <w:tcW w:w="1683" w:type="dxa"/>
          </w:tcPr>
          <w:p w14:paraId="3ECF86BA" w14:textId="77777777" w:rsidR="000302F5" w:rsidRPr="000302F5" w:rsidRDefault="000302F5" w:rsidP="000302F5">
            <w:pPr>
              <w:rPr>
                <w:rFonts w:cs="Arial"/>
              </w:rPr>
            </w:pPr>
          </w:p>
        </w:tc>
        <w:tc>
          <w:tcPr>
            <w:tcW w:w="1536" w:type="dxa"/>
          </w:tcPr>
          <w:p w14:paraId="3A70520E" w14:textId="77777777" w:rsidR="000302F5" w:rsidRPr="000302F5" w:rsidRDefault="000302F5" w:rsidP="000302F5">
            <w:pPr>
              <w:rPr>
                <w:rFonts w:cs="Arial"/>
              </w:rPr>
            </w:pPr>
          </w:p>
        </w:tc>
        <w:tc>
          <w:tcPr>
            <w:tcW w:w="2051" w:type="dxa"/>
            <w:vAlign w:val="center"/>
          </w:tcPr>
          <w:p w14:paraId="0208BDAE" w14:textId="01CDC086" w:rsidR="000302F5" w:rsidRPr="000302F5" w:rsidRDefault="000302F5" w:rsidP="000302F5">
            <w:pPr>
              <w:rPr>
                <w:rFonts w:cs="Arial"/>
              </w:rPr>
            </w:pPr>
            <w:r w:rsidRPr="000302F5">
              <w:rPr>
                <w:rFonts w:cs="Arial"/>
              </w:rPr>
              <w:t>Агранулоцитоза Левкопения</w:t>
            </w:r>
          </w:p>
        </w:tc>
      </w:tr>
      <w:tr w:rsidR="000302F5" w14:paraId="03F3D75D" w14:textId="77777777" w:rsidTr="000302F5">
        <w:tc>
          <w:tcPr>
            <w:tcW w:w="2333" w:type="dxa"/>
            <w:vAlign w:val="center"/>
          </w:tcPr>
          <w:p w14:paraId="46BEFEDD" w14:textId="4D5F7400" w:rsidR="000302F5" w:rsidRPr="000302F5" w:rsidRDefault="000302F5" w:rsidP="000302F5">
            <w:pPr>
              <w:rPr>
                <w:rFonts w:cs="Arial"/>
              </w:rPr>
            </w:pPr>
            <w:r w:rsidRPr="000302F5">
              <w:rPr>
                <w:rFonts w:cs="Arial"/>
                <w:b/>
                <w:bCs/>
              </w:rPr>
              <w:t>Нарушения на имунната система</w:t>
            </w:r>
          </w:p>
        </w:tc>
        <w:tc>
          <w:tcPr>
            <w:tcW w:w="1747" w:type="dxa"/>
          </w:tcPr>
          <w:p w14:paraId="28444D43" w14:textId="77777777" w:rsidR="000302F5" w:rsidRPr="000302F5" w:rsidRDefault="000302F5" w:rsidP="000302F5">
            <w:pPr>
              <w:rPr>
                <w:rFonts w:cs="Arial"/>
              </w:rPr>
            </w:pPr>
          </w:p>
        </w:tc>
        <w:tc>
          <w:tcPr>
            <w:tcW w:w="1683" w:type="dxa"/>
            <w:vAlign w:val="bottom"/>
          </w:tcPr>
          <w:p w14:paraId="5F54C92C" w14:textId="61F1FAFE" w:rsidR="000302F5" w:rsidRPr="000302F5" w:rsidRDefault="000302F5" w:rsidP="000302F5">
            <w:pPr>
              <w:rPr>
                <w:rFonts w:cs="Arial"/>
              </w:rPr>
            </w:pPr>
            <w:r w:rsidRPr="000302F5">
              <w:rPr>
                <w:rFonts w:cs="Arial"/>
              </w:rPr>
              <w:t>Алергична реакция Алергичен оток/ангиоедем (вкл. оток на ларинкса*)</w:t>
            </w:r>
          </w:p>
        </w:tc>
        <w:tc>
          <w:tcPr>
            <w:tcW w:w="1536" w:type="dxa"/>
            <w:vAlign w:val="center"/>
          </w:tcPr>
          <w:p w14:paraId="52B681E9" w14:textId="1B36CEB2" w:rsidR="000302F5" w:rsidRPr="000302F5" w:rsidRDefault="000302F5" w:rsidP="000302F5">
            <w:pPr>
              <w:rPr>
                <w:rFonts w:cs="Arial"/>
              </w:rPr>
            </w:pPr>
            <w:r w:rsidRPr="000302F5">
              <w:rPr>
                <w:rFonts w:cs="Arial"/>
              </w:rPr>
              <w:t>Сърбеж Уртикария Обрив</w:t>
            </w:r>
          </w:p>
        </w:tc>
        <w:tc>
          <w:tcPr>
            <w:tcW w:w="2051" w:type="dxa"/>
            <w:vAlign w:val="center"/>
          </w:tcPr>
          <w:p w14:paraId="3EA2BB2F" w14:textId="20A45623" w:rsidR="000302F5" w:rsidRPr="000302F5" w:rsidRDefault="000302F5" w:rsidP="000302F5">
            <w:pPr>
              <w:rPr>
                <w:rFonts w:cs="Arial"/>
              </w:rPr>
            </w:pPr>
            <w:r w:rsidRPr="000302F5">
              <w:rPr>
                <w:rFonts w:cs="Arial"/>
              </w:rPr>
              <w:t>Анафилактична/ анафилактоидна реакция</w:t>
            </w:r>
          </w:p>
        </w:tc>
      </w:tr>
      <w:tr w:rsidR="000302F5" w14:paraId="35AA34FC" w14:textId="77777777" w:rsidTr="000302F5">
        <w:tc>
          <w:tcPr>
            <w:tcW w:w="2333" w:type="dxa"/>
            <w:vAlign w:val="center"/>
          </w:tcPr>
          <w:p w14:paraId="3C99C3BB" w14:textId="5B893D87" w:rsidR="000302F5" w:rsidRPr="000302F5" w:rsidRDefault="000302F5" w:rsidP="000302F5">
            <w:pPr>
              <w:rPr>
                <w:rFonts w:cs="Arial"/>
              </w:rPr>
            </w:pPr>
            <w:r w:rsidRPr="000302F5">
              <w:rPr>
                <w:rFonts w:cs="Arial"/>
                <w:b/>
                <w:bCs/>
              </w:rPr>
              <w:t>Психични нарушения</w:t>
            </w:r>
          </w:p>
        </w:tc>
        <w:tc>
          <w:tcPr>
            <w:tcW w:w="1747" w:type="dxa"/>
          </w:tcPr>
          <w:p w14:paraId="71F6B891" w14:textId="77777777" w:rsidR="000302F5" w:rsidRPr="000302F5" w:rsidRDefault="000302F5" w:rsidP="000302F5">
            <w:pPr>
              <w:rPr>
                <w:rFonts w:cs="Arial"/>
              </w:rPr>
            </w:pPr>
          </w:p>
        </w:tc>
        <w:tc>
          <w:tcPr>
            <w:tcW w:w="1683" w:type="dxa"/>
            <w:vAlign w:val="bottom"/>
          </w:tcPr>
          <w:p w14:paraId="21139880" w14:textId="3B0A4274" w:rsidR="000302F5" w:rsidRPr="000302F5" w:rsidRDefault="000302F5" w:rsidP="000302F5">
            <w:pPr>
              <w:rPr>
                <w:rFonts w:cs="Arial"/>
              </w:rPr>
            </w:pPr>
            <w:r w:rsidRPr="000302F5">
              <w:rPr>
                <w:rFonts w:cs="Arial"/>
              </w:rPr>
              <w:t>Реакции на тревожност Нарушения на съня</w:t>
            </w:r>
          </w:p>
        </w:tc>
        <w:tc>
          <w:tcPr>
            <w:tcW w:w="1536" w:type="dxa"/>
          </w:tcPr>
          <w:p w14:paraId="07CE29DD" w14:textId="77777777" w:rsidR="000302F5" w:rsidRPr="000302F5" w:rsidRDefault="000302F5" w:rsidP="000302F5">
            <w:pPr>
              <w:rPr>
                <w:rFonts w:cs="Arial"/>
              </w:rPr>
            </w:pPr>
          </w:p>
        </w:tc>
        <w:tc>
          <w:tcPr>
            <w:tcW w:w="2051" w:type="dxa"/>
          </w:tcPr>
          <w:p w14:paraId="0B28C214" w14:textId="77777777" w:rsidR="000302F5" w:rsidRPr="000302F5" w:rsidRDefault="000302F5" w:rsidP="000302F5">
            <w:pPr>
              <w:rPr>
                <w:rFonts w:cs="Arial"/>
              </w:rPr>
            </w:pPr>
          </w:p>
        </w:tc>
      </w:tr>
      <w:tr w:rsidR="000302F5" w14:paraId="376C57CB" w14:textId="77777777" w:rsidTr="000302F5">
        <w:tc>
          <w:tcPr>
            <w:tcW w:w="2333" w:type="dxa"/>
            <w:vAlign w:val="bottom"/>
          </w:tcPr>
          <w:p w14:paraId="5DBF7878" w14:textId="13A430E3" w:rsidR="000302F5" w:rsidRPr="000302F5" w:rsidRDefault="000302F5" w:rsidP="000302F5">
            <w:pPr>
              <w:rPr>
                <w:rFonts w:cs="Arial"/>
              </w:rPr>
            </w:pPr>
            <w:r w:rsidRPr="000302F5">
              <w:rPr>
                <w:rFonts w:cs="Arial"/>
                <w:b/>
                <w:bCs/>
              </w:rPr>
              <w:t>Нарушения на метаболизма и храненето</w:t>
            </w:r>
          </w:p>
        </w:tc>
        <w:tc>
          <w:tcPr>
            <w:tcW w:w="1747" w:type="dxa"/>
          </w:tcPr>
          <w:p w14:paraId="157D7408" w14:textId="77777777" w:rsidR="000302F5" w:rsidRPr="000302F5" w:rsidRDefault="000302F5" w:rsidP="000302F5">
            <w:pPr>
              <w:rPr>
                <w:rFonts w:cs="Arial"/>
              </w:rPr>
            </w:pPr>
          </w:p>
        </w:tc>
        <w:tc>
          <w:tcPr>
            <w:tcW w:w="1683" w:type="dxa"/>
          </w:tcPr>
          <w:p w14:paraId="08D9019E" w14:textId="77777777" w:rsidR="000302F5" w:rsidRPr="000302F5" w:rsidRDefault="000302F5" w:rsidP="000302F5">
            <w:pPr>
              <w:rPr>
                <w:rFonts w:cs="Arial"/>
              </w:rPr>
            </w:pPr>
          </w:p>
        </w:tc>
        <w:tc>
          <w:tcPr>
            <w:tcW w:w="1536" w:type="dxa"/>
          </w:tcPr>
          <w:p w14:paraId="081FD269" w14:textId="77777777" w:rsidR="000302F5" w:rsidRPr="000302F5" w:rsidRDefault="000302F5" w:rsidP="000302F5">
            <w:pPr>
              <w:rPr>
                <w:rFonts w:cs="Arial"/>
              </w:rPr>
            </w:pPr>
          </w:p>
        </w:tc>
        <w:tc>
          <w:tcPr>
            <w:tcW w:w="2051" w:type="dxa"/>
            <w:vAlign w:val="center"/>
          </w:tcPr>
          <w:p w14:paraId="47D7A89D" w14:textId="1CF438A7" w:rsidR="000302F5" w:rsidRPr="000302F5" w:rsidRDefault="000302F5" w:rsidP="000302F5">
            <w:pPr>
              <w:rPr>
                <w:rFonts w:cs="Arial"/>
              </w:rPr>
            </w:pPr>
            <w:r w:rsidRPr="000302F5">
              <w:rPr>
                <w:rFonts w:cs="Arial"/>
              </w:rPr>
              <w:t>Хипергликемия</w:t>
            </w:r>
          </w:p>
        </w:tc>
      </w:tr>
      <w:tr w:rsidR="000302F5" w14:paraId="088422E8" w14:textId="77777777" w:rsidTr="000302F5">
        <w:tc>
          <w:tcPr>
            <w:tcW w:w="2333" w:type="dxa"/>
            <w:vAlign w:val="center"/>
          </w:tcPr>
          <w:p w14:paraId="5270C888" w14:textId="602E1D62" w:rsidR="000302F5" w:rsidRPr="000302F5" w:rsidRDefault="000302F5" w:rsidP="000302F5">
            <w:pPr>
              <w:rPr>
                <w:rFonts w:cs="Arial"/>
              </w:rPr>
            </w:pPr>
            <w:r w:rsidRPr="000302F5">
              <w:rPr>
                <w:rFonts w:cs="Arial"/>
                <w:b/>
                <w:bCs/>
              </w:rPr>
              <w:t>Нарушения на нервната система</w:t>
            </w:r>
          </w:p>
        </w:tc>
        <w:tc>
          <w:tcPr>
            <w:tcW w:w="1747" w:type="dxa"/>
            <w:vAlign w:val="center"/>
          </w:tcPr>
          <w:p w14:paraId="4BC9F5AD" w14:textId="642A13B6" w:rsidR="000302F5" w:rsidRPr="000302F5" w:rsidRDefault="000302F5" w:rsidP="000302F5">
            <w:pPr>
              <w:rPr>
                <w:rFonts w:cs="Arial"/>
              </w:rPr>
            </w:pPr>
            <w:r w:rsidRPr="000302F5">
              <w:rPr>
                <w:rFonts w:cs="Arial"/>
              </w:rPr>
              <w:t>Главоболие</w:t>
            </w:r>
          </w:p>
        </w:tc>
        <w:tc>
          <w:tcPr>
            <w:tcW w:w="1683" w:type="dxa"/>
            <w:vAlign w:val="bottom"/>
          </w:tcPr>
          <w:p w14:paraId="1DE2D9BF" w14:textId="3D432886" w:rsidR="000302F5" w:rsidRPr="000302F5" w:rsidRDefault="000302F5" w:rsidP="000302F5">
            <w:pPr>
              <w:rPr>
                <w:rFonts w:cs="Arial"/>
              </w:rPr>
            </w:pPr>
            <w:r w:rsidRPr="000302F5">
              <w:rPr>
                <w:rFonts w:cs="Arial"/>
              </w:rPr>
              <w:t>Световъртеж Мигрена Замаяност Тремор</w:t>
            </w:r>
          </w:p>
        </w:tc>
        <w:tc>
          <w:tcPr>
            <w:tcW w:w="1536" w:type="dxa"/>
            <w:vAlign w:val="center"/>
          </w:tcPr>
          <w:p w14:paraId="22C83D72" w14:textId="54767CBD" w:rsidR="000302F5" w:rsidRPr="000302F5" w:rsidRDefault="000302F5" w:rsidP="000302F5">
            <w:pPr>
              <w:rPr>
                <w:rFonts w:cs="Arial"/>
              </w:rPr>
            </w:pPr>
            <w:r w:rsidRPr="000302F5">
              <w:rPr>
                <w:rFonts w:cs="Arial"/>
              </w:rPr>
              <w:t>Парестезия/ дизестезия</w:t>
            </w:r>
          </w:p>
        </w:tc>
        <w:tc>
          <w:tcPr>
            <w:tcW w:w="2051" w:type="dxa"/>
            <w:vAlign w:val="center"/>
          </w:tcPr>
          <w:p w14:paraId="76E9F5B5" w14:textId="609C3341" w:rsidR="000302F5" w:rsidRPr="000302F5" w:rsidRDefault="000302F5" w:rsidP="000302F5">
            <w:pPr>
              <w:rPr>
                <w:rFonts w:cs="Arial"/>
              </w:rPr>
            </w:pPr>
            <w:r w:rsidRPr="000302F5">
              <w:rPr>
                <w:rFonts w:cs="Arial"/>
              </w:rPr>
              <w:t>Хипоестезия Сънливост</w:t>
            </w:r>
          </w:p>
        </w:tc>
      </w:tr>
      <w:tr w:rsidR="000302F5" w14:paraId="7F4C172A" w14:textId="77777777" w:rsidTr="000302F5">
        <w:tc>
          <w:tcPr>
            <w:tcW w:w="2333" w:type="dxa"/>
            <w:vAlign w:val="center"/>
          </w:tcPr>
          <w:p w14:paraId="503BE563" w14:textId="63672139" w:rsidR="000302F5" w:rsidRPr="000302F5" w:rsidRDefault="000302F5" w:rsidP="000302F5">
            <w:pPr>
              <w:rPr>
                <w:rFonts w:cs="Arial"/>
              </w:rPr>
            </w:pPr>
            <w:r w:rsidRPr="000302F5">
              <w:rPr>
                <w:rFonts w:cs="Arial"/>
                <w:b/>
                <w:bCs/>
              </w:rPr>
              <w:t>Нарушения на очите</w:t>
            </w:r>
          </w:p>
        </w:tc>
        <w:tc>
          <w:tcPr>
            <w:tcW w:w="1747" w:type="dxa"/>
          </w:tcPr>
          <w:p w14:paraId="24DBEF44" w14:textId="77777777" w:rsidR="000302F5" w:rsidRPr="000302F5" w:rsidRDefault="000302F5" w:rsidP="000302F5">
            <w:pPr>
              <w:rPr>
                <w:rFonts w:cs="Arial"/>
              </w:rPr>
            </w:pPr>
          </w:p>
        </w:tc>
        <w:tc>
          <w:tcPr>
            <w:tcW w:w="1683" w:type="dxa"/>
            <w:vAlign w:val="bottom"/>
          </w:tcPr>
          <w:p w14:paraId="2476D78D" w14:textId="06727508" w:rsidR="000302F5" w:rsidRPr="000302F5" w:rsidRDefault="000302F5" w:rsidP="000302F5">
            <w:pPr>
              <w:rPr>
                <w:rFonts w:cs="Arial"/>
              </w:rPr>
            </w:pPr>
            <w:r w:rsidRPr="000302F5">
              <w:rPr>
                <w:rFonts w:cs="Arial"/>
              </w:rPr>
              <w:t>Зрителни нарушения</w:t>
            </w:r>
          </w:p>
        </w:tc>
        <w:tc>
          <w:tcPr>
            <w:tcW w:w="1536" w:type="dxa"/>
          </w:tcPr>
          <w:p w14:paraId="7E37F983" w14:textId="77777777" w:rsidR="000302F5" w:rsidRPr="000302F5" w:rsidRDefault="000302F5" w:rsidP="000302F5">
            <w:pPr>
              <w:rPr>
                <w:rFonts w:cs="Arial"/>
              </w:rPr>
            </w:pPr>
          </w:p>
        </w:tc>
        <w:tc>
          <w:tcPr>
            <w:tcW w:w="2051" w:type="dxa"/>
            <w:vAlign w:val="center"/>
          </w:tcPr>
          <w:p w14:paraId="446C06C2" w14:textId="700067E7" w:rsidR="000302F5" w:rsidRPr="000302F5" w:rsidRDefault="000302F5" w:rsidP="000302F5">
            <w:pPr>
              <w:rPr>
                <w:rFonts w:cs="Arial"/>
              </w:rPr>
            </w:pPr>
            <w:r w:rsidRPr="000302F5">
              <w:rPr>
                <w:rFonts w:cs="Arial"/>
              </w:rPr>
              <w:t>Болка в окото</w:t>
            </w:r>
          </w:p>
        </w:tc>
      </w:tr>
      <w:tr w:rsidR="000302F5" w14:paraId="7650E3AA" w14:textId="77777777" w:rsidTr="000302F5">
        <w:tc>
          <w:tcPr>
            <w:tcW w:w="2333" w:type="dxa"/>
            <w:vAlign w:val="bottom"/>
          </w:tcPr>
          <w:p w14:paraId="2521AC88" w14:textId="395E91D7" w:rsidR="000302F5" w:rsidRPr="000302F5" w:rsidRDefault="000302F5" w:rsidP="000302F5">
            <w:pPr>
              <w:rPr>
                <w:rFonts w:cs="Arial"/>
              </w:rPr>
            </w:pPr>
            <w:r w:rsidRPr="000302F5">
              <w:rPr>
                <w:rFonts w:cs="Arial"/>
                <w:b/>
                <w:bCs/>
              </w:rPr>
              <w:t>Сърдечни нарушения</w:t>
            </w:r>
          </w:p>
        </w:tc>
        <w:tc>
          <w:tcPr>
            <w:tcW w:w="1747" w:type="dxa"/>
          </w:tcPr>
          <w:p w14:paraId="17E4A411" w14:textId="77777777" w:rsidR="000302F5" w:rsidRPr="000302F5" w:rsidRDefault="000302F5" w:rsidP="000302F5">
            <w:pPr>
              <w:rPr>
                <w:rFonts w:cs="Arial"/>
              </w:rPr>
            </w:pPr>
          </w:p>
        </w:tc>
        <w:tc>
          <w:tcPr>
            <w:tcW w:w="1683" w:type="dxa"/>
            <w:vAlign w:val="bottom"/>
          </w:tcPr>
          <w:p w14:paraId="7C0DC709" w14:textId="77777777" w:rsidR="000302F5" w:rsidRPr="000302F5" w:rsidRDefault="000302F5" w:rsidP="000302F5">
            <w:pPr>
              <w:rPr>
                <w:rFonts w:cs="Arial"/>
              </w:rPr>
            </w:pPr>
            <w:r w:rsidRPr="000302F5">
              <w:rPr>
                <w:rFonts w:cs="Arial"/>
              </w:rPr>
              <w:t>Тахикардия</w:t>
            </w:r>
          </w:p>
          <w:p w14:paraId="3976DEAB" w14:textId="37998D9F" w:rsidR="000302F5" w:rsidRPr="000302F5" w:rsidRDefault="000302F5" w:rsidP="000302F5">
            <w:pPr>
              <w:rPr>
                <w:rFonts w:cs="Arial"/>
              </w:rPr>
            </w:pPr>
            <w:r w:rsidRPr="000302F5">
              <w:rPr>
                <w:rFonts w:cs="Arial"/>
              </w:rPr>
              <w:t>Сърцебиене</w:t>
            </w:r>
          </w:p>
        </w:tc>
        <w:tc>
          <w:tcPr>
            <w:tcW w:w="1536" w:type="dxa"/>
          </w:tcPr>
          <w:p w14:paraId="20490C55" w14:textId="77777777" w:rsidR="000302F5" w:rsidRPr="000302F5" w:rsidRDefault="000302F5" w:rsidP="000302F5">
            <w:pPr>
              <w:rPr>
                <w:rFonts w:cs="Arial"/>
              </w:rPr>
            </w:pPr>
          </w:p>
        </w:tc>
        <w:tc>
          <w:tcPr>
            <w:tcW w:w="2051" w:type="dxa"/>
            <w:vAlign w:val="bottom"/>
          </w:tcPr>
          <w:p w14:paraId="2D6AD3ED" w14:textId="18DACF3A" w:rsidR="000302F5" w:rsidRPr="000302F5" w:rsidRDefault="000302F5" w:rsidP="000302F5">
            <w:pPr>
              <w:rPr>
                <w:rFonts w:cs="Arial"/>
              </w:rPr>
            </w:pPr>
            <w:r w:rsidRPr="000302F5">
              <w:rPr>
                <w:rFonts w:cs="Arial"/>
              </w:rPr>
              <w:t>Болка в гърдите (стенокардия)</w:t>
            </w:r>
          </w:p>
        </w:tc>
      </w:tr>
      <w:tr w:rsidR="000302F5" w14:paraId="73B3EDD7" w14:textId="77777777" w:rsidTr="000302F5">
        <w:tc>
          <w:tcPr>
            <w:tcW w:w="2333" w:type="dxa"/>
            <w:vAlign w:val="center"/>
          </w:tcPr>
          <w:p w14:paraId="183AF648" w14:textId="1D4C9BF8" w:rsidR="000302F5" w:rsidRPr="000302F5" w:rsidRDefault="000302F5" w:rsidP="000302F5">
            <w:pPr>
              <w:rPr>
                <w:rFonts w:cs="Arial"/>
              </w:rPr>
            </w:pPr>
            <w:r w:rsidRPr="000302F5">
              <w:rPr>
                <w:rFonts w:cs="Arial"/>
                <w:b/>
                <w:bCs/>
              </w:rPr>
              <w:t>Съдови нарушения</w:t>
            </w:r>
          </w:p>
        </w:tc>
        <w:tc>
          <w:tcPr>
            <w:tcW w:w="1747" w:type="dxa"/>
            <w:vAlign w:val="bottom"/>
          </w:tcPr>
          <w:p w14:paraId="2906F602" w14:textId="1F083FE7" w:rsidR="000302F5" w:rsidRPr="000302F5" w:rsidRDefault="000302F5" w:rsidP="000302F5">
            <w:pPr>
              <w:rPr>
                <w:rFonts w:cs="Arial"/>
              </w:rPr>
            </w:pPr>
            <w:r w:rsidRPr="000302F5">
              <w:rPr>
                <w:rFonts w:cs="Arial"/>
              </w:rPr>
              <w:t>Оток (вкл, периферен оток) Вазодилатация</w:t>
            </w:r>
          </w:p>
        </w:tc>
        <w:tc>
          <w:tcPr>
            <w:tcW w:w="1683" w:type="dxa"/>
            <w:vAlign w:val="center"/>
          </w:tcPr>
          <w:p w14:paraId="0B187A01" w14:textId="1A884D59" w:rsidR="000302F5" w:rsidRPr="000302F5" w:rsidRDefault="000302F5" w:rsidP="000302F5">
            <w:pPr>
              <w:rPr>
                <w:rFonts w:cs="Arial"/>
              </w:rPr>
            </w:pPr>
            <w:r w:rsidRPr="000302F5">
              <w:rPr>
                <w:rFonts w:cs="Arial"/>
              </w:rPr>
              <w:t>Хипотония Синкоп</w:t>
            </w:r>
          </w:p>
        </w:tc>
        <w:tc>
          <w:tcPr>
            <w:tcW w:w="1536" w:type="dxa"/>
          </w:tcPr>
          <w:p w14:paraId="450D3295" w14:textId="77777777" w:rsidR="000302F5" w:rsidRPr="000302F5" w:rsidRDefault="000302F5" w:rsidP="000302F5">
            <w:pPr>
              <w:rPr>
                <w:rFonts w:cs="Arial"/>
              </w:rPr>
            </w:pPr>
          </w:p>
        </w:tc>
        <w:tc>
          <w:tcPr>
            <w:tcW w:w="2051" w:type="dxa"/>
          </w:tcPr>
          <w:p w14:paraId="265A5D24" w14:textId="77777777" w:rsidR="000302F5" w:rsidRPr="000302F5" w:rsidRDefault="000302F5" w:rsidP="000302F5">
            <w:pPr>
              <w:rPr>
                <w:rFonts w:cs="Arial"/>
              </w:rPr>
            </w:pPr>
          </w:p>
        </w:tc>
      </w:tr>
      <w:tr w:rsidR="000302F5" w14:paraId="5CFA372E" w14:textId="77777777" w:rsidTr="000302F5">
        <w:tc>
          <w:tcPr>
            <w:tcW w:w="2333" w:type="dxa"/>
            <w:vAlign w:val="bottom"/>
          </w:tcPr>
          <w:p w14:paraId="58B8410C" w14:textId="7A0C0D4B" w:rsidR="000302F5" w:rsidRPr="000302F5" w:rsidRDefault="000302F5" w:rsidP="000302F5">
            <w:pPr>
              <w:rPr>
                <w:rFonts w:cs="Arial"/>
              </w:rPr>
            </w:pPr>
            <w:r w:rsidRPr="000302F5">
              <w:rPr>
                <w:rFonts w:cs="Arial"/>
                <w:b/>
                <w:bCs/>
              </w:rPr>
              <w:t>Респираторни, гръдни и медиастинални нарушения</w:t>
            </w:r>
          </w:p>
        </w:tc>
        <w:tc>
          <w:tcPr>
            <w:tcW w:w="1747" w:type="dxa"/>
          </w:tcPr>
          <w:p w14:paraId="2FA45196" w14:textId="77777777" w:rsidR="000302F5" w:rsidRPr="000302F5" w:rsidRDefault="000302F5" w:rsidP="000302F5">
            <w:pPr>
              <w:rPr>
                <w:rFonts w:cs="Arial"/>
              </w:rPr>
            </w:pPr>
          </w:p>
        </w:tc>
        <w:tc>
          <w:tcPr>
            <w:tcW w:w="1683" w:type="dxa"/>
            <w:vAlign w:val="bottom"/>
          </w:tcPr>
          <w:p w14:paraId="4DDAB45E" w14:textId="3B66FEC4" w:rsidR="000302F5" w:rsidRPr="000302F5" w:rsidRDefault="000302F5" w:rsidP="000302F5">
            <w:pPr>
              <w:rPr>
                <w:rFonts w:cs="Arial"/>
              </w:rPr>
            </w:pPr>
            <w:r w:rsidRPr="000302F5">
              <w:rPr>
                <w:rFonts w:cs="Arial"/>
              </w:rPr>
              <w:t>Кръвотечение от носа Назална конгестия</w:t>
            </w:r>
          </w:p>
        </w:tc>
        <w:tc>
          <w:tcPr>
            <w:tcW w:w="1536" w:type="dxa"/>
          </w:tcPr>
          <w:p w14:paraId="5A4661EC" w14:textId="77777777" w:rsidR="000302F5" w:rsidRPr="000302F5" w:rsidRDefault="000302F5" w:rsidP="000302F5">
            <w:pPr>
              <w:rPr>
                <w:rFonts w:cs="Arial"/>
              </w:rPr>
            </w:pPr>
          </w:p>
        </w:tc>
        <w:tc>
          <w:tcPr>
            <w:tcW w:w="2051" w:type="dxa"/>
            <w:vAlign w:val="center"/>
          </w:tcPr>
          <w:p w14:paraId="79487D3E" w14:textId="77777777" w:rsidR="000302F5" w:rsidRPr="000302F5" w:rsidRDefault="000302F5" w:rsidP="000302F5">
            <w:pPr>
              <w:rPr>
                <w:rFonts w:cs="Arial"/>
              </w:rPr>
            </w:pPr>
            <w:r w:rsidRPr="000302F5">
              <w:rPr>
                <w:rFonts w:cs="Arial"/>
              </w:rPr>
              <w:t>Задух</w:t>
            </w:r>
          </w:p>
          <w:p w14:paraId="59278A87" w14:textId="6CF99DC5" w:rsidR="000302F5" w:rsidRPr="000302F5" w:rsidRDefault="000302F5" w:rsidP="000302F5">
            <w:pPr>
              <w:rPr>
                <w:rFonts w:cs="Arial"/>
              </w:rPr>
            </w:pPr>
            <w:r w:rsidRPr="000302F5">
              <w:rPr>
                <w:rFonts w:cs="Arial"/>
              </w:rPr>
              <w:t>Белодробен оток**</w:t>
            </w:r>
          </w:p>
        </w:tc>
      </w:tr>
      <w:tr w:rsidR="000302F5" w14:paraId="149704F0" w14:textId="77777777" w:rsidTr="000302F5">
        <w:tc>
          <w:tcPr>
            <w:tcW w:w="2333" w:type="dxa"/>
            <w:vAlign w:val="center"/>
          </w:tcPr>
          <w:p w14:paraId="0623CD43" w14:textId="3F267E49" w:rsidR="000302F5" w:rsidRPr="000302F5" w:rsidRDefault="000302F5" w:rsidP="000302F5">
            <w:pPr>
              <w:rPr>
                <w:rFonts w:cs="Arial"/>
              </w:rPr>
            </w:pPr>
            <w:r w:rsidRPr="000302F5">
              <w:rPr>
                <w:rFonts w:cs="Arial"/>
                <w:b/>
                <w:bCs/>
              </w:rPr>
              <w:t>Стомашно-чревни нарушения</w:t>
            </w:r>
          </w:p>
        </w:tc>
        <w:tc>
          <w:tcPr>
            <w:tcW w:w="1747" w:type="dxa"/>
            <w:vAlign w:val="center"/>
          </w:tcPr>
          <w:p w14:paraId="268625E2" w14:textId="42C789C4" w:rsidR="000302F5" w:rsidRPr="000302F5" w:rsidRDefault="000302F5" w:rsidP="000302F5">
            <w:pPr>
              <w:rPr>
                <w:rFonts w:cs="Arial"/>
              </w:rPr>
            </w:pPr>
            <w:r w:rsidRPr="000302F5">
              <w:rPr>
                <w:rFonts w:cs="Arial"/>
              </w:rPr>
              <w:t>Запек</w:t>
            </w:r>
          </w:p>
        </w:tc>
        <w:tc>
          <w:tcPr>
            <w:tcW w:w="1683" w:type="dxa"/>
            <w:vAlign w:val="bottom"/>
          </w:tcPr>
          <w:p w14:paraId="03681ED4" w14:textId="7BFCF679" w:rsidR="000302F5" w:rsidRPr="000302F5" w:rsidRDefault="000302F5" w:rsidP="000302F5">
            <w:pPr>
              <w:rPr>
                <w:rFonts w:cs="Arial"/>
              </w:rPr>
            </w:pPr>
            <w:r w:rsidRPr="000302F5">
              <w:rPr>
                <w:rFonts w:cs="Arial"/>
              </w:rPr>
              <w:t>Стомашно- чревна и коремна болка Гадене Диспепсия Метеоризъм Сухота в устата</w:t>
            </w:r>
          </w:p>
        </w:tc>
        <w:tc>
          <w:tcPr>
            <w:tcW w:w="1536" w:type="dxa"/>
            <w:vAlign w:val="center"/>
          </w:tcPr>
          <w:p w14:paraId="4C7368AE" w14:textId="32886ABB" w:rsidR="000302F5" w:rsidRPr="000302F5" w:rsidRDefault="000302F5" w:rsidP="000302F5">
            <w:pPr>
              <w:rPr>
                <w:rFonts w:cs="Arial"/>
              </w:rPr>
            </w:pPr>
            <w:r w:rsidRPr="000302F5">
              <w:rPr>
                <w:rFonts w:cs="Arial"/>
              </w:rPr>
              <w:t>Хиперплазия на венците</w:t>
            </w:r>
          </w:p>
        </w:tc>
        <w:tc>
          <w:tcPr>
            <w:tcW w:w="2051" w:type="dxa"/>
            <w:vAlign w:val="bottom"/>
          </w:tcPr>
          <w:p w14:paraId="36735BA1" w14:textId="77777777" w:rsidR="000302F5" w:rsidRPr="000302F5" w:rsidRDefault="000302F5" w:rsidP="000302F5">
            <w:pPr>
              <w:rPr>
                <w:rFonts w:cs="Arial"/>
              </w:rPr>
            </w:pPr>
            <w:r w:rsidRPr="000302F5">
              <w:rPr>
                <w:rFonts w:cs="Arial"/>
              </w:rPr>
              <w:t>Безоар</w:t>
            </w:r>
          </w:p>
          <w:p w14:paraId="028F0536" w14:textId="77777777" w:rsidR="000302F5" w:rsidRPr="000302F5" w:rsidRDefault="000302F5" w:rsidP="000302F5">
            <w:pPr>
              <w:rPr>
                <w:rFonts w:cs="Arial"/>
              </w:rPr>
            </w:pPr>
            <w:r w:rsidRPr="000302F5">
              <w:rPr>
                <w:rFonts w:cs="Arial"/>
              </w:rPr>
              <w:t>Дисфагия</w:t>
            </w:r>
          </w:p>
          <w:p w14:paraId="0283C7DC" w14:textId="43C7944D" w:rsidR="000302F5" w:rsidRPr="000302F5" w:rsidRDefault="000302F5" w:rsidP="000302F5">
            <w:pPr>
              <w:rPr>
                <w:rFonts w:cs="Arial"/>
              </w:rPr>
            </w:pPr>
            <w:r w:rsidRPr="000302F5">
              <w:rPr>
                <w:rFonts w:cs="Arial"/>
              </w:rPr>
              <w:t>Чревна обструкция Язва на червата Повръщане Недостатъчност на гастроезофагеалния сфинктер</w:t>
            </w:r>
          </w:p>
        </w:tc>
      </w:tr>
      <w:tr w:rsidR="000302F5" w14:paraId="427325BA" w14:textId="77777777" w:rsidTr="000302F5">
        <w:tc>
          <w:tcPr>
            <w:tcW w:w="2333" w:type="dxa"/>
            <w:vAlign w:val="center"/>
          </w:tcPr>
          <w:p w14:paraId="00A51FA5" w14:textId="5A9123D7" w:rsidR="000302F5" w:rsidRPr="000302F5" w:rsidRDefault="000302F5" w:rsidP="000302F5">
            <w:pPr>
              <w:rPr>
                <w:rFonts w:cs="Arial"/>
              </w:rPr>
            </w:pPr>
            <w:r w:rsidRPr="000302F5">
              <w:rPr>
                <w:rFonts w:cs="Arial"/>
                <w:b/>
                <w:bCs/>
              </w:rPr>
              <w:t>Хепатобилиарни нарушения</w:t>
            </w:r>
          </w:p>
        </w:tc>
        <w:tc>
          <w:tcPr>
            <w:tcW w:w="1747" w:type="dxa"/>
          </w:tcPr>
          <w:p w14:paraId="59BBA6C0" w14:textId="77777777" w:rsidR="000302F5" w:rsidRPr="000302F5" w:rsidRDefault="000302F5" w:rsidP="000302F5">
            <w:pPr>
              <w:rPr>
                <w:rFonts w:cs="Arial"/>
              </w:rPr>
            </w:pPr>
          </w:p>
        </w:tc>
        <w:tc>
          <w:tcPr>
            <w:tcW w:w="1683" w:type="dxa"/>
            <w:vAlign w:val="bottom"/>
          </w:tcPr>
          <w:p w14:paraId="0EF8FB3B" w14:textId="0D18E618" w:rsidR="000302F5" w:rsidRPr="000302F5" w:rsidRDefault="000302F5" w:rsidP="000302F5">
            <w:pPr>
              <w:rPr>
                <w:rFonts w:cs="Arial"/>
              </w:rPr>
            </w:pPr>
            <w:r w:rsidRPr="000302F5">
              <w:rPr>
                <w:rFonts w:cs="Arial"/>
              </w:rPr>
              <w:t xml:space="preserve">Преходно повишаване на </w:t>
            </w:r>
            <w:r w:rsidRPr="000302F5">
              <w:rPr>
                <w:rFonts w:cs="Arial"/>
              </w:rPr>
              <w:lastRenderedPageBreak/>
              <w:t>чернодробни ензими</w:t>
            </w:r>
          </w:p>
        </w:tc>
        <w:tc>
          <w:tcPr>
            <w:tcW w:w="1536" w:type="dxa"/>
          </w:tcPr>
          <w:p w14:paraId="00CABF75" w14:textId="77777777" w:rsidR="000302F5" w:rsidRPr="000302F5" w:rsidRDefault="000302F5" w:rsidP="000302F5">
            <w:pPr>
              <w:rPr>
                <w:rFonts w:cs="Arial"/>
              </w:rPr>
            </w:pPr>
          </w:p>
        </w:tc>
        <w:tc>
          <w:tcPr>
            <w:tcW w:w="2051" w:type="dxa"/>
            <w:vAlign w:val="center"/>
          </w:tcPr>
          <w:p w14:paraId="7D1FA7BE" w14:textId="0F3FEB48" w:rsidR="000302F5" w:rsidRPr="000302F5" w:rsidRDefault="000302F5" w:rsidP="000302F5">
            <w:pPr>
              <w:rPr>
                <w:rFonts w:cs="Arial"/>
              </w:rPr>
            </w:pPr>
            <w:r w:rsidRPr="000302F5">
              <w:rPr>
                <w:rFonts w:cs="Arial"/>
              </w:rPr>
              <w:t>Жълтеница</w:t>
            </w:r>
          </w:p>
        </w:tc>
      </w:tr>
      <w:tr w:rsidR="000302F5" w14:paraId="342C3780" w14:textId="77777777" w:rsidTr="000302F5">
        <w:tc>
          <w:tcPr>
            <w:tcW w:w="2333" w:type="dxa"/>
            <w:vAlign w:val="center"/>
          </w:tcPr>
          <w:p w14:paraId="567B1FC5" w14:textId="2231E45A" w:rsidR="000302F5" w:rsidRPr="000302F5" w:rsidRDefault="000302F5" w:rsidP="000302F5">
            <w:pPr>
              <w:rPr>
                <w:rFonts w:cs="Arial"/>
              </w:rPr>
            </w:pPr>
            <w:r w:rsidRPr="000302F5">
              <w:rPr>
                <w:rFonts w:cs="Arial"/>
                <w:b/>
                <w:bCs/>
              </w:rPr>
              <w:t>Нарушения на кожата и подкожната тъкан</w:t>
            </w:r>
          </w:p>
        </w:tc>
        <w:tc>
          <w:tcPr>
            <w:tcW w:w="1747" w:type="dxa"/>
          </w:tcPr>
          <w:p w14:paraId="4C7EA22E" w14:textId="77777777" w:rsidR="000302F5" w:rsidRPr="000302F5" w:rsidRDefault="000302F5" w:rsidP="000302F5">
            <w:pPr>
              <w:rPr>
                <w:rFonts w:cs="Arial"/>
              </w:rPr>
            </w:pPr>
          </w:p>
        </w:tc>
        <w:tc>
          <w:tcPr>
            <w:tcW w:w="1683" w:type="dxa"/>
            <w:vAlign w:val="center"/>
          </w:tcPr>
          <w:p w14:paraId="3120A1D8" w14:textId="6F121733" w:rsidR="000302F5" w:rsidRPr="000302F5" w:rsidRDefault="000302F5" w:rsidP="000302F5">
            <w:pPr>
              <w:rPr>
                <w:rFonts w:cs="Arial"/>
              </w:rPr>
            </w:pPr>
            <w:r w:rsidRPr="000302F5">
              <w:rPr>
                <w:rFonts w:cs="Arial"/>
              </w:rPr>
              <w:t>Еритем</w:t>
            </w:r>
          </w:p>
        </w:tc>
        <w:tc>
          <w:tcPr>
            <w:tcW w:w="1536" w:type="dxa"/>
          </w:tcPr>
          <w:p w14:paraId="4BED9ADC" w14:textId="77777777" w:rsidR="000302F5" w:rsidRPr="000302F5" w:rsidRDefault="000302F5" w:rsidP="000302F5">
            <w:pPr>
              <w:rPr>
                <w:rFonts w:cs="Arial"/>
              </w:rPr>
            </w:pPr>
          </w:p>
        </w:tc>
        <w:tc>
          <w:tcPr>
            <w:tcW w:w="2051" w:type="dxa"/>
            <w:vAlign w:val="bottom"/>
          </w:tcPr>
          <w:p w14:paraId="2410FCCF" w14:textId="77777777" w:rsidR="000302F5" w:rsidRPr="000302F5" w:rsidRDefault="000302F5" w:rsidP="000302F5">
            <w:pPr>
              <w:rPr>
                <w:rFonts w:cs="Arial"/>
              </w:rPr>
            </w:pPr>
            <w:r w:rsidRPr="000302F5">
              <w:rPr>
                <w:rFonts w:cs="Arial"/>
              </w:rPr>
              <w:t>Токсична епидермална некролиза Алергична реакция на</w:t>
            </w:r>
          </w:p>
          <w:p w14:paraId="755AB705" w14:textId="3ABF5FA6" w:rsidR="000302F5" w:rsidRPr="000302F5" w:rsidRDefault="000302F5" w:rsidP="000302F5">
            <w:pPr>
              <w:rPr>
                <w:rFonts w:cs="Arial"/>
              </w:rPr>
            </w:pPr>
            <w:r w:rsidRPr="000302F5">
              <w:rPr>
                <w:rFonts w:cs="Arial"/>
              </w:rPr>
              <w:t>фоточу вствителност Осезаема пурпура</w:t>
            </w:r>
          </w:p>
        </w:tc>
      </w:tr>
      <w:tr w:rsidR="000302F5" w14:paraId="40E2947A" w14:textId="77777777" w:rsidTr="00140CF4">
        <w:trPr>
          <w:trHeight w:val="1165"/>
        </w:trPr>
        <w:tc>
          <w:tcPr>
            <w:tcW w:w="2333" w:type="dxa"/>
            <w:vAlign w:val="bottom"/>
          </w:tcPr>
          <w:p w14:paraId="21560EE0" w14:textId="77777777" w:rsidR="000302F5" w:rsidRPr="000302F5" w:rsidRDefault="000302F5" w:rsidP="000302F5">
            <w:pPr>
              <w:rPr>
                <w:rFonts w:cs="Arial"/>
              </w:rPr>
            </w:pPr>
            <w:r w:rsidRPr="000302F5">
              <w:rPr>
                <w:rFonts w:cs="Arial"/>
                <w:b/>
                <w:bCs/>
              </w:rPr>
              <w:t>Нарушения на мускулно-скелетната система и съединителната</w:t>
            </w:r>
          </w:p>
          <w:p w14:paraId="1F59E692" w14:textId="7D856364" w:rsidR="000302F5" w:rsidRPr="000302F5" w:rsidRDefault="000302F5" w:rsidP="000302F5">
            <w:pPr>
              <w:rPr>
                <w:rFonts w:cs="Arial"/>
              </w:rPr>
            </w:pPr>
            <w:r w:rsidRPr="000302F5">
              <w:rPr>
                <w:rFonts w:cs="Arial"/>
                <w:b/>
                <w:bCs/>
              </w:rPr>
              <w:t>тъкан</w:t>
            </w:r>
          </w:p>
        </w:tc>
        <w:tc>
          <w:tcPr>
            <w:tcW w:w="1747" w:type="dxa"/>
          </w:tcPr>
          <w:p w14:paraId="56EF23F0" w14:textId="77777777" w:rsidR="000302F5" w:rsidRPr="000302F5" w:rsidRDefault="000302F5" w:rsidP="000302F5">
            <w:pPr>
              <w:rPr>
                <w:rFonts w:cs="Arial"/>
              </w:rPr>
            </w:pPr>
          </w:p>
        </w:tc>
        <w:tc>
          <w:tcPr>
            <w:tcW w:w="1683" w:type="dxa"/>
            <w:vAlign w:val="bottom"/>
          </w:tcPr>
          <w:p w14:paraId="2F42912B" w14:textId="280498A2" w:rsidR="000302F5" w:rsidRPr="000302F5" w:rsidRDefault="000302F5" w:rsidP="000302F5">
            <w:pPr>
              <w:rPr>
                <w:rFonts w:cs="Arial"/>
              </w:rPr>
            </w:pPr>
            <w:r w:rsidRPr="000302F5">
              <w:rPr>
                <w:rFonts w:cs="Arial"/>
              </w:rPr>
              <w:t>Мускулни крампи Подуване на ставите</w:t>
            </w:r>
          </w:p>
        </w:tc>
        <w:tc>
          <w:tcPr>
            <w:tcW w:w="1536" w:type="dxa"/>
          </w:tcPr>
          <w:p w14:paraId="27C7F670" w14:textId="77777777" w:rsidR="000302F5" w:rsidRPr="000302F5" w:rsidRDefault="000302F5" w:rsidP="000302F5">
            <w:pPr>
              <w:rPr>
                <w:rFonts w:cs="Arial"/>
              </w:rPr>
            </w:pPr>
          </w:p>
        </w:tc>
        <w:tc>
          <w:tcPr>
            <w:tcW w:w="2051" w:type="dxa"/>
            <w:vAlign w:val="center"/>
          </w:tcPr>
          <w:p w14:paraId="53603A4E" w14:textId="77777777" w:rsidR="000302F5" w:rsidRPr="000302F5" w:rsidRDefault="000302F5" w:rsidP="000302F5">
            <w:pPr>
              <w:rPr>
                <w:rFonts w:cs="Arial"/>
              </w:rPr>
            </w:pPr>
            <w:r w:rsidRPr="000302F5">
              <w:rPr>
                <w:rFonts w:cs="Arial"/>
              </w:rPr>
              <w:t>Артралгия</w:t>
            </w:r>
          </w:p>
          <w:p w14:paraId="3D45FC08" w14:textId="2DA9B46A" w:rsidR="000302F5" w:rsidRPr="000302F5" w:rsidRDefault="000302F5" w:rsidP="000302F5">
            <w:pPr>
              <w:rPr>
                <w:rFonts w:cs="Arial"/>
              </w:rPr>
            </w:pPr>
            <w:r w:rsidRPr="000302F5">
              <w:rPr>
                <w:rFonts w:cs="Arial"/>
              </w:rPr>
              <w:t>Миалгия'</w:t>
            </w:r>
          </w:p>
        </w:tc>
      </w:tr>
      <w:tr w:rsidR="000302F5" w14:paraId="598FF444" w14:textId="77777777" w:rsidTr="000302F5">
        <w:tc>
          <w:tcPr>
            <w:tcW w:w="2333" w:type="dxa"/>
          </w:tcPr>
          <w:p w14:paraId="59AC2575" w14:textId="0F94D23F" w:rsidR="000302F5" w:rsidRPr="000302F5" w:rsidRDefault="000302F5" w:rsidP="000302F5">
            <w:pPr>
              <w:rPr>
                <w:rFonts w:cs="Arial"/>
              </w:rPr>
            </w:pPr>
            <w:r w:rsidRPr="000302F5">
              <w:rPr>
                <w:rFonts w:cs="Arial"/>
                <w:b/>
                <w:bCs/>
              </w:rPr>
              <w:t>Нарушения на бъбреците и пикочните пътища</w:t>
            </w:r>
          </w:p>
        </w:tc>
        <w:tc>
          <w:tcPr>
            <w:tcW w:w="1747" w:type="dxa"/>
          </w:tcPr>
          <w:p w14:paraId="3C25D212" w14:textId="77777777" w:rsidR="000302F5" w:rsidRPr="000302F5" w:rsidRDefault="000302F5" w:rsidP="000302F5">
            <w:pPr>
              <w:rPr>
                <w:rFonts w:cs="Arial"/>
              </w:rPr>
            </w:pPr>
          </w:p>
        </w:tc>
        <w:tc>
          <w:tcPr>
            <w:tcW w:w="1683" w:type="dxa"/>
          </w:tcPr>
          <w:p w14:paraId="11F8CAD8" w14:textId="5B528058" w:rsidR="000302F5" w:rsidRPr="000302F5" w:rsidRDefault="000302F5" w:rsidP="000302F5">
            <w:pPr>
              <w:rPr>
                <w:rFonts w:cs="Arial"/>
              </w:rPr>
            </w:pPr>
            <w:r w:rsidRPr="000302F5">
              <w:rPr>
                <w:rFonts w:cs="Arial"/>
              </w:rPr>
              <w:t>Полиурия Дизурия</w:t>
            </w:r>
          </w:p>
        </w:tc>
        <w:tc>
          <w:tcPr>
            <w:tcW w:w="1536" w:type="dxa"/>
          </w:tcPr>
          <w:p w14:paraId="108A6CD4" w14:textId="77777777" w:rsidR="000302F5" w:rsidRPr="000302F5" w:rsidRDefault="000302F5" w:rsidP="000302F5">
            <w:pPr>
              <w:rPr>
                <w:rFonts w:cs="Arial"/>
              </w:rPr>
            </w:pPr>
          </w:p>
        </w:tc>
        <w:tc>
          <w:tcPr>
            <w:tcW w:w="2051" w:type="dxa"/>
          </w:tcPr>
          <w:p w14:paraId="297DC8E0" w14:textId="77777777" w:rsidR="000302F5" w:rsidRPr="000302F5" w:rsidRDefault="000302F5" w:rsidP="000302F5">
            <w:pPr>
              <w:rPr>
                <w:rFonts w:cs="Arial"/>
              </w:rPr>
            </w:pPr>
          </w:p>
        </w:tc>
      </w:tr>
      <w:tr w:rsidR="000302F5" w14:paraId="6A41B412" w14:textId="77777777" w:rsidTr="000302F5">
        <w:tc>
          <w:tcPr>
            <w:tcW w:w="2333" w:type="dxa"/>
          </w:tcPr>
          <w:p w14:paraId="029ACC11" w14:textId="0712986C" w:rsidR="000302F5" w:rsidRPr="000302F5" w:rsidRDefault="000302F5" w:rsidP="000302F5">
            <w:pPr>
              <w:rPr>
                <w:rFonts w:cs="Arial"/>
              </w:rPr>
            </w:pPr>
            <w:r w:rsidRPr="000302F5">
              <w:rPr>
                <w:rFonts w:cs="Arial"/>
                <w:b/>
                <w:bCs/>
              </w:rPr>
              <w:t>Нарушения на възпроизводителната система и гърдата</w:t>
            </w:r>
          </w:p>
        </w:tc>
        <w:tc>
          <w:tcPr>
            <w:tcW w:w="1747" w:type="dxa"/>
          </w:tcPr>
          <w:p w14:paraId="07936938" w14:textId="77777777" w:rsidR="000302F5" w:rsidRPr="000302F5" w:rsidRDefault="000302F5" w:rsidP="000302F5">
            <w:pPr>
              <w:rPr>
                <w:rFonts w:cs="Arial"/>
              </w:rPr>
            </w:pPr>
          </w:p>
        </w:tc>
        <w:tc>
          <w:tcPr>
            <w:tcW w:w="1683" w:type="dxa"/>
          </w:tcPr>
          <w:p w14:paraId="3D382FEF" w14:textId="6F6E22A6" w:rsidR="000302F5" w:rsidRPr="000302F5" w:rsidRDefault="000302F5" w:rsidP="000302F5">
            <w:pPr>
              <w:rPr>
                <w:rFonts w:cs="Arial"/>
              </w:rPr>
            </w:pPr>
            <w:r w:rsidRPr="000302F5">
              <w:rPr>
                <w:rFonts w:cs="Arial"/>
              </w:rPr>
              <w:t>Еректилна дисфункция</w:t>
            </w:r>
          </w:p>
        </w:tc>
        <w:tc>
          <w:tcPr>
            <w:tcW w:w="1536" w:type="dxa"/>
          </w:tcPr>
          <w:p w14:paraId="2F93C333" w14:textId="77777777" w:rsidR="000302F5" w:rsidRPr="000302F5" w:rsidRDefault="000302F5" w:rsidP="000302F5">
            <w:pPr>
              <w:rPr>
                <w:rFonts w:cs="Arial"/>
              </w:rPr>
            </w:pPr>
          </w:p>
        </w:tc>
        <w:tc>
          <w:tcPr>
            <w:tcW w:w="2051" w:type="dxa"/>
          </w:tcPr>
          <w:p w14:paraId="52B44ED9" w14:textId="77777777" w:rsidR="000302F5" w:rsidRPr="000302F5" w:rsidRDefault="000302F5" w:rsidP="000302F5">
            <w:pPr>
              <w:rPr>
                <w:rFonts w:cs="Arial"/>
              </w:rPr>
            </w:pPr>
          </w:p>
        </w:tc>
      </w:tr>
      <w:tr w:rsidR="000302F5" w14:paraId="755225E6" w14:textId="77777777" w:rsidTr="000302F5">
        <w:tc>
          <w:tcPr>
            <w:tcW w:w="2333" w:type="dxa"/>
          </w:tcPr>
          <w:p w14:paraId="75A5FD30" w14:textId="6F343C14" w:rsidR="000302F5" w:rsidRPr="000302F5" w:rsidRDefault="000302F5" w:rsidP="000302F5">
            <w:pPr>
              <w:rPr>
                <w:rFonts w:cs="Arial"/>
              </w:rPr>
            </w:pPr>
            <w:r w:rsidRPr="000302F5">
              <w:rPr>
                <w:rFonts w:cs="Arial"/>
                <w:b/>
                <w:bCs/>
              </w:rPr>
              <w:t>Общи нарушения н ефекти на мястото на приложение</w:t>
            </w:r>
          </w:p>
        </w:tc>
        <w:tc>
          <w:tcPr>
            <w:tcW w:w="1747" w:type="dxa"/>
          </w:tcPr>
          <w:p w14:paraId="7BEF14CB" w14:textId="41F1BC2F" w:rsidR="000302F5" w:rsidRPr="000302F5" w:rsidRDefault="000302F5" w:rsidP="000302F5">
            <w:pPr>
              <w:rPr>
                <w:rFonts w:cs="Arial"/>
              </w:rPr>
            </w:pPr>
            <w:r w:rsidRPr="000302F5">
              <w:rPr>
                <w:rFonts w:cs="Arial"/>
              </w:rPr>
              <w:t>Чувство на неразположение</w:t>
            </w:r>
          </w:p>
        </w:tc>
        <w:tc>
          <w:tcPr>
            <w:tcW w:w="1683" w:type="dxa"/>
          </w:tcPr>
          <w:p w14:paraId="1DFDA16A" w14:textId="71CD26B8" w:rsidR="000302F5" w:rsidRPr="000302F5" w:rsidRDefault="000302F5" w:rsidP="000302F5">
            <w:pPr>
              <w:rPr>
                <w:rFonts w:cs="Arial"/>
              </w:rPr>
            </w:pPr>
            <w:r w:rsidRPr="000302F5">
              <w:rPr>
                <w:rFonts w:cs="Arial"/>
              </w:rPr>
              <w:t>Неспецифична болка Втрисане</w:t>
            </w:r>
          </w:p>
        </w:tc>
        <w:tc>
          <w:tcPr>
            <w:tcW w:w="1536" w:type="dxa"/>
          </w:tcPr>
          <w:p w14:paraId="2626281D" w14:textId="77777777" w:rsidR="000302F5" w:rsidRPr="000302F5" w:rsidRDefault="000302F5" w:rsidP="000302F5">
            <w:pPr>
              <w:rPr>
                <w:rFonts w:cs="Arial"/>
              </w:rPr>
            </w:pPr>
          </w:p>
        </w:tc>
        <w:tc>
          <w:tcPr>
            <w:tcW w:w="2051" w:type="dxa"/>
          </w:tcPr>
          <w:p w14:paraId="20DDBAC0" w14:textId="77777777" w:rsidR="000302F5" w:rsidRPr="000302F5" w:rsidRDefault="000302F5" w:rsidP="000302F5">
            <w:pPr>
              <w:rPr>
                <w:rFonts w:cs="Arial"/>
              </w:rPr>
            </w:pPr>
          </w:p>
        </w:tc>
      </w:tr>
    </w:tbl>
    <w:p w14:paraId="6C257BCF" w14:textId="6B84D3B3" w:rsidR="0024025B" w:rsidRDefault="0024025B" w:rsidP="0024025B"/>
    <w:p w14:paraId="3559BCB7"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*Може да бъде животозастрашаващо</w:t>
      </w:r>
    </w:p>
    <w:p w14:paraId="4EA981C3"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**Съобщавани са случаи при употреба на токолитик по време на бременност (вж. точка 4.6) При пациенти на диализа със злокачествена хипертония и хиповолемия може да се появи значително понижаване на кръвното налягане в резултат на вазодилатация.</w:t>
      </w:r>
    </w:p>
    <w:p w14:paraId="3A2EEA74" w14:textId="77777777" w:rsidR="0024025B" w:rsidRPr="000302F5" w:rsidRDefault="0024025B" w:rsidP="0024025B">
      <w:pPr>
        <w:spacing w:line="240" w:lineRule="auto"/>
        <w:rPr>
          <w:rFonts w:eastAsia="Times New Roman" w:cs="Arial"/>
          <w:b/>
          <w:bCs/>
          <w:color w:val="000000"/>
          <w:u w:val="single"/>
          <w:lang w:eastAsia="bg-BG"/>
        </w:rPr>
      </w:pPr>
    </w:p>
    <w:p w14:paraId="57E3E20A" w14:textId="582FBB3D" w:rsidR="0024025B" w:rsidRPr="0024025B" w:rsidRDefault="0024025B" w:rsidP="0024025B">
      <w:pPr>
        <w:spacing w:line="240" w:lineRule="auto"/>
        <w:rPr>
          <w:rFonts w:eastAsia="Times New Roman" w:cs="Arial"/>
          <w:lang w:eastAsia="bg-BG"/>
        </w:rPr>
      </w:pPr>
      <w:r w:rsidRPr="0024025B">
        <w:rPr>
          <w:rFonts w:eastAsia="Times New Roman" w:cs="Arial"/>
          <w:b/>
          <w:bCs/>
          <w:color w:val="000000"/>
          <w:u w:val="single"/>
          <w:lang w:eastAsia="bg-BG"/>
        </w:rPr>
        <w:t>Съобщаване на подозирани нежелани реакции</w:t>
      </w:r>
    </w:p>
    <w:p w14:paraId="5C638F6B"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Съобщаването на подозирани нежелани лекарствени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18E65AA2" w14:textId="77777777" w:rsidR="0024025B" w:rsidRPr="000302F5" w:rsidRDefault="0024025B" w:rsidP="0024025B">
      <w:pPr>
        <w:spacing w:line="240" w:lineRule="auto"/>
        <w:rPr>
          <w:rFonts w:eastAsia="Times New Roman" w:cs="Arial"/>
          <w:color w:val="000000"/>
          <w:lang w:eastAsia="bg-BG"/>
        </w:rPr>
      </w:pPr>
    </w:p>
    <w:p w14:paraId="7281EA63" w14:textId="335682D8"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Изпълнителна агенция по лекарствата</w:t>
      </w:r>
    </w:p>
    <w:p w14:paraId="7D09D517"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ул. „Дамян Груев” № 8</w:t>
      </w:r>
    </w:p>
    <w:p w14:paraId="7D40E0BE"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1303 София,</w:t>
      </w:r>
    </w:p>
    <w:p w14:paraId="3CFACFEF"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Тел.:+359 2 8903417</w:t>
      </w:r>
    </w:p>
    <w:p w14:paraId="61BA70A3" w14:textId="7D07E7DA" w:rsidR="0024025B" w:rsidRPr="000302F5" w:rsidRDefault="0024025B" w:rsidP="0024025B">
      <w:pPr>
        <w:rPr>
          <w:rFonts w:cs="Arial"/>
        </w:rPr>
      </w:pPr>
      <w:r w:rsidRPr="000302F5">
        <w:rPr>
          <w:rFonts w:eastAsia="Times New Roman" w:cs="Arial"/>
          <w:color w:val="000000"/>
          <w:lang w:eastAsia="bg-BG"/>
        </w:rPr>
        <w:t xml:space="preserve">уебсайт: </w:t>
      </w:r>
      <w:hyperlink r:id="rId5" w:history="1">
        <w:r w:rsidRPr="000302F5">
          <w:rPr>
            <w:rFonts w:eastAsia="Times New Roman" w:cs="Arial"/>
            <w:color w:val="000000"/>
            <w:lang w:val="en-US"/>
          </w:rPr>
          <w:t>www.bda.bg</w:t>
        </w:r>
      </w:hyperlink>
    </w:p>
    <w:p w14:paraId="443BC107" w14:textId="77777777" w:rsidR="005B0F27" w:rsidRPr="0091385D" w:rsidRDefault="005B0F27" w:rsidP="0091385D"/>
    <w:p w14:paraId="0A023CE0" w14:textId="13F87CFD" w:rsidR="00CF77F7" w:rsidRDefault="002C50EE" w:rsidP="004A448E">
      <w:pPr>
        <w:pStyle w:val="Heading2"/>
      </w:pPr>
      <w:r>
        <w:t>4.9. Предозиране</w:t>
      </w:r>
    </w:p>
    <w:p w14:paraId="3EDFC3FC" w14:textId="771B3817" w:rsidR="0091385D" w:rsidRDefault="0091385D" w:rsidP="0091385D"/>
    <w:p w14:paraId="2AAC02C3" w14:textId="77777777" w:rsidR="0024025B" w:rsidRPr="000302F5" w:rsidRDefault="0024025B" w:rsidP="000302F5">
      <w:pPr>
        <w:pStyle w:val="Heading3"/>
        <w:rPr>
          <w:rFonts w:eastAsia="Times New Roman"/>
          <w:u w:val="single"/>
          <w:lang w:eastAsia="bg-BG"/>
        </w:rPr>
      </w:pPr>
      <w:r w:rsidRPr="000302F5">
        <w:rPr>
          <w:rFonts w:eastAsia="Times New Roman"/>
          <w:u w:val="single"/>
          <w:lang w:eastAsia="bg-BG"/>
        </w:rPr>
        <w:lastRenderedPageBreak/>
        <w:t>Симптоми на предозиране</w:t>
      </w:r>
    </w:p>
    <w:p w14:paraId="23F2B886"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При тежко отравяне с нифедипин се наблюдават следните симптоми: замъгляване на съзнанието до кома, спадане на кръвното налягане, тахикардия, брадикардия, хипергликемия, метаболитна ацидоза, хипоксия, кардиогенен шок с белодробен оток.</w:t>
      </w:r>
    </w:p>
    <w:p w14:paraId="19D41575" w14:textId="77777777" w:rsidR="0024025B" w:rsidRPr="0024025B" w:rsidRDefault="0024025B" w:rsidP="0024025B">
      <w:pPr>
        <w:spacing w:line="240" w:lineRule="auto"/>
        <w:rPr>
          <w:rFonts w:eastAsia="Times New Roman" w:cs="Arial"/>
          <w:i/>
          <w:iCs/>
          <w:color w:val="000000"/>
          <w:lang w:eastAsia="bg-BG"/>
        </w:rPr>
      </w:pPr>
    </w:p>
    <w:p w14:paraId="319DC3AC" w14:textId="628EC2CD" w:rsidR="0024025B" w:rsidRPr="000302F5" w:rsidRDefault="0024025B" w:rsidP="000302F5">
      <w:pPr>
        <w:pStyle w:val="Heading3"/>
        <w:rPr>
          <w:rFonts w:eastAsia="Times New Roman"/>
          <w:u w:val="single"/>
          <w:lang w:eastAsia="bg-BG"/>
        </w:rPr>
      </w:pPr>
      <w:r w:rsidRPr="000302F5">
        <w:rPr>
          <w:rFonts w:eastAsia="Times New Roman"/>
          <w:u w:val="single"/>
          <w:lang w:eastAsia="bg-BG"/>
        </w:rPr>
        <w:t>Лечение на предозиране</w:t>
      </w:r>
    </w:p>
    <w:p w14:paraId="0C6872E8"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Терапевтично преди всичко трябва да се елиминира интоксикацията и да се възстанови стабилното състояние на сърдечно-съдовата система. Елиминирането трябва да бъде максимално пълно, включително от тънките черва, за да се предотврати последваща абсорбция на активното вещество.</w:t>
      </w:r>
    </w:p>
    <w:p w14:paraId="77A7BE58" w14:textId="77777777" w:rsidR="0024025B" w:rsidRPr="0024025B" w:rsidRDefault="0024025B" w:rsidP="0024025B">
      <w:pPr>
        <w:spacing w:line="240" w:lineRule="auto"/>
        <w:rPr>
          <w:rFonts w:eastAsia="Times New Roman" w:cs="Arial"/>
          <w:color w:val="000000"/>
          <w:lang w:eastAsia="bg-BG"/>
        </w:rPr>
      </w:pPr>
    </w:p>
    <w:p w14:paraId="1E0CE475" w14:textId="7847DAF4"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Ползата от стомашната промивка е несигурна.</w:t>
      </w:r>
    </w:p>
    <w:p w14:paraId="03DC43F2" w14:textId="77777777" w:rsidR="0024025B" w:rsidRDefault="0024025B" w:rsidP="0024025B">
      <w:pPr>
        <w:pStyle w:val="ListParagraph"/>
        <w:numPr>
          <w:ilvl w:val="0"/>
          <w:numId w:val="41"/>
        </w:numPr>
        <w:spacing w:line="240" w:lineRule="auto"/>
        <w:rPr>
          <w:rFonts w:eastAsia="Times New Roman" w:cs="Arial"/>
          <w:color w:val="000000"/>
          <w:lang w:eastAsia="bg-BG"/>
        </w:rPr>
      </w:pPr>
      <w:r w:rsidRPr="0024025B">
        <w:rPr>
          <w:rFonts w:eastAsia="Times New Roman" w:cs="Arial"/>
          <w:color w:val="000000"/>
          <w:lang w:eastAsia="bg-BG"/>
        </w:rPr>
        <w:t xml:space="preserve">Да се има предвид прилагане на активен въглен (50 </w:t>
      </w:r>
      <w:r w:rsidRPr="0024025B">
        <w:rPr>
          <w:rFonts w:eastAsia="Times New Roman" w:cs="Arial"/>
          <w:color w:val="000000"/>
          <w:lang w:val="en-US"/>
        </w:rPr>
        <w:t xml:space="preserve">g </w:t>
      </w:r>
      <w:r w:rsidRPr="0024025B">
        <w:rPr>
          <w:rFonts w:eastAsia="Times New Roman" w:cs="Arial"/>
          <w:color w:val="000000"/>
          <w:lang w:eastAsia="bg-BG"/>
        </w:rPr>
        <w:t xml:space="preserve">за възрастни, 1 </w:t>
      </w:r>
      <w:r w:rsidRPr="0024025B">
        <w:rPr>
          <w:rFonts w:eastAsia="Times New Roman" w:cs="Arial"/>
          <w:color w:val="000000"/>
          <w:lang w:val="en-US"/>
        </w:rPr>
        <w:t xml:space="preserve">g/kg </w:t>
      </w:r>
      <w:r w:rsidRPr="0024025B">
        <w:rPr>
          <w:rFonts w:eastAsia="Times New Roman" w:cs="Arial"/>
          <w:color w:val="000000"/>
          <w:lang w:eastAsia="bg-BG"/>
        </w:rPr>
        <w:t>за деца) до 1 час след прием на потенциално токсично количество.</w:t>
      </w:r>
    </w:p>
    <w:p w14:paraId="56326002" w14:textId="77777777" w:rsidR="0024025B" w:rsidRDefault="0024025B" w:rsidP="0024025B">
      <w:pPr>
        <w:pStyle w:val="ListParagraph"/>
        <w:numPr>
          <w:ilvl w:val="0"/>
          <w:numId w:val="41"/>
        </w:numPr>
        <w:spacing w:line="240" w:lineRule="auto"/>
        <w:rPr>
          <w:rFonts w:eastAsia="Times New Roman" w:cs="Arial"/>
          <w:color w:val="000000"/>
          <w:lang w:eastAsia="bg-BG"/>
        </w:rPr>
      </w:pPr>
      <w:r w:rsidRPr="0024025B">
        <w:rPr>
          <w:rFonts w:eastAsia="Times New Roman" w:cs="Arial"/>
          <w:color w:val="000000"/>
          <w:lang w:eastAsia="bg-BG"/>
        </w:rPr>
        <w:t>Като алтернатива при възрастни може да се направи стомашна промивка до 1 час след потенциално животозастрашаващо предозиране.</w:t>
      </w:r>
    </w:p>
    <w:p w14:paraId="39FB6FFB" w14:textId="77777777" w:rsidR="0024025B" w:rsidRDefault="0024025B" w:rsidP="0024025B">
      <w:pPr>
        <w:pStyle w:val="ListParagraph"/>
        <w:numPr>
          <w:ilvl w:val="0"/>
          <w:numId w:val="41"/>
        </w:numPr>
        <w:spacing w:line="240" w:lineRule="auto"/>
        <w:rPr>
          <w:rFonts w:eastAsia="Times New Roman" w:cs="Arial"/>
          <w:color w:val="000000"/>
          <w:lang w:eastAsia="bg-BG"/>
        </w:rPr>
      </w:pPr>
      <w:r w:rsidRPr="0024025B">
        <w:rPr>
          <w:rFonts w:eastAsia="Times New Roman" w:cs="Arial"/>
          <w:color w:val="000000"/>
          <w:lang w:eastAsia="bg-BG"/>
        </w:rPr>
        <w:t>В случай, че е прието клинично значимо количество от лекарствена форма със забавено освобождаване, да се имат предвид последващи дози активен въглен на всеки 4 часа и еднократна доза осмотичен лаксатив (напр. сорбитол, лактулоза или магнезиев сулфат).</w:t>
      </w:r>
    </w:p>
    <w:p w14:paraId="0F8ED53D" w14:textId="3396C474" w:rsidR="0024025B" w:rsidRPr="0024025B" w:rsidRDefault="0024025B" w:rsidP="0024025B">
      <w:pPr>
        <w:pStyle w:val="ListParagraph"/>
        <w:numPr>
          <w:ilvl w:val="0"/>
          <w:numId w:val="41"/>
        </w:numPr>
        <w:spacing w:line="240" w:lineRule="auto"/>
        <w:rPr>
          <w:rFonts w:eastAsia="Times New Roman" w:cs="Arial"/>
          <w:color w:val="000000"/>
          <w:lang w:eastAsia="bg-BG"/>
        </w:rPr>
      </w:pPr>
      <w:r w:rsidRPr="0024025B">
        <w:rPr>
          <w:rFonts w:eastAsia="Times New Roman" w:cs="Arial"/>
          <w:color w:val="000000"/>
          <w:lang w:eastAsia="bg-BG"/>
        </w:rPr>
        <w:t>Асимптоматичните пациенти трябва да бъдат наблюдавани поне 4 часа след прием, а в случай на прием на лекарствена форма със забавено освобождаване за период от 12 часа.</w:t>
      </w:r>
    </w:p>
    <w:p w14:paraId="527EB912" w14:textId="77777777" w:rsidR="0024025B" w:rsidRPr="0024025B" w:rsidRDefault="0024025B" w:rsidP="0024025B">
      <w:pPr>
        <w:rPr>
          <w:rFonts w:eastAsia="Times New Roman" w:cs="Arial"/>
          <w:color w:val="000000"/>
          <w:lang w:eastAsia="bg-BG"/>
        </w:rPr>
      </w:pPr>
    </w:p>
    <w:p w14:paraId="6A43B8F3" w14:textId="468409F4" w:rsidR="007A2185" w:rsidRPr="0024025B" w:rsidRDefault="0024025B" w:rsidP="0024025B">
      <w:pPr>
        <w:rPr>
          <w:rFonts w:cs="Arial"/>
        </w:rPr>
      </w:pPr>
      <w:r w:rsidRPr="0024025B">
        <w:rPr>
          <w:rFonts w:eastAsia="Times New Roman" w:cs="Arial"/>
          <w:color w:val="000000"/>
          <w:lang w:eastAsia="bg-BG"/>
        </w:rPr>
        <w:t>Хемодиализата е безпредметна, тъй като нифедипин не се диализира, но се препоръчва плазмафереза (значително свързване с протеина, относително малък обем на разпределение).</w:t>
      </w:r>
    </w:p>
    <w:p w14:paraId="48FF1584" w14:textId="7E03C1DA" w:rsidR="0091385D" w:rsidRDefault="0091385D" w:rsidP="0091385D"/>
    <w:p w14:paraId="0D61FE1E"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 xml:space="preserve">Хипотонията като следствие от кардиогенен шок и артериална вазодилатация се лекува с калций (10-20 </w:t>
      </w:r>
      <w:r w:rsidRPr="0024025B">
        <w:rPr>
          <w:rFonts w:eastAsia="Times New Roman" w:cs="Arial"/>
          <w:color w:val="000000"/>
          <w:lang w:val="en-US"/>
        </w:rPr>
        <w:t xml:space="preserve">ml </w:t>
      </w:r>
      <w:r w:rsidRPr="0024025B">
        <w:rPr>
          <w:rFonts w:eastAsia="Times New Roman" w:cs="Arial"/>
          <w:color w:val="000000"/>
          <w:lang w:eastAsia="bg-BG"/>
        </w:rPr>
        <w:t xml:space="preserve">10% калциев глюконат, приложен интравенозно за 5-10 </w:t>
      </w:r>
      <w:r w:rsidRPr="0024025B">
        <w:rPr>
          <w:rFonts w:eastAsia="Times New Roman" w:cs="Arial"/>
          <w:color w:val="000000"/>
          <w:lang w:val="en-US"/>
        </w:rPr>
        <w:t xml:space="preserve">min). </w:t>
      </w:r>
      <w:r w:rsidRPr="0024025B">
        <w:rPr>
          <w:rFonts w:eastAsia="Times New Roman" w:cs="Arial"/>
          <w:color w:val="000000"/>
          <w:lang w:eastAsia="bg-BG"/>
        </w:rPr>
        <w:t>Ако ефектът от лечението не е адекватен, същото може да се продължи, като се следи и ЕКГ. Ако с калций не се постигне задоволително повишаване на кръвното налягане, трябва да се приложат вазоконстрикторни симпатиком кметици като допамин или норадреналин. Дозировката на тези лекарства трябва да се определя индивидуално, в зависимост от реакцията на пациента.</w:t>
      </w:r>
    </w:p>
    <w:p w14:paraId="3814F85E" w14:textId="77777777" w:rsidR="001D5481" w:rsidRPr="001D5481" w:rsidRDefault="001D5481" w:rsidP="0024025B">
      <w:pPr>
        <w:spacing w:line="240" w:lineRule="auto"/>
        <w:rPr>
          <w:rFonts w:eastAsia="Times New Roman" w:cs="Arial"/>
          <w:color w:val="000000"/>
          <w:lang w:eastAsia="bg-BG"/>
        </w:rPr>
      </w:pPr>
    </w:p>
    <w:p w14:paraId="243681D9" w14:textId="77777777" w:rsidR="001D5481" w:rsidRPr="001D5481" w:rsidRDefault="0024025B" w:rsidP="001D5481">
      <w:pPr>
        <w:spacing w:line="240" w:lineRule="auto"/>
        <w:rPr>
          <w:rFonts w:eastAsia="Times New Roman" w:cs="Arial"/>
          <w:lang w:eastAsia="bg-BG"/>
        </w:rPr>
      </w:pPr>
      <w:r w:rsidRPr="0024025B">
        <w:rPr>
          <w:rFonts w:eastAsia="Times New Roman" w:cs="Arial"/>
          <w:color w:val="000000"/>
          <w:lang w:eastAsia="bg-BG"/>
        </w:rPr>
        <w:t>Брадикардията се лекува симптоматично с атропин и/или β-симпатикомнметици, но при животозастрашаваща форма на брадикардия се налага временно поставяне на пейсмейкър.</w:t>
      </w:r>
    </w:p>
    <w:p w14:paraId="2008B965" w14:textId="77777777" w:rsidR="001D5481" w:rsidRDefault="001D5481" w:rsidP="001D5481">
      <w:pPr>
        <w:spacing w:line="240" w:lineRule="auto"/>
        <w:rPr>
          <w:rFonts w:ascii="Times New Roman" w:eastAsia="Times New Roman" w:hAnsi="Times New Roman" w:cs="Times New Roman"/>
          <w:sz w:val="24"/>
          <w:szCs w:val="24"/>
          <w:lang w:eastAsia="bg-BG"/>
        </w:rPr>
      </w:pPr>
    </w:p>
    <w:p w14:paraId="7130C7F2" w14:textId="5A20311B" w:rsidR="0024025B" w:rsidRPr="001D5481" w:rsidRDefault="0024025B" w:rsidP="001D5481">
      <w:pPr>
        <w:spacing w:line="240" w:lineRule="auto"/>
        <w:rPr>
          <w:rFonts w:eastAsia="Times New Roman" w:cs="Arial"/>
          <w:lang w:eastAsia="bg-BG"/>
        </w:rPr>
      </w:pPr>
      <w:r w:rsidRPr="001D5481">
        <w:rPr>
          <w:rFonts w:eastAsia="Times New Roman" w:cs="Arial"/>
          <w:color w:val="000000"/>
          <w:lang w:eastAsia="bg-BG"/>
        </w:rPr>
        <w:t>Допълнителни течности и обемни заместители трябва да се прилагат внимателно поради опасност от претоварване на сърцето.</w:t>
      </w:r>
    </w:p>
    <w:p w14:paraId="258B9790" w14:textId="77777777" w:rsidR="0024025B" w:rsidRPr="0091385D" w:rsidRDefault="0024025B"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4187FC66" w14:textId="77777777" w:rsidR="001D5481" w:rsidRPr="001D5481" w:rsidRDefault="001D5481" w:rsidP="001D5481">
      <w:pPr>
        <w:spacing w:line="240" w:lineRule="auto"/>
        <w:rPr>
          <w:rFonts w:eastAsia="Times New Roman" w:cs="Arial"/>
          <w:lang w:eastAsia="bg-BG"/>
        </w:rPr>
      </w:pPr>
      <w:r w:rsidRPr="001D5481">
        <w:rPr>
          <w:rFonts w:eastAsia="Times New Roman" w:cs="Arial"/>
          <w:color w:val="000000"/>
          <w:lang w:eastAsia="bg-BG"/>
        </w:rPr>
        <w:lastRenderedPageBreak/>
        <w:t>Фармакотерапевтична група: Селективни блокери на калциевите канали с предимно съдово действие, дихидропиридинови производни</w:t>
      </w:r>
    </w:p>
    <w:p w14:paraId="18EAAEBF" w14:textId="77777777" w:rsidR="001D5481" w:rsidRPr="001D5481" w:rsidRDefault="001D5481" w:rsidP="001D5481">
      <w:pPr>
        <w:spacing w:line="240" w:lineRule="auto"/>
        <w:rPr>
          <w:rFonts w:eastAsia="Times New Roman" w:cs="Arial"/>
          <w:lang w:eastAsia="bg-BG"/>
        </w:rPr>
      </w:pPr>
      <w:r w:rsidRPr="001D5481">
        <w:rPr>
          <w:rFonts w:eastAsia="Times New Roman" w:cs="Arial"/>
          <w:color w:val="000000"/>
          <w:lang w:eastAsia="bg-BG"/>
        </w:rPr>
        <w:t>АТС код: С08С А05</w:t>
      </w:r>
    </w:p>
    <w:p w14:paraId="2D15F1C0" w14:textId="77777777" w:rsidR="001D5481" w:rsidRPr="001D5481" w:rsidRDefault="001D5481" w:rsidP="001D5481">
      <w:pPr>
        <w:spacing w:line="240" w:lineRule="auto"/>
        <w:rPr>
          <w:rFonts w:eastAsia="Times New Roman" w:cs="Arial"/>
          <w:color w:val="000000"/>
          <w:lang w:eastAsia="bg-BG"/>
        </w:rPr>
      </w:pPr>
    </w:p>
    <w:p w14:paraId="7E3E991E" w14:textId="34FB7074" w:rsidR="001D5481" w:rsidRPr="001D5481" w:rsidRDefault="001D5481" w:rsidP="001D5481">
      <w:pPr>
        <w:spacing w:line="240" w:lineRule="auto"/>
        <w:rPr>
          <w:rFonts w:eastAsia="Times New Roman" w:cs="Arial"/>
          <w:lang w:eastAsia="bg-BG"/>
        </w:rPr>
      </w:pPr>
      <w:r w:rsidRPr="001D5481">
        <w:rPr>
          <w:rFonts w:eastAsia="Times New Roman" w:cs="Arial"/>
          <w:color w:val="000000"/>
          <w:lang w:eastAsia="bg-BG"/>
        </w:rPr>
        <w:t>Нифедипин е калциев антагонист от групата на 1,4-дихидропиридинов тип. Калциевите антагонисти намаляват трансмембранния инфлукс на калциеви йони чрез бавния калциев канал в клетката. Нифедипин действа предимно върху клетките на миокарда и гладко мускулните клетки на коронарните артерии и на периферното съпротивление на съдовете.</w:t>
      </w:r>
    </w:p>
    <w:p w14:paraId="1CD1BAE4" w14:textId="77777777" w:rsidR="001D5481" w:rsidRPr="001D5481" w:rsidRDefault="001D5481" w:rsidP="001D5481">
      <w:pPr>
        <w:spacing w:line="240" w:lineRule="auto"/>
        <w:rPr>
          <w:rFonts w:eastAsia="Times New Roman" w:cs="Arial"/>
          <w:color w:val="000000"/>
          <w:lang w:eastAsia="bg-BG"/>
        </w:rPr>
      </w:pPr>
    </w:p>
    <w:p w14:paraId="42851BE5" w14:textId="7344432B" w:rsidR="001D5481" w:rsidRPr="001D5481" w:rsidRDefault="001D5481" w:rsidP="001D5481">
      <w:pPr>
        <w:spacing w:line="240" w:lineRule="auto"/>
        <w:rPr>
          <w:rFonts w:eastAsia="Times New Roman" w:cs="Arial"/>
          <w:color w:val="000000"/>
          <w:lang w:eastAsia="bg-BG"/>
        </w:rPr>
      </w:pPr>
      <w:r w:rsidRPr="001D5481">
        <w:rPr>
          <w:rFonts w:eastAsia="Times New Roman" w:cs="Arial"/>
          <w:color w:val="000000"/>
          <w:lang w:eastAsia="bg-BG"/>
        </w:rPr>
        <w:t>При хипертония, нифедипин действа основно, като причинява периферна вазодилатация и намалява общото периферно съдово съпротивление. Нифедипин осигурява 24-часов контрол при повишено кръвно налягане. Нифедипин предизвиква понижение на кръвното налягане, като процентът на понижение е пропорционален на изходното ниво на кръвното налягане. При нормотензивни пациенти, нифедипин има слаб или никакъв ефект върху кръвното налягане.</w:t>
      </w:r>
    </w:p>
    <w:p w14:paraId="11F66FFA" w14:textId="77777777" w:rsidR="001D5481" w:rsidRPr="001D5481" w:rsidRDefault="001D5481" w:rsidP="001D5481">
      <w:pPr>
        <w:spacing w:line="240" w:lineRule="auto"/>
        <w:rPr>
          <w:rFonts w:eastAsia="Times New Roman" w:cs="Arial"/>
          <w:color w:val="000000"/>
          <w:lang w:eastAsia="bg-BG"/>
        </w:rPr>
      </w:pPr>
    </w:p>
    <w:p w14:paraId="078BEDBF" w14:textId="4642F67A" w:rsidR="001D5481" w:rsidRPr="001D5481" w:rsidRDefault="001D5481" w:rsidP="001D5481">
      <w:pPr>
        <w:spacing w:line="240" w:lineRule="auto"/>
        <w:rPr>
          <w:rFonts w:eastAsia="Times New Roman" w:cs="Arial"/>
          <w:lang w:eastAsia="bg-BG"/>
        </w:rPr>
      </w:pPr>
      <w:r w:rsidRPr="001D5481">
        <w:rPr>
          <w:rFonts w:eastAsia="Times New Roman" w:cs="Arial"/>
          <w:color w:val="000000"/>
          <w:lang w:eastAsia="bg-BG"/>
        </w:rPr>
        <w:t>При стенокардия, нифедипин намалява периферното и коронарното съдово съпротивление, което води до увеличаване на сърдечния кръвен поток, сърдечния и ударния обем и намалява следнатоварването на сърцето.</w:t>
      </w:r>
    </w:p>
    <w:p w14:paraId="633D6B1C" w14:textId="77777777" w:rsidR="001D5481" w:rsidRPr="001D5481" w:rsidRDefault="001D5481" w:rsidP="001D5481">
      <w:pPr>
        <w:spacing w:line="240" w:lineRule="auto"/>
        <w:rPr>
          <w:rFonts w:eastAsia="Times New Roman" w:cs="Arial"/>
          <w:color w:val="000000"/>
          <w:lang w:eastAsia="bg-BG"/>
        </w:rPr>
      </w:pPr>
    </w:p>
    <w:p w14:paraId="1E2C6BCA" w14:textId="0D752C9E" w:rsidR="001D5481" w:rsidRPr="001D5481" w:rsidRDefault="001D5481" w:rsidP="001D5481">
      <w:pPr>
        <w:spacing w:line="240" w:lineRule="auto"/>
        <w:rPr>
          <w:rFonts w:eastAsia="Times New Roman" w:cs="Arial"/>
          <w:lang w:eastAsia="bg-BG"/>
        </w:rPr>
      </w:pPr>
      <w:r w:rsidRPr="001D5481">
        <w:rPr>
          <w:rFonts w:eastAsia="Times New Roman" w:cs="Arial"/>
          <w:color w:val="000000"/>
          <w:lang w:eastAsia="bg-BG"/>
        </w:rPr>
        <w:t>Нифедипин разширява коронарните артерии, по-специално големите съдове, дори в свободните участъци на частично стенозираните им области, като по този начин предпазва сърцето от коронарен артериален спазъм и подобрява перфузията на области на миокарда с влошено кръвоснабдяване.</w:t>
      </w:r>
    </w:p>
    <w:p w14:paraId="114E8C9D" w14:textId="77777777" w:rsidR="001D5481" w:rsidRPr="001D5481" w:rsidRDefault="001D5481" w:rsidP="001D5481">
      <w:pPr>
        <w:spacing w:line="240" w:lineRule="auto"/>
        <w:rPr>
          <w:rFonts w:eastAsia="Times New Roman" w:cs="Arial"/>
          <w:color w:val="000000"/>
          <w:lang w:eastAsia="bg-BG"/>
        </w:rPr>
      </w:pPr>
    </w:p>
    <w:p w14:paraId="292FEF17" w14:textId="608960AC" w:rsidR="001D5481" w:rsidRPr="001D5481" w:rsidRDefault="001D5481" w:rsidP="001D5481">
      <w:pPr>
        <w:spacing w:line="240" w:lineRule="auto"/>
        <w:rPr>
          <w:rFonts w:eastAsia="Times New Roman" w:cs="Arial"/>
          <w:lang w:eastAsia="bg-BG"/>
        </w:rPr>
      </w:pPr>
      <w:r w:rsidRPr="001D5481">
        <w:rPr>
          <w:rFonts w:eastAsia="Times New Roman" w:cs="Arial"/>
          <w:color w:val="000000"/>
          <w:lang w:eastAsia="bg-BG"/>
        </w:rPr>
        <w:t>Нифедипин намалява честотата на болковите атаки и исхемичните ЕКГ промени независимо от коронарния артериален спазъм и атеросклерозата.</w:t>
      </w:r>
    </w:p>
    <w:p w14:paraId="1081D9B3" w14:textId="77777777" w:rsidR="001D5481" w:rsidRPr="001D5481" w:rsidRDefault="001D5481" w:rsidP="001D5481">
      <w:pPr>
        <w:spacing w:line="240" w:lineRule="auto"/>
        <w:rPr>
          <w:rFonts w:eastAsia="Times New Roman" w:cs="Arial"/>
          <w:i/>
          <w:iCs/>
          <w:color w:val="000000"/>
          <w:lang w:eastAsia="bg-BG"/>
        </w:rPr>
      </w:pPr>
    </w:p>
    <w:p w14:paraId="2EF3FC81" w14:textId="3D7D71C1" w:rsidR="001D5481" w:rsidRPr="001D5481" w:rsidRDefault="001D5481" w:rsidP="001D5481">
      <w:pPr>
        <w:spacing w:line="240" w:lineRule="auto"/>
        <w:rPr>
          <w:rFonts w:eastAsia="Times New Roman" w:cs="Arial"/>
          <w:lang w:eastAsia="bg-BG"/>
        </w:rPr>
      </w:pPr>
      <w:r w:rsidRPr="001D5481">
        <w:rPr>
          <w:rFonts w:eastAsia="Times New Roman" w:cs="Arial"/>
          <w:i/>
          <w:iCs/>
          <w:color w:val="000000"/>
          <w:lang w:eastAsia="bg-BG"/>
        </w:rPr>
        <w:t>Педиатрична популация</w:t>
      </w:r>
    </w:p>
    <w:p w14:paraId="038F692B" w14:textId="612AAEB6" w:rsidR="007A2185" w:rsidRPr="001D5481" w:rsidRDefault="001D5481" w:rsidP="001D5481">
      <w:pPr>
        <w:rPr>
          <w:rFonts w:cs="Arial"/>
        </w:rPr>
      </w:pPr>
      <w:r w:rsidRPr="001D5481">
        <w:rPr>
          <w:rFonts w:eastAsia="Times New Roman" w:cs="Arial"/>
          <w:color w:val="000000"/>
          <w:lang w:eastAsia="bg-BG"/>
        </w:rPr>
        <w:t>Има ограничена информация за сравнение на нифедипин с други антихипертензивни продукти, както при остра хипертония, така и при продължителна хипертония с различни лекарствени форми и различни дози. Антихипертензивният ефект на нифедипин е доказан, но препоръките за дозиране, безопасността при продължителна употреба и ефект върху сърдечносъдовия статус остават неустановени. Липсват педиатрични дозови форми.</w:t>
      </w:r>
    </w:p>
    <w:p w14:paraId="36152471" w14:textId="77777777" w:rsidR="0091385D" w:rsidRPr="0091385D" w:rsidRDefault="0091385D" w:rsidP="0091385D"/>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45551830" w14:textId="1A488425" w:rsidR="007A2185" w:rsidRPr="000302F5" w:rsidRDefault="001D5481" w:rsidP="000302F5">
      <w:pPr>
        <w:pStyle w:val="Heading3"/>
        <w:rPr>
          <w:u w:val="single"/>
        </w:rPr>
      </w:pPr>
      <w:r w:rsidRPr="000302F5">
        <w:rPr>
          <w:u w:val="single"/>
        </w:rPr>
        <w:t>Абсорбция</w:t>
      </w:r>
    </w:p>
    <w:p w14:paraId="1C4F0F54" w14:textId="77777777" w:rsidR="001D5481" w:rsidRPr="001D5481" w:rsidRDefault="001D5481" w:rsidP="001D5481">
      <w:pPr>
        <w:spacing w:line="240" w:lineRule="auto"/>
        <w:rPr>
          <w:rFonts w:eastAsia="Times New Roman" w:cs="Arial"/>
          <w:lang w:eastAsia="bg-BG"/>
        </w:rPr>
      </w:pPr>
      <w:r w:rsidRPr="001D5481">
        <w:rPr>
          <w:rFonts w:eastAsia="Times New Roman" w:cs="Arial"/>
          <w:color w:val="000000"/>
          <w:lang w:eastAsia="bg-BG"/>
        </w:rPr>
        <w:t>След перорален прием нифедипин почти напълно се абсорбира. Системната бионаличност на перорално приетия нифедипин с незабавно освобождаване е 45-56% поради ефекта на първо преминаване. Максималната плазмена и серумна концентрация се достигат след 1,5 до 4,2 часа. Приемът на таблетките по време на хранене води до забавена, но не намалена резорбция на активното вещество.</w:t>
      </w:r>
    </w:p>
    <w:p w14:paraId="5E4128C3" w14:textId="77777777" w:rsidR="001D5481" w:rsidRPr="001D5481" w:rsidRDefault="001D5481" w:rsidP="001D5481">
      <w:pPr>
        <w:spacing w:line="240" w:lineRule="auto"/>
        <w:rPr>
          <w:rFonts w:eastAsia="Times New Roman" w:cs="Arial"/>
          <w:color w:val="000000"/>
          <w:u w:val="single"/>
          <w:lang w:eastAsia="bg-BG"/>
        </w:rPr>
      </w:pPr>
    </w:p>
    <w:p w14:paraId="200BDA97" w14:textId="7D69C896" w:rsidR="001D5481" w:rsidRPr="000302F5" w:rsidRDefault="001D5481" w:rsidP="000302F5">
      <w:pPr>
        <w:pStyle w:val="Heading3"/>
        <w:rPr>
          <w:rFonts w:eastAsia="Times New Roman"/>
          <w:u w:val="single"/>
          <w:lang w:eastAsia="bg-BG"/>
        </w:rPr>
      </w:pPr>
      <w:r w:rsidRPr="000302F5">
        <w:rPr>
          <w:rFonts w:eastAsia="Times New Roman"/>
          <w:u w:val="single"/>
          <w:lang w:eastAsia="bg-BG"/>
        </w:rPr>
        <w:t>Разпределение</w:t>
      </w:r>
    </w:p>
    <w:p w14:paraId="01CD9ADE" w14:textId="77777777" w:rsidR="001D5481" w:rsidRPr="001D5481" w:rsidRDefault="001D5481" w:rsidP="001D5481">
      <w:pPr>
        <w:spacing w:line="240" w:lineRule="auto"/>
        <w:rPr>
          <w:rFonts w:eastAsia="Times New Roman" w:cs="Arial"/>
          <w:lang w:eastAsia="bg-BG"/>
        </w:rPr>
      </w:pPr>
      <w:r w:rsidRPr="001D5481">
        <w:rPr>
          <w:rFonts w:eastAsia="Times New Roman" w:cs="Arial"/>
          <w:color w:val="000000"/>
          <w:lang w:eastAsia="bg-BG"/>
        </w:rPr>
        <w:t>Нифедипин се свързва с плазмените протеини (албумин), в около 95%. Времето на полуразпределение на нифедипин след интравенозно приложение е 5-6 минути.</w:t>
      </w:r>
    </w:p>
    <w:p w14:paraId="2EABB5C7" w14:textId="77777777" w:rsidR="001D5481" w:rsidRPr="001D5481" w:rsidRDefault="001D5481" w:rsidP="001D5481">
      <w:pPr>
        <w:spacing w:line="240" w:lineRule="auto"/>
        <w:rPr>
          <w:rFonts w:eastAsia="Times New Roman" w:cs="Arial"/>
          <w:color w:val="000000"/>
          <w:u w:val="single"/>
          <w:lang w:eastAsia="bg-BG"/>
        </w:rPr>
      </w:pPr>
    </w:p>
    <w:p w14:paraId="47BAD91E" w14:textId="04C5ADDD" w:rsidR="001D5481" w:rsidRPr="000302F5" w:rsidRDefault="001D5481" w:rsidP="000302F5">
      <w:pPr>
        <w:pStyle w:val="Heading3"/>
        <w:rPr>
          <w:rFonts w:eastAsia="Times New Roman"/>
          <w:u w:val="single"/>
          <w:lang w:eastAsia="bg-BG"/>
        </w:rPr>
      </w:pPr>
      <w:r w:rsidRPr="000302F5">
        <w:rPr>
          <w:rFonts w:eastAsia="Times New Roman"/>
          <w:u w:val="single"/>
          <w:lang w:eastAsia="bg-BG"/>
        </w:rPr>
        <w:t>Биотрансформация</w:t>
      </w:r>
    </w:p>
    <w:p w14:paraId="66281CA7" w14:textId="77777777" w:rsidR="001D5481" w:rsidRPr="001D5481" w:rsidRDefault="001D5481" w:rsidP="001D5481">
      <w:pPr>
        <w:spacing w:line="240" w:lineRule="auto"/>
        <w:rPr>
          <w:rFonts w:eastAsia="Times New Roman" w:cs="Arial"/>
          <w:lang w:eastAsia="bg-BG"/>
        </w:rPr>
      </w:pPr>
      <w:r w:rsidRPr="001D5481">
        <w:rPr>
          <w:rFonts w:eastAsia="Times New Roman" w:cs="Arial"/>
          <w:color w:val="000000"/>
          <w:lang w:eastAsia="bg-BG"/>
        </w:rPr>
        <w:t>След перорално приложение, нифедипин се метаболизира в чревната стена и в черния дроб основно чрез окислителни процеси. Тези метаболити не показват фармакодинамична активност.</w:t>
      </w:r>
    </w:p>
    <w:p w14:paraId="2BE031D3" w14:textId="77777777" w:rsidR="001D5481" w:rsidRPr="001D5481" w:rsidRDefault="001D5481" w:rsidP="001D5481">
      <w:pPr>
        <w:spacing w:line="240" w:lineRule="auto"/>
        <w:rPr>
          <w:rFonts w:eastAsia="Times New Roman" w:cs="Arial"/>
          <w:lang w:eastAsia="bg-BG"/>
        </w:rPr>
      </w:pPr>
      <w:r w:rsidRPr="001D5481">
        <w:rPr>
          <w:rFonts w:eastAsia="Times New Roman" w:cs="Arial"/>
          <w:color w:val="000000"/>
          <w:lang w:eastAsia="bg-BG"/>
        </w:rPr>
        <w:t>Нифедипин се екскретира под формата на метаболити, предимно през бъбреците и около 5-15% чрез жлъчката във фекалиите. Непроменено активно вещество се открива само в следи (под 0,1%) в урината.</w:t>
      </w:r>
    </w:p>
    <w:p w14:paraId="409B64E8" w14:textId="77777777" w:rsidR="001D5481" w:rsidRPr="001D5481" w:rsidRDefault="001D5481" w:rsidP="001D5481">
      <w:pPr>
        <w:spacing w:line="240" w:lineRule="auto"/>
        <w:rPr>
          <w:rFonts w:eastAsia="Times New Roman" w:cs="Arial"/>
          <w:color w:val="000000"/>
          <w:u w:val="single"/>
          <w:lang w:eastAsia="bg-BG"/>
        </w:rPr>
      </w:pPr>
    </w:p>
    <w:p w14:paraId="52E4287E" w14:textId="0C695981" w:rsidR="001D5481" w:rsidRPr="000302F5" w:rsidRDefault="001D5481" w:rsidP="000302F5">
      <w:pPr>
        <w:pStyle w:val="Heading3"/>
        <w:rPr>
          <w:rFonts w:eastAsia="Times New Roman"/>
          <w:u w:val="single"/>
          <w:lang w:eastAsia="bg-BG"/>
        </w:rPr>
      </w:pPr>
      <w:r w:rsidRPr="000302F5">
        <w:rPr>
          <w:rFonts w:eastAsia="Times New Roman"/>
          <w:u w:val="single"/>
          <w:lang w:eastAsia="bg-BG"/>
        </w:rPr>
        <w:t>Елиминиране</w:t>
      </w:r>
    </w:p>
    <w:p w14:paraId="15F2567F" w14:textId="77777777" w:rsidR="001D5481" w:rsidRPr="001D5481" w:rsidRDefault="001D5481" w:rsidP="001D5481">
      <w:pPr>
        <w:spacing w:line="240" w:lineRule="auto"/>
        <w:rPr>
          <w:rFonts w:eastAsia="Times New Roman" w:cs="Arial"/>
          <w:lang w:eastAsia="bg-BG"/>
        </w:rPr>
      </w:pPr>
      <w:r w:rsidRPr="001D5481">
        <w:rPr>
          <w:rFonts w:eastAsia="Times New Roman" w:cs="Arial"/>
          <w:color w:val="000000"/>
          <w:lang w:eastAsia="bg-BG"/>
        </w:rPr>
        <w:t>Времето на полуелиминиране на нифедипин е 6-11 часа. В случаи на нарушена бъбречна функция не са установени значителни промени в сравнение със здрави доброволци.</w:t>
      </w:r>
    </w:p>
    <w:p w14:paraId="6B02426D" w14:textId="0CED0F1F" w:rsidR="001D5481" w:rsidRPr="001D5481" w:rsidRDefault="001D5481" w:rsidP="001D5481">
      <w:pPr>
        <w:rPr>
          <w:rFonts w:cs="Arial"/>
        </w:rPr>
      </w:pPr>
      <w:r w:rsidRPr="001D5481">
        <w:rPr>
          <w:rFonts w:eastAsia="Times New Roman" w:cs="Arial"/>
          <w:color w:val="000000"/>
          <w:lang w:eastAsia="bg-BG"/>
        </w:rPr>
        <w:t xml:space="preserve">В проучване, сравняващо фармакокинетката на нифедипин при пациенти с леко </w:t>
      </w:r>
      <w:r w:rsidRPr="001D5481">
        <w:rPr>
          <w:rFonts w:eastAsia="Times New Roman" w:cs="Arial"/>
          <w:color w:val="000000"/>
          <w:lang w:val="en-US"/>
        </w:rPr>
        <w:t xml:space="preserve">(Child Pugh A) </w:t>
      </w:r>
      <w:r w:rsidRPr="001D5481">
        <w:rPr>
          <w:rFonts w:eastAsia="Times New Roman" w:cs="Arial"/>
          <w:color w:val="000000"/>
          <w:lang w:eastAsia="bg-BG"/>
        </w:rPr>
        <w:t xml:space="preserve">или умерено </w:t>
      </w:r>
      <w:r w:rsidRPr="001D5481">
        <w:rPr>
          <w:rFonts w:eastAsia="Times New Roman" w:cs="Arial"/>
          <w:color w:val="000000"/>
          <w:lang w:val="en-US"/>
        </w:rPr>
        <w:t xml:space="preserve">(Child Pugh </w:t>
      </w:r>
      <w:r w:rsidRPr="001D5481">
        <w:rPr>
          <w:rFonts w:eastAsia="Times New Roman" w:cs="Arial"/>
          <w:color w:val="000000"/>
          <w:lang w:eastAsia="bg-BG"/>
        </w:rPr>
        <w:t xml:space="preserve">В) чернодробно увреждане спрямо тези при пациенти с нормална чернодробна функция, пероралния клирънс на нифедипин се понижава средно с 48% </w:t>
      </w:r>
      <w:r w:rsidRPr="001D5481">
        <w:rPr>
          <w:rFonts w:eastAsia="Times New Roman" w:cs="Arial"/>
          <w:color w:val="000000"/>
          <w:lang w:val="en-US"/>
        </w:rPr>
        <w:t xml:space="preserve">(Child Pugh </w:t>
      </w:r>
      <w:r w:rsidRPr="001D5481">
        <w:rPr>
          <w:rFonts w:eastAsia="Times New Roman" w:cs="Arial"/>
          <w:color w:val="000000"/>
          <w:lang w:eastAsia="bg-BG"/>
        </w:rPr>
        <w:t xml:space="preserve">А) и 72% </w:t>
      </w:r>
      <w:r w:rsidRPr="001D5481">
        <w:rPr>
          <w:rFonts w:eastAsia="Times New Roman" w:cs="Arial"/>
          <w:color w:val="000000"/>
          <w:lang w:val="en-US"/>
        </w:rPr>
        <w:t xml:space="preserve">(Child Pugh </w:t>
      </w:r>
      <w:r w:rsidRPr="001D5481">
        <w:rPr>
          <w:rFonts w:eastAsia="Times New Roman" w:cs="Arial"/>
          <w:color w:val="000000"/>
          <w:lang w:eastAsia="bg-BG"/>
        </w:rPr>
        <w:t xml:space="preserve">В). В резултат на това, </w:t>
      </w:r>
      <w:r w:rsidRPr="001D5481">
        <w:rPr>
          <w:rFonts w:eastAsia="Times New Roman" w:cs="Arial"/>
          <w:color w:val="000000"/>
          <w:lang w:val="en-US"/>
        </w:rPr>
        <w:t xml:space="preserve">AUC </w:t>
      </w:r>
      <w:r w:rsidRPr="001D5481">
        <w:rPr>
          <w:rFonts w:eastAsia="Times New Roman" w:cs="Arial"/>
          <w:color w:val="000000"/>
          <w:lang w:eastAsia="bg-BG"/>
        </w:rPr>
        <w:t>и С</w:t>
      </w:r>
      <w:r w:rsidRPr="001D5481">
        <w:rPr>
          <w:rFonts w:eastAsia="Times New Roman" w:cs="Arial"/>
          <w:color w:val="000000"/>
          <w:lang w:val="en-US"/>
        </w:rPr>
        <w:t>m</w:t>
      </w:r>
      <w:r w:rsidRPr="001D5481">
        <w:rPr>
          <w:rFonts w:eastAsia="Times New Roman" w:cs="Arial"/>
          <w:color w:val="000000"/>
          <w:lang w:eastAsia="bg-BG"/>
        </w:rPr>
        <w:t xml:space="preserve">ах на нифедипин се увеличават средно с 93% и 64% </w:t>
      </w:r>
      <w:r w:rsidRPr="001D5481">
        <w:rPr>
          <w:rFonts w:eastAsia="Times New Roman" w:cs="Arial"/>
          <w:color w:val="000000"/>
          <w:lang w:val="en-US"/>
        </w:rPr>
        <w:t xml:space="preserve">(Child Pugh </w:t>
      </w:r>
      <w:r w:rsidRPr="001D5481">
        <w:rPr>
          <w:rFonts w:eastAsia="Times New Roman" w:cs="Arial"/>
          <w:color w:val="000000"/>
          <w:lang w:eastAsia="bg-BG"/>
        </w:rPr>
        <w:t xml:space="preserve">А) и 253% и 171% </w:t>
      </w:r>
      <w:r w:rsidRPr="001D5481">
        <w:rPr>
          <w:rFonts w:eastAsia="Times New Roman" w:cs="Arial"/>
          <w:color w:val="000000"/>
          <w:lang w:val="en-US"/>
        </w:rPr>
        <w:t xml:space="preserve">(Child Pugh </w:t>
      </w:r>
      <w:r w:rsidRPr="001D5481">
        <w:rPr>
          <w:rFonts w:eastAsia="Times New Roman" w:cs="Arial"/>
          <w:color w:val="000000"/>
          <w:lang w:eastAsia="bg-BG"/>
        </w:rPr>
        <w:t>В) в сравнение с пациентите с нормална чернодробна функция. Фармакокинетиката на нифедипин не е изследвана при пациенти с тежка чернодробна недостатъчност (вижте т. 4.4).</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20E967BE" w14:textId="751DCF54" w:rsidR="0091385D" w:rsidRPr="001D5481" w:rsidRDefault="0091385D" w:rsidP="0091385D">
      <w:pPr>
        <w:rPr>
          <w:rFonts w:cs="Arial"/>
        </w:rPr>
      </w:pPr>
    </w:p>
    <w:p w14:paraId="3AD29A44" w14:textId="77777777" w:rsidR="001D5481" w:rsidRPr="001D5481" w:rsidRDefault="001D5481" w:rsidP="001D5481">
      <w:pPr>
        <w:spacing w:line="240" w:lineRule="auto"/>
        <w:rPr>
          <w:rFonts w:eastAsia="Times New Roman" w:cs="Arial"/>
          <w:lang w:eastAsia="bg-BG"/>
        </w:rPr>
      </w:pPr>
      <w:r w:rsidRPr="001D5481">
        <w:rPr>
          <w:rFonts w:eastAsia="Times New Roman" w:cs="Arial"/>
          <w:color w:val="000000"/>
          <w:lang w:eastAsia="bg-BG"/>
        </w:rPr>
        <w:t>Предклиничните данни не показват особен риск за хората на база иа конвенционалните изпитвания за остра и хронична токсичност, генотоксичност и карциногенен потенциал.</w:t>
      </w:r>
    </w:p>
    <w:p w14:paraId="6E006FC5" w14:textId="77777777" w:rsidR="001D5481" w:rsidRPr="001D5481" w:rsidRDefault="001D5481" w:rsidP="001D5481">
      <w:pPr>
        <w:spacing w:line="240" w:lineRule="auto"/>
        <w:rPr>
          <w:rFonts w:eastAsia="Times New Roman" w:cs="Arial"/>
          <w:color w:val="000000"/>
          <w:u w:val="single"/>
          <w:lang w:eastAsia="bg-BG"/>
        </w:rPr>
      </w:pPr>
    </w:p>
    <w:p w14:paraId="3C75017D" w14:textId="3CFDC1CB" w:rsidR="001D5481" w:rsidRPr="001D5481" w:rsidRDefault="001D5481" w:rsidP="001D5481">
      <w:pPr>
        <w:spacing w:line="240" w:lineRule="auto"/>
        <w:rPr>
          <w:rFonts w:eastAsia="Times New Roman" w:cs="Arial"/>
          <w:lang w:eastAsia="bg-BG"/>
        </w:rPr>
      </w:pPr>
      <w:r w:rsidRPr="001D5481">
        <w:rPr>
          <w:rFonts w:eastAsia="Times New Roman" w:cs="Arial"/>
          <w:color w:val="000000"/>
          <w:u w:val="single"/>
          <w:lang w:eastAsia="bg-BG"/>
        </w:rPr>
        <w:t>Остра токсичност</w:t>
      </w:r>
    </w:p>
    <w:p w14:paraId="13A7B62A" w14:textId="6FC6E9A1" w:rsidR="007A2185" w:rsidRPr="001D5481" w:rsidRDefault="001D5481" w:rsidP="001D5481">
      <w:pPr>
        <w:rPr>
          <w:rFonts w:cs="Arial"/>
        </w:rPr>
      </w:pPr>
      <w:r w:rsidRPr="001D5481">
        <w:rPr>
          <w:rFonts w:eastAsia="Times New Roman" w:cs="Arial"/>
          <w:color w:val="000000"/>
          <w:lang w:eastAsia="bg-BG"/>
        </w:rPr>
        <w:t>Остра токсичност е изследвана при различни животински видове и отделните резултати са представени в следната таблица:</w:t>
      </w:r>
    </w:p>
    <w:p w14:paraId="12FFA9B2" w14:textId="7AF7F5FC" w:rsidR="007A2185" w:rsidRDefault="007A2185" w:rsidP="0091385D"/>
    <w:tbl>
      <w:tblPr>
        <w:tblStyle w:val="TableGrid"/>
        <w:tblW w:w="0" w:type="auto"/>
        <w:tblLook w:val="04A0" w:firstRow="1" w:lastRow="0" w:firstColumn="1" w:lastColumn="0" w:noHBand="0" w:noVBand="1"/>
      </w:tblPr>
      <w:tblGrid>
        <w:gridCol w:w="3116"/>
        <w:gridCol w:w="3117"/>
        <w:gridCol w:w="3117"/>
      </w:tblGrid>
      <w:tr w:rsidR="001D5481" w:rsidRPr="000302F5" w14:paraId="57D74C5F" w14:textId="77777777" w:rsidTr="00AB2542">
        <w:tc>
          <w:tcPr>
            <w:tcW w:w="3116" w:type="dxa"/>
            <w:vMerge w:val="restart"/>
          </w:tcPr>
          <w:p w14:paraId="4AECCEE5" w14:textId="77777777" w:rsidR="001D5481" w:rsidRPr="000302F5" w:rsidRDefault="001D5481" w:rsidP="0091385D">
            <w:pPr>
              <w:rPr>
                <w:rFonts w:cs="Arial"/>
              </w:rPr>
            </w:pPr>
          </w:p>
        </w:tc>
        <w:tc>
          <w:tcPr>
            <w:tcW w:w="6234" w:type="dxa"/>
            <w:gridSpan w:val="2"/>
          </w:tcPr>
          <w:p w14:paraId="55C73F61" w14:textId="7CF59A57" w:rsidR="001D5481" w:rsidRPr="000302F5" w:rsidRDefault="001D5481" w:rsidP="0091385D">
            <w:pPr>
              <w:rPr>
                <w:rFonts w:cs="Arial"/>
              </w:rPr>
            </w:pPr>
            <w:r w:rsidRPr="000302F5">
              <w:rPr>
                <w:rFonts w:cs="Arial"/>
                <w:smallCaps/>
              </w:rPr>
              <w:t>LD</w:t>
            </w:r>
            <w:r w:rsidRPr="000302F5">
              <w:rPr>
                <w:rFonts w:cs="Arial"/>
                <w:smallCaps/>
                <w:vertAlign w:val="subscript"/>
              </w:rPr>
              <w:t>50</w:t>
            </w:r>
            <w:r w:rsidRPr="000302F5">
              <w:rPr>
                <w:rFonts w:cs="Arial"/>
              </w:rPr>
              <w:t>(mg/kg)</w:t>
            </w:r>
          </w:p>
        </w:tc>
      </w:tr>
      <w:tr w:rsidR="001D5481" w:rsidRPr="000302F5" w14:paraId="4D901BE4" w14:textId="77777777" w:rsidTr="001D5481">
        <w:tc>
          <w:tcPr>
            <w:tcW w:w="3116" w:type="dxa"/>
            <w:vMerge/>
          </w:tcPr>
          <w:p w14:paraId="7999B412" w14:textId="77777777" w:rsidR="001D5481" w:rsidRPr="000302F5" w:rsidRDefault="001D5481" w:rsidP="001D5481">
            <w:pPr>
              <w:rPr>
                <w:rFonts w:cs="Arial"/>
              </w:rPr>
            </w:pPr>
          </w:p>
        </w:tc>
        <w:tc>
          <w:tcPr>
            <w:tcW w:w="3117" w:type="dxa"/>
          </w:tcPr>
          <w:p w14:paraId="189E1565" w14:textId="433BD0D4" w:rsidR="001D5481" w:rsidRPr="000302F5" w:rsidRDefault="001D5481" w:rsidP="001D5481">
            <w:pPr>
              <w:rPr>
                <w:rFonts w:cs="Arial"/>
              </w:rPr>
            </w:pPr>
            <w:r w:rsidRPr="000302F5">
              <w:rPr>
                <w:rFonts w:cs="Arial"/>
                <w:i/>
                <w:iCs/>
              </w:rPr>
              <w:t>перорално</w:t>
            </w:r>
          </w:p>
        </w:tc>
        <w:tc>
          <w:tcPr>
            <w:tcW w:w="3117" w:type="dxa"/>
          </w:tcPr>
          <w:p w14:paraId="03A78B1A" w14:textId="68C72B68" w:rsidR="001D5481" w:rsidRPr="000302F5" w:rsidRDefault="001D5481" w:rsidP="001D5481">
            <w:pPr>
              <w:rPr>
                <w:rFonts w:cs="Arial"/>
              </w:rPr>
            </w:pPr>
            <w:r w:rsidRPr="000302F5">
              <w:rPr>
                <w:rFonts w:cs="Arial"/>
                <w:i/>
                <w:iCs/>
              </w:rPr>
              <w:t>интравенозно</w:t>
            </w:r>
          </w:p>
        </w:tc>
      </w:tr>
      <w:tr w:rsidR="001D5481" w:rsidRPr="000302F5" w14:paraId="5F6460ED" w14:textId="77777777" w:rsidTr="001D5481">
        <w:tc>
          <w:tcPr>
            <w:tcW w:w="3116" w:type="dxa"/>
          </w:tcPr>
          <w:p w14:paraId="2C8AE38E" w14:textId="268CDED3" w:rsidR="001D5481" w:rsidRPr="000302F5" w:rsidRDefault="001D5481" w:rsidP="001D5481">
            <w:pPr>
              <w:rPr>
                <w:rFonts w:cs="Arial"/>
              </w:rPr>
            </w:pPr>
            <w:r w:rsidRPr="000302F5">
              <w:rPr>
                <w:rFonts w:cs="Arial"/>
              </w:rPr>
              <w:t>Мишка</w:t>
            </w:r>
          </w:p>
        </w:tc>
        <w:tc>
          <w:tcPr>
            <w:tcW w:w="3117" w:type="dxa"/>
          </w:tcPr>
          <w:p w14:paraId="67487D60" w14:textId="3BD91F2E" w:rsidR="001D5481" w:rsidRPr="000302F5" w:rsidRDefault="001D5481" w:rsidP="001D5481">
            <w:pPr>
              <w:rPr>
                <w:rFonts w:cs="Arial"/>
              </w:rPr>
            </w:pPr>
            <w:r w:rsidRPr="000302F5">
              <w:rPr>
                <w:rFonts w:cs="Arial"/>
              </w:rPr>
              <w:t>494 (421-572)*</w:t>
            </w:r>
          </w:p>
        </w:tc>
        <w:tc>
          <w:tcPr>
            <w:tcW w:w="3117" w:type="dxa"/>
          </w:tcPr>
          <w:p w14:paraId="62FEADF4" w14:textId="138DFEDB" w:rsidR="001D5481" w:rsidRPr="000302F5" w:rsidRDefault="001D5481" w:rsidP="001D5481">
            <w:pPr>
              <w:rPr>
                <w:rFonts w:cs="Arial"/>
              </w:rPr>
            </w:pPr>
            <w:r w:rsidRPr="000302F5">
              <w:rPr>
                <w:rFonts w:cs="Arial"/>
              </w:rPr>
              <w:t>4,2 (3,8-4,6)*</w:t>
            </w:r>
          </w:p>
        </w:tc>
      </w:tr>
      <w:tr w:rsidR="001D5481" w:rsidRPr="000302F5" w14:paraId="3A208322" w14:textId="77777777" w:rsidTr="001D5481">
        <w:tc>
          <w:tcPr>
            <w:tcW w:w="3116" w:type="dxa"/>
          </w:tcPr>
          <w:p w14:paraId="28E74488" w14:textId="054CFB5B" w:rsidR="001D5481" w:rsidRPr="000302F5" w:rsidRDefault="001D5481" w:rsidP="001D5481">
            <w:pPr>
              <w:rPr>
                <w:rFonts w:cs="Arial"/>
              </w:rPr>
            </w:pPr>
            <w:r w:rsidRPr="000302F5">
              <w:rPr>
                <w:rFonts w:cs="Arial"/>
              </w:rPr>
              <w:t>Плъх</w:t>
            </w:r>
          </w:p>
        </w:tc>
        <w:tc>
          <w:tcPr>
            <w:tcW w:w="3117" w:type="dxa"/>
          </w:tcPr>
          <w:p w14:paraId="4B3CE67A" w14:textId="4976D48D" w:rsidR="001D5481" w:rsidRPr="000302F5" w:rsidRDefault="001D5481" w:rsidP="001D5481">
            <w:pPr>
              <w:rPr>
                <w:rFonts w:cs="Arial"/>
              </w:rPr>
            </w:pPr>
            <w:r w:rsidRPr="000302F5">
              <w:rPr>
                <w:rFonts w:cs="Arial"/>
              </w:rPr>
              <w:t>1022 (650-1087)*</w:t>
            </w:r>
          </w:p>
        </w:tc>
        <w:tc>
          <w:tcPr>
            <w:tcW w:w="3117" w:type="dxa"/>
          </w:tcPr>
          <w:p w14:paraId="7A62C4B0" w14:textId="6EC4F984" w:rsidR="001D5481" w:rsidRPr="000302F5" w:rsidRDefault="001D5481" w:rsidP="001D5481">
            <w:pPr>
              <w:rPr>
                <w:rFonts w:cs="Arial"/>
              </w:rPr>
            </w:pPr>
            <w:r w:rsidRPr="000302F5">
              <w:rPr>
                <w:rFonts w:cs="Arial"/>
              </w:rPr>
              <w:t>15,5 (13,7-17,5)*</w:t>
            </w:r>
          </w:p>
        </w:tc>
      </w:tr>
      <w:tr w:rsidR="001D5481" w:rsidRPr="000302F5" w14:paraId="4668C367" w14:textId="77777777" w:rsidTr="001D5481">
        <w:tc>
          <w:tcPr>
            <w:tcW w:w="3116" w:type="dxa"/>
          </w:tcPr>
          <w:p w14:paraId="0C53781C" w14:textId="75537619" w:rsidR="001D5481" w:rsidRPr="000302F5" w:rsidRDefault="001D5481" w:rsidP="001D5481">
            <w:pPr>
              <w:rPr>
                <w:rFonts w:cs="Arial"/>
              </w:rPr>
            </w:pPr>
            <w:r w:rsidRPr="000302F5">
              <w:rPr>
                <w:rFonts w:cs="Arial"/>
              </w:rPr>
              <w:t>Заек</w:t>
            </w:r>
          </w:p>
        </w:tc>
        <w:tc>
          <w:tcPr>
            <w:tcW w:w="3117" w:type="dxa"/>
          </w:tcPr>
          <w:p w14:paraId="79338BF5" w14:textId="15A5240F" w:rsidR="001D5481" w:rsidRPr="000302F5" w:rsidRDefault="001D5481" w:rsidP="001D5481">
            <w:pPr>
              <w:rPr>
                <w:rFonts w:cs="Arial"/>
              </w:rPr>
            </w:pPr>
            <w:r w:rsidRPr="000302F5">
              <w:rPr>
                <w:rFonts w:cs="Arial"/>
              </w:rPr>
              <w:t>250-500</w:t>
            </w:r>
          </w:p>
        </w:tc>
        <w:tc>
          <w:tcPr>
            <w:tcW w:w="3117" w:type="dxa"/>
          </w:tcPr>
          <w:p w14:paraId="498D2246" w14:textId="7B650486" w:rsidR="001D5481" w:rsidRPr="000302F5" w:rsidRDefault="001D5481" w:rsidP="001D5481">
            <w:pPr>
              <w:rPr>
                <w:rFonts w:cs="Arial"/>
              </w:rPr>
            </w:pPr>
            <w:r w:rsidRPr="000302F5">
              <w:rPr>
                <w:rFonts w:cs="Arial"/>
              </w:rPr>
              <w:t>2-3</w:t>
            </w:r>
          </w:p>
        </w:tc>
      </w:tr>
      <w:tr w:rsidR="001D5481" w:rsidRPr="000302F5" w14:paraId="424B6254" w14:textId="77777777" w:rsidTr="001D5481">
        <w:tc>
          <w:tcPr>
            <w:tcW w:w="3116" w:type="dxa"/>
          </w:tcPr>
          <w:p w14:paraId="3C1D1671" w14:textId="1DE68516" w:rsidR="001D5481" w:rsidRPr="000302F5" w:rsidRDefault="001D5481" w:rsidP="001D5481">
            <w:pPr>
              <w:rPr>
                <w:rFonts w:cs="Arial"/>
              </w:rPr>
            </w:pPr>
            <w:r w:rsidRPr="000302F5">
              <w:rPr>
                <w:rFonts w:cs="Arial"/>
              </w:rPr>
              <w:t>Котка</w:t>
            </w:r>
          </w:p>
        </w:tc>
        <w:tc>
          <w:tcPr>
            <w:tcW w:w="3117" w:type="dxa"/>
          </w:tcPr>
          <w:p w14:paraId="42F2C697" w14:textId="6D6B87E8" w:rsidR="001D5481" w:rsidRPr="000302F5" w:rsidRDefault="001D5481" w:rsidP="001D5481">
            <w:pPr>
              <w:rPr>
                <w:rFonts w:cs="Arial"/>
              </w:rPr>
            </w:pPr>
            <w:r w:rsidRPr="000302F5">
              <w:rPr>
                <w:rFonts w:cs="Arial"/>
              </w:rPr>
              <w:t>-100</w:t>
            </w:r>
          </w:p>
        </w:tc>
        <w:tc>
          <w:tcPr>
            <w:tcW w:w="3117" w:type="dxa"/>
          </w:tcPr>
          <w:p w14:paraId="76B96B04" w14:textId="5149B99B" w:rsidR="001D5481" w:rsidRPr="000302F5" w:rsidRDefault="001D5481" w:rsidP="001D5481">
            <w:pPr>
              <w:rPr>
                <w:rFonts w:cs="Arial"/>
              </w:rPr>
            </w:pPr>
            <w:r w:rsidRPr="000302F5">
              <w:rPr>
                <w:rFonts w:cs="Arial"/>
              </w:rPr>
              <w:t>0,5-8</w:t>
            </w:r>
          </w:p>
        </w:tc>
      </w:tr>
      <w:tr w:rsidR="001D5481" w:rsidRPr="000302F5" w14:paraId="128F0419" w14:textId="77777777" w:rsidTr="001D5481">
        <w:tc>
          <w:tcPr>
            <w:tcW w:w="3116" w:type="dxa"/>
          </w:tcPr>
          <w:p w14:paraId="6107FD51" w14:textId="2F8C54F7" w:rsidR="001D5481" w:rsidRPr="000302F5" w:rsidRDefault="001D5481" w:rsidP="001D5481">
            <w:pPr>
              <w:rPr>
                <w:rFonts w:cs="Arial"/>
              </w:rPr>
            </w:pPr>
            <w:r w:rsidRPr="000302F5">
              <w:rPr>
                <w:rFonts w:cs="Arial"/>
              </w:rPr>
              <w:t>Куче</w:t>
            </w:r>
          </w:p>
        </w:tc>
        <w:tc>
          <w:tcPr>
            <w:tcW w:w="3117" w:type="dxa"/>
          </w:tcPr>
          <w:p w14:paraId="0A8DED3D" w14:textId="14623F8F" w:rsidR="001D5481" w:rsidRPr="000302F5" w:rsidRDefault="001D5481" w:rsidP="001D5481">
            <w:pPr>
              <w:rPr>
                <w:rFonts w:cs="Arial"/>
              </w:rPr>
            </w:pPr>
            <w:r w:rsidRPr="000302F5">
              <w:rPr>
                <w:rFonts w:cs="Arial"/>
              </w:rPr>
              <w:t>&gt;250</w:t>
            </w:r>
          </w:p>
        </w:tc>
        <w:tc>
          <w:tcPr>
            <w:tcW w:w="3117" w:type="dxa"/>
          </w:tcPr>
          <w:p w14:paraId="01D2E45A" w14:textId="182D1908" w:rsidR="001D5481" w:rsidRPr="000302F5" w:rsidRDefault="001D5481" w:rsidP="001D5481">
            <w:pPr>
              <w:rPr>
                <w:rFonts w:cs="Arial"/>
              </w:rPr>
            </w:pPr>
            <w:r w:rsidRPr="000302F5">
              <w:rPr>
                <w:rFonts w:cs="Arial"/>
              </w:rPr>
              <w:t>2-3</w:t>
            </w:r>
          </w:p>
        </w:tc>
      </w:tr>
      <w:tr w:rsidR="001D5481" w:rsidRPr="000302F5" w14:paraId="45148FAF" w14:textId="77777777" w:rsidTr="00937EF3">
        <w:tc>
          <w:tcPr>
            <w:tcW w:w="9350" w:type="dxa"/>
            <w:gridSpan w:val="3"/>
          </w:tcPr>
          <w:p w14:paraId="6EA4D88D" w14:textId="1FE40770" w:rsidR="001D5481" w:rsidRPr="000302F5" w:rsidRDefault="001D5481" w:rsidP="0091385D">
            <w:pPr>
              <w:rPr>
                <w:rFonts w:cs="Arial"/>
              </w:rPr>
            </w:pPr>
            <w:r w:rsidRPr="000302F5">
              <w:rPr>
                <w:rFonts w:cs="Arial"/>
              </w:rPr>
              <w:t>*95 % доверителен интервал</w:t>
            </w:r>
          </w:p>
        </w:tc>
      </w:tr>
    </w:tbl>
    <w:p w14:paraId="15A4D17D" w14:textId="09FE1CF9" w:rsidR="001D5481" w:rsidRPr="000302F5" w:rsidRDefault="001D5481" w:rsidP="0091385D">
      <w:pPr>
        <w:rPr>
          <w:rFonts w:cs="Arial"/>
        </w:rPr>
      </w:pPr>
    </w:p>
    <w:p w14:paraId="0F89AF18" w14:textId="77777777" w:rsidR="000302F5" w:rsidRPr="000302F5" w:rsidRDefault="000302F5" w:rsidP="000302F5">
      <w:pPr>
        <w:spacing w:line="240" w:lineRule="auto"/>
        <w:rPr>
          <w:rFonts w:eastAsia="Times New Roman" w:cs="Arial"/>
          <w:lang w:eastAsia="bg-BG"/>
        </w:rPr>
      </w:pPr>
      <w:r w:rsidRPr="000302F5">
        <w:rPr>
          <w:rFonts w:eastAsia="Times New Roman" w:cs="Arial"/>
          <w:color w:val="000000"/>
          <w:u w:val="single"/>
          <w:lang w:eastAsia="bg-BG"/>
        </w:rPr>
        <w:t>Подостра и субхронична токсичност</w:t>
      </w:r>
    </w:p>
    <w:p w14:paraId="300EF214" w14:textId="77777777" w:rsidR="000302F5" w:rsidRPr="000302F5" w:rsidRDefault="000302F5" w:rsidP="000302F5">
      <w:pPr>
        <w:spacing w:line="240" w:lineRule="auto"/>
        <w:rPr>
          <w:rFonts w:eastAsia="Times New Roman" w:cs="Arial"/>
          <w:lang w:eastAsia="bg-BG"/>
        </w:rPr>
      </w:pPr>
      <w:r w:rsidRPr="000302F5">
        <w:rPr>
          <w:rFonts w:eastAsia="Times New Roman" w:cs="Arial"/>
          <w:color w:val="000000"/>
          <w:lang w:eastAsia="bg-BG"/>
        </w:rPr>
        <w:t xml:space="preserve">Дневна перорална доза плъхове (50 </w:t>
      </w:r>
      <w:r w:rsidRPr="000302F5">
        <w:rPr>
          <w:rFonts w:eastAsia="Times New Roman" w:cs="Arial"/>
          <w:color w:val="000000"/>
          <w:lang w:val="en-US"/>
        </w:rPr>
        <w:t xml:space="preserve">mg/kg </w:t>
      </w:r>
      <w:r w:rsidRPr="000302F5">
        <w:rPr>
          <w:rFonts w:eastAsia="Times New Roman" w:cs="Arial"/>
          <w:color w:val="000000"/>
          <w:lang w:eastAsia="bg-BG"/>
        </w:rPr>
        <w:t xml:space="preserve">телесно тегло) и кучета (100 </w:t>
      </w:r>
      <w:r w:rsidRPr="000302F5">
        <w:rPr>
          <w:rFonts w:eastAsia="Times New Roman" w:cs="Arial"/>
          <w:color w:val="000000"/>
          <w:lang w:val="en-US"/>
        </w:rPr>
        <w:t xml:space="preserve">mg/kg </w:t>
      </w:r>
      <w:r w:rsidRPr="000302F5">
        <w:rPr>
          <w:rFonts w:eastAsia="Times New Roman" w:cs="Arial"/>
          <w:color w:val="000000"/>
          <w:lang w:eastAsia="bg-BG"/>
        </w:rPr>
        <w:t>телесно тегло) се понася добре без токсични ефекти, съответно за период от 13 дни до 4 седмици.</w:t>
      </w:r>
    </w:p>
    <w:p w14:paraId="4869C940" w14:textId="77777777" w:rsidR="000302F5" w:rsidRPr="000302F5" w:rsidRDefault="000302F5" w:rsidP="000302F5">
      <w:pPr>
        <w:spacing w:line="240" w:lineRule="auto"/>
        <w:rPr>
          <w:rFonts w:eastAsia="Times New Roman" w:cs="Arial"/>
          <w:lang w:eastAsia="bg-BG"/>
        </w:rPr>
      </w:pPr>
      <w:r w:rsidRPr="000302F5">
        <w:rPr>
          <w:rFonts w:eastAsia="Times New Roman" w:cs="Arial"/>
          <w:color w:val="000000"/>
          <w:lang w:eastAsia="bg-BG"/>
        </w:rPr>
        <w:t xml:space="preserve">Кучетата понасят добре доза от 0,1 </w:t>
      </w:r>
      <w:r w:rsidRPr="000302F5">
        <w:rPr>
          <w:rFonts w:eastAsia="Times New Roman" w:cs="Arial"/>
          <w:color w:val="000000"/>
          <w:lang w:val="en-US"/>
        </w:rPr>
        <w:t xml:space="preserve">mg/kg </w:t>
      </w:r>
      <w:r w:rsidRPr="000302F5">
        <w:rPr>
          <w:rFonts w:eastAsia="Times New Roman" w:cs="Arial"/>
          <w:color w:val="000000"/>
          <w:lang w:eastAsia="bg-BG"/>
        </w:rPr>
        <w:t xml:space="preserve">телесно тегло/дневно, въведена интравенозно в продължение на 6 дни. Плъховете понасят добре доза от 2,5 </w:t>
      </w:r>
      <w:r w:rsidRPr="000302F5">
        <w:rPr>
          <w:rFonts w:eastAsia="Times New Roman" w:cs="Arial"/>
          <w:color w:val="000000"/>
          <w:lang w:val="en-US"/>
        </w:rPr>
        <w:t xml:space="preserve">mg/kg </w:t>
      </w:r>
      <w:r w:rsidRPr="000302F5">
        <w:rPr>
          <w:rFonts w:eastAsia="Times New Roman" w:cs="Arial"/>
          <w:color w:val="000000"/>
          <w:lang w:eastAsia="bg-BG"/>
        </w:rPr>
        <w:t>телесно тегло, приложена интравенозно за период повече от 3 седмици, без белези на увреждане.</w:t>
      </w:r>
    </w:p>
    <w:p w14:paraId="025DD3C2" w14:textId="77777777" w:rsidR="000302F5" w:rsidRPr="000302F5" w:rsidRDefault="000302F5" w:rsidP="000302F5">
      <w:pPr>
        <w:rPr>
          <w:rFonts w:eastAsia="Times New Roman" w:cs="Arial"/>
          <w:color w:val="000000"/>
          <w:u w:val="single"/>
          <w:lang w:eastAsia="bg-BG"/>
        </w:rPr>
      </w:pPr>
    </w:p>
    <w:p w14:paraId="74AA224B" w14:textId="649170FF" w:rsidR="001D5481" w:rsidRPr="000302F5" w:rsidRDefault="000302F5" w:rsidP="000302F5">
      <w:pPr>
        <w:rPr>
          <w:rFonts w:eastAsia="Times New Roman" w:cs="Arial"/>
          <w:color w:val="000000"/>
          <w:u w:val="single"/>
          <w:lang w:eastAsia="bg-BG"/>
        </w:rPr>
      </w:pPr>
      <w:r w:rsidRPr="000302F5">
        <w:rPr>
          <w:rFonts w:eastAsia="Times New Roman" w:cs="Arial"/>
          <w:color w:val="000000"/>
          <w:u w:val="single"/>
          <w:lang w:eastAsia="bg-BG"/>
        </w:rPr>
        <w:t>Хронична токсичност</w:t>
      </w:r>
    </w:p>
    <w:p w14:paraId="06FA4C45" w14:textId="77777777" w:rsidR="000302F5" w:rsidRPr="000302F5" w:rsidRDefault="000302F5" w:rsidP="000302F5">
      <w:pPr>
        <w:spacing w:line="240" w:lineRule="auto"/>
        <w:rPr>
          <w:rFonts w:eastAsia="Times New Roman" w:cs="Arial"/>
          <w:lang w:eastAsia="bg-BG"/>
        </w:rPr>
      </w:pPr>
      <w:r w:rsidRPr="000302F5">
        <w:rPr>
          <w:rFonts w:eastAsia="Times New Roman" w:cs="Arial"/>
          <w:color w:val="000000"/>
          <w:lang w:eastAsia="bg-BG"/>
        </w:rPr>
        <w:lastRenderedPageBreak/>
        <w:t xml:space="preserve">Кучетата понасят добре перорално въведена доза от 100 </w:t>
      </w:r>
      <w:r w:rsidRPr="000302F5">
        <w:rPr>
          <w:rFonts w:eastAsia="Times New Roman" w:cs="Arial"/>
          <w:color w:val="000000"/>
          <w:lang w:val="en-US"/>
        </w:rPr>
        <w:t xml:space="preserve">mg/kg </w:t>
      </w:r>
      <w:r w:rsidRPr="000302F5">
        <w:rPr>
          <w:rFonts w:eastAsia="Times New Roman" w:cs="Arial"/>
          <w:color w:val="000000"/>
          <w:lang w:eastAsia="bg-BG"/>
        </w:rPr>
        <w:t xml:space="preserve">телесно тегло дневно в продължение на повече от една година без токсично увреждане. При плъхове токсичните ефекти се появяват при концентрации над 100 </w:t>
      </w:r>
      <w:r w:rsidRPr="000302F5">
        <w:rPr>
          <w:rFonts w:eastAsia="Times New Roman" w:cs="Arial"/>
          <w:color w:val="000000"/>
          <w:lang w:val="en-US"/>
        </w:rPr>
        <w:t xml:space="preserve">ppm </w:t>
      </w:r>
      <w:r w:rsidRPr="000302F5">
        <w:rPr>
          <w:rFonts w:eastAsia="Times New Roman" w:cs="Arial"/>
          <w:color w:val="000000"/>
          <w:lang w:eastAsia="bg-BG"/>
        </w:rPr>
        <w:t xml:space="preserve">в храната (5-7 </w:t>
      </w:r>
      <w:r w:rsidRPr="000302F5">
        <w:rPr>
          <w:rFonts w:eastAsia="Times New Roman" w:cs="Arial"/>
          <w:color w:val="000000"/>
          <w:lang w:val="en-US"/>
        </w:rPr>
        <w:t xml:space="preserve">mg/kg </w:t>
      </w:r>
      <w:r w:rsidRPr="000302F5">
        <w:rPr>
          <w:rFonts w:eastAsia="Times New Roman" w:cs="Arial"/>
          <w:color w:val="000000"/>
          <w:lang w:eastAsia="bg-BG"/>
        </w:rPr>
        <w:t>телесно тегло).</w:t>
      </w:r>
    </w:p>
    <w:p w14:paraId="3409B627" w14:textId="77777777" w:rsidR="000302F5" w:rsidRPr="000302F5" w:rsidRDefault="000302F5" w:rsidP="000302F5">
      <w:pPr>
        <w:spacing w:line="240" w:lineRule="auto"/>
        <w:rPr>
          <w:rFonts w:eastAsia="Times New Roman" w:cs="Arial"/>
          <w:color w:val="000000"/>
          <w:u w:val="single"/>
          <w:lang w:eastAsia="bg-BG"/>
        </w:rPr>
      </w:pPr>
    </w:p>
    <w:p w14:paraId="4B4C9742" w14:textId="073915E5" w:rsidR="000302F5" w:rsidRPr="000302F5" w:rsidRDefault="000302F5" w:rsidP="000302F5">
      <w:pPr>
        <w:spacing w:line="240" w:lineRule="auto"/>
        <w:rPr>
          <w:rFonts w:eastAsia="Times New Roman" w:cs="Arial"/>
          <w:lang w:eastAsia="bg-BG"/>
        </w:rPr>
      </w:pPr>
      <w:r w:rsidRPr="000302F5">
        <w:rPr>
          <w:rFonts w:eastAsia="Times New Roman" w:cs="Arial"/>
          <w:color w:val="000000"/>
          <w:u w:val="single"/>
          <w:lang w:eastAsia="bg-BG"/>
        </w:rPr>
        <w:t>Канцерогенност</w:t>
      </w:r>
    </w:p>
    <w:p w14:paraId="54538E8D" w14:textId="77777777" w:rsidR="000302F5" w:rsidRPr="000302F5" w:rsidRDefault="000302F5" w:rsidP="000302F5">
      <w:pPr>
        <w:spacing w:line="240" w:lineRule="auto"/>
        <w:rPr>
          <w:rFonts w:eastAsia="Times New Roman" w:cs="Arial"/>
          <w:lang w:eastAsia="bg-BG"/>
        </w:rPr>
      </w:pPr>
      <w:r w:rsidRPr="000302F5">
        <w:rPr>
          <w:rFonts w:eastAsia="Times New Roman" w:cs="Arial"/>
          <w:color w:val="000000"/>
          <w:lang w:eastAsia="bg-BG"/>
        </w:rPr>
        <w:t>Продължително проучване при плъхове (2 години) не показва данни за канцерогенен ефект на нифедипин.</w:t>
      </w:r>
    </w:p>
    <w:p w14:paraId="65805490" w14:textId="77777777" w:rsidR="000302F5" w:rsidRPr="000302F5" w:rsidRDefault="000302F5" w:rsidP="000302F5">
      <w:pPr>
        <w:spacing w:line="240" w:lineRule="auto"/>
        <w:rPr>
          <w:rFonts w:eastAsia="Times New Roman" w:cs="Arial"/>
          <w:color w:val="000000"/>
          <w:u w:val="single"/>
          <w:lang w:eastAsia="bg-BG"/>
        </w:rPr>
      </w:pPr>
    </w:p>
    <w:p w14:paraId="24908D51" w14:textId="4710AB16" w:rsidR="000302F5" w:rsidRPr="000302F5" w:rsidRDefault="000302F5" w:rsidP="000302F5">
      <w:pPr>
        <w:spacing w:line="240" w:lineRule="auto"/>
        <w:rPr>
          <w:rFonts w:eastAsia="Times New Roman" w:cs="Arial"/>
          <w:lang w:eastAsia="bg-BG"/>
        </w:rPr>
      </w:pPr>
      <w:r w:rsidRPr="000302F5">
        <w:rPr>
          <w:rFonts w:eastAsia="Times New Roman" w:cs="Arial"/>
          <w:color w:val="000000"/>
          <w:u w:val="single"/>
          <w:lang w:eastAsia="bg-BG"/>
        </w:rPr>
        <w:t>Мутагенност</w:t>
      </w:r>
    </w:p>
    <w:p w14:paraId="588A2AF3" w14:textId="77777777" w:rsidR="000302F5" w:rsidRPr="000302F5" w:rsidRDefault="000302F5" w:rsidP="000302F5">
      <w:pPr>
        <w:spacing w:line="240" w:lineRule="auto"/>
        <w:rPr>
          <w:rFonts w:eastAsia="Times New Roman" w:cs="Arial"/>
          <w:lang w:eastAsia="bg-BG"/>
        </w:rPr>
      </w:pPr>
      <w:r w:rsidRPr="000302F5">
        <w:rPr>
          <w:rFonts w:eastAsia="Times New Roman" w:cs="Arial"/>
          <w:color w:val="000000"/>
          <w:lang w:eastAsia="bg-BG"/>
        </w:rPr>
        <w:t xml:space="preserve">За да се оценят мутагенните ефекти на нифедипин, са извършени тест на </w:t>
      </w:r>
      <w:r w:rsidRPr="000302F5">
        <w:rPr>
          <w:rFonts w:eastAsia="Times New Roman" w:cs="Arial"/>
          <w:color w:val="000000"/>
          <w:lang w:val="en-US"/>
        </w:rPr>
        <w:t xml:space="preserve">Ames, </w:t>
      </w:r>
      <w:r w:rsidRPr="000302F5">
        <w:rPr>
          <w:rFonts w:eastAsia="Times New Roman" w:cs="Arial"/>
          <w:color w:val="000000"/>
          <w:lang w:eastAsia="bg-BG"/>
        </w:rPr>
        <w:t>тест за доминантни летали и микроядрен тест върху мишки. Няма данни за мутагенен ефект на нифедипин.</w:t>
      </w:r>
    </w:p>
    <w:p w14:paraId="06CEDF16" w14:textId="77777777" w:rsidR="000302F5" w:rsidRPr="000302F5" w:rsidRDefault="000302F5" w:rsidP="000302F5">
      <w:pPr>
        <w:spacing w:line="240" w:lineRule="auto"/>
        <w:rPr>
          <w:rFonts w:eastAsia="Times New Roman" w:cs="Arial"/>
          <w:color w:val="000000"/>
          <w:u w:val="single"/>
          <w:lang w:eastAsia="bg-BG"/>
        </w:rPr>
      </w:pPr>
    </w:p>
    <w:p w14:paraId="479E93E7" w14:textId="739DC657" w:rsidR="000302F5" w:rsidRPr="000302F5" w:rsidRDefault="000302F5" w:rsidP="000302F5">
      <w:pPr>
        <w:spacing w:line="240" w:lineRule="auto"/>
        <w:rPr>
          <w:rFonts w:eastAsia="Times New Roman" w:cs="Arial"/>
          <w:lang w:eastAsia="bg-BG"/>
        </w:rPr>
      </w:pPr>
      <w:r w:rsidRPr="000302F5">
        <w:rPr>
          <w:rFonts w:eastAsia="Times New Roman" w:cs="Arial"/>
          <w:color w:val="000000"/>
          <w:u w:val="single"/>
          <w:lang w:eastAsia="bg-BG"/>
        </w:rPr>
        <w:t>Токсикология на репродукцията</w:t>
      </w:r>
    </w:p>
    <w:p w14:paraId="299CE6C7" w14:textId="77777777" w:rsidR="000302F5" w:rsidRPr="000302F5" w:rsidRDefault="000302F5" w:rsidP="000302F5">
      <w:pPr>
        <w:spacing w:line="240" w:lineRule="auto"/>
        <w:rPr>
          <w:rFonts w:eastAsia="Times New Roman" w:cs="Arial"/>
          <w:lang w:eastAsia="bg-BG"/>
        </w:rPr>
      </w:pPr>
      <w:r w:rsidRPr="000302F5">
        <w:rPr>
          <w:rFonts w:eastAsia="Times New Roman" w:cs="Arial"/>
          <w:color w:val="000000"/>
          <w:lang w:eastAsia="bg-BG"/>
        </w:rPr>
        <w:t>Доказано е, че нифедипин причинява тератогенни ефекти в плъхове, мишки и зайци, включващи аномалии на пръстите, малформации на крайниците, вродена цепка на небцето, вродена цепка на гръдната кост и малформации на ребрата.</w:t>
      </w:r>
    </w:p>
    <w:p w14:paraId="034E1C51" w14:textId="77777777" w:rsidR="000302F5" w:rsidRPr="000302F5" w:rsidRDefault="000302F5" w:rsidP="000302F5">
      <w:pPr>
        <w:spacing w:line="240" w:lineRule="auto"/>
        <w:rPr>
          <w:rFonts w:eastAsia="Times New Roman" w:cs="Arial"/>
          <w:lang w:eastAsia="bg-BG"/>
        </w:rPr>
      </w:pPr>
      <w:r w:rsidRPr="000302F5">
        <w:rPr>
          <w:rFonts w:eastAsia="Times New Roman" w:cs="Arial"/>
          <w:color w:val="000000"/>
          <w:lang w:eastAsia="bg-BG"/>
        </w:rPr>
        <w:t>Възможно е аномалиите на пръстите и малформации на крайниците да са в резултат на нарушения на интраутеринното кръвообращение, но са наблюдавани също при животни, които са лекувани с нифедипин само след края на периода на органогенезата.</w:t>
      </w:r>
    </w:p>
    <w:p w14:paraId="3AA8D755" w14:textId="66A0EF7E" w:rsidR="000302F5" w:rsidRPr="000302F5" w:rsidRDefault="000302F5" w:rsidP="000302F5">
      <w:pPr>
        <w:rPr>
          <w:rFonts w:cs="Arial"/>
        </w:rPr>
      </w:pPr>
      <w:r w:rsidRPr="000302F5">
        <w:rPr>
          <w:rFonts w:eastAsia="Times New Roman" w:cs="Arial"/>
          <w:color w:val="000000"/>
          <w:lang w:eastAsia="bg-BG"/>
        </w:rPr>
        <w:t>Приложението на нифедипин е свързано с различни ембриотоксични, плацентотоксични и фетотоксични ефекти, вклюващи спиране на растежа иа зародишите (плъхове, мишки, зайци), малки плаценти и недоразвити хорионни въси (маймуни), смърт на ембрионите и фетусите (плъхове, мишки, зайци), удължена бременност/намалена преживяемост на новородените (плъхове, други видове не са изучавани). Всяка една от дозите, свързана с тератогенни, ембриотоксични или фетотоксични ефекти при животните, е била токсична за майките и няколко пъти по-висока от препоръчваните максимални дози за хора (вж.точка 4.6).</w:t>
      </w:r>
    </w:p>
    <w:p w14:paraId="256A52D2" w14:textId="77777777" w:rsidR="001D5481" w:rsidRPr="0091385D" w:rsidRDefault="001D5481" w:rsidP="0091385D"/>
    <w:p w14:paraId="6A7820AB" w14:textId="353DB6D2" w:rsidR="008A6AF2" w:rsidRDefault="002C50EE" w:rsidP="00395555">
      <w:pPr>
        <w:pStyle w:val="Heading1"/>
      </w:pPr>
      <w:r>
        <w:t>7. ПРИТЕЖАТЕЛ НА РАЗРЕШЕНИЕТО ЗА УПОТРЕБА</w:t>
      </w:r>
    </w:p>
    <w:p w14:paraId="1B9B651E" w14:textId="24042B6C" w:rsidR="0091385D" w:rsidRDefault="0091385D" w:rsidP="0091385D"/>
    <w:p w14:paraId="6D9C0677"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„Чайкафарма Висококачествените Лекарства” АД</w:t>
      </w:r>
    </w:p>
    <w:p w14:paraId="15B0E8E9"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бул.” Г. М. Димитров” № 1</w:t>
      </w:r>
    </w:p>
    <w:p w14:paraId="3EE3F8DA"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гр. София 1172, България</w:t>
      </w:r>
    </w:p>
    <w:p w14:paraId="4ACEA49A"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тел.: 02/ 962 54 54</w:t>
      </w:r>
    </w:p>
    <w:p w14:paraId="748D86E0"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t>факс: 02/ 9603 703</w:t>
      </w:r>
    </w:p>
    <w:p w14:paraId="4F02909F" w14:textId="747C44E5" w:rsidR="007A2185" w:rsidRPr="0024025B" w:rsidRDefault="0024025B" w:rsidP="0024025B">
      <w:pPr>
        <w:rPr>
          <w:rFonts w:cs="Arial"/>
        </w:rPr>
      </w:pPr>
      <w:proofErr w:type="gramStart"/>
      <w:r w:rsidRPr="0024025B">
        <w:rPr>
          <w:rFonts w:eastAsia="Times New Roman" w:cs="Arial"/>
          <w:color w:val="000000"/>
          <w:lang w:val="en-US"/>
        </w:rPr>
        <w:t>e-mail</w:t>
      </w:r>
      <w:proofErr w:type="gramEnd"/>
      <w:r w:rsidRPr="0024025B">
        <w:rPr>
          <w:rFonts w:eastAsia="Times New Roman" w:cs="Arial"/>
          <w:color w:val="000000"/>
          <w:lang w:val="en-US"/>
        </w:rPr>
        <w:t xml:space="preserve">: </w:t>
      </w:r>
      <w:hyperlink r:id="rId6" w:history="1">
        <w:r w:rsidRPr="0024025B">
          <w:rPr>
            <w:rFonts w:eastAsia="Times New Roman" w:cs="Arial"/>
            <w:color w:val="000000"/>
            <w:lang w:val="en-US"/>
          </w:rPr>
          <w:t>info@tchaikapharma.com</w:t>
        </w:r>
      </w:hyperlink>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3072FB0E" w:rsidR="0091385D" w:rsidRDefault="0091385D" w:rsidP="0091385D"/>
    <w:p w14:paraId="46161304" w14:textId="643EADE6" w:rsidR="007A2185" w:rsidRPr="0024025B" w:rsidRDefault="0024025B" w:rsidP="0091385D">
      <w:pPr>
        <w:rPr>
          <w:rFonts w:cs="Arial"/>
        </w:rPr>
      </w:pPr>
      <w:r w:rsidRPr="0024025B">
        <w:rPr>
          <w:rFonts w:cs="Arial"/>
        </w:rPr>
        <w:t>Рег.№ 20040693</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097121AA" w14:textId="77777777" w:rsidR="0024025B" w:rsidRPr="0024025B" w:rsidRDefault="0024025B" w:rsidP="0024025B">
      <w:pPr>
        <w:spacing w:line="240" w:lineRule="auto"/>
        <w:rPr>
          <w:rFonts w:eastAsia="Times New Roman" w:cs="Arial"/>
          <w:lang w:eastAsia="bg-BG"/>
        </w:rPr>
      </w:pPr>
      <w:r w:rsidRPr="0024025B">
        <w:rPr>
          <w:rFonts w:eastAsia="Times New Roman" w:cs="Arial"/>
          <w:color w:val="000000"/>
          <w:lang w:eastAsia="bg-BG"/>
        </w:rPr>
        <w:lastRenderedPageBreak/>
        <w:t>Дата на първо разрешение за употреба: 30. 12. 2004</w:t>
      </w:r>
    </w:p>
    <w:p w14:paraId="6C57D8B6" w14:textId="54253BD7" w:rsidR="007A2185" w:rsidRPr="0024025B" w:rsidRDefault="0024025B" w:rsidP="0024025B">
      <w:pPr>
        <w:rPr>
          <w:rFonts w:cs="Arial"/>
        </w:rPr>
      </w:pPr>
      <w:r w:rsidRPr="0024025B">
        <w:rPr>
          <w:rFonts w:eastAsia="Times New Roman" w:cs="Arial"/>
          <w:color w:val="000000"/>
          <w:lang w:eastAsia="bg-BG"/>
        </w:rPr>
        <w:t>Дата на последно подновяване на разрешението за употреба: 31.03.2010</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Pr="0024025B" w:rsidRDefault="0091385D" w:rsidP="0091385D">
      <w:pPr>
        <w:rPr>
          <w:rFonts w:cs="Arial"/>
        </w:rPr>
      </w:pPr>
    </w:p>
    <w:p w14:paraId="0524F1D6" w14:textId="7165D917" w:rsidR="007A2185" w:rsidRPr="0024025B" w:rsidRDefault="0024025B" w:rsidP="0091385D">
      <w:pPr>
        <w:rPr>
          <w:rFonts w:cs="Arial"/>
        </w:rPr>
      </w:pPr>
      <w:r w:rsidRPr="0024025B">
        <w:rPr>
          <w:rFonts w:cs="Arial"/>
        </w:rPr>
        <w:t>02/2021</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02737"/>
    <w:multiLevelType w:val="hybridMultilevel"/>
    <w:tmpl w:val="5914EE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B3F31"/>
    <w:multiLevelType w:val="hybridMultilevel"/>
    <w:tmpl w:val="8C4221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64278CE"/>
    <w:multiLevelType w:val="hybridMultilevel"/>
    <w:tmpl w:val="8E0018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90DD3"/>
    <w:multiLevelType w:val="hybridMultilevel"/>
    <w:tmpl w:val="0A94311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2C228DD"/>
    <w:multiLevelType w:val="hybridMultilevel"/>
    <w:tmpl w:val="BBBC952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EA4F5F"/>
    <w:multiLevelType w:val="hybridMultilevel"/>
    <w:tmpl w:val="6F98899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2"/>
  </w:num>
  <w:num w:numId="2">
    <w:abstractNumId w:val="0"/>
  </w:num>
  <w:num w:numId="3">
    <w:abstractNumId w:val="15"/>
  </w:num>
  <w:num w:numId="4">
    <w:abstractNumId w:val="3"/>
  </w:num>
  <w:num w:numId="5">
    <w:abstractNumId w:val="1"/>
  </w:num>
  <w:num w:numId="6">
    <w:abstractNumId w:val="19"/>
  </w:num>
  <w:num w:numId="7">
    <w:abstractNumId w:val="12"/>
  </w:num>
  <w:num w:numId="8">
    <w:abstractNumId w:val="18"/>
  </w:num>
  <w:num w:numId="9">
    <w:abstractNumId w:val="2"/>
  </w:num>
  <w:num w:numId="10">
    <w:abstractNumId w:val="4"/>
  </w:num>
  <w:num w:numId="11">
    <w:abstractNumId w:val="35"/>
  </w:num>
  <w:num w:numId="12">
    <w:abstractNumId w:val="17"/>
  </w:num>
  <w:num w:numId="13">
    <w:abstractNumId w:val="22"/>
  </w:num>
  <w:num w:numId="14">
    <w:abstractNumId w:val="14"/>
  </w:num>
  <w:num w:numId="15">
    <w:abstractNumId w:val="34"/>
  </w:num>
  <w:num w:numId="16">
    <w:abstractNumId w:val="11"/>
  </w:num>
  <w:num w:numId="17">
    <w:abstractNumId w:val="27"/>
  </w:num>
  <w:num w:numId="18">
    <w:abstractNumId w:val="8"/>
  </w:num>
  <w:num w:numId="19">
    <w:abstractNumId w:val="31"/>
  </w:num>
  <w:num w:numId="20">
    <w:abstractNumId w:val="26"/>
  </w:num>
  <w:num w:numId="21">
    <w:abstractNumId w:val="20"/>
  </w:num>
  <w:num w:numId="22">
    <w:abstractNumId w:val="28"/>
  </w:num>
  <w:num w:numId="23">
    <w:abstractNumId w:val="21"/>
  </w:num>
  <w:num w:numId="24">
    <w:abstractNumId w:val="9"/>
  </w:num>
  <w:num w:numId="25">
    <w:abstractNumId w:val="25"/>
  </w:num>
  <w:num w:numId="26">
    <w:abstractNumId w:val="24"/>
  </w:num>
  <w:num w:numId="27">
    <w:abstractNumId w:val="37"/>
  </w:num>
  <w:num w:numId="28">
    <w:abstractNumId w:val="7"/>
  </w:num>
  <w:num w:numId="29">
    <w:abstractNumId w:val="23"/>
  </w:num>
  <w:num w:numId="30">
    <w:abstractNumId w:val="40"/>
  </w:num>
  <w:num w:numId="31">
    <w:abstractNumId w:val="5"/>
  </w:num>
  <w:num w:numId="32">
    <w:abstractNumId w:val="39"/>
  </w:num>
  <w:num w:numId="33">
    <w:abstractNumId w:val="33"/>
  </w:num>
  <w:num w:numId="34">
    <w:abstractNumId w:val="38"/>
  </w:num>
  <w:num w:numId="35">
    <w:abstractNumId w:val="16"/>
  </w:num>
  <w:num w:numId="36">
    <w:abstractNumId w:val="10"/>
  </w:num>
  <w:num w:numId="37">
    <w:abstractNumId w:val="6"/>
  </w:num>
  <w:num w:numId="38">
    <w:abstractNumId w:val="29"/>
  </w:num>
  <w:num w:numId="39">
    <w:abstractNumId w:val="36"/>
  </w:num>
  <w:num w:numId="40">
    <w:abstractNumId w:val="3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302F5"/>
    <w:rsid w:val="00185A46"/>
    <w:rsid w:val="001915B6"/>
    <w:rsid w:val="001D1B23"/>
    <w:rsid w:val="001D5481"/>
    <w:rsid w:val="0024025B"/>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B0F27"/>
    <w:rsid w:val="00605BCA"/>
    <w:rsid w:val="006158A1"/>
    <w:rsid w:val="00617B1F"/>
    <w:rsid w:val="00672487"/>
    <w:rsid w:val="00672600"/>
    <w:rsid w:val="00681D4A"/>
    <w:rsid w:val="00682341"/>
    <w:rsid w:val="00685882"/>
    <w:rsid w:val="0075649D"/>
    <w:rsid w:val="00777552"/>
    <w:rsid w:val="007A2185"/>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B3B9C"/>
    <w:rsid w:val="00BF2600"/>
    <w:rsid w:val="00C0049F"/>
    <w:rsid w:val="00C07B84"/>
    <w:rsid w:val="00C33464"/>
    <w:rsid w:val="00C40420"/>
    <w:rsid w:val="00C809A7"/>
    <w:rsid w:val="00C83063"/>
    <w:rsid w:val="00C87E90"/>
    <w:rsid w:val="00CA1B57"/>
    <w:rsid w:val="00CF77F7"/>
    <w:rsid w:val="00D86297"/>
    <w:rsid w:val="00DD466D"/>
    <w:rsid w:val="00EB6364"/>
    <w:rsid w:val="00EC41ED"/>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chaikapharma.com"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3991</Words>
  <Characters>22751</Characters>
  <Application>Microsoft Office Word</Application>
  <DocSecurity>0</DocSecurity>
  <Lines>189</Lines>
  <Paragraphs>53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3</cp:revision>
  <dcterms:created xsi:type="dcterms:W3CDTF">2023-03-05T18:28:00Z</dcterms:created>
  <dcterms:modified xsi:type="dcterms:W3CDTF">2023-03-05T21:33:00Z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