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D25936B" w:rsidR="00AA23EC" w:rsidRDefault="00DD466D" w:rsidP="00DD466D">
      <w:pPr>
        <w:pStyle w:val="Heading1"/>
      </w:pPr>
      <w:r>
        <w:t>1.ИМЕ НА ЛЕКАРСТВЕНИЯ ПРОДУКТ</w:t>
      </w:r>
    </w:p>
    <w:p w14:paraId="35ED7AAA" w14:textId="77777777" w:rsidR="00090161" w:rsidRDefault="00090161" w:rsidP="00090161">
      <w:pPr>
        <w:rPr>
          <w:lang w:eastAsia="bg-BG"/>
        </w:rPr>
      </w:pPr>
    </w:p>
    <w:p w14:paraId="585336FA" w14:textId="77777777" w:rsidR="00090161" w:rsidRDefault="00090161" w:rsidP="00090161">
      <w:pPr>
        <w:rPr>
          <w:lang w:eastAsia="bg-BG"/>
        </w:rPr>
      </w:pPr>
      <w:r w:rsidRPr="00090161">
        <w:rPr>
          <w:lang w:eastAsia="bg-BG"/>
        </w:rPr>
        <w:t xml:space="preserve">КИАРЕСТА 1 </w:t>
      </w:r>
      <w:r w:rsidRPr="00090161">
        <w:rPr>
          <w:lang w:val="en-US"/>
        </w:rPr>
        <w:t>mg</w:t>
      </w:r>
      <w:r w:rsidRPr="00090161">
        <w:t xml:space="preserve"> </w:t>
      </w:r>
      <w:r w:rsidRPr="00090161">
        <w:rPr>
          <w:lang w:eastAsia="bg-BG"/>
        </w:rPr>
        <w:t xml:space="preserve">филмирани таблетки </w:t>
      </w:r>
    </w:p>
    <w:p w14:paraId="32C96C20" w14:textId="7287A1B3" w:rsidR="00090161" w:rsidRPr="00090161" w:rsidRDefault="00090161" w:rsidP="00090161">
      <w:pPr>
        <w:rPr>
          <w:sz w:val="24"/>
          <w:szCs w:val="24"/>
        </w:rPr>
      </w:pPr>
      <w:r w:rsidRPr="00090161">
        <w:rPr>
          <w:lang w:val="en-US"/>
        </w:rPr>
        <w:t>KYARESTA</w:t>
      </w:r>
      <w:r w:rsidRPr="00090161">
        <w:t xml:space="preserve">1 </w:t>
      </w:r>
      <w:r w:rsidRPr="00090161">
        <w:rPr>
          <w:lang w:val="en-US"/>
        </w:rPr>
        <w:t>mg</w:t>
      </w:r>
      <w:r w:rsidRPr="00090161">
        <w:t xml:space="preserve"> </w:t>
      </w:r>
      <w:r w:rsidRPr="00090161">
        <w:rPr>
          <w:lang w:val="en-US"/>
        </w:rPr>
        <w:t>film</w:t>
      </w:r>
      <w:r w:rsidRPr="00090161">
        <w:t>-</w:t>
      </w:r>
      <w:r w:rsidRPr="00090161">
        <w:rPr>
          <w:lang w:val="en-US"/>
        </w:rPr>
        <w:t>coated</w:t>
      </w:r>
      <w:r w:rsidRPr="00090161">
        <w:t xml:space="preserve"> </w:t>
      </w:r>
      <w:r w:rsidRPr="00090161">
        <w:rPr>
          <w:lang w:val="en-US"/>
        </w:rPr>
        <w:t>tablets</w:t>
      </w:r>
    </w:p>
    <w:p w14:paraId="55955356" w14:textId="77777777" w:rsidR="00090161" w:rsidRPr="00090161" w:rsidRDefault="00090161" w:rsidP="00090161"/>
    <w:p w14:paraId="0A368469" w14:textId="0B7104D7" w:rsidR="00C0049F" w:rsidRDefault="00DD466D" w:rsidP="009F1313">
      <w:pPr>
        <w:pStyle w:val="Heading1"/>
      </w:pPr>
      <w:r>
        <w:t>2. КАЧЕСТВЕН И КОЛИЧЕСТВЕН СЪСТАВ</w:t>
      </w:r>
    </w:p>
    <w:p w14:paraId="09D374CA" w14:textId="10342434" w:rsidR="00090161" w:rsidRDefault="00090161" w:rsidP="00090161"/>
    <w:p w14:paraId="7E6FD8B2" w14:textId="77777777" w:rsidR="00090161" w:rsidRPr="00090161" w:rsidRDefault="00090161" w:rsidP="00090161">
      <w:pPr>
        <w:rPr>
          <w:sz w:val="24"/>
          <w:szCs w:val="24"/>
        </w:rPr>
      </w:pPr>
      <w:r w:rsidRPr="00090161">
        <w:rPr>
          <w:lang w:eastAsia="bg-BG"/>
        </w:rPr>
        <w:t xml:space="preserve">Всяка филмирана таблетка съдържа 1 </w:t>
      </w:r>
      <w:r w:rsidRPr="00090161">
        <w:rPr>
          <w:lang w:val="en-US"/>
        </w:rPr>
        <w:t>mg</w:t>
      </w:r>
      <w:r w:rsidRPr="00090161">
        <w:t xml:space="preserve"> </w:t>
      </w:r>
      <w:r w:rsidRPr="00090161">
        <w:rPr>
          <w:lang w:eastAsia="bg-BG"/>
        </w:rPr>
        <w:t xml:space="preserve">анастрозол </w:t>
      </w:r>
      <w:r w:rsidRPr="00090161">
        <w:rPr>
          <w:i/>
          <w:iCs/>
        </w:rPr>
        <w:t>(</w:t>
      </w:r>
      <w:proofErr w:type="spellStart"/>
      <w:r w:rsidRPr="00090161">
        <w:rPr>
          <w:i/>
          <w:iCs/>
          <w:lang w:val="en-US"/>
        </w:rPr>
        <w:t>anastrozole</w:t>
      </w:r>
      <w:proofErr w:type="spellEnd"/>
      <w:r w:rsidRPr="00090161">
        <w:rPr>
          <w:i/>
          <w:iCs/>
        </w:rPr>
        <w:t>).</w:t>
      </w:r>
    </w:p>
    <w:p w14:paraId="3B5DA8EC" w14:textId="23D91B94" w:rsidR="00090161" w:rsidRPr="00090161" w:rsidRDefault="00090161" w:rsidP="00090161">
      <w:r w:rsidRPr="00090161">
        <w:rPr>
          <w:lang w:eastAsia="bg-BG"/>
        </w:rPr>
        <w:t xml:space="preserve">Помощни вещества: Всяка таблетка съдържа 93 </w:t>
      </w:r>
      <w:r w:rsidRPr="00090161">
        <w:rPr>
          <w:lang w:val="en-US"/>
        </w:rPr>
        <w:t>mg</w:t>
      </w:r>
      <w:r w:rsidRPr="00090161">
        <w:rPr>
          <w:lang w:val="ru-RU"/>
        </w:rPr>
        <w:t xml:space="preserve"> </w:t>
      </w:r>
      <w:r w:rsidRPr="00090161">
        <w:rPr>
          <w:lang w:eastAsia="bg-BG"/>
        </w:rPr>
        <w:t>лактоза монохидрат.</w:t>
      </w:r>
    </w:p>
    <w:p w14:paraId="614984C4" w14:textId="5B03BA6E" w:rsidR="008A6AF2" w:rsidRDefault="00DD466D" w:rsidP="002C50EE">
      <w:pPr>
        <w:pStyle w:val="Heading1"/>
      </w:pPr>
      <w:r>
        <w:t>3. ЛЕКАРСТВЕНА ФОРМА</w:t>
      </w:r>
    </w:p>
    <w:p w14:paraId="3913FA9C" w14:textId="4E81F4AF" w:rsidR="00090161" w:rsidRDefault="00090161" w:rsidP="00090161"/>
    <w:p w14:paraId="55E8C945" w14:textId="77777777" w:rsidR="00090161" w:rsidRPr="00090161" w:rsidRDefault="00090161" w:rsidP="00090161">
      <w:pPr>
        <w:rPr>
          <w:sz w:val="24"/>
          <w:szCs w:val="24"/>
        </w:rPr>
      </w:pPr>
      <w:r w:rsidRPr="00090161">
        <w:rPr>
          <w:lang w:eastAsia="bg-BG"/>
        </w:rPr>
        <w:t>Филмирана таблетка</w:t>
      </w:r>
    </w:p>
    <w:p w14:paraId="6A94B863" w14:textId="5E7E47A9" w:rsidR="00090161" w:rsidRPr="00090161" w:rsidRDefault="00090161" w:rsidP="00090161">
      <w:r w:rsidRPr="00090161">
        <w:rPr>
          <w:lang w:eastAsia="bg-BG"/>
        </w:rPr>
        <w:t>Описание: Бели, кръгли, двойноизпъкнали филмирани таблетки.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2D90184E" w:rsidR="00395555" w:rsidRDefault="00395555" w:rsidP="00395555"/>
    <w:p w14:paraId="136D915A" w14:textId="77777777" w:rsidR="00090161" w:rsidRPr="00090161" w:rsidRDefault="00090161" w:rsidP="00090161">
      <w:pPr>
        <w:pStyle w:val="ListParagraph"/>
        <w:numPr>
          <w:ilvl w:val="0"/>
          <w:numId w:val="32"/>
        </w:numPr>
        <w:rPr>
          <w:lang w:eastAsia="bg-BG"/>
        </w:rPr>
      </w:pPr>
      <w:r w:rsidRPr="00090161">
        <w:rPr>
          <w:lang w:eastAsia="bg-BG"/>
        </w:rPr>
        <w:t>Лечение на напреднал карцином на гърдата при жени в постменопауза. Не е доказана ефективност при пациентки, отрицателни за естрогенови рецептори, освен ако преди това не са имали положителен клиничен отговор към тамоксифен.</w:t>
      </w:r>
    </w:p>
    <w:p w14:paraId="6D6DF05A" w14:textId="77777777" w:rsidR="00090161" w:rsidRPr="00090161" w:rsidRDefault="00090161" w:rsidP="00090161">
      <w:pPr>
        <w:pStyle w:val="ListParagraph"/>
        <w:numPr>
          <w:ilvl w:val="0"/>
          <w:numId w:val="32"/>
        </w:numPr>
        <w:rPr>
          <w:lang w:eastAsia="bg-BG"/>
        </w:rPr>
      </w:pPr>
      <w:r w:rsidRPr="00090161">
        <w:rPr>
          <w:lang w:eastAsia="bg-BG"/>
        </w:rPr>
        <w:t>Адювантно лечение при постменопаузални жени, които са с инвазивен ранен карцином на гърдата и позитивни хормонални рецептори.</w:t>
      </w:r>
    </w:p>
    <w:p w14:paraId="2DAA918D" w14:textId="77777777" w:rsidR="00090161" w:rsidRPr="00090161" w:rsidRDefault="00090161" w:rsidP="00090161">
      <w:pPr>
        <w:pStyle w:val="ListParagraph"/>
        <w:numPr>
          <w:ilvl w:val="0"/>
          <w:numId w:val="32"/>
        </w:numPr>
        <w:rPr>
          <w:lang w:eastAsia="bg-BG"/>
        </w:rPr>
      </w:pPr>
      <w:r w:rsidRPr="00090161">
        <w:rPr>
          <w:lang w:eastAsia="bg-BG"/>
        </w:rPr>
        <w:t xml:space="preserve">Адювантно лечение на ранен карцином на гърдата при постменопаузални жени </w:t>
      </w:r>
      <w:r w:rsidRPr="00090161">
        <w:rPr>
          <w:i/>
          <w:iCs/>
          <w:lang w:eastAsia="bg-BG"/>
        </w:rPr>
        <w:t xml:space="preserve">с </w:t>
      </w:r>
      <w:r w:rsidRPr="00090161">
        <w:rPr>
          <w:lang w:eastAsia="bg-BG"/>
        </w:rPr>
        <w:t>позитивни хормонални рецептори, които са получавали 2 до 3 години адювантна терапия с тамоксифен или не са могли да бъдат лекувани с тамоксифен, поради опасност от случаи на тромбемболия или аномалии на матката.</w:t>
      </w:r>
    </w:p>
    <w:p w14:paraId="0C01301F" w14:textId="77777777" w:rsidR="00090161" w:rsidRPr="00395555" w:rsidRDefault="00090161" w:rsidP="00395555"/>
    <w:p w14:paraId="7C0CA5EB" w14:textId="0E65581F" w:rsidR="00C0049F" w:rsidRDefault="002C50EE" w:rsidP="009F1313">
      <w:pPr>
        <w:pStyle w:val="Heading2"/>
      </w:pPr>
      <w:r>
        <w:t>4.2. Дозировка и начин на приложение</w:t>
      </w:r>
    </w:p>
    <w:p w14:paraId="60F25010" w14:textId="4AF6557F" w:rsidR="00090161" w:rsidRDefault="00090161" w:rsidP="00090161"/>
    <w:p w14:paraId="4EB20522" w14:textId="77777777"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Възрастни ( включително пациентки в напреднала възраст ):</w:t>
      </w:r>
      <w:r w:rsidRPr="00090161">
        <w:rPr>
          <w:rFonts w:eastAsia="Times New Roman" w:cs="Arial"/>
          <w:color w:val="000000"/>
          <w:lang w:eastAsia="bg-BG"/>
        </w:rPr>
        <w:t xml:space="preserve"> Една таблетка Киареста от 1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се приема перорално веднъж дневно. При заболяване в ранен стадий се препоръчва 5 години продължителност на лечението.</w:t>
      </w:r>
    </w:p>
    <w:p w14:paraId="01125531" w14:textId="77777777" w:rsidR="00090161" w:rsidRDefault="00090161" w:rsidP="00090161">
      <w:pPr>
        <w:spacing w:line="240" w:lineRule="auto"/>
        <w:rPr>
          <w:rFonts w:eastAsia="Times New Roman" w:cs="Arial"/>
          <w:i/>
          <w:iCs/>
          <w:color w:val="000000"/>
          <w:lang w:eastAsia="bg-BG"/>
        </w:rPr>
      </w:pPr>
    </w:p>
    <w:p w14:paraId="1E7BBA0D" w14:textId="14D9C2C9"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Деца:</w:t>
      </w:r>
      <w:r w:rsidRPr="00090161">
        <w:rPr>
          <w:rFonts w:eastAsia="Times New Roman" w:cs="Arial"/>
          <w:color w:val="000000"/>
          <w:lang w:eastAsia="bg-BG"/>
        </w:rPr>
        <w:t xml:space="preserve"> Не се препоръчва употребата на анастрозол при деца.</w:t>
      </w:r>
    </w:p>
    <w:p w14:paraId="35555AE8" w14:textId="77777777" w:rsidR="00090161" w:rsidRDefault="00090161" w:rsidP="00090161">
      <w:pPr>
        <w:spacing w:line="240" w:lineRule="auto"/>
        <w:rPr>
          <w:rFonts w:eastAsia="Times New Roman" w:cs="Arial"/>
          <w:i/>
          <w:iCs/>
          <w:color w:val="000000"/>
          <w:lang w:eastAsia="bg-BG"/>
        </w:rPr>
      </w:pPr>
    </w:p>
    <w:p w14:paraId="0B9D5041" w14:textId="375AE6CF"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Бъбречно увреждане</w:t>
      </w:r>
      <w:r w:rsidRPr="00090161">
        <w:rPr>
          <w:rFonts w:eastAsia="Times New Roman" w:cs="Arial"/>
          <w:color w:val="000000"/>
          <w:lang w:eastAsia="bg-BG"/>
        </w:rPr>
        <w:t xml:space="preserve"> : Не се препоръчва промяна на дозата при пациенти с леко до умерено бъбречно увреждане.</w:t>
      </w:r>
    </w:p>
    <w:p w14:paraId="17053E67" w14:textId="77777777" w:rsidR="00090161" w:rsidRDefault="00090161" w:rsidP="00090161">
      <w:pPr>
        <w:spacing w:line="240" w:lineRule="auto"/>
        <w:rPr>
          <w:rFonts w:eastAsia="Times New Roman" w:cs="Arial"/>
          <w:i/>
          <w:iCs/>
          <w:color w:val="000000"/>
          <w:lang w:eastAsia="bg-BG"/>
        </w:rPr>
      </w:pPr>
    </w:p>
    <w:p w14:paraId="2D1C84B0" w14:textId="268D5511"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 xml:space="preserve">Чернодробно увреждане:Не </w:t>
      </w:r>
      <w:r w:rsidRPr="00090161">
        <w:rPr>
          <w:rFonts w:eastAsia="Times New Roman" w:cs="Arial"/>
          <w:color w:val="000000"/>
          <w:lang w:eastAsia="bg-BG"/>
        </w:rPr>
        <w:t>се препоръчва промяна на дозата при пациенти с леко чернодробно увреждане.</w:t>
      </w:r>
    </w:p>
    <w:p w14:paraId="673AC140" w14:textId="77777777" w:rsidR="00090161" w:rsidRPr="00090161" w:rsidRDefault="00090161" w:rsidP="00090161"/>
    <w:p w14:paraId="62B13D0B" w14:textId="3F37A4FF" w:rsidR="00395555" w:rsidRDefault="002C50EE" w:rsidP="008A6AF2">
      <w:pPr>
        <w:pStyle w:val="Heading2"/>
      </w:pPr>
      <w:r>
        <w:lastRenderedPageBreak/>
        <w:t>4.3. Противопоказания</w:t>
      </w:r>
    </w:p>
    <w:p w14:paraId="54C1B196" w14:textId="25C6B75D" w:rsidR="00090161" w:rsidRDefault="00090161" w:rsidP="00090161"/>
    <w:p w14:paraId="1B8A8B04" w14:textId="77777777" w:rsidR="00090161" w:rsidRPr="00090161" w:rsidRDefault="00090161" w:rsidP="00090161">
      <w:pPr>
        <w:rPr>
          <w:sz w:val="24"/>
          <w:szCs w:val="24"/>
        </w:rPr>
      </w:pPr>
      <w:r w:rsidRPr="00090161">
        <w:rPr>
          <w:lang w:eastAsia="bg-BG"/>
        </w:rPr>
        <w:t>Киареста е противопоказен при:</w:t>
      </w:r>
    </w:p>
    <w:p w14:paraId="2D03CA22" w14:textId="77777777" w:rsidR="00090161" w:rsidRPr="00090161" w:rsidRDefault="00090161" w:rsidP="00090161">
      <w:pPr>
        <w:pStyle w:val="ListParagraph"/>
        <w:numPr>
          <w:ilvl w:val="0"/>
          <w:numId w:val="33"/>
        </w:numPr>
        <w:rPr>
          <w:lang w:eastAsia="bg-BG"/>
        </w:rPr>
      </w:pPr>
      <w:r w:rsidRPr="00090161">
        <w:rPr>
          <w:lang w:eastAsia="bg-BG"/>
        </w:rPr>
        <w:t>пременопаузални жени;</w:t>
      </w:r>
    </w:p>
    <w:p w14:paraId="056E3E3E" w14:textId="77777777" w:rsidR="00090161" w:rsidRPr="00090161" w:rsidRDefault="00090161" w:rsidP="00090161">
      <w:pPr>
        <w:pStyle w:val="ListParagraph"/>
        <w:numPr>
          <w:ilvl w:val="0"/>
          <w:numId w:val="33"/>
        </w:numPr>
        <w:rPr>
          <w:lang w:eastAsia="bg-BG"/>
        </w:rPr>
      </w:pPr>
      <w:r w:rsidRPr="00090161">
        <w:rPr>
          <w:lang w:eastAsia="bg-BG"/>
        </w:rPr>
        <w:t>бременност или кърмене;</w:t>
      </w:r>
    </w:p>
    <w:p w14:paraId="7156735D" w14:textId="77777777" w:rsidR="00090161" w:rsidRPr="00090161" w:rsidRDefault="00090161" w:rsidP="00090161">
      <w:pPr>
        <w:pStyle w:val="ListParagraph"/>
        <w:numPr>
          <w:ilvl w:val="0"/>
          <w:numId w:val="33"/>
        </w:numPr>
        <w:rPr>
          <w:lang w:eastAsia="bg-BG"/>
        </w:rPr>
      </w:pPr>
      <w:r w:rsidRPr="00090161">
        <w:rPr>
          <w:lang w:eastAsia="bg-BG"/>
        </w:rPr>
        <w:t xml:space="preserve">пациентки с тежко бъбречно увреждане (креатининов клирънс по-нисък от 20 </w:t>
      </w:r>
      <w:r w:rsidRPr="00090161">
        <w:rPr>
          <w:lang w:val="en-US"/>
        </w:rPr>
        <w:t>ml</w:t>
      </w:r>
      <w:r w:rsidRPr="00090161">
        <w:rPr>
          <w:lang w:val="ru-RU"/>
        </w:rPr>
        <w:t>/</w:t>
      </w:r>
      <w:r w:rsidRPr="00090161">
        <w:rPr>
          <w:lang w:val="en-US"/>
        </w:rPr>
        <w:t>min</w:t>
      </w:r>
      <w:r w:rsidRPr="00090161">
        <w:rPr>
          <w:lang w:val="ru-RU"/>
        </w:rPr>
        <w:t>);</w:t>
      </w:r>
    </w:p>
    <w:p w14:paraId="1C94A262" w14:textId="77777777" w:rsidR="00090161" w:rsidRPr="00090161" w:rsidRDefault="00090161" w:rsidP="00090161">
      <w:pPr>
        <w:pStyle w:val="ListParagraph"/>
        <w:numPr>
          <w:ilvl w:val="0"/>
          <w:numId w:val="33"/>
        </w:numPr>
        <w:rPr>
          <w:lang w:eastAsia="bg-BG"/>
        </w:rPr>
      </w:pPr>
      <w:r w:rsidRPr="00090161">
        <w:rPr>
          <w:lang w:eastAsia="bg-BG"/>
        </w:rPr>
        <w:t>пациентки с умерено до тежко увредена чернодробна функция;</w:t>
      </w:r>
    </w:p>
    <w:p w14:paraId="0D265D26" w14:textId="77777777" w:rsidR="00090161" w:rsidRPr="00090161" w:rsidRDefault="00090161" w:rsidP="00090161">
      <w:pPr>
        <w:pStyle w:val="ListParagraph"/>
        <w:numPr>
          <w:ilvl w:val="0"/>
          <w:numId w:val="33"/>
        </w:numPr>
        <w:rPr>
          <w:lang w:eastAsia="bg-BG"/>
        </w:rPr>
      </w:pPr>
      <w:r w:rsidRPr="00090161">
        <w:rPr>
          <w:lang w:eastAsia="bg-BG"/>
        </w:rPr>
        <w:t>пациентки с известна свръхчувствителност към анастрозол или към някое от помощните вещества, посочени в точка 6.1.;</w:t>
      </w:r>
    </w:p>
    <w:p w14:paraId="53752587" w14:textId="20DBE4C1" w:rsidR="00090161" w:rsidRDefault="00090161" w:rsidP="00090161"/>
    <w:p w14:paraId="3DE124CD" w14:textId="77777777" w:rsidR="00090161" w:rsidRPr="00090161" w:rsidRDefault="00090161" w:rsidP="00090161">
      <w:pPr>
        <w:rPr>
          <w:sz w:val="24"/>
          <w:szCs w:val="24"/>
        </w:rPr>
      </w:pPr>
      <w:r w:rsidRPr="00090161">
        <w:rPr>
          <w:lang w:eastAsia="bg-BG"/>
        </w:rPr>
        <w:t>Естроген-съдържащи препарати не трябва да бъдат прилагани едновременно с Киареста, тъй като те ще блокират фармакологичното му действие.</w:t>
      </w:r>
    </w:p>
    <w:p w14:paraId="3D5A7AF6" w14:textId="77777777" w:rsidR="00090161" w:rsidRDefault="00090161" w:rsidP="00090161">
      <w:pPr>
        <w:rPr>
          <w:lang w:eastAsia="bg-BG"/>
        </w:rPr>
      </w:pPr>
    </w:p>
    <w:p w14:paraId="014DB1C8" w14:textId="1CA9E8F3" w:rsidR="00090161" w:rsidRPr="00090161" w:rsidRDefault="00090161" w:rsidP="00090161">
      <w:pPr>
        <w:rPr>
          <w:sz w:val="24"/>
          <w:szCs w:val="24"/>
        </w:rPr>
      </w:pPr>
      <w:r w:rsidRPr="00090161">
        <w:rPr>
          <w:lang w:eastAsia="bg-BG"/>
        </w:rPr>
        <w:t>Едновременното прилагане на Киареста с тамоксифен (виж точка 4.5.)</w:t>
      </w:r>
    </w:p>
    <w:p w14:paraId="2EE393F6" w14:textId="77777777" w:rsidR="00090161" w:rsidRPr="00090161" w:rsidRDefault="00090161" w:rsidP="00090161"/>
    <w:p w14:paraId="5A4AC413" w14:textId="532BF5B0" w:rsidR="00395555" w:rsidRDefault="002C50EE" w:rsidP="008A6AF2">
      <w:pPr>
        <w:pStyle w:val="Heading2"/>
      </w:pPr>
      <w:r>
        <w:t>4.4. Специални предупреждения и предпазни мерки при употреба</w:t>
      </w:r>
    </w:p>
    <w:p w14:paraId="587D39A7" w14:textId="571997E7" w:rsidR="00090161" w:rsidRDefault="00090161" w:rsidP="00090161"/>
    <w:p w14:paraId="3BDA25C5"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Анастрозол не се препоръчва за употреба при деца, тъй като безопасността и ефикасността не са установени при тази група пациенти.</w:t>
      </w:r>
    </w:p>
    <w:p w14:paraId="4E8E9A0F" w14:textId="77777777" w:rsidR="00090161" w:rsidRDefault="00090161" w:rsidP="00090161">
      <w:pPr>
        <w:spacing w:line="240" w:lineRule="auto"/>
        <w:rPr>
          <w:rFonts w:eastAsia="Times New Roman" w:cs="Arial"/>
          <w:color w:val="000000"/>
          <w:lang w:eastAsia="bg-BG"/>
        </w:rPr>
      </w:pPr>
    </w:p>
    <w:p w14:paraId="3AE7CA0A" w14:textId="62FE3D9D"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Менопаузата трябва да се установи биохимично при всяка пациентка, при която има съмнение за хормоналния статус. Няма данни за безопасното приложение на анастрозол при пациентки със средно тежко и тежко чернодробно увреждане или тежко нарушение на бъбречната функция (креатининов клирънс по-нисък от 20 </w:t>
      </w:r>
      <w:r w:rsidRPr="00090161">
        <w:rPr>
          <w:rFonts w:eastAsia="Times New Roman" w:cs="Arial"/>
          <w:color w:val="000000"/>
          <w:lang w:val="en-US"/>
        </w:rPr>
        <w:t>ml</w:t>
      </w:r>
      <w:r w:rsidRPr="00090161">
        <w:rPr>
          <w:rFonts w:eastAsia="Times New Roman" w:cs="Arial"/>
          <w:color w:val="000000"/>
          <w:lang w:val="ru-RU"/>
        </w:rPr>
        <w:t>/</w:t>
      </w:r>
      <w:r w:rsidRPr="00090161">
        <w:rPr>
          <w:rFonts w:eastAsia="Times New Roman" w:cs="Arial"/>
          <w:color w:val="000000"/>
          <w:lang w:val="en-US"/>
        </w:rPr>
        <w:t>min</w:t>
      </w:r>
      <w:r w:rsidRPr="00090161">
        <w:rPr>
          <w:rFonts w:eastAsia="Times New Roman" w:cs="Arial"/>
          <w:color w:val="000000"/>
          <w:lang w:val="ru-RU"/>
        </w:rPr>
        <w:t>).</w:t>
      </w:r>
    </w:p>
    <w:p w14:paraId="7E176803" w14:textId="77777777" w:rsidR="00090161" w:rsidRDefault="00090161" w:rsidP="00090161">
      <w:pPr>
        <w:spacing w:line="240" w:lineRule="auto"/>
        <w:rPr>
          <w:rFonts w:eastAsia="Times New Roman" w:cs="Arial"/>
          <w:color w:val="000000"/>
          <w:lang w:eastAsia="bg-BG"/>
        </w:rPr>
      </w:pPr>
    </w:p>
    <w:p w14:paraId="693EA272" w14:textId="2D53ACC2"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Жени с остеопороза или с риск от остеопороза, трябва да изследват плътността на костите си чрез костна дензитометрия, напр. </w:t>
      </w:r>
      <w:r w:rsidRPr="00090161">
        <w:rPr>
          <w:rFonts w:eastAsia="Times New Roman" w:cs="Arial"/>
          <w:color w:val="000000"/>
          <w:lang w:val="en-US"/>
        </w:rPr>
        <w:t>DEXA</w:t>
      </w:r>
      <w:r w:rsidRPr="00090161">
        <w:rPr>
          <w:rFonts w:eastAsia="Times New Roman" w:cs="Arial"/>
          <w:color w:val="000000"/>
          <w:lang w:eastAsia="bg-BG"/>
        </w:rPr>
        <w:t>-сканиране, в началото на лечението и на редовни интервали след това. Лечението или профилактиката на остеопорозата трябва да се започнат, когато е необходимо, и внимателно да се проследят.</w:t>
      </w:r>
    </w:p>
    <w:p w14:paraId="7C719AFC" w14:textId="77777777" w:rsidR="00090161" w:rsidRDefault="00090161" w:rsidP="00090161">
      <w:pPr>
        <w:spacing w:line="240" w:lineRule="auto"/>
        <w:rPr>
          <w:rFonts w:eastAsia="Times New Roman" w:cs="Arial"/>
          <w:color w:val="000000"/>
          <w:lang w:eastAsia="bg-BG"/>
        </w:rPr>
      </w:pPr>
    </w:p>
    <w:p w14:paraId="22EACDD3" w14:textId="41C34D19"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Няма данни за употребата на анастрозол с аналози на </w:t>
      </w:r>
      <w:r w:rsidRPr="00090161">
        <w:rPr>
          <w:rFonts w:eastAsia="Times New Roman" w:cs="Arial"/>
          <w:color w:val="000000"/>
          <w:lang w:val="en-US"/>
        </w:rPr>
        <w:t>LHRH</w:t>
      </w:r>
      <w:r w:rsidRPr="00090161">
        <w:rPr>
          <w:rFonts w:eastAsia="Times New Roman" w:cs="Arial"/>
          <w:color w:val="000000"/>
          <w:lang w:val="ru-RU"/>
        </w:rPr>
        <w:t xml:space="preserve">. </w:t>
      </w:r>
      <w:r w:rsidRPr="00090161">
        <w:rPr>
          <w:rFonts w:eastAsia="Times New Roman" w:cs="Arial"/>
          <w:color w:val="000000"/>
          <w:lang w:eastAsia="bg-BG"/>
        </w:rPr>
        <w:t>Тази комбинация не трябва да се използва извън клиничните изпитвания.</w:t>
      </w:r>
    </w:p>
    <w:p w14:paraId="58CCBEDF" w14:textId="77777777" w:rsidR="00090161" w:rsidRDefault="00090161" w:rsidP="00090161">
      <w:pPr>
        <w:spacing w:line="240" w:lineRule="auto"/>
        <w:rPr>
          <w:rFonts w:eastAsia="Times New Roman" w:cs="Arial"/>
          <w:color w:val="000000"/>
          <w:lang w:eastAsia="bg-BG"/>
        </w:rPr>
      </w:pPr>
    </w:p>
    <w:p w14:paraId="24E6EC66" w14:textId="3D2BEA6A" w:rsidR="00090161" w:rsidRPr="00090161" w:rsidRDefault="00090161" w:rsidP="00090161">
      <w:pPr>
        <w:spacing w:line="240" w:lineRule="auto"/>
        <w:rPr>
          <w:rFonts w:eastAsia="Times New Roman" w:cs="Arial"/>
        </w:rPr>
      </w:pPr>
      <w:r w:rsidRPr="00090161">
        <w:rPr>
          <w:rFonts w:eastAsia="Times New Roman" w:cs="Arial"/>
          <w:color w:val="000000"/>
          <w:lang w:eastAsia="bg-BG"/>
        </w:rPr>
        <w:t>Тъй като анастрозол понижава нивата на циркулиращия естроген, може да предизвика понижаване на костната минерална плътност. Не са налични достатъчни данни за ефекта на бифосфонатите върху загубата на костно вещество, предизвикано от анастрозол или тяхната роля, когато се използват профилактично.</w:t>
      </w:r>
    </w:p>
    <w:p w14:paraId="223DEFF9" w14:textId="77777777" w:rsidR="00090161" w:rsidRDefault="00090161" w:rsidP="00090161">
      <w:pPr>
        <w:spacing w:line="240" w:lineRule="auto"/>
        <w:rPr>
          <w:rFonts w:eastAsia="Times New Roman" w:cs="Arial"/>
          <w:color w:val="000000"/>
          <w:lang w:eastAsia="bg-BG"/>
        </w:rPr>
      </w:pPr>
    </w:p>
    <w:p w14:paraId="4A07C93D" w14:textId="1789F30D"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Този продукт съдържа лактоза. Пациенти с редки наследствени проблеми на галактозна непоносимост, </w:t>
      </w:r>
      <w:r w:rsidRPr="00090161">
        <w:rPr>
          <w:rFonts w:eastAsia="Times New Roman" w:cs="Arial"/>
          <w:color w:val="000000"/>
          <w:lang w:val="en-US"/>
        </w:rPr>
        <w:t>Lapp</w:t>
      </w:r>
      <w:r w:rsidRPr="00090161">
        <w:rPr>
          <w:rFonts w:eastAsia="Times New Roman" w:cs="Arial"/>
          <w:color w:val="000000"/>
          <w:lang w:eastAsia="bg-BG"/>
        </w:rPr>
        <w:t>-лактазен дефицит или глюкозо-галактозиа малабсорбция не трябва да приемат този продукт.</w:t>
      </w:r>
    </w:p>
    <w:p w14:paraId="0BE569C3" w14:textId="77777777" w:rsidR="00090161" w:rsidRPr="00090161" w:rsidRDefault="00090161" w:rsidP="00090161"/>
    <w:p w14:paraId="1244F76A" w14:textId="4FB90C1D" w:rsidR="00395555" w:rsidRDefault="002C50EE" w:rsidP="008A6AF2">
      <w:pPr>
        <w:pStyle w:val="Heading2"/>
      </w:pPr>
      <w:r>
        <w:t>4.5. Взаимодействие с други лекарствени продукти и други форми на взаимодействие</w:t>
      </w:r>
    </w:p>
    <w:p w14:paraId="09128623" w14:textId="26B098C6" w:rsidR="00090161" w:rsidRDefault="00090161" w:rsidP="00090161"/>
    <w:p w14:paraId="1054BEE1"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Клинични изпитвания с антипирин и циметидин показват, че анастрозол не инхибира значимо метаболизма на веществата, които са метаболизирани чрез Р450.</w:t>
      </w:r>
    </w:p>
    <w:p w14:paraId="1E2B848C"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lastRenderedPageBreak/>
        <w:t>Данни от клиничните изпитвания относно сигурността на анастрозол не са показали никакви клинично значими взаимодействия с предписаните лекарства.</w:t>
      </w:r>
    </w:p>
    <w:p w14:paraId="0688BB4A"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Съдържащите естроген лекарства не трябва да бъдат прилагани едновременно с анастрозол, тъй като това може да намали фармакологичното му действие.</w:t>
      </w:r>
    </w:p>
    <w:p w14:paraId="4685C3D9"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Тамоксифен не трябва да се прилага едновременно с анастрозол, тъй като това може да намали фармакологичното му действие (вж. точка 4.3).</w:t>
      </w:r>
    </w:p>
    <w:p w14:paraId="5FE1B646" w14:textId="77777777" w:rsidR="00090161" w:rsidRPr="00090161" w:rsidRDefault="00090161" w:rsidP="00090161"/>
    <w:p w14:paraId="6EADE4D6" w14:textId="4BBCB614" w:rsidR="00395555" w:rsidRDefault="002C50EE" w:rsidP="008A6AF2">
      <w:pPr>
        <w:pStyle w:val="Heading2"/>
      </w:pPr>
      <w:r>
        <w:t>4.6. Фертилитет, бременност и кърмене</w:t>
      </w:r>
    </w:p>
    <w:p w14:paraId="21A1F7DB" w14:textId="5DAE5730" w:rsidR="00090161" w:rsidRDefault="00090161" w:rsidP="00090161"/>
    <w:p w14:paraId="59B1FFD1" w14:textId="77777777" w:rsidR="00090161" w:rsidRPr="00090161" w:rsidRDefault="00090161" w:rsidP="00090161">
      <w:pPr>
        <w:rPr>
          <w:sz w:val="24"/>
          <w:szCs w:val="24"/>
        </w:rPr>
      </w:pPr>
      <w:r w:rsidRPr="00090161">
        <w:rPr>
          <w:lang w:eastAsia="bg-BG"/>
        </w:rPr>
        <w:t>Анастрозол е противопоказан при бременни жени и кърмачки.</w:t>
      </w:r>
    </w:p>
    <w:p w14:paraId="0453A2FC" w14:textId="77777777" w:rsidR="00090161" w:rsidRPr="00090161" w:rsidRDefault="00090161" w:rsidP="00090161"/>
    <w:p w14:paraId="5766770B" w14:textId="1CAFD5CF" w:rsidR="00395555" w:rsidRDefault="002C50EE" w:rsidP="008A6AF2">
      <w:pPr>
        <w:pStyle w:val="Heading2"/>
      </w:pPr>
      <w:r>
        <w:t>4.7. Ефекти върху способността за шофиране и работа с машини</w:t>
      </w:r>
    </w:p>
    <w:p w14:paraId="20AA3AB8" w14:textId="3D9B7A7D" w:rsidR="00090161" w:rsidRDefault="00090161" w:rsidP="00090161"/>
    <w:p w14:paraId="5AFA036A" w14:textId="77777777" w:rsidR="00090161" w:rsidRPr="00090161" w:rsidRDefault="00090161" w:rsidP="00090161">
      <w:pPr>
        <w:rPr>
          <w:sz w:val="24"/>
          <w:szCs w:val="24"/>
        </w:rPr>
      </w:pPr>
      <w:r w:rsidRPr="00090161">
        <w:rPr>
          <w:lang w:eastAsia="bg-BG"/>
        </w:rPr>
        <w:t>Малко вероятно е анастрозол да увреди способността за шофиране и работа с машини. При употреба на анастрозол обаче се съобщава за астения и сомнолентност и докато тези симптоми продължават, трябва да се внимава при шофиране и работа с машини.</w:t>
      </w:r>
    </w:p>
    <w:p w14:paraId="10B6D87E" w14:textId="77777777" w:rsidR="00090161" w:rsidRPr="00090161" w:rsidRDefault="00090161" w:rsidP="00090161"/>
    <w:p w14:paraId="4FE16E21" w14:textId="4461D778" w:rsidR="00395555" w:rsidRDefault="002C50EE" w:rsidP="008A6AF2">
      <w:pPr>
        <w:pStyle w:val="Heading2"/>
      </w:pPr>
      <w:r>
        <w:t>4.8. Нежелани лекарствени реакции</w:t>
      </w:r>
    </w:p>
    <w:p w14:paraId="7893E7E3" w14:textId="5D33F2BD" w:rsidR="00090161" w:rsidRDefault="00090161" w:rsidP="00090161"/>
    <w:p w14:paraId="52B123A4" w14:textId="77777777"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Следващата</w:t>
      </w:r>
      <w:r w:rsidRPr="00090161">
        <w:rPr>
          <w:rFonts w:eastAsia="Times New Roman" w:cs="Arial"/>
          <w:color w:val="000000"/>
          <w:lang w:eastAsia="bg-BG"/>
        </w:rPr>
        <w:t xml:space="preserve"> таблица представя нежеланите лекарствени реакции от клинични проучвания, пост-маркетингови проучвания и спонтанни доклади. Ако не е указано друго, честотата е изчислена от броя на нежеланите реакции, докладвани в голямо фаза III проучване, проведено при 9366 постменопаузални жени с операбилен карцином на млечната жлеза, получавали адювантна терапия в продължение на 5 години </w:t>
      </w:r>
      <w:r w:rsidRPr="00090161">
        <w:rPr>
          <w:rFonts w:eastAsia="Times New Roman" w:cs="Arial"/>
          <w:color w:val="000000"/>
          <w:lang w:val="ru-RU"/>
        </w:rPr>
        <w:t>(</w:t>
      </w:r>
      <w:proofErr w:type="spellStart"/>
      <w:r w:rsidRPr="00090161">
        <w:rPr>
          <w:rFonts w:eastAsia="Times New Roman" w:cs="Arial"/>
          <w:color w:val="000000"/>
          <w:lang w:val="en-US"/>
        </w:rPr>
        <w:t>Arimidex</w:t>
      </w:r>
      <w:proofErr w:type="spellEnd"/>
      <w:r w:rsidRPr="00090161">
        <w:rPr>
          <w:rFonts w:eastAsia="Times New Roman" w:cs="Arial"/>
          <w:color w:val="000000"/>
          <w:lang w:val="ru-RU"/>
        </w:rPr>
        <w:t xml:space="preserve">, </w:t>
      </w:r>
      <w:r w:rsidRPr="00090161">
        <w:rPr>
          <w:rFonts w:eastAsia="Times New Roman" w:cs="Arial"/>
          <w:color w:val="000000"/>
          <w:lang w:val="en-US"/>
        </w:rPr>
        <w:t>Tamoxifen</w:t>
      </w:r>
      <w:r w:rsidRPr="00090161">
        <w:rPr>
          <w:rFonts w:eastAsia="Times New Roman" w:cs="Arial"/>
          <w:color w:val="000000"/>
          <w:lang w:val="ru-RU"/>
        </w:rPr>
        <w:t xml:space="preserve">, </w:t>
      </w:r>
      <w:r w:rsidRPr="00090161">
        <w:rPr>
          <w:rFonts w:eastAsia="Times New Roman" w:cs="Arial"/>
          <w:color w:val="000000"/>
          <w:lang w:val="en-US"/>
        </w:rPr>
        <w:t>Alone</w:t>
      </w:r>
      <w:r w:rsidRPr="00090161">
        <w:rPr>
          <w:rFonts w:eastAsia="Times New Roman" w:cs="Arial"/>
          <w:color w:val="000000"/>
          <w:lang w:val="ru-RU"/>
        </w:rPr>
        <w:t xml:space="preserve"> </w:t>
      </w:r>
      <w:r w:rsidRPr="00090161">
        <w:rPr>
          <w:rFonts w:eastAsia="Times New Roman" w:cs="Arial"/>
          <w:color w:val="000000"/>
          <w:lang w:val="en-US"/>
        </w:rPr>
        <w:t>or</w:t>
      </w:r>
      <w:r w:rsidRPr="00090161">
        <w:rPr>
          <w:rFonts w:eastAsia="Times New Roman" w:cs="Arial"/>
          <w:color w:val="000000"/>
          <w:lang w:val="ru-RU"/>
        </w:rPr>
        <w:t xml:space="preserve"> </w:t>
      </w:r>
      <w:r w:rsidRPr="00090161">
        <w:rPr>
          <w:rFonts w:eastAsia="Times New Roman" w:cs="Arial"/>
          <w:color w:val="000000"/>
          <w:lang w:val="en-US"/>
        </w:rPr>
        <w:t>in</w:t>
      </w:r>
      <w:r w:rsidRPr="00090161">
        <w:rPr>
          <w:rFonts w:eastAsia="Times New Roman" w:cs="Arial"/>
          <w:color w:val="000000"/>
          <w:lang w:val="ru-RU"/>
        </w:rPr>
        <w:t xml:space="preserve"> </w:t>
      </w:r>
      <w:r w:rsidRPr="00090161">
        <w:rPr>
          <w:rFonts w:eastAsia="Times New Roman" w:cs="Arial"/>
          <w:color w:val="000000"/>
          <w:lang w:val="en-US"/>
        </w:rPr>
        <w:t>Combination</w:t>
      </w:r>
      <w:r w:rsidRPr="00090161">
        <w:rPr>
          <w:rFonts w:eastAsia="Times New Roman" w:cs="Arial"/>
          <w:color w:val="000000"/>
          <w:lang w:val="ru-RU"/>
        </w:rPr>
        <w:t xml:space="preserve"> [</w:t>
      </w:r>
      <w:r w:rsidRPr="00090161">
        <w:rPr>
          <w:rFonts w:eastAsia="Times New Roman" w:cs="Arial"/>
          <w:color w:val="000000"/>
          <w:lang w:val="en-US"/>
        </w:rPr>
        <w:t>ATAC</w:t>
      </w:r>
      <w:r w:rsidRPr="00090161">
        <w:rPr>
          <w:rFonts w:eastAsia="Times New Roman" w:cs="Arial"/>
          <w:color w:val="000000"/>
          <w:lang w:val="ru-RU"/>
        </w:rPr>
        <w:t xml:space="preserve">] </w:t>
      </w:r>
      <w:r w:rsidRPr="00090161">
        <w:rPr>
          <w:rFonts w:eastAsia="Times New Roman" w:cs="Arial"/>
          <w:color w:val="000000"/>
          <w:lang w:eastAsia="bg-BG"/>
        </w:rPr>
        <w:t>проучване).</w:t>
      </w:r>
    </w:p>
    <w:p w14:paraId="5ACB74BC" w14:textId="77777777" w:rsidR="00090161" w:rsidRDefault="00090161" w:rsidP="00090161">
      <w:pPr>
        <w:spacing w:line="240" w:lineRule="auto"/>
        <w:rPr>
          <w:rFonts w:eastAsia="Times New Roman" w:cs="Arial"/>
          <w:color w:val="000000"/>
          <w:lang w:eastAsia="bg-BG"/>
        </w:rPr>
      </w:pPr>
    </w:p>
    <w:p w14:paraId="70B128FC" w14:textId="2B9A5569"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Нежеланите реакции са класифицирани по честота с помощта на с помощта на </w:t>
      </w:r>
      <w:proofErr w:type="spellStart"/>
      <w:r w:rsidRPr="00090161">
        <w:rPr>
          <w:rFonts w:eastAsia="Times New Roman" w:cs="Arial"/>
          <w:color w:val="000000"/>
          <w:lang w:val="en-US"/>
        </w:rPr>
        <w:t>MedDRA</w:t>
      </w:r>
      <w:proofErr w:type="spellEnd"/>
      <w:r w:rsidRPr="00090161">
        <w:rPr>
          <w:rFonts w:eastAsia="Times New Roman" w:cs="Arial"/>
          <w:color w:val="000000"/>
          <w:lang w:val="ru-RU"/>
        </w:rPr>
        <w:t xml:space="preserve"> </w:t>
      </w:r>
      <w:r w:rsidRPr="00090161">
        <w:rPr>
          <w:rFonts w:eastAsia="Times New Roman" w:cs="Arial"/>
          <w:color w:val="000000"/>
          <w:lang w:eastAsia="bg-BG"/>
        </w:rPr>
        <w:t>конвенцията: Много чести (≥1/10), чести (≥1/100 до &lt;1/10), нечести (≥1/1,000 до &lt;1/100), редки (≥1/10,000 до &lt;1/1,000), много редки (&lt;1/10,000), с неизвестна честота (не може да бъде оценена от наличните данни). Най-често докладваните нежелани реакции са главоболие, горещи вълни, гадене, обрив, артралгия, скованост на ставите, артрит и астения.</w:t>
      </w:r>
    </w:p>
    <w:p w14:paraId="4657A679" w14:textId="77777777" w:rsidR="00090161" w:rsidRDefault="00090161" w:rsidP="00090161">
      <w:pPr>
        <w:rPr>
          <w:rFonts w:eastAsia="Times New Roman" w:cs="Arial"/>
          <w:b/>
          <w:bCs/>
          <w:color w:val="000000"/>
          <w:u w:val="single"/>
          <w:lang w:eastAsia="bg-BG"/>
        </w:rPr>
      </w:pPr>
    </w:p>
    <w:p w14:paraId="2CF41F7E" w14:textId="4A4A3719" w:rsidR="00090161" w:rsidRDefault="00090161" w:rsidP="00090161">
      <w:pPr>
        <w:rPr>
          <w:rFonts w:eastAsia="Times New Roman" w:cs="Arial"/>
          <w:b/>
          <w:bCs/>
          <w:color w:val="000000"/>
          <w:u w:val="single"/>
          <w:lang w:eastAsia="bg-BG"/>
        </w:rPr>
      </w:pPr>
      <w:r w:rsidRPr="00090161">
        <w:rPr>
          <w:rFonts w:eastAsia="Times New Roman" w:cs="Arial"/>
          <w:b/>
          <w:bCs/>
          <w:color w:val="000000"/>
          <w:u w:val="single"/>
          <w:lang w:eastAsia="bg-BG"/>
        </w:rPr>
        <w:t>Таблица 1 Нежелани лекарствени реакции по системно-органен клас и честота</w:t>
      </w:r>
    </w:p>
    <w:tbl>
      <w:tblPr>
        <w:tblStyle w:val="TableGrid"/>
        <w:tblW w:w="0" w:type="auto"/>
        <w:tblLook w:val="04A0" w:firstRow="1" w:lastRow="0" w:firstColumn="1" w:lastColumn="0" w:noHBand="0" w:noVBand="1"/>
      </w:tblPr>
      <w:tblGrid>
        <w:gridCol w:w="3069"/>
        <w:gridCol w:w="2931"/>
        <w:gridCol w:w="3350"/>
      </w:tblGrid>
      <w:tr w:rsidR="00090161" w14:paraId="72440796" w14:textId="77777777" w:rsidTr="004235C7">
        <w:tc>
          <w:tcPr>
            <w:tcW w:w="9576" w:type="dxa"/>
            <w:gridSpan w:val="3"/>
          </w:tcPr>
          <w:p w14:paraId="0D402E7C" w14:textId="360D3791" w:rsidR="00090161" w:rsidRDefault="00090161" w:rsidP="00090161">
            <w:pPr>
              <w:jc w:val="center"/>
            </w:pPr>
            <w:r w:rsidRPr="00090161">
              <w:rPr>
                <w:b/>
                <w:bCs/>
                <w:szCs w:val="42"/>
              </w:rPr>
              <w:t>Нежелани лекарствени реакции по СОК и честота</w:t>
            </w:r>
          </w:p>
        </w:tc>
      </w:tr>
      <w:tr w:rsidR="00090161" w14:paraId="794B39A2" w14:textId="77777777" w:rsidTr="00090161">
        <w:tc>
          <w:tcPr>
            <w:tcW w:w="3124" w:type="dxa"/>
            <w:vMerge w:val="restart"/>
          </w:tcPr>
          <w:p w14:paraId="36E3FCB4" w14:textId="3933A461" w:rsidR="00090161" w:rsidRPr="00090161" w:rsidRDefault="00090161" w:rsidP="00090161">
            <w:r w:rsidRPr="00090161">
              <w:rPr>
                <w:szCs w:val="42"/>
              </w:rPr>
              <w:t>Нарушения на метаболизма и храненето</w:t>
            </w:r>
          </w:p>
        </w:tc>
        <w:tc>
          <w:tcPr>
            <w:tcW w:w="3102" w:type="dxa"/>
          </w:tcPr>
          <w:p w14:paraId="63625EEE" w14:textId="0D35EB18" w:rsidR="00090161" w:rsidRPr="00090161" w:rsidRDefault="00090161" w:rsidP="00090161">
            <w:r w:rsidRPr="00090161">
              <w:rPr>
                <w:szCs w:val="42"/>
              </w:rPr>
              <w:t>Чести</w:t>
            </w:r>
          </w:p>
        </w:tc>
        <w:tc>
          <w:tcPr>
            <w:tcW w:w="3350" w:type="dxa"/>
          </w:tcPr>
          <w:p w14:paraId="6888A0A1" w14:textId="77777777" w:rsidR="00090161" w:rsidRPr="00090161" w:rsidRDefault="00090161" w:rsidP="00090161">
            <w:r w:rsidRPr="00090161">
              <w:rPr>
                <w:szCs w:val="42"/>
              </w:rPr>
              <w:t>Анорексия</w:t>
            </w:r>
          </w:p>
          <w:p w14:paraId="4FE0AC9F" w14:textId="5C872112" w:rsidR="00090161" w:rsidRPr="00090161" w:rsidRDefault="00090161" w:rsidP="00090161">
            <w:r w:rsidRPr="00090161">
              <w:rPr>
                <w:szCs w:val="42"/>
              </w:rPr>
              <w:t>Хиперхолестеролемия</w:t>
            </w:r>
          </w:p>
        </w:tc>
      </w:tr>
      <w:tr w:rsidR="00090161" w14:paraId="5F224463" w14:textId="77777777" w:rsidTr="00090161">
        <w:tc>
          <w:tcPr>
            <w:tcW w:w="3124" w:type="dxa"/>
            <w:vMerge/>
          </w:tcPr>
          <w:p w14:paraId="55EEEEF1" w14:textId="77777777" w:rsidR="00090161" w:rsidRPr="00090161" w:rsidRDefault="00090161" w:rsidP="00090161"/>
        </w:tc>
        <w:tc>
          <w:tcPr>
            <w:tcW w:w="3102" w:type="dxa"/>
          </w:tcPr>
          <w:p w14:paraId="4A516D64" w14:textId="470C8E8C" w:rsidR="00090161" w:rsidRPr="00090161" w:rsidRDefault="00090161" w:rsidP="00090161">
            <w:r w:rsidRPr="00090161">
              <w:rPr>
                <w:szCs w:val="42"/>
              </w:rPr>
              <w:t>Нечести</w:t>
            </w:r>
          </w:p>
        </w:tc>
        <w:tc>
          <w:tcPr>
            <w:tcW w:w="3350" w:type="dxa"/>
          </w:tcPr>
          <w:p w14:paraId="30DE6700" w14:textId="47C576FD" w:rsidR="00090161" w:rsidRPr="00090161" w:rsidRDefault="00090161" w:rsidP="00090161">
            <w:r w:rsidRPr="00090161">
              <w:rPr>
                <w:szCs w:val="42"/>
              </w:rPr>
              <w:t>Хиперкалцемия (с или без увеличение на паратироидния хормон)</w:t>
            </w:r>
          </w:p>
        </w:tc>
      </w:tr>
      <w:tr w:rsidR="00090161" w14:paraId="1B9BF704" w14:textId="77777777" w:rsidTr="00090161">
        <w:tc>
          <w:tcPr>
            <w:tcW w:w="3124" w:type="dxa"/>
            <w:vMerge w:val="restart"/>
          </w:tcPr>
          <w:p w14:paraId="40A67E8E" w14:textId="7D72917C" w:rsidR="00090161" w:rsidRPr="00090161" w:rsidRDefault="00090161" w:rsidP="00090161">
            <w:r w:rsidRPr="00090161">
              <w:rPr>
                <w:szCs w:val="42"/>
              </w:rPr>
              <w:t>Нарушения на нервната система</w:t>
            </w:r>
          </w:p>
        </w:tc>
        <w:tc>
          <w:tcPr>
            <w:tcW w:w="3102" w:type="dxa"/>
          </w:tcPr>
          <w:p w14:paraId="4E51D957" w14:textId="2F44507D" w:rsidR="00090161" w:rsidRPr="00090161" w:rsidRDefault="00090161" w:rsidP="00090161">
            <w:r w:rsidRPr="00090161">
              <w:rPr>
                <w:szCs w:val="42"/>
              </w:rPr>
              <w:t>Много чести</w:t>
            </w:r>
          </w:p>
        </w:tc>
        <w:tc>
          <w:tcPr>
            <w:tcW w:w="3350" w:type="dxa"/>
          </w:tcPr>
          <w:p w14:paraId="350BAA95" w14:textId="6AD08A6C" w:rsidR="00090161" w:rsidRPr="00090161" w:rsidRDefault="00090161" w:rsidP="00090161">
            <w:r w:rsidRPr="00090161">
              <w:rPr>
                <w:szCs w:val="42"/>
              </w:rPr>
              <w:t>Главоболие</w:t>
            </w:r>
          </w:p>
        </w:tc>
      </w:tr>
      <w:tr w:rsidR="00090161" w14:paraId="123F14DC" w14:textId="77777777" w:rsidTr="00090161">
        <w:tc>
          <w:tcPr>
            <w:tcW w:w="3124" w:type="dxa"/>
            <w:vMerge/>
          </w:tcPr>
          <w:p w14:paraId="4960029C" w14:textId="77777777" w:rsidR="00090161" w:rsidRPr="00090161" w:rsidRDefault="00090161" w:rsidP="00090161"/>
        </w:tc>
        <w:tc>
          <w:tcPr>
            <w:tcW w:w="3102" w:type="dxa"/>
          </w:tcPr>
          <w:p w14:paraId="0350F052" w14:textId="5D5B4838" w:rsidR="00090161" w:rsidRPr="00090161" w:rsidRDefault="00090161" w:rsidP="00090161">
            <w:r w:rsidRPr="00090161">
              <w:rPr>
                <w:szCs w:val="42"/>
              </w:rPr>
              <w:t>Чести</w:t>
            </w:r>
          </w:p>
        </w:tc>
        <w:tc>
          <w:tcPr>
            <w:tcW w:w="3350" w:type="dxa"/>
          </w:tcPr>
          <w:p w14:paraId="11EE7745" w14:textId="77777777" w:rsidR="00090161" w:rsidRPr="00090161" w:rsidRDefault="00090161" w:rsidP="00090161">
            <w:r w:rsidRPr="00090161">
              <w:rPr>
                <w:szCs w:val="42"/>
              </w:rPr>
              <w:t>Сомнолентност</w:t>
            </w:r>
          </w:p>
          <w:p w14:paraId="53201E81" w14:textId="04624D44" w:rsidR="00090161" w:rsidRPr="00090161" w:rsidRDefault="00090161" w:rsidP="00090161">
            <w:r w:rsidRPr="00090161">
              <w:rPr>
                <w:szCs w:val="42"/>
              </w:rPr>
              <w:t>Синдром на карпалния канал*</w:t>
            </w:r>
          </w:p>
        </w:tc>
      </w:tr>
      <w:tr w:rsidR="00090161" w14:paraId="396E7EA4" w14:textId="77777777" w:rsidTr="00090161">
        <w:tc>
          <w:tcPr>
            <w:tcW w:w="3124" w:type="dxa"/>
          </w:tcPr>
          <w:p w14:paraId="190FE5CF" w14:textId="4A3AC9D9" w:rsidR="00090161" w:rsidRPr="00090161" w:rsidRDefault="00090161" w:rsidP="00090161">
            <w:r w:rsidRPr="00090161">
              <w:rPr>
                <w:szCs w:val="42"/>
              </w:rPr>
              <w:t>Съдови нарушения</w:t>
            </w:r>
          </w:p>
        </w:tc>
        <w:tc>
          <w:tcPr>
            <w:tcW w:w="3102" w:type="dxa"/>
          </w:tcPr>
          <w:p w14:paraId="11EFFE49" w14:textId="4C5E60C0" w:rsidR="00090161" w:rsidRPr="00090161" w:rsidRDefault="00090161" w:rsidP="00090161">
            <w:r w:rsidRPr="00090161">
              <w:rPr>
                <w:szCs w:val="42"/>
              </w:rPr>
              <w:t>Много чести</w:t>
            </w:r>
          </w:p>
        </w:tc>
        <w:tc>
          <w:tcPr>
            <w:tcW w:w="3350" w:type="dxa"/>
          </w:tcPr>
          <w:p w14:paraId="3EFADFF5" w14:textId="5BB27433" w:rsidR="00090161" w:rsidRPr="00090161" w:rsidRDefault="00090161" w:rsidP="00090161">
            <w:r w:rsidRPr="00090161">
              <w:rPr>
                <w:szCs w:val="42"/>
              </w:rPr>
              <w:t>Горещи вълни</w:t>
            </w:r>
          </w:p>
        </w:tc>
      </w:tr>
      <w:tr w:rsidR="00090161" w14:paraId="5448D49D" w14:textId="77777777" w:rsidTr="00090161">
        <w:tc>
          <w:tcPr>
            <w:tcW w:w="3124" w:type="dxa"/>
            <w:vMerge w:val="restart"/>
          </w:tcPr>
          <w:p w14:paraId="5EFD1BBD" w14:textId="174EF714" w:rsidR="00090161" w:rsidRPr="00090161" w:rsidRDefault="00090161" w:rsidP="00090161">
            <w:r w:rsidRPr="00090161">
              <w:rPr>
                <w:szCs w:val="42"/>
              </w:rPr>
              <w:t>Стомашно-чревни нарушения</w:t>
            </w:r>
          </w:p>
        </w:tc>
        <w:tc>
          <w:tcPr>
            <w:tcW w:w="3102" w:type="dxa"/>
          </w:tcPr>
          <w:p w14:paraId="2F1E0A69" w14:textId="4B6971CA" w:rsidR="00090161" w:rsidRPr="00090161" w:rsidRDefault="00090161" w:rsidP="00090161">
            <w:r w:rsidRPr="00090161">
              <w:rPr>
                <w:szCs w:val="42"/>
              </w:rPr>
              <w:t>Много чести</w:t>
            </w:r>
          </w:p>
        </w:tc>
        <w:tc>
          <w:tcPr>
            <w:tcW w:w="3350" w:type="dxa"/>
          </w:tcPr>
          <w:p w14:paraId="2E823570" w14:textId="273F1CB7" w:rsidR="00090161" w:rsidRPr="00090161" w:rsidRDefault="00090161" w:rsidP="00090161">
            <w:r w:rsidRPr="00090161">
              <w:rPr>
                <w:szCs w:val="42"/>
              </w:rPr>
              <w:t>Гадене</w:t>
            </w:r>
          </w:p>
        </w:tc>
      </w:tr>
      <w:tr w:rsidR="00090161" w14:paraId="78B9F68E" w14:textId="77777777" w:rsidTr="00090161">
        <w:tc>
          <w:tcPr>
            <w:tcW w:w="3124" w:type="dxa"/>
            <w:vMerge/>
          </w:tcPr>
          <w:p w14:paraId="09117D74" w14:textId="77777777" w:rsidR="00090161" w:rsidRPr="00090161" w:rsidRDefault="00090161" w:rsidP="00090161"/>
        </w:tc>
        <w:tc>
          <w:tcPr>
            <w:tcW w:w="3102" w:type="dxa"/>
          </w:tcPr>
          <w:p w14:paraId="7F068CA0" w14:textId="3B3D5326" w:rsidR="00090161" w:rsidRPr="00090161" w:rsidRDefault="00090161" w:rsidP="00090161">
            <w:r w:rsidRPr="00090161">
              <w:rPr>
                <w:szCs w:val="42"/>
              </w:rPr>
              <w:t>Чести</w:t>
            </w:r>
          </w:p>
        </w:tc>
        <w:tc>
          <w:tcPr>
            <w:tcW w:w="3350" w:type="dxa"/>
          </w:tcPr>
          <w:p w14:paraId="394DCCE3" w14:textId="3AABBB43" w:rsidR="00090161" w:rsidRPr="00090161" w:rsidRDefault="00090161" w:rsidP="00090161">
            <w:r w:rsidRPr="00090161">
              <w:rPr>
                <w:szCs w:val="42"/>
              </w:rPr>
              <w:t>Диария Повръщане</w:t>
            </w:r>
          </w:p>
        </w:tc>
      </w:tr>
      <w:tr w:rsidR="00090161" w14:paraId="7934F9ED" w14:textId="77777777" w:rsidTr="00090161">
        <w:tc>
          <w:tcPr>
            <w:tcW w:w="3124" w:type="dxa"/>
            <w:vMerge w:val="restart"/>
          </w:tcPr>
          <w:p w14:paraId="11349A7A" w14:textId="693BC6BD" w:rsidR="00090161" w:rsidRPr="00090161" w:rsidRDefault="00090161" w:rsidP="00090161">
            <w:r w:rsidRPr="00090161">
              <w:rPr>
                <w:szCs w:val="42"/>
              </w:rPr>
              <w:lastRenderedPageBreak/>
              <w:t>Хепато-билиарни нарушения</w:t>
            </w:r>
          </w:p>
        </w:tc>
        <w:tc>
          <w:tcPr>
            <w:tcW w:w="3102" w:type="dxa"/>
          </w:tcPr>
          <w:p w14:paraId="2A16FB96" w14:textId="354432DA" w:rsidR="00090161" w:rsidRPr="00090161" w:rsidRDefault="00090161" w:rsidP="00090161">
            <w:r w:rsidRPr="00090161">
              <w:rPr>
                <w:szCs w:val="42"/>
              </w:rPr>
              <w:t>Чести</w:t>
            </w:r>
          </w:p>
        </w:tc>
        <w:tc>
          <w:tcPr>
            <w:tcW w:w="3350" w:type="dxa"/>
          </w:tcPr>
          <w:p w14:paraId="4EBE64FC" w14:textId="145FA825" w:rsidR="00090161" w:rsidRPr="00090161" w:rsidRDefault="00090161" w:rsidP="00090161">
            <w:r w:rsidRPr="00090161">
              <w:rPr>
                <w:szCs w:val="42"/>
              </w:rPr>
              <w:t>Повишаване на алкалната фосфатаза, аланинаминотрансферазата и аспартатаминотраисферазата</w:t>
            </w:r>
          </w:p>
        </w:tc>
      </w:tr>
      <w:tr w:rsidR="00090161" w14:paraId="7B2C2BF8" w14:textId="77777777" w:rsidTr="00090161">
        <w:tc>
          <w:tcPr>
            <w:tcW w:w="3124" w:type="dxa"/>
            <w:vMerge/>
          </w:tcPr>
          <w:p w14:paraId="0064E5E6" w14:textId="77777777" w:rsidR="00090161" w:rsidRPr="00090161" w:rsidRDefault="00090161" w:rsidP="00090161"/>
        </w:tc>
        <w:tc>
          <w:tcPr>
            <w:tcW w:w="3102" w:type="dxa"/>
          </w:tcPr>
          <w:p w14:paraId="39D45224" w14:textId="34C249D7" w:rsidR="00090161" w:rsidRPr="00090161" w:rsidRDefault="00090161" w:rsidP="00090161">
            <w:r w:rsidRPr="00090161">
              <w:rPr>
                <w:szCs w:val="42"/>
              </w:rPr>
              <w:t>Нечести</w:t>
            </w:r>
          </w:p>
        </w:tc>
        <w:tc>
          <w:tcPr>
            <w:tcW w:w="3350" w:type="dxa"/>
          </w:tcPr>
          <w:p w14:paraId="1C979200" w14:textId="77777777" w:rsidR="00090161" w:rsidRPr="00090161" w:rsidRDefault="00090161" w:rsidP="00090161">
            <w:r w:rsidRPr="00090161">
              <w:rPr>
                <w:szCs w:val="42"/>
              </w:rPr>
              <w:t>Повишаване на гама</w:t>
            </w:r>
            <w:r w:rsidRPr="00090161">
              <w:rPr>
                <w:szCs w:val="42"/>
                <w:lang w:val="ru-RU"/>
              </w:rPr>
              <w:t>-</w:t>
            </w:r>
            <w:r w:rsidRPr="00090161">
              <w:rPr>
                <w:szCs w:val="42"/>
                <w:lang w:val="en-US"/>
              </w:rPr>
              <w:t>GT</w:t>
            </w:r>
            <w:r w:rsidRPr="00090161">
              <w:rPr>
                <w:szCs w:val="42"/>
                <w:lang w:val="ru-RU"/>
              </w:rPr>
              <w:t xml:space="preserve"> </w:t>
            </w:r>
            <w:r w:rsidRPr="00090161">
              <w:rPr>
                <w:szCs w:val="42"/>
              </w:rPr>
              <w:t>и билирубина</w:t>
            </w:r>
          </w:p>
          <w:p w14:paraId="216001A7" w14:textId="7DC8DC1E" w:rsidR="00090161" w:rsidRPr="00090161" w:rsidRDefault="00090161" w:rsidP="00090161">
            <w:r w:rsidRPr="00090161">
              <w:rPr>
                <w:szCs w:val="42"/>
              </w:rPr>
              <w:t>Хепатит</w:t>
            </w:r>
          </w:p>
        </w:tc>
      </w:tr>
      <w:tr w:rsidR="00090161" w14:paraId="0E6CF77D" w14:textId="77777777" w:rsidTr="00090161">
        <w:tc>
          <w:tcPr>
            <w:tcW w:w="3124" w:type="dxa"/>
            <w:vMerge w:val="restart"/>
          </w:tcPr>
          <w:p w14:paraId="689FD429" w14:textId="1DB16E1A" w:rsidR="00090161" w:rsidRPr="00090161" w:rsidRDefault="00090161" w:rsidP="00090161">
            <w:r w:rsidRPr="00090161">
              <w:rPr>
                <w:szCs w:val="42"/>
              </w:rPr>
              <w:t>Нарушения на кожата и подкожната тъкан</w:t>
            </w:r>
          </w:p>
        </w:tc>
        <w:tc>
          <w:tcPr>
            <w:tcW w:w="3102" w:type="dxa"/>
          </w:tcPr>
          <w:p w14:paraId="569B0787" w14:textId="3AD99105" w:rsidR="00090161" w:rsidRPr="00090161" w:rsidRDefault="00090161" w:rsidP="00090161">
            <w:r w:rsidRPr="00090161">
              <w:rPr>
                <w:szCs w:val="42"/>
              </w:rPr>
              <w:t>Много чести</w:t>
            </w:r>
          </w:p>
        </w:tc>
        <w:tc>
          <w:tcPr>
            <w:tcW w:w="3350" w:type="dxa"/>
          </w:tcPr>
          <w:p w14:paraId="147CAFB2" w14:textId="479D41C9" w:rsidR="00090161" w:rsidRPr="00090161" w:rsidRDefault="00090161" w:rsidP="00090161">
            <w:r w:rsidRPr="00090161">
              <w:rPr>
                <w:szCs w:val="42"/>
              </w:rPr>
              <w:t>Обрив</w:t>
            </w:r>
          </w:p>
        </w:tc>
      </w:tr>
      <w:tr w:rsidR="00090161" w14:paraId="140B167E" w14:textId="77777777" w:rsidTr="00090161">
        <w:tc>
          <w:tcPr>
            <w:tcW w:w="3124" w:type="dxa"/>
            <w:vMerge/>
          </w:tcPr>
          <w:p w14:paraId="055F3641" w14:textId="77777777" w:rsidR="00090161" w:rsidRPr="00090161" w:rsidRDefault="00090161" w:rsidP="00090161"/>
        </w:tc>
        <w:tc>
          <w:tcPr>
            <w:tcW w:w="3102" w:type="dxa"/>
          </w:tcPr>
          <w:p w14:paraId="30B105CD" w14:textId="76F1951B" w:rsidR="00090161" w:rsidRPr="00090161" w:rsidRDefault="00090161" w:rsidP="00090161">
            <w:r w:rsidRPr="00090161">
              <w:rPr>
                <w:szCs w:val="42"/>
              </w:rPr>
              <w:t>Чести</w:t>
            </w:r>
          </w:p>
        </w:tc>
        <w:tc>
          <w:tcPr>
            <w:tcW w:w="3350" w:type="dxa"/>
          </w:tcPr>
          <w:p w14:paraId="12384711" w14:textId="2CF22BE3" w:rsidR="00090161" w:rsidRPr="00090161" w:rsidRDefault="00090161" w:rsidP="00090161">
            <w:r w:rsidRPr="00090161">
              <w:rPr>
                <w:szCs w:val="42"/>
              </w:rPr>
              <w:t>Оредяване на косата (алопеция) Алергична реакция</w:t>
            </w:r>
          </w:p>
        </w:tc>
      </w:tr>
      <w:tr w:rsidR="00090161" w14:paraId="56461E7D" w14:textId="77777777" w:rsidTr="00090161">
        <w:tc>
          <w:tcPr>
            <w:tcW w:w="3124" w:type="dxa"/>
            <w:vMerge/>
          </w:tcPr>
          <w:p w14:paraId="086AA5E9" w14:textId="77777777" w:rsidR="00090161" w:rsidRPr="00090161" w:rsidRDefault="00090161" w:rsidP="00090161"/>
        </w:tc>
        <w:tc>
          <w:tcPr>
            <w:tcW w:w="3102" w:type="dxa"/>
          </w:tcPr>
          <w:p w14:paraId="7E6B8FB7" w14:textId="618A7FB3" w:rsidR="00090161" w:rsidRPr="00090161" w:rsidRDefault="00090161" w:rsidP="00090161">
            <w:r w:rsidRPr="00090161">
              <w:rPr>
                <w:szCs w:val="42"/>
              </w:rPr>
              <w:t>Нечести</w:t>
            </w:r>
          </w:p>
        </w:tc>
        <w:tc>
          <w:tcPr>
            <w:tcW w:w="3350" w:type="dxa"/>
          </w:tcPr>
          <w:p w14:paraId="7F7568E5" w14:textId="1951E6DF" w:rsidR="00090161" w:rsidRPr="00090161" w:rsidRDefault="00090161" w:rsidP="00090161">
            <w:r w:rsidRPr="00090161">
              <w:rPr>
                <w:szCs w:val="42"/>
              </w:rPr>
              <w:t>Уртикария</w:t>
            </w:r>
          </w:p>
        </w:tc>
      </w:tr>
      <w:tr w:rsidR="00090161" w14:paraId="60EC3273" w14:textId="77777777" w:rsidTr="00090161">
        <w:tc>
          <w:tcPr>
            <w:tcW w:w="3124" w:type="dxa"/>
            <w:vMerge/>
          </w:tcPr>
          <w:p w14:paraId="5B0C80A5" w14:textId="77777777" w:rsidR="00090161" w:rsidRPr="00090161" w:rsidRDefault="00090161" w:rsidP="00090161"/>
        </w:tc>
        <w:tc>
          <w:tcPr>
            <w:tcW w:w="3102" w:type="dxa"/>
          </w:tcPr>
          <w:p w14:paraId="09B00E9D" w14:textId="7612C19D" w:rsidR="00090161" w:rsidRPr="00090161" w:rsidRDefault="00090161" w:rsidP="00090161">
            <w:r w:rsidRPr="00090161">
              <w:rPr>
                <w:szCs w:val="42"/>
              </w:rPr>
              <w:t>Редки</w:t>
            </w:r>
          </w:p>
        </w:tc>
        <w:tc>
          <w:tcPr>
            <w:tcW w:w="3350" w:type="dxa"/>
          </w:tcPr>
          <w:p w14:paraId="422D5A40" w14:textId="489AA49D" w:rsidR="00090161" w:rsidRPr="00090161" w:rsidRDefault="00090161" w:rsidP="00090161">
            <w:r w:rsidRPr="00090161">
              <w:rPr>
                <w:szCs w:val="42"/>
              </w:rPr>
              <w:t xml:space="preserve">Еритема мултиформе Анафилактоидна реакция Кожен васкулкт (включително няколко случая на </w:t>
            </w:r>
            <w:r w:rsidRPr="00090161">
              <w:rPr>
                <w:szCs w:val="42"/>
                <w:lang w:val="en-US"/>
              </w:rPr>
              <w:t>Henoch</w:t>
            </w:r>
            <w:r w:rsidRPr="00090161">
              <w:rPr>
                <w:szCs w:val="42"/>
                <w:lang w:val="ru-RU"/>
              </w:rPr>
              <w:t>-</w:t>
            </w:r>
            <w:proofErr w:type="spellStart"/>
            <w:r w:rsidRPr="00090161">
              <w:rPr>
                <w:szCs w:val="42"/>
                <w:lang w:val="en-US"/>
              </w:rPr>
              <w:t>Sch</w:t>
            </w:r>
            <w:proofErr w:type="spellEnd"/>
            <w:r w:rsidRPr="00090161">
              <w:rPr>
                <w:szCs w:val="42"/>
              </w:rPr>
              <w:t>о</w:t>
            </w:r>
            <w:proofErr w:type="spellStart"/>
            <w:r w:rsidRPr="00090161">
              <w:rPr>
                <w:szCs w:val="42"/>
                <w:lang w:val="en-US"/>
              </w:rPr>
              <w:t>nlein</w:t>
            </w:r>
            <w:proofErr w:type="spellEnd"/>
            <w:r w:rsidRPr="00090161">
              <w:rPr>
                <w:szCs w:val="42"/>
                <w:lang w:val="ru-RU"/>
              </w:rPr>
              <w:t>)**</w:t>
            </w:r>
          </w:p>
        </w:tc>
      </w:tr>
      <w:tr w:rsidR="00090161" w14:paraId="2867AC1F" w14:textId="77777777" w:rsidTr="00090161">
        <w:tc>
          <w:tcPr>
            <w:tcW w:w="3124" w:type="dxa"/>
            <w:vMerge/>
          </w:tcPr>
          <w:p w14:paraId="60584084" w14:textId="77777777" w:rsidR="00090161" w:rsidRPr="00090161" w:rsidRDefault="00090161" w:rsidP="00090161"/>
        </w:tc>
        <w:tc>
          <w:tcPr>
            <w:tcW w:w="3102" w:type="dxa"/>
          </w:tcPr>
          <w:p w14:paraId="34AFE085" w14:textId="6FA9E92F" w:rsidR="00090161" w:rsidRPr="00090161" w:rsidRDefault="00090161" w:rsidP="00090161">
            <w:r w:rsidRPr="00090161">
              <w:rPr>
                <w:szCs w:val="42"/>
              </w:rPr>
              <w:t>Много редки</w:t>
            </w:r>
          </w:p>
        </w:tc>
        <w:tc>
          <w:tcPr>
            <w:tcW w:w="3350" w:type="dxa"/>
          </w:tcPr>
          <w:p w14:paraId="5A451C9D" w14:textId="64639B38" w:rsidR="00090161" w:rsidRPr="00090161" w:rsidRDefault="00090161" w:rsidP="00090161">
            <w:r w:rsidRPr="00090161">
              <w:rPr>
                <w:szCs w:val="42"/>
              </w:rPr>
              <w:t xml:space="preserve">Синдром на </w:t>
            </w:r>
            <w:r w:rsidRPr="00090161">
              <w:rPr>
                <w:szCs w:val="42"/>
                <w:lang w:val="en-US"/>
              </w:rPr>
              <w:t>Stevens</w:t>
            </w:r>
            <w:r w:rsidRPr="00090161">
              <w:rPr>
                <w:szCs w:val="42"/>
                <w:lang w:val="ru-RU"/>
              </w:rPr>
              <w:t>-</w:t>
            </w:r>
            <w:r w:rsidRPr="00090161">
              <w:rPr>
                <w:szCs w:val="42"/>
                <w:lang w:val="en-US"/>
              </w:rPr>
              <w:t>Johnson</w:t>
            </w:r>
            <w:r w:rsidRPr="00090161">
              <w:rPr>
                <w:szCs w:val="42"/>
                <w:lang w:val="ru-RU"/>
              </w:rPr>
              <w:t xml:space="preserve"> </w:t>
            </w:r>
            <w:r w:rsidRPr="00090161">
              <w:rPr>
                <w:szCs w:val="42"/>
              </w:rPr>
              <w:t>Ангиодем</w:t>
            </w:r>
          </w:p>
        </w:tc>
      </w:tr>
      <w:tr w:rsidR="00090161" w14:paraId="1E8B4272" w14:textId="77777777" w:rsidTr="00090161">
        <w:tc>
          <w:tcPr>
            <w:tcW w:w="3124" w:type="dxa"/>
            <w:vMerge w:val="restart"/>
          </w:tcPr>
          <w:p w14:paraId="2C42E91F" w14:textId="5E07BE72" w:rsidR="00090161" w:rsidRPr="00090161" w:rsidRDefault="00090161" w:rsidP="00090161">
            <w:r w:rsidRPr="00090161">
              <w:rPr>
                <w:szCs w:val="42"/>
              </w:rPr>
              <w:t>Нарушения на мускулно- скелетната система и съединителната тъкан</w:t>
            </w:r>
          </w:p>
        </w:tc>
        <w:tc>
          <w:tcPr>
            <w:tcW w:w="3102" w:type="dxa"/>
          </w:tcPr>
          <w:p w14:paraId="1DF60528" w14:textId="6A2204C3" w:rsidR="00090161" w:rsidRPr="00090161" w:rsidRDefault="00090161" w:rsidP="00090161">
            <w:r w:rsidRPr="00090161">
              <w:rPr>
                <w:szCs w:val="42"/>
              </w:rPr>
              <w:t>Много чести</w:t>
            </w:r>
          </w:p>
        </w:tc>
        <w:tc>
          <w:tcPr>
            <w:tcW w:w="3350" w:type="dxa"/>
          </w:tcPr>
          <w:p w14:paraId="361D9584" w14:textId="77777777" w:rsidR="00090161" w:rsidRPr="00090161" w:rsidRDefault="00090161" w:rsidP="00090161">
            <w:r w:rsidRPr="00090161">
              <w:rPr>
                <w:szCs w:val="42"/>
              </w:rPr>
              <w:t>Атралгия/Скованост на ставите</w:t>
            </w:r>
          </w:p>
          <w:p w14:paraId="27FDB947" w14:textId="77777777" w:rsidR="00090161" w:rsidRPr="00090161" w:rsidRDefault="00090161" w:rsidP="00090161">
            <w:r w:rsidRPr="00090161">
              <w:rPr>
                <w:szCs w:val="42"/>
              </w:rPr>
              <w:t>Артрит</w:t>
            </w:r>
          </w:p>
          <w:p w14:paraId="0230A088" w14:textId="4BB9A7D8" w:rsidR="00090161" w:rsidRPr="00090161" w:rsidRDefault="00090161" w:rsidP="00090161">
            <w:r w:rsidRPr="00090161">
              <w:rPr>
                <w:szCs w:val="42"/>
              </w:rPr>
              <w:t>Остеопороза</w:t>
            </w:r>
          </w:p>
        </w:tc>
      </w:tr>
      <w:tr w:rsidR="00090161" w14:paraId="3DAAAB6E" w14:textId="77777777" w:rsidTr="00090161">
        <w:tc>
          <w:tcPr>
            <w:tcW w:w="3124" w:type="dxa"/>
            <w:vMerge/>
          </w:tcPr>
          <w:p w14:paraId="5F80DC5E" w14:textId="77777777" w:rsidR="00090161" w:rsidRPr="00090161" w:rsidRDefault="00090161" w:rsidP="00090161"/>
        </w:tc>
        <w:tc>
          <w:tcPr>
            <w:tcW w:w="3102" w:type="dxa"/>
          </w:tcPr>
          <w:p w14:paraId="6D92E188" w14:textId="2C68D526" w:rsidR="00090161" w:rsidRPr="00090161" w:rsidRDefault="00090161" w:rsidP="00090161">
            <w:r w:rsidRPr="00090161">
              <w:rPr>
                <w:szCs w:val="42"/>
              </w:rPr>
              <w:t>Чести</w:t>
            </w:r>
          </w:p>
        </w:tc>
        <w:tc>
          <w:tcPr>
            <w:tcW w:w="3350" w:type="dxa"/>
          </w:tcPr>
          <w:p w14:paraId="36E30103" w14:textId="4CC5D7D0" w:rsidR="00090161" w:rsidRPr="00090161" w:rsidRDefault="00090161" w:rsidP="00090161">
            <w:r w:rsidRPr="00090161">
              <w:rPr>
                <w:szCs w:val="42"/>
              </w:rPr>
              <w:t>Костна болка Миалгия</w:t>
            </w:r>
          </w:p>
        </w:tc>
      </w:tr>
      <w:tr w:rsidR="00090161" w14:paraId="2C589F62" w14:textId="77777777" w:rsidTr="00090161">
        <w:tc>
          <w:tcPr>
            <w:tcW w:w="3124" w:type="dxa"/>
            <w:vMerge/>
          </w:tcPr>
          <w:p w14:paraId="577F5E8C" w14:textId="77777777" w:rsidR="00090161" w:rsidRPr="00090161" w:rsidRDefault="00090161" w:rsidP="00090161"/>
        </w:tc>
        <w:tc>
          <w:tcPr>
            <w:tcW w:w="3102" w:type="dxa"/>
          </w:tcPr>
          <w:p w14:paraId="4C5AF48E" w14:textId="5CF52B90" w:rsidR="00090161" w:rsidRPr="00090161" w:rsidRDefault="00090161" w:rsidP="00090161">
            <w:r w:rsidRPr="00090161">
              <w:rPr>
                <w:szCs w:val="42"/>
              </w:rPr>
              <w:t>Нечести</w:t>
            </w:r>
          </w:p>
        </w:tc>
        <w:tc>
          <w:tcPr>
            <w:tcW w:w="3350" w:type="dxa"/>
          </w:tcPr>
          <w:p w14:paraId="5864C14E" w14:textId="44952DD2" w:rsidR="00090161" w:rsidRPr="00090161" w:rsidRDefault="00090161" w:rsidP="00090161">
            <w:r w:rsidRPr="00090161">
              <w:rPr>
                <w:szCs w:val="42"/>
              </w:rPr>
              <w:t>Щракащ пръст</w:t>
            </w:r>
          </w:p>
        </w:tc>
      </w:tr>
      <w:tr w:rsidR="00090161" w14:paraId="02C06711" w14:textId="77777777" w:rsidTr="00090161">
        <w:tc>
          <w:tcPr>
            <w:tcW w:w="3124" w:type="dxa"/>
          </w:tcPr>
          <w:p w14:paraId="5EE74878" w14:textId="2A0BAA75" w:rsidR="00090161" w:rsidRPr="00090161" w:rsidRDefault="00090161" w:rsidP="00090161">
            <w:r w:rsidRPr="00090161">
              <w:rPr>
                <w:szCs w:val="42"/>
              </w:rPr>
              <w:t>Нарушения на възпроизводителната система и гърдата</w:t>
            </w:r>
          </w:p>
        </w:tc>
        <w:tc>
          <w:tcPr>
            <w:tcW w:w="3102" w:type="dxa"/>
          </w:tcPr>
          <w:p w14:paraId="69D40393" w14:textId="1C9703D4" w:rsidR="00090161" w:rsidRPr="00090161" w:rsidRDefault="00090161" w:rsidP="00090161">
            <w:r w:rsidRPr="00090161">
              <w:rPr>
                <w:szCs w:val="42"/>
              </w:rPr>
              <w:t>Чести</w:t>
            </w:r>
          </w:p>
        </w:tc>
        <w:tc>
          <w:tcPr>
            <w:tcW w:w="3350" w:type="dxa"/>
          </w:tcPr>
          <w:p w14:paraId="059A1265" w14:textId="687A8DC4" w:rsidR="00090161" w:rsidRPr="00090161" w:rsidRDefault="00090161" w:rsidP="00090161">
            <w:r w:rsidRPr="00090161">
              <w:rPr>
                <w:szCs w:val="42"/>
              </w:rPr>
              <w:t>Сухота във влагалището Вагинално кървене ***</w:t>
            </w:r>
          </w:p>
        </w:tc>
      </w:tr>
      <w:tr w:rsidR="00090161" w14:paraId="4E33FD0C" w14:textId="77777777" w:rsidTr="00090161">
        <w:tc>
          <w:tcPr>
            <w:tcW w:w="3124" w:type="dxa"/>
          </w:tcPr>
          <w:p w14:paraId="2A3E9766" w14:textId="409D896C" w:rsidR="00090161" w:rsidRPr="00090161" w:rsidRDefault="00090161" w:rsidP="00090161">
            <w:r w:rsidRPr="00090161">
              <w:rPr>
                <w:szCs w:val="42"/>
              </w:rPr>
              <w:t>Общи нарушения и ефекти на мястото на приложение</w:t>
            </w:r>
          </w:p>
        </w:tc>
        <w:tc>
          <w:tcPr>
            <w:tcW w:w="3102" w:type="dxa"/>
          </w:tcPr>
          <w:p w14:paraId="3E42DB94" w14:textId="76ADB951" w:rsidR="00090161" w:rsidRPr="00090161" w:rsidRDefault="00090161" w:rsidP="00090161">
            <w:r w:rsidRPr="00090161">
              <w:rPr>
                <w:szCs w:val="42"/>
              </w:rPr>
              <w:t>Много чести</w:t>
            </w:r>
          </w:p>
        </w:tc>
        <w:tc>
          <w:tcPr>
            <w:tcW w:w="3350" w:type="dxa"/>
          </w:tcPr>
          <w:p w14:paraId="25EE9E19" w14:textId="01AB4467" w:rsidR="00090161" w:rsidRPr="00090161" w:rsidRDefault="00090161" w:rsidP="00090161">
            <w:r w:rsidRPr="00090161">
              <w:rPr>
                <w:szCs w:val="42"/>
              </w:rPr>
              <w:t>Астения</w:t>
            </w:r>
          </w:p>
        </w:tc>
      </w:tr>
    </w:tbl>
    <w:p w14:paraId="5B033668" w14:textId="77777777" w:rsidR="00090161" w:rsidRDefault="00090161" w:rsidP="00090161">
      <w:pPr>
        <w:spacing w:line="240" w:lineRule="auto"/>
        <w:rPr>
          <w:rFonts w:eastAsia="Times New Roman" w:cs="Arial"/>
          <w:color w:val="000000"/>
          <w:szCs w:val="42"/>
          <w:lang w:eastAsia="bg-BG"/>
        </w:rPr>
      </w:pPr>
      <w:r>
        <w:rPr>
          <w:rFonts w:eastAsia="Times New Roman" w:cs="Arial"/>
          <w:color w:val="000000"/>
          <w:szCs w:val="42"/>
          <w:lang w:eastAsia="bg-BG"/>
        </w:rPr>
        <w:t>*</w:t>
      </w:r>
      <w:r w:rsidRPr="00090161">
        <w:rPr>
          <w:rFonts w:eastAsia="Times New Roman" w:cs="Arial"/>
          <w:color w:val="000000"/>
          <w:szCs w:val="42"/>
          <w:lang w:eastAsia="bg-BG"/>
        </w:rPr>
        <w:t>Съобщения за Синдром на карпалния канал са съобщавани при по-голям брой пациенти в клинични проучвания, получаващи терапия с анастрозол, отколкото при тези, получаващи тамоксифен. Въпреки това, повечето от тези събития възникват при пациенти с идентифицируеми рискови фактори за възникване на това състояние.</w:t>
      </w:r>
    </w:p>
    <w:p w14:paraId="6A670924" w14:textId="4C8CD077" w:rsidR="00090161" w:rsidRPr="00090161" w:rsidRDefault="00090161" w:rsidP="00090161">
      <w:pPr>
        <w:spacing w:line="240" w:lineRule="auto"/>
        <w:rPr>
          <w:rFonts w:eastAsia="Times New Roman" w:cs="Arial"/>
          <w:color w:val="000000"/>
          <w:szCs w:val="42"/>
          <w:lang w:eastAsia="bg-BG"/>
        </w:rPr>
      </w:pPr>
      <w:r>
        <w:rPr>
          <w:rFonts w:eastAsia="Times New Roman" w:cs="Arial"/>
          <w:color w:val="000000"/>
          <w:szCs w:val="42"/>
          <w:lang w:eastAsia="bg-BG"/>
        </w:rPr>
        <w:t>**</w:t>
      </w:r>
      <w:r w:rsidRPr="00090161">
        <w:rPr>
          <w:rFonts w:eastAsia="Times New Roman" w:cs="Arial"/>
          <w:color w:val="000000"/>
          <w:szCs w:val="42"/>
          <w:lang w:eastAsia="bg-BG"/>
        </w:rPr>
        <w:t xml:space="preserve">Тъй като кожен васкулиг и пурпура на </w:t>
      </w:r>
      <w:r w:rsidRPr="00090161">
        <w:rPr>
          <w:rFonts w:eastAsia="Times New Roman" w:cs="Arial"/>
          <w:color w:val="000000"/>
          <w:szCs w:val="42"/>
          <w:lang w:val="en-US"/>
        </w:rPr>
        <w:t>Henoch</w:t>
      </w:r>
      <w:r w:rsidRPr="00090161">
        <w:rPr>
          <w:rFonts w:eastAsia="Times New Roman" w:cs="Arial"/>
          <w:color w:val="000000"/>
          <w:szCs w:val="42"/>
          <w:lang w:val="ru-RU"/>
        </w:rPr>
        <w:t>-</w:t>
      </w:r>
      <w:proofErr w:type="spellStart"/>
      <w:r w:rsidRPr="00090161">
        <w:rPr>
          <w:rFonts w:eastAsia="Times New Roman" w:cs="Arial"/>
          <w:color w:val="000000"/>
          <w:szCs w:val="42"/>
          <w:lang w:val="en-US"/>
        </w:rPr>
        <w:t>Schonlein</w:t>
      </w:r>
      <w:proofErr w:type="spellEnd"/>
      <w:r w:rsidRPr="00090161">
        <w:rPr>
          <w:rFonts w:eastAsia="Times New Roman" w:cs="Arial"/>
          <w:color w:val="000000"/>
          <w:szCs w:val="42"/>
          <w:lang w:val="ru-RU"/>
        </w:rPr>
        <w:t xml:space="preserve"> </w:t>
      </w:r>
      <w:r w:rsidRPr="00090161">
        <w:rPr>
          <w:rFonts w:eastAsia="Times New Roman" w:cs="Arial"/>
          <w:color w:val="000000"/>
          <w:szCs w:val="42"/>
          <w:lang w:eastAsia="bg-BG"/>
        </w:rPr>
        <w:t>не са наблюдавани при проучването АТАС, тези нежелани реакции могат да бъдат отнесени към категория "редки" (&gt; 0,01 % и &lt; 0,1 %) въз основа на най-голямата приблизително оценена стойност.</w:t>
      </w:r>
    </w:p>
    <w:p w14:paraId="0DD6A530" w14:textId="56C14384" w:rsidR="00090161" w:rsidRPr="00090161" w:rsidRDefault="00090161" w:rsidP="00090161">
      <w:pPr>
        <w:spacing w:line="240" w:lineRule="auto"/>
        <w:rPr>
          <w:rFonts w:eastAsia="Times New Roman" w:cs="Arial"/>
          <w:color w:val="000000"/>
          <w:szCs w:val="42"/>
          <w:lang w:eastAsia="bg-BG"/>
        </w:rPr>
      </w:pPr>
      <w:r>
        <w:rPr>
          <w:rFonts w:eastAsia="Times New Roman" w:cs="Arial"/>
          <w:color w:val="000000"/>
          <w:szCs w:val="42"/>
          <w:lang w:eastAsia="bg-BG"/>
        </w:rPr>
        <w:t>***</w:t>
      </w:r>
      <w:r w:rsidRPr="00090161">
        <w:rPr>
          <w:rFonts w:eastAsia="Times New Roman" w:cs="Arial"/>
          <w:color w:val="000000"/>
          <w:szCs w:val="42"/>
          <w:lang w:eastAsia="bg-BG"/>
        </w:rPr>
        <w:t>Вагиналното кървене е било наблюдавано често, предимно при пациентки с напреднал карцином на гърдата по време на първите няколко седмици след преминаване от хормонална терапия към лечение с анастрозол. Ако кървенето персистира, трябва да се помисли за допълнителна оценка на състоянието.</w:t>
      </w:r>
    </w:p>
    <w:p w14:paraId="1939DD3D" w14:textId="77777777" w:rsidR="00090161" w:rsidRDefault="00090161" w:rsidP="00090161">
      <w:pPr>
        <w:spacing w:line="240" w:lineRule="auto"/>
        <w:rPr>
          <w:rFonts w:eastAsia="Times New Roman" w:cs="Arial"/>
          <w:color w:val="000000"/>
          <w:szCs w:val="42"/>
          <w:lang w:eastAsia="bg-BG"/>
        </w:rPr>
      </w:pPr>
    </w:p>
    <w:p w14:paraId="7E8BE69E" w14:textId="4F4806CE" w:rsidR="00090161" w:rsidRPr="00090161" w:rsidRDefault="00090161" w:rsidP="00090161">
      <w:pPr>
        <w:spacing w:line="240" w:lineRule="auto"/>
        <w:rPr>
          <w:rFonts w:eastAsia="Times New Roman" w:cs="Arial"/>
          <w:sz w:val="12"/>
          <w:szCs w:val="24"/>
        </w:rPr>
      </w:pPr>
      <w:r w:rsidRPr="00090161">
        <w:rPr>
          <w:rFonts w:eastAsia="Times New Roman" w:cs="Arial"/>
          <w:color w:val="000000"/>
          <w:szCs w:val="42"/>
          <w:lang w:eastAsia="bg-BG"/>
        </w:rPr>
        <w:t>Следващата таблица представя честотата на предварително определени нежелани събития в проучването АТАС след медиана на периода на проследяване от 68 месеца, независимо от причинно-следствената връзка, наблюдавани при пациенти получаващи проучваното лечение и до 14 дни след прекратяване на проучваната терапия.</w:t>
      </w:r>
    </w:p>
    <w:p w14:paraId="1903457C" w14:textId="77777777" w:rsidR="00090161" w:rsidRDefault="00090161" w:rsidP="00090161">
      <w:pPr>
        <w:rPr>
          <w:rFonts w:eastAsia="Times New Roman" w:cs="Arial"/>
          <w:b/>
          <w:bCs/>
          <w:color w:val="000000"/>
          <w:szCs w:val="42"/>
          <w:lang w:eastAsia="bg-BG"/>
        </w:rPr>
      </w:pPr>
    </w:p>
    <w:p w14:paraId="1C309C04" w14:textId="2D8D6B6F" w:rsidR="00090161" w:rsidRDefault="00090161" w:rsidP="00090161">
      <w:pPr>
        <w:rPr>
          <w:rFonts w:eastAsia="Times New Roman" w:cs="Arial"/>
          <w:b/>
          <w:bCs/>
          <w:color w:val="000000"/>
          <w:szCs w:val="42"/>
          <w:lang w:eastAsia="bg-BG"/>
        </w:rPr>
      </w:pPr>
      <w:r w:rsidRPr="00090161">
        <w:rPr>
          <w:rFonts w:eastAsia="Times New Roman" w:cs="Arial"/>
          <w:b/>
          <w:bCs/>
          <w:color w:val="000000"/>
          <w:szCs w:val="42"/>
          <w:lang w:eastAsia="bg-BG"/>
        </w:rPr>
        <w:lastRenderedPageBreak/>
        <w:t>Таблица 2 Предварително определени събития в АТАС проучването</w:t>
      </w:r>
    </w:p>
    <w:tbl>
      <w:tblPr>
        <w:tblStyle w:val="TableGrid"/>
        <w:tblW w:w="0" w:type="auto"/>
        <w:tblLook w:val="04A0" w:firstRow="1" w:lastRow="0" w:firstColumn="1" w:lastColumn="0" w:noHBand="0" w:noVBand="1"/>
      </w:tblPr>
      <w:tblGrid>
        <w:gridCol w:w="3144"/>
        <w:gridCol w:w="3101"/>
        <w:gridCol w:w="3105"/>
      </w:tblGrid>
      <w:tr w:rsidR="00090161" w14:paraId="5098644D" w14:textId="77777777" w:rsidTr="004235C7">
        <w:tc>
          <w:tcPr>
            <w:tcW w:w="3192" w:type="dxa"/>
          </w:tcPr>
          <w:p w14:paraId="120A1986" w14:textId="70D74967" w:rsidR="00090161" w:rsidRPr="00090161" w:rsidRDefault="00090161" w:rsidP="00090161">
            <w:r w:rsidRPr="00090161">
              <w:rPr>
                <w:b/>
                <w:bCs/>
                <w:szCs w:val="42"/>
              </w:rPr>
              <w:t>Нежелани събития</w:t>
            </w:r>
          </w:p>
        </w:tc>
        <w:tc>
          <w:tcPr>
            <w:tcW w:w="3192" w:type="dxa"/>
            <w:vAlign w:val="bottom"/>
          </w:tcPr>
          <w:p w14:paraId="2881E76C" w14:textId="70D5EBEE" w:rsidR="00090161" w:rsidRPr="00090161" w:rsidRDefault="00090161" w:rsidP="00090161">
            <w:r w:rsidRPr="00090161">
              <w:rPr>
                <w:b/>
                <w:bCs/>
                <w:szCs w:val="42"/>
              </w:rPr>
              <w:t xml:space="preserve">Анастрозол </w:t>
            </w:r>
            <w:r w:rsidRPr="00090161">
              <w:rPr>
                <w:b/>
                <w:bCs/>
                <w:szCs w:val="42"/>
                <w:lang w:val="en-US"/>
              </w:rPr>
              <w:t>(N=3092)</w:t>
            </w:r>
          </w:p>
        </w:tc>
        <w:tc>
          <w:tcPr>
            <w:tcW w:w="3192" w:type="dxa"/>
            <w:vAlign w:val="bottom"/>
          </w:tcPr>
          <w:p w14:paraId="1A97E77D" w14:textId="1CF7319D" w:rsidR="00090161" w:rsidRPr="00090161" w:rsidRDefault="00090161" w:rsidP="00090161">
            <w:r w:rsidRPr="00090161">
              <w:rPr>
                <w:b/>
                <w:bCs/>
                <w:szCs w:val="42"/>
              </w:rPr>
              <w:t xml:space="preserve">Тамоксифен </w:t>
            </w:r>
            <w:r w:rsidRPr="00090161">
              <w:rPr>
                <w:b/>
                <w:bCs/>
                <w:szCs w:val="42"/>
                <w:lang w:val="en-US"/>
              </w:rPr>
              <w:t>(N=3094)</w:t>
            </w:r>
          </w:p>
        </w:tc>
      </w:tr>
      <w:tr w:rsidR="00090161" w14:paraId="481501ED" w14:textId="77777777" w:rsidTr="004235C7">
        <w:tc>
          <w:tcPr>
            <w:tcW w:w="3192" w:type="dxa"/>
            <w:vAlign w:val="bottom"/>
          </w:tcPr>
          <w:p w14:paraId="014CB92A" w14:textId="0E27DD52" w:rsidR="00090161" w:rsidRPr="00090161" w:rsidRDefault="00090161" w:rsidP="00090161">
            <w:r w:rsidRPr="00090161">
              <w:rPr>
                <w:szCs w:val="42"/>
              </w:rPr>
              <w:t>Горещи вълни</w:t>
            </w:r>
          </w:p>
        </w:tc>
        <w:tc>
          <w:tcPr>
            <w:tcW w:w="3192" w:type="dxa"/>
            <w:vAlign w:val="bottom"/>
          </w:tcPr>
          <w:p w14:paraId="776835E7" w14:textId="59C8F8F4" w:rsidR="00090161" w:rsidRPr="00090161" w:rsidRDefault="00090161" w:rsidP="00090161">
            <w:r w:rsidRPr="00090161">
              <w:rPr>
                <w:szCs w:val="42"/>
              </w:rPr>
              <w:t>1104 (35.7%)</w:t>
            </w:r>
          </w:p>
        </w:tc>
        <w:tc>
          <w:tcPr>
            <w:tcW w:w="3192" w:type="dxa"/>
            <w:vAlign w:val="bottom"/>
          </w:tcPr>
          <w:p w14:paraId="73E8E137" w14:textId="52371D64" w:rsidR="00090161" w:rsidRPr="00090161" w:rsidRDefault="00090161" w:rsidP="00090161">
            <w:r w:rsidRPr="00090161">
              <w:rPr>
                <w:szCs w:val="42"/>
              </w:rPr>
              <w:t>1264(40.9%)</w:t>
            </w:r>
          </w:p>
        </w:tc>
      </w:tr>
      <w:tr w:rsidR="00090161" w14:paraId="27BD507C" w14:textId="77777777" w:rsidTr="004235C7">
        <w:tc>
          <w:tcPr>
            <w:tcW w:w="3192" w:type="dxa"/>
            <w:vAlign w:val="bottom"/>
          </w:tcPr>
          <w:p w14:paraId="68F7C02E" w14:textId="2A6251A8" w:rsidR="00090161" w:rsidRPr="00090161" w:rsidRDefault="00090161" w:rsidP="00090161">
            <w:r w:rsidRPr="00090161">
              <w:rPr>
                <w:szCs w:val="42"/>
              </w:rPr>
              <w:t>Болка / скованост в ставите</w:t>
            </w:r>
          </w:p>
        </w:tc>
        <w:tc>
          <w:tcPr>
            <w:tcW w:w="3192" w:type="dxa"/>
            <w:vAlign w:val="bottom"/>
          </w:tcPr>
          <w:p w14:paraId="039491CF" w14:textId="0E038D46" w:rsidR="00090161" w:rsidRPr="00090161" w:rsidRDefault="00090161" w:rsidP="00090161">
            <w:r w:rsidRPr="00090161">
              <w:rPr>
                <w:szCs w:val="42"/>
              </w:rPr>
              <w:t>1100 (35.6%)</w:t>
            </w:r>
          </w:p>
        </w:tc>
        <w:tc>
          <w:tcPr>
            <w:tcW w:w="3192" w:type="dxa"/>
            <w:vAlign w:val="bottom"/>
          </w:tcPr>
          <w:p w14:paraId="75AA77A8" w14:textId="276F5880" w:rsidR="00090161" w:rsidRPr="00090161" w:rsidRDefault="00090161" w:rsidP="00090161">
            <w:r w:rsidRPr="00090161">
              <w:rPr>
                <w:szCs w:val="42"/>
              </w:rPr>
              <w:t>911 (29.4%)</w:t>
            </w:r>
          </w:p>
        </w:tc>
      </w:tr>
      <w:tr w:rsidR="00090161" w14:paraId="5DD47C1D" w14:textId="77777777" w:rsidTr="004235C7">
        <w:tc>
          <w:tcPr>
            <w:tcW w:w="3192" w:type="dxa"/>
            <w:vAlign w:val="bottom"/>
          </w:tcPr>
          <w:p w14:paraId="24C5609E" w14:textId="18E35CB8" w:rsidR="00090161" w:rsidRPr="00090161" w:rsidRDefault="00090161" w:rsidP="00090161">
            <w:r w:rsidRPr="00090161">
              <w:rPr>
                <w:szCs w:val="42"/>
              </w:rPr>
              <w:t>Промени на настроението</w:t>
            </w:r>
          </w:p>
        </w:tc>
        <w:tc>
          <w:tcPr>
            <w:tcW w:w="3192" w:type="dxa"/>
            <w:vAlign w:val="bottom"/>
          </w:tcPr>
          <w:p w14:paraId="43185062" w14:textId="394F67BC" w:rsidR="00090161" w:rsidRPr="00090161" w:rsidRDefault="00090161" w:rsidP="00090161">
            <w:r w:rsidRPr="00090161">
              <w:rPr>
                <w:szCs w:val="42"/>
              </w:rPr>
              <w:t>597(19.3%)</w:t>
            </w:r>
          </w:p>
        </w:tc>
        <w:tc>
          <w:tcPr>
            <w:tcW w:w="3192" w:type="dxa"/>
            <w:vAlign w:val="bottom"/>
          </w:tcPr>
          <w:p w14:paraId="16D0A847" w14:textId="75A2F1CD" w:rsidR="00090161" w:rsidRPr="00090161" w:rsidRDefault="00090161" w:rsidP="00090161">
            <w:r w:rsidRPr="00090161">
              <w:rPr>
                <w:szCs w:val="42"/>
              </w:rPr>
              <w:t>554(17.9%)</w:t>
            </w:r>
          </w:p>
        </w:tc>
      </w:tr>
      <w:tr w:rsidR="00090161" w14:paraId="280EBE18" w14:textId="77777777" w:rsidTr="004235C7">
        <w:tc>
          <w:tcPr>
            <w:tcW w:w="3192" w:type="dxa"/>
            <w:vAlign w:val="bottom"/>
          </w:tcPr>
          <w:p w14:paraId="3BAA59F3" w14:textId="6568CBA5" w:rsidR="00090161" w:rsidRPr="00090161" w:rsidRDefault="00090161" w:rsidP="00090161">
            <w:r w:rsidRPr="00090161">
              <w:rPr>
                <w:szCs w:val="42"/>
              </w:rPr>
              <w:t>Умора/астения</w:t>
            </w:r>
          </w:p>
        </w:tc>
        <w:tc>
          <w:tcPr>
            <w:tcW w:w="3192" w:type="dxa"/>
            <w:vAlign w:val="bottom"/>
          </w:tcPr>
          <w:p w14:paraId="11498AF5" w14:textId="364B5EB4" w:rsidR="00090161" w:rsidRPr="00090161" w:rsidRDefault="00090161" w:rsidP="00090161">
            <w:r w:rsidRPr="00090161">
              <w:rPr>
                <w:szCs w:val="42"/>
              </w:rPr>
              <w:t>575(18.6%)</w:t>
            </w:r>
          </w:p>
        </w:tc>
        <w:tc>
          <w:tcPr>
            <w:tcW w:w="3192" w:type="dxa"/>
            <w:vAlign w:val="bottom"/>
          </w:tcPr>
          <w:p w14:paraId="4D649E03" w14:textId="0723345F" w:rsidR="00090161" w:rsidRPr="00090161" w:rsidRDefault="00090161" w:rsidP="00090161">
            <w:r w:rsidRPr="00090161">
              <w:rPr>
                <w:szCs w:val="42"/>
              </w:rPr>
              <w:t>544(17.6%)</w:t>
            </w:r>
          </w:p>
        </w:tc>
      </w:tr>
      <w:tr w:rsidR="00090161" w14:paraId="3EAF7F0F" w14:textId="77777777" w:rsidTr="004235C7">
        <w:tc>
          <w:tcPr>
            <w:tcW w:w="3192" w:type="dxa"/>
            <w:vAlign w:val="bottom"/>
          </w:tcPr>
          <w:p w14:paraId="589F72DD" w14:textId="005959C1" w:rsidR="00090161" w:rsidRPr="00090161" w:rsidRDefault="00090161" w:rsidP="00090161">
            <w:r w:rsidRPr="00090161">
              <w:rPr>
                <w:szCs w:val="42"/>
              </w:rPr>
              <w:t>Гадене и повръщане</w:t>
            </w:r>
          </w:p>
        </w:tc>
        <w:tc>
          <w:tcPr>
            <w:tcW w:w="3192" w:type="dxa"/>
            <w:vAlign w:val="bottom"/>
          </w:tcPr>
          <w:p w14:paraId="78066172" w14:textId="047CFD34" w:rsidR="00090161" w:rsidRPr="00090161" w:rsidRDefault="00090161" w:rsidP="00090161">
            <w:r w:rsidRPr="00090161">
              <w:rPr>
                <w:szCs w:val="42"/>
              </w:rPr>
              <w:t>393 (12.7%)</w:t>
            </w:r>
          </w:p>
        </w:tc>
        <w:tc>
          <w:tcPr>
            <w:tcW w:w="3192" w:type="dxa"/>
            <w:vAlign w:val="bottom"/>
          </w:tcPr>
          <w:p w14:paraId="27D55876" w14:textId="6C9CCD64" w:rsidR="00090161" w:rsidRPr="00090161" w:rsidRDefault="00090161" w:rsidP="00090161">
            <w:r w:rsidRPr="00090161">
              <w:rPr>
                <w:szCs w:val="42"/>
              </w:rPr>
              <w:t>384 (12.4%)</w:t>
            </w:r>
          </w:p>
        </w:tc>
      </w:tr>
      <w:tr w:rsidR="00090161" w14:paraId="41B59338" w14:textId="77777777" w:rsidTr="004235C7">
        <w:tc>
          <w:tcPr>
            <w:tcW w:w="3192" w:type="dxa"/>
            <w:vAlign w:val="bottom"/>
          </w:tcPr>
          <w:p w14:paraId="6DAA3445" w14:textId="7ED4E84C" w:rsidR="00090161" w:rsidRPr="00090161" w:rsidRDefault="00090161" w:rsidP="00090161">
            <w:r w:rsidRPr="00090161">
              <w:rPr>
                <w:szCs w:val="42"/>
              </w:rPr>
              <w:t>Фрактури</w:t>
            </w:r>
          </w:p>
        </w:tc>
        <w:tc>
          <w:tcPr>
            <w:tcW w:w="3192" w:type="dxa"/>
            <w:vAlign w:val="bottom"/>
          </w:tcPr>
          <w:p w14:paraId="35A42265" w14:textId="4A0A7740" w:rsidR="00090161" w:rsidRPr="00090161" w:rsidRDefault="00090161" w:rsidP="00090161">
            <w:r w:rsidRPr="00090161">
              <w:rPr>
                <w:szCs w:val="42"/>
              </w:rPr>
              <w:t>315(10.2%)</w:t>
            </w:r>
          </w:p>
        </w:tc>
        <w:tc>
          <w:tcPr>
            <w:tcW w:w="3192" w:type="dxa"/>
            <w:vAlign w:val="bottom"/>
          </w:tcPr>
          <w:p w14:paraId="74C842BF" w14:textId="56806DF6" w:rsidR="00090161" w:rsidRPr="00090161" w:rsidRDefault="00090161" w:rsidP="00090161">
            <w:r w:rsidRPr="00090161">
              <w:rPr>
                <w:szCs w:val="42"/>
              </w:rPr>
              <w:t>209 (6.8%)</w:t>
            </w:r>
          </w:p>
        </w:tc>
      </w:tr>
      <w:tr w:rsidR="00090161" w14:paraId="4FF951D5" w14:textId="77777777" w:rsidTr="004235C7">
        <w:tc>
          <w:tcPr>
            <w:tcW w:w="3192" w:type="dxa"/>
            <w:vAlign w:val="bottom"/>
          </w:tcPr>
          <w:p w14:paraId="6DDDB2AB" w14:textId="48E0ABBD" w:rsidR="00090161" w:rsidRPr="00090161" w:rsidRDefault="00090161" w:rsidP="00090161">
            <w:r w:rsidRPr="00090161">
              <w:rPr>
                <w:szCs w:val="42"/>
              </w:rPr>
              <w:t>Фрактури на гръбначния стълб, бедрото или китката / фрактура на Коулс</w:t>
            </w:r>
          </w:p>
        </w:tc>
        <w:tc>
          <w:tcPr>
            <w:tcW w:w="3192" w:type="dxa"/>
          </w:tcPr>
          <w:p w14:paraId="6D1C3677" w14:textId="0E8DB768" w:rsidR="00090161" w:rsidRPr="00090161" w:rsidRDefault="00090161" w:rsidP="00090161">
            <w:r w:rsidRPr="00090161">
              <w:rPr>
                <w:szCs w:val="42"/>
              </w:rPr>
              <w:t>133 (4.3%)</w:t>
            </w:r>
          </w:p>
        </w:tc>
        <w:tc>
          <w:tcPr>
            <w:tcW w:w="3192" w:type="dxa"/>
          </w:tcPr>
          <w:p w14:paraId="6E62663E" w14:textId="1807614B" w:rsidR="00090161" w:rsidRPr="00090161" w:rsidRDefault="00090161" w:rsidP="00090161">
            <w:r w:rsidRPr="00090161">
              <w:rPr>
                <w:szCs w:val="42"/>
              </w:rPr>
              <w:t>91 (2.9%)</w:t>
            </w:r>
          </w:p>
        </w:tc>
      </w:tr>
      <w:tr w:rsidR="00090161" w14:paraId="43577ECE" w14:textId="77777777" w:rsidTr="004235C7">
        <w:tc>
          <w:tcPr>
            <w:tcW w:w="3192" w:type="dxa"/>
            <w:vAlign w:val="bottom"/>
          </w:tcPr>
          <w:p w14:paraId="2AC53537" w14:textId="6E294ABF" w:rsidR="00090161" w:rsidRPr="00090161" w:rsidRDefault="00090161" w:rsidP="00090161">
            <w:r w:rsidRPr="00090161">
              <w:rPr>
                <w:szCs w:val="42"/>
              </w:rPr>
              <w:t>- Китка / фрактура на Коулс</w:t>
            </w:r>
          </w:p>
        </w:tc>
        <w:tc>
          <w:tcPr>
            <w:tcW w:w="3192" w:type="dxa"/>
            <w:vAlign w:val="bottom"/>
          </w:tcPr>
          <w:p w14:paraId="6A975AD7" w14:textId="6DC1CC7F" w:rsidR="00090161" w:rsidRPr="00090161" w:rsidRDefault="00090161" w:rsidP="00090161">
            <w:r w:rsidRPr="00090161">
              <w:rPr>
                <w:szCs w:val="42"/>
              </w:rPr>
              <w:t>67 (2.2%)</w:t>
            </w:r>
          </w:p>
        </w:tc>
        <w:tc>
          <w:tcPr>
            <w:tcW w:w="3192" w:type="dxa"/>
            <w:vAlign w:val="bottom"/>
          </w:tcPr>
          <w:p w14:paraId="4B84DE78" w14:textId="6E2C3570" w:rsidR="00090161" w:rsidRPr="00090161" w:rsidRDefault="00090161" w:rsidP="00090161">
            <w:r w:rsidRPr="00090161">
              <w:rPr>
                <w:szCs w:val="42"/>
              </w:rPr>
              <w:t>50(1.6%)</w:t>
            </w:r>
          </w:p>
        </w:tc>
      </w:tr>
      <w:tr w:rsidR="00090161" w14:paraId="050F9901" w14:textId="77777777" w:rsidTr="004235C7">
        <w:tc>
          <w:tcPr>
            <w:tcW w:w="3192" w:type="dxa"/>
            <w:vAlign w:val="bottom"/>
          </w:tcPr>
          <w:p w14:paraId="0EA87D2E" w14:textId="41258077" w:rsidR="00090161" w:rsidRPr="00090161" w:rsidRDefault="00090161" w:rsidP="00090161">
            <w:r w:rsidRPr="00090161">
              <w:rPr>
                <w:szCs w:val="42"/>
              </w:rPr>
              <w:t>- Фрактури на гръбначния стълб</w:t>
            </w:r>
          </w:p>
        </w:tc>
        <w:tc>
          <w:tcPr>
            <w:tcW w:w="3192" w:type="dxa"/>
            <w:vAlign w:val="bottom"/>
          </w:tcPr>
          <w:p w14:paraId="70D7071A" w14:textId="3ECF1B6C" w:rsidR="00090161" w:rsidRPr="00090161" w:rsidRDefault="00090161" w:rsidP="00090161">
            <w:r w:rsidRPr="00090161">
              <w:rPr>
                <w:szCs w:val="42"/>
              </w:rPr>
              <w:t>43(1.4%)</w:t>
            </w:r>
          </w:p>
        </w:tc>
        <w:tc>
          <w:tcPr>
            <w:tcW w:w="3192" w:type="dxa"/>
            <w:vAlign w:val="bottom"/>
          </w:tcPr>
          <w:p w14:paraId="043875E6" w14:textId="310AF68F" w:rsidR="00090161" w:rsidRPr="00090161" w:rsidRDefault="00090161" w:rsidP="00090161">
            <w:r w:rsidRPr="00090161">
              <w:rPr>
                <w:szCs w:val="42"/>
              </w:rPr>
              <w:t>22 (0.7%)</w:t>
            </w:r>
          </w:p>
        </w:tc>
      </w:tr>
      <w:tr w:rsidR="00090161" w14:paraId="41C149A7" w14:textId="77777777" w:rsidTr="004235C7">
        <w:tc>
          <w:tcPr>
            <w:tcW w:w="3192" w:type="dxa"/>
            <w:vAlign w:val="bottom"/>
          </w:tcPr>
          <w:p w14:paraId="426D616D" w14:textId="56BE3177" w:rsidR="00090161" w:rsidRPr="00090161" w:rsidRDefault="00090161" w:rsidP="00090161">
            <w:r w:rsidRPr="00090161">
              <w:rPr>
                <w:szCs w:val="42"/>
              </w:rPr>
              <w:t>- Бедрени фрактури</w:t>
            </w:r>
          </w:p>
        </w:tc>
        <w:tc>
          <w:tcPr>
            <w:tcW w:w="3192" w:type="dxa"/>
            <w:vAlign w:val="bottom"/>
          </w:tcPr>
          <w:p w14:paraId="793F76EC" w14:textId="2A5BDEAB" w:rsidR="00090161" w:rsidRPr="00090161" w:rsidRDefault="00090161" w:rsidP="00090161">
            <w:r w:rsidRPr="00090161">
              <w:rPr>
                <w:szCs w:val="42"/>
              </w:rPr>
              <w:t>28 (0.9%)</w:t>
            </w:r>
          </w:p>
        </w:tc>
        <w:tc>
          <w:tcPr>
            <w:tcW w:w="3192" w:type="dxa"/>
            <w:vAlign w:val="bottom"/>
          </w:tcPr>
          <w:p w14:paraId="12C24442" w14:textId="0CA1A2F2" w:rsidR="00090161" w:rsidRPr="00090161" w:rsidRDefault="00090161" w:rsidP="00090161">
            <w:r w:rsidRPr="00090161">
              <w:rPr>
                <w:szCs w:val="42"/>
              </w:rPr>
              <w:t>26 (0.8%)</w:t>
            </w:r>
          </w:p>
        </w:tc>
      </w:tr>
      <w:tr w:rsidR="00090161" w14:paraId="7DEA638B" w14:textId="77777777" w:rsidTr="004235C7">
        <w:tc>
          <w:tcPr>
            <w:tcW w:w="3192" w:type="dxa"/>
            <w:vAlign w:val="bottom"/>
          </w:tcPr>
          <w:p w14:paraId="2F3375EB" w14:textId="597C9312" w:rsidR="00090161" w:rsidRPr="00090161" w:rsidRDefault="00090161" w:rsidP="00090161">
            <w:r w:rsidRPr="00090161">
              <w:rPr>
                <w:szCs w:val="42"/>
              </w:rPr>
              <w:t>Катаракта</w:t>
            </w:r>
          </w:p>
        </w:tc>
        <w:tc>
          <w:tcPr>
            <w:tcW w:w="3192" w:type="dxa"/>
            <w:vAlign w:val="bottom"/>
          </w:tcPr>
          <w:p w14:paraId="643F8193" w14:textId="217A1732" w:rsidR="00090161" w:rsidRPr="00090161" w:rsidRDefault="00090161" w:rsidP="00090161">
            <w:r w:rsidRPr="00090161">
              <w:rPr>
                <w:szCs w:val="42"/>
              </w:rPr>
              <w:t>182 (5.9%)</w:t>
            </w:r>
          </w:p>
        </w:tc>
        <w:tc>
          <w:tcPr>
            <w:tcW w:w="3192" w:type="dxa"/>
            <w:vAlign w:val="bottom"/>
          </w:tcPr>
          <w:p w14:paraId="735ACFFF" w14:textId="2FF4CCF8" w:rsidR="00090161" w:rsidRPr="00090161" w:rsidRDefault="00090161" w:rsidP="00090161">
            <w:r w:rsidRPr="00090161">
              <w:rPr>
                <w:szCs w:val="42"/>
              </w:rPr>
              <w:t>213(6.9%)</w:t>
            </w:r>
          </w:p>
        </w:tc>
      </w:tr>
      <w:tr w:rsidR="00090161" w14:paraId="50764753" w14:textId="77777777" w:rsidTr="004235C7">
        <w:tc>
          <w:tcPr>
            <w:tcW w:w="3192" w:type="dxa"/>
            <w:vAlign w:val="bottom"/>
          </w:tcPr>
          <w:p w14:paraId="23F9B9B8" w14:textId="1B230883" w:rsidR="00090161" w:rsidRPr="00090161" w:rsidRDefault="00090161" w:rsidP="00090161">
            <w:r w:rsidRPr="00090161">
              <w:rPr>
                <w:szCs w:val="42"/>
              </w:rPr>
              <w:t>Вагинално кървене</w:t>
            </w:r>
          </w:p>
        </w:tc>
        <w:tc>
          <w:tcPr>
            <w:tcW w:w="3192" w:type="dxa"/>
            <w:vAlign w:val="bottom"/>
          </w:tcPr>
          <w:p w14:paraId="3E5682D0" w14:textId="63D8A12B" w:rsidR="00090161" w:rsidRPr="00090161" w:rsidRDefault="00090161" w:rsidP="00090161">
            <w:r w:rsidRPr="00090161">
              <w:rPr>
                <w:szCs w:val="42"/>
              </w:rPr>
              <w:t>167(5.4%)</w:t>
            </w:r>
          </w:p>
        </w:tc>
        <w:tc>
          <w:tcPr>
            <w:tcW w:w="3192" w:type="dxa"/>
            <w:vAlign w:val="bottom"/>
          </w:tcPr>
          <w:p w14:paraId="17E53D88" w14:textId="5D6822A1" w:rsidR="00090161" w:rsidRPr="00090161" w:rsidRDefault="00090161" w:rsidP="00090161">
            <w:r w:rsidRPr="00090161">
              <w:rPr>
                <w:szCs w:val="42"/>
              </w:rPr>
              <w:t>317(10.2%)</w:t>
            </w:r>
          </w:p>
        </w:tc>
      </w:tr>
      <w:tr w:rsidR="00090161" w14:paraId="042CC2B4" w14:textId="77777777" w:rsidTr="004235C7">
        <w:tc>
          <w:tcPr>
            <w:tcW w:w="3192" w:type="dxa"/>
            <w:vAlign w:val="bottom"/>
          </w:tcPr>
          <w:p w14:paraId="649B087A" w14:textId="2A0A3D71" w:rsidR="00090161" w:rsidRPr="00090161" w:rsidRDefault="00090161" w:rsidP="00090161">
            <w:r w:rsidRPr="00090161">
              <w:rPr>
                <w:szCs w:val="42"/>
              </w:rPr>
              <w:t>Исхемична болест на сърцето</w:t>
            </w:r>
          </w:p>
        </w:tc>
        <w:tc>
          <w:tcPr>
            <w:tcW w:w="3192" w:type="dxa"/>
            <w:vAlign w:val="bottom"/>
          </w:tcPr>
          <w:p w14:paraId="2AA11B8B" w14:textId="08ABDDD2" w:rsidR="00090161" w:rsidRPr="00090161" w:rsidRDefault="00090161" w:rsidP="00090161">
            <w:r w:rsidRPr="00090161">
              <w:rPr>
                <w:szCs w:val="42"/>
              </w:rPr>
              <w:t>127(4.1%)</w:t>
            </w:r>
          </w:p>
        </w:tc>
        <w:tc>
          <w:tcPr>
            <w:tcW w:w="3192" w:type="dxa"/>
            <w:vAlign w:val="bottom"/>
          </w:tcPr>
          <w:p w14:paraId="01AA7A91" w14:textId="7F0560D6" w:rsidR="00090161" w:rsidRPr="00090161" w:rsidRDefault="00090161" w:rsidP="00090161">
            <w:r w:rsidRPr="00090161">
              <w:rPr>
                <w:szCs w:val="42"/>
              </w:rPr>
              <w:t>104(3.4%)</w:t>
            </w:r>
          </w:p>
        </w:tc>
      </w:tr>
      <w:tr w:rsidR="00090161" w14:paraId="5C909567" w14:textId="77777777" w:rsidTr="004235C7">
        <w:tc>
          <w:tcPr>
            <w:tcW w:w="3192" w:type="dxa"/>
            <w:vAlign w:val="bottom"/>
          </w:tcPr>
          <w:p w14:paraId="44362572" w14:textId="65E3E633" w:rsidR="00090161" w:rsidRPr="00090161" w:rsidRDefault="00090161" w:rsidP="00090161">
            <w:r w:rsidRPr="00090161">
              <w:rPr>
                <w:szCs w:val="42"/>
              </w:rPr>
              <w:t>- Ангина пекторис</w:t>
            </w:r>
          </w:p>
        </w:tc>
        <w:tc>
          <w:tcPr>
            <w:tcW w:w="3192" w:type="dxa"/>
            <w:vAlign w:val="bottom"/>
          </w:tcPr>
          <w:p w14:paraId="6C475DC5" w14:textId="446963AE" w:rsidR="00090161" w:rsidRPr="00090161" w:rsidRDefault="00090161" w:rsidP="00090161">
            <w:r w:rsidRPr="00090161">
              <w:rPr>
                <w:szCs w:val="42"/>
              </w:rPr>
              <w:t>71 (2.3%)</w:t>
            </w:r>
          </w:p>
        </w:tc>
        <w:tc>
          <w:tcPr>
            <w:tcW w:w="3192" w:type="dxa"/>
            <w:vAlign w:val="bottom"/>
          </w:tcPr>
          <w:p w14:paraId="08E5378B" w14:textId="0C60F698" w:rsidR="00090161" w:rsidRPr="00090161" w:rsidRDefault="00090161" w:rsidP="00090161">
            <w:r w:rsidRPr="00090161">
              <w:rPr>
                <w:szCs w:val="42"/>
              </w:rPr>
              <w:t>51 (1.6%)</w:t>
            </w:r>
          </w:p>
        </w:tc>
      </w:tr>
      <w:tr w:rsidR="00090161" w14:paraId="69305FC1" w14:textId="77777777" w:rsidTr="004235C7">
        <w:tc>
          <w:tcPr>
            <w:tcW w:w="3192" w:type="dxa"/>
            <w:vAlign w:val="bottom"/>
          </w:tcPr>
          <w:p w14:paraId="31C07C51" w14:textId="73031DAC" w:rsidR="00090161" w:rsidRPr="00090161" w:rsidRDefault="00090161" w:rsidP="00090161">
            <w:r w:rsidRPr="00090161">
              <w:rPr>
                <w:szCs w:val="42"/>
              </w:rPr>
              <w:t>- Инфаркт на миокарда</w:t>
            </w:r>
          </w:p>
        </w:tc>
        <w:tc>
          <w:tcPr>
            <w:tcW w:w="3192" w:type="dxa"/>
            <w:vAlign w:val="bottom"/>
          </w:tcPr>
          <w:p w14:paraId="406DF87B" w14:textId="1A21F25D" w:rsidR="00090161" w:rsidRPr="00090161" w:rsidRDefault="00090161" w:rsidP="00090161">
            <w:r w:rsidRPr="00090161">
              <w:rPr>
                <w:szCs w:val="42"/>
              </w:rPr>
              <w:t>37(1.2%)</w:t>
            </w:r>
          </w:p>
        </w:tc>
        <w:tc>
          <w:tcPr>
            <w:tcW w:w="3192" w:type="dxa"/>
            <w:vAlign w:val="bottom"/>
          </w:tcPr>
          <w:p w14:paraId="55E26458" w14:textId="7EE0DAA4" w:rsidR="00090161" w:rsidRPr="00090161" w:rsidRDefault="00090161" w:rsidP="00090161">
            <w:r w:rsidRPr="00090161">
              <w:rPr>
                <w:szCs w:val="42"/>
              </w:rPr>
              <w:t>34(1.1%)</w:t>
            </w:r>
          </w:p>
        </w:tc>
      </w:tr>
      <w:tr w:rsidR="00090161" w14:paraId="2C47ED29" w14:textId="77777777" w:rsidTr="004235C7">
        <w:tc>
          <w:tcPr>
            <w:tcW w:w="3192" w:type="dxa"/>
            <w:vAlign w:val="bottom"/>
          </w:tcPr>
          <w:p w14:paraId="7FD65C81" w14:textId="599645F2" w:rsidR="00090161" w:rsidRPr="00090161" w:rsidRDefault="00090161" w:rsidP="00090161">
            <w:r w:rsidRPr="00090161">
              <w:rPr>
                <w:szCs w:val="42"/>
              </w:rPr>
              <w:t xml:space="preserve">- </w:t>
            </w:r>
            <w:r w:rsidRPr="00090161">
              <w:rPr>
                <w:szCs w:val="42"/>
                <w:u w:val="single"/>
              </w:rPr>
              <w:t>Нару</w:t>
            </w:r>
            <w:r w:rsidRPr="00090161">
              <w:rPr>
                <w:szCs w:val="42"/>
              </w:rPr>
              <w:t>шения на коронарната артерия</w:t>
            </w:r>
          </w:p>
        </w:tc>
        <w:tc>
          <w:tcPr>
            <w:tcW w:w="3192" w:type="dxa"/>
            <w:vAlign w:val="bottom"/>
          </w:tcPr>
          <w:p w14:paraId="5DA7C88F" w14:textId="235B9FB2" w:rsidR="00090161" w:rsidRPr="00090161" w:rsidRDefault="00090161" w:rsidP="00090161">
            <w:r w:rsidRPr="00090161">
              <w:rPr>
                <w:szCs w:val="42"/>
              </w:rPr>
              <w:t>25 (0.8%)</w:t>
            </w:r>
          </w:p>
        </w:tc>
        <w:tc>
          <w:tcPr>
            <w:tcW w:w="3192" w:type="dxa"/>
            <w:vAlign w:val="bottom"/>
          </w:tcPr>
          <w:p w14:paraId="08C5EDFE" w14:textId="1330B2FA" w:rsidR="00090161" w:rsidRPr="00090161" w:rsidRDefault="00090161" w:rsidP="00090161">
            <w:r w:rsidRPr="00090161">
              <w:rPr>
                <w:szCs w:val="42"/>
              </w:rPr>
              <w:t>23 (0.7%)</w:t>
            </w:r>
          </w:p>
        </w:tc>
      </w:tr>
      <w:tr w:rsidR="00090161" w14:paraId="54690555" w14:textId="77777777" w:rsidTr="004235C7">
        <w:tc>
          <w:tcPr>
            <w:tcW w:w="3192" w:type="dxa"/>
            <w:vAlign w:val="bottom"/>
          </w:tcPr>
          <w:p w14:paraId="5E620719" w14:textId="7506357E" w:rsidR="00090161" w:rsidRPr="00090161" w:rsidRDefault="00090161" w:rsidP="00090161">
            <w:r w:rsidRPr="00090161">
              <w:rPr>
                <w:szCs w:val="42"/>
              </w:rPr>
              <w:t>- Исхемия на миокарда</w:t>
            </w:r>
          </w:p>
        </w:tc>
        <w:tc>
          <w:tcPr>
            <w:tcW w:w="3192" w:type="dxa"/>
            <w:vAlign w:val="bottom"/>
          </w:tcPr>
          <w:p w14:paraId="71B735AD" w14:textId="0D0A3533" w:rsidR="00090161" w:rsidRPr="00090161" w:rsidRDefault="00090161" w:rsidP="00090161">
            <w:r w:rsidRPr="00090161">
              <w:rPr>
                <w:szCs w:val="42"/>
              </w:rPr>
              <w:t>22 (0.7%)</w:t>
            </w:r>
          </w:p>
        </w:tc>
        <w:tc>
          <w:tcPr>
            <w:tcW w:w="3192" w:type="dxa"/>
            <w:vAlign w:val="bottom"/>
          </w:tcPr>
          <w:p w14:paraId="1C9327C2" w14:textId="4E4EDBCA" w:rsidR="00090161" w:rsidRPr="00090161" w:rsidRDefault="00090161" w:rsidP="00090161">
            <w:r w:rsidRPr="00090161">
              <w:rPr>
                <w:szCs w:val="42"/>
              </w:rPr>
              <w:t>14(0.5%)</w:t>
            </w:r>
          </w:p>
        </w:tc>
      </w:tr>
      <w:tr w:rsidR="00090161" w14:paraId="46580645" w14:textId="77777777" w:rsidTr="004235C7">
        <w:tc>
          <w:tcPr>
            <w:tcW w:w="3192" w:type="dxa"/>
            <w:vAlign w:val="bottom"/>
          </w:tcPr>
          <w:p w14:paraId="5BFE6F22" w14:textId="0A3F2826" w:rsidR="00090161" w:rsidRPr="00090161" w:rsidRDefault="00090161" w:rsidP="00090161">
            <w:r w:rsidRPr="00090161">
              <w:rPr>
                <w:szCs w:val="42"/>
              </w:rPr>
              <w:t>Вагинална секреция</w:t>
            </w:r>
          </w:p>
        </w:tc>
        <w:tc>
          <w:tcPr>
            <w:tcW w:w="3192" w:type="dxa"/>
            <w:vAlign w:val="bottom"/>
          </w:tcPr>
          <w:p w14:paraId="4AFA62B6" w14:textId="5BA7AE95" w:rsidR="00090161" w:rsidRPr="00090161" w:rsidRDefault="00090161" w:rsidP="00090161">
            <w:r w:rsidRPr="00090161">
              <w:rPr>
                <w:szCs w:val="42"/>
              </w:rPr>
              <w:t>109 (3.5%)</w:t>
            </w:r>
          </w:p>
        </w:tc>
        <w:tc>
          <w:tcPr>
            <w:tcW w:w="3192" w:type="dxa"/>
            <w:vAlign w:val="bottom"/>
          </w:tcPr>
          <w:p w14:paraId="02A9C786" w14:textId="4252AC59" w:rsidR="00090161" w:rsidRPr="00090161" w:rsidRDefault="00090161" w:rsidP="00090161">
            <w:r w:rsidRPr="00090161">
              <w:rPr>
                <w:szCs w:val="42"/>
              </w:rPr>
              <w:t>408(13.2%)</w:t>
            </w:r>
          </w:p>
        </w:tc>
      </w:tr>
      <w:tr w:rsidR="00090161" w14:paraId="01515353" w14:textId="77777777" w:rsidTr="004235C7">
        <w:tc>
          <w:tcPr>
            <w:tcW w:w="3192" w:type="dxa"/>
            <w:vAlign w:val="bottom"/>
          </w:tcPr>
          <w:p w14:paraId="39F54D73" w14:textId="33F3F992" w:rsidR="00090161" w:rsidRPr="00090161" w:rsidRDefault="00090161" w:rsidP="00090161">
            <w:r w:rsidRPr="00090161">
              <w:rPr>
                <w:szCs w:val="42"/>
              </w:rPr>
              <w:t>Венозен тромбоемболичен инцидент</w:t>
            </w:r>
          </w:p>
        </w:tc>
        <w:tc>
          <w:tcPr>
            <w:tcW w:w="3192" w:type="dxa"/>
            <w:vAlign w:val="bottom"/>
          </w:tcPr>
          <w:p w14:paraId="12A91118" w14:textId="4AE167CA" w:rsidR="00090161" w:rsidRPr="00090161" w:rsidRDefault="00090161" w:rsidP="00090161">
            <w:r w:rsidRPr="00090161">
              <w:rPr>
                <w:szCs w:val="42"/>
              </w:rPr>
              <w:t>87(2.8%)</w:t>
            </w:r>
          </w:p>
        </w:tc>
        <w:tc>
          <w:tcPr>
            <w:tcW w:w="3192" w:type="dxa"/>
            <w:vAlign w:val="bottom"/>
          </w:tcPr>
          <w:p w14:paraId="7B0170CD" w14:textId="78AAB59C" w:rsidR="00090161" w:rsidRPr="00090161" w:rsidRDefault="00090161" w:rsidP="00090161">
            <w:r w:rsidRPr="00090161">
              <w:rPr>
                <w:szCs w:val="42"/>
              </w:rPr>
              <w:t>140(4.5%)</w:t>
            </w:r>
          </w:p>
        </w:tc>
      </w:tr>
      <w:tr w:rsidR="00090161" w14:paraId="404A7754" w14:textId="77777777" w:rsidTr="004235C7">
        <w:tc>
          <w:tcPr>
            <w:tcW w:w="3192" w:type="dxa"/>
            <w:vAlign w:val="bottom"/>
          </w:tcPr>
          <w:p w14:paraId="27F64B87" w14:textId="31BA1F9F" w:rsidR="00090161" w:rsidRPr="00090161" w:rsidRDefault="00090161" w:rsidP="00090161">
            <w:r w:rsidRPr="00090161">
              <w:rPr>
                <w:szCs w:val="42"/>
              </w:rPr>
              <w:t>Дълбоки венозни тромбоемболични инциденти, включително РЕ</w:t>
            </w:r>
          </w:p>
        </w:tc>
        <w:tc>
          <w:tcPr>
            <w:tcW w:w="3192" w:type="dxa"/>
          </w:tcPr>
          <w:p w14:paraId="2EBC529C" w14:textId="44578C2C" w:rsidR="00090161" w:rsidRPr="00090161" w:rsidRDefault="00090161" w:rsidP="00090161">
            <w:r w:rsidRPr="00090161">
              <w:rPr>
                <w:szCs w:val="42"/>
              </w:rPr>
              <w:t>48(1.6%)</w:t>
            </w:r>
          </w:p>
        </w:tc>
        <w:tc>
          <w:tcPr>
            <w:tcW w:w="3192" w:type="dxa"/>
          </w:tcPr>
          <w:p w14:paraId="09BA047A" w14:textId="4806155C" w:rsidR="00090161" w:rsidRPr="00090161" w:rsidRDefault="00090161" w:rsidP="00090161">
            <w:r w:rsidRPr="00090161">
              <w:rPr>
                <w:szCs w:val="42"/>
              </w:rPr>
              <w:t>74 (2.4%)</w:t>
            </w:r>
          </w:p>
        </w:tc>
      </w:tr>
      <w:tr w:rsidR="00090161" w14:paraId="60DC69D9" w14:textId="77777777" w:rsidTr="004235C7">
        <w:tc>
          <w:tcPr>
            <w:tcW w:w="3192" w:type="dxa"/>
            <w:vAlign w:val="bottom"/>
          </w:tcPr>
          <w:p w14:paraId="03D099CA" w14:textId="4C5BD879" w:rsidR="00090161" w:rsidRPr="00090161" w:rsidRDefault="00090161" w:rsidP="00090161">
            <w:r w:rsidRPr="00090161">
              <w:rPr>
                <w:szCs w:val="42"/>
              </w:rPr>
              <w:t>Цереброваскуларни исхемични инциденти</w:t>
            </w:r>
          </w:p>
        </w:tc>
        <w:tc>
          <w:tcPr>
            <w:tcW w:w="3192" w:type="dxa"/>
          </w:tcPr>
          <w:p w14:paraId="74A88218" w14:textId="6DA93B04" w:rsidR="00090161" w:rsidRPr="00090161" w:rsidRDefault="00090161" w:rsidP="00090161">
            <w:r w:rsidRPr="00090161">
              <w:rPr>
                <w:szCs w:val="42"/>
              </w:rPr>
              <w:t>62 (2%)</w:t>
            </w:r>
          </w:p>
        </w:tc>
        <w:tc>
          <w:tcPr>
            <w:tcW w:w="3192" w:type="dxa"/>
          </w:tcPr>
          <w:p w14:paraId="7F93B6E5" w14:textId="2C6E55A5" w:rsidR="00090161" w:rsidRPr="00090161" w:rsidRDefault="00090161" w:rsidP="00090161">
            <w:r w:rsidRPr="00090161">
              <w:rPr>
                <w:szCs w:val="42"/>
              </w:rPr>
              <w:t>88 (2.8%)</w:t>
            </w:r>
          </w:p>
        </w:tc>
      </w:tr>
      <w:tr w:rsidR="00090161" w14:paraId="150B090F" w14:textId="77777777" w:rsidTr="004235C7">
        <w:tc>
          <w:tcPr>
            <w:tcW w:w="3192" w:type="dxa"/>
            <w:vAlign w:val="bottom"/>
          </w:tcPr>
          <w:p w14:paraId="02D59103" w14:textId="7A8C7F42" w:rsidR="00090161" w:rsidRPr="00090161" w:rsidRDefault="00090161" w:rsidP="00090161">
            <w:r w:rsidRPr="00090161">
              <w:rPr>
                <w:szCs w:val="42"/>
              </w:rPr>
              <w:t>Ендометриален карцином</w:t>
            </w:r>
          </w:p>
        </w:tc>
        <w:tc>
          <w:tcPr>
            <w:tcW w:w="3192" w:type="dxa"/>
            <w:vAlign w:val="bottom"/>
          </w:tcPr>
          <w:p w14:paraId="5628D823" w14:textId="1049E9CA" w:rsidR="00090161" w:rsidRPr="00090161" w:rsidRDefault="00090161" w:rsidP="00090161">
            <w:r w:rsidRPr="00090161">
              <w:rPr>
                <w:szCs w:val="42"/>
              </w:rPr>
              <w:t>4 (0.2%)</w:t>
            </w:r>
          </w:p>
        </w:tc>
        <w:tc>
          <w:tcPr>
            <w:tcW w:w="3192" w:type="dxa"/>
            <w:vAlign w:val="bottom"/>
          </w:tcPr>
          <w:p w14:paraId="77F88B75" w14:textId="1FD87203" w:rsidR="00090161" w:rsidRPr="00090161" w:rsidRDefault="00090161" w:rsidP="00090161">
            <w:r w:rsidRPr="00090161">
              <w:rPr>
                <w:szCs w:val="42"/>
              </w:rPr>
              <w:t>13(0.6%)</w:t>
            </w:r>
          </w:p>
        </w:tc>
      </w:tr>
    </w:tbl>
    <w:p w14:paraId="255F3C72" w14:textId="4D9A931D" w:rsidR="00090161" w:rsidRPr="00090161" w:rsidRDefault="00090161" w:rsidP="00090161">
      <w:pPr>
        <w:rPr>
          <w:rFonts w:cs="Arial"/>
        </w:rPr>
      </w:pPr>
    </w:p>
    <w:p w14:paraId="0A4B9F1B" w14:textId="77777777" w:rsidR="00090161" w:rsidRPr="00090161" w:rsidRDefault="00090161" w:rsidP="00090161">
      <w:pPr>
        <w:rPr>
          <w:rFonts w:eastAsia="Times New Roman" w:cs="Arial"/>
        </w:rPr>
      </w:pPr>
      <w:r w:rsidRPr="00090161">
        <w:rPr>
          <w:rFonts w:eastAsia="Times New Roman" w:cs="Arial"/>
          <w:color w:val="000000"/>
          <w:lang w:eastAsia="bg-BG"/>
        </w:rPr>
        <w:t>Честота на фрактурите от 22 на 1000 пацненти/годишно и 15 на 1000 пациенти/годишно е наблюдавана в групите, съответно на анастрозол и тамоксифен, след проследяване средно 68 месеца. Наблюдаваната честота на фрактурите за анастрозол е подобна на честотата, наблюдавана във възрастовата група на постменопаузалната популация. Честотата на остеопороза е 10,5% при пациенти, лекувани с анастрозол и 7,3% при пациенти, лекувани с тамоксифен.</w:t>
      </w:r>
    </w:p>
    <w:p w14:paraId="6C06409D" w14:textId="77777777" w:rsidR="00090161" w:rsidRPr="00090161" w:rsidRDefault="00090161" w:rsidP="00090161">
      <w:pPr>
        <w:spacing w:line="240" w:lineRule="auto"/>
        <w:rPr>
          <w:rFonts w:eastAsia="Times New Roman" w:cs="Arial"/>
          <w:color w:val="000000"/>
          <w:lang w:eastAsia="bg-BG"/>
        </w:rPr>
      </w:pPr>
    </w:p>
    <w:p w14:paraId="12238D4D" w14:textId="3B8EB017" w:rsidR="00090161" w:rsidRPr="00090161" w:rsidRDefault="00090161" w:rsidP="00090161">
      <w:pPr>
        <w:spacing w:line="240" w:lineRule="auto"/>
        <w:rPr>
          <w:rFonts w:eastAsia="Times New Roman" w:cs="Arial"/>
        </w:rPr>
      </w:pPr>
      <w:r w:rsidRPr="00090161">
        <w:rPr>
          <w:rFonts w:eastAsia="Times New Roman" w:cs="Arial"/>
          <w:color w:val="000000"/>
          <w:lang w:eastAsia="bg-BG"/>
        </w:rPr>
        <w:t>Не е определено дали честотите на фрактури и остеопороза, наблюдавани в АТАС при пациенти на терапия с анастрозол отразяват протективен ефект на тамоксифен, специфичен ефект на анастрозол, или и двете.</w:t>
      </w:r>
    </w:p>
    <w:p w14:paraId="53FD6814" w14:textId="77777777" w:rsidR="00090161" w:rsidRPr="00090161" w:rsidRDefault="00090161" w:rsidP="00090161">
      <w:pPr>
        <w:spacing w:line="240" w:lineRule="auto"/>
        <w:rPr>
          <w:rFonts w:eastAsia="Times New Roman" w:cs="Arial"/>
          <w:color w:val="000000"/>
          <w:u w:val="single"/>
          <w:lang w:eastAsia="bg-BG"/>
        </w:rPr>
      </w:pPr>
    </w:p>
    <w:p w14:paraId="78F0892D" w14:textId="653F99D5" w:rsidR="00090161" w:rsidRPr="00090161" w:rsidRDefault="00090161" w:rsidP="00090161">
      <w:pPr>
        <w:spacing w:line="240" w:lineRule="auto"/>
        <w:rPr>
          <w:rFonts w:eastAsia="Times New Roman" w:cs="Arial"/>
        </w:rPr>
      </w:pPr>
      <w:r w:rsidRPr="00090161">
        <w:rPr>
          <w:rFonts w:eastAsia="Times New Roman" w:cs="Arial"/>
          <w:color w:val="000000"/>
          <w:u w:val="single"/>
          <w:lang w:eastAsia="bg-BG"/>
        </w:rPr>
        <w:t>Съобщаване на подозирани нежелани реакции</w:t>
      </w:r>
    </w:p>
    <w:p w14:paraId="3ECB8B1E"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w:t>
      </w:r>
    </w:p>
    <w:p w14:paraId="21A4DCD6"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Тел.: +359 2 8903417</w:t>
      </w:r>
    </w:p>
    <w:p w14:paraId="4CB8B68A"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уебсайт: </w:t>
      </w:r>
      <w:hyperlink r:id="rId5" w:history="1">
        <w:r w:rsidRPr="00090161">
          <w:rPr>
            <w:rFonts w:eastAsia="Times New Roman" w:cs="Arial"/>
            <w:color w:val="000000"/>
            <w:u w:val="single"/>
            <w:lang w:val="en-US"/>
          </w:rPr>
          <w:t>www.bda.bg</w:t>
        </w:r>
      </w:hyperlink>
    </w:p>
    <w:p w14:paraId="11CAE428" w14:textId="2F9F8017" w:rsidR="00090161" w:rsidRPr="00090161" w:rsidRDefault="00090161" w:rsidP="00090161">
      <w:pPr>
        <w:spacing w:line="240" w:lineRule="auto"/>
        <w:rPr>
          <w:rFonts w:ascii="Times New Roman" w:eastAsia="Times New Roman" w:hAnsi="Times New Roman" w:cs="Times New Roman"/>
          <w:sz w:val="24"/>
          <w:szCs w:val="24"/>
        </w:rPr>
      </w:pPr>
    </w:p>
    <w:p w14:paraId="3E0A97F3" w14:textId="77777777" w:rsidR="00090161" w:rsidRPr="00090161" w:rsidRDefault="00090161" w:rsidP="00090161"/>
    <w:p w14:paraId="4ED30546" w14:textId="0922D46A" w:rsidR="007C605B" w:rsidRDefault="002C50EE" w:rsidP="009F1313">
      <w:pPr>
        <w:pStyle w:val="Heading2"/>
      </w:pPr>
      <w:r>
        <w:t>4.9. Предозиране</w:t>
      </w:r>
    </w:p>
    <w:p w14:paraId="183B9E2F" w14:textId="423022FA" w:rsidR="00090161" w:rsidRDefault="00090161" w:rsidP="00090161"/>
    <w:p w14:paraId="543A1360" w14:textId="77777777" w:rsidR="00090161" w:rsidRPr="00090161" w:rsidRDefault="00090161" w:rsidP="00090161">
      <w:pPr>
        <w:rPr>
          <w:sz w:val="24"/>
          <w:szCs w:val="24"/>
        </w:rPr>
      </w:pPr>
      <w:r w:rsidRPr="00090161">
        <w:rPr>
          <w:lang w:eastAsia="bg-BG"/>
        </w:rPr>
        <w:t>Клиничният опит със случайно предозиране е ограничен. При изследване анастрозолът е показал много ниска остра токсичност.</w:t>
      </w:r>
    </w:p>
    <w:p w14:paraId="53063565" w14:textId="77777777" w:rsidR="00090161" w:rsidRPr="00090161" w:rsidRDefault="00090161" w:rsidP="00090161">
      <w:pPr>
        <w:rPr>
          <w:sz w:val="24"/>
          <w:szCs w:val="24"/>
        </w:rPr>
      </w:pPr>
      <w:r w:rsidRPr="00090161">
        <w:rPr>
          <w:lang w:eastAsia="bg-BG"/>
        </w:rPr>
        <w:t xml:space="preserve">Клиничните изпитвания са провеждани с различни дози анастрозол, доза от 60 </w:t>
      </w:r>
      <w:r w:rsidRPr="00090161">
        <w:rPr>
          <w:lang w:val="en-US"/>
        </w:rPr>
        <w:t>mg</w:t>
      </w:r>
      <w:r w:rsidRPr="00090161">
        <w:rPr>
          <w:lang w:val="ru-RU"/>
        </w:rPr>
        <w:t xml:space="preserve">, </w:t>
      </w:r>
      <w:r w:rsidRPr="00090161">
        <w:rPr>
          <w:lang w:eastAsia="bg-BG"/>
        </w:rPr>
        <w:t xml:space="preserve">прилагана на здрави доброволци - мъже и до 10 </w:t>
      </w:r>
      <w:r w:rsidRPr="00090161">
        <w:rPr>
          <w:lang w:val="en-US"/>
        </w:rPr>
        <w:t>mg</w:t>
      </w:r>
      <w:r w:rsidRPr="00090161">
        <w:rPr>
          <w:lang w:val="ru-RU"/>
        </w:rPr>
        <w:t xml:space="preserve"> </w:t>
      </w:r>
      <w:r w:rsidRPr="00090161">
        <w:rPr>
          <w:lang w:eastAsia="bg-BG"/>
        </w:rPr>
        <w:t>дневно, при жени в постменопауза, прилаган при напреднал карцином на гърдата; тези дозировки са понасяни добре. Не е установена единична доза Киареста, която да предизвика живото-застрашаващи симптоми.</w:t>
      </w:r>
    </w:p>
    <w:p w14:paraId="303B56A2" w14:textId="77777777" w:rsidR="00090161" w:rsidRPr="00090161" w:rsidRDefault="00090161" w:rsidP="00090161">
      <w:pPr>
        <w:rPr>
          <w:sz w:val="24"/>
          <w:szCs w:val="24"/>
        </w:rPr>
      </w:pPr>
      <w:r w:rsidRPr="00090161">
        <w:rPr>
          <w:lang w:eastAsia="bg-BG"/>
        </w:rPr>
        <w:t>Няма специфичен антидот при предозиране и лечението трябва да бъде симптоматично.</w:t>
      </w:r>
    </w:p>
    <w:p w14:paraId="6F7750C0" w14:textId="77777777" w:rsidR="00090161" w:rsidRPr="00090161" w:rsidRDefault="00090161" w:rsidP="00090161">
      <w:pPr>
        <w:rPr>
          <w:sz w:val="24"/>
          <w:szCs w:val="24"/>
        </w:rPr>
      </w:pPr>
      <w:r w:rsidRPr="00090161">
        <w:rPr>
          <w:lang w:eastAsia="bg-BG"/>
        </w:rPr>
        <w:t>При лечение на предозирането трябва да се има предвид възможността да са били приети и други медикаменти.</w:t>
      </w:r>
    </w:p>
    <w:p w14:paraId="4F61D607" w14:textId="77777777" w:rsidR="00090161" w:rsidRPr="00090161" w:rsidRDefault="00090161" w:rsidP="00090161">
      <w:pPr>
        <w:rPr>
          <w:sz w:val="24"/>
          <w:szCs w:val="24"/>
        </w:rPr>
      </w:pPr>
      <w:r w:rsidRPr="00090161">
        <w:rPr>
          <w:lang w:eastAsia="bg-BG"/>
        </w:rPr>
        <w:t>За намаляване на абсорбцията може да се направи промивка на стомаха, последвана от даване на активен въглен (абсорбент) или даване само на активен въглен.</w:t>
      </w:r>
    </w:p>
    <w:p w14:paraId="775CA32E" w14:textId="77777777" w:rsidR="00090161" w:rsidRPr="00090161" w:rsidRDefault="00090161" w:rsidP="00090161">
      <w:pPr>
        <w:rPr>
          <w:sz w:val="24"/>
          <w:szCs w:val="24"/>
        </w:rPr>
      </w:pPr>
      <w:r w:rsidRPr="00090161">
        <w:rPr>
          <w:lang w:eastAsia="bg-BG"/>
        </w:rPr>
        <w:t>Диализата също може да бъде от полза, защото анастрозол не се свързва във висока степен с плазмените протеини.</w:t>
      </w:r>
    </w:p>
    <w:p w14:paraId="37ED1758" w14:textId="77777777" w:rsidR="00090161" w:rsidRPr="00090161" w:rsidRDefault="00090161" w:rsidP="00090161">
      <w:pPr>
        <w:rPr>
          <w:sz w:val="24"/>
          <w:szCs w:val="24"/>
        </w:rPr>
      </w:pPr>
      <w:r w:rsidRPr="00090161">
        <w:rPr>
          <w:lang w:eastAsia="bg-BG"/>
        </w:rPr>
        <w:t>Показани са общо поддържащи мерки, включително често проследяване на виталните показатели и внимателно наблюдение на пациентката.</w:t>
      </w:r>
    </w:p>
    <w:p w14:paraId="4BBAA99C" w14:textId="77777777" w:rsidR="00090161" w:rsidRPr="00090161" w:rsidRDefault="00090161" w:rsidP="00090161"/>
    <w:p w14:paraId="02081B24" w14:textId="1F46E296" w:rsidR="00395555" w:rsidRPr="00395555" w:rsidRDefault="002C50EE" w:rsidP="008A6AF2">
      <w:pPr>
        <w:pStyle w:val="Heading1"/>
      </w:pPr>
      <w:r>
        <w:t>5. ФАРМАКОЛОГИЧНИ СВОЙСТВА</w:t>
      </w:r>
    </w:p>
    <w:p w14:paraId="5350637D" w14:textId="1DA559B9" w:rsidR="00395555" w:rsidRDefault="002C50EE" w:rsidP="008A6AF2">
      <w:pPr>
        <w:pStyle w:val="Heading2"/>
      </w:pPr>
      <w:r>
        <w:t>5.1. Фармакодинамични свойства</w:t>
      </w:r>
    </w:p>
    <w:p w14:paraId="6B6FBE02" w14:textId="38D94E95" w:rsidR="00090161" w:rsidRDefault="00090161" w:rsidP="00090161"/>
    <w:p w14:paraId="7596E0FF"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Фармакотерапевтична група: Ензимни инхибитори;</w:t>
      </w:r>
    </w:p>
    <w:p w14:paraId="38428B4D"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АТС код: </w:t>
      </w:r>
      <w:r w:rsidRPr="00090161">
        <w:rPr>
          <w:rFonts w:eastAsia="Times New Roman" w:cs="Arial"/>
          <w:color w:val="000000"/>
          <w:lang w:val="en-US"/>
        </w:rPr>
        <w:t>L</w:t>
      </w:r>
      <w:r w:rsidRPr="00090161">
        <w:rPr>
          <w:rFonts w:eastAsia="Times New Roman" w:cs="Arial"/>
          <w:color w:val="000000"/>
          <w:lang w:val="ru-RU"/>
        </w:rPr>
        <w:t>02</w:t>
      </w:r>
      <w:r w:rsidRPr="00090161">
        <w:rPr>
          <w:rFonts w:eastAsia="Times New Roman" w:cs="Arial"/>
          <w:color w:val="000000"/>
          <w:lang w:val="en-US"/>
        </w:rPr>
        <w:t>B</w:t>
      </w:r>
      <w:r w:rsidRPr="00090161">
        <w:rPr>
          <w:rFonts w:eastAsia="Times New Roman" w:cs="Arial"/>
          <w:color w:val="000000"/>
          <w:lang w:val="ru-RU"/>
        </w:rPr>
        <w:t xml:space="preserve"> </w:t>
      </w:r>
      <w:r w:rsidRPr="00090161">
        <w:rPr>
          <w:rFonts w:eastAsia="Times New Roman" w:cs="Arial"/>
          <w:color w:val="000000"/>
          <w:lang w:val="en-US"/>
        </w:rPr>
        <w:t>G</w:t>
      </w:r>
      <w:r w:rsidRPr="00090161">
        <w:rPr>
          <w:rFonts w:eastAsia="Times New Roman" w:cs="Arial"/>
          <w:color w:val="000000"/>
          <w:lang w:val="ru-RU"/>
        </w:rPr>
        <w:t>03</w:t>
      </w:r>
    </w:p>
    <w:p w14:paraId="3219A00A" w14:textId="77777777" w:rsidR="00090161" w:rsidRPr="00090161" w:rsidRDefault="00090161" w:rsidP="00090161">
      <w:pPr>
        <w:spacing w:line="240" w:lineRule="auto"/>
        <w:rPr>
          <w:rFonts w:eastAsia="Times New Roman" w:cs="Arial"/>
          <w:color w:val="000000"/>
          <w:u w:val="single"/>
          <w:lang w:eastAsia="bg-BG"/>
        </w:rPr>
      </w:pPr>
    </w:p>
    <w:p w14:paraId="6BE6DBC4" w14:textId="34801E5D" w:rsidR="00090161" w:rsidRPr="00090161" w:rsidRDefault="00090161" w:rsidP="00090161">
      <w:pPr>
        <w:spacing w:line="240" w:lineRule="auto"/>
        <w:rPr>
          <w:rFonts w:eastAsia="Times New Roman" w:cs="Arial"/>
        </w:rPr>
      </w:pPr>
      <w:r w:rsidRPr="00090161">
        <w:rPr>
          <w:rFonts w:eastAsia="Times New Roman" w:cs="Arial"/>
          <w:color w:val="000000"/>
          <w:u w:val="single"/>
          <w:lang w:eastAsia="bg-BG"/>
        </w:rPr>
        <w:t>Механизъм на действие и Фармакодинамични ефекти</w:t>
      </w:r>
    </w:p>
    <w:p w14:paraId="700615D2" w14:textId="77777777" w:rsidR="00090161" w:rsidRPr="00090161" w:rsidRDefault="00090161" w:rsidP="00090161">
      <w:pPr>
        <w:spacing w:line="240" w:lineRule="auto"/>
        <w:rPr>
          <w:rFonts w:eastAsia="Times New Roman" w:cs="Arial"/>
          <w:color w:val="000000"/>
          <w:lang w:eastAsia="bg-BG"/>
        </w:rPr>
      </w:pPr>
    </w:p>
    <w:p w14:paraId="1289E365" w14:textId="4E4CB69A" w:rsidR="00090161" w:rsidRPr="00090161" w:rsidRDefault="00090161" w:rsidP="00090161">
      <w:pPr>
        <w:spacing w:line="240" w:lineRule="auto"/>
        <w:rPr>
          <w:rFonts w:eastAsia="Times New Roman" w:cs="Arial"/>
        </w:rPr>
      </w:pPr>
      <w:r w:rsidRPr="00090161">
        <w:rPr>
          <w:rFonts w:eastAsia="Times New Roman" w:cs="Arial"/>
          <w:color w:val="000000"/>
          <w:lang w:eastAsia="bg-BG"/>
        </w:rPr>
        <w:t>Анастрозол е мощен и високо селективен нестероиден ароматазен инхибитор. При постменопаузални жени, естрадиолът се произвежда предимно чрез превръщане на андросгендиона в естрон с помощта на ензимния комплекс ароматаза в периферните тъкани. След това естронът се превръща в естрадиол. Доказано е, че намаляването на нивата на циркулиращия естрадиол оказва благоприятно въздействие при жени с карцином на гърдата.</w:t>
      </w:r>
    </w:p>
    <w:p w14:paraId="4EE55077" w14:textId="1C1D79B3" w:rsidR="00090161" w:rsidRPr="00090161" w:rsidRDefault="00090161" w:rsidP="00090161">
      <w:pPr>
        <w:spacing w:line="240" w:lineRule="auto"/>
        <w:rPr>
          <w:rFonts w:eastAsia="Times New Roman" w:cs="Arial"/>
          <w:color w:val="000000"/>
          <w:lang w:eastAsia="bg-BG"/>
        </w:rPr>
      </w:pPr>
      <w:r w:rsidRPr="00090161">
        <w:rPr>
          <w:rFonts w:eastAsia="Times New Roman" w:cs="Arial"/>
          <w:color w:val="000000"/>
          <w:lang w:eastAsia="bg-BG"/>
        </w:rPr>
        <w:t xml:space="preserve">При постменопаузални жени дневна доза от 1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анастрозол е довела до потискане на</w:t>
      </w:r>
      <w:r w:rsidRPr="00090161">
        <w:rPr>
          <w:rFonts w:eastAsia="Times New Roman" w:cs="Arial"/>
          <w:color w:val="000000"/>
          <w:u w:val="single"/>
          <w:lang w:eastAsia="bg-BG"/>
        </w:rPr>
        <w:t xml:space="preserve"> </w:t>
      </w:r>
      <w:r w:rsidRPr="00090161">
        <w:rPr>
          <w:rFonts w:eastAsia="Times New Roman" w:cs="Arial"/>
          <w:color w:val="000000"/>
          <w:lang w:eastAsia="bg-BG"/>
        </w:rPr>
        <w:t>естрадиола над 80 %, което е доказано чрез високочувствителен метод.</w:t>
      </w:r>
    </w:p>
    <w:p w14:paraId="31D2883E" w14:textId="74C17F8C" w:rsidR="00090161" w:rsidRPr="00090161" w:rsidRDefault="00090161" w:rsidP="00090161">
      <w:pPr>
        <w:spacing w:line="240" w:lineRule="auto"/>
        <w:rPr>
          <w:rFonts w:eastAsia="Times New Roman" w:cs="Arial"/>
          <w:color w:val="000000"/>
          <w:lang w:eastAsia="bg-BG"/>
        </w:rPr>
      </w:pPr>
    </w:p>
    <w:p w14:paraId="588F4AC2"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Анастрозол не притежава прогестогенна, андрогенна или естрогенна активност.</w:t>
      </w:r>
    </w:p>
    <w:p w14:paraId="24AEA4F2" w14:textId="77777777" w:rsidR="00090161" w:rsidRDefault="00090161" w:rsidP="00090161">
      <w:pPr>
        <w:spacing w:line="240" w:lineRule="auto"/>
        <w:rPr>
          <w:rFonts w:eastAsia="Times New Roman" w:cs="Arial"/>
          <w:color w:val="000000"/>
          <w:lang w:eastAsia="bg-BG"/>
        </w:rPr>
      </w:pPr>
    </w:p>
    <w:p w14:paraId="0C33D2F7" w14:textId="3E6ADD0A" w:rsidR="00090161" w:rsidRPr="00090161" w:rsidRDefault="00090161" w:rsidP="00090161">
      <w:pPr>
        <w:spacing w:line="240" w:lineRule="auto"/>
        <w:rPr>
          <w:rFonts w:eastAsia="Times New Roman" w:cs="Arial"/>
        </w:rPr>
      </w:pPr>
      <w:r w:rsidRPr="00090161">
        <w:rPr>
          <w:rFonts w:eastAsia="Times New Roman" w:cs="Arial"/>
          <w:color w:val="000000"/>
          <w:lang w:eastAsia="bg-BG"/>
        </w:rPr>
        <w:lastRenderedPageBreak/>
        <w:t xml:space="preserve">Дневна доза анастрозол до 10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няма ефект върху секрецията на кортизол или алдостерон, измерени преди и след обичайното стимулиране на АКТХ. Поради това не е необходимо заместителио лечение с кортикостероиди.</w:t>
      </w:r>
    </w:p>
    <w:p w14:paraId="5D401945" w14:textId="77777777" w:rsidR="00090161" w:rsidRDefault="00090161" w:rsidP="00090161">
      <w:pPr>
        <w:spacing w:line="240" w:lineRule="auto"/>
        <w:rPr>
          <w:rFonts w:eastAsia="Times New Roman" w:cs="Arial"/>
          <w:color w:val="000000"/>
          <w:u w:val="single"/>
          <w:lang w:eastAsia="bg-BG"/>
        </w:rPr>
      </w:pPr>
    </w:p>
    <w:p w14:paraId="3B310314" w14:textId="5AFAA95C" w:rsidR="00090161" w:rsidRPr="00090161" w:rsidRDefault="00090161" w:rsidP="00090161">
      <w:pPr>
        <w:spacing w:line="240" w:lineRule="auto"/>
        <w:rPr>
          <w:rFonts w:eastAsia="Times New Roman" w:cs="Arial"/>
        </w:rPr>
      </w:pPr>
      <w:r w:rsidRPr="00090161">
        <w:rPr>
          <w:rFonts w:eastAsia="Times New Roman" w:cs="Arial"/>
          <w:color w:val="000000"/>
          <w:u w:val="single"/>
          <w:lang w:eastAsia="bg-BG"/>
        </w:rPr>
        <w:t>Клинична ефикасност и безопасност</w:t>
      </w:r>
    </w:p>
    <w:p w14:paraId="624FFCB1" w14:textId="77777777" w:rsidR="00090161" w:rsidRPr="00090161" w:rsidRDefault="00090161" w:rsidP="00090161">
      <w:pPr>
        <w:spacing w:line="240" w:lineRule="auto"/>
        <w:rPr>
          <w:rFonts w:eastAsia="Times New Roman" w:cs="Arial"/>
        </w:rPr>
      </w:pPr>
      <w:r w:rsidRPr="00090161">
        <w:rPr>
          <w:rFonts w:eastAsia="Times New Roman" w:cs="Arial"/>
          <w:color w:val="000000"/>
          <w:u w:val="single"/>
          <w:lang w:eastAsia="bg-BG"/>
        </w:rPr>
        <w:t>Напреднал карцином на гърдата</w:t>
      </w:r>
    </w:p>
    <w:p w14:paraId="319DF7C1" w14:textId="77777777"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Терапия от първа линия при жени е менопауза с напреднал карцином на гърдата</w:t>
      </w:r>
    </w:p>
    <w:p w14:paraId="14367EB5"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Две двойно-слепи, контролирани клинични проучвания със сходен дизайн (проучване </w:t>
      </w:r>
      <w:r w:rsidRPr="00090161">
        <w:rPr>
          <w:rFonts w:eastAsia="Times New Roman" w:cs="Arial"/>
          <w:color w:val="000000"/>
          <w:lang w:val="ru-RU"/>
        </w:rPr>
        <w:t>1033</w:t>
      </w:r>
      <w:r w:rsidRPr="00090161">
        <w:rPr>
          <w:rFonts w:eastAsia="Times New Roman" w:cs="Arial"/>
          <w:color w:val="000000"/>
          <w:lang w:val="en-US"/>
        </w:rPr>
        <w:t>IL</w:t>
      </w:r>
      <w:r w:rsidRPr="00090161">
        <w:rPr>
          <w:rFonts w:eastAsia="Times New Roman" w:cs="Arial"/>
          <w:color w:val="000000"/>
          <w:lang w:val="ru-RU"/>
        </w:rPr>
        <w:t xml:space="preserve">/0030 </w:t>
      </w:r>
      <w:r w:rsidRPr="00090161">
        <w:rPr>
          <w:rFonts w:eastAsia="Times New Roman" w:cs="Arial"/>
          <w:color w:val="000000"/>
          <w:lang w:eastAsia="bg-BG"/>
        </w:rPr>
        <w:t xml:space="preserve">и проучване </w:t>
      </w:r>
      <w:r w:rsidRPr="00090161">
        <w:rPr>
          <w:rFonts w:eastAsia="Times New Roman" w:cs="Arial"/>
          <w:color w:val="000000"/>
          <w:lang w:val="ru-RU"/>
        </w:rPr>
        <w:t>1033</w:t>
      </w:r>
      <w:r w:rsidRPr="00090161">
        <w:rPr>
          <w:rFonts w:eastAsia="Times New Roman" w:cs="Arial"/>
          <w:color w:val="000000"/>
          <w:lang w:val="en-US"/>
        </w:rPr>
        <w:t>IL</w:t>
      </w:r>
      <w:r w:rsidRPr="00090161">
        <w:rPr>
          <w:rFonts w:eastAsia="Times New Roman" w:cs="Arial"/>
          <w:color w:val="000000"/>
          <w:lang w:val="ru-RU"/>
        </w:rPr>
        <w:t xml:space="preserve">/0027) </w:t>
      </w:r>
      <w:r w:rsidRPr="00090161">
        <w:rPr>
          <w:rFonts w:eastAsia="Times New Roman" w:cs="Arial"/>
          <w:color w:val="000000"/>
          <w:lang w:eastAsia="bg-BG"/>
        </w:rPr>
        <w:t xml:space="preserve">сравняват терапевтичната ефикасност на анастрозол и тамоксифен като средство на първи избор при жени в менопауза с локално напреднал или метастазирал карцином на гърдата с чувствителни хормонални рецептори или с рецептори с неизвестна чувствителност. Общо 1 021 пациентки са рандомизирани да приемат 1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 xml:space="preserve">анастрозол еднократно дневно или 20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тамоксифен еднократно дневно. Първичните цели на двете проучвания са да се определят времето до прогресия на тумора, степента на обективно повлияване на тумора и безопасността от лечението.</w:t>
      </w:r>
    </w:p>
    <w:p w14:paraId="14A165AA" w14:textId="77777777" w:rsidR="00090161" w:rsidRDefault="00090161" w:rsidP="00090161">
      <w:pPr>
        <w:spacing w:line="240" w:lineRule="auto"/>
        <w:rPr>
          <w:rFonts w:eastAsia="Times New Roman" w:cs="Arial"/>
          <w:color w:val="000000"/>
          <w:lang w:eastAsia="bg-BG"/>
        </w:rPr>
      </w:pPr>
    </w:p>
    <w:p w14:paraId="09A7A632" w14:textId="7F1646A7" w:rsidR="00090161" w:rsidRPr="00090161" w:rsidRDefault="00090161" w:rsidP="00090161">
      <w:pPr>
        <w:spacing w:line="240" w:lineRule="auto"/>
        <w:rPr>
          <w:rFonts w:eastAsia="Times New Roman" w:cs="Arial"/>
        </w:rPr>
      </w:pPr>
      <w:r w:rsidRPr="00090161">
        <w:rPr>
          <w:rFonts w:eastAsia="Times New Roman" w:cs="Arial"/>
          <w:color w:val="000000"/>
          <w:lang w:eastAsia="bg-BG"/>
        </w:rPr>
        <w:t xml:space="preserve">При проучване </w:t>
      </w:r>
      <w:r w:rsidRPr="00090161">
        <w:rPr>
          <w:rFonts w:eastAsia="Times New Roman" w:cs="Arial"/>
          <w:color w:val="000000"/>
          <w:lang w:val="ru-RU"/>
        </w:rPr>
        <w:t>1033</w:t>
      </w:r>
      <w:r w:rsidRPr="00090161">
        <w:rPr>
          <w:rFonts w:eastAsia="Times New Roman" w:cs="Arial"/>
          <w:color w:val="000000"/>
          <w:lang w:val="en-US"/>
        </w:rPr>
        <w:t>IL</w:t>
      </w:r>
      <w:r w:rsidRPr="00090161">
        <w:rPr>
          <w:rFonts w:eastAsia="Times New Roman" w:cs="Arial"/>
          <w:color w:val="000000"/>
          <w:lang w:val="ru-RU"/>
        </w:rPr>
        <w:t xml:space="preserve">/0030 </w:t>
      </w:r>
      <w:r w:rsidRPr="00090161">
        <w:rPr>
          <w:rFonts w:eastAsia="Times New Roman" w:cs="Arial"/>
          <w:color w:val="000000"/>
          <w:lang w:eastAsia="bg-BG"/>
        </w:rPr>
        <w:t xml:space="preserve">е установено, че анастрозол има статистически значимо превъзходство пред тамоксифен за времето до прогресиране на тумора (рисков коефициент </w:t>
      </w:r>
      <w:r w:rsidRPr="00090161">
        <w:rPr>
          <w:rFonts w:eastAsia="Times New Roman" w:cs="Arial"/>
          <w:color w:val="000000"/>
          <w:lang w:val="ru-RU"/>
        </w:rPr>
        <w:t>[</w:t>
      </w:r>
      <w:r w:rsidRPr="00090161">
        <w:rPr>
          <w:rFonts w:eastAsia="Times New Roman" w:cs="Arial"/>
          <w:color w:val="000000"/>
          <w:lang w:val="en-US"/>
        </w:rPr>
        <w:t>HR</w:t>
      </w:r>
      <w:r w:rsidRPr="00090161">
        <w:rPr>
          <w:rFonts w:eastAsia="Times New Roman" w:cs="Arial"/>
          <w:color w:val="000000"/>
          <w:lang w:val="ru-RU"/>
        </w:rPr>
        <w:t xml:space="preserve">] </w:t>
      </w:r>
      <w:r w:rsidRPr="00090161">
        <w:rPr>
          <w:rFonts w:eastAsia="Times New Roman" w:cs="Arial"/>
          <w:color w:val="000000"/>
          <w:lang w:eastAsia="bg-BG"/>
        </w:rPr>
        <w:t xml:space="preserve">1,42,95% конфиденциални интервали </w:t>
      </w:r>
      <w:r w:rsidRPr="00090161">
        <w:rPr>
          <w:rFonts w:eastAsia="Times New Roman" w:cs="Arial"/>
          <w:color w:val="000000"/>
          <w:lang w:val="ru-RU"/>
        </w:rPr>
        <w:t>(</w:t>
      </w:r>
      <w:r w:rsidRPr="00090161">
        <w:rPr>
          <w:rFonts w:eastAsia="Times New Roman" w:cs="Arial"/>
          <w:color w:val="000000"/>
          <w:lang w:val="en-US"/>
        </w:rPr>
        <w:t>CI</w:t>
      </w:r>
      <w:r w:rsidRPr="00090161">
        <w:rPr>
          <w:rFonts w:eastAsia="Times New Roman" w:cs="Arial"/>
          <w:color w:val="000000"/>
          <w:lang w:val="ru-RU"/>
        </w:rPr>
        <w:t xml:space="preserve">) </w:t>
      </w:r>
      <w:r w:rsidRPr="00090161">
        <w:rPr>
          <w:rFonts w:eastAsia="Times New Roman" w:cs="Arial"/>
          <w:color w:val="000000"/>
          <w:lang w:eastAsia="bg-BG"/>
        </w:rPr>
        <w:t xml:space="preserve">[1,11,1,82]. Средното време до прогресиране е 11,1 и 5,6 месеца за анастрозол и тамоксифен съответно (р = 0,006); степента на обективно повлияване на тумора е подобна за анастрозол и тамоксифен. Обективното повлияване на тумора и времето до прогресия на тумора, наблюдавани в проучване </w:t>
      </w:r>
      <w:r w:rsidRPr="00090161">
        <w:rPr>
          <w:rFonts w:eastAsia="Times New Roman" w:cs="Arial"/>
          <w:color w:val="000000"/>
          <w:lang w:val="ru-RU"/>
        </w:rPr>
        <w:t>1033</w:t>
      </w:r>
      <w:r w:rsidRPr="00090161">
        <w:rPr>
          <w:rFonts w:eastAsia="Times New Roman" w:cs="Arial"/>
          <w:color w:val="000000"/>
          <w:lang w:val="en-US"/>
        </w:rPr>
        <w:t>DL</w:t>
      </w:r>
      <w:r w:rsidRPr="00090161">
        <w:rPr>
          <w:rFonts w:eastAsia="Times New Roman" w:cs="Arial"/>
          <w:color w:val="000000"/>
          <w:lang w:val="ru-RU"/>
        </w:rPr>
        <w:t xml:space="preserve">/0027 </w:t>
      </w:r>
      <w:r w:rsidRPr="00090161">
        <w:rPr>
          <w:rFonts w:eastAsia="Times New Roman" w:cs="Arial"/>
          <w:color w:val="000000"/>
          <w:lang w:eastAsia="bg-BG"/>
        </w:rPr>
        <w:t>са подобни за анастрозол и тамоксифен. Резултатите от вторичните цели са в подкрепа на резултатите от целите за първична ефикасност. В двете проучвания честотата на смъртните случаи е твърде малка, за да се направи общо заключение за разликите в преживяемостга.</w:t>
      </w:r>
    </w:p>
    <w:p w14:paraId="730E33B5" w14:textId="77777777" w:rsidR="00090161" w:rsidRDefault="00090161" w:rsidP="00090161">
      <w:pPr>
        <w:spacing w:line="240" w:lineRule="auto"/>
        <w:rPr>
          <w:rFonts w:eastAsia="Times New Roman" w:cs="Arial"/>
          <w:i/>
          <w:iCs/>
          <w:color w:val="000000"/>
          <w:lang w:eastAsia="bg-BG"/>
        </w:rPr>
      </w:pPr>
    </w:p>
    <w:p w14:paraId="7F9F87BA" w14:textId="7F51754E" w:rsidR="00090161" w:rsidRPr="00090161" w:rsidRDefault="00090161" w:rsidP="00090161">
      <w:pPr>
        <w:spacing w:line="240" w:lineRule="auto"/>
        <w:rPr>
          <w:rFonts w:eastAsia="Times New Roman" w:cs="Arial"/>
          <w:i/>
          <w:iCs/>
          <w:color w:val="000000"/>
          <w:lang w:eastAsia="bg-BG"/>
        </w:rPr>
      </w:pPr>
      <w:r w:rsidRPr="00090161">
        <w:rPr>
          <w:rFonts w:eastAsia="Times New Roman" w:cs="Arial"/>
          <w:i/>
          <w:iCs/>
          <w:color w:val="000000"/>
          <w:lang w:eastAsia="bg-BG"/>
        </w:rPr>
        <w:t xml:space="preserve">Терапия от втора линия при жени в постменопауза с напреднал карцином на гърдата </w:t>
      </w:r>
      <w:r w:rsidRPr="00090161">
        <w:rPr>
          <w:rFonts w:eastAsia="Times New Roman" w:cs="Arial"/>
          <w:color w:val="000000"/>
          <w:lang w:eastAsia="bg-BG"/>
        </w:rPr>
        <w:t xml:space="preserve">Анастрозол е изследван в две контролирани клинични проучвания (Проучване 0004 и Проучване 0005) при жени в постменопауза с напреднал карцином на гърдата, при които заболяването прогресира след прилагаме на тамоксифен за лечение на напреднал карцином или карцином в ранен стадий. Общо 764 пациентки са рандомизирани да приемат еднократна доза от 1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 xml:space="preserve">или 10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 xml:space="preserve">анастрозол или мегестрол ацетат 40 </w:t>
      </w:r>
      <w:r w:rsidRPr="00090161">
        <w:rPr>
          <w:rFonts w:eastAsia="Times New Roman" w:cs="Arial"/>
          <w:color w:val="000000"/>
          <w:lang w:val="en-US"/>
        </w:rPr>
        <w:t>mg</w:t>
      </w:r>
      <w:r w:rsidRPr="00090161">
        <w:rPr>
          <w:rFonts w:eastAsia="Times New Roman" w:cs="Arial"/>
          <w:color w:val="000000"/>
          <w:lang w:val="ru-RU"/>
        </w:rPr>
        <w:t xml:space="preserve"> </w:t>
      </w:r>
      <w:r w:rsidRPr="00090161">
        <w:rPr>
          <w:rFonts w:eastAsia="Times New Roman" w:cs="Arial"/>
          <w:color w:val="000000"/>
          <w:lang w:eastAsia="bg-BG"/>
        </w:rPr>
        <w:t>четири пъти дневно. Първичните показатели за ефикасност са време до прогресия и степен на обективно повлияване. Изчислени са и степента на дългосрочно стабилизиране (над 24 седмици), степента на професия и на преживяемост. В двете проучвания не се установява статистически значима разлика в терапевтичното повлияване по отношение на параметрите за ефикасност.</w:t>
      </w:r>
    </w:p>
    <w:p w14:paraId="576CFB28" w14:textId="77777777" w:rsidR="00090161" w:rsidRDefault="00090161" w:rsidP="00090161">
      <w:pPr>
        <w:spacing w:line="240" w:lineRule="auto"/>
        <w:rPr>
          <w:rFonts w:eastAsia="Times New Roman" w:cs="Arial"/>
          <w:i/>
          <w:iCs/>
          <w:color w:val="000000"/>
          <w:lang w:eastAsia="bg-BG"/>
        </w:rPr>
      </w:pPr>
    </w:p>
    <w:p w14:paraId="2626FA49" w14:textId="0EC5DAF1" w:rsidR="00090161" w:rsidRPr="00090161" w:rsidRDefault="00090161" w:rsidP="00090161">
      <w:pPr>
        <w:spacing w:line="240" w:lineRule="auto"/>
        <w:rPr>
          <w:rFonts w:eastAsia="Times New Roman" w:cs="Arial"/>
        </w:rPr>
      </w:pPr>
      <w:r w:rsidRPr="00090161">
        <w:rPr>
          <w:rFonts w:eastAsia="Times New Roman" w:cs="Arial"/>
          <w:i/>
          <w:iCs/>
          <w:color w:val="000000"/>
          <w:lang w:eastAsia="bg-BG"/>
        </w:rPr>
        <w:t>Адювантно лечение на ранен инвазивен карцином на гърдата при положителни за хормонални рецептори пациентки</w:t>
      </w:r>
    </w:p>
    <w:p w14:paraId="405C84FB" w14:textId="77777777" w:rsidR="00090161" w:rsidRPr="00090161" w:rsidRDefault="00090161" w:rsidP="00090161">
      <w:pPr>
        <w:spacing w:line="240" w:lineRule="auto"/>
        <w:rPr>
          <w:rFonts w:eastAsia="Times New Roman" w:cs="Arial"/>
        </w:rPr>
      </w:pPr>
      <w:r w:rsidRPr="00090161">
        <w:rPr>
          <w:rFonts w:eastAsia="Times New Roman" w:cs="Arial"/>
          <w:color w:val="000000"/>
          <w:lang w:eastAsia="bg-BG"/>
        </w:rPr>
        <w:t>При голямо клинично изпитване фаза III, проведено на 9366 жени в постменопауза с операбилен карцином на гърдата, лекувани в продължение на 5 години, анастрозол показва статистически значимо превъзходство в сравнение с тамоксифен по отношение на свободната от заболяване преживяемост. Още по-благоприятни са резултатите наблюдавани по отношение на преживяемостта, свободна от заболяване при популацията с позитивни хормонални рецептори в полза на анастрозол в сравнение с тамоксифен.</w:t>
      </w:r>
    </w:p>
    <w:p w14:paraId="633B6AC9" w14:textId="77777777" w:rsidR="00090161" w:rsidRDefault="00090161" w:rsidP="00090161">
      <w:pPr>
        <w:spacing w:line="240" w:lineRule="auto"/>
        <w:rPr>
          <w:rFonts w:eastAsia="Times New Roman" w:cs="Arial"/>
          <w:b/>
          <w:bCs/>
          <w:color w:val="000000"/>
          <w:u w:val="single"/>
          <w:lang w:eastAsia="bg-BG"/>
        </w:rPr>
      </w:pPr>
    </w:p>
    <w:p w14:paraId="3E471392" w14:textId="797C880B" w:rsidR="00090161" w:rsidRDefault="00090161" w:rsidP="00090161">
      <w:pPr>
        <w:spacing w:line="240" w:lineRule="auto"/>
        <w:rPr>
          <w:rFonts w:eastAsia="Times New Roman" w:cs="Arial"/>
          <w:b/>
          <w:bCs/>
          <w:color w:val="000000"/>
          <w:u w:val="single"/>
          <w:lang w:eastAsia="bg-BG"/>
        </w:rPr>
      </w:pPr>
      <w:r w:rsidRPr="00090161">
        <w:rPr>
          <w:rFonts w:eastAsia="Times New Roman" w:cs="Arial"/>
          <w:b/>
          <w:bCs/>
          <w:color w:val="000000"/>
          <w:u w:val="single"/>
          <w:lang w:eastAsia="bg-BG"/>
        </w:rPr>
        <w:t>Таблица 3 Резюме от проучването АТАС: Анализ на резултатите след 5-годишно лечение</w:t>
      </w:r>
    </w:p>
    <w:tbl>
      <w:tblPr>
        <w:tblStyle w:val="TableGrid"/>
        <w:tblW w:w="0" w:type="auto"/>
        <w:tblLook w:val="04A0" w:firstRow="1" w:lastRow="0" w:firstColumn="1" w:lastColumn="0" w:noHBand="0" w:noVBand="1"/>
      </w:tblPr>
      <w:tblGrid>
        <w:gridCol w:w="2427"/>
        <w:gridCol w:w="1724"/>
        <w:gridCol w:w="1737"/>
        <w:gridCol w:w="1725"/>
        <w:gridCol w:w="1737"/>
      </w:tblGrid>
      <w:tr w:rsidR="00C5048B" w14:paraId="17E3FEB4" w14:textId="77777777" w:rsidTr="004235C7">
        <w:tc>
          <w:tcPr>
            <w:tcW w:w="2477" w:type="dxa"/>
            <w:vMerge w:val="restart"/>
          </w:tcPr>
          <w:p w14:paraId="2E934EB7" w14:textId="77777777" w:rsidR="00090161" w:rsidRPr="00090161" w:rsidRDefault="00090161" w:rsidP="00090161">
            <w:pPr>
              <w:rPr>
                <w:sz w:val="24"/>
                <w:szCs w:val="24"/>
              </w:rPr>
            </w:pPr>
            <w:r w:rsidRPr="00090161">
              <w:rPr>
                <w:lang w:eastAsia="bg-BG"/>
              </w:rPr>
              <w:lastRenderedPageBreak/>
              <w:t>Показатели за ефективност</w:t>
            </w:r>
          </w:p>
          <w:p w14:paraId="53F2E09F" w14:textId="77777777" w:rsidR="00090161" w:rsidRDefault="00090161" w:rsidP="00090161">
            <w:pPr>
              <w:spacing w:line="240" w:lineRule="auto"/>
              <w:rPr>
                <w:rFonts w:eastAsia="Times New Roman" w:cs="Arial"/>
              </w:rPr>
            </w:pPr>
          </w:p>
        </w:tc>
        <w:tc>
          <w:tcPr>
            <w:tcW w:w="7099" w:type="dxa"/>
            <w:gridSpan w:val="4"/>
          </w:tcPr>
          <w:p w14:paraId="35ABB8F9" w14:textId="19A97637" w:rsidR="00090161" w:rsidRDefault="00090161" w:rsidP="00090161">
            <w:pPr>
              <w:rPr>
                <w:rFonts w:eastAsia="Times New Roman" w:cs="Arial"/>
              </w:rPr>
            </w:pPr>
            <w:r>
              <w:t>Брой събития (честота)</w:t>
            </w:r>
          </w:p>
        </w:tc>
      </w:tr>
      <w:tr w:rsidR="00090161" w14:paraId="708CFA40" w14:textId="77777777" w:rsidTr="004235C7">
        <w:tc>
          <w:tcPr>
            <w:tcW w:w="2477" w:type="dxa"/>
            <w:vMerge/>
          </w:tcPr>
          <w:p w14:paraId="20AEF57E" w14:textId="77777777" w:rsidR="00090161" w:rsidRDefault="00090161" w:rsidP="00090161">
            <w:pPr>
              <w:spacing w:line="240" w:lineRule="auto"/>
              <w:rPr>
                <w:rFonts w:eastAsia="Times New Roman" w:cs="Arial"/>
              </w:rPr>
            </w:pPr>
          </w:p>
        </w:tc>
        <w:tc>
          <w:tcPr>
            <w:tcW w:w="3549" w:type="dxa"/>
            <w:gridSpan w:val="2"/>
          </w:tcPr>
          <w:p w14:paraId="45C19D5A" w14:textId="4A42199B" w:rsidR="00090161" w:rsidRDefault="00090161" w:rsidP="00090161">
            <w:pPr>
              <w:rPr>
                <w:rFonts w:eastAsia="Times New Roman" w:cs="Arial"/>
              </w:rPr>
            </w:pPr>
            <w:r>
              <w:t xml:space="preserve">Обща популацията на проучването </w:t>
            </w:r>
            <w:r w:rsidRPr="00090161">
              <w:rPr>
                <w:lang w:val="ru-RU"/>
              </w:rPr>
              <w:t>(</w:t>
            </w:r>
            <w:r>
              <w:rPr>
                <w:lang w:val="en-US"/>
              </w:rPr>
              <w:t>ITT</w:t>
            </w:r>
            <w:r w:rsidRPr="00090161">
              <w:rPr>
                <w:lang w:val="ru-RU"/>
              </w:rPr>
              <w:t>)</w:t>
            </w:r>
          </w:p>
        </w:tc>
        <w:tc>
          <w:tcPr>
            <w:tcW w:w="3550" w:type="dxa"/>
            <w:gridSpan w:val="2"/>
          </w:tcPr>
          <w:p w14:paraId="359D59DB" w14:textId="64DD35F5" w:rsidR="00090161" w:rsidRDefault="00090161" w:rsidP="00090161">
            <w:pPr>
              <w:rPr>
                <w:rFonts w:eastAsia="Times New Roman" w:cs="Arial"/>
              </w:rPr>
            </w:pPr>
            <w:r>
              <w:t>Популация с позитивни хормонални рецептори</w:t>
            </w:r>
          </w:p>
        </w:tc>
      </w:tr>
      <w:tr w:rsidR="00C5048B" w14:paraId="4D8FB5D1" w14:textId="77777777" w:rsidTr="00090161">
        <w:tc>
          <w:tcPr>
            <w:tcW w:w="2477" w:type="dxa"/>
            <w:vMerge/>
          </w:tcPr>
          <w:p w14:paraId="6B696554" w14:textId="77777777" w:rsidR="00090161" w:rsidRDefault="00090161" w:rsidP="00090161">
            <w:pPr>
              <w:spacing w:line="240" w:lineRule="auto"/>
              <w:rPr>
                <w:rFonts w:eastAsia="Times New Roman" w:cs="Arial"/>
              </w:rPr>
            </w:pPr>
          </w:p>
        </w:tc>
        <w:tc>
          <w:tcPr>
            <w:tcW w:w="1774" w:type="dxa"/>
          </w:tcPr>
          <w:p w14:paraId="35744661" w14:textId="1F26EA81" w:rsidR="00090161" w:rsidRPr="00090161" w:rsidRDefault="00090161" w:rsidP="00090161">
            <w:pPr>
              <w:rPr>
                <w:sz w:val="24"/>
                <w:szCs w:val="24"/>
              </w:rPr>
            </w:pPr>
            <w:r>
              <w:rPr>
                <w:lang w:eastAsia="bg-BG"/>
              </w:rPr>
              <w:t>Анастрозол</w:t>
            </w:r>
          </w:p>
          <w:p w14:paraId="45613FED" w14:textId="48BCCEAE" w:rsidR="00090161" w:rsidRDefault="00090161" w:rsidP="00090161">
            <w:pPr>
              <w:rPr>
                <w:rFonts w:cs="Arial"/>
              </w:rPr>
            </w:pPr>
            <w:r w:rsidRPr="00090161">
              <w:rPr>
                <w:lang w:eastAsia="bg-BG"/>
              </w:rPr>
              <w:t>(-3125)</w:t>
            </w:r>
          </w:p>
        </w:tc>
        <w:tc>
          <w:tcPr>
            <w:tcW w:w="1775" w:type="dxa"/>
          </w:tcPr>
          <w:p w14:paraId="6472734D" w14:textId="77777777" w:rsidR="00090161" w:rsidRPr="00090161" w:rsidRDefault="00090161" w:rsidP="00090161">
            <w:pPr>
              <w:rPr>
                <w:sz w:val="24"/>
                <w:szCs w:val="24"/>
              </w:rPr>
            </w:pPr>
            <w:r w:rsidRPr="00090161">
              <w:rPr>
                <w:lang w:eastAsia="bg-BG"/>
              </w:rPr>
              <w:t>Тамоксифен</w:t>
            </w:r>
          </w:p>
          <w:p w14:paraId="15BE3B86" w14:textId="6BEA8DCB" w:rsidR="00090161" w:rsidRPr="00090161" w:rsidRDefault="00090161" w:rsidP="00090161">
            <w:pPr>
              <w:rPr>
                <w:sz w:val="24"/>
                <w:szCs w:val="24"/>
              </w:rPr>
            </w:pPr>
            <w:r w:rsidRPr="00090161">
              <w:rPr>
                <w:lang w:val="en-US"/>
              </w:rPr>
              <w:t>(N-3116)</w:t>
            </w:r>
          </w:p>
          <w:p w14:paraId="3EDE3D0A" w14:textId="77777777" w:rsidR="00090161" w:rsidRDefault="00090161" w:rsidP="00090161">
            <w:pPr>
              <w:rPr>
                <w:rFonts w:cs="Arial"/>
              </w:rPr>
            </w:pPr>
          </w:p>
        </w:tc>
        <w:tc>
          <w:tcPr>
            <w:tcW w:w="1775" w:type="dxa"/>
          </w:tcPr>
          <w:p w14:paraId="12A794FC" w14:textId="77777777" w:rsidR="00090161" w:rsidRPr="00090161" w:rsidRDefault="00090161" w:rsidP="00090161">
            <w:pPr>
              <w:rPr>
                <w:sz w:val="24"/>
                <w:szCs w:val="24"/>
              </w:rPr>
            </w:pPr>
            <w:r w:rsidRPr="00090161">
              <w:rPr>
                <w:lang w:eastAsia="bg-BG"/>
              </w:rPr>
              <w:t>Анастрозол</w:t>
            </w:r>
          </w:p>
          <w:p w14:paraId="6ED88F95" w14:textId="420B34BB" w:rsidR="00090161" w:rsidRDefault="00090161" w:rsidP="00090161">
            <w:pPr>
              <w:rPr>
                <w:rFonts w:cs="Arial"/>
              </w:rPr>
            </w:pPr>
            <w:r w:rsidRPr="00090161">
              <w:rPr>
                <w:u w:val="single"/>
                <w:lang w:val="en-US"/>
              </w:rPr>
              <w:t>(N-2618)</w:t>
            </w:r>
          </w:p>
        </w:tc>
        <w:tc>
          <w:tcPr>
            <w:tcW w:w="1775" w:type="dxa"/>
          </w:tcPr>
          <w:p w14:paraId="1BF58361" w14:textId="77777777" w:rsidR="00090161" w:rsidRDefault="00090161" w:rsidP="00090161">
            <w:pPr>
              <w:rPr>
                <w:rFonts w:cs="Arial"/>
              </w:rPr>
            </w:pPr>
            <w:r>
              <w:rPr>
                <w:rFonts w:cs="Arial"/>
              </w:rPr>
              <w:t>Тамоксифен</w:t>
            </w:r>
          </w:p>
          <w:p w14:paraId="05093700" w14:textId="7DE9AD05" w:rsidR="00090161" w:rsidRPr="00090161" w:rsidRDefault="00090161" w:rsidP="00090161">
            <w:pPr>
              <w:rPr>
                <w:rFonts w:cs="Arial"/>
                <w:lang w:val="en-US"/>
              </w:rPr>
            </w:pPr>
            <w:r>
              <w:rPr>
                <w:rFonts w:cs="Arial"/>
              </w:rPr>
              <w:t>(</w:t>
            </w:r>
            <w:r>
              <w:rPr>
                <w:rFonts w:cs="Arial"/>
                <w:lang w:val="en-US"/>
              </w:rPr>
              <w:t>N-2398)</w:t>
            </w:r>
          </w:p>
        </w:tc>
      </w:tr>
      <w:tr w:rsidR="00C5048B" w14:paraId="77F1C14B" w14:textId="77777777" w:rsidTr="00090161">
        <w:tc>
          <w:tcPr>
            <w:tcW w:w="2477" w:type="dxa"/>
          </w:tcPr>
          <w:p w14:paraId="1D3F0352" w14:textId="4D54D472" w:rsidR="00090161" w:rsidRPr="00090161" w:rsidRDefault="00090161" w:rsidP="00090161">
            <w:pPr>
              <w:spacing w:line="240" w:lineRule="auto"/>
              <w:rPr>
                <w:rFonts w:eastAsia="Times New Roman" w:cs="Arial"/>
              </w:rPr>
            </w:pPr>
            <w:r w:rsidRPr="00090161">
              <w:rPr>
                <w:b/>
                <w:bCs/>
              </w:rPr>
              <w:t>Преживяемост свободна от заболяване</w:t>
            </w:r>
            <w:r w:rsidRPr="00090161">
              <w:rPr>
                <w:b/>
                <w:bCs/>
                <w:vertAlign w:val="superscript"/>
              </w:rPr>
              <w:t>1</w:t>
            </w:r>
          </w:p>
        </w:tc>
        <w:tc>
          <w:tcPr>
            <w:tcW w:w="1774" w:type="dxa"/>
          </w:tcPr>
          <w:p w14:paraId="156F25F3" w14:textId="4A6704F0" w:rsidR="00090161" w:rsidRPr="00090161" w:rsidRDefault="00090161" w:rsidP="00090161">
            <w:pPr>
              <w:spacing w:line="240" w:lineRule="auto"/>
              <w:rPr>
                <w:rFonts w:eastAsia="Times New Roman" w:cs="Arial"/>
              </w:rPr>
            </w:pPr>
            <w:r w:rsidRPr="00090161">
              <w:rPr>
                <w:szCs w:val="42"/>
              </w:rPr>
              <w:t>575(18.4)</w:t>
            </w:r>
          </w:p>
        </w:tc>
        <w:tc>
          <w:tcPr>
            <w:tcW w:w="1775" w:type="dxa"/>
          </w:tcPr>
          <w:p w14:paraId="640FA7DA" w14:textId="6D3537C3" w:rsidR="00090161" w:rsidRPr="00090161" w:rsidRDefault="00090161" w:rsidP="00090161">
            <w:pPr>
              <w:spacing w:line="240" w:lineRule="auto"/>
              <w:rPr>
                <w:rFonts w:eastAsia="Times New Roman" w:cs="Arial"/>
              </w:rPr>
            </w:pPr>
            <w:r w:rsidRPr="00090161">
              <w:rPr>
                <w:szCs w:val="42"/>
              </w:rPr>
              <w:t>651 (20.9)</w:t>
            </w:r>
          </w:p>
        </w:tc>
        <w:tc>
          <w:tcPr>
            <w:tcW w:w="1775" w:type="dxa"/>
          </w:tcPr>
          <w:p w14:paraId="47A74876" w14:textId="2DA9261B" w:rsidR="00090161" w:rsidRPr="00090161" w:rsidRDefault="00090161" w:rsidP="00090161">
            <w:pPr>
              <w:spacing w:line="240" w:lineRule="auto"/>
              <w:rPr>
                <w:rFonts w:eastAsia="Times New Roman" w:cs="Arial"/>
              </w:rPr>
            </w:pPr>
            <w:r w:rsidRPr="00090161">
              <w:rPr>
                <w:szCs w:val="42"/>
              </w:rPr>
              <w:t>424(16.2)</w:t>
            </w:r>
          </w:p>
        </w:tc>
        <w:tc>
          <w:tcPr>
            <w:tcW w:w="1775" w:type="dxa"/>
          </w:tcPr>
          <w:p w14:paraId="7793B0C7" w14:textId="4D27B3CC" w:rsidR="00090161" w:rsidRPr="00090161" w:rsidRDefault="00090161" w:rsidP="00090161">
            <w:pPr>
              <w:spacing w:line="240" w:lineRule="auto"/>
              <w:rPr>
                <w:rFonts w:eastAsia="Times New Roman" w:cs="Arial"/>
              </w:rPr>
            </w:pPr>
            <w:r w:rsidRPr="00090161">
              <w:rPr>
                <w:szCs w:val="42"/>
              </w:rPr>
              <w:t>497(19.1)</w:t>
            </w:r>
          </w:p>
        </w:tc>
      </w:tr>
      <w:tr w:rsidR="00C5048B" w14:paraId="2E2C4E74" w14:textId="77777777" w:rsidTr="004235C7">
        <w:tc>
          <w:tcPr>
            <w:tcW w:w="2477" w:type="dxa"/>
          </w:tcPr>
          <w:p w14:paraId="109155F5" w14:textId="01498C5F" w:rsidR="00090161" w:rsidRPr="00090161" w:rsidRDefault="00090161" w:rsidP="00090161">
            <w:pPr>
              <w:spacing w:line="240" w:lineRule="auto"/>
              <w:rPr>
                <w:rFonts w:eastAsia="Times New Roman" w:cs="Arial"/>
              </w:rPr>
            </w:pPr>
            <w:r w:rsidRPr="00090161">
              <w:t>Коефициент на риск</w:t>
            </w:r>
          </w:p>
        </w:tc>
        <w:tc>
          <w:tcPr>
            <w:tcW w:w="3549" w:type="dxa"/>
            <w:gridSpan w:val="2"/>
          </w:tcPr>
          <w:p w14:paraId="0A0A869A" w14:textId="7D9ABA00" w:rsidR="00090161" w:rsidRPr="00090161" w:rsidRDefault="00090161" w:rsidP="00090161">
            <w:pPr>
              <w:spacing w:line="240" w:lineRule="auto"/>
              <w:rPr>
                <w:rFonts w:eastAsia="Times New Roman" w:cs="Arial"/>
              </w:rPr>
            </w:pPr>
            <w:r w:rsidRPr="00090161">
              <w:rPr>
                <w:szCs w:val="42"/>
              </w:rPr>
              <w:t>0.87</w:t>
            </w:r>
          </w:p>
        </w:tc>
        <w:tc>
          <w:tcPr>
            <w:tcW w:w="3550" w:type="dxa"/>
            <w:gridSpan w:val="2"/>
          </w:tcPr>
          <w:p w14:paraId="67DD41A5" w14:textId="33DE999F" w:rsidR="00090161" w:rsidRPr="00090161" w:rsidRDefault="00090161" w:rsidP="00090161">
            <w:pPr>
              <w:spacing w:line="240" w:lineRule="auto"/>
              <w:rPr>
                <w:rFonts w:eastAsia="Times New Roman" w:cs="Arial"/>
              </w:rPr>
            </w:pPr>
            <w:r w:rsidRPr="00090161">
              <w:rPr>
                <w:szCs w:val="42"/>
              </w:rPr>
              <w:t>0.83</w:t>
            </w:r>
          </w:p>
        </w:tc>
      </w:tr>
      <w:tr w:rsidR="00C5048B" w14:paraId="3513D925" w14:textId="77777777" w:rsidTr="004235C7">
        <w:tc>
          <w:tcPr>
            <w:tcW w:w="2477" w:type="dxa"/>
          </w:tcPr>
          <w:p w14:paraId="74CA871D" w14:textId="7DB8454B" w:rsidR="00090161" w:rsidRPr="00090161" w:rsidRDefault="00090161" w:rsidP="00090161">
            <w:pPr>
              <w:spacing w:line="240" w:lineRule="auto"/>
              <w:rPr>
                <w:rFonts w:eastAsia="Times New Roman" w:cs="Arial"/>
              </w:rPr>
            </w:pPr>
            <w:r w:rsidRPr="00090161">
              <w:t>Двустранен 95% доверителен интервал</w:t>
            </w:r>
          </w:p>
        </w:tc>
        <w:tc>
          <w:tcPr>
            <w:tcW w:w="3549" w:type="dxa"/>
            <w:gridSpan w:val="2"/>
          </w:tcPr>
          <w:p w14:paraId="720A7FE0" w14:textId="21475AF7" w:rsidR="00090161" w:rsidRPr="00090161" w:rsidRDefault="00090161" w:rsidP="00090161">
            <w:pPr>
              <w:spacing w:line="240" w:lineRule="auto"/>
              <w:rPr>
                <w:rFonts w:eastAsia="Times New Roman" w:cs="Arial"/>
              </w:rPr>
            </w:pPr>
            <w:r w:rsidRPr="00090161">
              <w:rPr>
                <w:szCs w:val="42"/>
              </w:rPr>
              <w:t>0.78 до 0.97</w:t>
            </w:r>
          </w:p>
        </w:tc>
        <w:tc>
          <w:tcPr>
            <w:tcW w:w="3550" w:type="dxa"/>
            <w:gridSpan w:val="2"/>
          </w:tcPr>
          <w:p w14:paraId="6C7DE700" w14:textId="49796E00" w:rsidR="00090161" w:rsidRPr="00090161" w:rsidRDefault="00090161" w:rsidP="00090161">
            <w:pPr>
              <w:spacing w:line="240" w:lineRule="auto"/>
              <w:rPr>
                <w:rFonts w:eastAsia="Times New Roman" w:cs="Arial"/>
              </w:rPr>
            </w:pPr>
            <w:r w:rsidRPr="00090161">
              <w:rPr>
                <w:szCs w:val="42"/>
              </w:rPr>
              <w:t>0.73 до 0.94</w:t>
            </w:r>
          </w:p>
        </w:tc>
      </w:tr>
      <w:tr w:rsidR="00C5048B" w14:paraId="5E26E0E9" w14:textId="77777777" w:rsidTr="004235C7">
        <w:tc>
          <w:tcPr>
            <w:tcW w:w="2477" w:type="dxa"/>
          </w:tcPr>
          <w:p w14:paraId="557E3AE1" w14:textId="527DDFA6" w:rsidR="00090161" w:rsidRPr="00090161" w:rsidRDefault="00090161" w:rsidP="00090161">
            <w:pPr>
              <w:spacing w:line="240" w:lineRule="auto"/>
              <w:rPr>
                <w:rFonts w:eastAsia="Times New Roman" w:cs="Arial"/>
              </w:rPr>
            </w:pPr>
            <w:r w:rsidRPr="00090161">
              <w:t>Вероятност резултатите да са случайни</w:t>
            </w:r>
          </w:p>
        </w:tc>
        <w:tc>
          <w:tcPr>
            <w:tcW w:w="3549" w:type="dxa"/>
            <w:gridSpan w:val="2"/>
          </w:tcPr>
          <w:p w14:paraId="7CE2C687" w14:textId="41F9C17D" w:rsidR="00090161" w:rsidRPr="00090161" w:rsidRDefault="00090161" w:rsidP="00090161">
            <w:pPr>
              <w:spacing w:line="240" w:lineRule="auto"/>
              <w:rPr>
                <w:rFonts w:eastAsia="Times New Roman" w:cs="Arial"/>
              </w:rPr>
            </w:pPr>
            <w:r w:rsidRPr="00090161">
              <w:rPr>
                <w:szCs w:val="42"/>
              </w:rPr>
              <w:t>0.0127</w:t>
            </w:r>
          </w:p>
        </w:tc>
        <w:tc>
          <w:tcPr>
            <w:tcW w:w="3550" w:type="dxa"/>
            <w:gridSpan w:val="2"/>
          </w:tcPr>
          <w:p w14:paraId="17DB966F" w14:textId="2580BE9D" w:rsidR="00090161" w:rsidRPr="00090161" w:rsidRDefault="00090161" w:rsidP="00090161">
            <w:pPr>
              <w:spacing w:line="240" w:lineRule="auto"/>
              <w:rPr>
                <w:rFonts w:eastAsia="Times New Roman" w:cs="Arial"/>
              </w:rPr>
            </w:pPr>
            <w:r w:rsidRPr="00090161">
              <w:rPr>
                <w:szCs w:val="42"/>
              </w:rPr>
              <w:t>0.0049</w:t>
            </w:r>
          </w:p>
        </w:tc>
      </w:tr>
      <w:tr w:rsidR="00C5048B" w14:paraId="726A6209" w14:textId="77777777" w:rsidTr="00090161">
        <w:tc>
          <w:tcPr>
            <w:tcW w:w="2477" w:type="dxa"/>
          </w:tcPr>
          <w:p w14:paraId="148F3A84" w14:textId="2054C270" w:rsidR="00090161" w:rsidRPr="00090161" w:rsidRDefault="00090161" w:rsidP="00090161">
            <w:pPr>
              <w:spacing w:line="240" w:lineRule="auto"/>
              <w:rPr>
                <w:rFonts w:eastAsia="Times New Roman" w:cs="Arial"/>
              </w:rPr>
            </w:pPr>
            <w:r w:rsidRPr="00090161">
              <w:rPr>
                <w:b/>
                <w:bCs/>
              </w:rPr>
              <w:t>Преживяемост без далечни метастази</w:t>
            </w:r>
            <w:r w:rsidRPr="00090161">
              <w:rPr>
                <w:b/>
                <w:bCs/>
                <w:vertAlign w:val="superscript"/>
              </w:rPr>
              <w:t>2</w:t>
            </w:r>
          </w:p>
        </w:tc>
        <w:tc>
          <w:tcPr>
            <w:tcW w:w="1774" w:type="dxa"/>
          </w:tcPr>
          <w:p w14:paraId="55C494B2" w14:textId="6EB40C90" w:rsidR="00090161" w:rsidRPr="00090161" w:rsidRDefault="00090161" w:rsidP="00090161">
            <w:pPr>
              <w:spacing w:line="240" w:lineRule="auto"/>
              <w:rPr>
                <w:rFonts w:eastAsia="Times New Roman" w:cs="Arial"/>
                <w:sz w:val="24"/>
              </w:rPr>
            </w:pPr>
            <w:r w:rsidRPr="00090161">
              <w:rPr>
                <w:sz w:val="24"/>
                <w:szCs w:val="42"/>
              </w:rPr>
              <w:t>500(16.0)</w:t>
            </w:r>
          </w:p>
        </w:tc>
        <w:tc>
          <w:tcPr>
            <w:tcW w:w="1775" w:type="dxa"/>
          </w:tcPr>
          <w:p w14:paraId="71895A16" w14:textId="0C52F444" w:rsidR="00090161" w:rsidRPr="00090161" w:rsidRDefault="00090161" w:rsidP="00090161">
            <w:pPr>
              <w:spacing w:line="240" w:lineRule="auto"/>
              <w:rPr>
                <w:rFonts w:eastAsia="Times New Roman" w:cs="Arial"/>
                <w:sz w:val="24"/>
              </w:rPr>
            </w:pPr>
            <w:r w:rsidRPr="00090161">
              <w:rPr>
                <w:sz w:val="24"/>
                <w:szCs w:val="42"/>
              </w:rPr>
              <w:t>530(17.0)</w:t>
            </w:r>
          </w:p>
        </w:tc>
        <w:tc>
          <w:tcPr>
            <w:tcW w:w="1775" w:type="dxa"/>
          </w:tcPr>
          <w:p w14:paraId="3D51EDA3" w14:textId="6571833B" w:rsidR="00090161" w:rsidRPr="00090161" w:rsidRDefault="00090161" w:rsidP="00090161">
            <w:pPr>
              <w:spacing w:line="240" w:lineRule="auto"/>
              <w:rPr>
                <w:rFonts w:eastAsia="Times New Roman" w:cs="Arial"/>
                <w:sz w:val="24"/>
              </w:rPr>
            </w:pPr>
            <w:r w:rsidRPr="00090161">
              <w:rPr>
                <w:sz w:val="24"/>
                <w:szCs w:val="42"/>
              </w:rPr>
              <w:t>370(14.1)</w:t>
            </w:r>
          </w:p>
        </w:tc>
        <w:tc>
          <w:tcPr>
            <w:tcW w:w="1775" w:type="dxa"/>
          </w:tcPr>
          <w:p w14:paraId="0B165292" w14:textId="4EC466EB" w:rsidR="00090161" w:rsidRPr="00090161" w:rsidRDefault="00090161" w:rsidP="00090161">
            <w:pPr>
              <w:spacing w:line="240" w:lineRule="auto"/>
              <w:rPr>
                <w:rFonts w:eastAsia="Times New Roman" w:cs="Arial"/>
                <w:sz w:val="24"/>
              </w:rPr>
            </w:pPr>
            <w:r w:rsidRPr="00090161">
              <w:rPr>
                <w:sz w:val="24"/>
                <w:szCs w:val="42"/>
              </w:rPr>
              <w:t>394(15.2)</w:t>
            </w:r>
          </w:p>
        </w:tc>
      </w:tr>
      <w:tr w:rsidR="00C5048B" w14:paraId="3251F20B" w14:textId="77777777" w:rsidTr="004235C7">
        <w:tc>
          <w:tcPr>
            <w:tcW w:w="2477" w:type="dxa"/>
          </w:tcPr>
          <w:p w14:paraId="763FD98B" w14:textId="168DC782" w:rsidR="00090161" w:rsidRPr="00090161" w:rsidRDefault="00090161" w:rsidP="00090161">
            <w:pPr>
              <w:spacing w:line="240" w:lineRule="auto"/>
              <w:rPr>
                <w:rFonts w:eastAsia="Times New Roman" w:cs="Arial"/>
              </w:rPr>
            </w:pPr>
            <w:r w:rsidRPr="00090161">
              <w:rPr>
                <w:szCs w:val="42"/>
              </w:rPr>
              <w:t>Коефициент на риск</w:t>
            </w:r>
          </w:p>
        </w:tc>
        <w:tc>
          <w:tcPr>
            <w:tcW w:w="3549" w:type="dxa"/>
            <w:gridSpan w:val="2"/>
          </w:tcPr>
          <w:p w14:paraId="5DE9CDA7" w14:textId="582B7BB9" w:rsidR="00090161" w:rsidRPr="00090161" w:rsidRDefault="00090161" w:rsidP="00090161">
            <w:pPr>
              <w:spacing w:line="240" w:lineRule="auto"/>
              <w:rPr>
                <w:rFonts w:eastAsia="Times New Roman" w:cs="Arial"/>
              </w:rPr>
            </w:pPr>
            <w:r w:rsidRPr="00090161">
              <w:rPr>
                <w:szCs w:val="42"/>
              </w:rPr>
              <w:t>0.94</w:t>
            </w:r>
          </w:p>
        </w:tc>
        <w:tc>
          <w:tcPr>
            <w:tcW w:w="3550" w:type="dxa"/>
            <w:gridSpan w:val="2"/>
          </w:tcPr>
          <w:p w14:paraId="654F67E7" w14:textId="17365C93" w:rsidR="00090161" w:rsidRPr="00090161" w:rsidRDefault="00090161" w:rsidP="00090161">
            <w:pPr>
              <w:spacing w:line="240" w:lineRule="auto"/>
              <w:rPr>
                <w:rFonts w:eastAsia="Times New Roman" w:cs="Arial"/>
              </w:rPr>
            </w:pPr>
            <w:r w:rsidRPr="00090161">
              <w:rPr>
                <w:szCs w:val="42"/>
              </w:rPr>
              <w:t>0.93</w:t>
            </w:r>
          </w:p>
        </w:tc>
      </w:tr>
      <w:tr w:rsidR="00C5048B" w14:paraId="1962ECB4" w14:textId="77777777" w:rsidTr="004235C7">
        <w:tc>
          <w:tcPr>
            <w:tcW w:w="2477" w:type="dxa"/>
          </w:tcPr>
          <w:p w14:paraId="0CBF63C5" w14:textId="1B8A2A41" w:rsidR="00090161" w:rsidRPr="00090161" w:rsidRDefault="00090161" w:rsidP="00090161">
            <w:pPr>
              <w:spacing w:line="240" w:lineRule="auto"/>
              <w:rPr>
                <w:rFonts w:eastAsia="Times New Roman" w:cs="Arial"/>
              </w:rPr>
            </w:pPr>
            <w:r w:rsidRPr="00090161">
              <w:rPr>
                <w:szCs w:val="42"/>
              </w:rPr>
              <w:t>Двустранен 95% доверителен интервал</w:t>
            </w:r>
          </w:p>
        </w:tc>
        <w:tc>
          <w:tcPr>
            <w:tcW w:w="3549" w:type="dxa"/>
            <w:gridSpan w:val="2"/>
          </w:tcPr>
          <w:p w14:paraId="69A422C0" w14:textId="1E83B198" w:rsidR="00090161" w:rsidRPr="00090161" w:rsidRDefault="00090161" w:rsidP="00090161">
            <w:pPr>
              <w:spacing w:line="240" w:lineRule="auto"/>
              <w:rPr>
                <w:rFonts w:eastAsia="Times New Roman" w:cs="Arial"/>
              </w:rPr>
            </w:pPr>
            <w:r w:rsidRPr="00090161">
              <w:rPr>
                <w:szCs w:val="42"/>
              </w:rPr>
              <w:t>0.83 до 1.06</w:t>
            </w:r>
          </w:p>
        </w:tc>
        <w:tc>
          <w:tcPr>
            <w:tcW w:w="3550" w:type="dxa"/>
            <w:gridSpan w:val="2"/>
          </w:tcPr>
          <w:p w14:paraId="290AAB86" w14:textId="3D40CD9D" w:rsidR="00090161" w:rsidRPr="00090161" w:rsidRDefault="00090161" w:rsidP="00090161">
            <w:pPr>
              <w:spacing w:line="240" w:lineRule="auto"/>
              <w:rPr>
                <w:rFonts w:eastAsia="Times New Roman" w:cs="Arial"/>
              </w:rPr>
            </w:pPr>
            <w:r w:rsidRPr="00090161">
              <w:rPr>
                <w:szCs w:val="42"/>
              </w:rPr>
              <w:t>0.80 до 1.07</w:t>
            </w:r>
          </w:p>
        </w:tc>
      </w:tr>
      <w:tr w:rsidR="00C5048B" w14:paraId="4C84A304" w14:textId="77777777" w:rsidTr="004235C7">
        <w:tc>
          <w:tcPr>
            <w:tcW w:w="2477" w:type="dxa"/>
          </w:tcPr>
          <w:p w14:paraId="031F71A3" w14:textId="7A1CDF1E" w:rsidR="00090161" w:rsidRPr="00090161" w:rsidRDefault="00090161" w:rsidP="00090161">
            <w:pPr>
              <w:spacing w:line="240" w:lineRule="auto"/>
              <w:rPr>
                <w:rFonts w:eastAsia="Times New Roman" w:cs="Arial"/>
              </w:rPr>
            </w:pPr>
            <w:r w:rsidRPr="00090161">
              <w:rPr>
                <w:szCs w:val="42"/>
              </w:rPr>
              <w:t>Вероятност резултатите да са случайни</w:t>
            </w:r>
          </w:p>
        </w:tc>
        <w:tc>
          <w:tcPr>
            <w:tcW w:w="3549" w:type="dxa"/>
            <w:gridSpan w:val="2"/>
          </w:tcPr>
          <w:p w14:paraId="73BA2E63" w14:textId="40A86EFF" w:rsidR="00090161" w:rsidRPr="00090161" w:rsidRDefault="00090161" w:rsidP="00090161">
            <w:pPr>
              <w:spacing w:line="240" w:lineRule="auto"/>
              <w:rPr>
                <w:rFonts w:eastAsia="Times New Roman" w:cs="Arial"/>
              </w:rPr>
            </w:pPr>
            <w:r w:rsidRPr="00090161">
              <w:rPr>
                <w:szCs w:val="42"/>
              </w:rPr>
              <w:t>0.2850</w:t>
            </w:r>
          </w:p>
        </w:tc>
        <w:tc>
          <w:tcPr>
            <w:tcW w:w="3550" w:type="dxa"/>
            <w:gridSpan w:val="2"/>
          </w:tcPr>
          <w:p w14:paraId="35DF2469" w14:textId="18B6F219" w:rsidR="00090161" w:rsidRPr="00090161" w:rsidRDefault="00090161" w:rsidP="00090161">
            <w:pPr>
              <w:spacing w:line="240" w:lineRule="auto"/>
              <w:rPr>
                <w:rFonts w:eastAsia="Times New Roman" w:cs="Arial"/>
              </w:rPr>
            </w:pPr>
            <w:r w:rsidRPr="00090161">
              <w:rPr>
                <w:szCs w:val="42"/>
              </w:rPr>
              <w:t>0.2838</w:t>
            </w:r>
          </w:p>
        </w:tc>
      </w:tr>
      <w:tr w:rsidR="00C5048B" w14:paraId="58469390" w14:textId="77777777" w:rsidTr="00090161">
        <w:tc>
          <w:tcPr>
            <w:tcW w:w="2477" w:type="dxa"/>
          </w:tcPr>
          <w:p w14:paraId="176EA640" w14:textId="23322FA6" w:rsidR="00090161" w:rsidRPr="00090161" w:rsidRDefault="00090161" w:rsidP="00090161">
            <w:pPr>
              <w:spacing w:line="240" w:lineRule="auto"/>
              <w:rPr>
                <w:rFonts w:eastAsia="Times New Roman" w:cs="Arial"/>
              </w:rPr>
            </w:pPr>
            <w:r w:rsidRPr="00090161">
              <w:rPr>
                <w:b/>
                <w:bCs/>
                <w:szCs w:val="42"/>
              </w:rPr>
              <w:t>Време до рецидив</w:t>
            </w:r>
            <w:r w:rsidRPr="00090161">
              <w:rPr>
                <w:b/>
                <w:bCs/>
                <w:szCs w:val="42"/>
                <w:vertAlign w:val="superscript"/>
              </w:rPr>
              <w:t>3</w:t>
            </w:r>
          </w:p>
        </w:tc>
        <w:tc>
          <w:tcPr>
            <w:tcW w:w="1774" w:type="dxa"/>
          </w:tcPr>
          <w:p w14:paraId="0AEC97E8" w14:textId="1EC747CB" w:rsidR="00090161" w:rsidRPr="00090161" w:rsidRDefault="00090161" w:rsidP="00090161">
            <w:pPr>
              <w:spacing w:line="240" w:lineRule="auto"/>
              <w:rPr>
                <w:rFonts w:eastAsia="Times New Roman" w:cs="Arial"/>
              </w:rPr>
            </w:pPr>
            <w:r w:rsidRPr="00090161">
              <w:rPr>
                <w:szCs w:val="42"/>
              </w:rPr>
              <w:t>402(12.9)</w:t>
            </w:r>
          </w:p>
        </w:tc>
        <w:tc>
          <w:tcPr>
            <w:tcW w:w="1775" w:type="dxa"/>
          </w:tcPr>
          <w:p w14:paraId="318C4AAA" w14:textId="597C89EA" w:rsidR="00090161" w:rsidRPr="00090161" w:rsidRDefault="00090161" w:rsidP="00090161">
            <w:pPr>
              <w:spacing w:line="240" w:lineRule="auto"/>
              <w:rPr>
                <w:rFonts w:eastAsia="Times New Roman" w:cs="Arial"/>
              </w:rPr>
            </w:pPr>
            <w:r w:rsidRPr="00090161">
              <w:rPr>
                <w:szCs w:val="42"/>
              </w:rPr>
              <w:t>498(16.0)</w:t>
            </w:r>
          </w:p>
        </w:tc>
        <w:tc>
          <w:tcPr>
            <w:tcW w:w="1775" w:type="dxa"/>
          </w:tcPr>
          <w:p w14:paraId="6E193C1D" w14:textId="7C5A3CAC" w:rsidR="00090161" w:rsidRPr="00090161" w:rsidRDefault="00090161" w:rsidP="00090161">
            <w:pPr>
              <w:spacing w:line="240" w:lineRule="auto"/>
              <w:rPr>
                <w:rFonts w:eastAsia="Times New Roman" w:cs="Arial"/>
              </w:rPr>
            </w:pPr>
            <w:r w:rsidRPr="00090161">
              <w:rPr>
                <w:szCs w:val="42"/>
              </w:rPr>
              <w:t>282(10.8)</w:t>
            </w:r>
          </w:p>
        </w:tc>
        <w:tc>
          <w:tcPr>
            <w:tcW w:w="1775" w:type="dxa"/>
          </w:tcPr>
          <w:p w14:paraId="59241500" w14:textId="35EB4F49" w:rsidR="00090161" w:rsidRPr="00090161" w:rsidRDefault="00090161" w:rsidP="00090161">
            <w:pPr>
              <w:spacing w:line="240" w:lineRule="auto"/>
              <w:rPr>
                <w:rFonts w:eastAsia="Times New Roman" w:cs="Arial"/>
              </w:rPr>
            </w:pPr>
            <w:r w:rsidRPr="00090161">
              <w:rPr>
                <w:szCs w:val="42"/>
              </w:rPr>
              <w:t>370(14.2)</w:t>
            </w:r>
          </w:p>
        </w:tc>
      </w:tr>
      <w:tr w:rsidR="00090161" w14:paraId="5CF66A36" w14:textId="77777777" w:rsidTr="004235C7">
        <w:tc>
          <w:tcPr>
            <w:tcW w:w="2477" w:type="dxa"/>
          </w:tcPr>
          <w:p w14:paraId="2697F11A" w14:textId="3569F7CC" w:rsidR="00090161" w:rsidRPr="00090161" w:rsidRDefault="00090161" w:rsidP="00090161">
            <w:pPr>
              <w:spacing w:line="240" w:lineRule="auto"/>
              <w:rPr>
                <w:rFonts w:eastAsia="Times New Roman" w:cs="Arial"/>
              </w:rPr>
            </w:pPr>
            <w:r w:rsidRPr="00090161">
              <w:rPr>
                <w:szCs w:val="42"/>
              </w:rPr>
              <w:t>Коефициент на риск</w:t>
            </w:r>
          </w:p>
        </w:tc>
        <w:tc>
          <w:tcPr>
            <w:tcW w:w="3549" w:type="dxa"/>
            <w:gridSpan w:val="2"/>
          </w:tcPr>
          <w:p w14:paraId="3319FCB7" w14:textId="3D540BFA" w:rsidR="00090161" w:rsidRPr="00090161" w:rsidRDefault="00090161" w:rsidP="00090161">
            <w:pPr>
              <w:spacing w:line="240" w:lineRule="auto"/>
              <w:rPr>
                <w:rFonts w:eastAsia="Times New Roman" w:cs="Arial"/>
              </w:rPr>
            </w:pPr>
            <w:r w:rsidRPr="00090161">
              <w:rPr>
                <w:szCs w:val="42"/>
              </w:rPr>
              <w:t>0.79</w:t>
            </w:r>
          </w:p>
        </w:tc>
        <w:tc>
          <w:tcPr>
            <w:tcW w:w="3550" w:type="dxa"/>
            <w:gridSpan w:val="2"/>
          </w:tcPr>
          <w:p w14:paraId="41C5D12C" w14:textId="5C5C3881" w:rsidR="00090161" w:rsidRPr="00090161" w:rsidRDefault="00090161" w:rsidP="00090161">
            <w:pPr>
              <w:spacing w:line="240" w:lineRule="auto"/>
              <w:rPr>
                <w:rFonts w:eastAsia="Times New Roman" w:cs="Arial"/>
              </w:rPr>
            </w:pPr>
            <w:r w:rsidRPr="00090161">
              <w:rPr>
                <w:szCs w:val="42"/>
              </w:rPr>
              <w:t>0.74</w:t>
            </w:r>
          </w:p>
        </w:tc>
      </w:tr>
      <w:tr w:rsidR="00090161" w14:paraId="6C2B2287" w14:textId="77777777" w:rsidTr="004235C7">
        <w:tc>
          <w:tcPr>
            <w:tcW w:w="2477" w:type="dxa"/>
          </w:tcPr>
          <w:p w14:paraId="745582AA" w14:textId="58F0A007" w:rsidR="00090161" w:rsidRPr="00090161" w:rsidRDefault="00090161" w:rsidP="00090161">
            <w:pPr>
              <w:spacing w:line="240" w:lineRule="auto"/>
              <w:rPr>
                <w:rFonts w:eastAsia="Times New Roman" w:cs="Arial"/>
              </w:rPr>
            </w:pPr>
            <w:r w:rsidRPr="00090161">
              <w:rPr>
                <w:szCs w:val="42"/>
              </w:rPr>
              <w:t>Двустранен 95% доверителен интервал</w:t>
            </w:r>
          </w:p>
        </w:tc>
        <w:tc>
          <w:tcPr>
            <w:tcW w:w="3549" w:type="dxa"/>
            <w:gridSpan w:val="2"/>
          </w:tcPr>
          <w:p w14:paraId="224A8C9E" w14:textId="22380D5A" w:rsidR="00090161" w:rsidRPr="00090161" w:rsidRDefault="00090161" w:rsidP="00090161">
            <w:pPr>
              <w:spacing w:line="240" w:lineRule="auto"/>
              <w:rPr>
                <w:rFonts w:eastAsia="Times New Roman" w:cs="Arial"/>
              </w:rPr>
            </w:pPr>
            <w:r w:rsidRPr="00090161">
              <w:rPr>
                <w:szCs w:val="42"/>
              </w:rPr>
              <w:t>0.70 до 0.90</w:t>
            </w:r>
          </w:p>
        </w:tc>
        <w:tc>
          <w:tcPr>
            <w:tcW w:w="3550" w:type="dxa"/>
            <w:gridSpan w:val="2"/>
          </w:tcPr>
          <w:p w14:paraId="4C7CD604" w14:textId="5B65033F" w:rsidR="00090161" w:rsidRPr="00090161" w:rsidRDefault="00090161" w:rsidP="00090161">
            <w:pPr>
              <w:spacing w:line="240" w:lineRule="auto"/>
              <w:rPr>
                <w:rFonts w:eastAsia="Times New Roman" w:cs="Arial"/>
              </w:rPr>
            </w:pPr>
            <w:r w:rsidRPr="00090161">
              <w:rPr>
                <w:szCs w:val="42"/>
              </w:rPr>
              <w:t>0.64 до 0.87</w:t>
            </w:r>
          </w:p>
        </w:tc>
      </w:tr>
      <w:tr w:rsidR="00090161" w14:paraId="03B7C1AA" w14:textId="77777777" w:rsidTr="004235C7">
        <w:tc>
          <w:tcPr>
            <w:tcW w:w="2477" w:type="dxa"/>
          </w:tcPr>
          <w:p w14:paraId="4DD89565" w14:textId="4D3A61A6" w:rsidR="00090161" w:rsidRPr="00090161" w:rsidRDefault="00090161" w:rsidP="00090161">
            <w:pPr>
              <w:spacing w:line="240" w:lineRule="auto"/>
              <w:rPr>
                <w:rFonts w:eastAsia="Times New Roman" w:cs="Arial"/>
              </w:rPr>
            </w:pPr>
            <w:r w:rsidRPr="00090161">
              <w:rPr>
                <w:szCs w:val="42"/>
              </w:rPr>
              <w:t>Вероятност резултатите да са случайни</w:t>
            </w:r>
          </w:p>
        </w:tc>
        <w:tc>
          <w:tcPr>
            <w:tcW w:w="3549" w:type="dxa"/>
            <w:gridSpan w:val="2"/>
          </w:tcPr>
          <w:p w14:paraId="4CA1F1FD" w14:textId="53C10E5F" w:rsidR="00090161" w:rsidRPr="00090161" w:rsidRDefault="00090161" w:rsidP="00090161">
            <w:pPr>
              <w:spacing w:line="240" w:lineRule="auto"/>
              <w:rPr>
                <w:rFonts w:eastAsia="Times New Roman" w:cs="Arial"/>
              </w:rPr>
            </w:pPr>
            <w:r w:rsidRPr="00090161">
              <w:rPr>
                <w:szCs w:val="42"/>
              </w:rPr>
              <w:t>0.0005</w:t>
            </w:r>
          </w:p>
        </w:tc>
        <w:tc>
          <w:tcPr>
            <w:tcW w:w="3550" w:type="dxa"/>
            <w:gridSpan w:val="2"/>
          </w:tcPr>
          <w:p w14:paraId="12207F13" w14:textId="30513006" w:rsidR="00090161" w:rsidRPr="00090161" w:rsidRDefault="00090161" w:rsidP="00090161">
            <w:pPr>
              <w:spacing w:line="240" w:lineRule="auto"/>
              <w:rPr>
                <w:rFonts w:eastAsia="Times New Roman" w:cs="Arial"/>
              </w:rPr>
            </w:pPr>
            <w:r w:rsidRPr="00090161">
              <w:rPr>
                <w:szCs w:val="42"/>
              </w:rPr>
              <w:t>0.0002</w:t>
            </w:r>
          </w:p>
        </w:tc>
      </w:tr>
      <w:tr w:rsidR="00C5048B" w14:paraId="006E1E69" w14:textId="77777777" w:rsidTr="00090161">
        <w:tc>
          <w:tcPr>
            <w:tcW w:w="2477" w:type="dxa"/>
          </w:tcPr>
          <w:p w14:paraId="3B8D4E5B" w14:textId="7FEDDA11" w:rsidR="00090161" w:rsidRPr="00090161" w:rsidRDefault="00090161" w:rsidP="00090161">
            <w:pPr>
              <w:spacing w:line="240" w:lineRule="auto"/>
              <w:rPr>
                <w:rFonts w:eastAsia="Times New Roman" w:cs="Arial"/>
              </w:rPr>
            </w:pPr>
            <w:r w:rsidRPr="00090161">
              <w:rPr>
                <w:b/>
                <w:bCs/>
                <w:szCs w:val="42"/>
              </w:rPr>
              <w:t>Време до далечна метастаза</w:t>
            </w:r>
            <w:r w:rsidRPr="00090161">
              <w:rPr>
                <w:b/>
                <w:bCs/>
                <w:szCs w:val="42"/>
                <w:vertAlign w:val="superscript"/>
              </w:rPr>
              <w:t>4</w:t>
            </w:r>
          </w:p>
        </w:tc>
        <w:tc>
          <w:tcPr>
            <w:tcW w:w="1774" w:type="dxa"/>
          </w:tcPr>
          <w:p w14:paraId="3703CA5B" w14:textId="62D3C3FF" w:rsidR="00090161" w:rsidRPr="00090161" w:rsidRDefault="00090161" w:rsidP="00090161">
            <w:pPr>
              <w:spacing w:line="240" w:lineRule="auto"/>
              <w:rPr>
                <w:rFonts w:eastAsia="Times New Roman" w:cs="Arial"/>
              </w:rPr>
            </w:pPr>
            <w:r w:rsidRPr="00090161">
              <w:rPr>
                <w:szCs w:val="42"/>
              </w:rPr>
              <w:t>324(10.4)</w:t>
            </w:r>
          </w:p>
        </w:tc>
        <w:tc>
          <w:tcPr>
            <w:tcW w:w="1775" w:type="dxa"/>
          </w:tcPr>
          <w:p w14:paraId="2776E1F9" w14:textId="7112F75C" w:rsidR="00090161" w:rsidRPr="00090161" w:rsidRDefault="00090161" w:rsidP="00090161">
            <w:pPr>
              <w:spacing w:line="240" w:lineRule="auto"/>
              <w:rPr>
                <w:rFonts w:eastAsia="Times New Roman" w:cs="Arial"/>
              </w:rPr>
            </w:pPr>
            <w:r w:rsidRPr="00090161">
              <w:rPr>
                <w:szCs w:val="42"/>
              </w:rPr>
              <w:t>375(12.0)</w:t>
            </w:r>
          </w:p>
        </w:tc>
        <w:tc>
          <w:tcPr>
            <w:tcW w:w="1775" w:type="dxa"/>
          </w:tcPr>
          <w:p w14:paraId="16C7C9ED" w14:textId="7FA86992" w:rsidR="00090161" w:rsidRPr="00090161" w:rsidRDefault="00090161" w:rsidP="00090161">
            <w:pPr>
              <w:spacing w:line="240" w:lineRule="auto"/>
              <w:rPr>
                <w:rFonts w:eastAsia="Times New Roman" w:cs="Arial"/>
              </w:rPr>
            </w:pPr>
            <w:r w:rsidRPr="00090161">
              <w:rPr>
                <w:szCs w:val="42"/>
              </w:rPr>
              <w:t>226 (8.6)</w:t>
            </w:r>
          </w:p>
        </w:tc>
        <w:tc>
          <w:tcPr>
            <w:tcW w:w="1775" w:type="dxa"/>
          </w:tcPr>
          <w:p w14:paraId="099A52FB" w14:textId="7AE70EA1" w:rsidR="00090161" w:rsidRPr="00090161" w:rsidRDefault="00090161" w:rsidP="00090161">
            <w:pPr>
              <w:spacing w:line="240" w:lineRule="auto"/>
              <w:rPr>
                <w:rFonts w:eastAsia="Times New Roman" w:cs="Arial"/>
              </w:rPr>
            </w:pPr>
            <w:r w:rsidRPr="00090161">
              <w:rPr>
                <w:szCs w:val="42"/>
              </w:rPr>
              <w:t>265(10.2)</w:t>
            </w:r>
          </w:p>
        </w:tc>
      </w:tr>
      <w:tr w:rsidR="00090161" w14:paraId="765B0188" w14:textId="77777777" w:rsidTr="004235C7">
        <w:tc>
          <w:tcPr>
            <w:tcW w:w="2477" w:type="dxa"/>
          </w:tcPr>
          <w:p w14:paraId="1B91509A" w14:textId="37456023" w:rsidR="00090161" w:rsidRPr="00C5048B" w:rsidRDefault="00090161" w:rsidP="00090161">
            <w:pPr>
              <w:spacing w:line="240" w:lineRule="auto"/>
              <w:rPr>
                <w:rFonts w:eastAsia="Times New Roman" w:cs="Arial"/>
              </w:rPr>
            </w:pPr>
            <w:r w:rsidRPr="00C5048B">
              <w:rPr>
                <w:szCs w:val="42"/>
              </w:rPr>
              <w:t>Коефициент на риск</w:t>
            </w:r>
          </w:p>
        </w:tc>
        <w:tc>
          <w:tcPr>
            <w:tcW w:w="3549" w:type="dxa"/>
            <w:gridSpan w:val="2"/>
          </w:tcPr>
          <w:p w14:paraId="675A7E8A" w14:textId="7B85E6DE" w:rsidR="00090161" w:rsidRPr="00C5048B" w:rsidRDefault="00090161" w:rsidP="00090161">
            <w:pPr>
              <w:spacing w:line="240" w:lineRule="auto"/>
              <w:rPr>
                <w:rFonts w:eastAsia="Times New Roman" w:cs="Arial"/>
              </w:rPr>
            </w:pPr>
            <w:r w:rsidRPr="00C5048B">
              <w:rPr>
                <w:szCs w:val="42"/>
              </w:rPr>
              <w:t>0.86</w:t>
            </w:r>
          </w:p>
        </w:tc>
        <w:tc>
          <w:tcPr>
            <w:tcW w:w="3550" w:type="dxa"/>
            <w:gridSpan w:val="2"/>
          </w:tcPr>
          <w:p w14:paraId="69EE4F09" w14:textId="5AF6CFC7" w:rsidR="00090161" w:rsidRPr="00C5048B" w:rsidRDefault="00090161" w:rsidP="00090161">
            <w:pPr>
              <w:spacing w:line="240" w:lineRule="auto"/>
              <w:rPr>
                <w:rFonts w:eastAsia="Times New Roman" w:cs="Arial"/>
              </w:rPr>
            </w:pPr>
            <w:r w:rsidRPr="00C5048B">
              <w:rPr>
                <w:szCs w:val="42"/>
              </w:rPr>
              <w:t>0.84</w:t>
            </w:r>
          </w:p>
        </w:tc>
      </w:tr>
      <w:tr w:rsidR="00090161" w14:paraId="69E0F982" w14:textId="77777777" w:rsidTr="004235C7">
        <w:tc>
          <w:tcPr>
            <w:tcW w:w="2477" w:type="dxa"/>
          </w:tcPr>
          <w:p w14:paraId="1C56A283" w14:textId="498DEC52" w:rsidR="00090161" w:rsidRPr="00C5048B" w:rsidRDefault="00090161" w:rsidP="00090161">
            <w:pPr>
              <w:spacing w:line="240" w:lineRule="auto"/>
              <w:rPr>
                <w:rFonts w:eastAsia="Times New Roman" w:cs="Arial"/>
              </w:rPr>
            </w:pPr>
            <w:r w:rsidRPr="00C5048B">
              <w:rPr>
                <w:szCs w:val="42"/>
              </w:rPr>
              <w:t>Двустранен 9 5 % доверителен интервал</w:t>
            </w:r>
          </w:p>
        </w:tc>
        <w:tc>
          <w:tcPr>
            <w:tcW w:w="3549" w:type="dxa"/>
            <w:gridSpan w:val="2"/>
          </w:tcPr>
          <w:p w14:paraId="59E8445C" w14:textId="64AFD643" w:rsidR="00090161" w:rsidRPr="00C5048B" w:rsidRDefault="00090161" w:rsidP="00090161">
            <w:pPr>
              <w:spacing w:line="240" w:lineRule="auto"/>
              <w:rPr>
                <w:rFonts w:eastAsia="Times New Roman" w:cs="Arial"/>
              </w:rPr>
            </w:pPr>
            <w:r w:rsidRPr="00C5048B">
              <w:rPr>
                <w:szCs w:val="42"/>
              </w:rPr>
              <w:t>0.74 до 0.99</w:t>
            </w:r>
          </w:p>
        </w:tc>
        <w:tc>
          <w:tcPr>
            <w:tcW w:w="3550" w:type="dxa"/>
            <w:gridSpan w:val="2"/>
          </w:tcPr>
          <w:p w14:paraId="35BB34AF" w14:textId="48BBA553" w:rsidR="00090161" w:rsidRPr="00C5048B" w:rsidRDefault="00090161" w:rsidP="00090161">
            <w:pPr>
              <w:spacing w:line="240" w:lineRule="auto"/>
              <w:rPr>
                <w:rFonts w:eastAsia="Times New Roman" w:cs="Arial"/>
              </w:rPr>
            </w:pPr>
            <w:r w:rsidRPr="00C5048B">
              <w:rPr>
                <w:szCs w:val="42"/>
              </w:rPr>
              <w:t>0.70 да 1.00</w:t>
            </w:r>
          </w:p>
        </w:tc>
      </w:tr>
      <w:tr w:rsidR="00090161" w14:paraId="4774A620" w14:textId="77777777" w:rsidTr="004235C7">
        <w:tc>
          <w:tcPr>
            <w:tcW w:w="2477" w:type="dxa"/>
          </w:tcPr>
          <w:p w14:paraId="76D0EB8E" w14:textId="61C24AF3" w:rsidR="00090161" w:rsidRPr="00C5048B" w:rsidRDefault="00090161" w:rsidP="00090161">
            <w:pPr>
              <w:spacing w:line="240" w:lineRule="auto"/>
              <w:rPr>
                <w:rFonts w:eastAsia="Times New Roman" w:cs="Arial"/>
              </w:rPr>
            </w:pPr>
            <w:r w:rsidRPr="00C5048B">
              <w:rPr>
                <w:szCs w:val="42"/>
              </w:rPr>
              <w:t>Вероятност резултатите да са случайни</w:t>
            </w:r>
          </w:p>
        </w:tc>
        <w:tc>
          <w:tcPr>
            <w:tcW w:w="3549" w:type="dxa"/>
            <w:gridSpan w:val="2"/>
          </w:tcPr>
          <w:p w14:paraId="6993A66C" w14:textId="75C23865" w:rsidR="00090161" w:rsidRPr="00C5048B" w:rsidRDefault="00090161" w:rsidP="00090161">
            <w:pPr>
              <w:spacing w:line="240" w:lineRule="auto"/>
              <w:rPr>
                <w:rFonts w:eastAsia="Times New Roman" w:cs="Arial"/>
              </w:rPr>
            </w:pPr>
            <w:r w:rsidRPr="00C5048B">
              <w:rPr>
                <w:szCs w:val="42"/>
              </w:rPr>
              <w:t>0.0427</w:t>
            </w:r>
          </w:p>
        </w:tc>
        <w:tc>
          <w:tcPr>
            <w:tcW w:w="3550" w:type="dxa"/>
            <w:gridSpan w:val="2"/>
          </w:tcPr>
          <w:p w14:paraId="05D4956A" w14:textId="36FA7F04" w:rsidR="00090161" w:rsidRPr="00C5048B" w:rsidRDefault="00090161" w:rsidP="00090161">
            <w:pPr>
              <w:spacing w:line="240" w:lineRule="auto"/>
              <w:rPr>
                <w:rFonts w:eastAsia="Times New Roman" w:cs="Arial"/>
              </w:rPr>
            </w:pPr>
            <w:r w:rsidRPr="00C5048B">
              <w:rPr>
                <w:szCs w:val="42"/>
              </w:rPr>
              <w:t>0.0559</w:t>
            </w:r>
          </w:p>
        </w:tc>
      </w:tr>
      <w:tr w:rsidR="00C5048B" w14:paraId="2E94C41A" w14:textId="77777777" w:rsidTr="00090161">
        <w:tc>
          <w:tcPr>
            <w:tcW w:w="2477" w:type="dxa"/>
          </w:tcPr>
          <w:p w14:paraId="6115F051" w14:textId="462B393D" w:rsidR="00C5048B" w:rsidRPr="00C5048B" w:rsidRDefault="00C5048B" w:rsidP="00C5048B">
            <w:pPr>
              <w:spacing w:line="240" w:lineRule="auto"/>
              <w:rPr>
                <w:rFonts w:eastAsia="Times New Roman" w:cs="Arial"/>
              </w:rPr>
            </w:pPr>
            <w:r w:rsidRPr="00C5048B">
              <w:rPr>
                <w:b/>
                <w:bCs/>
                <w:szCs w:val="42"/>
              </w:rPr>
              <w:t>Контралатерален рак</w:t>
            </w:r>
          </w:p>
        </w:tc>
        <w:tc>
          <w:tcPr>
            <w:tcW w:w="1774" w:type="dxa"/>
          </w:tcPr>
          <w:p w14:paraId="21B13356" w14:textId="033FA572" w:rsidR="00C5048B" w:rsidRPr="00C5048B" w:rsidRDefault="00C5048B" w:rsidP="00C5048B">
            <w:pPr>
              <w:spacing w:line="240" w:lineRule="auto"/>
              <w:rPr>
                <w:rFonts w:eastAsia="Times New Roman" w:cs="Arial"/>
              </w:rPr>
            </w:pPr>
            <w:r w:rsidRPr="00C5048B">
              <w:rPr>
                <w:szCs w:val="42"/>
              </w:rPr>
              <w:t>35(1.1)</w:t>
            </w:r>
          </w:p>
        </w:tc>
        <w:tc>
          <w:tcPr>
            <w:tcW w:w="1775" w:type="dxa"/>
          </w:tcPr>
          <w:p w14:paraId="260B30E7" w14:textId="3BBAA715" w:rsidR="00C5048B" w:rsidRPr="00C5048B" w:rsidRDefault="00C5048B" w:rsidP="00C5048B">
            <w:pPr>
              <w:spacing w:line="240" w:lineRule="auto"/>
              <w:rPr>
                <w:rFonts w:eastAsia="Times New Roman" w:cs="Arial"/>
              </w:rPr>
            </w:pPr>
            <w:r w:rsidRPr="00C5048B">
              <w:rPr>
                <w:szCs w:val="42"/>
              </w:rPr>
              <w:t>59(1.9)</w:t>
            </w:r>
          </w:p>
        </w:tc>
        <w:tc>
          <w:tcPr>
            <w:tcW w:w="1775" w:type="dxa"/>
          </w:tcPr>
          <w:p w14:paraId="165FCC69" w14:textId="02A8B1F8" w:rsidR="00C5048B" w:rsidRPr="00C5048B" w:rsidRDefault="00C5048B" w:rsidP="00C5048B">
            <w:pPr>
              <w:spacing w:line="240" w:lineRule="auto"/>
              <w:rPr>
                <w:rFonts w:eastAsia="Times New Roman" w:cs="Arial"/>
              </w:rPr>
            </w:pPr>
            <w:r w:rsidRPr="00C5048B">
              <w:rPr>
                <w:szCs w:val="42"/>
              </w:rPr>
              <w:t>26(1.0)</w:t>
            </w:r>
          </w:p>
        </w:tc>
        <w:tc>
          <w:tcPr>
            <w:tcW w:w="1775" w:type="dxa"/>
          </w:tcPr>
          <w:p w14:paraId="74319E59" w14:textId="1CC01957" w:rsidR="00C5048B" w:rsidRPr="00C5048B" w:rsidRDefault="00C5048B" w:rsidP="00C5048B">
            <w:pPr>
              <w:spacing w:line="240" w:lineRule="auto"/>
              <w:rPr>
                <w:rFonts w:eastAsia="Times New Roman" w:cs="Arial"/>
              </w:rPr>
            </w:pPr>
            <w:r w:rsidRPr="00C5048B">
              <w:rPr>
                <w:szCs w:val="42"/>
              </w:rPr>
              <w:t>54(2.1)</w:t>
            </w:r>
          </w:p>
        </w:tc>
      </w:tr>
      <w:tr w:rsidR="00C5048B" w14:paraId="3FE5913A" w14:textId="77777777" w:rsidTr="004235C7">
        <w:tc>
          <w:tcPr>
            <w:tcW w:w="2477" w:type="dxa"/>
          </w:tcPr>
          <w:p w14:paraId="1C33F862" w14:textId="08E3FB93" w:rsidR="00C5048B" w:rsidRPr="00C5048B" w:rsidRDefault="00C5048B" w:rsidP="00C5048B">
            <w:pPr>
              <w:spacing w:line="240" w:lineRule="auto"/>
              <w:rPr>
                <w:rFonts w:eastAsia="Times New Roman" w:cs="Arial"/>
              </w:rPr>
            </w:pPr>
            <w:r w:rsidRPr="00C5048B">
              <w:rPr>
                <w:szCs w:val="42"/>
              </w:rPr>
              <w:t>Коефициент на риск</w:t>
            </w:r>
          </w:p>
        </w:tc>
        <w:tc>
          <w:tcPr>
            <w:tcW w:w="3549" w:type="dxa"/>
            <w:gridSpan w:val="2"/>
          </w:tcPr>
          <w:p w14:paraId="106696C2" w14:textId="2D36DC8B" w:rsidR="00C5048B" w:rsidRPr="00C5048B" w:rsidRDefault="00C5048B" w:rsidP="00C5048B">
            <w:pPr>
              <w:spacing w:line="240" w:lineRule="auto"/>
              <w:rPr>
                <w:rFonts w:eastAsia="Times New Roman" w:cs="Arial"/>
              </w:rPr>
            </w:pPr>
            <w:r w:rsidRPr="00C5048B">
              <w:rPr>
                <w:szCs w:val="42"/>
              </w:rPr>
              <w:t>0.59</w:t>
            </w:r>
          </w:p>
        </w:tc>
        <w:tc>
          <w:tcPr>
            <w:tcW w:w="3550" w:type="dxa"/>
            <w:gridSpan w:val="2"/>
          </w:tcPr>
          <w:p w14:paraId="35F98163" w14:textId="2CB7856E" w:rsidR="00C5048B" w:rsidRPr="00C5048B" w:rsidRDefault="00C5048B" w:rsidP="00C5048B">
            <w:pPr>
              <w:spacing w:line="240" w:lineRule="auto"/>
              <w:rPr>
                <w:rFonts w:eastAsia="Times New Roman" w:cs="Arial"/>
              </w:rPr>
            </w:pPr>
            <w:r w:rsidRPr="00C5048B">
              <w:rPr>
                <w:szCs w:val="42"/>
              </w:rPr>
              <w:t>0.47</w:t>
            </w:r>
          </w:p>
        </w:tc>
      </w:tr>
      <w:tr w:rsidR="00C5048B" w14:paraId="06B9DB85" w14:textId="77777777" w:rsidTr="004235C7">
        <w:tc>
          <w:tcPr>
            <w:tcW w:w="2477" w:type="dxa"/>
          </w:tcPr>
          <w:p w14:paraId="650124E0" w14:textId="1786AB00" w:rsidR="00C5048B" w:rsidRPr="00C5048B" w:rsidRDefault="00C5048B" w:rsidP="00C5048B">
            <w:pPr>
              <w:spacing w:line="240" w:lineRule="auto"/>
              <w:rPr>
                <w:rFonts w:eastAsia="Times New Roman" w:cs="Arial"/>
              </w:rPr>
            </w:pPr>
            <w:r w:rsidRPr="00C5048B">
              <w:rPr>
                <w:szCs w:val="42"/>
              </w:rPr>
              <w:t>Двустранен 95% доверителен интервал</w:t>
            </w:r>
          </w:p>
        </w:tc>
        <w:tc>
          <w:tcPr>
            <w:tcW w:w="3549" w:type="dxa"/>
            <w:gridSpan w:val="2"/>
          </w:tcPr>
          <w:p w14:paraId="640A6796" w14:textId="245AD0E7" w:rsidR="00C5048B" w:rsidRPr="00C5048B" w:rsidRDefault="00C5048B" w:rsidP="00C5048B">
            <w:pPr>
              <w:spacing w:line="240" w:lineRule="auto"/>
              <w:rPr>
                <w:rFonts w:eastAsia="Times New Roman" w:cs="Arial"/>
              </w:rPr>
            </w:pPr>
            <w:r w:rsidRPr="00C5048B">
              <w:rPr>
                <w:szCs w:val="42"/>
              </w:rPr>
              <w:t>0.39 до 0.89</w:t>
            </w:r>
          </w:p>
        </w:tc>
        <w:tc>
          <w:tcPr>
            <w:tcW w:w="3550" w:type="dxa"/>
            <w:gridSpan w:val="2"/>
          </w:tcPr>
          <w:p w14:paraId="49DEE311" w14:textId="4B0D06B5" w:rsidR="00C5048B" w:rsidRPr="00C5048B" w:rsidRDefault="00C5048B" w:rsidP="00C5048B">
            <w:pPr>
              <w:spacing w:line="240" w:lineRule="auto"/>
              <w:rPr>
                <w:rFonts w:eastAsia="Times New Roman" w:cs="Arial"/>
              </w:rPr>
            </w:pPr>
            <w:r w:rsidRPr="00C5048B">
              <w:rPr>
                <w:szCs w:val="42"/>
              </w:rPr>
              <w:t>0.30 до 0.76</w:t>
            </w:r>
          </w:p>
        </w:tc>
      </w:tr>
      <w:tr w:rsidR="00C5048B" w14:paraId="3D01DA8C" w14:textId="77777777" w:rsidTr="004235C7">
        <w:tc>
          <w:tcPr>
            <w:tcW w:w="2477" w:type="dxa"/>
          </w:tcPr>
          <w:p w14:paraId="232736B7" w14:textId="4DC730F5" w:rsidR="00C5048B" w:rsidRPr="00C5048B" w:rsidRDefault="00C5048B" w:rsidP="00C5048B">
            <w:pPr>
              <w:spacing w:line="240" w:lineRule="auto"/>
              <w:rPr>
                <w:rFonts w:eastAsia="Times New Roman" w:cs="Arial"/>
              </w:rPr>
            </w:pPr>
            <w:r w:rsidRPr="00C5048B">
              <w:rPr>
                <w:szCs w:val="42"/>
              </w:rPr>
              <w:lastRenderedPageBreak/>
              <w:t>Вероятност резултатите да са случайни</w:t>
            </w:r>
          </w:p>
        </w:tc>
        <w:tc>
          <w:tcPr>
            <w:tcW w:w="3549" w:type="dxa"/>
            <w:gridSpan w:val="2"/>
          </w:tcPr>
          <w:p w14:paraId="44CF689F" w14:textId="6DAE13B9" w:rsidR="00C5048B" w:rsidRPr="00C5048B" w:rsidRDefault="00C5048B" w:rsidP="00C5048B">
            <w:pPr>
              <w:spacing w:line="240" w:lineRule="auto"/>
              <w:rPr>
                <w:rFonts w:eastAsia="Times New Roman" w:cs="Arial"/>
              </w:rPr>
            </w:pPr>
            <w:r w:rsidRPr="00C5048B">
              <w:rPr>
                <w:szCs w:val="42"/>
              </w:rPr>
              <w:t>0.0131</w:t>
            </w:r>
          </w:p>
        </w:tc>
        <w:tc>
          <w:tcPr>
            <w:tcW w:w="3550" w:type="dxa"/>
            <w:gridSpan w:val="2"/>
          </w:tcPr>
          <w:p w14:paraId="2A774795" w14:textId="4A378F8D" w:rsidR="00C5048B" w:rsidRPr="00C5048B" w:rsidRDefault="00C5048B" w:rsidP="00C5048B">
            <w:pPr>
              <w:spacing w:line="240" w:lineRule="auto"/>
              <w:rPr>
                <w:rFonts w:eastAsia="Times New Roman" w:cs="Arial"/>
              </w:rPr>
            </w:pPr>
            <w:r w:rsidRPr="00C5048B">
              <w:rPr>
                <w:szCs w:val="42"/>
              </w:rPr>
              <w:t>0.0018</w:t>
            </w:r>
          </w:p>
        </w:tc>
      </w:tr>
      <w:tr w:rsidR="00C5048B" w14:paraId="013D19C2" w14:textId="77777777" w:rsidTr="00090161">
        <w:tc>
          <w:tcPr>
            <w:tcW w:w="2477" w:type="dxa"/>
          </w:tcPr>
          <w:p w14:paraId="0B2A0847" w14:textId="6F6FF711" w:rsidR="00C5048B" w:rsidRPr="00C5048B" w:rsidRDefault="00C5048B" w:rsidP="00C5048B">
            <w:pPr>
              <w:spacing w:line="240" w:lineRule="auto"/>
              <w:rPr>
                <w:rFonts w:eastAsia="Times New Roman" w:cs="Arial"/>
              </w:rPr>
            </w:pPr>
            <w:r w:rsidRPr="00C5048B">
              <w:rPr>
                <w:b/>
                <w:bCs/>
                <w:szCs w:val="42"/>
              </w:rPr>
              <w:t>Обща преживяемост</w:t>
            </w:r>
            <w:r w:rsidRPr="00C5048B">
              <w:rPr>
                <w:b/>
                <w:bCs/>
                <w:szCs w:val="42"/>
                <w:vertAlign w:val="superscript"/>
              </w:rPr>
              <w:t>5</w:t>
            </w:r>
          </w:p>
        </w:tc>
        <w:tc>
          <w:tcPr>
            <w:tcW w:w="1774" w:type="dxa"/>
          </w:tcPr>
          <w:p w14:paraId="668C2FFB" w14:textId="3566341F" w:rsidR="00C5048B" w:rsidRPr="00C5048B" w:rsidRDefault="00C5048B" w:rsidP="00C5048B">
            <w:pPr>
              <w:spacing w:line="240" w:lineRule="auto"/>
              <w:rPr>
                <w:rFonts w:eastAsia="Times New Roman" w:cs="Arial"/>
              </w:rPr>
            </w:pPr>
            <w:r w:rsidRPr="00C5048B">
              <w:rPr>
                <w:szCs w:val="42"/>
              </w:rPr>
              <w:t>411 (13.2)</w:t>
            </w:r>
          </w:p>
        </w:tc>
        <w:tc>
          <w:tcPr>
            <w:tcW w:w="1775" w:type="dxa"/>
          </w:tcPr>
          <w:p w14:paraId="2B19A61F" w14:textId="2CEA674C" w:rsidR="00C5048B" w:rsidRPr="00C5048B" w:rsidRDefault="00C5048B" w:rsidP="00C5048B">
            <w:pPr>
              <w:spacing w:line="240" w:lineRule="auto"/>
              <w:rPr>
                <w:rFonts w:eastAsia="Times New Roman" w:cs="Arial"/>
              </w:rPr>
            </w:pPr>
            <w:r w:rsidRPr="00C5048B">
              <w:rPr>
                <w:szCs w:val="42"/>
              </w:rPr>
              <w:t>420(13.5)</w:t>
            </w:r>
          </w:p>
        </w:tc>
        <w:tc>
          <w:tcPr>
            <w:tcW w:w="1775" w:type="dxa"/>
          </w:tcPr>
          <w:p w14:paraId="1206C95C" w14:textId="3789A6E0" w:rsidR="00C5048B" w:rsidRPr="00C5048B" w:rsidRDefault="00C5048B" w:rsidP="00C5048B">
            <w:pPr>
              <w:spacing w:line="240" w:lineRule="auto"/>
              <w:rPr>
                <w:rFonts w:eastAsia="Times New Roman" w:cs="Arial"/>
              </w:rPr>
            </w:pPr>
            <w:r w:rsidRPr="00C5048B">
              <w:rPr>
                <w:szCs w:val="42"/>
              </w:rPr>
              <w:t>296(11.3)</w:t>
            </w:r>
          </w:p>
        </w:tc>
        <w:tc>
          <w:tcPr>
            <w:tcW w:w="1775" w:type="dxa"/>
          </w:tcPr>
          <w:p w14:paraId="29677696" w14:textId="36D3B82A" w:rsidR="00C5048B" w:rsidRPr="00C5048B" w:rsidRDefault="00C5048B" w:rsidP="00C5048B">
            <w:pPr>
              <w:spacing w:line="240" w:lineRule="auto"/>
              <w:rPr>
                <w:rFonts w:eastAsia="Times New Roman" w:cs="Arial"/>
              </w:rPr>
            </w:pPr>
            <w:r w:rsidRPr="00C5048B">
              <w:rPr>
                <w:szCs w:val="42"/>
              </w:rPr>
              <w:t>301(11.6)</w:t>
            </w:r>
          </w:p>
        </w:tc>
      </w:tr>
      <w:tr w:rsidR="00C5048B" w14:paraId="3663B211" w14:textId="77777777" w:rsidTr="004235C7">
        <w:tc>
          <w:tcPr>
            <w:tcW w:w="2477" w:type="dxa"/>
          </w:tcPr>
          <w:p w14:paraId="2011E2F9" w14:textId="57C04FDC" w:rsidR="00C5048B" w:rsidRPr="00C5048B" w:rsidRDefault="00C5048B" w:rsidP="00C5048B">
            <w:pPr>
              <w:spacing w:line="240" w:lineRule="auto"/>
              <w:rPr>
                <w:rFonts w:eastAsia="Times New Roman" w:cs="Arial"/>
              </w:rPr>
            </w:pPr>
            <w:r w:rsidRPr="00C5048B">
              <w:rPr>
                <w:szCs w:val="42"/>
              </w:rPr>
              <w:t>Коефициент на риск</w:t>
            </w:r>
          </w:p>
        </w:tc>
        <w:tc>
          <w:tcPr>
            <w:tcW w:w="3549" w:type="dxa"/>
            <w:gridSpan w:val="2"/>
          </w:tcPr>
          <w:p w14:paraId="69F9E841" w14:textId="07C498C5" w:rsidR="00C5048B" w:rsidRPr="00C5048B" w:rsidRDefault="00C5048B" w:rsidP="00C5048B">
            <w:pPr>
              <w:spacing w:line="240" w:lineRule="auto"/>
              <w:rPr>
                <w:rFonts w:eastAsia="Times New Roman" w:cs="Arial"/>
              </w:rPr>
            </w:pPr>
            <w:r w:rsidRPr="00C5048B">
              <w:rPr>
                <w:szCs w:val="42"/>
              </w:rPr>
              <w:t>0.97</w:t>
            </w:r>
          </w:p>
        </w:tc>
        <w:tc>
          <w:tcPr>
            <w:tcW w:w="3550" w:type="dxa"/>
            <w:gridSpan w:val="2"/>
          </w:tcPr>
          <w:p w14:paraId="1AF14EAB" w14:textId="1C257BFC" w:rsidR="00C5048B" w:rsidRPr="00C5048B" w:rsidRDefault="00C5048B" w:rsidP="00C5048B">
            <w:pPr>
              <w:spacing w:line="240" w:lineRule="auto"/>
              <w:rPr>
                <w:rFonts w:eastAsia="Times New Roman" w:cs="Arial"/>
              </w:rPr>
            </w:pPr>
            <w:r w:rsidRPr="00C5048B">
              <w:rPr>
                <w:szCs w:val="42"/>
              </w:rPr>
              <w:t>0.97</w:t>
            </w:r>
          </w:p>
        </w:tc>
      </w:tr>
      <w:tr w:rsidR="00C5048B" w14:paraId="5200B9A4" w14:textId="77777777" w:rsidTr="004235C7">
        <w:tc>
          <w:tcPr>
            <w:tcW w:w="2477" w:type="dxa"/>
          </w:tcPr>
          <w:p w14:paraId="29B2F5A4" w14:textId="651231C9" w:rsidR="00C5048B" w:rsidRPr="00C5048B" w:rsidRDefault="00C5048B" w:rsidP="00C5048B">
            <w:pPr>
              <w:spacing w:line="240" w:lineRule="auto"/>
              <w:rPr>
                <w:rFonts w:eastAsia="Times New Roman" w:cs="Arial"/>
              </w:rPr>
            </w:pPr>
            <w:r w:rsidRPr="00C5048B">
              <w:rPr>
                <w:szCs w:val="42"/>
              </w:rPr>
              <w:t>Двустранен 95% доверителен интервал</w:t>
            </w:r>
          </w:p>
        </w:tc>
        <w:tc>
          <w:tcPr>
            <w:tcW w:w="3549" w:type="dxa"/>
            <w:gridSpan w:val="2"/>
          </w:tcPr>
          <w:p w14:paraId="2C697A81" w14:textId="060CD18D" w:rsidR="00C5048B" w:rsidRPr="00C5048B" w:rsidRDefault="00C5048B" w:rsidP="00C5048B">
            <w:pPr>
              <w:spacing w:line="240" w:lineRule="auto"/>
              <w:rPr>
                <w:rFonts w:eastAsia="Times New Roman" w:cs="Arial"/>
              </w:rPr>
            </w:pPr>
            <w:r w:rsidRPr="00C5048B">
              <w:rPr>
                <w:szCs w:val="42"/>
              </w:rPr>
              <w:t>0.85 до 1.12</w:t>
            </w:r>
          </w:p>
        </w:tc>
        <w:tc>
          <w:tcPr>
            <w:tcW w:w="3550" w:type="dxa"/>
            <w:gridSpan w:val="2"/>
          </w:tcPr>
          <w:p w14:paraId="7C4DDC13" w14:textId="34CFC66B" w:rsidR="00C5048B" w:rsidRPr="00C5048B" w:rsidRDefault="00C5048B" w:rsidP="00C5048B">
            <w:pPr>
              <w:spacing w:line="240" w:lineRule="auto"/>
              <w:rPr>
                <w:rFonts w:eastAsia="Times New Roman" w:cs="Arial"/>
              </w:rPr>
            </w:pPr>
            <w:r w:rsidRPr="00C5048B">
              <w:rPr>
                <w:szCs w:val="42"/>
              </w:rPr>
              <w:t>0.83 до 1.14</w:t>
            </w:r>
          </w:p>
        </w:tc>
      </w:tr>
      <w:tr w:rsidR="00C5048B" w14:paraId="7F1B031D" w14:textId="77777777" w:rsidTr="004235C7">
        <w:tc>
          <w:tcPr>
            <w:tcW w:w="2477" w:type="dxa"/>
          </w:tcPr>
          <w:p w14:paraId="00DEA26C" w14:textId="21FBD98E" w:rsidR="00C5048B" w:rsidRPr="00C5048B" w:rsidRDefault="00C5048B" w:rsidP="00C5048B">
            <w:pPr>
              <w:spacing w:line="240" w:lineRule="auto"/>
              <w:rPr>
                <w:rFonts w:eastAsia="Times New Roman" w:cs="Arial"/>
              </w:rPr>
            </w:pPr>
            <w:r w:rsidRPr="00C5048B">
              <w:rPr>
                <w:szCs w:val="42"/>
              </w:rPr>
              <w:t>Вероятност резултатите да са случайни</w:t>
            </w:r>
          </w:p>
        </w:tc>
        <w:tc>
          <w:tcPr>
            <w:tcW w:w="3549" w:type="dxa"/>
            <w:gridSpan w:val="2"/>
          </w:tcPr>
          <w:p w14:paraId="276011E3" w14:textId="55D5D887" w:rsidR="00C5048B" w:rsidRPr="00C5048B" w:rsidRDefault="00C5048B" w:rsidP="00C5048B">
            <w:pPr>
              <w:spacing w:line="240" w:lineRule="auto"/>
              <w:rPr>
                <w:rFonts w:eastAsia="Times New Roman" w:cs="Arial"/>
              </w:rPr>
            </w:pPr>
            <w:r w:rsidRPr="00C5048B">
              <w:rPr>
                <w:szCs w:val="42"/>
              </w:rPr>
              <w:t>0.7142</w:t>
            </w:r>
          </w:p>
        </w:tc>
        <w:tc>
          <w:tcPr>
            <w:tcW w:w="3550" w:type="dxa"/>
            <w:gridSpan w:val="2"/>
          </w:tcPr>
          <w:p w14:paraId="760D8101" w14:textId="07E098E0" w:rsidR="00C5048B" w:rsidRPr="00C5048B" w:rsidRDefault="00C5048B" w:rsidP="00C5048B">
            <w:pPr>
              <w:spacing w:line="240" w:lineRule="auto"/>
              <w:rPr>
                <w:rFonts w:eastAsia="Times New Roman" w:cs="Arial"/>
              </w:rPr>
            </w:pPr>
            <w:r w:rsidRPr="00C5048B">
              <w:rPr>
                <w:szCs w:val="42"/>
              </w:rPr>
              <w:t>0.7339</w:t>
            </w:r>
          </w:p>
        </w:tc>
      </w:tr>
    </w:tbl>
    <w:p w14:paraId="3A7A77A2" w14:textId="77777777" w:rsidR="00C5048B" w:rsidRDefault="00C5048B" w:rsidP="00C5048B">
      <w:pPr>
        <w:rPr>
          <w:lang w:eastAsia="bg-BG"/>
        </w:rPr>
      </w:pPr>
    </w:p>
    <w:p w14:paraId="702D609A" w14:textId="074C54F3" w:rsidR="00C5048B" w:rsidRPr="00C5048B" w:rsidRDefault="00C5048B" w:rsidP="00C5048B">
      <w:pPr>
        <w:rPr>
          <w:sz w:val="24"/>
          <w:szCs w:val="24"/>
        </w:rPr>
      </w:pPr>
      <w:r w:rsidRPr="00C5048B">
        <w:rPr>
          <w:vertAlign w:val="superscript"/>
          <w:lang w:val="ru-RU" w:eastAsia="bg-BG"/>
        </w:rPr>
        <w:t>1</w:t>
      </w:r>
      <w:r w:rsidRPr="00C5048B">
        <w:rPr>
          <w:lang w:eastAsia="bg-BG"/>
        </w:rPr>
        <w:t>Преживяемостга, свободна от заболяване включва всички рецидиви и се де</w:t>
      </w:r>
      <w:r w:rsidRPr="00C5048B">
        <w:rPr>
          <w:u w:val="single"/>
          <w:lang w:eastAsia="bg-BG"/>
        </w:rPr>
        <w:t>финира</w:t>
      </w:r>
      <w:r w:rsidRPr="00C5048B">
        <w:rPr>
          <w:lang w:eastAsia="bg-BG"/>
        </w:rPr>
        <w:t xml:space="preserve"> като първата поява на локо-регионален рецидив, контралатерален карцином, далечно метастаза или смърт (по каквато и да е причина).</w:t>
      </w:r>
    </w:p>
    <w:p w14:paraId="5B2B7337" w14:textId="77777777" w:rsidR="00F0619F" w:rsidRPr="00F0619F" w:rsidRDefault="00C5048B" w:rsidP="00F0619F">
      <w:pPr>
        <w:rPr>
          <w:rFonts w:eastAsia="Times New Roman" w:cs="Arial"/>
          <w:sz w:val="12"/>
          <w:szCs w:val="24"/>
        </w:rPr>
      </w:pPr>
      <w:r w:rsidRPr="00C5048B">
        <w:rPr>
          <w:vertAlign w:val="superscript"/>
          <w:lang w:val="ru-RU" w:eastAsia="bg-BG"/>
        </w:rPr>
        <w:t>2</w:t>
      </w:r>
      <w:r w:rsidRPr="00C5048B">
        <w:rPr>
          <w:lang w:eastAsia="bg-BG"/>
        </w:rPr>
        <w:t>Преживяемост без метастази се дефинира като първата поява на далечна метастаза или смърт</w:t>
      </w:r>
      <w:r w:rsidR="00F0619F" w:rsidRPr="00F0619F">
        <w:rPr>
          <w:lang w:val="ru-RU" w:eastAsia="bg-BG"/>
        </w:rPr>
        <w:t xml:space="preserve"> </w:t>
      </w:r>
      <w:r w:rsidR="00F0619F" w:rsidRPr="00F0619F">
        <w:rPr>
          <w:rFonts w:eastAsia="Times New Roman" w:cs="Arial"/>
          <w:color w:val="000000"/>
          <w:szCs w:val="42"/>
          <w:lang w:eastAsia="bg-BG"/>
        </w:rPr>
        <w:t>(по каквато и да е причина).</w:t>
      </w:r>
    </w:p>
    <w:p w14:paraId="3960ADFF" w14:textId="77777777" w:rsidR="00F0619F" w:rsidRDefault="00F0619F" w:rsidP="00F0619F">
      <w:pPr>
        <w:spacing w:line="240" w:lineRule="auto"/>
        <w:rPr>
          <w:rFonts w:eastAsia="Times New Roman" w:cs="Arial"/>
          <w:color w:val="000000"/>
          <w:szCs w:val="42"/>
          <w:lang w:eastAsia="bg-BG"/>
        </w:rPr>
      </w:pPr>
      <w:r w:rsidRPr="00F0619F">
        <w:rPr>
          <w:rFonts w:eastAsia="Times New Roman" w:cs="Arial"/>
          <w:color w:val="000000"/>
          <w:szCs w:val="42"/>
          <w:vertAlign w:val="superscript"/>
          <w:lang w:val="ru-RU" w:eastAsia="bg-BG"/>
        </w:rPr>
        <w:t>3</w:t>
      </w:r>
      <w:r w:rsidRPr="00F0619F">
        <w:rPr>
          <w:rFonts w:eastAsia="Times New Roman" w:cs="Arial"/>
          <w:color w:val="000000"/>
          <w:szCs w:val="42"/>
          <w:lang w:eastAsia="bg-BG"/>
        </w:rPr>
        <w:t xml:space="preserve">Времето </w:t>
      </w:r>
      <w:proofErr w:type="gramStart"/>
      <w:r w:rsidRPr="00F0619F">
        <w:rPr>
          <w:rFonts w:eastAsia="Times New Roman" w:cs="Arial"/>
          <w:color w:val="000000"/>
          <w:szCs w:val="42"/>
          <w:lang w:eastAsia="bg-BG"/>
        </w:rPr>
        <w:t>до рецидив</w:t>
      </w:r>
      <w:proofErr w:type="gramEnd"/>
      <w:r w:rsidRPr="00F0619F">
        <w:rPr>
          <w:rFonts w:eastAsia="Times New Roman" w:cs="Arial"/>
          <w:color w:val="000000"/>
          <w:szCs w:val="42"/>
          <w:lang w:eastAsia="bg-BG"/>
        </w:rPr>
        <w:t xml:space="preserve"> се дефинира като първата поява на локо-регионален рецидив, контралатерален карцином, далечна метастаза или смърт поради карцином на гърдата.</w:t>
      </w:r>
    </w:p>
    <w:p w14:paraId="0CC7A77C" w14:textId="4CFFEF18" w:rsidR="00F0619F" w:rsidRPr="00F0619F" w:rsidRDefault="00F0619F" w:rsidP="00F0619F">
      <w:pPr>
        <w:spacing w:line="240" w:lineRule="auto"/>
        <w:rPr>
          <w:rFonts w:eastAsia="Times New Roman" w:cs="Arial"/>
          <w:color w:val="000000"/>
          <w:szCs w:val="42"/>
          <w:lang w:eastAsia="bg-BG"/>
        </w:rPr>
      </w:pPr>
      <w:r w:rsidRPr="00F0619F">
        <w:rPr>
          <w:rFonts w:eastAsia="Times New Roman" w:cs="Arial"/>
          <w:color w:val="000000"/>
          <w:szCs w:val="42"/>
          <w:vertAlign w:val="superscript"/>
          <w:lang w:val="ru-RU" w:eastAsia="bg-BG"/>
        </w:rPr>
        <w:t>4</w:t>
      </w:r>
      <w:r w:rsidRPr="00F0619F">
        <w:rPr>
          <w:rFonts w:eastAsia="Times New Roman" w:cs="Arial"/>
          <w:color w:val="000000"/>
          <w:szCs w:val="42"/>
          <w:lang w:eastAsia="bg-BG"/>
        </w:rPr>
        <w:t>Времето до далечна метастаза се дефинира като първата поява на далечна метастаза или смърт поради карцином на гърдата.</w:t>
      </w:r>
    </w:p>
    <w:p w14:paraId="62710188" w14:textId="769E4CEE" w:rsidR="00F0619F" w:rsidRPr="00F0619F" w:rsidRDefault="00F0619F" w:rsidP="00F0619F">
      <w:pPr>
        <w:spacing w:line="240" w:lineRule="auto"/>
        <w:rPr>
          <w:rFonts w:eastAsia="Times New Roman" w:cs="Arial"/>
          <w:sz w:val="12"/>
          <w:szCs w:val="24"/>
        </w:rPr>
      </w:pPr>
      <w:r>
        <w:rPr>
          <w:rFonts w:eastAsia="Times New Roman" w:cs="Arial"/>
          <w:color w:val="000000"/>
          <w:szCs w:val="42"/>
          <w:vertAlign w:val="superscript"/>
          <w:lang w:eastAsia="bg-BG"/>
        </w:rPr>
        <w:t>5</w:t>
      </w:r>
      <w:r w:rsidRPr="00F0619F">
        <w:rPr>
          <w:rFonts w:eastAsia="Times New Roman" w:cs="Arial"/>
          <w:color w:val="000000"/>
          <w:szCs w:val="42"/>
          <w:lang w:eastAsia="bg-BG"/>
        </w:rPr>
        <w:t>Брой пациенти (%), които са починали.</w:t>
      </w:r>
    </w:p>
    <w:p w14:paraId="6892A3A5" w14:textId="77777777" w:rsidR="00F0619F" w:rsidRDefault="00F0619F" w:rsidP="00F0619F">
      <w:pPr>
        <w:spacing w:line="240" w:lineRule="auto"/>
        <w:rPr>
          <w:rFonts w:eastAsia="Times New Roman" w:cs="Arial"/>
          <w:color w:val="000000"/>
          <w:szCs w:val="42"/>
          <w:lang w:eastAsia="bg-BG"/>
        </w:rPr>
      </w:pPr>
    </w:p>
    <w:p w14:paraId="2454B52B" w14:textId="31FA40BF" w:rsidR="00F0619F" w:rsidRPr="00F0619F" w:rsidRDefault="00F0619F" w:rsidP="00F0619F">
      <w:pPr>
        <w:spacing w:line="240" w:lineRule="auto"/>
        <w:rPr>
          <w:rFonts w:eastAsia="Times New Roman" w:cs="Arial"/>
          <w:sz w:val="12"/>
          <w:szCs w:val="24"/>
        </w:rPr>
      </w:pPr>
      <w:r w:rsidRPr="00F0619F">
        <w:rPr>
          <w:rFonts w:eastAsia="Times New Roman" w:cs="Arial"/>
          <w:color w:val="000000"/>
          <w:szCs w:val="42"/>
          <w:lang w:eastAsia="bg-BG"/>
        </w:rPr>
        <w:t>Ефикасността и безопасността от комбинацията анастрозол и тамоксифен са подобни на тези, наблюдавани при монотерапия с тамоксифен, както в общата група, така и в популацията с чувствителни хормонални рецептори. По време на проучването лечението в това рамо е прекратено.</w:t>
      </w:r>
    </w:p>
    <w:p w14:paraId="08D6ACE8" w14:textId="77777777" w:rsidR="00F0619F" w:rsidRDefault="00F0619F" w:rsidP="00F0619F">
      <w:pPr>
        <w:spacing w:line="240" w:lineRule="auto"/>
        <w:rPr>
          <w:rFonts w:eastAsia="Times New Roman" w:cs="Arial"/>
          <w:color w:val="000000"/>
          <w:szCs w:val="42"/>
          <w:lang w:eastAsia="bg-BG"/>
        </w:rPr>
      </w:pPr>
    </w:p>
    <w:p w14:paraId="60B708A3" w14:textId="5C9CDCFD" w:rsidR="00F0619F" w:rsidRPr="00F0619F" w:rsidRDefault="00F0619F" w:rsidP="00F0619F">
      <w:pPr>
        <w:spacing w:line="240" w:lineRule="auto"/>
        <w:rPr>
          <w:rFonts w:eastAsia="Times New Roman" w:cs="Arial"/>
          <w:sz w:val="12"/>
          <w:szCs w:val="24"/>
        </w:rPr>
      </w:pPr>
      <w:r w:rsidRPr="00F0619F">
        <w:rPr>
          <w:rFonts w:eastAsia="Times New Roman" w:cs="Arial"/>
          <w:color w:val="000000"/>
          <w:szCs w:val="42"/>
          <w:lang w:eastAsia="bg-BG"/>
        </w:rPr>
        <w:t>При удължаване на проследяването до средно 10 години се установява, че дългосрочното сравнение на терапевтичните ефекти анастрозол и тамоксифен са сходни на тези от предходни анализи.</w:t>
      </w:r>
    </w:p>
    <w:p w14:paraId="47F192C7" w14:textId="77777777" w:rsidR="00F0619F" w:rsidRDefault="00F0619F" w:rsidP="00F0619F">
      <w:pPr>
        <w:spacing w:line="240" w:lineRule="auto"/>
        <w:rPr>
          <w:rFonts w:eastAsia="Times New Roman" w:cs="Arial"/>
          <w:i/>
          <w:iCs/>
          <w:color w:val="000000"/>
          <w:szCs w:val="42"/>
          <w:lang w:eastAsia="bg-BG"/>
        </w:rPr>
      </w:pPr>
    </w:p>
    <w:p w14:paraId="68D34322" w14:textId="5D4F2FDB" w:rsidR="00F0619F" w:rsidRPr="00F0619F" w:rsidRDefault="00F0619F" w:rsidP="00F0619F">
      <w:pPr>
        <w:spacing w:line="240" w:lineRule="auto"/>
        <w:rPr>
          <w:rFonts w:eastAsia="Times New Roman" w:cs="Arial"/>
          <w:sz w:val="12"/>
          <w:szCs w:val="24"/>
        </w:rPr>
      </w:pPr>
      <w:r>
        <w:rPr>
          <w:rFonts w:eastAsia="Times New Roman" w:cs="Arial"/>
          <w:i/>
          <w:iCs/>
          <w:color w:val="000000"/>
          <w:szCs w:val="42"/>
          <w:lang w:val="en-US" w:eastAsia="bg-BG"/>
        </w:rPr>
        <w:t>A</w:t>
      </w:r>
      <w:r w:rsidRPr="00F0619F">
        <w:rPr>
          <w:rFonts w:eastAsia="Times New Roman" w:cs="Arial"/>
          <w:i/>
          <w:iCs/>
          <w:color w:val="000000"/>
          <w:szCs w:val="42"/>
          <w:lang w:eastAsia="bg-BG"/>
        </w:rPr>
        <w:t>дювантно лечение на ранен инеазиеен карцином на гърдата при положителни за хормонални рецептори пациентки, третирани с адювантен тамоксифен</w:t>
      </w:r>
    </w:p>
    <w:p w14:paraId="0BC35B1A" w14:textId="77777777" w:rsidR="00F0619F" w:rsidRPr="00F0619F" w:rsidRDefault="00F0619F" w:rsidP="00F0619F">
      <w:pPr>
        <w:spacing w:line="240" w:lineRule="auto"/>
        <w:rPr>
          <w:rFonts w:eastAsia="Times New Roman" w:cs="Arial"/>
          <w:sz w:val="12"/>
          <w:szCs w:val="24"/>
        </w:rPr>
      </w:pPr>
      <w:r w:rsidRPr="00F0619F">
        <w:rPr>
          <w:rFonts w:eastAsia="Times New Roman" w:cs="Arial"/>
          <w:color w:val="000000"/>
          <w:szCs w:val="42"/>
          <w:lang w:eastAsia="bg-BG"/>
        </w:rPr>
        <w:t>Във фаза</w:t>
      </w:r>
      <w:r w:rsidRPr="00F0619F">
        <w:rPr>
          <w:rFonts w:eastAsia="Times New Roman" w:cs="Arial"/>
          <w:color w:val="000000"/>
          <w:szCs w:val="42"/>
          <w:lang w:val="ru-RU"/>
        </w:rPr>
        <w:t xml:space="preserve"> </w:t>
      </w:r>
      <w:r w:rsidRPr="00F0619F">
        <w:rPr>
          <w:rFonts w:eastAsia="Times New Roman" w:cs="Arial"/>
          <w:color w:val="000000"/>
          <w:szCs w:val="42"/>
          <w:lang w:val="en-US"/>
        </w:rPr>
        <w:t>III</w:t>
      </w:r>
      <w:r w:rsidRPr="00F0619F">
        <w:rPr>
          <w:rFonts w:eastAsia="Times New Roman" w:cs="Arial"/>
          <w:color w:val="000000"/>
          <w:szCs w:val="42"/>
          <w:lang w:val="ru-RU"/>
        </w:rPr>
        <w:t xml:space="preserve"> </w:t>
      </w:r>
      <w:r w:rsidRPr="00F0619F">
        <w:rPr>
          <w:rFonts w:eastAsia="Times New Roman" w:cs="Arial"/>
          <w:color w:val="000000"/>
          <w:szCs w:val="42"/>
          <w:lang w:eastAsia="bg-BG"/>
        </w:rPr>
        <w:t xml:space="preserve">на клинично проучване </w:t>
      </w:r>
      <w:r w:rsidRPr="00F0619F">
        <w:rPr>
          <w:rFonts w:eastAsia="Times New Roman" w:cs="Arial"/>
          <w:color w:val="000000"/>
          <w:szCs w:val="42"/>
          <w:lang w:val="en-US"/>
        </w:rPr>
        <w:t>ABCSG</w:t>
      </w:r>
      <w:r w:rsidRPr="00F0619F">
        <w:rPr>
          <w:rFonts w:eastAsia="Times New Roman" w:cs="Arial"/>
          <w:color w:val="000000"/>
          <w:szCs w:val="42"/>
          <w:lang w:val="ru-RU"/>
        </w:rPr>
        <w:t xml:space="preserve"> </w:t>
      </w:r>
      <w:r w:rsidRPr="00F0619F">
        <w:rPr>
          <w:rFonts w:eastAsia="Times New Roman" w:cs="Arial"/>
          <w:color w:val="000000"/>
          <w:szCs w:val="42"/>
          <w:lang w:eastAsia="bg-BG"/>
        </w:rPr>
        <w:t>8, проведено при 2579 постменопаузални жени с ранен карцином на гърдата с позитивни хормонални рецептори, които са претърпели операция с или без радиотерапия или химиотерапия, преминали на анастрозол след 2 години адювантна терапия с тамоксифен, е налице статистически значима по-добра преживяемост, свободна от заболяване в сравнение с тези, оставени само на тамоксифен след средно проследяване от 24 месеца.</w:t>
      </w:r>
    </w:p>
    <w:p w14:paraId="05FB54F0" w14:textId="77777777" w:rsidR="004235C7" w:rsidRDefault="004235C7" w:rsidP="00F0619F">
      <w:pPr>
        <w:rPr>
          <w:rFonts w:eastAsia="Times New Roman" w:cs="Arial"/>
          <w:b/>
          <w:bCs/>
          <w:color w:val="000000"/>
          <w:szCs w:val="42"/>
          <w:lang w:eastAsia="bg-BG"/>
        </w:rPr>
      </w:pPr>
    </w:p>
    <w:p w14:paraId="397C04D5" w14:textId="4BF80C43" w:rsidR="00090161" w:rsidRPr="00F0619F" w:rsidRDefault="00F0619F" w:rsidP="00F0619F">
      <w:pPr>
        <w:rPr>
          <w:rFonts w:cs="Arial"/>
          <w:sz w:val="10"/>
          <w:lang w:val="ru-RU"/>
        </w:rPr>
      </w:pPr>
      <w:r w:rsidRPr="00F0619F">
        <w:rPr>
          <w:rFonts w:eastAsia="Times New Roman" w:cs="Arial"/>
          <w:b/>
          <w:bCs/>
          <w:color w:val="000000"/>
          <w:szCs w:val="42"/>
          <w:lang w:eastAsia="bg-BG"/>
        </w:rPr>
        <w:t xml:space="preserve">Таблица 4 </w:t>
      </w:r>
      <w:r w:rsidRPr="00F0619F">
        <w:rPr>
          <w:rFonts w:eastAsia="Times New Roman" w:cs="Arial"/>
          <w:b/>
          <w:bCs/>
          <w:color w:val="000000"/>
          <w:szCs w:val="42"/>
          <w:lang w:val="en-US"/>
        </w:rPr>
        <w:t>ABCSG</w:t>
      </w:r>
      <w:r w:rsidRPr="00F0619F">
        <w:rPr>
          <w:rFonts w:eastAsia="Times New Roman" w:cs="Arial"/>
          <w:b/>
          <w:bCs/>
          <w:color w:val="000000"/>
          <w:szCs w:val="42"/>
          <w:lang w:val="ru-RU"/>
        </w:rPr>
        <w:t xml:space="preserve"> </w:t>
      </w:r>
      <w:r w:rsidRPr="00F0619F">
        <w:rPr>
          <w:rFonts w:eastAsia="Times New Roman" w:cs="Arial"/>
          <w:b/>
          <w:bCs/>
          <w:color w:val="000000"/>
          <w:szCs w:val="42"/>
          <w:lang w:eastAsia="bg-BG"/>
        </w:rPr>
        <w:t>8 финал на проучването и резюме на резултатите</w:t>
      </w:r>
    </w:p>
    <w:tbl>
      <w:tblPr>
        <w:tblStyle w:val="TableGrid"/>
        <w:tblW w:w="0" w:type="auto"/>
        <w:tblLook w:val="04A0" w:firstRow="1" w:lastRow="0" w:firstColumn="1" w:lastColumn="0" w:noHBand="0" w:noVBand="1"/>
      </w:tblPr>
      <w:tblGrid>
        <w:gridCol w:w="4656"/>
        <w:gridCol w:w="2345"/>
        <w:gridCol w:w="2349"/>
      </w:tblGrid>
      <w:tr w:rsidR="004235C7" w14:paraId="08177E50" w14:textId="77777777" w:rsidTr="004235C7">
        <w:tc>
          <w:tcPr>
            <w:tcW w:w="4788" w:type="dxa"/>
            <w:vMerge w:val="restart"/>
          </w:tcPr>
          <w:p w14:paraId="367B967B" w14:textId="5C201E0F" w:rsidR="004235C7" w:rsidRPr="004235C7" w:rsidRDefault="004235C7" w:rsidP="004235C7">
            <w:pPr>
              <w:rPr>
                <w:lang w:val="ru-RU"/>
              </w:rPr>
            </w:pPr>
            <w:r w:rsidRPr="004235C7">
              <w:rPr>
                <w:b/>
                <w:bCs/>
                <w:szCs w:val="42"/>
              </w:rPr>
              <w:t>ПОКАЗАТЕЛИ ЗА ЕФЕКТИВНОСТ</w:t>
            </w:r>
          </w:p>
        </w:tc>
        <w:tc>
          <w:tcPr>
            <w:tcW w:w="4788" w:type="dxa"/>
            <w:gridSpan w:val="2"/>
          </w:tcPr>
          <w:p w14:paraId="6676A277" w14:textId="77777777" w:rsidR="004235C7" w:rsidRPr="004235C7" w:rsidRDefault="004235C7" w:rsidP="004235C7">
            <w:pPr>
              <w:rPr>
                <w:sz w:val="24"/>
                <w:szCs w:val="24"/>
              </w:rPr>
            </w:pPr>
            <w:r w:rsidRPr="004235C7">
              <w:rPr>
                <w:lang w:eastAsia="bg-BG"/>
              </w:rPr>
              <w:t>Брой на случаите ( честота )</w:t>
            </w:r>
          </w:p>
          <w:p w14:paraId="3E48C0C1" w14:textId="77777777" w:rsidR="004235C7" w:rsidRDefault="004235C7" w:rsidP="004235C7">
            <w:pPr>
              <w:rPr>
                <w:lang w:val="ru-RU"/>
              </w:rPr>
            </w:pPr>
          </w:p>
        </w:tc>
      </w:tr>
      <w:tr w:rsidR="004235C7" w14:paraId="66FD84AE" w14:textId="77777777" w:rsidTr="004235C7">
        <w:tc>
          <w:tcPr>
            <w:tcW w:w="4788" w:type="dxa"/>
            <w:vMerge/>
          </w:tcPr>
          <w:p w14:paraId="08558082" w14:textId="77777777" w:rsidR="004235C7" w:rsidRPr="004235C7" w:rsidRDefault="004235C7" w:rsidP="004235C7">
            <w:pPr>
              <w:rPr>
                <w:lang w:val="ru-RU"/>
              </w:rPr>
            </w:pPr>
          </w:p>
        </w:tc>
        <w:tc>
          <w:tcPr>
            <w:tcW w:w="2394" w:type="dxa"/>
          </w:tcPr>
          <w:p w14:paraId="277A12D4" w14:textId="1DE0272B" w:rsidR="004235C7" w:rsidRDefault="004235C7" w:rsidP="004235C7">
            <w:pPr>
              <w:rPr>
                <w:lang w:val="ru-RU"/>
              </w:rPr>
            </w:pPr>
            <w:r>
              <w:t xml:space="preserve">Анастрозол </w:t>
            </w:r>
            <w:r>
              <w:rPr>
                <w:lang w:val="en-US"/>
              </w:rPr>
              <w:t>(N=1297)</w:t>
            </w:r>
          </w:p>
        </w:tc>
        <w:tc>
          <w:tcPr>
            <w:tcW w:w="2394" w:type="dxa"/>
          </w:tcPr>
          <w:p w14:paraId="532FAC9A" w14:textId="2ED524E0" w:rsidR="004235C7" w:rsidRDefault="004235C7" w:rsidP="004235C7">
            <w:pPr>
              <w:rPr>
                <w:lang w:val="ru-RU"/>
              </w:rPr>
            </w:pPr>
            <w:r>
              <w:t xml:space="preserve">Тамоксифен </w:t>
            </w:r>
            <w:r>
              <w:rPr>
                <w:lang w:val="en-US"/>
              </w:rPr>
              <w:t>(N = 1282)</w:t>
            </w:r>
          </w:p>
        </w:tc>
      </w:tr>
      <w:tr w:rsidR="004235C7" w14:paraId="1074CD53" w14:textId="77777777" w:rsidTr="004235C7">
        <w:tc>
          <w:tcPr>
            <w:tcW w:w="4788" w:type="dxa"/>
          </w:tcPr>
          <w:p w14:paraId="26D80744" w14:textId="572DFFBD" w:rsidR="004235C7" w:rsidRPr="004235C7" w:rsidRDefault="004235C7" w:rsidP="004235C7">
            <w:pPr>
              <w:rPr>
                <w:lang w:val="ru-RU"/>
              </w:rPr>
            </w:pPr>
            <w:r w:rsidRPr="004235C7">
              <w:rPr>
                <w:b/>
                <w:bCs/>
                <w:szCs w:val="42"/>
              </w:rPr>
              <w:t>Преживяемост, свободна от заболяване</w:t>
            </w:r>
          </w:p>
        </w:tc>
        <w:tc>
          <w:tcPr>
            <w:tcW w:w="2394" w:type="dxa"/>
          </w:tcPr>
          <w:p w14:paraId="67ADD53A" w14:textId="69E4E635" w:rsidR="004235C7" w:rsidRDefault="004235C7" w:rsidP="004235C7">
            <w:pPr>
              <w:rPr>
                <w:lang w:val="ru-RU"/>
              </w:rPr>
            </w:pPr>
            <w:r>
              <w:t xml:space="preserve">65 (5.0) </w:t>
            </w:r>
          </w:p>
        </w:tc>
        <w:tc>
          <w:tcPr>
            <w:tcW w:w="2394" w:type="dxa"/>
          </w:tcPr>
          <w:p w14:paraId="489B7F70" w14:textId="0D6078CA" w:rsidR="004235C7" w:rsidRDefault="004235C7" w:rsidP="004235C7">
            <w:pPr>
              <w:rPr>
                <w:lang w:val="ru-RU"/>
              </w:rPr>
            </w:pPr>
            <w:r>
              <w:t>93 (7.3)</w:t>
            </w:r>
          </w:p>
        </w:tc>
      </w:tr>
      <w:tr w:rsidR="004235C7" w14:paraId="5C0C2466" w14:textId="77777777" w:rsidTr="004235C7">
        <w:tc>
          <w:tcPr>
            <w:tcW w:w="4788" w:type="dxa"/>
          </w:tcPr>
          <w:p w14:paraId="6BF59043" w14:textId="1AB8CAC8" w:rsidR="004235C7" w:rsidRPr="004235C7" w:rsidRDefault="004235C7" w:rsidP="004235C7">
            <w:pPr>
              <w:rPr>
                <w:lang w:val="ru-RU"/>
              </w:rPr>
            </w:pPr>
            <w:r w:rsidRPr="004235C7">
              <w:rPr>
                <w:szCs w:val="42"/>
              </w:rPr>
              <w:lastRenderedPageBreak/>
              <w:t>Коефициент на риск</w:t>
            </w:r>
          </w:p>
        </w:tc>
        <w:tc>
          <w:tcPr>
            <w:tcW w:w="4788" w:type="dxa"/>
            <w:gridSpan w:val="2"/>
          </w:tcPr>
          <w:p w14:paraId="46AC5380" w14:textId="643647DE" w:rsidR="004235C7" w:rsidRDefault="004235C7" w:rsidP="004235C7">
            <w:pPr>
              <w:rPr>
                <w:lang w:val="ru-RU"/>
              </w:rPr>
            </w:pPr>
            <w:r>
              <w:t>0.67</w:t>
            </w:r>
          </w:p>
        </w:tc>
      </w:tr>
      <w:tr w:rsidR="004235C7" w14:paraId="5E9562B2" w14:textId="77777777" w:rsidTr="004235C7">
        <w:tc>
          <w:tcPr>
            <w:tcW w:w="4788" w:type="dxa"/>
          </w:tcPr>
          <w:p w14:paraId="58DD4128" w14:textId="3E481B52"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3B198F25" w14:textId="11700D3B" w:rsidR="004235C7" w:rsidRDefault="004235C7" w:rsidP="004235C7">
            <w:pPr>
              <w:rPr>
                <w:lang w:val="ru-RU"/>
              </w:rPr>
            </w:pPr>
            <w:r>
              <w:t>0.49 до 0.92</w:t>
            </w:r>
          </w:p>
        </w:tc>
      </w:tr>
      <w:tr w:rsidR="004235C7" w14:paraId="49D7C131" w14:textId="77777777" w:rsidTr="004235C7">
        <w:tc>
          <w:tcPr>
            <w:tcW w:w="4788" w:type="dxa"/>
          </w:tcPr>
          <w:p w14:paraId="23F821DB" w14:textId="6F4CE942"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01378436" w14:textId="12B85466" w:rsidR="004235C7" w:rsidRDefault="004235C7" w:rsidP="004235C7">
            <w:pPr>
              <w:rPr>
                <w:lang w:val="ru-RU"/>
              </w:rPr>
            </w:pPr>
            <w:r>
              <w:t>0.014</w:t>
            </w:r>
          </w:p>
        </w:tc>
      </w:tr>
      <w:tr w:rsidR="004235C7" w14:paraId="5387491C" w14:textId="77777777" w:rsidTr="004235C7">
        <w:tc>
          <w:tcPr>
            <w:tcW w:w="4788" w:type="dxa"/>
          </w:tcPr>
          <w:p w14:paraId="751B49C5" w14:textId="749D8C53" w:rsidR="004235C7" w:rsidRPr="004235C7" w:rsidRDefault="004235C7" w:rsidP="004235C7">
            <w:pPr>
              <w:rPr>
                <w:lang w:val="ru-RU"/>
              </w:rPr>
            </w:pPr>
            <w:r w:rsidRPr="004235C7">
              <w:rPr>
                <w:b/>
                <w:bCs/>
                <w:szCs w:val="42"/>
              </w:rPr>
              <w:t>Време до рецидив</w:t>
            </w:r>
          </w:p>
        </w:tc>
        <w:tc>
          <w:tcPr>
            <w:tcW w:w="2394" w:type="dxa"/>
          </w:tcPr>
          <w:p w14:paraId="70E11BFA" w14:textId="5720D926" w:rsidR="004235C7" w:rsidRDefault="004235C7" w:rsidP="004235C7">
            <w:pPr>
              <w:rPr>
                <w:lang w:val="ru-RU"/>
              </w:rPr>
            </w:pPr>
            <w:r>
              <w:t>36 (2.8)</w:t>
            </w:r>
          </w:p>
        </w:tc>
        <w:tc>
          <w:tcPr>
            <w:tcW w:w="2394" w:type="dxa"/>
          </w:tcPr>
          <w:p w14:paraId="32E9EF1F" w14:textId="22377C5F" w:rsidR="004235C7" w:rsidRDefault="004235C7" w:rsidP="004235C7">
            <w:pPr>
              <w:rPr>
                <w:lang w:val="ru-RU"/>
              </w:rPr>
            </w:pPr>
            <w:r>
              <w:t>66(5.1 )</w:t>
            </w:r>
          </w:p>
        </w:tc>
      </w:tr>
      <w:tr w:rsidR="004235C7" w14:paraId="079E8DC8" w14:textId="77777777" w:rsidTr="004235C7">
        <w:tc>
          <w:tcPr>
            <w:tcW w:w="4788" w:type="dxa"/>
          </w:tcPr>
          <w:p w14:paraId="080C90A4" w14:textId="5B1D3606" w:rsidR="004235C7" w:rsidRPr="004235C7" w:rsidRDefault="004235C7" w:rsidP="004235C7">
            <w:pPr>
              <w:rPr>
                <w:lang w:val="ru-RU"/>
              </w:rPr>
            </w:pPr>
            <w:r w:rsidRPr="004235C7">
              <w:rPr>
                <w:szCs w:val="42"/>
              </w:rPr>
              <w:t>Коефициент на риск</w:t>
            </w:r>
          </w:p>
        </w:tc>
        <w:tc>
          <w:tcPr>
            <w:tcW w:w="4788" w:type="dxa"/>
            <w:gridSpan w:val="2"/>
          </w:tcPr>
          <w:p w14:paraId="65159268" w14:textId="25BD46E5" w:rsidR="004235C7" w:rsidRDefault="004235C7" w:rsidP="004235C7">
            <w:pPr>
              <w:rPr>
                <w:lang w:val="ru-RU"/>
              </w:rPr>
            </w:pPr>
            <w:r>
              <w:t>0.53</w:t>
            </w:r>
          </w:p>
        </w:tc>
      </w:tr>
      <w:tr w:rsidR="004235C7" w14:paraId="74871A3F" w14:textId="77777777" w:rsidTr="004235C7">
        <w:tc>
          <w:tcPr>
            <w:tcW w:w="4788" w:type="dxa"/>
          </w:tcPr>
          <w:p w14:paraId="68B1D7A5" w14:textId="0AAE7759"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09AAB24E" w14:textId="69558852" w:rsidR="004235C7" w:rsidRDefault="004235C7" w:rsidP="004235C7">
            <w:pPr>
              <w:rPr>
                <w:lang w:val="ru-RU"/>
              </w:rPr>
            </w:pPr>
            <w:r>
              <w:t>0.35 до 0.79</w:t>
            </w:r>
          </w:p>
        </w:tc>
      </w:tr>
      <w:tr w:rsidR="004235C7" w14:paraId="65870265" w14:textId="77777777" w:rsidTr="004235C7">
        <w:tc>
          <w:tcPr>
            <w:tcW w:w="4788" w:type="dxa"/>
          </w:tcPr>
          <w:p w14:paraId="7E06E0C3" w14:textId="62254BC6"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68E99F09" w14:textId="115B966C" w:rsidR="004235C7" w:rsidRDefault="004235C7" w:rsidP="004235C7">
            <w:pPr>
              <w:rPr>
                <w:lang w:val="ru-RU"/>
              </w:rPr>
            </w:pPr>
            <w:r>
              <w:t>0.002</w:t>
            </w:r>
          </w:p>
        </w:tc>
      </w:tr>
      <w:tr w:rsidR="004235C7" w14:paraId="080D4B68" w14:textId="77777777" w:rsidTr="004235C7">
        <w:tc>
          <w:tcPr>
            <w:tcW w:w="4788" w:type="dxa"/>
          </w:tcPr>
          <w:p w14:paraId="0773CCA3" w14:textId="4BD8DED8" w:rsidR="004235C7" w:rsidRPr="004235C7" w:rsidRDefault="004235C7" w:rsidP="004235C7">
            <w:pPr>
              <w:rPr>
                <w:lang w:val="ru-RU"/>
              </w:rPr>
            </w:pPr>
            <w:r w:rsidRPr="004235C7">
              <w:rPr>
                <w:b/>
                <w:bCs/>
                <w:szCs w:val="42"/>
              </w:rPr>
              <w:t>Време до локален или отдалечен рецидив</w:t>
            </w:r>
          </w:p>
        </w:tc>
        <w:tc>
          <w:tcPr>
            <w:tcW w:w="2394" w:type="dxa"/>
          </w:tcPr>
          <w:p w14:paraId="399CDA7B" w14:textId="7062E116" w:rsidR="004235C7" w:rsidRDefault="004235C7" w:rsidP="004235C7">
            <w:pPr>
              <w:rPr>
                <w:lang w:val="ru-RU"/>
              </w:rPr>
            </w:pPr>
            <w:r>
              <w:t>29 (2.2)</w:t>
            </w:r>
          </w:p>
        </w:tc>
        <w:tc>
          <w:tcPr>
            <w:tcW w:w="2394" w:type="dxa"/>
          </w:tcPr>
          <w:p w14:paraId="007E4AEE" w14:textId="1C61FBA3" w:rsidR="004235C7" w:rsidRDefault="004235C7" w:rsidP="004235C7">
            <w:pPr>
              <w:rPr>
                <w:lang w:val="ru-RU"/>
              </w:rPr>
            </w:pPr>
            <w:r>
              <w:t>51(4.0)</w:t>
            </w:r>
          </w:p>
        </w:tc>
      </w:tr>
      <w:tr w:rsidR="004235C7" w14:paraId="45882676" w14:textId="77777777" w:rsidTr="004235C7">
        <w:tc>
          <w:tcPr>
            <w:tcW w:w="4788" w:type="dxa"/>
          </w:tcPr>
          <w:p w14:paraId="01127814" w14:textId="59E9DE3B" w:rsidR="004235C7" w:rsidRPr="004235C7" w:rsidRDefault="004235C7" w:rsidP="004235C7">
            <w:pPr>
              <w:rPr>
                <w:lang w:val="ru-RU"/>
              </w:rPr>
            </w:pPr>
            <w:r w:rsidRPr="004235C7">
              <w:rPr>
                <w:szCs w:val="42"/>
              </w:rPr>
              <w:t>Коефициент на риск</w:t>
            </w:r>
          </w:p>
        </w:tc>
        <w:tc>
          <w:tcPr>
            <w:tcW w:w="4788" w:type="dxa"/>
            <w:gridSpan w:val="2"/>
          </w:tcPr>
          <w:p w14:paraId="3C954516" w14:textId="2A35C1FC" w:rsidR="004235C7" w:rsidRDefault="004235C7" w:rsidP="004235C7">
            <w:pPr>
              <w:rPr>
                <w:lang w:val="ru-RU"/>
              </w:rPr>
            </w:pPr>
            <w:r>
              <w:t>0.55</w:t>
            </w:r>
          </w:p>
        </w:tc>
      </w:tr>
      <w:tr w:rsidR="004235C7" w14:paraId="58D1BFAC" w14:textId="77777777" w:rsidTr="004235C7">
        <w:tc>
          <w:tcPr>
            <w:tcW w:w="4788" w:type="dxa"/>
          </w:tcPr>
          <w:p w14:paraId="133852D0" w14:textId="7BFF6E7F"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72CDB626" w14:textId="6B5F9D9C" w:rsidR="004235C7" w:rsidRDefault="004235C7" w:rsidP="004235C7">
            <w:pPr>
              <w:rPr>
                <w:lang w:val="ru-RU"/>
              </w:rPr>
            </w:pPr>
            <w:r>
              <w:t>0.35 до 0.87</w:t>
            </w:r>
          </w:p>
        </w:tc>
      </w:tr>
      <w:tr w:rsidR="004235C7" w14:paraId="25B7F955" w14:textId="77777777" w:rsidTr="004235C7">
        <w:tc>
          <w:tcPr>
            <w:tcW w:w="4788" w:type="dxa"/>
          </w:tcPr>
          <w:p w14:paraId="01B30AAC" w14:textId="113F0204"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4CAD0C26" w14:textId="4E2E6B4C" w:rsidR="004235C7" w:rsidRDefault="004235C7" w:rsidP="004235C7">
            <w:pPr>
              <w:rPr>
                <w:lang w:val="ru-RU"/>
              </w:rPr>
            </w:pPr>
            <w:r>
              <w:t>0.011</w:t>
            </w:r>
          </w:p>
        </w:tc>
      </w:tr>
      <w:tr w:rsidR="004235C7" w14:paraId="3187961C" w14:textId="77777777" w:rsidTr="004235C7">
        <w:tc>
          <w:tcPr>
            <w:tcW w:w="4788" w:type="dxa"/>
          </w:tcPr>
          <w:p w14:paraId="1DE4EF19" w14:textId="393CFAF1" w:rsidR="004235C7" w:rsidRPr="004235C7" w:rsidRDefault="004235C7" w:rsidP="004235C7">
            <w:pPr>
              <w:rPr>
                <w:lang w:val="ru-RU"/>
              </w:rPr>
            </w:pPr>
            <w:r w:rsidRPr="004235C7">
              <w:rPr>
                <w:b/>
                <w:bCs/>
                <w:szCs w:val="42"/>
              </w:rPr>
              <w:t>Време до отдалечен рецидив</w:t>
            </w:r>
          </w:p>
        </w:tc>
        <w:tc>
          <w:tcPr>
            <w:tcW w:w="2394" w:type="dxa"/>
          </w:tcPr>
          <w:p w14:paraId="391827DE" w14:textId="46B92DB0" w:rsidR="004235C7" w:rsidRDefault="004235C7" w:rsidP="004235C7">
            <w:pPr>
              <w:rPr>
                <w:lang w:val="ru-RU"/>
              </w:rPr>
            </w:pPr>
            <w:r>
              <w:t>22(1.7)</w:t>
            </w:r>
          </w:p>
        </w:tc>
        <w:tc>
          <w:tcPr>
            <w:tcW w:w="2394" w:type="dxa"/>
          </w:tcPr>
          <w:p w14:paraId="72B554EA" w14:textId="491AA2BC" w:rsidR="004235C7" w:rsidRDefault="004235C7" w:rsidP="004235C7">
            <w:pPr>
              <w:rPr>
                <w:lang w:val="ru-RU"/>
              </w:rPr>
            </w:pPr>
            <w:r>
              <w:rPr>
                <w:u w:val="single"/>
              </w:rPr>
              <w:t>41(3,2)</w:t>
            </w:r>
          </w:p>
        </w:tc>
      </w:tr>
      <w:tr w:rsidR="004235C7" w14:paraId="53C181FA" w14:textId="77777777" w:rsidTr="004235C7">
        <w:tc>
          <w:tcPr>
            <w:tcW w:w="4788" w:type="dxa"/>
          </w:tcPr>
          <w:p w14:paraId="399688D0" w14:textId="7373BED2" w:rsidR="004235C7" w:rsidRPr="004235C7" w:rsidRDefault="004235C7" w:rsidP="004235C7">
            <w:pPr>
              <w:rPr>
                <w:lang w:val="ru-RU"/>
              </w:rPr>
            </w:pPr>
            <w:r w:rsidRPr="004235C7">
              <w:rPr>
                <w:szCs w:val="42"/>
              </w:rPr>
              <w:t>Коефициент на риск</w:t>
            </w:r>
          </w:p>
        </w:tc>
        <w:tc>
          <w:tcPr>
            <w:tcW w:w="4788" w:type="dxa"/>
            <w:gridSpan w:val="2"/>
          </w:tcPr>
          <w:p w14:paraId="5F0B68D4" w14:textId="36DA96AE" w:rsidR="004235C7" w:rsidRDefault="004235C7" w:rsidP="004235C7">
            <w:pPr>
              <w:rPr>
                <w:lang w:val="ru-RU"/>
              </w:rPr>
            </w:pPr>
            <w:r>
              <w:t>0.52</w:t>
            </w:r>
          </w:p>
        </w:tc>
      </w:tr>
      <w:tr w:rsidR="004235C7" w14:paraId="45B9BF47" w14:textId="77777777" w:rsidTr="004235C7">
        <w:tc>
          <w:tcPr>
            <w:tcW w:w="4788" w:type="dxa"/>
          </w:tcPr>
          <w:p w14:paraId="41A4426A" w14:textId="3A6C853C"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5594BA3E" w14:textId="7AD350F9" w:rsidR="004235C7" w:rsidRDefault="004235C7" w:rsidP="004235C7">
            <w:pPr>
              <w:rPr>
                <w:lang w:val="ru-RU"/>
              </w:rPr>
            </w:pPr>
            <w:r>
              <w:t>0.31 до 0.88</w:t>
            </w:r>
          </w:p>
        </w:tc>
      </w:tr>
      <w:tr w:rsidR="004235C7" w14:paraId="7C66BB8B" w14:textId="77777777" w:rsidTr="004235C7">
        <w:tc>
          <w:tcPr>
            <w:tcW w:w="4788" w:type="dxa"/>
          </w:tcPr>
          <w:p w14:paraId="01EBF012" w14:textId="70402DE1"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53659DE2" w14:textId="17D65067" w:rsidR="004235C7" w:rsidRDefault="004235C7" w:rsidP="004235C7">
            <w:pPr>
              <w:rPr>
                <w:lang w:val="ru-RU"/>
              </w:rPr>
            </w:pPr>
            <w:r>
              <w:t>0.015</w:t>
            </w:r>
          </w:p>
        </w:tc>
      </w:tr>
      <w:tr w:rsidR="004235C7" w14:paraId="2E8B9603" w14:textId="77777777" w:rsidTr="004235C7">
        <w:tc>
          <w:tcPr>
            <w:tcW w:w="4788" w:type="dxa"/>
          </w:tcPr>
          <w:p w14:paraId="0C35CF8A" w14:textId="692CFDD5" w:rsidR="004235C7" w:rsidRPr="004235C7" w:rsidRDefault="004235C7" w:rsidP="004235C7">
            <w:pPr>
              <w:rPr>
                <w:lang w:val="ru-RU"/>
              </w:rPr>
            </w:pPr>
            <w:r w:rsidRPr="004235C7">
              <w:rPr>
                <w:b/>
                <w:bCs/>
                <w:szCs w:val="42"/>
              </w:rPr>
              <w:t>Контралатерален карцином на гърдата</w:t>
            </w:r>
          </w:p>
        </w:tc>
        <w:tc>
          <w:tcPr>
            <w:tcW w:w="2394" w:type="dxa"/>
          </w:tcPr>
          <w:p w14:paraId="4E4E6D0C" w14:textId="7E804D43" w:rsidR="004235C7" w:rsidRDefault="004235C7" w:rsidP="004235C7">
            <w:pPr>
              <w:rPr>
                <w:lang w:val="ru-RU"/>
              </w:rPr>
            </w:pPr>
            <w:r>
              <w:t>7(0.5)</w:t>
            </w:r>
          </w:p>
        </w:tc>
        <w:tc>
          <w:tcPr>
            <w:tcW w:w="2394" w:type="dxa"/>
          </w:tcPr>
          <w:p w14:paraId="0767A758" w14:textId="1B210724" w:rsidR="004235C7" w:rsidRDefault="004235C7" w:rsidP="004235C7">
            <w:pPr>
              <w:rPr>
                <w:lang w:val="ru-RU"/>
              </w:rPr>
            </w:pPr>
            <w:r>
              <w:t>15(1.2)</w:t>
            </w:r>
          </w:p>
        </w:tc>
      </w:tr>
      <w:tr w:rsidR="004235C7" w14:paraId="5341B84E" w14:textId="77777777" w:rsidTr="004235C7">
        <w:tc>
          <w:tcPr>
            <w:tcW w:w="4788" w:type="dxa"/>
          </w:tcPr>
          <w:p w14:paraId="3C06D006" w14:textId="7E12C032" w:rsidR="004235C7" w:rsidRPr="004235C7" w:rsidRDefault="004235C7" w:rsidP="004235C7">
            <w:pPr>
              <w:rPr>
                <w:lang w:val="ru-RU"/>
              </w:rPr>
            </w:pPr>
            <w:r w:rsidRPr="004235C7">
              <w:rPr>
                <w:szCs w:val="42"/>
              </w:rPr>
              <w:t>Коефициент на риск</w:t>
            </w:r>
          </w:p>
        </w:tc>
        <w:tc>
          <w:tcPr>
            <w:tcW w:w="4788" w:type="dxa"/>
            <w:gridSpan w:val="2"/>
          </w:tcPr>
          <w:p w14:paraId="6C675556" w14:textId="42759515" w:rsidR="004235C7" w:rsidRDefault="004235C7" w:rsidP="004235C7">
            <w:pPr>
              <w:rPr>
                <w:lang w:val="ru-RU"/>
              </w:rPr>
            </w:pPr>
            <w:r>
              <w:t>0.46</w:t>
            </w:r>
          </w:p>
        </w:tc>
      </w:tr>
      <w:tr w:rsidR="004235C7" w14:paraId="71E0CADE" w14:textId="77777777" w:rsidTr="004235C7">
        <w:tc>
          <w:tcPr>
            <w:tcW w:w="4788" w:type="dxa"/>
          </w:tcPr>
          <w:p w14:paraId="1B48701D" w14:textId="30644CFB"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4501D1F7" w14:textId="33E52736" w:rsidR="004235C7" w:rsidRDefault="004235C7" w:rsidP="004235C7">
            <w:pPr>
              <w:rPr>
                <w:lang w:val="ru-RU"/>
              </w:rPr>
            </w:pPr>
            <w:r>
              <w:t>0.19 до 1.13</w:t>
            </w:r>
          </w:p>
        </w:tc>
      </w:tr>
      <w:tr w:rsidR="004235C7" w14:paraId="09604102" w14:textId="77777777" w:rsidTr="004235C7">
        <w:tc>
          <w:tcPr>
            <w:tcW w:w="4788" w:type="dxa"/>
          </w:tcPr>
          <w:p w14:paraId="57D39431" w14:textId="12E9F4C1"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6AE90B38" w14:textId="791E21A0" w:rsidR="004235C7" w:rsidRDefault="004235C7" w:rsidP="004235C7">
            <w:pPr>
              <w:rPr>
                <w:lang w:val="ru-RU"/>
              </w:rPr>
            </w:pPr>
            <w:r>
              <w:t>0.090</w:t>
            </w:r>
          </w:p>
        </w:tc>
      </w:tr>
      <w:tr w:rsidR="004235C7" w14:paraId="5B58F3A4" w14:textId="77777777" w:rsidTr="004235C7">
        <w:tc>
          <w:tcPr>
            <w:tcW w:w="4788" w:type="dxa"/>
          </w:tcPr>
          <w:p w14:paraId="4CAA9F4D" w14:textId="345F531A" w:rsidR="004235C7" w:rsidRPr="004235C7" w:rsidRDefault="004235C7" w:rsidP="004235C7">
            <w:pPr>
              <w:rPr>
                <w:lang w:val="ru-RU"/>
              </w:rPr>
            </w:pPr>
            <w:r w:rsidRPr="004235C7">
              <w:rPr>
                <w:b/>
                <w:bCs/>
                <w:szCs w:val="42"/>
              </w:rPr>
              <w:t>Обща преживяемост</w:t>
            </w:r>
          </w:p>
        </w:tc>
        <w:tc>
          <w:tcPr>
            <w:tcW w:w="2394" w:type="dxa"/>
          </w:tcPr>
          <w:p w14:paraId="2EE481B3" w14:textId="7F69F515" w:rsidR="004235C7" w:rsidRDefault="004235C7" w:rsidP="004235C7">
            <w:pPr>
              <w:rPr>
                <w:lang w:val="ru-RU"/>
              </w:rPr>
            </w:pPr>
            <w:r>
              <w:t>43(3.3)</w:t>
            </w:r>
          </w:p>
        </w:tc>
        <w:tc>
          <w:tcPr>
            <w:tcW w:w="2394" w:type="dxa"/>
          </w:tcPr>
          <w:p w14:paraId="48AE21F1" w14:textId="1EEC2569" w:rsidR="004235C7" w:rsidRDefault="004235C7" w:rsidP="004235C7">
            <w:pPr>
              <w:rPr>
                <w:lang w:val="ru-RU"/>
              </w:rPr>
            </w:pPr>
            <w:r>
              <w:rPr>
                <w:lang w:val="en-US"/>
              </w:rPr>
              <w:t>45(3.5)</w:t>
            </w:r>
          </w:p>
        </w:tc>
      </w:tr>
      <w:tr w:rsidR="004235C7" w14:paraId="1B48FF9A" w14:textId="77777777" w:rsidTr="004235C7">
        <w:tc>
          <w:tcPr>
            <w:tcW w:w="4788" w:type="dxa"/>
          </w:tcPr>
          <w:p w14:paraId="7E87B34A" w14:textId="4803CEC2" w:rsidR="004235C7" w:rsidRPr="004235C7" w:rsidRDefault="004235C7" w:rsidP="004235C7">
            <w:pPr>
              <w:rPr>
                <w:lang w:val="ru-RU"/>
              </w:rPr>
            </w:pPr>
            <w:r w:rsidRPr="004235C7">
              <w:rPr>
                <w:szCs w:val="42"/>
              </w:rPr>
              <w:t>Коефициент на риск</w:t>
            </w:r>
          </w:p>
        </w:tc>
        <w:tc>
          <w:tcPr>
            <w:tcW w:w="4788" w:type="dxa"/>
            <w:gridSpan w:val="2"/>
          </w:tcPr>
          <w:p w14:paraId="36F6207C" w14:textId="7F6D8F73" w:rsidR="004235C7" w:rsidRDefault="004235C7" w:rsidP="004235C7">
            <w:pPr>
              <w:rPr>
                <w:lang w:val="ru-RU"/>
              </w:rPr>
            </w:pPr>
            <w:r>
              <w:t>0.96</w:t>
            </w:r>
          </w:p>
        </w:tc>
      </w:tr>
      <w:tr w:rsidR="004235C7" w14:paraId="3A84F4AC" w14:textId="77777777" w:rsidTr="004235C7">
        <w:tc>
          <w:tcPr>
            <w:tcW w:w="4788" w:type="dxa"/>
          </w:tcPr>
          <w:p w14:paraId="5A828685" w14:textId="551FB8CC" w:rsidR="004235C7" w:rsidRPr="004235C7" w:rsidRDefault="004235C7" w:rsidP="004235C7">
            <w:pPr>
              <w:rPr>
                <w:lang w:val="ru-RU"/>
              </w:rPr>
            </w:pPr>
            <w:r w:rsidRPr="004235C7">
              <w:rPr>
                <w:szCs w:val="42"/>
              </w:rPr>
              <w:t>Двустранен 95% доверителен интервал</w:t>
            </w:r>
          </w:p>
        </w:tc>
        <w:tc>
          <w:tcPr>
            <w:tcW w:w="4788" w:type="dxa"/>
            <w:gridSpan w:val="2"/>
          </w:tcPr>
          <w:p w14:paraId="5C6F7268" w14:textId="29251AD3" w:rsidR="004235C7" w:rsidRDefault="004235C7" w:rsidP="004235C7">
            <w:pPr>
              <w:rPr>
                <w:lang w:val="ru-RU"/>
              </w:rPr>
            </w:pPr>
            <w:r>
              <w:rPr>
                <w:u w:val="single"/>
              </w:rPr>
              <w:t>0.63 до 1.46</w:t>
            </w:r>
          </w:p>
        </w:tc>
      </w:tr>
      <w:tr w:rsidR="004235C7" w14:paraId="3D73CCE8" w14:textId="77777777" w:rsidTr="004235C7">
        <w:tc>
          <w:tcPr>
            <w:tcW w:w="4788" w:type="dxa"/>
          </w:tcPr>
          <w:p w14:paraId="19AB2BC0" w14:textId="3D015F86" w:rsidR="004235C7" w:rsidRPr="004235C7" w:rsidRDefault="004235C7" w:rsidP="004235C7">
            <w:pPr>
              <w:rPr>
                <w:lang w:val="ru-RU"/>
              </w:rPr>
            </w:pPr>
            <w:r w:rsidRPr="004235C7">
              <w:rPr>
                <w:szCs w:val="42"/>
              </w:rPr>
              <w:t>Вероятност резултатите да са случайни</w:t>
            </w:r>
          </w:p>
        </w:tc>
        <w:tc>
          <w:tcPr>
            <w:tcW w:w="4788" w:type="dxa"/>
            <w:gridSpan w:val="2"/>
          </w:tcPr>
          <w:p w14:paraId="56BA203E" w14:textId="0F82E7CC" w:rsidR="004235C7" w:rsidRDefault="004235C7" w:rsidP="004235C7">
            <w:pPr>
              <w:rPr>
                <w:lang w:val="ru-RU"/>
              </w:rPr>
            </w:pPr>
            <w:r>
              <w:t>0.840</w:t>
            </w:r>
          </w:p>
        </w:tc>
      </w:tr>
    </w:tbl>
    <w:p w14:paraId="03A88DB6" w14:textId="2C033A1A" w:rsidR="00090161" w:rsidRDefault="00090161" w:rsidP="00090161">
      <w:pPr>
        <w:rPr>
          <w:lang w:val="ru-RU"/>
        </w:rPr>
      </w:pPr>
    </w:p>
    <w:p w14:paraId="29C5EBCD" w14:textId="77777777"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Две последващи сходни клинични проучвания </w:t>
      </w:r>
      <w:r w:rsidRPr="004235C7">
        <w:rPr>
          <w:rFonts w:eastAsia="Times New Roman" w:cs="Arial"/>
          <w:color w:val="000000"/>
          <w:szCs w:val="42"/>
          <w:lang w:val="ru-RU"/>
        </w:rPr>
        <w:t>(</w:t>
      </w:r>
      <w:r w:rsidRPr="004235C7">
        <w:rPr>
          <w:rFonts w:eastAsia="Times New Roman" w:cs="Arial"/>
          <w:color w:val="000000"/>
          <w:szCs w:val="42"/>
          <w:lang w:val="en-US"/>
        </w:rPr>
        <w:t>GABG</w:t>
      </w:r>
      <w:r w:rsidRPr="004235C7">
        <w:rPr>
          <w:rFonts w:eastAsia="Times New Roman" w:cs="Arial"/>
          <w:color w:val="000000"/>
          <w:szCs w:val="42"/>
          <w:lang w:val="ru-RU"/>
        </w:rPr>
        <w:t>/</w:t>
      </w:r>
      <w:r w:rsidRPr="004235C7">
        <w:rPr>
          <w:rFonts w:eastAsia="Times New Roman" w:cs="Arial"/>
          <w:color w:val="000000"/>
          <w:szCs w:val="42"/>
          <w:lang w:val="en-US"/>
        </w:rPr>
        <w:t>ARNO</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95 и </w:t>
      </w:r>
      <w:r w:rsidRPr="004235C7">
        <w:rPr>
          <w:rFonts w:eastAsia="Times New Roman" w:cs="Arial"/>
          <w:color w:val="000000"/>
          <w:szCs w:val="42"/>
          <w:lang w:val="en-US"/>
        </w:rPr>
        <w:t>ITA</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при едното от които пациентите са претърпели операция и химиотерапия, както и комбиниран анализ от </w:t>
      </w:r>
      <w:r w:rsidRPr="004235C7">
        <w:rPr>
          <w:rFonts w:eastAsia="Times New Roman" w:cs="Arial"/>
          <w:color w:val="000000"/>
          <w:szCs w:val="42"/>
          <w:lang w:val="en-US"/>
        </w:rPr>
        <w:t>ABCSG</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8 и </w:t>
      </w:r>
      <w:r w:rsidRPr="004235C7">
        <w:rPr>
          <w:rFonts w:eastAsia="Times New Roman" w:cs="Arial"/>
          <w:color w:val="000000"/>
          <w:szCs w:val="42"/>
          <w:lang w:val="en-US"/>
        </w:rPr>
        <w:t>GABG</w:t>
      </w:r>
      <w:r w:rsidRPr="004235C7">
        <w:rPr>
          <w:rFonts w:eastAsia="Times New Roman" w:cs="Arial"/>
          <w:color w:val="000000"/>
          <w:szCs w:val="42"/>
          <w:lang w:val="ru-RU"/>
        </w:rPr>
        <w:t>/</w:t>
      </w:r>
      <w:r w:rsidRPr="004235C7">
        <w:rPr>
          <w:rFonts w:eastAsia="Times New Roman" w:cs="Arial"/>
          <w:color w:val="000000"/>
          <w:szCs w:val="42"/>
          <w:lang w:val="en-US"/>
        </w:rPr>
        <w:t>ARNO</w:t>
      </w:r>
      <w:r w:rsidRPr="004235C7">
        <w:rPr>
          <w:rFonts w:eastAsia="Times New Roman" w:cs="Arial"/>
          <w:color w:val="000000"/>
          <w:szCs w:val="42"/>
          <w:lang w:val="ru-RU"/>
        </w:rPr>
        <w:t xml:space="preserve"> </w:t>
      </w:r>
      <w:r w:rsidRPr="004235C7">
        <w:rPr>
          <w:rFonts w:eastAsia="Times New Roman" w:cs="Arial"/>
          <w:color w:val="000000"/>
          <w:szCs w:val="42"/>
          <w:lang w:eastAsia="bg-BG"/>
        </w:rPr>
        <w:t>95, поддържат тези резултати.</w:t>
      </w:r>
    </w:p>
    <w:p w14:paraId="1343A8D4" w14:textId="77777777" w:rsidR="004235C7" w:rsidRDefault="004235C7" w:rsidP="004235C7">
      <w:pPr>
        <w:spacing w:line="240" w:lineRule="auto"/>
        <w:rPr>
          <w:rFonts w:eastAsia="Times New Roman" w:cs="Arial"/>
          <w:color w:val="000000"/>
          <w:szCs w:val="42"/>
          <w:lang w:eastAsia="bg-BG"/>
        </w:rPr>
      </w:pPr>
    </w:p>
    <w:p w14:paraId="28F3F18A" w14:textId="1025C001"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Профилът на безопасност на анастрозол при тези </w:t>
      </w:r>
      <w:r w:rsidRPr="004235C7">
        <w:rPr>
          <w:rFonts w:eastAsia="Times New Roman" w:cs="Arial"/>
          <w:i/>
          <w:iCs/>
          <w:color w:val="000000"/>
          <w:szCs w:val="42"/>
          <w:lang w:eastAsia="bg-BG"/>
        </w:rPr>
        <w:t>3</w:t>
      </w:r>
      <w:r w:rsidRPr="004235C7">
        <w:rPr>
          <w:rFonts w:eastAsia="Times New Roman" w:cs="Arial"/>
          <w:color w:val="000000"/>
          <w:szCs w:val="42"/>
          <w:lang w:eastAsia="bg-BG"/>
        </w:rPr>
        <w:t xml:space="preserve"> проучвания е в съответствие с известния вече профил на безопасност, установен при постменопаузални жени с ранен карцином на гърдата с позитивни хормонални рецептори.</w:t>
      </w:r>
    </w:p>
    <w:p w14:paraId="730489C2" w14:textId="77777777" w:rsidR="004235C7" w:rsidRDefault="004235C7" w:rsidP="004235C7">
      <w:pPr>
        <w:spacing w:line="240" w:lineRule="auto"/>
        <w:rPr>
          <w:rFonts w:eastAsia="Times New Roman" w:cs="Arial"/>
          <w:i/>
          <w:iCs/>
          <w:color w:val="000000"/>
          <w:szCs w:val="42"/>
          <w:u w:val="single"/>
          <w:lang w:eastAsia="bg-BG"/>
        </w:rPr>
      </w:pPr>
    </w:p>
    <w:p w14:paraId="3185FB59" w14:textId="366C47A0" w:rsidR="004235C7" w:rsidRPr="004235C7" w:rsidRDefault="004235C7" w:rsidP="004235C7">
      <w:pPr>
        <w:spacing w:line="240" w:lineRule="auto"/>
        <w:rPr>
          <w:rFonts w:eastAsia="Times New Roman" w:cs="Arial"/>
          <w:sz w:val="12"/>
          <w:szCs w:val="24"/>
        </w:rPr>
      </w:pPr>
      <w:r w:rsidRPr="004235C7">
        <w:rPr>
          <w:rFonts w:eastAsia="Times New Roman" w:cs="Arial"/>
          <w:i/>
          <w:iCs/>
          <w:color w:val="000000"/>
          <w:szCs w:val="42"/>
          <w:u w:val="single"/>
          <w:lang w:eastAsia="bg-BG"/>
        </w:rPr>
        <w:t>Минерална плътност на костите</w:t>
      </w:r>
    </w:p>
    <w:p w14:paraId="7C08525B" w14:textId="77777777"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В проучване фаза </w:t>
      </w:r>
      <w:r w:rsidRPr="004235C7">
        <w:rPr>
          <w:rFonts w:eastAsia="Times New Roman" w:cs="Arial"/>
          <w:color w:val="000000"/>
          <w:szCs w:val="42"/>
          <w:lang w:val="en-US"/>
        </w:rPr>
        <w:t>III</w:t>
      </w:r>
      <w:r w:rsidRPr="004235C7">
        <w:rPr>
          <w:rFonts w:eastAsia="Times New Roman" w:cs="Arial"/>
          <w:color w:val="000000"/>
          <w:szCs w:val="42"/>
          <w:lang w:val="ru-RU"/>
        </w:rPr>
        <w:t>/</w:t>
      </w:r>
      <w:r w:rsidRPr="004235C7">
        <w:rPr>
          <w:rFonts w:eastAsia="Times New Roman" w:cs="Arial"/>
          <w:color w:val="000000"/>
          <w:szCs w:val="42"/>
          <w:lang w:val="en-US"/>
        </w:rPr>
        <w:t>IV</w:t>
      </w:r>
      <w:r w:rsidRPr="004235C7">
        <w:rPr>
          <w:rFonts w:eastAsia="Times New Roman" w:cs="Arial"/>
          <w:color w:val="000000"/>
          <w:szCs w:val="42"/>
          <w:lang w:val="ru-RU"/>
        </w:rPr>
        <w:t xml:space="preserve"> (</w:t>
      </w:r>
      <w:r w:rsidRPr="004235C7">
        <w:rPr>
          <w:rFonts w:eastAsia="Times New Roman" w:cs="Arial"/>
          <w:color w:val="000000"/>
          <w:szCs w:val="42"/>
          <w:lang w:val="en-US"/>
        </w:rPr>
        <w:t>SABRE</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234 жени в постменопауза с ранен карцином на гърдата с рецептори, чувствителни към хормони са лекувани с анастрозол 1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дневно и са разпределени в групи с нисък, среден и висок риск от поява на фрактури. Основният параметър на ефикасност е анализ на костната плътност на лумбалните прешлени с помощта на </w:t>
      </w:r>
      <w:r w:rsidRPr="004235C7">
        <w:rPr>
          <w:rFonts w:eastAsia="Times New Roman" w:cs="Arial"/>
          <w:color w:val="000000"/>
          <w:szCs w:val="42"/>
          <w:lang w:val="en-US"/>
        </w:rPr>
        <w:t>DEXA</w:t>
      </w:r>
      <w:r w:rsidRPr="004235C7">
        <w:rPr>
          <w:rFonts w:eastAsia="Times New Roman" w:cs="Arial"/>
          <w:color w:val="000000"/>
          <w:szCs w:val="42"/>
          <w:lang w:val="ru-RU"/>
        </w:rPr>
        <w:t xml:space="preserve"> </w:t>
      </w:r>
      <w:r w:rsidRPr="004235C7">
        <w:rPr>
          <w:rFonts w:eastAsia="Times New Roman" w:cs="Arial"/>
          <w:color w:val="000000"/>
          <w:szCs w:val="42"/>
          <w:lang w:eastAsia="bg-BG"/>
        </w:rPr>
        <w:t>сканиране. Всички пациенти са на терапия с витамин Д и калций. Пациентите с нисък риск приемат анастрозол монотерапия (</w:t>
      </w:r>
      <w:r w:rsidRPr="004235C7">
        <w:rPr>
          <w:rFonts w:eastAsia="Times New Roman" w:cs="Arial"/>
          <w:color w:val="000000"/>
          <w:szCs w:val="42"/>
          <w:lang w:val="en-US"/>
        </w:rPr>
        <w:t>n</w:t>
      </w:r>
      <w:r w:rsidRPr="004235C7">
        <w:rPr>
          <w:rFonts w:eastAsia="Times New Roman" w:cs="Arial"/>
          <w:color w:val="000000"/>
          <w:szCs w:val="42"/>
          <w:lang w:eastAsia="bg-BG"/>
        </w:rPr>
        <w:t xml:space="preserve">=42), тези със среден риск - анастрозол + ризедронат 35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еднократно седмично (п=77) или анастрозол с плацебо (</w:t>
      </w:r>
      <w:r w:rsidRPr="004235C7">
        <w:rPr>
          <w:rFonts w:eastAsia="Times New Roman" w:cs="Arial"/>
          <w:color w:val="000000"/>
          <w:szCs w:val="42"/>
          <w:lang w:val="en-US"/>
        </w:rPr>
        <w:t>n</w:t>
      </w:r>
      <w:r w:rsidRPr="004235C7">
        <w:rPr>
          <w:rFonts w:eastAsia="Times New Roman" w:cs="Arial"/>
          <w:color w:val="000000"/>
          <w:szCs w:val="42"/>
          <w:lang w:eastAsia="bg-BG"/>
        </w:rPr>
        <w:t xml:space="preserve">=77) и тези с висок риск анастрозол плюс ризедронат 35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еднократно седмично (</w:t>
      </w:r>
      <w:r w:rsidRPr="004235C7">
        <w:rPr>
          <w:rFonts w:eastAsia="Times New Roman" w:cs="Arial"/>
          <w:color w:val="000000"/>
          <w:szCs w:val="42"/>
          <w:lang w:val="en-US"/>
        </w:rPr>
        <w:t>n</w:t>
      </w:r>
      <w:r w:rsidRPr="004235C7">
        <w:rPr>
          <w:rFonts w:eastAsia="Times New Roman" w:cs="Arial"/>
          <w:color w:val="000000"/>
          <w:szCs w:val="42"/>
          <w:lang w:val="ru-RU"/>
        </w:rPr>
        <w:t>=</w:t>
      </w:r>
      <w:r w:rsidRPr="004235C7">
        <w:rPr>
          <w:rFonts w:eastAsia="Times New Roman" w:cs="Arial"/>
          <w:color w:val="000000"/>
          <w:szCs w:val="42"/>
          <w:lang w:eastAsia="bg-BG"/>
        </w:rPr>
        <w:t>38). Първичната цел е да се оцени промяната на костна плътност на лумбалните прешлени като се сравни изходното ниво с нивото след 12 месеца.</w:t>
      </w:r>
    </w:p>
    <w:p w14:paraId="7FE7CBD0" w14:textId="77777777" w:rsidR="004235C7" w:rsidRDefault="004235C7" w:rsidP="004235C7">
      <w:pPr>
        <w:spacing w:line="240" w:lineRule="auto"/>
        <w:rPr>
          <w:rFonts w:eastAsia="Times New Roman" w:cs="Arial"/>
          <w:color w:val="000000"/>
          <w:szCs w:val="42"/>
          <w:lang w:eastAsia="bg-BG"/>
        </w:rPr>
      </w:pPr>
    </w:p>
    <w:p w14:paraId="664C62C5" w14:textId="25B084EA"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Дванадесет месечният анализ показва, че при пациентите със среден до висок риск от фрактури, които провеждат лечение с анастрозол в комбинация с ризедронат 35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еднократно седмично не се понижава костната плътност (оценено с помощта на </w:t>
      </w:r>
      <w:r w:rsidRPr="004235C7">
        <w:rPr>
          <w:rFonts w:eastAsia="Times New Roman" w:cs="Arial"/>
          <w:color w:val="000000"/>
          <w:szCs w:val="42"/>
          <w:lang w:val="en-US"/>
        </w:rPr>
        <w:t>DEXA</w:t>
      </w:r>
      <w:r w:rsidRPr="004235C7">
        <w:rPr>
          <w:rFonts w:eastAsia="Times New Roman" w:cs="Arial"/>
          <w:color w:val="000000"/>
          <w:szCs w:val="42"/>
          <w:lang w:val="ru-RU"/>
        </w:rPr>
        <w:t xml:space="preserve"> </w:t>
      </w:r>
      <w:r w:rsidRPr="004235C7">
        <w:rPr>
          <w:rFonts w:eastAsia="Times New Roman" w:cs="Arial"/>
          <w:color w:val="000000"/>
          <w:szCs w:val="42"/>
          <w:lang w:eastAsia="bg-BG"/>
        </w:rPr>
        <w:lastRenderedPageBreak/>
        <w:t xml:space="preserve">сканиране). В допълнение при пациентите с нисък риск, които са на монотерапия с анастрозол 1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дневно се наблюдава статистически незначимо понижение на </w:t>
      </w:r>
      <w:r w:rsidRPr="004235C7">
        <w:rPr>
          <w:rFonts w:eastAsia="Times New Roman" w:cs="Arial"/>
          <w:color w:val="000000"/>
          <w:szCs w:val="42"/>
          <w:lang w:val="en-US"/>
        </w:rPr>
        <w:t>BMD</w:t>
      </w:r>
      <w:r w:rsidRPr="004235C7">
        <w:rPr>
          <w:rFonts w:eastAsia="Times New Roman" w:cs="Arial"/>
          <w:color w:val="000000"/>
          <w:szCs w:val="42"/>
          <w:lang w:val="ru-RU"/>
        </w:rPr>
        <w:t xml:space="preserve">. </w:t>
      </w:r>
      <w:r w:rsidRPr="004235C7">
        <w:rPr>
          <w:rFonts w:eastAsia="Times New Roman" w:cs="Arial"/>
          <w:color w:val="000000"/>
          <w:szCs w:val="42"/>
          <w:lang w:eastAsia="bg-BG"/>
        </w:rPr>
        <w:t>Тези данни се потвърждават и от вторичния показател за ефикасност - промяна на костната плътност на бедрената кост на 12 месец, сравнено с изходното ниво.</w:t>
      </w:r>
    </w:p>
    <w:p w14:paraId="0972AA07" w14:textId="77777777" w:rsidR="004235C7" w:rsidRDefault="004235C7" w:rsidP="004235C7">
      <w:pPr>
        <w:spacing w:line="240" w:lineRule="auto"/>
        <w:rPr>
          <w:rFonts w:eastAsia="Times New Roman" w:cs="Arial"/>
          <w:color w:val="000000"/>
          <w:szCs w:val="42"/>
          <w:lang w:eastAsia="bg-BG"/>
        </w:rPr>
      </w:pPr>
    </w:p>
    <w:p w14:paraId="1B760732" w14:textId="7A82DD59"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Това проучване предоставя доказателства, че при жени в менопауза с ранен карцином на гърдата, лекувани с анастрозол бифосфонатите са подходящо средство за профилактика на остеопения и остеопороза.</w:t>
      </w:r>
    </w:p>
    <w:p w14:paraId="6357BD00" w14:textId="77777777" w:rsidR="004235C7" w:rsidRDefault="004235C7" w:rsidP="004235C7">
      <w:pPr>
        <w:spacing w:line="240" w:lineRule="auto"/>
        <w:rPr>
          <w:rFonts w:eastAsia="Times New Roman" w:cs="Arial"/>
          <w:i/>
          <w:iCs/>
          <w:color w:val="000000"/>
          <w:szCs w:val="42"/>
          <w:u w:val="single"/>
          <w:lang w:eastAsia="bg-BG"/>
        </w:rPr>
      </w:pPr>
    </w:p>
    <w:p w14:paraId="19FEC4A9" w14:textId="0EF18A6A" w:rsidR="004235C7" w:rsidRPr="004235C7" w:rsidRDefault="004235C7" w:rsidP="004235C7">
      <w:pPr>
        <w:spacing w:line="240" w:lineRule="auto"/>
        <w:rPr>
          <w:rFonts w:eastAsia="Times New Roman" w:cs="Arial"/>
          <w:sz w:val="12"/>
          <w:szCs w:val="24"/>
        </w:rPr>
      </w:pPr>
      <w:r w:rsidRPr="004235C7">
        <w:rPr>
          <w:rFonts w:eastAsia="Times New Roman" w:cs="Arial"/>
          <w:i/>
          <w:iCs/>
          <w:color w:val="000000"/>
          <w:szCs w:val="42"/>
          <w:u w:val="single"/>
          <w:lang w:eastAsia="bg-BG"/>
        </w:rPr>
        <w:t>Педиатрична популаиия</w:t>
      </w:r>
    </w:p>
    <w:p w14:paraId="5DCB4369" w14:textId="77777777"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Анастрозол не е показан за употреба при деца и юноши. Ефикасността му не е установена при проучвания сред педиатричната популация (вж. по-надолу). Броят на лекувани деца е много ограничен, за да се направят достоверни заключения за безопасността. Няма налични данни за потенциалните дългосрочни ефекти на лечението с анастрозол при деца и юноши (вж. също точка 5.3).</w:t>
      </w:r>
    </w:p>
    <w:p w14:paraId="59E5FFF0" w14:textId="77777777"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Европейската Медицинска Агенция не задължава да се подават резултати от проучванията с анастрозол в една или няколко подгрупи на педиатричната популация с нисък ръст вследствие дефицит на растежния хормон </w:t>
      </w:r>
      <w:r w:rsidRPr="004235C7">
        <w:rPr>
          <w:rFonts w:eastAsia="Times New Roman" w:cs="Arial"/>
          <w:color w:val="000000"/>
          <w:szCs w:val="42"/>
          <w:lang w:val="ru-RU"/>
        </w:rPr>
        <w:t>(</w:t>
      </w:r>
      <w:r w:rsidRPr="004235C7">
        <w:rPr>
          <w:rFonts w:eastAsia="Times New Roman" w:cs="Arial"/>
          <w:color w:val="000000"/>
          <w:szCs w:val="42"/>
          <w:lang w:val="en-US"/>
        </w:rPr>
        <w:t>GHD</w:t>
      </w:r>
      <w:r w:rsidRPr="004235C7">
        <w:rPr>
          <w:rFonts w:eastAsia="Times New Roman" w:cs="Arial"/>
          <w:color w:val="000000"/>
          <w:szCs w:val="42"/>
          <w:lang w:val="ru-RU"/>
        </w:rPr>
        <w:t xml:space="preserve">), </w:t>
      </w:r>
      <w:r w:rsidRPr="004235C7">
        <w:rPr>
          <w:rFonts w:eastAsia="Times New Roman" w:cs="Arial"/>
          <w:color w:val="000000"/>
          <w:szCs w:val="42"/>
          <w:lang w:eastAsia="bg-BG"/>
        </w:rPr>
        <w:t xml:space="preserve">тестикуларна токсикоза (наследствен гонадотропин независим мъжки преждевременен пубертет), гинекомастия и синдром на </w:t>
      </w:r>
      <w:r w:rsidRPr="004235C7">
        <w:rPr>
          <w:rFonts w:eastAsia="Times New Roman" w:cs="Arial"/>
          <w:color w:val="000000"/>
          <w:szCs w:val="42"/>
          <w:lang w:val="en-US"/>
        </w:rPr>
        <w:t>McCune</w:t>
      </w:r>
      <w:r w:rsidRPr="004235C7">
        <w:rPr>
          <w:rFonts w:eastAsia="Times New Roman" w:cs="Arial"/>
          <w:color w:val="000000"/>
          <w:szCs w:val="42"/>
          <w:lang w:val="ru-RU"/>
        </w:rPr>
        <w:t>-</w:t>
      </w:r>
      <w:r w:rsidRPr="004235C7">
        <w:rPr>
          <w:rFonts w:eastAsia="Times New Roman" w:cs="Arial"/>
          <w:color w:val="000000"/>
          <w:szCs w:val="42"/>
          <w:lang w:val="en-US"/>
        </w:rPr>
        <w:t>Albright</w:t>
      </w:r>
      <w:r w:rsidRPr="004235C7">
        <w:rPr>
          <w:rFonts w:eastAsia="Times New Roman" w:cs="Arial"/>
          <w:color w:val="000000"/>
          <w:szCs w:val="42"/>
          <w:lang w:val="ru-RU"/>
        </w:rPr>
        <w:t xml:space="preserve"> </w:t>
      </w:r>
      <w:r w:rsidRPr="004235C7">
        <w:rPr>
          <w:rFonts w:eastAsia="Times New Roman" w:cs="Arial"/>
          <w:color w:val="000000"/>
          <w:szCs w:val="42"/>
          <w:lang w:eastAsia="bg-BG"/>
        </w:rPr>
        <w:t>(вж. точка 4.2).</w:t>
      </w:r>
    </w:p>
    <w:p w14:paraId="25FAC469" w14:textId="77777777" w:rsidR="004235C7" w:rsidRDefault="004235C7" w:rsidP="004235C7">
      <w:pPr>
        <w:spacing w:line="240" w:lineRule="auto"/>
        <w:rPr>
          <w:rFonts w:eastAsia="Times New Roman" w:cs="Arial"/>
          <w:i/>
          <w:iCs/>
          <w:color w:val="000000"/>
          <w:szCs w:val="42"/>
          <w:lang w:eastAsia="bg-BG"/>
        </w:rPr>
      </w:pPr>
    </w:p>
    <w:p w14:paraId="6798907F" w14:textId="37FAA78E" w:rsidR="004235C7" w:rsidRPr="004235C7" w:rsidRDefault="004235C7" w:rsidP="004235C7">
      <w:pPr>
        <w:spacing w:line="240" w:lineRule="auto"/>
        <w:rPr>
          <w:rFonts w:eastAsia="Times New Roman" w:cs="Arial"/>
          <w:sz w:val="12"/>
          <w:szCs w:val="24"/>
        </w:rPr>
      </w:pPr>
      <w:r w:rsidRPr="004235C7">
        <w:rPr>
          <w:rFonts w:eastAsia="Times New Roman" w:cs="Arial"/>
          <w:i/>
          <w:iCs/>
          <w:color w:val="000000"/>
          <w:szCs w:val="42"/>
          <w:lang w:eastAsia="bg-BG"/>
        </w:rPr>
        <w:t>Нисък ръст вследствие дефицит на растежния хормон</w:t>
      </w:r>
    </w:p>
    <w:p w14:paraId="62EC5112" w14:textId="77777777" w:rsidR="004235C7" w:rsidRPr="004235C7" w:rsidRDefault="004235C7" w:rsidP="004235C7">
      <w:pPr>
        <w:spacing w:line="240" w:lineRule="auto"/>
        <w:rPr>
          <w:rFonts w:eastAsia="Times New Roman" w:cs="Arial"/>
          <w:sz w:val="12"/>
          <w:szCs w:val="24"/>
        </w:rPr>
      </w:pPr>
      <w:r w:rsidRPr="004235C7">
        <w:rPr>
          <w:rFonts w:eastAsia="Times New Roman" w:cs="Arial"/>
          <w:color w:val="000000"/>
          <w:szCs w:val="42"/>
          <w:lang w:eastAsia="bg-BG"/>
        </w:rPr>
        <w:t xml:space="preserve">В рандомизирано, двойно-сляпо мултицентрово проучване са включени 52 момчета в пубертетна възраст (от 11 до 16 години включително) с дефицит на растежния хормон, които са лекувани в продължение на 12 до 36 месеца с анастрозол 1 </w:t>
      </w:r>
      <w:r w:rsidRPr="004235C7">
        <w:rPr>
          <w:rFonts w:eastAsia="Times New Roman" w:cs="Arial"/>
          <w:color w:val="000000"/>
          <w:szCs w:val="42"/>
          <w:lang w:val="en-US"/>
        </w:rPr>
        <w:t>mg</w:t>
      </w:r>
      <w:r w:rsidRPr="004235C7">
        <w:rPr>
          <w:rFonts w:eastAsia="Times New Roman" w:cs="Arial"/>
          <w:color w:val="000000"/>
          <w:szCs w:val="42"/>
          <w:lang w:val="ru-RU"/>
        </w:rPr>
        <w:t xml:space="preserve"> </w:t>
      </w:r>
      <w:r w:rsidRPr="004235C7">
        <w:rPr>
          <w:rFonts w:eastAsia="Times New Roman" w:cs="Arial"/>
          <w:color w:val="000000"/>
          <w:szCs w:val="42"/>
          <w:lang w:eastAsia="bg-BG"/>
        </w:rPr>
        <w:t>дневно или плацебо в комбинация с растежен хормон. Само 14 от пациентите на лечение с анастрозол завършват 36 месечното проучване.</w:t>
      </w:r>
    </w:p>
    <w:p w14:paraId="5F904527" w14:textId="77777777" w:rsidR="004235C7" w:rsidRDefault="004235C7" w:rsidP="004235C7">
      <w:pPr>
        <w:spacing w:line="240" w:lineRule="auto"/>
        <w:rPr>
          <w:rFonts w:eastAsia="Times New Roman" w:cs="Arial"/>
          <w:color w:val="000000"/>
          <w:szCs w:val="42"/>
          <w:lang w:eastAsia="bg-BG"/>
        </w:rPr>
      </w:pPr>
    </w:p>
    <w:p w14:paraId="507D7DE1" w14:textId="77777777" w:rsidR="004235C7" w:rsidRPr="001A0270" w:rsidRDefault="004235C7" w:rsidP="004235C7">
      <w:pPr>
        <w:rPr>
          <w:rFonts w:eastAsia="Times New Roman" w:cs="Arial"/>
          <w:sz w:val="12"/>
          <w:szCs w:val="24"/>
        </w:rPr>
      </w:pPr>
      <w:r w:rsidRPr="004235C7">
        <w:rPr>
          <w:rFonts w:eastAsia="Times New Roman" w:cs="Arial"/>
          <w:color w:val="000000"/>
          <w:szCs w:val="42"/>
          <w:lang w:eastAsia="bg-BG"/>
        </w:rPr>
        <w:t>Не се наблюдава статистически значима разлика от плацебо на свързаните с растежа параметри, които прогнозират ръста в зряла възраст, височината и стандартното отклонение на</w:t>
      </w:r>
      <w:r w:rsidRPr="004235C7">
        <w:rPr>
          <w:rFonts w:eastAsia="Times New Roman" w:cs="Arial"/>
          <w:sz w:val="12"/>
          <w:szCs w:val="24"/>
          <w:lang w:val="ru-RU"/>
        </w:rPr>
        <w:t xml:space="preserve"> </w:t>
      </w:r>
      <w:r w:rsidRPr="004235C7">
        <w:rPr>
          <w:rFonts w:eastAsia="Times New Roman" w:cs="Arial"/>
          <w:color w:val="000000"/>
          <w:szCs w:val="42"/>
          <w:lang w:eastAsia="bg-BG"/>
        </w:rPr>
        <w:t>височината и скоростта на израстване. Няма окончателни данни за ръста. Като цяло броят на</w:t>
      </w:r>
      <w:r w:rsidRPr="004235C7">
        <w:rPr>
          <w:rFonts w:eastAsia="Times New Roman" w:cs="Arial"/>
          <w:color w:val="000000"/>
          <w:szCs w:val="42"/>
          <w:lang w:val="ru-RU" w:eastAsia="bg-BG"/>
        </w:rPr>
        <w:t xml:space="preserve"> </w:t>
      </w:r>
      <w:r w:rsidRPr="001A0270">
        <w:rPr>
          <w:rFonts w:eastAsia="Times New Roman" w:cs="Arial"/>
          <w:color w:val="000000"/>
          <w:szCs w:val="42"/>
          <w:lang w:eastAsia="bg-BG"/>
        </w:rPr>
        <w:t>лекувани деца е много ограничен, за да се направят достоверни заключения за безопасността, наблюдавана е повишена честота на фрактури и тенденция за понижаване на костната плътност в анастрозол рамото в сравнение с плацебо.</w:t>
      </w:r>
    </w:p>
    <w:p w14:paraId="1E58BA40" w14:textId="77777777" w:rsidR="001A0270" w:rsidRDefault="001A0270" w:rsidP="004235C7">
      <w:pPr>
        <w:spacing w:line="240" w:lineRule="auto"/>
        <w:rPr>
          <w:rFonts w:eastAsia="Times New Roman" w:cs="Arial"/>
          <w:i/>
          <w:iCs/>
          <w:color w:val="000000"/>
          <w:szCs w:val="42"/>
          <w:lang w:eastAsia="bg-BG"/>
        </w:rPr>
      </w:pPr>
    </w:p>
    <w:p w14:paraId="79530B5C" w14:textId="3EA36B50" w:rsidR="004235C7" w:rsidRPr="001A0270" w:rsidRDefault="004235C7" w:rsidP="004235C7">
      <w:pPr>
        <w:spacing w:line="240" w:lineRule="auto"/>
        <w:rPr>
          <w:rFonts w:eastAsia="Times New Roman" w:cs="Arial"/>
          <w:sz w:val="12"/>
          <w:szCs w:val="24"/>
        </w:rPr>
      </w:pPr>
      <w:r w:rsidRPr="001A0270">
        <w:rPr>
          <w:rFonts w:eastAsia="Times New Roman" w:cs="Arial"/>
          <w:i/>
          <w:iCs/>
          <w:color w:val="000000"/>
          <w:szCs w:val="42"/>
          <w:lang w:eastAsia="bg-BG"/>
        </w:rPr>
        <w:t>Гонадотропин-независим мъжки преждевременен пубертет</w:t>
      </w:r>
    </w:p>
    <w:p w14:paraId="01E7B479" w14:textId="77777777" w:rsidR="004235C7" w:rsidRPr="001A0270" w:rsidRDefault="004235C7" w:rsidP="004235C7">
      <w:pPr>
        <w:spacing w:line="240" w:lineRule="auto"/>
        <w:rPr>
          <w:rFonts w:eastAsia="Times New Roman" w:cs="Arial"/>
          <w:sz w:val="12"/>
          <w:szCs w:val="24"/>
        </w:rPr>
      </w:pPr>
      <w:r w:rsidRPr="001A0270">
        <w:rPr>
          <w:rFonts w:eastAsia="Times New Roman" w:cs="Arial"/>
          <w:color w:val="000000"/>
          <w:szCs w:val="42"/>
          <w:lang w:eastAsia="bg-BG"/>
        </w:rPr>
        <w:t>В открито, несравнително, мултицентрово проучване са оценени 14 пациенти от мъжки пол (на възраст от 2 до 9 години) с наследствен гонадотропин-независим мъжки преждевременен пубертет, известно още като тестикуларна токсикоза, лекувани с анастрозол и бикалугамид. Първичните цели са оценка на безопасността и ефикасността от схемата на комбинирано лечение в продължение на 12 месеца. Тринадесет от 14 пациента на комбинирана терапия завършват проучването на 12 месец (един отпада от проследяване). Не се наблюдава статистически значима промяна в темпото на растеж след 12 месечно лечение, сравнено с темпото на растеж на б-те месеца преди включване в проучването.</w:t>
      </w:r>
    </w:p>
    <w:p w14:paraId="67414CA2" w14:textId="77777777" w:rsidR="001A0270" w:rsidRDefault="001A0270" w:rsidP="004235C7">
      <w:pPr>
        <w:spacing w:line="240" w:lineRule="auto"/>
        <w:rPr>
          <w:rFonts w:eastAsia="Times New Roman" w:cs="Arial"/>
          <w:i/>
          <w:iCs/>
          <w:color w:val="000000"/>
          <w:szCs w:val="42"/>
          <w:lang w:eastAsia="bg-BG"/>
        </w:rPr>
      </w:pPr>
    </w:p>
    <w:p w14:paraId="310336BD" w14:textId="7E3C381B" w:rsidR="004235C7" w:rsidRPr="001A0270" w:rsidRDefault="004235C7" w:rsidP="004235C7">
      <w:pPr>
        <w:spacing w:line="240" w:lineRule="auto"/>
        <w:rPr>
          <w:rFonts w:eastAsia="Times New Roman" w:cs="Arial"/>
          <w:sz w:val="12"/>
          <w:szCs w:val="24"/>
        </w:rPr>
      </w:pPr>
      <w:r w:rsidRPr="001A0270">
        <w:rPr>
          <w:rFonts w:eastAsia="Times New Roman" w:cs="Arial"/>
          <w:i/>
          <w:iCs/>
          <w:color w:val="000000"/>
          <w:szCs w:val="42"/>
          <w:lang w:eastAsia="bg-BG"/>
        </w:rPr>
        <w:t>Проучвания за лечение на гинекомастия</w:t>
      </w:r>
    </w:p>
    <w:p w14:paraId="6357ADA7" w14:textId="77777777" w:rsidR="004235C7" w:rsidRPr="001A0270" w:rsidRDefault="004235C7" w:rsidP="004235C7">
      <w:pPr>
        <w:spacing w:line="240" w:lineRule="auto"/>
        <w:rPr>
          <w:rFonts w:eastAsia="Times New Roman" w:cs="Arial"/>
          <w:sz w:val="12"/>
          <w:szCs w:val="24"/>
        </w:rPr>
      </w:pPr>
      <w:r w:rsidRPr="001A0270">
        <w:rPr>
          <w:rFonts w:eastAsia="Times New Roman" w:cs="Arial"/>
          <w:color w:val="000000"/>
          <w:szCs w:val="42"/>
          <w:lang w:eastAsia="bg-BG"/>
        </w:rPr>
        <w:t xml:space="preserve">Проучване 0006 е рандомизирано, двойно-сляпо, многоцентрово проучване при 82 момчета в пубертет (на възраст от 11 до 18 години включително) с гинекомастия с </w:t>
      </w:r>
      <w:r w:rsidRPr="001A0270">
        <w:rPr>
          <w:rFonts w:eastAsia="Times New Roman" w:cs="Arial"/>
          <w:color w:val="000000"/>
          <w:szCs w:val="42"/>
          <w:lang w:eastAsia="bg-BG"/>
        </w:rPr>
        <w:lastRenderedPageBreak/>
        <w:t xml:space="preserve">давност на 12 месеца, лекувани с анастрозол 1 </w:t>
      </w:r>
      <w:r w:rsidRPr="001A0270">
        <w:rPr>
          <w:rFonts w:eastAsia="Times New Roman" w:cs="Arial"/>
          <w:color w:val="000000"/>
          <w:szCs w:val="42"/>
          <w:lang w:val="en-US"/>
        </w:rPr>
        <w:t>mg</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дневно или плацебо в продължение на не повече от 6 месеца. След 6-месечно лечение не се наблюдава значима разлика между групите на лечение с анастрозол 1 </w:t>
      </w:r>
      <w:r w:rsidRPr="001A0270">
        <w:rPr>
          <w:rFonts w:eastAsia="Times New Roman" w:cs="Arial"/>
          <w:color w:val="000000"/>
          <w:szCs w:val="42"/>
          <w:lang w:val="en-US"/>
        </w:rPr>
        <w:t>mg</w:t>
      </w:r>
      <w:r w:rsidRPr="001A0270">
        <w:rPr>
          <w:rFonts w:eastAsia="Times New Roman" w:cs="Arial"/>
          <w:color w:val="000000"/>
          <w:szCs w:val="42"/>
          <w:lang w:val="ru-RU"/>
        </w:rPr>
        <w:t xml:space="preserve"> </w:t>
      </w:r>
      <w:r w:rsidRPr="001A0270">
        <w:rPr>
          <w:rFonts w:eastAsia="Times New Roman" w:cs="Arial"/>
          <w:color w:val="000000"/>
          <w:szCs w:val="42"/>
          <w:lang w:eastAsia="bg-BG"/>
        </w:rPr>
        <w:t>дневно в сравнение с плацебо по отношение на броя пациенти с намаляване с 50% или повече на общия обем на гърдите.</w:t>
      </w:r>
    </w:p>
    <w:p w14:paraId="6E39E8C3" w14:textId="77777777" w:rsidR="001A0270" w:rsidRDefault="001A0270" w:rsidP="004235C7">
      <w:pPr>
        <w:spacing w:line="240" w:lineRule="auto"/>
        <w:rPr>
          <w:rFonts w:eastAsia="Times New Roman" w:cs="Arial"/>
          <w:color w:val="000000"/>
          <w:szCs w:val="42"/>
          <w:lang w:eastAsia="bg-BG"/>
        </w:rPr>
      </w:pPr>
    </w:p>
    <w:p w14:paraId="35ADCAF7" w14:textId="716C9917" w:rsidR="004235C7" w:rsidRPr="001A0270" w:rsidRDefault="004235C7" w:rsidP="004235C7">
      <w:pPr>
        <w:spacing w:line="240" w:lineRule="auto"/>
        <w:rPr>
          <w:rFonts w:eastAsia="Times New Roman" w:cs="Arial"/>
          <w:sz w:val="12"/>
          <w:szCs w:val="24"/>
        </w:rPr>
      </w:pPr>
      <w:r w:rsidRPr="001A0270">
        <w:rPr>
          <w:rFonts w:eastAsia="Times New Roman" w:cs="Arial"/>
          <w:color w:val="000000"/>
          <w:szCs w:val="42"/>
          <w:lang w:eastAsia="bg-BG"/>
        </w:rPr>
        <w:t xml:space="preserve">Проучване 0001 е открито, фармакокинетично, с многократно прилагане на анастрозол 1 </w:t>
      </w:r>
      <w:r w:rsidRPr="001A0270">
        <w:rPr>
          <w:rFonts w:eastAsia="Times New Roman" w:cs="Arial"/>
          <w:color w:val="000000"/>
          <w:szCs w:val="42"/>
          <w:lang w:val="en-US"/>
        </w:rPr>
        <w:t>mg</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дневно при 36 момчета в пубертетна възраст с давност на гинекомастията под 12 месеца. Вторичните цели на проучването са: да се определи процентът пациенти, при които след 6- месечно лечение изчисленият общ обем на двете гърди е намалял </w:t>
      </w:r>
      <w:r w:rsidRPr="001A0270">
        <w:rPr>
          <w:rFonts w:eastAsia="Times New Roman" w:cs="Arial"/>
          <w:i/>
          <w:iCs/>
          <w:color w:val="000000"/>
          <w:szCs w:val="42"/>
          <w:lang w:eastAsia="bg-BG"/>
        </w:rPr>
        <w:t>с</w:t>
      </w:r>
      <w:r w:rsidRPr="001A0270">
        <w:rPr>
          <w:rFonts w:eastAsia="Times New Roman" w:cs="Arial"/>
          <w:color w:val="000000"/>
          <w:szCs w:val="42"/>
          <w:lang w:eastAsia="bg-BG"/>
        </w:rPr>
        <w:t xml:space="preserve"> поне 50% в сравнение с изходния и да се определят поносимостта и безопасността на лечението. При 56% (20/36) от момчетата след 6 месеца се наблюдава намаляване с 50% и повече от общия обем на гърдите.</w:t>
      </w:r>
    </w:p>
    <w:p w14:paraId="0163EC4B" w14:textId="77777777" w:rsidR="001A0270" w:rsidRDefault="001A0270" w:rsidP="004235C7">
      <w:pPr>
        <w:spacing w:line="240" w:lineRule="auto"/>
        <w:rPr>
          <w:rFonts w:eastAsia="Times New Roman" w:cs="Arial"/>
          <w:i/>
          <w:iCs/>
          <w:color w:val="000000"/>
          <w:szCs w:val="42"/>
          <w:lang w:eastAsia="bg-BG"/>
        </w:rPr>
      </w:pPr>
    </w:p>
    <w:p w14:paraId="675043C3" w14:textId="7519FF4C" w:rsidR="004235C7" w:rsidRPr="001A0270" w:rsidRDefault="004235C7" w:rsidP="004235C7">
      <w:pPr>
        <w:spacing w:line="240" w:lineRule="auto"/>
        <w:rPr>
          <w:rFonts w:eastAsia="Times New Roman" w:cs="Arial"/>
          <w:sz w:val="12"/>
          <w:szCs w:val="24"/>
        </w:rPr>
      </w:pPr>
      <w:r w:rsidRPr="001A0270">
        <w:rPr>
          <w:rFonts w:eastAsia="Times New Roman" w:cs="Arial"/>
          <w:i/>
          <w:iCs/>
          <w:color w:val="000000"/>
          <w:szCs w:val="42"/>
          <w:lang w:eastAsia="bg-BG"/>
        </w:rPr>
        <w:t xml:space="preserve">Проучване при синдром на </w:t>
      </w:r>
      <w:r w:rsidRPr="001A0270">
        <w:rPr>
          <w:rFonts w:eastAsia="Times New Roman" w:cs="Arial"/>
          <w:i/>
          <w:iCs/>
          <w:color w:val="000000"/>
          <w:szCs w:val="42"/>
          <w:lang w:val="en-US"/>
        </w:rPr>
        <w:t>McCune</w:t>
      </w:r>
      <w:r w:rsidRPr="001A0270">
        <w:rPr>
          <w:rFonts w:eastAsia="Times New Roman" w:cs="Arial"/>
          <w:i/>
          <w:iCs/>
          <w:color w:val="000000"/>
          <w:szCs w:val="42"/>
          <w:lang w:val="ru-RU"/>
        </w:rPr>
        <w:t>-</w:t>
      </w:r>
      <w:r w:rsidRPr="001A0270">
        <w:rPr>
          <w:rFonts w:eastAsia="Times New Roman" w:cs="Arial"/>
          <w:i/>
          <w:iCs/>
          <w:color w:val="000000"/>
          <w:szCs w:val="42"/>
          <w:lang w:val="en-US"/>
        </w:rPr>
        <w:t>Albright</w:t>
      </w:r>
    </w:p>
    <w:p w14:paraId="12D8CBBE" w14:textId="3CB46CDF" w:rsidR="004235C7" w:rsidRDefault="004235C7" w:rsidP="004235C7">
      <w:pPr>
        <w:spacing w:line="240" w:lineRule="auto"/>
        <w:rPr>
          <w:rFonts w:eastAsia="Times New Roman" w:cs="Arial"/>
          <w:color w:val="000000"/>
          <w:szCs w:val="42"/>
          <w:lang w:eastAsia="bg-BG"/>
        </w:rPr>
      </w:pPr>
      <w:r w:rsidRPr="001A0270">
        <w:rPr>
          <w:rFonts w:eastAsia="Times New Roman" w:cs="Arial"/>
          <w:color w:val="000000"/>
          <w:szCs w:val="42"/>
          <w:lang w:eastAsia="bg-BG"/>
        </w:rPr>
        <w:t xml:space="preserve">Проучване 0046 е международно, многоцентрово, открито проучване върху 28 момичета (на възраст от 2 до ≤ 10 години) със синдром на </w:t>
      </w:r>
      <w:r w:rsidRPr="001A0270">
        <w:rPr>
          <w:rFonts w:eastAsia="Times New Roman" w:cs="Arial"/>
          <w:color w:val="000000"/>
          <w:szCs w:val="42"/>
          <w:lang w:val="en-US"/>
        </w:rPr>
        <w:t>McCune</w:t>
      </w:r>
      <w:r w:rsidRPr="001A0270">
        <w:rPr>
          <w:rFonts w:eastAsia="Times New Roman" w:cs="Arial"/>
          <w:color w:val="000000"/>
          <w:szCs w:val="42"/>
          <w:lang w:val="ru-RU"/>
        </w:rPr>
        <w:t>-</w:t>
      </w:r>
      <w:r w:rsidRPr="001A0270">
        <w:rPr>
          <w:rFonts w:eastAsia="Times New Roman" w:cs="Arial"/>
          <w:color w:val="000000"/>
          <w:szCs w:val="42"/>
          <w:lang w:val="en-US"/>
        </w:rPr>
        <w:t>Albright</w:t>
      </w:r>
      <w:r w:rsidRPr="001A0270">
        <w:rPr>
          <w:rFonts w:eastAsia="Times New Roman" w:cs="Arial"/>
          <w:color w:val="000000"/>
          <w:szCs w:val="42"/>
          <w:lang w:val="ru-RU"/>
        </w:rPr>
        <w:t xml:space="preserve"> (</w:t>
      </w:r>
      <w:r w:rsidRPr="001A0270">
        <w:rPr>
          <w:rFonts w:eastAsia="Times New Roman" w:cs="Arial"/>
          <w:color w:val="000000"/>
          <w:szCs w:val="42"/>
          <w:lang w:val="en-US"/>
        </w:rPr>
        <w:t>MAS</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при които е приложен анастрозол. Първичната цел на проучването е оценката на безопасността и ефикасността на приложението на анастрозол 1 </w:t>
      </w:r>
      <w:r w:rsidRPr="001A0270">
        <w:rPr>
          <w:rFonts w:eastAsia="Times New Roman" w:cs="Arial"/>
          <w:color w:val="000000"/>
          <w:szCs w:val="42"/>
          <w:lang w:val="en-US"/>
        </w:rPr>
        <w:t>mg</w:t>
      </w:r>
      <w:r w:rsidRPr="001A0270">
        <w:rPr>
          <w:rFonts w:eastAsia="Times New Roman" w:cs="Arial"/>
          <w:color w:val="000000"/>
          <w:szCs w:val="42"/>
          <w:lang w:eastAsia="bg-BG"/>
        </w:rPr>
        <w:t xml:space="preserve">/дневно при пациенти с </w:t>
      </w:r>
      <w:r w:rsidRPr="001A0270">
        <w:rPr>
          <w:rFonts w:eastAsia="Times New Roman" w:cs="Arial"/>
          <w:color w:val="000000"/>
          <w:szCs w:val="42"/>
          <w:lang w:val="en-US"/>
        </w:rPr>
        <w:t>MAS</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Ефикасността от лечението се оценява въз основа на процента пациентки, покриващи дефинираните критерии, свързани с вагинално кървене, костна възраст и скорост на растеж. В резултат на лечението броят на дните с вагинално кървене не се променя статистически значимо. Няма клинично значима промяна в стадиите по Танер, средния яйчников обем и средния маточен обем. Не се наблюдава статистически значима промяна в скоростта на увеличаване на костната възраст по време на лечението в сравнение с изходната. Скоростта на растеж (в </w:t>
      </w:r>
      <w:r w:rsidRPr="001A0270">
        <w:rPr>
          <w:rFonts w:eastAsia="Times New Roman" w:cs="Arial"/>
          <w:color w:val="000000"/>
          <w:szCs w:val="42"/>
          <w:lang w:val="en-US"/>
        </w:rPr>
        <w:t>cm</w:t>
      </w:r>
      <w:r w:rsidRPr="001A0270">
        <w:rPr>
          <w:rFonts w:eastAsia="Times New Roman" w:cs="Arial"/>
          <w:color w:val="000000"/>
          <w:szCs w:val="42"/>
          <w:lang w:eastAsia="bg-BG"/>
        </w:rPr>
        <w:t>/годишно) статистически значимо намалява (р&lt;0,05) сравнено с изходната стойност (преди лечението) и по време на 12- месечното лечение, като и между изходната стойност (преди лечението) и второто 6-месечие от лечението (от 7-и до 12-ти месец).</w:t>
      </w:r>
    </w:p>
    <w:p w14:paraId="70C18CB0" w14:textId="77777777" w:rsidR="001A0270" w:rsidRDefault="001A0270" w:rsidP="004235C7">
      <w:pPr>
        <w:spacing w:line="240" w:lineRule="auto"/>
        <w:rPr>
          <w:rFonts w:eastAsia="Times New Roman" w:cs="Arial"/>
          <w:color w:val="000000"/>
          <w:szCs w:val="42"/>
          <w:lang w:eastAsia="bg-BG"/>
        </w:rPr>
      </w:pPr>
    </w:p>
    <w:p w14:paraId="5E13E7E7" w14:textId="77777777" w:rsidR="001A0270" w:rsidRPr="001A0270" w:rsidRDefault="001A0270" w:rsidP="004235C7">
      <w:pPr>
        <w:spacing w:line="240" w:lineRule="auto"/>
        <w:rPr>
          <w:rFonts w:eastAsia="Times New Roman" w:cs="Arial"/>
          <w:sz w:val="2"/>
          <w:szCs w:val="24"/>
          <w:lang w:val="ru-RU"/>
        </w:rPr>
      </w:pPr>
    </w:p>
    <w:p w14:paraId="26535098" w14:textId="4C3F286F" w:rsidR="00395555" w:rsidRDefault="002C50EE" w:rsidP="008A6AF2">
      <w:pPr>
        <w:pStyle w:val="Heading2"/>
      </w:pPr>
      <w:r>
        <w:t>5.2. Фармакокинетични свойства</w:t>
      </w:r>
    </w:p>
    <w:p w14:paraId="2DFF04C4" w14:textId="2B668FE6" w:rsidR="001A0270" w:rsidRDefault="001A0270" w:rsidP="001A0270"/>
    <w:p w14:paraId="4A1548C9"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Фармакокинетиката на анастрозол е независима от възрастта на постменопаузалните жени.</w:t>
      </w:r>
    </w:p>
    <w:p w14:paraId="1414CEF9" w14:textId="77777777" w:rsidR="001A0270" w:rsidRPr="001A0270" w:rsidRDefault="001A0270" w:rsidP="001A0270">
      <w:pPr>
        <w:spacing w:line="240" w:lineRule="auto"/>
        <w:rPr>
          <w:rFonts w:eastAsia="Times New Roman" w:cs="Arial"/>
          <w:color w:val="000000"/>
          <w:szCs w:val="42"/>
          <w:u w:val="single"/>
          <w:lang w:eastAsia="bg-BG"/>
        </w:rPr>
      </w:pPr>
    </w:p>
    <w:p w14:paraId="2D961A1E" w14:textId="40478DB9" w:rsidR="001A0270" w:rsidRPr="001A0270" w:rsidRDefault="001A0270" w:rsidP="001A0270">
      <w:pPr>
        <w:pStyle w:val="Heading3"/>
        <w:rPr>
          <w:rFonts w:eastAsia="Times New Roman"/>
          <w:sz w:val="12"/>
          <w:u w:val="single"/>
        </w:rPr>
      </w:pPr>
      <w:r w:rsidRPr="001A0270">
        <w:rPr>
          <w:rFonts w:eastAsia="Times New Roman"/>
          <w:u w:val="single"/>
          <w:lang w:eastAsia="bg-BG"/>
        </w:rPr>
        <w:t>Абсорбция</w:t>
      </w:r>
    </w:p>
    <w:p w14:paraId="7274B53B"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Абсорбцията на анастрозол е бърза и максималните плазмени концентрации се достигат до 2 часа след приемането (на гладно). Храната слабо намалява скоростта, но не и степента на резорбция. Не се очаква слабото намаление на скоростта на резорбция да доведе до клинично</w:t>
      </w:r>
    </w:p>
    <w:p w14:paraId="18AB22FA" w14:textId="7D54EBFD" w:rsidR="001A0270" w:rsidRPr="001A0270" w:rsidRDefault="001A0270" w:rsidP="001A0270">
      <w:pPr>
        <w:rPr>
          <w:rFonts w:eastAsia="Times New Roman" w:cs="Arial"/>
          <w:color w:val="000000"/>
          <w:szCs w:val="42"/>
          <w:lang w:eastAsia="bg-BG"/>
        </w:rPr>
      </w:pPr>
      <w:r w:rsidRPr="001A0270">
        <w:rPr>
          <w:rFonts w:eastAsia="Times New Roman" w:cs="Arial"/>
          <w:color w:val="000000"/>
          <w:szCs w:val="42"/>
          <w:lang w:eastAsia="bg-BG"/>
        </w:rPr>
        <w:t>значим ефект върху равновесните концентрации при приемане на анастрозол. Приблизително 90 до 95 % от плазмените равновесни концентрации на анастрозол се достигат след 7 дни. Няма данни за зависимост на фармакокинетичните параметри на анастрозол от времето или дозата.</w:t>
      </w:r>
    </w:p>
    <w:p w14:paraId="3DEE3854" w14:textId="76F3CC3F" w:rsidR="001A0270" w:rsidRPr="001A0270" w:rsidRDefault="001A0270" w:rsidP="001A0270">
      <w:pPr>
        <w:rPr>
          <w:rFonts w:eastAsia="Times New Roman" w:cs="Arial"/>
          <w:color w:val="000000"/>
          <w:szCs w:val="42"/>
          <w:lang w:eastAsia="bg-BG"/>
        </w:rPr>
      </w:pPr>
    </w:p>
    <w:p w14:paraId="46D26CDA" w14:textId="77777777" w:rsidR="001A0270" w:rsidRPr="001A0270" w:rsidRDefault="001A0270" w:rsidP="001A0270">
      <w:pPr>
        <w:pStyle w:val="Heading3"/>
        <w:rPr>
          <w:rFonts w:eastAsia="Times New Roman"/>
          <w:sz w:val="12"/>
          <w:u w:val="single"/>
        </w:rPr>
      </w:pPr>
      <w:r w:rsidRPr="001A0270">
        <w:rPr>
          <w:rFonts w:eastAsia="Times New Roman"/>
          <w:u w:val="single"/>
          <w:lang w:eastAsia="bg-BG"/>
        </w:rPr>
        <w:t>Разпределение</w:t>
      </w:r>
    </w:p>
    <w:p w14:paraId="11A6BF04"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Анастрозол се свързва с плазмените протеини само в 40 %.</w:t>
      </w:r>
    </w:p>
    <w:p w14:paraId="4CED7D24" w14:textId="77777777" w:rsidR="001A0270" w:rsidRDefault="001A0270" w:rsidP="001A0270">
      <w:pPr>
        <w:spacing w:line="240" w:lineRule="auto"/>
        <w:rPr>
          <w:rFonts w:eastAsia="Times New Roman" w:cs="Arial"/>
          <w:color w:val="000000"/>
          <w:szCs w:val="42"/>
          <w:u w:val="single"/>
          <w:lang w:eastAsia="bg-BG"/>
        </w:rPr>
      </w:pPr>
    </w:p>
    <w:p w14:paraId="44FAAB6F" w14:textId="5BB1BEB1" w:rsidR="001A0270" w:rsidRPr="001A0270" w:rsidRDefault="001A0270" w:rsidP="001A0270">
      <w:pPr>
        <w:pStyle w:val="Heading3"/>
        <w:rPr>
          <w:rFonts w:eastAsia="Times New Roman"/>
          <w:sz w:val="12"/>
          <w:u w:val="single"/>
        </w:rPr>
      </w:pPr>
      <w:r w:rsidRPr="001A0270">
        <w:rPr>
          <w:rFonts w:eastAsia="Times New Roman"/>
          <w:u w:val="single"/>
          <w:lang w:eastAsia="bg-BG"/>
        </w:rPr>
        <w:lastRenderedPageBreak/>
        <w:t>Биотрансформация</w:t>
      </w:r>
    </w:p>
    <w:p w14:paraId="5F8F96E4"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Анастрозол се метаболизира много добре при жени в постменопауза, като по-малко от 10 % се екскретират в урината в непроменен вид до 72 часа след приемането. Метаболизмът на анастрозол се извършва чрез </w:t>
      </w:r>
      <w:r w:rsidRPr="001A0270">
        <w:rPr>
          <w:rFonts w:eastAsia="Times New Roman" w:cs="Arial"/>
          <w:color w:val="000000"/>
          <w:szCs w:val="42"/>
          <w:lang w:val="en-US"/>
        </w:rPr>
        <w:t>N</w:t>
      </w:r>
      <w:r w:rsidRPr="001A0270">
        <w:rPr>
          <w:rFonts w:eastAsia="Times New Roman" w:cs="Arial"/>
          <w:color w:val="000000"/>
          <w:szCs w:val="42"/>
          <w:lang w:eastAsia="bg-BG"/>
        </w:rPr>
        <w:t>-деалкилиране, хидроксилиране и глюкуронидизация. Метаболитите се екскретират предимно чрез урината. Триазолът, основният метаболит в плазмата и урината, не инхибира ароматазата.</w:t>
      </w:r>
    </w:p>
    <w:p w14:paraId="27EF4F93" w14:textId="77777777" w:rsidR="001A0270" w:rsidRDefault="001A0270" w:rsidP="001A0270">
      <w:pPr>
        <w:spacing w:line="240" w:lineRule="auto"/>
        <w:rPr>
          <w:rFonts w:eastAsia="Times New Roman" w:cs="Arial"/>
          <w:color w:val="000000"/>
          <w:szCs w:val="42"/>
          <w:u w:val="single"/>
          <w:lang w:eastAsia="bg-BG"/>
        </w:rPr>
      </w:pPr>
    </w:p>
    <w:p w14:paraId="229C934E" w14:textId="4DE6BD0C" w:rsidR="001A0270" w:rsidRPr="001A0270" w:rsidRDefault="001A0270" w:rsidP="001A0270">
      <w:pPr>
        <w:pStyle w:val="Heading3"/>
        <w:rPr>
          <w:rFonts w:eastAsia="Times New Roman"/>
          <w:sz w:val="12"/>
          <w:u w:val="single"/>
        </w:rPr>
      </w:pPr>
      <w:r w:rsidRPr="001A0270">
        <w:rPr>
          <w:rFonts w:eastAsia="Times New Roman"/>
          <w:u w:val="single"/>
          <w:lang w:eastAsia="bg-BG"/>
        </w:rPr>
        <w:t>Елиминиране</w:t>
      </w:r>
    </w:p>
    <w:p w14:paraId="6BCBCF15"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Анастрозол се елиминира бавно с плазмен елиминационен полуживот от 40 до 50 часа. Привидният орален клирънс на анастрозол при доброволци със стабилна чернодробна цироза или бъбречно увреждане е в границите, наблюдавани при здрави доброволци.</w:t>
      </w:r>
    </w:p>
    <w:p w14:paraId="1B9F745F" w14:textId="77777777" w:rsidR="001A0270" w:rsidRDefault="001A0270" w:rsidP="001A0270">
      <w:pPr>
        <w:spacing w:line="240" w:lineRule="auto"/>
        <w:rPr>
          <w:rFonts w:eastAsia="Times New Roman" w:cs="Arial"/>
          <w:color w:val="000000"/>
          <w:szCs w:val="42"/>
          <w:u w:val="single"/>
          <w:lang w:eastAsia="bg-BG"/>
        </w:rPr>
      </w:pPr>
    </w:p>
    <w:p w14:paraId="04D437DE" w14:textId="22CC888E"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Бъбречно или чернодробно увреждане</w:t>
      </w:r>
    </w:p>
    <w:p w14:paraId="5C6FEE07"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Привидният клирънс </w:t>
      </w:r>
      <w:r w:rsidRPr="001A0270">
        <w:rPr>
          <w:rFonts w:eastAsia="Times New Roman" w:cs="Arial"/>
          <w:color w:val="000000"/>
          <w:szCs w:val="42"/>
          <w:lang w:val="ru-RU"/>
        </w:rPr>
        <w:t>(</w:t>
      </w:r>
      <w:r w:rsidRPr="001A0270">
        <w:rPr>
          <w:rFonts w:eastAsia="Times New Roman" w:cs="Arial"/>
          <w:color w:val="000000"/>
          <w:szCs w:val="42"/>
          <w:lang w:val="en-US"/>
        </w:rPr>
        <w:t>CL</w:t>
      </w:r>
      <w:r w:rsidRPr="001A0270">
        <w:rPr>
          <w:rFonts w:eastAsia="Times New Roman" w:cs="Arial"/>
          <w:color w:val="000000"/>
          <w:szCs w:val="42"/>
          <w:lang w:val="ru-RU"/>
        </w:rPr>
        <w:t>/</w:t>
      </w:r>
      <w:r w:rsidRPr="001A0270">
        <w:rPr>
          <w:rFonts w:eastAsia="Times New Roman" w:cs="Arial"/>
          <w:color w:val="000000"/>
          <w:szCs w:val="42"/>
          <w:lang w:val="en-US"/>
        </w:rPr>
        <w:t>F</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на анастрозол след перорално приложение е приблизително по- нисък при доброволци с необратима чернодробна цироза в сравнение със съответстващите им контроли </w:t>
      </w:r>
      <w:r w:rsidRPr="001A0270">
        <w:rPr>
          <w:rFonts w:eastAsia="Times New Roman" w:cs="Arial"/>
          <w:color w:val="000000"/>
          <w:szCs w:val="42"/>
          <w:lang w:val="ru-RU"/>
        </w:rPr>
        <w:t>(</w:t>
      </w:r>
      <w:r w:rsidRPr="001A0270">
        <w:rPr>
          <w:rFonts w:eastAsia="Times New Roman" w:cs="Arial"/>
          <w:color w:val="000000"/>
          <w:szCs w:val="42"/>
          <w:lang w:val="en-US"/>
        </w:rPr>
        <w:t>Study</w:t>
      </w:r>
      <w:r w:rsidRPr="001A0270">
        <w:rPr>
          <w:rFonts w:eastAsia="Times New Roman" w:cs="Arial"/>
          <w:color w:val="000000"/>
          <w:szCs w:val="42"/>
          <w:lang w:val="ru-RU"/>
        </w:rPr>
        <w:t xml:space="preserve"> </w:t>
      </w:r>
      <w:r w:rsidRPr="001A0270">
        <w:rPr>
          <w:rFonts w:eastAsia="Times New Roman" w:cs="Arial"/>
          <w:color w:val="000000"/>
          <w:szCs w:val="42"/>
          <w:lang w:eastAsia="bg-BG"/>
        </w:rPr>
        <w:t>1033</w:t>
      </w:r>
      <w:r w:rsidRPr="001A0270">
        <w:rPr>
          <w:rFonts w:eastAsia="Times New Roman" w:cs="Arial"/>
          <w:color w:val="000000"/>
          <w:szCs w:val="42"/>
          <w:lang w:val="en-US"/>
        </w:rPr>
        <w:t>IL</w:t>
      </w:r>
      <w:r w:rsidRPr="001A0270">
        <w:rPr>
          <w:rFonts w:eastAsia="Times New Roman" w:cs="Arial"/>
          <w:color w:val="000000"/>
          <w:szCs w:val="42"/>
          <w:lang w:val="ru-RU"/>
        </w:rPr>
        <w:t>/</w:t>
      </w:r>
      <w:r w:rsidRPr="001A0270">
        <w:rPr>
          <w:rFonts w:eastAsia="Times New Roman" w:cs="Arial"/>
          <w:color w:val="000000"/>
          <w:szCs w:val="42"/>
          <w:lang w:eastAsia="bg-BG"/>
        </w:rPr>
        <w:t>0014). Все пак плазмените концентрации на анастрозол при доброволците с чернодробна цироза са в диапазона от концентрации, наблюдавани при здрави лица в други проучвания. Плазмените концентрации на анастрозол, наблюдавани по време на дългосрочни изпитвания за ефикасност при пациенти с чернодробно увреждане са в диапазона от плазмени концентрации на анастрозол, наблюдавани при пациенти без чернодробно увреждане.</w:t>
      </w:r>
    </w:p>
    <w:p w14:paraId="6C95B12D" w14:textId="77777777" w:rsidR="001A0270" w:rsidRDefault="001A0270" w:rsidP="001A0270">
      <w:pPr>
        <w:spacing w:line="240" w:lineRule="auto"/>
        <w:rPr>
          <w:rFonts w:eastAsia="Times New Roman" w:cs="Arial"/>
          <w:color w:val="000000"/>
          <w:szCs w:val="42"/>
          <w:lang w:eastAsia="bg-BG"/>
        </w:rPr>
      </w:pPr>
    </w:p>
    <w:p w14:paraId="4D0B6D17" w14:textId="4F40309C"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Привидният клирънс </w:t>
      </w:r>
      <w:r w:rsidRPr="001A0270">
        <w:rPr>
          <w:rFonts w:eastAsia="Times New Roman" w:cs="Arial"/>
          <w:color w:val="000000"/>
          <w:szCs w:val="42"/>
          <w:lang w:val="ru-RU"/>
        </w:rPr>
        <w:t>(</w:t>
      </w:r>
      <w:r w:rsidRPr="001A0270">
        <w:rPr>
          <w:rFonts w:eastAsia="Times New Roman" w:cs="Arial"/>
          <w:color w:val="000000"/>
          <w:szCs w:val="42"/>
          <w:lang w:val="en-US"/>
        </w:rPr>
        <w:t>CL</w:t>
      </w:r>
      <w:r w:rsidRPr="001A0270">
        <w:rPr>
          <w:rFonts w:eastAsia="Times New Roman" w:cs="Arial"/>
          <w:color w:val="000000"/>
          <w:szCs w:val="42"/>
          <w:lang w:val="ru-RU"/>
        </w:rPr>
        <w:t>/</w:t>
      </w:r>
      <w:r w:rsidRPr="001A0270">
        <w:rPr>
          <w:rFonts w:eastAsia="Times New Roman" w:cs="Arial"/>
          <w:color w:val="000000"/>
          <w:szCs w:val="42"/>
          <w:lang w:val="en-US"/>
        </w:rPr>
        <w:t>F</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на анастрозол, след перорално приложение не е променен при доброволци с тежко бъбречно увреждане (скорост на гломерулна филтрация, </w:t>
      </w:r>
      <w:r w:rsidRPr="001A0270">
        <w:rPr>
          <w:rFonts w:eastAsia="Times New Roman" w:cs="Arial"/>
          <w:color w:val="000000"/>
          <w:szCs w:val="42"/>
          <w:lang w:val="en-US"/>
        </w:rPr>
        <w:t>GFR</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&lt;30 </w:t>
      </w:r>
      <w:r w:rsidRPr="001A0270">
        <w:rPr>
          <w:rFonts w:eastAsia="Times New Roman" w:cs="Arial"/>
          <w:color w:val="000000"/>
          <w:szCs w:val="42"/>
          <w:lang w:val="en-US"/>
        </w:rPr>
        <w:t>ml</w:t>
      </w:r>
      <w:r w:rsidRPr="001A0270">
        <w:rPr>
          <w:rFonts w:eastAsia="Times New Roman" w:cs="Arial"/>
          <w:color w:val="000000"/>
          <w:szCs w:val="42"/>
          <w:lang w:val="ru-RU"/>
        </w:rPr>
        <w:t>/</w:t>
      </w:r>
      <w:r w:rsidRPr="001A0270">
        <w:rPr>
          <w:rFonts w:eastAsia="Times New Roman" w:cs="Arial"/>
          <w:color w:val="000000"/>
          <w:szCs w:val="42"/>
          <w:lang w:val="en-US"/>
        </w:rPr>
        <w:t>min</w:t>
      </w:r>
      <w:r w:rsidRPr="001A0270">
        <w:rPr>
          <w:rFonts w:eastAsia="Times New Roman" w:cs="Arial"/>
          <w:color w:val="000000"/>
          <w:szCs w:val="42"/>
          <w:lang w:val="ru-RU"/>
        </w:rPr>
        <w:t xml:space="preserve">) </w:t>
      </w:r>
      <w:r w:rsidRPr="001A0270">
        <w:rPr>
          <w:rFonts w:eastAsia="Times New Roman" w:cs="Arial"/>
          <w:color w:val="000000"/>
          <w:szCs w:val="42"/>
          <w:lang w:eastAsia="bg-BG"/>
        </w:rPr>
        <w:t>в проучване 1</w:t>
      </w:r>
      <w:r w:rsidRPr="001A0270">
        <w:rPr>
          <w:rFonts w:eastAsia="Times New Roman" w:cs="Arial"/>
          <w:color w:val="000000"/>
          <w:szCs w:val="42"/>
          <w:lang w:val="ru-RU"/>
        </w:rPr>
        <w:t>033</w:t>
      </w:r>
      <w:r w:rsidRPr="001A0270">
        <w:rPr>
          <w:rFonts w:eastAsia="Times New Roman" w:cs="Arial"/>
          <w:color w:val="000000"/>
          <w:szCs w:val="42"/>
          <w:lang w:val="en-US"/>
        </w:rPr>
        <w:t>IL</w:t>
      </w:r>
      <w:r w:rsidRPr="001A0270">
        <w:rPr>
          <w:rFonts w:eastAsia="Times New Roman" w:cs="Arial"/>
          <w:color w:val="000000"/>
          <w:szCs w:val="42"/>
          <w:lang w:val="ru-RU"/>
        </w:rPr>
        <w:t>/00</w:t>
      </w:r>
      <w:r w:rsidRPr="001A0270">
        <w:rPr>
          <w:rFonts w:eastAsia="Times New Roman" w:cs="Arial"/>
          <w:color w:val="000000"/>
          <w:szCs w:val="42"/>
          <w:lang w:eastAsia="bg-BG"/>
        </w:rPr>
        <w:t>18, което е в съответствие с факта, че анастрозол се елиминира главно чрез метаболизъм. Плазмените концентрации на анастрозол, наблюдавани по време на дългосрочни проучвания за ефикасност при пациенти с бъбречно увреждане са в диапазона от плазмени концентрации на анастрозол, наблюдавани при пациенти без бъбречно увреждане. Анастрозол трябва да се прилага с повишено внимание при пациенти с тежко бъбречно увреждане (вж. точка 4.2 и 4.4).</w:t>
      </w:r>
    </w:p>
    <w:p w14:paraId="4C21C3FE" w14:textId="77777777" w:rsidR="001A0270" w:rsidRPr="001A0270" w:rsidRDefault="001A0270" w:rsidP="001A0270">
      <w:pPr>
        <w:spacing w:line="240" w:lineRule="auto"/>
        <w:rPr>
          <w:rFonts w:eastAsia="Times New Roman" w:cs="Arial"/>
          <w:color w:val="000000"/>
          <w:szCs w:val="42"/>
          <w:u w:val="single"/>
          <w:lang w:eastAsia="bg-BG"/>
        </w:rPr>
      </w:pPr>
    </w:p>
    <w:p w14:paraId="4A64F06F" w14:textId="53D276BB"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Педиатрична популация</w:t>
      </w:r>
    </w:p>
    <w:p w14:paraId="1D68AD71"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При момчета с гинекомастия (10-17 години) през пубертета анастрозол се резорбира бързо, разпределя се широко и се елиминира бавно с полуживот приблизително 2 дни. При момичета (3-10 години) клирънсът на анастрозол е по-нисък, отколкото при по-големите момчета, а експозицията му е по-висока. При момичета анастрозол се разпределя широко и се елиминира бавно.</w:t>
      </w:r>
    </w:p>
    <w:p w14:paraId="01EF9602" w14:textId="77777777" w:rsidR="001A0270" w:rsidRPr="001A0270" w:rsidRDefault="001A0270" w:rsidP="001A0270"/>
    <w:p w14:paraId="028E658A" w14:textId="45BB09C0" w:rsidR="00395555" w:rsidRDefault="002C50EE" w:rsidP="008A6AF2">
      <w:pPr>
        <w:pStyle w:val="Heading2"/>
      </w:pPr>
      <w:r>
        <w:t>5.3. Предклинични данни за безопасност</w:t>
      </w:r>
    </w:p>
    <w:p w14:paraId="3371F513" w14:textId="35D3AA14" w:rsidR="001A0270" w:rsidRDefault="001A0270" w:rsidP="001A0270"/>
    <w:p w14:paraId="0876E944" w14:textId="77777777" w:rsidR="001A0270" w:rsidRPr="001A0270" w:rsidRDefault="001A0270" w:rsidP="001A0270">
      <w:pPr>
        <w:rPr>
          <w:sz w:val="24"/>
          <w:szCs w:val="24"/>
        </w:rPr>
      </w:pPr>
      <w:r w:rsidRPr="001A0270">
        <w:rPr>
          <w:lang w:eastAsia="bg-BG"/>
        </w:rPr>
        <w:t>Неклиничните данни не показват особен риск за хора от популацията, за която продуктът е показан, на базата на конвенционалните фармакологични изпитвания за безопасност, токсичност при многократно прилагане, генотоксичност, канцерогенен потенциал и репродуктивна токсичност.</w:t>
      </w:r>
    </w:p>
    <w:p w14:paraId="13EC758A" w14:textId="77777777" w:rsidR="001A0270" w:rsidRDefault="001A0270" w:rsidP="001A0270">
      <w:pPr>
        <w:rPr>
          <w:u w:val="single"/>
          <w:lang w:eastAsia="bg-BG"/>
        </w:rPr>
      </w:pPr>
    </w:p>
    <w:p w14:paraId="54DF8390" w14:textId="75C14E79" w:rsidR="001A0270" w:rsidRPr="001A0270" w:rsidRDefault="001A0270" w:rsidP="001A0270">
      <w:pPr>
        <w:rPr>
          <w:sz w:val="24"/>
          <w:szCs w:val="24"/>
        </w:rPr>
      </w:pPr>
      <w:r w:rsidRPr="001A0270">
        <w:rPr>
          <w:u w:val="single"/>
          <w:lang w:eastAsia="bg-BG"/>
        </w:rPr>
        <w:t>Остра токсичност</w:t>
      </w:r>
    </w:p>
    <w:p w14:paraId="1DC6FC14" w14:textId="77777777" w:rsidR="001A0270" w:rsidRPr="001A0270" w:rsidRDefault="001A0270" w:rsidP="001A0270">
      <w:pPr>
        <w:rPr>
          <w:sz w:val="24"/>
          <w:szCs w:val="24"/>
        </w:rPr>
      </w:pPr>
      <w:r w:rsidRPr="001A0270">
        <w:rPr>
          <w:lang w:eastAsia="bg-BG"/>
        </w:rPr>
        <w:t xml:space="preserve">В проучвания при животни токсичност се наблюдава само при прилагане на </w:t>
      </w:r>
      <w:r w:rsidRPr="001A0270">
        <w:rPr>
          <w:u w:val="single"/>
          <w:lang w:eastAsia="bg-BG"/>
        </w:rPr>
        <w:t>високи</w:t>
      </w:r>
      <w:r w:rsidRPr="001A0270">
        <w:rPr>
          <w:lang w:eastAsia="bg-BG"/>
        </w:rPr>
        <w:t xml:space="preserve"> дози. В проучвания за остра токсичност при гризачи следната летална доза на анастрозол е била по- висока от 100 </w:t>
      </w:r>
      <w:r w:rsidRPr="001A0270">
        <w:rPr>
          <w:lang w:val="en-US"/>
        </w:rPr>
        <w:t>mg</w:t>
      </w:r>
      <w:r w:rsidRPr="001A0270">
        <w:rPr>
          <w:lang w:val="ru-RU"/>
        </w:rPr>
        <w:t>/</w:t>
      </w:r>
      <w:r w:rsidRPr="001A0270">
        <w:rPr>
          <w:lang w:val="en-US"/>
        </w:rPr>
        <w:t>kg</w:t>
      </w:r>
      <w:r w:rsidRPr="001A0270">
        <w:rPr>
          <w:lang w:eastAsia="bg-BG"/>
        </w:rPr>
        <w:t xml:space="preserve">/ден при перорално приемане и по-голяма от 50 </w:t>
      </w:r>
      <w:r w:rsidRPr="001A0270">
        <w:rPr>
          <w:lang w:val="en-US"/>
        </w:rPr>
        <w:t>mg</w:t>
      </w:r>
      <w:r w:rsidRPr="001A0270">
        <w:rPr>
          <w:lang w:val="ru-RU"/>
        </w:rPr>
        <w:t>/</w:t>
      </w:r>
      <w:r w:rsidRPr="001A0270">
        <w:rPr>
          <w:lang w:val="en-US"/>
        </w:rPr>
        <w:t>kg</w:t>
      </w:r>
      <w:r w:rsidRPr="001A0270">
        <w:rPr>
          <w:lang w:val="ru-RU"/>
        </w:rPr>
        <w:t>/</w:t>
      </w:r>
      <w:r w:rsidRPr="001A0270">
        <w:rPr>
          <w:lang w:eastAsia="bg-BG"/>
        </w:rPr>
        <w:t xml:space="preserve">ден </w:t>
      </w:r>
      <w:r w:rsidRPr="001A0270">
        <w:rPr>
          <w:lang w:eastAsia="bg-BG"/>
        </w:rPr>
        <w:lastRenderedPageBreak/>
        <w:t>при интраперитонеално въвеждане. В проучване за остра токсичност при перорално приложение при кучета, средната летална доза за кучета е била по-висока от 45</w:t>
      </w:r>
      <w:r w:rsidRPr="001A0270">
        <w:rPr>
          <w:lang w:val="en-US"/>
        </w:rPr>
        <w:t>mg</w:t>
      </w:r>
      <w:r w:rsidRPr="001A0270">
        <w:rPr>
          <w:lang w:val="ru-RU"/>
        </w:rPr>
        <w:t>/</w:t>
      </w:r>
      <w:r w:rsidRPr="001A0270">
        <w:rPr>
          <w:lang w:val="en-US"/>
        </w:rPr>
        <w:t>kg</w:t>
      </w:r>
      <w:r w:rsidRPr="001A0270">
        <w:rPr>
          <w:lang w:val="ru-RU"/>
        </w:rPr>
        <w:t>/</w:t>
      </w:r>
      <w:r w:rsidRPr="001A0270">
        <w:rPr>
          <w:lang w:eastAsia="bg-BG"/>
        </w:rPr>
        <w:t>ден.</w:t>
      </w:r>
    </w:p>
    <w:p w14:paraId="14308262" w14:textId="7165F317" w:rsidR="001A0270" w:rsidRDefault="001A0270" w:rsidP="001A0270"/>
    <w:p w14:paraId="3CAC6FC9"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Хронична токсичност</w:t>
      </w:r>
    </w:p>
    <w:p w14:paraId="3E493E39"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В проучвания при животни нежелани реакции се наблюдават само при прилагане на високи дози. Проучвания за токсичност при многократно приложение са проведени върху плъхове и кучета. При токсичните изследвания не е установена прагова неефективна доза. Ефектите, които са били наблюдавани при ниска доза (1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eastAsia="bg-BG"/>
        </w:rPr>
        <w:t xml:space="preserve">/ден) и при умерени дози (при куче 3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eastAsia="bg-BG"/>
        </w:rPr>
        <w:t xml:space="preserve">/ден и плъх 5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eastAsia="bg-BG"/>
        </w:rPr>
        <w:t>/ден) са свързани с фармакологично или ензимно индуцирани свойства на анастрозола и не са съпроводени от токсични или дегенеративни промени.</w:t>
      </w:r>
    </w:p>
    <w:p w14:paraId="29F5F709" w14:textId="77777777" w:rsidR="001A0270" w:rsidRDefault="001A0270" w:rsidP="001A0270">
      <w:pPr>
        <w:spacing w:line="240" w:lineRule="auto"/>
        <w:rPr>
          <w:rFonts w:eastAsia="Times New Roman" w:cs="Arial"/>
          <w:color w:val="000000"/>
          <w:szCs w:val="42"/>
          <w:u w:val="single"/>
          <w:lang w:eastAsia="bg-BG"/>
        </w:rPr>
      </w:pPr>
    </w:p>
    <w:p w14:paraId="1AE4E022" w14:textId="6EFE39A2"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Мутагенен потенциал</w:t>
      </w:r>
    </w:p>
    <w:p w14:paraId="59774082"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Проучванията за генетична токсичност на анастрозол показват, че той няма мутагенен или кластогенен потенциал.</w:t>
      </w:r>
    </w:p>
    <w:p w14:paraId="50E15171" w14:textId="77777777" w:rsidR="001A0270" w:rsidRDefault="001A0270" w:rsidP="001A0270">
      <w:pPr>
        <w:spacing w:line="240" w:lineRule="auto"/>
        <w:rPr>
          <w:rFonts w:eastAsia="Times New Roman" w:cs="Arial"/>
          <w:color w:val="000000"/>
          <w:szCs w:val="42"/>
          <w:u w:val="single"/>
          <w:lang w:eastAsia="bg-BG"/>
        </w:rPr>
      </w:pPr>
    </w:p>
    <w:p w14:paraId="4EF291FE" w14:textId="52FD0CCF"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Репродуктивна токсичност</w:t>
      </w:r>
    </w:p>
    <w:p w14:paraId="4AD7A426"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В проучване за ефект върху фертилитета на наскоро отбити мъжки плъхове анастрозол е прилаган перорално с водата за пиене в доза 50 или 400 </w:t>
      </w:r>
      <w:r w:rsidRPr="001A0270">
        <w:rPr>
          <w:rFonts w:eastAsia="Times New Roman" w:cs="Arial"/>
          <w:color w:val="000000"/>
          <w:szCs w:val="42"/>
          <w:lang w:val="en-US"/>
        </w:rPr>
        <w:t>mg</w:t>
      </w:r>
      <w:r w:rsidRPr="001A0270">
        <w:rPr>
          <w:rFonts w:eastAsia="Times New Roman" w:cs="Arial"/>
          <w:color w:val="000000"/>
          <w:szCs w:val="42"/>
          <w:lang w:val="ru-RU"/>
        </w:rPr>
        <w:t xml:space="preserve">/1 </w:t>
      </w:r>
      <w:r w:rsidRPr="001A0270">
        <w:rPr>
          <w:rFonts w:eastAsia="Times New Roman" w:cs="Arial"/>
          <w:color w:val="000000"/>
          <w:szCs w:val="42"/>
          <w:lang w:eastAsia="bg-BG"/>
        </w:rPr>
        <w:t xml:space="preserve">в продължение на 10 седмици. Измерените средни плазмени концентрации са съответно 44,4 (± 14,7) </w:t>
      </w:r>
      <w:r w:rsidRPr="001A0270">
        <w:rPr>
          <w:rFonts w:eastAsia="Times New Roman" w:cs="Arial"/>
          <w:color w:val="000000"/>
          <w:szCs w:val="42"/>
          <w:lang w:val="en-US"/>
        </w:rPr>
        <w:t>ng</w:t>
      </w:r>
      <w:r w:rsidRPr="001A0270">
        <w:rPr>
          <w:rFonts w:eastAsia="Times New Roman" w:cs="Arial"/>
          <w:color w:val="000000"/>
          <w:szCs w:val="42"/>
          <w:lang w:val="ru-RU"/>
        </w:rPr>
        <w:t>/</w:t>
      </w:r>
      <w:r w:rsidRPr="001A0270">
        <w:rPr>
          <w:rFonts w:eastAsia="Times New Roman" w:cs="Arial"/>
          <w:color w:val="000000"/>
          <w:szCs w:val="42"/>
          <w:lang w:val="en-US"/>
        </w:rPr>
        <w:t>ml</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и 165 (± 90) </w:t>
      </w:r>
      <w:r w:rsidRPr="001A0270">
        <w:rPr>
          <w:rFonts w:eastAsia="Times New Roman" w:cs="Arial"/>
          <w:color w:val="000000"/>
          <w:szCs w:val="42"/>
          <w:lang w:val="en-US"/>
        </w:rPr>
        <w:t>ng</w:t>
      </w:r>
      <w:r w:rsidRPr="001A0270">
        <w:rPr>
          <w:rFonts w:eastAsia="Times New Roman" w:cs="Arial"/>
          <w:color w:val="000000"/>
          <w:szCs w:val="42"/>
          <w:lang w:val="ru-RU"/>
        </w:rPr>
        <w:t>/</w:t>
      </w:r>
      <w:r w:rsidRPr="001A0270">
        <w:rPr>
          <w:rFonts w:eastAsia="Times New Roman" w:cs="Arial"/>
          <w:color w:val="000000"/>
          <w:szCs w:val="42"/>
          <w:lang w:val="en-US"/>
        </w:rPr>
        <w:t>ml</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Показателите за чифтосване са повлияни негативно и в двете групи, но понижен фертилитет е установен само в групата, получавала анастрозол в доза 400 </w:t>
      </w:r>
      <w:r w:rsidRPr="001A0270">
        <w:rPr>
          <w:rFonts w:eastAsia="Times New Roman" w:cs="Arial"/>
          <w:color w:val="000000"/>
          <w:szCs w:val="42"/>
          <w:lang w:val="en-US"/>
        </w:rPr>
        <w:t>mg</w:t>
      </w:r>
      <w:r w:rsidRPr="001A0270">
        <w:rPr>
          <w:rFonts w:eastAsia="Times New Roman" w:cs="Arial"/>
          <w:color w:val="000000"/>
          <w:szCs w:val="42"/>
          <w:lang w:val="ru-RU"/>
        </w:rPr>
        <w:t xml:space="preserve">/1. </w:t>
      </w:r>
      <w:r w:rsidRPr="001A0270">
        <w:rPr>
          <w:rFonts w:eastAsia="Times New Roman" w:cs="Arial"/>
          <w:color w:val="000000"/>
          <w:szCs w:val="42"/>
          <w:lang w:eastAsia="bg-BG"/>
        </w:rPr>
        <w:t>Понижаването на фертилитета е преходно - след 9-седмичен период на възстановяване без прием на лекарствения продукт всички показатели за чифтосване и фертилитет са сходни с тези в контролната група.</w:t>
      </w:r>
    </w:p>
    <w:p w14:paraId="23B0DC38" w14:textId="77777777" w:rsidR="001A0270" w:rsidRDefault="001A0270" w:rsidP="001A0270">
      <w:pPr>
        <w:spacing w:line="240" w:lineRule="auto"/>
        <w:rPr>
          <w:rFonts w:eastAsia="Times New Roman" w:cs="Arial"/>
          <w:color w:val="000000"/>
          <w:szCs w:val="42"/>
          <w:lang w:eastAsia="bg-BG"/>
        </w:rPr>
      </w:pPr>
    </w:p>
    <w:p w14:paraId="4DC12EB4" w14:textId="05E7ABA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Пероралното приложение на анастрозол при женски плъхове води до висока честота на развитие на безплодие при дози от 1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eastAsia="bg-BG"/>
        </w:rPr>
        <w:t xml:space="preserve">/дневно и до повишена предимплантационна загуба в дози от 0,02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val="ru-RU"/>
        </w:rPr>
        <w:t xml:space="preserve">/ </w:t>
      </w:r>
      <w:r w:rsidRPr="001A0270">
        <w:rPr>
          <w:rFonts w:eastAsia="Times New Roman" w:cs="Arial"/>
          <w:color w:val="000000"/>
          <w:szCs w:val="42"/>
          <w:lang w:eastAsia="bg-BG"/>
        </w:rPr>
        <w:t>дневно. Тези ефекти се появяват при приложими клинично дози. Не може да се изключи вероятността за ефект при хора. Тези ефекти са свързани с фармакологичното действие на лекарственото вещество и са напълно обратими и изчезват след 5 - седмичен период на прекратяване на лечението.</w:t>
      </w:r>
    </w:p>
    <w:p w14:paraId="0729949F"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Пероралното приложение на анастрозол при бременни плъхове и зайци не предизвиква тератогенни ефекти в дози респективно 1,0 и 2,0 </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eastAsia="bg-BG"/>
        </w:rPr>
        <w:t>/дневно. Наблюдаваните ефекти (хипертрофия на плацентата при плъхове и прекъсване на бременността при зайци) са свързани с фармакологичните свойства на лекарственото вещество.</w:t>
      </w:r>
    </w:p>
    <w:p w14:paraId="490CAA22" w14:textId="77777777" w:rsidR="001A0270" w:rsidRDefault="001A0270" w:rsidP="001A0270">
      <w:pPr>
        <w:spacing w:line="240" w:lineRule="auto"/>
        <w:rPr>
          <w:rFonts w:eastAsia="Times New Roman" w:cs="Arial"/>
          <w:color w:val="000000"/>
          <w:szCs w:val="42"/>
          <w:lang w:eastAsia="bg-BG"/>
        </w:rPr>
      </w:pPr>
    </w:p>
    <w:p w14:paraId="61375A72" w14:textId="0FBC621D"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Преживяването на потомството на плъхове, третирани с анастрозол в дози от и над </w:t>
      </w:r>
      <w:r w:rsidRPr="001A0270">
        <w:rPr>
          <w:rFonts w:eastAsia="Times New Roman" w:cs="Arial"/>
          <w:color w:val="000000"/>
          <w:szCs w:val="42"/>
          <w:lang w:val="ru-RU"/>
        </w:rPr>
        <w:t>0,02</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val="ru-RU"/>
        </w:rPr>
        <w:t>/</w:t>
      </w:r>
      <w:r w:rsidRPr="001A0270">
        <w:rPr>
          <w:rFonts w:eastAsia="Times New Roman" w:cs="Arial"/>
          <w:color w:val="000000"/>
          <w:szCs w:val="42"/>
          <w:lang w:eastAsia="bg-BG"/>
        </w:rPr>
        <w:t>дневн</w:t>
      </w:r>
      <w:r w:rsidRPr="001A0270">
        <w:rPr>
          <w:rFonts w:eastAsia="Times New Roman" w:cs="Arial"/>
          <w:color w:val="000000"/>
          <w:szCs w:val="42"/>
          <w:lang w:val="en-US"/>
        </w:rPr>
        <w:t>o</w:t>
      </w:r>
      <w:r w:rsidRPr="001A0270">
        <w:rPr>
          <w:rFonts w:eastAsia="Times New Roman" w:cs="Arial"/>
          <w:color w:val="000000"/>
          <w:szCs w:val="42"/>
          <w:lang w:val="ru-RU"/>
        </w:rPr>
        <w:t xml:space="preserve"> </w:t>
      </w:r>
      <w:r w:rsidRPr="001A0270">
        <w:rPr>
          <w:rFonts w:eastAsia="Times New Roman" w:cs="Arial"/>
          <w:color w:val="000000"/>
          <w:szCs w:val="42"/>
          <w:lang w:eastAsia="bg-BG"/>
        </w:rPr>
        <w:t>(от 17 ден на бременността до 22 ден след раждането) е нарушена. Тези ефекти са свързани с фармакологичните ефекти на веществото върху раждането. Не са наблюдавани странични явления в поведението или репродуктивните възможности на първото поколение, които да бъдат свързани с третирането на майката с анастрозол.</w:t>
      </w:r>
    </w:p>
    <w:p w14:paraId="39289501" w14:textId="77777777" w:rsidR="001A0270" w:rsidRDefault="001A0270" w:rsidP="001A0270">
      <w:pPr>
        <w:spacing w:line="240" w:lineRule="auto"/>
        <w:rPr>
          <w:rFonts w:eastAsia="Times New Roman" w:cs="Arial"/>
          <w:color w:val="000000"/>
          <w:szCs w:val="42"/>
          <w:u w:val="single"/>
          <w:lang w:eastAsia="bg-BG"/>
        </w:rPr>
      </w:pPr>
    </w:p>
    <w:p w14:paraId="2395BA95" w14:textId="1CC47E28"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u w:val="single"/>
          <w:lang w:eastAsia="bg-BG"/>
        </w:rPr>
        <w:t>Карциногенен потенциал</w:t>
      </w:r>
    </w:p>
    <w:p w14:paraId="4223A093" w14:textId="77777777"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 xml:space="preserve">Резултатите от двугодишно проучване на онкогенността при плъхове показват нарастване на заболяемостта от чернодробни неоплазми и полипи на тялото на матката при женски и тиреоидни аденоми при мъжки животни само при високи дози </w:t>
      </w:r>
      <w:r w:rsidRPr="001A0270">
        <w:rPr>
          <w:rFonts w:eastAsia="Times New Roman" w:cs="Arial"/>
          <w:color w:val="000000"/>
          <w:szCs w:val="42"/>
          <w:lang w:val="ru-RU"/>
        </w:rPr>
        <w:t>(25</w:t>
      </w:r>
      <w:r w:rsidRPr="001A0270">
        <w:rPr>
          <w:rFonts w:eastAsia="Times New Roman" w:cs="Arial"/>
          <w:color w:val="000000"/>
          <w:szCs w:val="42"/>
          <w:lang w:val="en-US"/>
        </w:rPr>
        <w:t>mg</w:t>
      </w:r>
      <w:r w:rsidRPr="001A0270">
        <w:rPr>
          <w:rFonts w:eastAsia="Times New Roman" w:cs="Arial"/>
          <w:color w:val="000000"/>
          <w:szCs w:val="42"/>
          <w:lang w:val="ru-RU"/>
        </w:rPr>
        <w:t>/</w:t>
      </w:r>
      <w:r w:rsidRPr="001A0270">
        <w:rPr>
          <w:rFonts w:eastAsia="Times New Roman" w:cs="Arial"/>
          <w:color w:val="000000"/>
          <w:szCs w:val="42"/>
          <w:lang w:val="en-US"/>
        </w:rPr>
        <w:t>kg</w:t>
      </w:r>
      <w:r w:rsidRPr="001A0270">
        <w:rPr>
          <w:rFonts w:eastAsia="Times New Roman" w:cs="Arial"/>
          <w:color w:val="000000"/>
          <w:szCs w:val="42"/>
          <w:lang w:val="ru-RU"/>
        </w:rPr>
        <w:t>/</w:t>
      </w:r>
      <w:r w:rsidRPr="001A0270">
        <w:rPr>
          <w:rFonts w:eastAsia="Times New Roman" w:cs="Arial"/>
          <w:color w:val="000000"/>
          <w:szCs w:val="42"/>
          <w:lang w:eastAsia="bg-BG"/>
        </w:rPr>
        <w:t>дневно</w:t>
      </w:r>
      <w:r w:rsidRPr="001A0270">
        <w:rPr>
          <w:rFonts w:eastAsia="Times New Roman" w:cs="Arial"/>
          <w:color w:val="000000"/>
          <w:szCs w:val="42"/>
          <w:lang w:val="ru-RU"/>
        </w:rPr>
        <w:t xml:space="preserve">). </w:t>
      </w:r>
      <w:r w:rsidRPr="001A0270">
        <w:rPr>
          <w:rFonts w:eastAsia="Times New Roman" w:cs="Arial"/>
          <w:color w:val="000000"/>
          <w:szCs w:val="42"/>
          <w:lang w:eastAsia="bg-BG"/>
        </w:rPr>
        <w:t xml:space="preserve">Тези промени възникват при доза, която е 100-кратно по-висока от </w:t>
      </w:r>
      <w:r w:rsidRPr="001A0270">
        <w:rPr>
          <w:rFonts w:eastAsia="Times New Roman" w:cs="Arial"/>
          <w:color w:val="000000"/>
          <w:szCs w:val="42"/>
          <w:lang w:eastAsia="bg-BG"/>
        </w:rPr>
        <w:lastRenderedPageBreak/>
        <w:t>тази, която се приема като терапевтична при хора и се смята, че промените не са от клинично значение за хора, лекувани с анастрозол.</w:t>
      </w:r>
    </w:p>
    <w:p w14:paraId="5F245421" w14:textId="77777777" w:rsidR="001A0270" w:rsidRDefault="001A0270" w:rsidP="001A0270">
      <w:pPr>
        <w:spacing w:line="240" w:lineRule="auto"/>
        <w:rPr>
          <w:rFonts w:eastAsia="Times New Roman" w:cs="Arial"/>
          <w:color w:val="000000"/>
          <w:szCs w:val="42"/>
          <w:lang w:eastAsia="bg-BG"/>
        </w:rPr>
      </w:pPr>
    </w:p>
    <w:p w14:paraId="6BD3F4F3" w14:textId="64E92459" w:rsidR="001A0270" w:rsidRPr="001A0270" w:rsidRDefault="001A0270" w:rsidP="001A0270">
      <w:pPr>
        <w:spacing w:line="240" w:lineRule="auto"/>
        <w:rPr>
          <w:rFonts w:eastAsia="Times New Roman" w:cs="Arial"/>
          <w:sz w:val="12"/>
          <w:szCs w:val="24"/>
        </w:rPr>
      </w:pPr>
      <w:r w:rsidRPr="001A0270">
        <w:rPr>
          <w:rFonts w:eastAsia="Times New Roman" w:cs="Arial"/>
          <w:color w:val="000000"/>
          <w:szCs w:val="42"/>
          <w:lang w:eastAsia="bg-BG"/>
        </w:rPr>
        <w:t>Резултатите от двугодишно проучване на онкогенността при мишки показват индукция на доброкачествени овариални тумори и нарушения на заболеваемостта от лимфоретикуларни неоплазми (по-малко хистиоцитни саркоми при женски и повече смъртни случаи като резултат от лимфоми). Тези промени се разглеждат като ефекти, типично наблюдавани при мишки при лечение с ароматазни инхибитори и не са от клинично значение за лечението на хора с анастрозол.</w:t>
      </w:r>
    </w:p>
    <w:p w14:paraId="6F2BAFE4" w14:textId="77777777" w:rsidR="001A0270" w:rsidRPr="001A0270" w:rsidRDefault="001A0270" w:rsidP="001A0270"/>
    <w:p w14:paraId="6A7820AB" w14:textId="5C12DF6C" w:rsidR="008A6AF2" w:rsidRDefault="002C50EE" w:rsidP="00395555">
      <w:pPr>
        <w:pStyle w:val="Heading1"/>
      </w:pPr>
      <w:r>
        <w:t>7. ПРИТЕЖАТЕЛ НА РАЗРЕШЕНИЕТО ЗА УПОТРЕБА</w:t>
      </w:r>
    </w:p>
    <w:p w14:paraId="5B121331" w14:textId="5F771A49" w:rsidR="001A0270" w:rsidRDefault="001A0270" w:rsidP="001A0270"/>
    <w:p w14:paraId="41133765" w14:textId="77777777" w:rsidR="001A0270" w:rsidRPr="001A0270" w:rsidRDefault="001A0270" w:rsidP="001A0270">
      <w:pPr>
        <w:rPr>
          <w:sz w:val="24"/>
          <w:szCs w:val="24"/>
        </w:rPr>
      </w:pPr>
      <w:r w:rsidRPr="001A0270">
        <w:rPr>
          <w:lang w:eastAsia="bg-BG"/>
        </w:rPr>
        <w:t>НЕОЛА ФАРМА ЕООД</w:t>
      </w:r>
    </w:p>
    <w:p w14:paraId="19410578" w14:textId="77777777" w:rsidR="001A0270" w:rsidRPr="001A0270" w:rsidRDefault="001A0270" w:rsidP="001A0270">
      <w:pPr>
        <w:rPr>
          <w:sz w:val="24"/>
          <w:szCs w:val="24"/>
        </w:rPr>
      </w:pPr>
      <w:r w:rsidRPr="001A0270">
        <w:rPr>
          <w:lang w:eastAsia="bg-BG"/>
        </w:rPr>
        <w:t>Ул. Бяло поле № 17, ет. 3, ап. 8,</w:t>
      </w:r>
    </w:p>
    <w:p w14:paraId="77385A67" w14:textId="6E7B9605" w:rsidR="001A0270" w:rsidRPr="001A0270" w:rsidRDefault="001A0270" w:rsidP="001A0270">
      <w:r w:rsidRPr="001A0270">
        <w:rPr>
          <w:lang w:eastAsia="bg-BG"/>
        </w:rPr>
        <w:t>София 1618, България</w:t>
      </w:r>
    </w:p>
    <w:p w14:paraId="04840D59" w14:textId="16373E52" w:rsidR="002C50EE" w:rsidRDefault="002C50EE" w:rsidP="00395555">
      <w:pPr>
        <w:pStyle w:val="Heading1"/>
      </w:pPr>
      <w:r>
        <w:t>8. НОМЕР НА РАЗРЕШЕНИЕТО ЗА УПОТРЕБА</w:t>
      </w:r>
    </w:p>
    <w:p w14:paraId="605E970B" w14:textId="27D5773C" w:rsidR="001A0270" w:rsidRDefault="001A0270" w:rsidP="001A0270"/>
    <w:p w14:paraId="434C0466" w14:textId="5C8BEE6B" w:rsidR="001A0270" w:rsidRPr="001A0270" w:rsidRDefault="001A0270" w:rsidP="001A0270">
      <w:pPr>
        <w:rPr>
          <w:sz w:val="24"/>
          <w:szCs w:val="24"/>
        </w:rPr>
      </w:pPr>
      <w:r w:rsidRPr="001A0270">
        <w:rPr>
          <w:lang w:eastAsia="bg-BG"/>
        </w:rPr>
        <w:t>20120509</w:t>
      </w:r>
    </w:p>
    <w:p w14:paraId="2CCB5832" w14:textId="7F46581B" w:rsidR="007C605B" w:rsidRDefault="002C50EE" w:rsidP="007C605B">
      <w:pPr>
        <w:pStyle w:val="Heading1"/>
      </w:pPr>
      <w:r>
        <w:t>9. ДАТА НА ПЪРВО РАЗРЕШАВАНЕ/ПОДНОВЯВАНЕ НА РАЗРЕШЕНИЕТО ЗА УПОТРЕБА</w:t>
      </w:r>
    </w:p>
    <w:p w14:paraId="48AF10D3" w14:textId="782552C6" w:rsidR="001A0270" w:rsidRPr="001A0270" w:rsidRDefault="001A0270" w:rsidP="001A0270">
      <w:r>
        <w:t>10.10.2012</w:t>
      </w:r>
    </w:p>
    <w:p w14:paraId="0E9D0119" w14:textId="0245C6D7" w:rsidR="002C50EE" w:rsidRDefault="002C50EE" w:rsidP="002C50EE">
      <w:pPr>
        <w:pStyle w:val="Heading1"/>
      </w:pPr>
      <w:r>
        <w:t>10. ДАТА НА АКТУАЛИЗИРАНЕ НА ТЕКСТА</w:t>
      </w:r>
    </w:p>
    <w:bookmarkEnd w:id="0"/>
    <w:p w14:paraId="43FB38A2" w14:textId="1B7CEB26" w:rsidR="007C605B" w:rsidRPr="003E3126" w:rsidRDefault="001A0270" w:rsidP="001A0270">
      <w:r>
        <w:t>04/2017</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9E75B5"/>
    <w:multiLevelType w:val="hybridMultilevel"/>
    <w:tmpl w:val="07C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3D03796"/>
    <w:multiLevelType w:val="hybridMultilevel"/>
    <w:tmpl w:val="856A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5"/>
  </w:num>
  <w:num w:numId="11">
    <w:abstractNumId w:val="30"/>
  </w:num>
  <w:num w:numId="12">
    <w:abstractNumId w:val="15"/>
  </w:num>
  <w:num w:numId="13">
    <w:abstractNumId w:val="20"/>
  </w:num>
  <w:num w:numId="14">
    <w:abstractNumId w:val="13"/>
  </w:num>
  <w:num w:numId="15">
    <w:abstractNumId w:val="29"/>
  </w:num>
  <w:num w:numId="16">
    <w:abstractNumId w:val="11"/>
  </w:num>
  <w:num w:numId="17">
    <w:abstractNumId w:val="25"/>
  </w:num>
  <w:num w:numId="18">
    <w:abstractNumId w:val="9"/>
  </w:num>
  <w:num w:numId="19">
    <w:abstractNumId w:val="27"/>
  </w:num>
  <w:num w:numId="20">
    <w:abstractNumId w:val="24"/>
  </w:num>
  <w:num w:numId="21">
    <w:abstractNumId w:val="18"/>
  </w:num>
  <w:num w:numId="22">
    <w:abstractNumId w:val="26"/>
  </w:num>
  <w:num w:numId="23">
    <w:abstractNumId w:val="19"/>
  </w:num>
  <w:num w:numId="24">
    <w:abstractNumId w:val="10"/>
  </w:num>
  <w:num w:numId="25">
    <w:abstractNumId w:val="23"/>
  </w:num>
  <w:num w:numId="26">
    <w:abstractNumId w:val="22"/>
  </w:num>
  <w:num w:numId="27">
    <w:abstractNumId w:val="31"/>
  </w:num>
  <w:num w:numId="28">
    <w:abstractNumId w:val="7"/>
  </w:num>
  <w:num w:numId="29">
    <w:abstractNumId w:val="21"/>
  </w:num>
  <w:num w:numId="30">
    <w:abstractNumId w:val="32"/>
  </w:num>
  <w:num w:numId="31">
    <w:abstractNumId w:val="6"/>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90161"/>
    <w:rsid w:val="00185A46"/>
    <w:rsid w:val="001915B6"/>
    <w:rsid w:val="001A0270"/>
    <w:rsid w:val="001D1B23"/>
    <w:rsid w:val="002B3C38"/>
    <w:rsid w:val="002B4DBB"/>
    <w:rsid w:val="002C50EE"/>
    <w:rsid w:val="00340A0A"/>
    <w:rsid w:val="003765DC"/>
    <w:rsid w:val="00395555"/>
    <w:rsid w:val="003E3126"/>
    <w:rsid w:val="004235C7"/>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5048B"/>
    <w:rsid w:val="00C809A7"/>
    <w:rsid w:val="00C83063"/>
    <w:rsid w:val="00C87E90"/>
    <w:rsid w:val="00CA1B57"/>
    <w:rsid w:val="00D86297"/>
    <w:rsid w:val="00DD466D"/>
    <w:rsid w:val="00EB6364"/>
    <w:rsid w:val="00F0619F"/>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5064</Words>
  <Characters>28871</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2022-01-05T19:40:00Z</dcterms:created>
  <dcterms:modified xsi:type="dcterms:W3CDTF">2022-01-05T19:40:00Z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