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24F102F0" w:rsidR="00AA23EC" w:rsidRDefault="00DD466D" w:rsidP="00DD466D">
      <w:pPr>
        <w:pStyle w:val="Heading1"/>
      </w:pPr>
      <w:r>
        <w:t>1.ИМЕ НА ЛЕКАРСТВЕНИЯ ПРОДУКТ</w:t>
      </w:r>
    </w:p>
    <w:p w14:paraId="4D0A8123" w14:textId="2708FBED" w:rsidR="00570851" w:rsidRDefault="00570851" w:rsidP="00570851"/>
    <w:p w14:paraId="7B02F809" w14:textId="77777777" w:rsidR="00570851" w:rsidRPr="00570851" w:rsidRDefault="00570851" w:rsidP="00570851">
      <w:pPr>
        <w:rPr>
          <w:sz w:val="24"/>
          <w:szCs w:val="24"/>
          <w:lang w:val="ru-RU"/>
        </w:rPr>
      </w:pPr>
      <w:r w:rsidRPr="00570851">
        <w:rPr>
          <w:lang w:eastAsia="bg-BG"/>
        </w:rPr>
        <w:t xml:space="preserve">Ламиктал 25 </w:t>
      </w:r>
      <w:r w:rsidRPr="00570851">
        <w:rPr>
          <w:lang w:val="en-US"/>
        </w:rPr>
        <w:t>mg</w:t>
      </w:r>
      <w:r w:rsidRPr="00570851">
        <w:rPr>
          <w:lang w:val="ru-RU"/>
        </w:rPr>
        <w:t xml:space="preserve"> </w:t>
      </w:r>
      <w:r w:rsidRPr="00570851">
        <w:rPr>
          <w:lang w:eastAsia="bg-BG"/>
        </w:rPr>
        <w:t>таблетки</w:t>
      </w:r>
    </w:p>
    <w:p w14:paraId="3BF27BD0" w14:textId="77777777" w:rsidR="00570851" w:rsidRPr="00570851" w:rsidRDefault="00570851" w:rsidP="00570851">
      <w:pPr>
        <w:rPr>
          <w:sz w:val="24"/>
          <w:szCs w:val="24"/>
          <w:lang w:val="ru-RU"/>
        </w:rPr>
      </w:pPr>
      <w:r w:rsidRPr="00570851">
        <w:rPr>
          <w:lang w:eastAsia="bg-BG"/>
        </w:rPr>
        <w:t xml:space="preserve">Ламиктал 50 </w:t>
      </w:r>
      <w:r w:rsidRPr="00570851">
        <w:rPr>
          <w:lang w:val="en-US"/>
        </w:rPr>
        <w:t>mg</w:t>
      </w:r>
      <w:r w:rsidRPr="00570851">
        <w:rPr>
          <w:lang w:val="ru-RU"/>
        </w:rPr>
        <w:t xml:space="preserve"> </w:t>
      </w:r>
      <w:r w:rsidRPr="00570851">
        <w:rPr>
          <w:lang w:eastAsia="bg-BG"/>
        </w:rPr>
        <w:t>таблетки</w:t>
      </w:r>
    </w:p>
    <w:p w14:paraId="6084AEDB" w14:textId="77777777" w:rsidR="00570851" w:rsidRPr="00570851" w:rsidRDefault="00570851" w:rsidP="00570851">
      <w:pPr>
        <w:rPr>
          <w:sz w:val="24"/>
          <w:szCs w:val="24"/>
          <w:lang w:val="ru-RU"/>
        </w:rPr>
      </w:pPr>
      <w:r w:rsidRPr="00570851">
        <w:rPr>
          <w:lang w:eastAsia="bg-BG"/>
        </w:rPr>
        <w:t xml:space="preserve">Ламиктал 100 </w:t>
      </w:r>
      <w:r w:rsidRPr="00570851">
        <w:rPr>
          <w:lang w:val="en-US"/>
        </w:rPr>
        <w:t>mg</w:t>
      </w:r>
      <w:r w:rsidRPr="00570851">
        <w:rPr>
          <w:lang w:val="ru-RU"/>
        </w:rPr>
        <w:t xml:space="preserve"> </w:t>
      </w:r>
      <w:r w:rsidRPr="00570851">
        <w:rPr>
          <w:lang w:eastAsia="bg-BG"/>
        </w:rPr>
        <w:t>таблетки</w:t>
      </w:r>
    </w:p>
    <w:p w14:paraId="0425455D" w14:textId="77777777" w:rsidR="00570851" w:rsidRPr="00570851" w:rsidRDefault="00570851" w:rsidP="00570851">
      <w:pPr>
        <w:rPr>
          <w:lang w:val="ru-RU"/>
        </w:rPr>
      </w:pPr>
    </w:p>
    <w:p w14:paraId="5D34EEA9" w14:textId="4F22C67B" w:rsidR="00570851" w:rsidRPr="00570851" w:rsidRDefault="00570851" w:rsidP="00570851">
      <w:pPr>
        <w:rPr>
          <w:sz w:val="24"/>
          <w:szCs w:val="24"/>
          <w:lang w:val="ru-RU"/>
        </w:rPr>
      </w:pPr>
      <w:r w:rsidRPr="00570851">
        <w:rPr>
          <w:lang w:val="en-US"/>
        </w:rPr>
        <w:t>Lamictal</w:t>
      </w:r>
      <w:r w:rsidRPr="00570851">
        <w:rPr>
          <w:lang w:val="ru-RU"/>
        </w:rPr>
        <w:t xml:space="preserve"> </w:t>
      </w:r>
      <w:r w:rsidRPr="00570851">
        <w:rPr>
          <w:lang w:eastAsia="bg-BG"/>
        </w:rPr>
        <w:t xml:space="preserve">25 </w:t>
      </w:r>
      <w:r w:rsidRPr="00570851">
        <w:rPr>
          <w:lang w:val="en-US"/>
        </w:rPr>
        <w:t>mg</w:t>
      </w:r>
      <w:r w:rsidRPr="00570851">
        <w:rPr>
          <w:lang w:val="ru-RU"/>
        </w:rPr>
        <w:t xml:space="preserve"> </w:t>
      </w:r>
      <w:r w:rsidRPr="00570851">
        <w:rPr>
          <w:lang w:val="en-US"/>
        </w:rPr>
        <w:t>tablets</w:t>
      </w:r>
    </w:p>
    <w:p w14:paraId="52B4A0D6" w14:textId="77777777" w:rsidR="00570851" w:rsidRPr="00570851" w:rsidRDefault="00570851" w:rsidP="00570851">
      <w:pPr>
        <w:rPr>
          <w:sz w:val="24"/>
          <w:szCs w:val="24"/>
          <w:lang w:val="en-US"/>
        </w:rPr>
      </w:pPr>
      <w:r w:rsidRPr="00570851">
        <w:rPr>
          <w:lang w:val="en-US"/>
        </w:rPr>
        <w:t>Lamictal 50 mg tablets</w:t>
      </w:r>
    </w:p>
    <w:p w14:paraId="1EB56F44" w14:textId="768B0A9B" w:rsidR="00570851" w:rsidRPr="00570851" w:rsidRDefault="00570851" w:rsidP="00570851">
      <w:r w:rsidRPr="00570851">
        <w:rPr>
          <w:lang w:val="en-US"/>
        </w:rPr>
        <w:t>Lamictal 100 mg tablets</w:t>
      </w:r>
    </w:p>
    <w:p w14:paraId="0A368469" w14:textId="24E2AABF" w:rsidR="00C0049F" w:rsidRDefault="00DD466D" w:rsidP="009F1313">
      <w:pPr>
        <w:pStyle w:val="Heading1"/>
      </w:pPr>
      <w:r>
        <w:t>2. КАЧЕСТВЕН И КОЛИЧЕСТВЕН СЪСТАВ</w:t>
      </w:r>
    </w:p>
    <w:p w14:paraId="26BD3070" w14:textId="42F8045D" w:rsidR="00570851" w:rsidRDefault="00570851" w:rsidP="00570851"/>
    <w:p w14:paraId="52D8EFDB" w14:textId="77777777" w:rsidR="00570851" w:rsidRPr="00570851" w:rsidRDefault="00570851" w:rsidP="00570851">
      <w:pPr>
        <w:spacing w:line="240" w:lineRule="auto"/>
        <w:rPr>
          <w:rFonts w:eastAsia="Times New Roman" w:cs="Arial"/>
          <w:sz w:val="24"/>
          <w:szCs w:val="24"/>
        </w:rPr>
      </w:pPr>
      <w:r w:rsidRPr="00570851">
        <w:rPr>
          <w:rFonts w:eastAsia="Times New Roman" w:cs="Arial"/>
          <w:color w:val="000000"/>
          <w:lang w:eastAsia="bg-BG"/>
        </w:rPr>
        <w:t>Ламиктал таблетки</w:t>
      </w:r>
    </w:p>
    <w:p w14:paraId="51AFE7A1" w14:textId="77777777" w:rsidR="00570851" w:rsidRPr="00570851" w:rsidRDefault="00570851" w:rsidP="00570851">
      <w:pPr>
        <w:spacing w:line="240" w:lineRule="auto"/>
        <w:rPr>
          <w:rFonts w:eastAsia="Times New Roman" w:cs="Arial"/>
          <w:color w:val="000000"/>
          <w:lang w:eastAsia="bg-BG"/>
        </w:rPr>
      </w:pPr>
    </w:p>
    <w:p w14:paraId="677696E6" w14:textId="3797B2B7" w:rsidR="00570851" w:rsidRPr="00570851" w:rsidRDefault="00570851" w:rsidP="00570851">
      <w:pPr>
        <w:spacing w:line="240" w:lineRule="auto"/>
        <w:rPr>
          <w:rFonts w:eastAsia="Times New Roman" w:cs="Arial"/>
          <w:sz w:val="24"/>
          <w:szCs w:val="24"/>
        </w:rPr>
      </w:pPr>
      <w:r w:rsidRPr="00570851">
        <w:rPr>
          <w:rFonts w:eastAsia="Times New Roman" w:cs="Arial"/>
          <w:color w:val="000000"/>
          <w:lang w:eastAsia="bg-BG"/>
        </w:rPr>
        <w:t xml:space="preserve">Всяка таблетка Ламиктал 25 </w:t>
      </w:r>
      <w:r w:rsidRPr="00570851">
        <w:rPr>
          <w:rFonts w:eastAsia="Times New Roman" w:cs="Arial"/>
          <w:color w:val="000000"/>
          <w:lang w:val="en-US"/>
        </w:rPr>
        <w:t>mg</w:t>
      </w:r>
      <w:r w:rsidRPr="00570851">
        <w:rPr>
          <w:rFonts w:eastAsia="Times New Roman" w:cs="Arial"/>
          <w:color w:val="000000"/>
        </w:rPr>
        <w:t xml:space="preserve"> </w:t>
      </w:r>
      <w:r w:rsidRPr="00570851">
        <w:rPr>
          <w:rFonts w:eastAsia="Times New Roman" w:cs="Arial"/>
          <w:color w:val="000000"/>
          <w:lang w:eastAsia="bg-BG"/>
        </w:rPr>
        <w:t xml:space="preserve">съдържа 25 </w:t>
      </w:r>
      <w:r w:rsidRPr="00570851">
        <w:rPr>
          <w:rFonts w:eastAsia="Times New Roman" w:cs="Arial"/>
          <w:color w:val="000000"/>
          <w:lang w:val="en-US"/>
        </w:rPr>
        <w:t>mg</w:t>
      </w:r>
      <w:r w:rsidRPr="00570851">
        <w:rPr>
          <w:rFonts w:eastAsia="Times New Roman" w:cs="Arial"/>
          <w:color w:val="000000"/>
        </w:rPr>
        <w:t xml:space="preserve"> </w:t>
      </w:r>
      <w:r w:rsidRPr="00570851">
        <w:rPr>
          <w:rFonts w:eastAsia="Times New Roman" w:cs="Arial"/>
          <w:color w:val="000000"/>
          <w:lang w:eastAsia="bg-BG"/>
        </w:rPr>
        <w:t xml:space="preserve">ламотригин </w:t>
      </w:r>
      <w:r w:rsidRPr="00570851">
        <w:rPr>
          <w:rFonts w:eastAsia="Times New Roman" w:cs="Arial"/>
          <w:color w:val="000000"/>
        </w:rPr>
        <w:t>(</w:t>
      </w:r>
      <w:r w:rsidRPr="00570851">
        <w:rPr>
          <w:rFonts w:eastAsia="Times New Roman" w:cs="Arial"/>
          <w:color w:val="000000"/>
          <w:lang w:val="en-US"/>
        </w:rPr>
        <w:t>lamotrigine</w:t>
      </w:r>
      <w:r w:rsidRPr="00570851">
        <w:rPr>
          <w:rFonts w:eastAsia="Times New Roman" w:cs="Arial"/>
          <w:color w:val="000000"/>
        </w:rPr>
        <w:t>).</w:t>
      </w:r>
    </w:p>
    <w:p w14:paraId="4B87D670" w14:textId="77777777" w:rsidR="00570851" w:rsidRPr="00570851" w:rsidRDefault="00570851" w:rsidP="00570851">
      <w:pPr>
        <w:spacing w:line="240" w:lineRule="auto"/>
        <w:rPr>
          <w:rFonts w:eastAsia="Times New Roman" w:cs="Arial"/>
          <w:sz w:val="24"/>
          <w:szCs w:val="24"/>
        </w:rPr>
      </w:pPr>
      <w:r w:rsidRPr="00570851">
        <w:rPr>
          <w:rFonts w:eastAsia="Times New Roman" w:cs="Arial"/>
          <w:color w:val="000000"/>
          <w:u w:val="single"/>
          <w:lang w:eastAsia="bg-BG"/>
        </w:rPr>
        <w:t>Помощно вещество с известно действие</w:t>
      </w:r>
      <w:r w:rsidRPr="00570851">
        <w:rPr>
          <w:rFonts w:eastAsia="Times New Roman" w:cs="Arial"/>
          <w:color w:val="000000"/>
          <w:lang w:eastAsia="bg-BG"/>
        </w:rPr>
        <w:t xml:space="preserve">: всяка таблетка съдържа 23,5 </w:t>
      </w:r>
      <w:r w:rsidRPr="00570851">
        <w:rPr>
          <w:rFonts w:eastAsia="Times New Roman" w:cs="Arial"/>
          <w:color w:val="000000"/>
          <w:lang w:val="en-US"/>
        </w:rPr>
        <w:t>mg</w:t>
      </w:r>
      <w:r w:rsidRPr="00570851">
        <w:rPr>
          <w:rFonts w:eastAsia="Times New Roman" w:cs="Arial"/>
          <w:color w:val="000000"/>
          <w:lang w:val="ru-RU"/>
        </w:rPr>
        <w:t xml:space="preserve"> </w:t>
      </w:r>
      <w:r w:rsidRPr="00570851">
        <w:rPr>
          <w:rFonts w:eastAsia="Times New Roman" w:cs="Arial"/>
          <w:color w:val="000000"/>
          <w:lang w:eastAsia="bg-BG"/>
        </w:rPr>
        <w:t>лактоза.</w:t>
      </w:r>
    </w:p>
    <w:p w14:paraId="4CAACBF0" w14:textId="77777777" w:rsidR="00570851" w:rsidRPr="00570851" w:rsidRDefault="00570851" w:rsidP="00570851">
      <w:pPr>
        <w:spacing w:line="240" w:lineRule="auto"/>
        <w:rPr>
          <w:rFonts w:eastAsia="Times New Roman" w:cs="Arial"/>
          <w:color w:val="000000"/>
          <w:lang w:eastAsia="bg-BG"/>
        </w:rPr>
      </w:pPr>
    </w:p>
    <w:p w14:paraId="353A5B35" w14:textId="6455DA76" w:rsidR="00570851" w:rsidRPr="00570851" w:rsidRDefault="00570851" w:rsidP="00570851">
      <w:pPr>
        <w:spacing w:line="240" w:lineRule="auto"/>
        <w:rPr>
          <w:rFonts w:eastAsia="Times New Roman" w:cs="Arial"/>
          <w:sz w:val="24"/>
          <w:szCs w:val="24"/>
        </w:rPr>
      </w:pPr>
      <w:r w:rsidRPr="00570851">
        <w:rPr>
          <w:rFonts w:eastAsia="Times New Roman" w:cs="Arial"/>
          <w:color w:val="000000"/>
          <w:lang w:eastAsia="bg-BG"/>
        </w:rPr>
        <w:t xml:space="preserve">Всяка таблетка Ламиктал 50 </w:t>
      </w:r>
      <w:r w:rsidRPr="00570851">
        <w:rPr>
          <w:rFonts w:eastAsia="Times New Roman" w:cs="Arial"/>
          <w:color w:val="000000"/>
          <w:lang w:val="en-US"/>
        </w:rPr>
        <w:t>mg</w:t>
      </w:r>
      <w:r w:rsidRPr="00570851">
        <w:rPr>
          <w:rFonts w:eastAsia="Times New Roman" w:cs="Arial"/>
          <w:color w:val="000000"/>
        </w:rPr>
        <w:t xml:space="preserve"> </w:t>
      </w:r>
      <w:r w:rsidRPr="00570851">
        <w:rPr>
          <w:rFonts w:eastAsia="Times New Roman" w:cs="Arial"/>
          <w:color w:val="000000"/>
          <w:lang w:eastAsia="bg-BG"/>
        </w:rPr>
        <w:t xml:space="preserve">съдържа 50 </w:t>
      </w:r>
      <w:r w:rsidRPr="00570851">
        <w:rPr>
          <w:rFonts w:eastAsia="Times New Roman" w:cs="Arial"/>
          <w:color w:val="000000"/>
          <w:lang w:val="en-US"/>
        </w:rPr>
        <w:t>mg</w:t>
      </w:r>
      <w:r w:rsidRPr="00570851">
        <w:rPr>
          <w:rFonts w:eastAsia="Times New Roman" w:cs="Arial"/>
          <w:color w:val="000000"/>
        </w:rPr>
        <w:t xml:space="preserve"> </w:t>
      </w:r>
      <w:r w:rsidRPr="00570851">
        <w:rPr>
          <w:rFonts w:eastAsia="Times New Roman" w:cs="Arial"/>
          <w:color w:val="000000"/>
          <w:lang w:eastAsia="bg-BG"/>
        </w:rPr>
        <w:t xml:space="preserve">ламотригин </w:t>
      </w:r>
      <w:r w:rsidRPr="00570851">
        <w:rPr>
          <w:rFonts w:eastAsia="Times New Roman" w:cs="Arial"/>
          <w:color w:val="000000"/>
        </w:rPr>
        <w:t>(</w:t>
      </w:r>
      <w:r w:rsidRPr="00570851">
        <w:rPr>
          <w:rFonts w:eastAsia="Times New Roman" w:cs="Arial"/>
          <w:color w:val="000000"/>
          <w:lang w:val="en-US"/>
        </w:rPr>
        <w:t>lamotrigine</w:t>
      </w:r>
      <w:r w:rsidRPr="00570851">
        <w:rPr>
          <w:rFonts w:eastAsia="Times New Roman" w:cs="Arial"/>
          <w:color w:val="000000"/>
        </w:rPr>
        <w:t>).</w:t>
      </w:r>
    </w:p>
    <w:p w14:paraId="1AC9D5E6" w14:textId="77777777" w:rsidR="00570851" w:rsidRPr="00570851" w:rsidRDefault="00570851" w:rsidP="00570851">
      <w:pPr>
        <w:spacing w:line="240" w:lineRule="auto"/>
        <w:rPr>
          <w:rFonts w:eastAsia="Times New Roman" w:cs="Arial"/>
          <w:sz w:val="24"/>
          <w:szCs w:val="24"/>
        </w:rPr>
      </w:pPr>
      <w:r w:rsidRPr="00570851">
        <w:rPr>
          <w:rFonts w:eastAsia="Times New Roman" w:cs="Arial"/>
          <w:color w:val="000000"/>
          <w:u w:val="single"/>
          <w:lang w:eastAsia="bg-BG"/>
        </w:rPr>
        <w:t>Помошно вещество с известно действие</w:t>
      </w:r>
      <w:r w:rsidRPr="00570851">
        <w:rPr>
          <w:rFonts w:eastAsia="Times New Roman" w:cs="Arial"/>
          <w:color w:val="000000"/>
          <w:lang w:eastAsia="bg-BG"/>
        </w:rPr>
        <w:t xml:space="preserve">: всяка таблетка съдържа 46,9 </w:t>
      </w:r>
      <w:r w:rsidRPr="00570851">
        <w:rPr>
          <w:rFonts w:eastAsia="Times New Roman" w:cs="Arial"/>
          <w:color w:val="000000"/>
          <w:lang w:val="en-US"/>
        </w:rPr>
        <w:t>mg</w:t>
      </w:r>
      <w:r w:rsidRPr="00570851">
        <w:rPr>
          <w:rFonts w:eastAsia="Times New Roman" w:cs="Arial"/>
          <w:color w:val="000000"/>
          <w:lang w:val="ru-RU"/>
        </w:rPr>
        <w:t xml:space="preserve"> </w:t>
      </w:r>
      <w:r w:rsidRPr="00570851">
        <w:rPr>
          <w:rFonts w:eastAsia="Times New Roman" w:cs="Arial"/>
          <w:color w:val="000000"/>
          <w:lang w:eastAsia="bg-BG"/>
        </w:rPr>
        <w:t>лактоза.</w:t>
      </w:r>
    </w:p>
    <w:p w14:paraId="7D06E8D6" w14:textId="77777777" w:rsidR="00570851" w:rsidRPr="00570851" w:rsidRDefault="00570851" w:rsidP="00570851">
      <w:pPr>
        <w:spacing w:line="240" w:lineRule="auto"/>
        <w:rPr>
          <w:rFonts w:eastAsia="Times New Roman" w:cs="Arial"/>
          <w:color w:val="000000"/>
          <w:lang w:eastAsia="bg-BG"/>
        </w:rPr>
      </w:pPr>
    </w:p>
    <w:p w14:paraId="4C1FA3A2" w14:textId="4F5EA5AE" w:rsidR="00570851" w:rsidRPr="00570851" w:rsidRDefault="00570851" w:rsidP="00570851">
      <w:pPr>
        <w:spacing w:line="240" w:lineRule="auto"/>
        <w:rPr>
          <w:rFonts w:eastAsia="Times New Roman" w:cs="Arial"/>
          <w:sz w:val="24"/>
          <w:szCs w:val="24"/>
        </w:rPr>
      </w:pPr>
      <w:r w:rsidRPr="00570851">
        <w:rPr>
          <w:rFonts w:eastAsia="Times New Roman" w:cs="Arial"/>
          <w:color w:val="000000"/>
          <w:lang w:eastAsia="bg-BG"/>
        </w:rPr>
        <w:t xml:space="preserve">Всяка таблетка Ламиктал 100 </w:t>
      </w:r>
      <w:r w:rsidRPr="00570851">
        <w:rPr>
          <w:rFonts w:eastAsia="Times New Roman" w:cs="Arial"/>
          <w:color w:val="000000"/>
          <w:lang w:val="en-US"/>
        </w:rPr>
        <w:t>mg</w:t>
      </w:r>
      <w:r w:rsidRPr="00570851">
        <w:rPr>
          <w:rFonts w:eastAsia="Times New Roman" w:cs="Arial"/>
          <w:color w:val="000000"/>
        </w:rPr>
        <w:t xml:space="preserve"> </w:t>
      </w:r>
      <w:r w:rsidRPr="00570851">
        <w:rPr>
          <w:rFonts w:eastAsia="Times New Roman" w:cs="Arial"/>
          <w:color w:val="000000"/>
          <w:lang w:eastAsia="bg-BG"/>
        </w:rPr>
        <w:t xml:space="preserve">съдържа 100 </w:t>
      </w:r>
      <w:r w:rsidRPr="00570851">
        <w:rPr>
          <w:rFonts w:eastAsia="Times New Roman" w:cs="Arial"/>
          <w:color w:val="000000"/>
          <w:lang w:val="en-US"/>
        </w:rPr>
        <w:t>mg</w:t>
      </w:r>
      <w:r w:rsidRPr="00570851">
        <w:rPr>
          <w:rFonts w:eastAsia="Times New Roman" w:cs="Arial"/>
          <w:color w:val="000000"/>
        </w:rPr>
        <w:t xml:space="preserve"> </w:t>
      </w:r>
      <w:r w:rsidRPr="00570851">
        <w:rPr>
          <w:rFonts w:eastAsia="Times New Roman" w:cs="Arial"/>
          <w:color w:val="000000"/>
          <w:lang w:eastAsia="bg-BG"/>
        </w:rPr>
        <w:t xml:space="preserve">ламотригин </w:t>
      </w:r>
      <w:r w:rsidRPr="00570851">
        <w:rPr>
          <w:rFonts w:eastAsia="Times New Roman" w:cs="Arial"/>
          <w:color w:val="000000"/>
        </w:rPr>
        <w:t>(</w:t>
      </w:r>
      <w:r w:rsidRPr="00570851">
        <w:rPr>
          <w:rFonts w:eastAsia="Times New Roman" w:cs="Arial"/>
          <w:color w:val="000000"/>
          <w:lang w:val="en-US"/>
        </w:rPr>
        <w:t>lamotrigine</w:t>
      </w:r>
      <w:r w:rsidRPr="00570851">
        <w:rPr>
          <w:rFonts w:eastAsia="Times New Roman" w:cs="Arial"/>
          <w:color w:val="000000"/>
        </w:rPr>
        <w:t>).</w:t>
      </w:r>
    </w:p>
    <w:p w14:paraId="3FCC4F28" w14:textId="74D557D6" w:rsidR="00570851" w:rsidRPr="00570851" w:rsidRDefault="00570851" w:rsidP="00570851">
      <w:pPr>
        <w:rPr>
          <w:rFonts w:cs="Arial"/>
        </w:rPr>
      </w:pPr>
      <w:r w:rsidRPr="00570851">
        <w:rPr>
          <w:rFonts w:eastAsia="Times New Roman" w:cs="Arial"/>
          <w:color w:val="000000"/>
          <w:u w:val="single"/>
          <w:lang w:eastAsia="bg-BG"/>
        </w:rPr>
        <w:t>Помощно вещество с известно действие</w:t>
      </w:r>
      <w:r w:rsidRPr="00570851">
        <w:rPr>
          <w:rFonts w:eastAsia="Times New Roman" w:cs="Arial"/>
          <w:color w:val="000000"/>
          <w:lang w:eastAsia="bg-BG"/>
        </w:rPr>
        <w:t xml:space="preserve">: всяка таблетка съдържа 93,9 </w:t>
      </w:r>
      <w:r w:rsidRPr="00570851">
        <w:rPr>
          <w:rFonts w:eastAsia="Times New Roman" w:cs="Arial"/>
          <w:color w:val="000000"/>
          <w:lang w:val="en-US"/>
        </w:rPr>
        <w:t>mg</w:t>
      </w:r>
      <w:r w:rsidRPr="00570851">
        <w:rPr>
          <w:rFonts w:eastAsia="Times New Roman" w:cs="Arial"/>
          <w:color w:val="000000"/>
          <w:lang w:val="ru-RU"/>
        </w:rPr>
        <w:t xml:space="preserve"> </w:t>
      </w:r>
      <w:r w:rsidRPr="00570851">
        <w:rPr>
          <w:rFonts w:eastAsia="Times New Roman" w:cs="Arial"/>
          <w:color w:val="000000"/>
          <w:lang w:eastAsia="bg-BG"/>
        </w:rPr>
        <w:t>лактоза.</w:t>
      </w:r>
    </w:p>
    <w:p w14:paraId="614984C4" w14:textId="207396CC" w:rsidR="008A6AF2" w:rsidRDefault="00DD466D" w:rsidP="002C50EE">
      <w:pPr>
        <w:pStyle w:val="Heading1"/>
      </w:pPr>
      <w:r>
        <w:t>3. ЛЕКАРСТВЕНА ФОРМА</w:t>
      </w:r>
    </w:p>
    <w:p w14:paraId="0D6CCB3B" w14:textId="21BD55FA" w:rsidR="00570851" w:rsidRDefault="00570851" w:rsidP="00570851"/>
    <w:p w14:paraId="72AC8FA8" w14:textId="77777777" w:rsidR="00570851" w:rsidRPr="00570851" w:rsidRDefault="00570851" w:rsidP="00570851">
      <w:pPr>
        <w:spacing w:line="240" w:lineRule="auto"/>
        <w:rPr>
          <w:rFonts w:eastAsia="Times New Roman" w:cs="Arial"/>
          <w:sz w:val="24"/>
          <w:szCs w:val="24"/>
        </w:rPr>
      </w:pPr>
      <w:r w:rsidRPr="00570851">
        <w:rPr>
          <w:rFonts w:eastAsia="Times New Roman" w:cs="Arial"/>
          <w:color w:val="000000"/>
          <w:lang w:eastAsia="bg-BG"/>
        </w:rPr>
        <w:t>Таблетка</w:t>
      </w:r>
    </w:p>
    <w:p w14:paraId="1AA66412" w14:textId="77777777" w:rsidR="00570851" w:rsidRPr="00570851" w:rsidRDefault="00570851" w:rsidP="00570851">
      <w:pPr>
        <w:spacing w:line="240" w:lineRule="auto"/>
        <w:rPr>
          <w:rFonts w:eastAsia="Times New Roman" w:cs="Arial"/>
          <w:color w:val="000000"/>
          <w:lang w:eastAsia="bg-BG"/>
        </w:rPr>
      </w:pPr>
    </w:p>
    <w:p w14:paraId="61101B10" w14:textId="346ED321" w:rsidR="00570851" w:rsidRPr="00570851" w:rsidRDefault="00570851" w:rsidP="00570851">
      <w:pPr>
        <w:spacing w:line="240" w:lineRule="auto"/>
        <w:rPr>
          <w:rFonts w:eastAsia="Times New Roman" w:cs="Arial"/>
          <w:sz w:val="24"/>
          <w:szCs w:val="24"/>
        </w:rPr>
      </w:pPr>
      <w:r w:rsidRPr="00570851">
        <w:rPr>
          <w:rFonts w:eastAsia="Times New Roman" w:cs="Arial"/>
          <w:color w:val="000000"/>
          <w:lang w:eastAsia="bg-BG"/>
        </w:rPr>
        <w:t xml:space="preserve">25 </w:t>
      </w:r>
      <w:r w:rsidRPr="00570851">
        <w:rPr>
          <w:rFonts w:eastAsia="Times New Roman" w:cs="Arial"/>
          <w:color w:val="000000"/>
          <w:lang w:val="en-US"/>
        </w:rPr>
        <w:t>mg</w:t>
      </w:r>
      <w:r w:rsidRPr="00570851">
        <w:rPr>
          <w:rFonts w:eastAsia="Times New Roman" w:cs="Arial"/>
          <w:color w:val="000000"/>
          <w:lang w:val="ru-RU"/>
        </w:rPr>
        <w:t xml:space="preserve"> </w:t>
      </w:r>
      <w:r w:rsidRPr="00570851">
        <w:rPr>
          <w:rFonts w:eastAsia="Times New Roman" w:cs="Arial"/>
          <w:color w:val="000000"/>
          <w:lang w:eastAsia="bg-BG"/>
        </w:rPr>
        <w:t>таблетки:</w:t>
      </w:r>
    </w:p>
    <w:p w14:paraId="41EB188B" w14:textId="77777777" w:rsidR="00570851" w:rsidRPr="00570851" w:rsidRDefault="00570851" w:rsidP="00570851">
      <w:pPr>
        <w:spacing w:line="240" w:lineRule="auto"/>
        <w:rPr>
          <w:rFonts w:eastAsia="Times New Roman" w:cs="Arial"/>
          <w:sz w:val="24"/>
          <w:szCs w:val="24"/>
        </w:rPr>
      </w:pPr>
      <w:r w:rsidRPr="00570851">
        <w:rPr>
          <w:rFonts w:eastAsia="Times New Roman" w:cs="Arial"/>
          <w:color w:val="000000"/>
          <w:lang w:eastAsia="bg-BG"/>
        </w:rPr>
        <w:t xml:space="preserve">Светли, жълтеникавокафяви, многофасетьчни таблетки с ясно изразена елипсовидна форма, с размер 6,0 </w:t>
      </w:r>
      <w:r w:rsidRPr="00570851">
        <w:rPr>
          <w:rFonts w:eastAsia="Times New Roman" w:cs="Arial"/>
          <w:color w:val="000000"/>
          <w:lang w:val="en-US"/>
        </w:rPr>
        <w:t>mm</w:t>
      </w:r>
      <w:r w:rsidRPr="00570851">
        <w:rPr>
          <w:rFonts w:eastAsia="Times New Roman" w:cs="Arial"/>
          <w:color w:val="000000"/>
          <w:lang w:val="ru-RU"/>
        </w:rPr>
        <w:t xml:space="preserve">, </w:t>
      </w:r>
      <w:r w:rsidRPr="00570851">
        <w:rPr>
          <w:rFonts w:eastAsia="Times New Roman" w:cs="Arial"/>
          <w:color w:val="000000"/>
          <w:lang w:eastAsia="bg-BG"/>
        </w:rPr>
        <w:t xml:space="preserve">с маркировка </w:t>
      </w:r>
      <w:r w:rsidRPr="00570851">
        <w:rPr>
          <w:rFonts w:eastAsia="Times New Roman" w:cs="Arial"/>
          <w:color w:val="000000"/>
          <w:lang w:val="ru-RU"/>
        </w:rPr>
        <w:t>“</w:t>
      </w:r>
      <w:r w:rsidRPr="00570851">
        <w:rPr>
          <w:rFonts w:eastAsia="Times New Roman" w:cs="Arial"/>
          <w:color w:val="000000"/>
          <w:lang w:val="en-US"/>
        </w:rPr>
        <w:t>GSEC</w:t>
      </w:r>
      <w:r w:rsidRPr="00570851">
        <w:rPr>
          <w:rFonts w:eastAsia="Times New Roman" w:cs="Arial"/>
          <w:color w:val="000000"/>
          <w:lang w:val="ru-RU"/>
        </w:rPr>
        <w:t xml:space="preserve">7” </w:t>
      </w:r>
      <w:r w:rsidRPr="00570851">
        <w:rPr>
          <w:rFonts w:eastAsia="Times New Roman" w:cs="Arial"/>
          <w:color w:val="000000"/>
          <w:lang w:eastAsia="bg-BG"/>
        </w:rPr>
        <w:t>от едната страна и “25” от другата страна.</w:t>
      </w:r>
    </w:p>
    <w:p w14:paraId="6097A3AB" w14:textId="77777777" w:rsidR="00570851" w:rsidRPr="00570851" w:rsidRDefault="00570851" w:rsidP="00570851">
      <w:pPr>
        <w:spacing w:line="240" w:lineRule="auto"/>
        <w:rPr>
          <w:rFonts w:eastAsia="Times New Roman" w:cs="Arial"/>
          <w:color w:val="000000"/>
          <w:lang w:eastAsia="bg-BG"/>
        </w:rPr>
      </w:pPr>
    </w:p>
    <w:p w14:paraId="73195D44" w14:textId="18F3EB54" w:rsidR="00570851" w:rsidRPr="00570851" w:rsidRDefault="00570851" w:rsidP="00570851">
      <w:pPr>
        <w:spacing w:line="240" w:lineRule="auto"/>
        <w:rPr>
          <w:rFonts w:eastAsia="Times New Roman" w:cs="Arial"/>
          <w:sz w:val="24"/>
          <w:szCs w:val="24"/>
        </w:rPr>
      </w:pPr>
      <w:r w:rsidRPr="00570851">
        <w:rPr>
          <w:rFonts w:eastAsia="Times New Roman" w:cs="Arial"/>
          <w:color w:val="000000"/>
          <w:lang w:eastAsia="bg-BG"/>
        </w:rPr>
        <w:t xml:space="preserve">50 </w:t>
      </w:r>
      <w:r w:rsidRPr="00570851">
        <w:rPr>
          <w:rFonts w:eastAsia="Times New Roman" w:cs="Arial"/>
          <w:color w:val="000000"/>
          <w:lang w:val="en-US"/>
        </w:rPr>
        <w:t>mg</w:t>
      </w:r>
      <w:r w:rsidRPr="00570851">
        <w:rPr>
          <w:rFonts w:eastAsia="Times New Roman" w:cs="Arial"/>
          <w:color w:val="000000"/>
          <w:lang w:val="ru-RU"/>
        </w:rPr>
        <w:t xml:space="preserve"> </w:t>
      </w:r>
      <w:r w:rsidRPr="00570851">
        <w:rPr>
          <w:rFonts w:eastAsia="Times New Roman" w:cs="Arial"/>
          <w:color w:val="000000"/>
          <w:lang w:eastAsia="bg-BG"/>
        </w:rPr>
        <w:t>таблетки:</w:t>
      </w:r>
    </w:p>
    <w:p w14:paraId="2F1BF290" w14:textId="77777777" w:rsidR="00570851" w:rsidRPr="00570851" w:rsidRDefault="00570851" w:rsidP="00570851">
      <w:pPr>
        <w:spacing w:line="240" w:lineRule="auto"/>
        <w:rPr>
          <w:rFonts w:eastAsia="Times New Roman" w:cs="Arial"/>
          <w:sz w:val="24"/>
          <w:szCs w:val="24"/>
        </w:rPr>
      </w:pPr>
      <w:r w:rsidRPr="00570851">
        <w:rPr>
          <w:rFonts w:eastAsia="Times New Roman" w:cs="Arial"/>
          <w:color w:val="000000"/>
          <w:lang w:eastAsia="bg-BG"/>
        </w:rPr>
        <w:t xml:space="preserve">Светли, жълтеникавокафяви, многофасетьчни таблетки с ясно изразена елипсовидна форма, с размер 7,4 </w:t>
      </w:r>
      <w:r w:rsidRPr="00570851">
        <w:rPr>
          <w:rFonts w:eastAsia="Times New Roman" w:cs="Arial"/>
          <w:color w:val="000000"/>
          <w:lang w:val="en-US"/>
        </w:rPr>
        <w:t>mm</w:t>
      </w:r>
      <w:r w:rsidRPr="00570851">
        <w:rPr>
          <w:rFonts w:eastAsia="Times New Roman" w:cs="Arial"/>
          <w:color w:val="000000"/>
          <w:lang w:val="ru-RU"/>
        </w:rPr>
        <w:t xml:space="preserve">, </w:t>
      </w:r>
      <w:r w:rsidRPr="00570851">
        <w:rPr>
          <w:rFonts w:eastAsia="Times New Roman" w:cs="Arial"/>
          <w:color w:val="000000"/>
          <w:lang w:eastAsia="bg-BG"/>
        </w:rPr>
        <w:t xml:space="preserve">с маркировка </w:t>
      </w:r>
      <w:r w:rsidRPr="00570851">
        <w:rPr>
          <w:rFonts w:eastAsia="Times New Roman" w:cs="Arial"/>
          <w:color w:val="000000"/>
          <w:lang w:val="ru-RU"/>
        </w:rPr>
        <w:t>“</w:t>
      </w:r>
      <w:r w:rsidRPr="00570851">
        <w:rPr>
          <w:rFonts w:eastAsia="Times New Roman" w:cs="Arial"/>
          <w:color w:val="000000"/>
          <w:lang w:val="en-US"/>
        </w:rPr>
        <w:t>GSEE</w:t>
      </w:r>
      <w:r w:rsidRPr="00570851">
        <w:rPr>
          <w:rFonts w:eastAsia="Times New Roman" w:cs="Arial"/>
          <w:color w:val="000000"/>
          <w:lang w:val="ru-RU"/>
        </w:rPr>
        <w:t xml:space="preserve">1” </w:t>
      </w:r>
      <w:r w:rsidRPr="00570851">
        <w:rPr>
          <w:rFonts w:eastAsia="Times New Roman" w:cs="Arial"/>
          <w:color w:val="000000"/>
          <w:lang w:eastAsia="bg-BG"/>
        </w:rPr>
        <w:t>от едната страна и “50” от другата страна.</w:t>
      </w:r>
    </w:p>
    <w:p w14:paraId="42718B25" w14:textId="77777777" w:rsidR="00570851" w:rsidRPr="00570851" w:rsidRDefault="00570851" w:rsidP="00570851">
      <w:pPr>
        <w:spacing w:line="240" w:lineRule="auto"/>
        <w:rPr>
          <w:rFonts w:eastAsia="Times New Roman" w:cs="Arial"/>
          <w:color w:val="000000"/>
          <w:lang w:eastAsia="bg-BG"/>
        </w:rPr>
      </w:pPr>
    </w:p>
    <w:p w14:paraId="5E3557B3" w14:textId="223E1327" w:rsidR="00570851" w:rsidRPr="00570851" w:rsidRDefault="00570851" w:rsidP="00570851">
      <w:pPr>
        <w:spacing w:line="240" w:lineRule="auto"/>
        <w:rPr>
          <w:rFonts w:eastAsia="Times New Roman" w:cs="Arial"/>
          <w:sz w:val="24"/>
          <w:szCs w:val="24"/>
        </w:rPr>
      </w:pPr>
      <w:r w:rsidRPr="00570851">
        <w:rPr>
          <w:rFonts w:eastAsia="Times New Roman" w:cs="Arial"/>
          <w:color w:val="000000"/>
          <w:lang w:eastAsia="bg-BG"/>
        </w:rPr>
        <w:t xml:space="preserve">100 </w:t>
      </w:r>
      <w:r w:rsidRPr="00570851">
        <w:rPr>
          <w:rFonts w:eastAsia="Times New Roman" w:cs="Arial"/>
          <w:color w:val="000000"/>
          <w:lang w:val="en-US"/>
        </w:rPr>
        <w:t>mg</w:t>
      </w:r>
      <w:r w:rsidRPr="00570851">
        <w:rPr>
          <w:rFonts w:eastAsia="Times New Roman" w:cs="Arial"/>
          <w:color w:val="000000"/>
          <w:lang w:val="ru-RU"/>
        </w:rPr>
        <w:t xml:space="preserve"> </w:t>
      </w:r>
      <w:r w:rsidRPr="00570851">
        <w:rPr>
          <w:rFonts w:eastAsia="Times New Roman" w:cs="Arial"/>
          <w:color w:val="000000"/>
          <w:lang w:eastAsia="bg-BG"/>
        </w:rPr>
        <w:t>таблетки:</w:t>
      </w:r>
    </w:p>
    <w:p w14:paraId="3F72629E" w14:textId="77777777" w:rsidR="00570851" w:rsidRPr="00570851" w:rsidRDefault="00570851" w:rsidP="00570851">
      <w:pPr>
        <w:spacing w:line="240" w:lineRule="auto"/>
        <w:rPr>
          <w:rFonts w:eastAsia="Times New Roman" w:cs="Arial"/>
          <w:sz w:val="24"/>
          <w:szCs w:val="24"/>
        </w:rPr>
      </w:pPr>
      <w:r w:rsidRPr="00570851">
        <w:rPr>
          <w:rFonts w:eastAsia="Times New Roman" w:cs="Arial"/>
          <w:color w:val="000000"/>
          <w:lang w:eastAsia="bg-BG"/>
        </w:rPr>
        <w:t xml:space="preserve">Светли, жълтеникавокафяви, многофасетьчни таблетки с ясно изразена елипсовидна форма, с размер 9,4 </w:t>
      </w:r>
      <w:r w:rsidRPr="00570851">
        <w:rPr>
          <w:rFonts w:eastAsia="Times New Roman" w:cs="Arial"/>
          <w:color w:val="000000"/>
          <w:lang w:val="en-US"/>
        </w:rPr>
        <w:t>mm</w:t>
      </w:r>
      <w:r w:rsidRPr="00570851">
        <w:rPr>
          <w:rFonts w:eastAsia="Times New Roman" w:cs="Arial"/>
          <w:color w:val="000000"/>
          <w:lang w:val="ru-RU"/>
        </w:rPr>
        <w:t xml:space="preserve">, </w:t>
      </w:r>
      <w:r w:rsidRPr="00570851">
        <w:rPr>
          <w:rFonts w:eastAsia="Times New Roman" w:cs="Arial"/>
          <w:color w:val="000000"/>
          <w:lang w:eastAsia="bg-BG"/>
        </w:rPr>
        <w:t xml:space="preserve">с маркировка </w:t>
      </w:r>
      <w:r w:rsidRPr="00570851">
        <w:rPr>
          <w:rFonts w:eastAsia="Times New Roman" w:cs="Arial"/>
          <w:color w:val="000000"/>
          <w:lang w:val="ru-RU"/>
        </w:rPr>
        <w:t>“</w:t>
      </w:r>
      <w:r w:rsidRPr="00570851">
        <w:rPr>
          <w:rFonts w:eastAsia="Times New Roman" w:cs="Arial"/>
          <w:color w:val="000000"/>
          <w:lang w:val="en-US"/>
        </w:rPr>
        <w:t>GSEE</w:t>
      </w:r>
      <w:r w:rsidRPr="00570851">
        <w:rPr>
          <w:rFonts w:eastAsia="Times New Roman" w:cs="Arial"/>
          <w:color w:val="000000"/>
          <w:lang w:val="ru-RU"/>
        </w:rPr>
        <w:t xml:space="preserve">5” </w:t>
      </w:r>
      <w:r w:rsidRPr="00570851">
        <w:rPr>
          <w:rFonts w:eastAsia="Times New Roman" w:cs="Arial"/>
          <w:color w:val="000000"/>
          <w:lang w:eastAsia="bg-BG"/>
        </w:rPr>
        <w:t>от едната страна и “100” от другата страна.</w:t>
      </w:r>
    </w:p>
    <w:p w14:paraId="77980C7E" w14:textId="77777777" w:rsidR="00570851" w:rsidRPr="00570851" w:rsidRDefault="00570851" w:rsidP="00570851"/>
    <w:p w14:paraId="490FC2C4" w14:textId="32682B15" w:rsidR="002C50EE" w:rsidRDefault="002C50EE" w:rsidP="002C50EE">
      <w:pPr>
        <w:pStyle w:val="Heading1"/>
      </w:pPr>
      <w:r>
        <w:lastRenderedPageBreak/>
        <w:t>4. КЛИНИЧНИ ДАННИ</w:t>
      </w:r>
    </w:p>
    <w:p w14:paraId="754A29C8" w14:textId="702561CB" w:rsidR="00C0049F" w:rsidRDefault="002C50EE" w:rsidP="009F1313">
      <w:pPr>
        <w:pStyle w:val="Heading2"/>
      </w:pPr>
      <w:r>
        <w:t>4.1. Терапевтични показания</w:t>
      </w:r>
    </w:p>
    <w:p w14:paraId="65259E15" w14:textId="6F2E76D9" w:rsidR="00570851" w:rsidRDefault="00570851" w:rsidP="00570851"/>
    <w:p w14:paraId="7408BBC4" w14:textId="77777777" w:rsidR="00570851" w:rsidRPr="00570851" w:rsidRDefault="00570851" w:rsidP="00570851">
      <w:pPr>
        <w:spacing w:line="240" w:lineRule="auto"/>
        <w:rPr>
          <w:rFonts w:eastAsia="Times New Roman" w:cs="Arial"/>
          <w:sz w:val="24"/>
          <w:szCs w:val="24"/>
        </w:rPr>
      </w:pPr>
      <w:r w:rsidRPr="00570851">
        <w:rPr>
          <w:rFonts w:eastAsia="Times New Roman" w:cs="Arial"/>
          <w:color w:val="000000"/>
          <w:u w:val="single"/>
          <w:lang w:eastAsia="bg-BG"/>
        </w:rPr>
        <w:t>Епилепсия</w:t>
      </w:r>
    </w:p>
    <w:p w14:paraId="3C66B6B4" w14:textId="77777777" w:rsidR="00570851" w:rsidRPr="00570851" w:rsidRDefault="00570851" w:rsidP="00570851">
      <w:pPr>
        <w:spacing w:line="240" w:lineRule="auto"/>
        <w:rPr>
          <w:rFonts w:eastAsia="Times New Roman" w:cs="Arial"/>
          <w:i/>
          <w:iCs/>
          <w:color w:val="000000"/>
          <w:lang w:eastAsia="bg-BG"/>
        </w:rPr>
      </w:pPr>
    </w:p>
    <w:p w14:paraId="0E1838E8" w14:textId="6712196F" w:rsidR="00570851" w:rsidRPr="00570851" w:rsidRDefault="00570851" w:rsidP="00570851">
      <w:pPr>
        <w:spacing w:line="240" w:lineRule="auto"/>
        <w:rPr>
          <w:rFonts w:eastAsia="Times New Roman" w:cs="Arial"/>
          <w:sz w:val="24"/>
          <w:szCs w:val="24"/>
        </w:rPr>
      </w:pPr>
      <w:r w:rsidRPr="00570851">
        <w:rPr>
          <w:rFonts w:eastAsia="Times New Roman" w:cs="Arial"/>
          <w:i/>
          <w:iCs/>
          <w:color w:val="000000"/>
          <w:lang w:eastAsia="bg-BG"/>
        </w:rPr>
        <w:t>Възрастни и юноши на и над 13 години</w:t>
      </w:r>
    </w:p>
    <w:p w14:paraId="524BC292" w14:textId="77777777" w:rsidR="00570851" w:rsidRPr="00570851" w:rsidRDefault="00570851" w:rsidP="00570851">
      <w:pPr>
        <w:pStyle w:val="ListParagraph"/>
        <w:numPr>
          <w:ilvl w:val="0"/>
          <w:numId w:val="32"/>
        </w:numPr>
        <w:spacing w:line="240" w:lineRule="auto"/>
        <w:rPr>
          <w:rFonts w:eastAsia="Times New Roman" w:cs="Arial"/>
          <w:sz w:val="24"/>
          <w:szCs w:val="24"/>
        </w:rPr>
      </w:pPr>
      <w:r w:rsidRPr="00570851">
        <w:rPr>
          <w:rFonts w:eastAsia="Times New Roman" w:cs="Arial"/>
          <w:color w:val="000000"/>
          <w:lang w:eastAsia="bg-BG"/>
        </w:rPr>
        <w:t>Комбинирана или монотерапия на парциални или генерализирани припадъци, включително тонично-клонични припадъци.</w:t>
      </w:r>
    </w:p>
    <w:p w14:paraId="64926043" w14:textId="4B7BE923" w:rsidR="00570851" w:rsidRPr="00570851" w:rsidRDefault="00570851" w:rsidP="00570851">
      <w:pPr>
        <w:pStyle w:val="ListParagraph"/>
        <w:numPr>
          <w:ilvl w:val="0"/>
          <w:numId w:val="32"/>
        </w:numPr>
        <w:rPr>
          <w:rFonts w:eastAsia="Times New Roman" w:cs="Arial"/>
          <w:color w:val="000000"/>
          <w:lang w:val="en-US"/>
        </w:rPr>
      </w:pPr>
      <w:r w:rsidRPr="00570851">
        <w:rPr>
          <w:rFonts w:eastAsia="Times New Roman" w:cs="Arial"/>
          <w:color w:val="000000"/>
          <w:lang w:eastAsia="bg-BG"/>
        </w:rPr>
        <w:t xml:space="preserve">Припадъци, свързани със синдрома на </w:t>
      </w:r>
      <w:r w:rsidRPr="00570851">
        <w:rPr>
          <w:rFonts w:eastAsia="Times New Roman" w:cs="Arial"/>
          <w:color w:val="000000"/>
          <w:lang w:val="en-US"/>
        </w:rPr>
        <w:t>Lennox</w:t>
      </w:r>
      <w:r w:rsidRPr="00570851">
        <w:rPr>
          <w:rFonts w:eastAsia="Times New Roman" w:cs="Arial"/>
          <w:color w:val="000000"/>
        </w:rPr>
        <w:t>-</w:t>
      </w:r>
      <w:r w:rsidRPr="00570851">
        <w:rPr>
          <w:rFonts w:eastAsia="Times New Roman" w:cs="Arial"/>
          <w:color w:val="000000"/>
          <w:lang w:val="en-US"/>
        </w:rPr>
        <w:t>Gastaut</w:t>
      </w:r>
      <w:r w:rsidRPr="00570851">
        <w:rPr>
          <w:rFonts w:eastAsia="Times New Roman" w:cs="Arial"/>
          <w:color w:val="000000"/>
        </w:rPr>
        <w:t xml:space="preserve">. </w:t>
      </w:r>
      <w:r w:rsidRPr="00570851">
        <w:rPr>
          <w:rFonts w:eastAsia="Times New Roman" w:cs="Arial"/>
          <w:color w:val="000000"/>
          <w:lang w:eastAsia="bg-BG"/>
        </w:rPr>
        <w:t>Ламиктал</w:t>
      </w:r>
      <w:r w:rsidRPr="00570851">
        <w:rPr>
          <w:rFonts w:eastAsia="Times New Roman" w:cs="Arial"/>
          <w:color w:val="000000"/>
          <w:lang w:val="ru-RU"/>
        </w:rPr>
        <w:t xml:space="preserve"> </w:t>
      </w:r>
      <w:r w:rsidRPr="00570851">
        <w:rPr>
          <w:rFonts w:eastAsia="Times New Roman" w:cs="Arial"/>
          <w:color w:val="000000"/>
          <w:lang w:eastAsia="bg-BG"/>
        </w:rPr>
        <w:t xml:space="preserve">се прилага за комбинирана терапия, но може да се използва и като начално антиепилептично лекарство (АЕЛ), с което да се започне при синдрома на </w:t>
      </w:r>
      <w:r w:rsidRPr="00570851">
        <w:rPr>
          <w:rFonts w:eastAsia="Times New Roman" w:cs="Arial"/>
          <w:color w:val="000000"/>
          <w:lang w:val="en-US"/>
        </w:rPr>
        <w:t>Lennox</w:t>
      </w:r>
      <w:r w:rsidRPr="00570851">
        <w:rPr>
          <w:rFonts w:eastAsia="Times New Roman" w:cs="Arial"/>
          <w:color w:val="000000"/>
          <w:lang w:val="ru-RU"/>
        </w:rPr>
        <w:t>-</w:t>
      </w:r>
      <w:r w:rsidRPr="00570851">
        <w:rPr>
          <w:rFonts w:eastAsia="Times New Roman" w:cs="Arial"/>
          <w:color w:val="000000"/>
          <w:lang w:val="en-US"/>
        </w:rPr>
        <w:t>Gastaut</w:t>
      </w:r>
    </w:p>
    <w:p w14:paraId="6BABC412" w14:textId="378DD702" w:rsidR="00570851" w:rsidRPr="00570851" w:rsidRDefault="00570851" w:rsidP="00570851">
      <w:pPr>
        <w:rPr>
          <w:rFonts w:eastAsia="Times New Roman" w:cs="Arial"/>
          <w:color w:val="000000"/>
          <w:lang w:val="en-US"/>
        </w:rPr>
      </w:pPr>
    </w:p>
    <w:p w14:paraId="7E7B36BB" w14:textId="77777777" w:rsidR="00570851" w:rsidRPr="00570851" w:rsidRDefault="00570851" w:rsidP="00570851">
      <w:pPr>
        <w:spacing w:line="240" w:lineRule="auto"/>
        <w:rPr>
          <w:rFonts w:eastAsia="Times New Roman" w:cs="Arial"/>
          <w:sz w:val="24"/>
          <w:szCs w:val="24"/>
        </w:rPr>
      </w:pPr>
      <w:r w:rsidRPr="00570851">
        <w:rPr>
          <w:rFonts w:eastAsia="Times New Roman" w:cs="Arial"/>
          <w:i/>
          <w:iCs/>
          <w:color w:val="000000"/>
          <w:lang w:eastAsia="bg-BG"/>
        </w:rPr>
        <w:t>Деца и юноши на възраст от 2 до 12 години</w:t>
      </w:r>
    </w:p>
    <w:p w14:paraId="2D0F14E1" w14:textId="77777777" w:rsidR="00570851" w:rsidRPr="00570851" w:rsidRDefault="00570851" w:rsidP="00570851">
      <w:pPr>
        <w:pStyle w:val="ListParagraph"/>
        <w:numPr>
          <w:ilvl w:val="0"/>
          <w:numId w:val="33"/>
        </w:numPr>
        <w:spacing w:line="240" w:lineRule="auto"/>
        <w:rPr>
          <w:rFonts w:eastAsia="Times New Roman" w:cs="Arial"/>
          <w:sz w:val="24"/>
          <w:szCs w:val="24"/>
        </w:rPr>
      </w:pPr>
      <w:r w:rsidRPr="00570851">
        <w:rPr>
          <w:rFonts w:eastAsia="Times New Roman" w:cs="Arial"/>
          <w:color w:val="000000"/>
          <w:lang w:eastAsia="bg-BG"/>
        </w:rPr>
        <w:t xml:space="preserve">Комбинирана терапия при парциални и генерализирани припадъци, включително тонично-клонични припадъци и припадъци, свързани със синдрома на </w:t>
      </w:r>
      <w:r w:rsidRPr="00570851">
        <w:rPr>
          <w:rFonts w:eastAsia="Times New Roman" w:cs="Arial"/>
          <w:color w:val="000000"/>
          <w:lang w:val="en-US"/>
        </w:rPr>
        <w:t>Lermox</w:t>
      </w:r>
      <w:r w:rsidRPr="00570851">
        <w:rPr>
          <w:rFonts w:eastAsia="Times New Roman" w:cs="Arial"/>
          <w:color w:val="000000"/>
          <w:lang w:val="ru-RU"/>
        </w:rPr>
        <w:t>-</w:t>
      </w:r>
      <w:r w:rsidRPr="00570851">
        <w:rPr>
          <w:rFonts w:eastAsia="Times New Roman" w:cs="Arial"/>
          <w:color w:val="000000"/>
          <w:lang w:val="en-US"/>
        </w:rPr>
        <w:t>Gastaut</w:t>
      </w:r>
      <w:r w:rsidRPr="00570851">
        <w:rPr>
          <w:rFonts w:eastAsia="Times New Roman" w:cs="Arial"/>
          <w:color w:val="000000"/>
          <w:lang w:val="ru-RU"/>
        </w:rPr>
        <w:t xml:space="preserve">. </w:t>
      </w:r>
    </w:p>
    <w:p w14:paraId="57EF9620" w14:textId="7406343E" w:rsidR="00570851" w:rsidRPr="00570851" w:rsidRDefault="00570851" w:rsidP="00570851">
      <w:pPr>
        <w:pStyle w:val="ListParagraph"/>
        <w:numPr>
          <w:ilvl w:val="0"/>
          <w:numId w:val="33"/>
        </w:numPr>
        <w:spacing w:line="240" w:lineRule="auto"/>
        <w:rPr>
          <w:rFonts w:eastAsia="Times New Roman" w:cs="Arial"/>
          <w:sz w:val="24"/>
          <w:szCs w:val="24"/>
        </w:rPr>
      </w:pPr>
      <w:r w:rsidRPr="00570851">
        <w:rPr>
          <w:rFonts w:eastAsia="Times New Roman" w:cs="Arial"/>
          <w:color w:val="000000"/>
          <w:lang w:eastAsia="bg-BG"/>
        </w:rPr>
        <w:t>Монотерапия на типични абсанси.</w:t>
      </w:r>
    </w:p>
    <w:p w14:paraId="399D22C8" w14:textId="77777777" w:rsidR="00570851" w:rsidRPr="00570851" w:rsidRDefault="00570851" w:rsidP="00570851">
      <w:pPr>
        <w:spacing w:line="240" w:lineRule="auto"/>
        <w:rPr>
          <w:rFonts w:eastAsia="Times New Roman" w:cs="Arial"/>
          <w:color w:val="000000"/>
          <w:u w:val="single"/>
          <w:lang w:eastAsia="bg-BG"/>
        </w:rPr>
      </w:pPr>
    </w:p>
    <w:p w14:paraId="1D5F1C93" w14:textId="52D7BDE7" w:rsidR="00570851" w:rsidRPr="00570851" w:rsidRDefault="00570851" w:rsidP="00570851">
      <w:pPr>
        <w:spacing w:line="240" w:lineRule="auto"/>
        <w:rPr>
          <w:rFonts w:eastAsia="Times New Roman" w:cs="Arial"/>
          <w:sz w:val="24"/>
          <w:szCs w:val="24"/>
        </w:rPr>
      </w:pPr>
      <w:r w:rsidRPr="00570851">
        <w:rPr>
          <w:rFonts w:eastAsia="Times New Roman" w:cs="Arial"/>
          <w:color w:val="000000"/>
          <w:u w:val="single"/>
          <w:lang w:eastAsia="bg-BG"/>
        </w:rPr>
        <w:t>Биполярно разстройство</w:t>
      </w:r>
    </w:p>
    <w:p w14:paraId="6F8DAA3D" w14:textId="77777777" w:rsidR="00570851" w:rsidRPr="00570851" w:rsidRDefault="00570851" w:rsidP="00570851">
      <w:pPr>
        <w:spacing w:line="240" w:lineRule="auto"/>
        <w:rPr>
          <w:rFonts w:eastAsia="Times New Roman" w:cs="Arial"/>
          <w:i/>
          <w:iCs/>
          <w:color w:val="000000"/>
          <w:lang w:eastAsia="bg-BG"/>
        </w:rPr>
      </w:pPr>
    </w:p>
    <w:p w14:paraId="64D7E9CC" w14:textId="5C4C20A8" w:rsidR="00570851" w:rsidRPr="00570851" w:rsidRDefault="00570851" w:rsidP="00570851">
      <w:pPr>
        <w:spacing w:line="240" w:lineRule="auto"/>
        <w:rPr>
          <w:rFonts w:eastAsia="Times New Roman" w:cs="Arial"/>
          <w:sz w:val="24"/>
          <w:szCs w:val="24"/>
        </w:rPr>
      </w:pPr>
      <w:r w:rsidRPr="00570851">
        <w:rPr>
          <w:rFonts w:eastAsia="Times New Roman" w:cs="Arial"/>
          <w:i/>
          <w:iCs/>
          <w:color w:val="000000"/>
          <w:lang w:eastAsia="bg-BG"/>
        </w:rPr>
        <w:t>Възрастни на възраст на и над 18 години</w:t>
      </w:r>
    </w:p>
    <w:p w14:paraId="4A31325E" w14:textId="77777777" w:rsidR="00570851" w:rsidRPr="00570851" w:rsidRDefault="00570851" w:rsidP="00570851">
      <w:pPr>
        <w:pStyle w:val="ListParagraph"/>
        <w:numPr>
          <w:ilvl w:val="0"/>
          <w:numId w:val="33"/>
        </w:numPr>
        <w:spacing w:line="240" w:lineRule="auto"/>
        <w:rPr>
          <w:rFonts w:eastAsia="Times New Roman" w:cs="Arial"/>
          <w:sz w:val="24"/>
          <w:szCs w:val="24"/>
        </w:rPr>
      </w:pPr>
      <w:r w:rsidRPr="00570851">
        <w:rPr>
          <w:rFonts w:eastAsia="Times New Roman" w:cs="Arial"/>
          <w:color w:val="000000"/>
          <w:lang w:eastAsia="bg-BG"/>
        </w:rPr>
        <w:t>Предотвратяване на депресивни епизоди при пациенти с биполярно I разстройство, които имат предимно депресивни епизоди (вж. точка 5.1).</w:t>
      </w:r>
    </w:p>
    <w:p w14:paraId="4E269A60" w14:textId="77777777" w:rsidR="00570851" w:rsidRDefault="00570851" w:rsidP="00570851">
      <w:pPr>
        <w:pStyle w:val="ListParagraph"/>
        <w:spacing w:line="240" w:lineRule="auto"/>
        <w:rPr>
          <w:rFonts w:eastAsia="Times New Roman" w:cs="Arial"/>
          <w:color w:val="000000"/>
          <w:lang w:eastAsia="bg-BG"/>
        </w:rPr>
      </w:pPr>
    </w:p>
    <w:p w14:paraId="5C661245" w14:textId="32985338" w:rsidR="00570851" w:rsidRPr="00570851" w:rsidRDefault="00570851" w:rsidP="00570851">
      <w:pPr>
        <w:rPr>
          <w:sz w:val="24"/>
          <w:szCs w:val="24"/>
        </w:rPr>
      </w:pPr>
      <w:r w:rsidRPr="00570851">
        <w:rPr>
          <w:lang w:eastAsia="bg-BG"/>
        </w:rPr>
        <w:t>Ламиктал не е показан за интензивно лечение на манийни или депресивни епизоди.</w:t>
      </w:r>
    </w:p>
    <w:p w14:paraId="1A864943" w14:textId="692CA8F5" w:rsidR="00395555" w:rsidRPr="00395555" w:rsidRDefault="00395555" w:rsidP="00395555"/>
    <w:p w14:paraId="7C0CA5EB" w14:textId="18BD48F0" w:rsidR="00C0049F" w:rsidRDefault="002C50EE" w:rsidP="009F1313">
      <w:pPr>
        <w:pStyle w:val="Heading2"/>
      </w:pPr>
      <w:r>
        <w:t>4.2. Дозировка и начин на приложение</w:t>
      </w:r>
    </w:p>
    <w:p w14:paraId="30A3DE81" w14:textId="199BC100" w:rsidR="00570851" w:rsidRDefault="00570851" w:rsidP="00570851"/>
    <w:p w14:paraId="2AF9CE48" w14:textId="77777777" w:rsidR="00570851" w:rsidRPr="00570851" w:rsidRDefault="00570851" w:rsidP="00570851">
      <w:pPr>
        <w:pStyle w:val="Heading3"/>
        <w:rPr>
          <w:rFonts w:eastAsia="Times New Roman"/>
          <w:u w:val="single"/>
        </w:rPr>
      </w:pPr>
      <w:r w:rsidRPr="00570851">
        <w:rPr>
          <w:rFonts w:eastAsia="Times New Roman"/>
          <w:u w:val="single"/>
          <w:lang w:eastAsia="bg-BG"/>
        </w:rPr>
        <w:t>Дозировка</w:t>
      </w:r>
    </w:p>
    <w:p w14:paraId="6B4269C6" w14:textId="77777777" w:rsidR="00570851" w:rsidRPr="00570851" w:rsidRDefault="00570851" w:rsidP="00570851">
      <w:pPr>
        <w:spacing w:line="240" w:lineRule="auto"/>
        <w:rPr>
          <w:rFonts w:eastAsia="Times New Roman" w:cs="Arial"/>
          <w:color w:val="000000"/>
          <w:lang w:eastAsia="bg-BG"/>
        </w:rPr>
      </w:pPr>
    </w:p>
    <w:p w14:paraId="4C6B73A0" w14:textId="606058FA" w:rsidR="00570851" w:rsidRPr="00570851" w:rsidRDefault="00570851" w:rsidP="00570851">
      <w:pPr>
        <w:spacing w:line="240" w:lineRule="auto"/>
        <w:rPr>
          <w:rFonts w:eastAsia="Times New Roman" w:cs="Arial"/>
          <w:sz w:val="24"/>
          <w:szCs w:val="24"/>
        </w:rPr>
      </w:pPr>
      <w:r w:rsidRPr="00570851">
        <w:rPr>
          <w:rFonts w:eastAsia="Times New Roman" w:cs="Arial"/>
          <w:color w:val="000000"/>
          <w:lang w:eastAsia="bg-BG"/>
        </w:rPr>
        <w:t>Таблетките Ламиктал трябва да бъдат поглъщани цели и да не се дъвчат или чупят.</w:t>
      </w:r>
    </w:p>
    <w:p w14:paraId="100458A4" w14:textId="77777777" w:rsidR="00570851" w:rsidRPr="00570851" w:rsidRDefault="00570851" w:rsidP="00570851">
      <w:pPr>
        <w:spacing w:line="240" w:lineRule="auto"/>
        <w:rPr>
          <w:rFonts w:eastAsia="Times New Roman" w:cs="Arial"/>
          <w:color w:val="000000"/>
          <w:lang w:eastAsia="bg-BG"/>
        </w:rPr>
      </w:pPr>
    </w:p>
    <w:p w14:paraId="513FA84D" w14:textId="384A2899" w:rsidR="00570851" w:rsidRPr="00570851" w:rsidRDefault="00570851" w:rsidP="00570851">
      <w:pPr>
        <w:spacing w:line="240" w:lineRule="auto"/>
        <w:rPr>
          <w:rFonts w:eastAsia="Times New Roman" w:cs="Arial"/>
          <w:sz w:val="24"/>
          <w:szCs w:val="24"/>
        </w:rPr>
      </w:pPr>
      <w:r w:rsidRPr="00570851">
        <w:rPr>
          <w:rFonts w:eastAsia="Times New Roman" w:cs="Arial"/>
          <w:color w:val="000000"/>
          <w:lang w:eastAsia="bg-BG"/>
        </w:rPr>
        <w:t>Ако изчислената доза (например за лечение на деца с епилепсия или на пациенти с чернодробни нарушения) не съответства на съдържанието на цяла таблетка, трябва да се приема по-ниска доза, съответстваща на цели таблетки.</w:t>
      </w:r>
    </w:p>
    <w:p w14:paraId="652E323D" w14:textId="77777777" w:rsidR="00570851" w:rsidRPr="00570851" w:rsidRDefault="00570851" w:rsidP="00570851">
      <w:pPr>
        <w:spacing w:line="240" w:lineRule="auto"/>
        <w:rPr>
          <w:rFonts w:eastAsia="Times New Roman" w:cs="Arial"/>
          <w:i/>
          <w:iCs/>
          <w:color w:val="000000"/>
          <w:lang w:eastAsia="bg-BG"/>
        </w:rPr>
      </w:pPr>
    </w:p>
    <w:p w14:paraId="12287063" w14:textId="6DE0D3E7" w:rsidR="00570851" w:rsidRPr="00570851" w:rsidRDefault="00570851" w:rsidP="00570851">
      <w:pPr>
        <w:spacing w:line="240" w:lineRule="auto"/>
        <w:rPr>
          <w:rFonts w:eastAsia="Times New Roman" w:cs="Arial"/>
          <w:sz w:val="24"/>
          <w:szCs w:val="24"/>
        </w:rPr>
      </w:pPr>
      <w:r w:rsidRPr="00570851">
        <w:rPr>
          <w:rFonts w:eastAsia="Times New Roman" w:cs="Arial"/>
          <w:i/>
          <w:iCs/>
          <w:color w:val="000000"/>
          <w:lang w:eastAsia="bg-BG"/>
        </w:rPr>
        <w:t>Повторно започване на лечение</w:t>
      </w:r>
    </w:p>
    <w:p w14:paraId="71428538" w14:textId="77777777" w:rsidR="00570851" w:rsidRPr="00570851" w:rsidRDefault="00570851" w:rsidP="00570851">
      <w:pPr>
        <w:spacing w:line="240" w:lineRule="auto"/>
        <w:rPr>
          <w:rFonts w:eastAsia="Times New Roman" w:cs="Arial"/>
          <w:color w:val="000000"/>
          <w:lang w:eastAsia="bg-BG"/>
        </w:rPr>
      </w:pPr>
    </w:p>
    <w:p w14:paraId="346C3459" w14:textId="11C94401" w:rsidR="00570851" w:rsidRPr="00570851" w:rsidRDefault="00570851" w:rsidP="00570851">
      <w:pPr>
        <w:spacing w:line="240" w:lineRule="auto"/>
        <w:rPr>
          <w:rFonts w:eastAsia="Times New Roman" w:cs="Arial"/>
          <w:sz w:val="24"/>
          <w:szCs w:val="24"/>
        </w:rPr>
      </w:pPr>
      <w:r w:rsidRPr="00570851">
        <w:rPr>
          <w:rFonts w:eastAsia="Times New Roman" w:cs="Arial"/>
          <w:color w:val="000000"/>
          <w:lang w:eastAsia="bg-BG"/>
        </w:rPr>
        <w:t>При повторно започване на лечението с ламотригин при пациенти, които по някаква причина са прекъснали приема му, трябва да се прецени необходимостта от постепенно повишаване на дозата до поддържащата доза, тъй като рискът от сериозен обрив е свързан с високи начални дози и превишаване на препоръчваната доза за повишаване на ламотригин (вж. точка 4.4). Колкото по-голям е интервалът от време след приема на предишната доза, толкова по-голямо внимание трябва да се обърне на постепенното достигане на поддържащата доза. Когато интервалът от време след прекъсването на лечението с ламотригин надвишава пет полуживота (вж. точка 5.2), обикновено под държащата доза на Ламиктал трябва да се достигне според подходящата схема.</w:t>
      </w:r>
    </w:p>
    <w:p w14:paraId="3620FE85" w14:textId="77777777" w:rsidR="00570851" w:rsidRPr="00570851" w:rsidRDefault="00570851" w:rsidP="00570851">
      <w:pPr>
        <w:spacing w:line="240" w:lineRule="auto"/>
        <w:rPr>
          <w:rFonts w:eastAsia="Times New Roman" w:cs="Arial"/>
          <w:sz w:val="24"/>
          <w:szCs w:val="24"/>
        </w:rPr>
      </w:pPr>
      <w:r w:rsidRPr="00570851">
        <w:rPr>
          <w:rFonts w:eastAsia="Times New Roman" w:cs="Arial"/>
          <w:color w:val="000000"/>
          <w:lang w:eastAsia="bg-BG"/>
        </w:rPr>
        <w:lastRenderedPageBreak/>
        <w:t>Препоръчва се лечението с Ламиктал да не се започва отново при пациенти, които са го прекъснали поради обрив, свързан с предишното лечение с ламотригин, освен ако потенциалната полза несъмнено надвишава риска.</w:t>
      </w:r>
    </w:p>
    <w:p w14:paraId="212146AF" w14:textId="77777777" w:rsidR="00570851" w:rsidRPr="00570851" w:rsidRDefault="00570851" w:rsidP="00570851">
      <w:pPr>
        <w:spacing w:line="240" w:lineRule="auto"/>
        <w:rPr>
          <w:rFonts w:eastAsia="Times New Roman" w:cs="Arial"/>
          <w:i/>
          <w:iCs/>
          <w:color w:val="000000"/>
          <w:lang w:eastAsia="bg-BG"/>
        </w:rPr>
      </w:pPr>
    </w:p>
    <w:p w14:paraId="2AD0F308" w14:textId="0C39D15B" w:rsidR="00570851" w:rsidRPr="00570851" w:rsidRDefault="00570851" w:rsidP="00570851">
      <w:pPr>
        <w:spacing w:line="240" w:lineRule="auto"/>
        <w:rPr>
          <w:rFonts w:eastAsia="Times New Roman" w:cs="Arial"/>
          <w:sz w:val="24"/>
          <w:szCs w:val="24"/>
        </w:rPr>
      </w:pPr>
      <w:r w:rsidRPr="00570851">
        <w:rPr>
          <w:rFonts w:eastAsia="Times New Roman" w:cs="Arial"/>
          <w:i/>
          <w:iCs/>
          <w:color w:val="000000"/>
          <w:lang w:eastAsia="bg-BG"/>
        </w:rPr>
        <w:t>Епилепсия</w:t>
      </w:r>
    </w:p>
    <w:p w14:paraId="62951454" w14:textId="77777777" w:rsidR="00570851" w:rsidRPr="00570851" w:rsidRDefault="00570851" w:rsidP="00570851">
      <w:pPr>
        <w:spacing w:line="240" w:lineRule="auto"/>
        <w:rPr>
          <w:rFonts w:eastAsia="Times New Roman" w:cs="Arial"/>
          <w:color w:val="000000"/>
          <w:lang w:eastAsia="bg-BG"/>
        </w:rPr>
      </w:pPr>
    </w:p>
    <w:p w14:paraId="2D085505" w14:textId="1FFDB1A7" w:rsidR="00570851" w:rsidRPr="00570851" w:rsidRDefault="00570851" w:rsidP="00570851">
      <w:pPr>
        <w:spacing w:line="240" w:lineRule="auto"/>
        <w:rPr>
          <w:rFonts w:eastAsia="Times New Roman" w:cs="Arial"/>
          <w:sz w:val="24"/>
          <w:szCs w:val="24"/>
        </w:rPr>
      </w:pPr>
      <w:r w:rsidRPr="00570851">
        <w:rPr>
          <w:rFonts w:eastAsia="Times New Roman" w:cs="Arial"/>
          <w:color w:val="000000"/>
          <w:lang w:eastAsia="bg-BG"/>
        </w:rPr>
        <w:t>Препоръчваното постепенно повишаване на дозата и поддържащите дози за възрастни и юноши на възраст на и над 13 години (Таблица 1), и за деца и юноши от 2 до 12 години (Таблица 2) са представени по-долу. Началната доза и последващото й повишаване не трябва да бъдат превишавани (вж. точка 4.4) поради риск от поява на обрив.</w:t>
      </w:r>
    </w:p>
    <w:p w14:paraId="0F9317DA" w14:textId="77777777" w:rsidR="00570851" w:rsidRPr="00570851" w:rsidRDefault="00570851" w:rsidP="00570851">
      <w:pPr>
        <w:spacing w:line="240" w:lineRule="auto"/>
        <w:rPr>
          <w:rFonts w:eastAsia="Times New Roman" w:cs="Arial"/>
          <w:color w:val="000000"/>
          <w:lang w:eastAsia="bg-BG"/>
        </w:rPr>
      </w:pPr>
    </w:p>
    <w:p w14:paraId="33B275DC" w14:textId="14A16B03" w:rsidR="00570851" w:rsidRPr="00570851" w:rsidRDefault="00570851" w:rsidP="00570851">
      <w:pPr>
        <w:spacing w:line="240" w:lineRule="auto"/>
        <w:rPr>
          <w:rFonts w:eastAsia="Times New Roman" w:cs="Arial"/>
          <w:sz w:val="24"/>
          <w:szCs w:val="24"/>
        </w:rPr>
      </w:pPr>
      <w:r w:rsidRPr="00570851">
        <w:rPr>
          <w:rFonts w:eastAsia="Times New Roman" w:cs="Arial"/>
          <w:color w:val="000000"/>
          <w:lang w:eastAsia="bg-BG"/>
        </w:rPr>
        <w:t>При преустановяване на съпътстващ прием на АЕЛ или при добавяне на други АЕЛ/лекарствени продукти към терапевтични схеми, включващи ламотригин, трябва да се има предвид ефекта, който може да окаже това върху фармакокинетиката на ламотригин (вж. точка 4.5).</w:t>
      </w:r>
    </w:p>
    <w:p w14:paraId="0747D114" w14:textId="1906BDCB" w:rsidR="00570851" w:rsidRPr="00570851" w:rsidRDefault="00570851" w:rsidP="00570851">
      <w:pPr>
        <w:rPr>
          <w:rFonts w:cs="Arial"/>
        </w:rPr>
      </w:pPr>
    </w:p>
    <w:p w14:paraId="32ABE60B" w14:textId="29697AC6" w:rsidR="00570851" w:rsidRDefault="00570851" w:rsidP="00570851">
      <w:pPr>
        <w:rPr>
          <w:rFonts w:cs="Arial"/>
          <w:i/>
          <w:iCs/>
          <w:u w:val="single"/>
        </w:rPr>
      </w:pPr>
      <w:r w:rsidRPr="00570851">
        <w:rPr>
          <w:rFonts w:cs="Arial"/>
          <w:i/>
          <w:iCs/>
          <w:u w:val="single"/>
        </w:rPr>
        <w:t>Таблица 1: Възрастни и юноши на възраст 13 и повече години - препоръчвана схема за лечение на епилепсия</w:t>
      </w:r>
    </w:p>
    <w:tbl>
      <w:tblPr>
        <w:tblStyle w:val="TableGrid"/>
        <w:tblW w:w="0" w:type="auto"/>
        <w:tblLook w:val="04A0" w:firstRow="1" w:lastRow="0" w:firstColumn="1" w:lastColumn="0" w:noHBand="0" w:noVBand="1"/>
      </w:tblPr>
      <w:tblGrid>
        <w:gridCol w:w="2451"/>
        <w:gridCol w:w="2294"/>
        <w:gridCol w:w="2281"/>
        <w:gridCol w:w="2324"/>
      </w:tblGrid>
      <w:tr w:rsidR="00570851" w14:paraId="620B5158" w14:textId="77777777" w:rsidTr="00570851">
        <w:tc>
          <w:tcPr>
            <w:tcW w:w="2451" w:type="dxa"/>
            <w:vAlign w:val="bottom"/>
          </w:tcPr>
          <w:p w14:paraId="5E293360" w14:textId="7B9C6FA5" w:rsidR="00570851" w:rsidRDefault="00570851" w:rsidP="00570851">
            <w:pPr>
              <w:rPr>
                <w:rFonts w:cs="Arial"/>
              </w:rPr>
            </w:pPr>
            <w:r>
              <w:t>Схема на лечение</w:t>
            </w:r>
          </w:p>
        </w:tc>
        <w:tc>
          <w:tcPr>
            <w:tcW w:w="2374" w:type="dxa"/>
            <w:vAlign w:val="bottom"/>
          </w:tcPr>
          <w:p w14:paraId="6DA4DF96" w14:textId="3B7403DA" w:rsidR="00570851" w:rsidRDefault="00570851" w:rsidP="00570851">
            <w:pPr>
              <w:rPr>
                <w:rFonts w:cs="Arial"/>
              </w:rPr>
            </w:pPr>
            <w:r>
              <w:t>Седмици 1+2</w:t>
            </w:r>
          </w:p>
        </w:tc>
        <w:tc>
          <w:tcPr>
            <w:tcW w:w="2371" w:type="dxa"/>
            <w:vAlign w:val="bottom"/>
          </w:tcPr>
          <w:p w14:paraId="6922650A" w14:textId="6CC4A639" w:rsidR="00570851" w:rsidRDefault="00570851" w:rsidP="00570851">
            <w:pPr>
              <w:rPr>
                <w:rFonts w:cs="Arial"/>
              </w:rPr>
            </w:pPr>
            <w:r>
              <w:t>Седмици 3 + 4</w:t>
            </w:r>
          </w:p>
        </w:tc>
        <w:tc>
          <w:tcPr>
            <w:tcW w:w="2380" w:type="dxa"/>
            <w:vAlign w:val="bottom"/>
          </w:tcPr>
          <w:p w14:paraId="678B3208" w14:textId="4F29C55A" w:rsidR="00570851" w:rsidRDefault="00570851" w:rsidP="00570851">
            <w:pPr>
              <w:rPr>
                <w:rFonts w:cs="Arial"/>
              </w:rPr>
            </w:pPr>
            <w:r>
              <w:t>Обичайна поддържаща доза</w:t>
            </w:r>
          </w:p>
        </w:tc>
      </w:tr>
      <w:tr w:rsidR="00570851" w14:paraId="7892AF9D" w14:textId="77777777" w:rsidTr="00570851">
        <w:tc>
          <w:tcPr>
            <w:tcW w:w="2451" w:type="dxa"/>
          </w:tcPr>
          <w:p w14:paraId="673C8125" w14:textId="1F535396" w:rsidR="00570851" w:rsidRDefault="00570851" w:rsidP="00570851">
            <w:pPr>
              <w:rPr>
                <w:rFonts w:cs="Arial"/>
              </w:rPr>
            </w:pPr>
            <w:r>
              <w:t>Монотерапия:</w:t>
            </w:r>
          </w:p>
        </w:tc>
        <w:tc>
          <w:tcPr>
            <w:tcW w:w="2374" w:type="dxa"/>
          </w:tcPr>
          <w:p w14:paraId="17336307" w14:textId="5ABA5FE8" w:rsidR="00570851" w:rsidRDefault="00570851" w:rsidP="00570851">
            <w:pPr>
              <w:rPr>
                <w:rFonts w:cs="Arial"/>
              </w:rPr>
            </w:pPr>
            <w:r>
              <w:t xml:space="preserve">25 </w:t>
            </w:r>
            <w:r>
              <w:rPr>
                <w:lang w:val="en-US"/>
              </w:rPr>
              <w:t>mg</w:t>
            </w:r>
            <w:r>
              <w:t>/ден (веднъж дневно)</w:t>
            </w:r>
          </w:p>
        </w:tc>
        <w:tc>
          <w:tcPr>
            <w:tcW w:w="2371" w:type="dxa"/>
          </w:tcPr>
          <w:p w14:paraId="296ABD50" w14:textId="3AFE2CE2" w:rsidR="00570851" w:rsidRDefault="00570851" w:rsidP="00570851">
            <w:pPr>
              <w:rPr>
                <w:rFonts w:cs="Arial"/>
              </w:rPr>
            </w:pPr>
            <w:r>
              <w:t xml:space="preserve">50 </w:t>
            </w:r>
            <w:r>
              <w:rPr>
                <w:lang w:val="en-US"/>
              </w:rPr>
              <w:t>mg</w:t>
            </w:r>
            <w:r>
              <w:t>/ден (веднъж дневно)</w:t>
            </w:r>
          </w:p>
        </w:tc>
        <w:tc>
          <w:tcPr>
            <w:tcW w:w="2380" w:type="dxa"/>
            <w:vAlign w:val="bottom"/>
          </w:tcPr>
          <w:p w14:paraId="440CBFA1" w14:textId="77777777" w:rsidR="00570851" w:rsidRDefault="00570851" w:rsidP="00570851">
            <w:r>
              <w:t xml:space="preserve">100-200 </w:t>
            </w:r>
            <w:r>
              <w:rPr>
                <w:lang w:val="en-US"/>
              </w:rPr>
              <w:t>mg</w:t>
            </w:r>
            <w:r>
              <w:t>/ден</w:t>
            </w:r>
          </w:p>
          <w:p w14:paraId="3820620C" w14:textId="77777777" w:rsidR="00570851" w:rsidRDefault="00570851" w:rsidP="00570851">
            <w:r>
              <w:t>(веднъж дневно или в два приема)</w:t>
            </w:r>
          </w:p>
          <w:p w14:paraId="4D5E490A" w14:textId="77777777" w:rsidR="00570851" w:rsidRDefault="00570851" w:rsidP="00570851">
            <w:r>
              <w:t xml:space="preserve">За да се постигне поддържащо лечение, дозите може да се повишават с максимум 50-100 </w:t>
            </w:r>
            <w:r>
              <w:rPr>
                <w:lang w:val="en-US"/>
              </w:rPr>
              <w:t>mg</w:t>
            </w:r>
            <w:r w:rsidRPr="00570851">
              <w:rPr>
                <w:lang w:val="ru-RU"/>
              </w:rPr>
              <w:t xml:space="preserve"> </w:t>
            </w:r>
            <w:r>
              <w:t>на всяка една до две седмици до постигане на оптимален отговор.</w:t>
            </w:r>
          </w:p>
          <w:p w14:paraId="7EED819F" w14:textId="3524E6F1" w:rsidR="00570851" w:rsidRDefault="00570851" w:rsidP="00570851">
            <w:pPr>
              <w:rPr>
                <w:rFonts w:cs="Arial"/>
              </w:rPr>
            </w:pPr>
            <w:r>
              <w:t xml:space="preserve">При някои пациенти са необходими 500 </w:t>
            </w:r>
            <w:r>
              <w:rPr>
                <w:lang w:val="en-US"/>
              </w:rPr>
              <w:t>mg</w:t>
            </w:r>
            <w:r w:rsidRPr="00570851">
              <w:rPr>
                <w:lang w:val="ru-RU"/>
              </w:rPr>
              <w:t xml:space="preserve"> </w:t>
            </w:r>
            <w:r>
              <w:t>дневно за постигане на желания терапевтичен отговор.</w:t>
            </w:r>
          </w:p>
        </w:tc>
      </w:tr>
      <w:tr w:rsidR="00570851" w14:paraId="28BDA101" w14:textId="77777777" w:rsidTr="00DE1E81">
        <w:tc>
          <w:tcPr>
            <w:tcW w:w="9576" w:type="dxa"/>
            <w:gridSpan w:val="4"/>
          </w:tcPr>
          <w:p w14:paraId="51EDBECD" w14:textId="62DABC50" w:rsidR="00570851" w:rsidRPr="00570851" w:rsidRDefault="00570851" w:rsidP="00570851">
            <w:pPr>
              <w:spacing w:line="240" w:lineRule="auto"/>
              <w:rPr>
                <w:rFonts w:eastAsia="Times New Roman" w:cs="Arial"/>
                <w:sz w:val="24"/>
                <w:szCs w:val="24"/>
              </w:rPr>
            </w:pPr>
            <w:r w:rsidRPr="00570851">
              <w:rPr>
                <w:rFonts w:eastAsia="Times New Roman" w:cs="Arial"/>
                <w:b/>
                <w:bCs/>
                <w:color w:val="000000"/>
                <w:lang w:eastAsia="bg-BG"/>
              </w:rPr>
              <w:t xml:space="preserve">Комбинирана терапия С валпроат </w:t>
            </w:r>
            <w:r w:rsidRPr="00570851">
              <w:rPr>
                <w:rFonts w:eastAsia="Times New Roman" w:cs="Arial"/>
                <w:color w:val="000000"/>
                <w:lang w:eastAsia="bg-BG"/>
              </w:rPr>
              <w:t>(инхибитор на глюкуронирането на ламотригин - вж. точка</w:t>
            </w:r>
            <w:r w:rsidRPr="00570851">
              <w:rPr>
                <w:rFonts w:eastAsia="Times New Roman" w:cs="Arial"/>
                <w:sz w:val="24"/>
                <w:szCs w:val="24"/>
                <w:lang w:val="ru-RU"/>
              </w:rPr>
              <w:t xml:space="preserve"> </w:t>
            </w:r>
            <w:r w:rsidRPr="00570851">
              <w:rPr>
                <w:rFonts w:cs="Arial"/>
                <w:lang w:eastAsia="bg-BG"/>
              </w:rPr>
              <w:t>4.5):</w:t>
            </w:r>
          </w:p>
        </w:tc>
      </w:tr>
      <w:tr w:rsidR="00570851" w14:paraId="75730836" w14:textId="77777777" w:rsidTr="00570851">
        <w:tc>
          <w:tcPr>
            <w:tcW w:w="2451" w:type="dxa"/>
          </w:tcPr>
          <w:p w14:paraId="0DD677BC" w14:textId="0CE16CE3" w:rsidR="00570851" w:rsidRDefault="00570851" w:rsidP="00570851">
            <w:pPr>
              <w:rPr>
                <w:rFonts w:cs="Arial"/>
              </w:rPr>
            </w:pPr>
            <w:r>
              <w:t xml:space="preserve">Тази схема на дозиране трябва да бъде използвана с валпроат независимо от съпътстващия прием на други </w:t>
            </w:r>
            <w:r>
              <w:lastRenderedPageBreak/>
              <w:t>лекарствени продукти</w:t>
            </w:r>
          </w:p>
        </w:tc>
        <w:tc>
          <w:tcPr>
            <w:tcW w:w="2374" w:type="dxa"/>
          </w:tcPr>
          <w:p w14:paraId="77BC2F00" w14:textId="3F1B0181" w:rsidR="00570851" w:rsidRDefault="00570851" w:rsidP="00570851">
            <w:pPr>
              <w:rPr>
                <w:rFonts w:cs="Arial"/>
              </w:rPr>
            </w:pPr>
            <w:r>
              <w:lastRenderedPageBreak/>
              <w:t xml:space="preserve">12,5 </w:t>
            </w:r>
            <w:r>
              <w:rPr>
                <w:lang w:val="en-US"/>
              </w:rPr>
              <w:t>mg</w:t>
            </w:r>
            <w:r>
              <w:t xml:space="preserve">/ден (приемани като 25 </w:t>
            </w:r>
            <w:r>
              <w:rPr>
                <w:lang w:val="en-US"/>
              </w:rPr>
              <w:t>mg</w:t>
            </w:r>
            <w:r w:rsidRPr="00570851">
              <w:rPr>
                <w:lang w:val="ru-RU"/>
              </w:rPr>
              <w:t xml:space="preserve"> </w:t>
            </w:r>
            <w:r>
              <w:t>през ден)</w:t>
            </w:r>
          </w:p>
        </w:tc>
        <w:tc>
          <w:tcPr>
            <w:tcW w:w="2371" w:type="dxa"/>
          </w:tcPr>
          <w:p w14:paraId="09640CB0" w14:textId="0A157ED1" w:rsidR="00570851" w:rsidRDefault="00570851" w:rsidP="00570851">
            <w:pPr>
              <w:rPr>
                <w:rFonts w:cs="Arial"/>
              </w:rPr>
            </w:pPr>
            <w:r>
              <w:t xml:space="preserve">25 </w:t>
            </w:r>
            <w:r>
              <w:rPr>
                <w:lang w:val="en-US"/>
              </w:rPr>
              <w:t>mg</w:t>
            </w:r>
            <w:r>
              <w:t>/ден (веднъж дневно)</w:t>
            </w:r>
          </w:p>
        </w:tc>
        <w:tc>
          <w:tcPr>
            <w:tcW w:w="2380" w:type="dxa"/>
            <w:vAlign w:val="bottom"/>
          </w:tcPr>
          <w:p w14:paraId="75AEE04E" w14:textId="77777777" w:rsidR="00570851" w:rsidRDefault="00570851" w:rsidP="00570851">
            <w:r>
              <w:t xml:space="preserve">100-200 </w:t>
            </w:r>
            <w:r>
              <w:rPr>
                <w:lang w:val="en-US"/>
              </w:rPr>
              <w:t>mg</w:t>
            </w:r>
            <w:r>
              <w:t>/ден (веднъж дневно или в два приема)</w:t>
            </w:r>
          </w:p>
          <w:p w14:paraId="5E476ED0" w14:textId="50DFFC02" w:rsidR="00570851" w:rsidRDefault="00570851" w:rsidP="00570851">
            <w:pPr>
              <w:rPr>
                <w:rFonts w:cs="Arial"/>
              </w:rPr>
            </w:pPr>
            <w:r>
              <w:t xml:space="preserve">За да се постигне поддържащо лечение, дозите </w:t>
            </w:r>
            <w:r>
              <w:lastRenderedPageBreak/>
              <w:t xml:space="preserve">може да се повишават с максимум 25-50 </w:t>
            </w:r>
            <w:r>
              <w:rPr>
                <w:lang w:val="en-US"/>
              </w:rPr>
              <w:t>mg</w:t>
            </w:r>
            <w:r w:rsidRPr="00570851">
              <w:rPr>
                <w:lang w:val="ru-RU"/>
              </w:rPr>
              <w:t xml:space="preserve"> </w:t>
            </w:r>
            <w:r>
              <w:t>на всяка една до две седмици до постигане на оптимален отговор.</w:t>
            </w:r>
          </w:p>
        </w:tc>
      </w:tr>
      <w:tr w:rsidR="00570851" w14:paraId="700B5890" w14:textId="77777777" w:rsidTr="00DE1E81">
        <w:tc>
          <w:tcPr>
            <w:tcW w:w="9576" w:type="dxa"/>
            <w:gridSpan w:val="4"/>
          </w:tcPr>
          <w:p w14:paraId="6A7044C6" w14:textId="39FA6751" w:rsidR="00570851" w:rsidRPr="00570851" w:rsidRDefault="00570851" w:rsidP="00570851">
            <w:pPr>
              <w:spacing w:line="240" w:lineRule="auto"/>
              <w:rPr>
                <w:rFonts w:eastAsia="Times New Roman" w:cs="Arial"/>
                <w:sz w:val="24"/>
                <w:szCs w:val="24"/>
              </w:rPr>
            </w:pPr>
            <w:r w:rsidRPr="00570851">
              <w:rPr>
                <w:rFonts w:eastAsia="Times New Roman" w:cs="Arial"/>
                <w:b/>
                <w:bCs/>
                <w:color w:val="000000"/>
                <w:lang w:eastAsia="bg-BG"/>
              </w:rPr>
              <w:lastRenderedPageBreak/>
              <w:t xml:space="preserve">Комбинирана терапия БЕЗ валпроат и С индуктори на глюкуронирането на ламотригин </w:t>
            </w:r>
            <w:r w:rsidRPr="00570851">
              <w:rPr>
                <w:rFonts w:eastAsia="Times New Roman" w:cs="Arial"/>
                <w:color w:val="000000"/>
                <w:lang w:eastAsia="bg-BG"/>
              </w:rPr>
              <w:t>(вж. точка 4.5):</w:t>
            </w:r>
          </w:p>
        </w:tc>
      </w:tr>
      <w:tr w:rsidR="00570851" w14:paraId="4CD34106" w14:textId="77777777" w:rsidTr="00570851">
        <w:tc>
          <w:tcPr>
            <w:tcW w:w="2451" w:type="dxa"/>
          </w:tcPr>
          <w:p w14:paraId="6E83C524" w14:textId="77777777" w:rsidR="00570851" w:rsidRDefault="00570851" w:rsidP="00570851">
            <w:r>
              <w:t>Тази схема на дозиране трябва да се използва без валпроат, но с:</w:t>
            </w:r>
          </w:p>
          <w:p w14:paraId="7E517715" w14:textId="502EEC9D" w:rsidR="00570851" w:rsidRDefault="00570851" w:rsidP="00570851">
            <w:pPr>
              <w:rPr>
                <w:rFonts w:cs="Arial"/>
              </w:rPr>
            </w:pPr>
            <w:r>
              <w:t>фенитоин карбамазепин фенобарбитон примидон рифампицин лопинавир/ритонавир</w:t>
            </w:r>
          </w:p>
        </w:tc>
        <w:tc>
          <w:tcPr>
            <w:tcW w:w="2374" w:type="dxa"/>
          </w:tcPr>
          <w:p w14:paraId="16525AB1" w14:textId="33382AA9" w:rsidR="00570851" w:rsidRDefault="00570851" w:rsidP="00570851">
            <w:pPr>
              <w:rPr>
                <w:rFonts w:cs="Arial"/>
              </w:rPr>
            </w:pPr>
            <w:r>
              <w:t xml:space="preserve">50 </w:t>
            </w:r>
            <w:r>
              <w:rPr>
                <w:lang w:val="en-US"/>
              </w:rPr>
              <w:t>mg</w:t>
            </w:r>
            <w:r>
              <w:t>/ден (веднъж дневно)</w:t>
            </w:r>
          </w:p>
        </w:tc>
        <w:tc>
          <w:tcPr>
            <w:tcW w:w="2371" w:type="dxa"/>
          </w:tcPr>
          <w:p w14:paraId="706DE7BA" w14:textId="0CC97741" w:rsidR="00570851" w:rsidRDefault="00570851" w:rsidP="00570851">
            <w:pPr>
              <w:rPr>
                <w:rFonts w:cs="Arial"/>
              </w:rPr>
            </w:pPr>
            <w:r>
              <w:t xml:space="preserve">100 </w:t>
            </w:r>
            <w:r>
              <w:rPr>
                <w:lang w:val="en-US"/>
              </w:rPr>
              <w:t>mg</w:t>
            </w:r>
            <w:r>
              <w:t>/ден (в два приема)</w:t>
            </w:r>
          </w:p>
        </w:tc>
        <w:tc>
          <w:tcPr>
            <w:tcW w:w="2380" w:type="dxa"/>
            <w:vAlign w:val="bottom"/>
          </w:tcPr>
          <w:p w14:paraId="27F0B4A2" w14:textId="77777777" w:rsidR="00570851" w:rsidRDefault="00570851" w:rsidP="00570851">
            <w:r>
              <w:t xml:space="preserve">200-400 </w:t>
            </w:r>
            <w:r>
              <w:rPr>
                <w:lang w:val="en-US"/>
              </w:rPr>
              <w:t>mg</w:t>
            </w:r>
            <w:r>
              <w:t>/ден (в два приема)</w:t>
            </w:r>
          </w:p>
          <w:p w14:paraId="584E7148" w14:textId="77777777" w:rsidR="00570851" w:rsidRDefault="00570851" w:rsidP="00570851">
            <w:r>
              <w:t>За да се постигне поддържащо лечение, дозите може да се повишават с максимум</w:t>
            </w:r>
          </w:p>
          <w:p w14:paraId="545CCD78" w14:textId="77777777" w:rsidR="00570851" w:rsidRDefault="00570851" w:rsidP="00570851">
            <w:r>
              <w:t xml:space="preserve">100 </w:t>
            </w:r>
            <w:r>
              <w:rPr>
                <w:lang w:val="en-US"/>
              </w:rPr>
              <w:t>mg</w:t>
            </w:r>
            <w:r w:rsidRPr="00570851">
              <w:rPr>
                <w:lang w:val="ru-RU"/>
              </w:rPr>
              <w:t xml:space="preserve"> </w:t>
            </w:r>
            <w:r>
              <w:t>на всяка една до две седмици до постигане на оптимален отговор.</w:t>
            </w:r>
          </w:p>
          <w:p w14:paraId="435FC9F3" w14:textId="0743472B" w:rsidR="00570851" w:rsidRDefault="00570851" w:rsidP="00570851">
            <w:pPr>
              <w:rPr>
                <w:rFonts w:cs="Arial"/>
              </w:rPr>
            </w:pPr>
            <w:r>
              <w:t xml:space="preserve">При някои пациенти са необходими 700 </w:t>
            </w:r>
            <w:r>
              <w:rPr>
                <w:lang w:val="en-US"/>
              </w:rPr>
              <w:t>mg</w:t>
            </w:r>
            <w:r w:rsidRPr="00570851">
              <w:rPr>
                <w:lang w:val="ru-RU"/>
              </w:rPr>
              <w:t xml:space="preserve"> </w:t>
            </w:r>
            <w:r>
              <w:t>дневно за постигане на желания терапевтичен отговор.</w:t>
            </w:r>
          </w:p>
        </w:tc>
      </w:tr>
      <w:tr w:rsidR="00570851" w14:paraId="6BE873E1" w14:textId="77777777" w:rsidTr="00DE1E81">
        <w:tc>
          <w:tcPr>
            <w:tcW w:w="9576" w:type="dxa"/>
            <w:gridSpan w:val="4"/>
          </w:tcPr>
          <w:p w14:paraId="12233657" w14:textId="455E91C1" w:rsidR="00570851" w:rsidRPr="00570851" w:rsidRDefault="00570851" w:rsidP="00570851">
            <w:pPr>
              <w:spacing w:line="240" w:lineRule="auto"/>
              <w:rPr>
                <w:rFonts w:eastAsia="Times New Roman" w:cs="Arial"/>
                <w:sz w:val="24"/>
                <w:szCs w:val="24"/>
              </w:rPr>
            </w:pPr>
            <w:r w:rsidRPr="00570851">
              <w:rPr>
                <w:rFonts w:eastAsia="Times New Roman" w:cs="Arial"/>
                <w:b/>
                <w:bCs/>
                <w:color w:val="000000"/>
                <w:lang w:eastAsia="bg-BG"/>
              </w:rPr>
              <w:t xml:space="preserve">Комбинирана терапия БЕЗ валпроат и БЕЗ индуктори на глюкуронирането на ламотригин </w:t>
            </w:r>
            <w:r w:rsidRPr="00570851">
              <w:rPr>
                <w:rFonts w:eastAsia="Times New Roman" w:cs="Arial"/>
                <w:color w:val="000000"/>
                <w:lang w:eastAsia="bg-BG"/>
              </w:rPr>
              <w:t>(вж. точка 4.5):</w:t>
            </w:r>
          </w:p>
        </w:tc>
      </w:tr>
      <w:tr w:rsidR="00570851" w14:paraId="432685AE" w14:textId="77777777" w:rsidTr="00DE1E81">
        <w:tc>
          <w:tcPr>
            <w:tcW w:w="2451" w:type="dxa"/>
            <w:vAlign w:val="bottom"/>
          </w:tcPr>
          <w:p w14:paraId="4FB27B7E" w14:textId="2F0C6FFB" w:rsidR="00570851" w:rsidRDefault="00570851" w:rsidP="00570851">
            <w:pPr>
              <w:rPr>
                <w:rFonts w:cs="Arial"/>
              </w:rPr>
            </w:pPr>
            <w:r>
              <w:t>Тази схема на дозиране трябва да се използва с други лекарствени продукти, които не инхибират или не индуцират значително глюкуронирането на ламотригин</w:t>
            </w:r>
          </w:p>
        </w:tc>
        <w:tc>
          <w:tcPr>
            <w:tcW w:w="2374" w:type="dxa"/>
          </w:tcPr>
          <w:p w14:paraId="0D387B40" w14:textId="0B30C11C" w:rsidR="00570851" w:rsidRDefault="00570851" w:rsidP="00570851">
            <w:pPr>
              <w:rPr>
                <w:rFonts w:cs="Arial"/>
              </w:rPr>
            </w:pPr>
            <w:r>
              <w:t xml:space="preserve">25 </w:t>
            </w:r>
            <w:r>
              <w:rPr>
                <w:lang w:val="en-US"/>
              </w:rPr>
              <w:t>mg</w:t>
            </w:r>
            <w:r>
              <w:t>/ден (веднъж дневно)</w:t>
            </w:r>
          </w:p>
        </w:tc>
        <w:tc>
          <w:tcPr>
            <w:tcW w:w="2371" w:type="dxa"/>
          </w:tcPr>
          <w:p w14:paraId="4ADCFDFF" w14:textId="686D093D" w:rsidR="00570851" w:rsidRDefault="00570851" w:rsidP="00570851">
            <w:pPr>
              <w:rPr>
                <w:rFonts w:cs="Arial"/>
              </w:rPr>
            </w:pPr>
            <w:r>
              <w:t xml:space="preserve">50 </w:t>
            </w:r>
            <w:r>
              <w:rPr>
                <w:lang w:val="en-US"/>
              </w:rPr>
              <w:t>mg</w:t>
            </w:r>
            <w:r>
              <w:t>/ден (веднъж дневно)</w:t>
            </w:r>
          </w:p>
        </w:tc>
        <w:tc>
          <w:tcPr>
            <w:tcW w:w="2380" w:type="dxa"/>
            <w:vAlign w:val="bottom"/>
          </w:tcPr>
          <w:p w14:paraId="3A086099" w14:textId="77777777" w:rsidR="00570851" w:rsidRDefault="00570851" w:rsidP="00570851">
            <w:r>
              <w:t xml:space="preserve">100-200 </w:t>
            </w:r>
            <w:r>
              <w:rPr>
                <w:lang w:val="en-US"/>
              </w:rPr>
              <w:t>mg</w:t>
            </w:r>
            <w:r>
              <w:t>/ден</w:t>
            </w:r>
          </w:p>
          <w:p w14:paraId="6E6E9596" w14:textId="77777777" w:rsidR="00570851" w:rsidRDefault="00570851" w:rsidP="00570851">
            <w:r>
              <w:t>(веднъж дневно или в два приема)</w:t>
            </w:r>
          </w:p>
          <w:p w14:paraId="1B08FEE0" w14:textId="236D8AB0" w:rsidR="00570851" w:rsidRDefault="00570851" w:rsidP="00570851">
            <w:pPr>
              <w:rPr>
                <w:rFonts w:cs="Arial"/>
              </w:rPr>
            </w:pPr>
            <w:r>
              <w:t xml:space="preserve">За да се постигне поддържащо лечение, дозите може да се повишават с максимум 50-100 </w:t>
            </w:r>
            <w:r>
              <w:rPr>
                <w:lang w:val="en-US"/>
              </w:rPr>
              <w:t>mg</w:t>
            </w:r>
            <w:r w:rsidRPr="00570851">
              <w:rPr>
                <w:lang w:val="ru-RU"/>
              </w:rPr>
              <w:t xml:space="preserve"> </w:t>
            </w:r>
            <w:r>
              <w:t>на всяка една до две седмици до постигане на оптимален отговор.</w:t>
            </w:r>
          </w:p>
        </w:tc>
      </w:tr>
      <w:tr w:rsidR="00570851" w14:paraId="0C9E9049" w14:textId="77777777" w:rsidTr="00DE1E81">
        <w:tc>
          <w:tcPr>
            <w:tcW w:w="9576" w:type="dxa"/>
            <w:gridSpan w:val="4"/>
          </w:tcPr>
          <w:p w14:paraId="638F5436" w14:textId="7B397280" w:rsidR="00570851" w:rsidRDefault="00570851" w:rsidP="00570851">
            <w:pPr>
              <w:rPr>
                <w:rFonts w:cs="Arial"/>
              </w:rPr>
            </w:pPr>
            <w:r>
              <w:t>При пациенти, приемащи лекарствени продукти, за които не са известни фармакокинетични взаимодействия с ламотригин (вж. точка 4.5), трябва да се използва схема на лечение като препоръчаната за ламотригин с едновременен прием на валпроат.</w:t>
            </w:r>
          </w:p>
        </w:tc>
      </w:tr>
    </w:tbl>
    <w:p w14:paraId="4E97C3D6" w14:textId="65EA9960" w:rsidR="00570851" w:rsidRDefault="00570851" w:rsidP="00570851">
      <w:pPr>
        <w:rPr>
          <w:rFonts w:cs="Arial"/>
        </w:rPr>
      </w:pPr>
    </w:p>
    <w:p w14:paraId="740AE1E5" w14:textId="22C966A9" w:rsidR="00570851" w:rsidRDefault="00570851" w:rsidP="00570851">
      <w:pPr>
        <w:rPr>
          <w:i/>
          <w:iCs/>
          <w:u w:val="single"/>
        </w:rPr>
      </w:pPr>
      <w:r>
        <w:rPr>
          <w:i/>
          <w:iCs/>
          <w:u w:val="single"/>
        </w:rPr>
        <w:t xml:space="preserve">Таблица 2: Деиа и юноши на възраст от 2 до 12 години - препоръчвана схема на лечение на епилепсия (обща дневна доза в </w:t>
      </w:r>
      <w:r>
        <w:rPr>
          <w:i/>
          <w:iCs/>
          <w:u w:val="single"/>
          <w:lang w:val="en-US"/>
        </w:rPr>
        <w:t>mg</w:t>
      </w:r>
      <w:r w:rsidRPr="00570851">
        <w:rPr>
          <w:i/>
          <w:iCs/>
          <w:u w:val="single"/>
          <w:lang w:val="ru-RU"/>
        </w:rPr>
        <w:t>/</w:t>
      </w:r>
      <w:r>
        <w:rPr>
          <w:i/>
          <w:iCs/>
          <w:u w:val="single"/>
          <w:lang w:val="en-US"/>
        </w:rPr>
        <w:t>kg</w:t>
      </w:r>
      <w:r w:rsidRPr="00570851">
        <w:rPr>
          <w:i/>
          <w:iCs/>
          <w:u w:val="single"/>
          <w:lang w:val="ru-RU"/>
        </w:rPr>
        <w:t xml:space="preserve"> </w:t>
      </w:r>
      <w:r>
        <w:rPr>
          <w:i/>
          <w:iCs/>
          <w:u w:val="single"/>
        </w:rPr>
        <w:t>телесно тегло/ден)</w:t>
      </w:r>
    </w:p>
    <w:tbl>
      <w:tblPr>
        <w:tblStyle w:val="TableGrid"/>
        <w:tblW w:w="0" w:type="auto"/>
        <w:tblLook w:val="04A0" w:firstRow="1" w:lastRow="0" w:firstColumn="1" w:lastColumn="0" w:noHBand="0" w:noVBand="1"/>
      </w:tblPr>
      <w:tblGrid>
        <w:gridCol w:w="2451"/>
        <w:gridCol w:w="2296"/>
        <w:gridCol w:w="2288"/>
        <w:gridCol w:w="2315"/>
      </w:tblGrid>
      <w:tr w:rsidR="00570851" w14:paraId="7454E730" w14:textId="77777777" w:rsidTr="00570851">
        <w:tc>
          <w:tcPr>
            <w:tcW w:w="2451" w:type="dxa"/>
          </w:tcPr>
          <w:p w14:paraId="3A69CB7C" w14:textId="4DE3E134" w:rsidR="00570851" w:rsidRDefault="00570851" w:rsidP="00570851">
            <w:pPr>
              <w:rPr>
                <w:rFonts w:cs="Arial"/>
              </w:rPr>
            </w:pPr>
            <w:r>
              <w:t>Схема на лечение</w:t>
            </w:r>
          </w:p>
        </w:tc>
        <w:tc>
          <w:tcPr>
            <w:tcW w:w="2374" w:type="dxa"/>
          </w:tcPr>
          <w:p w14:paraId="07B0274C" w14:textId="3A43694C" w:rsidR="00570851" w:rsidRDefault="00570851" w:rsidP="00570851">
            <w:pPr>
              <w:rPr>
                <w:rFonts w:cs="Arial"/>
              </w:rPr>
            </w:pPr>
            <w:r>
              <w:t>Седмици 1+2</w:t>
            </w:r>
          </w:p>
        </w:tc>
        <w:tc>
          <w:tcPr>
            <w:tcW w:w="2373" w:type="dxa"/>
          </w:tcPr>
          <w:p w14:paraId="0BE03A85" w14:textId="472B678B" w:rsidR="00570851" w:rsidRDefault="00570851" w:rsidP="00570851">
            <w:pPr>
              <w:rPr>
                <w:rFonts w:cs="Arial"/>
              </w:rPr>
            </w:pPr>
            <w:r>
              <w:t>Седмици 3+4</w:t>
            </w:r>
          </w:p>
        </w:tc>
        <w:tc>
          <w:tcPr>
            <w:tcW w:w="2378" w:type="dxa"/>
          </w:tcPr>
          <w:p w14:paraId="3431C4BA" w14:textId="67301EA7" w:rsidR="00570851" w:rsidRDefault="00570851" w:rsidP="00570851">
            <w:pPr>
              <w:rPr>
                <w:rFonts w:cs="Arial"/>
              </w:rPr>
            </w:pPr>
            <w:r>
              <w:t>Обичайна поддържаща доза</w:t>
            </w:r>
          </w:p>
        </w:tc>
      </w:tr>
      <w:tr w:rsidR="00570851" w14:paraId="6D1DE438" w14:textId="77777777" w:rsidTr="00570851">
        <w:tc>
          <w:tcPr>
            <w:tcW w:w="2451" w:type="dxa"/>
          </w:tcPr>
          <w:p w14:paraId="7836118C" w14:textId="3C14E0BC" w:rsidR="00570851" w:rsidRDefault="00570851" w:rsidP="00570851">
            <w:pPr>
              <w:rPr>
                <w:rFonts w:cs="Arial"/>
              </w:rPr>
            </w:pPr>
            <w:r>
              <w:rPr>
                <w:b/>
                <w:bCs/>
              </w:rPr>
              <w:t>Монотерапия при типични абсанси:</w:t>
            </w:r>
          </w:p>
        </w:tc>
        <w:tc>
          <w:tcPr>
            <w:tcW w:w="2374" w:type="dxa"/>
          </w:tcPr>
          <w:p w14:paraId="4D4C2477" w14:textId="07FE4DA3" w:rsidR="00570851" w:rsidRDefault="00570851" w:rsidP="00570851">
            <w:pPr>
              <w:rPr>
                <w:rFonts w:cs="Arial"/>
              </w:rPr>
            </w:pPr>
            <w:r>
              <w:t xml:space="preserve">0,3 </w:t>
            </w:r>
            <w:r>
              <w:rPr>
                <w:lang w:val="en-US"/>
              </w:rPr>
              <w:t>mg</w:t>
            </w:r>
            <w:r w:rsidRPr="00570851">
              <w:rPr>
                <w:lang w:val="ru-RU"/>
              </w:rPr>
              <w:t>/</w:t>
            </w:r>
            <w:r>
              <w:rPr>
                <w:lang w:val="en-US"/>
              </w:rPr>
              <w:t>kg</w:t>
            </w:r>
            <w:r>
              <w:t>/ден (веднъж дневно или в два приема)</w:t>
            </w:r>
          </w:p>
        </w:tc>
        <w:tc>
          <w:tcPr>
            <w:tcW w:w="2373" w:type="dxa"/>
          </w:tcPr>
          <w:p w14:paraId="7D1FC5C3" w14:textId="41F528AD" w:rsidR="00570851" w:rsidRDefault="00570851" w:rsidP="00570851">
            <w:pPr>
              <w:rPr>
                <w:rFonts w:cs="Arial"/>
              </w:rPr>
            </w:pPr>
            <w:r>
              <w:t xml:space="preserve">0,6 </w:t>
            </w:r>
            <w:r>
              <w:rPr>
                <w:lang w:val="en-US"/>
              </w:rPr>
              <w:t>mg</w:t>
            </w:r>
            <w:r w:rsidRPr="00570851">
              <w:rPr>
                <w:lang w:val="ru-RU"/>
              </w:rPr>
              <w:t>/</w:t>
            </w:r>
            <w:r>
              <w:rPr>
                <w:lang w:val="en-US"/>
              </w:rPr>
              <w:t>kg</w:t>
            </w:r>
            <w:r>
              <w:t>/ден (веднъж дневно или в два приема)</w:t>
            </w:r>
          </w:p>
        </w:tc>
        <w:tc>
          <w:tcPr>
            <w:tcW w:w="2378" w:type="dxa"/>
          </w:tcPr>
          <w:p w14:paraId="7526531B" w14:textId="77777777" w:rsidR="00570851" w:rsidRDefault="00570851" w:rsidP="00570851">
            <w:r>
              <w:t xml:space="preserve">1-15 </w:t>
            </w:r>
            <w:r>
              <w:rPr>
                <w:lang w:val="en-US"/>
              </w:rPr>
              <w:t>mg</w:t>
            </w:r>
            <w:r w:rsidRPr="00570851">
              <w:rPr>
                <w:lang w:val="ru-RU"/>
              </w:rPr>
              <w:t>/</w:t>
            </w:r>
            <w:r>
              <w:rPr>
                <w:lang w:val="en-US"/>
              </w:rPr>
              <w:t>kg</w:t>
            </w:r>
            <w:r>
              <w:t>/ден (веднъж дневно или в два приема)</w:t>
            </w:r>
          </w:p>
          <w:p w14:paraId="46F2D68E" w14:textId="5A4F1FFA" w:rsidR="00570851" w:rsidRDefault="00570851" w:rsidP="00570851">
            <w:pPr>
              <w:rPr>
                <w:rFonts w:cs="Arial"/>
              </w:rPr>
            </w:pPr>
            <w:r>
              <w:t xml:space="preserve">За да се постигне поддържащо лечение, дозите може да се повишават максимум с 0,6 </w:t>
            </w:r>
            <w:r>
              <w:rPr>
                <w:lang w:val="en-US"/>
              </w:rPr>
              <w:t>mg</w:t>
            </w:r>
            <w:r w:rsidRPr="00570851">
              <w:rPr>
                <w:lang w:val="ru-RU"/>
              </w:rPr>
              <w:t>/</w:t>
            </w:r>
            <w:r>
              <w:rPr>
                <w:lang w:val="en-US"/>
              </w:rPr>
              <w:t>kg</w:t>
            </w:r>
            <w:r>
              <w:t xml:space="preserve">/ден на всеки една до две седмици до постигане на оптимален отговор, с максимална дневна доза от 200 </w:t>
            </w:r>
            <w:r>
              <w:rPr>
                <w:lang w:val="en-US"/>
              </w:rPr>
              <w:t>mg</w:t>
            </w:r>
            <w:r>
              <w:t>/ден.</w:t>
            </w:r>
          </w:p>
        </w:tc>
      </w:tr>
      <w:tr w:rsidR="00570851" w14:paraId="7B5CF312" w14:textId="77777777" w:rsidTr="00DE1E81">
        <w:tc>
          <w:tcPr>
            <w:tcW w:w="9576" w:type="dxa"/>
            <w:gridSpan w:val="4"/>
          </w:tcPr>
          <w:p w14:paraId="1B7F3D3C" w14:textId="4002ACCF" w:rsidR="00570851" w:rsidRDefault="00570851" w:rsidP="00570851">
            <w:pPr>
              <w:rPr>
                <w:rFonts w:cs="Arial"/>
              </w:rPr>
            </w:pPr>
            <w:r>
              <w:rPr>
                <w:b/>
                <w:bCs/>
              </w:rPr>
              <w:t xml:space="preserve">Комбинирана терапия С валпроат </w:t>
            </w:r>
            <w:r>
              <w:t>(инхибитор на глюкуронирането на ламотригин - вж. точка 4.5):</w:t>
            </w:r>
          </w:p>
        </w:tc>
      </w:tr>
      <w:tr w:rsidR="00570851" w14:paraId="03B6420C" w14:textId="77777777" w:rsidTr="00570851">
        <w:tc>
          <w:tcPr>
            <w:tcW w:w="2451" w:type="dxa"/>
          </w:tcPr>
          <w:p w14:paraId="37E5F64C" w14:textId="4B4CE313" w:rsidR="00570851" w:rsidRDefault="00570851" w:rsidP="00570851">
            <w:pPr>
              <w:rPr>
                <w:rFonts w:cs="Arial"/>
              </w:rPr>
            </w:pPr>
            <w:r>
              <w:t>Тази схема на дозиране трябва да се използва с валпроат независимо от съпътстващия прием на други лекарствени продукти</w:t>
            </w:r>
          </w:p>
        </w:tc>
        <w:tc>
          <w:tcPr>
            <w:tcW w:w="2374" w:type="dxa"/>
          </w:tcPr>
          <w:p w14:paraId="0C2685B9" w14:textId="5FB028FE" w:rsidR="00570851" w:rsidRDefault="00570851" w:rsidP="00570851">
            <w:pPr>
              <w:rPr>
                <w:rFonts w:cs="Arial"/>
              </w:rPr>
            </w:pPr>
            <w:r>
              <w:t xml:space="preserve">0,15 </w:t>
            </w:r>
            <w:r>
              <w:rPr>
                <w:lang w:val="en-US"/>
              </w:rPr>
              <w:t>mg</w:t>
            </w:r>
            <w:r w:rsidRPr="00570851">
              <w:rPr>
                <w:lang w:val="ru-RU"/>
              </w:rPr>
              <w:t>/</w:t>
            </w:r>
            <w:r>
              <w:rPr>
                <w:lang w:val="en-US"/>
              </w:rPr>
              <w:t>kg</w:t>
            </w:r>
            <w:r>
              <w:t>/ден* (веднъж дневно)</w:t>
            </w:r>
          </w:p>
        </w:tc>
        <w:tc>
          <w:tcPr>
            <w:tcW w:w="2373" w:type="dxa"/>
          </w:tcPr>
          <w:p w14:paraId="3CE4C1F4" w14:textId="042170FE" w:rsidR="00570851" w:rsidRDefault="00570851" w:rsidP="00570851">
            <w:pPr>
              <w:rPr>
                <w:rFonts w:cs="Arial"/>
              </w:rPr>
            </w:pPr>
            <w:r>
              <w:t xml:space="preserve">0,3 </w:t>
            </w:r>
            <w:r>
              <w:rPr>
                <w:lang w:val="en-US"/>
              </w:rPr>
              <w:t>mg</w:t>
            </w:r>
            <w:r w:rsidRPr="00570851">
              <w:rPr>
                <w:lang w:val="ru-RU"/>
              </w:rPr>
              <w:t>/</w:t>
            </w:r>
            <w:r>
              <w:rPr>
                <w:lang w:val="en-US"/>
              </w:rPr>
              <w:t>kg</w:t>
            </w:r>
            <w:r>
              <w:t>/ден (веднъж дневно)</w:t>
            </w:r>
          </w:p>
        </w:tc>
        <w:tc>
          <w:tcPr>
            <w:tcW w:w="2378" w:type="dxa"/>
          </w:tcPr>
          <w:p w14:paraId="11F87626" w14:textId="77777777" w:rsidR="00570851" w:rsidRDefault="00570851" w:rsidP="00570851">
            <w:r>
              <w:t xml:space="preserve">1-5 </w:t>
            </w:r>
            <w:r>
              <w:rPr>
                <w:lang w:val="en-US"/>
              </w:rPr>
              <w:t>mg</w:t>
            </w:r>
            <w:r w:rsidRPr="00570851">
              <w:rPr>
                <w:lang w:val="ru-RU"/>
              </w:rPr>
              <w:t>/</w:t>
            </w:r>
            <w:r>
              <w:rPr>
                <w:lang w:val="en-US"/>
              </w:rPr>
              <w:t>kg</w:t>
            </w:r>
            <w:r>
              <w:t>/ден (веднъж дневно или в два приема)</w:t>
            </w:r>
          </w:p>
          <w:p w14:paraId="2EF18CE0" w14:textId="03D95A4A" w:rsidR="00570851" w:rsidRDefault="00570851" w:rsidP="00570851">
            <w:pPr>
              <w:rPr>
                <w:rFonts w:cs="Arial"/>
              </w:rPr>
            </w:pPr>
            <w:r>
              <w:t xml:space="preserve">За да се постигне под държащо лечение, дозите може да се повишават максимум с 0,3 </w:t>
            </w:r>
            <w:r>
              <w:rPr>
                <w:lang w:val="en-US"/>
              </w:rPr>
              <w:t>mg</w:t>
            </w:r>
            <w:r w:rsidRPr="00570851">
              <w:rPr>
                <w:lang w:val="ru-RU"/>
              </w:rPr>
              <w:t>/</w:t>
            </w:r>
            <w:r>
              <w:rPr>
                <w:lang w:val="en-US"/>
              </w:rPr>
              <w:t>kg</w:t>
            </w:r>
            <w:r>
              <w:t xml:space="preserve">/ден на всяка една до две седмици до постигане на оптимален отговор, до максимална поддържаща доза 200 </w:t>
            </w:r>
            <w:r>
              <w:rPr>
                <w:lang w:val="en-US"/>
              </w:rPr>
              <w:t>mg</w:t>
            </w:r>
            <w:r w:rsidRPr="00570851">
              <w:rPr>
                <w:lang w:val="ru-RU"/>
              </w:rPr>
              <w:t>/</w:t>
            </w:r>
            <w:r>
              <w:t>ден.</w:t>
            </w:r>
          </w:p>
        </w:tc>
      </w:tr>
      <w:tr w:rsidR="00570851" w14:paraId="07ACB6AE" w14:textId="77777777" w:rsidTr="00DE1E81">
        <w:tc>
          <w:tcPr>
            <w:tcW w:w="9576" w:type="dxa"/>
            <w:gridSpan w:val="4"/>
          </w:tcPr>
          <w:p w14:paraId="5FD19E24" w14:textId="79642FB1" w:rsidR="00570851" w:rsidRDefault="00570851" w:rsidP="00570851">
            <w:pPr>
              <w:rPr>
                <w:rFonts w:cs="Arial"/>
              </w:rPr>
            </w:pPr>
            <w:r>
              <w:rPr>
                <w:b/>
                <w:bCs/>
              </w:rPr>
              <w:t xml:space="preserve">Комбинирана терапия БЕЗ валпроат и С индуктори на глюкуронирането на ламотригин </w:t>
            </w:r>
            <w:r>
              <w:t>(вж. точка 4.5):</w:t>
            </w:r>
          </w:p>
        </w:tc>
      </w:tr>
      <w:tr w:rsidR="00570851" w14:paraId="0AB32765" w14:textId="77777777" w:rsidTr="00570851">
        <w:tc>
          <w:tcPr>
            <w:tcW w:w="2451" w:type="dxa"/>
          </w:tcPr>
          <w:p w14:paraId="60004DAE" w14:textId="77777777" w:rsidR="00570851" w:rsidRDefault="00570851" w:rsidP="00570851">
            <w:r>
              <w:t>Тази схема на дозиране трябва да се използва без валпроат, но с:</w:t>
            </w:r>
          </w:p>
          <w:p w14:paraId="0140141B" w14:textId="77777777" w:rsidR="00570851" w:rsidRDefault="00570851" w:rsidP="00570851"/>
          <w:p w14:paraId="06B0FD5B" w14:textId="75EF87F7" w:rsidR="00570851" w:rsidRDefault="00570851" w:rsidP="00570851">
            <w:r>
              <w:t>фeнитоин</w:t>
            </w:r>
          </w:p>
          <w:p w14:paraId="07E8DE65" w14:textId="4EF44A2C" w:rsidR="00570851" w:rsidRDefault="00570851" w:rsidP="00570851">
            <w:pPr>
              <w:rPr>
                <w:rFonts w:cs="Arial"/>
              </w:rPr>
            </w:pPr>
            <w:r>
              <w:t>карбамазепин фенобарбитон примидон рифампицин лопинавир/ритонавир</w:t>
            </w:r>
          </w:p>
        </w:tc>
        <w:tc>
          <w:tcPr>
            <w:tcW w:w="2374" w:type="dxa"/>
          </w:tcPr>
          <w:p w14:paraId="0BA8907A" w14:textId="0CCE6A15" w:rsidR="00570851" w:rsidRDefault="00570851" w:rsidP="00570851">
            <w:pPr>
              <w:rPr>
                <w:rFonts w:cs="Arial"/>
              </w:rPr>
            </w:pPr>
            <w:r>
              <w:lastRenderedPageBreak/>
              <w:t xml:space="preserve">0,6 </w:t>
            </w:r>
            <w:r>
              <w:rPr>
                <w:lang w:val="en-US"/>
              </w:rPr>
              <w:t>mg</w:t>
            </w:r>
            <w:r w:rsidRPr="00570851">
              <w:rPr>
                <w:lang w:val="ru-RU"/>
              </w:rPr>
              <w:t>/</w:t>
            </w:r>
            <w:r>
              <w:rPr>
                <w:lang w:val="en-US"/>
              </w:rPr>
              <w:t>kg</w:t>
            </w:r>
            <w:r>
              <w:t>/ден (в два приема)</w:t>
            </w:r>
          </w:p>
        </w:tc>
        <w:tc>
          <w:tcPr>
            <w:tcW w:w="2373" w:type="dxa"/>
          </w:tcPr>
          <w:p w14:paraId="5CBB4C3F" w14:textId="65C850EA" w:rsidR="00570851" w:rsidRDefault="00570851" w:rsidP="00570851">
            <w:pPr>
              <w:rPr>
                <w:rFonts w:cs="Arial"/>
              </w:rPr>
            </w:pPr>
            <w:r>
              <w:t xml:space="preserve">1,2 </w:t>
            </w:r>
            <w:r>
              <w:rPr>
                <w:lang w:val="en-US"/>
              </w:rPr>
              <w:t>mg</w:t>
            </w:r>
            <w:r w:rsidRPr="00570851">
              <w:rPr>
                <w:lang w:val="ru-RU"/>
              </w:rPr>
              <w:t>/</w:t>
            </w:r>
            <w:r>
              <w:rPr>
                <w:lang w:val="en-US"/>
              </w:rPr>
              <w:t>kg</w:t>
            </w:r>
            <w:r>
              <w:t>/ден (в два приема)</w:t>
            </w:r>
          </w:p>
        </w:tc>
        <w:tc>
          <w:tcPr>
            <w:tcW w:w="2378" w:type="dxa"/>
          </w:tcPr>
          <w:p w14:paraId="50D4FE11" w14:textId="77777777" w:rsidR="00570851" w:rsidRDefault="00570851" w:rsidP="00570851">
            <w:r>
              <w:t xml:space="preserve">5-15 </w:t>
            </w:r>
            <w:r>
              <w:rPr>
                <w:lang w:val="en-US"/>
              </w:rPr>
              <w:t>mg</w:t>
            </w:r>
            <w:r w:rsidRPr="00570851">
              <w:rPr>
                <w:lang w:val="ru-RU"/>
              </w:rPr>
              <w:t>/</w:t>
            </w:r>
            <w:r>
              <w:rPr>
                <w:lang w:val="en-US"/>
              </w:rPr>
              <w:t>kg</w:t>
            </w:r>
            <w:r>
              <w:t>/ден</w:t>
            </w:r>
          </w:p>
          <w:p w14:paraId="1623C2F2" w14:textId="77777777" w:rsidR="00570851" w:rsidRDefault="00570851" w:rsidP="00570851">
            <w:r>
              <w:t>(веднъж дневно или в два отделни приема)</w:t>
            </w:r>
          </w:p>
          <w:p w14:paraId="247243FC" w14:textId="77777777" w:rsidR="00570851" w:rsidRDefault="00570851" w:rsidP="00570851"/>
          <w:p w14:paraId="1868E202" w14:textId="12500F93" w:rsidR="00570851" w:rsidRDefault="00570851" w:rsidP="00570851">
            <w:pPr>
              <w:rPr>
                <w:rFonts w:cs="Arial"/>
              </w:rPr>
            </w:pPr>
            <w:r>
              <w:t xml:space="preserve">За да се постигне поддържащо лечение, дозите може да се повишават максимум с 1,2 </w:t>
            </w:r>
            <w:r>
              <w:rPr>
                <w:lang w:val="en-US"/>
              </w:rPr>
              <w:t>mg</w:t>
            </w:r>
            <w:r w:rsidRPr="00570851">
              <w:rPr>
                <w:lang w:val="ru-RU"/>
              </w:rPr>
              <w:t>/</w:t>
            </w:r>
            <w:r>
              <w:rPr>
                <w:lang w:val="en-US"/>
              </w:rPr>
              <w:t>kg</w:t>
            </w:r>
            <w:r>
              <w:t xml:space="preserve">/ден всяка една до две седмици до постигане на оптимален отговор, до максимална поддържаща доза 400 </w:t>
            </w:r>
            <w:r>
              <w:rPr>
                <w:lang w:val="en-US"/>
              </w:rPr>
              <w:t>mg</w:t>
            </w:r>
            <w:r>
              <w:t>/ден</w:t>
            </w:r>
          </w:p>
        </w:tc>
      </w:tr>
      <w:tr w:rsidR="00570851" w14:paraId="160F66AF" w14:textId="77777777" w:rsidTr="00DE1E81">
        <w:tc>
          <w:tcPr>
            <w:tcW w:w="9576" w:type="dxa"/>
            <w:gridSpan w:val="4"/>
          </w:tcPr>
          <w:p w14:paraId="3B2BB018" w14:textId="4E477447" w:rsidR="00570851" w:rsidRDefault="00570851" w:rsidP="00570851">
            <w:pPr>
              <w:rPr>
                <w:rFonts w:cs="Arial"/>
              </w:rPr>
            </w:pPr>
            <w:r>
              <w:rPr>
                <w:b/>
                <w:bCs/>
              </w:rPr>
              <w:lastRenderedPageBreak/>
              <w:t xml:space="preserve">Комбинирана терапия БЕЗ валпроат и БЕЗ </w:t>
            </w:r>
            <w:r>
              <w:t>(вж. точка 4.5):</w:t>
            </w:r>
          </w:p>
        </w:tc>
      </w:tr>
      <w:tr w:rsidR="00570851" w14:paraId="70259765" w14:textId="77777777" w:rsidTr="00570851">
        <w:tc>
          <w:tcPr>
            <w:tcW w:w="2451" w:type="dxa"/>
          </w:tcPr>
          <w:p w14:paraId="67E2F282" w14:textId="2A9B8F70" w:rsidR="00570851" w:rsidRDefault="00570851" w:rsidP="00570851">
            <w:pPr>
              <w:rPr>
                <w:rFonts w:cs="Arial"/>
              </w:rPr>
            </w:pPr>
            <w:r>
              <w:t>Тази схема на дозиране трябва да се използва с други лекарствени продукти, които не инхибират или не индуцират значително глюкуронирането на ламотригин</w:t>
            </w:r>
          </w:p>
        </w:tc>
        <w:tc>
          <w:tcPr>
            <w:tcW w:w="2374" w:type="dxa"/>
          </w:tcPr>
          <w:p w14:paraId="087E4224" w14:textId="2CDA96CD" w:rsidR="00570851" w:rsidRDefault="00570851" w:rsidP="00570851">
            <w:pPr>
              <w:rPr>
                <w:rFonts w:cs="Arial"/>
              </w:rPr>
            </w:pPr>
            <w:r>
              <w:t xml:space="preserve">0,3 </w:t>
            </w:r>
            <w:r>
              <w:rPr>
                <w:lang w:val="en-US"/>
              </w:rPr>
              <w:t>mg</w:t>
            </w:r>
            <w:r w:rsidRPr="00570851">
              <w:rPr>
                <w:lang w:val="ru-RU"/>
              </w:rPr>
              <w:t>/</w:t>
            </w:r>
            <w:r>
              <w:rPr>
                <w:lang w:val="en-US"/>
              </w:rPr>
              <w:t>kg</w:t>
            </w:r>
            <w:r>
              <w:t>/ден (веднъж дневно или в два приема)</w:t>
            </w:r>
          </w:p>
        </w:tc>
        <w:tc>
          <w:tcPr>
            <w:tcW w:w="2373" w:type="dxa"/>
          </w:tcPr>
          <w:p w14:paraId="6EBC1B8B" w14:textId="58D80B84" w:rsidR="00570851" w:rsidRDefault="00570851" w:rsidP="00570851">
            <w:pPr>
              <w:rPr>
                <w:rFonts w:cs="Arial"/>
              </w:rPr>
            </w:pPr>
            <w:r>
              <w:t xml:space="preserve">0,6 </w:t>
            </w:r>
            <w:r>
              <w:rPr>
                <w:lang w:val="en-US"/>
              </w:rPr>
              <w:t>mg</w:t>
            </w:r>
            <w:r w:rsidRPr="00570851">
              <w:rPr>
                <w:lang w:val="ru-RU"/>
              </w:rPr>
              <w:t>/</w:t>
            </w:r>
            <w:r>
              <w:rPr>
                <w:lang w:val="en-US"/>
              </w:rPr>
              <w:t>kg</w:t>
            </w:r>
            <w:r>
              <w:t>/ден (веднъж дневно или в два приема)</w:t>
            </w:r>
          </w:p>
        </w:tc>
        <w:tc>
          <w:tcPr>
            <w:tcW w:w="2378" w:type="dxa"/>
          </w:tcPr>
          <w:p w14:paraId="733EA702" w14:textId="77777777" w:rsidR="00570851" w:rsidRDefault="00570851" w:rsidP="00570851">
            <w:r>
              <w:t xml:space="preserve">1-10 </w:t>
            </w:r>
            <w:r>
              <w:rPr>
                <w:lang w:val="en-US"/>
              </w:rPr>
              <w:t>mg</w:t>
            </w:r>
            <w:r w:rsidRPr="00570851">
              <w:rPr>
                <w:lang w:val="ru-RU"/>
              </w:rPr>
              <w:t>/</w:t>
            </w:r>
            <w:r>
              <w:rPr>
                <w:lang w:val="en-US"/>
              </w:rPr>
              <w:t>kg</w:t>
            </w:r>
            <w:r>
              <w:t>/ден (веднъж дневно или в два приема )</w:t>
            </w:r>
          </w:p>
          <w:p w14:paraId="417993BD" w14:textId="4599F2AF" w:rsidR="00570851" w:rsidRDefault="00570851" w:rsidP="00570851">
            <w:pPr>
              <w:rPr>
                <w:rFonts w:cs="Arial"/>
              </w:rPr>
            </w:pPr>
            <w:r>
              <w:t>За да се постигне поддържащо лечение, дозите може да се повишават максимум с 0,</w:t>
            </w:r>
            <w:r>
              <w:rPr>
                <w:u w:val="single"/>
              </w:rPr>
              <w:t xml:space="preserve">6 </w:t>
            </w:r>
            <w:r>
              <w:rPr>
                <w:i/>
                <w:iCs/>
                <w:u w:val="single"/>
                <w:lang w:val="en-US"/>
              </w:rPr>
              <w:t>mg</w:t>
            </w:r>
            <w:r w:rsidRPr="00570851">
              <w:rPr>
                <w:i/>
                <w:iCs/>
                <w:u w:val="single"/>
                <w:lang w:val="ru-RU"/>
              </w:rPr>
              <w:t>/</w:t>
            </w:r>
            <w:r>
              <w:rPr>
                <w:i/>
                <w:iCs/>
                <w:u w:val="single"/>
                <w:lang w:val="en-US"/>
              </w:rPr>
              <w:t>k</w:t>
            </w:r>
            <w:r>
              <w:rPr>
                <w:i/>
                <w:iCs/>
                <w:lang w:val="en-US"/>
              </w:rPr>
              <w:t>g</w:t>
            </w:r>
            <w:r>
              <w:rPr>
                <w:i/>
                <w:iCs/>
              </w:rPr>
              <w:t xml:space="preserve">/ден </w:t>
            </w:r>
            <w:r>
              <w:t>всяка една до две седмици до постигане на оптимален отговор до максимална поддържаща доза 200</w:t>
            </w:r>
            <w:r>
              <w:rPr>
                <w:lang w:val="en-US"/>
              </w:rPr>
              <w:t>mg</w:t>
            </w:r>
            <w:r>
              <w:t>/ден</w:t>
            </w:r>
          </w:p>
        </w:tc>
      </w:tr>
      <w:tr w:rsidR="00570851" w14:paraId="331C23F0" w14:textId="77777777" w:rsidTr="00DE1E81">
        <w:tc>
          <w:tcPr>
            <w:tcW w:w="9576" w:type="dxa"/>
            <w:gridSpan w:val="4"/>
          </w:tcPr>
          <w:p w14:paraId="3295AD0A" w14:textId="6C540BE2" w:rsidR="00570851" w:rsidRPr="00570851" w:rsidRDefault="00570851" w:rsidP="00570851">
            <w:pPr>
              <w:rPr>
                <w:sz w:val="24"/>
                <w:szCs w:val="24"/>
              </w:rPr>
            </w:pPr>
            <w:r w:rsidRPr="00570851">
              <w:rPr>
                <w:lang w:eastAsia="bg-BG"/>
              </w:rPr>
              <w:t>При пациенти, приемащи лекарствени продукти, за които не са известни фармакокинетични взаимодействия с ламотригин (вж. точка 4.5), трябва да се използва схема на лечение като</w:t>
            </w:r>
            <w:r>
              <w:rPr>
                <w:sz w:val="24"/>
                <w:szCs w:val="24"/>
              </w:rPr>
              <w:t xml:space="preserve"> </w:t>
            </w:r>
            <w:r w:rsidRPr="00570851">
              <w:rPr>
                <w:lang w:eastAsia="bg-BG"/>
              </w:rPr>
              <w:t>препоръчаната за ламотригин с едновременен прием на валпроат.</w:t>
            </w:r>
          </w:p>
        </w:tc>
      </w:tr>
      <w:tr w:rsidR="00570851" w14:paraId="0D46D72E" w14:textId="77777777" w:rsidTr="00DE1E81">
        <w:tc>
          <w:tcPr>
            <w:tcW w:w="9576" w:type="dxa"/>
            <w:gridSpan w:val="4"/>
          </w:tcPr>
          <w:p w14:paraId="1064FCE7" w14:textId="1EB710B2" w:rsidR="00570851" w:rsidRPr="00570851" w:rsidRDefault="00570851" w:rsidP="00570851">
            <w:pPr>
              <w:rPr>
                <w:sz w:val="24"/>
                <w:szCs w:val="24"/>
              </w:rPr>
            </w:pPr>
            <w:r w:rsidRPr="00570851">
              <w:rPr>
                <w:lang w:eastAsia="bg-BG"/>
              </w:rPr>
              <w:t xml:space="preserve">* Ако изчислената дневна доза при пациенти, приемащи валпроат е 1 </w:t>
            </w:r>
            <w:r w:rsidRPr="00570851">
              <w:rPr>
                <w:lang w:val="en-US"/>
              </w:rPr>
              <w:t>mg</w:t>
            </w:r>
            <w:r w:rsidRPr="00570851">
              <w:rPr>
                <w:lang w:val="ru-RU"/>
              </w:rPr>
              <w:t xml:space="preserve"> </w:t>
            </w:r>
            <w:r w:rsidRPr="00570851">
              <w:rPr>
                <w:lang w:eastAsia="bg-BG"/>
              </w:rPr>
              <w:t xml:space="preserve">или повече, но по-малко от 2 </w:t>
            </w:r>
            <w:r w:rsidRPr="00570851">
              <w:rPr>
                <w:lang w:val="en-US"/>
              </w:rPr>
              <w:t>mg</w:t>
            </w:r>
            <w:r w:rsidRPr="00570851">
              <w:rPr>
                <w:lang w:val="ru-RU"/>
              </w:rPr>
              <w:t xml:space="preserve">, </w:t>
            </w:r>
            <w:r w:rsidRPr="00570851">
              <w:rPr>
                <w:lang w:eastAsia="bg-BG"/>
              </w:rPr>
              <w:t xml:space="preserve">Ламиктал 2 </w:t>
            </w:r>
            <w:r w:rsidRPr="00570851">
              <w:rPr>
                <w:lang w:val="en-US"/>
              </w:rPr>
              <w:t>mg</w:t>
            </w:r>
            <w:r w:rsidRPr="00570851">
              <w:rPr>
                <w:lang w:val="ru-RU"/>
              </w:rPr>
              <w:t xml:space="preserve"> </w:t>
            </w:r>
            <w:r w:rsidRPr="00570851">
              <w:rPr>
                <w:lang w:eastAsia="bg-BG"/>
              </w:rPr>
              <w:t xml:space="preserve">таблетки за дъвченЕ/диспергиращи се таблетки може да се приема през ден за първите две седмици. Ако изчислената дневна доза при пациенти, приемащи валпроат е по-ниска от 1 </w:t>
            </w:r>
            <w:r w:rsidRPr="00570851">
              <w:rPr>
                <w:lang w:val="en-US"/>
              </w:rPr>
              <w:t>mg</w:t>
            </w:r>
            <w:r w:rsidRPr="00570851">
              <w:rPr>
                <w:lang w:val="ru-RU"/>
              </w:rPr>
              <w:t xml:space="preserve">, </w:t>
            </w:r>
            <w:r w:rsidRPr="00570851">
              <w:rPr>
                <w:lang w:eastAsia="bg-BG"/>
              </w:rPr>
              <w:t>Ламиктал не трябва да се прилага.</w:t>
            </w:r>
          </w:p>
        </w:tc>
      </w:tr>
    </w:tbl>
    <w:p w14:paraId="76C2ACA3" w14:textId="77777777" w:rsidR="00570851" w:rsidRPr="00570851" w:rsidRDefault="00570851" w:rsidP="00570851">
      <w:pPr>
        <w:spacing w:line="240" w:lineRule="auto"/>
        <w:rPr>
          <w:rFonts w:eastAsia="Times New Roman" w:cs="Arial"/>
          <w:sz w:val="24"/>
          <w:szCs w:val="24"/>
        </w:rPr>
      </w:pPr>
      <w:r w:rsidRPr="00570851">
        <w:rPr>
          <w:rFonts w:eastAsia="Times New Roman" w:cs="Arial"/>
          <w:color w:val="000000"/>
          <w:lang w:eastAsia="bg-BG"/>
        </w:rPr>
        <w:t>За да е сигурно поддържането на терапевтичната доза, теглото на детето трябва да се проследява и дозата да се променя според промените в теглото. Предполага се, че при пациентите на възраст от две до шест години ще е необходимо прилагане на поддържаща доза на горната граница на препоръчания интервал.</w:t>
      </w:r>
    </w:p>
    <w:p w14:paraId="00D590BD" w14:textId="77777777" w:rsidR="00570851" w:rsidRPr="00570851" w:rsidRDefault="00570851" w:rsidP="00570851">
      <w:pPr>
        <w:spacing w:line="240" w:lineRule="auto"/>
        <w:rPr>
          <w:rFonts w:eastAsia="Times New Roman" w:cs="Arial"/>
          <w:color w:val="000000"/>
          <w:lang w:eastAsia="bg-BG"/>
        </w:rPr>
      </w:pPr>
    </w:p>
    <w:p w14:paraId="2565CF32" w14:textId="42097B8C" w:rsidR="00570851" w:rsidRPr="00570851" w:rsidRDefault="00570851" w:rsidP="00570851">
      <w:pPr>
        <w:spacing w:line="240" w:lineRule="auto"/>
        <w:rPr>
          <w:rFonts w:eastAsia="Times New Roman" w:cs="Arial"/>
          <w:sz w:val="24"/>
          <w:szCs w:val="24"/>
        </w:rPr>
      </w:pPr>
      <w:r w:rsidRPr="00570851">
        <w:rPr>
          <w:rFonts w:eastAsia="Times New Roman" w:cs="Arial"/>
          <w:color w:val="000000"/>
          <w:lang w:eastAsia="bg-BG"/>
        </w:rPr>
        <w:t>След постигане на контрол върху заболяването при комбинирана терапия приемът на съпътстващите АЕЛ може да се спре, като се продължи с монотерапия с Ламиктал.</w:t>
      </w:r>
    </w:p>
    <w:p w14:paraId="72A86A78" w14:textId="77777777" w:rsidR="00570851" w:rsidRPr="00570851" w:rsidRDefault="00570851" w:rsidP="00570851">
      <w:pPr>
        <w:spacing w:line="240" w:lineRule="auto"/>
        <w:rPr>
          <w:rFonts w:eastAsia="Times New Roman" w:cs="Arial"/>
          <w:i/>
          <w:iCs/>
          <w:color w:val="000000"/>
          <w:u w:val="single"/>
          <w:lang w:eastAsia="bg-BG"/>
        </w:rPr>
      </w:pPr>
    </w:p>
    <w:p w14:paraId="4DCA6CE2" w14:textId="22109ECA" w:rsidR="00570851" w:rsidRPr="00570851" w:rsidRDefault="00570851" w:rsidP="00570851">
      <w:pPr>
        <w:spacing w:line="240" w:lineRule="auto"/>
        <w:rPr>
          <w:rFonts w:eastAsia="Times New Roman" w:cs="Arial"/>
          <w:sz w:val="24"/>
          <w:szCs w:val="24"/>
        </w:rPr>
      </w:pPr>
      <w:r w:rsidRPr="00570851">
        <w:rPr>
          <w:rFonts w:eastAsia="Times New Roman" w:cs="Arial"/>
          <w:i/>
          <w:iCs/>
          <w:color w:val="000000"/>
          <w:u w:val="single"/>
          <w:lang w:eastAsia="bg-BG"/>
        </w:rPr>
        <w:t>Деца под 2 години</w:t>
      </w:r>
    </w:p>
    <w:p w14:paraId="69BFEB06" w14:textId="77777777" w:rsidR="00570851" w:rsidRPr="00570851" w:rsidRDefault="00570851" w:rsidP="00570851">
      <w:pPr>
        <w:spacing w:line="240" w:lineRule="auto"/>
        <w:rPr>
          <w:rFonts w:eastAsia="Times New Roman" w:cs="Arial"/>
          <w:sz w:val="24"/>
          <w:szCs w:val="24"/>
        </w:rPr>
      </w:pPr>
      <w:r w:rsidRPr="00570851">
        <w:rPr>
          <w:rFonts w:eastAsia="Times New Roman" w:cs="Arial"/>
          <w:color w:val="000000"/>
          <w:lang w:eastAsia="bg-BG"/>
        </w:rPr>
        <w:t>Данните за ефикасност и безопасност на ламотригин при комбинирана терапия на парциални припадъци при деца на възраст от 1 месец до 2 години са ограничени (вж. точка 4.4). Липсват данни при деца на възраст под 1 месец. Следователно употребата на Ламиктал при деца на възраст под 2 години не се препоръчва. Ако въпреки това, основавайки се на клиничната необходимост, се вземе решение за лечение, вижте точки 4.4, 5.1 и 5.2.</w:t>
      </w:r>
    </w:p>
    <w:p w14:paraId="37FDE395" w14:textId="77777777" w:rsidR="00570851" w:rsidRPr="00570851" w:rsidRDefault="00570851" w:rsidP="00570851">
      <w:pPr>
        <w:spacing w:line="240" w:lineRule="auto"/>
        <w:rPr>
          <w:rFonts w:eastAsia="Times New Roman" w:cs="Arial"/>
          <w:i/>
          <w:iCs/>
          <w:color w:val="000000"/>
          <w:lang w:eastAsia="bg-BG"/>
        </w:rPr>
      </w:pPr>
    </w:p>
    <w:p w14:paraId="02A8259E" w14:textId="15ECC994" w:rsidR="00570851" w:rsidRPr="00570851" w:rsidRDefault="00570851" w:rsidP="00570851">
      <w:pPr>
        <w:spacing w:line="240" w:lineRule="auto"/>
        <w:rPr>
          <w:rFonts w:eastAsia="Times New Roman" w:cs="Arial"/>
          <w:sz w:val="24"/>
          <w:szCs w:val="24"/>
        </w:rPr>
      </w:pPr>
      <w:r w:rsidRPr="00570851">
        <w:rPr>
          <w:rFonts w:eastAsia="Times New Roman" w:cs="Arial"/>
          <w:i/>
          <w:iCs/>
          <w:color w:val="000000"/>
          <w:lang w:eastAsia="bg-BG"/>
        </w:rPr>
        <w:t>Биполярно разстройство</w:t>
      </w:r>
    </w:p>
    <w:p w14:paraId="2B0C6789" w14:textId="77777777" w:rsidR="00570851" w:rsidRPr="00570851" w:rsidRDefault="00570851" w:rsidP="00570851">
      <w:pPr>
        <w:spacing w:line="240" w:lineRule="auto"/>
        <w:rPr>
          <w:rFonts w:eastAsia="Times New Roman" w:cs="Arial"/>
          <w:color w:val="000000"/>
          <w:lang w:eastAsia="bg-BG"/>
        </w:rPr>
      </w:pPr>
    </w:p>
    <w:p w14:paraId="07B7C91D" w14:textId="30AAFF2E" w:rsidR="00570851" w:rsidRPr="00570851" w:rsidRDefault="00570851" w:rsidP="00570851">
      <w:pPr>
        <w:spacing w:line="240" w:lineRule="auto"/>
        <w:rPr>
          <w:rFonts w:eastAsia="Times New Roman" w:cs="Arial"/>
          <w:sz w:val="24"/>
          <w:szCs w:val="24"/>
        </w:rPr>
      </w:pPr>
      <w:r w:rsidRPr="00570851">
        <w:rPr>
          <w:rFonts w:eastAsia="Times New Roman" w:cs="Arial"/>
          <w:color w:val="000000"/>
          <w:lang w:eastAsia="bg-BG"/>
        </w:rPr>
        <w:t>В таблиците по-долу са предствени препоръчваните схеми на повишаване на дозата и поддържащите дози за пациенти на възраст 18 и повече години. Преходната схема включва постепенно повишаване на дозата на ламотригин до поддържаща стабилизираща доза за период от шест седмици (Таблица 3), след което приемът на други психотропни лекарствени продукти и/или АЕЛ може да бъде преустановен, ако е клинично показано (Таблица 4). Корекциите на дозата след добавяне на други психотропни лекарствени продукти и/или АЕЛ също са представени по-долу (Таблица 5). Поради риск от развитие на обрив не трябва да бъде превишавана началната доза и трябва да се спазват препоръките за повишаване на дозата (вж. точка 4.4).</w:t>
      </w:r>
    </w:p>
    <w:p w14:paraId="23742907" w14:textId="3B20DDB9" w:rsidR="00570851" w:rsidRDefault="00570851" w:rsidP="00570851">
      <w:pPr>
        <w:rPr>
          <w:rFonts w:cs="Arial"/>
        </w:rPr>
      </w:pPr>
    </w:p>
    <w:p w14:paraId="76E6D1C7" w14:textId="10917540" w:rsidR="00570851" w:rsidRDefault="00570851" w:rsidP="00570851">
      <w:pPr>
        <w:rPr>
          <w:i/>
          <w:iCs/>
          <w:u w:val="single"/>
        </w:rPr>
      </w:pPr>
      <w:r>
        <w:rPr>
          <w:i/>
          <w:iCs/>
          <w:u w:val="single"/>
        </w:rPr>
        <w:t>Таблица 3: Възрастни пациенти на 18 и повече години - препоръчвана схема за повишаване на дозата до поддържаща стабилизираща обша дневна доза при лечение на биполярно разстройство</w:t>
      </w:r>
    </w:p>
    <w:tbl>
      <w:tblPr>
        <w:tblStyle w:val="TableGrid"/>
        <w:tblW w:w="0" w:type="auto"/>
        <w:tblLook w:val="04A0" w:firstRow="1" w:lastRow="0" w:firstColumn="1" w:lastColumn="0" w:noHBand="0" w:noVBand="1"/>
      </w:tblPr>
      <w:tblGrid>
        <w:gridCol w:w="2451"/>
        <w:gridCol w:w="1650"/>
        <w:gridCol w:w="1686"/>
        <w:gridCol w:w="1686"/>
        <w:gridCol w:w="1877"/>
      </w:tblGrid>
      <w:tr w:rsidR="00570851" w14:paraId="3FEC6591" w14:textId="77777777" w:rsidTr="00570851">
        <w:tc>
          <w:tcPr>
            <w:tcW w:w="2452" w:type="dxa"/>
          </w:tcPr>
          <w:p w14:paraId="2D548012" w14:textId="728763EC" w:rsidR="00570851" w:rsidRDefault="00570851" w:rsidP="00570851">
            <w:pPr>
              <w:rPr>
                <w:rFonts w:cs="Arial"/>
              </w:rPr>
            </w:pPr>
            <w:r>
              <w:t>Схема на лечение</w:t>
            </w:r>
          </w:p>
        </w:tc>
        <w:tc>
          <w:tcPr>
            <w:tcW w:w="1729" w:type="dxa"/>
          </w:tcPr>
          <w:p w14:paraId="1DC1FF45" w14:textId="4F1150BD" w:rsidR="00570851" w:rsidRDefault="00570851" w:rsidP="00570851">
            <w:pPr>
              <w:rPr>
                <w:rFonts w:cs="Arial"/>
              </w:rPr>
            </w:pPr>
            <w:r>
              <w:t>Седмици 1 + 2</w:t>
            </w:r>
          </w:p>
        </w:tc>
        <w:tc>
          <w:tcPr>
            <w:tcW w:w="1753" w:type="dxa"/>
          </w:tcPr>
          <w:p w14:paraId="366AC48C" w14:textId="6653542D" w:rsidR="00570851" w:rsidRDefault="00570851" w:rsidP="00570851">
            <w:pPr>
              <w:rPr>
                <w:rFonts w:cs="Arial"/>
              </w:rPr>
            </w:pPr>
            <w:r>
              <w:t>Седмици 3 + 4</w:t>
            </w:r>
          </w:p>
        </w:tc>
        <w:tc>
          <w:tcPr>
            <w:tcW w:w="1753" w:type="dxa"/>
          </w:tcPr>
          <w:p w14:paraId="3902F777" w14:textId="25D1234F" w:rsidR="00570851" w:rsidRDefault="00570851" w:rsidP="00570851">
            <w:pPr>
              <w:rPr>
                <w:rFonts w:cs="Arial"/>
              </w:rPr>
            </w:pPr>
            <w:r>
              <w:t>Седмица 5</w:t>
            </w:r>
          </w:p>
        </w:tc>
        <w:tc>
          <w:tcPr>
            <w:tcW w:w="1889" w:type="dxa"/>
          </w:tcPr>
          <w:p w14:paraId="41DC6A72" w14:textId="634442D2" w:rsidR="00570851" w:rsidRDefault="00570851" w:rsidP="00570851">
            <w:pPr>
              <w:rPr>
                <w:rFonts w:cs="Arial"/>
              </w:rPr>
            </w:pPr>
            <w:r>
              <w:t>Таргетна стабилизираща доза (Седмица 6)*</w:t>
            </w:r>
          </w:p>
        </w:tc>
      </w:tr>
      <w:tr w:rsidR="00570851" w14:paraId="2B5B1FB4" w14:textId="77777777" w:rsidTr="00DE1E81">
        <w:tc>
          <w:tcPr>
            <w:tcW w:w="9576" w:type="dxa"/>
            <w:gridSpan w:val="5"/>
          </w:tcPr>
          <w:p w14:paraId="79902EAA" w14:textId="07707BB8" w:rsidR="00570851" w:rsidRPr="00570851" w:rsidRDefault="00570851" w:rsidP="00570851">
            <w:pPr>
              <w:spacing w:line="240" w:lineRule="auto"/>
              <w:rPr>
                <w:rFonts w:eastAsia="Times New Roman" w:cs="Arial"/>
                <w:sz w:val="24"/>
                <w:szCs w:val="24"/>
              </w:rPr>
            </w:pPr>
            <w:r w:rsidRPr="00570851">
              <w:rPr>
                <w:rFonts w:eastAsia="Times New Roman" w:cs="Arial"/>
                <w:b/>
                <w:bCs/>
                <w:color w:val="000000"/>
                <w:lang w:eastAsia="bg-BG"/>
              </w:rPr>
              <w:t xml:space="preserve">Монотерапия с ламотригин ИЛИ комбинирана терапия БЕЗ валпроат и БЕЗ индуктори на глюкуронирането на ламотригин </w:t>
            </w:r>
            <w:r w:rsidRPr="00570851">
              <w:rPr>
                <w:rFonts w:eastAsia="Times New Roman" w:cs="Arial"/>
                <w:color w:val="000000"/>
                <w:lang w:eastAsia="bg-BG"/>
              </w:rPr>
              <w:t>(вж. точка 4.5):</w:t>
            </w:r>
          </w:p>
        </w:tc>
      </w:tr>
      <w:tr w:rsidR="00570851" w14:paraId="2DB63B91" w14:textId="77777777" w:rsidTr="00570851">
        <w:tc>
          <w:tcPr>
            <w:tcW w:w="2452" w:type="dxa"/>
          </w:tcPr>
          <w:p w14:paraId="61DBFE40" w14:textId="45F6A984" w:rsidR="00570851" w:rsidRDefault="00570851" w:rsidP="00570851">
            <w:pPr>
              <w:rPr>
                <w:rFonts w:cs="Arial"/>
              </w:rPr>
            </w:pPr>
            <w:r>
              <w:t>Тази схема на дозиране трябва да се използва с други лекарствени продукти, които не инхибират или не индуцират значимо глюкуронирането на ламотригин</w:t>
            </w:r>
          </w:p>
        </w:tc>
        <w:tc>
          <w:tcPr>
            <w:tcW w:w="1729" w:type="dxa"/>
          </w:tcPr>
          <w:p w14:paraId="4FB5D07D" w14:textId="22D20FA3" w:rsidR="00570851" w:rsidRDefault="00570851" w:rsidP="00570851">
            <w:pPr>
              <w:rPr>
                <w:rFonts w:cs="Arial"/>
              </w:rPr>
            </w:pPr>
            <w:r>
              <w:t xml:space="preserve">25 </w:t>
            </w:r>
            <w:r>
              <w:rPr>
                <w:lang w:val="en-US"/>
              </w:rPr>
              <w:t>mg</w:t>
            </w:r>
            <w:r>
              <w:t>/ден (веднъж дневно)</w:t>
            </w:r>
          </w:p>
        </w:tc>
        <w:tc>
          <w:tcPr>
            <w:tcW w:w="1753" w:type="dxa"/>
          </w:tcPr>
          <w:p w14:paraId="0D0C3330" w14:textId="6FAE9C28" w:rsidR="00570851" w:rsidRDefault="00570851" w:rsidP="00570851">
            <w:pPr>
              <w:rPr>
                <w:rFonts w:cs="Arial"/>
              </w:rPr>
            </w:pPr>
            <w:r>
              <w:t xml:space="preserve">50 </w:t>
            </w:r>
            <w:r>
              <w:rPr>
                <w:lang w:val="en-US"/>
              </w:rPr>
              <w:t>mg</w:t>
            </w:r>
            <w:r>
              <w:t>/ден (веднъж дневно или в два приема)</w:t>
            </w:r>
          </w:p>
        </w:tc>
        <w:tc>
          <w:tcPr>
            <w:tcW w:w="1753" w:type="dxa"/>
          </w:tcPr>
          <w:p w14:paraId="281481DE" w14:textId="18A9905D" w:rsidR="00570851" w:rsidRDefault="00570851" w:rsidP="00570851">
            <w:pPr>
              <w:rPr>
                <w:rFonts w:cs="Arial"/>
              </w:rPr>
            </w:pPr>
            <w:r>
              <w:t xml:space="preserve">100 </w:t>
            </w:r>
            <w:r>
              <w:rPr>
                <w:lang w:val="en-US"/>
              </w:rPr>
              <w:t>mg</w:t>
            </w:r>
            <w:r>
              <w:t>/ден (веднъж дневно или в два приема)</w:t>
            </w:r>
          </w:p>
        </w:tc>
        <w:tc>
          <w:tcPr>
            <w:tcW w:w="1889" w:type="dxa"/>
          </w:tcPr>
          <w:p w14:paraId="3C13ED91" w14:textId="77777777" w:rsidR="00570851" w:rsidRDefault="00570851" w:rsidP="00570851">
            <w:r>
              <w:t xml:space="preserve">200 </w:t>
            </w:r>
            <w:r>
              <w:rPr>
                <w:lang w:val="en-US"/>
              </w:rPr>
              <w:t>mg</w:t>
            </w:r>
            <w:r>
              <w:t>/ден - обичайна таргетна доза за оптимален отговор (веднъж дневно или в два приема)</w:t>
            </w:r>
          </w:p>
          <w:p w14:paraId="638DACD7" w14:textId="77777777" w:rsidR="00570851" w:rsidRDefault="00570851" w:rsidP="00570851">
            <w:r>
              <w:t>В клинични</w:t>
            </w:r>
          </w:p>
          <w:p w14:paraId="4D2C93CA" w14:textId="77777777" w:rsidR="00570851" w:rsidRDefault="00570851" w:rsidP="00570851">
            <w:r>
              <w:t>изпитвания са</w:t>
            </w:r>
          </w:p>
          <w:p w14:paraId="422E8480" w14:textId="77777777" w:rsidR="00570851" w:rsidRDefault="00570851" w:rsidP="00570851">
            <w:r>
              <w:t>прилагани дози в интервала</w:t>
            </w:r>
          </w:p>
          <w:p w14:paraId="35C6FBCA" w14:textId="0D9DED5B" w:rsidR="00570851" w:rsidRDefault="00570851" w:rsidP="00570851">
            <w:pPr>
              <w:rPr>
                <w:rFonts w:cs="Arial"/>
              </w:rPr>
            </w:pPr>
            <w:r>
              <w:t xml:space="preserve">100 - 400 </w:t>
            </w:r>
            <w:r>
              <w:rPr>
                <w:lang w:val="en-US"/>
              </w:rPr>
              <w:t>mg</w:t>
            </w:r>
            <w:r>
              <w:t>/ден</w:t>
            </w:r>
          </w:p>
        </w:tc>
      </w:tr>
      <w:tr w:rsidR="00570851" w14:paraId="1A9D155B" w14:textId="77777777" w:rsidTr="00DE1E81">
        <w:tc>
          <w:tcPr>
            <w:tcW w:w="9576" w:type="dxa"/>
            <w:gridSpan w:val="5"/>
          </w:tcPr>
          <w:p w14:paraId="48DB2812" w14:textId="57300C15" w:rsidR="00570851" w:rsidRPr="00570851" w:rsidRDefault="00570851" w:rsidP="00570851">
            <w:pPr>
              <w:spacing w:line="240" w:lineRule="auto"/>
              <w:rPr>
                <w:rFonts w:eastAsia="Times New Roman" w:cs="Arial"/>
                <w:sz w:val="24"/>
                <w:szCs w:val="24"/>
              </w:rPr>
            </w:pPr>
            <w:r w:rsidRPr="00570851">
              <w:rPr>
                <w:rFonts w:eastAsia="Times New Roman" w:cs="Arial"/>
                <w:b/>
                <w:bCs/>
                <w:color w:val="000000"/>
                <w:lang w:eastAsia="bg-BG"/>
              </w:rPr>
              <w:t xml:space="preserve">Комбинирана терапия С валпроат </w:t>
            </w:r>
            <w:r w:rsidRPr="00570851">
              <w:rPr>
                <w:rFonts w:eastAsia="Times New Roman" w:cs="Arial"/>
                <w:color w:val="000000"/>
                <w:lang w:eastAsia="bg-BG"/>
              </w:rPr>
              <w:t>(инхибитор на глюкуронирането на ламотригин - вж. точка</w:t>
            </w:r>
            <w:r>
              <w:rPr>
                <w:rFonts w:eastAsia="Times New Roman" w:cs="Arial"/>
                <w:sz w:val="24"/>
                <w:szCs w:val="24"/>
              </w:rPr>
              <w:t xml:space="preserve"> </w:t>
            </w:r>
            <w:r w:rsidRPr="00570851">
              <w:rPr>
                <w:rFonts w:eastAsia="Times New Roman" w:cs="Arial"/>
                <w:color w:val="000000"/>
                <w:lang w:eastAsia="bg-BG"/>
              </w:rPr>
              <w:t>4.5):</w:t>
            </w:r>
          </w:p>
        </w:tc>
      </w:tr>
      <w:tr w:rsidR="00570851" w14:paraId="082B97BB" w14:textId="77777777" w:rsidTr="00570851">
        <w:tc>
          <w:tcPr>
            <w:tcW w:w="2452" w:type="dxa"/>
          </w:tcPr>
          <w:p w14:paraId="1748FD3B" w14:textId="244BE369" w:rsidR="00570851" w:rsidRDefault="00570851" w:rsidP="00570851">
            <w:pPr>
              <w:rPr>
                <w:rFonts w:cs="Arial"/>
              </w:rPr>
            </w:pPr>
            <w:r>
              <w:t xml:space="preserve">Тази схема на лечение трябва да се използва с валпроат </w:t>
            </w:r>
            <w:r>
              <w:lastRenderedPageBreak/>
              <w:t>независимо от съпътстващия прием на други лекарствени продукти</w:t>
            </w:r>
          </w:p>
        </w:tc>
        <w:tc>
          <w:tcPr>
            <w:tcW w:w="1729" w:type="dxa"/>
          </w:tcPr>
          <w:p w14:paraId="66278A9C" w14:textId="0E5FFD54" w:rsidR="00570851" w:rsidRDefault="00570851" w:rsidP="00570851">
            <w:pPr>
              <w:rPr>
                <w:rFonts w:cs="Arial"/>
              </w:rPr>
            </w:pPr>
            <w:r>
              <w:lastRenderedPageBreak/>
              <w:t xml:space="preserve">12,5 </w:t>
            </w:r>
            <w:r>
              <w:rPr>
                <w:lang w:val="en-US"/>
              </w:rPr>
              <w:t>mg</w:t>
            </w:r>
            <w:r w:rsidRPr="00570851">
              <w:rPr>
                <w:lang w:val="ru-RU"/>
              </w:rPr>
              <w:t>/</w:t>
            </w:r>
            <w:r>
              <w:t xml:space="preserve">ден (приемани </w:t>
            </w:r>
            <w:r>
              <w:lastRenderedPageBreak/>
              <w:t xml:space="preserve">като 25 </w:t>
            </w:r>
            <w:r>
              <w:rPr>
                <w:lang w:val="en-US"/>
              </w:rPr>
              <w:t>mg</w:t>
            </w:r>
            <w:r w:rsidRPr="00570851">
              <w:rPr>
                <w:lang w:val="ru-RU"/>
              </w:rPr>
              <w:t xml:space="preserve"> </w:t>
            </w:r>
            <w:r>
              <w:t>през ден)</w:t>
            </w:r>
          </w:p>
        </w:tc>
        <w:tc>
          <w:tcPr>
            <w:tcW w:w="1753" w:type="dxa"/>
          </w:tcPr>
          <w:p w14:paraId="15FD7C22" w14:textId="13862C40" w:rsidR="00570851" w:rsidRDefault="00570851" w:rsidP="00570851">
            <w:pPr>
              <w:rPr>
                <w:rFonts w:cs="Arial"/>
              </w:rPr>
            </w:pPr>
            <w:r>
              <w:lastRenderedPageBreak/>
              <w:t xml:space="preserve">25 </w:t>
            </w:r>
            <w:r>
              <w:rPr>
                <w:lang w:val="en-US"/>
              </w:rPr>
              <w:t>mg</w:t>
            </w:r>
            <w:r>
              <w:t>/ден (веднъж дневно)</w:t>
            </w:r>
          </w:p>
        </w:tc>
        <w:tc>
          <w:tcPr>
            <w:tcW w:w="1753" w:type="dxa"/>
          </w:tcPr>
          <w:p w14:paraId="388FE8B0" w14:textId="1D5C5796" w:rsidR="00570851" w:rsidRDefault="00570851" w:rsidP="00570851">
            <w:pPr>
              <w:rPr>
                <w:rFonts w:cs="Arial"/>
              </w:rPr>
            </w:pPr>
            <w:r>
              <w:t xml:space="preserve">50 </w:t>
            </w:r>
            <w:r>
              <w:rPr>
                <w:lang w:val="en-US"/>
              </w:rPr>
              <w:t>mg</w:t>
            </w:r>
            <w:r>
              <w:t xml:space="preserve">/ден (веднъж дневно или в </w:t>
            </w:r>
            <w:r>
              <w:lastRenderedPageBreak/>
              <w:t>два приема дневно)</w:t>
            </w:r>
          </w:p>
        </w:tc>
        <w:tc>
          <w:tcPr>
            <w:tcW w:w="1889" w:type="dxa"/>
          </w:tcPr>
          <w:p w14:paraId="7A98E224" w14:textId="77777777" w:rsidR="00570851" w:rsidRDefault="00570851" w:rsidP="00570851">
            <w:r>
              <w:lastRenderedPageBreak/>
              <w:t xml:space="preserve">100 </w:t>
            </w:r>
            <w:r>
              <w:rPr>
                <w:lang w:val="en-US"/>
              </w:rPr>
              <w:t>mg</w:t>
            </w:r>
            <w:r>
              <w:t xml:space="preserve">/ден - обичайна таргетна доза </w:t>
            </w:r>
            <w:r>
              <w:lastRenderedPageBreak/>
              <w:t>за оптимален отговор (веднъж дневно или в два приема)</w:t>
            </w:r>
          </w:p>
          <w:p w14:paraId="03DE7498" w14:textId="56287850" w:rsidR="00570851" w:rsidRDefault="00570851" w:rsidP="00570851">
            <w:pPr>
              <w:rPr>
                <w:rFonts w:cs="Arial"/>
              </w:rPr>
            </w:pPr>
            <w:r>
              <w:t xml:space="preserve">В зависимост от клиничния отговор може да се приложи максимална доза от 200 </w:t>
            </w:r>
            <w:r>
              <w:rPr>
                <w:lang w:val="en-US"/>
              </w:rPr>
              <w:t>mg</w:t>
            </w:r>
            <w:r>
              <w:t>/ден</w:t>
            </w:r>
          </w:p>
        </w:tc>
      </w:tr>
      <w:tr w:rsidR="00570851" w14:paraId="7CF65943" w14:textId="77777777" w:rsidTr="00DE1E81">
        <w:tc>
          <w:tcPr>
            <w:tcW w:w="9576" w:type="dxa"/>
            <w:gridSpan w:val="5"/>
          </w:tcPr>
          <w:p w14:paraId="381E497F" w14:textId="44075EDE" w:rsidR="00570851" w:rsidRDefault="00570851" w:rsidP="00570851">
            <w:pPr>
              <w:rPr>
                <w:rFonts w:cs="Arial"/>
              </w:rPr>
            </w:pPr>
            <w:r>
              <w:rPr>
                <w:b/>
                <w:bCs/>
              </w:rPr>
              <w:lastRenderedPageBreak/>
              <w:t xml:space="preserve">Комбинирана терапия БЕЗ валпроат и С индуктори на глюкуронирането на ламотригин </w:t>
            </w:r>
            <w:r>
              <w:t>(вж. точка 4.5):</w:t>
            </w:r>
          </w:p>
        </w:tc>
      </w:tr>
      <w:tr w:rsidR="00570851" w14:paraId="563BB1C3" w14:textId="77777777" w:rsidTr="00570851">
        <w:tc>
          <w:tcPr>
            <w:tcW w:w="2452" w:type="dxa"/>
          </w:tcPr>
          <w:p w14:paraId="2282B2EE" w14:textId="77777777" w:rsidR="00570851" w:rsidRDefault="00570851" w:rsidP="00570851">
            <w:r>
              <w:t>Тази схема на лечение трябва да се прилага без валпроат, но с:</w:t>
            </w:r>
          </w:p>
          <w:p w14:paraId="75CC75EA" w14:textId="77777777" w:rsidR="00570851" w:rsidRDefault="00570851" w:rsidP="00570851"/>
          <w:p w14:paraId="11CB4E29" w14:textId="3618F06E" w:rsidR="00570851" w:rsidRDefault="00570851" w:rsidP="00570851">
            <w:pPr>
              <w:rPr>
                <w:rFonts w:cs="Arial"/>
              </w:rPr>
            </w:pPr>
            <w:r>
              <w:t>фенитоин карбамазепин фенобарбитон примидон рифампицин лопинавир/ритонавир</w:t>
            </w:r>
          </w:p>
        </w:tc>
        <w:tc>
          <w:tcPr>
            <w:tcW w:w="1729" w:type="dxa"/>
          </w:tcPr>
          <w:p w14:paraId="3F82473F" w14:textId="10727304" w:rsidR="00570851" w:rsidRDefault="00570851" w:rsidP="00570851">
            <w:pPr>
              <w:rPr>
                <w:rFonts w:cs="Arial"/>
              </w:rPr>
            </w:pPr>
            <w:r>
              <w:t xml:space="preserve">50 </w:t>
            </w:r>
            <w:r>
              <w:rPr>
                <w:lang w:val="en-US"/>
              </w:rPr>
              <w:t>mg</w:t>
            </w:r>
            <w:r>
              <w:t>/ден (веднъж дневно)</w:t>
            </w:r>
          </w:p>
        </w:tc>
        <w:tc>
          <w:tcPr>
            <w:tcW w:w="1753" w:type="dxa"/>
          </w:tcPr>
          <w:p w14:paraId="03F41940" w14:textId="11B3088B" w:rsidR="00570851" w:rsidRDefault="00570851" w:rsidP="00570851">
            <w:pPr>
              <w:rPr>
                <w:rFonts w:cs="Arial"/>
              </w:rPr>
            </w:pPr>
            <w:r>
              <w:t xml:space="preserve">100 </w:t>
            </w:r>
            <w:r>
              <w:rPr>
                <w:lang w:val="en-US"/>
              </w:rPr>
              <w:t>mg</w:t>
            </w:r>
            <w:r>
              <w:t>/ден (разделени в два приема)</w:t>
            </w:r>
          </w:p>
        </w:tc>
        <w:tc>
          <w:tcPr>
            <w:tcW w:w="1753" w:type="dxa"/>
          </w:tcPr>
          <w:p w14:paraId="46796C2A" w14:textId="1C5B76CB" w:rsidR="00570851" w:rsidRDefault="00570851" w:rsidP="00570851">
            <w:pPr>
              <w:rPr>
                <w:rFonts w:cs="Arial"/>
              </w:rPr>
            </w:pPr>
            <w:r>
              <w:t xml:space="preserve">200 </w:t>
            </w:r>
            <w:r>
              <w:rPr>
                <w:lang w:val="en-US"/>
              </w:rPr>
              <w:t>mg</w:t>
            </w:r>
            <w:r>
              <w:t>/ден (разделени в два приема)</w:t>
            </w:r>
          </w:p>
        </w:tc>
        <w:tc>
          <w:tcPr>
            <w:tcW w:w="1889" w:type="dxa"/>
          </w:tcPr>
          <w:p w14:paraId="3B375EC6" w14:textId="7BE9095B" w:rsidR="00570851" w:rsidRDefault="00570851" w:rsidP="00570851">
            <w:pPr>
              <w:rPr>
                <w:rFonts w:cs="Arial"/>
              </w:rPr>
            </w:pPr>
            <w:r>
              <w:t xml:space="preserve">300 </w:t>
            </w:r>
            <w:r>
              <w:rPr>
                <w:lang w:val="en-US"/>
              </w:rPr>
              <w:t>mg</w:t>
            </w:r>
            <w:r>
              <w:t xml:space="preserve">/ден през седмица 6, при нужда повишаване до обичайната таргетна доза от 400 </w:t>
            </w:r>
            <w:r>
              <w:rPr>
                <w:lang w:val="en-US"/>
              </w:rPr>
              <w:t>mg</w:t>
            </w:r>
            <w:r>
              <w:t>/ден през седмица 7 за постигане на оптимален отговор (разделени в два приема)</w:t>
            </w:r>
          </w:p>
        </w:tc>
      </w:tr>
      <w:tr w:rsidR="00570851" w14:paraId="430ECAC9" w14:textId="77777777" w:rsidTr="00DE1E81">
        <w:tc>
          <w:tcPr>
            <w:tcW w:w="9576" w:type="dxa"/>
            <w:gridSpan w:val="5"/>
          </w:tcPr>
          <w:p w14:paraId="69998EF9" w14:textId="21C807B0" w:rsidR="00570851" w:rsidRDefault="00570851" w:rsidP="00570851">
            <w:pPr>
              <w:rPr>
                <w:rFonts w:cs="Arial"/>
              </w:rPr>
            </w:pPr>
            <w:r>
              <w:t>При пациенти, приемащи лекарствени продукти, за които не са известни фармакокинетични взаимодействия с ламотригин (вж. точка 4.5), трябва да се използва схема на лечение като препоръчаната за ламотригин с едновременен прием на валпроат.</w:t>
            </w:r>
          </w:p>
        </w:tc>
      </w:tr>
    </w:tbl>
    <w:p w14:paraId="374BDBD6" w14:textId="305F3E2A" w:rsidR="00570851" w:rsidRDefault="00570851" w:rsidP="00570851">
      <w:r>
        <w:t>* Таргетната стабилизираща доза варира според клиничния отговор</w:t>
      </w:r>
    </w:p>
    <w:p w14:paraId="50E09571" w14:textId="52D1F521" w:rsidR="00570851" w:rsidRDefault="00570851" w:rsidP="00570851"/>
    <w:p w14:paraId="136236D4" w14:textId="77777777" w:rsidR="00570851" w:rsidRPr="00570851" w:rsidRDefault="00570851" w:rsidP="00570851">
      <w:pPr>
        <w:spacing w:line="240" w:lineRule="auto"/>
        <w:rPr>
          <w:rFonts w:eastAsia="Times New Roman" w:cs="Arial"/>
          <w:sz w:val="24"/>
          <w:szCs w:val="24"/>
        </w:rPr>
      </w:pPr>
      <w:r w:rsidRPr="00570851">
        <w:rPr>
          <w:rFonts w:eastAsia="Times New Roman" w:cs="Arial"/>
          <w:i/>
          <w:iCs/>
          <w:color w:val="000000"/>
          <w:u w:val="single"/>
          <w:lang w:eastAsia="bg-BG"/>
        </w:rPr>
        <w:t>Таблица 4: Възрастни пациенти на 18 и повече години - поддържаща стабилизираща обща дневна доза след преустановяване на лечението със съпътстващи лекарствени продукти при лечение на биполярно разстройство</w:t>
      </w:r>
    </w:p>
    <w:p w14:paraId="5BB5CE1A" w14:textId="3B4EA109" w:rsidR="00570851" w:rsidRDefault="00570851" w:rsidP="00570851">
      <w:pPr>
        <w:rPr>
          <w:rFonts w:eastAsia="Times New Roman" w:cs="Arial"/>
          <w:color w:val="000000"/>
          <w:lang w:eastAsia="bg-BG"/>
        </w:rPr>
      </w:pPr>
      <w:r w:rsidRPr="00570851">
        <w:rPr>
          <w:rFonts w:eastAsia="Times New Roman" w:cs="Arial"/>
          <w:color w:val="000000"/>
          <w:lang w:eastAsia="bg-BG"/>
        </w:rPr>
        <w:t>След достигането на таргетната дневна поддържаща стаблизираща доза приемът на другите лекарствени продукти може да бъде преустановен както е посочено по-долу.</w:t>
      </w:r>
    </w:p>
    <w:tbl>
      <w:tblPr>
        <w:tblStyle w:val="TableGrid"/>
        <w:tblW w:w="0" w:type="auto"/>
        <w:tblLook w:val="04A0" w:firstRow="1" w:lastRow="0" w:firstColumn="1" w:lastColumn="0" w:noHBand="0" w:noVBand="1"/>
      </w:tblPr>
      <w:tblGrid>
        <w:gridCol w:w="2451"/>
        <w:gridCol w:w="1986"/>
        <w:gridCol w:w="1669"/>
        <w:gridCol w:w="1541"/>
        <w:gridCol w:w="1703"/>
      </w:tblGrid>
      <w:tr w:rsidR="00DE1E81" w14:paraId="52C66142" w14:textId="77777777" w:rsidTr="00DE1E81">
        <w:tc>
          <w:tcPr>
            <w:tcW w:w="2451" w:type="dxa"/>
          </w:tcPr>
          <w:p w14:paraId="531176B0" w14:textId="5D2A1ADF" w:rsidR="00DE1E81" w:rsidRDefault="00DE1E81" w:rsidP="00DE1E81">
            <w:pPr>
              <w:rPr>
                <w:rFonts w:cs="Arial"/>
              </w:rPr>
            </w:pPr>
            <w:r>
              <w:t>Схема на лечение</w:t>
            </w:r>
          </w:p>
        </w:tc>
        <w:tc>
          <w:tcPr>
            <w:tcW w:w="1986" w:type="dxa"/>
          </w:tcPr>
          <w:p w14:paraId="60032ABB" w14:textId="3355CC35" w:rsidR="00DE1E81" w:rsidRDefault="00DE1E81" w:rsidP="00DE1E81">
            <w:pPr>
              <w:rPr>
                <w:rFonts w:cs="Arial"/>
              </w:rPr>
            </w:pPr>
            <w:r>
              <w:t>Настояща стабилизираща доза на ламотригин (преди преустановяване на приема)</w:t>
            </w:r>
          </w:p>
        </w:tc>
        <w:tc>
          <w:tcPr>
            <w:tcW w:w="1740" w:type="dxa"/>
          </w:tcPr>
          <w:p w14:paraId="748B3E3E" w14:textId="7D87D601" w:rsidR="00DE1E81" w:rsidRDefault="00DE1E81" w:rsidP="00DE1E81">
            <w:pPr>
              <w:rPr>
                <w:rFonts w:cs="Arial"/>
              </w:rPr>
            </w:pPr>
            <w:r>
              <w:t>Седмица 1 (започваща с преустано</w:t>
            </w:r>
            <w:r>
              <w:softHyphen/>
              <w:t>вяване на приема)</w:t>
            </w:r>
          </w:p>
        </w:tc>
        <w:tc>
          <w:tcPr>
            <w:tcW w:w="1648" w:type="dxa"/>
          </w:tcPr>
          <w:p w14:paraId="1CDFC976" w14:textId="5F29F2E0" w:rsidR="00DE1E81" w:rsidRDefault="00DE1E81" w:rsidP="00DE1E81">
            <w:pPr>
              <w:rPr>
                <w:rFonts w:cs="Arial"/>
              </w:rPr>
            </w:pPr>
            <w:r>
              <w:t>Седмица 2</w:t>
            </w:r>
          </w:p>
        </w:tc>
        <w:tc>
          <w:tcPr>
            <w:tcW w:w="1751" w:type="dxa"/>
          </w:tcPr>
          <w:p w14:paraId="50406DF0" w14:textId="675767CB" w:rsidR="00DE1E81" w:rsidRDefault="00DE1E81" w:rsidP="00DE1E81">
            <w:pPr>
              <w:rPr>
                <w:rFonts w:cs="Arial"/>
              </w:rPr>
            </w:pPr>
            <w:r>
              <w:t>От седмица 3 нататък*</w:t>
            </w:r>
          </w:p>
        </w:tc>
      </w:tr>
      <w:tr w:rsidR="00DE1E81" w14:paraId="608040EE" w14:textId="77777777" w:rsidTr="00DE1E81">
        <w:tc>
          <w:tcPr>
            <w:tcW w:w="9576" w:type="dxa"/>
            <w:gridSpan w:val="5"/>
          </w:tcPr>
          <w:p w14:paraId="75EEAD6E" w14:textId="58136D26" w:rsidR="00DE1E81" w:rsidRPr="00DE1E81" w:rsidRDefault="00DE1E81" w:rsidP="00DE1E81">
            <w:pPr>
              <w:spacing w:line="240" w:lineRule="auto"/>
              <w:rPr>
                <w:rFonts w:eastAsia="Times New Roman" w:cs="Arial"/>
                <w:sz w:val="24"/>
                <w:szCs w:val="24"/>
              </w:rPr>
            </w:pPr>
            <w:r w:rsidRPr="00DE1E81">
              <w:rPr>
                <w:rFonts w:eastAsia="Times New Roman" w:cs="Arial"/>
                <w:b/>
                <w:bCs/>
                <w:color w:val="000000"/>
                <w:lang w:eastAsia="bg-BG"/>
              </w:rPr>
              <w:t xml:space="preserve">Спиране на приема на валпроат </w:t>
            </w:r>
            <w:r w:rsidRPr="00DE1E81">
              <w:rPr>
                <w:rFonts w:eastAsia="Times New Roman" w:cs="Arial"/>
                <w:color w:val="000000"/>
                <w:lang w:eastAsia="bg-BG"/>
              </w:rPr>
              <w:t>(инхибитор на глюкуронирането на ламотригин - вж. точка 4.5), в зависимост от първоначалната доза на ламотригин:</w:t>
            </w:r>
          </w:p>
        </w:tc>
      </w:tr>
      <w:tr w:rsidR="00DE1E81" w14:paraId="0CE3128E" w14:textId="77777777" w:rsidTr="00DE1E81">
        <w:tc>
          <w:tcPr>
            <w:tcW w:w="2451" w:type="dxa"/>
            <w:vMerge w:val="restart"/>
          </w:tcPr>
          <w:p w14:paraId="3347E0EC" w14:textId="01364B46" w:rsidR="00DE1E81" w:rsidRDefault="00DE1E81" w:rsidP="00DE1E81">
            <w:pPr>
              <w:rPr>
                <w:rFonts w:cs="Arial"/>
              </w:rPr>
            </w:pPr>
            <w:r>
              <w:lastRenderedPageBreak/>
              <w:t xml:space="preserve">След спиране на приема на валпроат, стабилизиращата доза се удвоява, като не се превишава нарастването от повече от 100 </w:t>
            </w:r>
            <w:r>
              <w:rPr>
                <w:lang w:val="en-US"/>
              </w:rPr>
              <w:t>mg</w:t>
            </w:r>
            <w:r>
              <w:t>/седмица</w:t>
            </w:r>
          </w:p>
        </w:tc>
        <w:tc>
          <w:tcPr>
            <w:tcW w:w="1986" w:type="dxa"/>
          </w:tcPr>
          <w:p w14:paraId="678C9E3D" w14:textId="1AF265F1" w:rsidR="00DE1E81" w:rsidRDefault="00DE1E81" w:rsidP="00DE1E81">
            <w:pPr>
              <w:rPr>
                <w:rFonts w:cs="Arial"/>
              </w:rPr>
            </w:pPr>
            <w:r>
              <w:t xml:space="preserve">100 </w:t>
            </w:r>
            <w:r>
              <w:rPr>
                <w:lang w:val="en-US"/>
              </w:rPr>
              <w:t>mg</w:t>
            </w:r>
            <w:r>
              <w:t>/ден</w:t>
            </w:r>
          </w:p>
        </w:tc>
        <w:tc>
          <w:tcPr>
            <w:tcW w:w="1740" w:type="dxa"/>
          </w:tcPr>
          <w:p w14:paraId="189F8891" w14:textId="603D9A27" w:rsidR="00DE1E81" w:rsidRDefault="00DE1E81" w:rsidP="00DE1E81">
            <w:pPr>
              <w:rPr>
                <w:rFonts w:cs="Arial"/>
              </w:rPr>
            </w:pPr>
            <w:r>
              <w:t xml:space="preserve">200 </w:t>
            </w:r>
            <w:r>
              <w:rPr>
                <w:lang w:val="en-US"/>
              </w:rPr>
              <w:t>mg</w:t>
            </w:r>
            <w:r>
              <w:t>/ден</w:t>
            </w:r>
          </w:p>
        </w:tc>
        <w:tc>
          <w:tcPr>
            <w:tcW w:w="3399" w:type="dxa"/>
            <w:gridSpan w:val="2"/>
          </w:tcPr>
          <w:p w14:paraId="2A07EB85" w14:textId="5E2AD0FF" w:rsidR="00DE1E81" w:rsidRDefault="00DE1E81" w:rsidP="00DE1E81">
            <w:pPr>
              <w:rPr>
                <w:rFonts w:cs="Arial"/>
              </w:rPr>
            </w:pPr>
            <w:r>
              <w:t xml:space="preserve">Поддържане на тази доза (200 </w:t>
            </w:r>
            <w:r>
              <w:rPr>
                <w:lang w:val="en-US"/>
              </w:rPr>
              <w:t>mg</w:t>
            </w:r>
            <w:r>
              <w:t>/ден) (разделена в два приема)</w:t>
            </w:r>
          </w:p>
        </w:tc>
      </w:tr>
      <w:tr w:rsidR="00DE1E81" w14:paraId="04E89116" w14:textId="77777777" w:rsidTr="00DE1E81">
        <w:tc>
          <w:tcPr>
            <w:tcW w:w="2451" w:type="dxa"/>
            <w:vMerge/>
          </w:tcPr>
          <w:p w14:paraId="7E4B7EC4" w14:textId="77777777" w:rsidR="00DE1E81" w:rsidRDefault="00DE1E81" w:rsidP="00DE1E81">
            <w:pPr>
              <w:rPr>
                <w:rFonts w:cs="Arial"/>
              </w:rPr>
            </w:pPr>
          </w:p>
        </w:tc>
        <w:tc>
          <w:tcPr>
            <w:tcW w:w="1986" w:type="dxa"/>
          </w:tcPr>
          <w:p w14:paraId="314B1359" w14:textId="77777777" w:rsidR="00DE1E81" w:rsidRDefault="00DE1E81" w:rsidP="00DE1E81">
            <w:pPr>
              <w:rPr>
                <w:rFonts w:cs="Arial"/>
              </w:rPr>
            </w:pPr>
          </w:p>
        </w:tc>
        <w:tc>
          <w:tcPr>
            <w:tcW w:w="1740" w:type="dxa"/>
          </w:tcPr>
          <w:p w14:paraId="283217C6" w14:textId="77777777" w:rsidR="00DE1E81" w:rsidRDefault="00DE1E81" w:rsidP="00DE1E81">
            <w:pPr>
              <w:rPr>
                <w:rFonts w:cs="Arial"/>
              </w:rPr>
            </w:pPr>
          </w:p>
        </w:tc>
        <w:tc>
          <w:tcPr>
            <w:tcW w:w="1648" w:type="dxa"/>
          </w:tcPr>
          <w:p w14:paraId="24C6C3A0" w14:textId="2E0C9E24" w:rsidR="00DE1E81" w:rsidRDefault="00DE1E81" w:rsidP="00DE1E81">
            <w:pPr>
              <w:rPr>
                <w:rFonts w:cs="Arial"/>
              </w:rPr>
            </w:pPr>
            <w:r>
              <w:t xml:space="preserve">400 </w:t>
            </w:r>
            <w:r>
              <w:rPr>
                <w:lang w:val="en-US"/>
              </w:rPr>
              <w:t>mg</w:t>
            </w:r>
            <w:r>
              <w:t>/ден</w:t>
            </w:r>
          </w:p>
        </w:tc>
        <w:tc>
          <w:tcPr>
            <w:tcW w:w="1751" w:type="dxa"/>
          </w:tcPr>
          <w:p w14:paraId="784B898B" w14:textId="351B945C" w:rsidR="00DE1E81" w:rsidRDefault="00DE1E81" w:rsidP="00DE1E81">
            <w:pPr>
              <w:rPr>
                <w:rFonts w:cs="Arial"/>
              </w:rPr>
            </w:pPr>
            <w:r>
              <w:t xml:space="preserve">Поддържане на тази доза (400 </w:t>
            </w:r>
            <w:r>
              <w:rPr>
                <w:lang w:val="en-US"/>
              </w:rPr>
              <w:t>mg</w:t>
            </w:r>
            <w:r>
              <w:t>/ден)</w:t>
            </w:r>
          </w:p>
        </w:tc>
      </w:tr>
      <w:tr w:rsidR="00DE1E81" w14:paraId="571828F6" w14:textId="77777777" w:rsidTr="00DE1E81">
        <w:tc>
          <w:tcPr>
            <w:tcW w:w="9576" w:type="dxa"/>
            <w:gridSpan w:val="5"/>
          </w:tcPr>
          <w:p w14:paraId="1E4BA57B" w14:textId="4ACA4763" w:rsidR="00DE1E81" w:rsidRDefault="00DE1E81" w:rsidP="00570851">
            <w:pPr>
              <w:rPr>
                <w:rFonts w:cs="Arial"/>
              </w:rPr>
            </w:pPr>
            <w:r>
              <w:rPr>
                <w:b/>
                <w:bCs/>
              </w:rPr>
              <w:t xml:space="preserve">Спиране на приема на индуктори на глюкуронирането на ламотригин </w:t>
            </w:r>
            <w:r>
              <w:t>(вж. точка 4.5) в зависимост от първоначалната доза на ламотригин:</w:t>
            </w:r>
          </w:p>
        </w:tc>
      </w:tr>
      <w:tr w:rsidR="00DE1E81" w14:paraId="33E80E17" w14:textId="77777777" w:rsidTr="00DE1E81">
        <w:tc>
          <w:tcPr>
            <w:tcW w:w="2451" w:type="dxa"/>
            <w:vMerge w:val="restart"/>
          </w:tcPr>
          <w:p w14:paraId="0BA138D4" w14:textId="77777777" w:rsidR="00DE1E81" w:rsidRDefault="00DE1E81" w:rsidP="00DE1E81">
            <w:r>
              <w:t>Тази схема на дозиране трябва да се използва при спиране приема на:</w:t>
            </w:r>
          </w:p>
          <w:p w14:paraId="430DE59F" w14:textId="77777777" w:rsidR="00DE1E81" w:rsidRDefault="00DE1E81" w:rsidP="00DE1E81">
            <w:r>
              <w:t>фенитоин</w:t>
            </w:r>
          </w:p>
          <w:p w14:paraId="54E857EE" w14:textId="072EDEFB" w:rsidR="00DE1E81" w:rsidRDefault="00DE1E81" w:rsidP="00DE1E81">
            <w:pPr>
              <w:rPr>
                <w:rFonts w:cs="Arial"/>
              </w:rPr>
            </w:pPr>
            <w:r>
              <w:t>карбамазепин фенобарбитон примидон рифампицин лопинавир/ритонавир</w:t>
            </w:r>
          </w:p>
        </w:tc>
        <w:tc>
          <w:tcPr>
            <w:tcW w:w="1986" w:type="dxa"/>
          </w:tcPr>
          <w:p w14:paraId="70823B3F" w14:textId="2C2CEAF9" w:rsidR="00DE1E81" w:rsidRDefault="00DE1E81" w:rsidP="00DE1E81">
            <w:pPr>
              <w:rPr>
                <w:rFonts w:cs="Arial"/>
              </w:rPr>
            </w:pPr>
            <w:r>
              <w:t xml:space="preserve">400 </w:t>
            </w:r>
            <w:r>
              <w:rPr>
                <w:lang w:val="en-US"/>
              </w:rPr>
              <w:t>mg</w:t>
            </w:r>
            <w:r>
              <w:t>/ден</w:t>
            </w:r>
          </w:p>
        </w:tc>
        <w:tc>
          <w:tcPr>
            <w:tcW w:w="1740" w:type="dxa"/>
          </w:tcPr>
          <w:p w14:paraId="4F27CE68" w14:textId="523F173E" w:rsidR="00DE1E81" w:rsidRDefault="00DE1E81" w:rsidP="00DE1E81">
            <w:pPr>
              <w:rPr>
                <w:rFonts w:cs="Arial"/>
              </w:rPr>
            </w:pPr>
            <w:r>
              <w:t xml:space="preserve">400 </w:t>
            </w:r>
            <w:r>
              <w:rPr>
                <w:lang w:val="en-US"/>
              </w:rPr>
              <w:t>mg</w:t>
            </w:r>
            <w:r>
              <w:t>/ден</w:t>
            </w:r>
          </w:p>
        </w:tc>
        <w:tc>
          <w:tcPr>
            <w:tcW w:w="1648" w:type="dxa"/>
          </w:tcPr>
          <w:p w14:paraId="452642A0" w14:textId="596B759F" w:rsidR="00DE1E81" w:rsidRDefault="00DE1E81" w:rsidP="00DE1E81">
            <w:pPr>
              <w:rPr>
                <w:rFonts w:cs="Arial"/>
              </w:rPr>
            </w:pPr>
            <w:r>
              <w:t xml:space="preserve">300 </w:t>
            </w:r>
            <w:r>
              <w:rPr>
                <w:lang w:val="en-US"/>
              </w:rPr>
              <w:t>mg</w:t>
            </w:r>
            <w:r>
              <w:t>/ден</w:t>
            </w:r>
          </w:p>
        </w:tc>
        <w:tc>
          <w:tcPr>
            <w:tcW w:w="1751" w:type="dxa"/>
          </w:tcPr>
          <w:p w14:paraId="67D6BB9B" w14:textId="0A8C3546" w:rsidR="00DE1E81" w:rsidRDefault="00DE1E81" w:rsidP="00DE1E81">
            <w:pPr>
              <w:rPr>
                <w:rFonts w:cs="Arial"/>
              </w:rPr>
            </w:pPr>
            <w:r>
              <w:t xml:space="preserve">200 </w:t>
            </w:r>
            <w:r>
              <w:rPr>
                <w:lang w:val="en-US"/>
              </w:rPr>
              <w:t>mg</w:t>
            </w:r>
            <w:r>
              <w:t>/ден</w:t>
            </w:r>
          </w:p>
        </w:tc>
      </w:tr>
      <w:tr w:rsidR="00DE1E81" w14:paraId="5C9DCD81" w14:textId="77777777" w:rsidTr="00DE1E81">
        <w:tc>
          <w:tcPr>
            <w:tcW w:w="2451" w:type="dxa"/>
            <w:vMerge/>
          </w:tcPr>
          <w:p w14:paraId="68714798" w14:textId="77777777" w:rsidR="00DE1E81" w:rsidRDefault="00DE1E81" w:rsidP="00DE1E81">
            <w:pPr>
              <w:rPr>
                <w:rFonts w:cs="Arial"/>
              </w:rPr>
            </w:pPr>
          </w:p>
        </w:tc>
        <w:tc>
          <w:tcPr>
            <w:tcW w:w="1986" w:type="dxa"/>
          </w:tcPr>
          <w:p w14:paraId="5CD477BF" w14:textId="3FE4701C" w:rsidR="00DE1E81" w:rsidRDefault="00DE1E81" w:rsidP="00DE1E81">
            <w:pPr>
              <w:rPr>
                <w:rFonts w:cs="Arial"/>
              </w:rPr>
            </w:pPr>
            <w:r>
              <w:t xml:space="preserve">300 </w:t>
            </w:r>
            <w:r>
              <w:rPr>
                <w:lang w:val="en-US"/>
              </w:rPr>
              <w:t>mg</w:t>
            </w:r>
            <w:r>
              <w:t>/ден</w:t>
            </w:r>
          </w:p>
        </w:tc>
        <w:tc>
          <w:tcPr>
            <w:tcW w:w="1740" w:type="dxa"/>
          </w:tcPr>
          <w:p w14:paraId="5E02B8F2" w14:textId="39ADA60F" w:rsidR="00DE1E81" w:rsidRDefault="00DE1E81" w:rsidP="00DE1E81">
            <w:pPr>
              <w:rPr>
                <w:rFonts w:cs="Arial"/>
              </w:rPr>
            </w:pPr>
            <w:r>
              <w:t xml:space="preserve">300 </w:t>
            </w:r>
            <w:r>
              <w:rPr>
                <w:lang w:val="en-US"/>
              </w:rPr>
              <w:t>mg</w:t>
            </w:r>
            <w:r>
              <w:t>/ден</w:t>
            </w:r>
          </w:p>
        </w:tc>
        <w:tc>
          <w:tcPr>
            <w:tcW w:w="1648" w:type="dxa"/>
          </w:tcPr>
          <w:p w14:paraId="297DFE99" w14:textId="55C856A7" w:rsidR="00DE1E81" w:rsidRDefault="00DE1E81" w:rsidP="00DE1E81">
            <w:pPr>
              <w:rPr>
                <w:rFonts w:cs="Arial"/>
              </w:rPr>
            </w:pPr>
            <w:r>
              <w:t xml:space="preserve">225 </w:t>
            </w:r>
            <w:r>
              <w:rPr>
                <w:lang w:val="en-US"/>
              </w:rPr>
              <w:t>mg</w:t>
            </w:r>
            <w:r>
              <w:t>/ден</w:t>
            </w:r>
          </w:p>
        </w:tc>
        <w:tc>
          <w:tcPr>
            <w:tcW w:w="1751" w:type="dxa"/>
          </w:tcPr>
          <w:p w14:paraId="619CEF86" w14:textId="01B13045" w:rsidR="00DE1E81" w:rsidRDefault="00DE1E81" w:rsidP="00DE1E81">
            <w:pPr>
              <w:rPr>
                <w:rFonts w:cs="Arial"/>
              </w:rPr>
            </w:pPr>
            <w:r>
              <w:t xml:space="preserve">150 </w:t>
            </w:r>
            <w:r>
              <w:rPr>
                <w:lang w:val="en-US"/>
              </w:rPr>
              <w:t>mg</w:t>
            </w:r>
            <w:r>
              <w:t>/ден</w:t>
            </w:r>
          </w:p>
        </w:tc>
      </w:tr>
      <w:tr w:rsidR="00DE1E81" w14:paraId="578816F2" w14:textId="77777777" w:rsidTr="00DE1E81">
        <w:tc>
          <w:tcPr>
            <w:tcW w:w="2451" w:type="dxa"/>
            <w:vMerge/>
          </w:tcPr>
          <w:p w14:paraId="2CE1C84C" w14:textId="77777777" w:rsidR="00DE1E81" w:rsidRDefault="00DE1E81" w:rsidP="00DE1E81">
            <w:pPr>
              <w:rPr>
                <w:rFonts w:cs="Arial"/>
              </w:rPr>
            </w:pPr>
          </w:p>
        </w:tc>
        <w:tc>
          <w:tcPr>
            <w:tcW w:w="1986" w:type="dxa"/>
          </w:tcPr>
          <w:p w14:paraId="6CCDDDCE" w14:textId="05957441" w:rsidR="00DE1E81" w:rsidRDefault="00DE1E81" w:rsidP="00DE1E81">
            <w:pPr>
              <w:rPr>
                <w:rFonts w:cs="Arial"/>
              </w:rPr>
            </w:pPr>
            <w:r>
              <w:t xml:space="preserve">200 </w:t>
            </w:r>
            <w:r>
              <w:rPr>
                <w:lang w:val="en-US"/>
              </w:rPr>
              <w:t>mg</w:t>
            </w:r>
            <w:r>
              <w:t>/ден</w:t>
            </w:r>
          </w:p>
        </w:tc>
        <w:tc>
          <w:tcPr>
            <w:tcW w:w="1740" w:type="dxa"/>
          </w:tcPr>
          <w:p w14:paraId="30C30BA4" w14:textId="51998308" w:rsidR="00DE1E81" w:rsidRDefault="00DE1E81" w:rsidP="00DE1E81">
            <w:pPr>
              <w:rPr>
                <w:rFonts w:cs="Arial"/>
              </w:rPr>
            </w:pPr>
            <w:r>
              <w:t xml:space="preserve">200 </w:t>
            </w:r>
            <w:r>
              <w:rPr>
                <w:lang w:val="en-US"/>
              </w:rPr>
              <w:t>mg</w:t>
            </w:r>
            <w:r>
              <w:t>/ден</w:t>
            </w:r>
          </w:p>
        </w:tc>
        <w:tc>
          <w:tcPr>
            <w:tcW w:w="1648" w:type="dxa"/>
          </w:tcPr>
          <w:p w14:paraId="45A26A52" w14:textId="0944BB31" w:rsidR="00DE1E81" w:rsidRDefault="00DE1E81" w:rsidP="00DE1E81">
            <w:pPr>
              <w:rPr>
                <w:rFonts w:cs="Arial"/>
              </w:rPr>
            </w:pPr>
            <w:r>
              <w:t xml:space="preserve">150 </w:t>
            </w:r>
            <w:r>
              <w:rPr>
                <w:lang w:val="en-US"/>
              </w:rPr>
              <w:t>mg</w:t>
            </w:r>
            <w:r>
              <w:t>/ден</w:t>
            </w:r>
          </w:p>
        </w:tc>
        <w:tc>
          <w:tcPr>
            <w:tcW w:w="1751" w:type="dxa"/>
          </w:tcPr>
          <w:p w14:paraId="02D59A2B" w14:textId="2CCE0392" w:rsidR="00DE1E81" w:rsidRDefault="00DE1E81" w:rsidP="00DE1E81">
            <w:pPr>
              <w:rPr>
                <w:rFonts w:cs="Arial"/>
              </w:rPr>
            </w:pPr>
            <w:r>
              <w:t xml:space="preserve">100 </w:t>
            </w:r>
            <w:r>
              <w:rPr>
                <w:lang w:val="en-US"/>
              </w:rPr>
              <w:t>mg</w:t>
            </w:r>
            <w:r>
              <w:t>/ден</w:t>
            </w:r>
          </w:p>
        </w:tc>
      </w:tr>
      <w:tr w:rsidR="00DE1E81" w14:paraId="33975FA9" w14:textId="77777777" w:rsidTr="00DE1E81">
        <w:tc>
          <w:tcPr>
            <w:tcW w:w="9576" w:type="dxa"/>
            <w:gridSpan w:val="5"/>
          </w:tcPr>
          <w:p w14:paraId="47055B96" w14:textId="47772F08" w:rsidR="00DE1E81" w:rsidRPr="00DE1E81" w:rsidRDefault="00DE1E81" w:rsidP="00DE1E81">
            <w:pPr>
              <w:spacing w:line="240" w:lineRule="auto"/>
              <w:rPr>
                <w:rFonts w:eastAsia="Times New Roman" w:cs="Arial"/>
                <w:sz w:val="24"/>
                <w:szCs w:val="24"/>
              </w:rPr>
            </w:pPr>
            <w:r w:rsidRPr="00DE1E81">
              <w:rPr>
                <w:rFonts w:eastAsia="Times New Roman" w:cs="Arial"/>
                <w:b/>
                <w:bCs/>
                <w:color w:val="000000"/>
                <w:lang w:eastAsia="bg-BG"/>
              </w:rPr>
              <w:t xml:space="preserve">Спиране на приема на лекарствени продукти, конто НЕ инхибират или НЕ индуцират значително глюкуронирането на ламотригин </w:t>
            </w:r>
            <w:r w:rsidRPr="00DE1E81">
              <w:rPr>
                <w:rFonts w:eastAsia="Times New Roman" w:cs="Arial"/>
                <w:color w:val="000000"/>
                <w:lang w:eastAsia="bg-BG"/>
              </w:rPr>
              <w:t>(вж. точка 4.5):</w:t>
            </w:r>
          </w:p>
        </w:tc>
      </w:tr>
      <w:tr w:rsidR="00DE1E81" w14:paraId="7E81040D" w14:textId="77777777" w:rsidTr="00DE1E81">
        <w:tc>
          <w:tcPr>
            <w:tcW w:w="2451" w:type="dxa"/>
            <w:vAlign w:val="bottom"/>
          </w:tcPr>
          <w:p w14:paraId="513DABE3" w14:textId="3BCF89E4" w:rsidR="00DE1E81" w:rsidRDefault="00DE1E81" w:rsidP="00DE1E81">
            <w:pPr>
              <w:rPr>
                <w:rFonts w:cs="Arial"/>
              </w:rPr>
            </w:pPr>
            <w:r>
              <w:t>Тази схема на дозиране трябва да се използва при спиране на приема на други лекарствени продукти, които не инхибират или не индуцират значително глюкуронирането на ламотригин</w:t>
            </w:r>
          </w:p>
        </w:tc>
        <w:tc>
          <w:tcPr>
            <w:tcW w:w="7125" w:type="dxa"/>
            <w:gridSpan w:val="4"/>
          </w:tcPr>
          <w:p w14:paraId="0AA88849" w14:textId="23E9CA6B" w:rsidR="00DE1E81" w:rsidRDefault="00DE1E81" w:rsidP="00DE1E81">
            <w:pPr>
              <w:rPr>
                <w:rFonts w:cs="Arial"/>
              </w:rPr>
            </w:pPr>
            <w:r>
              <w:t xml:space="preserve">Под държане на таргетната доза, достигната при повишаване на дозата (200 </w:t>
            </w:r>
            <w:r>
              <w:rPr>
                <w:lang w:val="en-US"/>
              </w:rPr>
              <w:t>mg</w:t>
            </w:r>
            <w:r>
              <w:t xml:space="preserve">/ден; разделена в два приема) (дозов диапазон 100 - 400 </w:t>
            </w:r>
            <w:r>
              <w:rPr>
                <w:lang w:val="en-US"/>
              </w:rPr>
              <w:t>mg</w:t>
            </w:r>
            <w:r>
              <w:t>/ден)</w:t>
            </w:r>
          </w:p>
        </w:tc>
      </w:tr>
      <w:tr w:rsidR="00DE1E81" w14:paraId="590FD3C6" w14:textId="77777777" w:rsidTr="00DE1E81">
        <w:tc>
          <w:tcPr>
            <w:tcW w:w="9576" w:type="dxa"/>
            <w:gridSpan w:val="5"/>
          </w:tcPr>
          <w:p w14:paraId="2B9D9FFF" w14:textId="523EF03A" w:rsidR="00DE1E81" w:rsidRPr="00DE1E81" w:rsidRDefault="00DE1E81" w:rsidP="00DE1E81">
            <w:pPr>
              <w:rPr>
                <w:sz w:val="24"/>
                <w:szCs w:val="24"/>
              </w:rPr>
            </w:pPr>
            <w:r w:rsidRPr="00DE1E81">
              <w:rPr>
                <w:lang w:eastAsia="bg-BG"/>
              </w:rPr>
              <w:t>При пациенти, приемащи лекарствени продукти, за които не са известни фармакокинетични взаимодействия с ламотригин (вж. точка 4.5), схемата на лечение, препоръчана за ламотригин, е първоначално да се поддържа настоящата доза и лечението с ламотригин да се променя въз основа на клиничния отговор.</w:t>
            </w:r>
          </w:p>
        </w:tc>
      </w:tr>
    </w:tbl>
    <w:p w14:paraId="52849EE0" w14:textId="10780110" w:rsidR="00570851" w:rsidRDefault="00DE1E81" w:rsidP="00DE1E81">
      <w:r>
        <w:t xml:space="preserve">* При необходимост дозата може да се повиши до 400 </w:t>
      </w:r>
      <w:r>
        <w:rPr>
          <w:lang w:val="en-US"/>
        </w:rPr>
        <w:t>mg</w:t>
      </w:r>
      <w:r>
        <w:t>/ден</w:t>
      </w:r>
    </w:p>
    <w:p w14:paraId="66CD8499" w14:textId="7564CDDA" w:rsidR="00DE1E81" w:rsidRDefault="00DE1E81" w:rsidP="00DE1E81"/>
    <w:p w14:paraId="23C6E7BE" w14:textId="77777777" w:rsidR="00DE1E81" w:rsidRPr="00DE1E81" w:rsidRDefault="00DE1E81" w:rsidP="00DE1E81">
      <w:pPr>
        <w:spacing w:line="240" w:lineRule="auto"/>
        <w:rPr>
          <w:rFonts w:eastAsia="Times New Roman" w:cs="Arial"/>
          <w:sz w:val="24"/>
          <w:szCs w:val="24"/>
        </w:rPr>
      </w:pPr>
      <w:r w:rsidRPr="00DE1E81">
        <w:rPr>
          <w:rFonts w:eastAsia="Times New Roman" w:cs="Arial"/>
          <w:i/>
          <w:iCs/>
          <w:color w:val="000000"/>
          <w:u w:val="single"/>
          <w:lang w:eastAsia="bg-BG"/>
        </w:rPr>
        <w:t>Таблииа 5: Възрастни пациенти на 18 и повече години - адаптиране на дневната дозировка на ламотригин след добавяне на други лекарствени продукти при лечението на биполярно разстройство</w:t>
      </w:r>
    </w:p>
    <w:p w14:paraId="20B539D2" w14:textId="77777777" w:rsidR="00DE1E81" w:rsidRPr="00DE1E81" w:rsidRDefault="00DE1E81" w:rsidP="00DE1E81">
      <w:pPr>
        <w:spacing w:line="240" w:lineRule="auto"/>
        <w:rPr>
          <w:rFonts w:eastAsia="Times New Roman" w:cs="Arial"/>
          <w:sz w:val="24"/>
          <w:szCs w:val="24"/>
        </w:rPr>
      </w:pPr>
      <w:r w:rsidRPr="00DE1E81">
        <w:rPr>
          <w:rFonts w:eastAsia="Times New Roman" w:cs="Arial"/>
          <w:color w:val="000000"/>
          <w:lang w:eastAsia="bg-BG"/>
        </w:rPr>
        <w:t>Няма клиничен опит в адаптирането на дневната доза на ламотригин след добавяне на други лекарствени продукти. Обаче на основата на изпитвания за взаимодействия с други лекарствени продукти могат бъдат направени следните препоръки:</w:t>
      </w:r>
    </w:p>
    <w:tbl>
      <w:tblPr>
        <w:tblStyle w:val="TableGrid"/>
        <w:tblW w:w="0" w:type="auto"/>
        <w:tblLook w:val="04A0" w:firstRow="1" w:lastRow="0" w:firstColumn="1" w:lastColumn="0" w:noHBand="0" w:noVBand="1"/>
      </w:tblPr>
      <w:tblGrid>
        <w:gridCol w:w="2451"/>
        <w:gridCol w:w="1881"/>
        <w:gridCol w:w="1761"/>
        <w:gridCol w:w="1637"/>
        <w:gridCol w:w="1620"/>
      </w:tblGrid>
      <w:tr w:rsidR="00DE1E81" w14:paraId="38BC3863" w14:textId="77777777" w:rsidTr="00DE1E81">
        <w:tc>
          <w:tcPr>
            <w:tcW w:w="2451" w:type="dxa"/>
          </w:tcPr>
          <w:p w14:paraId="7712F9CC" w14:textId="177617C0" w:rsidR="00DE1E81" w:rsidRDefault="00DE1E81" w:rsidP="00DE1E81">
            <w:pPr>
              <w:rPr>
                <w:rFonts w:cs="Arial"/>
              </w:rPr>
            </w:pPr>
            <w:r>
              <w:t>Схема на лечение</w:t>
            </w:r>
          </w:p>
        </w:tc>
        <w:tc>
          <w:tcPr>
            <w:tcW w:w="1891" w:type="dxa"/>
          </w:tcPr>
          <w:p w14:paraId="2E05FBC6" w14:textId="2879D0DB" w:rsidR="00DE1E81" w:rsidRDefault="00DE1E81" w:rsidP="00DE1E81">
            <w:pPr>
              <w:rPr>
                <w:rFonts w:cs="Arial"/>
              </w:rPr>
            </w:pPr>
            <w:r>
              <w:t xml:space="preserve">Настояща стабилизираща доза </w:t>
            </w:r>
            <w:r>
              <w:lastRenderedPageBreak/>
              <w:t>ламотригин (преди добавянето)</w:t>
            </w:r>
          </w:p>
        </w:tc>
        <w:tc>
          <w:tcPr>
            <w:tcW w:w="1807" w:type="dxa"/>
          </w:tcPr>
          <w:p w14:paraId="3698ADBA" w14:textId="644E2C8F" w:rsidR="00DE1E81" w:rsidRDefault="00DE1E81" w:rsidP="00DE1E81">
            <w:pPr>
              <w:rPr>
                <w:rFonts w:cs="Arial"/>
              </w:rPr>
            </w:pPr>
            <w:r>
              <w:lastRenderedPageBreak/>
              <w:t>Седмица 1 (започваща с добавянето)</w:t>
            </w:r>
          </w:p>
        </w:tc>
        <w:tc>
          <w:tcPr>
            <w:tcW w:w="1719" w:type="dxa"/>
          </w:tcPr>
          <w:p w14:paraId="1A4D8766" w14:textId="26106356" w:rsidR="00DE1E81" w:rsidRDefault="00DE1E81" w:rsidP="00DE1E81">
            <w:pPr>
              <w:rPr>
                <w:rFonts w:cs="Arial"/>
              </w:rPr>
            </w:pPr>
            <w:r>
              <w:t>Седмица 2</w:t>
            </w:r>
          </w:p>
        </w:tc>
        <w:tc>
          <w:tcPr>
            <w:tcW w:w="1708" w:type="dxa"/>
          </w:tcPr>
          <w:p w14:paraId="2B500AD4" w14:textId="5DBF979B" w:rsidR="00DE1E81" w:rsidRDefault="00DE1E81" w:rsidP="00DE1E81">
            <w:pPr>
              <w:rPr>
                <w:rFonts w:cs="Arial"/>
              </w:rPr>
            </w:pPr>
            <w:r>
              <w:t>От седмица 3 нататък</w:t>
            </w:r>
          </w:p>
        </w:tc>
      </w:tr>
      <w:tr w:rsidR="00DE1E81" w14:paraId="0C857C2F" w14:textId="77777777" w:rsidTr="00DE1E81">
        <w:tc>
          <w:tcPr>
            <w:tcW w:w="9576" w:type="dxa"/>
            <w:gridSpan w:val="5"/>
          </w:tcPr>
          <w:p w14:paraId="5DFB4B52" w14:textId="647FBB00" w:rsidR="00DE1E81" w:rsidRPr="00DE1E81" w:rsidRDefault="00DE1E81" w:rsidP="00DE1E81">
            <w:pPr>
              <w:spacing w:line="240" w:lineRule="auto"/>
              <w:rPr>
                <w:rFonts w:eastAsia="Times New Roman" w:cs="Arial"/>
                <w:sz w:val="24"/>
                <w:szCs w:val="24"/>
              </w:rPr>
            </w:pPr>
            <w:r w:rsidRPr="00DE1E81">
              <w:rPr>
                <w:rFonts w:eastAsia="Times New Roman" w:cs="Arial"/>
                <w:b/>
                <w:bCs/>
                <w:color w:val="000000"/>
                <w:lang w:eastAsia="bg-BG"/>
              </w:rPr>
              <w:t xml:space="preserve">Добавяне на валпроат </w:t>
            </w:r>
            <w:r w:rsidRPr="00DE1E81">
              <w:rPr>
                <w:rFonts w:eastAsia="Times New Roman" w:cs="Arial"/>
                <w:color w:val="000000"/>
                <w:lang w:eastAsia="bg-BG"/>
              </w:rPr>
              <w:t>(инхибитор на глюкуронирането на ламотригин - вж. точка 4.5), в зависимост от първоначалната доза на ламотригин:</w:t>
            </w:r>
          </w:p>
        </w:tc>
      </w:tr>
      <w:tr w:rsidR="00DE1E81" w14:paraId="47DE0F0B" w14:textId="77777777" w:rsidTr="00DE1E81">
        <w:tc>
          <w:tcPr>
            <w:tcW w:w="2451" w:type="dxa"/>
            <w:vMerge w:val="restart"/>
          </w:tcPr>
          <w:p w14:paraId="77F9C00F" w14:textId="25844186" w:rsidR="00DE1E81" w:rsidRDefault="00DE1E81" w:rsidP="00DE1E81">
            <w:pPr>
              <w:rPr>
                <w:rFonts w:cs="Arial"/>
              </w:rPr>
            </w:pPr>
            <w:r>
              <w:t>Тази схема на дозиране трябва да се използва при добавяне на валпроат, независимо от съпътстващия прием на други лекарствени продукти</w:t>
            </w:r>
          </w:p>
        </w:tc>
        <w:tc>
          <w:tcPr>
            <w:tcW w:w="1891" w:type="dxa"/>
          </w:tcPr>
          <w:p w14:paraId="4349E700" w14:textId="5DD266CD" w:rsidR="00DE1E81" w:rsidRDefault="00DE1E81" w:rsidP="00DE1E81">
            <w:pPr>
              <w:rPr>
                <w:rFonts w:cs="Arial"/>
              </w:rPr>
            </w:pPr>
            <w:r>
              <w:t xml:space="preserve">200 </w:t>
            </w:r>
            <w:r>
              <w:rPr>
                <w:lang w:val="en-US"/>
              </w:rPr>
              <w:t>mg</w:t>
            </w:r>
            <w:r>
              <w:t>/ден</w:t>
            </w:r>
          </w:p>
        </w:tc>
        <w:tc>
          <w:tcPr>
            <w:tcW w:w="1807" w:type="dxa"/>
          </w:tcPr>
          <w:p w14:paraId="052FC60B" w14:textId="6BBEBE5B" w:rsidR="00DE1E81" w:rsidRDefault="00DE1E81" w:rsidP="00DE1E81">
            <w:pPr>
              <w:rPr>
                <w:rFonts w:cs="Arial"/>
              </w:rPr>
            </w:pPr>
            <w:r>
              <w:t xml:space="preserve">100 </w:t>
            </w:r>
            <w:r>
              <w:rPr>
                <w:lang w:val="en-US"/>
              </w:rPr>
              <w:t xml:space="preserve">mg/ </w:t>
            </w:r>
            <w:r>
              <w:t>ден</w:t>
            </w:r>
          </w:p>
        </w:tc>
        <w:tc>
          <w:tcPr>
            <w:tcW w:w="3427" w:type="dxa"/>
            <w:gridSpan w:val="2"/>
          </w:tcPr>
          <w:p w14:paraId="207872EF" w14:textId="0F999AE1" w:rsidR="00DE1E81" w:rsidRDefault="00DE1E81" w:rsidP="00DE1E81">
            <w:pPr>
              <w:rPr>
                <w:rFonts w:cs="Arial"/>
              </w:rPr>
            </w:pPr>
            <w:r>
              <w:t xml:space="preserve">Да се под държа тази доза (100 </w:t>
            </w:r>
            <w:r>
              <w:rPr>
                <w:lang w:val="en-US"/>
              </w:rPr>
              <w:t>mg</w:t>
            </w:r>
            <w:r>
              <w:t>/ден)</w:t>
            </w:r>
          </w:p>
        </w:tc>
      </w:tr>
      <w:tr w:rsidR="00DE1E81" w14:paraId="468AE143" w14:textId="77777777" w:rsidTr="00DE1E81">
        <w:tc>
          <w:tcPr>
            <w:tcW w:w="2451" w:type="dxa"/>
            <w:vMerge/>
          </w:tcPr>
          <w:p w14:paraId="2CF3F921" w14:textId="77777777" w:rsidR="00DE1E81" w:rsidRDefault="00DE1E81" w:rsidP="00DE1E81">
            <w:pPr>
              <w:rPr>
                <w:rFonts w:cs="Arial"/>
              </w:rPr>
            </w:pPr>
          </w:p>
        </w:tc>
        <w:tc>
          <w:tcPr>
            <w:tcW w:w="1891" w:type="dxa"/>
          </w:tcPr>
          <w:p w14:paraId="26A9428D" w14:textId="12D759EC" w:rsidR="00DE1E81" w:rsidRDefault="00DE1E81" w:rsidP="00DE1E81">
            <w:pPr>
              <w:rPr>
                <w:rFonts w:cs="Arial"/>
              </w:rPr>
            </w:pPr>
            <w:r>
              <w:t xml:space="preserve">300 </w:t>
            </w:r>
            <w:r>
              <w:rPr>
                <w:lang w:val="en-US"/>
              </w:rPr>
              <w:t xml:space="preserve">mg/ </w:t>
            </w:r>
            <w:r>
              <w:t>ден</w:t>
            </w:r>
          </w:p>
        </w:tc>
        <w:tc>
          <w:tcPr>
            <w:tcW w:w="1807" w:type="dxa"/>
          </w:tcPr>
          <w:p w14:paraId="466AF3B7" w14:textId="6AA15E57" w:rsidR="00DE1E81" w:rsidRDefault="00DE1E81" w:rsidP="00DE1E81">
            <w:pPr>
              <w:rPr>
                <w:rFonts w:cs="Arial"/>
              </w:rPr>
            </w:pPr>
            <w:r>
              <w:t xml:space="preserve">150 </w:t>
            </w:r>
            <w:r>
              <w:rPr>
                <w:lang w:val="en-US"/>
              </w:rPr>
              <w:t>mg/</w:t>
            </w:r>
            <w:r>
              <w:t>ден</w:t>
            </w:r>
          </w:p>
        </w:tc>
        <w:tc>
          <w:tcPr>
            <w:tcW w:w="3427" w:type="dxa"/>
            <w:gridSpan w:val="2"/>
          </w:tcPr>
          <w:p w14:paraId="7CB85467" w14:textId="4BAD24DE" w:rsidR="00DE1E81" w:rsidRDefault="00DE1E81" w:rsidP="00DE1E81">
            <w:pPr>
              <w:rPr>
                <w:rFonts w:cs="Arial"/>
              </w:rPr>
            </w:pPr>
            <w:r>
              <w:t>Да се поддържа тази доза (150</w:t>
            </w:r>
            <w:r>
              <w:rPr>
                <w:lang w:val="en-US"/>
              </w:rPr>
              <w:t>mg</w:t>
            </w:r>
            <w:r>
              <w:t>/ден)</w:t>
            </w:r>
          </w:p>
        </w:tc>
      </w:tr>
      <w:tr w:rsidR="00DE1E81" w14:paraId="00E1A2D3" w14:textId="77777777" w:rsidTr="00DE1E81">
        <w:tc>
          <w:tcPr>
            <w:tcW w:w="2451" w:type="dxa"/>
            <w:vMerge/>
          </w:tcPr>
          <w:p w14:paraId="58F0AC44" w14:textId="77777777" w:rsidR="00DE1E81" w:rsidRDefault="00DE1E81" w:rsidP="00DE1E81">
            <w:pPr>
              <w:rPr>
                <w:rFonts w:cs="Arial"/>
              </w:rPr>
            </w:pPr>
          </w:p>
        </w:tc>
        <w:tc>
          <w:tcPr>
            <w:tcW w:w="1891" w:type="dxa"/>
          </w:tcPr>
          <w:p w14:paraId="240DA03F" w14:textId="4C6C3CC1" w:rsidR="00DE1E81" w:rsidRDefault="00DE1E81" w:rsidP="00DE1E81">
            <w:pPr>
              <w:rPr>
                <w:rFonts w:cs="Arial"/>
              </w:rPr>
            </w:pPr>
            <w:r>
              <w:t xml:space="preserve">400 </w:t>
            </w:r>
            <w:r>
              <w:rPr>
                <w:lang w:val="en-US"/>
              </w:rPr>
              <w:t xml:space="preserve">mg/ </w:t>
            </w:r>
            <w:r>
              <w:t>ден</w:t>
            </w:r>
          </w:p>
        </w:tc>
        <w:tc>
          <w:tcPr>
            <w:tcW w:w="1807" w:type="dxa"/>
          </w:tcPr>
          <w:p w14:paraId="39C947CF" w14:textId="6F63855D" w:rsidR="00DE1E81" w:rsidRDefault="00DE1E81" w:rsidP="00DE1E81">
            <w:pPr>
              <w:rPr>
                <w:rFonts w:cs="Arial"/>
              </w:rPr>
            </w:pPr>
            <w:r>
              <w:t xml:space="preserve">200 </w:t>
            </w:r>
            <w:r>
              <w:rPr>
                <w:lang w:val="en-US"/>
              </w:rPr>
              <w:t xml:space="preserve">mg/ </w:t>
            </w:r>
            <w:r>
              <w:t>ден</w:t>
            </w:r>
          </w:p>
        </w:tc>
        <w:tc>
          <w:tcPr>
            <w:tcW w:w="3427" w:type="dxa"/>
            <w:gridSpan w:val="2"/>
          </w:tcPr>
          <w:p w14:paraId="6F5DE9DC" w14:textId="5800250A" w:rsidR="00DE1E81" w:rsidRDefault="00DE1E81" w:rsidP="00DE1E81">
            <w:pPr>
              <w:rPr>
                <w:rFonts w:cs="Arial"/>
              </w:rPr>
            </w:pPr>
            <w:r>
              <w:t xml:space="preserve">Да се поддържа тази доза (200 </w:t>
            </w:r>
            <w:r>
              <w:rPr>
                <w:lang w:val="en-US"/>
              </w:rPr>
              <w:t>mg</w:t>
            </w:r>
            <w:r>
              <w:t>/ден)</w:t>
            </w:r>
          </w:p>
        </w:tc>
      </w:tr>
      <w:tr w:rsidR="00DE1E81" w14:paraId="019CEE3F" w14:textId="77777777" w:rsidTr="00DE1E81">
        <w:tc>
          <w:tcPr>
            <w:tcW w:w="9576" w:type="dxa"/>
            <w:gridSpan w:val="5"/>
          </w:tcPr>
          <w:p w14:paraId="24B6530D" w14:textId="5CA5A460" w:rsidR="00DE1E81" w:rsidRPr="00DE1E81" w:rsidRDefault="00DE1E81" w:rsidP="00DE1E81">
            <w:pPr>
              <w:spacing w:line="240" w:lineRule="auto"/>
              <w:rPr>
                <w:rFonts w:eastAsia="Times New Roman" w:cs="Arial"/>
                <w:sz w:val="24"/>
                <w:szCs w:val="24"/>
              </w:rPr>
            </w:pPr>
            <w:r w:rsidRPr="00DE1E81">
              <w:rPr>
                <w:rFonts w:eastAsia="Times New Roman" w:cs="Arial"/>
                <w:b/>
                <w:bCs/>
                <w:color w:val="000000"/>
                <w:lang w:eastAsia="bg-BG"/>
              </w:rPr>
              <w:t xml:space="preserve">Добавяне на индуктори на глюкуронирането на ламотригин при пациенти, които НЕ приемат валпроат </w:t>
            </w:r>
            <w:r w:rsidRPr="00DE1E81">
              <w:rPr>
                <w:rFonts w:eastAsia="Times New Roman" w:cs="Arial"/>
                <w:color w:val="000000"/>
                <w:lang w:eastAsia="bg-BG"/>
              </w:rPr>
              <w:t>(вж. точка 4.5), в зависимост от първоначалната доза на ламотригин:</w:t>
            </w:r>
          </w:p>
        </w:tc>
      </w:tr>
      <w:tr w:rsidR="00DE1E81" w14:paraId="6B492F9B" w14:textId="77777777" w:rsidTr="00DE1E81">
        <w:tc>
          <w:tcPr>
            <w:tcW w:w="2451" w:type="dxa"/>
            <w:vMerge w:val="restart"/>
          </w:tcPr>
          <w:p w14:paraId="123EFC21" w14:textId="77777777" w:rsidR="00DE1E81" w:rsidRDefault="00DE1E81" w:rsidP="00DE1E81">
            <w:r>
              <w:t>Тази схема на дозиране трябва да се използва без валпроат при добавяне на някой от следните лекарствени продукти:</w:t>
            </w:r>
          </w:p>
          <w:p w14:paraId="155B39A2" w14:textId="77777777" w:rsidR="00DE1E81" w:rsidRDefault="00DE1E81" w:rsidP="00DE1E81">
            <w:r>
              <w:t>фенитоин</w:t>
            </w:r>
          </w:p>
          <w:p w14:paraId="7C6C962A" w14:textId="67BEC5CE" w:rsidR="00DE1E81" w:rsidRDefault="00DE1E81" w:rsidP="00DE1E81">
            <w:pPr>
              <w:rPr>
                <w:rFonts w:cs="Arial"/>
              </w:rPr>
            </w:pPr>
            <w:r>
              <w:t>карбамазепин фенобарбитон примидон рифампицин лопинавир/ритонавир</w:t>
            </w:r>
          </w:p>
        </w:tc>
        <w:tc>
          <w:tcPr>
            <w:tcW w:w="1891" w:type="dxa"/>
          </w:tcPr>
          <w:p w14:paraId="6CC9BAB3" w14:textId="1CB75464" w:rsidR="00DE1E81" w:rsidRDefault="00DE1E81" w:rsidP="00DE1E81">
            <w:pPr>
              <w:rPr>
                <w:rFonts w:cs="Arial"/>
              </w:rPr>
            </w:pPr>
            <w:r>
              <w:t xml:space="preserve">200 </w:t>
            </w:r>
            <w:r>
              <w:rPr>
                <w:lang w:val="en-US"/>
              </w:rPr>
              <w:t>mg</w:t>
            </w:r>
            <w:r>
              <w:t>/ден</w:t>
            </w:r>
          </w:p>
        </w:tc>
        <w:tc>
          <w:tcPr>
            <w:tcW w:w="1807" w:type="dxa"/>
          </w:tcPr>
          <w:p w14:paraId="120C4A8F" w14:textId="402D5107" w:rsidR="00DE1E81" w:rsidRDefault="00DE1E81" w:rsidP="00DE1E81">
            <w:pPr>
              <w:rPr>
                <w:rFonts w:cs="Arial"/>
              </w:rPr>
            </w:pPr>
            <w:r>
              <w:t xml:space="preserve">200 </w:t>
            </w:r>
            <w:r>
              <w:rPr>
                <w:lang w:val="en-US"/>
              </w:rPr>
              <w:t xml:space="preserve">mg/ </w:t>
            </w:r>
            <w:r>
              <w:t>ден</w:t>
            </w:r>
          </w:p>
        </w:tc>
        <w:tc>
          <w:tcPr>
            <w:tcW w:w="1719" w:type="dxa"/>
          </w:tcPr>
          <w:p w14:paraId="7C950838" w14:textId="258A4513" w:rsidR="00DE1E81" w:rsidRDefault="00DE1E81" w:rsidP="00DE1E81">
            <w:pPr>
              <w:rPr>
                <w:rFonts w:cs="Arial"/>
              </w:rPr>
            </w:pPr>
            <w:r>
              <w:t xml:space="preserve">300 </w:t>
            </w:r>
            <w:r>
              <w:rPr>
                <w:lang w:val="en-US"/>
              </w:rPr>
              <w:t xml:space="preserve">mg/ </w:t>
            </w:r>
            <w:r>
              <w:t>ден</w:t>
            </w:r>
          </w:p>
        </w:tc>
        <w:tc>
          <w:tcPr>
            <w:tcW w:w="1708" w:type="dxa"/>
          </w:tcPr>
          <w:p w14:paraId="7C6935FD" w14:textId="4488A0FA" w:rsidR="00DE1E81" w:rsidRDefault="00DE1E81" w:rsidP="00DE1E81">
            <w:pPr>
              <w:rPr>
                <w:rFonts w:cs="Arial"/>
              </w:rPr>
            </w:pPr>
            <w:r>
              <w:t xml:space="preserve">400 </w:t>
            </w:r>
            <w:r>
              <w:rPr>
                <w:lang w:val="en-US"/>
              </w:rPr>
              <w:t xml:space="preserve">mg/ </w:t>
            </w:r>
            <w:r>
              <w:t>ден</w:t>
            </w:r>
          </w:p>
        </w:tc>
      </w:tr>
      <w:tr w:rsidR="00DE1E81" w14:paraId="464141D3" w14:textId="77777777" w:rsidTr="00DE1E81">
        <w:tc>
          <w:tcPr>
            <w:tcW w:w="2451" w:type="dxa"/>
            <w:vMerge/>
          </w:tcPr>
          <w:p w14:paraId="71B44185" w14:textId="77777777" w:rsidR="00DE1E81" w:rsidRDefault="00DE1E81" w:rsidP="00DE1E81">
            <w:pPr>
              <w:rPr>
                <w:rFonts w:cs="Arial"/>
              </w:rPr>
            </w:pPr>
          </w:p>
        </w:tc>
        <w:tc>
          <w:tcPr>
            <w:tcW w:w="1891" w:type="dxa"/>
          </w:tcPr>
          <w:p w14:paraId="2B428108" w14:textId="48945DB4" w:rsidR="00DE1E81" w:rsidRDefault="00DE1E81" w:rsidP="00DE1E81">
            <w:pPr>
              <w:rPr>
                <w:rFonts w:cs="Arial"/>
              </w:rPr>
            </w:pPr>
            <w:r>
              <w:t xml:space="preserve">150 </w:t>
            </w:r>
            <w:r>
              <w:rPr>
                <w:lang w:val="en-US"/>
              </w:rPr>
              <w:t>mg/</w:t>
            </w:r>
            <w:r>
              <w:t>ден</w:t>
            </w:r>
          </w:p>
        </w:tc>
        <w:tc>
          <w:tcPr>
            <w:tcW w:w="1807" w:type="dxa"/>
          </w:tcPr>
          <w:p w14:paraId="315CD12C" w14:textId="7EDB95C8" w:rsidR="00DE1E81" w:rsidRDefault="00DE1E81" w:rsidP="00DE1E81">
            <w:pPr>
              <w:rPr>
                <w:rFonts w:cs="Arial"/>
              </w:rPr>
            </w:pPr>
            <w:r>
              <w:t xml:space="preserve">150 </w:t>
            </w:r>
            <w:r>
              <w:rPr>
                <w:lang w:val="en-US"/>
              </w:rPr>
              <w:t>mg/</w:t>
            </w:r>
            <w:r>
              <w:t>ден</w:t>
            </w:r>
          </w:p>
        </w:tc>
        <w:tc>
          <w:tcPr>
            <w:tcW w:w="1719" w:type="dxa"/>
          </w:tcPr>
          <w:p w14:paraId="50D1407A" w14:textId="490E203A" w:rsidR="00DE1E81" w:rsidRDefault="00DE1E81" w:rsidP="00DE1E81">
            <w:pPr>
              <w:rPr>
                <w:rFonts w:cs="Arial"/>
              </w:rPr>
            </w:pPr>
            <w:r>
              <w:t xml:space="preserve">225 </w:t>
            </w:r>
            <w:r>
              <w:rPr>
                <w:lang w:val="en-US"/>
              </w:rPr>
              <w:t xml:space="preserve">mg/ </w:t>
            </w:r>
            <w:r>
              <w:t>ден</w:t>
            </w:r>
          </w:p>
        </w:tc>
        <w:tc>
          <w:tcPr>
            <w:tcW w:w="1708" w:type="dxa"/>
          </w:tcPr>
          <w:p w14:paraId="06A36AB4" w14:textId="3DF7339A" w:rsidR="00DE1E81" w:rsidRDefault="00DE1E81" w:rsidP="00DE1E81">
            <w:pPr>
              <w:rPr>
                <w:rFonts w:cs="Arial"/>
              </w:rPr>
            </w:pPr>
            <w:r>
              <w:t xml:space="preserve">300 </w:t>
            </w:r>
            <w:r>
              <w:rPr>
                <w:lang w:val="en-US"/>
              </w:rPr>
              <w:t xml:space="preserve">mg/ </w:t>
            </w:r>
            <w:r>
              <w:t>ден</w:t>
            </w:r>
          </w:p>
        </w:tc>
      </w:tr>
      <w:tr w:rsidR="00DE1E81" w14:paraId="631CE300" w14:textId="77777777" w:rsidTr="00DE1E81">
        <w:tc>
          <w:tcPr>
            <w:tcW w:w="2451" w:type="dxa"/>
            <w:vMerge/>
          </w:tcPr>
          <w:p w14:paraId="50870B9A" w14:textId="77777777" w:rsidR="00DE1E81" w:rsidRDefault="00DE1E81" w:rsidP="00DE1E81">
            <w:pPr>
              <w:rPr>
                <w:rFonts w:cs="Arial"/>
              </w:rPr>
            </w:pPr>
          </w:p>
        </w:tc>
        <w:tc>
          <w:tcPr>
            <w:tcW w:w="1891" w:type="dxa"/>
          </w:tcPr>
          <w:p w14:paraId="67D4E584" w14:textId="4F836F50" w:rsidR="00DE1E81" w:rsidRDefault="00DE1E81" w:rsidP="00DE1E81">
            <w:pPr>
              <w:rPr>
                <w:rFonts w:cs="Arial"/>
              </w:rPr>
            </w:pPr>
            <w:r>
              <w:t xml:space="preserve">100 </w:t>
            </w:r>
            <w:r>
              <w:rPr>
                <w:lang w:val="en-US"/>
              </w:rPr>
              <w:t>mg/</w:t>
            </w:r>
            <w:r>
              <w:t>ден</w:t>
            </w:r>
          </w:p>
        </w:tc>
        <w:tc>
          <w:tcPr>
            <w:tcW w:w="1807" w:type="dxa"/>
          </w:tcPr>
          <w:p w14:paraId="6D75D93C" w14:textId="00523E23" w:rsidR="00DE1E81" w:rsidRDefault="00DE1E81" w:rsidP="00DE1E81">
            <w:pPr>
              <w:rPr>
                <w:rFonts w:cs="Arial"/>
              </w:rPr>
            </w:pPr>
            <w:r>
              <w:t xml:space="preserve">100 </w:t>
            </w:r>
            <w:r>
              <w:rPr>
                <w:lang w:val="en-US"/>
              </w:rPr>
              <w:t>mg/</w:t>
            </w:r>
            <w:r>
              <w:t>ден</w:t>
            </w:r>
          </w:p>
        </w:tc>
        <w:tc>
          <w:tcPr>
            <w:tcW w:w="1719" w:type="dxa"/>
          </w:tcPr>
          <w:p w14:paraId="5D1BBC4B" w14:textId="6E2671AB" w:rsidR="00DE1E81" w:rsidRDefault="00DE1E81" w:rsidP="00DE1E81">
            <w:pPr>
              <w:rPr>
                <w:rFonts w:cs="Arial"/>
              </w:rPr>
            </w:pPr>
            <w:r>
              <w:t xml:space="preserve">150 </w:t>
            </w:r>
            <w:r>
              <w:rPr>
                <w:lang w:val="en-US"/>
              </w:rPr>
              <w:t>mg/</w:t>
            </w:r>
            <w:r>
              <w:t>ден</w:t>
            </w:r>
          </w:p>
        </w:tc>
        <w:tc>
          <w:tcPr>
            <w:tcW w:w="1708" w:type="dxa"/>
          </w:tcPr>
          <w:p w14:paraId="0C137FDC" w14:textId="53E3ACB9" w:rsidR="00DE1E81" w:rsidRDefault="00DE1E81" w:rsidP="00DE1E81">
            <w:pPr>
              <w:rPr>
                <w:rFonts w:cs="Arial"/>
              </w:rPr>
            </w:pPr>
            <w:r>
              <w:t xml:space="preserve">200 </w:t>
            </w:r>
            <w:r>
              <w:rPr>
                <w:lang w:val="en-US"/>
              </w:rPr>
              <w:t>mg/</w:t>
            </w:r>
            <w:r>
              <w:t>ден</w:t>
            </w:r>
          </w:p>
        </w:tc>
      </w:tr>
      <w:tr w:rsidR="00DE1E81" w14:paraId="7B9E7AAE" w14:textId="77777777" w:rsidTr="00DE1E81">
        <w:tc>
          <w:tcPr>
            <w:tcW w:w="9576" w:type="dxa"/>
            <w:gridSpan w:val="5"/>
          </w:tcPr>
          <w:p w14:paraId="3BC7D0B5" w14:textId="1C7AFE70" w:rsidR="00DE1E81" w:rsidRDefault="00DE1E81" w:rsidP="00DE1E81">
            <w:pPr>
              <w:rPr>
                <w:rFonts w:cs="Arial"/>
              </w:rPr>
            </w:pPr>
            <w:r>
              <w:rPr>
                <w:b/>
                <w:bCs/>
              </w:rPr>
              <w:t xml:space="preserve">Добавяне на лекарствени продукти, които НЕ инхибират или НЕ индуцират значително глюкуронирането на ламотригин </w:t>
            </w:r>
            <w:r>
              <w:t>(вж. точка 4.5):</w:t>
            </w:r>
          </w:p>
        </w:tc>
      </w:tr>
      <w:tr w:rsidR="00DE1E81" w14:paraId="039170BA" w14:textId="77777777" w:rsidTr="00DE1E81">
        <w:tc>
          <w:tcPr>
            <w:tcW w:w="2451" w:type="dxa"/>
          </w:tcPr>
          <w:p w14:paraId="09D557A1" w14:textId="59DD0886" w:rsidR="00DE1E81" w:rsidRDefault="00DE1E81" w:rsidP="00DE1E81">
            <w:pPr>
              <w:rPr>
                <w:rFonts w:cs="Arial"/>
              </w:rPr>
            </w:pPr>
            <w:r>
              <w:t>Тази схема на дозиране трябва да се използва при добавяне на други лекарствени продукти, които не инхибират или не индуцират значително глюкуронирането на ламотригин</w:t>
            </w:r>
          </w:p>
        </w:tc>
        <w:tc>
          <w:tcPr>
            <w:tcW w:w="7125" w:type="dxa"/>
            <w:gridSpan w:val="4"/>
          </w:tcPr>
          <w:p w14:paraId="154B448C" w14:textId="0F9CDB2B" w:rsidR="00DE1E81" w:rsidRDefault="00DE1E81" w:rsidP="00DE1E81">
            <w:pPr>
              <w:rPr>
                <w:rFonts w:cs="Arial"/>
              </w:rPr>
            </w:pPr>
            <w:r>
              <w:t xml:space="preserve">Да се поддържа таргетната доза, достигната при повишаването на дозата (200 </w:t>
            </w:r>
            <w:r>
              <w:rPr>
                <w:lang w:val="en-US"/>
              </w:rPr>
              <w:t>mg</w:t>
            </w:r>
            <w:r>
              <w:t xml:space="preserve">/ден; дозов диапазон 100-400 </w:t>
            </w:r>
            <w:r>
              <w:rPr>
                <w:lang w:val="en-US"/>
              </w:rPr>
              <w:t>mg</w:t>
            </w:r>
            <w:r>
              <w:t>/ден)</w:t>
            </w:r>
          </w:p>
        </w:tc>
      </w:tr>
      <w:tr w:rsidR="00DE1E81" w14:paraId="1675F081" w14:textId="77777777" w:rsidTr="00DE1E81">
        <w:tc>
          <w:tcPr>
            <w:tcW w:w="9576" w:type="dxa"/>
            <w:gridSpan w:val="5"/>
          </w:tcPr>
          <w:p w14:paraId="5697BE8C" w14:textId="5C7F4617" w:rsidR="00DE1E81" w:rsidRPr="00DE1E81" w:rsidRDefault="00DE1E81" w:rsidP="00DE1E81">
            <w:pPr>
              <w:rPr>
                <w:sz w:val="24"/>
                <w:szCs w:val="24"/>
              </w:rPr>
            </w:pPr>
            <w:r w:rsidRPr="00DE1E81">
              <w:rPr>
                <w:lang w:eastAsia="bg-BG"/>
              </w:rPr>
              <w:t>При пациенти, приемащи лекарствени продукти, за които не са известни фармакокинетични взаимодействия с ламотригин (вж. точка 4.5), трябва да се използва схема на лечение като препоръчаната за ламотригин с едновременен прием на валпроат.</w:t>
            </w:r>
          </w:p>
        </w:tc>
      </w:tr>
    </w:tbl>
    <w:p w14:paraId="04754E0F" w14:textId="77777777" w:rsidR="00DE1E81" w:rsidRPr="00DE1E81" w:rsidRDefault="00DE1E81" w:rsidP="00DE1E81">
      <w:pPr>
        <w:spacing w:line="240" w:lineRule="auto"/>
        <w:rPr>
          <w:rFonts w:eastAsia="Times New Roman" w:cs="Arial"/>
          <w:sz w:val="24"/>
          <w:szCs w:val="24"/>
        </w:rPr>
      </w:pPr>
      <w:r w:rsidRPr="00DE1E81">
        <w:rPr>
          <w:rFonts w:eastAsia="Times New Roman" w:cs="Arial"/>
          <w:i/>
          <w:iCs/>
          <w:color w:val="000000"/>
          <w:u w:val="single"/>
          <w:lang w:eastAsia="bg-BG"/>
        </w:rPr>
        <w:lastRenderedPageBreak/>
        <w:t>Спиране на лечението с Ламиктал при пациенти с биполярно разстройство</w:t>
      </w:r>
    </w:p>
    <w:p w14:paraId="234038AB" w14:textId="77777777" w:rsidR="00DE1E81" w:rsidRPr="00DE1E81" w:rsidRDefault="00DE1E81" w:rsidP="00DE1E81">
      <w:pPr>
        <w:spacing w:line="240" w:lineRule="auto"/>
        <w:rPr>
          <w:rFonts w:eastAsia="Times New Roman" w:cs="Arial"/>
          <w:sz w:val="24"/>
          <w:szCs w:val="24"/>
        </w:rPr>
      </w:pPr>
      <w:r w:rsidRPr="00DE1E81">
        <w:rPr>
          <w:rFonts w:eastAsia="Times New Roman" w:cs="Arial"/>
          <w:i/>
          <w:iCs/>
          <w:color w:val="000000"/>
          <w:lang w:eastAsia="bg-BG"/>
        </w:rPr>
        <w:t>По време</w:t>
      </w:r>
      <w:r w:rsidRPr="00DE1E81">
        <w:rPr>
          <w:rFonts w:eastAsia="Times New Roman" w:cs="Arial"/>
          <w:color w:val="000000"/>
          <w:lang w:eastAsia="bg-BG"/>
        </w:rPr>
        <w:t xml:space="preserve"> на клиничните изпитвания не е наблюдавано увеличение на честотата, тежестта или вида на нежеланите реакции след внезапно спиране на ламотригин спрямо плацебо.</w:t>
      </w:r>
    </w:p>
    <w:p w14:paraId="71CAB9D5" w14:textId="77777777" w:rsidR="00DE1E81" w:rsidRPr="00DE1E81" w:rsidRDefault="00DE1E81" w:rsidP="00DE1E81">
      <w:pPr>
        <w:spacing w:line="240" w:lineRule="auto"/>
        <w:rPr>
          <w:rFonts w:eastAsia="Times New Roman" w:cs="Arial"/>
          <w:sz w:val="24"/>
          <w:szCs w:val="24"/>
        </w:rPr>
      </w:pPr>
      <w:r w:rsidRPr="00DE1E81">
        <w:rPr>
          <w:rFonts w:eastAsia="Times New Roman" w:cs="Arial"/>
          <w:color w:val="000000"/>
          <w:lang w:eastAsia="bg-BG"/>
        </w:rPr>
        <w:t>Следователно пациентите могат да прекъснат лечението с ламотригин без постепенно намаляване на дозата.</w:t>
      </w:r>
    </w:p>
    <w:p w14:paraId="14D4CDB8" w14:textId="77777777" w:rsidR="00DE1E81" w:rsidRPr="00DE1E81" w:rsidRDefault="00DE1E81" w:rsidP="00DE1E81">
      <w:pPr>
        <w:spacing w:line="240" w:lineRule="auto"/>
        <w:rPr>
          <w:rFonts w:eastAsia="Times New Roman" w:cs="Arial"/>
          <w:i/>
          <w:iCs/>
          <w:color w:val="000000"/>
          <w:lang w:eastAsia="bg-BG"/>
        </w:rPr>
      </w:pPr>
    </w:p>
    <w:p w14:paraId="094805B0" w14:textId="72F0A41C" w:rsidR="00DE1E81" w:rsidRPr="00DE1E81" w:rsidRDefault="00DE1E81" w:rsidP="00DE1E81">
      <w:pPr>
        <w:spacing w:line="240" w:lineRule="auto"/>
        <w:rPr>
          <w:rFonts w:eastAsia="Times New Roman" w:cs="Arial"/>
          <w:sz w:val="24"/>
          <w:szCs w:val="24"/>
        </w:rPr>
      </w:pPr>
      <w:r w:rsidRPr="00DE1E81">
        <w:rPr>
          <w:rFonts w:eastAsia="Times New Roman" w:cs="Arial"/>
          <w:i/>
          <w:iCs/>
          <w:color w:val="000000"/>
          <w:lang w:eastAsia="bg-BG"/>
        </w:rPr>
        <w:t>Деца и юноши под 18 години</w:t>
      </w:r>
    </w:p>
    <w:p w14:paraId="05390022" w14:textId="77777777" w:rsidR="00DE1E81" w:rsidRPr="00DE1E81" w:rsidRDefault="00DE1E81" w:rsidP="00DE1E81">
      <w:pPr>
        <w:rPr>
          <w:rFonts w:eastAsia="Times New Roman" w:cs="Arial"/>
          <w:sz w:val="24"/>
          <w:szCs w:val="24"/>
        </w:rPr>
      </w:pPr>
      <w:r w:rsidRPr="00DE1E81">
        <w:rPr>
          <w:rFonts w:eastAsia="Times New Roman" w:cs="Arial"/>
          <w:color w:val="000000"/>
          <w:lang w:eastAsia="bg-BG"/>
        </w:rPr>
        <w:t>Ламиктал не е показан за приложение при деца под 18 години, тъй като рандомизирано, с</w:t>
      </w:r>
      <w:r w:rsidRPr="00DE1E81">
        <w:rPr>
          <w:rFonts w:eastAsia="Times New Roman" w:cs="Arial"/>
          <w:i/>
          <w:iCs/>
          <w:color w:val="000000"/>
          <w:lang w:eastAsia="bg-BG"/>
        </w:rPr>
        <w:t xml:space="preserve"> </w:t>
      </w:r>
      <w:r w:rsidRPr="00DE1E81">
        <w:rPr>
          <w:rFonts w:eastAsia="Times New Roman" w:cs="Arial"/>
          <w:color w:val="000000"/>
          <w:lang w:eastAsia="bg-BG"/>
        </w:rPr>
        <w:t>преустановяване на приема проучване, не показва значима ефикасност и показва повишено съобщаване на суицидност (вж. точка 4.4 и 5.1).</w:t>
      </w:r>
    </w:p>
    <w:p w14:paraId="72EA05E8" w14:textId="77777777" w:rsidR="00DE1E81" w:rsidRPr="00DE1E81" w:rsidRDefault="00DE1E81" w:rsidP="00DE1E81">
      <w:pPr>
        <w:spacing w:line="240" w:lineRule="auto"/>
        <w:rPr>
          <w:rFonts w:eastAsia="Times New Roman" w:cs="Arial"/>
          <w:i/>
          <w:iCs/>
          <w:color w:val="000000"/>
          <w:lang w:eastAsia="bg-BG"/>
        </w:rPr>
      </w:pPr>
    </w:p>
    <w:p w14:paraId="76C6DE68" w14:textId="2CAFE4D2" w:rsidR="00DE1E81" w:rsidRPr="00DE1E81" w:rsidRDefault="00DE1E81" w:rsidP="00DE1E81">
      <w:pPr>
        <w:spacing w:line="240" w:lineRule="auto"/>
        <w:rPr>
          <w:rFonts w:eastAsia="Times New Roman" w:cs="Arial"/>
          <w:sz w:val="24"/>
          <w:szCs w:val="24"/>
        </w:rPr>
      </w:pPr>
      <w:r w:rsidRPr="00DE1E81">
        <w:rPr>
          <w:rFonts w:eastAsia="Times New Roman" w:cs="Arial"/>
          <w:i/>
          <w:iCs/>
          <w:color w:val="000000"/>
          <w:lang w:eastAsia="bg-BG"/>
        </w:rPr>
        <w:t>Общи препоръки за дозиране на Ламиктал при специални групи пациенти</w:t>
      </w:r>
    </w:p>
    <w:p w14:paraId="6E5E249F" w14:textId="77777777" w:rsidR="00DE1E81" w:rsidRPr="00DE1E81" w:rsidRDefault="00DE1E81" w:rsidP="00DE1E81">
      <w:pPr>
        <w:spacing w:line="240" w:lineRule="auto"/>
        <w:rPr>
          <w:rFonts w:eastAsia="Times New Roman" w:cs="Arial"/>
          <w:i/>
          <w:iCs/>
          <w:color w:val="000000"/>
          <w:u w:val="single"/>
          <w:lang w:eastAsia="bg-BG"/>
        </w:rPr>
      </w:pPr>
    </w:p>
    <w:p w14:paraId="464F359D" w14:textId="03FF25EA" w:rsidR="00DE1E81" w:rsidRPr="00DE1E81" w:rsidRDefault="00DE1E81" w:rsidP="00DE1E81">
      <w:pPr>
        <w:spacing w:line="240" w:lineRule="auto"/>
        <w:rPr>
          <w:rFonts w:eastAsia="Times New Roman" w:cs="Arial"/>
          <w:sz w:val="24"/>
          <w:szCs w:val="24"/>
        </w:rPr>
      </w:pPr>
      <w:r w:rsidRPr="00DE1E81">
        <w:rPr>
          <w:rFonts w:eastAsia="Times New Roman" w:cs="Arial"/>
          <w:i/>
          <w:iCs/>
          <w:color w:val="000000"/>
          <w:u w:val="single"/>
          <w:lang w:eastAsia="bg-BG"/>
        </w:rPr>
        <w:t>Жени, приемащи хормонални контраиептиви</w:t>
      </w:r>
    </w:p>
    <w:p w14:paraId="67C8AF5C" w14:textId="77777777" w:rsidR="00DE1E81" w:rsidRPr="00DE1E81" w:rsidRDefault="00DE1E81" w:rsidP="00DE1E81">
      <w:pPr>
        <w:spacing w:line="240" w:lineRule="auto"/>
        <w:rPr>
          <w:rFonts w:eastAsia="Times New Roman" w:cs="Arial"/>
          <w:sz w:val="24"/>
          <w:szCs w:val="24"/>
        </w:rPr>
      </w:pPr>
      <w:r w:rsidRPr="00DE1E81">
        <w:rPr>
          <w:rFonts w:eastAsia="Times New Roman" w:cs="Arial"/>
          <w:color w:val="000000"/>
          <w:lang w:eastAsia="bg-BG"/>
        </w:rPr>
        <w:t>Приемът на комбинацията етинилестрадиол/левоноргестрел (30 μ</w:t>
      </w:r>
      <w:r w:rsidRPr="00DE1E81">
        <w:rPr>
          <w:rFonts w:eastAsia="Times New Roman" w:cs="Arial"/>
          <w:color w:val="000000"/>
          <w:lang w:val="en-US"/>
        </w:rPr>
        <w:t>g</w:t>
      </w:r>
      <w:r w:rsidRPr="00DE1E81">
        <w:rPr>
          <w:rFonts w:eastAsia="Times New Roman" w:cs="Arial"/>
          <w:color w:val="000000"/>
          <w:lang w:val="ru-RU"/>
        </w:rPr>
        <w:t>/</w:t>
      </w:r>
      <w:r w:rsidRPr="00DE1E81">
        <w:rPr>
          <w:rFonts w:eastAsia="Times New Roman" w:cs="Arial"/>
          <w:color w:val="000000"/>
          <w:lang w:eastAsia="bg-BG"/>
        </w:rPr>
        <w:t>150 μ</w:t>
      </w:r>
      <w:r w:rsidRPr="00DE1E81">
        <w:rPr>
          <w:rFonts w:eastAsia="Times New Roman" w:cs="Arial"/>
          <w:color w:val="000000"/>
          <w:lang w:val="en-US"/>
        </w:rPr>
        <w:t>g</w:t>
      </w:r>
      <w:r w:rsidRPr="00DE1E81">
        <w:rPr>
          <w:rFonts w:eastAsia="Times New Roman" w:cs="Arial"/>
          <w:color w:val="000000"/>
          <w:lang w:val="ru-RU"/>
        </w:rPr>
        <w:t xml:space="preserve">) </w:t>
      </w:r>
      <w:r w:rsidRPr="00DE1E81">
        <w:rPr>
          <w:rFonts w:eastAsia="Times New Roman" w:cs="Arial"/>
          <w:color w:val="000000"/>
          <w:lang w:eastAsia="bg-BG"/>
        </w:rPr>
        <w:t>повишава клирънса на ламотригин приблизително два пъти, което предизвиква понижение на нивата на ламотригин. След титриране могат да са необходими по-високи поддържащи дози на ламотригин (до двукратно по-високи) за постигане на максимален терапевтичен отговор. През седмицата без прием на контрацептив е наблюдавано двукратно повишаване на нивата на ламотригин. Не могат да бъдат изключени дозозависими нежелани реакции. Ето защо трябва да се предпочита приложението на контрацептиви без „седмица без хапче” като лечение от първа линия (например продължителни хормонални контрацептиви или нехормонални методи; вж. точки 4.4 и 4.5).</w:t>
      </w:r>
    </w:p>
    <w:p w14:paraId="4B2BFCCC" w14:textId="77777777" w:rsidR="00DE1E81" w:rsidRPr="00DE1E81" w:rsidRDefault="00DE1E81" w:rsidP="00DE1E81">
      <w:pPr>
        <w:spacing w:line="240" w:lineRule="auto"/>
        <w:rPr>
          <w:rFonts w:eastAsia="Times New Roman" w:cs="Arial"/>
          <w:i/>
          <w:iCs/>
          <w:color w:val="000000"/>
          <w:u w:val="single"/>
          <w:lang w:eastAsia="bg-BG"/>
        </w:rPr>
      </w:pPr>
    </w:p>
    <w:p w14:paraId="18FC48C5" w14:textId="16F18946" w:rsidR="00DE1E81" w:rsidRPr="00DE1E81" w:rsidRDefault="00DE1E81" w:rsidP="00DE1E81">
      <w:pPr>
        <w:spacing w:line="240" w:lineRule="auto"/>
        <w:rPr>
          <w:rFonts w:eastAsia="Times New Roman" w:cs="Arial"/>
          <w:sz w:val="24"/>
          <w:szCs w:val="24"/>
        </w:rPr>
      </w:pPr>
      <w:r w:rsidRPr="00DE1E81">
        <w:rPr>
          <w:rFonts w:eastAsia="Times New Roman" w:cs="Arial"/>
          <w:i/>
          <w:iCs/>
          <w:color w:val="000000"/>
          <w:u w:val="single"/>
          <w:lang w:eastAsia="bg-BG"/>
        </w:rPr>
        <w:t xml:space="preserve">Започване на прием на хормонални контраиептиви при паииенти, които вече приемат поддържащи дози ламотригин и НЕ приемат индуктори на глюкуронирането на ламотригин </w:t>
      </w:r>
      <w:r w:rsidRPr="00DE1E81">
        <w:rPr>
          <w:rFonts w:eastAsia="Times New Roman" w:cs="Arial"/>
          <w:color w:val="000000"/>
          <w:lang w:eastAsia="bg-BG"/>
        </w:rPr>
        <w:t xml:space="preserve">Поддържащата доза на ламотригин в повечето случаи трябва да бъде увеличена до два пъти (вж. точки 4.4 и 4.5). Препоръчително е от началото на хормоналната терапия дозата на ламотригин да бъде повишавана с 50 до 100 </w:t>
      </w:r>
      <w:r w:rsidRPr="00DE1E81">
        <w:rPr>
          <w:rFonts w:eastAsia="Times New Roman" w:cs="Arial"/>
          <w:color w:val="000000"/>
          <w:lang w:val="en-US"/>
        </w:rPr>
        <w:t>mg</w:t>
      </w:r>
      <w:r w:rsidRPr="00DE1E81">
        <w:rPr>
          <w:rFonts w:eastAsia="Times New Roman" w:cs="Arial"/>
          <w:color w:val="000000"/>
          <w:lang w:eastAsia="bg-BG"/>
        </w:rPr>
        <w:t>/ден всяка седмица, съобразно индивидуалния клиничен отговор. Повишаванията на дозата не трябва да надвишават тази степен, освен ако клиничният отговор не подкрепя по-големи повишавания.</w:t>
      </w:r>
    </w:p>
    <w:p w14:paraId="21807A12" w14:textId="77777777" w:rsidR="00DE1E81" w:rsidRPr="00DE1E81" w:rsidRDefault="00DE1E81" w:rsidP="00DE1E81">
      <w:pPr>
        <w:spacing w:line="240" w:lineRule="auto"/>
        <w:rPr>
          <w:rFonts w:eastAsia="Times New Roman" w:cs="Arial"/>
          <w:sz w:val="24"/>
          <w:szCs w:val="24"/>
        </w:rPr>
      </w:pPr>
      <w:r w:rsidRPr="00DE1E81">
        <w:rPr>
          <w:rFonts w:eastAsia="Times New Roman" w:cs="Arial"/>
          <w:color w:val="000000"/>
          <w:lang w:eastAsia="bg-BG"/>
        </w:rPr>
        <w:t>Може да се обсъди измерване на серумните концентрации на ламотригин преди и след началото на приема на хормоналните контрацептиви за потвърждаване, че се поддържа изходната концентрация на ламотригин. При необходимост дозата може да бъде адаптирана. При жени, приемащи хормонални контрациптиви, които включват една седмица неактивно лечение ("седмица без хапче”), трябва да бъде проследявано серумното ниво на ламотригин през седмица 3 на активното лечение, т.е. в дните от 15 до 21 от цикъла на приемане на таблетките. Затова внимателно трябва да се обмисли употребата на контрацепция без седмица без хапче като лечение от първа линия (например продължителна хормонална контрацепция или нехормонални методи; вж. точки 4.4 и 4.5).</w:t>
      </w:r>
    </w:p>
    <w:p w14:paraId="01F8AF00" w14:textId="77777777" w:rsidR="00DE1E81" w:rsidRPr="00DE1E81" w:rsidRDefault="00DE1E81" w:rsidP="00DE1E81">
      <w:pPr>
        <w:spacing w:line="240" w:lineRule="auto"/>
        <w:rPr>
          <w:rFonts w:eastAsia="Times New Roman" w:cs="Arial"/>
          <w:i/>
          <w:iCs/>
          <w:color w:val="000000"/>
          <w:u w:val="single"/>
          <w:lang w:eastAsia="bg-BG"/>
        </w:rPr>
      </w:pPr>
    </w:p>
    <w:p w14:paraId="58D7C979" w14:textId="63CB1BDC" w:rsidR="00DE1E81" w:rsidRPr="00DE1E81" w:rsidRDefault="00DE1E81" w:rsidP="00DE1E81">
      <w:pPr>
        <w:spacing w:line="240" w:lineRule="auto"/>
        <w:rPr>
          <w:rFonts w:eastAsia="Times New Roman" w:cs="Arial"/>
          <w:sz w:val="24"/>
          <w:szCs w:val="24"/>
        </w:rPr>
      </w:pPr>
      <w:r w:rsidRPr="00DE1E81">
        <w:rPr>
          <w:rFonts w:eastAsia="Times New Roman" w:cs="Arial"/>
          <w:i/>
          <w:iCs/>
          <w:color w:val="000000"/>
          <w:u w:val="single"/>
          <w:lang w:eastAsia="bg-BG"/>
        </w:rPr>
        <w:t xml:space="preserve">Спиране на приема на хормонални контраиептиви при паииенти, които вече приемат поддържащи дози ламотригин и НЕ приемат индуктори на глюкуронирането на ламотригин </w:t>
      </w:r>
      <w:r w:rsidRPr="00DE1E81">
        <w:rPr>
          <w:rFonts w:eastAsia="Times New Roman" w:cs="Arial"/>
          <w:color w:val="000000"/>
          <w:lang w:eastAsia="bg-BG"/>
        </w:rPr>
        <w:t xml:space="preserve">В повечето случаи е необходимо поддържащата доза на ламотригин да бъде намалена с до 50% (вж. точки 4.4 и 4.5). Препоръчва се постепенно намаляване на дневната доза на ламотригин с 50-100 </w:t>
      </w:r>
      <w:r w:rsidRPr="00DE1E81">
        <w:rPr>
          <w:rFonts w:eastAsia="Times New Roman" w:cs="Arial"/>
          <w:color w:val="000000"/>
          <w:lang w:val="en-US"/>
        </w:rPr>
        <w:t>mg</w:t>
      </w:r>
      <w:r w:rsidRPr="00DE1E81">
        <w:rPr>
          <w:rFonts w:eastAsia="Times New Roman" w:cs="Arial"/>
          <w:color w:val="000000"/>
          <w:lang w:val="ru-RU"/>
        </w:rPr>
        <w:t xml:space="preserve"> </w:t>
      </w:r>
      <w:r w:rsidRPr="00DE1E81">
        <w:rPr>
          <w:rFonts w:eastAsia="Times New Roman" w:cs="Arial"/>
          <w:color w:val="000000"/>
          <w:lang w:eastAsia="bg-BG"/>
        </w:rPr>
        <w:t xml:space="preserve">всяка седмица (в степен, ненадхвърляща 25% от общата дневна доза за седмица) за период от 3 седмици, освен ако клиничният отговор не налага различно поведение. Може да се обсъди измерване на серумните </w:t>
      </w:r>
      <w:r w:rsidRPr="00DE1E81">
        <w:rPr>
          <w:rFonts w:eastAsia="Times New Roman" w:cs="Arial"/>
          <w:color w:val="000000"/>
          <w:lang w:eastAsia="bg-BG"/>
        </w:rPr>
        <w:lastRenderedPageBreak/>
        <w:t>концентрации на ламотригин преди и след спиране на хормоналните контрацептиви за потвърждаване, че се поддържа изходната концентрация на ламотригин. При жени, които желаят да спрат приема на хормонален контрацептив, което включва една седмица на неактивно лечение ("седмица без хапче"), проследяването на серумното ниво на ламотригин трябва да се провежда през седмица 3 от активното лечение, т.е. от ден 15 до ден 21 от цикъла на приемане на таблетките. През първата седмица след трайното спиране на приема на контрацептива не трябва да бъдат вземани проби за оценка на нивата на ламотригин.</w:t>
      </w:r>
    </w:p>
    <w:p w14:paraId="714AF5F8" w14:textId="77777777" w:rsidR="00DE1E81" w:rsidRPr="00DE1E81" w:rsidRDefault="00DE1E81" w:rsidP="00DE1E81">
      <w:pPr>
        <w:spacing w:line="240" w:lineRule="auto"/>
        <w:rPr>
          <w:rFonts w:eastAsia="Times New Roman" w:cs="Arial"/>
          <w:i/>
          <w:iCs/>
          <w:color w:val="000000"/>
          <w:u w:val="single"/>
          <w:lang w:eastAsia="bg-BG"/>
        </w:rPr>
      </w:pPr>
    </w:p>
    <w:p w14:paraId="695904FD" w14:textId="718E0B0D" w:rsidR="00DE1E81" w:rsidRPr="00DE1E81" w:rsidRDefault="00DE1E81" w:rsidP="00DE1E81">
      <w:pPr>
        <w:spacing w:line="240" w:lineRule="auto"/>
        <w:rPr>
          <w:rFonts w:eastAsia="Times New Roman" w:cs="Arial"/>
          <w:sz w:val="24"/>
          <w:szCs w:val="24"/>
        </w:rPr>
      </w:pPr>
      <w:r w:rsidRPr="00DE1E81">
        <w:rPr>
          <w:rFonts w:eastAsia="Times New Roman" w:cs="Arial"/>
          <w:i/>
          <w:iCs/>
          <w:color w:val="000000"/>
          <w:u w:val="single"/>
          <w:lang w:eastAsia="bg-BG"/>
        </w:rPr>
        <w:t>Започване на терапия с ламотригин при пациентки, които вече приемат хормонални контраиептиви</w:t>
      </w:r>
    </w:p>
    <w:p w14:paraId="17215C8B" w14:textId="77777777" w:rsidR="00DE1E81" w:rsidRPr="00DE1E81" w:rsidRDefault="00DE1E81" w:rsidP="00DE1E81">
      <w:pPr>
        <w:spacing w:line="240" w:lineRule="auto"/>
        <w:rPr>
          <w:rFonts w:eastAsia="Times New Roman" w:cs="Arial"/>
          <w:sz w:val="24"/>
          <w:szCs w:val="24"/>
        </w:rPr>
      </w:pPr>
      <w:r w:rsidRPr="00DE1E81">
        <w:rPr>
          <w:rFonts w:eastAsia="Times New Roman" w:cs="Arial"/>
          <w:color w:val="000000"/>
          <w:lang w:eastAsia="bg-BG"/>
        </w:rPr>
        <w:t>Повишаването на дозата трябва да следва нормалните препоръчани дози, описани в таблиците.</w:t>
      </w:r>
    </w:p>
    <w:p w14:paraId="097A5436" w14:textId="77777777" w:rsidR="00DE1E81" w:rsidRPr="00DE1E81" w:rsidRDefault="00DE1E81" w:rsidP="00DE1E81">
      <w:pPr>
        <w:spacing w:line="240" w:lineRule="auto"/>
        <w:rPr>
          <w:rFonts w:eastAsia="Times New Roman" w:cs="Arial"/>
          <w:i/>
          <w:iCs/>
          <w:color w:val="000000"/>
          <w:u w:val="single"/>
          <w:lang w:eastAsia="bg-BG"/>
        </w:rPr>
      </w:pPr>
    </w:p>
    <w:p w14:paraId="75E7F2EB" w14:textId="3C5E51F1" w:rsidR="00DE1E81" w:rsidRPr="00DE1E81" w:rsidRDefault="00DE1E81" w:rsidP="00DE1E81">
      <w:pPr>
        <w:spacing w:line="240" w:lineRule="auto"/>
        <w:rPr>
          <w:rFonts w:eastAsia="Times New Roman" w:cs="Arial"/>
          <w:sz w:val="24"/>
          <w:szCs w:val="24"/>
        </w:rPr>
      </w:pPr>
      <w:r w:rsidRPr="00DE1E81">
        <w:rPr>
          <w:rFonts w:eastAsia="Times New Roman" w:cs="Arial"/>
          <w:i/>
          <w:iCs/>
          <w:color w:val="000000"/>
          <w:u w:val="single"/>
          <w:lang w:eastAsia="bg-BG"/>
        </w:rPr>
        <w:t>Започване и спиране на приема на хормонални контраиептиви при паииенттки, които вече</w:t>
      </w:r>
      <w:r w:rsidRPr="00DE1E81">
        <w:rPr>
          <w:rFonts w:eastAsia="Times New Roman" w:cs="Arial"/>
          <w:color w:val="000000"/>
          <w:sz w:val="26"/>
          <w:szCs w:val="26"/>
          <w:lang w:eastAsia="bg-BG"/>
        </w:rPr>
        <w:t xml:space="preserve"> </w:t>
      </w:r>
      <w:r w:rsidRPr="00DE1E81">
        <w:rPr>
          <w:rFonts w:eastAsia="Times New Roman" w:cs="Arial"/>
          <w:i/>
          <w:iCs/>
          <w:color w:val="000000"/>
          <w:u w:val="single"/>
          <w:lang w:eastAsia="bg-BG"/>
        </w:rPr>
        <w:t>приемат поддържащи дози ламотригин и ПРИЕМАТ индуктори на глюкуронираните на</w:t>
      </w:r>
      <w:r w:rsidRPr="00DE1E81">
        <w:rPr>
          <w:rFonts w:eastAsia="Times New Roman" w:cs="Arial"/>
          <w:color w:val="000000"/>
          <w:sz w:val="26"/>
          <w:szCs w:val="26"/>
          <w:lang w:eastAsia="bg-BG"/>
        </w:rPr>
        <w:t xml:space="preserve"> </w:t>
      </w:r>
      <w:r w:rsidRPr="00DE1E81">
        <w:rPr>
          <w:rFonts w:eastAsia="Times New Roman" w:cs="Arial"/>
          <w:i/>
          <w:iCs/>
          <w:color w:val="000000"/>
          <w:u w:val="single"/>
          <w:lang w:eastAsia="bg-BG"/>
        </w:rPr>
        <w:t>ламотригин</w:t>
      </w:r>
    </w:p>
    <w:p w14:paraId="5E5F2AF0" w14:textId="77777777" w:rsidR="00DE1E81" w:rsidRPr="00DE1E81" w:rsidRDefault="00DE1E81" w:rsidP="00DE1E81">
      <w:pPr>
        <w:spacing w:line="240" w:lineRule="auto"/>
        <w:rPr>
          <w:rFonts w:eastAsia="Times New Roman" w:cs="Arial"/>
          <w:sz w:val="24"/>
          <w:szCs w:val="24"/>
        </w:rPr>
      </w:pPr>
      <w:r w:rsidRPr="00DE1E81">
        <w:rPr>
          <w:rFonts w:eastAsia="Times New Roman" w:cs="Arial"/>
          <w:color w:val="000000"/>
          <w:lang w:eastAsia="bg-BG"/>
        </w:rPr>
        <w:t>Може да не се наложат корекции на препоръчваната поддържаща доза ламотритин.</w:t>
      </w:r>
    </w:p>
    <w:p w14:paraId="2B0ED43B" w14:textId="42E4D5F3" w:rsidR="00DE1E81" w:rsidRPr="00DE1E81" w:rsidRDefault="00DE1E81" w:rsidP="00DE1E81">
      <w:pPr>
        <w:spacing w:line="240" w:lineRule="auto"/>
        <w:rPr>
          <w:rFonts w:eastAsia="Times New Roman" w:cs="Arial"/>
          <w:sz w:val="24"/>
          <w:szCs w:val="24"/>
        </w:rPr>
      </w:pPr>
    </w:p>
    <w:p w14:paraId="325D4DF1" w14:textId="77777777" w:rsidR="00DE1E81" w:rsidRPr="00DE1E81" w:rsidRDefault="00DE1E81" w:rsidP="00DE1E81">
      <w:pPr>
        <w:spacing w:line="240" w:lineRule="auto"/>
        <w:rPr>
          <w:rFonts w:eastAsia="Times New Roman" w:cs="Arial"/>
          <w:sz w:val="24"/>
          <w:szCs w:val="24"/>
        </w:rPr>
      </w:pPr>
      <w:r w:rsidRPr="00DE1E81">
        <w:rPr>
          <w:rFonts w:eastAsia="Times New Roman" w:cs="Arial"/>
          <w:i/>
          <w:iCs/>
          <w:color w:val="000000"/>
          <w:u w:val="single"/>
          <w:lang w:eastAsia="bg-BG"/>
        </w:rPr>
        <w:t>Употреба с атазанавир/ритонавир</w:t>
      </w:r>
    </w:p>
    <w:p w14:paraId="4083E6F3" w14:textId="77777777" w:rsidR="00DE1E81" w:rsidRPr="00DE1E81" w:rsidRDefault="00DE1E81" w:rsidP="00DE1E81">
      <w:pPr>
        <w:spacing w:line="240" w:lineRule="auto"/>
        <w:rPr>
          <w:rFonts w:eastAsia="Times New Roman" w:cs="Arial"/>
          <w:sz w:val="24"/>
          <w:szCs w:val="24"/>
        </w:rPr>
      </w:pPr>
      <w:r w:rsidRPr="00DE1E81">
        <w:rPr>
          <w:rFonts w:eastAsia="Times New Roman" w:cs="Arial"/>
          <w:color w:val="000000"/>
          <w:lang w:eastAsia="bg-BG"/>
        </w:rPr>
        <w:t>Не би трябвало да са необходими корекции в препоръчваното повишаване на дозата на ламотригин, когато ламотригин се добавя към съществуваща терапия от атазанавир/ритонавир. При пациентите, които вече приемат поддържащи дози ламотригин и не приемат индуктори на глюкуронирането на ламотригин, може да се наложи покачване на дозата на ламотригин, ако се добавят атазанавир/ритонавир или дозата на ламотригин да се понижи, ако приемът на атазанавир/ритонавир се преустановявана. Проследяване на плазмения ламотригин трябва да се провежда преди и в продължение на 2 седмици след започването или спирането на атазанавир/ритонавир, за да се установи дали се налага корекция на дозата на ламотригин (вж. точка 4.5).</w:t>
      </w:r>
    </w:p>
    <w:p w14:paraId="77D79C80" w14:textId="77777777" w:rsidR="00DE1E81" w:rsidRPr="00DE1E81" w:rsidRDefault="00DE1E81" w:rsidP="00DE1E81">
      <w:pPr>
        <w:spacing w:line="240" w:lineRule="auto"/>
        <w:rPr>
          <w:rFonts w:eastAsia="Times New Roman" w:cs="Arial"/>
          <w:i/>
          <w:iCs/>
          <w:color w:val="000000"/>
          <w:u w:val="single"/>
          <w:lang w:eastAsia="bg-BG"/>
        </w:rPr>
      </w:pPr>
    </w:p>
    <w:p w14:paraId="1F3FCE4C" w14:textId="1619D39B" w:rsidR="00DE1E81" w:rsidRPr="00DE1E81" w:rsidRDefault="00DE1E81" w:rsidP="00DE1E81">
      <w:pPr>
        <w:spacing w:line="240" w:lineRule="auto"/>
        <w:rPr>
          <w:rFonts w:eastAsia="Times New Roman" w:cs="Arial"/>
          <w:sz w:val="24"/>
          <w:szCs w:val="24"/>
        </w:rPr>
      </w:pPr>
      <w:r w:rsidRPr="00DE1E81">
        <w:rPr>
          <w:rFonts w:eastAsia="Times New Roman" w:cs="Arial"/>
          <w:i/>
          <w:iCs/>
          <w:color w:val="000000"/>
          <w:u w:val="single"/>
          <w:lang w:eastAsia="bg-BG"/>
        </w:rPr>
        <w:t>Употреба с лопинавир/ритонавир</w:t>
      </w:r>
    </w:p>
    <w:p w14:paraId="6DDA012A" w14:textId="77777777" w:rsidR="00DE1E81" w:rsidRPr="00DE1E81" w:rsidRDefault="00DE1E81" w:rsidP="00DE1E81">
      <w:pPr>
        <w:spacing w:line="240" w:lineRule="auto"/>
        <w:rPr>
          <w:rFonts w:eastAsia="Times New Roman" w:cs="Arial"/>
          <w:sz w:val="24"/>
          <w:szCs w:val="24"/>
        </w:rPr>
      </w:pPr>
      <w:r w:rsidRPr="00DE1E81">
        <w:rPr>
          <w:rFonts w:eastAsia="Times New Roman" w:cs="Arial"/>
          <w:color w:val="000000"/>
          <w:lang w:eastAsia="bg-BG"/>
        </w:rPr>
        <w:t>Не би трябвало да са необходими корекции в препоръчваното повишаване на дозата на ламотригин, когато ламотригин се добавя към съществуваща терапия от лопинавир/ритонавир. При пациентите, които вече приемат поддържащи дози ламотригин и не приемат индуктори иа глюкуронирането на ламотригин, може да се наложи покачване на дозата на ламотригин, ако се добавят лопинавир/ритонавир или дозата на ламотригин да се понижи, ако приемът на лопинавир/ритонавир се преустановявава. Проследяване на плазмения ламотригин трябва да се провежда преди и в продължение на 2 седмици след започването или спирането на лопинавир/ритонавир, за да се установи дали се налага корекция на дозата на ламотригин (вж. точка 4.5).</w:t>
      </w:r>
    </w:p>
    <w:p w14:paraId="5326E486" w14:textId="77777777" w:rsidR="00DE1E81" w:rsidRPr="00DE1E81" w:rsidRDefault="00DE1E81" w:rsidP="00DE1E81">
      <w:pPr>
        <w:spacing w:line="240" w:lineRule="auto"/>
        <w:rPr>
          <w:rFonts w:eastAsia="Times New Roman" w:cs="Arial"/>
          <w:i/>
          <w:iCs/>
          <w:color w:val="000000"/>
          <w:u w:val="single"/>
          <w:lang w:eastAsia="bg-BG"/>
        </w:rPr>
      </w:pPr>
    </w:p>
    <w:p w14:paraId="5F6B9401" w14:textId="172A7713" w:rsidR="00DE1E81" w:rsidRPr="00DE1E81" w:rsidRDefault="00DE1E81" w:rsidP="00DE1E81">
      <w:pPr>
        <w:spacing w:line="240" w:lineRule="auto"/>
        <w:rPr>
          <w:rFonts w:eastAsia="Times New Roman" w:cs="Arial"/>
          <w:sz w:val="24"/>
          <w:szCs w:val="24"/>
        </w:rPr>
      </w:pPr>
      <w:r w:rsidRPr="00DE1E81">
        <w:rPr>
          <w:rFonts w:eastAsia="Times New Roman" w:cs="Arial"/>
          <w:i/>
          <w:iCs/>
          <w:color w:val="000000"/>
          <w:u w:val="single"/>
          <w:lang w:eastAsia="bg-BG"/>
        </w:rPr>
        <w:t>Пациенти</w:t>
      </w:r>
      <w:r w:rsidRPr="00DE1E81">
        <w:rPr>
          <w:rFonts w:eastAsia="Times New Roman" w:cs="Arial"/>
          <w:color w:val="000000"/>
          <w:u w:val="single"/>
          <w:lang w:eastAsia="bg-BG"/>
        </w:rPr>
        <w:t xml:space="preserve"> е </w:t>
      </w:r>
      <w:r w:rsidRPr="00DE1E81">
        <w:rPr>
          <w:rFonts w:eastAsia="Times New Roman" w:cs="Arial"/>
          <w:i/>
          <w:iCs/>
          <w:color w:val="000000"/>
          <w:u w:val="single"/>
          <w:lang w:eastAsia="bg-BG"/>
        </w:rPr>
        <w:t>напреднала възраст (пад 65 години)</w:t>
      </w:r>
    </w:p>
    <w:p w14:paraId="3D19CBFF" w14:textId="77777777" w:rsidR="00DE1E81" w:rsidRPr="00DE1E81" w:rsidRDefault="00DE1E81" w:rsidP="00DE1E81">
      <w:pPr>
        <w:spacing w:line="240" w:lineRule="auto"/>
        <w:rPr>
          <w:rFonts w:eastAsia="Times New Roman" w:cs="Arial"/>
          <w:sz w:val="24"/>
          <w:szCs w:val="24"/>
        </w:rPr>
      </w:pPr>
      <w:r w:rsidRPr="00DE1E81">
        <w:rPr>
          <w:rFonts w:eastAsia="Times New Roman" w:cs="Arial"/>
          <w:color w:val="000000"/>
          <w:lang w:eastAsia="bg-BG"/>
        </w:rPr>
        <w:t>Не са необходими корекции в препоръчваните схеми на лечение. Фармакокинетиката на ламотригин при тази възрастова група не се различава значително от тази при пациентите в по-млада възраст (вж. точка 5.2).</w:t>
      </w:r>
    </w:p>
    <w:p w14:paraId="1285195B" w14:textId="77777777" w:rsidR="00DE1E81" w:rsidRPr="00DE1E81" w:rsidRDefault="00DE1E81" w:rsidP="00DE1E81">
      <w:pPr>
        <w:spacing w:line="240" w:lineRule="auto"/>
        <w:rPr>
          <w:rFonts w:eastAsia="Times New Roman" w:cs="Arial"/>
          <w:i/>
          <w:iCs/>
          <w:color w:val="000000"/>
          <w:u w:val="single"/>
          <w:lang w:eastAsia="bg-BG"/>
        </w:rPr>
      </w:pPr>
    </w:p>
    <w:p w14:paraId="21B3C31D" w14:textId="6CF873F3" w:rsidR="00DE1E81" w:rsidRPr="00DE1E81" w:rsidRDefault="00DE1E81" w:rsidP="00DE1E81">
      <w:pPr>
        <w:spacing w:line="240" w:lineRule="auto"/>
        <w:rPr>
          <w:rFonts w:eastAsia="Times New Roman" w:cs="Arial"/>
          <w:sz w:val="24"/>
          <w:szCs w:val="24"/>
        </w:rPr>
      </w:pPr>
      <w:r w:rsidRPr="00DE1E81">
        <w:rPr>
          <w:rFonts w:eastAsia="Times New Roman" w:cs="Arial"/>
          <w:i/>
          <w:iCs/>
          <w:color w:val="000000"/>
          <w:u w:val="single"/>
          <w:lang w:eastAsia="bg-BG"/>
        </w:rPr>
        <w:t>Бъбречно увреждане</w:t>
      </w:r>
    </w:p>
    <w:p w14:paraId="08510256" w14:textId="77777777" w:rsidR="00DE1E81" w:rsidRPr="00DE1E81" w:rsidRDefault="00DE1E81" w:rsidP="00DE1E81">
      <w:pPr>
        <w:spacing w:line="240" w:lineRule="auto"/>
        <w:rPr>
          <w:rFonts w:eastAsia="Times New Roman" w:cs="Arial"/>
          <w:sz w:val="24"/>
          <w:szCs w:val="24"/>
        </w:rPr>
      </w:pPr>
      <w:r w:rsidRPr="00DE1E81">
        <w:rPr>
          <w:rFonts w:eastAsia="Times New Roman" w:cs="Arial"/>
          <w:color w:val="000000"/>
          <w:lang w:eastAsia="bg-BG"/>
        </w:rPr>
        <w:t xml:space="preserve">Ламиктал трябва да се прилага внимателно при пациенти с бъбречна недостатъчност. При пациенти в краен стадий на бъбречна недостатъчност началните дози ламотригин трябва да са според съпътстващия прием на лекарствени продукти от пациента. При </w:t>
      </w:r>
      <w:r w:rsidRPr="00DE1E81">
        <w:rPr>
          <w:rFonts w:eastAsia="Times New Roman" w:cs="Arial"/>
          <w:color w:val="000000"/>
          <w:lang w:eastAsia="bg-BG"/>
        </w:rPr>
        <w:lastRenderedPageBreak/>
        <w:t>пациентите със значително бъбречно увреждане може да са ефикасни намалени поддържащи дози (вж. точки 4.4 и 5.2).</w:t>
      </w:r>
    </w:p>
    <w:p w14:paraId="631D0FEA" w14:textId="77777777" w:rsidR="00DE1E81" w:rsidRPr="00DE1E81" w:rsidRDefault="00DE1E81" w:rsidP="00DE1E81">
      <w:pPr>
        <w:spacing w:line="240" w:lineRule="auto"/>
        <w:rPr>
          <w:rFonts w:eastAsia="Times New Roman" w:cs="Arial"/>
          <w:i/>
          <w:iCs/>
          <w:color w:val="000000"/>
          <w:u w:val="single"/>
          <w:lang w:eastAsia="bg-BG"/>
        </w:rPr>
      </w:pPr>
    </w:p>
    <w:p w14:paraId="26D345B5" w14:textId="24156053" w:rsidR="00DE1E81" w:rsidRPr="00DE1E81" w:rsidRDefault="00DE1E81" w:rsidP="00DE1E81">
      <w:pPr>
        <w:spacing w:line="240" w:lineRule="auto"/>
        <w:rPr>
          <w:rFonts w:eastAsia="Times New Roman" w:cs="Arial"/>
          <w:sz w:val="24"/>
          <w:szCs w:val="24"/>
        </w:rPr>
      </w:pPr>
      <w:r w:rsidRPr="00DE1E81">
        <w:rPr>
          <w:rFonts w:eastAsia="Times New Roman" w:cs="Arial"/>
          <w:i/>
          <w:iCs/>
          <w:color w:val="000000"/>
          <w:u w:val="single"/>
          <w:lang w:eastAsia="bg-BG"/>
        </w:rPr>
        <w:t>Чернодробно увреждане</w:t>
      </w:r>
    </w:p>
    <w:p w14:paraId="1225E788" w14:textId="70EBE0A0" w:rsidR="00DE1E81" w:rsidRPr="00DE1E81" w:rsidRDefault="00DE1E81" w:rsidP="00DE1E81">
      <w:pPr>
        <w:spacing w:line="240" w:lineRule="auto"/>
        <w:rPr>
          <w:rFonts w:eastAsia="Times New Roman" w:cs="Arial"/>
          <w:sz w:val="24"/>
          <w:szCs w:val="24"/>
        </w:rPr>
      </w:pPr>
      <w:r w:rsidRPr="00DE1E81">
        <w:rPr>
          <w:rFonts w:eastAsia="Times New Roman" w:cs="Arial"/>
          <w:color w:val="000000"/>
          <w:lang w:eastAsia="bg-BG"/>
        </w:rPr>
        <w:t xml:space="preserve">Началната, поддържащата и дозата при повишаване трябва да се редуцират приблизително с 50% при пациенти със среднотежко </w:t>
      </w:r>
      <w:r w:rsidRPr="00DE1E81">
        <w:rPr>
          <w:rFonts w:eastAsia="Times New Roman" w:cs="Arial"/>
          <w:color w:val="000000"/>
          <w:lang w:val="ru-RU"/>
        </w:rPr>
        <w:t>(</w:t>
      </w:r>
      <w:r w:rsidRPr="00DE1E81">
        <w:rPr>
          <w:rFonts w:eastAsia="Times New Roman" w:cs="Arial"/>
          <w:color w:val="000000"/>
          <w:lang w:val="en-US"/>
        </w:rPr>
        <w:t>Child</w:t>
      </w:r>
      <w:r w:rsidRPr="00DE1E81">
        <w:rPr>
          <w:rFonts w:eastAsia="Times New Roman" w:cs="Arial"/>
          <w:color w:val="000000"/>
          <w:lang w:val="ru-RU"/>
        </w:rPr>
        <w:t>-</w:t>
      </w:r>
      <w:r w:rsidRPr="00DE1E81">
        <w:rPr>
          <w:rFonts w:eastAsia="Times New Roman" w:cs="Arial"/>
          <w:color w:val="000000"/>
          <w:lang w:val="en-US"/>
        </w:rPr>
        <w:t>Pugh</w:t>
      </w:r>
      <w:r w:rsidRPr="00DE1E81">
        <w:rPr>
          <w:rFonts w:eastAsia="Times New Roman" w:cs="Arial"/>
          <w:color w:val="000000"/>
          <w:lang w:val="ru-RU"/>
        </w:rPr>
        <w:t xml:space="preserve"> </w:t>
      </w:r>
      <w:r w:rsidRPr="00DE1E81">
        <w:rPr>
          <w:rFonts w:eastAsia="Times New Roman" w:cs="Arial"/>
          <w:color w:val="000000"/>
          <w:lang w:eastAsia="bg-BG"/>
        </w:rPr>
        <w:t xml:space="preserve">степен В) чернодробно увреждане и със 75% при тежко </w:t>
      </w:r>
      <w:r w:rsidRPr="00DE1E81">
        <w:rPr>
          <w:rFonts w:eastAsia="Times New Roman" w:cs="Arial"/>
          <w:color w:val="000000"/>
          <w:lang w:val="ru-RU"/>
        </w:rPr>
        <w:t>(</w:t>
      </w:r>
      <w:r w:rsidRPr="00DE1E81">
        <w:rPr>
          <w:rFonts w:eastAsia="Times New Roman" w:cs="Arial"/>
          <w:color w:val="000000"/>
          <w:lang w:val="en-US"/>
        </w:rPr>
        <w:t>Child</w:t>
      </w:r>
      <w:r w:rsidRPr="00DE1E81">
        <w:rPr>
          <w:rFonts w:eastAsia="Times New Roman" w:cs="Arial"/>
          <w:color w:val="000000"/>
          <w:lang w:val="ru-RU"/>
        </w:rPr>
        <w:t>-</w:t>
      </w:r>
      <w:r w:rsidRPr="00DE1E81">
        <w:rPr>
          <w:rFonts w:eastAsia="Times New Roman" w:cs="Arial"/>
          <w:color w:val="000000"/>
          <w:lang w:val="en-US"/>
        </w:rPr>
        <w:t>Pugh</w:t>
      </w:r>
      <w:r w:rsidRPr="00DE1E81">
        <w:rPr>
          <w:rFonts w:eastAsia="Times New Roman" w:cs="Arial"/>
          <w:color w:val="000000"/>
          <w:lang w:val="ru-RU"/>
        </w:rPr>
        <w:t xml:space="preserve"> </w:t>
      </w:r>
      <w:r w:rsidRPr="00DE1E81">
        <w:rPr>
          <w:rFonts w:eastAsia="Times New Roman" w:cs="Arial"/>
          <w:color w:val="000000"/>
          <w:lang w:eastAsia="bg-BG"/>
        </w:rPr>
        <w:t>степен С) чернодробно увреждане. Дозата при повишаване и поддържащата доза трябва да се определят в зависимост от клиничния отговор (вж. точка 5.2).</w:t>
      </w:r>
    </w:p>
    <w:p w14:paraId="792E48CD" w14:textId="77777777" w:rsidR="00DE1E81" w:rsidRPr="00DE1E81" w:rsidRDefault="00DE1E81" w:rsidP="00DE1E81">
      <w:pPr>
        <w:spacing w:line="240" w:lineRule="auto"/>
        <w:rPr>
          <w:rFonts w:eastAsia="Times New Roman" w:cs="Arial"/>
          <w:color w:val="000000"/>
          <w:lang w:eastAsia="bg-BG"/>
        </w:rPr>
      </w:pPr>
    </w:p>
    <w:p w14:paraId="532FF76A" w14:textId="0AB91383" w:rsidR="00DE1E81" w:rsidRPr="00DE1E81" w:rsidRDefault="00DE1E81" w:rsidP="00DE1E81">
      <w:pPr>
        <w:pStyle w:val="Heading3"/>
        <w:rPr>
          <w:rFonts w:eastAsia="Times New Roman"/>
          <w:u w:val="single"/>
        </w:rPr>
      </w:pPr>
      <w:r w:rsidRPr="00DE1E81">
        <w:rPr>
          <w:rFonts w:eastAsia="Times New Roman"/>
          <w:u w:val="single"/>
          <w:lang w:eastAsia="bg-BG"/>
        </w:rPr>
        <w:t>Начин на приложение</w:t>
      </w:r>
    </w:p>
    <w:p w14:paraId="009C641B" w14:textId="77777777" w:rsidR="00DE1E81" w:rsidRPr="00DE1E81" w:rsidRDefault="00DE1E81" w:rsidP="00DE1E81">
      <w:pPr>
        <w:spacing w:line="240" w:lineRule="auto"/>
        <w:rPr>
          <w:rFonts w:eastAsia="Times New Roman" w:cs="Arial"/>
          <w:color w:val="000000"/>
          <w:lang w:eastAsia="bg-BG"/>
        </w:rPr>
      </w:pPr>
    </w:p>
    <w:p w14:paraId="72338162" w14:textId="3CF791AD" w:rsidR="00DE1E81" w:rsidRPr="00DE1E81" w:rsidRDefault="00DE1E81" w:rsidP="00DE1E81">
      <w:pPr>
        <w:spacing w:line="240" w:lineRule="auto"/>
        <w:rPr>
          <w:rFonts w:eastAsia="Times New Roman" w:cs="Arial"/>
          <w:sz w:val="24"/>
          <w:szCs w:val="24"/>
        </w:rPr>
      </w:pPr>
      <w:r w:rsidRPr="00DE1E81">
        <w:rPr>
          <w:rFonts w:eastAsia="Times New Roman" w:cs="Arial"/>
          <w:color w:val="000000"/>
          <w:lang w:eastAsia="bg-BG"/>
        </w:rPr>
        <w:t>Перорално приложение.</w:t>
      </w:r>
    </w:p>
    <w:p w14:paraId="373A1018" w14:textId="77777777" w:rsidR="00DE1E81" w:rsidRPr="00570851" w:rsidRDefault="00DE1E81" w:rsidP="00DE1E81">
      <w:pPr>
        <w:rPr>
          <w:rFonts w:cs="Arial"/>
        </w:rPr>
      </w:pPr>
    </w:p>
    <w:p w14:paraId="62B13D0B" w14:textId="7B025047" w:rsidR="00395555" w:rsidRDefault="002C50EE" w:rsidP="008A6AF2">
      <w:pPr>
        <w:pStyle w:val="Heading2"/>
      </w:pPr>
      <w:r>
        <w:t>4.3. Противопоказания</w:t>
      </w:r>
    </w:p>
    <w:p w14:paraId="22CEB6B2" w14:textId="6F438ABA" w:rsidR="00DE1E81" w:rsidRDefault="00DE1E81" w:rsidP="00DE1E81"/>
    <w:p w14:paraId="2C967B52" w14:textId="4EFF5AFE" w:rsidR="00DE1E81" w:rsidRDefault="00DE1E81" w:rsidP="00DE1E81">
      <w:pPr>
        <w:rPr>
          <w:lang w:eastAsia="bg-BG"/>
        </w:rPr>
      </w:pPr>
      <w:r w:rsidRPr="00DE1E81">
        <w:rPr>
          <w:lang w:eastAsia="bg-BG"/>
        </w:rPr>
        <w:t>Свръхчувствителност към активното вещество или към някое от помощните вещества, изброени в т. 6.1.</w:t>
      </w:r>
    </w:p>
    <w:p w14:paraId="3552A435" w14:textId="77777777" w:rsidR="00DE1E81" w:rsidRPr="00DE1E81" w:rsidRDefault="00DE1E81" w:rsidP="00DE1E81">
      <w:pPr>
        <w:rPr>
          <w:sz w:val="24"/>
          <w:szCs w:val="24"/>
        </w:rPr>
      </w:pPr>
    </w:p>
    <w:p w14:paraId="5A4AC413" w14:textId="3E72483D" w:rsidR="00395555" w:rsidRDefault="002C50EE" w:rsidP="008A6AF2">
      <w:pPr>
        <w:pStyle w:val="Heading2"/>
      </w:pPr>
      <w:r>
        <w:t>4.4. Специални предупреждения и предпазни мерки при употреба</w:t>
      </w:r>
    </w:p>
    <w:p w14:paraId="414A34D6" w14:textId="56D9C610" w:rsidR="00DE1E81" w:rsidRDefault="00DE1E81" w:rsidP="00DE1E81"/>
    <w:p w14:paraId="35CF835D" w14:textId="77777777" w:rsidR="00DE1E81" w:rsidRPr="00DE1E81" w:rsidRDefault="00DE1E81" w:rsidP="00DE1E81">
      <w:pPr>
        <w:spacing w:line="240" w:lineRule="auto"/>
        <w:rPr>
          <w:rFonts w:eastAsia="Times New Roman" w:cs="Arial"/>
          <w:sz w:val="24"/>
          <w:szCs w:val="24"/>
        </w:rPr>
      </w:pPr>
      <w:r w:rsidRPr="00DE1E81">
        <w:rPr>
          <w:rFonts w:eastAsia="Times New Roman" w:cs="Arial"/>
          <w:color w:val="000000"/>
          <w:u w:val="single"/>
          <w:lang w:eastAsia="bg-BG"/>
        </w:rPr>
        <w:t>Кожен обрив</w:t>
      </w:r>
    </w:p>
    <w:p w14:paraId="269DA2D9" w14:textId="77777777" w:rsidR="00DE1E81" w:rsidRPr="00DE1E81" w:rsidRDefault="00DE1E81" w:rsidP="00DE1E81">
      <w:pPr>
        <w:spacing w:line="240" w:lineRule="auto"/>
        <w:rPr>
          <w:rFonts w:eastAsia="Times New Roman" w:cs="Arial"/>
          <w:color w:val="000000"/>
          <w:lang w:eastAsia="bg-BG"/>
        </w:rPr>
      </w:pPr>
    </w:p>
    <w:p w14:paraId="74EF46B2" w14:textId="2BB05445" w:rsidR="00DE1E81" w:rsidRPr="00DE1E81" w:rsidRDefault="00DE1E81" w:rsidP="00DE1E81">
      <w:pPr>
        <w:spacing w:line="240" w:lineRule="auto"/>
        <w:rPr>
          <w:rFonts w:eastAsia="Times New Roman" w:cs="Arial"/>
          <w:sz w:val="24"/>
          <w:szCs w:val="24"/>
        </w:rPr>
      </w:pPr>
      <w:r w:rsidRPr="00DE1E81">
        <w:rPr>
          <w:rFonts w:eastAsia="Times New Roman" w:cs="Arial"/>
          <w:color w:val="000000"/>
          <w:lang w:eastAsia="bg-BG"/>
        </w:rPr>
        <w:t xml:space="preserve">Съобщавани са нежелани реакции от страна на кожата, които се проявяват през първите осем седмици от началото на терапията с ламотригин. Повечето от обривите са леко проявени и показват склонност към самоограничаване, обаче са описвани и тежко проявени обриви, изискващи болнично лечение и прекратяване прилагането на ламотригин. Те могат да бъдат потенциално животозастрашаващи обриви като синдрома на </w:t>
      </w:r>
      <w:r w:rsidRPr="00DE1E81">
        <w:rPr>
          <w:rFonts w:eastAsia="Times New Roman" w:cs="Arial"/>
          <w:color w:val="000000"/>
          <w:lang w:val="en-US"/>
        </w:rPr>
        <w:t>Stevens</w:t>
      </w:r>
      <w:r w:rsidRPr="00DE1E81">
        <w:rPr>
          <w:rFonts w:eastAsia="Times New Roman" w:cs="Arial"/>
          <w:color w:val="000000"/>
          <w:lang w:val="ru-RU"/>
        </w:rPr>
        <w:t>-</w:t>
      </w:r>
      <w:r w:rsidRPr="00DE1E81">
        <w:rPr>
          <w:rFonts w:eastAsia="Times New Roman" w:cs="Arial"/>
          <w:color w:val="000000"/>
          <w:lang w:val="en-US"/>
        </w:rPr>
        <w:t>Johnson</w:t>
      </w:r>
      <w:r w:rsidRPr="00DE1E81">
        <w:rPr>
          <w:rFonts w:eastAsia="Times New Roman" w:cs="Arial"/>
          <w:color w:val="000000"/>
          <w:lang w:val="ru-RU"/>
        </w:rPr>
        <w:t xml:space="preserve"> (</w:t>
      </w:r>
      <w:r w:rsidRPr="00DE1E81">
        <w:rPr>
          <w:rFonts w:eastAsia="Times New Roman" w:cs="Arial"/>
          <w:color w:val="000000"/>
          <w:lang w:val="en-US"/>
        </w:rPr>
        <w:t>SJS</w:t>
      </w:r>
      <w:r w:rsidRPr="00DE1E81">
        <w:rPr>
          <w:rFonts w:eastAsia="Times New Roman" w:cs="Arial"/>
          <w:color w:val="000000"/>
          <w:lang w:val="ru-RU"/>
        </w:rPr>
        <w:t xml:space="preserve">), </w:t>
      </w:r>
      <w:r w:rsidRPr="00DE1E81">
        <w:rPr>
          <w:rFonts w:eastAsia="Times New Roman" w:cs="Arial"/>
          <w:color w:val="000000"/>
          <w:lang w:eastAsia="bg-BG"/>
        </w:rPr>
        <w:t xml:space="preserve">токсична епидермална некролиза </w:t>
      </w:r>
      <w:r w:rsidRPr="00DE1E81">
        <w:rPr>
          <w:rFonts w:eastAsia="Times New Roman" w:cs="Arial"/>
          <w:color w:val="000000"/>
          <w:lang w:val="ru-RU"/>
        </w:rPr>
        <w:t>(</w:t>
      </w:r>
      <w:r w:rsidRPr="00DE1E81">
        <w:rPr>
          <w:rFonts w:eastAsia="Times New Roman" w:cs="Arial"/>
          <w:color w:val="000000"/>
          <w:lang w:val="en-US"/>
        </w:rPr>
        <w:t>TEN</w:t>
      </w:r>
      <w:r w:rsidRPr="00DE1E81">
        <w:rPr>
          <w:rFonts w:eastAsia="Times New Roman" w:cs="Arial"/>
          <w:color w:val="000000"/>
          <w:lang w:val="ru-RU"/>
        </w:rPr>
        <w:t xml:space="preserve">) </w:t>
      </w:r>
      <w:r w:rsidRPr="00DE1E81">
        <w:rPr>
          <w:rFonts w:eastAsia="Times New Roman" w:cs="Arial"/>
          <w:color w:val="000000"/>
          <w:lang w:eastAsia="bg-BG"/>
        </w:rPr>
        <w:t xml:space="preserve">и медикаментозна реакция с еозинофилия и системни симптоми </w:t>
      </w:r>
      <w:r w:rsidRPr="00DE1E81">
        <w:rPr>
          <w:rFonts w:eastAsia="Times New Roman" w:cs="Arial"/>
          <w:color w:val="000000"/>
          <w:lang w:val="ru-RU"/>
        </w:rPr>
        <w:t>(</w:t>
      </w:r>
      <w:r w:rsidRPr="00DE1E81">
        <w:rPr>
          <w:rFonts w:eastAsia="Times New Roman" w:cs="Arial"/>
          <w:color w:val="000000"/>
          <w:lang w:val="en-US"/>
        </w:rPr>
        <w:t>DRESS</w:t>
      </w:r>
      <w:r w:rsidRPr="00DE1E81">
        <w:rPr>
          <w:rFonts w:eastAsia="Times New Roman" w:cs="Arial"/>
          <w:color w:val="000000"/>
          <w:lang w:val="ru-RU"/>
        </w:rPr>
        <w:t xml:space="preserve">); </w:t>
      </w:r>
      <w:r w:rsidRPr="00DE1E81">
        <w:rPr>
          <w:rFonts w:eastAsia="Times New Roman" w:cs="Arial"/>
          <w:color w:val="000000"/>
          <w:lang w:eastAsia="bg-BG"/>
        </w:rPr>
        <w:t xml:space="preserve">също известно като синдром на свръхчувствителност </w:t>
      </w:r>
      <w:r w:rsidRPr="00DE1E81">
        <w:rPr>
          <w:rFonts w:eastAsia="Times New Roman" w:cs="Arial"/>
          <w:color w:val="000000"/>
          <w:lang w:val="ru-RU"/>
        </w:rPr>
        <w:t>(</w:t>
      </w:r>
      <w:r w:rsidRPr="00DE1E81">
        <w:rPr>
          <w:rFonts w:eastAsia="Times New Roman" w:cs="Arial"/>
          <w:color w:val="000000"/>
          <w:lang w:val="en-US"/>
        </w:rPr>
        <w:t>HSS</w:t>
      </w:r>
      <w:r w:rsidRPr="00DE1E81">
        <w:rPr>
          <w:rFonts w:eastAsia="Times New Roman" w:cs="Arial"/>
          <w:color w:val="000000"/>
          <w:lang w:val="ru-RU"/>
        </w:rPr>
        <w:t xml:space="preserve">) </w:t>
      </w:r>
      <w:r w:rsidRPr="00DE1E81">
        <w:rPr>
          <w:rFonts w:eastAsia="Times New Roman" w:cs="Arial"/>
          <w:color w:val="000000"/>
          <w:lang w:eastAsia="bg-BG"/>
        </w:rPr>
        <w:t>(вж. точка 4.8).</w:t>
      </w:r>
    </w:p>
    <w:p w14:paraId="47052F61" w14:textId="77777777" w:rsidR="00DE1E81" w:rsidRPr="00DE1E81" w:rsidRDefault="00DE1E81" w:rsidP="00DE1E81">
      <w:pPr>
        <w:spacing w:line="240" w:lineRule="auto"/>
        <w:rPr>
          <w:rFonts w:eastAsia="Times New Roman" w:cs="Arial"/>
          <w:color w:val="000000"/>
          <w:lang w:eastAsia="bg-BG"/>
        </w:rPr>
      </w:pPr>
    </w:p>
    <w:p w14:paraId="1A78188C" w14:textId="087D3920" w:rsidR="00DE1E81" w:rsidRPr="00DE1E81" w:rsidRDefault="00DE1E81" w:rsidP="00DE1E81">
      <w:pPr>
        <w:spacing w:line="240" w:lineRule="auto"/>
        <w:rPr>
          <w:rFonts w:eastAsia="Times New Roman" w:cs="Arial"/>
          <w:sz w:val="24"/>
          <w:szCs w:val="24"/>
        </w:rPr>
      </w:pPr>
      <w:r w:rsidRPr="00DE1E81">
        <w:rPr>
          <w:rFonts w:eastAsia="Times New Roman" w:cs="Arial"/>
          <w:color w:val="000000"/>
          <w:lang w:eastAsia="bg-BG"/>
        </w:rPr>
        <w:t xml:space="preserve">При възрастни пациенти, включени в изпитвания, използващи ламотригин в препоръчваните дози, честотата на тежките кожни обриви е приблизително 1 случай на 500 пациенти с епилепсия. Приблизително половината от тези случаи са били докладвани като синдром на </w:t>
      </w:r>
      <w:r w:rsidRPr="00DE1E81">
        <w:rPr>
          <w:rFonts w:eastAsia="Times New Roman" w:cs="Arial"/>
          <w:color w:val="000000"/>
          <w:lang w:val="en-US"/>
        </w:rPr>
        <w:t>Stevens</w:t>
      </w:r>
      <w:r w:rsidRPr="00DE1E81">
        <w:rPr>
          <w:rFonts w:eastAsia="Times New Roman" w:cs="Arial"/>
          <w:color w:val="000000"/>
          <w:lang w:val="ru-RU"/>
        </w:rPr>
        <w:t>-</w:t>
      </w:r>
      <w:r w:rsidRPr="00DE1E81">
        <w:rPr>
          <w:rFonts w:eastAsia="Times New Roman" w:cs="Arial"/>
          <w:color w:val="000000"/>
          <w:lang w:val="en-US"/>
        </w:rPr>
        <w:t>Johnson</w:t>
      </w:r>
      <w:r w:rsidRPr="00DE1E81">
        <w:rPr>
          <w:rFonts w:eastAsia="Times New Roman" w:cs="Arial"/>
          <w:color w:val="000000"/>
          <w:lang w:val="ru-RU"/>
        </w:rPr>
        <w:t xml:space="preserve"> </w:t>
      </w:r>
      <w:r w:rsidRPr="00DE1E81">
        <w:rPr>
          <w:rFonts w:eastAsia="Times New Roman" w:cs="Arial"/>
          <w:color w:val="000000"/>
          <w:lang w:eastAsia="bg-BG"/>
        </w:rPr>
        <w:t>(1 на 1 000). В клинични изпитвания при пациенти с биполярно разстройство броят на наблюдаваните случаи с тежък обрив е приблизително 1 на 1 000.</w:t>
      </w:r>
    </w:p>
    <w:p w14:paraId="2E73982D" w14:textId="77777777" w:rsidR="00DE1E81" w:rsidRPr="00DE1E81" w:rsidRDefault="00DE1E81" w:rsidP="00DE1E81">
      <w:pPr>
        <w:spacing w:line="240" w:lineRule="auto"/>
        <w:rPr>
          <w:rFonts w:eastAsia="Times New Roman" w:cs="Arial"/>
          <w:color w:val="000000"/>
          <w:lang w:eastAsia="bg-BG"/>
        </w:rPr>
      </w:pPr>
    </w:p>
    <w:p w14:paraId="0C526C55" w14:textId="2CF78344" w:rsidR="00DE1E81" w:rsidRPr="00DE1E81" w:rsidRDefault="00DE1E81" w:rsidP="00DE1E81">
      <w:pPr>
        <w:spacing w:line="240" w:lineRule="auto"/>
        <w:rPr>
          <w:rFonts w:eastAsia="Times New Roman" w:cs="Arial"/>
          <w:sz w:val="24"/>
          <w:szCs w:val="24"/>
        </w:rPr>
      </w:pPr>
      <w:r w:rsidRPr="00DE1E81">
        <w:rPr>
          <w:rFonts w:eastAsia="Times New Roman" w:cs="Arial"/>
          <w:color w:val="000000"/>
          <w:lang w:eastAsia="bg-BG"/>
        </w:rPr>
        <w:t>Рискът от развитие на тежки кожни обриви при деца е по-висок от този при възрастни. Данните от изпитванията показват, че честотата на обривите, свързани с хоспитализация при деца е от 1 на 300 до 1 на 100.</w:t>
      </w:r>
    </w:p>
    <w:p w14:paraId="12354DAE" w14:textId="77777777" w:rsidR="00DE1E81" w:rsidRPr="00DE1E81" w:rsidRDefault="00DE1E81" w:rsidP="00DE1E81">
      <w:pPr>
        <w:spacing w:line="240" w:lineRule="auto"/>
        <w:rPr>
          <w:rFonts w:eastAsia="Times New Roman" w:cs="Arial"/>
          <w:color w:val="000000"/>
          <w:lang w:eastAsia="bg-BG"/>
        </w:rPr>
      </w:pPr>
    </w:p>
    <w:p w14:paraId="5112B891" w14:textId="23A1D356" w:rsidR="00DE1E81" w:rsidRPr="00DE1E81" w:rsidRDefault="00DE1E81" w:rsidP="00DE1E81">
      <w:pPr>
        <w:spacing w:line="240" w:lineRule="auto"/>
        <w:rPr>
          <w:rFonts w:eastAsia="Times New Roman" w:cs="Arial"/>
          <w:sz w:val="24"/>
          <w:szCs w:val="24"/>
        </w:rPr>
      </w:pPr>
      <w:r w:rsidRPr="00DE1E81">
        <w:rPr>
          <w:rFonts w:eastAsia="Times New Roman" w:cs="Arial"/>
          <w:color w:val="000000"/>
          <w:lang w:eastAsia="bg-BG"/>
        </w:rPr>
        <w:t>Началните прояви на обрив при деца могат да бъдат погрешно диагностицирани като инфекция. През първите осем седмици от лечението при прояви на фебрилитет и обрив при деца трябва да се има предвид възможността от развитие на нежелана реакция, свързана с лечението с ламотригин.</w:t>
      </w:r>
    </w:p>
    <w:p w14:paraId="5510F50E" w14:textId="77777777" w:rsidR="00DE1E81" w:rsidRPr="00DE1E81" w:rsidRDefault="00DE1E81" w:rsidP="00DE1E81">
      <w:pPr>
        <w:spacing w:line="240" w:lineRule="auto"/>
        <w:rPr>
          <w:rFonts w:eastAsia="Times New Roman" w:cs="Arial"/>
          <w:color w:val="000000"/>
          <w:lang w:eastAsia="bg-BG"/>
        </w:rPr>
      </w:pPr>
    </w:p>
    <w:p w14:paraId="563F7BA6" w14:textId="21F1D1F9" w:rsidR="00DE1E81" w:rsidRPr="00DE1E81" w:rsidRDefault="00DE1E81" w:rsidP="00DE1E81">
      <w:pPr>
        <w:spacing w:line="240" w:lineRule="auto"/>
        <w:rPr>
          <w:rFonts w:eastAsia="Times New Roman" w:cs="Arial"/>
          <w:sz w:val="24"/>
          <w:szCs w:val="24"/>
        </w:rPr>
      </w:pPr>
      <w:r w:rsidRPr="00DE1E81">
        <w:rPr>
          <w:rFonts w:eastAsia="Times New Roman" w:cs="Arial"/>
          <w:color w:val="000000"/>
          <w:lang w:eastAsia="bg-BG"/>
        </w:rPr>
        <w:t>В допълнение рискът за развитие на обриви зависи от:</w:t>
      </w:r>
    </w:p>
    <w:p w14:paraId="47B61093" w14:textId="77777777" w:rsidR="00DE1E81" w:rsidRPr="00DE1E81" w:rsidRDefault="00DE1E81" w:rsidP="00DE1E81">
      <w:pPr>
        <w:pStyle w:val="ListParagraph"/>
        <w:numPr>
          <w:ilvl w:val="0"/>
          <w:numId w:val="33"/>
        </w:numPr>
        <w:spacing w:line="240" w:lineRule="auto"/>
        <w:rPr>
          <w:rFonts w:eastAsia="Times New Roman" w:cs="Arial"/>
          <w:sz w:val="24"/>
          <w:szCs w:val="24"/>
        </w:rPr>
      </w:pPr>
      <w:r w:rsidRPr="00DE1E81">
        <w:rPr>
          <w:rFonts w:eastAsia="Times New Roman" w:cs="Arial"/>
          <w:color w:val="000000"/>
          <w:lang w:eastAsia="bg-BG"/>
        </w:rPr>
        <w:lastRenderedPageBreak/>
        <w:t>прием на високи начални дози ламотригин и превишаване на препоръчаната доза за повишаване (вж. точка 4.2).</w:t>
      </w:r>
    </w:p>
    <w:p w14:paraId="6EC9C26D" w14:textId="36F09CA4" w:rsidR="00DE1E81" w:rsidRPr="00DE1E81" w:rsidRDefault="00DE1E81" w:rsidP="00DE1E81">
      <w:pPr>
        <w:pStyle w:val="ListParagraph"/>
        <w:numPr>
          <w:ilvl w:val="0"/>
          <w:numId w:val="33"/>
        </w:numPr>
        <w:spacing w:line="240" w:lineRule="auto"/>
        <w:rPr>
          <w:rFonts w:eastAsia="Times New Roman" w:cs="Arial"/>
          <w:sz w:val="24"/>
          <w:szCs w:val="24"/>
        </w:rPr>
      </w:pPr>
      <w:r w:rsidRPr="00DE1E81">
        <w:rPr>
          <w:rFonts w:eastAsia="Times New Roman" w:cs="Arial"/>
          <w:color w:val="000000"/>
          <w:lang w:eastAsia="bg-BG"/>
        </w:rPr>
        <w:t>едновременно прилагане с валпроат (вж. точка 4.2).</w:t>
      </w:r>
    </w:p>
    <w:p w14:paraId="4073EB83" w14:textId="77777777" w:rsidR="00DE1E81" w:rsidRPr="00DE1E81" w:rsidRDefault="00DE1E81" w:rsidP="00DE1E81">
      <w:pPr>
        <w:spacing w:line="240" w:lineRule="auto"/>
        <w:rPr>
          <w:rFonts w:eastAsia="Times New Roman" w:cs="Arial"/>
          <w:color w:val="000000"/>
          <w:lang w:eastAsia="bg-BG"/>
        </w:rPr>
      </w:pPr>
    </w:p>
    <w:p w14:paraId="4D34C323" w14:textId="0695EB63" w:rsidR="00DE1E81" w:rsidRPr="00DE1E81" w:rsidRDefault="00DE1E81" w:rsidP="00DE1E81">
      <w:pPr>
        <w:spacing w:line="240" w:lineRule="auto"/>
        <w:rPr>
          <w:rFonts w:eastAsia="Times New Roman" w:cs="Arial"/>
          <w:sz w:val="24"/>
          <w:szCs w:val="24"/>
        </w:rPr>
      </w:pPr>
      <w:r w:rsidRPr="00DE1E81">
        <w:rPr>
          <w:rFonts w:eastAsia="Times New Roman" w:cs="Arial"/>
          <w:color w:val="000000"/>
          <w:lang w:eastAsia="bg-BG"/>
        </w:rPr>
        <w:t>По време на лечението на пациенти с анамнеза за кожен обрив или алергия към други АЕЛ се изисква специално внимание, тъй като установената честота на незначително изразен обрив след лечение с ламотригин е около три пъти по-висока при такива пациенти в сравнение с тези без подобна анамнеза.</w:t>
      </w:r>
    </w:p>
    <w:p w14:paraId="4E07701D" w14:textId="77777777" w:rsidR="00DE1E81" w:rsidRPr="00DE1E81" w:rsidRDefault="00DE1E81" w:rsidP="00DE1E81">
      <w:pPr>
        <w:spacing w:line="240" w:lineRule="auto"/>
        <w:rPr>
          <w:rFonts w:eastAsia="Times New Roman" w:cs="Arial"/>
          <w:color w:val="000000"/>
          <w:lang w:eastAsia="bg-BG"/>
        </w:rPr>
      </w:pPr>
    </w:p>
    <w:p w14:paraId="7C2EF326" w14:textId="3A1EE36C" w:rsidR="00DE1E81" w:rsidRPr="00DE1E81" w:rsidRDefault="00DE1E81" w:rsidP="00DE1E81">
      <w:pPr>
        <w:spacing w:line="240" w:lineRule="auto"/>
        <w:rPr>
          <w:rFonts w:eastAsia="Times New Roman" w:cs="Arial"/>
          <w:sz w:val="24"/>
          <w:szCs w:val="24"/>
        </w:rPr>
      </w:pPr>
      <w:r w:rsidRPr="00DE1E81">
        <w:rPr>
          <w:rFonts w:eastAsia="Times New Roman" w:cs="Arial"/>
          <w:color w:val="000000"/>
          <w:lang w:eastAsia="bg-BG"/>
        </w:rPr>
        <w:t xml:space="preserve">При развитие на обрив при всички пациенти (възрастни и деца), е необходим преглед на пациента и незабавно спиране приложението на Ламиктал, освен ако със сигурност е установено, че обривът не е свързан с приема на лекарството. Препоръчва се лечението с Ламиктал да не се започва отново при пациенти, които са го прекъснали поради обрив, свързан с предишно лечение с ламотригин, освен ако потенциалната полза несъмнено надвишава риска. Ако пациентът развие синдром на </w:t>
      </w:r>
      <w:r w:rsidRPr="00DE1E81">
        <w:rPr>
          <w:rFonts w:eastAsia="Times New Roman" w:cs="Arial"/>
          <w:color w:val="000000"/>
          <w:lang w:val="en-US"/>
        </w:rPr>
        <w:t>Stevens</w:t>
      </w:r>
      <w:r w:rsidRPr="00DE1E81">
        <w:rPr>
          <w:rFonts w:eastAsia="Times New Roman" w:cs="Arial"/>
          <w:color w:val="000000"/>
          <w:lang w:val="ru-RU"/>
        </w:rPr>
        <w:t>-</w:t>
      </w:r>
      <w:r w:rsidRPr="00DE1E81">
        <w:rPr>
          <w:rFonts w:eastAsia="Times New Roman" w:cs="Arial"/>
          <w:color w:val="000000"/>
          <w:lang w:val="en-US"/>
        </w:rPr>
        <w:t>Johnson</w:t>
      </w:r>
      <w:r w:rsidRPr="00DE1E81">
        <w:rPr>
          <w:rFonts w:eastAsia="Times New Roman" w:cs="Arial"/>
          <w:color w:val="000000"/>
          <w:lang w:val="ru-RU"/>
        </w:rPr>
        <w:t xml:space="preserve">, </w:t>
      </w:r>
      <w:r w:rsidRPr="00DE1E81">
        <w:rPr>
          <w:rFonts w:eastAsia="Times New Roman" w:cs="Arial"/>
          <w:color w:val="000000"/>
          <w:lang w:eastAsia="bg-BG"/>
        </w:rPr>
        <w:t>токсична епидермална некролиза или медикаментозна реакция с еозинофилия и системни симптоми при приложение на ламотригин, никога повече не трябва да приема това лекарство.</w:t>
      </w:r>
    </w:p>
    <w:p w14:paraId="4FDD0814" w14:textId="77777777" w:rsidR="00DE1E81" w:rsidRPr="00DE1E81" w:rsidRDefault="00DE1E81" w:rsidP="00DE1E81">
      <w:pPr>
        <w:rPr>
          <w:rFonts w:eastAsia="Times New Roman" w:cs="Arial"/>
          <w:color w:val="000000"/>
          <w:lang w:eastAsia="bg-BG"/>
        </w:rPr>
      </w:pPr>
    </w:p>
    <w:p w14:paraId="7B904939" w14:textId="2EA6BECE" w:rsidR="00DE1E81" w:rsidRDefault="00DE1E81" w:rsidP="00DE1E81">
      <w:pPr>
        <w:rPr>
          <w:rFonts w:eastAsia="Times New Roman" w:cs="Arial"/>
          <w:color w:val="000000"/>
          <w:lang w:eastAsia="bg-BG"/>
        </w:rPr>
      </w:pPr>
      <w:r w:rsidRPr="00DE1E81">
        <w:rPr>
          <w:rFonts w:eastAsia="Times New Roman" w:cs="Arial"/>
          <w:color w:val="000000"/>
          <w:lang w:eastAsia="bg-BG"/>
        </w:rPr>
        <w:t xml:space="preserve">Обрив е съобщаван и като част от </w:t>
      </w:r>
      <w:r w:rsidRPr="00DE1E81">
        <w:rPr>
          <w:rFonts w:eastAsia="Times New Roman" w:cs="Arial"/>
          <w:color w:val="000000"/>
          <w:lang w:val="en-US"/>
        </w:rPr>
        <w:t>DRESS</w:t>
      </w:r>
      <w:r w:rsidRPr="00DE1E81">
        <w:rPr>
          <w:rFonts w:eastAsia="Times New Roman" w:cs="Arial"/>
          <w:color w:val="000000"/>
          <w:lang w:val="ru-RU"/>
        </w:rPr>
        <w:t xml:space="preserve">; </w:t>
      </w:r>
      <w:r w:rsidRPr="00DE1E81">
        <w:rPr>
          <w:rFonts w:eastAsia="Times New Roman" w:cs="Arial"/>
          <w:color w:val="000000"/>
          <w:lang w:eastAsia="bg-BG"/>
        </w:rPr>
        <w:t>също известен като синдром на свръхчувствителност. Това състояние включва различни системни симптоми като повишена температура, лимфаденопатия, оток на лицето, промени в кръвната картина, функциите на черния дроб, бъбреците и асептичен менингит (вж. точка 4.8). Тежестта на клиничните прояви на този синдром е различна при отделните пациенти, като в редки случаи може да доведе до развитие на дисеминирана вътресъдова коагулация и мултиорганна недостатъчност. Важно е да се има предвид, че ранните прояви на свръхчувствителност (например повишена температура лимфаденопатия) могат да се проявят без поява на обрив. При установяване на подобни признаци и симптоми е необходима незабавна оценка на състоянието на пациенти и спиране приложението на Ламиктал при липса на друга етиология за развитие на тези реакции.</w:t>
      </w:r>
    </w:p>
    <w:p w14:paraId="4DF2B1C9" w14:textId="729B5AC3" w:rsidR="00DE1E81" w:rsidRDefault="00DE1E81" w:rsidP="00DE1E81">
      <w:pPr>
        <w:rPr>
          <w:rFonts w:eastAsia="Times New Roman" w:cs="Arial"/>
          <w:color w:val="000000"/>
          <w:lang w:eastAsia="bg-BG"/>
        </w:rPr>
      </w:pPr>
    </w:p>
    <w:p w14:paraId="7B560C1F" w14:textId="77777777" w:rsidR="00DE1E81" w:rsidRPr="00DE1E81" w:rsidRDefault="00DE1E81" w:rsidP="00DE1E81">
      <w:pPr>
        <w:spacing w:line="240" w:lineRule="auto"/>
        <w:rPr>
          <w:rFonts w:eastAsia="Times New Roman" w:cs="Arial"/>
        </w:rPr>
      </w:pPr>
      <w:r w:rsidRPr="00DE1E81">
        <w:rPr>
          <w:rFonts w:eastAsia="Times New Roman" w:cs="Arial"/>
          <w:color w:val="000000"/>
          <w:lang w:eastAsia="bg-BG"/>
        </w:rPr>
        <w:t>В повечето случаи асептичният менингит е обратим при спиране приема на лекарството, но при някои случаи се повтаря при повторна употреба на ламотригин. Повторната употреба води до бързо възобновяване на симптомите, които често са по-тежки. Приемът на ламотригин не трябва да се възобновява при пациенти, при които е спрян поради асептичен менингит, свързван с предишно лечение с ламотригин.</w:t>
      </w:r>
    </w:p>
    <w:p w14:paraId="5F95FD71" w14:textId="77777777" w:rsidR="00DE1E81" w:rsidRPr="00DE1E81" w:rsidRDefault="00DE1E81" w:rsidP="00DE1E81">
      <w:pPr>
        <w:spacing w:line="240" w:lineRule="auto"/>
        <w:rPr>
          <w:rFonts w:eastAsia="Times New Roman" w:cs="Arial"/>
          <w:color w:val="000000"/>
          <w:lang w:eastAsia="bg-BG"/>
        </w:rPr>
      </w:pPr>
    </w:p>
    <w:p w14:paraId="2F1BFBD9" w14:textId="24C61EBD" w:rsidR="00DE1E81" w:rsidRPr="00DE1E81" w:rsidRDefault="00DE1E81" w:rsidP="00DE1E81">
      <w:pPr>
        <w:spacing w:line="240" w:lineRule="auto"/>
        <w:rPr>
          <w:rFonts w:eastAsia="Times New Roman" w:cs="Arial"/>
        </w:rPr>
      </w:pPr>
      <w:r w:rsidRPr="00DE1E81">
        <w:rPr>
          <w:rFonts w:eastAsia="Times New Roman" w:cs="Arial"/>
          <w:color w:val="000000"/>
          <w:lang w:eastAsia="bg-BG"/>
        </w:rPr>
        <w:t xml:space="preserve">Има също съобщения за реакции на фоточувствителност, свързани с употребата на ламотригин (вж. точка 4.8). В няколко случая реакцията е настъпила при висока доза (400 </w:t>
      </w:r>
      <w:r w:rsidRPr="00DE1E81">
        <w:rPr>
          <w:rFonts w:eastAsia="Times New Roman" w:cs="Arial"/>
          <w:color w:val="000000"/>
          <w:lang w:val="en-US"/>
        </w:rPr>
        <w:t>mg</w:t>
      </w:r>
      <w:r w:rsidRPr="00DE1E81">
        <w:rPr>
          <w:rFonts w:eastAsia="Times New Roman" w:cs="Arial"/>
          <w:color w:val="000000"/>
          <w:lang w:val="ru-RU"/>
        </w:rPr>
        <w:t xml:space="preserve"> </w:t>
      </w:r>
      <w:r w:rsidRPr="00DE1E81">
        <w:rPr>
          <w:rFonts w:eastAsia="Times New Roman" w:cs="Arial"/>
          <w:color w:val="000000"/>
          <w:lang w:eastAsia="bg-BG"/>
        </w:rPr>
        <w:t xml:space="preserve">или повече), при повишаване на дозата или при бързо възходящо титриране. Ако при пациент, който проявява признаци на фоточувствителност, има съмнение за свързана с ламотригин фоточувствителност (напр. прекомерно слънчево изгаряне), трябва да се обмисли прекратяване на лечението. Ако продължаването на лечението с ламотригин се счита за клинично обосновано, пациентът трябва да бъде посъветван да избягва излагане на слънчева светлина и на изкуствена </w:t>
      </w:r>
      <w:r w:rsidRPr="00DE1E81">
        <w:rPr>
          <w:rFonts w:eastAsia="Times New Roman" w:cs="Arial"/>
          <w:color w:val="000000"/>
          <w:lang w:val="en-US"/>
        </w:rPr>
        <w:t>UV</w:t>
      </w:r>
      <w:r w:rsidRPr="00DE1E81">
        <w:rPr>
          <w:rFonts w:eastAsia="Times New Roman" w:cs="Arial"/>
          <w:color w:val="000000"/>
          <w:lang w:val="ru-RU"/>
        </w:rPr>
        <w:t xml:space="preserve"> </w:t>
      </w:r>
      <w:r w:rsidRPr="00DE1E81">
        <w:rPr>
          <w:rFonts w:eastAsia="Times New Roman" w:cs="Arial"/>
          <w:color w:val="000000"/>
          <w:lang w:eastAsia="bg-BG"/>
        </w:rPr>
        <w:t>светлина и да взема предпазни мерки (напр. използване на защитно облекло и слънцезащитни кремове).</w:t>
      </w:r>
    </w:p>
    <w:p w14:paraId="3EC19D8E" w14:textId="77777777" w:rsidR="00DE1E81" w:rsidRPr="00DE1E81" w:rsidRDefault="00DE1E81" w:rsidP="00DE1E81">
      <w:pPr>
        <w:spacing w:line="240" w:lineRule="auto"/>
        <w:rPr>
          <w:rFonts w:eastAsia="Times New Roman" w:cs="Arial"/>
          <w:color w:val="000000"/>
          <w:u w:val="single"/>
          <w:lang w:eastAsia="bg-BG"/>
        </w:rPr>
      </w:pPr>
    </w:p>
    <w:p w14:paraId="5F996D9A" w14:textId="79EE1C53" w:rsidR="00DE1E81" w:rsidRPr="00DE1E81" w:rsidRDefault="00DE1E81" w:rsidP="00DE1E81">
      <w:pPr>
        <w:spacing w:line="240" w:lineRule="auto"/>
        <w:rPr>
          <w:rFonts w:eastAsia="Times New Roman" w:cs="Arial"/>
        </w:rPr>
      </w:pPr>
      <w:r w:rsidRPr="00DE1E81">
        <w:rPr>
          <w:rFonts w:eastAsia="Times New Roman" w:cs="Arial"/>
          <w:color w:val="000000"/>
          <w:u w:val="single"/>
          <w:lang w:eastAsia="bg-BG"/>
        </w:rPr>
        <w:t xml:space="preserve">Хемофагоцитна лимфохистиопитоза </w:t>
      </w:r>
      <w:r w:rsidRPr="00DE1E81">
        <w:rPr>
          <w:rFonts w:eastAsia="Times New Roman" w:cs="Arial"/>
          <w:color w:val="000000"/>
          <w:u w:val="single"/>
        </w:rPr>
        <w:t>(</w:t>
      </w:r>
      <w:r w:rsidRPr="00DE1E81">
        <w:rPr>
          <w:rFonts w:eastAsia="Times New Roman" w:cs="Arial"/>
          <w:color w:val="000000"/>
          <w:u w:val="single"/>
          <w:lang w:val="en-US"/>
        </w:rPr>
        <w:t>Haemophagocytic</w:t>
      </w:r>
      <w:r w:rsidRPr="00DE1E81">
        <w:rPr>
          <w:rFonts w:eastAsia="Times New Roman" w:cs="Arial"/>
          <w:color w:val="000000"/>
          <w:u w:val="single"/>
        </w:rPr>
        <w:t xml:space="preserve"> </w:t>
      </w:r>
      <w:r w:rsidRPr="00DE1E81">
        <w:rPr>
          <w:rFonts w:eastAsia="Times New Roman" w:cs="Arial"/>
          <w:color w:val="000000"/>
          <w:u w:val="single"/>
          <w:lang w:val="en-US"/>
        </w:rPr>
        <w:t>lymphohistiocytosis</w:t>
      </w:r>
      <w:r w:rsidRPr="00DE1E81">
        <w:rPr>
          <w:rFonts w:eastAsia="Times New Roman" w:cs="Arial"/>
          <w:color w:val="000000"/>
          <w:u w:val="single"/>
        </w:rPr>
        <w:t xml:space="preserve">, </w:t>
      </w:r>
      <w:r w:rsidRPr="00DE1E81">
        <w:rPr>
          <w:rFonts w:eastAsia="Times New Roman" w:cs="Arial"/>
          <w:color w:val="000000"/>
          <w:u w:val="single"/>
          <w:lang w:val="en-US"/>
        </w:rPr>
        <w:t>HLH</w:t>
      </w:r>
      <w:r w:rsidRPr="00DE1E81">
        <w:rPr>
          <w:rFonts w:eastAsia="Times New Roman" w:cs="Arial"/>
          <w:color w:val="000000"/>
          <w:u w:val="single"/>
        </w:rPr>
        <w:t>)</w:t>
      </w:r>
    </w:p>
    <w:p w14:paraId="70875818" w14:textId="77777777" w:rsidR="00DE1E81" w:rsidRPr="00DE1E81" w:rsidRDefault="00DE1E81" w:rsidP="00DE1E81">
      <w:pPr>
        <w:spacing w:line="240" w:lineRule="auto"/>
        <w:rPr>
          <w:rFonts w:eastAsia="Times New Roman" w:cs="Arial"/>
          <w:color w:val="000000"/>
          <w:lang w:val="en-US"/>
        </w:rPr>
      </w:pPr>
    </w:p>
    <w:p w14:paraId="1C0E8883" w14:textId="1828CE84" w:rsidR="00DE1E81" w:rsidRPr="00DE1E81" w:rsidRDefault="00DE1E81" w:rsidP="00DE1E81">
      <w:pPr>
        <w:spacing w:line="240" w:lineRule="auto"/>
        <w:rPr>
          <w:rFonts w:eastAsia="Times New Roman" w:cs="Arial"/>
        </w:rPr>
      </w:pPr>
      <w:r w:rsidRPr="00DE1E81">
        <w:rPr>
          <w:rFonts w:eastAsia="Times New Roman" w:cs="Arial"/>
          <w:color w:val="000000"/>
          <w:lang w:val="en-US"/>
        </w:rPr>
        <w:lastRenderedPageBreak/>
        <w:t>HLH</w:t>
      </w:r>
      <w:r w:rsidRPr="00DE1E81">
        <w:rPr>
          <w:rFonts w:eastAsia="Times New Roman" w:cs="Arial"/>
          <w:color w:val="000000"/>
          <w:lang w:val="ru-RU"/>
        </w:rPr>
        <w:t xml:space="preserve"> </w:t>
      </w:r>
      <w:r w:rsidRPr="00DE1E81">
        <w:rPr>
          <w:rFonts w:eastAsia="Times New Roman" w:cs="Arial"/>
          <w:color w:val="000000"/>
          <w:lang w:eastAsia="bg-BG"/>
        </w:rPr>
        <w:t xml:space="preserve">е съобщена при пациенти, които приемат ламотригин (вж. точка 4.8). </w:t>
      </w:r>
      <w:r w:rsidRPr="00DE1E81">
        <w:rPr>
          <w:rFonts w:eastAsia="Times New Roman" w:cs="Arial"/>
          <w:color w:val="000000"/>
          <w:lang w:val="en-US"/>
        </w:rPr>
        <w:t>HLH</w:t>
      </w:r>
      <w:r w:rsidRPr="00DE1E81">
        <w:rPr>
          <w:rFonts w:eastAsia="Times New Roman" w:cs="Arial"/>
          <w:color w:val="000000"/>
          <w:lang w:val="ru-RU"/>
        </w:rPr>
        <w:t xml:space="preserve"> </w:t>
      </w:r>
      <w:r w:rsidRPr="00DE1E81">
        <w:rPr>
          <w:rFonts w:eastAsia="Times New Roman" w:cs="Arial"/>
          <w:color w:val="000000"/>
          <w:lang w:eastAsia="bg-BG"/>
        </w:rPr>
        <w:t>се характеризира с признаци и симптоми като повишена температура, обрив, неврологични симптоми, хепатоспленомегалия, лимфаденопатия, цитопении, високи стойности на серумен феритин, хипертриглицеридемия, отклонения във функцията на черния дроб и коагулация. Симптомите настъпват обикновено в рамките на 4 седмици от началото на лечението. Хемофагоцитната лимфохистиоцитоза може да бъде животозастрашаваща.</w:t>
      </w:r>
    </w:p>
    <w:p w14:paraId="6182553B" w14:textId="77777777" w:rsidR="00DE1E81" w:rsidRPr="00DE1E81" w:rsidRDefault="00DE1E81" w:rsidP="00DE1E81">
      <w:pPr>
        <w:spacing w:line="240" w:lineRule="auto"/>
        <w:rPr>
          <w:rFonts w:eastAsia="Times New Roman" w:cs="Arial"/>
          <w:color w:val="000000"/>
          <w:lang w:eastAsia="bg-BG"/>
        </w:rPr>
      </w:pPr>
    </w:p>
    <w:p w14:paraId="7497BBB7" w14:textId="2BA484AB" w:rsidR="00DE1E81" w:rsidRPr="00DE1E81" w:rsidRDefault="00DE1E81" w:rsidP="00DE1E81">
      <w:pPr>
        <w:spacing w:line="240" w:lineRule="auto"/>
        <w:rPr>
          <w:rFonts w:eastAsia="Times New Roman" w:cs="Arial"/>
        </w:rPr>
      </w:pPr>
      <w:r w:rsidRPr="00DE1E81">
        <w:rPr>
          <w:rFonts w:eastAsia="Times New Roman" w:cs="Arial"/>
          <w:color w:val="000000"/>
          <w:lang w:eastAsia="bg-BG"/>
        </w:rPr>
        <w:t xml:space="preserve">Пациентите трябва да бъдат информирани за симптомите, свързани с </w:t>
      </w:r>
      <w:r w:rsidRPr="00DE1E81">
        <w:rPr>
          <w:rFonts w:eastAsia="Times New Roman" w:cs="Arial"/>
          <w:color w:val="000000"/>
          <w:lang w:val="en-US"/>
        </w:rPr>
        <w:t>HLH</w:t>
      </w:r>
      <w:r w:rsidRPr="00DE1E81">
        <w:rPr>
          <w:rFonts w:eastAsia="Times New Roman" w:cs="Arial"/>
          <w:color w:val="000000"/>
          <w:lang w:val="ru-RU"/>
        </w:rPr>
        <w:t xml:space="preserve"> </w:t>
      </w:r>
      <w:r w:rsidRPr="00DE1E81">
        <w:rPr>
          <w:rFonts w:eastAsia="Times New Roman" w:cs="Arial"/>
          <w:color w:val="000000"/>
          <w:lang w:eastAsia="bg-BG"/>
        </w:rPr>
        <w:t>и трябва да бъдат посъветвани да потърсят незабавно медицинска помощ, ако получат тези симптоми, по време на лечението с ламотригин.</w:t>
      </w:r>
    </w:p>
    <w:p w14:paraId="54BE8296" w14:textId="77777777" w:rsidR="00DE1E81" w:rsidRPr="00DE1E81" w:rsidRDefault="00DE1E81" w:rsidP="00DE1E81">
      <w:pPr>
        <w:spacing w:line="240" w:lineRule="auto"/>
        <w:rPr>
          <w:rFonts w:eastAsia="Times New Roman" w:cs="Arial"/>
          <w:color w:val="000000"/>
          <w:lang w:eastAsia="bg-BG"/>
        </w:rPr>
      </w:pPr>
    </w:p>
    <w:p w14:paraId="7C09492C" w14:textId="134B8F20" w:rsidR="00DE1E81" w:rsidRPr="00DE1E81" w:rsidRDefault="00DE1E81" w:rsidP="00DE1E81">
      <w:pPr>
        <w:spacing w:line="240" w:lineRule="auto"/>
        <w:rPr>
          <w:rFonts w:eastAsia="Times New Roman" w:cs="Arial"/>
        </w:rPr>
      </w:pPr>
      <w:r w:rsidRPr="00DE1E81">
        <w:rPr>
          <w:rFonts w:eastAsia="Times New Roman" w:cs="Arial"/>
          <w:color w:val="000000"/>
          <w:lang w:eastAsia="bg-BG"/>
        </w:rPr>
        <w:t xml:space="preserve">Незабавно оценете състоянието на пациентите, които развиват тези признаци и симптоми и обмислете диагноза </w:t>
      </w:r>
      <w:r w:rsidRPr="00DE1E81">
        <w:rPr>
          <w:rFonts w:eastAsia="Times New Roman" w:cs="Arial"/>
          <w:color w:val="000000"/>
          <w:lang w:val="en-US"/>
        </w:rPr>
        <w:t>HLH</w:t>
      </w:r>
      <w:r w:rsidRPr="00DE1E81">
        <w:rPr>
          <w:rFonts w:eastAsia="Times New Roman" w:cs="Arial"/>
          <w:color w:val="000000"/>
          <w:lang w:val="ru-RU"/>
        </w:rPr>
        <w:t xml:space="preserve">. </w:t>
      </w:r>
      <w:r w:rsidRPr="00DE1E81">
        <w:rPr>
          <w:rFonts w:eastAsia="Times New Roman" w:cs="Arial"/>
          <w:color w:val="000000"/>
          <w:lang w:eastAsia="bg-BG"/>
        </w:rPr>
        <w:t>Приемът на ламотригин трябва незабавно да се преустанови освен ако може да се установи друга етиология за развитието на тези реакции.</w:t>
      </w:r>
    </w:p>
    <w:p w14:paraId="6231011A" w14:textId="77777777" w:rsidR="00DE1E81" w:rsidRPr="00DE1E81" w:rsidRDefault="00DE1E81" w:rsidP="00DE1E81">
      <w:pPr>
        <w:spacing w:line="240" w:lineRule="auto"/>
        <w:rPr>
          <w:rFonts w:eastAsia="Times New Roman" w:cs="Arial"/>
          <w:color w:val="000000"/>
          <w:u w:val="single"/>
          <w:lang w:eastAsia="bg-BG"/>
        </w:rPr>
      </w:pPr>
    </w:p>
    <w:p w14:paraId="0B491A31" w14:textId="600CB2B7" w:rsidR="00DE1E81" w:rsidRPr="00DE1E81" w:rsidRDefault="00DE1E81" w:rsidP="00DE1E81">
      <w:pPr>
        <w:spacing w:line="240" w:lineRule="auto"/>
        <w:rPr>
          <w:rFonts w:eastAsia="Times New Roman" w:cs="Arial"/>
        </w:rPr>
      </w:pPr>
      <w:r w:rsidRPr="00DE1E81">
        <w:rPr>
          <w:rFonts w:eastAsia="Times New Roman" w:cs="Arial"/>
          <w:color w:val="000000"/>
          <w:u w:val="single"/>
          <w:lang w:eastAsia="bg-BG"/>
        </w:rPr>
        <w:t>Влошаване на клиничното състояние и суициден риск</w:t>
      </w:r>
    </w:p>
    <w:p w14:paraId="6A9F42D9" w14:textId="77777777" w:rsidR="00DE1E81" w:rsidRPr="00DE1E81" w:rsidRDefault="00DE1E81" w:rsidP="00DE1E81">
      <w:pPr>
        <w:spacing w:line="240" w:lineRule="auto"/>
        <w:rPr>
          <w:rFonts w:eastAsia="Times New Roman" w:cs="Arial"/>
          <w:color w:val="000000"/>
          <w:lang w:eastAsia="bg-BG"/>
        </w:rPr>
      </w:pPr>
    </w:p>
    <w:p w14:paraId="0E7E915C" w14:textId="385D33F6" w:rsidR="00DE1E81" w:rsidRPr="00DE1E81" w:rsidRDefault="00DE1E81" w:rsidP="00DE1E81">
      <w:pPr>
        <w:spacing w:line="240" w:lineRule="auto"/>
        <w:rPr>
          <w:rFonts w:eastAsia="Times New Roman" w:cs="Arial"/>
        </w:rPr>
      </w:pPr>
      <w:r w:rsidRPr="00DE1E81">
        <w:rPr>
          <w:rFonts w:eastAsia="Times New Roman" w:cs="Arial"/>
          <w:color w:val="000000"/>
          <w:lang w:eastAsia="bg-BG"/>
        </w:rPr>
        <w:t>При пациенти, лекувани с АЕЛ по различни показания са съобщавани суицидни мисли и поведение. Един мета-анализ на рандомизирани плацебо-контролирани изпитвания на АЕЛ също е показал незначително повишен риск от суицидни мисли и поведение. Механизмът на този риск не е ясен и наличните данни не изключват възможността за повишен риск при ламотригин.</w:t>
      </w:r>
    </w:p>
    <w:p w14:paraId="2AF5F24D" w14:textId="77777777" w:rsidR="00DE1E81" w:rsidRPr="00DE1E81" w:rsidRDefault="00DE1E81" w:rsidP="00DE1E81">
      <w:pPr>
        <w:spacing w:line="240" w:lineRule="auto"/>
        <w:rPr>
          <w:rFonts w:eastAsia="Times New Roman" w:cs="Arial"/>
          <w:color w:val="000000"/>
          <w:lang w:eastAsia="bg-BG"/>
        </w:rPr>
      </w:pPr>
    </w:p>
    <w:p w14:paraId="289B3BCF" w14:textId="4B3E2A9F" w:rsidR="00DE1E81" w:rsidRPr="00DE1E81" w:rsidRDefault="00DE1E81" w:rsidP="00DE1E81">
      <w:pPr>
        <w:spacing w:line="240" w:lineRule="auto"/>
        <w:rPr>
          <w:rFonts w:eastAsia="Times New Roman" w:cs="Arial"/>
        </w:rPr>
      </w:pPr>
      <w:r w:rsidRPr="00DE1E81">
        <w:rPr>
          <w:rFonts w:eastAsia="Times New Roman" w:cs="Arial"/>
          <w:color w:val="000000"/>
          <w:lang w:eastAsia="bg-BG"/>
        </w:rPr>
        <w:t>Затова пациентите трябва да бъдат проследявани за признаци на суицидни мисли и поведение и трябва да се има предвид съответно лечение. На пациентите (и хората, които се грижат за тях) трябва да се обърне внимание да потърсят лекарски съвет, в случай че се появят признаци на суицидни мисли и поведение.</w:t>
      </w:r>
    </w:p>
    <w:p w14:paraId="74786EC3" w14:textId="77777777" w:rsidR="00DE1E81" w:rsidRPr="00DE1E81" w:rsidRDefault="00DE1E81" w:rsidP="00DE1E81">
      <w:pPr>
        <w:rPr>
          <w:rFonts w:eastAsia="Times New Roman" w:cs="Arial"/>
          <w:color w:val="000000"/>
          <w:lang w:eastAsia="bg-BG"/>
        </w:rPr>
      </w:pPr>
    </w:p>
    <w:p w14:paraId="4CF5D683" w14:textId="7AD480E7" w:rsidR="00DE1E81" w:rsidRPr="00DE1E81" w:rsidRDefault="00DE1E81" w:rsidP="00DE1E81">
      <w:pPr>
        <w:rPr>
          <w:rFonts w:eastAsia="Times New Roman" w:cs="Arial"/>
          <w:color w:val="000000"/>
          <w:lang w:eastAsia="bg-BG"/>
        </w:rPr>
      </w:pPr>
      <w:r w:rsidRPr="00DE1E81">
        <w:rPr>
          <w:rFonts w:eastAsia="Times New Roman" w:cs="Arial"/>
          <w:color w:val="000000"/>
          <w:lang w:eastAsia="bg-BG"/>
        </w:rPr>
        <w:t>При пациентите с биполярно разстройство може да настъпят влошаване на депресивните симптоми и/или поява на суицидност независимо дали приемат или не приемат лекарства за лечение на биполярно разстройство, включително Ламиктал. Затова пациентите, приемащи Ламиктал за биполярно разстройство трябва да бъдат внимателно проследявани за влощаваме на състоянието (включително поява на нови симптоми) и за суицидност, особено в началото на курса на лечение или при промени на дозата. Някои пациенти, като например такива с анамнеза за суицидно поведение или мисли, възрастни в млада възраст или пациенти със силно изразени суицидни идеи преди началото на лечението, изглежда са с по-висок риск за мисли и опити за самоубийство и трябва да бъдат проследявани внимателно по време на лечението.</w:t>
      </w:r>
    </w:p>
    <w:p w14:paraId="45622AB5" w14:textId="620D4748" w:rsidR="00DE1E81" w:rsidRPr="00DE1E81" w:rsidRDefault="00DE1E81" w:rsidP="00DE1E81">
      <w:pPr>
        <w:rPr>
          <w:rFonts w:eastAsia="Times New Roman" w:cs="Arial"/>
          <w:color w:val="000000"/>
          <w:lang w:eastAsia="bg-BG"/>
        </w:rPr>
      </w:pPr>
    </w:p>
    <w:p w14:paraId="011D0B6A" w14:textId="77777777" w:rsidR="00DE1E81" w:rsidRPr="00DE1E81" w:rsidRDefault="00DE1E81" w:rsidP="00DE1E81">
      <w:pPr>
        <w:spacing w:line="240" w:lineRule="auto"/>
        <w:rPr>
          <w:rFonts w:eastAsia="Times New Roman" w:cs="Arial"/>
        </w:rPr>
      </w:pPr>
      <w:r w:rsidRPr="00DE1E81">
        <w:rPr>
          <w:rFonts w:eastAsia="Times New Roman" w:cs="Arial"/>
          <w:color w:val="000000"/>
          <w:lang w:eastAsia="bg-BG"/>
        </w:rPr>
        <w:t>Трябва да се обмисли промяна на схемата за лечение, включително възможно преустановяване приема на лекарството, при пациенти с влошаване на клиничното състояние (включително поява на нови симптоми) и/или поява на суицидни мисли/поведение, особено ако симптомите са тежки, внезапно появяващи се или не са част от настоящите симптоми на пациента.</w:t>
      </w:r>
    </w:p>
    <w:p w14:paraId="6D2F8327" w14:textId="77777777" w:rsidR="00DE1E81" w:rsidRPr="00DE1E81" w:rsidRDefault="00DE1E81" w:rsidP="00DE1E81">
      <w:pPr>
        <w:spacing w:line="240" w:lineRule="auto"/>
        <w:rPr>
          <w:rFonts w:eastAsia="Times New Roman" w:cs="Arial"/>
          <w:color w:val="000000"/>
          <w:u w:val="single"/>
          <w:lang w:eastAsia="bg-BG"/>
        </w:rPr>
      </w:pPr>
    </w:p>
    <w:p w14:paraId="524B92BC" w14:textId="25EC16B2" w:rsidR="00DE1E81" w:rsidRPr="00DE1E81" w:rsidRDefault="00DE1E81" w:rsidP="00DE1E81">
      <w:pPr>
        <w:spacing w:line="240" w:lineRule="auto"/>
        <w:rPr>
          <w:rFonts w:eastAsia="Times New Roman" w:cs="Arial"/>
        </w:rPr>
      </w:pPr>
      <w:r w:rsidRPr="00DE1E81">
        <w:rPr>
          <w:rFonts w:eastAsia="Times New Roman" w:cs="Arial"/>
          <w:color w:val="000000"/>
          <w:u w:val="single"/>
          <w:lang w:eastAsia="bg-BG"/>
        </w:rPr>
        <w:t>Хормонални контрацептиви</w:t>
      </w:r>
    </w:p>
    <w:p w14:paraId="45426121" w14:textId="77777777" w:rsidR="00DE1E81" w:rsidRPr="00DE1E81" w:rsidRDefault="00DE1E81" w:rsidP="00DE1E81">
      <w:pPr>
        <w:spacing w:line="240" w:lineRule="auto"/>
        <w:rPr>
          <w:rFonts w:eastAsia="Times New Roman" w:cs="Arial"/>
          <w:i/>
          <w:iCs/>
          <w:color w:val="000000"/>
          <w:lang w:eastAsia="bg-BG"/>
        </w:rPr>
      </w:pPr>
    </w:p>
    <w:p w14:paraId="38491D1A" w14:textId="52C75CDD" w:rsidR="00DE1E81" w:rsidRPr="00DE1E81" w:rsidRDefault="00DE1E81" w:rsidP="00DE1E81">
      <w:pPr>
        <w:spacing w:line="240" w:lineRule="auto"/>
        <w:rPr>
          <w:rFonts w:eastAsia="Times New Roman" w:cs="Arial"/>
        </w:rPr>
      </w:pPr>
      <w:r w:rsidRPr="00DE1E81">
        <w:rPr>
          <w:rFonts w:eastAsia="Times New Roman" w:cs="Arial"/>
          <w:i/>
          <w:iCs/>
          <w:color w:val="000000"/>
          <w:lang w:eastAsia="bg-BG"/>
        </w:rPr>
        <w:t xml:space="preserve">Ефекти на хормоналните контрацептиви върху ефикасността на ламотригин </w:t>
      </w:r>
      <w:r w:rsidRPr="00DE1E81">
        <w:rPr>
          <w:rFonts w:eastAsia="Times New Roman" w:cs="Arial"/>
          <w:color w:val="000000"/>
          <w:lang w:eastAsia="bg-BG"/>
        </w:rPr>
        <w:t>Установено е, че комбинацията етинилестрадиол/левоноргестрел (30 μ</w:t>
      </w:r>
      <w:r w:rsidRPr="00DE1E81">
        <w:rPr>
          <w:rFonts w:eastAsia="Times New Roman" w:cs="Arial"/>
          <w:color w:val="000000"/>
          <w:lang w:val="en-US"/>
        </w:rPr>
        <w:t>g</w:t>
      </w:r>
      <w:r w:rsidRPr="00DE1E81">
        <w:rPr>
          <w:rFonts w:eastAsia="Times New Roman" w:cs="Arial"/>
          <w:color w:val="000000"/>
          <w:lang w:val="ru-RU"/>
        </w:rPr>
        <w:t>/</w:t>
      </w:r>
      <w:r w:rsidRPr="00DE1E81">
        <w:rPr>
          <w:rFonts w:eastAsia="Times New Roman" w:cs="Arial"/>
          <w:color w:val="000000"/>
          <w:lang w:eastAsia="bg-BG"/>
        </w:rPr>
        <w:t>150 μ</w:t>
      </w:r>
      <w:r w:rsidRPr="00DE1E81">
        <w:rPr>
          <w:rFonts w:eastAsia="Times New Roman" w:cs="Arial"/>
          <w:color w:val="000000"/>
          <w:lang w:val="en-US"/>
        </w:rPr>
        <w:t>g</w:t>
      </w:r>
      <w:r w:rsidRPr="00DE1E81">
        <w:rPr>
          <w:rFonts w:eastAsia="Times New Roman" w:cs="Arial"/>
          <w:color w:val="000000"/>
          <w:lang w:val="ru-RU"/>
        </w:rPr>
        <w:t xml:space="preserve">) </w:t>
      </w:r>
      <w:r w:rsidRPr="00DE1E81">
        <w:rPr>
          <w:rFonts w:eastAsia="Times New Roman" w:cs="Arial"/>
          <w:color w:val="000000"/>
          <w:lang w:eastAsia="bg-BG"/>
        </w:rPr>
        <w:t xml:space="preserve">повишава клирънса на ламотригин приблизително два пъти, което води до намаляване на </w:t>
      </w:r>
      <w:r w:rsidRPr="00DE1E81">
        <w:rPr>
          <w:rFonts w:eastAsia="Times New Roman" w:cs="Arial"/>
          <w:color w:val="000000"/>
          <w:lang w:eastAsia="bg-BG"/>
        </w:rPr>
        <w:lastRenderedPageBreak/>
        <w:t>нивата на ламотригин (вж. точка 4.5). Понижаването на нивата на ламотригин е свързано със загуба на контрол върху припадъците. За постигане на максимален терапевтичен отговор в повечето случаи може да е необходимо чрез титриране да се достигнат по-високи поддържащи дози на ламотригин (приблизително два пъти по-високи). При преустановяването на приема на хормоналните контрацептиви, клирънсът на ламотригин може да намалее наполовина. Повишаването на концентрациите на ламотригин може да бъде свързано с дозозависими нежелани събития. По тази причина състоянието на пациентите трябва да бъде проследявано.</w:t>
      </w:r>
    </w:p>
    <w:p w14:paraId="53C03E5F" w14:textId="77777777" w:rsidR="00DE1E81" w:rsidRPr="00DE1E81" w:rsidRDefault="00DE1E81" w:rsidP="00DE1E81">
      <w:pPr>
        <w:spacing w:line="240" w:lineRule="auto"/>
        <w:rPr>
          <w:rFonts w:eastAsia="Times New Roman" w:cs="Arial"/>
          <w:color w:val="000000"/>
          <w:lang w:eastAsia="bg-BG"/>
        </w:rPr>
      </w:pPr>
    </w:p>
    <w:p w14:paraId="67EE357A" w14:textId="1E94F679" w:rsidR="00DE1E81" w:rsidRPr="00DE1E81" w:rsidRDefault="00DE1E81" w:rsidP="00DE1E81">
      <w:pPr>
        <w:spacing w:line="240" w:lineRule="auto"/>
        <w:rPr>
          <w:rFonts w:eastAsia="Times New Roman" w:cs="Arial"/>
        </w:rPr>
      </w:pPr>
      <w:r w:rsidRPr="00DE1E81">
        <w:rPr>
          <w:rFonts w:eastAsia="Times New Roman" w:cs="Arial"/>
          <w:color w:val="000000"/>
          <w:lang w:eastAsia="bg-BG"/>
        </w:rPr>
        <w:t>При жени, които не приемат индуктор на глюкуронирането на ламотригин и са на хормонален контрацептив, чиято схема включва една седмица на неактивно лечение (седмица без прием на контрацептива), е установено постепенно временно покачване на нивата на ламотригин по време на седмицата без прием на контрацептива (вж. точка 4.2). Вариациите в нивата на ламотригин от този порядък могат да бъдат свързани с нежелани реакции. Затова трябва да се обмисли употребата на контрацепция без седмица без прием на контрацептива като лечение от първа линия (например продължителна хормонална контрацепция или нехормонални методи).</w:t>
      </w:r>
    </w:p>
    <w:p w14:paraId="6CAF4610" w14:textId="77777777" w:rsidR="00DE1E81" w:rsidRPr="00DE1E81" w:rsidRDefault="00DE1E81" w:rsidP="00DE1E81">
      <w:pPr>
        <w:spacing w:line="240" w:lineRule="auto"/>
        <w:rPr>
          <w:rFonts w:eastAsia="Times New Roman" w:cs="Arial"/>
          <w:color w:val="000000"/>
          <w:lang w:eastAsia="bg-BG"/>
        </w:rPr>
      </w:pPr>
    </w:p>
    <w:p w14:paraId="38866AA7" w14:textId="1125A81E" w:rsidR="00DE1E81" w:rsidRPr="00DE1E81" w:rsidRDefault="00DE1E81" w:rsidP="00DE1E81">
      <w:pPr>
        <w:spacing w:line="240" w:lineRule="auto"/>
        <w:rPr>
          <w:rFonts w:eastAsia="Times New Roman" w:cs="Arial"/>
        </w:rPr>
      </w:pPr>
      <w:r w:rsidRPr="00DE1E81">
        <w:rPr>
          <w:rFonts w:eastAsia="Times New Roman" w:cs="Arial"/>
          <w:color w:val="000000"/>
          <w:lang w:eastAsia="bg-BG"/>
        </w:rPr>
        <w:t>Не са провеждани проучвания за взаимодействия с други перорални контрацептиви или хормонални заместителни терапии и ламотригин, въпреки че е възможно те да повлияят фармакокинетичните параметри на ламотригин по подобен начин.</w:t>
      </w:r>
    </w:p>
    <w:p w14:paraId="2A0AC958" w14:textId="77777777" w:rsidR="00DE1E81" w:rsidRPr="00DE1E81" w:rsidRDefault="00DE1E81" w:rsidP="00DE1E81">
      <w:pPr>
        <w:spacing w:line="240" w:lineRule="auto"/>
        <w:rPr>
          <w:rFonts w:eastAsia="Times New Roman" w:cs="Arial"/>
          <w:i/>
          <w:iCs/>
          <w:color w:val="000000"/>
          <w:lang w:eastAsia="bg-BG"/>
        </w:rPr>
      </w:pPr>
    </w:p>
    <w:p w14:paraId="17B660A3" w14:textId="1B1FB260" w:rsidR="00DE1E81" w:rsidRPr="00DE1E81" w:rsidRDefault="00DE1E81" w:rsidP="00DE1E81">
      <w:pPr>
        <w:spacing w:line="240" w:lineRule="auto"/>
        <w:rPr>
          <w:rFonts w:eastAsia="Times New Roman" w:cs="Arial"/>
        </w:rPr>
      </w:pPr>
      <w:r w:rsidRPr="00DE1E81">
        <w:rPr>
          <w:rFonts w:eastAsia="Times New Roman" w:cs="Arial"/>
          <w:i/>
          <w:iCs/>
          <w:color w:val="000000"/>
          <w:lang w:eastAsia="bg-BG"/>
        </w:rPr>
        <w:t xml:space="preserve">Ефекти на ламотригин върху ефикасността на хормоналните контрацептиви </w:t>
      </w:r>
      <w:r w:rsidRPr="00DE1E81">
        <w:rPr>
          <w:rFonts w:eastAsia="Times New Roman" w:cs="Arial"/>
          <w:color w:val="000000"/>
          <w:lang w:eastAsia="bg-BG"/>
        </w:rPr>
        <w:t xml:space="preserve">Резултатите от проучване за взаимодействия при 16 здрави доброволки показват, че при едновременен прием на ламотригин и хормонален контрацептив (комбинация етинилестрадиол/левоноргестрел) е налице умерено увеличение на клирънса на левоноргестрел и промени в серумните фоликулстимулиращ хормон </w:t>
      </w:r>
      <w:r w:rsidRPr="00DE1E81">
        <w:rPr>
          <w:rFonts w:eastAsia="Times New Roman" w:cs="Arial"/>
          <w:color w:val="000000"/>
          <w:lang w:val="ru-RU"/>
        </w:rPr>
        <w:t>(</w:t>
      </w:r>
      <w:r w:rsidRPr="00DE1E81">
        <w:rPr>
          <w:rFonts w:eastAsia="Times New Roman" w:cs="Arial"/>
          <w:color w:val="000000"/>
          <w:lang w:val="en-US"/>
        </w:rPr>
        <w:t>FSH</w:t>
      </w:r>
      <w:r w:rsidRPr="00DE1E81">
        <w:rPr>
          <w:rFonts w:eastAsia="Times New Roman" w:cs="Arial"/>
          <w:color w:val="000000"/>
          <w:lang w:val="ru-RU"/>
        </w:rPr>
        <w:t xml:space="preserve">) </w:t>
      </w:r>
      <w:r w:rsidRPr="00DE1E81">
        <w:rPr>
          <w:rFonts w:eastAsia="Times New Roman" w:cs="Arial"/>
          <w:color w:val="000000"/>
          <w:lang w:eastAsia="bg-BG"/>
        </w:rPr>
        <w:t xml:space="preserve">и лутеинизиращ хормон </w:t>
      </w:r>
      <w:r w:rsidRPr="00DE1E81">
        <w:rPr>
          <w:rFonts w:eastAsia="Times New Roman" w:cs="Arial"/>
          <w:color w:val="000000"/>
          <w:lang w:val="ru-RU"/>
        </w:rPr>
        <w:t>(</w:t>
      </w:r>
      <w:r w:rsidRPr="00DE1E81">
        <w:rPr>
          <w:rFonts w:eastAsia="Times New Roman" w:cs="Arial"/>
          <w:color w:val="000000"/>
          <w:lang w:val="en-US"/>
        </w:rPr>
        <w:t>LH</w:t>
      </w:r>
      <w:r w:rsidRPr="00DE1E81">
        <w:rPr>
          <w:rFonts w:eastAsia="Times New Roman" w:cs="Arial"/>
          <w:color w:val="000000"/>
          <w:lang w:val="ru-RU"/>
        </w:rPr>
        <w:t xml:space="preserve">) </w:t>
      </w:r>
      <w:r w:rsidRPr="00DE1E81">
        <w:rPr>
          <w:rFonts w:eastAsia="Times New Roman" w:cs="Arial"/>
          <w:color w:val="000000"/>
          <w:lang w:eastAsia="bg-BG"/>
        </w:rPr>
        <w:t>(вж. точка 4.5). Не е изяснено влиянието на тези промени върху овариалната овулаторна активност. Не може обаче да бъде изключена възможността при някои пациенти, приемащи ламотригин заедно с хормонални контрацептиви, тези промени да предизвикат намаляване на контрацептивната ефикасност. Затова тези пациентки трябва да бъдат инструктирани да съобщават за промени в менструалния си цикъл, напр. интерменструално кървене.</w:t>
      </w:r>
    </w:p>
    <w:p w14:paraId="3E6FA86B" w14:textId="77777777" w:rsidR="00DE1E81" w:rsidRPr="00DE1E81" w:rsidRDefault="00DE1E81" w:rsidP="00DE1E81">
      <w:pPr>
        <w:spacing w:line="240" w:lineRule="auto"/>
        <w:rPr>
          <w:rFonts w:eastAsia="Times New Roman" w:cs="Arial"/>
          <w:color w:val="000000"/>
          <w:u w:val="single"/>
          <w:lang w:eastAsia="bg-BG"/>
        </w:rPr>
      </w:pPr>
    </w:p>
    <w:p w14:paraId="4AA60A22" w14:textId="7ADAFED8" w:rsidR="00DE1E81" w:rsidRPr="00DE1E81" w:rsidRDefault="00DE1E81" w:rsidP="00DE1E81">
      <w:pPr>
        <w:spacing w:line="240" w:lineRule="auto"/>
        <w:rPr>
          <w:rFonts w:eastAsia="Times New Roman" w:cs="Arial"/>
        </w:rPr>
      </w:pPr>
      <w:r w:rsidRPr="00DE1E81">
        <w:rPr>
          <w:rFonts w:eastAsia="Times New Roman" w:cs="Arial"/>
          <w:color w:val="000000"/>
          <w:u w:val="single"/>
          <w:lang w:eastAsia="bg-BG"/>
        </w:rPr>
        <w:t>Дихидрофолат редуктаза</w:t>
      </w:r>
    </w:p>
    <w:p w14:paraId="5EDF87AD" w14:textId="77777777" w:rsidR="00DE1E81" w:rsidRPr="00DE1E81" w:rsidRDefault="00DE1E81" w:rsidP="00DE1E81">
      <w:pPr>
        <w:spacing w:line="240" w:lineRule="auto"/>
        <w:rPr>
          <w:rFonts w:eastAsia="Times New Roman" w:cs="Arial"/>
        </w:rPr>
      </w:pPr>
      <w:r w:rsidRPr="00DE1E81">
        <w:rPr>
          <w:rFonts w:eastAsia="Times New Roman" w:cs="Arial"/>
          <w:color w:val="000000"/>
          <w:lang w:eastAsia="bg-BG"/>
        </w:rPr>
        <w:t>Ламотригин има слаб инхибиторен ефект върху редуктазата на дихидрофолиевата киселина. По тази причина при продължително лечение може да повлияе фолатния метаболизъм (вж. точка 4.6). Въпреки това, при продължително лечение с ламотригин при хора не се установяват значителни промени в хемоглобиновата концентрация, средния обем на еритроцитите и серумните или еритроцитни концентрации на фолат за период до една година. Не се установява промяна и в концентрациите на фолат в еритроцитите за период до 5 години.</w:t>
      </w:r>
    </w:p>
    <w:p w14:paraId="0A276254" w14:textId="77777777" w:rsidR="00DE1E81" w:rsidRPr="00DE1E81" w:rsidRDefault="00DE1E81" w:rsidP="00DE1E81">
      <w:pPr>
        <w:spacing w:line="240" w:lineRule="auto"/>
        <w:rPr>
          <w:rFonts w:eastAsia="Times New Roman" w:cs="Arial"/>
          <w:color w:val="000000"/>
          <w:u w:val="single"/>
          <w:lang w:eastAsia="bg-BG"/>
        </w:rPr>
      </w:pPr>
    </w:p>
    <w:p w14:paraId="4064E312" w14:textId="5C9CE5C3" w:rsidR="00DE1E81" w:rsidRPr="00DE1E81" w:rsidRDefault="00DE1E81" w:rsidP="00DE1E81">
      <w:pPr>
        <w:spacing w:line="240" w:lineRule="auto"/>
        <w:rPr>
          <w:rFonts w:eastAsia="Times New Roman" w:cs="Arial"/>
        </w:rPr>
      </w:pPr>
      <w:r w:rsidRPr="00DE1E81">
        <w:rPr>
          <w:rFonts w:eastAsia="Times New Roman" w:cs="Arial"/>
          <w:color w:val="000000"/>
          <w:u w:val="single"/>
          <w:lang w:eastAsia="bg-BG"/>
        </w:rPr>
        <w:t>Бъбречна недостатъчност</w:t>
      </w:r>
    </w:p>
    <w:p w14:paraId="7968009A" w14:textId="77777777" w:rsidR="00DE1E81" w:rsidRPr="00DE1E81" w:rsidRDefault="00DE1E81" w:rsidP="00DE1E81">
      <w:pPr>
        <w:spacing w:line="240" w:lineRule="auto"/>
        <w:rPr>
          <w:rFonts w:eastAsia="Times New Roman" w:cs="Arial"/>
        </w:rPr>
      </w:pPr>
      <w:r w:rsidRPr="00DE1E81">
        <w:rPr>
          <w:rFonts w:eastAsia="Times New Roman" w:cs="Arial"/>
          <w:color w:val="000000"/>
          <w:lang w:eastAsia="bg-BG"/>
        </w:rPr>
        <w:t>При изследвания на пациенти с терминална бъбречна недостатъчност при приложение на еднократна доза ламотригин не се установяват значими промени в плазмените концентрации на ламотригин. Въпреки това, може да бъде очаквано натрупване на глюкуронирания метаболит на продукта. Препоръчва се повишено внимание при лечение на пациенти с бъбречна недостатъчност.</w:t>
      </w:r>
    </w:p>
    <w:p w14:paraId="327473B8" w14:textId="23F3E6FE" w:rsidR="00DE1E81" w:rsidRPr="00DE1E81" w:rsidRDefault="00DE1E81" w:rsidP="00DE1E81">
      <w:pPr>
        <w:rPr>
          <w:rFonts w:cs="Arial"/>
        </w:rPr>
      </w:pPr>
    </w:p>
    <w:p w14:paraId="264DE31A" w14:textId="77777777" w:rsidR="00DE1E81" w:rsidRPr="00DE1E81" w:rsidRDefault="00DE1E81" w:rsidP="00DE1E81">
      <w:pPr>
        <w:spacing w:line="240" w:lineRule="auto"/>
        <w:rPr>
          <w:rFonts w:eastAsia="Times New Roman" w:cs="Arial"/>
        </w:rPr>
      </w:pPr>
      <w:r w:rsidRPr="00DE1E81">
        <w:rPr>
          <w:rFonts w:eastAsia="Times New Roman" w:cs="Arial"/>
          <w:color w:val="000000"/>
          <w:u w:val="single"/>
          <w:lang w:eastAsia="bg-BG"/>
        </w:rPr>
        <w:t>Паииенти, лекувани с други продукти, съдържащи ламотригин</w:t>
      </w:r>
    </w:p>
    <w:p w14:paraId="150E2CEC" w14:textId="77777777" w:rsidR="00DE1E81" w:rsidRPr="00DE1E81" w:rsidRDefault="00DE1E81" w:rsidP="00DE1E81">
      <w:pPr>
        <w:spacing w:line="240" w:lineRule="auto"/>
        <w:rPr>
          <w:rFonts w:eastAsia="Times New Roman" w:cs="Arial"/>
        </w:rPr>
      </w:pPr>
      <w:r w:rsidRPr="00DE1E81">
        <w:rPr>
          <w:rFonts w:eastAsia="Times New Roman" w:cs="Arial"/>
          <w:color w:val="000000"/>
          <w:lang w:eastAsia="bg-BG"/>
        </w:rPr>
        <w:lastRenderedPageBreak/>
        <w:t>Ламиктал не трябва да се прилага без консултация с лекар при пациенти, лекувани понастоящем с други продукти, съдържащи ламотригин.</w:t>
      </w:r>
    </w:p>
    <w:p w14:paraId="0FEAEED7" w14:textId="77777777" w:rsidR="00DE1E81" w:rsidRPr="00DE1E81" w:rsidRDefault="00DE1E81" w:rsidP="00DE1E81">
      <w:pPr>
        <w:spacing w:line="240" w:lineRule="auto"/>
        <w:rPr>
          <w:rFonts w:eastAsia="Times New Roman" w:cs="Arial"/>
          <w:color w:val="000000"/>
          <w:u w:val="single"/>
          <w:lang w:eastAsia="bg-BG"/>
        </w:rPr>
      </w:pPr>
    </w:p>
    <w:p w14:paraId="5BDE105B" w14:textId="53521B37" w:rsidR="00DE1E81" w:rsidRPr="00DE1E81" w:rsidRDefault="00DE1E81" w:rsidP="00DE1E81">
      <w:pPr>
        <w:spacing w:line="240" w:lineRule="auto"/>
        <w:rPr>
          <w:rFonts w:eastAsia="Times New Roman" w:cs="Arial"/>
        </w:rPr>
      </w:pPr>
      <w:r w:rsidRPr="00DE1E81">
        <w:rPr>
          <w:rFonts w:eastAsia="Times New Roman" w:cs="Arial"/>
          <w:color w:val="000000"/>
          <w:u w:val="single"/>
          <w:lang w:eastAsia="bg-BG"/>
        </w:rPr>
        <w:t xml:space="preserve">ЕКГ тип </w:t>
      </w:r>
      <w:r w:rsidRPr="00DE1E81">
        <w:rPr>
          <w:rFonts w:eastAsia="Times New Roman" w:cs="Arial"/>
          <w:color w:val="000000"/>
          <w:u w:val="single"/>
          <w:lang w:val="en-US"/>
        </w:rPr>
        <w:t>Brugada</w:t>
      </w:r>
    </w:p>
    <w:p w14:paraId="647ABA83" w14:textId="77777777" w:rsidR="00DE1E81" w:rsidRPr="00DE1E81" w:rsidRDefault="00DE1E81" w:rsidP="00DE1E81">
      <w:pPr>
        <w:spacing w:line="240" w:lineRule="auto"/>
        <w:rPr>
          <w:rFonts w:eastAsia="Times New Roman" w:cs="Arial"/>
          <w:color w:val="000000"/>
          <w:lang w:eastAsia="bg-BG"/>
        </w:rPr>
      </w:pPr>
    </w:p>
    <w:p w14:paraId="71265CDB" w14:textId="1B494221" w:rsidR="00DE1E81" w:rsidRPr="00DE1E81" w:rsidRDefault="00DE1E81" w:rsidP="00DE1E81">
      <w:pPr>
        <w:spacing w:line="240" w:lineRule="auto"/>
        <w:rPr>
          <w:rFonts w:eastAsia="Times New Roman" w:cs="Arial"/>
        </w:rPr>
      </w:pPr>
      <w:r w:rsidRPr="00DE1E81">
        <w:rPr>
          <w:rFonts w:eastAsia="Times New Roman" w:cs="Arial"/>
          <w:color w:val="000000"/>
          <w:lang w:eastAsia="bg-BG"/>
        </w:rPr>
        <w:t>При пациенти лекувани с ламотригин е съобщено за аритмогенно нарушение със</w:t>
      </w:r>
    </w:p>
    <w:p w14:paraId="67C529AE" w14:textId="77777777" w:rsidR="00DE1E81" w:rsidRPr="00DE1E81" w:rsidRDefault="00DE1E81" w:rsidP="00DE1E81">
      <w:pPr>
        <w:spacing w:line="240" w:lineRule="auto"/>
        <w:rPr>
          <w:rFonts w:eastAsia="Times New Roman" w:cs="Arial"/>
        </w:rPr>
      </w:pPr>
      <w:r w:rsidRPr="00DE1E81">
        <w:rPr>
          <w:rFonts w:eastAsia="Times New Roman" w:cs="Arial"/>
          <w:color w:val="000000"/>
          <w:lang w:val="en-US"/>
        </w:rPr>
        <w:t>ST</w:t>
      </w:r>
      <w:r w:rsidRPr="00DE1E81">
        <w:rPr>
          <w:rFonts w:eastAsia="Times New Roman" w:cs="Arial"/>
          <w:color w:val="000000"/>
          <w:lang w:val="ru-RU"/>
        </w:rPr>
        <w:t>-</w:t>
      </w:r>
      <w:r w:rsidRPr="00DE1E81">
        <w:rPr>
          <w:rFonts w:eastAsia="Times New Roman" w:cs="Arial"/>
          <w:color w:val="000000"/>
          <w:lang w:val="en-US"/>
        </w:rPr>
        <w:t>T</w:t>
      </w:r>
      <w:r w:rsidRPr="00DE1E81">
        <w:rPr>
          <w:rFonts w:eastAsia="Times New Roman" w:cs="Arial"/>
          <w:color w:val="000000"/>
          <w:lang w:val="ru-RU"/>
        </w:rPr>
        <w:t xml:space="preserve"> </w:t>
      </w:r>
      <w:r w:rsidRPr="00DE1E81">
        <w:rPr>
          <w:rFonts w:eastAsia="Times New Roman" w:cs="Arial"/>
          <w:color w:val="000000"/>
          <w:lang w:eastAsia="bg-BG"/>
        </w:rPr>
        <w:t xml:space="preserve">аномалия и характерен ЕКГ тип </w:t>
      </w:r>
      <w:r w:rsidRPr="00DE1E81">
        <w:rPr>
          <w:rFonts w:eastAsia="Times New Roman" w:cs="Arial"/>
          <w:color w:val="000000"/>
          <w:lang w:val="en-US"/>
        </w:rPr>
        <w:t>Brugada</w:t>
      </w:r>
      <w:r w:rsidRPr="00DE1E81">
        <w:rPr>
          <w:rFonts w:eastAsia="Times New Roman" w:cs="Arial"/>
          <w:color w:val="000000"/>
          <w:lang w:val="ru-RU"/>
        </w:rPr>
        <w:t xml:space="preserve">. </w:t>
      </w:r>
      <w:r w:rsidRPr="00DE1E81">
        <w:rPr>
          <w:rFonts w:eastAsia="Times New Roman" w:cs="Arial"/>
          <w:color w:val="000000"/>
          <w:lang w:eastAsia="bg-BG"/>
        </w:rPr>
        <w:t xml:space="preserve">Употребата на ламотригин трябва внимателно да се обмисли при пациенти със синдром на </w:t>
      </w:r>
      <w:r w:rsidRPr="00DE1E81">
        <w:rPr>
          <w:rFonts w:eastAsia="Times New Roman" w:cs="Arial"/>
          <w:color w:val="000000"/>
          <w:lang w:val="en-US"/>
        </w:rPr>
        <w:t>Brugada</w:t>
      </w:r>
      <w:r w:rsidRPr="00DE1E81">
        <w:rPr>
          <w:rFonts w:eastAsia="Times New Roman" w:cs="Arial"/>
          <w:color w:val="000000"/>
          <w:lang w:val="ru-RU"/>
        </w:rPr>
        <w:t>.</w:t>
      </w:r>
    </w:p>
    <w:p w14:paraId="4200299D" w14:textId="77777777" w:rsidR="00DE1E81" w:rsidRPr="00DE1E81" w:rsidRDefault="00DE1E81" w:rsidP="00DE1E81">
      <w:pPr>
        <w:spacing w:line="240" w:lineRule="auto"/>
        <w:rPr>
          <w:rFonts w:eastAsia="Times New Roman" w:cs="Arial"/>
          <w:color w:val="000000"/>
          <w:u w:val="single"/>
          <w:lang w:eastAsia="bg-BG"/>
        </w:rPr>
      </w:pPr>
    </w:p>
    <w:p w14:paraId="11DCD640" w14:textId="3C69CD92" w:rsidR="00DE1E81" w:rsidRPr="00DE1E81" w:rsidRDefault="00DE1E81" w:rsidP="00DE1E81">
      <w:pPr>
        <w:spacing w:line="240" w:lineRule="auto"/>
        <w:rPr>
          <w:rFonts w:eastAsia="Times New Roman" w:cs="Arial"/>
        </w:rPr>
      </w:pPr>
      <w:r w:rsidRPr="00DE1E81">
        <w:rPr>
          <w:rFonts w:eastAsia="Times New Roman" w:cs="Arial"/>
          <w:color w:val="000000"/>
          <w:u w:val="single"/>
          <w:lang w:eastAsia="bg-BG"/>
        </w:rPr>
        <w:t>Помощни вещества</w:t>
      </w:r>
    </w:p>
    <w:p w14:paraId="2C2256D4" w14:textId="77777777" w:rsidR="00DE1E81" w:rsidRPr="00DE1E81" w:rsidRDefault="00DE1E81" w:rsidP="00DE1E81">
      <w:pPr>
        <w:spacing w:line="240" w:lineRule="auto"/>
        <w:rPr>
          <w:rFonts w:eastAsia="Times New Roman" w:cs="Arial"/>
          <w:color w:val="000000"/>
          <w:lang w:eastAsia="bg-BG"/>
        </w:rPr>
      </w:pPr>
    </w:p>
    <w:p w14:paraId="60140727" w14:textId="3B439E72" w:rsidR="00DE1E81" w:rsidRPr="00DE1E81" w:rsidRDefault="00DE1E81" w:rsidP="00DE1E81">
      <w:pPr>
        <w:spacing w:line="240" w:lineRule="auto"/>
        <w:rPr>
          <w:rFonts w:eastAsia="Times New Roman" w:cs="Arial"/>
        </w:rPr>
      </w:pPr>
      <w:r w:rsidRPr="00DE1E81">
        <w:rPr>
          <w:rFonts w:eastAsia="Times New Roman" w:cs="Arial"/>
          <w:color w:val="000000"/>
          <w:lang w:eastAsia="bg-BG"/>
        </w:rPr>
        <w:t xml:space="preserve">Таблетките Ламиктал (25, 50, и 100 </w:t>
      </w:r>
      <w:r w:rsidRPr="00DE1E81">
        <w:rPr>
          <w:rFonts w:eastAsia="Times New Roman" w:cs="Arial"/>
          <w:color w:val="000000"/>
          <w:lang w:val="en-US"/>
        </w:rPr>
        <w:t>mg</w:t>
      </w:r>
      <w:r w:rsidRPr="00DE1E81">
        <w:rPr>
          <w:rFonts w:eastAsia="Times New Roman" w:cs="Arial"/>
          <w:color w:val="000000"/>
          <w:lang w:val="ru-RU"/>
        </w:rPr>
        <w:t xml:space="preserve"> </w:t>
      </w:r>
      <w:r w:rsidRPr="00DE1E81">
        <w:rPr>
          <w:rFonts w:eastAsia="Times New Roman" w:cs="Arial"/>
          <w:color w:val="000000"/>
          <w:lang w:eastAsia="bg-BG"/>
        </w:rPr>
        <w:t>таблетки) съдържат лактоза монохидрат. Пациентите с редки наследствени проблеми като непоносимост към галактоза, пълен лактазен дефицит или глюкозо-галактозна малабсорбция не трябва да приемат това лекарство.</w:t>
      </w:r>
    </w:p>
    <w:p w14:paraId="04AB50B3" w14:textId="77777777" w:rsidR="00DE1E81" w:rsidRPr="00DE1E81" w:rsidRDefault="00DE1E81" w:rsidP="00DE1E81">
      <w:pPr>
        <w:spacing w:line="240" w:lineRule="auto"/>
        <w:rPr>
          <w:rFonts w:eastAsia="Times New Roman" w:cs="Arial"/>
          <w:color w:val="000000"/>
          <w:lang w:eastAsia="bg-BG"/>
        </w:rPr>
      </w:pPr>
    </w:p>
    <w:p w14:paraId="7B633BF4" w14:textId="60F7274B" w:rsidR="00DE1E81" w:rsidRPr="00DE1E81" w:rsidRDefault="00DE1E81" w:rsidP="00DE1E81">
      <w:pPr>
        <w:spacing w:line="240" w:lineRule="auto"/>
        <w:rPr>
          <w:rFonts w:eastAsia="Times New Roman" w:cs="Arial"/>
        </w:rPr>
      </w:pPr>
      <w:r w:rsidRPr="00DE1E81">
        <w:rPr>
          <w:rFonts w:eastAsia="Times New Roman" w:cs="Arial"/>
          <w:color w:val="000000"/>
          <w:lang w:eastAsia="bg-BG"/>
        </w:rPr>
        <w:t xml:space="preserve">Ламиктал таблетки съдържат по-малко от 1 </w:t>
      </w:r>
      <w:r w:rsidRPr="00DE1E81">
        <w:rPr>
          <w:rFonts w:eastAsia="Times New Roman" w:cs="Arial"/>
          <w:color w:val="000000"/>
          <w:lang w:val="en-US"/>
        </w:rPr>
        <w:t>mmol</w:t>
      </w:r>
      <w:r w:rsidRPr="00DE1E81">
        <w:rPr>
          <w:rFonts w:eastAsia="Times New Roman" w:cs="Arial"/>
          <w:color w:val="000000"/>
          <w:lang w:val="ru-RU"/>
        </w:rPr>
        <w:t xml:space="preserve"> </w:t>
      </w:r>
      <w:r w:rsidRPr="00DE1E81">
        <w:rPr>
          <w:rFonts w:eastAsia="Times New Roman" w:cs="Arial"/>
          <w:color w:val="000000"/>
          <w:lang w:eastAsia="bg-BG"/>
        </w:rPr>
        <w:t xml:space="preserve">натрий (23 </w:t>
      </w:r>
      <w:r w:rsidRPr="00DE1E81">
        <w:rPr>
          <w:rFonts w:eastAsia="Times New Roman" w:cs="Arial"/>
          <w:color w:val="000000"/>
          <w:lang w:val="en-US"/>
        </w:rPr>
        <w:t>mg</w:t>
      </w:r>
      <w:r w:rsidRPr="00DE1E81">
        <w:rPr>
          <w:rFonts w:eastAsia="Times New Roman" w:cs="Arial"/>
          <w:color w:val="000000"/>
          <w:lang w:val="ru-RU"/>
        </w:rPr>
        <w:t xml:space="preserve">) </w:t>
      </w:r>
      <w:r w:rsidRPr="00DE1E81">
        <w:rPr>
          <w:rFonts w:eastAsia="Times New Roman" w:cs="Arial"/>
          <w:color w:val="000000"/>
          <w:lang w:eastAsia="bg-BG"/>
        </w:rPr>
        <w:t>на таблетка, т.е. може да се каже, че практически не съдържат натрий.</w:t>
      </w:r>
    </w:p>
    <w:p w14:paraId="163C035B" w14:textId="77777777" w:rsidR="00DE1E81" w:rsidRPr="00DE1E81" w:rsidRDefault="00DE1E81" w:rsidP="00DE1E81">
      <w:pPr>
        <w:spacing w:line="240" w:lineRule="auto"/>
        <w:rPr>
          <w:rFonts w:eastAsia="Times New Roman" w:cs="Arial"/>
          <w:color w:val="000000"/>
          <w:u w:val="single"/>
          <w:lang w:eastAsia="bg-BG"/>
        </w:rPr>
      </w:pPr>
    </w:p>
    <w:p w14:paraId="29000936" w14:textId="62E8C0DF" w:rsidR="00DE1E81" w:rsidRPr="00DE1E81" w:rsidRDefault="00DE1E81" w:rsidP="00DE1E81">
      <w:pPr>
        <w:spacing w:line="240" w:lineRule="auto"/>
        <w:rPr>
          <w:rFonts w:eastAsia="Times New Roman" w:cs="Arial"/>
        </w:rPr>
      </w:pPr>
      <w:r w:rsidRPr="00DE1E81">
        <w:rPr>
          <w:rFonts w:eastAsia="Times New Roman" w:cs="Arial"/>
          <w:color w:val="000000"/>
          <w:u w:val="single"/>
          <w:lang w:eastAsia="bg-BG"/>
        </w:rPr>
        <w:t>Развитие на децата</w:t>
      </w:r>
    </w:p>
    <w:p w14:paraId="016E22FB" w14:textId="1EDB5FCE" w:rsidR="00DE1E81" w:rsidRPr="00DE1E81" w:rsidRDefault="00DE1E81" w:rsidP="00DE1E81">
      <w:pPr>
        <w:spacing w:line="240" w:lineRule="auto"/>
        <w:rPr>
          <w:rFonts w:eastAsia="Times New Roman" w:cs="Arial"/>
        </w:rPr>
      </w:pPr>
      <w:r w:rsidRPr="00DE1E81">
        <w:rPr>
          <w:rFonts w:eastAsia="Times New Roman" w:cs="Arial"/>
          <w:color w:val="000000"/>
          <w:lang w:eastAsia="bg-BG"/>
        </w:rPr>
        <w:t>Няма данни за ефекта на ламотригин върху растежа, половото съзряване и когнитивното, емоционалното и поведенческото развитие на децата.</w:t>
      </w:r>
    </w:p>
    <w:p w14:paraId="7B82C5BC" w14:textId="77777777" w:rsidR="00DE1E81" w:rsidRPr="00DE1E81" w:rsidRDefault="00DE1E81" w:rsidP="00DE1E81">
      <w:pPr>
        <w:spacing w:line="240" w:lineRule="auto"/>
        <w:rPr>
          <w:rFonts w:eastAsia="Times New Roman" w:cs="Arial"/>
          <w:color w:val="000000"/>
          <w:u w:val="single"/>
          <w:lang w:eastAsia="bg-BG"/>
        </w:rPr>
      </w:pPr>
    </w:p>
    <w:p w14:paraId="794099CC" w14:textId="2BE140E1" w:rsidR="00DE1E81" w:rsidRPr="00DE1E81" w:rsidRDefault="00DE1E81" w:rsidP="00DE1E81">
      <w:pPr>
        <w:spacing w:line="240" w:lineRule="auto"/>
        <w:rPr>
          <w:rFonts w:eastAsia="Times New Roman" w:cs="Arial"/>
        </w:rPr>
      </w:pPr>
      <w:r w:rsidRPr="00DE1E81">
        <w:rPr>
          <w:rFonts w:eastAsia="Times New Roman" w:cs="Arial"/>
          <w:color w:val="000000"/>
          <w:u w:val="single"/>
          <w:lang w:eastAsia="bg-BG"/>
        </w:rPr>
        <w:t>Предпазни мерки при епилепсия</w:t>
      </w:r>
    </w:p>
    <w:p w14:paraId="0AFD20D5" w14:textId="77777777" w:rsidR="00DE1E81" w:rsidRPr="00DE1E81" w:rsidRDefault="00DE1E81" w:rsidP="00DE1E81">
      <w:pPr>
        <w:spacing w:line="240" w:lineRule="auto"/>
        <w:rPr>
          <w:rFonts w:eastAsia="Times New Roman" w:cs="Arial"/>
          <w:color w:val="000000"/>
          <w:lang w:eastAsia="bg-BG"/>
        </w:rPr>
      </w:pPr>
    </w:p>
    <w:p w14:paraId="3E59242B" w14:textId="27E15817" w:rsidR="00DE1E81" w:rsidRPr="00DE1E81" w:rsidRDefault="00DE1E81" w:rsidP="00DE1E81">
      <w:pPr>
        <w:spacing w:line="240" w:lineRule="auto"/>
        <w:rPr>
          <w:rFonts w:eastAsia="Times New Roman" w:cs="Arial"/>
        </w:rPr>
      </w:pPr>
      <w:r w:rsidRPr="00DE1E81">
        <w:rPr>
          <w:rFonts w:eastAsia="Times New Roman" w:cs="Arial"/>
          <w:color w:val="000000"/>
          <w:lang w:eastAsia="bg-BG"/>
        </w:rPr>
        <w:t>Както при други АЕЛ, внезапното спиране на приема на Ламиктал може да доведе до нова поява на припадъци. Дозата на Ламиктал трябва да бъде намалявана постепенно за период от две седмици, освен при съображения за безопасност (напр. обрив), изискващи рязко прекратяване на лечението.</w:t>
      </w:r>
    </w:p>
    <w:p w14:paraId="6EF77F73" w14:textId="77777777" w:rsidR="00DE1E81" w:rsidRPr="00DE1E81" w:rsidRDefault="00DE1E81" w:rsidP="00DE1E81">
      <w:pPr>
        <w:spacing w:line="240" w:lineRule="auto"/>
        <w:rPr>
          <w:rFonts w:eastAsia="Times New Roman" w:cs="Arial"/>
          <w:color w:val="000000"/>
          <w:lang w:eastAsia="bg-BG"/>
        </w:rPr>
      </w:pPr>
    </w:p>
    <w:p w14:paraId="7CCD4AC7" w14:textId="2C4F0820" w:rsidR="00DE1E81" w:rsidRPr="00DE1E81" w:rsidRDefault="00DE1E81" w:rsidP="00DE1E81">
      <w:pPr>
        <w:spacing w:line="240" w:lineRule="auto"/>
        <w:rPr>
          <w:rFonts w:eastAsia="Times New Roman" w:cs="Arial"/>
        </w:rPr>
      </w:pPr>
      <w:r w:rsidRPr="00DE1E81">
        <w:rPr>
          <w:rFonts w:eastAsia="Times New Roman" w:cs="Arial"/>
          <w:color w:val="000000"/>
          <w:lang w:eastAsia="bg-BG"/>
        </w:rPr>
        <w:t xml:space="preserve">Според данни от литературата при пациенти с тежки конвулсивни форми на епилепсия, включително </w:t>
      </w:r>
      <w:r w:rsidRPr="00DE1E81">
        <w:rPr>
          <w:rFonts w:eastAsia="Times New Roman" w:cs="Arial"/>
          <w:color w:val="000000"/>
          <w:lang w:val="en-US"/>
        </w:rPr>
        <w:t>status</w:t>
      </w:r>
      <w:r w:rsidRPr="00DE1E81">
        <w:rPr>
          <w:rFonts w:eastAsia="Times New Roman" w:cs="Arial"/>
          <w:color w:val="000000"/>
          <w:lang w:val="ru-RU"/>
        </w:rPr>
        <w:t xml:space="preserve"> </w:t>
      </w:r>
      <w:r w:rsidRPr="00DE1E81">
        <w:rPr>
          <w:rFonts w:eastAsia="Times New Roman" w:cs="Arial"/>
          <w:color w:val="000000"/>
          <w:lang w:val="en-US"/>
        </w:rPr>
        <w:t>epilepticus</w:t>
      </w:r>
      <w:r w:rsidRPr="00DE1E81">
        <w:rPr>
          <w:rFonts w:eastAsia="Times New Roman" w:cs="Arial"/>
          <w:color w:val="000000"/>
          <w:lang w:val="ru-RU"/>
        </w:rPr>
        <w:t xml:space="preserve">, </w:t>
      </w:r>
      <w:r w:rsidRPr="00DE1E81">
        <w:rPr>
          <w:rFonts w:eastAsia="Times New Roman" w:cs="Arial"/>
          <w:color w:val="000000"/>
          <w:lang w:eastAsia="bg-BG"/>
        </w:rPr>
        <w:t>може да се развие рабдомиолиза, мултиорганна дисфункция и дисеминирана вътресъдова коагулация, в някои случаи с летален изход. Описвани са подобни случаи, свързани с приложението на ламотригин.</w:t>
      </w:r>
    </w:p>
    <w:p w14:paraId="48ACE80D" w14:textId="77777777" w:rsidR="00DE1E81" w:rsidRPr="00DE1E81" w:rsidRDefault="00DE1E81" w:rsidP="00DE1E81">
      <w:pPr>
        <w:spacing w:line="240" w:lineRule="auto"/>
        <w:rPr>
          <w:rFonts w:eastAsia="Times New Roman" w:cs="Arial"/>
          <w:color w:val="000000"/>
          <w:lang w:eastAsia="bg-BG"/>
        </w:rPr>
      </w:pPr>
    </w:p>
    <w:p w14:paraId="6ABAA73B" w14:textId="6FFC9A00" w:rsidR="00DE1E81" w:rsidRPr="00DE1E81" w:rsidRDefault="00DE1E81" w:rsidP="00DE1E81">
      <w:pPr>
        <w:spacing w:line="240" w:lineRule="auto"/>
        <w:rPr>
          <w:rFonts w:eastAsia="Times New Roman" w:cs="Arial"/>
        </w:rPr>
      </w:pPr>
      <w:r w:rsidRPr="00DE1E81">
        <w:rPr>
          <w:rFonts w:eastAsia="Times New Roman" w:cs="Arial"/>
          <w:color w:val="000000"/>
          <w:lang w:eastAsia="bg-BG"/>
        </w:rPr>
        <w:t>Може да се наблюдава клинично значимо влошаване в честотата на припадъците вместо подобрение. При пациенти с повече от един тип припадъци, установената полза от контрола на един тип припадък трябва да бъде преценена срещу каквото и да е наблюдавано влошаване при другите типове припадъци.</w:t>
      </w:r>
    </w:p>
    <w:p w14:paraId="0BC3C22B" w14:textId="77777777" w:rsidR="00DE1E81" w:rsidRPr="00DE1E81" w:rsidRDefault="00DE1E81" w:rsidP="00DE1E81">
      <w:pPr>
        <w:spacing w:line="240" w:lineRule="auto"/>
        <w:rPr>
          <w:rFonts w:eastAsia="Times New Roman" w:cs="Arial"/>
          <w:color w:val="000000"/>
          <w:lang w:eastAsia="bg-BG"/>
        </w:rPr>
      </w:pPr>
    </w:p>
    <w:p w14:paraId="15AE74DA" w14:textId="014694B6" w:rsidR="00DE1E81" w:rsidRPr="00DE1E81" w:rsidRDefault="00DE1E81" w:rsidP="00DE1E81">
      <w:pPr>
        <w:spacing w:line="240" w:lineRule="auto"/>
        <w:rPr>
          <w:rFonts w:eastAsia="Times New Roman" w:cs="Arial"/>
        </w:rPr>
      </w:pPr>
      <w:r w:rsidRPr="00DE1E81">
        <w:rPr>
          <w:rFonts w:eastAsia="Times New Roman" w:cs="Arial"/>
          <w:color w:val="000000"/>
          <w:lang w:eastAsia="bg-BG"/>
        </w:rPr>
        <w:t>Миоклоничните припадъци може да бъдат влошени от ламотригин.</w:t>
      </w:r>
    </w:p>
    <w:p w14:paraId="3C897B28" w14:textId="77777777" w:rsidR="00DE1E81" w:rsidRPr="00DE1E81" w:rsidRDefault="00DE1E81" w:rsidP="00DE1E81">
      <w:pPr>
        <w:spacing w:line="240" w:lineRule="auto"/>
        <w:rPr>
          <w:rFonts w:eastAsia="Times New Roman" w:cs="Arial"/>
          <w:color w:val="000000"/>
          <w:lang w:eastAsia="bg-BG"/>
        </w:rPr>
      </w:pPr>
    </w:p>
    <w:p w14:paraId="60C590AE" w14:textId="77957A80" w:rsidR="00DE1E81" w:rsidRPr="00DE1E81" w:rsidRDefault="00DE1E81" w:rsidP="00DE1E81">
      <w:pPr>
        <w:spacing w:line="240" w:lineRule="auto"/>
        <w:rPr>
          <w:rFonts w:eastAsia="Times New Roman" w:cs="Arial"/>
        </w:rPr>
      </w:pPr>
      <w:r w:rsidRPr="00DE1E81">
        <w:rPr>
          <w:rFonts w:eastAsia="Times New Roman" w:cs="Arial"/>
          <w:color w:val="000000"/>
          <w:lang w:eastAsia="bg-BG"/>
        </w:rPr>
        <w:t>Налице е предположение от наличните данни, че отговорите при комбинацията с ензимни индуктори са по-слаби в сравнение с комбинацията с антиепилептични агенти, които не индуцират ензими. Причината не е изяснена.</w:t>
      </w:r>
    </w:p>
    <w:p w14:paraId="239A755F" w14:textId="77777777" w:rsidR="00DE1E81" w:rsidRPr="00DE1E81" w:rsidRDefault="00DE1E81" w:rsidP="00DE1E81">
      <w:pPr>
        <w:spacing w:line="240" w:lineRule="auto"/>
        <w:rPr>
          <w:rFonts w:eastAsia="Times New Roman" w:cs="Arial"/>
          <w:color w:val="000000"/>
          <w:lang w:eastAsia="bg-BG"/>
        </w:rPr>
      </w:pPr>
    </w:p>
    <w:p w14:paraId="164C59FA" w14:textId="501A7F82" w:rsidR="00DE1E81" w:rsidRPr="00DE1E81" w:rsidRDefault="00DE1E81" w:rsidP="00DE1E81">
      <w:pPr>
        <w:spacing w:line="240" w:lineRule="auto"/>
        <w:rPr>
          <w:rFonts w:eastAsia="Times New Roman" w:cs="Arial"/>
        </w:rPr>
      </w:pPr>
      <w:r w:rsidRPr="00DE1E81">
        <w:rPr>
          <w:rFonts w:eastAsia="Times New Roman" w:cs="Arial"/>
          <w:color w:val="000000"/>
          <w:lang w:eastAsia="bg-BG"/>
        </w:rPr>
        <w:t>При деца, които приемат ламотригин за лечение на типични абсанси, е възможно ефикасността да не се поддържа при всички пациенти.</w:t>
      </w:r>
    </w:p>
    <w:p w14:paraId="7E2AEEDD" w14:textId="77777777" w:rsidR="00DE1E81" w:rsidRPr="00DE1E81" w:rsidRDefault="00DE1E81" w:rsidP="00DE1E81">
      <w:pPr>
        <w:spacing w:line="240" w:lineRule="auto"/>
        <w:rPr>
          <w:rFonts w:eastAsia="Times New Roman" w:cs="Arial"/>
          <w:color w:val="000000"/>
          <w:u w:val="single"/>
          <w:lang w:eastAsia="bg-BG"/>
        </w:rPr>
      </w:pPr>
    </w:p>
    <w:p w14:paraId="0A247B7A" w14:textId="73EA4A22" w:rsidR="00DE1E81" w:rsidRPr="00DE1E81" w:rsidRDefault="00DE1E81" w:rsidP="00DE1E81">
      <w:pPr>
        <w:spacing w:line="240" w:lineRule="auto"/>
        <w:rPr>
          <w:rFonts w:eastAsia="Times New Roman" w:cs="Arial"/>
        </w:rPr>
      </w:pPr>
      <w:r w:rsidRPr="00DE1E81">
        <w:rPr>
          <w:rFonts w:eastAsia="Times New Roman" w:cs="Arial"/>
          <w:color w:val="000000"/>
          <w:u w:val="single"/>
          <w:lang w:eastAsia="bg-BG"/>
        </w:rPr>
        <w:t>Предпазни мерки при биполярно разстройство</w:t>
      </w:r>
    </w:p>
    <w:p w14:paraId="74CCE7EC" w14:textId="77777777" w:rsidR="00DE1E81" w:rsidRPr="00DE1E81" w:rsidRDefault="00DE1E81" w:rsidP="00DE1E81">
      <w:pPr>
        <w:spacing w:line="240" w:lineRule="auto"/>
        <w:rPr>
          <w:rFonts w:eastAsia="Times New Roman" w:cs="Arial"/>
          <w:i/>
          <w:iCs/>
          <w:color w:val="000000"/>
          <w:lang w:eastAsia="bg-BG"/>
        </w:rPr>
      </w:pPr>
    </w:p>
    <w:p w14:paraId="34A1BEE1" w14:textId="5FC71DBE" w:rsidR="00DE1E81" w:rsidRPr="00DE1E81" w:rsidRDefault="00DE1E81" w:rsidP="00DE1E81">
      <w:pPr>
        <w:spacing w:line="240" w:lineRule="auto"/>
        <w:rPr>
          <w:rFonts w:eastAsia="Times New Roman" w:cs="Arial"/>
        </w:rPr>
      </w:pPr>
      <w:r w:rsidRPr="00DE1E81">
        <w:rPr>
          <w:rFonts w:eastAsia="Times New Roman" w:cs="Arial"/>
          <w:i/>
          <w:iCs/>
          <w:color w:val="000000"/>
          <w:lang w:eastAsia="bg-BG"/>
        </w:rPr>
        <w:lastRenderedPageBreak/>
        <w:t>Деца и юноши под 18 години</w:t>
      </w:r>
    </w:p>
    <w:p w14:paraId="3C24831F" w14:textId="77777777" w:rsidR="00DE1E81" w:rsidRPr="00DE1E81" w:rsidRDefault="00DE1E81" w:rsidP="00DE1E81">
      <w:pPr>
        <w:spacing w:line="240" w:lineRule="auto"/>
        <w:rPr>
          <w:rFonts w:eastAsia="Times New Roman" w:cs="Arial"/>
        </w:rPr>
      </w:pPr>
      <w:r w:rsidRPr="00DE1E81">
        <w:rPr>
          <w:rFonts w:eastAsia="Times New Roman" w:cs="Arial"/>
          <w:color w:val="000000"/>
          <w:lang w:eastAsia="bg-BG"/>
        </w:rPr>
        <w:t>Лечението с антидепресанти е свързано с повишен риск от суицидни мисли и поведение при деца и юноши с голям депресивен епизод и други психиатрични разстройства.</w:t>
      </w:r>
    </w:p>
    <w:p w14:paraId="5EF153C5" w14:textId="77777777" w:rsidR="00DE1E81" w:rsidRPr="00DE1E81" w:rsidRDefault="00DE1E81" w:rsidP="00DE1E81">
      <w:pPr>
        <w:rPr>
          <w:rFonts w:cs="Arial"/>
        </w:rPr>
      </w:pPr>
    </w:p>
    <w:p w14:paraId="1244F76A" w14:textId="12CFD469" w:rsidR="00395555" w:rsidRDefault="002C50EE" w:rsidP="008A6AF2">
      <w:pPr>
        <w:pStyle w:val="Heading2"/>
      </w:pPr>
      <w:r>
        <w:t>4.5. Взаимодействие с други лекарствени продукти и други форми на взаимодействие</w:t>
      </w:r>
    </w:p>
    <w:p w14:paraId="4A148348" w14:textId="0FFD3168" w:rsidR="00DE1E81" w:rsidRDefault="00DE1E81" w:rsidP="00DE1E81"/>
    <w:p w14:paraId="16E57929" w14:textId="77777777" w:rsidR="00DE1E81" w:rsidRPr="00DE1E81" w:rsidRDefault="00DE1E81" w:rsidP="00DE1E81">
      <w:pPr>
        <w:spacing w:line="240" w:lineRule="auto"/>
        <w:rPr>
          <w:rFonts w:eastAsia="Times New Roman" w:cs="Arial"/>
          <w:sz w:val="24"/>
          <w:szCs w:val="24"/>
        </w:rPr>
      </w:pPr>
      <w:r w:rsidRPr="00DE1E81">
        <w:rPr>
          <w:rFonts w:eastAsia="Times New Roman" w:cs="Arial"/>
          <w:color w:val="000000"/>
          <w:lang w:eastAsia="bg-BG"/>
        </w:rPr>
        <w:t>Изпитвания, свързани с лекарствени и други взаимодействия, са провеждани само при възрастни пациенти.</w:t>
      </w:r>
    </w:p>
    <w:p w14:paraId="68402475" w14:textId="77777777" w:rsidR="00DE1E81" w:rsidRPr="00DE1E81" w:rsidRDefault="00DE1E81" w:rsidP="00DE1E81">
      <w:pPr>
        <w:spacing w:line="240" w:lineRule="auto"/>
        <w:rPr>
          <w:rFonts w:eastAsia="Times New Roman" w:cs="Arial"/>
          <w:color w:val="000000"/>
          <w:lang w:eastAsia="bg-BG"/>
        </w:rPr>
      </w:pPr>
    </w:p>
    <w:p w14:paraId="7C65E711" w14:textId="31C4DC31" w:rsidR="00DE1E81" w:rsidRPr="00DE1E81" w:rsidRDefault="00DE1E81" w:rsidP="00DE1E81">
      <w:pPr>
        <w:spacing w:line="240" w:lineRule="auto"/>
        <w:rPr>
          <w:rFonts w:eastAsia="Times New Roman" w:cs="Arial"/>
          <w:sz w:val="24"/>
          <w:szCs w:val="24"/>
        </w:rPr>
      </w:pPr>
      <w:r w:rsidRPr="00DE1E81">
        <w:rPr>
          <w:rFonts w:eastAsia="Times New Roman" w:cs="Arial"/>
          <w:color w:val="000000"/>
          <w:lang w:eastAsia="bg-BG"/>
        </w:rPr>
        <w:t>Установено е, че уридин-5'-дифосфо (</w:t>
      </w:r>
      <w:r w:rsidRPr="00DE1E81">
        <w:rPr>
          <w:rFonts w:eastAsia="Times New Roman" w:cs="Arial"/>
          <w:color w:val="000000"/>
          <w:lang w:val="en-US"/>
        </w:rPr>
        <w:t>UDP</w:t>
      </w:r>
      <w:r w:rsidRPr="00DE1E81">
        <w:rPr>
          <w:rFonts w:eastAsia="Times New Roman" w:cs="Arial"/>
          <w:color w:val="000000"/>
          <w:lang w:eastAsia="bg-BG"/>
        </w:rPr>
        <w:t xml:space="preserve">)-глюкуронил трансферазите </w:t>
      </w:r>
      <w:r w:rsidRPr="00DE1E81">
        <w:rPr>
          <w:rFonts w:eastAsia="Times New Roman" w:cs="Arial"/>
          <w:color w:val="000000"/>
          <w:lang w:val="ru-RU"/>
        </w:rPr>
        <w:t>(</w:t>
      </w:r>
      <w:r w:rsidRPr="00DE1E81">
        <w:rPr>
          <w:rFonts w:eastAsia="Times New Roman" w:cs="Arial"/>
          <w:color w:val="000000"/>
          <w:lang w:val="en-US"/>
        </w:rPr>
        <w:t>UGTs</w:t>
      </w:r>
      <w:r w:rsidRPr="00DE1E81">
        <w:rPr>
          <w:rFonts w:eastAsia="Times New Roman" w:cs="Arial"/>
          <w:color w:val="000000"/>
          <w:lang w:val="ru-RU"/>
        </w:rPr>
        <w:t xml:space="preserve">) </w:t>
      </w:r>
      <w:r w:rsidRPr="00DE1E81">
        <w:rPr>
          <w:rFonts w:eastAsia="Times New Roman" w:cs="Arial"/>
          <w:color w:val="000000"/>
          <w:lang w:eastAsia="bg-BG"/>
        </w:rPr>
        <w:t xml:space="preserve">са ензимите, отговорни за метаболизма на ламотригин. Следователно лекарствата, които индуцират или инхибират глюкуронирането, може да повлияят привидния клирьнс на ламотригин. Силните или умерените индуктори на ензим цитохром Р450 ЗА4 </w:t>
      </w:r>
      <w:r w:rsidRPr="00DE1E81">
        <w:rPr>
          <w:rFonts w:eastAsia="Times New Roman" w:cs="Arial"/>
          <w:color w:val="000000"/>
          <w:lang w:val="ru-RU"/>
        </w:rPr>
        <w:t>(</w:t>
      </w:r>
      <w:r w:rsidRPr="00DE1E81">
        <w:rPr>
          <w:rFonts w:eastAsia="Times New Roman" w:cs="Arial"/>
          <w:color w:val="000000"/>
          <w:lang w:val="en-US"/>
        </w:rPr>
        <w:t>CYP</w:t>
      </w:r>
      <w:r w:rsidRPr="00DE1E81">
        <w:rPr>
          <w:rFonts w:eastAsia="Times New Roman" w:cs="Arial"/>
          <w:color w:val="000000"/>
          <w:lang w:val="ru-RU"/>
        </w:rPr>
        <w:t>3</w:t>
      </w:r>
      <w:r w:rsidRPr="00DE1E81">
        <w:rPr>
          <w:rFonts w:eastAsia="Times New Roman" w:cs="Arial"/>
          <w:color w:val="000000"/>
          <w:lang w:val="en-US"/>
        </w:rPr>
        <w:t>A</w:t>
      </w:r>
      <w:r w:rsidRPr="00DE1E81">
        <w:rPr>
          <w:rFonts w:eastAsia="Times New Roman" w:cs="Arial"/>
          <w:color w:val="000000"/>
          <w:lang w:val="ru-RU"/>
        </w:rPr>
        <w:t xml:space="preserve">4), </w:t>
      </w:r>
      <w:r w:rsidRPr="00DE1E81">
        <w:rPr>
          <w:rFonts w:eastAsia="Times New Roman" w:cs="Arial"/>
          <w:color w:val="000000"/>
          <w:lang w:eastAsia="bg-BG"/>
        </w:rPr>
        <w:t xml:space="preserve">за които е известно, че индуцират </w:t>
      </w:r>
      <w:r w:rsidRPr="00DE1E81">
        <w:rPr>
          <w:rFonts w:eastAsia="Times New Roman" w:cs="Arial"/>
          <w:color w:val="000000"/>
          <w:lang w:val="en-US"/>
        </w:rPr>
        <w:t>UGTs</w:t>
      </w:r>
      <w:r w:rsidRPr="00DE1E81">
        <w:rPr>
          <w:rFonts w:eastAsia="Times New Roman" w:cs="Arial"/>
          <w:color w:val="000000"/>
          <w:lang w:val="ru-RU"/>
        </w:rPr>
        <w:t xml:space="preserve">, </w:t>
      </w:r>
      <w:r w:rsidRPr="00DE1E81">
        <w:rPr>
          <w:rFonts w:eastAsia="Times New Roman" w:cs="Arial"/>
          <w:color w:val="000000"/>
          <w:lang w:eastAsia="bg-BG"/>
        </w:rPr>
        <w:t>също може да ускорят метаболизма на ламотригин. Няма данни за клинично значими индукция или инхибиране на цитохром Р 450 ензимите, причинени от ламотригин. Ламотригин може да индуцира своя собствен метаболизъм, като този ефект е умерено проявен и няма клинично значими последствия.</w:t>
      </w:r>
    </w:p>
    <w:p w14:paraId="50002CD6" w14:textId="77777777" w:rsidR="00DE1E81" w:rsidRPr="00DE1E81" w:rsidRDefault="00DE1E81" w:rsidP="00DE1E81">
      <w:pPr>
        <w:spacing w:line="240" w:lineRule="auto"/>
        <w:rPr>
          <w:rFonts w:eastAsia="Times New Roman" w:cs="Arial"/>
          <w:color w:val="000000"/>
          <w:lang w:eastAsia="bg-BG"/>
        </w:rPr>
      </w:pPr>
    </w:p>
    <w:p w14:paraId="6C5E7AD3" w14:textId="729818E6" w:rsidR="00DE1E81" w:rsidRPr="00DE1E81" w:rsidRDefault="00DE1E81" w:rsidP="00DE1E81">
      <w:pPr>
        <w:spacing w:line="240" w:lineRule="auto"/>
        <w:rPr>
          <w:rFonts w:eastAsia="Times New Roman" w:cs="Arial"/>
          <w:sz w:val="24"/>
          <w:szCs w:val="24"/>
        </w:rPr>
      </w:pPr>
      <w:r w:rsidRPr="00DE1E81">
        <w:rPr>
          <w:rFonts w:eastAsia="Times New Roman" w:cs="Arial"/>
          <w:color w:val="000000"/>
          <w:lang w:eastAsia="bg-BG"/>
        </w:rPr>
        <w:t>Тези лекарства, за които е доказано, че имат клинично значимо въздействие върху концентрацията на ламотригин, са посочени в Таблица 6. Специфичните указания за дозиране на тези лекарства, са представени в точка 4.2. В допълнение тази таблица изброява тези лекарства, за които е доказано, че имат малък или нямат ефект върху концентрацията на ламотригин. По принцип не се очаква едновременното прилагане на такива лекарства да доведе до някакво клинично въздействие. Въпреки това трябва да се обърне внимание на пациенти, чиято епилепсия е особено чувствителна към колебанията в концентрациите на ламотригин.</w:t>
      </w:r>
    </w:p>
    <w:p w14:paraId="383C0BA9" w14:textId="77777777" w:rsidR="00DE1E81" w:rsidRPr="00DE1E81" w:rsidRDefault="00DE1E81" w:rsidP="00DE1E81">
      <w:pPr>
        <w:spacing w:line="240" w:lineRule="auto"/>
        <w:rPr>
          <w:rFonts w:eastAsia="Times New Roman" w:cs="Arial"/>
          <w:i/>
          <w:iCs/>
          <w:color w:val="000000"/>
          <w:u w:val="single"/>
          <w:lang w:eastAsia="bg-BG"/>
        </w:rPr>
      </w:pPr>
    </w:p>
    <w:p w14:paraId="7F9AD008" w14:textId="712BCBF3" w:rsidR="00DE1E81" w:rsidRPr="00DE1E81" w:rsidRDefault="00DE1E81" w:rsidP="00DE1E81">
      <w:pPr>
        <w:spacing w:line="240" w:lineRule="auto"/>
        <w:rPr>
          <w:rFonts w:eastAsia="Times New Roman" w:cs="Arial"/>
          <w:sz w:val="24"/>
          <w:szCs w:val="24"/>
        </w:rPr>
      </w:pPr>
      <w:r w:rsidRPr="00DE1E81">
        <w:rPr>
          <w:rFonts w:eastAsia="Times New Roman" w:cs="Arial"/>
          <w:i/>
          <w:iCs/>
          <w:color w:val="000000"/>
          <w:u w:val="single"/>
          <w:lang w:eastAsia="bg-BG"/>
        </w:rPr>
        <w:t>Таблица 6: Ефекти на лекарствени продукти върху концентрацията на ламотригин</w:t>
      </w:r>
    </w:p>
    <w:tbl>
      <w:tblPr>
        <w:tblStyle w:val="TableGrid"/>
        <w:tblW w:w="0" w:type="auto"/>
        <w:tblLook w:val="04A0" w:firstRow="1" w:lastRow="0" w:firstColumn="1" w:lastColumn="0" w:noHBand="0" w:noVBand="1"/>
      </w:tblPr>
      <w:tblGrid>
        <w:gridCol w:w="3100"/>
        <w:gridCol w:w="3150"/>
        <w:gridCol w:w="3100"/>
      </w:tblGrid>
      <w:tr w:rsidR="00DE1E81" w14:paraId="774C7AEC" w14:textId="77777777" w:rsidTr="00DE1E81">
        <w:tc>
          <w:tcPr>
            <w:tcW w:w="3192" w:type="dxa"/>
          </w:tcPr>
          <w:p w14:paraId="0CAEDD84" w14:textId="523AFDB8" w:rsidR="00DE1E81" w:rsidRPr="00DE1E81" w:rsidRDefault="00DE1E81" w:rsidP="00DE1E81">
            <w:r w:rsidRPr="00DE1E81">
              <w:rPr>
                <w:b/>
                <w:bCs/>
              </w:rPr>
              <w:t>Лекарствени продукти, които повишават концентрацията на ламотригин</w:t>
            </w:r>
          </w:p>
        </w:tc>
        <w:tc>
          <w:tcPr>
            <w:tcW w:w="3192" w:type="dxa"/>
          </w:tcPr>
          <w:p w14:paraId="2B74C089" w14:textId="3C246E8F" w:rsidR="00DE1E81" w:rsidRPr="00DE1E81" w:rsidRDefault="00DE1E81" w:rsidP="00DE1E81">
            <w:r w:rsidRPr="00DE1E81">
              <w:rPr>
                <w:b/>
                <w:bCs/>
              </w:rPr>
              <w:t>Лекарствени продукти, конто понижават концентрацията на ламотригин</w:t>
            </w:r>
          </w:p>
        </w:tc>
        <w:tc>
          <w:tcPr>
            <w:tcW w:w="3192" w:type="dxa"/>
          </w:tcPr>
          <w:p w14:paraId="390B085C" w14:textId="5CB2414F" w:rsidR="00DE1E81" w:rsidRPr="00DE1E81" w:rsidRDefault="00DE1E81" w:rsidP="00DE1E81">
            <w:r w:rsidRPr="00DE1E81">
              <w:rPr>
                <w:b/>
                <w:bCs/>
              </w:rPr>
              <w:t>Лекарствени продукти, които имат малък или нямат ефект върху концентрацията на ламотригин</w:t>
            </w:r>
          </w:p>
        </w:tc>
      </w:tr>
      <w:tr w:rsidR="00DE1E81" w14:paraId="7EC28EF4" w14:textId="77777777" w:rsidTr="00DE1E81">
        <w:tc>
          <w:tcPr>
            <w:tcW w:w="3192" w:type="dxa"/>
          </w:tcPr>
          <w:p w14:paraId="4C14B734" w14:textId="3D8059FA" w:rsidR="00DE1E81" w:rsidRPr="00DE1E81" w:rsidRDefault="00DE1E81" w:rsidP="00DE1E81">
            <w:r w:rsidRPr="00DE1E81">
              <w:t>Валпроат</w:t>
            </w:r>
          </w:p>
        </w:tc>
        <w:tc>
          <w:tcPr>
            <w:tcW w:w="3192" w:type="dxa"/>
          </w:tcPr>
          <w:p w14:paraId="51C52F50" w14:textId="0008A357" w:rsidR="00DE1E81" w:rsidRPr="00DE1E81" w:rsidRDefault="00DE1E81" w:rsidP="00DE1E81">
            <w:r w:rsidRPr="00DE1E81">
              <w:t>Атазанавир/ритонавир*</w:t>
            </w:r>
          </w:p>
        </w:tc>
        <w:tc>
          <w:tcPr>
            <w:tcW w:w="3192" w:type="dxa"/>
          </w:tcPr>
          <w:p w14:paraId="14B4FFB5" w14:textId="666EFA13" w:rsidR="00DE1E81" w:rsidRPr="00DE1E81" w:rsidRDefault="00DE1E81" w:rsidP="00DE1E81">
            <w:r w:rsidRPr="00DE1E81">
              <w:t>Арипипразол</w:t>
            </w:r>
          </w:p>
        </w:tc>
      </w:tr>
      <w:tr w:rsidR="00DE1E81" w14:paraId="52DE31C9" w14:textId="77777777" w:rsidTr="00DE1E81">
        <w:tc>
          <w:tcPr>
            <w:tcW w:w="3192" w:type="dxa"/>
          </w:tcPr>
          <w:p w14:paraId="08F31C6E" w14:textId="77777777" w:rsidR="00DE1E81" w:rsidRPr="00DE1E81" w:rsidRDefault="00DE1E81" w:rsidP="00DE1E81"/>
        </w:tc>
        <w:tc>
          <w:tcPr>
            <w:tcW w:w="3192" w:type="dxa"/>
          </w:tcPr>
          <w:p w14:paraId="7196701D" w14:textId="4A7C90F5" w:rsidR="00DE1E81" w:rsidRPr="00DE1E81" w:rsidRDefault="00DE1E81" w:rsidP="00DE1E81">
            <w:r w:rsidRPr="00DE1E81">
              <w:t>Карбамазепин</w:t>
            </w:r>
          </w:p>
        </w:tc>
        <w:tc>
          <w:tcPr>
            <w:tcW w:w="3192" w:type="dxa"/>
          </w:tcPr>
          <w:p w14:paraId="335805AB" w14:textId="27D1D741" w:rsidR="00DE1E81" w:rsidRPr="00DE1E81" w:rsidRDefault="00DE1E81" w:rsidP="00DE1E81">
            <w:r w:rsidRPr="00DE1E81">
              <w:t>Бупропион</w:t>
            </w:r>
          </w:p>
        </w:tc>
      </w:tr>
      <w:tr w:rsidR="00DE1E81" w14:paraId="6E9DCF8D" w14:textId="77777777" w:rsidTr="00DE1E81">
        <w:tc>
          <w:tcPr>
            <w:tcW w:w="3192" w:type="dxa"/>
          </w:tcPr>
          <w:p w14:paraId="3128BC7E" w14:textId="77777777" w:rsidR="00DE1E81" w:rsidRPr="00DE1E81" w:rsidRDefault="00DE1E81" w:rsidP="00DE1E81"/>
        </w:tc>
        <w:tc>
          <w:tcPr>
            <w:tcW w:w="3192" w:type="dxa"/>
          </w:tcPr>
          <w:p w14:paraId="02D40AC3" w14:textId="383BA0B2" w:rsidR="00DE1E81" w:rsidRPr="00DE1E81" w:rsidRDefault="00DE1E81" w:rsidP="00DE1E81">
            <w:r w:rsidRPr="00DE1E81">
              <w:t>Комбинацията етииилсстрадиол/ левоноргестрел*</w:t>
            </w:r>
          </w:p>
        </w:tc>
        <w:tc>
          <w:tcPr>
            <w:tcW w:w="3192" w:type="dxa"/>
          </w:tcPr>
          <w:p w14:paraId="1BAD9E47" w14:textId="62909C76" w:rsidR="00DE1E81" w:rsidRPr="00DE1E81" w:rsidRDefault="00DE1E81" w:rsidP="00DE1E81">
            <w:r w:rsidRPr="00DE1E81">
              <w:t>Фелбамат</w:t>
            </w:r>
          </w:p>
        </w:tc>
      </w:tr>
      <w:tr w:rsidR="00DE1E81" w14:paraId="5D7A7534" w14:textId="77777777" w:rsidTr="00DE1E81">
        <w:tc>
          <w:tcPr>
            <w:tcW w:w="3192" w:type="dxa"/>
          </w:tcPr>
          <w:p w14:paraId="37304930" w14:textId="77777777" w:rsidR="00DE1E81" w:rsidRPr="00DE1E81" w:rsidRDefault="00DE1E81" w:rsidP="00DE1E81"/>
        </w:tc>
        <w:tc>
          <w:tcPr>
            <w:tcW w:w="3192" w:type="dxa"/>
          </w:tcPr>
          <w:p w14:paraId="52747EBE" w14:textId="60CF45DD" w:rsidR="00DE1E81" w:rsidRPr="00DE1E81" w:rsidRDefault="00DE1E81" w:rsidP="00DE1E81">
            <w:r w:rsidRPr="00DE1E81">
              <w:t>Лопинавир/ритонавир</w:t>
            </w:r>
          </w:p>
        </w:tc>
        <w:tc>
          <w:tcPr>
            <w:tcW w:w="3192" w:type="dxa"/>
          </w:tcPr>
          <w:p w14:paraId="5A2F23BA" w14:textId="0AB817D0" w:rsidR="00DE1E81" w:rsidRPr="00DE1E81" w:rsidRDefault="00DE1E81" w:rsidP="00DE1E81">
            <w:r w:rsidRPr="00DE1E81">
              <w:t>Габапентин</w:t>
            </w:r>
          </w:p>
        </w:tc>
      </w:tr>
      <w:tr w:rsidR="00DE1E81" w14:paraId="765A2B09" w14:textId="77777777" w:rsidTr="00DE1E81">
        <w:tc>
          <w:tcPr>
            <w:tcW w:w="3192" w:type="dxa"/>
          </w:tcPr>
          <w:p w14:paraId="3DEF358A" w14:textId="77777777" w:rsidR="00DE1E81" w:rsidRPr="00DE1E81" w:rsidRDefault="00DE1E81" w:rsidP="00DE1E81"/>
        </w:tc>
        <w:tc>
          <w:tcPr>
            <w:tcW w:w="3192" w:type="dxa"/>
          </w:tcPr>
          <w:p w14:paraId="1CE5CD52" w14:textId="537648F3" w:rsidR="00DE1E81" w:rsidRPr="00DE1E81" w:rsidRDefault="00DE1E81" w:rsidP="00DE1E81">
            <w:r w:rsidRPr="00DE1E81">
              <w:t>Фенобарбитон</w:t>
            </w:r>
          </w:p>
        </w:tc>
        <w:tc>
          <w:tcPr>
            <w:tcW w:w="3192" w:type="dxa"/>
          </w:tcPr>
          <w:p w14:paraId="370282A1" w14:textId="7BD96991" w:rsidR="00DE1E81" w:rsidRPr="00DE1E81" w:rsidRDefault="00DE1E81" w:rsidP="00DE1E81">
            <w:r w:rsidRPr="00DE1E81">
              <w:t>Лакозамид</w:t>
            </w:r>
          </w:p>
        </w:tc>
      </w:tr>
      <w:tr w:rsidR="00DE1E81" w14:paraId="462E352C" w14:textId="77777777" w:rsidTr="00DE1E81">
        <w:trPr>
          <w:trHeight w:val="82"/>
        </w:trPr>
        <w:tc>
          <w:tcPr>
            <w:tcW w:w="3192" w:type="dxa"/>
          </w:tcPr>
          <w:p w14:paraId="7C31DC38" w14:textId="77777777" w:rsidR="00DE1E81" w:rsidRPr="00DE1E81" w:rsidRDefault="00DE1E81" w:rsidP="00DE1E81"/>
        </w:tc>
        <w:tc>
          <w:tcPr>
            <w:tcW w:w="3192" w:type="dxa"/>
          </w:tcPr>
          <w:p w14:paraId="1FDA5C89" w14:textId="5EB3D0F7" w:rsidR="00DE1E81" w:rsidRPr="00DE1E81" w:rsidRDefault="00DE1E81" w:rsidP="00DE1E81">
            <w:r w:rsidRPr="00DE1E81">
              <w:t>Фенитоин</w:t>
            </w:r>
          </w:p>
        </w:tc>
        <w:tc>
          <w:tcPr>
            <w:tcW w:w="3192" w:type="dxa"/>
          </w:tcPr>
          <w:p w14:paraId="171CC7EB" w14:textId="33648626" w:rsidR="00DE1E81" w:rsidRPr="00DE1E81" w:rsidRDefault="00DE1E81" w:rsidP="00DE1E81">
            <w:r w:rsidRPr="00DE1E81">
              <w:t>Леветирацетам</w:t>
            </w:r>
          </w:p>
        </w:tc>
      </w:tr>
      <w:tr w:rsidR="00DE1E81" w14:paraId="47B10189" w14:textId="77777777" w:rsidTr="00DE1E81">
        <w:tc>
          <w:tcPr>
            <w:tcW w:w="3192" w:type="dxa"/>
          </w:tcPr>
          <w:p w14:paraId="75BAB8AA" w14:textId="77777777" w:rsidR="00DE1E81" w:rsidRPr="00DE1E81" w:rsidRDefault="00DE1E81" w:rsidP="00DE1E81"/>
        </w:tc>
        <w:tc>
          <w:tcPr>
            <w:tcW w:w="3192" w:type="dxa"/>
          </w:tcPr>
          <w:p w14:paraId="174B503D" w14:textId="327B214B" w:rsidR="00DE1E81" w:rsidRPr="00DE1E81" w:rsidRDefault="00DE1E81" w:rsidP="00DE1E81">
            <w:r w:rsidRPr="00DE1E81">
              <w:t>Примидон</w:t>
            </w:r>
          </w:p>
        </w:tc>
        <w:tc>
          <w:tcPr>
            <w:tcW w:w="3192" w:type="dxa"/>
          </w:tcPr>
          <w:p w14:paraId="3F51FF04" w14:textId="38B90AA5" w:rsidR="00DE1E81" w:rsidRPr="00DE1E81" w:rsidRDefault="00DE1E81" w:rsidP="00DE1E81">
            <w:r w:rsidRPr="00DE1E81">
              <w:t>Литий</w:t>
            </w:r>
          </w:p>
        </w:tc>
      </w:tr>
      <w:tr w:rsidR="00DE1E81" w14:paraId="32B6A5B8" w14:textId="77777777" w:rsidTr="00DE1E81">
        <w:tc>
          <w:tcPr>
            <w:tcW w:w="3192" w:type="dxa"/>
          </w:tcPr>
          <w:p w14:paraId="6C94D0BD" w14:textId="77777777" w:rsidR="00DE1E81" w:rsidRPr="00DE1E81" w:rsidRDefault="00DE1E81" w:rsidP="00DE1E81"/>
        </w:tc>
        <w:tc>
          <w:tcPr>
            <w:tcW w:w="3192" w:type="dxa"/>
          </w:tcPr>
          <w:p w14:paraId="2418D90D" w14:textId="2DDA31F6" w:rsidR="00DE1E81" w:rsidRPr="00DE1E81" w:rsidRDefault="00DE1E81" w:rsidP="00DE1E81">
            <w:r w:rsidRPr="00DE1E81">
              <w:t>Рифампицин</w:t>
            </w:r>
          </w:p>
        </w:tc>
        <w:tc>
          <w:tcPr>
            <w:tcW w:w="3192" w:type="dxa"/>
          </w:tcPr>
          <w:p w14:paraId="684B7AE6" w14:textId="26BB71ED" w:rsidR="00DE1E81" w:rsidRPr="00DE1E81" w:rsidRDefault="00DE1E81" w:rsidP="00DE1E81">
            <w:r w:rsidRPr="00DE1E81">
              <w:t>Оланзапин</w:t>
            </w:r>
          </w:p>
        </w:tc>
      </w:tr>
      <w:tr w:rsidR="00DE1E81" w14:paraId="67C76B97" w14:textId="77777777" w:rsidTr="00DE1E81">
        <w:tc>
          <w:tcPr>
            <w:tcW w:w="3192" w:type="dxa"/>
          </w:tcPr>
          <w:p w14:paraId="2400475B" w14:textId="77777777" w:rsidR="00DE1E81" w:rsidRPr="00DE1E81" w:rsidRDefault="00DE1E81" w:rsidP="00DE1E81"/>
        </w:tc>
        <w:tc>
          <w:tcPr>
            <w:tcW w:w="3192" w:type="dxa"/>
          </w:tcPr>
          <w:p w14:paraId="39BE3AC9" w14:textId="77777777" w:rsidR="00DE1E81" w:rsidRPr="00DE1E81" w:rsidRDefault="00DE1E81" w:rsidP="00DE1E81"/>
        </w:tc>
        <w:tc>
          <w:tcPr>
            <w:tcW w:w="3192" w:type="dxa"/>
          </w:tcPr>
          <w:p w14:paraId="51E20ADC" w14:textId="000E567C" w:rsidR="00DE1E81" w:rsidRPr="00DE1E81" w:rsidRDefault="00DE1E81" w:rsidP="00DE1E81">
            <w:r w:rsidRPr="00DE1E81">
              <w:t>Окскарбазепин</w:t>
            </w:r>
          </w:p>
        </w:tc>
      </w:tr>
      <w:tr w:rsidR="00DE1E81" w14:paraId="692192AD" w14:textId="77777777" w:rsidTr="00DE1E81">
        <w:tc>
          <w:tcPr>
            <w:tcW w:w="3192" w:type="dxa"/>
          </w:tcPr>
          <w:p w14:paraId="68777F9B" w14:textId="77777777" w:rsidR="00DE1E81" w:rsidRPr="00DE1E81" w:rsidRDefault="00DE1E81" w:rsidP="00DE1E81"/>
        </w:tc>
        <w:tc>
          <w:tcPr>
            <w:tcW w:w="3192" w:type="dxa"/>
          </w:tcPr>
          <w:p w14:paraId="4B6751E6" w14:textId="77777777" w:rsidR="00DE1E81" w:rsidRPr="00DE1E81" w:rsidRDefault="00DE1E81" w:rsidP="00DE1E81"/>
        </w:tc>
        <w:tc>
          <w:tcPr>
            <w:tcW w:w="3192" w:type="dxa"/>
          </w:tcPr>
          <w:p w14:paraId="55BDB04E" w14:textId="41188E2A" w:rsidR="00DE1E81" w:rsidRPr="00DE1E81" w:rsidRDefault="00DE1E81" w:rsidP="00DE1E81">
            <w:r w:rsidRPr="00DE1E81">
              <w:t>Парацетамол</w:t>
            </w:r>
          </w:p>
        </w:tc>
      </w:tr>
      <w:tr w:rsidR="00DE1E81" w14:paraId="7864422B" w14:textId="77777777" w:rsidTr="00DE1E81">
        <w:tc>
          <w:tcPr>
            <w:tcW w:w="3192" w:type="dxa"/>
          </w:tcPr>
          <w:p w14:paraId="4804D7BB" w14:textId="77777777" w:rsidR="00DE1E81" w:rsidRPr="00DE1E81" w:rsidRDefault="00DE1E81" w:rsidP="00DE1E81"/>
        </w:tc>
        <w:tc>
          <w:tcPr>
            <w:tcW w:w="3192" w:type="dxa"/>
          </w:tcPr>
          <w:p w14:paraId="7CD4F573" w14:textId="77777777" w:rsidR="00DE1E81" w:rsidRPr="00DE1E81" w:rsidRDefault="00DE1E81" w:rsidP="00DE1E81"/>
        </w:tc>
        <w:tc>
          <w:tcPr>
            <w:tcW w:w="3192" w:type="dxa"/>
          </w:tcPr>
          <w:p w14:paraId="10D938C9" w14:textId="6612C729" w:rsidR="00DE1E81" w:rsidRPr="00DE1E81" w:rsidRDefault="00DE1E81" w:rsidP="00DE1E81">
            <w:r w:rsidRPr="00DE1E81">
              <w:t>Перампанел</w:t>
            </w:r>
          </w:p>
        </w:tc>
      </w:tr>
      <w:tr w:rsidR="00DE1E81" w14:paraId="39AAC5C4" w14:textId="77777777" w:rsidTr="00DE1E81">
        <w:tc>
          <w:tcPr>
            <w:tcW w:w="3192" w:type="dxa"/>
          </w:tcPr>
          <w:p w14:paraId="394B72F1" w14:textId="77777777" w:rsidR="00DE1E81" w:rsidRPr="00DE1E81" w:rsidRDefault="00DE1E81" w:rsidP="00DE1E81"/>
        </w:tc>
        <w:tc>
          <w:tcPr>
            <w:tcW w:w="3192" w:type="dxa"/>
          </w:tcPr>
          <w:p w14:paraId="1E856331" w14:textId="77777777" w:rsidR="00DE1E81" w:rsidRPr="00DE1E81" w:rsidRDefault="00DE1E81" w:rsidP="00DE1E81"/>
        </w:tc>
        <w:tc>
          <w:tcPr>
            <w:tcW w:w="3192" w:type="dxa"/>
          </w:tcPr>
          <w:p w14:paraId="7E3B07E5" w14:textId="796F5891" w:rsidR="00DE1E81" w:rsidRPr="00DE1E81" w:rsidRDefault="00DE1E81" w:rsidP="00DE1E81">
            <w:r w:rsidRPr="00DE1E81">
              <w:t>Прегабалин</w:t>
            </w:r>
          </w:p>
        </w:tc>
      </w:tr>
      <w:tr w:rsidR="00DE1E81" w14:paraId="5C2D1EEB" w14:textId="77777777" w:rsidTr="00DE1E81">
        <w:tc>
          <w:tcPr>
            <w:tcW w:w="3192" w:type="dxa"/>
          </w:tcPr>
          <w:p w14:paraId="6771C77E" w14:textId="77777777" w:rsidR="00DE1E81" w:rsidRPr="00DE1E81" w:rsidRDefault="00DE1E81" w:rsidP="00DE1E81"/>
        </w:tc>
        <w:tc>
          <w:tcPr>
            <w:tcW w:w="3192" w:type="dxa"/>
          </w:tcPr>
          <w:p w14:paraId="12FF1E11" w14:textId="77777777" w:rsidR="00DE1E81" w:rsidRPr="00DE1E81" w:rsidRDefault="00DE1E81" w:rsidP="00DE1E81"/>
        </w:tc>
        <w:tc>
          <w:tcPr>
            <w:tcW w:w="3192" w:type="dxa"/>
          </w:tcPr>
          <w:p w14:paraId="60313E3A" w14:textId="3FA5A95D" w:rsidR="00DE1E81" w:rsidRPr="00DE1E81" w:rsidRDefault="00DE1E81" w:rsidP="00DE1E81">
            <w:r w:rsidRPr="00DE1E81">
              <w:t>Топирамат</w:t>
            </w:r>
          </w:p>
        </w:tc>
      </w:tr>
      <w:tr w:rsidR="00DE1E81" w14:paraId="440A2DEC" w14:textId="77777777" w:rsidTr="00DE1E81">
        <w:tc>
          <w:tcPr>
            <w:tcW w:w="3192" w:type="dxa"/>
          </w:tcPr>
          <w:p w14:paraId="4A081422" w14:textId="77777777" w:rsidR="00DE1E81" w:rsidRPr="00DE1E81" w:rsidRDefault="00DE1E81" w:rsidP="00DE1E81"/>
        </w:tc>
        <w:tc>
          <w:tcPr>
            <w:tcW w:w="3192" w:type="dxa"/>
          </w:tcPr>
          <w:p w14:paraId="32F9325F" w14:textId="77777777" w:rsidR="00DE1E81" w:rsidRPr="00DE1E81" w:rsidRDefault="00DE1E81" w:rsidP="00DE1E81"/>
        </w:tc>
        <w:tc>
          <w:tcPr>
            <w:tcW w:w="3192" w:type="dxa"/>
          </w:tcPr>
          <w:p w14:paraId="1D0E2E12" w14:textId="515F23D5" w:rsidR="00DE1E81" w:rsidRPr="00DE1E81" w:rsidRDefault="00DE1E81" w:rsidP="00DE1E81">
            <w:r w:rsidRPr="00DE1E81">
              <w:t>Зонизамид</w:t>
            </w:r>
          </w:p>
        </w:tc>
      </w:tr>
    </w:tbl>
    <w:p w14:paraId="331AA71E" w14:textId="77777777" w:rsidR="00DE1E81" w:rsidRPr="00315A12" w:rsidRDefault="00DE1E81" w:rsidP="00DE1E81">
      <w:pPr>
        <w:spacing w:line="240" w:lineRule="auto"/>
        <w:rPr>
          <w:rFonts w:eastAsia="Times New Roman" w:cs="Arial"/>
        </w:rPr>
      </w:pPr>
      <w:r w:rsidRPr="00315A12">
        <w:rPr>
          <w:rFonts w:eastAsia="Times New Roman" w:cs="Arial"/>
          <w:color w:val="000000"/>
          <w:lang w:eastAsia="bg-BG"/>
        </w:rPr>
        <w:t>*3а указания за дозиране (вж. точка 4.2), също за жени приемащи хормонални контрацептиви вижте също Хормонални контрацептиви в точка 4.4.</w:t>
      </w:r>
    </w:p>
    <w:p w14:paraId="6A1FF6EF" w14:textId="77777777" w:rsidR="00DE1E81" w:rsidRPr="00315A12" w:rsidRDefault="00DE1E81" w:rsidP="00DE1E81">
      <w:pPr>
        <w:spacing w:line="240" w:lineRule="auto"/>
        <w:rPr>
          <w:rFonts w:eastAsia="Times New Roman" w:cs="Arial"/>
        </w:rPr>
      </w:pPr>
    </w:p>
    <w:p w14:paraId="310F3166" w14:textId="208A064A" w:rsidR="00DE1E81" w:rsidRPr="00315A12" w:rsidRDefault="00DE1E81" w:rsidP="00DE1E81">
      <w:pPr>
        <w:spacing w:line="240" w:lineRule="auto"/>
        <w:rPr>
          <w:rFonts w:eastAsia="Times New Roman" w:cs="Arial"/>
        </w:rPr>
      </w:pPr>
      <w:r w:rsidRPr="00315A12">
        <w:rPr>
          <w:rFonts w:eastAsia="Times New Roman" w:cs="Arial"/>
          <w:color w:val="000000"/>
          <w:u w:val="single"/>
          <w:lang w:eastAsia="bg-BG"/>
        </w:rPr>
        <w:t>Взаимодействия с антиепилептични лекарства</w:t>
      </w:r>
    </w:p>
    <w:p w14:paraId="5628AA5A" w14:textId="77777777" w:rsidR="00DE1E81" w:rsidRPr="00315A12" w:rsidRDefault="00DE1E81" w:rsidP="00DE1E81">
      <w:pPr>
        <w:rPr>
          <w:rFonts w:eastAsia="Times New Roman" w:cs="Arial"/>
          <w:color w:val="000000"/>
          <w:lang w:eastAsia="bg-BG"/>
        </w:rPr>
      </w:pPr>
    </w:p>
    <w:p w14:paraId="7F5D2ADC" w14:textId="6751158D" w:rsidR="00DE1E81" w:rsidRPr="00315A12" w:rsidRDefault="00DE1E81" w:rsidP="00DE1E81">
      <w:pPr>
        <w:rPr>
          <w:rFonts w:eastAsia="Times New Roman" w:cs="Arial"/>
          <w:color w:val="000000"/>
          <w:lang w:eastAsia="bg-BG"/>
        </w:rPr>
      </w:pPr>
      <w:r w:rsidRPr="00315A12">
        <w:rPr>
          <w:rFonts w:eastAsia="Times New Roman" w:cs="Arial"/>
          <w:color w:val="000000"/>
          <w:lang w:eastAsia="bg-BG"/>
        </w:rPr>
        <w:t>Валпроат, който инхибира глюкуронирането на ламотригин, забавя метаболизма на ламотригин и удължава средния полуживот на ламотригин приблизително два пъти. При пациенти, подложени на съпътстваща терапия с валпроат, трябва да бъде прилаган подходящ план (вж. точка 4.2).</w:t>
      </w:r>
    </w:p>
    <w:p w14:paraId="2CB49D30" w14:textId="27FF018C" w:rsidR="00DE1E81" w:rsidRPr="00315A12" w:rsidRDefault="00DE1E81" w:rsidP="00DE1E81">
      <w:pPr>
        <w:rPr>
          <w:rFonts w:eastAsia="Times New Roman" w:cs="Arial"/>
          <w:color w:val="000000"/>
          <w:lang w:eastAsia="bg-BG"/>
        </w:rPr>
      </w:pPr>
    </w:p>
    <w:p w14:paraId="4B4F9536" w14:textId="77777777" w:rsidR="00DE1E81" w:rsidRPr="00315A12" w:rsidRDefault="00DE1E81" w:rsidP="00DE1E81">
      <w:pPr>
        <w:spacing w:line="240" w:lineRule="auto"/>
        <w:rPr>
          <w:rFonts w:eastAsia="Times New Roman" w:cs="Arial"/>
        </w:rPr>
      </w:pPr>
      <w:r w:rsidRPr="00315A12">
        <w:rPr>
          <w:rFonts w:eastAsia="Times New Roman" w:cs="Arial"/>
          <w:color w:val="000000"/>
          <w:lang w:eastAsia="bg-BG"/>
        </w:rPr>
        <w:t xml:space="preserve">Определени АЕЛ (като фенитоин, карбамазепин, фенобарбитон и примидон), които активират цитохром Р450 ензимите, индуцират също </w:t>
      </w:r>
      <w:r w:rsidRPr="00315A12">
        <w:rPr>
          <w:rFonts w:eastAsia="Times New Roman" w:cs="Arial"/>
          <w:color w:val="000000"/>
          <w:lang w:val="en-US"/>
        </w:rPr>
        <w:t>UGTs</w:t>
      </w:r>
      <w:r w:rsidRPr="00315A12">
        <w:rPr>
          <w:rFonts w:eastAsia="Times New Roman" w:cs="Arial"/>
          <w:color w:val="000000"/>
          <w:lang w:val="ru-RU"/>
        </w:rPr>
        <w:t xml:space="preserve"> </w:t>
      </w:r>
      <w:r w:rsidRPr="00315A12">
        <w:rPr>
          <w:rFonts w:eastAsia="Times New Roman" w:cs="Arial"/>
          <w:color w:val="000000"/>
          <w:lang w:eastAsia="bg-BG"/>
        </w:rPr>
        <w:t>и следователно ускоряват метаболизма на ламотригин. При пациенти, получаващи съпътстваща терапия с фенитоин, карбамазепин, фенобарбитон или примидон трябва да бъде прилагана подходяща терапевтична схема (вж. точка 4.2).</w:t>
      </w:r>
    </w:p>
    <w:p w14:paraId="2699DBE0" w14:textId="77777777" w:rsidR="00DE1E81" w:rsidRPr="00315A12" w:rsidRDefault="00DE1E81" w:rsidP="00DE1E81">
      <w:pPr>
        <w:spacing w:line="240" w:lineRule="auto"/>
        <w:rPr>
          <w:rFonts w:eastAsia="Times New Roman" w:cs="Arial"/>
          <w:color w:val="000000"/>
          <w:lang w:eastAsia="bg-BG"/>
        </w:rPr>
      </w:pPr>
    </w:p>
    <w:p w14:paraId="471C0B90" w14:textId="31F5325D" w:rsidR="00DE1E81" w:rsidRPr="00315A12" w:rsidRDefault="00DE1E81" w:rsidP="00DE1E81">
      <w:pPr>
        <w:spacing w:line="240" w:lineRule="auto"/>
        <w:rPr>
          <w:rFonts w:eastAsia="Times New Roman" w:cs="Arial"/>
        </w:rPr>
      </w:pPr>
      <w:r w:rsidRPr="00315A12">
        <w:rPr>
          <w:rFonts w:eastAsia="Times New Roman" w:cs="Arial"/>
          <w:color w:val="000000"/>
          <w:lang w:eastAsia="bg-BG"/>
        </w:rPr>
        <w:t>При включване на карбамазепин в хода на лечение с ламотригин се описва развитие на симптоми от страна на централната нервна система, включително замаяност, атаксия, двойно виждане, замъглено зрение и гадене. Тези прояви обикновено изчезват при намаляване на дозата на карбамазепин. Подобни ефекти са наблюдавани по време на изпитване с ламотригин и окскарбазепин при здрави възрастни доброволци, но не е проучвано намаляване на дозата.</w:t>
      </w:r>
    </w:p>
    <w:p w14:paraId="24C0D629" w14:textId="77777777" w:rsidR="00DE1E81" w:rsidRPr="00315A12" w:rsidRDefault="00DE1E81" w:rsidP="00DE1E81">
      <w:pPr>
        <w:spacing w:line="240" w:lineRule="auto"/>
        <w:rPr>
          <w:rFonts w:eastAsia="Times New Roman" w:cs="Arial"/>
          <w:color w:val="000000"/>
          <w:lang w:eastAsia="bg-BG"/>
        </w:rPr>
      </w:pPr>
    </w:p>
    <w:p w14:paraId="19F47014" w14:textId="7794DBCA" w:rsidR="00DE1E81" w:rsidRPr="00315A12" w:rsidRDefault="00DE1E81" w:rsidP="00DE1E81">
      <w:pPr>
        <w:spacing w:line="240" w:lineRule="auto"/>
        <w:rPr>
          <w:rFonts w:eastAsia="Times New Roman" w:cs="Arial"/>
        </w:rPr>
      </w:pPr>
      <w:r w:rsidRPr="00315A12">
        <w:rPr>
          <w:rFonts w:eastAsia="Times New Roman" w:cs="Arial"/>
          <w:color w:val="000000"/>
          <w:lang w:eastAsia="bg-BG"/>
        </w:rPr>
        <w:t xml:space="preserve">В литературата има съобщения за понижени нива на ламотригин при прием на ламотригин в комбинация с окскарбазепин. Обаче, в проспективно проучване при възрастни здрави доброволци при прием на дози от 200 </w:t>
      </w:r>
      <w:r w:rsidRPr="00315A12">
        <w:rPr>
          <w:rFonts w:eastAsia="Times New Roman" w:cs="Arial"/>
          <w:color w:val="000000"/>
          <w:lang w:val="en-US"/>
        </w:rPr>
        <w:t>mg</w:t>
      </w:r>
      <w:r w:rsidRPr="00315A12">
        <w:rPr>
          <w:rFonts w:eastAsia="Times New Roman" w:cs="Arial"/>
          <w:color w:val="000000"/>
          <w:lang w:val="ru-RU"/>
        </w:rPr>
        <w:t xml:space="preserve"> </w:t>
      </w:r>
      <w:r w:rsidRPr="00315A12">
        <w:rPr>
          <w:rFonts w:eastAsia="Times New Roman" w:cs="Arial"/>
          <w:color w:val="000000"/>
          <w:lang w:eastAsia="bg-BG"/>
        </w:rPr>
        <w:t xml:space="preserve">ламотригин и 1 200 </w:t>
      </w:r>
      <w:r w:rsidRPr="00315A12">
        <w:rPr>
          <w:rFonts w:eastAsia="Times New Roman" w:cs="Arial"/>
          <w:color w:val="000000"/>
          <w:lang w:val="en-US"/>
        </w:rPr>
        <w:t>mg</w:t>
      </w:r>
      <w:r w:rsidRPr="00315A12">
        <w:rPr>
          <w:rFonts w:eastAsia="Times New Roman" w:cs="Arial"/>
          <w:color w:val="000000"/>
          <w:lang w:val="ru-RU"/>
        </w:rPr>
        <w:t xml:space="preserve"> </w:t>
      </w:r>
      <w:r w:rsidRPr="00315A12">
        <w:rPr>
          <w:rFonts w:eastAsia="Times New Roman" w:cs="Arial"/>
          <w:color w:val="000000"/>
          <w:lang w:eastAsia="bg-BG"/>
        </w:rPr>
        <w:t>окскарбазепин, е установено, че окскарбазепин не променя метаболизма на ламотригин и ламотригин не променя метаболизма на окскарбазепин. Затова при пациенти, приемащи съпътстваща терапия с окскарбазепин, трябва да се използва схема на лечение за комбинирана терапия с ламотригин без валпроат и без индуктори на глюкуронирането на ламотригин (вж. точка 4.2).</w:t>
      </w:r>
    </w:p>
    <w:p w14:paraId="23DEE45A" w14:textId="77777777" w:rsidR="00DE1E81" w:rsidRPr="00315A12" w:rsidRDefault="00DE1E81" w:rsidP="00DE1E81">
      <w:pPr>
        <w:spacing w:line="240" w:lineRule="auto"/>
        <w:rPr>
          <w:rFonts w:eastAsia="Times New Roman" w:cs="Arial"/>
          <w:color w:val="000000"/>
          <w:lang w:eastAsia="bg-BG"/>
        </w:rPr>
      </w:pPr>
    </w:p>
    <w:p w14:paraId="517C5DCC" w14:textId="14E4AD73" w:rsidR="00DE1E81" w:rsidRPr="00315A12" w:rsidRDefault="00DE1E81" w:rsidP="00DE1E81">
      <w:pPr>
        <w:spacing w:line="240" w:lineRule="auto"/>
        <w:rPr>
          <w:rFonts w:eastAsia="Times New Roman" w:cs="Arial"/>
        </w:rPr>
      </w:pPr>
      <w:r w:rsidRPr="00315A12">
        <w:rPr>
          <w:rFonts w:eastAsia="Times New Roman" w:cs="Arial"/>
          <w:color w:val="000000"/>
          <w:lang w:eastAsia="bg-BG"/>
        </w:rPr>
        <w:t xml:space="preserve">При проучване със здрави доброволци, едновременното приложение на фелбамат (1 200 </w:t>
      </w:r>
      <w:r w:rsidRPr="00315A12">
        <w:rPr>
          <w:rFonts w:eastAsia="Times New Roman" w:cs="Arial"/>
          <w:color w:val="000000"/>
          <w:lang w:val="en-US"/>
        </w:rPr>
        <w:t>mg</w:t>
      </w:r>
      <w:r w:rsidRPr="00315A12">
        <w:rPr>
          <w:rFonts w:eastAsia="Times New Roman" w:cs="Arial"/>
          <w:color w:val="000000"/>
          <w:lang w:val="ru-RU"/>
        </w:rPr>
        <w:t xml:space="preserve"> </w:t>
      </w:r>
      <w:r w:rsidRPr="00315A12">
        <w:rPr>
          <w:rFonts w:eastAsia="Times New Roman" w:cs="Arial"/>
          <w:color w:val="000000"/>
          <w:lang w:eastAsia="bg-BG"/>
        </w:rPr>
        <w:t xml:space="preserve">два пъти дневно) с ламотригин (100 </w:t>
      </w:r>
      <w:r w:rsidRPr="00315A12">
        <w:rPr>
          <w:rFonts w:eastAsia="Times New Roman" w:cs="Arial"/>
          <w:color w:val="000000"/>
          <w:lang w:val="en-US"/>
        </w:rPr>
        <w:t>mg</w:t>
      </w:r>
      <w:r w:rsidRPr="00315A12">
        <w:rPr>
          <w:rFonts w:eastAsia="Times New Roman" w:cs="Arial"/>
          <w:color w:val="000000"/>
          <w:lang w:val="ru-RU"/>
        </w:rPr>
        <w:t xml:space="preserve"> </w:t>
      </w:r>
      <w:r w:rsidRPr="00315A12">
        <w:rPr>
          <w:rFonts w:eastAsia="Times New Roman" w:cs="Arial"/>
          <w:color w:val="000000"/>
          <w:lang w:eastAsia="bg-BG"/>
        </w:rPr>
        <w:t>два пъти дневно за 10 дни) не е довело до клинично значими ефекти върху фармакокинетиката на ламотригин.</w:t>
      </w:r>
    </w:p>
    <w:p w14:paraId="303BE1E9" w14:textId="77777777" w:rsidR="00DE1E81" w:rsidRPr="00315A12" w:rsidRDefault="00DE1E81" w:rsidP="00DE1E81">
      <w:pPr>
        <w:spacing w:line="240" w:lineRule="auto"/>
        <w:rPr>
          <w:rFonts w:eastAsia="Times New Roman" w:cs="Arial"/>
          <w:color w:val="000000"/>
          <w:lang w:eastAsia="bg-BG"/>
        </w:rPr>
      </w:pPr>
    </w:p>
    <w:p w14:paraId="2B272D3B" w14:textId="38EB26CA" w:rsidR="00DE1E81" w:rsidRPr="00315A12" w:rsidRDefault="00DE1E81" w:rsidP="00DE1E81">
      <w:pPr>
        <w:spacing w:line="240" w:lineRule="auto"/>
        <w:rPr>
          <w:rFonts w:eastAsia="Times New Roman" w:cs="Arial"/>
        </w:rPr>
      </w:pPr>
      <w:r w:rsidRPr="00315A12">
        <w:rPr>
          <w:rFonts w:eastAsia="Times New Roman" w:cs="Arial"/>
          <w:color w:val="000000"/>
          <w:lang w:eastAsia="bg-BG"/>
        </w:rPr>
        <w:t>На основата на ретроспективен анализ на плазмените нива при пациенти, приемали ламотригин с и без габапентин, изглежда че габапентин не променя клирънса на ламотригин.</w:t>
      </w:r>
    </w:p>
    <w:p w14:paraId="02036E24" w14:textId="77777777" w:rsidR="00DE1E81" w:rsidRPr="00315A12" w:rsidRDefault="00DE1E81" w:rsidP="00DE1E81">
      <w:pPr>
        <w:spacing w:line="240" w:lineRule="auto"/>
        <w:rPr>
          <w:rFonts w:eastAsia="Times New Roman" w:cs="Arial"/>
          <w:color w:val="000000"/>
          <w:lang w:eastAsia="bg-BG"/>
        </w:rPr>
      </w:pPr>
    </w:p>
    <w:p w14:paraId="18FF0D46" w14:textId="045668E9" w:rsidR="00DE1E81" w:rsidRPr="00315A12" w:rsidRDefault="00DE1E81" w:rsidP="00DE1E81">
      <w:pPr>
        <w:spacing w:line="240" w:lineRule="auto"/>
        <w:rPr>
          <w:rFonts w:eastAsia="Times New Roman" w:cs="Arial"/>
        </w:rPr>
      </w:pPr>
      <w:r w:rsidRPr="00315A12">
        <w:rPr>
          <w:rFonts w:eastAsia="Times New Roman" w:cs="Arial"/>
          <w:color w:val="000000"/>
          <w:lang w:eastAsia="bg-BG"/>
        </w:rPr>
        <w:t>Потенциалните взаимодействия между леветирацетам и ламотригин са изследвани чрез оценка на серумните концентрации на двете лекарства по време на плацебо-контролирани клинични изпитвания. Тези данни показват, че ламотригин не повлиява фармакокинетиката на леветирацетам и че леветирацетам не повлиява фармакокинетиката на ламотригин.</w:t>
      </w:r>
    </w:p>
    <w:p w14:paraId="5073E084" w14:textId="77777777" w:rsidR="00DE1E81" w:rsidRPr="00315A12" w:rsidRDefault="00DE1E81" w:rsidP="00DE1E81">
      <w:pPr>
        <w:spacing w:line="240" w:lineRule="auto"/>
        <w:rPr>
          <w:rFonts w:eastAsia="Times New Roman" w:cs="Arial"/>
          <w:color w:val="000000"/>
          <w:lang w:eastAsia="bg-BG"/>
        </w:rPr>
      </w:pPr>
    </w:p>
    <w:p w14:paraId="0BACEBEF" w14:textId="58A51718" w:rsidR="00DE1E81" w:rsidRPr="00315A12" w:rsidRDefault="00DE1E81" w:rsidP="00DE1E81">
      <w:pPr>
        <w:spacing w:line="240" w:lineRule="auto"/>
        <w:rPr>
          <w:rFonts w:eastAsia="Times New Roman" w:cs="Arial"/>
        </w:rPr>
      </w:pPr>
      <w:r w:rsidRPr="00315A12">
        <w:rPr>
          <w:rFonts w:eastAsia="Times New Roman" w:cs="Arial"/>
          <w:color w:val="000000"/>
          <w:lang w:eastAsia="bg-BG"/>
        </w:rPr>
        <w:lastRenderedPageBreak/>
        <w:t xml:space="preserve">Най-ниските плазмени концентрации на ламотригин в стационарно състояние не се повлияват от съпътстващия прием на прегабалин (200 </w:t>
      </w:r>
      <w:r w:rsidRPr="00315A12">
        <w:rPr>
          <w:rFonts w:eastAsia="Times New Roman" w:cs="Arial"/>
          <w:color w:val="000000"/>
          <w:lang w:val="en-US"/>
        </w:rPr>
        <w:t>mg</w:t>
      </w:r>
      <w:r w:rsidRPr="00315A12">
        <w:rPr>
          <w:rFonts w:eastAsia="Times New Roman" w:cs="Arial"/>
          <w:color w:val="000000"/>
          <w:lang w:val="ru-RU"/>
        </w:rPr>
        <w:t xml:space="preserve">, </w:t>
      </w:r>
      <w:r w:rsidRPr="00315A12">
        <w:rPr>
          <w:rFonts w:eastAsia="Times New Roman" w:cs="Arial"/>
          <w:color w:val="000000"/>
          <w:lang w:eastAsia="bg-BG"/>
        </w:rPr>
        <w:t>3 пъти на ден). Не са установени фармакокинетични взаимодействия между ламотригин и прегабалин.</w:t>
      </w:r>
    </w:p>
    <w:p w14:paraId="273DA3CA" w14:textId="77777777" w:rsidR="00DE1E81" w:rsidRPr="00315A12" w:rsidRDefault="00DE1E81" w:rsidP="00DE1E81">
      <w:pPr>
        <w:spacing w:line="240" w:lineRule="auto"/>
        <w:rPr>
          <w:rFonts w:eastAsia="Times New Roman" w:cs="Arial"/>
          <w:color w:val="000000"/>
          <w:lang w:eastAsia="bg-BG"/>
        </w:rPr>
      </w:pPr>
    </w:p>
    <w:p w14:paraId="03E3D777" w14:textId="08790EE9" w:rsidR="00DE1E81" w:rsidRPr="00315A12" w:rsidRDefault="00DE1E81" w:rsidP="00DE1E81">
      <w:pPr>
        <w:spacing w:line="240" w:lineRule="auto"/>
        <w:rPr>
          <w:rFonts w:eastAsia="Times New Roman" w:cs="Arial"/>
        </w:rPr>
      </w:pPr>
      <w:r w:rsidRPr="00315A12">
        <w:rPr>
          <w:rFonts w:eastAsia="Times New Roman" w:cs="Arial"/>
          <w:color w:val="000000"/>
          <w:lang w:eastAsia="bg-BG"/>
        </w:rPr>
        <w:t>Топирамат не предизвиква промяна в плазмените концентрации на ламотригин. Приложението на ламотригин води до 15% повишаване на концентрациите на топирамат.</w:t>
      </w:r>
    </w:p>
    <w:p w14:paraId="496CB00D" w14:textId="77777777" w:rsidR="00DE1E81" w:rsidRPr="00315A12" w:rsidRDefault="00DE1E81" w:rsidP="00DE1E81">
      <w:pPr>
        <w:spacing w:line="240" w:lineRule="auto"/>
        <w:rPr>
          <w:rFonts w:eastAsia="Times New Roman" w:cs="Arial"/>
          <w:color w:val="000000"/>
          <w:lang w:eastAsia="bg-BG"/>
        </w:rPr>
      </w:pPr>
    </w:p>
    <w:p w14:paraId="56CDA714" w14:textId="02C13721" w:rsidR="00DE1E81" w:rsidRPr="00315A12" w:rsidRDefault="00DE1E81" w:rsidP="00DE1E81">
      <w:pPr>
        <w:spacing w:line="240" w:lineRule="auto"/>
        <w:rPr>
          <w:rFonts w:eastAsia="Times New Roman" w:cs="Arial"/>
        </w:rPr>
      </w:pPr>
      <w:r w:rsidRPr="00315A12">
        <w:rPr>
          <w:rFonts w:eastAsia="Times New Roman" w:cs="Arial"/>
          <w:color w:val="000000"/>
          <w:lang w:eastAsia="bg-BG"/>
        </w:rPr>
        <w:t xml:space="preserve">В едно изпитване при пациенти с епилепсия, едновременният прием на зонизамид (200 до 400 </w:t>
      </w:r>
      <w:r w:rsidRPr="00315A12">
        <w:rPr>
          <w:rFonts w:eastAsia="Times New Roman" w:cs="Arial"/>
          <w:color w:val="000000"/>
          <w:lang w:val="en-US"/>
        </w:rPr>
        <w:t>mg</w:t>
      </w:r>
      <w:r w:rsidRPr="00315A12">
        <w:rPr>
          <w:rFonts w:eastAsia="Times New Roman" w:cs="Arial"/>
          <w:color w:val="000000"/>
          <w:lang w:eastAsia="bg-BG"/>
        </w:rPr>
        <w:t xml:space="preserve">/ден) с ламотригин (150 до 500 </w:t>
      </w:r>
      <w:r w:rsidRPr="00315A12">
        <w:rPr>
          <w:rFonts w:eastAsia="Times New Roman" w:cs="Arial"/>
          <w:color w:val="000000"/>
          <w:lang w:val="en-US"/>
        </w:rPr>
        <w:t>mg</w:t>
      </w:r>
      <w:r w:rsidRPr="00315A12">
        <w:rPr>
          <w:rFonts w:eastAsia="Times New Roman" w:cs="Arial"/>
          <w:color w:val="000000"/>
          <w:lang w:eastAsia="bg-BG"/>
        </w:rPr>
        <w:t>/ден) за 35 дни не е довел до значими ефекти върху фармакокинетиката на ламотригин.</w:t>
      </w:r>
    </w:p>
    <w:p w14:paraId="5A7C3CA1" w14:textId="77777777" w:rsidR="00315A12" w:rsidRPr="00315A12" w:rsidRDefault="00315A12" w:rsidP="00DE1E81">
      <w:pPr>
        <w:spacing w:line="240" w:lineRule="auto"/>
        <w:rPr>
          <w:rFonts w:eastAsia="Times New Roman" w:cs="Arial"/>
          <w:color w:val="000000"/>
          <w:lang w:eastAsia="bg-BG"/>
        </w:rPr>
      </w:pPr>
    </w:p>
    <w:p w14:paraId="2A8F829C" w14:textId="7F3CCC72" w:rsidR="00DE1E81" w:rsidRPr="00315A12" w:rsidRDefault="00DE1E81" w:rsidP="00DE1E81">
      <w:pPr>
        <w:spacing w:line="240" w:lineRule="auto"/>
        <w:rPr>
          <w:rFonts w:eastAsia="Times New Roman" w:cs="Arial"/>
        </w:rPr>
      </w:pPr>
      <w:r w:rsidRPr="00315A12">
        <w:rPr>
          <w:rFonts w:eastAsia="Times New Roman" w:cs="Arial"/>
          <w:color w:val="000000"/>
          <w:lang w:eastAsia="bg-BG"/>
        </w:rPr>
        <w:t xml:space="preserve">Плазмените концентрации на ламотригин не се повлияват от съпътстващия прием на лакозамид (200,400 или 600 </w:t>
      </w:r>
      <w:r w:rsidRPr="00315A12">
        <w:rPr>
          <w:rFonts w:eastAsia="Times New Roman" w:cs="Arial"/>
          <w:color w:val="000000"/>
          <w:lang w:val="en-US"/>
        </w:rPr>
        <w:t>mg</w:t>
      </w:r>
      <w:r w:rsidRPr="00315A12">
        <w:rPr>
          <w:rFonts w:eastAsia="Times New Roman" w:cs="Arial"/>
          <w:color w:val="000000"/>
          <w:lang w:eastAsia="bg-BG"/>
        </w:rPr>
        <w:t>/ден) в плацебо-контролирани клинични изпитвания при пациенти с припадъци с фокално начало.</w:t>
      </w:r>
    </w:p>
    <w:p w14:paraId="3F60CA47" w14:textId="77777777" w:rsidR="00315A12" w:rsidRPr="00315A12" w:rsidRDefault="00315A12" w:rsidP="00DE1E81">
      <w:pPr>
        <w:spacing w:line="240" w:lineRule="auto"/>
        <w:rPr>
          <w:rFonts w:eastAsia="Times New Roman" w:cs="Arial"/>
          <w:color w:val="000000"/>
          <w:lang w:eastAsia="bg-BG"/>
        </w:rPr>
      </w:pPr>
    </w:p>
    <w:p w14:paraId="5E925411" w14:textId="2C4071F7" w:rsidR="00DE1E81" w:rsidRPr="00315A12" w:rsidRDefault="00DE1E81" w:rsidP="00DE1E81">
      <w:pPr>
        <w:spacing w:line="240" w:lineRule="auto"/>
        <w:rPr>
          <w:rFonts w:eastAsia="Times New Roman" w:cs="Arial"/>
        </w:rPr>
      </w:pPr>
      <w:r w:rsidRPr="00315A12">
        <w:rPr>
          <w:rFonts w:eastAsia="Times New Roman" w:cs="Arial"/>
          <w:color w:val="000000"/>
          <w:lang w:eastAsia="bg-BG"/>
        </w:rPr>
        <w:t xml:space="preserve">В сборен анализ на данните от три плацебо-контролирани клинични изпитвания, изследващи комбиниран прием на перампанел при пациенти с припадъци с фокално начало и първично генерализирани тонично-клонични припадъци, най-високата оценена доза перампанел (12 </w:t>
      </w:r>
      <w:r w:rsidRPr="00315A12">
        <w:rPr>
          <w:rFonts w:eastAsia="Times New Roman" w:cs="Arial"/>
          <w:color w:val="000000"/>
          <w:lang w:val="en-US"/>
        </w:rPr>
        <w:t>mg</w:t>
      </w:r>
      <w:r w:rsidRPr="00315A12">
        <w:rPr>
          <w:rFonts w:eastAsia="Times New Roman" w:cs="Arial"/>
          <w:color w:val="000000"/>
          <w:lang w:eastAsia="bg-BG"/>
        </w:rPr>
        <w:t>/ден) повишава клирънса на ламотригин с по-малко от 10%.</w:t>
      </w:r>
    </w:p>
    <w:p w14:paraId="53958591" w14:textId="77777777" w:rsidR="00DE1E81" w:rsidRPr="00315A12" w:rsidRDefault="00DE1E81" w:rsidP="00DE1E81">
      <w:pPr>
        <w:spacing w:line="240" w:lineRule="auto"/>
        <w:rPr>
          <w:rFonts w:eastAsia="Times New Roman" w:cs="Arial"/>
          <w:color w:val="000000"/>
          <w:lang w:eastAsia="bg-BG"/>
        </w:rPr>
      </w:pPr>
    </w:p>
    <w:p w14:paraId="2EAFEF43" w14:textId="69AAAC01" w:rsidR="00DE1E81" w:rsidRPr="00315A12" w:rsidRDefault="00DE1E81" w:rsidP="00DE1E81">
      <w:pPr>
        <w:spacing w:line="240" w:lineRule="auto"/>
        <w:rPr>
          <w:rFonts w:eastAsia="Times New Roman" w:cs="Arial"/>
        </w:rPr>
      </w:pPr>
      <w:r w:rsidRPr="00315A12">
        <w:rPr>
          <w:rFonts w:eastAsia="Times New Roman" w:cs="Arial"/>
          <w:color w:val="000000"/>
          <w:lang w:eastAsia="bg-BG"/>
        </w:rPr>
        <w:t>Въпреки че са съобщавани промени в плазмените концентрации на други АЕЛ, в</w:t>
      </w:r>
      <w:r w:rsidRPr="00315A12">
        <w:rPr>
          <w:rFonts w:eastAsia="Times New Roman" w:cs="Arial"/>
          <w:i/>
          <w:iCs/>
          <w:color w:val="000000"/>
          <w:lang w:eastAsia="bg-BG"/>
        </w:rPr>
        <w:t xml:space="preserve"> </w:t>
      </w:r>
      <w:r w:rsidRPr="00315A12">
        <w:rPr>
          <w:rFonts w:eastAsia="Times New Roman" w:cs="Arial"/>
          <w:color w:val="000000"/>
          <w:lang w:eastAsia="bg-BG"/>
        </w:rPr>
        <w:t xml:space="preserve">контролираните изпитвания не е установено ламотригин да повлиява плазмените концетрации на едновременно прилаганите АЕЛ. Данните от </w:t>
      </w:r>
      <w:r w:rsidRPr="00315A12">
        <w:rPr>
          <w:rFonts w:eastAsia="Times New Roman" w:cs="Arial"/>
          <w:i/>
          <w:iCs/>
          <w:color w:val="000000"/>
          <w:lang w:val="en-US"/>
        </w:rPr>
        <w:t>in</w:t>
      </w:r>
      <w:r w:rsidRPr="00315A12">
        <w:rPr>
          <w:rFonts w:eastAsia="Times New Roman" w:cs="Arial"/>
          <w:i/>
          <w:iCs/>
          <w:color w:val="000000"/>
          <w:lang w:val="ru-RU"/>
        </w:rPr>
        <w:t xml:space="preserve"> </w:t>
      </w:r>
      <w:r w:rsidRPr="00315A12">
        <w:rPr>
          <w:rFonts w:eastAsia="Times New Roman" w:cs="Arial"/>
          <w:i/>
          <w:iCs/>
          <w:color w:val="000000"/>
          <w:lang w:val="en-US"/>
        </w:rPr>
        <w:t>vitro</w:t>
      </w:r>
      <w:r w:rsidRPr="00315A12">
        <w:rPr>
          <w:rFonts w:eastAsia="Times New Roman" w:cs="Arial"/>
          <w:color w:val="000000"/>
          <w:lang w:val="ru-RU"/>
        </w:rPr>
        <w:t xml:space="preserve"> </w:t>
      </w:r>
      <w:r w:rsidRPr="00315A12">
        <w:rPr>
          <w:rFonts w:eastAsia="Times New Roman" w:cs="Arial"/>
          <w:color w:val="000000"/>
          <w:lang w:eastAsia="bg-BG"/>
        </w:rPr>
        <w:t>изпитвания показват, че ламотригин не</w:t>
      </w:r>
    </w:p>
    <w:p w14:paraId="7CEB19CB" w14:textId="6B2ED935" w:rsidR="00DE1E81" w:rsidRPr="00315A12" w:rsidRDefault="00DE1E81" w:rsidP="00DE1E81">
      <w:pPr>
        <w:rPr>
          <w:rFonts w:eastAsia="Times New Roman" w:cs="Arial"/>
          <w:color w:val="000000"/>
          <w:lang w:eastAsia="bg-BG"/>
        </w:rPr>
      </w:pPr>
      <w:r w:rsidRPr="00315A12">
        <w:rPr>
          <w:rFonts w:eastAsia="Times New Roman" w:cs="Arial"/>
          <w:color w:val="000000"/>
          <w:lang w:eastAsia="bg-BG"/>
        </w:rPr>
        <w:t>измества други АЕЛ от местата на свързването им с плазмените протеини.</w:t>
      </w:r>
    </w:p>
    <w:p w14:paraId="7F4FB598" w14:textId="2FF6856D" w:rsidR="00315A12" w:rsidRPr="00315A12" w:rsidRDefault="00315A12" w:rsidP="00DE1E81">
      <w:pPr>
        <w:rPr>
          <w:rFonts w:eastAsia="Times New Roman" w:cs="Arial"/>
          <w:color w:val="000000"/>
          <w:lang w:eastAsia="bg-BG"/>
        </w:rPr>
      </w:pPr>
    </w:p>
    <w:p w14:paraId="564BE93C" w14:textId="77777777" w:rsidR="00315A12" w:rsidRPr="00315A12" w:rsidRDefault="00315A12" w:rsidP="00315A12">
      <w:pPr>
        <w:spacing w:line="240" w:lineRule="auto"/>
        <w:rPr>
          <w:rFonts w:eastAsia="Times New Roman" w:cs="Arial"/>
        </w:rPr>
      </w:pPr>
      <w:r w:rsidRPr="00315A12">
        <w:rPr>
          <w:rFonts w:eastAsia="Times New Roman" w:cs="Arial"/>
          <w:color w:val="000000"/>
          <w:u w:val="single"/>
          <w:lang w:eastAsia="bg-BG"/>
        </w:rPr>
        <w:t>Взаимодействия с други психоактивни агенти</w:t>
      </w:r>
    </w:p>
    <w:p w14:paraId="235400FF" w14:textId="77777777" w:rsidR="00315A12" w:rsidRPr="00315A12" w:rsidRDefault="00315A12" w:rsidP="00315A12">
      <w:pPr>
        <w:spacing w:line="240" w:lineRule="auto"/>
        <w:rPr>
          <w:rFonts w:eastAsia="Times New Roman" w:cs="Arial"/>
          <w:color w:val="000000"/>
          <w:lang w:eastAsia="bg-BG"/>
        </w:rPr>
      </w:pPr>
    </w:p>
    <w:p w14:paraId="393F73CC" w14:textId="55B8885B" w:rsidR="00315A12" w:rsidRPr="00315A12" w:rsidRDefault="00315A12" w:rsidP="00315A12">
      <w:pPr>
        <w:spacing w:line="240" w:lineRule="auto"/>
        <w:rPr>
          <w:rFonts w:eastAsia="Times New Roman" w:cs="Arial"/>
        </w:rPr>
      </w:pPr>
      <w:r w:rsidRPr="00315A12">
        <w:rPr>
          <w:rFonts w:eastAsia="Times New Roman" w:cs="Arial"/>
          <w:color w:val="000000"/>
          <w:lang w:eastAsia="bg-BG"/>
        </w:rPr>
        <w:t xml:space="preserve">Фармакокинетичните свойства на литий след прием на 2 </w:t>
      </w:r>
      <w:r w:rsidRPr="00315A12">
        <w:rPr>
          <w:rFonts w:eastAsia="Times New Roman" w:cs="Arial"/>
          <w:color w:val="000000"/>
          <w:lang w:val="en-US"/>
        </w:rPr>
        <w:t>g</w:t>
      </w:r>
      <w:r w:rsidRPr="00315A12">
        <w:rPr>
          <w:rFonts w:eastAsia="Times New Roman" w:cs="Arial"/>
          <w:color w:val="000000"/>
          <w:lang w:val="ru-RU"/>
        </w:rPr>
        <w:t xml:space="preserve"> </w:t>
      </w:r>
      <w:r w:rsidRPr="00315A12">
        <w:rPr>
          <w:rFonts w:eastAsia="Times New Roman" w:cs="Arial"/>
          <w:color w:val="000000"/>
          <w:lang w:eastAsia="bg-BG"/>
        </w:rPr>
        <w:t xml:space="preserve">безводен литиев глюконат, приеман два пъти дневно за шест дни от 20 здрави лица, не се променят при едновременното му прилагане със 100 </w:t>
      </w:r>
      <w:r w:rsidRPr="00315A12">
        <w:rPr>
          <w:rFonts w:eastAsia="Times New Roman" w:cs="Arial"/>
          <w:color w:val="000000"/>
          <w:lang w:val="en-US"/>
        </w:rPr>
        <w:t>mg</w:t>
      </w:r>
      <w:r w:rsidRPr="00315A12">
        <w:rPr>
          <w:rFonts w:eastAsia="Times New Roman" w:cs="Arial"/>
          <w:color w:val="000000"/>
          <w:lang w:eastAsia="bg-BG"/>
        </w:rPr>
        <w:t>/дневно ламотригин.</w:t>
      </w:r>
    </w:p>
    <w:p w14:paraId="05457C27" w14:textId="77777777" w:rsidR="00315A12" w:rsidRPr="00315A12" w:rsidRDefault="00315A12" w:rsidP="00315A12">
      <w:pPr>
        <w:spacing w:line="240" w:lineRule="auto"/>
        <w:rPr>
          <w:rFonts w:eastAsia="Times New Roman" w:cs="Arial"/>
          <w:color w:val="000000"/>
          <w:lang w:eastAsia="bg-BG"/>
        </w:rPr>
      </w:pPr>
    </w:p>
    <w:p w14:paraId="524A1A25" w14:textId="7DDC3E0D" w:rsidR="00315A12" w:rsidRPr="00315A12" w:rsidRDefault="00315A12" w:rsidP="00315A12">
      <w:pPr>
        <w:spacing w:line="240" w:lineRule="auto"/>
        <w:rPr>
          <w:rFonts w:eastAsia="Times New Roman" w:cs="Arial"/>
        </w:rPr>
      </w:pPr>
      <w:r w:rsidRPr="00315A12">
        <w:rPr>
          <w:rFonts w:eastAsia="Times New Roman" w:cs="Arial"/>
          <w:color w:val="000000"/>
          <w:lang w:eastAsia="bg-BG"/>
        </w:rPr>
        <w:t xml:space="preserve">Многократните перорални дози бупропион не оказват статистически значими ефекти върху фармакокинетиката на еднократна доза ламотригин при 12 лица, като е наблюдавано само леко увеличение на </w:t>
      </w:r>
      <w:r w:rsidRPr="00315A12">
        <w:rPr>
          <w:rFonts w:eastAsia="Times New Roman" w:cs="Arial"/>
          <w:color w:val="000000"/>
          <w:lang w:val="en-US"/>
        </w:rPr>
        <w:t>AUC</w:t>
      </w:r>
      <w:r w:rsidRPr="00315A12">
        <w:rPr>
          <w:rFonts w:eastAsia="Times New Roman" w:cs="Arial"/>
          <w:color w:val="000000"/>
          <w:lang w:val="ru-RU"/>
        </w:rPr>
        <w:t xml:space="preserve"> </w:t>
      </w:r>
      <w:r w:rsidRPr="00315A12">
        <w:rPr>
          <w:rFonts w:eastAsia="Times New Roman" w:cs="Arial"/>
          <w:color w:val="000000"/>
          <w:lang w:eastAsia="bg-BG"/>
        </w:rPr>
        <w:t>на ламотригин глюкуронид.</w:t>
      </w:r>
    </w:p>
    <w:p w14:paraId="51703075" w14:textId="77777777" w:rsidR="00315A12" w:rsidRPr="00315A12" w:rsidRDefault="00315A12" w:rsidP="00315A12">
      <w:pPr>
        <w:spacing w:line="240" w:lineRule="auto"/>
        <w:rPr>
          <w:rFonts w:eastAsia="Times New Roman" w:cs="Arial"/>
          <w:color w:val="000000"/>
          <w:lang w:eastAsia="bg-BG"/>
        </w:rPr>
      </w:pPr>
    </w:p>
    <w:p w14:paraId="7FD9F0C1" w14:textId="68B70CBA" w:rsidR="00315A12" w:rsidRPr="00315A12" w:rsidRDefault="00315A12" w:rsidP="00315A12">
      <w:pPr>
        <w:spacing w:line="240" w:lineRule="auto"/>
        <w:rPr>
          <w:rFonts w:eastAsia="Times New Roman" w:cs="Arial"/>
        </w:rPr>
      </w:pPr>
      <w:r w:rsidRPr="00315A12">
        <w:rPr>
          <w:rFonts w:eastAsia="Times New Roman" w:cs="Arial"/>
          <w:color w:val="000000"/>
          <w:lang w:eastAsia="bg-BG"/>
        </w:rPr>
        <w:t xml:space="preserve">При едно изпитване със здрави възрастни доброволци приемът на 15 </w:t>
      </w:r>
      <w:r w:rsidRPr="00315A12">
        <w:rPr>
          <w:rFonts w:eastAsia="Times New Roman" w:cs="Arial"/>
          <w:color w:val="000000"/>
          <w:lang w:val="en-US"/>
        </w:rPr>
        <w:t>mg</w:t>
      </w:r>
      <w:r w:rsidRPr="00315A12">
        <w:rPr>
          <w:rFonts w:eastAsia="Times New Roman" w:cs="Arial"/>
          <w:color w:val="000000"/>
          <w:lang w:val="ru-RU"/>
        </w:rPr>
        <w:t xml:space="preserve"> </w:t>
      </w:r>
      <w:r w:rsidRPr="00315A12">
        <w:rPr>
          <w:rFonts w:eastAsia="Times New Roman" w:cs="Arial"/>
          <w:color w:val="000000"/>
          <w:lang w:eastAsia="bg-BG"/>
        </w:rPr>
        <w:t xml:space="preserve">оланзапин понижава </w:t>
      </w:r>
      <w:r w:rsidRPr="00315A12">
        <w:rPr>
          <w:rFonts w:eastAsia="Times New Roman" w:cs="Arial"/>
          <w:color w:val="000000"/>
          <w:lang w:val="en-US"/>
        </w:rPr>
        <w:t>AUC</w:t>
      </w:r>
      <w:r w:rsidRPr="00315A12">
        <w:rPr>
          <w:rFonts w:eastAsia="Times New Roman" w:cs="Arial"/>
          <w:color w:val="000000"/>
          <w:lang w:val="ru-RU"/>
        </w:rPr>
        <w:t xml:space="preserve"> </w:t>
      </w:r>
      <w:r w:rsidRPr="00315A12">
        <w:rPr>
          <w:rFonts w:eastAsia="Times New Roman" w:cs="Arial"/>
          <w:color w:val="000000"/>
          <w:lang w:eastAsia="bg-BG"/>
        </w:rPr>
        <w:t>и С</w:t>
      </w:r>
      <w:r w:rsidRPr="00315A12">
        <w:rPr>
          <w:rFonts w:eastAsia="Times New Roman" w:cs="Arial"/>
          <w:color w:val="000000"/>
          <w:vertAlign w:val="subscript"/>
          <w:lang w:val="en-US"/>
        </w:rPr>
        <w:t>max</w:t>
      </w:r>
      <w:r w:rsidRPr="00315A12">
        <w:rPr>
          <w:rFonts w:eastAsia="Times New Roman" w:cs="Arial"/>
          <w:color w:val="000000"/>
          <w:lang w:eastAsia="bg-BG"/>
        </w:rPr>
        <w:t xml:space="preserve"> на ламотригин съответно средно с 24% и 20%. Установено е, че прием на 200 </w:t>
      </w:r>
      <w:r w:rsidRPr="00315A12">
        <w:rPr>
          <w:rFonts w:eastAsia="Times New Roman" w:cs="Arial"/>
          <w:color w:val="000000"/>
          <w:lang w:val="en-US"/>
        </w:rPr>
        <w:t>mg</w:t>
      </w:r>
      <w:r w:rsidRPr="00315A12">
        <w:rPr>
          <w:rFonts w:eastAsia="Times New Roman" w:cs="Arial"/>
          <w:color w:val="000000"/>
          <w:lang w:val="ru-RU"/>
        </w:rPr>
        <w:t xml:space="preserve"> </w:t>
      </w:r>
      <w:r w:rsidRPr="00315A12">
        <w:rPr>
          <w:rFonts w:eastAsia="Times New Roman" w:cs="Arial"/>
          <w:color w:val="000000"/>
          <w:lang w:eastAsia="bg-BG"/>
        </w:rPr>
        <w:t>ламотригин не повлиява фармакокинетиката на оланзапин.</w:t>
      </w:r>
    </w:p>
    <w:p w14:paraId="0E4633D9" w14:textId="77777777" w:rsidR="00315A12" w:rsidRPr="00315A12" w:rsidRDefault="00315A12" w:rsidP="00315A12">
      <w:pPr>
        <w:spacing w:line="240" w:lineRule="auto"/>
        <w:rPr>
          <w:rFonts w:eastAsia="Times New Roman" w:cs="Arial"/>
          <w:color w:val="000000"/>
          <w:lang w:eastAsia="bg-BG"/>
        </w:rPr>
      </w:pPr>
    </w:p>
    <w:p w14:paraId="66F60ADB" w14:textId="57FFE021" w:rsidR="00315A12" w:rsidRPr="00315A12" w:rsidRDefault="00315A12" w:rsidP="00315A12">
      <w:pPr>
        <w:spacing w:line="240" w:lineRule="auto"/>
        <w:rPr>
          <w:rFonts w:eastAsia="Times New Roman" w:cs="Arial"/>
        </w:rPr>
      </w:pPr>
      <w:r w:rsidRPr="00315A12">
        <w:rPr>
          <w:rFonts w:eastAsia="Times New Roman" w:cs="Arial"/>
          <w:color w:val="000000"/>
          <w:lang w:eastAsia="bg-BG"/>
        </w:rPr>
        <w:t xml:space="preserve">Многократните перорални дози ламотригин от 400 </w:t>
      </w:r>
      <w:r w:rsidRPr="00315A12">
        <w:rPr>
          <w:rFonts w:eastAsia="Times New Roman" w:cs="Arial"/>
          <w:color w:val="000000"/>
          <w:lang w:val="en-US"/>
        </w:rPr>
        <w:t>mg</w:t>
      </w:r>
      <w:r w:rsidRPr="00315A12">
        <w:rPr>
          <w:rFonts w:eastAsia="Times New Roman" w:cs="Arial"/>
          <w:color w:val="000000"/>
          <w:lang w:val="ru-RU"/>
        </w:rPr>
        <w:t xml:space="preserve"> </w:t>
      </w:r>
      <w:r w:rsidRPr="00315A12">
        <w:rPr>
          <w:rFonts w:eastAsia="Times New Roman" w:cs="Arial"/>
          <w:color w:val="000000"/>
          <w:lang w:eastAsia="bg-BG"/>
        </w:rPr>
        <w:t xml:space="preserve">дневно не оказват значим клиничен ефект върху фармакокинетиката на еднократна доза от 2 </w:t>
      </w:r>
      <w:r w:rsidRPr="00315A12">
        <w:rPr>
          <w:rFonts w:eastAsia="Times New Roman" w:cs="Arial"/>
          <w:color w:val="000000"/>
          <w:lang w:val="en-US"/>
        </w:rPr>
        <w:t>mg</w:t>
      </w:r>
      <w:r w:rsidRPr="00315A12">
        <w:rPr>
          <w:rFonts w:eastAsia="Times New Roman" w:cs="Arial"/>
          <w:color w:val="000000"/>
          <w:lang w:val="ru-RU"/>
        </w:rPr>
        <w:t xml:space="preserve"> </w:t>
      </w:r>
      <w:r w:rsidRPr="00315A12">
        <w:rPr>
          <w:rFonts w:eastAsia="Times New Roman" w:cs="Arial"/>
          <w:color w:val="000000"/>
          <w:lang w:eastAsia="bg-BG"/>
        </w:rPr>
        <w:t xml:space="preserve">рисперидон при 14 здрави възрастни доброволци. След едновременен прием на рисперидон 2 </w:t>
      </w:r>
      <w:r w:rsidRPr="00315A12">
        <w:rPr>
          <w:rFonts w:eastAsia="Times New Roman" w:cs="Arial"/>
          <w:color w:val="000000"/>
          <w:lang w:val="en-US"/>
        </w:rPr>
        <w:t>mg</w:t>
      </w:r>
      <w:r w:rsidRPr="00315A12">
        <w:rPr>
          <w:rFonts w:eastAsia="Times New Roman" w:cs="Arial"/>
          <w:color w:val="000000"/>
          <w:lang w:val="ru-RU"/>
        </w:rPr>
        <w:t xml:space="preserve"> </w:t>
      </w:r>
      <w:r w:rsidRPr="00315A12">
        <w:rPr>
          <w:rFonts w:eastAsia="Times New Roman" w:cs="Arial"/>
          <w:color w:val="000000"/>
          <w:lang w:eastAsia="bg-BG"/>
        </w:rPr>
        <w:t>с ламотригин, 12 от 14 доброволци съобщават за сънливост, в сравнение с 1 от 20 при самостоятелен прием на рисперидон, и нито един при самостоятелния прием на ламотригин.</w:t>
      </w:r>
    </w:p>
    <w:p w14:paraId="47E2BCA1" w14:textId="77777777" w:rsidR="00315A12" w:rsidRPr="00315A12" w:rsidRDefault="00315A12" w:rsidP="00315A12">
      <w:pPr>
        <w:spacing w:line="240" w:lineRule="auto"/>
        <w:rPr>
          <w:rFonts w:eastAsia="Times New Roman" w:cs="Arial"/>
          <w:color w:val="000000"/>
          <w:lang w:eastAsia="bg-BG"/>
        </w:rPr>
      </w:pPr>
    </w:p>
    <w:p w14:paraId="080B5F62" w14:textId="363FC7DA" w:rsidR="00315A12" w:rsidRPr="00315A12" w:rsidRDefault="00315A12" w:rsidP="00315A12">
      <w:pPr>
        <w:spacing w:line="240" w:lineRule="auto"/>
        <w:rPr>
          <w:rFonts w:eastAsia="Times New Roman" w:cs="Arial"/>
        </w:rPr>
      </w:pPr>
      <w:r w:rsidRPr="00315A12">
        <w:rPr>
          <w:rFonts w:eastAsia="Times New Roman" w:cs="Arial"/>
          <w:color w:val="000000"/>
          <w:lang w:eastAsia="bg-BG"/>
        </w:rPr>
        <w:t xml:space="preserve">В проучване при 18 възрастни пациенти с тип I биполярно разстройство, приемащи ламотригин по установената схема на дозиране (100-400 </w:t>
      </w:r>
      <w:r w:rsidRPr="00315A12">
        <w:rPr>
          <w:rFonts w:eastAsia="Times New Roman" w:cs="Arial"/>
          <w:color w:val="000000"/>
          <w:lang w:val="en-US"/>
        </w:rPr>
        <w:t>mg</w:t>
      </w:r>
      <w:r w:rsidRPr="00315A12">
        <w:rPr>
          <w:rFonts w:eastAsia="Times New Roman" w:cs="Arial"/>
          <w:color w:val="000000"/>
          <w:lang w:eastAsia="bg-BG"/>
        </w:rPr>
        <w:t xml:space="preserve">/дневно), дозите на арипипразол са повишени от 10 </w:t>
      </w:r>
      <w:r w:rsidRPr="00315A12">
        <w:rPr>
          <w:rFonts w:eastAsia="Times New Roman" w:cs="Arial"/>
          <w:color w:val="000000"/>
          <w:lang w:val="en-US"/>
        </w:rPr>
        <w:t>mg</w:t>
      </w:r>
      <w:r w:rsidRPr="00315A12">
        <w:rPr>
          <w:rFonts w:eastAsia="Times New Roman" w:cs="Arial"/>
          <w:color w:val="000000"/>
          <w:lang w:eastAsia="bg-BG"/>
        </w:rPr>
        <w:t xml:space="preserve">/дневно до таргетна доза от 30 </w:t>
      </w:r>
      <w:r w:rsidRPr="00315A12">
        <w:rPr>
          <w:rFonts w:eastAsia="Times New Roman" w:cs="Arial"/>
          <w:color w:val="000000"/>
          <w:lang w:val="en-US"/>
        </w:rPr>
        <w:t>mg</w:t>
      </w:r>
      <w:r w:rsidRPr="00315A12">
        <w:rPr>
          <w:rFonts w:eastAsia="Times New Roman" w:cs="Arial"/>
          <w:color w:val="000000"/>
          <w:lang w:eastAsia="bg-BG"/>
        </w:rPr>
        <w:t>/дневно за период от 7 дни, последвано от прием веднъж дневно за още 7 дни. Наблюдавано е понижение на С</w:t>
      </w:r>
      <w:r w:rsidRPr="00315A12">
        <w:rPr>
          <w:rFonts w:eastAsia="Times New Roman" w:cs="Arial"/>
          <w:color w:val="000000"/>
          <w:vertAlign w:val="subscript"/>
          <w:lang w:val="en-US"/>
        </w:rPr>
        <w:t>max</w:t>
      </w:r>
      <w:r w:rsidRPr="00315A12">
        <w:rPr>
          <w:rFonts w:eastAsia="Times New Roman" w:cs="Arial"/>
          <w:color w:val="000000"/>
          <w:lang w:eastAsia="bg-BG"/>
        </w:rPr>
        <w:t xml:space="preserve"> и </w:t>
      </w:r>
      <w:r w:rsidRPr="00315A12">
        <w:rPr>
          <w:rFonts w:eastAsia="Times New Roman" w:cs="Arial"/>
          <w:color w:val="000000"/>
          <w:lang w:val="en-US"/>
        </w:rPr>
        <w:t>AUC</w:t>
      </w:r>
      <w:r w:rsidRPr="00315A12">
        <w:rPr>
          <w:rFonts w:eastAsia="Times New Roman" w:cs="Arial"/>
          <w:color w:val="000000"/>
          <w:lang w:val="ru-RU"/>
        </w:rPr>
        <w:t xml:space="preserve"> </w:t>
      </w:r>
      <w:r w:rsidRPr="00315A12">
        <w:rPr>
          <w:rFonts w:eastAsia="Times New Roman" w:cs="Arial"/>
          <w:color w:val="000000"/>
          <w:lang w:eastAsia="bg-BG"/>
        </w:rPr>
        <w:t>на ламотригин със средно 10%.</w:t>
      </w:r>
    </w:p>
    <w:p w14:paraId="0CFA6743" w14:textId="77777777" w:rsidR="00315A12" w:rsidRPr="00315A12" w:rsidRDefault="00315A12" w:rsidP="00315A12">
      <w:pPr>
        <w:spacing w:line="240" w:lineRule="auto"/>
        <w:rPr>
          <w:rFonts w:eastAsia="Times New Roman" w:cs="Arial"/>
          <w:color w:val="000000"/>
          <w:lang w:eastAsia="bg-BG"/>
        </w:rPr>
      </w:pPr>
    </w:p>
    <w:p w14:paraId="3756F4B0" w14:textId="606B3C6F" w:rsidR="00315A12" w:rsidRPr="00315A12" w:rsidRDefault="00315A12" w:rsidP="00315A12">
      <w:pPr>
        <w:spacing w:line="240" w:lineRule="auto"/>
        <w:rPr>
          <w:rFonts w:eastAsia="Times New Roman" w:cs="Arial"/>
        </w:rPr>
      </w:pPr>
      <w:r w:rsidRPr="00315A12">
        <w:rPr>
          <w:rFonts w:eastAsia="Times New Roman" w:cs="Arial"/>
          <w:color w:val="000000"/>
          <w:lang w:eastAsia="bg-BG"/>
        </w:rPr>
        <w:t xml:space="preserve">Резултати от опити </w:t>
      </w:r>
      <w:r w:rsidRPr="00315A12">
        <w:rPr>
          <w:rFonts w:eastAsia="Times New Roman" w:cs="Arial"/>
          <w:i/>
          <w:iCs/>
          <w:color w:val="000000"/>
          <w:lang w:val="en-US"/>
        </w:rPr>
        <w:t>in</w:t>
      </w:r>
      <w:r w:rsidRPr="00315A12">
        <w:rPr>
          <w:rFonts w:eastAsia="Times New Roman" w:cs="Arial"/>
          <w:i/>
          <w:iCs/>
          <w:color w:val="000000"/>
          <w:lang w:val="ru-RU"/>
        </w:rPr>
        <w:t xml:space="preserve"> </w:t>
      </w:r>
      <w:r w:rsidRPr="00315A12">
        <w:rPr>
          <w:rFonts w:eastAsia="Times New Roman" w:cs="Arial"/>
          <w:i/>
          <w:iCs/>
          <w:color w:val="000000"/>
          <w:lang w:val="en-US"/>
        </w:rPr>
        <w:t>vitro</w:t>
      </w:r>
      <w:r w:rsidRPr="00315A12">
        <w:rPr>
          <w:rFonts w:eastAsia="Times New Roman" w:cs="Arial"/>
          <w:color w:val="000000"/>
          <w:lang w:val="ru-RU"/>
        </w:rPr>
        <w:t xml:space="preserve"> </w:t>
      </w:r>
      <w:r w:rsidRPr="00315A12">
        <w:rPr>
          <w:rFonts w:eastAsia="Times New Roman" w:cs="Arial"/>
          <w:color w:val="000000"/>
          <w:lang w:eastAsia="bg-BG"/>
        </w:rPr>
        <w:t xml:space="preserve">показват, че образуването на основния метаболит на ламотригин, 2- </w:t>
      </w:r>
      <w:r w:rsidRPr="00315A12">
        <w:rPr>
          <w:rFonts w:eastAsia="Times New Roman" w:cs="Arial"/>
          <w:color w:val="000000"/>
          <w:lang w:val="en-US"/>
        </w:rPr>
        <w:t>N</w:t>
      </w:r>
      <w:r w:rsidRPr="00315A12">
        <w:rPr>
          <w:rFonts w:eastAsia="Times New Roman" w:cs="Arial"/>
          <w:color w:val="000000"/>
          <w:lang w:eastAsia="bg-BG"/>
        </w:rPr>
        <w:t xml:space="preserve">-глюкуронид, се инхибира минимално от съвместна инкубация с амитриптилин, бупропион, клоназепам, халоперидол или лоразепам. Резултатите от тези опити предполагат и че метаболизмът на ламотригин е малко вероятно да бъде инхибиран от клозапин, флуоксетин, фенелзин, рисперидон, сертралин или тразодон. Освен това, изследване на метаболизма на буфуралол в препарати от микрозоми от човешки черен дроб предполагат, че ламотригин </w:t>
      </w:r>
      <w:r w:rsidRPr="00315A12">
        <w:rPr>
          <w:rFonts w:eastAsia="Times New Roman" w:cs="Arial"/>
          <w:i/>
          <w:iCs/>
          <w:color w:val="000000"/>
          <w:lang w:eastAsia="bg-BG"/>
        </w:rPr>
        <w:t xml:space="preserve">не </w:t>
      </w:r>
      <w:r w:rsidRPr="00315A12">
        <w:rPr>
          <w:rFonts w:eastAsia="Times New Roman" w:cs="Arial"/>
          <w:color w:val="000000"/>
          <w:lang w:eastAsia="bg-BG"/>
        </w:rPr>
        <w:t xml:space="preserve">намалява клирънса на лекарствените продукти, които се елиминират предимно чрез </w:t>
      </w:r>
      <w:r w:rsidRPr="00315A12">
        <w:rPr>
          <w:rFonts w:eastAsia="Times New Roman" w:cs="Arial"/>
          <w:color w:val="000000"/>
          <w:lang w:val="en-US"/>
        </w:rPr>
        <w:t>CYP</w:t>
      </w:r>
      <w:r w:rsidRPr="00315A12">
        <w:rPr>
          <w:rFonts w:eastAsia="Times New Roman" w:cs="Arial"/>
          <w:color w:val="000000"/>
          <w:lang w:val="ru-RU"/>
        </w:rPr>
        <w:t>2</w:t>
      </w:r>
      <w:r w:rsidRPr="00315A12">
        <w:rPr>
          <w:rFonts w:eastAsia="Times New Roman" w:cs="Arial"/>
          <w:color w:val="000000"/>
          <w:lang w:val="en-US"/>
        </w:rPr>
        <w:t>D</w:t>
      </w:r>
      <w:r w:rsidRPr="00315A12">
        <w:rPr>
          <w:rFonts w:eastAsia="Times New Roman" w:cs="Arial"/>
          <w:color w:val="000000"/>
          <w:lang w:val="ru-RU"/>
        </w:rPr>
        <w:t>6.</w:t>
      </w:r>
    </w:p>
    <w:p w14:paraId="34AF411F" w14:textId="77777777" w:rsidR="00315A12" w:rsidRPr="00315A12" w:rsidRDefault="00315A12" w:rsidP="00315A12">
      <w:pPr>
        <w:spacing w:line="240" w:lineRule="auto"/>
        <w:rPr>
          <w:rFonts w:eastAsia="Times New Roman" w:cs="Arial"/>
          <w:color w:val="000000"/>
          <w:u w:val="single"/>
          <w:lang w:eastAsia="bg-BG"/>
        </w:rPr>
      </w:pPr>
    </w:p>
    <w:p w14:paraId="1DF5E5B9" w14:textId="6AC57891" w:rsidR="00315A12" w:rsidRPr="00315A12" w:rsidRDefault="00315A12" w:rsidP="00315A12">
      <w:pPr>
        <w:spacing w:line="240" w:lineRule="auto"/>
        <w:rPr>
          <w:rFonts w:eastAsia="Times New Roman" w:cs="Arial"/>
        </w:rPr>
      </w:pPr>
      <w:r w:rsidRPr="00315A12">
        <w:rPr>
          <w:rFonts w:eastAsia="Times New Roman" w:cs="Arial"/>
          <w:color w:val="000000"/>
          <w:u w:val="single"/>
          <w:lang w:eastAsia="bg-BG"/>
        </w:rPr>
        <w:t>Взаимодействия с хормонални контрацептиви</w:t>
      </w:r>
    </w:p>
    <w:p w14:paraId="3B19E07A" w14:textId="77777777" w:rsidR="00315A12" w:rsidRPr="00315A12" w:rsidRDefault="00315A12" w:rsidP="00315A12">
      <w:pPr>
        <w:spacing w:line="240" w:lineRule="auto"/>
        <w:rPr>
          <w:rFonts w:eastAsia="Times New Roman" w:cs="Arial"/>
          <w:i/>
          <w:iCs/>
          <w:color w:val="000000"/>
          <w:lang w:eastAsia="bg-BG"/>
        </w:rPr>
      </w:pPr>
    </w:p>
    <w:p w14:paraId="7D7A9F41" w14:textId="7D582F42" w:rsidR="00315A12" w:rsidRPr="00315A12" w:rsidRDefault="00315A12" w:rsidP="00315A12">
      <w:pPr>
        <w:spacing w:line="240" w:lineRule="auto"/>
        <w:rPr>
          <w:rFonts w:eastAsia="Times New Roman" w:cs="Arial"/>
        </w:rPr>
      </w:pPr>
      <w:r w:rsidRPr="00315A12">
        <w:rPr>
          <w:rFonts w:eastAsia="Times New Roman" w:cs="Arial"/>
          <w:i/>
          <w:iCs/>
          <w:color w:val="000000"/>
          <w:lang w:eastAsia="bg-BG"/>
        </w:rPr>
        <w:t xml:space="preserve">Ефект на хормоналните контрацептиви върху фармакокинетиката на ламотригин </w:t>
      </w:r>
      <w:r w:rsidRPr="00315A12">
        <w:rPr>
          <w:rFonts w:eastAsia="Times New Roman" w:cs="Arial"/>
          <w:color w:val="000000"/>
          <w:lang w:eastAsia="bg-BG"/>
        </w:rPr>
        <w:t xml:space="preserve">При клинично изпитване с участието на 16 жени доброволки, прием на комбиниран перорален контрацептив 30 </w:t>
      </w:r>
      <w:r w:rsidRPr="00315A12">
        <w:rPr>
          <w:rFonts w:eastAsia="Times New Roman" w:cs="Arial"/>
          <w:color w:val="000000"/>
          <w:lang w:val="en-US"/>
        </w:rPr>
        <w:t>pg</w:t>
      </w:r>
      <w:r w:rsidRPr="00315A12">
        <w:rPr>
          <w:rFonts w:eastAsia="Times New Roman" w:cs="Arial"/>
          <w:color w:val="000000"/>
          <w:lang w:val="ru-RU"/>
        </w:rPr>
        <w:t xml:space="preserve"> </w:t>
      </w:r>
      <w:r w:rsidRPr="00315A12">
        <w:rPr>
          <w:rFonts w:eastAsia="Times New Roman" w:cs="Arial"/>
          <w:color w:val="000000"/>
          <w:lang w:eastAsia="bg-BG"/>
        </w:rPr>
        <w:t xml:space="preserve">етинилестрадиол/150 </w:t>
      </w:r>
      <w:r w:rsidRPr="00315A12">
        <w:rPr>
          <w:rFonts w:eastAsia="Times New Roman" w:cs="Arial"/>
          <w:color w:val="000000"/>
          <w:lang w:val="en-US"/>
        </w:rPr>
        <w:t>pg</w:t>
      </w:r>
      <w:r w:rsidRPr="00315A12">
        <w:rPr>
          <w:rFonts w:eastAsia="Times New Roman" w:cs="Arial"/>
          <w:color w:val="000000"/>
          <w:lang w:val="ru-RU"/>
        </w:rPr>
        <w:t xml:space="preserve"> </w:t>
      </w:r>
      <w:r w:rsidRPr="00315A12">
        <w:rPr>
          <w:rFonts w:eastAsia="Times New Roman" w:cs="Arial"/>
          <w:color w:val="000000"/>
          <w:lang w:eastAsia="bg-BG"/>
        </w:rPr>
        <w:t xml:space="preserve">левоноргестрел е довел до приблизително двукратно повишаване на клирънса на ламотригин след псрорално приложение, имащо за резултат намаляване средно с 52% и 39% съответно на </w:t>
      </w:r>
      <w:r w:rsidRPr="00315A12">
        <w:rPr>
          <w:rFonts w:eastAsia="Times New Roman" w:cs="Arial"/>
          <w:color w:val="000000"/>
          <w:lang w:val="en-US"/>
        </w:rPr>
        <w:t>AUC</w:t>
      </w:r>
      <w:r w:rsidRPr="00315A12">
        <w:rPr>
          <w:rFonts w:eastAsia="Times New Roman" w:cs="Arial"/>
          <w:color w:val="000000"/>
          <w:lang w:val="ru-RU"/>
        </w:rPr>
        <w:t xml:space="preserve"> </w:t>
      </w:r>
      <w:r w:rsidRPr="00315A12">
        <w:rPr>
          <w:rFonts w:eastAsia="Times New Roman" w:cs="Arial"/>
          <w:color w:val="000000"/>
          <w:lang w:eastAsia="bg-BG"/>
        </w:rPr>
        <w:t>и Стах на ламотригин. Серумните концентрации на ламотригин са се повишили през седмицата на неактивно лечение (включително през „седмицата без контрацептив”), като концентрациите преди дозите в края на седмицата на неактивно лечение са били средно около два пъти по-високи в сравнение с периода на едновременно прилагане на лекарствата (вж. точка 4.4). Не е необходимо адаптиране съгласно препоръчаните указания за повишаване на дозата на ламотригин на основата единствено на употребата на хормонални контрацептиви, но поддържащата доза на ламотригин в повечето случаи трябва да бъде повишена или понижена при започване или спиране приема на хормоналните контрацептиви (вж. точка 4.2).</w:t>
      </w:r>
    </w:p>
    <w:p w14:paraId="47617430" w14:textId="77777777" w:rsidR="00315A12" w:rsidRPr="00315A12" w:rsidRDefault="00315A12" w:rsidP="00315A12">
      <w:pPr>
        <w:rPr>
          <w:rFonts w:eastAsia="Times New Roman" w:cs="Arial"/>
          <w:i/>
          <w:iCs/>
          <w:color w:val="000000"/>
          <w:lang w:eastAsia="bg-BG"/>
        </w:rPr>
      </w:pPr>
    </w:p>
    <w:p w14:paraId="0AB91A3C" w14:textId="77777777" w:rsidR="00315A12" w:rsidRPr="00315A12" w:rsidRDefault="00315A12" w:rsidP="00315A12">
      <w:pPr>
        <w:rPr>
          <w:rFonts w:eastAsia="Times New Roman" w:cs="Arial"/>
        </w:rPr>
      </w:pPr>
      <w:r w:rsidRPr="00315A12">
        <w:rPr>
          <w:rFonts w:eastAsia="Times New Roman" w:cs="Arial"/>
          <w:i/>
          <w:iCs/>
          <w:color w:val="000000"/>
          <w:lang w:eastAsia="bg-BG"/>
        </w:rPr>
        <w:t xml:space="preserve">Ефект на ламотригин върху фармакокинетиката на хормоналните контрацептиви </w:t>
      </w:r>
      <w:r w:rsidRPr="00315A12">
        <w:rPr>
          <w:rFonts w:eastAsia="Times New Roman" w:cs="Arial"/>
          <w:color w:val="000000"/>
          <w:lang w:eastAsia="bg-BG"/>
        </w:rPr>
        <w:t xml:space="preserve">При клинично изпитване с участието на 16 жени доброволки, приемът на стационарна доза от 300 </w:t>
      </w:r>
      <w:r w:rsidRPr="00315A12">
        <w:rPr>
          <w:rFonts w:eastAsia="Times New Roman" w:cs="Arial"/>
          <w:color w:val="000000"/>
          <w:lang w:val="en-US"/>
        </w:rPr>
        <w:t>mg</w:t>
      </w:r>
      <w:r w:rsidRPr="00315A12">
        <w:rPr>
          <w:rFonts w:eastAsia="Times New Roman" w:cs="Arial"/>
          <w:color w:val="000000"/>
          <w:lang w:val="ru-RU"/>
        </w:rPr>
        <w:t xml:space="preserve"> </w:t>
      </w:r>
      <w:r w:rsidRPr="00315A12">
        <w:rPr>
          <w:rFonts w:eastAsia="Times New Roman" w:cs="Arial"/>
          <w:color w:val="000000"/>
          <w:lang w:eastAsia="bg-BG"/>
        </w:rPr>
        <w:t xml:space="preserve">ламотригин не е оказал ефект върху фармакокинетиката на етинилестрадиоловата съставка на комбинираната перорална контрацептивна таблетка. Установено е умерено увеличение на пероралния клирънс на съставката левоноргестрел, водещо до намаляване средно с 19% и 12% съответно на </w:t>
      </w:r>
      <w:r w:rsidRPr="00315A12">
        <w:rPr>
          <w:rFonts w:eastAsia="Times New Roman" w:cs="Arial"/>
          <w:color w:val="000000"/>
          <w:lang w:val="en-US"/>
        </w:rPr>
        <w:t>AUC</w:t>
      </w:r>
      <w:r w:rsidRPr="00315A12">
        <w:rPr>
          <w:rFonts w:eastAsia="Times New Roman" w:cs="Arial"/>
          <w:color w:val="000000"/>
          <w:lang w:val="ru-RU"/>
        </w:rPr>
        <w:t xml:space="preserve"> </w:t>
      </w:r>
      <w:r w:rsidRPr="00315A12">
        <w:rPr>
          <w:rFonts w:eastAsia="Times New Roman" w:cs="Arial"/>
          <w:color w:val="000000"/>
          <w:lang w:eastAsia="bg-BG"/>
        </w:rPr>
        <w:t>и С</w:t>
      </w:r>
      <w:r w:rsidRPr="00315A12">
        <w:rPr>
          <w:rFonts w:eastAsia="Times New Roman" w:cs="Arial"/>
          <w:color w:val="000000"/>
          <w:vertAlign w:val="subscript"/>
          <w:lang w:val="en-US"/>
        </w:rPr>
        <w:t>max</w:t>
      </w:r>
      <w:r w:rsidRPr="00315A12">
        <w:rPr>
          <w:rFonts w:eastAsia="Times New Roman" w:cs="Arial"/>
          <w:color w:val="000000"/>
          <w:lang w:eastAsia="bg-BG"/>
        </w:rPr>
        <w:t xml:space="preserve"> на левоноргестрел. Измерването на серумните </w:t>
      </w:r>
      <w:r w:rsidRPr="00315A12">
        <w:rPr>
          <w:rFonts w:eastAsia="Times New Roman" w:cs="Arial"/>
          <w:color w:val="000000"/>
          <w:lang w:val="en-US"/>
        </w:rPr>
        <w:t>FSH</w:t>
      </w:r>
      <w:r w:rsidRPr="00315A12">
        <w:rPr>
          <w:rFonts w:eastAsia="Times New Roman" w:cs="Arial"/>
          <w:color w:val="000000"/>
          <w:lang w:val="ru-RU"/>
        </w:rPr>
        <w:t xml:space="preserve">, </w:t>
      </w:r>
      <w:r w:rsidRPr="00315A12">
        <w:rPr>
          <w:rFonts w:eastAsia="Times New Roman" w:cs="Arial"/>
          <w:color w:val="000000"/>
          <w:lang w:val="en-US"/>
        </w:rPr>
        <w:t>LH</w:t>
      </w:r>
      <w:r w:rsidRPr="00315A12">
        <w:rPr>
          <w:rFonts w:eastAsia="Times New Roman" w:cs="Arial"/>
          <w:color w:val="000000"/>
          <w:lang w:val="ru-RU"/>
        </w:rPr>
        <w:t xml:space="preserve"> </w:t>
      </w:r>
      <w:r w:rsidRPr="00315A12">
        <w:rPr>
          <w:rFonts w:eastAsia="Times New Roman" w:cs="Arial"/>
          <w:color w:val="000000"/>
          <w:lang w:eastAsia="bg-BG"/>
        </w:rPr>
        <w:t xml:space="preserve">и естрадиол по време на изпитването показва намаляване на супресията на овариалната хормонална дейност при някои жени, въпреки че измерването на серумния прогестерон показва, че няма хормонални данни за овулация при никоя от шестнадесетте жени. Не е изяснено въздействието на умереното повишаване на клирънса на левоноргестрел и промените в серумния </w:t>
      </w:r>
      <w:r w:rsidRPr="00315A12">
        <w:rPr>
          <w:rFonts w:eastAsia="Times New Roman" w:cs="Arial"/>
          <w:color w:val="000000"/>
          <w:lang w:val="en-US"/>
        </w:rPr>
        <w:t>FSH</w:t>
      </w:r>
      <w:r w:rsidRPr="00315A12">
        <w:rPr>
          <w:rFonts w:eastAsia="Times New Roman" w:cs="Arial"/>
          <w:color w:val="000000"/>
          <w:lang w:val="ru-RU"/>
        </w:rPr>
        <w:t xml:space="preserve"> </w:t>
      </w:r>
      <w:r w:rsidRPr="00315A12">
        <w:rPr>
          <w:rFonts w:eastAsia="Times New Roman" w:cs="Arial"/>
          <w:color w:val="000000"/>
          <w:lang w:eastAsia="bg-BG"/>
        </w:rPr>
        <w:t xml:space="preserve">и </w:t>
      </w:r>
      <w:r w:rsidRPr="00315A12">
        <w:rPr>
          <w:rFonts w:eastAsia="Times New Roman" w:cs="Arial"/>
          <w:color w:val="000000"/>
          <w:lang w:val="en-US"/>
        </w:rPr>
        <w:t>LH</w:t>
      </w:r>
      <w:r w:rsidRPr="00315A12">
        <w:rPr>
          <w:rFonts w:eastAsia="Times New Roman" w:cs="Arial"/>
          <w:color w:val="000000"/>
          <w:lang w:val="ru-RU"/>
        </w:rPr>
        <w:t xml:space="preserve"> </w:t>
      </w:r>
      <w:r w:rsidRPr="00315A12">
        <w:rPr>
          <w:rFonts w:eastAsia="Times New Roman" w:cs="Arial"/>
          <w:color w:val="000000"/>
          <w:lang w:eastAsia="bg-BG"/>
        </w:rPr>
        <w:t xml:space="preserve">върху овулаторната дейност на яйчника (вж. точка 4.4). Не са проучвани ефектите на ламотригин в дневни дози, различни от 300 </w:t>
      </w:r>
      <w:r w:rsidRPr="00315A12">
        <w:rPr>
          <w:rFonts w:eastAsia="Times New Roman" w:cs="Arial"/>
          <w:color w:val="000000"/>
          <w:lang w:val="en-US"/>
        </w:rPr>
        <w:t>mg</w:t>
      </w:r>
      <w:r w:rsidRPr="00315A12">
        <w:rPr>
          <w:rFonts w:eastAsia="Times New Roman" w:cs="Arial"/>
          <w:color w:val="000000"/>
          <w:lang w:val="ru-RU"/>
        </w:rPr>
        <w:t xml:space="preserve">, </w:t>
      </w:r>
      <w:r w:rsidRPr="00315A12">
        <w:rPr>
          <w:rFonts w:eastAsia="Times New Roman" w:cs="Arial"/>
          <w:color w:val="000000"/>
          <w:lang w:eastAsia="bg-BG"/>
        </w:rPr>
        <w:t>както и не са провеждани изпитвания с други хормонални лекарствени продукти.</w:t>
      </w:r>
    </w:p>
    <w:p w14:paraId="3FFBF9A7" w14:textId="77777777" w:rsidR="00315A12" w:rsidRPr="00315A12" w:rsidRDefault="00315A12" w:rsidP="00315A12">
      <w:pPr>
        <w:spacing w:line="240" w:lineRule="auto"/>
        <w:rPr>
          <w:rFonts w:eastAsia="Times New Roman" w:cs="Arial"/>
          <w:color w:val="000000"/>
          <w:u w:val="single"/>
          <w:lang w:eastAsia="bg-BG"/>
        </w:rPr>
      </w:pPr>
    </w:p>
    <w:p w14:paraId="7A3038B3" w14:textId="77CAF3E8" w:rsidR="00315A12" w:rsidRPr="00315A12" w:rsidRDefault="00315A12" w:rsidP="00315A12">
      <w:pPr>
        <w:spacing w:line="240" w:lineRule="auto"/>
        <w:rPr>
          <w:rFonts w:eastAsia="Times New Roman" w:cs="Arial"/>
        </w:rPr>
      </w:pPr>
      <w:r w:rsidRPr="00315A12">
        <w:rPr>
          <w:rFonts w:eastAsia="Times New Roman" w:cs="Arial"/>
          <w:color w:val="000000"/>
          <w:u w:val="single"/>
          <w:lang w:eastAsia="bg-BG"/>
        </w:rPr>
        <w:t>Взаимодействия с други лекарствени продукти</w:t>
      </w:r>
    </w:p>
    <w:p w14:paraId="1F448B21" w14:textId="77777777" w:rsidR="00315A12" w:rsidRPr="00315A12" w:rsidRDefault="00315A12" w:rsidP="00315A12">
      <w:pPr>
        <w:spacing w:line="240" w:lineRule="auto"/>
        <w:rPr>
          <w:rFonts w:eastAsia="Times New Roman" w:cs="Arial"/>
          <w:color w:val="000000"/>
          <w:lang w:eastAsia="bg-BG"/>
        </w:rPr>
      </w:pPr>
    </w:p>
    <w:p w14:paraId="26FC211E" w14:textId="40A54493" w:rsidR="00315A12" w:rsidRPr="00315A12" w:rsidRDefault="00315A12" w:rsidP="00315A12">
      <w:pPr>
        <w:spacing w:line="240" w:lineRule="auto"/>
        <w:rPr>
          <w:rFonts w:eastAsia="Times New Roman" w:cs="Arial"/>
        </w:rPr>
      </w:pPr>
      <w:r w:rsidRPr="00315A12">
        <w:rPr>
          <w:rFonts w:eastAsia="Times New Roman" w:cs="Arial"/>
          <w:color w:val="000000"/>
          <w:lang w:eastAsia="bg-BG"/>
        </w:rPr>
        <w:t>В изпитване с участието на 10 мъже доброволци е установено, че рифампицин повишава клирънса и намалява времето на полуживот на ламотригин поради индукция на чернодробните ензими, отговорни за глюкуронирането. При пациенти, лекувани едновременно с рифампицин, трябва да се използва подходяща схема на лечение (вж. точка 4.2).</w:t>
      </w:r>
    </w:p>
    <w:p w14:paraId="662014CD" w14:textId="77777777" w:rsidR="00315A12" w:rsidRPr="00315A12" w:rsidRDefault="00315A12" w:rsidP="00315A12">
      <w:pPr>
        <w:spacing w:line="240" w:lineRule="auto"/>
        <w:rPr>
          <w:rFonts w:eastAsia="Times New Roman" w:cs="Arial"/>
          <w:color w:val="000000"/>
          <w:lang w:eastAsia="bg-BG"/>
        </w:rPr>
      </w:pPr>
    </w:p>
    <w:p w14:paraId="318F3991" w14:textId="421621EB" w:rsidR="00315A12" w:rsidRPr="00315A12" w:rsidRDefault="00315A12" w:rsidP="00315A12">
      <w:pPr>
        <w:spacing w:line="240" w:lineRule="auto"/>
        <w:rPr>
          <w:rFonts w:eastAsia="Times New Roman" w:cs="Arial"/>
        </w:rPr>
      </w:pPr>
      <w:r w:rsidRPr="00315A12">
        <w:rPr>
          <w:rFonts w:eastAsia="Times New Roman" w:cs="Arial"/>
          <w:color w:val="000000"/>
          <w:lang w:eastAsia="bg-BG"/>
        </w:rPr>
        <w:lastRenderedPageBreak/>
        <w:t>В изпитване при здрави доброволци лопинавир/ритонавир предизвикват приблизително двукратно понижаване на плазмените концентрации на ламотригин, вероятно чрез индуциране на глюкуронирането. При пациенти, приемащи едновременно лечение с лопинавир/ритонавир трябва да бъде използван подходящ терапевтичен режим (вж. точка 4.2).</w:t>
      </w:r>
    </w:p>
    <w:p w14:paraId="7DA1C52C" w14:textId="77777777" w:rsidR="00315A12" w:rsidRPr="00315A12" w:rsidRDefault="00315A12" w:rsidP="00315A12">
      <w:pPr>
        <w:spacing w:line="240" w:lineRule="auto"/>
        <w:rPr>
          <w:rFonts w:eastAsia="Times New Roman" w:cs="Arial"/>
          <w:color w:val="000000"/>
          <w:lang w:eastAsia="bg-BG"/>
        </w:rPr>
      </w:pPr>
    </w:p>
    <w:p w14:paraId="5EA035F5" w14:textId="463BC282" w:rsidR="00315A12" w:rsidRPr="00315A12" w:rsidRDefault="00315A12" w:rsidP="00315A12">
      <w:pPr>
        <w:spacing w:line="240" w:lineRule="auto"/>
        <w:rPr>
          <w:rFonts w:eastAsia="Times New Roman" w:cs="Arial"/>
        </w:rPr>
      </w:pPr>
      <w:r w:rsidRPr="00315A12">
        <w:rPr>
          <w:rFonts w:eastAsia="Times New Roman" w:cs="Arial"/>
          <w:color w:val="000000"/>
          <w:lang w:eastAsia="bg-BG"/>
        </w:rPr>
        <w:t xml:space="preserve">В едно проучване при здрави възрастни доброволци, атазанавир/ритонавир (300 </w:t>
      </w:r>
      <w:r w:rsidRPr="00315A12">
        <w:rPr>
          <w:rFonts w:eastAsia="Times New Roman" w:cs="Arial"/>
          <w:color w:val="000000"/>
          <w:lang w:val="en-US"/>
        </w:rPr>
        <w:t>mg</w:t>
      </w:r>
      <w:r w:rsidRPr="00315A12">
        <w:rPr>
          <w:rFonts w:eastAsia="Times New Roman" w:cs="Arial"/>
          <w:color w:val="000000"/>
          <w:lang w:val="ru-RU"/>
        </w:rPr>
        <w:t xml:space="preserve">/100 </w:t>
      </w:r>
      <w:r w:rsidRPr="00315A12">
        <w:rPr>
          <w:rFonts w:eastAsia="Times New Roman" w:cs="Arial"/>
          <w:color w:val="000000"/>
          <w:lang w:val="en-US"/>
        </w:rPr>
        <w:t>mg</w:t>
      </w:r>
      <w:r w:rsidRPr="00315A12">
        <w:rPr>
          <w:rFonts w:eastAsia="Times New Roman" w:cs="Arial"/>
          <w:color w:val="000000"/>
          <w:lang w:val="ru-RU"/>
        </w:rPr>
        <w:t xml:space="preserve">), </w:t>
      </w:r>
      <w:r w:rsidRPr="00315A12">
        <w:rPr>
          <w:rFonts w:eastAsia="Times New Roman" w:cs="Arial"/>
          <w:color w:val="000000"/>
          <w:lang w:eastAsia="bg-BG"/>
        </w:rPr>
        <w:t xml:space="preserve">прилагани за 9 дни, понижават плазмените </w:t>
      </w:r>
      <w:r w:rsidRPr="00315A12">
        <w:rPr>
          <w:rFonts w:eastAsia="Times New Roman" w:cs="Arial"/>
          <w:color w:val="000000"/>
          <w:lang w:val="en-US"/>
        </w:rPr>
        <w:t>AUC</w:t>
      </w:r>
      <w:r w:rsidRPr="00315A12">
        <w:rPr>
          <w:rFonts w:eastAsia="Times New Roman" w:cs="Arial"/>
          <w:color w:val="000000"/>
          <w:lang w:val="ru-RU"/>
        </w:rPr>
        <w:t xml:space="preserve"> </w:t>
      </w:r>
      <w:r w:rsidRPr="00315A12">
        <w:rPr>
          <w:rFonts w:eastAsia="Times New Roman" w:cs="Arial"/>
          <w:color w:val="000000"/>
          <w:lang w:eastAsia="bg-BG"/>
        </w:rPr>
        <w:t>и С</w:t>
      </w:r>
      <w:r w:rsidRPr="00315A12">
        <w:rPr>
          <w:rFonts w:eastAsia="Times New Roman" w:cs="Arial"/>
          <w:color w:val="000000"/>
          <w:vertAlign w:val="subscript"/>
          <w:lang w:val="en-US"/>
        </w:rPr>
        <w:t>max</w:t>
      </w:r>
      <w:r w:rsidRPr="00315A12">
        <w:rPr>
          <w:rFonts w:eastAsia="Times New Roman" w:cs="Arial"/>
          <w:color w:val="000000"/>
          <w:lang w:val="ru-RU"/>
        </w:rPr>
        <w:t xml:space="preserve"> </w:t>
      </w:r>
      <w:r w:rsidRPr="00315A12">
        <w:rPr>
          <w:rFonts w:eastAsia="Times New Roman" w:cs="Arial"/>
          <w:color w:val="000000"/>
          <w:lang w:eastAsia="bg-BG"/>
        </w:rPr>
        <w:t xml:space="preserve">на ламотригин (еднократна доза от 100 </w:t>
      </w:r>
      <w:r w:rsidRPr="00315A12">
        <w:rPr>
          <w:rFonts w:eastAsia="Times New Roman" w:cs="Arial"/>
          <w:color w:val="000000"/>
          <w:lang w:val="en-US"/>
        </w:rPr>
        <w:t>mg</w:t>
      </w:r>
      <w:r w:rsidRPr="00315A12">
        <w:rPr>
          <w:rFonts w:eastAsia="Times New Roman" w:cs="Arial"/>
          <w:color w:val="000000"/>
          <w:lang w:val="ru-RU"/>
        </w:rPr>
        <w:t xml:space="preserve">) </w:t>
      </w:r>
      <w:r w:rsidRPr="00315A12">
        <w:rPr>
          <w:rFonts w:eastAsia="Times New Roman" w:cs="Arial"/>
          <w:color w:val="000000"/>
          <w:lang w:eastAsia="bg-BG"/>
        </w:rPr>
        <w:t>средно съответно с 32% и 6%. При пациенти, приемащи едновременно лечение с атазанавир/ритонавир трябва да бъде използван подходящ терапевтичен режим (вж. точка 4.2).</w:t>
      </w:r>
    </w:p>
    <w:p w14:paraId="761CB43F" w14:textId="77777777" w:rsidR="00315A12" w:rsidRPr="00315A12" w:rsidRDefault="00315A12" w:rsidP="00315A12">
      <w:pPr>
        <w:spacing w:line="240" w:lineRule="auto"/>
        <w:rPr>
          <w:rFonts w:eastAsia="Times New Roman" w:cs="Arial"/>
          <w:color w:val="000000"/>
          <w:lang w:eastAsia="bg-BG"/>
        </w:rPr>
      </w:pPr>
    </w:p>
    <w:p w14:paraId="4342E061" w14:textId="78E7F7DC" w:rsidR="00315A12" w:rsidRPr="00315A12" w:rsidRDefault="00315A12" w:rsidP="00315A12">
      <w:pPr>
        <w:spacing w:line="240" w:lineRule="auto"/>
        <w:rPr>
          <w:rFonts w:eastAsia="Times New Roman" w:cs="Arial"/>
        </w:rPr>
      </w:pPr>
      <w:r w:rsidRPr="00315A12">
        <w:rPr>
          <w:rFonts w:eastAsia="Times New Roman" w:cs="Arial"/>
          <w:color w:val="000000"/>
          <w:lang w:eastAsia="bg-BG"/>
        </w:rPr>
        <w:t xml:space="preserve">В изпитване при здрави възрастни доброволци, парацетамол 1 </w:t>
      </w:r>
      <w:r w:rsidRPr="00315A12">
        <w:rPr>
          <w:rFonts w:eastAsia="Times New Roman" w:cs="Arial"/>
          <w:color w:val="000000"/>
          <w:lang w:val="en-US"/>
        </w:rPr>
        <w:t>g</w:t>
      </w:r>
      <w:r w:rsidRPr="00315A12">
        <w:rPr>
          <w:rFonts w:eastAsia="Times New Roman" w:cs="Arial"/>
          <w:color w:val="000000"/>
          <w:lang w:val="ru-RU"/>
        </w:rPr>
        <w:t xml:space="preserve"> </w:t>
      </w:r>
      <w:r w:rsidRPr="00315A12">
        <w:rPr>
          <w:rFonts w:eastAsia="Times New Roman" w:cs="Arial"/>
          <w:color w:val="000000"/>
          <w:lang w:eastAsia="bg-BG"/>
        </w:rPr>
        <w:t xml:space="preserve">(четири пъти дневно) понижава плазмените </w:t>
      </w:r>
      <w:r w:rsidRPr="00315A12">
        <w:rPr>
          <w:rFonts w:eastAsia="Times New Roman" w:cs="Arial"/>
          <w:color w:val="000000"/>
          <w:lang w:val="en-US"/>
        </w:rPr>
        <w:t>AUC</w:t>
      </w:r>
      <w:r w:rsidRPr="00315A12">
        <w:rPr>
          <w:rFonts w:eastAsia="Times New Roman" w:cs="Arial"/>
          <w:color w:val="000000"/>
          <w:lang w:val="ru-RU"/>
        </w:rPr>
        <w:t xml:space="preserve"> </w:t>
      </w:r>
      <w:r w:rsidRPr="00315A12">
        <w:rPr>
          <w:rFonts w:eastAsia="Times New Roman" w:cs="Arial"/>
          <w:color w:val="000000"/>
          <w:lang w:eastAsia="bg-BG"/>
        </w:rPr>
        <w:t>и С</w:t>
      </w:r>
      <w:r w:rsidRPr="00315A12">
        <w:rPr>
          <w:rFonts w:eastAsia="Times New Roman" w:cs="Arial"/>
          <w:color w:val="000000"/>
          <w:vertAlign w:val="subscript"/>
          <w:lang w:val="en-US"/>
        </w:rPr>
        <w:t>min</w:t>
      </w:r>
      <w:r w:rsidRPr="00315A12">
        <w:rPr>
          <w:rFonts w:eastAsia="Times New Roman" w:cs="Arial"/>
          <w:color w:val="000000"/>
          <w:lang w:val="ru-RU"/>
        </w:rPr>
        <w:t xml:space="preserve"> </w:t>
      </w:r>
      <w:r w:rsidRPr="00315A12">
        <w:rPr>
          <w:rFonts w:eastAsia="Times New Roman" w:cs="Arial"/>
          <w:color w:val="000000"/>
          <w:lang w:eastAsia="bg-BG"/>
        </w:rPr>
        <w:t>на ламотригин средно съответно с 20% и 25%.</w:t>
      </w:r>
    </w:p>
    <w:p w14:paraId="59359D7F" w14:textId="77777777" w:rsidR="00315A12" w:rsidRPr="00315A12" w:rsidRDefault="00315A12" w:rsidP="00315A12">
      <w:pPr>
        <w:spacing w:line="240" w:lineRule="auto"/>
        <w:rPr>
          <w:rFonts w:eastAsia="Times New Roman" w:cs="Arial"/>
          <w:color w:val="000000"/>
          <w:lang w:eastAsia="bg-BG"/>
        </w:rPr>
      </w:pPr>
    </w:p>
    <w:p w14:paraId="77A6C40C" w14:textId="6F48DC3A" w:rsidR="00315A12" w:rsidRPr="00315A12" w:rsidRDefault="00315A12" w:rsidP="00315A12">
      <w:pPr>
        <w:spacing w:line="240" w:lineRule="auto"/>
        <w:rPr>
          <w:rFonts w:eastAsia="Times New Roman" w:cs="Arial"/>
        </w:rPr>
      </w:pPr>
      <w:r w:rsidRPr="00315A12">
        <w:rPr>
          <w:rFonts w:eastAsia="Times New Roman" w:cs="Arial"/>
          <w:color w:val="000000"/>
          <w:lang w:eastAsia="bg-BG"/>
        </w:rPr>
        <w:t xml:space="preserve">Данни от </w:t>
      </w:r>
      <w:r w:rsidRPr="00315A12">
        <w:rPr>
          <w:rFonts w:eastAsia="Times New Roman" w:cs="Arial"/>
          <w:i/>
          <w:iCs/>
          <w:color w:val="000000"/>
          <w:lang w:val="en-US"/>
        </w:rPr>
        <w:t>in</w:t>
      </w:r>
      <w:r w:rsidRPr="00315A12">
        <w:rPr>
          <w:rFonts w:eastAsia="Times New Roman" w:cs="Arial"/>
          <w:i/>
          <w:iCs/>
          <w:color w:val="000000"/>
          <w:lang w:val="ru-RU"/>
        </w:rPr>
        <w:t xml:space="preserve"> </w:t>
      </w:r>
      <w:r w:rsidRPr="00315A12">
        <w:rPr>
          <w:rFonts w:eastAsia="Times New Roman" w:cs="Arial"/>
          <w:i/>
          <w:iCs/>
          <w:color w:val="000000"/>
          <w:lang w:val="en-US"/>
        </w:rPr>
        <w:t>vitro</w:t>
      </w:r>
      <w:r w:rsidRPr="00315A12">
        <w:rPr>
          <w:rFonts w:eastAsia="Times New Roman" w:cs="Arial"/>
          <w:color w:val="000000"/>
          <w:lang w:val="ru-RU"/>
        </w:rPr>
        <w:t xml:space="preserve"> </w:t>
      </w:r>
      <w:r w:rsidRPr="00315A12">
        <w:rPr>
          <w:rFonts w:eastAsia="Times New Roman" w:cs="Arial"/>
          <w:color w:val="000000"/>
          <w:lang w:eastAsia="bg-BG"/>
        </w:rPr>
        <w:t xml:space="preserve">проучване показват, че ламотригин, но не и </w:t>
      </w:r>
      <w:r w:rsidRPr="00315A12">
        <w:rPr>
          <w:rFonts w:eastAsia="Times New Roman" w:cs="Arial"/>
          <w:color w:val="000000"/>
          <w:lang w:val="en-US"/>
        </w:rPr>
        <w:t>N</w:t>
      </w:r>
      <w:r w:rsidRPr="00315A12">
        <w:rPr>
          <w:rFonts w:eastAsia="Times New Roman" w:cs="Arial"/>
          <w:color w:val="000000"/>
          <w:lang w:eastAsia="bg-BG"/>
        </w:rPr>
        <w:t>(2)-глюкуронид метаболита, е инхибитор на Органичния транспорт</w:t>
      </w:r>
      <w:r w:rsidRPr="00315A12">
        <w:rPr>
          <w:rFonts w:eastAsia="Times New Roman" w:cs="Arial"/>
          <w:color w:val="000000"/>
          <w:lang w:val="en-US"/>
        </w:rPr>
        <w:t>e</w:t>
      </w:r>
      <w:r w:rsidRPr="00315A12">
        <w:rPr>
          <w:rFonts w:eastAsia="Times New Roman" w:cs="Arial"/>
          <w:color w:val="000000"/>
          <w:lang w:eastAsia="bg-BG"/>
        </w:rPr>
        <w:t xml:space="preserve">р 2 </w:t>
      </w:r>
      <w:r w:rsidRPr="00315A12">
        <w:rPr>
          <w:rFonts w:eastAsia="Times New Roman" w:cs="Arial"/>
          <w:color w:val="000000"/>
          <w:lang w:val="ru-RU"/>
        </w:rPr>
        <w:t>(</w:t>
      </w:r>
      <w:r w:rsidRPr="00315A12">
        <w:rPr>
          <w:rFonts w:eastAsia="Times New Roman" w:cs="Arial"/>
          <w:color w:val="000000"/>
          <w:lang w:val="en-US"/>
        </w:rPr>
        <w:t>OCT</w:t>
      </w:r>
      <w:r w:rsidRPr="00315A12">
        <w:rPr>
          <w:rFonts w:eastAsia="Times New Roman" w:cs="Arial"/>
          <w:color w:val="000000"/>
          <w:lang w:val="ru-RU"/>
        </w:rPr>
        <w:t xml:space="preserve"> </w:t>
      </w:r>
      <w:r w:rsidRPr="00315A12">
        <w:rPr>
          <w:rFonts w:eastAsia="Times New Roman" w:cs="Arial"/>
          <w:color w:val="000000"/>
          <w:lang w:eastAsia="bg-BG"/>
        </w:rPr>
        <w:t xml:space="preserve">2) в потенциално клинично значими концентрации. Тези данни показват, че ламотригин е инхибитор на </w:t>
      </w:r>
      <w:r w:rsidRPr="00315A12">
        <w:rPr>
          <w:rFonts w:eastAsia="Times New Roman" w:cs="Arial"/>
          <w:color w:val="000000"/>
          <w:lang w:val="en-US"/>
        </w:rPr>
        <w:t>OCT</w:t>
      </w:r>
      <w:r w:rsidRPr="00315A12">
        <w:rPr>
          <w:rFonts w:eastAsia="Times New Roman" w:cs="Arial"/>
          <w:color w:val="000000"/>
          <w:lang w:val="ru-RU"/>
        </w:rPr>
        <w:t xml:space="preserve"> </w:t>
      </w:r>
      <w:r w:rsidRPr="00315A12">
        <w:rPr>
          <w:rFonts w:eastAsia="Times New Roman" w:cs="Arial"/>
          <w:color w:val="000000"/>
          <w:lang w:eastAsia="bg-BG"/>
        </w:rPr>
        <w:t xml:space="preserve">2 с </w:t>
      </w:r>
      <w:r w:rsidRPr="00315A12">
        <w:rPr>
          <w:rFonts w:eastAsia="Times New Roman" w:cs="Arial"/>
          <w:color w:val="000000"/>
          <w:lang w:val="en-US"/>
        </w:rPr>
        <w:t>IC</w:t>
      </w:r>
      <w:r w:rsidRPr="00315A12">
        <w:rPr>
          <w:rFonts w:eastAsia="Times New Roman" w:cs="Arial"/>
          <w:color w:val="000000"/>
          <w:lang w:val="ru-RU"/>
        </w:rPr>
        <w:t xml:space="preserve">50 </w:t>
      </w:r>
      <w:r w:rsidRPr="00315A12">
        <w:rPr>
          <w:rFonts w:eastAsia="Times New Roman" w:cs="Arial"/>
          <w:color w:val="000000"/>
          <w:lang w:eastAsia="bg-BG"/>
        </w:rPr>
        <w:t>стойност 53,8 μМ. Едновременното приложение на ламотригин с лекарствени продукти, които се елиминират през бъбреците и са субстрати на ОСТ2 (напр. метформин, габапентин и варениклин), може да доведе до повишени плазмени нива на тези лекарства.</w:t>
      </w:r>
    </w:p>
    <w:p w14:paraId="53BC0641" w14:textId="77777777" w:rsidR="00315A12" w:rsidRPr="00315A12" w:rsidRDefault="00315A12" w:rsidP="00315A12">
      <w:pPr>
        <w:spacing w:line="240" w:lineRule="auto"/>
        <w:rPr>
          <w:rFonts w:eastAsia="Times New Roman" w:cs="Arial"/>
        </w:rPr>
      </w:pPr>
      <w:r w:rsidRPr="00315A12">
        <w:rPr>
          <w:rFonts w:eastAsia="Times New Roman" w:cs="Arial"/>
          <w:color w:val="000000"/>
          <w:lang w:eastAsia="bg-BG"/>
        </w:rPr>
        <w:t>Клиничната значимост на тези резултати не е ясно определена. Въпреки това, приложението на лекарството трябва да е с повишено внимание при пациенти, които едновременно приемат някой от тези лекарствени продукти.</w:t>
      </w:r>
    </w:p>
    <w:p w14:paraId="1F696E28" w14:textId="00B335B9" w:rsidR="00315A12" w:rsidRPr="00DE1E81" w:rsidRDefault="00315A12" w:rsidP="00315A12"/>
    <w:p w14:paraId="6EADE4D6" w14:textId="30DF72AD" w:rsidR="00395555" w:rsidRDefault="002C50EE" w:rsidP="008A6AF2">
      <w:pPr>
        <w:pStyle w:val="Heading2"/>
      </w:pPr>
      <w:r>
        <w:t>4.6. Фертилитет, бременност и кърмене</w:t>
      </w:r>
    </w:p>
    <w:p w14:paraId="073F2B98" w14:textId="1D782A68" w:rsidR="00315A12" w:rsidRDefault="00315A12" w:rsidP="00315A12"/>
    <w:p w14:paraId="15053CD3" w14:textId="77777777" w:rsidR="00315A12" w:rsidRPr="00315A12" w:rsidRDefault="00315A12" w:rsidP="00315A12">
      <w:pPr>
        <w:spacing w:line="240" w:lineRule="auto"/>
        <w:rPr>
          <w:rFonts w:eastAsia="Times New Roman" w:cs="Arial"/>
          <w:sz w:val="24"/>
          <w:szCs w:val="24"/>
        </w:rPr>
      </w:pPr>
      <w:r w:rsidRPr="00315A12">
        <w:rPr>
          <w:rFonts w:eastAsia="Times New Roman" w:cs="Arial"/>
          <w:color w:val="000000"/>
          <w:u w:val="single"/>
          <w:lang w:eastAsia="bg-BG"/>
        </w:rPr>
        <w:t>Риск, свързан с антиепилептичните лекарства като пяло</w:t>
      </w:r>
    </w:p>
    <w:p w14:paraId="0C4C76F8" w14:textId="77777777" w:rsidR="00315A12" w:rsidRPr="00315A12" w:rsidRDefault="00315A12" w:rsidP="00315A12">
      <w:pPr>
        <w:rPr>
          <w:rFonts w:eastAsia="Times New Roman" w:cs="Arial"/>
          <w:color w:val="000000"/>
          <w:lang w:eastAsia="bg-BG"/>
        </w:rPr>
      </w:pPr>
    </w:p>
    <w:p w14:paraId="25FF9680" w14:textId="6C7CB845" w:rsidR="00315A12" w:rsidRPr="00315A12" w:rsidRDefault="00315A12" w:rsidP="00315A12">
      <w:pPr>
        <w:rPr>
          <w:rFonts w:eastAsia="Times New Roman" w:cs="Arial"/>
          <w:color w:val="000000"/>
          <w:lang w:eastAsia="bg-BG"/>
        </w:rPr>
      </w:pPr>
      <w:r w:rsidRPr="00315A12">
        <w:rPr>
          <w:rFonts w:eastAsia="Times New Roman" w:cs="Arial"/>
          <w:color w:val="000000"/>
          <w:lang w:eastAsia="bg-BG"/>
        </w:rPr>
        <w:t>Лечението на жените с детероден потенциал трябва да бъде под контрола на специалист. Лечението с антиепилептични лекарства трябва да бъде преразгледано, в случай че жената планира да забременее. При жените, лекувани за епилепсия, внезапното спиране на лечението с АЕЛ трябва да се избягва, тъй като това може да доведе до поява на припадъци със сериозни последствия върху жената и нероденото дете. Всеки път, когато е възможно, трябва да се назначава монотерапия, защото лечението с няколко АЕЛ може да бъде свързано с</w:t>
      </w:r>
      <w:r w:rsidRPr="00315A12">
        <w:rPr>
          <w:rFonts w:eastAsia="Times New Roman" w:cs="Arial"/>
          <w:color w:val="000000"/>
          <w:lang w:val="ru-RU"/>
        </w:rPr>
        <w:t xml:space="preserve"> </w:t>
      </w:r>
      <w:r w:rsidRPr="00315A12">
        <w:rPr>
          <w:rFonts w:eastAsia="Times New Roman" w:cs="Arial"/>
          <w:color w:val="000000"/>
          <w:lang w:eastAsia="bg-BG"/>
        </w:rPr>
        <w:t>повишен риск от вродени малформации в сравнение с монотерапията, в зависимост от използваните антиепилептични лекарства.</w:t>
      </w:r>
    </w:p>
    <w:p w14:paraId="07B62768" w14:textId="72126977" w:rsidR="00315A12" w:rsidRPr="00315A12" w:rsidRDefault="00315A12" w:rsidP="00315A12">
      <w:pPr>
        <w:rPr>
          <w:rFonts w:eastAsia="Times New Roman" w:cs="Arial"/>
          <w:color w:val="000000"/>
          <w:lang w:eastAsia="bg-BG"/>
        </w:rPr>
      </w:pPr>
    </w:p>
    <w:p w14:paraId="37E5BE52" w14:textId="77777777" w:rsidR="00315A12" w:rsidRPr="00315A12" w:rsidRDefault="00315A12" w:rsidP="00315A12">
      <w:pPr>
        <w:spacing w:line="240" w:lineRule="auto"/>
        <w:rPr>
          <w:rFonts w:eastAsia="Times New Roman" w:cs="Arial"/>
          <w:sz w:val="24"/>
          <w:szCs w:val="24"/>
        </w:rPr>
      </w:pPr>
      <w:r w:rsidRPr="00315A12">
        <w:rPr>
          <w:rFonts w:eastAsia="Times New Roman" w:cs="Arial"/>
          <w:color w:val="000000"/>
          <w:u w:val="single"/>
          <w:lang w:eastAsia="bg-BG"/>
        </w:rPr>
        <w:t>Риск, свързан с ламотригин</w:t>
      </w:r>
    </w:p>
    <w:p w14:paraId="3BC5B096" w14:textId="77777777" w:rsidR="00315A12" w:rsidRPr="00315A12" w:rsidRDefault="00315A12" w:rsidP="00315A12">
      <w:pPr>
        <w:spacing w:line="240" w:lineRule="auto"/>
        <w:rPr>
          <w:rFonts w:eastAsia="Times New Roman" w:cs="Arial"/>
          <w:i/>
          <w:iCs/>
          <w:color w:val="000000"/>
          <w:lang w:eastAsia="bg-BG"/>
        </w:rPr>
      </w:pPr>
    </w:p>
    <w:p w14:paraId="03C31D6B" w14:textId="51F193F3" w:rsidR="00315A12" w:rsidRPr="00315A12" w:rsidRDefault="00315A12" w:rsidP="00315A12">
      <w:pPr>
        <w:pStyle w:val="Heading3"/>
        <w:rPr>
          <w:rFonts w:eastAsia="Times New Roman"/>
          <w:i/>
        </w:rPr>
      </w:pPr>
      <w:r w:rsidRPr="00315A12">
        <w:rPr>
          <w:rFonts w:eastAsia="Times New Roman"/>
          <w:i/>
          <w:lang w:eastAsia="bg-BG"/>
        </w:rPr>
        <w:t>Бременност</w:t>
      </w:r>
    </w:p>
    <w:p w14:paraId="6F4C4C3D" w14:textId="77777777" w:rsidR="00315A12" w:rsidRPr="00315A12" w:rsidRDefault="00315A12" w:rsidP="00315A12">
      <w:pPr>
        <w:spacing w:line="240" w:lineRule="auto"/>
        <w:rPr>
          <w:rFonts w:eastAsia="Times New Roman" w:cs="Arial"/>
          <w:sz w:val="24"/>
          <w:szCs w:val="24"/>
        </w:rPr>
      </w:pPr>
      <w:r w:rsidRPr="00315A12">
        <w:rPr>
          <w:rFonts w:eastAsia="Times New Roman" w:cs="Arial"/>
          <w:color w:val="000000"/>
          <w:lang w:eastAsia="bg-BG"/>
        </w:rPr>
        <w:t>Голямо количество данни при бременни жени, приемали ламотригин като монотерапия по време на първия триместьр от бременността (повече от 8 700) не предполага съществено покачване на риска от големи вродени малформациии, включително заешка устна и вълча паст. Проучванията при животни са показали токсичност върху развитието (вж. точка 5.3).</w:t>
      </w:r>
    </w:p>
    <w:p w14:paraId="23FD92B3" w14:textId="77777777" w:rsidR="00315A12" w:rsidRPr="00315A12" w:rsidRDefault="00315A12" w:rsidP="00315A12">
      <w:pPr>
        <w:spacing w:line="240" w:lineRule="auto"/>
        <w:rPr>
          <w:rFonts w:eastAsia="Times New Roman" w:cs="Arial"/>
          <w:color w:val="000000"/>
          <w:lang w:eastAsia="bg-BG"/>
        </w:rPr>
      </w:pPr>
    </w:p>
    <w:p w14:paraId="5D15AD1B" w14:textId="7EABE859" w:rsidR="00315A12" w:rsidRPr="00315A12" w:rsidRDefault="00315A12" w:rsidP="00315A12">
      <w:pPr>
        <w:spacing w:line="240" w:lineRule="auto"/>
        <w:rPr>
          <w:rFonts w:eastAsia="Times New Roman" w:cs="Arial"/>
          <w:sz w:val="24"/>
          <w:szCs w:val="24"/>
        </w:rPr>
      </w:pPr>
      <w:r w:rsidRPr="00315A12">
        <w:rPr>
          <w:rFonts w:eastAsia="Times New Roman" w:cs="Arial"/>
          <w:color w:val="000000"/>
          <w:lang w:eastAsia="bg-BG"/>
        </w:rPr>
        <w:lastRenderedPageBreak/>
        <w:t>Ако е наложително лечение с Ламиктал по време на бременност, препоръчва се приложението на най-малката възможна терапевтична доза.</w:t>
      </w:r>
    </w:p>
    <w:p w14:paraId="7EA0ECDD" w14:textId="77777777" w:rsidR="00315A12" w:rsidRPr="00315A12" w:rsidRDefault="00315A12" w:rsidP="00315A12">
      <w:pPr>
        <w:spacing w:line="240" w:lineRule="auto"/>
        <w:rPr>
          <w:rFonts w:eastAsia="Times New Roman" w:cs="Arial"/>
          <w:color w:val="000000"/>
          <w:lang w:eastAsia="bg-BG"/>
        </w:rPr>
      </w:pPr>
    </w:p>
    <w:p w14:paraId="239EC2D8" w14:textId="0174F328" w:rsidR="00315A12" w:rsidRPr="00315A12" w:rsidRDefault="00315A12" w:rsidP="00315A12">
      <w:pPr>
        <w:spacing w:line="240" w:lineRule="auto"/>
        <w:rPr>
          <w:rFonts w:eastAsia="Times New Roman" w:cs="Arial"/>
          <w:sz w:val="24"/>
          <w:szCs w:val="24"/>
        </w:rPr>
      </w:pPr>
      <w:r w:rsidRPr="00315A12">
        <w:rPr>
          <w:rFonts w:eastAsia="Times New Roman" w:cs="Arial"/>
          <w:color w:val="000000"/>
          <w:lang w:eastAsia="bg-BG"/>
        </w:rPr>
        <w:t>Ламотригин има слаб инхибиторен ефект върху редуктазата на дихидрофолиевата киселина, поради което може теоретично да повиши риска от ембриофетално увреждане чрез понижаване нивата на фолиева киселина. Препоръчителен е прием на фолиева киселина при планиране на бременност и в ранните периоди на бременността.</w:t>
      </w:r>
    </w:p>
    <w:p w14:paraId="471B6816" w14:textId="77777777" w:rsidR="00315A12" w:rsidRPr="00315A12" w:rsidRDefault="00315A12" w:rsidP="00315A12">
      <w:pPr>
        <w:spacing w:line="240" w:lineRule="auto"/>
        <w:rPr>
          <w:rFonts w:eastAsia="Times New Roman" w:cs="Arial"/>
          <w:color w:val="000000"/>
          <w:lang w:eastAsia="bg-BG"/>
        </w:rPr>
      </w:pPr>
    </w:p>
    <w:p w14:paraId="1CA5B0BD" w14:textId="6696ED53" w:rsidR="00315A12" w:rsidRPr="00315A12" w:rsidRDefault="00315A12" w:rsidP="00315A12">
      <w:pPr>
        <w:spacing w:line="240" w:lineRule="auto"/>
        <w:rPr>
          <w:rFonts w:eastAsia="Times New Roman" w:cs="Arial"/>
          <w:sz w:val="24"/>
          <w:szCs w:val="24"/>
        </w:rPr>
      </w:pPr>
      <w:r w:rsidRPr="00315A12">
        <w:rPr>
          <w:rFonts w:eastAsia="Times New Roman" w:cs="Arial"/>
          <w:color w:val="000000"/>
          <w:lang w:eastAsia="bg-BG"/>
        </w:rPr>
        <w:t>Физиологичните промени, настъпващи по време на бременност, могат да повлияят нивата на ламотригин и/или терапевтичния ефект. Има съобщения за понижаване на плазмените нива на ламотригин по време на бременност с потенциален риск от загуба на контрол върху припадъците. След раждането нивата на ламотригин могат бързо да се повишат с риск от дозосвързани нежелани реакции. Поради това серумните концентрации на ламотригин трябва да бъдат проследявани преди, по време на и след бременността, както и за кратко след раждането. При необходимост дозата трябва да бъде адаптирана, за да се поддържа серумната концентрация на ламотригин на нивото от преди бременността, или да бъде адаптирана според клиничния отговор. Освен това след раждането трябва да се следи за проява на дозосвързани нежелани реакции.</w:t>
      </w:r>
    </w:p>
    <w:p w14:paraId="1ACED78C" w14:textId="77777777" w:rsidR="00315A12" w:rsidRPr="00315A12" w:rsidRDefault="00315A12" w:rsidP="00315A12">
      <w:pPr>
        <w:spacing w:line="240" w:lineRule="auto"/>
        <w:rPr>
          <w:rFonts w:eastAsia="Times New Roman" w:cs="Arial"/>
          <w:i/>
          <w:iCs/>
          <w:color w:val="000000"/>
          <w:lang w:eastAsia="bg-BG"/>
        </w:rPr>
      </w:pPr>
    </w:p>
    <w:p w14:paraId="1B79F517" w14:textId="3DD1203F" w:rsidR="00315A12" w:rsidRPr="00315A12" w:rsidRDefault="00315A12" w:rsidP="00315A12">
      <w:pPr>
        <w:pStyle w:val="Heading3"/>
        <w:rPr>
          <w:rFonts w:eastAsia="Times New Roman"/>
          <w:i/>
        </w:rPr>
      </w:pPr>
      <w:r w:rsidRPr="00315A12">
        <w:rPr>
          <w:rFonts w:eastAsia="Times New Roman"/>
          <w:i/>
          <w:lang w:eastAsia="bg-BG"/>
        </w:rPr>
        <w:t>Кърмене</w:t>
      </w:r>
    </w:p>
    <w:p w14:paraId="30BC3033" w14:textId="77777777" w:rsidR="00315A12" w:rsidRPr="00315A12" w:rsidRDefault="00315A12" w:rsidP="00315A12">
      <w:pPr>
        <w:spacing w:line="240" w:lineRule="auto"/>
        <w:rPr>
          <w:rFonts w:eastAsia="Times New Roman" w:cs="Arial"/>
          <w:sz w:val="24"/>
          <w:szCs w:val="24"/>
        </w:rPr>
      </w:pPr>
      <w:r w:rsidRPr="00315A12">
        <w:rPr>
          <w:rFonts w:eastAsia="Times New Roman" w:cs="Arial"/>
          <w:color w:val="000000"/>
          <w:lang w:eastAsia="bg-BG"/>
        </w:rPr>
        <w:t>Съобщава се, че ламотригин преминава в кърмата при много различни концентрации, което води до общи нива на ламотригин при кърмачетата от приблизително 50% от майчините. Следователно при някои кърмачета серумните концентрации на ламотригин може да достигнат нива, при които се наблюдават фармакологични ефекти.</w:t>
      </w:r>
    </w:p>
    <w:p w14:paraId="21F246E8" w14:textId="77777777" w:rsidR="00315A12" w:rsidRPr="00315A12" w:rsidRDefault="00315A12" w:rsidP="00315A12">
      <w:pPr>
        <w:spacing w:line="240" w:lineRule="auto"/>
        <w:rPr>
          <w:rFonts w:eastAsia="Times New Roman" w:cs="Arial"/>
          <w:color w:val="000000"/>
          <w:lang w:eastAsia="bg-BG"/>
        </w:rPr>
      </w:pPr>
    </w:p>
    <w:p w14:paraId="3E91DAE3" w14:textId="0C2FD45A" w:rsidR="00315A12" w:rsidRPr="00315A12" w:rsidRDefault="00315A12" w:rsidP="00315A12">
      <w:pPr>
        <w:spacing w:line="240" w:lineRule="auto"/>
        <w:rPr>
          <w:rFonts w:eastAsia="Times New Roman" w:cs="Arial"/>
          <w:sz w:val="24"/>
          <w:szCs w:val="24"/>
        </w:rPr>
      </w:pPr>
      <w:r w:rsidRPr="00315A12">
        <w:rPr>
          <w:rFonts w:eastAsia="Times New Roman" w:cs="Arial"/>
          <w:color w:val="000000"/>
          <w:lang w:eastAsia="bg-BG"/>
        </w:rPr>
        <w:t>Потенциалните ползи от кърменето трябва да бъдат преценени срещу потенциалния риск от проява на нежелани реакции при кърмачето. Ако жената реши да кърми, докато е на лечение с ламотригин, кърмачето трябва да бъде проследявано за поява на нежелани реакции, като седация, обрив и слабо наддаване на тегло.</w:t>
      </w:r>
    </w:p>
    <w:p w14:paraId="7BC7DF5E" w14:textId="77777777" w:rsidR="00315A12" w:rsidRPr="00315A12" w:rsidRDefault="00315A12" w:rsidP="00315A12">
      <w:pPr>
        <w:spacing w:line="240" w:lineRule="auto"/>
        <w:rPr>
          <w:rFonts w:eastAsia="Times New Roman" w:cs="Arial"/>
          <w:i/>
          <w:iCs/>
          <w:color w:val="000000"/>
          <w:lang w:eastAsia="bg-BG"/>
        </w:rPr>
      </w:pPr>
    </w:p>
    <w:p w14:paraId="7C86FF71" w14:textId="1738DECB" w:rsidR="00315A12" w:rsidRPr="00315A12" w:rsidRDefault="00315A12" w:rsidP="00315A12">
      <w:pPr>
        <w:pStyle w:val="Heading3"/>
        <w:rPr>
          <w:rFonts w:eastAsia="Times New Roman"/>
          <w:i/>
        </w:rPr>
      </w:pPr>
      <w:r w:rsidRPr="00315A12">
        <w:rPr>
          <w:rFonts w:eastAsia="Times New Roman"/>
          <w:i/>
          <w:lang w:eastAsia="bg-BG"/>
        </w:rPr>
        <w:t>Фертилитет</w:t>
      </w:r>
    </w:p>
    <w:p w14:paraId="62028F1B" w14:textId="77777777" w:rsidR="00315A12" w:rsidRPr="00315A12" w:rsidRDefault="00315A12" w:rsidP="00315A12">
      <w:pPr>
        <w:spacing w:line="240" w:lineRule="auto"/>
        <w:rPr>
          <w:rFonts w:eastAsia="Times New Roman" w:cs="Arial"/>
          <w:sz w:val="24"/>
          <w:szCs w:val="24"/>
        </w:rPr>
      </w:pPr>
      <w:r w:rsidRPr="00315A12">
        <w:rPr>
          <w:rFonts w:eastAsia="Times New Roman" w:cs="Arial"/>
          <w:color w:val="000000"/>
          <w:lang w:eastAsia="bg-BG"/>
        </w:rPr>
        <w:t>Изследванията при животни не показват неблагоприятно повлияване на фертилитета от ламотригин (вж. точка 5.3).</w:t>
      </w:r>
    </w:p>
    <w:p w14:paraId="4764EC45" w14:textId="77777777" w:rsidR="00315A12" w:rsidRPr="00315A12" w:rsidRDefault="00315A12" w:rsidP="00315A12"/>
    <w:p w14:paraId="5766770B" w14:textId="5135E1FD" w:rsidR="00395555" w:rsidRDefault="002C50EE" w:rsidP="008A6AF2">
      <w:pPr>
        <w:pStyle w:val="Heading2"/>
      </w:pPr>
      <w:r>
        <w:t>4.7. Ефекти върху способността за шофиране и работа с машини</w:t>
      </w:r>
    </w:p>
    <w:p w14:paraId="1B2B7E21" w14:textId="6E927BF2" w:rsidR="00315A12" w:rsidRDefault="00315A12" w:rsidP="00315A12"/>
    <w:p w14:paraId="1AE1A755" w14:textId="77777777" w:rsidR="00315A12" w:rsidRPr="00315A12" w:rsidRDefault="00315A12" w:rsidP="00315A12">
      <w:pPr>
        <w:rPr>
          <w:sz w:val="24"/>
          <w:szCs w:val="24"/>
        </w:rPr>
      </w:pPr>
      <w:r w:rsidRPr="00315A12">
        <w:rPr>
          <w:lang w:eastAsia="bg-BG"/>
        </w:rPr>
        <w:t>Тъй като съществуват индивидуални разлики в повлияването от лечението с АЕЛ, на пациентите, приемащи Ламиктал за лечение на епилепсия, се препоръчва да се консултират с лекуващия лекар относно специфични въпроси, свързани с шофирането и епилепсията.</w:t>
      </w:r>
    </w:p>
    <w:p w14:paraId="45EE7906" w14:textId="77777777" w:rsidR="00315A12" w:rsidRDefault="00315A12" w:rsidP="00315A12">
      <w:pPr>
        <w:rPr>
          <w:lang w:eastAsia="bg-BG"/>
        </w:rPr>
      </w:pPr>
    </w:p>
    <w:p w14:paraId="04A9E974" w14:textId="57F94886" w:rsidR="00315A12" w:rsidRDefault="00315A12" w:rsidP="00315A12">
      <w:pPr>
        <w:rPr>
          <w:lang w:eastAsia="bg-BG"/>
        </w:rPr>
      </w:pPr>
      <w:r w:rsidRPr="00315A12">
        <w:rPr>
          <w:lang w:eastAsia="bg-BG"/>
        </w:rPr>
        <w:t>Не са провеждани изпитвания за ефектите върху способността за шофиране и работа с машини. При две изпитвания с доброволци е установено, че ефектът на ламотригин върху фината зрителна двигателна координация, движенията на очите, равновесието и субективните седативни ефекти не се различава в сравнение с плацебо. При клинични изпитвания с</w:t>
      </w:r>
      <w:r>
        <w:rPr>
          <w:sz w:val="24"/>
          <w:szCs w:val="24"/>
        </w:rPr>
        <w:t xml:space="preserve"> </w:t>
      </w:r>
      <w:r w:rsidRPr="00315A12">
        <w:rPr>
          <w:lang w:eastAsia="bg-BG"/>
        </w:rPr>
        <w:t>ламотригин са докладвани нежелани реакции от неврологичен характер като замайване и</w:t>
      </w:r>
      <w:r>
        <w:rPr>
          <w:sz w:val="24"/>
          <w:szCs w:val="24"/>
        </w:rPr>
        <w:t xml:space="preserve"> </w:t>
      </w:r>
      <w:r w:rsidRPr="00315A12">
        <w:rPr>
          <w:lang w:eastAsia="bg-BG"/>
        </w:rPr>
        <w:t>двойно виждане. Поради тази причина преди да шофират или да работят с машини пациентите</w:t>
      </w:r>
      <w:r>
        <w:rPr>
          <w:sz w:val="24"/>
          <w:szCs w:val="24"/>
        </w:rPr>
        <w:t xml:space="preserve"> </w:t>
      </w:r>
      <w:r w:rsidRPr="00315A12">
        <w:rPr>
          <w:lang w:eastAsia="bg-BG"/>
        </w:rPr>
        <w:t>трябва първо да установят как им влияе лечението с Ламиктал.</w:t>
      </w:r>
    </w:p>
    <w:p w14:paraId="11601EB0" w14:textId="77777777" w:rsidR="00315A12" w:rsidRPr="00315A12" w:rsidRDefault="00315A12" w:rsidP="00315A12">
      <w:pPr>
        <w:rPr>
          <w:sz w:val="24"/>
          <w:szCs w:val="24"/>
        </w:rPr>
      </w:pPr>
    </w:p>
    <w:p w14:paraId="4FE16E21" w14:textId="35AD7C02" w:rsidR="00395555" w:rsidRDefault="002C50EE" w:rsidP="008A6AF2">
      <w:pPr>
        <w:pStyle w:val="Heading2"/>
      </w:pPr>
      <w:r>
        <w:t>4.8. Нежелани лекарствени реакции</w:t>
      </w:r>
    </w:p>
    <w:p w14:paraId="5B7B2FA4" w14:textId="1FDF9B65" w:rsidR="00315A12" w:rsidRDefault="00315A12" w:rsidP="00315A12"/>
    <w:p w14:paraId="64F218AC" w14:textId="56FEF099" w:rsidR="00315A12" w:rsidRPr="00315A12" w:rsidRDefault="00315A12" w:rsidP="00315A12">
      <w:pPr>
        <w:spacing w:line="240" w:lineRule="auto"/>
        <w:rPr>
          <w:rFonts w:eastAsia="Times New Roman" w:cs="Arial"/>
          <w:sz w:val="24"/>
          <w:szCs w:val="24"/>
        </w:rPr>
      </w:pPr>
      <w:r w:rsidRPr="00315A12">
        <w:rPr>
          <w:rFonts w:eastAsia="Times New Roman" w:cs="Arial"/>
          <w:color w:val="000000"/>
          <w:lang w:eastAsia="bg-BG"/>
        </w:rPr>
        <w:t>Нежеланите лекарствени реакции за показанията епилепсия и биполярно разстройство са според данни от контролирани клинични изпитвания и друг клиничен опит и са изброени в таблицата по-долу. Категориите по честота са изведени от контролирани клинични изпитвания (монотерапия за епилепсия (обозначени с кръстче</w:t>
      </w:r>
      <w:r w:rsidRPr="00315A12">
        <w:rPr>
          <w:rFonts w:eastAsia="Times New Roman" w:cs="Arial"/>
          <w:color w:val="000000"/>
          <w:vertAlign w:val="superscript"/>
          <w:lang w:eastAsia="bg-BG"/>
        </w:rPr>
        <w:t>+</w:t>
      </w:r>
      <w:r w:rsidRPr="00315A12">
        <w:rPr>
          <w:rFonts w:eastAsia="Times New Roman" w:cs="Arial"/>
          <w:color w:val="000000"/>
          <w:lang w:eastAsia="bg-BG"/>
        </w:rPr>
        <w:t>) и за биполярно разстройство (обозначени със знак за параграф</w:t>
      </w:r>
      <w:r>
        <w:rPr>
          <w:vertAlign w:val="superscript"/>
        </w:rPr>
        <w:t>ξ</w:t>
      </w:r>
      <w:r w:rsidRPr="00315A12">
        <w:rPr>
          <w:rFonts w:eastAsia="Times New Roman" w:cs="Arial"/>
          <w:color w:val="000000"/>
          <w:lang w:eastAsia="bg-BG"/>
        </w:rPr>
        <w:t>)). При разлика в категорията по честота между данните от клинични изпитвания при епилепсия и при биполярно разстройство е показана най-консервативната честота. Въпреки това, при липса на данни от контролирани клинични изпитвания категориите по честота са изведени от друг клиничен опит.</w:t>
      </w:r>
    </w:p>
    <w:p w14:paraId="2EF12953" w14:textId="77777777" w:rsidR="00315A12" w:rsidRPr="00315A12" w:rsidRDefault="00315A12" w:rsidP="00315A12">
      <w:pPr>
        <w:spacing w:line="240" w:lineRule="auto"/>
        <w:rPr>
          <w:rFonts w:eastAsia="Times New Roman" w:cs="Arial"/>
          <w:color w:val="000000"/>
          <w:lang w:eastAsia="bg-BG"/>
        </w:rPr>
      </w:pPr>
    </w:p>
    <w:p w14:paraId="36A96FDB" w14:textId="11BD8703" w:rsidR="00315A12" w:rsidRPr="00315A12" w:rsidRDefault="00315A12" w:rsidP="00315A12">
      <w:pPr>
        <w:spacing w:line="240" w:lineRule="auto"/>
        <w:rPr>
          <w:rFonts w:eastAsia="Times New Roman" w:cs="Arial"/>
          <w:sz w:val="24"/>
          <w:szCs w:val="24"/>
        </w:rPr>
      </w:pPr>
      <w:r w:rsidRPr="00315A12">
        <w:rPr>
          <w:rFonts w:eastAsia="Times New Roman" w:cs="Arial"/>
          <w:color w:val="000000"/>
          <w:lang w:eastAsia="bg-BG"/>
        </w:rPr>
        <w:t>Възприета е следната класификация на нежеланите лекарствени реакции:</w:t>
      </w:r>
    </w:p>
    <w:p w14:paraId="1D34E839" w14:textId="4AD67FDC" w:rsidR="00315A12" w:rsidRPr="00315A12" w:rsidRDefault="00315A12" w:rsidP="00315A12">
      <w:pPr>
        <w:spacing w:line="240" w:lineRule="auto"/>
        <w:rPr>
          <w:rFonts w:eastAsia="Times New Roman" w:cs="Arial"/>
          <w:sz w:val="24"/>
          <w:szCs w:val="24"/>
        </w:rPr>
      </w:pPr>
      <w:r>
        <w:rPr>
          <w:rFonts w:eastAsia="Times New Roman" w:cs="Arial"/>
          <w:color w:val="000000"/>
          <w:lang w:eastAsia="bg-BG"/>
        </w:rPr>
        <w:t>Много чести (</w:t>
      </w:r>
      <w:r w:rsidRPr="00315A12">
        <w:rPr>
          <w:rFonts w:eastAsia="Times New Roman" w:cs="Arial"/>
          <w:color w:val="000000"/>
          <w:lang w:eastAsia="bg-BG"/>
        </w:rPr>
        <w:t>≥</w:t>
      </w:r>
      <w:r>
        <w:rPr>
          <w:rFonts w:eastAsia="Times New Roman" w:cs="Arial"/>
          <w:color w:val="000000"/>
          <w:lang w:eastAsia="bg-BG"/>
        </w:rPr>
        <w:t>1/10); чести (</w:t>
      </w:r>
      <w:r w:rsidRPr="00315A12">
        <w:rPr>
          <w:rFonts w:eastAsia="Times New Roman" w:cs="Arial"/>
          <w:color w:val="000000"/>
          <w:lang w:eastAsia="bg-BG"/>
        </w:rPr>
        <w:t>≥1/100 до &lt; 1/</w:t>
      </w:r>
      <w:r>
        <w:rPr>
          <w:rFonts w:eastAsia="Times New Roman" w:cs="Arial"/>
          <w:color w:val="000000"/>
          <w:lang w:eastAsia="bg-BG"/>
        </w:rPr>
        <w:t>10); нечести (</w:t>
      </w:r>
      <w:r w:rsidRPr="00315A12">
        <w:rPr>
          <w:rFonts w:eastAsia="Times New Roman" w:cs="Arial"/>
          <w:color w:val="000000"/>
          <w:lang w:eastAsia="bg-BG"/>
        </w:rPr>
        <w:t>≥</w:t>
      </w:r>
      <w:r>
        <w:rPr>
          <w:rFonts w:eastAsia="Times New Roman" w:cs="Arial"/>
          <w:color w:val="000000"/>
          <w:lang w:eastAsia="bg-BG"/>
        </w:rPr>
        <w:t>1/1 000 до &lt; 1/100); редки (</w:t>
      </w:r>
      <w:r w:rsidRPr="00315A12">
        <w:rPr>
          <w:rFonts w:eastAsia="Times New Roman" w:cs="Arial"/>
          <w:color w:val="000000"/>
          <w:lang w:eastAsia="bg-BG"/>
        </w:rPr>
        <w:t>≥1/10 000 до &lt; 1/1 000); много редки (&lt; 1/10 000); с неизвестна честота (от наличните данни не може да бъде направена оценка).</w:t>
      </w:r>
    </w:p>
    <w:tbl>
      <w:tblPr>
        <w:tblStyle w:val="TableGrid"/>
        <w:tblW w:w="0" w:type="auto"/>
        <w:tblLook w:val="04A0" w:firstRow="1" w:lastRow="0" w:firstColumn="1" w:lastColumn="0" w:noHBand="0" w:noVBand="1"/>
      </w:tblPr>
      <w:tblGrid>
        <w:gridCol w:w="3112"/>
        <w:gridCol w:w="3159"/>
        <w:gridCol w:w="3079"/>
      </w:tblGrid>
      <w:tr w:rsidR="00315A12" w14:paraId="405702E2" w14:textId="77777777" w:rsidTr="00315A12">
        <w:tc>
          <w:tcPr>
            <w:tcW w:w="3192" w:type="dxa"/>
          </w:tcPr>
          <w:p w14:paraId="1EE56DE8" w14:textId="38504C4B" w:rsidR="00315A12" w:rsidRDefault="00315A12" w:rsidP="00315A12">
            <w:r>
              <w:rPr>
                <w:b/>
                <w:bCs/>
              </w:rPr>
              <w:t>Системо-органен клас</w:t>
            </w:r>
          </w:p>
        </w:tc>
        <w:tc>
          <w:tcPr>
            <w:tcW w:w="3192" w:type="dxa"/>
          </w:tcPr>
          <w:p w14:paraId="62B62DC1" w14:textId="7B8BAA77" w:rsidR="00315A12" w:rsidRDefault="00315A12" w:rsidP="00315A12">
            <w:r>
              <w:rPr>
                <w:b/>
                <w:bCs/>
              </w:rPr>
              <w:t>Нежелана реакция</w:t>
            </w:r>
          </w:p>
        </w:tc>
        <w:tc>
          <w:tcPr>
            <w:tcW w:w="3192" w:type="dxa"/>
          </w:tcPr>
          <w:p w14:paraId="0206221A" w14:textId="3817938A" w:rsidR="00315A12" w:rsidRDefault="00315A12" w:rsidP="00315A12">
            <w:r>
              <w:rPr>
                <w:b/>
                <w:bCs/>
              </w:rPr>
              <w:t>Честота</w:t>
            </w:r>
          </w:p>
        </w:tc>
      </w:tr>
      <w:tr w:rsidR="00315A12" w14:paraId="58D1C366" w14:textId="77777777" w:rsidTr="00315A12">
        <w:tc>
          <w:tcPr>
            <w:tcW w:w="3192" w:type="dxa"/>
          </w:tcPr>
          <w:p w14:paraId="65165DDC" w14:textId="7B83D5CB" w:rsidR="00315A12" w:rsidRDefault="00315A12" w:rsidP="00315A12">
            <w:r>
              <w:t>Нарушения на кръвта и лимфната система</w:t>
            </w:r>
          </w:p>
        </w:tc>
        <w:tc>
          <w:tcPr>
            <w:tcW w:w="3192" w:type="dxa"/>
          </w:tcPr>
          <w:p w14:paraId="0BADC396" w14:textId="77777777" w:rsidR="00315A12" w:rsidRDefault="00315A12" w:rsidP="00315A12">
            <w:r>
              <w:t>Хематологични отклонения включващи неутропения, левкопения, анемия, тромбоцитопения, панцитопения, апластична анемия, агранулоцитоза</w:t>
            </w:r>
          </w:p>
          <w:p w14:paraId="59470A29" w14:textId="77777777" w:rsidR="00315A12" w:rsidRDefault="00315A12" w:rsidP="00315A12"/>
          <w:p w14:paraId="24350844" w14:textId="734FD90F" w:rsidR="00315A12" w:rsidRDefault="00315A12" w:rsidP="00315A12">
            <w:r>
              <w:t xml:space="preserve">Хемофагоцитна лимфохистиоцитоза </w:t>
            </w:r>
            <w:r w:rsidRPr="00315A12">
              <w:t>(</w:t>
            </w:r>
            <w:r>
              <w:rPr>
                <w:lang w:val="en-US"/>
              </w:rPr>
              <w:t>HLH</w:t>
            </w:r>
            <w:r w:rsidRPr="00315A12">
              <w:t xml:space="preserve">) </w:t>
            </w:r>
            <w:r>
              <w:t>(вж. точка 4.4)</w:t>
            </w:r>
          </w:p>
          <w:p w14:paraId="6C5BE9D6" w14:textId="77777777" w:rsidR="00315A12" w:rsidRDefault="00315A12" w:rsidP="00315A12"/>
          <w:p w14:paraId="261BB5E3" w14:textId="168AF815" w:rsidR="00315A12" w:rsidRDefault="00315A12" w:rsidP="00315A12">
            <w:r>
              <w:t>Лимфаденопатия</w:t>
            </w:r>
            <w:r>
              <w:rPr>
                <w:vertAlign w:val="superscript"/>
              </w:rPr>
              <w:t>1</w:t>
            </w:r>
          </w:p>
        </w:tc>
        <w:tc>
          <w:tcPr>
            <w:tcW w:w="3192" w:type="dxa"/>
          </w:tcPr>
          <w:p w14:paraId="6942BEC8" w14:textId="77777777" w:rsidR="00315A12" w:rsidRDefault="00315A12" w:rsidP="00315A12">
            <w:r>
              <w:t>Много редки</w:t>
            </w:r>
          </w:p>
          <w:p w14:paraId="6C7CAAC0" w14:textId="77777777" w:rsidR="00315A12" w:rsidRDefault="00315A12" w:rsidP="00315A12"/>
          <w:p w14:paraId="399AD1D7" w14:textId="77777777" w:rsidR="00315A12" w:rsidRDefault="00315A12" w:rsidP="00315A12"/>
          <w:p w14:paraId="1F7E8C45" w14:textId="77777777" w:rsidR="00315A12" w:rsidRDefault="00315A12" w:rsidP="00315A12"/>
          <w:p w14:paraId="7E90DC2B" w14:textId="77777777" w:rsidR="00315A12" w:rsidRDefault="00315A12" w:rsidP="00315A12"/>
          <w:p w14:paraId="4725FC43" w14:textId="77777777" w:rsidR="00315A12" w:rsidRDefault="00315A12" w:rsidP="00315A12"/>
          <w:p w14:paraId="458875F5" w14:textId="77777777" w:rsidR="00315A12" w:rsidRDefault="00315A12" w:rsidP="00315A12"/>
          <w:p w14:paraId="409DDD5E" w14:textId="174B79B3" w:rsidR="00315A12" w:rsidRDefault="00315A12" w:rsidP="00315A12">
            <w:r>
              <w:t>Много редки</w:t>
            </w:r>
          </w:p>
          <w:p w14:paraId="7B10263F" w14:textId="77777777" w:rsidR="00315A12" w:rsidRDefault="00315A12" w:rsidP="00315A12"/>
          <w:p w14:paraId="2C93C8DC" w14:textId="77777777" w:rsidR="00315A12" w:rsidRDefault="00315A12" w:rsidP="00315A12"/>
          <w:p w14:paraId="19123033" w14:textId="77777777" w:rsidR="00315A12" w:rsidRDefault="00315A12" w:rsidP="00315A12"/>
          <w:p w14:paraId="101D8DB3" w14:textId="3C8D7018" w:rsidR="00315A12" w:rsidRDefault="00315A12" w:rsidP="00315A12">
            <w:r>
              <w:t>С неизвестна честота</w:t>
            </w:r>
          </w:p>
        </w:tc>
      </w:tr>
      <w:tr w:rsidR="00315A12" w14:paraId="28EA6435" w14:textId="77777777" w:rsidTr="00315A12">
        <w:tc>
          <w:tcPr>
            <w:tcW w:w="3192" w:type="dxa"/>
          </w:tcPr>
          <w:p w14:paraId="024202D0" w14:textId="1C3B2E7C" w:rsidR="00315A12" w:rsidRDefault="00315A12" w:rsidP="00315A12">
            <w:r>
              <w:t>Нарушения на имунната система</w:t>
            </w:r>
          </w:p>
        </w:tc>
        <w:tc>
          <w:tcPr>
            <w:tcW w:w="3192" w:type="dxa"/>
          </w:tcPr>
          <w:p w14:paraId="25730B44" w14:textId="77777777" w:rsidR="00315A12" w:rsidRDefault="00315A12" w:rsidP="00315A12">
            <w:r>
              <w:t>Синдром на свръхчувствителност</w:t>
            </w:r>
            <w:r>
              <w:rPr>
                <w:vertAlign w:val="superscript"/>
              </w:rPr>
              <w:t>2</w:t>
            </w:r>
          </w:p>
          <w:p w14:paraId="62558A40" w14:textId="77777777" w:rsidR="00315A12" w:rsidRDefault="00315A12" w:rsidP="00315A12"/>
          <w:p w14:paraId="3972A879" w14:textId="69CFC215" w:rsidR="00315A12" w:rsidRDefault="00315A12" w:rsidP="00315A12">
            <w:r>
              <w:t>Хипогамаглобулинемия</w:t>
            </w:r>
          </w:p>
        </w:tc>
        <w:tc>
          <w:tcPr>
            <w:tcW w:w="3192" w:type="dxa"/>
          </w:tcPr>
          <w:p w14:paraId="65361BCB" w14:textId="77777777" w:rsidR="00315A12" w:rsidRDefault="00315A12" w:rsidP="00315A12">
            <w:r>
              <w:t>Много редки</w:t>
            </w:r>
          </w:p>
          <w:p w14:paraId="1BC32B9B" w14:textId="77777777" w:rsidR="00315A12" w:rsidRDefault="00315A12" w:rsidP="00315A12"/>
          <w:p w14:paraId="43B83452" w14:textId="77777777" w:rsidR="00315A12" w:rsidRDefault="00315A12" w:rsidP="00315A12"/>
          <w:p w14:paraId="7EB60BAA" w14:textId="296C885E" w:rsidR="00315A12" w:rsidRDefault="00315A12" w:rsidP="00315A12">
            <w:r>
              <w:t>С неизвестна честота</w:t>
            </w:r>
          </w:p>
        </w:tc>
      </w:tr>
      <w:tr w:rsidR="00315A12" w14:paraId="62BBA0BA" w14:textId="77777777" w:rsidTr="00315A12">
        <w:tc>
          <w:tcPr>
            <w:tcW w:w="3192" w:type="dxa"/>
          </w:tcPr>
          <w:p w14:paraId="43130B03" w14:textId="76B13712" w:rsidR="00315A12" w:rsidRDefault="00315A12" w:rsidP="00315A12">
            <w:r>
              <w:t>Психични нарушения</w:t>
            </w:r>
          </w:p>
        </w:tc>
        <w:tc>
          <w:tcPr>
            <w:tcW w:w="3192" w:type="dxa"/>
          </w:tcPr>
          <w:p w14:paraId="265D8791" w14:textId="77777777" w:rsidR="00315A12" w:rsidRDefault="00315A12" w:rsidP="00315A12">
            <w:r>
              <w:t xml:space="preserve">Агресия, раздразнителност </w:t>
            </w:r>
          </w:p>
          <w:p w14:paraId="784A7B9B" w14:textId="77777777" w:rsidR="00315A12" w:rsidRDefault="00315A12" w:rsidP="00315A12"/>
          <w:p w14:paraId="079AB371" w14:textId="6D267B06" w:rsidR="00315A12" w:rsidRDefault="00315A12" w:rsidP="00315A12">
            <w:r>
              <w:t>Объркване, халюцинации, тикове</w:t>
            </w:r>
          </w:p>
          <w:p w14:paraId="595F09AE" w14:textId="77777777" w:rsidR="00315A12" w:rsidRDefault="00315A12" w:rsidP="00315A12"/>
          <w:p w14:paraId="4C9A500D" w14:textId="059251F6" w:rsidR="00315A12" w:rsidRDefault="00315A12" w:rsidP="00315A12">
            <w:r>
              <w:t>Кошмари</w:t>
            </w:r>
          </w:p>
        </w:tc>
        <w:tc>
          <w:tcPr>
            <w:tcW w:w="3192" w:type="dxa"/>
          </w:tcPr>
          <w:p w14:paraId="14388C9E" w14:textId="77777777" w:rsidR="00315A12" w:rsidRDefault="00315A12" w:rsidP="00315A12">
            <w:r>
              <w:t>Чести</w:t>
            </w:r>
          </w:p>
          <w:p w14:paraId="082FC661" w14:textId="77777777" w:rsidR="00315A12" w:rsidRDefault="00315A12" w:rsidP="00315A12"/>
          <w:p w14:paraId="6E0404DD" w14:textId="77777777" w:rsidR="00315A12" w:rsidRDefault="00315A12" w:rsidP="00315A12">
            <w:r>
              <w:t xml:space="preserve">Много редки </w:t>
            </w:r>
          </w:p>
          <w:p w14:paraId="238A23F6" w14:textId="77777777" w:rsidR="00315A12" w:rsidRDefault="00315A12" w:rsidP="00315A12"/>
          <w:p w14:paraId="4E6FAE31" w14:textId="77777777" w:rsidR="00315A12" w:rsidRDefault="00315A12" w:rsidP="00315A12"/>
          <w:p w14:paraId="56FDD405" w14:textId="2E0344B5" w:rsidR="00315A12" w:rsidRDefault="00315A12" w:rsidP="00315A12">
            <w:r>
              <w:t>С неизвестна честота</w:t>
            </w:r>
          </w:p>
        </w:tc>
      </w:tr>
      <w:tr w:rsidR="00315A12" w14:paraId="10B11B10" w14:textId="77777777" w:rsidTr="00315A12">
        <w:tc>
          <w:tcPr>
            <w:tcW w:w="3192" w:type="dxa"/>
          </w:tcPr>
          <w:p w14:paraId="5311E266" w14:textId="3DB729BC" w:rsidR="00315A12" w:rsidRDefault="00315A12" w:rsidP="00315A12">
            <w:r>
              <w:t>Нарушения на нервната система</w:t>
            </w:r>
          </w:p>
        </w:tc>
        <w:tc>
          <w:tcPr>
            <w:tcW w:w="3192" w:type="dxa"/>
          </w:tcPr>
          <w:p w14:paraId="36C8DE2D" w14:textId="77777777" w:rsidR="00315A12" w:rsidRDefault="00315A12" w:rsidP="00315A12">
            <w:r>
              <w:t>Главоболие</w:t>
            </w:r>
            <w:r>
              <w:rPr>
                <w:vertAlign w:val="superscript"/>
              </w:rPr>
              <w:t>+ξ</w:t>
            </w:r>
          </w:p>
          <w:p w14:paraId="02DA306D" w14:textId="77777777" w:rsidR="00315A12" w:rsidRDefault="00315A12" w:rsidP="00315A12"/>
          <w:p w14:paraId="530025C2" w14:textId="0D90B0C5" w:rsidR="00315A12" w:rsidRDefault="00315A12" w:rsidP="00315A12">
            <w:r>
              <w:t>Сънливост</w:t>
            </w:r>
            <w:r>
              <w:rPr>
                <w:vertAlign w:val="superscript"/>
              </w:rPr>
              <w:t>+ξ</w:t>
            </w:r>
            <w:r>
              <w:t>, замайване</w:t>
            </w:r>
            <w:r>
              <w:rPr>
                <w:vertAlign w:val="superscript"/>
              </w:rPr>
              <w:t>+ξ</w:t>
            </w:r>
            <w:r>
              <w:t>, тремор</w:t>
            </w:r>
            <w:r>
              <w:rPr>
                <w:vertAlign w:val="superscript"/>
              </w:rPr>
              <w:t>+</w:t>
            </w:r>
            <w:r>
              <w:t>, безсъние</w:t>
            </w:r>
            <w:r>
              <w:rPr>
                <w:vertAlign w:val="superscript"/>
              </w:rPr>
              <w:t>+</w:t>
            </w:r>
            <w:r>
              <w:t>, възбуда</w:t>
            </w:r>
            <w:r>
              <w:rPr>
                <w:vertAlign w:val="superscript"/>
              </w:rPr>
              <w:t>ξ</w:t>
            </w:r>
          </w:p>
          <w:p w14:paraId="7A2837D8" w14:textId="77777777" w:rsidR="00315A12" w:rsidRDefault="00315A12" w:rsidP="00315A12"/>
          <w:p w14:paraId="47B57345" w14:textId="316E93C8" w:rsidR="00315A12" w:rsidRDefault="00315A12" w:rsidP="00315A12">
            <w:r>
              <w:t>Атаксия</w:t>
            </w:r>
            <w:r>
              <w:rPr>
                <w:vertAlign w:val="superscript"/>
              </w:rPr>
              <w:t>+</w:t>
            </w:r>
          </w:p>
          <w:p w14:paraId="406B98A6" w14:textId="77777777" w:rsidR="00315A12" w:rsidRDefault="00315A12" w:rsidP="00315A12"/>
          <w:p w14:paraId="1713F835" w14:textId="72C310E2" w:rsidR="00315A12" w:rsidRDefault="00315A12" w:rsidP="00315A12">
            <w:r>
              <w:lastRenderedPageBreak/>
              <w:t>Нистагьм</w:t>
            </w:r>
            <w:r>
              <w:rPr>
                <w:vertAlign w:val="superscript"/>
              </w:rPr>
              <w:t>+</w:t>
            </w:r>
            <w:r>
              <w:t xml:space="preserve"> асептичен менингит (вж. точка 4.4)</w:t>
            </w:r>
          </w:p>
          <w:p w14:paraId="572A3CF5" w14:textId="77777777" w:rsidR="00315A12" w:rsidRDefault="00315A12" w:rsidP="00315A12"/>
          <w:p w14:paraId="7027534B" w14:textId="2E24DC75" w:rsidR="00315A12" w:rsidRDefault="00315A12" w:rsidP="00315A12">
            <w:r>
              <w:t>Нестабилност, двигателни нарушения, влошаване състоянието на пациенти, страдащи от болестта на Паркинсон</w:t>
            </w:r>
            <w:r>
              <w:rPr>
                <w:vertAlign w:val="superscript"/>
              </w:rPr>
              <w:t>3</w:t>
            </w:r>
            <w:r>
              <w:t>, екстрапирамидни симптоми, хореоатетоза</w:t>
            </w:r>
            <w:r>
              <w:rPr>
                <w:vertAlign w:val="superscript"/>
              </w:rPr>
              <w:t>+</w:t>
            </w:r>
            <w:r>
              <w:t>, увеличена честота на припадъците</w:t>
            </w:r>
          </w:p>
        </w:tc>
        <w:tc>
          <w:tcPr>
            <w:tcW w:w="3192" w:type="dxa"/>
          </w:tcPr>
          <w:p w14:paraId="69BA2197" w14:textId="77777777" w:rsidR="00315A12" w:rsidRDefault="00315A12" w:rsidP="00315A12">
            <w:r>
              <w:lastRenderedPageBreak/>
              <w:t>Много чести</w:t>
            </w:r>
          </w:p>
          <w:p w14:paraId="67B8A3BE" w14:textId="77777777" w:rsidR="00315A12" w:rsidRDefault="00315A12" w:rsidP="00315A12"/>
          <w:p w14:paraId="24A79405" w14:textId="07807FEF" w:rsidR="00315A12" w:rsidRDefault="00315A12" w:rsidP="00315A12">
            <w:r>
              <w:t>Чести</w:t>
            </w:r>
          </w:p>
          <w:p w14:paraId="58905AFE" w14:textId="77777777" w:rsidR="00315A12" w:rsidRDefault="00315A12" w:rsidP="00315A12"/>
          <w:p w14:paraId="4FDDB622" w14:textId="77777777" w:rsidR="00315A12" w:rsidRDefault="00315A12" w:rsidP="00315A12"/>
          <w:p w14:paraId="4AF6A274" w14:textId="77777777" w:rsidR="00315A12" w:rsidRDefault="00315A12" w:rsidP="00315A12"/>
          <w:p w14:paraId="4BE64873" w14:textId="07A11D88" w:rsidR="00315A12" w:rsidRDefault="00315A12" w:rsidP="00315A12">
            <w:r>
              <w:t>Нечести</w:t>
            </w:r>
          </w:p>
          <w:p w14:paraId="7ECA3374" w14:textId="77777777" w:rsidR="00315A12" w:rsidRDefault="00315A12" w:rsidP="00315A12"/>
          <w:p w14:paraId="5C764C4D" w14:textId="7ACBFD88" w:rsidR="00315A12" w:rsidRDefault="00315A12" w:rsidP="00315A12">
            <w:r>
              <w:lastRenderedPageBreak/>
              <w:t>Редки</w:t>
            </w:r>
          </w:p>
          <w:p w14:paraId="3DBB1156" w14:textId="77777777" w:rsidR="00315A12" w:rsidRDefault="00315A12" w:rsidP="00315A12"/>
          <w:p w14:paraId="04A07EF0" w14:textId="77777777" w:rsidR="00315A12" w:rsidRDefault="00315A12" w:rsidP="00315A12"/>
          <w:p w14:paraId="2FB36832" w14:textId="4C94D447" w:rsidR="00315A12" w:rsidRDefault="00315A12" w:rsidP="00315A12">
            <w:r>
              <w:t>Много редки</w:t>
            </w:r>
          </w:p>
        </w:tc>
      </w:tr>
      <w:tr w:rsidR="00315A12" w14:paraId="67FB3007" w14:textId="77777777" w:rsidTr="00315A12">
        <w:tc>
          <w:tcPr>
            <w:tcW w:w="3192" w:type="dxa"/>
          </w:tcPr>
          <w:p w14:paraId="7567E091" w14:textId="36F3A680" w:rsidR="00315A12" w:rsidRDefault="00315A12" w:rsidP="00315A12">
            <w:r>
              <w:t>Нарушения на очите</w:t>
            </w:r>
          </w:p>
        </w:tc>
        <w:tc>
          <w:tcPr>
            <w:tcW w:w="3192" w:type="dxa"/>
          </w:tcPr>
          <w:p w14:paraId="3C47476E" w14:textId="77777777" w:rsidR="00315A12" w:rsidRDefault="00315A12" w:rsidP="00315A12">
            <w:r>
              <w:t>Диплопия</w:t>
            </w:r>
            <w:r>
              <w:rPr>
                <w:vertAlign w:val="superscript"/>
              </w:rPr>
              <w:t>+</w:t>
            </w:r>
            <w:r>
              <w:t>, замъглено зрение</w:t>
            </w:r>
            <w:r>
              <w:rPr>
                <w:vertAlign w:val="superscript"/>
              </w:rPr>
              <w:t>+</w:t>
            </w:r>
          </w:p>
          <w:p w14:paraId="26831386" w14:textId="77777777" w:rsidR="00315A12" w:rsidRDefault="00315A12" w:rsidP="00315A12"/>
          <w:p w14:paraId="2D1F1DE0" w14:textId="10BFBB5A" w:rsidR="00315A12" w:rsidRDefault="00315A12" w:rsidP="00315A12">
            <w:r>
              <w:t>Конюнктивит</w:t>
            </w:r>
          </w:p>
        </w:tc>
        <w:tc>
          <w:tcPr>
            <w:tcW w:w="3192" w:type="dxa"/>
          </w:tcPr>
          <w:p w14:paraId="39C241F1" w14:textId="77777777" w:rsidR="00315A12" w:rsidRDefault="00315A12" w:rsidP="00315A12">
            <w:r>
              <w:t>Нечести</w:t>
            </w:r>
          </w:p>
          <w:p w14:paraId="6C688AF2" w14:textId="77777777" w:rsidR="00315A12" w:rsidRDefault="00315A12" w:rsidP="00315A12"/>
          <w:p w14:paraId="0702C802" w14:textId="77777777" w:rsidR="00315A12" w:rsidRDefault="00315A12" w:rsidP="00315A12"/>
          <w:p w14:paraId="1DC9F650" w14:textId="0D72C52B" w:rsidR="00315A12" w:rsidRDefault="00315A12" w:rsidP="00315A12">
            <w:r>
              <w:t>Редки</w:t>
            </w:r>
          </w:p>
        </w:tc>
      </w:tr>
      <w:tr w:rsidR="00315A12" w14:paraId="203CC161" w14:textId="77777777" w:rsidTr="00315A12">
        <w:tc>
          <w:tcPr>
            <w:tcW w:w="3192" w:type="dxa"/>
          </w:tcPr>
          <w:p w14:paraId="2A6E7BFF" w14:textId="6F1E59D7" w:rsidR="00315A12" w:rsidRDefault="00315A12" w:rsidP="00315A12">
            <w:r>
              <w:t>Стомашно-чревни нарушения</w:t>
            </w:r>
          </w:p>
        </w:tc>
        <w:tc>
          <w:tcPr>
            <w:tcW w:w="3192" w:type="dxa"/>
          </w:tcPr>
          <w:p w14:paraId="6B97BE59" w14:textId="7A698BA8" w:rsidR="00315A12" w:rsidRDefault="00315A12" w:rsidP="00315A12">
            <w:r>
              <w:t>Гадене</w:t>
            </w:r>
            <w:r>
              <w:rPr>
                <w:vertAlign w:val="superscript"/>
              </w:rPr>
              <w:t>+</w:t>
            </w:r>
            <w:r>
              <w:t>, повръщане</w:t>
            </w:r>
            <w:r>
              <w:rPr>
                <w:vertAlign w:val="superscript"/>
              </w:rPr>
              <w:t>+</w:t>
            </w:r>
            <w:r>
              <w:t>, диария</w:t>
            </w:r>
            <w:r>
              <w:rPr>
                <w:vertAlign w:val="superscript"/>
              </w:rPr>
              <w:t>+</w:t>
            </w:r>
            <w:r>
              <w:t>, сухота в устата</w:t>
            </w:r>
            <w:r>
              <w:rPr>
                <w:vertAlign w:val="superscript"/>
              </w:rPr>
              <w:t>ξ</w:t>
            </w:r>
          </w:p>
        </w:tc>
        <w:tc>
          <w:tcPr>
            <w:tcW w:w="3192" w:type="dxa"/>
          </w:tcPr>
          <w:p w14:paraId="376E5EEF" w14:textId="3E1FA44B" w:rsidR="00315A12" w:rsidRDefault="00315A12" w:rsidP="00315A12">
            <w:r>
              <w:t>Чести</w:t>
            </w:r>
          </w:p>
        </w:tc>
      </w:tr>
      <w:tr w:rsidR="00315A12" w14:paraId="7C037035" w14:textId="77777777" w:rsidTr="00315A12">
        <w:tc>
          <w:tcPr>
            <w:tcW w:w="3192" w:type="dxa"/>
          </w:tcPr>
          <w:p w14:paraId="55D375D0" w14:textId="5EEE9940" w:rsidR="00315A12" w:rsidRDefault="00315A12" w:rsidP="00315A12">
            <w:r>
              <w:t>Хепато-билиарни нарушения</w:t>
            </w:r>
          </w:p>
        </w:tc>
        <w:tc>
          <w:tcPr>
            <w:tcW w:w="3192" w:type="dxa"/>
          </w:tcPr>
          <w:p w14:paraId="2C5B82A8" w14:textId="027A1B73" w:rsidR="00315A12" w:rsidRDefault="00315A12" w:rsidP="00315A12">
            <w:r>
              <w:t>Чернодробна недостатъчност, отклонения в чернодробните функции</w:t>
            </w:r>
            <w:r>
              <w:rPr>
                <w:vertAlign w:val="superscript"/>
              </w:rPr>
              <w:t>4</w:t>
            </w:r>
            <w:r>
              <w:t>, повишени стойности на показателите на чернодробните функционални тестове</w:t>
            </w:r>
          </w:p>
        </w:tc>
        <w:tc>
          <w:tcPr>
            <w:tcW w:w="3192" w:type="dxa"/>
          </w:tcPr>
          <w:p w14:paraId="4DB0358E" w14:textId="217BAD2C" w:rsidR="00315A12" w:rsidRDefault="00315A12" w:rsidP="00315A12">
            <w:r>
              <w:t>Много редки</w:t>
            </w:r>
          </w:p>
        </w:tc>
      </w:tr>
      <w:tr w:rsidR="00315A12" w14:paraId="17F9245E" w14:textId="77777777" w:rsidTr="00315A12">
        <w:tc>
          <w:tcPr>
            <w:tcW w:w="3192" w:type="dxa"/>
          </w:tcPr>
          <w:p w14:paraId="2AF4A97A" w14:textId="20AF32C7" w:rsidR="00315A12" w:rsidRDefault="00315A12" w:rsidP="00315A12">
            <w:r>
              <w:t>Нарушения на кожата и подкожната тъкан</w:t>
            </w:r>
          </w:p>
        </w:tc>
        <w:tc>
          <w:tcPr>
            <w:tcW w:w="3192" w:type="dxa"/>
          </w:tcPr>
          <w:p w14:paraId="7C3BB2D6" w14:textId="77777777" w:rsidR="00315A12" w:rsidRDefault="00315A12" w:rsidP="00315A12">
            <w:r>
              <w:t>Кожен обрив</w:t>
            </w:r>
            <w:r>
              <w:rPr>
                <w:vertAlign w:val="superscript"/>
              </w:rPr>
              <w:t>5+ξ</w:t>
            </w:r>
          </w:p>
          <w:p w14:paraId="58A2C6F3" w14:textId="77777777" w:rsidR="00315A12" w:rsidRDefault="00315A12" w:rsidP="00315A12"/>
          <w:p w14:paraId="1948C4F0" w14:textId="70E9E929" w:rsidR="00315A12" w:rsidRDefault="00315A12" w:rsidP="00315A12">
            <w:r>
              <w:t>Алопеция, реакция на фоточувствителност</w:t>
            </w:r>
          </w:p>
          <w:p w14:paraId="111456D1" w14:textId="77777777" w:rsidR="00315A12" w:rsidRDefault="00315A12" w:rsidP="00315A12"/>
          <w:p w14:paraId="17B7F525" w14:textId="619AF776" w:rsidR="00315A12" w:rsidRDefault="00315A12" w:rsidP="00315A12">
            <w:r>
              <w:t xml:space="preserve">Синдром на </w:t>
            </w:r>
            <w:r>
              <w:rPr>
                <w:lang w:val="en-US"/>
              </w:rPr>
              <w:t>Stevens</w:t>
            </w:r>
            <w:r w:rsidRPr="00315A12">
              <w:rPr>
                <w:lang w:val="ru-RU"/>
              </w:rPr>
              <w:t>-</w:t>
            </w:r>
            <w:r>
              <w:rPr>
                <w:lang w:val="en-US"/>
              </w:rPr>
              <w:t>Johnson</w:t>
            </w:r>
          </w:p>
          <w:p w14:paraId="50851C4F" w14:textId="77777777" w:rsidR="00315A12" w:rsidRDefault="00315A12" w:rsidP="00315A12"/>
          <w:p w14:paraId="07444AA3" w14:textId="26BA34B7" w:rsidR="00315A12" w:rsidRDefault="00315A12" w:rsidP="00315A12">
            <w:r>
              <w:t>Токсична епидермална некролиза</w:t>
            </w:r>
          </w:p>
          <w:p w14:paraId="15EED743" w14:textId="77777777" w:rsidR="00315A12" w:rsidRDefault="00315A12" w:rsidP="00315A12"/>
          <w:p w14:paraId="0716697E" w14:textId="66C45B48" w:rsidR="00315A12" w:rsidRDefault="00315A12" w:rsidP="00315A12">
            <w:r>
              <w:t>Медикаментозна реакция с еозинофилия и системни</w:t>
            </w:r>
            <w:r>
              <w:rPr>
                <w:vertAlign w:val="superscript"/>
              </w:rPr>
              <w:t xml:space="preserve">2 </w:t>
            </w:r>
            <w:r>
              <w:t>симптоми</w:t>
            </w:r>
          </w:p>
        </w:tc>
        <w:tc>
          <w:tcPr>
            <w:tcW w:w="3192" w:type="dxa"/>
          </w:tcPr>
          <w:p w14:paraId="4E4561C0" w14:textId="77777777" w:rsidR="00315A12" w:rsidRDefault="00315A12" w:rsidP="00315A12">
            <w:r>
              <w:t>Много чести</w:t>
            </w:r>
          </w:p>
          <w:p w14:paraId="4AF62FF7" w14:textId="77777777" w:rsidR="00315A12" w:rsidRDefault="00315A12" w:rsidP="00315A12"/>
          <w:p w14:paraId="56C3E02F" w14:textId="77B73842" w:rsidR="00315A12" w:rsidRDefault="00315A12" w:rsidP="00315A12">
            <w:r>
              <w:t>Нечести</w:t>
            </w:r>
          </w:p>
          <w:p w14:paraId="19E8D11C" w14:textId="77777777" w:rsidR="00315A12" w:rsidRDefault="00315A12" w:rsidP="00315A12"/>
          <w:p w14:paraId="1C73EF90" w14:textId="77777777" w:rsidR="00315A12" w:rsidRDefault="00315A12" w:rsidP="00315A12"/>
          <w:p w14:paraId="337C5852" w14:textId="13AAD9D8" w:rsidR="00315A12" w:rsidRDefault="00315A12" w:rsidP="00315A12">
            <w:r>
              <w:t>Редки</w:t>
            </w:r>
          </w:p>
          <w:p w14:paraId="7E5FF7B3" w14:textId="77777777" w:rsidR="00315A12" w:rsidRDefault="00315A12" w:rsidP="00315A12"/>
          <w:p w14:paraId="3CD587B7" w14:textId="77777777" w:rsidR="00315A12" w:rsidRDefault="00315A12" w:rsidP="00315A12"/>
          <w:p w14:paraId="4455152F" w14:textId="42AE8949" w:rsidR="00315A12" w:rsidRDefault="00315A12" w:rsidP="00315A12">
            <w:r>
              <w:t>Много редки</w:t>
            </w:r>
          </w:p>
          <w:p w14:paraId="4CC68D2B" w14:textId="77777777" w:rsidR="00315A12" w:rsidRDefault="00315A12" w:rsidP="00315A12"/>
          <w:p w14:paraId="61B03879" w14:textId="77777777" w:rsidR="00315A12" w:rsidRDefault="00315A12" w:rsidP="00315A12"/>
          <w:p w14:paraId="01D9B4C9" w14:textId="782294B7" w:rsidR="00315A12" w:rsidRDefault="00315A12" w:rsidP="00315A12">
            <w:r>
              <w:t>Много редки</w:t>
            </w:r>
          </w:p>
        </w:tc>
      </w:tr>
      <w:tr w:rsidR="00315A12" w14:paraId="697C4A84" w14:textId="77777777" w:rsidTr="00315A12">
        <w:tc>
          <w:tcPr>
            <w:tcW w:w="3192" w:type="dxa"/>
          </w:tcPr>
          <w:p w14:paraId="4BF4D71B" w14:textId="088488B1" w:rsidR="00315A12" w:rsidRDefault="00315A12" w:rsidP="00315A12">
            <w:r>
              <w:t>Нарушения на мускулно- скелетната система и съединителната тъкан</w:t>
            </w:r>
          </w:p>
        </w:tc>
        <w:tc>
          <w:tcPr>
            <w:tcW w:w="3192" w:type="dxa"/>
          </w:tcPr>
          <w:p w14:paraId="5F7C9C4E" w14:textId="77777777" w:rsidR="00315A12" w:rsidRDefault="00315A12" w:rsidP="00315A12">
            <w:r>
              <w:t>Артралгия</w:t>
            </w:r>
            <w:r>
              <w:rPr>
                <w:vertAlign w:val="superscript"/>
              </w:rPr>
              <w:t>ξ</w:t>
            </w:r>
          </w:p>
          <w:p w14:paraId="274ADDC7" w14:textId="77777777" w:rsidR="00315A12" w:rsidRDefault="00315A12" w:rsidP="00315A12"/>
          <w:p w14:paraId="0AED170E" w14:textId="40736DDF" w:rsidR="00315A12" w:rsidRDefault="00315A12" w:rsidP="00315A12">
            <w:r>
              <w:t>Реакции, наподобяващи лупус</w:t>
            </w:r>
          </w:p>
        </w:tc>
        <w:tc>
          <w:tcPr>
            <w:tcW w:w="3192" w:type="dxa"/>
          </w:tcPr>
          <w:p w14:paraId="76844B19" w14:textId="77777777" w:rsidR="00315A12" w:rsidRDefault="00315A12" w:rsidP="00315A12">
            <w:r>
              <w:t>Чести</w:t>
            </w:r>
          </w:p>
          <w:p w14:paraId="4EC64526" w14:textId="77777777" w:rsidR="00315A12" w:rsidRDefault="00315A12" w:rsidP="00315A12"/>
          <w:p w14:paraId="449A2B4F" w14:textId="7E2AE5FE" w:rsidR="00315A12" w:rsidRDefault="00315A12" w:rsidP="00315A12">
            <w:r>
              <w:t>Много редки</w:t>
            </w:r>
          </w:p>
        </w:tc>
      </w:tr>
      <w:tr w:rsidR="00315A12" w14:paraId="2CF966A4" w14:textId="77777777" w:rsidTr="00315A12">
        <w:tc>
          <w:tcPr>
            <w:tcW w:w="3192" w:type="dxa"/>
          </w:tcPr>
          <w:p w14:paraId="60439B78" w14:textId="1AAE094E" w:rsidR="00315A12" w:rsidRDefault="00315A12" w:rsidP="00315A12">
            <w:r>
              <w:t>Нарушения на бъбреците и пикочните пътища</w:t>
            </w:r>
          </w:p>
        </w:tc>
        <w:tc>
          <w:tcPr>
            <w:tcW w:w="3192" w:type="dxa"/>
          </w:tcPr>
          <w:p w14:paraId="1CB02B8E" w14:textId="21A7A9F0" w:rsidR="00315A12" w:rsidRDefault="00315A12" w:rsidP="00315A12">
            <w:r>
              <w:t>Тубулоинтерстициален нефрит, синдром на тубулоинтерстициален нефрит и увеит</w:t>
            </w:r>
          </w:p>
        </w:tc>
        <w:tc>
          <w:tcPr>
            <w:tcW w:w="3192" w:type="dxa"/>
          </w:tcPr>
          <w:p w14:paraId="2D839BB6" w14:textId="382F234C" w:rsidR="00315A12" w:rsidRDefault="00315A12" w:rsidP="00315A12">
            <w:r>
              <w:t>С неизвестна честота</w:t>
            </w:r>
          </w:p>
        </w:tc>
      </w:tr>
      <w:tr w:rsidR="00315A12" w14:paraId="2504D581" w14:textId="77777777" w:rsidTr="00315A12">
        <w:tc>
          <w:tcPr>
            <w:tcW w:w="3192" w:type="dxa"/>
          </w:tcPr>
          <w:p w14:paraId="76E36D07" w14:textId="0369DC8D" w:rsidR="00315A12" w:rsidRDefault="00315A12" w:rsidP="00315A12">
            <w:r>
              <w:lastRenderedPageBreak/>
              <w:t>Общи нарушения и ефекти на мястото на приложение</w:t>
            </w:r>
          </w:p>
        </w:tc>
        <w:tc>
          <w:tcPr>
            <w:tcW w:w="3192" w:type="dxa"/>
          </w:tcPr>
          <w:p w14:paraId="0DDAA260" w14:textId="0F3EBAB5" w:rsidR="00315A12" w:rsidRDefault="00315A12" w:rsidP="00315A12">
            <w:r>
              <w:t>Уморяемост</w:t>
            </w:r>
            <w:r>
              <w:rPr>
                <w:vertAlign w:val="superscript"/>
              </w:rPr>
              <w:t>+</w:t>
            </w:r>
            <w:r>
              <w:t>, болка</w:t>
            </w:r>
            <w:r>
              <w:rPr>
                <w:vertAlign w:val="superscript"/>
              </w:rPr>
              <w:t>ξ</w:t>
            </w:r>
            <w:r>
              <w:t>, болка в гърба</w:t>
            </w:r>
            <w:r>
              <w:rPr>
                <w:vertAlign w:val="superscript"/>
              </w:rPr>
              <w:t>ξ</w:t>
            </w:r>
          </w:p>
        </w:tc>
        <w:tc>
          <w:tcPr>
            <w:tcW w:w="3192" w:type="dxa"/>
          </w:tcPr>
          <w:p w14:paraId="17940808" w14:textId="748D6F0B" w:rsidR="00315A12" w:rsidRDefault="00315A12" w:rsidP="00315A12">
            <w:r>
              <w:t>Чести</w:t>
            </w:r>
          </w:p>
        </w:tc>
      </w:tr>
    </w:tbl>
    <w:p w14:paraId="75A30746" w14:textId="1C9DCB8A" w:rsidR="00315A12" w:rsidRPr="00315A12" w:rsidRDefault="00315A12" w:rsidP="00315A12">
      <w:pPr>
        <w:spacing w:line="240" w:lineRule="auto"/>
        <w:rPr>
          <w:rFonts w:eastAsia="Times New Roman" w:cs="Arial"/>
          <w:color w:val="000000"/>
          <w:u w:val="single"/>
          <w:lang w:eastAsia="bg-BG"/>
        </w:rPr>
      </w:pPr>
      <w:r w:rsidRPr="00315A12">
        <w:rPr>
          <w:rFonts w:eastAsia="Times New Roman" w:cs="Arial"/>
          <w:color w:val="000000"/>
          <w:u w:val="single"/>
          <w:lang w:eastAsia="bg-BG"/>
        </w:rPr>
        <w:t>Описание на избрани нежелани реакпии</w:t>
      </w:r>
    </w:p>
    <w:p w14:paraId="6C9630B7" w14:textId="77777777" w:rsidR="00315A12" w:rsidRPr="00315A12" w:rsidRDefault="00315A12" w:rsidP="00315A12">
      <w:pPr>
        <w:spacing w:line="240" w:lineRule="auto"/>
        <w:rPr>
          <w:rFonts w:eastAsia="Times New Roman" w:cs="Arial"/>
        </w:rPr>
      </w:pPr>
    </w:p>
    <w:p w14:paraId="0A5AFE5F" w14:textId="268E7D8A" w:rsidR="00315A12" w:rsidRPr="00315A12" w:rsidRDefault="00315A12" w:rsidP="00315A12">
      <w:pPr>
        <w:spacing w:line="240" w:lineRule="auto"/>
        <w:rPr>
          <w:rFonts w:eastAsia="Times New Roman" w:cs="Arial"/>
        </w:rPr>
      </w:pPr>
      <w:r w:rsidRPr="00315A12">
        <w:rPr>
          <w:rFonts w:eastAsia="Times New Roman" w:cs="Arial"/>
          <w:color w:val="000000"/>
          <w:vertAlign w:val="superscript"/>
          <w:lang w:eastAsia="bg-BG"/>
        </w:rPr>
        <w:t>1</w:t>
      </w:r>
      <w:r w:rsidRPr="00315A12">
        <w:rPr>
          <w:rFonts w:eastAsia="Times New Roman" w:cs="Arial"/>
          <w:color w:val="000000"/>
          <w:lang w:eastAsia="bg-BG"/>
        </w:rPr>
        <w:t xml:space="preserve">Хематологичните отклонения и лимфадснопатията могат да бъдат или да не бъдат свързани с медикаментозната реакция с еозинофилия и системни симптоми </w:t>
      </w:r>
      <w:r w:rsidRPr="00315A12">
        <w:rPr>
          <w:rFonts w:eastAsia="Times New Roman" w:cs="Arial"/>
          <w:color w:val="000000"/>
          <w:lang w:val="ru-RU"/>
        </w:rPr>
        <w:t>(</w:t>
      </w:r>
      <w:r w:rsidRPr="00315A12">
        <w:rPr>
          <w:rFonts w:eastAsia="Times New Roman" w:cs="Arial"/>
          <w:color w:val="000000"/>
          <w:lang w:val="en-US"/>
        </w:rPr>
        <w:t>DRESS</w:t>
      </w:r>
      <w:r w:rsidRPr="00315A12">
        <w:rPr>
          <w:rFonts w:eastAsia="Times New Roman" w:cs="Arial"/>
          <w:color w:val="000000"/>
          <w:lang w:val="ru-RU"/>
        </w:rPr>
        <w:t xml:space="preserve">) </w:t>
      </w:r>
      <w:r w:rsidRPr="00315A12">
        <w:rPr>
          <w:rFonts w:eastAsia="Times New Roman" w:cs="Arial"/>
          <w:color w:val="000000"/>
          <w:lang w:eastAsia="bg-BG"/>
        </w:rPr>
        <w:t>/ синдрома на свръхчувствителност (вж. Специални предупреждения и предпазни мерки при употреба и Нарушения на имунната система).</w:t>
      </w:r>
    </w:p>
    <w:p w14:paraId="5FDD3264" w14:textId="59D3F10D" w:rsidR="00315A12" w:rsidRPr="00315A12" w:rsidRDefault="00315A12" w:rsidP="00315A12">
      <w:pPr>
        <w:spacing w:line="240" w:lineRule="auto"/>
        <w:rPr>
          <w:rFonts w:eastAsia="Times New Roman" w:cs="Arial"/>
        </w:rPr>
      </w:pPr>
      <w:r w:rsidRPr="00315A12">
        <w:rPr>
          <w:rFonts w:eastAsia="Times New Roman" w:cs="Arial"/>
          <w:color w:val="000000"/>
          <w:vertAlign w:val="superscript"/>
          <w:lang w:eastAsia="bg-BG"/>
        </w:rPr>
        <w:t>2</w:t>
      </w:r>
      <w:r w:rsidRPr="00315A12">
        <w:rPr>
          <w:rFonts w:eastAsia="Times New Roman" w:cs="Arial"/>
          <w:color w:val="000000"/>
          <w:lang w:eastAsia="bg-BG"/>
        </w:rPr>
        <w:t xml:space="preserve">Обрив е съобщаван като част от този синдром, известен също като </w:t>
      </w:r>
      <w:r w:rsidRPr="00315A12">
        <w:rPr>
          <w:rFonts w:eastAsia="Times New Roman" w:cs="Arial"/>
          <w:color w:val="000000"/>
          <w:lang w:val="en-US"/>
        </w:rPr>
        <w:t>DRESS</w:t>
      </w:r>
      <w:r w:rsidRPr="00315A12">
        <w:rPr>
          <w:rFonts w:eastAsia="Times New Roman" w:cs="Arial"/>
          <w:color w:val="000000"/>
          <w:lang w:val="ru-RU"/>
        </w:rPr>
        <w:t xml:space="preserve">. </w:t>
      </w:r>
      <w:r w:rsidRPr="00315A12">
        <w:rPr>
          <w:rFonts w:eastAsia="Times New Roman" w:cs="Arial"/>
          <w:color w:val="000000"/>
          <w:lang w:eastAsia="bg-BG"/>
        </w:rPr>
        <w:t>Това състояние е свързано с различни системни симптоми като повишена температура, лимфаденопатия, оток на лицето и промени в кръвната картина, функциите на черния дроб и бъбреците. Проявите на този синдром са с различна клинична тежест, като рядко могат да доведат до дисеминирана интраваскуларна коагулация и мултиорганна недостатъчност. Трябва да се има предвид, че ранните прояви на свръхчувствителност (например повишена температура, лимфаденопатия) може да са проявени и без доловимо развитие на обрив. При установяване на описаните признаци и симптоми е необходима незабавна оценка на състоянието на пациента и спиране приема на Ламиктал при липса на друга етиология за развитие на тези реакции (вж. точка 4.4).</w:t>
      </w:r>
    </w:p>
    <w:p w14:paraId="43E302CA" w14:textId="70146702" w:rsidR="00315A12" w:rsidRPr="00315A12" w:rsidRDefault="00315A12" w:rsidP="00315A12">
      <w:pPr>
        <w:spacing w:line="240" w:lineRule="auto"/>
        <w:rPr>
          <w:rFonts w:eastAsia="Times New Roman" w:cs="Arial"/>
        </w:rPr>
      </w:pPr>
      <w:r w:rsidRPr="00315A12">
        <w:rPr>
          <w:rFonts w:eastAsia="Times New Roman" w:cs="Arial"/>
          <w:color w:val="000000"/>
          <w:vertAlign w:val="superscript"/>
          <w:lang w:eastAsia="bg-BG"/>
        </w:rPr>
        <w:t>3</w:t>
      </w:r>
      <w:r w:rsidRPr="00315A12">
        <w:rPr>
          <w:rFonts w:eastAsia="Times New Roman" w:cs="Arial"/>
          <w:color w:val="000000"/>
          <w:lang w:eastAsia="bg-BG"/>
        </w:rPr>
        <w:t>Тези реакции са докладвани по време на другия клиничен опит. Има съобщения, че приложението на ламотригин може да влоши състоянието на пациенти, страдащи от болестта на Паркинсон. Има отделни съобщения за поява на екстрапирамидни симптоми и хореоатетоза при пациенти без това съпътстващо заболяване.</w:t>
      </w:r>
    </w:p>
    <w:p w14:paraId="76EEDEC3" w14:textId="513D588E" w:rsidR="00315A12" w:rsidRPr="00315A12" w:rsidRDefault="00315A12" w:rsidP="00315A12">
      <w:pPr>
        <w:spacing w:line="240" w:lineRule="auto"/>
        <w:rPr>
          <w:rFonts w:eastAsia="Times New Roman" w:cs="Arial"/>
        </w:rPr>
      </w:pPr>
      <w:r w:rsidRPr="00315A12">
        <w:rPr>
          <w:rFonts w:eastAsia="Times New Roman" w:cs="Arial"/>
          <w:color w:val="000000"/>
          <w:vertAlign w:val="superscript"/>
          <w:lang w:eastAsia="bg-BG"/>
        </w:rPr>
        <w:t>4</w:t>
      </w:r>
      <w:r w:rsidRPr="00315A12">
        <w:rPr>
          <w:rFonts w:eastAsia="Times New Roman" w:cs="Arial"/>
          <w:color w:val="000000"/>
          <w:lang w:eastAsia="bg-BG"/>
        </w:rPr>
        <w:t>Чернодробната дисфункция обикновено се проявява във връзка с реакциите на свръхчувствителност, но в отделни случаи е наблюдавана самостоятелно.</w:t>
      </w:r>
    </w:p>
    <w:p w14:paraId="42AD54E9" w14:textId="43855105" w:rsidR="00315A12" w:rsidRPr="00315A12" w:rsidRDefault="00315A12" w:rsidP="00315A12">
      <w:pPr>
        <w:rPr>
          <w:rFonts w:eastAsia="Times New Roman" w:cs="Arial"/>
        </w:rPr>
      </w:pPr>
      <w:r w:rsidRPr="00315A12">
        <w:rPr>
          <w:rFonts w:eastAsia="Times New Roman" w:cs="Arial"/>
          <w:color w:val="000000"/>
          <w:vertAlign w:val="superscript"/>
          <w:lang w:eastAsia="bg-BG"/>
        </w:rPr>
        <w:t>5</w:t>
      </w:r>
      <w:r w:rsidRPr="00315A12">
        <w:rPr>
          <w:rFonts w:eastAsia="Times New Roman" w:cs="Arial"/>
          <w:color w:val="000000"/>
          <w:lang w:eastAsia="bg-BG"/>
        </w:rPr>
        <w:t>В клинични изпитвания при възрастни, кожни обриви са наблюдавани при 8-12% от пациентите, приемащи ламотригин, и при 5-6% от пациентите, приемащи плацебо. Развитието на обриви води до спиране на приема на ламотригин при 2 % от пациентите. Обривът в повечето случаи макулопапулозен, обикновено се развива през първите осем седмици от началото на лечението, като преминава след спиране на приема на Ламиктал (вж. точка 4.4).</w:t>
      </w:r>
    </w:p>
    <w:p w14:paraId="01746C98" w14:textId="77777777" w:rsidR="00315A12" w:rsidRPr="00315A12" w:rsidRDefault="00315A12" w:rsidP="00315A12">
      <w:pPr>
        <w:spacing w:line="240" w:lineRule="auto"/>
        <w:rPr>
          <w:rFonts w:eastAsia="Times New Roman" w:cs="Arial"/>
          <w:color w:val="000000"/>
          <w:lang w:eastAsia="bg-BG"/>
        </w:rPr>
      </w:pPr>
    </w:p>
    <w:p w14:paraId="0E9F43EB" w14:textId="2873E712" w:rsidR="00315A12" w:rsidRPr="00315A12" w:rsidRDefault="00315A12" w:rsidP="00315A12">
      <w:pPr>
        <w:spacing w:line="240" w:lineRule="auto"/>
        <w:rPr>
          <w:rFonts w:eastAsia="Times New Roman" w:cs="Arial"/>
        </w:rPr>
      </w:pPr>
      <w:r w:rsidRPr="00315A12">
        <w:rPr>
          <w:rFonts w:eastAsia="Times New Roman" w:cs="Arial"/>
          <w:color w:val="000000"/>
          <w:lang w:eastAsia="bg-BG"/>
        </w:rPr>
        <w:t xml:space="preserve">Съобщавани са животозастрашаващи обриви, включително синдром на </w:t>
      </w:r>
      <w:r w:rsidRPr="00315A12">
        <w:rPr>
          <w:rFonts w:eastAsia="Times New Roman" w:cs="Arial"/>
          <w:color w:val="000000"/>
          <w:lang w:val="en-US"/>
        </w:rPr>
        <w:t>Stevens</w:t>
      </w:r>
      <w:r w:rsidRPr="00315A12">
        <w:rPr>
          <w:rFonts w:eastAsia="Times New Roman" w:cs="Arial"/>
          <w:color w:val="000000"/>
          <w:lang w:val="ru-RU"/>
        </w:rPr>
        <w:t>-</w:t>
      </w:r>
      <w:r w:rsidRPr="00315A12">
        <w:rPr>
          <w:rFonts w:eastAsia="Times New Roman" w:cs="Arial"/>
          <w:color w:val="000000"/>
          <w:lang w:val="en-US"/>
        </w:rPr>
        <w:t>Johnson</w:t>
      </w:r>
      <w:r w:rsidRPr="00315A12">
        <w:rPr>
          <w:rFonts w:eastAsia="Times New Roman" w:cs="Arial"/>
          <w:color w:val="000000"/>
          <w:lang w:val="ru-RU"/>
        </w:rPr>
        <w:t xml:space="preserve"> </w:t>
      </w:r>
      <w:r w:rsidRPr="00315A12">
        <w:rPr>
          <w:rFonts w:eastAsia="Times New Roman" w:cs="Arial"/>
          <w:color w:val="000000"/>
          <w:lang w:eastAsia="bg-BG"/>
        </w:rPr>
        <w:t xml:space="preserve">и токсична епидермална некролиза (синдром на </w:t>
      </w:r>
      <w:r w:rsidRPr="00315A12">
        <w:rPr>
          <w:rFonts w:eastAsia="Times New Roman" w:cs="Arial"/>
          <w:color w:val="000000"/>
          <w:lang w:val="en-US"/>
        </w:rPr>
        <w:t>Lyell</w:t>
      </w:r>
      <w:r w:rsidRPr="00315A12">
        <w:rPr>
          <w:rFonts w:eastAsia="Times New Roman" w:cs="Arial"/>
          <w:color w:val="000000"/>
          <w:lang w:val="ru-RU"/>
        </w:rPr>
        <w:t xml:space="preserve">) </w:t>
      </w:r>
      <w:r w:rsidRPr="00315A12">
        <w:rPr>
          <w:rFonts w:eastAsia="Times New Roman" w:cs="Arial"/>
          <w:color w:val="000000"/>
          <w:lang w:eastAsia="bg-BG"/>
        </w:rPr>
        <w:t xml:space="preserve">и медикаментозна реакция с еозинофилия и системни симптоми </w:t>
      </w:r>
      <w:r w:rsidRPr="00315A12">
        <w:rPr>
          <w:rFonts w:eastAsia="Times New Roman" w:cs="Arial"/>
          <w:color w:val="000000"/>
          <w:lang w:val="ru-RU"/>
        </w:rPr>
        <w:t>(</w:t>
      </w:r>
      <w:r w:rsidRPr="00315A12">
        <w:rPr>
          <w:rFonts w:eastAsia="Times New Roman" w:cs="Arial"/>
          <w:color w:val="000000"/>
          <w:lang w:val="en-US"/>
        </w:rPr>
        <w:t>DRESS</w:t>
      </w:r>
      <w:r w:rsidRPr="00315A12">
        <w:rPr>
          <w:rFonts w:eastAsia="Times New Roman" w:cs="Arial"/>
          <w:color w:val="000000"/>
          <w:lang w:val="ru-RU"/>
        </w:rPr>
        <w:t xml:space="preserve">). </w:t>
      </w:r>
      <w:r w:rsidRPr="00315A12">
        <w:rPr>
          <w:rFonts w:eastAsia="Times New Roman" w:cs="Arial"/>
          <w:color w:val="000000"/>
          <w:lang w:eastAsia="bg-BG"/>
        </w:rPr>
        <w:t>В повечето случаи тези реакции преминават след спиране на приема на ламотригин. Въпреки това, при някои пациенти се развиват необратими цикатрикси, също така има редки случаи на летален изход (вж. точка 4.4).</w:t>
      </w:r>
    </w:p>
    <w:p w14:paraId="15F3FD30" w14:textId="77777777" w:rsidR="00315A12" w:rsidRPr="00315A12" w:rsidRDefault="00315A12" w:rsidP="00315A12">
      <w:pPr>
        <w:spacing w:line="240" w:lineRule="auto"/>
        <w:rPr>
          <w:rFonts w:eastAsia="Times New Roman" w:cs="Arial"/>
          <w:color w:val="000000"/>
          <w:lang w:eastAsia="bg-BG"/>
        </w:rPr>
      </w:pPr>
    </w:p>
    <w:p w14:paraId="0EFD369C" w14:textId="4B5D9EF5" w:rsidR="00315A12" w:rsidRDefault="00315A12" w:rsidP="00315A12">
      <w:pPr>
        <w:spacing w:line="240" w:lineRule="auto"/>
        <w:rPr>
          <w:rFonts w:eastAsia="Times New Roman" w:cs="Arial"/>
          <w:color w:val="000000"/>
          <w:lang w:eastAsia="bg-BG"/>
        </w:rPr>
      </w:pPr>
      <w:r w:rsidRPr="00315A12">
        <w:rPr>
          <w:rFonts w:eastAsia="Times New Roman" w:cs="Arial"/>
          <w:color w:val="000000"/>
          <w:lang w:eastAsia="bg-BG"/>
        </w:rPr>
        <w:t>Общият риск за поява на обрив показва силна взаимовръзка с:</w:t>
      </w:r>
    </w:p>
    <w:p w14:paraId="61A803A7" w14:textId="77777777" w:rsidR="00315A12" w:rsidRPr="00315A12" w:rsidRDefault="00315A12" w:rsidP="00315A12">
      <w:pPr>
        <w:spacing w:line="240" w:lineRule="auto"/>
        <w:rPr>
          <w:rFonts w:eastAsia="Times New Roman" w:cs="Arial"/>
        </w:rPr>
      </w:pPr>
    </w:p>
    <w:p w14:paraId="66B51117" w14:textId="77777777" w:rsidR="00315A12" w:rsidRPr="00315A12" w:rsidRDefault="00315A12" w:rsidP="00315A12">
      <w:pPr>
        <w:pStyle w:val="ListParagraph"/>
        <w:numPr>
          <w:ilvl w:val="0"/>
          <w:numId w:val="33"/>
        </w:numPr>
        <w:spacing w:line="240" w:lineRule="auto"/>
        <w:rPr>
          <w:rFonts w:eastAsia="Times New Roman" w:cs="Arial"/>
        </w:rPr>
      </w:pPr>
      <w:r w:rsidRPr="00315A12">
        <w:rPr>
          <w:rFonts w:eastAsia="Times New Roman" w:cs="Arial"/>
          <w:color w:val="000000"/>
          <w:lang w:eastAsia="bg-BG"/>
        </w:rPr>
        <w:t xml:space="preserve">прием на високи начални дози ламотригин и превишаване на препоръчаната доза за повишаване на ламотригин (вж. точка 4.2) </w:t>
      </w:r>
    </w:p>
    <w:p w14:paraId="2324C6E8" w14:textId="7F331B8E" w:rsidR="00315A12" w:rsidRPr="00315A12" w:rsidRDefault="00315A12" w:rsidP="00315A12">
      <w:pPr>
        <w:pStyle w:val="ListParagraph"/>
        <w:numPr>
          <w:ilvl w:val="0"/>
          <w:numId w:val="33"/>
        </w:numPr>
        <w:spacing w:line="240" w:lineRule="auto"/>
        <w:rPr>
          <w:rFonts w:eastAsia="Times New Roman" w:cs="Arial"/>
        </w:rPr>
      </w:pPr>
      <w:r w:rsidRPr="00315A12">
        <w:rPr>
          <w:rFonts w:eastAsia="Times New Roman" w:cs="Arial"/>
          <w:color w:val="000000"/>
          <w:lang w:eastAsia="bg-BG"/>
        </w:rPr>
        <w:t>едновременно прилагане на валпроат (вж. точка 4.2).</w:t>
      </w:r>
    </w:p>
    <w:p w14:paraId="114DB05A" w14:textId="77777777" w:rsidR="00315A12" w:rsidRPr="00315A12" w:rsidRDefault="00315A12" w:rsidP="00315A12">
      <w:pPr>
        <w:spacing w:line="240" w:lineRule="auto"/>
        <w:rPr>
          <w:rFonts w:eastAsia="Times New Roman" w:cs="Arial"/>
          <w:color w:val="000000"/>
          <w:lang w:eastAsia="bg-BG"/>
        </w:rPr>
      </w:pPr>
    </w:p>
    <w:p w14:paraId="54EF69A7" w14:textId="0E9BFD36" w:rsidR="00315A12" w:rsidRPr="00315A12" w:rsidRDefault="00315A12" w:rsidP="00315A12">
      <w:pPr>
        <w:spacing w:line="240" w:lineRule="auto"/>
        <w:rPr>
          <w:rFonts w:eastAsia="Times New Roman" w:cs="Arial"/>
        </w:rPr>
      </w:pPr>
      <w:r w:rsidRPr="00315A12">
        <w:rPr>
          <w:rFonts w:eastAsia="Times New Roman" w:cs="Arial"/>
          <w:color w:val="000000"/>
          <w:lang w:eastAsia="bg-BG"/>
        </w:rPr>
        <w:t>Има съобщения за намалена костна минерална плътност, остеопения, остеопороза и фрактури при пациенти на дългосрочно лечение с ламотригин. Не е установен механизмът, по който ламотригин повлиява костния метаболизъм.</w:t>
      </w:r>
    </w:p>
    <w:p w14:paraId="75508D4B" w14:textId="77777777" w:rsidR="00315A12" w:rsidRPr="00315A12" w:rsidRDefault="00315A12" w:rsidP="00315A12">
      <w:pPr>
        <w:spacing w:line="240" w:lineRule="auto"/>
        <w:rPr>
          <w:rFonts w:eastAsia="Times New Roman" w:cs="Arial"/>
          <w:color w:val="000000"/>
          <w:u w:val="single"/>
          <w:lang w:eastAsia="bg-BG"/>
        </w:rPr>
      </w:pPr>
    </w:p>
    <w:p w14:paraId="7FB50E6B" w14:textId="5E72CDDD" w:rsidR="00315A12" w:rsidRPr="00315A12" w:rsidRDefault="00315A12" w:rsidP="00315A12">
      <w:pPr>
        <w:spacing w:line="240" w:lineRule="auto"/>
        <w:rPr>
          <w:rFonts w:eastAsia="Times New Roman" w:cs="Arial"/>
        </w:rPr>
      </w:pPr>
      <w:r w:rsidRPr="00315A12">
        <w:rPr>
          <w:rFonts w:eastAsia="Times New Roman" w:cs="Arial"/>
          <w:color w:val="000000"/>
          <w:u w:val="single"/>
          <w:lang w:eastAsia="bg-BG"/>
        </w:rPr>
        <w:t>Съобщаване на подозирани нежелани реакции</w:t>
      </w:r>
    </w:p>
    <w:p w14:paraId="5FF72E82" w14:textId="77777777" w:rsidR="00315A12" w:rsidRPr="00315A12" w:rsidRDefault="00315A12" w:rsidP="00315A12">
      <w:pPr>
        <w:spacing w:line="240" w:lineRule="auto"/>
        <w:rPr>
          <w:rFonts w:eastAsia="Times New Roman" w:cs="Arial"/>
        </w:rPr>
      </w:pPr>
      <w:r w:rsidRPr="00315A12">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w:t>
      </w:r>
      <w:r w:rsidRPr="00315A12">
        <w:rPr>
          <w:rFonts w:eastAsia="Times New Roman" w:cs="Arial"/>
          <w:color w:val="000000"/>
          <w:lang w:eastAsia="bg-BG"/>
        </w:rPr>
        <w:lastRenderedPageBreak/>
        <w:t>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w:t>
      </w:r>
    </w:p>
    <w:p w14:paraId="53CD860A" w14:textId="77777777" w:rsidR="00315A12" w:rsidRPr="00315A12" w:rsidRDefault="00315A12" w:rsidP="00315A12">
      <w:pPr>
        <w:spacing w:line="240" w:lineRule="auto"/>
        <w:rPr>
          <w:rFonts w:eastAsia="Times New Roman" w:cs="Arial"/>
          <w:color w:val="000000"/>
          <w:lang w:eastAsia="bg-BG"/>
        </w:rPr>
      </w:pPr>
    </w:p>
    <w:p w14:paraId="28C01302" w14:textId="2E4979AC" w:rsidR="00315A12" w:rsidRPr="00315A12" w:rsidRDefault="00315A12" w:rsidP="00315A12">
      <w:pPr>
        <w:spacing w:line="240" w:lineRule="auto"/>
        <w:rPr>
          <w:rFonts w:eastAsia="Times New Roman" w:cs="Arial"/>
        </w:rPr>
      </w:pPr>
      <w:r w:rsidRPr="00315A12">
        <w:rPr>
          <w:rFonts w:eastAsia="Times New Roman" w:cs="Arial"/>
          <w:color w:val="000000"/>
          <w:lang w:eastAsia="bg-BG"/>
        </w:rPr>
        <w:t>Изпълнителна агенция по лекарствата</w:t>
      </w:r>
    </w:p>
    <w:p w14:paraId="6BA60F23" w14:textId="77777777" w:rsidR="00315A12" w:rsidRPr="00315A12" w:rsidRDefault="00315A12" w:rsidP="00315A12">
      <w:pPr>
        <w:spacing w:line="240" w:lineRule="auto"/>
        <w:rPr>
          <w:rFonts w:eastAsia="Times New Roman" w:cs="Arial"/>
        </w:rPr>
      </w:pPr>
      <w:r w:rsidRPr="00315A12">
        <w:rPr>
          <w:rFonts w:eastAsia="Times New Roman" w:cs="Arial"/>
          <w:color w:val="000000"/>
          <w:lang w:eastAsia="bg-BG"/>
        </w:rPr>
        <w:t>ул.,Дамян Груев” № 8</w:t>
      </w:r>
    </w:p>
    <w:p w14:paraId="5C9FA2A1" w14:textId="77777777" w:rsidR="00315A12" w:rsidRPr="00315A12" w:rsidRDefault="00315A12" w:rsidP="00315A12">
      <w:pPr>
        <w:spacing w:line="240" w:lineRule="auto"/>
        <w:rPr>
          <w:rFonts w:eastAsia="Times New Roman" w:cs="Arial"/>
        </w:rPr>
      </w:pPr>
      <w:r w:rsidRPr="00315A12">
        <w:rPr>
          <w:rFonts w:eastAsia="Times New Roman" w:cs="Arial"/>
          <w:color w:val="000000"/>
          <w:lang w:eastAsia="bg-BG"/>
        </w:rPr>
        <w:t>1303 София</w:t>
      </w:r>
    </w:p>
    <w:p w14:paraId="732EF07F" w14:textId="77777777" w:rsidR="00315A12" w:rsidRPr="00315A12" w:rsidRDefault="00315A12" w:rsidP="00315A12">
      <w:pPr>
        <w:spacing w:line="240" w:lineRule="auto"/>
        <w:rPr>
          <w:rFonts w:eastAsia="Times New Roman" w:cs="Arial"/>
        </w:rPr>
      </w:pPr>
      <w:r w:rsidRPr="00315A12">
        <w:rPr>
          <w:rFonts w:eastAsia="Times New Roman" w:cs="Arial"/>
          <w:color w:val="000000"/>
          <w:lang w:eastAsia="bg-BG"/>
        </w:rPr>
        <w:t>тел.: +359 2 890 34 17</w:t>
      </w:r>
    </w:p>
    <w:p w14:paraId="6ACD3B8F" w14:textId="77777777" w:rsidR="00315A12" w:rsidRPr="00315A12" w:rsidRDefault="00315A12" w:rsidP="00315A12">
      <w:pPr>
        <w:spacing w:line="240" w:lineRule="auto"/>
        <w:rPr>
          <w:rFonts w:eastAsia="Times New Roman" w:cs="Arial"/>
        </w:rPr>
      </w:pPr>
      <w:r w:rsidRPr="00315A12">
        <w:rPr>
          <w:rFonts w:eastAsia="Times New Roman" w:cs="Arial"/>
          <w:color w:val="000000"/>
          <w:lang w:eastAsia="bg-BG"/>
        </w:rPr>
        <w:t xml:space="preserve">уебсайт: </w:t>
      </w:r>
      <w:hyperlink r:id="rId5" w:history="1">
        <w:r w:rsidRPr="00315A12">
          <w:rPr>
            <w:rFonts w:eastAsia="Times New Roman" w:cs="Arial"/>
            <w:color w:val="000000"/>
            <w:u w:val="single"/>
            <w:lang w:val="en-US"/>
          </w:rPr>
          <w:t>www</w:t>
        </w:r>
        <w:r w:rsidRPr="00315A12">
          <w:rPr>
            <w:rFonts w:eastAsia="Times New Roman" w:cs="Arial"/>
            <w:color w:val="000000"/>
            <w:u w:val="single"/>
            <w:lang w:val="ru-RU"/>
          </w:rPr>
          <w:t>.</w:t>
        </w:r>
        <w:r w:rsidRPr="00315A12">
          <w:rPr>
            <w:rFonts w:eastAsia="Times New Roman" w:cs="Arial"/>
            <w:color w:val="000000"/>
            <w:u w:val="single"/>
            <w:lang w:val="en-US"/>
          </w:rPr>
          <w:t>bda</w:t>
        </w:r>
        <w:r w:rsidRPr="00315A12">
          <w:rPr>
            <w:rFonts w:eastAsia="Times New Roman" w:cs="Arial"/>
            <w:color w:val="000000"/>
            <w:u w:val="single"/>
            <w:lang w:val="ru-RU"/>
          </w:rPr>
          <w:t>.</w:t>
        </w:r>
        <w:r w:rsidRPr="00315A12">
          <w:rPr>
            <w:rFonts w:eastAsia="Times New Roman" w:cs="Arial"/>
            <w:color w:val="000000"/>
            <w:u w:val="single"/>
            <w:lang w:val="en-US"/>
          </w:rPr>
          <w:t>bg</w:t>
        </w:r>
      </w:hyperlink>
    </w:p>
    <w:p w14:paraId="60592BFC" w14:textId="58D7D68A" w:rsidR="00315A12" w:rsidRPr="00315A12" w:rsidRDefault="00315A12" w:rsidP="00315A12"/>
    <w:p w14:paraId="4ED30546" w14:textId="05A11808" w:rsidR="007C605B" w:rsidRDefault="002C50EE" w:rsidP="009F1313">
      <w:pPr>
        <w:pStyle w:val="Heading2"/>
      </w:pPr>
      <w:r>
        <w:t>4.9. Предозиране</w:t>
      </w:r>
    </w:p>
    <w:p w14:paraId="10238FC6" w14:textId="3F4F607E" w:rsidR="00315A12" w:rsidRDefault="00315A12" w:rsidP="00315A12"/>
    <w:p w14:paraId="4AE4C995" w14:textId="77777777" w:rsidR="00315A12" w:rsidRPr="00315A12" w:rsidRDefault="00315A12" w:rsidP="00315A12">
      <w:pPr>
        <w:pStyle w:val="Heading3"/>
        <w:rPr>
          <w:rFonts w:eastAsia="Times New Roman"/>
          <w:u w:val="single"/>
        </w:rPr>
      </w:pPr>
      <w:r w:rsidRPr="00315A12">
        <w:rPr>
          <w:rFonts w:eastAsia="Times New Roman"/>
          <w:u w:val="single"/>
          <w:lang w:eastAsia="bg-BG"/>
        </w:rPr>
        <w:t>Симптоми и признали</w:t>
      </w:r>
    </w:p>
    <w:p w14:paraId="3502CC93" w14:textId="77777777" w:rsidR="00315A12" w:rsidRDefault="00315A12" w:rsidP="00315A12">
      <w:pPr>
        <w:rPr>
          <w:lang w:eastAsia="bg-BG"/>
        </w:rPr>
      </w:pPr>
    </w:p>
    <w:p w14:paraId="46164866" w14:textId="030013C3" w:rsidR="00315A12" w:rsidRPr="00315A12" w:rsidRDefault="00315A12" w:rsidP="00315A12">
      <w:pPr>
        <w:rPr>
          <w:sz w:val="24"/>
          <w:szCs w:val="24"/>
        </w:rPr>
      </w:pPr>
      <w:r w:rsidRPr="00315A12">
        <w:rPr>
          <w:lang w:eastAsia="bg-BG"/>
        </w:rPr>
        <w:t xml:space="preserve">Съобщавани са случайни предозирания с дози 10 до 20 пъти по-големи от максималната терапевтична доза, включително смъртни случаи. В резултат на предозирането се установяват симптоми, включващи нистагъм, атаксия, промени в съзнанието, генерализирани тонично- клонични гърчове </w:t>
      </w:r>
      <w:r w:rsidRPr="00315A12">
        <w:rPr>
          <w:lang w:val="ru-RU"/>
        </w:rPr>
        <w:t>(</w:t>
      </w:r>
      <w:r w:rsidRPr="00315A12">
        <w:rPr>
          <w:lang w:val="en-US"/>
        </w:rPr>
        <w:t>grand</w:t>
      </w:r>
      <w:r w:rsidRPr="00315A12">
        <w:rPr>
          <w:lang w:val="ru-RU"/>
        </w:rPr>
        <w:t xml:space="preserve"> </w:t>
      </w:r>
      <w:r w:rsidRPr="00315A12">
        <w:rPr>
          <w:lang w:val="en-US"/>
        </w:rPr>
        <w:t>mal</w:t>
      </w:r>
      <w:r w:rsidRPr="00315A12">
        <w:rPr>
          <w:lang w:val="ru-RU"/>
        </w:rPr>
        <w:t xml:space="preserve">) </w:t>
      </w:r>
      <w:r w:rsidRPr="00315A12">
        <w:rPr>
          <w:lang w:eastAsia="bg-BG"/>
        </w:rPr>
        <w:t xml:space="preserve">и кома. Разширяване на </w:t>
      </w:r>
      <w:r w:rsidRPr="00315A12">
        <w:rPr>
          <w:lang w:val="en-US"/>
        </w:rPr>
        <w:t>QRS</w:t>
      </w:r>
      <w:r w:rsidRPr="00315A12">
        <w:rPr>
          <w:lang w:val="ru-RU"/>
        </w:rPr>
        <w:t xml:space="preserve"> </w:t>
      </w:r>
      <w:r w:rsidRPr="00315A12">
        <w:rPr>
          <w:lang w:eastAsia="bg-BG"/>
        </w:rPr>
        <w:t xml:space="preserve">(забавяне на интравентрикуларната проводимост) също е наблюдавано при пациенти с предозиране. Разширяване на </w:t>
      </w:r>
      <w:r w:rsidRPr="00315A12">
        <w:rPr>
          <w:lang w:val="en-US"/>
        </w:rPr>
        <w:t>QRS</w:t>
      </w:r>
      <w:r w:rsidRPr="00315A12">
        <w:rPr>
          <w:lang w:val="ru-RU"/>
        </w:rPr>
        <w:t xml:space="preserve"> </w:t>
      </w:r>
      <w:r w:rsidRPr="00315A12">
        <w:rPr>
          <w:lang w:eastAsia="bg-BG"/>
        </w:rPr>
        <w:t xml:space="preserve">продължителността до повече от 100 </w:t>
      </w:r>
      <w:r w:rsidRPr="00315A12">
        <w:rPr>
          <w:lang w:val="en-US"/>
        </w:rPr>
        <w:t>msec</w:t>
      </w:r>
      <w:r w:rsidRPr="00315A12">
        <w:rPr>
          <w:lang w:val="ru-RU"/>
        </w:rPr>
        <w:t xml:space="preserve"> </w:t>
      </w:r>
      <w:r w:rsidRPr="00315A12">
        <w:rPr>
          <w:lang w:eastAsia="bg-BG"/>
        </w:rPr>
        <w:t>може да се свърже с по-тежка токсичност.</w:t>
      </w:r>
    </w:p>
    <w:p w14:paraId="49A64EB3" w14:textId="77777777" w:rsidR="00315A12" w:rsidRDefault="00315A12" w:rsidP="00315A12">
      <w:pPr>
        <w:rPr>
          <w:lang w:eastAsia="bg-BG"/>
        </w:rPr>
      </w:pPr>
    </w:p>
    <w:p w14:paraId="5FE440C7" w14:textId="5E17946F" w:rsidR="00315A12" w:rsidRPr="00315A12" w:rsidRDefault="00315A12" w:rsidP="00315A12">
      <w:pPr>
        <w:pStyle w:val="Heading3"/>
        <w:rPr>
          <w:rFonts w:eastAsia="Times New Roman"/>
          <w:u w:val="single"/>
        </w:rPr>
      </w:pPr>
      <w:r w:rsidRPr="00315A12">
        <w:rPr>
          <w:rFonts w:eastAsia="Times New Roman"/>
          <w:u w:val="single"/>
          <w:lang w:eastAsia="bg-BG"/>
        </w:rPr>
        <w:t>Лечение</w:t>
      </w:r>
    </w:p>
    <w:p w14:paraId="296E2EA4" w14:textId="77777777" w:rsidR="00315A12" w:rsidRDefault="00315A12" w:rsidP="00315A12">
      <w:pPr>
        <w:rPr>
          <w:lang w:eastAsia="bg-BG"/>
        </w:rPr>
      </w:pPr>
    </w:p>
    <w:p w14:paraId="63359923" w14:textId="476EE7BD" w:rsidR="00315A12" w:rsidRDefault="00315A12" w:rsidP="00315A12">
      <w:pPr>
        <w:rPr>
          <w:lang w:eastAsia="bg-BG"/>
        </w:rPr>
      </w:pPr>
      <w:r w:rsidRPr="00315A12">
        <w:rPr>
          <w:lang w:eastAsia="bg-BG"/>
        </w:rPr>
        <w:t>При предозиране пациентът трябва да постъпи в болнично заведение и да бъде подложен на адекватно лечение. При необходимост трябва да бъде направено лечение насочено към намаляване на резорбцията (активен въглен). По-нататъшното поведение трябва да бъде както е клинично показано. Няма опит с хемодиализата в лечението на предозирането. При шест доброволци с бъбречна недостатъчност, 20% от ламотригина са били отстранени от организма по време на 4-часовата хемодиализна сесия (вж. точка 5.2).</w:t>
      </w:r>
    </w:p>
    <w:p w14:paraId="04BD2152" w14:textId="77777777" w:rsidR="00315A12" w:rsidRPr="00315A12" w:rsidRDefault="00315A12" w:rsidP="00315A12"/>
    <w:p w14:paraId="02081B24" w14:textId="1F46E296" w:rsidR="00395555" w:rsidRPr="00395555" w:rsidRDefault="002C50EE" w:rsidP="008A6AF2">
      <w:pPr>
        <w:pStyle w:val="Heading1"/>
      </w:pPr>
      <w:r>
        <w:t>5. ФАРМАКОЛОГИЧНИ СВОЙСТВА</w:t>
      </w:r>
    </w:p>
    <w:p w14:paraId="5350637D" w14:textId="66B3EA3A" w:rsidR="00395555" w:rsidRDefault="002C50EE" w:rsidP="008A6AF2">
      <w:pPr>
        <w:pStyle w:val="Heading2"/>
      </w:pPr>
      <w:r>
        <w:t>5.1. Фармакодинамични свойства</w:t>
      </w:r>
    </w:p>
    <w:p w14:paraId="1F2DB00E" w14:textId="36C7BBAA" w:rsidR="00315A12" w:rsidRDefault="00315A12" w:rsidP="00315A12"/>
    <w:p w14:paraId="6E0D8FA0" w14:textId="77777777" w:rsidR="00315A12" w:rsidRPr="00315A12" w:rsidRDefault="00315A12" w:rsidP="00315A12">
      <w:pPr>
        <w:spacing w:line="240" w:lineRule="auto"/>
        <w:rPr>
          <w:rFonts w:eastAsia="Times New Roman" w:cs="Arial"/>
          <w:sz w:val="24"/>
          <w:szCs w:val="24"/>
        </w:rPr>
      </w:pPr>
      <w:r w:rsidRPr="00315A12">
        <w:rPr>
          <w:rFonts w:eastAsia="Times New Roman" w:cs="Arial"/>
          <w:color w:val="000000"/>
          <w:lang w:eastAsia="bg-BG"/>
        </w:rPr>
        <w:t xml:space="preserve">Фармакотерапевтична група: други антиепилептични лекарства, АТС код: </w:t>
      </w:r>
      <w:r w:rsidRPr="00315A12">
        <w:rPr>
          <w:rFonts w:eastAsia="Times New Roman" w:cs="Arial"/>
          <w:color w:val="000000"/>
          <w:lang w:val="en-US"/>
        </w:rPr>
        <w:t>NO</w:t>
      </w:r>
      <w:r w:rsidRPr="00315A12">
        <w:rPr>
          <w:rFonts w:eastAsia="Times New Roman" w:cs="Arial"/>
          <w:color w:val="000000"/>
          <w:lang w:val="ru-RU"/>
        </w:rPr>
        <w:t>3</w:t>
      </w:r>
      <w:r w:rsidRPr="00315A12">
        <w:rPr>
          <w:rFonts w:eastAsia="Times New Roman" w:cs="Arial"/>
          <w:color w:val="000000"/>
          <w:lang w:val="en-US"/>
        </w:rPr>
        <w:t>AXO</w:t>
      </w:r>
      <w:r w:rsidRPr="00315A12">
        <w:rPr>
          <w:rFonts w:eastAsia="Times New Roman" w:cs="Arial"/>
          <w:color w:val="000000"/>
          <w:lang w:val="ru-RU"/>
        </w:rPr>
        <w:t>9.</w:t>
      </w:r>
    </w:p>
    <w:p w14:paraId="458BBE4C" w14:textId="77777777" w:rsidR="00315A12" w:rsidRPr="00315A12" w:rsidRDefault="00315A12" w:rsidP="00315A12">
      <w:pPr>
        <w:spacing w:line="240" w:lineRule="auto"/>
        <w:rPr>
          <w:rFonts w:eastAsia="Times New Roman" w:cs="Arial"/>
          <w:color w:val="000000"/>
          <w:u w:val="single"/>
          <w:lang w:eastAsia="bg-BG"/>
        </w:rPr>
      </w:pPr>
    </w:p>
    <w:p w14:paraId="194BE7A3" w14:textId="75D3485B" w:rsidR="00315A12" w:rsidRPr="00315A12" w:rsidRDefault="00315A12" w:rsidP="00315A12">
      <w:pPr>
        <w:spacing w:line="240" w:lineRule="auto"/>
        <w:rPr>
          <w:rFonts w:eastAsia="Times New Roman" w:cs="Arial"/>
          <w:sz w:val="24"/>
          <w:szCs w:val="24"/>
        </w:rPr>
      </w:pPr>
      <w:r w:rsidRPr="00315A12">
        <w:rPr>
          <w:rFonts w:eastAsia="Times New Roman" w:cs="Arial"/>
          <w:color w:val="000000"/>
          <w:u w:val="single"/>
          <w:lang w:eastAsia="bg-BG"/>
        </w:rPr>
        <w:t>Механизъм на действие</w:t>
      </w:r>
    </w:p>
    <w:p w14:paraId="1614CC24" w14:textId="77777777" w:rsidR="00315A12" w:rsidRPr="00315A12" w:rsidRDefault="00315A12" w:rsidP="00315A12">
      <w:pPr>
        <w:spacing w:line="240" w:lineRule="auto"/>
        <w:rPr>
          <w:rFonts w:eastAsia="Times New Roman" w:cs="Arial"/>
          <w:color w:val="000000"/>
          <w:lang w:eastAsia="bg-BG"/>
        </w:rPr>
      </w:pPr>
    </w:p>
    <w:p w14:paraId="10020B18" w14:textId="1D10518A" w:rsidR="00315A12" w:rsidRPr="00315A12" w:rsidRDefault="00315A12" w:rsidP="00315A12">
      <w:pPr>
        <w:spacing w:line="240" w:lineRule="auto"/>
        <w:rPr>
          <w:rFonts w:eastAsia="Times New Roman" w:cs="Arial"/>
          <w:sz w:val="24"/>
          <w:szCs w:val="24"/>
        </w:rPr>
      </w:pPr>
      <w:r w:rsidRPr="00315A12">
        <w:rPr>
          <w:rFonts w:eastAsia="Times New Roman" w:cs="Arial"/>
          <w:color w:val="000000"/>
          <w:lang w:eastAsia="bg-BG"/>
        </w:rPr>
        <w:t>Резултатите от фармакологичните проучвания показват, че ламотригин е употреба- и волтаж- зависим блокер на волтаж-активираните натриеви канали. Той инхибира продължителното повтарящо се възбуждение на невроните и потиска освобождаването на глутамат (невротрансмитер, който има ключова роля в генерирането на епилептичните гърчове). Тези ефекти вероятно допринасят за свойствата на ламотригин като антиконвулсант.</w:t>
      </w:r>
    </w:p>
    <w:p w14:paraId="6D35FCE1" w14:textId="77777777" w:rsidR="00315A12" w:rsidRPr="00315A12" w:rsidRDefault="00315A12" w:rsidP="00315A12">
      <w:pPr>
        <w:spacing w:line="240" w:lineRule="auto"/>
        <w:rPr>
          <w:rFonts w:eastAsia="Times New Roman" w:cs="Arial"/>
          <w:color w:val="000000"/>
          <w:lang w:eastAsia="bg-BG"/>
        </w:rPr>
      </w:pPr>
    </w:p>
    <w:p w14:paraId="39705802" w14:textId="33BCCDF5" w:rsidR="00315A12" w:rsidRPr="00315A12" w:rsidRDefault="00315A12" w:rsidP="00315A12">
      <w:pPr>
        <w:spacing w:line="240" w:lineRule="auto"/>
        <w:rPr>
          <w:rFonts w:eastAsia="Times New Roman" w:cs="Arial"/>
          <w:sz w:val="24"/>
          <w:szCs w:val="24"/>
        </w:rPr>
      </w:pPr>
      <w:r w:rsidRPr="00315A12">
        <w:rPr>
          <w:rFonts w:eastAsia="Times New Roman" w:cs="Arial"/>
          <w:color w:val="000000"/>
          <w:lang w:eastAsia="bg-BG"/>
        </w:rPr>
        <w:lastRenderedPageBreak/>
        <w:t>За разлика от това механизмите, по които ламотригин оказва терапевтичен ефект при биполярно разстройство не са установени, въпреки че се отдава значение на повлияването на волтаж-активираните натриеви канали.</w:t>
      </w:r>
    </w:p>
    <w:p w14:paraId="04044AF8" w14:textId="77777777" w:rsidR="00315A12" w:rsidRPr="00315A12" w:rsidRDefault="00315A12" w:rsidP="00315A12">
      <w:pPr>
        <w:spacing w:line="240" w:lineRule="auto"/>
        <w:rPr>
          <w:rFonts w:eastAsia="Times New Roman" w:cs="Arial"/>
          <w:color w:val="000000"/>
          <w:u w:val="single"/>
          <w:lang w:eastAsia="bg-BG"/>
        </w:rPr>
      </w:pPr>
    </w:p>
    <w:p w14:paraId="25ED18B9" w14:textId="36E82C9D" w:rsidR="00315A12" w:rsidRPr="00315A12" w:rsidRDefault="00315A12" w:rsidP="00315A12">
      <w:pPr>
        <w:spacing w:line="240" w:lineRule="auto"/>
        <w:rPr>
          <w:rFonts w:eastAsia="Times New Roman" w:cs="Arial"/>
          <w:sz w:val="24"/>
          <w:szCs w:val="24"/>
        </w:rPr>
      </w:pPr>
      <w:r w:rsidRPr="00315A12">
        <w:rPr>
          <w:rFonts w:eastAsia="Times New Roman" w:cs="Arial"/>
          <w:color w:val="000000"/>
          <w:u w:val="single"/>
          <w:lang w:eastAsia="bg-BG"/>
        </w:rPr>
        <w:t>Фармаколинамични ефекти</w:t>
      </w:r>
    </w:p>
    <w:p w14:paraId="05193076" w14:textId="77777777" w:rsidR="00315A12" w:rsidRPr="00315A12" w:rsidRDefault="00315A12" w:rsidP="00315A12">
      <w:pPr>
        <w:spacing w:line="240" w:lineRule="auto"/>
        <w:rPr>
          <w:rFonts w:eastAsia="Times New Roman" w:cs="Arial"/>
          <w:color w:val="000000"/>
          <w:lang w:eastAsia="bg-BG"/>
        </w:rPr>
      </w:pPr>
    </w:p>
    <w:p w14:paraId="13DA3C70" w14:textId="4B332B83" w:rsidR="00315A12" w:rsidRPr="00315A12" w:rsidRDefault="00315A12" w:rsidP="00315A12">
      <w:pPr>
        <w:spacing w:line="240" w:lineRule="auto"/>
        <w:rPr>
          <w:rFonts w:eastAsia="Times New Roman" w:cs="Arial"/>
          <w:sz w:val="24"/>
          <w:szCs w:val="24"/>
        </w:rPr>
      </w:pPr>
      <w:r w:rsidRPr="00315A12">
        <w:rPr>
          <w:rFonts w:eastAsia="Times New Roman" w:cs="Arial"/>
          <w:color w:val="000000"/>
          <w:lang w:eastAsia="bg-BG"/>
        </w:rPr>
        <w:t xml:space="preserve">При изследвания за оценка на ефекта на лекарствата върху централната нервна система установените ефекти от прилагане на 240 </w:t>
      </w:r>
      <w:r w:rsidRPr="00315A12">
        <w:rPr>
          <w:rFonts w:eastAsia="Times New Roman" w:cs="Arial"/>
          <w:color w:val="000000"/>
          <w:lang w:val="en-US"/>
        </w:rPr>
        <w:t>mg</w:t>
      </w:r>
      <w:r w:rsidRPr="00315A12">
        <w:rPr>
          <w:rFonts w:eastAsia="Times New Roman" w:cs="Arial"/>
          <w:color w:val="000000"/>
          <w:lang w:val="ru-RU"/>
        </w:rPr>
        <w:t xml:space="preserve"> </w:t>
      </w:r>
      <w:r w:rsidRPr="00315A12">
        <w:rPr>
          <w:rFonts w:eastAsia="Times New Roman" w:cs="Arial"/>
          <w:color w:val="000000"/>
          <w:lang w:eastAsia="bg-BG"/>
        </w:rPr>
        <w:t xml:space="preserve">ламотригин на здрави доброволци, са били подобни на тези за плацебо. От друга страна след прилагане на 1 000 </w:t>
      </w:r>
      <w:r w:rsidRPr="00315A12">
        <w:rPr>
          <w:rFonts w:eastAsia="Times New Roman" w:cs="Arial"/>
          <w:color w:val="000000"/>
          <w:lang w:val="en-US"/>
        </w:rPr>
        <w:t>mg</w:t>
      </w:r>
      <w:r w:rsidRPr="00315A12">
        <w:rPr>
          <w:rFonts w:eastAsia="Times New Roman" w:cs="Arial"/>
          <w:color w:val="000000"/>
          <w:lang w:val="ru-RU"/>
        </w:rPr>
        <w:t xml:space="preserve"> </w:t>
      </w:r>
      <w:r w:rsidRPr="00315A12">
        <w:rPr>
          <w:rFonts w:eastAsia="Times New Roman" w:cs="Arial"/>
          <w:color w:val="000000"/>
          <w:lang w:eastAsia="bg-BG"/>
        </w:rPr>
        <w:t xml:space="preserve">фенитоин или 10 </w:t>
      </w:r>
      <w:r w:rsidRPr="00315A12">
        <w:rPr>
          <w:rFonts w:eastAsia="Times New Roman" w:cs="Arial"/>
          <w:color w:val="000000"/>
          <w:lang w:val="en-US"/>
        </w:rPr>
        <w:t>mg</w:t>
      </w:r>
      <w:r w:rsidRPr="00315A12">
        <w:rPr>
          <w:rFonts w:eastAsia="Times New Roman" w:cs="Arial"/>
          <w:color w:val="000000"/>
          <w:lang w:val="ru-RU"/>
        </w:rPr>
        <w:t xml:space="preserve"> </w:t>
      </w:r>
      <w:r w:rsidRPr="00315A12">
        <w:rPr>
          <w:rFonts w:eastAsia="Times New Roman" w:cs="Arial"/>
          <w:color w:val="000000"/>
          <w:lang w:eastAsia="bg-BG"/>
        </w:rPr>
        <w:t>диазепам се установяват значително нарушаване на фината зрителна двигателна координация, движенията на очите, равновесието и субективни ефекти на седиране.</w:t>
      </w:r>
    </w:p>
    <w:p w14:paraId="54EC7AFC" w14:textId="77777777" w:rsidR="00315A12" w:rsidRPr="00315A12" w:rsidRDefault="00315A12" w:rsidP="00315A12">
      <w:pPr>
        <w:spacing w:line="240" w:lineRule="auto"/>
        <w:rPr>
          <w:rFonts w:eastAsia="Times New Roman" w:cs="Arial"/>
          <w:color w:val="000000"/>
          <w:lang w:eastAsia="bg-BG"/>
        </w:rPr>
      </w:pPr>
    </w:p>
    <w:p w14:paraId="364D5640" w14:textId="469ECB5D" w:rsidR="00315A12" w:rsidRPr="00315A12" w:rsidRDefault="00315A12" w:rsidP="00315A12">
      <w:pPr>
        <w:spacing w:line="240" w:lineRule="auto"/>
        <w:rPr>
          <w:rFonts w:eastAsia="Times New Roman" w:cs="Arial"/>
          <w:sz w:val="24"/>
          <w:szCs w:val="24"/>
        </w:rPr>
      </w:pPr>
      <w:r w:rsidRPr="00315A12">
        <w:rPr>
          <w:rFonts w:eastAsia="Times New Roman" w:cs="Arial"/>
          <w:color w:val="000000"/>
          <w:lang w:eastAsia="bg-BG"/>
        </w:rPr>
        <w:t xml:space="preserve">При друго изпитване след перорален прием на еднократна доза от 600 </w:t>
      </w:r>
      <w:r w:rsidRPr="00315A12">
        <w:rPr>
          <w:rFonts w:eastAsia="Times New Roman" w:cs="Arial"/>
          <w:color w:val="000000"/>
          <w:lang w:val="en-US"/>
        </w:rPr>
        <w:t>mg</w:t>
      </w:r>
      <w:r w:rsidRPr="00315A12">
        <w:rPr>
          <w:rFonts w:eastAsia="Times New Roman" w:cs="Arial"/>
          <w:color w:val="000000"/>
          <w:lang w:val="ru-RU"/>
        </w:rPr>
        <w:t xml:space="preserve"> </w:t>
      </w:r>
      <w:r w:rsidRPr="00315A12">
        <w:rPr>
          <w:rFonts w:eastAsia="Times New Roman" w:cs="Arial"/>
          <w:color w:val="000000"/>
          <w:lang w:eastAsia="bg-BG"/>
        </w:rPr>
        <w:t xml:space="preserve">карбамазепин се установява значително влошаване на фината зрителна двигателна координация, движенията на очите и равновесието и повишаване на сърдечната честота. От друга страна след прилагане на ламотригин в дози от 150 </w:t>
      </w:r>
      <w:r w:rsidRPr="00315A12">
        <w:rPr>
          <w:rFonts w:eastAsia="Times New Roman" w:cs="Arial"/>
          <w:color w:val="000000"/>
          <w:lang w:val="en-US"/>
        </w:rPr>
        <w:t>mg</w:t>
      </w:r>
      <w:r w:rsidRPr="00315A12">
        <w:rPr>
          <w:rFonts w:eastAsia="Times New Roman" w:cs="Arial"/>
          <w:color w:val="000000"/>
          <w:lang w:val="ru-RU"/>
        </w:rPr>
        <w:t xml:space="preserve"> </w:t>
      </w:r>
      <w:r w:rsidRPr="00315A12">
        <w:rPr>
          <w:rFonts w:eastAsia="Times New Roman" w:cs="Arial"/>
          <w:color w:val="000000"/>
          <w:lang w:eastAsia="bg-BG"/>
        </w:rPr>
        <w:t xml:space="preserve">и 300 </w:t>
      </w:r>
      <w:r w:rsidRPr="00315A12">
        <w:rPr>
          <w:rFonts w:eastAsia="Times New Roman" w:cs="Arial"/>
          <w:color w:val="000000"/>
          <w:lang w:val="en-US"/>
        </w:rPr>
        <w:t>mg</w:t>
      </w:r>
      <w:r w:rsidRPr="00315A12">
        <w:rPr>
          <w:rFonts w:eastAsia="Times New Roman" w:cs="Arial"/>
          <w:color w:val="000000"/>
          <w:lang w:val="ru-RU"/>
        </w:rPr>
        <w:t xml:space="preserve"> </w:t>
      </w:r>
      <w:r w:rsidRPr="00315A12">
        <w:rPr>
          <w:rFonts w:eastAsia="Times New Roman" w:cs="Arial"/>
          <w:color w:val="000000"/>
          <w:lang w:eastAsia="bg-BG"/>
        </w:rPr>
        <w:t>установените ефекти са подобни на тези при прием на плацебо.</w:t>
      </w:r>
    </w:p>
    <w:p w14:paraId="61FD1F18" w14:textId="77777777" w:rsidR="00315A12" w:rsidRPr="00315A12" w:rsidRDefault="00315A12" w:rsidP="00315A12">
      <w:pPr>
        <w:spacing w:line="240" w:lineRule="auto"/>
        <w:rPr>
          <w:rFonts w:eastAsia="Times New Roman" w:cs="Arial"/>
          <w:color w:val="000000"/>
          <w:u w:val="single"/>
          <w:lang w:eastAsia="bg-BG"/>
        </w:rPr>
      </w:pPr>
    </w:p>
    <w:p w14:paraId="4FF2AC9E" w14:textId="3264D99D" w:rsidR="00315A12" w:rsidRPr="00315A12" w:rsidRDefault="00315A12" w:rsidP="00315A12">
      <w:pPr>
        <w:spacing w:line="240" w:lineRule="auto"/>
        <w:rPr>
          <w:rFonts w:eastAsia="Times New Roman" w:cs="Arial"/>
          <w:sz w:val="24"/>
          <w:szCs w:val="24"/>
        </w:rPr>
      </w:pPr>
      <w:r w:rsidRPr="00315A12">
        <w:rPr>
          <w:rFonts w:eastAsia="Times New Roman" w:cs="Arial"/>
          <w:color w:val="000000"/>
          <w:u w:val="single"/>
          <w:lang w:eastAsia="bg-BG"/>
        </w:rPr>
        <w:t>Клинична ефикасност и безопасност при деца на възраст от 1 до 24 месеца</w:t>
      </w:r>
    </w:p>
    <w:p w14:paraId="4E0F1C2A" w14:textId="77777777" w:rsidR="00315A12" w:rsidRPr="00315A12" w:rsidRDefault="00315A12" w:rsidP="00315A12">
      <w:pPr>
        <w:spacing w:line="240" w:lineRule="auto"/>
        <w:rPr>
          <w:rFonts w:eastAsia="Times New Roman" w:cs="Arial"/>
          <w:color w:val="000000"/>
          <w:lang w:eastAsia="bg-BG"/>
        </w:rPr>
      </w:pPr>
    </w:p>
    <w:p w14:paraId="2BD4FB4C" w14:textId="0D27E1D3" w:rsidR="00315A12" w:rsidRPr="00315A12" w:rsidRDefault="00315A12" w:rsidP="00315A12">
      <w:pPr>
        <w:spacing w:line="240" w:lineRule="auto"/>
        <w:rPr>
          <w:rFonts w:eastAsia="Times New Roman" w:cs="Arial"/>
          <w:sz w:val="24"/>
          <w:szCs w:val="24"/>
        </w:rPr>
      </w:pPr>
      <w:r w:rsidRPr="00315A12">
        <w:rPr>
          <w:rFonts w:eastAsia="Times New Roman" w:cs="Arial"/>
          <w:color w:val="000000"/>
          <w:lang w:eastAsia="bg-BG"/>
        </w:rPr>
        <w:t xml:space="preserve">Ефикасността и безопасността при комбинирана терапия на парциални припадъци при пациенти на възраст от 1 до 24 месеца са оценени в едно малко, двойно-сляпо, плацебо- контролирано изпитване до отпадане. Лечението е инициирано при 177 лица по схема за титриране на дозата, подобна на тази при деца на възраст от 2 до 12 години. Ламотригин таблетки от 2 </w:t>
      </w:r>
      <w:r w:rsidRPr="00315A12">
        <w:rPr>
          <w:rFonts w:eastAsia="Times New Roman" w:cs="Arial"/>
          <w:color w:val="000000"/>
          <w:lang w:val="en-US"/>
        </w:rPr>
        <w:t>mg</w:t>
      </w:r>
      <w:r w:rsidRPr="00315A12">
        <w:rPr>
          <w:rFonts w:eastAsia="Times New Roman" w:cs="Arial"/>
          <w:color w:val="000000"/>
          <w:lang w:val="ru-RU"/>
        </w:rPr>
        <w:t xml:space="preserve"> </w:t>
      </w:r>
      <w:r w:rsidRPr="00315A12">
        <w:rPr>
          <w:rFonts w:eastAsia="Times New Roman" w:cs="Arial"/>
          <w:color w:val="000000"/>
          <w:lang w:eastAsia="bg-BG"/>
        </w:rPr>
        <w:t xml:space="preserve">са най-малкото налично количество на активното вещество в една таблетка и затова стандартната схема на дозиране е адаптирана в някои случаи по време на етапа на титрирането (например чрез прилагане на една таблетка от 2 </w:t>
      </w:r>
      <w:r w:rsidRPr="00315A12">
        <w:rPr>
          <w:rFonts w:eastAsia="Times New Roman" w:cs="Arial"/>
          <w:color w:val="000000"/>
          <w:lang w:val="en-US"/>
        </w:rPr>
        <w:t>mg</w:t>
      </w:r>
      <w:r w:rsidRPr="00315A12">
        <w:rPr>
          <w:rFonts w:eastAsia="Times New Roman" w:cs="Arial"/>
          <w:color w:val="000000"/>
          <w:lang w:val="ru-RU"/>
        </w:rPr>
        <w:t xml:space="preserve"> </w:t>
      </w:r>
      <w:r w:rsidRPr="00315A12">
        <w:rPr>
          <w:rFonts w:eastAsia="Times New Roman" w:cs="Arial"/>
          <w:color w:val="000000"/>
          <w:lang w:eastAsia="bg-BG"/>
        </w:rPr>
        <w:t xml:space="preserve">през ден, когато изчислената доза е по-малка от 2 </w:t>
      </w:r>
      <w:r w:rsidRPr="00315A12">
        <w:rPr>
          <w:rFonts w:eastAsia="Times New Roman" w:cs="Arial"/>
          <w:color w:val="000000"/>
          <w:lang w:val="en-US"/>
        </w:rPr>
        <w:t>mg</w:t>
      </w:r>
      <w:r w:rsidRPr="00315A12">
        <w:rPr>
          <w:rFonts w:eastAsia="Times New Roman" w:cs="Arial"/>
          <w:color w:val="000000"/>
          <w:lang w:val="ru-RU"/>
        </w:rPr>
        <w:t xml:space="preserve">). </w:t>
      </w:r>
      <w:r w:rsidRPr="00315A12">
        <w:rPr>
          <w:rFonts w:eastAsia="Times New Roman" w:cs="Arial"/>
          <w:color w:val="000000"/>
          <w:lang w:eastAsia="bg-BG"/>
        </w:rPr>
        <w:t>В края на 2-рата седмица от титрирането са измерени серумните нива и последващата доза е намалена или не е повишена, ако концентрацията надвишава 0,41 μ</w:t>
      </w:r>
      <w:r w:rsidRPr="00315A12">
        <w:rPr>
          <w:rFonts w:eastAsia="Times New Roman" w:cs="Arial"/>
          <w:color w:val="000000"/>
          <w:lang w:val="en-US"/>
        </w:rPr>
        <w:t>g</w:t>
      </w:r>
      <w:r w:rsidRPr="00315A12">
        <w:rPr>
          <w:rFonts w:eastAsia="Times New Roman" w:cs="Arial"/>
          <w:color w:val="000000"/>
          <w:lang w:val="ru-RU"/>
        </w:rPr>
        <w:t>/</w:t>
      </w:r>
      <w:r w:rsidRPr="00315A12">
        <w:rPr>
          <w:rFonts w:eastAsia="Times New Roman" w:cs="Arial"/>
          <w:color w:val="000000"/>
          <w:lang w:val="en-US"/>
        </w:rPr>
        <w:t>ml</w:t>
      </w:r>
      <w:r w:rsidRPr="00315A12">
        <w:rPr>
          <w:rFonts w:eastAsia="Times New Roman" w:cs="Arial"/>
          <w:color w:val="000000"/>
          <w:lang w:val="ru-RU"/>
        </w:rPr>
        <w:t xml:space="preserve">, </w:t>
      </w:r>
      <w:r w:rsidRPr="00315A12">
        <w:rPr>
          <w:rFonts w:eastAsia="Times New Roman" w:cs="Arial"/>
          <w:color w:val="000000"/>
          <w:lang w:eastAsia="bg-BG"/>
        </w:rPr>
        <w:t>очакваната концентрация при възрастни по това време. При някои пациенти в края на втората седмица се е наложило намаляване на дозата с до 90%. Тридесет и осем респондери (&gt;40% намаляване на честотата на припадъците) са рандомизирани на плацебо или да продължат на ламотригин. Процентът на лицата, при които терапията е неуспешна е 84% (16/19 лица) при плацебо-рамото и 58% (11/19 лица) при рамото на ламотригин. Разликата не е статистиче</w:t>
      </w:r>
      <w:r w:rsidRPr="00315A12">
        <w:rPr>
          <w:rFonts w:eastAsia="Times New Roman" w:cs="Arial"/>
          <w:color w:val="000000"/>
          <w:u w:val="single"/>
          <w:lang w:eastAsia="bg-BG"/>
        </w:rPr>
        <w:t xml:space="preserve">ски </w:t>
      </w:r>
      <w:r w:rsidRPr="00315A12">
        <w:rPr>
          <w:rFonts w:eastAsia="Times New Roman" w:cs="Arial"/>
          <w:color w:val="000000"/>
          <w:lang w:eastAsia="bg-BG"/>
        </w:rPr>
        <w:t>значима: 26,3%, С195%-2,6%о 50,2%, р=0,07.</w:t>
      </w:r>
    </w:p>
    <w:p w14:paraId="4DBAAA66" w14:textId="77777777" w:rsidR="00315A12" w:rsidRPr="00315A12" w:rsidRDefault="00315A12" w:rsidP="00315A12">
      <w:pPr>
        <w:rPr>
          <w:rFonts w:eastAsia="Times New Roman" w:cs="Arial"/>
          <w:color w:val="000000"/>
          <w:lang w:eastAsia="bg-BG"/>
        </w:rPr>
      </w:pPr>
    </w:p>
    <w:p w14:paraId="2777338A" w14:textId="204DC3C3" w:rsidR="00315A12" w:rsidRPr="00315A12" w:rsidRDefault="00315A12" w:rsidP="00315A12">
      <w:pPr>
        <w:rPr>
          <w:rFonts w:eastAsia="Times New Roman" w:cs="Arial"/>
          <w:color w:val="000000"/>
          <w:lang w:eastAsia="bg-BG"/>
        </w:rPr>
      </w:pPr>
      <w:r w:rsidRPr="00315A12">
        <w:rPr>
          <w:rFonts w:eastAsia="Times New Roman" w:cs="Arial"/>
          <w:color w:val="000000"/>
          <w:lang w:eastAsia="bg-BG"/>
        </w:rPr>
        <w:t xml:space="preserve">Общо 256 лица на възраст от 1 до 24 месеца са с експозиция на ламотригин в дозов интервал от 1 до 15 </w:t>
      </w:r>
      <w:r w:rsidRPr="00315A12">
        <w:rPr>
          <w:rFonts w:eastAsia="Times New Roman" w:cs="Arial"/>
          <w:color w:val="000000"/>
          <w:lang w:val="en-US"/>
        </w:rPr>
        <w:t>mg</w:t>
      </w:r>
      <w:r w:rsidRPr="00315A12">
        <w:rPr>
          <w:rFonts w:eastAsia="Times New Roman" w:cs="Arial"/>
          <w:color w:val="000000"/>
          <w:lang w:val="ru-RU"/>
        </w:rPr>
        <w:t>/</w:t>
      </w:r>
      <w:r w:rsidRPr="00315A12">
        <w:rPr>
          <w:rFonts w:eastAsia="Times New Roman" w:cs="Arial"/>
          <w:color w:val="000000"/>
          <w:lang w:val="en-US"/>
        </w:rPr>
        <w:t>kg</w:t>
      </w:r>
      <w:r w:rsidRPr="00315A12">
        <w:rPr>
          <w:rFonts w:eastAsia="Times New Roman" w:cs="Arial"/>
          <w:color w:val="000000"/>
          <w:lang w:eastAsia="bg-BG"/>
        </w:rPr>
        <w:t xml:space="preserve">/ден за до 72 седмици. Профилът на безопасност на ламотригин при деца на възраст от 1 месец до 2 години е подобен на този при по-големи деца, с изключение на това, че клинично значимо влошаване на припадъците (&gt;=50%) е докладвано по-често при деца на възраст под 2 години (26%) в сравнение с по-големите деца (14%). </w:t>
      </w:r>
    </w:p>
    <w:p w14:paraId="625BD286" w14:textId="77A851D7" w:rsidR="00315A12" w:rsidRPr="00315A12" w:rsidRDefault="00315A12" w:rsidP="00315A12">
      <w:pPr>
        <w:rPr>
          <w:rFonts w:eastAsia="Times New Roman" w:cs="Arial"/>
          <w:color w:val="000000"/>
          <w:lang w:eastAsia="bg-BG"/>
        </w:rPr>
      </w:pPr>
    </w:p>
    <w:p w14:paraId="7AC8526F" w14:textId="77777777" w:rsidR="00315A12" w:rsidRPr="00315A12" w:rsidRDefault="00315A12" w:rsidP="00315A12">
      <w:pPr>
        <w:spacing w:line="240" w:lineRule="auto"/>
        <w:rPr>
          <w:rFonts w:eastAsia="Times New Roman" w:cs="Arial"/>
          <w:sz w:val="24"/>
          <w:szCs w:val="24"/>
        </w:rPr>
      </w:pPr>
      <w:r w:rsidRPr="00315A12">
        <w:rPr>
          <w:rFonts w:eastAsia="Times New Roman" w:cs="Arial"/>
          <w:color w:val="000000"/>
          <w:u w:val="single"/>
          <w:lang w:eastAsia="bg-BG"/>
        </w:rPr>
        <w:t xml:space="preserve">Клинична ефикасност и безопасност при синдрома на </w:t>
      </w:r>
      <w:r w:rsidRPr="00315A12">
        <w:rPr>
          <w:rFonts w:eastAsia="Times New Roman" w:cs="Arial"/>
          <w:color w:val="000000"/>
          <w:u w:val="single"/>
          <w:lang w:val="en-US"/>
        </w:rPr>
        <w:t>Lennox</w:t>
      </w:r>
      <w:r w:rsidRPr="00315A12">
        <w:rPr>
          <w:rFonts w:eastAsia="Times New Roman" w:cs="Arial"/>
          <w:color w:val="000000"/>
          <w:u w:val="single"/>
          <w:lang w:val="ru-RU"/>
        </w:rPr>
        <w:t>-</w:t>
      </w:r>
      <w:r w:rsidRPr="00315A12">
        <w:rPr>
          <w:rFonts w:eastAsia="Times New Roman" w:cs="Arial"/>
          <w:color w:val="000000"/>
          <w:u w:val="single"/>
          <w:lang w:val="en-US"/>
        </w:rPr>
        <w:t>Gastaut</w:t>
      </w:r>
    </w:p>
    <w:p w14:paraId="6DFC94A5" w14:textId="77777777" w:rsidR="00315A12" w:rsidRPr="00315A12" w:rsidRDefault="00315A12" w:rsidP="00315A12">
      <w:pPr>
        <w:spacing w:line="240" w:lineRule="auto"/>
        <w:rPr>
          <w:rFonts w:eastAsia="Times New Roman" w:cs="Arial"/>
          <w:color w:val="000000"/>
          <w:lang w:eastAsia="bg-BG"/>
        </w:rPr>
      </w:pPr>
    </w:p>
    <w:p w14:paraId="720F5A51" w14:textId="794F304B" w:rsidR="00315A12" w:rsidRPr="00315A12" w:rsidRDefault="00315A12" w:rsidP="00315A12">
      <w:pPr>
        <w:spacing w:line="240" w:lineRule="auto"/>
        <w:rPr>
          <w:rFonts w:eastAsia="Times New Roman" w:cs="Arial"/>
          <w:sz w:val="24"/>
          <w:szCs w:val="24"/>
        </w:rPr>
      </w:pPr>
      <w:r w:rsidRPr="00315A12">
        <w:rPr>
          <w:rFonts w:eastAsia="Times New Roman" w:cs="Arial"/>
          <w:color w:val="000000"/>
          <w:lang w:eastAsia="bg-BG"/>
        </w:rPr>
        <w:t xml:space="preserve">Няма данни за монотерапия при припадъци, свързани със синдрома на </w:t>
      </w:r>
      <w:r w:rsidRPr="00315A12">
        <w:rPr>
          <w:rFonts w:eastAsia="Times New Roman" w:cs="Arial"/>
          <w:color w:val="000000"/>
          <w:lang w:val="en-US"/>
        </w:rPr>
        <w:t>Lennox</w:t>
      </w:r>
      <w:r w:rsidRPr="00315A12">
        <w:rPr>
          <w:rFonts w:eastAsia="Times New Roman" w:cs="Arial"/>
          <w:color w:val="000000"/>
          <w:lang w:val="ru-RU"/>
        </w:rPr>
        <w:t>-</w:t>
      </w:r>
      <w:r w:rsidRPr="00315A12">
        <w:rPr>
          <w:rFonts w:eastAsia="Times New Roman" w:cs="Arial"/>
          <w:color w:val="000000"/>
          <w:lang w:val="en-US"/>
        </w:rPr>
        <w:t>Gastaut</w:t>
      </w:r>
      <w:r w:rsidRPr="00315A12">
        <w:rPr>
          <w:rFonts w:eastAsia="Times New Roman" w:cs="Arial"/>
          <w:color w:val="000000"/>
          <w:lang w:val="ru-RU"/>
        </w:rPr>
        <w:t>.</w:t>
      </w:r>
    </w:p>
    <w:p w14:paraId="6795CFBB" w14:textId="77777777" w:rsidR="00315A12" w:rsidRPr="00315A12" w:rsidRDefault="00315A12" w:rsidP="00315A12">
      <w:pPr>
        <w:spacing w:line="240" w:lineRule="auto"/>
        <w:rPr>
          <w:rFonts w:eastAsia="Times New Roman" w:cs="Arial"/>
          <w:color w:val="000000"/>
          <w:u w:val="single"/>
          <w:lang w:eastAsia="bg-BG"/>
        </w:rPr>
      </w:pPr>
    </w:p>
    <w:p w14:paraId="5208C824" w14:textId="1C258CC3" w:rsidR="00315A12" w:rsidRPr="00315A12" w:rsidRDefault="00315A12" w:rsidP="00315A12">
      <w:pPr>
        <w:spacing w:line="240" w:lineRule="auto"/>
        <w:rPr>
          <w:rFonts w:eastAsia="Times New Roman" w:cs="Arial"/>
          <w:sz w:val="24"/>
          <w:szCs w:val="24"/>
        </w:rPr>
      </w:pPr>
      <w:r w:rsidRPr="00315A12">
        <w:rPr>
          <w:rFonts w:eastAsia="Times New Roman" w:cs="Arial"/>
          <w:color w:val="000000"/>
          <w:u w:val="single"/>
          <w:lang w:eastAsia="bg-BG"/>
        </w:rPr>
        <w:t>Клинична ефикасност при превенция на епизоди на промяна на настроението при пациенти с биполярно разстройство:</w:t>
      </w:r>
    </w:p>
    <w:p w14:paraId="62B6DC12" w14:textId="77777777" w:rsidR="00315A12" w:rsidRPr="00315A12" w:rsidRDefault="00315A12" w:rsidP="00315A12">
      <w:pPr>
        <w:spacing w:line="240" w:lineRule="auto"/>
        <w:rPr>
          <w:rFonts w:eastAsia="Times New Roman" w:cs="Arial"/>
          <w:color w:val="000000"/>
          <w:lang w:eastAsia="bg-BG"/>
        </w:rPr>
      </w:pPr>
    </w:p>
    <w:p w14:paraId="35F2EA84" w14:textId="7F93C343" w:rsidR="00315A12" w:rsidRPr="00315A12" w:rsidRDefault="00315A12" w:rsidP="00315A12">
      <w:pPr>
        <w:spacing w:line="240" w:lineRule="auto"/>
        <w:rPr>
          <w:rFonts w:eastAsia="Times New Roman" w:cs="Arial"/>
          <w:sz w:val="24"/>
          <w:szCs w:val="24"/>
        </w:rPr>
      </w:pPr>
      <w:r w:rsidRPr="00315A12">
        <w:rPr>
          <w:rFonts w:eastAsia="Times New Roman" w:cs="Arial"/>
          <w:color w:val="000000"/>
          <w:lang w:eastAsia="bg-BG"/>
        </w:rPr>
        <w:t>Две изпитвания оценяват ефикасността на ламотригин при превенция на епизоди на промяна на настроението при пациенти с биполярно I разстройство.</w:t>
      </w:r>
    </w:p>
    <w:p w14:paraId="1E535FED" w14:textId="77777777" w:rsidR="00315A12" w:rsidRPr="00315A12" w:rsidRDefault="00315A12" w:rsidP="00315A12">
      <w:pPr>
        <w:spacing w:line="240" w:lineRule="auto"/>
        <w:rPr>
          <w:rFonts w:eastAsia="Times New Roman" w:cs="Arial"/>
          <w:color w:val="000000"/>
          <w:lang w:eastAsia="bg-BG"/>
        </w:rPr>
      </w:pPr>
    </w:p>
    <w:p w14:paraId="431B90D6" w14:textId="13903524" w:rsidR="00315A12" w:rsidRPr="00315A12" w:rsidRDefault="00315A12" w:rsidP="00315A12">
      <w:pPr>
        <w:spacing w:line="240" w:lineRule="auto"/>
        <w:rPr>
          <w:rFonts w:eastAsia="Times New Roman" w:cs="Arial"/>
          <w:sz w:val="24"/>
          <w:szCs w:val="24"/>
        </w:rPr>
      </w:pPr>
      <w:r w:rsidRPr="00315A12">
        <w:rPr>
          <w:rFonts w:eastAsia="Times New Roman" w:cs="Arial"/>
          <w:color w:val="000000"/>
          <w:lang w:eastAsia="bg-BG"/>
        </w:rPr>
        <w:t xml:space="preserve">Проучването </w:t>
      </w:r>
      <w:r w:rsidRPr="00315A12">
        <w:rPr>
          <w:rFonts w:eastAsia="Times New Roman" w:cs="Arial"/>
          <w:color w:val="000000"/>
          <w:lang w:val="en-US"/>
        </w:rPr>
        <w:t>SCAB</w:t>
      </w:r>
      <w:r w:rsidRPr="00315A12">
        <w:rPr>
          <w:rFonts w:eastAsia="Times New Roman" w:cs="Arial"/>
          <w:color w:val="000000"/>
          <w:lang w:val="ru-RU"/>
        </w:rPr>
        <w:t xml:space="preserve">2003 </w:t>
      </w:r>
      <w:r w:rsidRPr="00315A12">
        <w:rPr>
          <w:rFonts w:eastAsia="Times New Roman" w:cs="Arial"/>
          <w:color w:val="000000"/>
          <w:lang w:eastAsia="bg-BG"/>
        </w:rPr>
        <w:t xml:space="preserve">е мултицентрово, двойно-сляпо, двойно-заслепено, плацебо и литий- контролирано, рандомизирано, с фиксирана доза за оценка на дългосрочната превенция на релапс и повторна поява на депресия и/или мания при пациенти с биполярно I разстройство, които наскоро или в момента на изпитването са били в голям депресивен епизод. След стабилизиране с монотерапия с ламотригин или с комбинирана терапия, пациентите са били рандомизирани в една от петте групи на лечение: ламотригин (50,200,400 </w:t>
      </w:r>
      <w:r w:rsidRPr="00315A12">
        <w:rPr>
          <w:rFonts w:eastAsia="Times New Roman" w:cs="Arial"/>
          <w:color w:val="000000"/>
          <w:lang w:val="en-US"/>
        </w:rPr>
        <w:t>mg</w:t>
      </w:r>
      <w:r w:rsidRPr="00315A12">
        <w:rPr>
          <w:rFonts w:eastAsia="Times New Roman" w:cs="Arial"/>
          <w:color w:val="000000"/>
          <w:lang w:val="ru-RU"/>
        </w:rPr>
        <w:t xml:space="preserve"> </w:t>
      </w:r>
      <w:r w:rsidRPr="00315A12">
        <w:rPr>
          <w:rFonts w:eastAsia="Times New Roman" w:cs="Arial"/>
          <w:color w:val="000000"/>
          <w:lang w:eastAsia="bg-BG"/>
        </w:rPr>
        <w:t xml:space="preserve">на ден), литий (серумни нива от 0,8 до 1,1 </w:t>
      </w:r>
      <w:r w:rsidRPr="00315A12">
        <w:rPr>
          <w:rFonts w:eastAsia="Times New Roman" w:cs="Arial"/>
          <w:color w:val="000000"/>
          <w:lang w:val="en-US"/>
        </w:rPr>
        <w:t>mMol</w:t>
      </w:r>
      <w:r w:rsidRPr="00315A12">
        <w:rPr>
          <w:rFonts w:eastAsia="Times New Roman" w:cs="Arial"/>
          <w:color w:val="000000"/>
          <w:lang w:val="ru-RU"/>
        </w:rPr>
        <w:t xml:space="preserve">/1) </w:t>
      </w:r>
      <w:r w:rsidRPr="00315A12">
        <w:rPr>
          <w:rFonts w:eastAsia="Times New Roman" w:cs="Arial"/>
          <w:color w:val="000000"/>
          <w:lang w:eastAsia="bg-BG"/>
        </w:rPr>
        <w:t xml:space="preserve">или плацебо за максимум 76 седмици (18 месеца). Първичната крайна точка е била "Време до намеса при епизод на промяна на настроението </w:t>
      </w:r>
      <w:r w:rsidRPr="00315A12">
        <w:rPr>
          <w:rFonts w:eastAsia="Times New Roman" w:cs="Arial"/>
          <w:color w:val="000000"/>
          <w:lang w:val="ru-RU"/>
        </w:rPr>
        <w:t>(</w:t>
      </w:r>
      <w:r w:rsidRPr="00315A12">
        <w:rPr>
          <w:rFonts w:eastAsia="Times New Roman" w:cs="Arial"/>
          <w:color w:val="000000"/>
          <w:lang w:val="en-US"/>
        </w:rPr>
        <w:t>TIME</w:t>
      </w:r>
      <w:r w:rsidRPr="00315A12">
        <w:rPr>
          <w:rFonts w:eastAsia="Times New Roman" w:cs="Arial"/>
          <w:color w:val="000000"/>
          <w:lang w:val="ru-RU"/>
        </w:rPr>
        <w:t xml:space="preserve">)", </w:t>
      </w:r>
      <w:r w:rsidRPr="00315A12">
        <w:rPr>
          <w:rFonts w:eastAsia="Times New Roman" w:cs="Arial"/>
          <w:color w:val="000000"/>
          <w:lang w:eastAsia="bg-BG"/>
        </w:rPr>
        <w:t xml:space="preserve">където намесите са допълнителна лекарствена терапия или електроконвулсивна терапия (ЕКТ). Проучването </w:t>
      </w:r>
      <w:r w:rsidRPr="00315A12">
        <w:rPr>
          <w:rFonts w:eastAsia="Times New Roman" w:cs="Arial"/>
          <w:color w:val="000000"/>
          <w:lang w:val="en-US"/>
        </w:rPr>
        <w:t>SCAB</w:t>
      </w:r>
      <w:r w:rsidRPr="00315A12">
        <w:rPr>
          <w:rFonts w:eastAsia="Times New Roman" w:cs="Arial"/>
          <w:color w:val="000000"/>
          <w:lang w:val="ru-RU"/>
        </w:rPr>
        <w:t xml:space="preserve">2006 </w:t>
      </w:r>
      <w:r w:rsidRPr="00315A12">
        <w:rPr>
          <w:rFonts w:eastAsia="Times New Roman" w:cs="Arial"/>
          <w:color w:val="000000"/>
          <w:lang w:eastAsia="bg-BG"/>
        </w:rPr>
        <w:t xml:space="preserve">е било с подобен дизайн като проучването </w:t>
      </w:r>
      <w:r w:rsidRPr="00315A12">
        <w:rPr>
          <w:rFonts w:eastAsia="Times New Roman" w:cs="Arial"/>
          <w:color w:val="000000"/>
          <w:lang w:val="en-US"/>
        </w:rPr>
        <w:t>SCAB</w:t>
      </w:r>
      <w:r w:rsidRPr="00315A12">
        <w:rPr>
          <w:rFonts w:eastAsia="Times New Roman" w:cs="Arial"/>
          <w:color w:val="000000"/>
          <w:lang w:val="ru-RU"/>
        </w:rPr>
        <w:t xml:space="preserve">2003, </w:t>
      </w:r>
      <w:r w:rsidRPr="00315A12">
        <w:rPr>
          <w:rFonts w:eastAsia="Times New Roman" w:cs="Arial"/>
          <w:color w:val="000000"/>
          <w:lang w:eastAsia="bg-BG"/>
        </w:rPr>
        <w:t xml:space="preserve">но се различава от </w:t>
      </w:r>
      <w:r w:rsidRPr="00315A12">
        <w:rPr>
          <w:rFonts w:eastAsia="Times New Roman" w:cs="Arial"/>
          <w:color w:val="000000"/>
          <w:lang w:val="en-US"/>
        </w:rPr>
        <w:t>SCAB</w:t>
      </w:r>
      <w:r w:rsidRPr="00315A12">
        <w:rPr>
          <w:rFonts w:eastAsia="Times New Roman" w:cs="Arial"/>
          <w:color w:val="000000"/>
          <w:lang w:val="ru-RU"/>
        </w:rPr>
        <w:t xml:space="preserve">2003 </w:t>
      </w:r>
      <w:r w:rsidRPr="00315A12">
        <w:rPr>
          <w:rFonts w:eastAsia="Times New Roman" w:cs="Arial"/>
          <w:color w:val="000000"/>
          <w:lang w:eastAsia="bg-BG"/>
        </w:rPr>
        <w:t xml:space="preserve">по оценката на флексибилна доза ламотригин (100 до 400 </w:t>
      </w:r>
      <w:r w:rsidRPr="00315A12">
        <w:rPr>
          <w:rFonts w:eastAsia="Times New Roman" w:cs="Arial"/>
          <w:color w:val="000000"/>
          <w:lang w:val="en-US"/>
        </w:rPr>
        <w:t>mg</w:t>
      </w:r>
      <w:r w:rsidRPr="00315A12">
        <w:rPr>
          <w:rFonts w:eastAsia="Times New Roman" w:cs="Arial"/>
          <w:color w:val="000000"/>
          <w:lang w:eastAsia="bg-BG"/>
        </w:rPr>
        <w:t>/ден) и включва пациенти с биполярно I разстройство, които са имали наскоро или в момента са в маниен епизод. Резултатите са представени в Таблица 7.</w:t>
      </w:r>
    </w:p>
    <w:p w14:paraId="0F58AC48" w14:textId="0DDF7142" w:rsidR="00315A12" w:rsidRPr="00315A12" w:rsidRDefault="00315A12" w:rsidP="00315A12">
      <w:pPr>
        <w:rPr>
          <w:rFonts w:cs="Arial"/>
        </w:rPr>
      </w:pPr>
    </w:p>
    <w:p w14:paraId="5008B96E" w14:textId="053E14CD" w:rsidR="00315A12" w:rsidRDefault="00315A12" w:rsidP="00315A12">
      <w:pPr>
        <w:rPr>
          <w:rFonts w:cs="Arial"/>
          <w:i/>
          <w:iCs/>
          <w:u w:val="single"/>
        </w:rPr>
      </w:pPr>
      <w:r w:rsidRPr="00315A12">
        <w:rPr>
          <w:rFonts w:cs="Arial"/>
          <w:i/>
          <w:iCs/>
          <w:u w:val="single"/>
        </w:rPr>
        <w:t>Таблица 7: Резюме на резултатите от пручванията, изследващи ефикасността на ламотригин при превенцията на епизоди на промяна на настроението при пациенти с биполярно Iразстройство</w:t>
      </w:r>
    </w:p>
    <w:tbl>
      <w:tblPr>
        <w:tblStyle w:val="TableGrid"/>
        <w:tblW w:w="0" w:type="auto"/>
        <w:tblLook w:val="04A0" w:firstRow="1" w:lastRow="0" w:firstColumn="1" w:lastColumn="0" w:noHBand="0" w:noVBand="1"/>
      </w:tblPr>
      <w:tblGrid>
        <w:gridCol w:w="1860"/>
        <w:gridCol w:w="1427"/>
        <w:gridCol w:w="1081"/>
        <w:gridCol w:w="1237"/>
        <w:gridCol w:w="1427"/>
        <w:gridCol w:w="1081"/>
        <w:gridCol w:w="1237"/>
      </w:tblGrid>
      <w:tr w:rsidR="00315A12" w14:paraId="7FF1FA87" w14:textId="77777777" w:rsidTr="007D1BC0">
        <w:tc>
          <w:tcPr>
            <w:tcW w:w="9576" w:type="dxa"/>
            <w:gridSpan w:val="7"/>
          </w:tcPr>
          <w:p w14:paraId="1A7B1C1B" w14:textId="139D14E0" w:rsidR="00315A12" w:rsidRPr="00315A12" w:rsidRDefault="00315A12" w:rsidP="00315A12">
            <w:pPr>
              <w:spacing w:line="240" w:lineRule="auto"/>
              <w:jc w:val="center"/>
              <w:rPr>
                <w:rFonts w:eastAsia="Times New Roman" w:cs="Arial"/>
                <w:b/>
                <w:sz w:val="24"/>
                <w:szCs w:val="24"/>
              </w:rPr>
            </w:pPr>
            <w:r w:rsidRPr="00315A12">
              <w:rPr>
                <w:rFonts w:eastAsia="Times New Roman" w:cs="Arial"/>
                <w:b/>
                <w:bCs/>
                <w:color w:val="000000"/>
                <w:lang w:eastAsia="bg-BG"/>
              </w:rPr>
              <w:t>‘Дял‘ на пациентите без събитие на седмица 76</w:t>
            </w:r>
          </w:p>
        </w:tc>
      </w:tr>
      <w:tr w:rsidR="00315A12" w14:paraId="04C74F78" w14:textId="77777777" w:rsidTr="0091076B">
        <w:tc>
          <w:tcPr>
            <w:tcW w:w="1860" w:type="dxa"/>
          </w:tcPr>
          <w:p w14:paraId="012516E1" w14:textId="77777777" w:rsidR="00315A12" w:rsidRDefault="00315A12" w:rsidP="00315A12">
            <w:pPr>
              <w:rPr>
                <w:rFonts w:cs="Arial"/>
              </w:rPr>
            </w:pPr>
          </w:p>
        </w:tc>
        <w:tc>
          <w:tcPr>
            <w:tcW w:w="3858" w:type="dxa"/>
            <w:gridSpan w:val="3"/>
          </w:tcPr>
          <w:p w14:paraId="4C1E3855" w14:textId="7B4888D7" w:rsidR="00315A12" w:rsidRDefault="00315A12" w:rsidP="00315A12">
            <w:pPr>
              <w:rPr>
                <w:rFonts w:cs="Arial"/>
              </w:rPr>
            </w:pPr>
            <w:r>
              <w:rPr>
                <w:b/>
                <w:bCs/>
              </w:rPr>
              <w:t xml:space="preserve">Проучване </w:t>
            </w:r>
            <w:r>
              <w:rPr>
                <w:b/>
                <w:bCs/>
                <w:lang w:val="en-US"/>
              </w:rPr>
              <w:t xml:space="preserve">SCAB2003 </w:t>
            </w:r>
            <w:r>
              <w:rPr>
                <w:b/>
                <w:bCs/>
              </w:rPr>
              <w:t>Биполярно I</w:t>
            </w:r>
          </w:p>
        </w:tc>
        <w:tc>
          <w:tcPr>
            <w:tcW w:w="3858" w:type="dxa"/>
            <w:gridSpan w:val="3"/>
          </w:tcPr>
          <w:p w14:paraId="1F4DBFE4" w14:textId="397C940D" w:rsidR="00315A12" w:rsidRDefault="00315A12" w:rsidP="00315A12">
            <w:pPr>
              <w:rPr>
                <w:rFonts w:cs="Arial"/>
              </w:rPr>
            </w:pPr>
            <w:r>
              <w:rPr>
                <w:b/>
                <w:bCs/>
              </w:rPr>
              <w:t xml:space="preserve">Проучване </w:t>
            </w:r>
            <w:r>
              <w:rPr>
                <w:b/>
                <w:bCs/>
                <w:lang w:val="en-US"/>
              </w:rPr>
              <w:t xml:space="preserve">SCAB2006 </w:t>
            </w:r>
            <w:r>
              <w:rPr>
                <w:b/>
                <w:bCs/>
              </w:rPr>
              <w:t>Биполярно I</w:t>
            </w:r>
          </w:p>
        </w:tc>
      </w:tr>
      <w:tr w:rsidR="00315A12" w14:paraId="41F4D416" w14:textId="77777777" w:rsidTr="0091076B">
        <w:tc>
          <w:tcPr>
            <w:tcW w:w="1860" w:type="dxa"/>
          </w:tcPr>
          <w:p w14:paraId="6D406690" w14:textId="5F85CB42" w:rsidR="00315A12" w:rsidRDefault="00315A12" w:rsidP="00315A12">
            <w:pPr>
              <w:rPr>
                <w:rFonts w:cs="Arial"/>
              </w:rPr>
            </w:pPr>
            <w:r>
              <w:t>Критерий за включване</w:t>
            </w:r>
          </w:p>
        </w:tc>
        <w:tc>
          <w:tcPr>
            <w:tcW w:w="3858" w:type="dxa"/>
            <w:gridSpan w:val="3"/>
          </w:tcPr>
          <w:p w14:paraId="37CBC1DC" w14:textId="2AD39C49" w:rsidR="00315A12" w:rsidRDefault="00315A12" w:rsidP="00315A12">
            <w:pPr>
              <w:rPr>
                <w:rFonts w:cs="Arial"/>
              </w:rPr>
            </w:pPr>
            <w:r>
              <w:t>Голям депресивен епизод</w:t>
            </w:r>
          </w:p>
        </w:tc>
        <w:tc>
          <w:tcPr>
            <w:tcW w:w="3858" w:type="dxa"/>
            <w:gridSpan w:val="3"/>
          </w:tcPr>
          <w:p w14:paraId="5843F402" w14:textId="131F7949" w:rsidR="00315A12" w:rsidRDefault="00315A12" w:rsidP="00315A12">
            <w:pPr>
              <w:rPr>
                <w:rFonts w:cs="Arial"/>
              </w:rPr>
            </w:pPr>
            <w:r>
              <w:t>Голям маниен епизод</w:t>
            </w:r>
          </w:p>
        </w:tc>
      </w:tr>
      <w:tr w:rsidR="0091076B" w14:paraId="71492A9A" w14:textId="77777777" w:rsidTr="0091076B">
        <w:tc>
          <w:tcPr>
            <w:tcW w:w="1860" w:type="dxa"/>
          </w:tcPr>
          <w:p w14:paraId="687914ED" w14:textId="77777777" w:rsidR="0091076B" w:rsidRDefault="0091076B" w:rsidP="0091076B">
            <w:pPr>
              <w:rPr>
                <w:rFonts w:cs="Arial"/>
              </w:rPr>
            </w:pPr>
          </w:p>
        </w:tc>
        <w:tc>
          <w:tcPr>
            <w:tcW w:w="1427" w:type="dxa"/>
          </w:tcPr>
          <w:p w14:paraId="0824A623" w14:textId="32A9E59C" w:rsidR="0091076B" w:rsidRDefault="0091076B" w:rsidP="0091076B">
            <w:pPr>
              <w:rPr>
                <w:rFonts w:cs="Arial"/>
              </w:rPr>
            </w:pPr>
            <w:r>
              <w:t>Ламотригин</w:t>
            </w:r>
          </w:p>
        </w:tc>
        <w:tc>
          <w:tcPr>
            <w:tcW w:w="1159" w:type="dxa"/>
          </w:tcPr>
          <w:p w14:paraId="01063E9F" w14:textId="3ADA5914" w:rsidR="0091076B" w:rsidRDefault="0091076B" w:rsidP="0091076B">
            <w:pPr>
              <w:rPr>
                <w:rFonts w:cs="Arial"/>
              </w:rPr>
            </w:pPr>
            <w:r>
              <w:t>Литий</w:t>
            </w:r>
          </w:p>
        </w:tc>
        <w:tc>
          <w:tcPr>
            <w:tcW w:w="1272" w:type="dxa"/>
          </w:tcPr>
          <w:p w14:paraId="679D0C30" w14:textId="65983213" w:rsidR="0091076B" w:rsidRDefault="0091076B" w:rsidP="0091076B">
            <w:pPr>
              <w:rPr>
                <w:rFonts w:cs="Arial"/>
              </w:rPr>
            </w:pPr>
            <w:r>
              <w:t>Плацебо</w:t>
            </w:r>
          </w:p>
        </w:tc>
        <w:tc>
          <w:tcPr>
            <w:tcW w:w="1427" w:type="dxa"/>
          </w:tcPr>
          <w:p w14:paraId="0EE970A6" w14:textId="1AC5ECA1" w:rsidR="0091076B" w:rsidRDefault="0091076B" w:rsidP="0091076B">
            <w:pPr>
              <w:rPr>
                <w:rFonts w:cs="Arial"/>
              </w:rPr>
            </w:pPr>
            <w:r>
              <w:t>Ламотригин</w:t>
            </w:r>
          </w:p>
        </w:tc>
        <w:tc>
          <w:tcPr>
            <w:tcW w:w="1159" w:type="dxa"/>
          </w:tcPr>
          <w:p w14:paraId="2C933BC4" w14:textId="36139B47" w:rsidR="0091076B" w:rsidRDefault="0091076B" w:rsidP="0091076B">
            <w:pPr>
              <w:rPr>
                <w:rFonts w:cs="Arial"/>
              </w:rPr>
            </w:pPr>
            <w:r>
              <w:t>Литий</w:t>
            </w:r>
          </w:p>
        </w:tc>
        <w:tc>
          <w:tcPr>
            <w:tcW w:w="1272" w:type="dxa"/>
          </w:tcPr>
          <w:p w14:paraId="27688F2B" w14:textId="2938D4E0" w:rsidR="0091076B" w:rsidRDefault="0091076B" w:rsidP="0091076B">
            <w:pPr>
              <w:rPr>
                <w:rFonts w:cs="Arial"/>
              </w:rPr>
            </w:pPr>
            <w:r>
              <w:t>Плацебо</w:t>
            </w:r>
          </w:p>
        </w:tc>
      </w:tr>
      <w:tr w:rsidR="0091076B" w14:paraId="3DBF7C5E" w14:textId="77777777" w:rsidTr="0091076B">
        <w:tc>
          <w:tcPr>
            <w:tcW w:w="1860" w:type="dxa"/>
          </w:tcPr>
          <w:p w14:paraId="1EF448D0" w14:textId="108FCCFC" w:rsidR="0091076B" w:rsidRDefault="0091076B" w:rsidP="0091076B">
            <w:pPr>
              <w:rPr>
                <w:rFonts w:cs="Arial"/>
              </w:rPr>
            </w:pPr>
            <w:r>
              <w:t>Без намеса</w:t>
            </w:r>
          </w:p>
        </w:tc>
        <w:tc>
          <w:tcPr>
            <w:tcW w:w="1427" w:type="dxa"/>
          </w:tcPr>
          <w:p w14:paraId="1C9A1893" w14:textId="77B79125" w:rsidR="0091076B" w:rsidRDefault="0091076B" w:rsidP="0091076B">
            <w:pPr>
              <w:rPr>
                <w:rFonts w:cs="Arial"/>
              </w:rPr>
            </w:pPr>
            <w:r>
              <w:t>0,22</w:t>
            </w:r>
          </w:p>
        </w:tc>
        <w:tc>
          <w:tcPr>
            <w:tcW w:w="1159" w:type="dxa"/>
          </w:tcPr>
          <w:p w14:paraId="5EAD7E0A" w14:textId="58484215" w:rsidR="0091076B" w:rsidRDefault="0091076B" w:rsidP="0091076B">
            <w:pPr>
              <w:rPr>
                <w:rFonts w:cs="Arial"/>
              </w:rPr>
            </w:pPr>
            <w:r>
              <w:t>0,21</w:t>
            </w:r>
          </w:p>
        </w:tc>
        <w:tc>
          <w:tcPr>
            <w:tcW w:w="1272" w:type="dxa"/>
          </w:tcPr>
          <w:p w14:paraId="40C94024" w14:textId="671C1364" w:rsidR="0091076B" w:rsidRDefault="0091076B" w:rsidP="0091076B">
            <w:pPr>
              <w:rPr>
                <w:rFonts w:cs="Arial"/>
              </w:rPr>
            </w:pPr>
            <w:r>
              <w:t>0,12</w:t>
            </w:r>
          </w:p>
        </w:tc>
        <w:tc>
          <w:tcPr>
            <w:tcW w:w="1427" w:type="dxa"/>
          </w:tcPr>
          <w:p w14:paraId="03AE7E3F" w14:textId="3B20D585" w:rsidR="0091076B" w:rsidRDefault="0091076B" w:rsidP="0091076B">
            <w:pPr>
              <w:rPr>
                <w:rFonts w:cs="Arial"/>
              </w:rPr>
            </w:pPr>
            <w:r>
              <w:t>0,17</w:t>
            </w:r>
          </w:p>
        </w:tc>
        <w:tc>
          <w:tcPr>
            <w:tcW w:w="1159" w:type="dxa"/>
          </w:tcPr>
          <w:p w14:paraId="582DF035" w14:textId="75AC2242" w:rsidR="0091076B" w:rsidRDefault="0091076B" w:rsidP="0091076B">
            <w:pPr>
              <w:rPr>
                <w:rFonts w:cs="Arial"/>
              </w:rPr>
            </w:pPr>
            <w:r>
              <w:t>0,24</w:t>
            </w:r>
          </w:p>
        </w:tc>
        <w:tc>
          <w:tcPr>
            <w:tcW w:w="1272" w:type="dxa"/>
          </w:tcPr>
          <w:p w14:paraId="7564F95E" w14:textId="67AB4119" w:rsidR="0091076B" w:rsidRDefault="0091076B" w:rsidP="0091076B">
            <w:pPr>
              <w:rPr>
                <w:rFonts w:cs="Arial"/>
              </w:rPr>
            </w:pPr>
            <w:r>
              <w:t>0,04</w:t>
            </w:r>
          </w:p>
        </w:tc>
      </w:tr>
      <w:tr w:rsidR="0091076B" w14:paraId="7AEE6D15" w14:textId="77777777" w:rsidTr="0091076B">
        <w:tc>
          <w:tcPr>
            <w:tcW w:w="1860" w:type="dxa"/>
          </w:tcPr>
          <w:p w14:paraId="7612E74E" w14:textId="2FED577D" w:rsidR="0091076B" w:rsidRDefault="0091076B" w:rsidP="0091076B">
            <w:pPr>
              <w:rPr>
                <w:rFonts w:cs="Arial"/>
              </w:rPr>
            </w:pPr>
            <w:r>
              <w:rPr>
                <w:lang w:val="en-US"/>
              </w:rPr>
              <w:t>p</w:t>
            </w:r>
            <w:r w:rsidRPr="0091076B">
              <w:t>-</w:t>
            </w:r>
            <w:r>
              <w:rPr>
                <w:lang w:val="en-US"/>
              </w:rPr>
              <w:t>value</w:t>
            </w:r>
            <w:r w:rsidRPr="0091076B">
              <w:t xml:space="preserve"> </w:t>
            </w:r>
            <w:r>
              <w:t xml:space="preserve">логаритмично трансформиран ренков тест </w:t>
            </w:r>
            <w:r w:rsidRPr="0091076B">
              <w:t>(</w:t>
            </w:r>
            <w:r>
              <w:rPr>
                <w:lang w:val="en-US"/>
              </w:rPr>
              <w:t>Log</w:t>
            </w:r>
            <w:r w:rsidRPr="0091076B">
              <w:t xml:space="preserve"> </w:t>
            </w:r>
            <w:r>
              <w:rPr>
                <w:lang w:val="en-US"/>
              </w:rPr>
              <w:t>rank</w:t>
            </w:r>
            <w:r w:rsidRPr="0091076B">
              <w:t xml:space="preserve"> </w:t>
            </w:r>
            <w:r>
              <w:rPr>
                <w:lang w:val="en-US"/>
              </w:rPr>
              <w:t>test</w:t>
            </w:r>
            <w:r w:rsidRPr="0091076B">
              <w:t>)</w:t>
            </w:r>
          </w:p>
        </w:tc>
        <w:tc>
          <w:tcPr>
            <w:tcW w:w="1427" w:type="dxa"/>
          </w:tcPr>
          <w:p w14:paraId="4E408E47" w14:textId="3F423678" w:rsidR="0091076B" w:rsidRDefault="0091076B" w:rsidP="0091076B">
            <w:pPr>
              <w:rPr>
                <w:rFonts w:cs="Arial"/>
              </w:rPr>
            </w:pPr>
            <w:r>
              <w:t>0,004</w:t>
            </w:r>
          </w:p>
        </w:tc>
        <w:tc>
          <w:tcPr>
            <w:tcW w:w="1159" w:type="dxa"/>
          </w:tcPr>
          <w:p w14:paraId="1D9F05D9" w14:textId="6A306E2F" w:rsidR="0091076B" w:rsidRDefault="0091076B" w:rsidP="0091076B">
            <w:pPr>
              <w:rPr>
                <w:rFonts w:cs="Arial"/>
              </w:rPr>
            </w:pPr>
            <w:r>
              <w:t>0,006</w:t>
            </w:r>
          </w:p>
        </w:tc>
        <w:tc>
          <w:tcPr>
            <w:tcW w:w="1272" w:type="dxa"/>
          </w:tcPr>
          <w:p w14:paraId="78B01751" w14:textId="77777777" w:rsidR="0091076B" w:rsidRDefault="0091076B" w:rsidP="0091076B">
            <w:pPr>
              <w:rPr>
                <w:rFonts w:cs="Arial"/>
              </w:rPr>
            </w:pPr>
          </w:p>
        </w:tc>
        <w:tc>
          <w:tcPr>
            <w:tcW w:w="1427" w:type="dxa"/>
          </w:tcPr>
          <w:p w14:paraId="167B7531" w14:textId="5F00040C" w:rsidR="0091076B" w:rsidRDefault="0091076B" w:rsidP="0091076B">
            <w:pPr>
              <w:rPr>
                <w:rFonts w:cs="Arial"/>
              </w:rPr>
            </w:pPr>
            <w:r>
              <w:t>0,023</w:t>
            </w:r>
          </w:p>
        </w:tc>
        <w:tc>
          <w:tcPr>
            <w:tcW w:w="1159" w:type="dxa"/>
          </w:tcPr>
          <w:p w14:paraId="194B8888" w14:textId="1EA82DAF" w:rsidR="0091076B" w:rsidRDefault="0091076B" w:rsidP="0091076B">
            <w:pPr>
              <w:rPr>
                <w:rFonts w:cs="Arial"/>
              </w:rPr>
            </w:pPr>
            <w:r>
              <w:t>0,006</w:t>
            </w:r>
          </w:p>
        </w:tc>
        <w:tc>
          <w:tcPr>
            <w:tcW w:w="1272" w:type="dxa"/>
          </w:tcPr>
          <w:p w14:paraId="01C197EF" w14:textId="77777777" w:rsidR="0091076B" w:rsidRDefault="0091076B" w:rsidP="0091076B">
            <w:pPr>
              <w:rPr>
                <w:rFonts w:cs="Arial"/>
              </w:rPr>
            </w:pPr>
          </w:p>
        </w:tc>
      </w:tr>
      <w:tr w:rsidR="0091076B" w14:paraId="295002A9" w14:textId="77777777" w:rsidTr="0091076B">
        <w:tc>
          <w:tcPr>
            <w:tcW w:w="1860" w:type="dxa"/>
          </w:tcPr>
          <w:p w14:paraId="27DBC6DA" w14:textId="77777777" w:rsidR="0091076B" w:rsidRDefault="0091076B" w:rsidP="0091076B">
            <w:pPr>
              <w:rPr>
                <w:rFonts w:cs="Arial"/>
              </w:rPr>
            </w:pPr>
          </w:p>
        </w:tc>
        <w:tc>
          <w:tcPr>
            <w:tcW w:w="1427" w:type="dxa"/>
          </w:tcPr>
          <w:p w14:paraId="35686C4B" w14:textId="77777777" w:rsidR="0091076B" w:rsidRDefault="0091076B" w:rsidP="0091076B">
            <w:pPr>
              <w:rPr>
                <w:rFonts w:cs="Arial"/>
              </w:rPr>
            </w:pPr>
          </w:p>
        </w:tc>
        <w:tc>
          <w:tcPr>
            <w:tcW w:w="1159" w:type="dxa"/>
          </w:tcPr>
          <w:p w14:paraId="020F3D96" w14:textId="77777777" w:rsidR="0091076B" w:rsidRDefault="0091076B" w:rsidP="0091076B">
            <w:pPr>
              <w:rPr>
                <w:rFonts w:cs="Arial"/>
              </w:rPr>
            </w:pPr>
          </w:p>
        </w:tc>
        <w:tc>
          <w:tcPr>
            <w:tcW w:w="1272" w:type="dxa"/>
          </w:tcPr>
          <w:p w14:paraId="1DBA49C8" w14:textId="77777777" w:rsidR="0091076B" w:rsidRDefault="0091076B" w:rsidP="0091076B">
            <w:pPr>
              <w:rPr>
                <w:rFonts w:cs="Arial"/>
              </w:rPr>
            </w:pPr>
          </w:p>
        </w:tc>
        <w:tc>
          <w:tcPr>
            <w:tcW w:w="1427" w:type="dxa"/>
          </w:tcPr>
          <w:p w14:paraId="0EAD5088" w14:textId="77777777" w:rsidR="0091076B" w:rsidRDefault="0091076B" w:rsidP="0091076B">
            <w:pPr>
              <w:rPr>
                <w:rFonts w:cs="Arial"/>
              </w:rPr>
            </w:pPr>
          </w:p>
        </w:tc>
        <w:tc>
          <w:tcPr>
            <w:tcW w:w="1159" w:type="dxa"/>
          </w:tcPr>
          <w:p w14:paraId="29F737D7" w14:textId="77777777" w:rsidR="0091076B" w:rsidRDefault="0091076B" w:rsidP="0091076B">
            <w:pPr>
              <w:rPr>
                <w:rFonts w:cs="Arial"/>
              </w:rPr>
            </w:pPr>
          </w:p>
        </w:tc>
        <w:tc>
          <w:tcPr>
            <w:tcW w:w="1272" w:type="dxa"/>
          </w:tcPr>
          <w:p w14:paraId="0C26030F" w14:textId="77777777" w:rsidR="0091076B" w:rsidRDefault="0091076B" w:rsidP="0091076B">
            <w:pPr>
              <w:rPr>
                <w:rFonts w:cs="Arial"/>
              </w:rPr>
            </w:pPr>
          </w:p>
        </w:tc>
      </w:tr>
      <w:tr w:rsidR="0091076B" w14:paraId="4B3951FA" w14:textId="77777777" w:rsidTr="0091076B">
        <w:tc>
          <w:tcPr>
            <w:tcW w:w="1860" w:type="dxa"/>
          </w:tcPr>
          <w:p w14:paraId="7D82C750" w14:textId="34ED4693" w:rsidR="0091076B" w:rsidRDefault="0091076B" w:rsidP="0091076B">
            <w:pPr>
              <w:rPr>
                <w:rFonts w:cs="Arial"/>
              </w:rPr>
            </w:pPr>
            <w:r>
              <w:t>Без депресия</w:t>
            </w:r>
          </w:p>
        </w:tc>
        <w:tc>
          <w:tcPr>
            <w:tcW w:w="1427" w:type="dxa"/>
          </w:tcPr>
          <w:p w14:paraId="1D253190" w14:textId="0DB9517E" w:rsidR="0091076B" w:rsidRDefault="0091076B" w:rsidP="0091076B">
            <w:pPr>
              <w:rPr>
                <w:rFonts w:cs="Arial"/>
              </w:rPr>
            </w:pPr>
            <w:r>
              <w:t>0,51</w:t>
            </w:r>
          </w:p>
        </w:tc>
        <w:tc>
          <w:tcPr>
            <w:tcW w:w="1159" w:type="dxa"/>
          </w:tcPr>
          <w:p w14:paraId="36EB3190" w14:textId="19780B51" w:rsidR="0091076B" w:rsidRDefault="0091076B" w:rsidP="0091076B">
            <w:pPr>
              <w:rPr>
                <w:rFonts w:cs="Arial"/>
              </w:rPr>
            </w:pPr>
            <w:r>
              <w:t>0,46</w:t>
            </w:r>
          </w:p>
        </w:tc>
        <w:tc>
          <w:tcPr>
            <w:tcW w:w="1272" w:type="dxa"/>
          </w:tcPr>
          <w:p w14:paraId="77D92964" w14:textId="2D56F346" w:rsidR="0091076B" w:rsidRDefault="0091076B" w:rsidP="0091076B">
            <w:pPr>
              <w:rPr>
                <w:rFonts w:cs="Arial"/>
              </w:rPr>
            </w:pPr>
            <w:r>
              <w:t>0,41</w:t>
            </w:r>
          </w:p>
        </w:tc>
        <w:tc>
          <w:tcPr>
            <w:tcW w:w="1427" w:type="dxa"/>
          </w:tcPr>
          <w:p w14:paraId="6115D77D" w14:textId="7BBF9DE4" w:rsidR="0091076B" w:rsidRDefault="0091076B" w:rsidP="0091076B">
            <w:pPr>
              <w:rPr>
                <w:rFonts w:cs="Arial"/>
              </w:rPr>
            </w:pPr>
            <w:r>
              <w:t>0,82</w:t>
            </w:r>
          </w:p>
        </w:tc>
        <w:tc>
          <w:tcPr>
            <w:tcW w:w="1159" w:type="dxa"/>
          </w:tcPr>
          <w:p w14:paraId="1DF8C17C" w14:textId="01192F64" w:rsidR="0091076B" w:rsidRDefault="0091076B" w:rsidP="0091076B">
            <w:pPr>
              <w:rPr>
                <w:rFonts w:cs="Arial"/>
              </w:rPr>
            </w:pPr>
            <w:r>
              <w:t>0,71</w:t>
            </w:r>
          </w:p>
        </w:tc>
        <w:tc>
          <w:tcPr>
            <w:tcW w:w="1272" w:type="dxa"/>
          </w:tcPr>
          <w:p w14:paraId="6B237B2D" w14:textId="3E3BB0AC" w:rsidR="0091076B" w:rsidRDefault="0091076B" w:rsidP="0091076B">
            <w:pPr>
              <w:rPr>
                <w:rFonts w:cs="Arial"/>
              </w:rPr>
            </w:pPr>
            <w:r>
              <w:t>0,40</w:t>
            </w:r>
          </w:p>
        </w:tc>
      </w:tr>
      <w:tr w:rsidR="0091076B" w14:paraId="30EE7F3D" w14:textId="77777777" w:rsidTr="0091076B">
        <w:tc>
          <w:tcPr>
            <w:tcW w:w="1860" w:type="dxa"/>
          </w:tcPr>
          <w:p w14:paraId="710ABB8F" w14:textId="12F589CF" w:rsidR="0091076B" w:rsidRDefault="0091076B" w:rsidP="0091076B">
            <w:pPr>
              <w:rPr>
                <w:rFonts w:cs="Arial"/>
              </w:rPr>
            </w:pPr>
            <w:r>
              <w:rPr>
                <w:lang w:val="en-US"/>
              </w:rPr>
              <w:t>p</w:t>
            </w:r>
            <w:r w:rsidRPr="0091076B">
              <w:t>-</w:t>
            </w:r>
            <w:r>
              <w:rPr>
                <w:lang w:val="en-US"/>
              </w:rPr>
              <w:t>value</w:t>
            </w:r>
            <w:r w:rsidRPr="0091076B">
              <w:t xml:space="preserve"> </w:t>
            </w:r>
            <w:r>
              <w:t xml:space="preserve">логаритмично трансформиран ренков тест </w:t>
            </w:r>
            <w:r w:rsidRPr="0091076B">
              <w:t>(</w:t>
            </w:r>
            <w:r>
              <w:rPr>
                <w:lang w:val="en-US"/>
              </w:rPr>
              <w:t>Log</w:t>
            </w:r>
            <w:r w:rsidRPr="0091076B">
              <w:t xml:space="preserve"> </w:t>
            </w:r>
            <w:r>
              <w:rPr>
                <w:lang w:val="en-US"/>
              </w:rPr>
              <w:t>rank</w:t>
            </w:r>
            <w:r w:rsidRPr="0091076B">
              <w:t xml:space="preserve"> </w:t>
            </w:r>
            <w:r>
              <w:rPr>
                <w:lang w:val="en-US"/>
              </w:rPr>
              <w:t>test</w:t>
            </w:r>
            <w:r w:rsidRPr="0091076B">
              <w:t>)</w:t>
            </w:r>
          </w:p>
        </w:tc>
        <w:tc>
          <w:tcPr>
            <w:tcW w:w="1427" w:type="dxa"/>
          </w:tcPr>
          <w:p w14:paraId="43CA51B0" w14:textId="70B48889" w:rsidR="0091076B" w:rsidRDefault="0091076B" w:rsidP="0091076B">
            <w:pPr>
              <w:rPr>
                <w:rFonts w:cs="Arial"/>
              </w:rPr>
            </w:pPr>
            <w:r>
              <w:t>0,047</w:t>
            </w:r>
          </w:p>
        </w:tc>
        <w:tc>
          <w:tcPr>
            <w:tcW w:w="1159" w:type="dxa"/>
          </w:tcPr>
          <w:p w14:paraId="43ACA6C7" w14:textId="58E6F4C4" w:rsidR="0091076B" w:rsidRDefault="0091076B" w:rsidP="0091076B">
            <w:pPr>
              <w:rPr>
                <w:rFonts w:cs="Arial"/>
              </w:rPr>
            </w:pPr>
            <w:r>
              <w:t>0,209</w:t>
            </w:r>
          </w:p>
        </w:tc>
        <w:tc>
          <w:tcPr>
            <w:tcW w:w="1272" w:type="dxa"/>
          </w:tcPr>
          <w:p w14:paraId="5186F1F7" w14:textId="77777777" w:rsidR="0091076B" w:rsidRDefault="0091076B" w:rsidP="0091076B">
            <w:pPr>
              <w:rPr>
                <w:rFonts w:cs="Arial"/>
              </w:rPr>
            </w:pPr>
          </w:p>
        </w:tc>
        <w:tc>
          <w:tcPr>
            <w:tcW w:w="1427" w:type="dxa"/>
          </w:tcPr>
          <w:p w14:paraId="40FD6A1F" w14:textId="2F48ECEE" w:rsidR="0091076B" w:rsidRDefault="0091076B" w:rsidP="0091076B">
            <w:pPr>
              <w:rPr>
                <w:rFonts w:cs="Arial"/>
              </w:rPr>
            </w:pPr>
            <w:r>
              <w:t>0,015</w:t>
            </w:r>
          </w:p>
        </w:tc>
        <w:tc>
          <w:tcPr>
            <w:tcW w:w="1159" w:type="dxa"/>
          </w:tcPr>
          <w:p w14:paraId="54DCF57C" w14:textId="1BB62541" w:rsidR="0091076B" w:rsidRDefault="0091076B" w:rsidP="0091076B">
            <w:pPr>
              <w:rPr>
                <w:rFonts w:cs="Arial"/>
              </w:rPr>
            </w:pPr>
            <w:r>
              <w:t>0,167</w:t>
            </w:r>
          </w:p>
        </w:tc>
        <w:tc>
          <w:tcPr>
            <w:tcW w:w="1272" w:type="dxa"/>
          </w:tcPr>
          <w:p w14:paraId="3BC2882A" w14:textId="77777777" w:rsidR="0091076B" w:rsidRDefault="0091076B" w:rsidP="0091076B">
            <w:pPr>
              <w:rPr>
                <w:rFonts w:cs="Arial"/>
              </w:rPr>
            </w:pPr>
          </w:p>
        </w:tc>
      </w:tr>
      <w:tr w:rsidR="00315A12" w14:paraId="7B4E5FEA" w14:textId="77777777" w:rsidTr="0091076B">
        <w:tc>
          <w:tcPr>
            <w:tcW w:w="1860" w:type="dxa"/>
          </w:tcPr>
          <w:p w14:paraId="489401AE" w14:textId="77777777" w:rsidR="00315A12" w:rsidRDefault="00315A12" w:rsidP="00315A12">
            <w:pPr>
              <w:rPr>
                <w:rFonts w:cs="Arial"/>
              </w:rPr>
            </w:pPr>
          </w:p>
        </w:tc>
        <w:tc>
          <w:tcPr>
            <w:tcW w:w="1427" w:type="dxa"/>
          </w:tcPr>
          <w:p w14:paraId="711144BA" w14:textId="77777777" w:rsidR="00315A12" w:rsidRDefault="00315A12" w:rsidP="00315A12">
            <w:pPr>
              <w:rPr>
                <w:rFonts w:cs="Arial"/>
              </w:rPr>
            </w:pPr>
          </w:p>
        </w:tc>
        <w:tc>
          <w:tcPr>
            <w:tcW w:w="1159" w:type="dxa"/>
          </w:tcPr>
          <w:p w14:paraId="3E868F94" w14:textId="77777777" w:rsidR="00315A12" w:rsidRDefault="00315A12" w:rsidP="00315A12">
            <w:pPr>
              <w:rPr>
                <w:rFonts w:cs="Arial"/>
              </w:rPr>
            </w:pPr>
          </w:p>
        </w:tc>
        <w:tc>
          <w:tcPr>
            <w:tcW w:w="1272" w:type="dxa"/>
          </w:tcPr>
          <w:p w14:paraId="4B3EEBEB" w14:textId="77777777" w:rsidR="00315A12" w:rsidRDefault="00315A12" w:rsidP="00315A12">
            <w:pPr>
              <w:rPr>
                <w:rFonts w:cs="Arial"/>
              </w:rPr>
            </w:pPr>
          </w:p>
        </w:tc>
        <w:tc>
          <w:tcPr>
            <w:tcW w:w="1427" w:type="dxa"/>
          </w:tcPr>
          <w:p w14:paraId="47ED7754" w14:textId="77777777" w:rsidR="00315A12" w:rsidRDefault="00315A12" w:rsidP="00315A12">
            <w:pPr>
              <w:rPr>
                <w:rFonts w:cs="Arial"/>
              </w:rPr>
            </w:pPr>
          </w:p>
        </w:tc>
        <w:tc>
          <w:tcPr>
            <w:tcW w:w="1159" w:type="dxa"/>
          </w:tcPr>
          <w:p w14:paraId="7C07AD00" w14:textId="77777777" w:rsidR="00315A12" w:rsidRDefault="00315A12" w:rsidP="00315A12">
            <w:pPr>
              <w:rPr>
                <w:rFonts w:cs="Arial"/>
              </w:rPr>
            </w:pPr>
          </w:p>
        </w:tc>
        <w:tc>
          <w:tcPr>
            <w:tcW w:w="1272" w:type="dxa"/>
          </w:tcPr>
          <w:p w14:paraId="4D84D0E2" w14:textId="77777777" w:rsidR="00315A12" w:rsidRDefault="00315A12" w:rsidP="00315A12">
            <w:pPr>
              <w:rPr>
                <w:rFonts w:cs="Arial"/>
              </w:rPr>
            </w:pPr>
          </w:p>
        </w:tc>
      </w:tr>
      <w:tr w:rsidR="0091076B" w14:paraId="230B1A9B" w14:textId="77777777" w:rsidTr="0091076B">
        <w:tc>
          <w:tcPr>
            <w:tcW w:w="1860" w:type="dxa"/>
          </w:tcPr>
          <w:p w14:paraId="08C290D8" w14:textId="40CD9A80" w:rsidR="0091076B" w:rsidRDefault="0091076B" w:rsidP="0091076B">
            <w:pPr>
              <w:rPr>
                <w:rFonts w:cs="Arial"/>
              </w:rPr>
            </w:pPr>
            <w:r>
              <w:t>Без мания</w:t>
            </w:r>
          </w:p>
        </w:tc>
        <w:tc>
          <w:tcPr>
            <w:tcW w:w="1427" w:type="dxa"/>
          </w:tcPr>
          <w:p w14:paraId="2B3B5343" w14:textId="2AACF266" w:rsidR="0091076B" w:rsidRDefault="0091076B" w:rsidP="0091076B">
            <w:pPr>
              <w:rPr>
                <w:rFonts w:cs="Arial"/>
              </w:rPr>
            </w:pPr>
            <w:r>
              <w:t>0,70</w:t>
            </w:r>
          </w:p>
        </w:tc>
        <w:tc>
          <w:tcPr>
            <w:tcW w:w="1159" w:type="dxa"/>
          </w:tcPr>
          <w:p w14:paraId="1DF5EBF0" w14:textId="47DBFAFC" w:rsidR="0091076B" w:rsidRDefault="0091076B" w:rsidP="0091076B">
            <w:pPr>
              <w:rPr>
                <w:rFonts w:cs="Arial"/>
              </w:rPr>
            </w:pPr>
            <w:r>
              <w:t>0,86</w:t>
            </w:r>
          </w:p>
        </w:tc>
        <w:tc>
          <w:tcPr>
            <w:tcW w:w="1272" w:type="dxa"/>
          </w:tcPr>
          <w:p w14:paraId="7E690B4F" w14:textId="5D387DC5" w:rsidR="0091076B" w:rsidRDefault="0091076B" w:rsidP="0091076B">
            <w:pPr>
              <w:rPr>
                <w:rFonts w:cs="Arial"/>
              </w:rPr>
            </w:pPr>
            <w:r>
              <w:t>0,67</w:t>
            </w:r>
          </w:p>
        </w:tc>
        <w:tc>
          <w:tcPr>
            <w:tcW w:w="1427" w:type="dxa"/>
          </w:tcPr>
          <w:p w14:paraId="1EE3CD96" w14:textId="5B3DE1CE" w:rsidR="0091076B" w:rsidRDefault="0091076B" w:rsidP="0091076B">
            <w:pPr>
              <w:rPr>
                <w:rFonts w:cs="Arial"/>
              </w:rPr>
            </w:pPr>
            <w:r>
              <w:t>0,53</w:t>
            </w:r>
          </w:p>
        </w:tc>
        <w:tc>
          <w:tcPr>
            <w:tcW w:w="1159" w:type="dxa"/>
          </w:tcPr>
          <w:p w14:paraId="2452BEF2" w14:textId="700C839C" w:rsidR="0091076B" w:rsidRDefault="0091076B" w:rsidP="0091076B">
            <w:pPr>
              <w:rPr>
                <w:rFonts w:cs="Arial"/>
              </w:rPr>
            </w:pPr>
            <w:r>
              <w:t>0,64</w:t>
            </w:r>
          </w:p>
        </w:tc>
        <w:tc>
          <w:tcPr>
            <w:tcW w:w="1272" w:type="dxa"/>
          </w:tcPr>
          <w:p w14:paraId="15742062" w14:textId="2B21E777" w:rsidR="0091076B" w:rsidRDefault="0091076B" w:rsidP="0091076B">
            <w:pPr>
              <w:rPr>
                <w:rFonts w:cs="Arial"/>
              </w:rPr>
            </w:pPr>
            <w:r>
              <w:t>0,37</w:t>
            </w:r>
          </w:p>
        </w:tc>
      </w:tr>
      <w:tr w:rsidR="0091076B" w14:paraId="717D8ACB" w14:textId="77777777" w:rsidTr="0091076B">
        <w:tc>
          <w:tcPr>
            <w:tcW w:w="1860" w:type="dxa"/>
          </w:tcPr>
          <w:p w14:paraId="7C087F53" w14:textId="4EB99A5E" w:rsidR="0091076B" w:rsidRDefault="0091076B" w:rsidP="0091076B">
            <w:pPr>
              <w:rPr>
                <w:rFonts w:cs="Arial"/>
              </w:rPr>
            </w:pPr>
            <w:r>
              <w:rPr>
                <w:lang w:val="en-US"/>
              </w:rPr>
              <w:t>p</w:t>
            </w:r>
            <w:r w:rsidRPr="0091076B">
              <w:t>-</w:t>
            </w:r>
            <w:r>
              <w:rPr>
                <w:lang w:val="en-US"/>
              </w:rPr>
              <w:t>value</w:t>
            </w:r>
            <w:r w:rsidRPr="0091076B">
              <w:t xml:space="preserve"> </w:t>
            </w:r>
            <w:r>
              <w:t xml:space="preserve">логаритмично трансформиран ренков тест </w:t>
            </w:r>
            <w:r w:rsidRPr="0091076B">
              <w:t>(</w:t>
            </w:r>
            <w:r>
              <w:rPr>
                <w:lang w:val="en-US"/>
              </w:rPr>
              <w:t>Log</w:t>
            </w:r>
            <w:r w:rsidRPr="0091076B">
              <w:t xml:space="preserve"> </w:t>
            </w:r>
            <w:r>
              <w:rPr>
                <w:lang w:val="en-US"/>
              </w:rPr>
              <w:t>rank</w:t>
            </w:r>
            <w:r w:rsidRPr="0091076B">
              <w:t xml:space="preserve"> </w:t>
            </w:r>
            <w:r>
              <w:rPr>
                <w:lang w:val="en-US"/>
              </w:rPr>
              <w:t>test</w:t>
            </w:r>
            <w:r w:rsidRPr="0091076B">
              <w:t>)</w:t>
            </w:r>
          </w:p>
        </w:tc>
        <w:tc>
          <w:tcPr>
            <w:tcW w:w="1427" w:type="dxa"/>
          </w:tcPr>
          <w:p w14:paraId="6D099D3E" w14:textId="4163F5B2" w:rsidR="0091076B" w:rsidRDefault="0091076B" w:rsidP="0091076B">
            <w:pPr>
              <w:rPr>
                <w:rFonts w:cs="Arial"/>
              </w:rPr>
            </w:pPr>
            <w:r>
              <w:t>0,339</w:t>
            </w:r>
          </w:p>
        </w:tc>
        <w:tc>
          <w:tcPr>
            <w:tcW w:w="1159" w:type="dxa"/>
          </w:tcPr>
          <w:p w14:paraId="24E24ABD" w14:textId="32D57692" w:rsidR="0091076B" w:rsidRDefault="0091076B" w:rsidP="0091076B">
            <w:pPr>
              <w:rPr>
                <w:rFonts w:cs="Arial"/>
              </w:rPr>
            </w:pPr>
            <w:r>
              <w:t>0,026</w:t>
            </w:r>
          </w:p>
        </w:tc>
        <w:tc>
          <w:tcPr>
            <w:tcW w:w="1272" w:type="dxa"/>
          </w:tcPr>
          <w:p w14:paraId="1859E7D7" w14:textId="77777777" w:rsidR="0091076B" w:rsidRDefault="0091076B" w:rsidP="0091076B">
            <w:pPr>
              <w:rPr>
                <w:rFonts w:cs="Arial"/>
              </w:rPr>
            </w:pPr>
          </w:p>
        </w:tc>
        <w:tc>
          <w:tcPr>
            <w:tcW w:w="1427" w:type="dxa"/>
          </w:tcPr>
          <w:p w14:paraId="4C1FD8E7" w14:textId="42328EC3" w:rsidR="0091076B" w:rsidRDefault="0091076B" w:rsidP="0091076B">
            <w:pPr>
              <w:rPr>
                <w:rFonts w:cs="Arial"/>
              </w:rPr>
            </w:pPr>
            <w:r>
              <w:t>0,280</w:t>
            </w:r>
          </w:p>
        </w:tc>
        <w:tc>
          <w:tcPr>
            <w:tcW w:w="1159" w:type="dxa"/>
          </w:tcPr>
          <w:p w14:paraId="7CD0FFCA" w14:textId="289BB2DF" w:rsidR="0091076B" w:rsidRDefault="0091076B" w:rsidP="0091076B">
            <w:pPr>
              <w:rPr>
                <w:rFonts w:cs="Arial"/>
              </w:rPr>
            </w:pPr>
            <w:r>
              <w:t>0,006</w:t>
            </w:r>
          </w:p>
        </w:tc>
        <w:tc>
          <w:tcPr>
            <w:tcW w:w="1272" w:type="dxa"/>
          </w:tcPr>
          <w:p w14:paraId="78F1DB78" w14:textId="77777777" w:rsidR="0091076B" w:rsidRDefault="0091076B" w:rsidP="0091076B">
            <w:pPr>
              <w:rPr>
                <w:rFonts w:cs="Arial"/>
              </w:rPr>
            </w:pPr>
          </w:p>
        </w:tc>
      </w:tr>
    </w:tbl>
    <w:p w14:paraId="30EBDC11" w14:textId="77777777" w:rsidR="0091076B" w:rsidRDefault="0091076B" w:rsidP="0091076B">
      <w:pPr>
        <w:spacing w:line="240" w:lineRule="auto"/>
        <w:rPr>
          <w:rFonts w:eastAsia="Times New Roman" w:cs="Arial"/>
          <w:color w:val="000000"/>
          <w:lang w:eastAsia="bg-BG"/>
        </w:rPr>
      </w:pPr>
    </w:p>
    <w:p w14:paraId="15766734" w14:textId="3BD68CFF" w:rsidR="0091076B" w:rsidRPr="0091076B" w:rsidRDefault="0091076B" w:rsidP="0091076B">
      <w:pPr>
        <w:spacing w:line="240" w:lineRule="auto"/>
        <w:rPr>
          <w:rFonts w:eastAsia="Times New Roman" w:cs="Arial"/>
          <w:sz w:val="24"/>
          <w:szCs w:val="24"/>
        </w:rPr>
      </w:pPr>
      <w:r w:rsidRPr="0091076B">
        <w:rPr>
          <w:rFonts w:eastAsia="Times New Roman" w:cs="Arial"/>
          <w:color w:val="000000"/>
          <w:lang w:eastAsia="bg-BG"/>
        </w:rPr>
        <w:t>При анализи, подкрепящи времето до първия депресивен епизод и времето до първия маниен/хипомаииен или смесен епизод, лекуваните с ламотригин пациенти са имали значимо по-дълги времена до първи депресивен епизод в сравнение с пациентите на плацебо, и разликата в третирането не е имала статистическа значимост по отношение на времето до маниен/хипоманиен или смесени епизоди.</w:t>
      </w:r>
    </w:p>
    <w:p w14:paraId="28C9AF51" w14:textId="77777777" w:rsidR="0091076B" w:rsidRPr="0091076B" w:rsidRDefault="0091076B" w:rsidP="0091076B">
      <w:pPr>
        <w:spacing w:line="240" w:lineRule="auto"/>
        <w:rPr>
          <w:rFonts w:eastAsia="Times New Roman" w:cs="Arial"/>
          <w:color w:val="000000"/>
          <w:lang w:eastAsia="bg-BG"/>
        </w:rPr>
      </w:pPr>
    </w:p>
    <w:p w14:paraId="7A61F67A" w14:textId="7019CC90" w:rsidR="0091076B" w:rsidRPr="0091076B" w:rsidRDefault="0091076B" w:rsidP="0091076B">
      <w:pPr>
        <w:spacing w:line="240" w:lineRule="auto"/>
        <w:rPr>
          <w:rFonts w:eastAsia="Times New Roman" w:cs="Arial"/>
          <w:sz w:val="24"/>
          <w:szCs w:val="24"/>
        </w:rPr>
      </w:pPr>
      <w:r w:rsidRPr="0091076B">
        <w:rPr>
          <w:rFonts w:eastAsia="Times New Roman" w:cs="Arial"/>
          <w:color w:val="000000"/>
          <w:lang w:eastAsia="bg-BG"/>
        </w:rPr>
        <w:t>Ефикасността на ламотригин в комбинация със стабилизатори на настроението не е достатъчно проучена.</w:t>
      </w:r>
    </w:p>
    <w:p w14:paraId="102249E8" w14:textId="77777777" w:rsidR="0091076B" w:rsidRPr="0091076B" w:rsidRDefault="0091076B" w:rsidP="0091076B">
      <w:pPr>
        <w:spacing w:line="240" w:lineRule="auto"/>
        <w:rPr>
          <w:rFonts w:eastAsia="Times New Roman" w:cs="Arial"/>
          <w:color w:val="000000"/>
          <w:u w:val="single"/>
          <w:lang w:eastAsia="bg-BG"/>
        </w:rPr>
      </w:pPr>
    </w:p>
    <w:p w14:paraId="1B399631" w14:textId="3A0FEDCB" w:rsidR="0091076B" w:rsidRPr="0091076B" w:rsidRDefault="0091076B" w:rsidP="0091076B">
      <w:pPr>
        <w:spacing w:line="240" w:lineRule="auto"/>
        <w:rPr>
          <w:rFonts w:eastAsia="Times New Roman" w:cs="Arial"/>
          <w:sz w:val="24"/>
          <w:szCs w:val="24"/>
        </w:rPr>
      </w:pPr>
      <w:r w:rsidRPr="0091076B">
        <w:rPr>
          <w:rFonts w:eastAsia="Times New Roman" w:cs="Arial"/>
          <w:color w:val="000000"/>
          <w:u w:val="single"/>
          <w:lang w:eastAsia="bg-BG"/>
        </w:rPr>
        <w:t>Депа (на възраст 10-12 години) и юноши (на възраст 13-17 години)</w:t>
      </w:r>
    </w:p>
    <w:p w14:paraId="7CA564D2" w14:textId="77777777" w:rsidR="0091076B" w:rsidRPr="0091076B" w:rsidRDefault="0091076B" w:rsidP="0091076B">
      <w:pPr>
        <w:spacing w:line="240" w:lineRule="auto"/>
        <w:rPr>
          <w:rFonts w:eastAsia="Times New Roman" w:cs="Arial"/>
          <w:color w:val="000000"/>
          <w:lang w:eastAsia="bg-BG"/>
        </w:rPr>
      </w:pPr>
    </w:p>
    <w:p w14:paraId="012ED339" w14:textId="77777777" w:rsidR="0091076B" w:rsidRPr="0091076B" w:rsidRDefault="0091076B" w:rsidP="0091076B">
      <w:pPr>
        <w:rPr>
          <w:rFonts w:eastAsia="Times New Roman" w:cs="Arial"/>
          <w:sz w:val="24"/>
          <w:szCs w:val="24"/>
        </w:rPr>
      </w:pPr>
      <w:r w:rsidRPr="0091076B">
        <w:rPr>
          <w:rFonts w:eastAsia="Times New Roman" w:cs="Arial"/>
          <w:color w:val="000000"/>
          <w:lang w:eastAsia="bg-BG"/>
        </w:rPr>
        <w:t xml:space="preserve">Многоцентрово, паралелногрупово, плацебо-контролирано, двойносляпо, рандомизирано, с преустановяване на приема проучване оценява ефикасността и безопасността на ламотригин </w:t>
      </w:r>
      <w:r w:rsidRPr="0091076B">
        <w:rPr>
          <w:rFonts w:eastAsia="Times New Roman" w:cs="Arial"/>
          <w:color w:val="000000"/>
          <w:lang w:val="ru-RU"/>
        </w:rPr>
        <w:t>1</w:t>
      </w:r>
      <w:r w:rsidRPr="0091076B">
        <w:rPr>
          <w:rFonts w:eastAsia="Times New Roman" w:cs="Arial"/>
          <w:color w:val="000000"/>
          <w:lang w:val="en-US"/>
        </w:rPr>
        <w:t>R</w:t>
      </w:r>
      <w:r w:rsidRPr="0091076B">
        <w:rPr>
          <w:rFonts w:eastAsia="Times New Roman" w:cs="Arial"/>
          <w:color w:val="000000"/>
          <w:lang w:val="ru-RU"/>
        </w:rPr>
        <w:t xml:space="preserve"> </w:t>
      </w:r>
      <w:r w:rsidRPr="0091076B">
        <w:rPr>
          <w:rFonts w:eastAsia="Times New Roman" w:cs="Arial"/>
          <w:color w:val="000000"/>
          <w:lang w:eastAsia="bg-BG"/>
        </w:rPr>
        <w:t>като комбинирана поддържаща терапия за забавяне на епизоди на промяна на настроението при деца и юноши от мъжки и женски пол (на възраст 10-17 години), които са диагностицирани с</w:t>
      </w:r>
      <w:r w:rsidRPr="0091076B">
        <w:rPr>
          <w:rFonts w:eastAsia="Times New Roman" w:cs="Arial"/>
          <w:color w:val="000000"/>
          <w:u w:val="single"/>
          <w:lang w:eastAsia="bg-BG"/>
        </w:rPr>
        <w:t xml:space="preserve"> </w:t>
      </w:r>
      <w:r w:rsidRPr="0091076B">
        <w:rPr>
          <w:rFonts w:eastAsia="Times New Roman" w:cs="Arial"/>
          <w:color w:val="000000"/>
          <w:lang w:eastAsia="bg-BG"/>
        </w:rPr>
        <w:t>тип I биполярно разстройство и при които е отложен или са получили подобрение на биполярен епизод, докато са лекувани с ламотригин в комбинация със съпътстващи антипсихотични лекарства или други лекарства, стабилизатори на настроението. Резултатът от първични анализ за ефикасност (време на поява на биполярно събитие (ТОВЕ)) не достига статистическа значимост (р=0,0717), следователно не е показана ефикасност. Освен това, резултатите за безопасност показват повишено съобщаване на суицидно поведение при пациентите, лекувани с ламотригин: 5% (4 пациенти) в рамото на ламотригин в сравнение с 0 при плацебо (вж. точка 4.2).</w:t>
      </w:r>
    </w:p>
    <w:p w14:paraId="735A8FD5" w14:textId="77777777" w:rsidR="0091076B" w:rsidRPr="0091076B" w:rsidRDefault="0091076B" w:rsidP="0091076B">
      <w:pPr>
        <w:spacing w:line="240" w:lineRule="auto"/>
        <w:rPr>
          <w:rFonts w:eastAsia="Times New Roman" w:cs="Arial"/>
          <w:color w:val="000000"/>
          <w:u w:val="single"/>
          <w:lang w:eastAsia="bg-BG"/>
        </w:rPr>
      </w:pPr>
    </w:p>
    <w:p w14:paraId="7C69D5BF" w14:textId="5F9507D6" w:rsidR="0091076B" w:rsidRPr="0091076B" w:rsidRDefault="0091076B" w:rsidP="0091076B">
      <w:pPr>
        <w:spacing w:line="240" w:lineRule="auto"/>
        <w:rPr>
          <w:rFonts w:eastAsia="Times New Roman" w:cs="Arial"/>
          <w:sz w:val="24"/>
          <w:szCs w:val="24"/>
        </w:rPr>
      </w:pPr>
      <w:r w:rsidRPr="0091076B">
        <w:rPr>
          <w:rFonts w:eastAsia="Times New Roman" w:cs="Arial"/>
          <w:color w:val="000000"/>
          <w:u w:val="single"/>
          <w:lang w:eastAsia="bg-BG"/>
        </w:rPr>
        <w:t>Изследване на ефекта на ламотригин върху сърдечната проводимост</w:t>
      </w:r>
    </w:p>
    <w:p w14:paraId="41B68676" w14:textId="77777777" w:rsidR="0091076B" w:rsidRPr="0091076B" w:rsidRDefault="0091076B" w:rsidP="0091076B">
      <w:pPr>
        <w:spacing w:line="240" w:lineRule="auto"/>
        <w:rPr>
          <w:rFonts w:eastAsia="Times New Roman" w:cs="Arial"/>
          <w:color w:val="000000"/>
          <w:lang w:eastAsia="bg-BG"/>
        </w:rPr>
      </w:pPr>
    </w:p>
    <w:p w14:paraId="0339E864" w14:textId="744CCF38" w:rsidR="0091076B" w:rsidRPr="0091076B" w:rsidRDefault="0091076B" w:rsidP="0091076B">
      <w:pPr>
        <w:spacing w:line="240" w:lineRule="auto"/>
        <w:rPr>
          <w:rFonts w:eastAsia="Times New Roman" w:cs="Arial"/>
          <w:sz w:val="24"/>
          <w:szCs w:val="24"/>
        </w:rPr>
      </w:pPr>
      <w:r w:rsidRPr="0091076B">
        <w:rPr>
          <w:rFonts w:eastAsia="Times New Roman" w:cs="Arial"/>
          <w:color w:val="000000"/>
          <w:lang w:eastAsia="bg-BG"/>
        </w:rPr>
        <w:t xml:space="preserve">Ефектът на многократното прилагане на ламотригин (до 400 </w:t>
      </w:r>
      <w:r w:rsidRPr="0091076B">
        <w:rPr>
          <w:rFonts w:eastAsia="Times New Roman" w:cs="Arial"/>
          <w:color w:val="000000"/>
          <w:lang w:val="en-US"/>
        </w:rPr>
        <w:t>mg</w:t>
      </w:r>
      <w:r w:rsidRPr="0091076B">
        <w:rPr>
          <w:rFonts w:eastAsia="Times New Roman" w:cs="Arial"/>
          <w:color w:val="000000"/>
          <w:lang w:eastAsia="bg-BG"/>
        </w:rPr>
        <w:t xml:space="preserve">/ден) върху сърдечната проводимост, оценена чрез ЕКГ с 12 отвеждания, е изследван при изпитване върху здрави възрастни доброволци. Не е отчетен клинично значим ефект на ламотригин върху </w:t>
      </w:r>
      <w:r w:rsidRPr="0091076B">
        <w:rPr>
          <w:rFonts w:eastAsia="Times New Roman" w:cs="Arial"/>
          <w:color w:val="000000"/>
          <w:lang w:val="en-US"/>
        </w:rPr>
        <w:t>QT</w:t>
      </w:r>
      <w:r w:rsidRPr="0091076B">
        <w:rPr>
          <w:rFonts w:eastAsia="Times New Roman" w:cs="Arial"/>
          <w:color w:val="000000"/>
          <w:lang w:val="ru-RU"/>
        </w:rPr>
        <w:t xml:space="preserve"> </w:t>
      </w:r>
      <w:r w:rsidRPr="0091076B">
        <w:rPr>
          <w:rFonts w:eastAsia="Times New Roman" w:cs="Arial"/>
          <w:color w:val="000000"/>
          <w:lang w:eastAsia="bg-BG"/>
        </w:rPr>
        <w:t>интервала в сравнение с плацебо.</w:t>
      </w:r>
    </w:p>
    <w:p w14:paraId="39B0B3EC" w14:textId="63665250" w:rsidR="00315A12" w:rsidRPr="00315A12" w:rsidRDefault="00315A12" w:rsidP="00315A12">
      <w:pPr>
        <w:rPr>
          <w:rFonts w:cs="Arial"/>
        </w:rPr>
      </w:pPr>
    </w:p>
    <w:p w14:paraId="26535098" w14:textId="6770B49B" w:rsidR="00395555" w:rsidRDefault="002C50EE" w:rsidP="008A6AF2">
      <w:pPr>
        <w:pStyle w:val="Heading2"/>
      </w:pPr>
      <w:r>
        <w:t>5.2. Фармакокинетични свойства</w:t>
      </w:r>
    </w:p>
    <w:p w14:paraId="69CD8D93" w14:textId="0DBD367E" w:rsidR="0091076B" w:rsidRDefault="0091076B" w:rsidP="0091076B"/>
    <w:p w14:paraId="070723B6" w14:textId="77777777" w:rsidR="0091076B" w:rsidRPr="0091076B" w:rsidRDefault="0091076B" w:rsidP="0091076B">
      <w:pPr>
        <w:pStyle w:val="Heading3"/>
        <w:rPr>
          <w:rFonts w:eastAsia="Times New Roman"/>
          <w:u w:val="single"/>
        </w:rPr>
      </w:pPr>
      <w:r w:rsidRPr="0091076B">
        <w:rPr>
          <w:rFonts w:eastAsia="Times New Roman"/>
          <w:u w:val="single"/>
          <w:lang w:eastAsia="bg-BG"/>
        </w:rPr>
        <w:t>Абсорбция</w:t>
      </w:r>
    </w:p>
    <w:p w14:paraId="7A7AD399" w14:textId="77777777" w:rsidR="0091076B" w:rsidRPr="0091076B" w:rsidRDefault="0091076B" w:rsidP="0091076B">
      <w:pPr>
        <w:spacing w:line="240" w:lineRule="auto"/>
        <w:rPr>
          <w:rFonts w:eastAsia="Times New Roman" w:cs="Arial"/>
          <w:color w:val="000000"/>
          <w:lang w:eastAsia="bg-BG"/>
        </w:rPr>
      </w:pPr>
    </w:p>
    <w:p w14:paraId="37F1C1C1" w14:textId="59AA6F40" w:rsidR="0091076B" w:rsidRPr="0091076B" w:rsidRDefault="0091076B" w:rsidP="0091076B">
      <w:pPr>
        <w:spacing w:line="240" w:lineRule="auto"/>
        <w:rPr>
          <w:rFonts w:eastAsia="Times New Roman" w:cs="Arial"/>
          <w:sz w:val="24"/>
          <w:szCs w:val="24"/>
        </w:rPr>
      </w:pPr>
      <w:r w:rsidRPr="0091076B">
        <w:rPr>
          <w:rFonts w:eastAsia="Times New Roman" w:cs="Arial"/>
          <w:color w:val="000000"/>
          <w:lang w:eastAsia="bg-BG"/>
        </w:rPr>
        <w:t>Ламотригин се резорбира бързо и изцяло в червата, като не се установява клинично значим метаболизъм при първо преминаване. Върхови плазмени концентрации се достигат приблизително 2,5 часа след перорално приложение на ламотригин. След прием на храна времето за достигане на максимална концентрация леко се удължава, но степента на резорбция не се променя. Максималните концентрации в стационарно състояние показват интериндивидуална вариабилност, но при всеки индивидуален пациент тези стойности се различават много рядко.</w:t>
      </w:r>
    </w:p>
    <w:p w14:paraId="0E161D61" w14:textId="77777777" w:rsidR="0091076B" w:rsidRPr="0091076B" w:rsidRDefault="0091076B" w:rsidP="0091076B">
      <w:pPr>
        <w:spacing w:line="240" w:lineRule="auto"/>
        <w:rPr>
          <w:rFonts w:eastAsia="Times New Roman" w:cs="Arial"/>
          <w:color w:val="000000"/>
          <w:u w:val="single"/>
          <w:lang w:eastAsia="bg-BG"/>
        </w:rPr>
      </w:pPr>
    </w:p>
    <w:p w14:paraId="50A2CB46" w14:textId="55147D42" w:rsidR="0091076B" w:rsidRPr="0091076B" w:rsidRDefault="0091076B" w:rsidP="0091076B">
      <w:pPr>
        <w:pStyle w:val="Heading3"/>
        <w:rPr>
          <w:rFonts w:eastAsia="Times New Roman"/>
          <w:u w:val="single"/>
        </w:rPr>
      </w:pPr>
      <w:r w:rsidRPr="0091076B">
        <w:rPr>
          <w:rFonts w:eastAsia="Times New Roman"/>
          <w:u w:val="single"/>
          <w:lang w:eastAsia="bg-BG"/>
        </w:rPr>
        <w:t>Разпределение</w:t>
      </w:r>
    </w:p>
    <w:p w14:paraId="20773017" w14:textId="77777777" w:rsidR="0091076B" w:rsidRPr="0091076B" w:rsidRDefault="0091076B" w:rsidP="0091076B">
      <w:pPr>
        <w:spacing w:line="240" w:lineRule="auto"/>
        <w:rPr>
          <w:rFonts w:eastAsia="Times New Roman" w:cs="Arial"/>
          <w:color w:val="000000"/>
          <w:lang w:eastAsia="bg-BG"/>
        </w:rPr>
      </w:pPr>
    </w:p>
    <w:p w14:paraId="105D252F" w14:textId="463954CE" w:rsidR="0091076B" w:rsidRPr="0091076B" w:rsidRDefault="0091076B" w:rsidP="0091076B">
      <w:pPr>
        <w:spacing w:line="240" w:lineRule="auto"/>
        <w:rPr>
          <w:rFonts w:eastAsia="Times New Roman" w:cs="Arial"/>
          <w:sz w:val="24"/>
          <w:szCs w:val="24"/>
        </w:rPr>
      </w:pPr>
      <w:r w:rsidRPr="0091076B">
        <w:rPr>
          <w:rFonts w:eastAsia="Times New Roman" w:cs="Arial"/>
          <w:color w:val="000000"/>
          <w:lang w:eastAsia="bg-BG"/>
        </w:rPr>
        <w:t>Свързването с плазмените протеини е приблизително 55%. Не се очакват прояви на токсичност при изместване от мястото на свързване с плазмените протеини.</w:t>
      </w:r>
    </w:p>
    <w:p w14:paraId="55076B31" w14:textId="77777777" w:rsidR="0091076B" w:rsidRPr="0091076B" w:rsidRDefault="0091076B" w:rsidP="0091076B">
      <w:pPr>
        <w:spacing w:line="240" w:lineRule="auto"/>
        <w:rPr>
          <w:rFonts w:eastAsia="Times New Roman" w:cs="Arial"/>
          <w:color w:val="000000"/>
          <w:lang w:eastAsia="bg-BG"/>
        </w:rPr>
      </w:pPr>
    </w:p>
    <w:p w14:paraId="60682D00" w14:textId="23C844E3" w:rsidR="0091076B" w:rsidRPr="0091076B" w:rsidRDefault="0091076B" w:rsidP="0091076B">
      <w:pPr>
        <w:spacing w:line="240" w:lineRule="auto"/>
        <w:rPr>
          <w:rFonts w:eastAsia="Times New Roman" w:cs="Arial"/>
          <w:sz w:val="24"/>
          <w:szCs w:val="24"/>
        </w:rPr>
      </w:pPr>
      <w:r w:rsidRPr="0091076B">
        <w:rPr>
          <w:rFonts w:eastAsia="Times New Roman" w:cs="Arial"/>
          <w:color w:val="000000"/>
          <w:lang w:eastAsia="bg-BG"/>
        </w:rPr>
        <w:t>Обемът на разпределение е от 0,92 до 1,22</w:t>
      </w:r>
      <w:r w:rsidRPr="0091076B">
        <w:rPr>
          <w:rFonts w:eastAsia="Times New Roman" w:cs="Arial"/>
          <w:color w:val="000000"/>
          <w:lang w:val="ru-RU"/>
        </w:rPr>
        <w:t>1/</w:t>
      </w:r>
      <w:r w:rsidRPr="0091076B">
        <w:rPr>
          <w:rFonts w:eastAsia="Times New Roman" w:cs="Arial"/>
          <w:color w:val="000000"/>
          <w:lang w:val="en-US"/>
        </w:rPr>
        <w:t>kg</w:t>
      </w:r>
      <w:r w:rsidRPr="0091076B">
        <w:rPr>
          <w:rFonts w:eastAsia="Times New Roman" w:cs="Arial"/>
          <w:color w:val="000000"/>
          <w:lang w:val="ru-RU"/>
        </w:rPr>
        <w:t>.</w:t>
      </w:r>
    </w:p>
    <w:p w14:paraId="231C6C14" w14:textId="77777777" w:rsidR="0091076B" w:rsidRPr="0091076B" w:rsidRDefault="0091076B" w:rsidP="0091076B">
      <w:pPr>
        <w:spacing w:line="240" w:lineRule="auto"/>
        <w:rPr>
          <w:rFonts w:eastAsia="Times New Roman" w:cs="Arial"/>
          <w:color w:val="000000"/>
          <w:u w:val="single"/>
          <w:lang w:eastAsia="bg-BG"/>
        </w:rPr>
      </w:pPr>
    </w:p>
    <w:p w14:paraId="17934A4B" w14:textId="177CA040" w:rsidR="0091076B" w:rsidRPr="0091076B" w:rsidRDefault="0091076B" w:rsidP="0091076B">
      <w:pPr>
        <w:pStyle w:val="Heading3"/>
        <w:rPr>
          <w:rFonts w:eastAsia="Times New Roman"/>
          <w:u w:val="single"/>
        </w:rPr>
      </w:pPr>
      <w:r w:rsidRPr="0091076B">
        <w:rPr>
          <w:rFonts w:eastAsia="Times New Roman"/>
          <w:u w:val="single"/>
          <w:lang w:eastAsia="bg-BG"/>
        </w:rPr>
        <w:t>Биотрансформация</w:t>
      </w:r>
    </w:p>
    <w:p w14:paraId="65A91CF1" w14:textId="77777777" w:rsidR="0091076B" w:rsidRPr="0091076B" w:rsidRDefault="0091076B" w:rsidP="0091076B">
      <w:pPr>
        <w:spacing w:line="240" w:lineRule="auto"/>
        <w:rPr>
          <w:rFonts w:eastAsia="Times New Roman" w:cs="Arial"/>
          <w:color w:val="000000"/>
          <w:lang w:eastAsia="bg-BG"/>
        </w:rPr>
      </w:pPr>
    </w:p>
    <w:p w14:paraId="0895EB4D" w14:textId="146AF0EB" w:rsidR="0091076B" w:rsidRPr="0091076B" w:rsidRDefault="0091076B" w:rsidP="0091076B">
      <w:pPr>
        <w:spacing w:line="240" w:lineRule="auto"/>
        <w:rPr>
          <w:rFonts w:eastAsia="Times New Roman" w:cs="Arial"/>
          <w:sz w:val="24"/>
          <w:szCs w:val="24"/>
        </w:rPr>
      </w:pPr>
      <w:r w:rsidRPr="0091076B">
        <w:rPr>
          <w:rFonts w:eastAsia="Times New Roman" w:cs="Arial"/>
          <w:color w:val="000000"/>
          <w:lang w:eastAsia="bg-BG"/>
        </w:rPr>
        <w:t xml:space="preserve">Ламотригин се метаболизира от ензимите </w:t>
      </w:r>
      <w:r w:rsidRPr="0091076B">
        <w:rPr>
          <w:rFonts w:eastAsia="Times New Roman" w:cs="Arial"/>
          <w:color w:val="000000"/>
          <w:lang w:val="en-US"/>
        </w:rPr>
        <w:t>UDP</w:t>
      </w:r>
      <w:r w:rsidRPr="0091076B">
        <w:rPr>
          <w:rFonts w:eastAsia="Times New Roman" w:cs="Arial"/>
          <w:color w:val="000000"/>
          <w:lang w:eastAsia="bg-BG"/>
        </w:rPr>
        <w:t>-глюкуронил трансферази.</w:t>
      </w:r>
    </w:p>
    <w:p w14:paraId="02681732" w14:textId="77777777" w:rsidR="0091076B" w:rsidRPr="0091076B" w:rsidRDefault="0091076B" w:rsidP="0091076B">
      <w:pPr>
        <w:spacing w:line="240" w:lineRule="auto"/>
        <w:rPr>
          <w:rFonts w:eastAsia="Times New Roman" w:cs="Arial"/>
          <w:color w:val="000000"/>
          <w:lang w:eastAsia="bg-BG"/>
        </w:rPr>
      </w:pPr>
    </w:p>
    <w:p w14:paraId="3B06D3B9" w14:textId="77777777" w:rsidR="0091076B" w:rsidRPr="0091076B" w:rsidRDefault="0091076B" w:rsidP="0091076B">
      <w:pPr>
        <w:spacing w:line="240" w:lineRule="auto"/>
        <w:rPr>
          <w:rFonts w:eastAsia="Times New Roman" w:cs="Arial"/>
          <w:color w:val="000000"/>
          <w:lang w:eastAsia="bg-BG"/>
        </w:rPr>
      </w:pPr>
    </w:p>
    <w:p w14:paraId="7A70AA75" w14:textId="04D002C4" w:rsidR="0091076B" w:rsidRPr="0091076B" w:rsidRDefault="0091076B" w:rsidP="0091076B">
      <w:pPr>
        <w:spacing w:line="240" w:lineRule="auto"/>
        <w:rPr>
          <w:rFonts w:eastAsia="Times New Roman" w:cs="Arial"/>
          <w:sz w:val="24"/>
          <w:szCs w:val="24"/>
        </w:rPr>
      </w:pPr>
      <w:r w:rsidRPr="0091076B">
        <w:rPr>
          <w:rFonts w:eastAsia="Times New Roman" w:cs="Arial"/>
          <w:color w:val="000000"/>
          <w:lang w:eastAsia="bg-BG"/>
        </w:rPr>
        <w:t>В много малка степен в зависимост от дозата ламотригин може да индуцира собствения си метаболизъм. Няма доказателства за влияние на ламотригин върху фармакокинетиката на други АЕЛ. Не се очакват взаимодействия между ламотригин и лекарствените продукти, които се метаболизират от цитохром Р450 ензимите.</w:t>
      </w:r>
    </w:p>
    <w:p w14:paraId="5428FBC3" w14:textId="77777777" w:rsidR="0091076B" w:rsidRPr="0091076B" w:rsidRDefault="0091076B" w:rsidP="0091076B">
      <w:pPr>
        <w:spacing w:line="240" w:lineRule="auto"/>
        <w:rPr>
          <w:rFonts w:eastAsia="Times New Roman" w:cs="Arial"/>
          <w:color w:val="000000"/>
          <w:u w:val="single"/>
          <w:lang w:eastAsia="bg-BG"/>
        </w:rPr>
      </w:pPr>
    </w:p>
    <w:p w14:paraId="4F484144" w14:textId="6E4E7D47" w:rsidR="0091076B" w:rsidRPr="0091076B" w:rsidRDefault="0091076B" w:rsidP="0091076B">
      <w:pPr>
        <w:pStyle w:val="Heading3"/>
        <w:rPr>
          <w:rFonts w:eastAsia="Times New Roman"/>
          <w:u w:val="single"/>
        </w:rPr>
      </w:pPr>
      <w:r w:rsidRPr="0091076B">
        <w:rPr>
          <w:rFonts w:eastAsia="Times New Roman"/>
          <w:u w:val="single"/>
          <w:lang w:eastAsia="bg-BG"/>
        </w:rPr>
        <w:t>Елиминиране</w:t>
      </w:r>
    </w:p>
    <w:p w14:paraId="56185988" w14:textId="77777777" w:rsidR="0091076B" w:rsidRPr="0091076B" w:rsidRDefault="0091076B" w:rsidP="0091076B">
      <w:pPr>
        <w:spacing w:line="240" w:lineRule="auto"/>
        <w:rPr>
          <w:rFonts w:eastAsia="Times New Roman" w:cs="Arial"/>
          <w:color w:val="000000"/>
          <w:lang w:eastAsia="bg-BG"/>
        </w:rPr>
      </w:pPr>
    </w:p>
    <w:p w14:paraId="21FCA3CC" w14:textId="434F590E" w:rsidR="0091076B" w:rsidRPr="0091076B" w:rsidRDefault="0091076B" w:rsidP="0091076B">
      <w:pPr>
        <w:spacing w:line="240" w:lineRule="auto"/>
        <w:rPr>
          <w:rFonts w:eastAsia="Times New Roman" w:cs="Arial"/>
          <w:sz w:val="24"/>
          <w:szCs w:val="24"/>
        </w:rPr>
      </w:pPr>
      <w:r w:rsidRPr="0091076B">
        <w:rPr>
          <w:rFonts w:eastAsia="Times New Roman" w:cs="Arial"/>
          <w:color w:val="000000"/>
          <w:lang w:eastAsia="bg-BG"/>
        </w:rPr>
        <w:t xml:space="preserve">Плазменият клирънс при здрави лица е приблизително 30 </w:t>
      </w:r>
      <w:r w:rsidRPr="0091076B">
        <w:rPr>
          <w:rFonts w:eastAsia="Times New Roman" w:cs="Arial"/>
          <w:color w:val="000000"/>
          <w:lang w:val="en-US"/>
        </w:rPr>
        <w:t>mL</w:t>
      </w:r>
      <w:r w:rsidRPr="0091076B">
        <w:rPr>
          <w:rFonts w:eastAsia="Times New Roman" w:cs="Arial"/>
          <w:color w:val="000000"/>
          <w:lang w:val="ru-RU"/>
        </w:rPr>
        <w:t>/</w:t>
      </w:r>
      <w:r w:rsidRPr="0091076B">
        <w:rPr>
          <w:rFonts w:eastAsia="Times New Roman" w:cs="Arial"/>
          <w:color w:val="000000"/>
          <w:lang w:val="en-US"/>
        </w:rPr>
        <w:t>min</w:t>
      </w:r>
      <w:r w:rsidRPr="0091076B">
        <w:rPr>
          <w:rFonts w:eastAsia="Times New Roman" w:cs="Arial"/>
          <w:color w:val="000000"/>
          <w:lang w:val="ru-RU"/>
        </w:rPr>
        <w:t xml:space="preserve">. </w:t>
      </w:r>
      <w:r w:rsidRPr="0091076B">
        <w:rPr>
          <w:rFonts w:eastAsia="Times New Roman" w:cs="Arial"/>
          <w:color w:val="000000"/>
          <w:lang w:eastAsia="bg-BG"/>
        </w:rPr>
        <w:t xml:space="preserve">Клирънсът на ламотригин е предимно чрез метаболизиране с последващо елиминиране под формата на глюкуронид- конюгат с урината. По-малко от 10% от ламотригин се екскретират непроменени с урината. Само около 2% се екскретират с фецеса. Клирънсът и времето на полуживот не са зависими от дозата. Плазменият полуживот при здрави лица е изчислен приблизително на около 33 часа (интервал от 14 до 103 часа). При проучване с пациенти със синдром на </w:t>
      </w:r>
      <w:r w:rsidRPr="0091076B">
        <w:rPr>
          <w:rFonts w:eastAsia="Times New Roman" w:cs="Arial"/>
          <w:color w:val="000000"/>
          <w:lang w:val="en-US"/>
        </w:rPr>
        <w:t>Gilbert</w:t>
      </w:r>
      <w:r w:rsidRPr="0091076B">
        <w:rPr>
          <w:rFonts w:eastAsia="Times New Roman" w:cs="Arial"/>
          <w:color w:val="000000"/>
          <w:lang w:val="ru-RU"/>
        </w:rPr>
        <w:t xml:space="preserve">, </w:t>
      </w:r>
      <w:r w:rsidRPr="0091076B">
        <w:rPr>
          <w:rFonts w:eastAsia="Times New Roman" w:cs="Arial"/>
          <w:color w:val="000000"/>
          <w:lang w:eastAsia="bg-BG"/>
        </w:rPr>
        <w:t>средният клирънс е понижен с 32% в сравнение с нормалните контроли, но стойностите са в границите за общата популация.</w:t>
      </w:r>
    </w:p>
    <w:p w14:paraId="4CF49936" w14:textId="77777777" w:rsidR="0091076B" w:rsidRPr="0091076B" w:rsidRDefault="0091076B" w:rsidP="0091076B">
      <w:pPr>
        <w:spacing w:line="240" w:lineRule="auto"/>
        <w:rPr>
          <w:rFonts w:eastAsia="Times New Roman" w:cs="Arial"/>
          <w:color w:val="000000"/>
          <w:lang w:eastAsia="bg-BG"/>
        </w:rPr>
      </w:pPr>
    </w:p>
    <w:p w14:paraId="742497A2" w14:textId="0FF534BB" w:rsidR="0091076B" w:rsidRPr="0091076B" w:rsidRDefault="0091076B" w:rsidP="0091076B">
      <w:pPr>
        <w:spacing w:line="240" w:lineRule="auto"/>
        <w:rPr>
          <w:rFonts w:eastAsia="Times New Roman" w:cs="Arial"/>
          <w:sz w:val="24"/>
          <w:szCs w:val="24"/>
        </w:rPr>
      </w:pPr>
      <w:r w:rsidRPr="0091076B">
        <w:rPr>
          <w:rFonts w:eastAsia="Times New Roman" w:cs="Arial"/>
          <w:color w:val="000000"/>
          <w:lang w:eastAsia="bg-BG"/>
        </w:rPr>
        <w:t>Времето на полуживот на ламотригин се променя значително при едновременно прилагане с други лекарства. При едновременно прилагане с лекарства, които активират глюкуронирането като карбамазепин и фенитоин, средното време на полуживот на ламотригин се редуцира</w:t>
      </w:r>
    </w:p>
    <w:p w14:paraId="2EE03D71" w14:textId="5EA69E0F" w:rsidR="0091076B" w:rsidRPr="0091076B" w:rsidRDefault="0091076B" w:rsidP="0091076B">
      <w:pPr>
        <w:rPr>
          <w:rFonts w:eastAsia="Times New Roman" w:cs="Arial"/>
          <w:color w:val="000000"/>
          <w:lang w:eastAsia="bg-BG"/>
        </w:rPr>
      </w:pPr>
      <w:r w:rsidRPr="0091076B">
        <w:rPr>
          <w:rFonts w:eastAsia="Times New Roman" w:cs="Arial"/>
          <w:color w:val="000000"/>
          <w:lang w:eastAsia="bg-BG"/>
        </w:rPr>
        <w:t>приблизително до 14 часа, също така, при съвместно прилагане с валпроат, се удължава средно приблизително до 70 часа (вж. точка 4.2).</w:t>
      </w:r>
    </w:p>
    <w:p w14:paraId="390A7F70" w14:textId="62C7CB4B" w:rsidR="0091076B" w:rsidRPr="0091076B" w:rsidRDefault="0091076B" w:rsidP="0091076B">
      <w:pPr>
        <w:rPr>
          <w:rFonts w:eastAsia="Times New Roman" w:cs="Arial"/>
          <w:color w:val="000000"/>
          <w:lang w:eastAsia="bg-BG"/>
        </w:rPr>
      </w:pPr>
    </w:p>
    <w:p w14:paraId="460A88C9" w14:textId="77777777" w:rsidR="0091076B" w:rsidRPr="0091076B" w:rsidRDefault="0091076B" w:rsidP="0091076B">
      <w:pPr>
        <w:pStyle w:val="Heading3"/>
        <w:rPr>
          <w:rFonts w:eastAsia="Times New Roman"/>
          <w:u w:val="single"/>
        </w:rPr>
      </w:pPr>
      <w:r w:rsidRPr="0091076B">
        <w:rPr>
          <w:rFonts w:eastAsia="Times New Roman"/>
          <w:u w:val="single"/>
          <w:lang w:eastAsia="bg-BG"/>
        </w:rPr>
        <w:t>Линейност</w:t>
      </w:r>
    </w:p>
    <w:p w14:paraId="000C4767" w14:textId="77777777" w:rsidR="0091076B" w:rsidRPr="0091076B" w:rsidRDefault="0091076B" w:rsidP="0091076B">
      <w:pPr>
        <w:spacing w:line="240" w:lineRule="auto"/>
        <w:rPr>
          <w:rFonts w:eastAsia="Times New Roman" w:cs="Arial"/>
          <w:color w:val="000000"/>
          <w:lang w:eastAsia="bg-BG"/>
        </w:rPr>
      </w:pPr>
    </w:p>
    <w:p w14:paraId="1D2E6641" w14:textId="4EE9F296" w:rsidR="0091076B" w:rsidRPr="0091076B" w:rsidRDefault="0091076B" w:rsidP="0091076B">
      <w:pPr>
        <w:spacing w:line="240" w:lineRule="auto"/>
        <w:rPr>
          <w:rFonts w:eastAsia="Times New Roman" w:cs="Arial"/>
          <w:sz w:val="24"/>
          <w:szCs w:val="24"/>
        </w:rPr>
      </w:pPr>
      <w:r w:rsidRPr="0091076B">
        <w:rPr>
          <w:rFonts w:eastAsia="Times New Roman" w:cs="Arial"/>
          <w:color w:val="000000"/>
          <w:lang w:eastAsia="bg-BG"/>
        </w:rPr>
        <w:t xml:space="preserve">Фармакокинетиката на ламотригин </w:t>
      </w:r>
      <w:r w:rsidRPr="0091076B">
        <w:rPr>
          <w:rFonts w:eastAsia="Times New Roman" w:cs="Arial"/>
          <w:i/>
          <w:iCs/>
          <w:color w:val="000000"/>
          <w:lang w:eastAsia="bg-BG"/>
        </w:rPr>
        <w:t>е</w:t>
      </w:r>
      <w:r w:rsidRPr="0091076B">
        <w:rPr>
          <w:rFonts w:eastAsia="Times New Roman" w:cs="Arial"/>
          <w:color w:val="000000"/>
          <w:lang w:eastAsia="bg-BG"/>
        </w:rPr>
        <w:t xml:space="preserve"> линейна до 450 </w:t>
      </w:r>
      <w:r w:rsidRPr="0091076B">
        <w:rPr>
          <w:rFonts w:eastAsia="Times New Roman" w:cs="Arial"/>
          <w:color w:val="000000"/>
          <w:lang w:val="en-US"/>
        </w:rPr>
        <w:t>mg</w:t>
      </w:r>
      <w:r w:rsidRPr="0091076B">
        <w:rPr>
          <w:rFonts w:eastAsia="Times New Roman" w:cs="Arial"/>
          <w:color w:val="000000"/>
          <w:lang w:val="ru-RU"/>
        </w:rPr>
        <w:t xml:space="preserve"> </w:t>
      </w:r>
      <w:r w:rsidRPr="0091076B">
        <w:rPr>
          <w:rFonts w:eastAsia="Times New Roman" w:cs="Arial"/>
          <w:color w:val="000000"/>
          <w:lang w:eastAsia="bg-BG"/>
        </w:rPr>
        <w:t>- най-високата еднократна изпитвана доза.</w:t>
      </w:r>
    </w:p>
    <w:p w14:paraId="33294B63" w14:textId="77777777" w:rsidR="0091076B" w:rsidRPr="0091076B" w:rsidRDefault="0091076B" w:rsidP="0091076B">
      <w:pPr>
        <w:spacing w:line="240" w:lineRule="auto"/>
        <w:rPr>
          <w:rFonts w:eastAsia="Times New Roman" w:cs="Arial"/>
          <w:color w:val="000000"/>
          <w:u w:val="single"/>
          <w:lang w:eastAsia="bg-BG"/>
        </w:rPr>
      </w:pPr>
    </w:p>
    <w:p w14:paraId="1815A049" w14:textId="721BE4E6" w:rsidR="0091076B" w:rsidRPr="0091076B" w:rsidRDefault="0091076B" w:rsidP="0091076B">
      <w:pPr>
        <w:spacing w:line="240" w:lineRule="auto"/>
        <w:rPr>
          <w:rFonts w:eastAsia="Times New Roman" w:cs="Arial"/>
          <w:sz w:val="24"/>
          <w:szCs w:val="24"/>
        </w:rPr>
      </w:pPr>
      <w:r w:rsidRPr="0091076B">
        <w:rPr>
          <w:rFonts w:eastAsia="Times New Roman" w:cs="Arial"/>
          <w:color w:val="000000"/>
          <w:u w:val="single"/>
          <w:lang w:eastAsia="bg-BG"/>
        </w:rPr>
        <w:t>Специални групи пациенти</w:t>
      </w:r>
    </w:p>
    <w:p w14:paraId="289E18F2" w14:textId="77777777" w:rsidR="0091076B" w:rsidRPr="0091076B" w:rsidRDefault="0091076B" w:rsidP="0091076B">
      <w:pPr>
        <w:spacing w:line="240" w:lineRule="auto"/>
        <w:rPr>
          <w:rFonts w:eastAsia="Times New Roman" w:cs="Arial"/>
          <w:color w:val="000000"/>
          <w:lang w:eastAsia="bg-BG"/>
        </w:rPr>
      </w:pPr>
    </w:p>
    <w:p w14:paraId="497BA68B" w14:textId="40D4E64B" w:rsidR="0091076B" w:rsidRPr="0091076B" w:rsidRDefault="0091076B" w:rsidP="0091076B">
      <w:pPr>
        <w:spacing w:line="240" w:lineRule="auto"/>
        <w:rPr>
          <w:rFonts w:eastAsia="Times New Roman" w:cs="Arial"/>
          <w:i/>
          <w:color w:val="000000"/>
          <w:lang w:eastAsia="bg-BG"/>
        </w:rPr>
      </w:pPr>
      <w:r w:rsidRPr="0091076B">
        <w:rPr>
          <w:rFonts w:eastAsia="Times New Roman" w:cs="Arial"/>
          <w:i/>
          <w:color w:val="000000"/>
          <w:lang w:eastAsia="bg-BG"/>
        </w:rPr>
        <w:t>Деца</w:t>
      </w:r>
    </w:p>
    <w:p w14:paraId="10B2CDBD" w14:textId="542FD142" w:rsidR="0091076B" w:rsidRPr="0091076B" w:rsidRDefault="0091076B" w:rsidP="0091076B">
      <w:pPr>
        <w:spacing w:line="240" w:lineRule="auto"/>
        <w:rPr>
          <w:rFonts w:eastAsia="Times New Roman" w:cs="Arial"/>
          <w:sz w:val="24"/>
          <w:szCs w:val="24"/>
        </w:rPr>
      </w:pPr>
      <w:r w:rsidRPr="0091076B">
        <w:rPr>
          <w:rFonts w:eastAsia="Times New Roman" w:cs="Arial"/>
          <w:color w:val="000000"/>
          <w:lang w:eastAsia="bg-BG"/>
        </w:rPr>
        <w:t>При определяне на клирънса спрямо телесното тегло, при деца се установяват по-високи стойности от тези при възрастни, като най-високи са при лица под 5 години. Времето на полуживот на ламотригин при деца най-общо е по-малко от това при възрастни като средната стойност е приблизително 7 часа при прилагане с лекарствени продукти, които индуцират ензимни системи като карбамазепин и фенитоин и се удължава до средни стойности от 45 до 50 часа при едновременно прилагане само с валпроат (вж. точка 4.2).</w:t>
      </w:r>
    </w:p>
    <w:p w14:paraId="36A6BDDA" w14:textId="77777777" w:rsidR="0091076B" w:rsidRPr="0091076B" w:rsidRDefault="0091076B" w:rsidP="0091076B">
      <w:pPr>
        <w:spacing w:line="240" w:lineRule="auto"/>
        <w:rPr>
          <w:rFonts w:eastAsia="Times New Roman" w:cs="Arial"/>
          <w:i/>
          <w:iCs/>
          <w:color w:val="000000"/>
          <w:lang w:eastAsia="bg-BG"/>
        </w:rPr>
      </w:pPr>
    </w:p>
    <w:p w14:paraId="368B8E7F" w14:textId="4293AED3" w:rsidR="0091076B" w:rsidRPr="0091076B" w:rsidRDefault="0091076B" w:rsidP="0091076B">
      <w:pPr>
        <w:spacing w:line="240" w:lineRule="auto"/>
        <w:rPr>
          <w:rFonts w:eastAsia="Times New Roman" w:cs="Arial"/>
          <w:sz w:val="24"/>
          <w:szCs w:val="24"/>
        </w:rPr>
      </w:pPr>
      <w:r w:rsidRPr="0091076B">
        <w:rPr>
          <w:rFonts w:eastAsia="Times New Roman" w:cs="Arial"/>
          <w:i/>
          <w:iCs/>
          <w:color w:val="000000"/>
          <w:lang w:eastAsia="bg-BG"/>
        </w:rPr>
        <w:t>Малки деца на възраст от 2 до 26 месеца</w:t>
      </w:r>
    </w:p>
    <w:p w14:paraId="22E678E1" w14:textId="77777777" w:rsidR="0091076B" w:rsidRPr="0091076B" w:rsidRDefault="0091076B" w:rsidP="0091076B">
      <w:pPr>
        <w:spacing w:line="240" w:lineRule="auto"/>
        <w:rPr>
          <w:rFonts w:eastAsia="Times New Roman" w:cs="Arial"/>
          <w:sz w:val="24"/>
          <w:szCs w:val="24"/>
        </w:rPr>
      </w:pPr>
      <w:r w:rsidRPr="0091076B">
        <w:rPr>
          <w:rFonts w:eastAsia="Times New Roman" w:cs="Arial"/>
          <w:color w:val="000000"/>
          <w:lang w:eastAsia="bg-BG"/>
        </w:rPr>
        <w:t xml:space="preserve">При 143 педиатрични пациенти на възраст от 2 до 26 месеца, тежащи от 3 до 16 </w:t>
      </w:r>
      <w:r w:rsidRPr="0091076B">
        <w:rPr>
          <w:rFonts w:eastAsia="Times New Roman" w:cs="Arial"/>
          <w:color w:val="000000"/>
          <w:lang w:val="en-US"/>
        </w:rPr>
        <w:t>kg</w:t>
      </w:r>
      <w:r w:rsidRPr="0091076B">
        <w:rPr>
          <w:rFonts w:eastAsia="Times New Roman" w:cs="Arial"/>
          <w:color w:val="000000"/>
          <w:lang w:val="ru-RU"/>
        </w:rPr>
        <w:t xml:space="preserve">, </w:t>
      </w:r>
      <w:r w:rsidRPr="0091076B">
        <w:rPr>
          <w:rFonts w:eastAsia="Times New Roman" w:cs="Arial"/>
          <w:color w:val="000000"/>
          <w:lang w:eastAsia="bg-BG"/>
        </w:rPr>
        <w:t xml:space="preserve">клирънсът е намален в сравнение с по-големи деца със същото телесно тегло, приемащи подобни перорални дози на </w:t>
      </w:r>
      <w:r w:rsidRPr="0091076B">
        <w:rPr>
          <w:rFonts w:eastAsia="Times New Roman" w:cs="Arial"/>
          <w:color w:val="000000"/>
          <w:lang w:val="en-US"/>
        </w:rPr>
        <w:t>kg</w:t>
      </w:r>
      <w:r w:rsidRPr="0091076B">
        <w:rPr>
          <w:rFonts w:eastAsia="Times New Roman" w:cs="Arial"/>
          <w:color w:val="000000"/>
          <w:lang w:val="ru-RU"/>
        </w:rPr>
        <w:t xml:space="preserve"> </w:t>
      </w:r>
      <w:r w:rsidRPr="0091076B">
        <w:rPr>
          <w:rFonts w:eastAsia="Times New Roman" w:cs="Arial"/>
          <w:color w:val="000000"/>
          <w:lang w:eastAsia="bg-BG"/>
        </w:rPr>
        <w:t xml:space="preserve">телесно тегло като децата, по-големи от 2 години. </w:t>
      </w:r>
      <w:r w:rsidRPr="0091076B">
        <w:rPr>
          <w:rFonts w:eastAsia="Times New Roman" w:cs="Arial"/>
          <w:color w:val="000000"/>
          <w:lang w:eastAsia="bg-BG"/>
        </w:rPr>
        <w:lastRenderedPageBreak/>
        <w:t>Средното време на полуживот е изчислено на 23 часа при децата на възраст под 26 месеца, които са на терапия с ензимни индуктори, на 136 часа при едновременно прилагане с валпроат и на 38 часа при лица, лекувани без ензимни индуктори/инхибитори. Интериндивидуалната вариабилност на пероралния клирънс е по-голяма в групата на педиатричните пациенти на 2 до 26 месеца (47%).</w:t>
      </w:r>
    </w:p>
    <w:p w14:paraId="7EB801F0" w14:textId="77777777" w:rsidR="0091076B" w:rsidRPr="0091076B" w:rsidRDefault="0091076B" w:rsidP="0091076B">
      <w:pPr>
        <w:spacing w:line="240" w:lineRule="auto"/>
        <w:rPr>
          <w:rFonts w:eastAsia="Times New Roman" w:cs="Arial"/>
          <w:sz w:val="24"/>
          <w:szCs w:val="24"/>
        </w:rPr>
      </w:pPr>
      <w:r w:rsidRPr="0091076B">
        <w:rPr>
          <w:rFonts w:eastAsia="Times New Roman" w:cs="Arial"/>
          <w:color w:val="000000"/>
          <w:lang w:eastAsia="bg-BG"/>
        </w:rPr>
        <w:t xml:space="preserve">Предполагаемите нива на серумна концентрация при деца от 2 до 26 месеца като цяло са в същия интервал като при по-големите деца, въпреки че при някои деца с телесно тегло под 10 </w:t>
      </w:r>
      <w:r w:rsidRPr="0091076B">
        <w:rPr>
          <w:rFonts w:eastAsia="Times New Roman" w:cs="Arial"/>
          <w:color w:val="000000"/>
          <w:lang w:val="en-US"/>
        </w:rPr>
        <w:t>kg</w:t>
      </w:r>
      <w:r w:rsidRPr="0091076B">
        <w:rPr>
          <w:rFonts w:eastAsia="Times New Roman" w:cs="Arial"/>
          <w:color w:val="000000"/>
          <w:lang w:val="ru-RU"/>
        </w:rPr>
        <w:t xml:space="preserve"> </w:t>
      </w:r>
      <w:r w:rsidRPr="0091076B">
        <w:rPr>
          <w:rFonts w:eastAsia="Times New Roman" w:cs="Arial"/>
          <w:color w:val="000000"/>
          <w:lang w:eastAsia="bg-BG"/>
        </w:rPr>
        <w:t>може да се установят по-високи С</w:t>
      </w:r>
      <w:r w:rsidRPr="0091076B">
        <w:rPr>
          <w:rFonts w:eastAsia="Times New Roman" w:cs="Arial"/>
          <w:color w:val="000000"/>
          <w:vertAlign w:val="subscript"/>
          <w:lang w:val="en-US"/>
        </w:rPr>
        <w:t>max</w:t>
      </w:r>
      <w:r w:rsidRPr="0091076B">
        <w:rPr>
          <w:rFonts w:eastAsia="Times New Roman" w:cs="Arial"/>
          <w:color w:val="000000"/>
          <w:lang w:eastAsia="bg-BG"/>
        </w:rPr>
        <w:t xml:space="preserve"> нива.</w:t>
      </w:r>
    </w:p>
    <w:p w14:paraId="41EB5F64" w14:textId="77777777" w:rsidR="0091076B" w:rsidRPr="0091076B" w:rsidRDefault="0091076B" w:rsidP="0091076B">
      <w:pPr>
        <w:spacing w:line="240" w:lineRule="auto"/>
        <w:rPr>
          <w:rFonts w:eastAsia="Times New Roman" w:cs="Arial"/>
          <w:i/>
          <w:iCs/>
          <w:color w:val="000000"/>
          <w:lang w:eastAsia="bg-BG"/>
        </w:rPr>
      </w:pPr>
    </w:p>
    <w:p w14:paraId="742F48D9" w14:textId="35CE2EEF" w:rsidR="0091076B" w:rsidRPr="0091076B" w:rsidRDefault="0091076B" w:rsidP="0091076B">
      <w:pPr>
        <w:spacing w:line="240" w:lineRule="auto"/>
        <w:rPr>
          <w:rFonts w:eastAsia="Times New Roman" w:cs="Arial"/>
          <w:sz w:val="24"/>
          <w:szCs w:val="24"/>
        </w:rPr>
      </w:pPr>
      <w:r w:rsidRPr="0091076B">
        <w:rPr>
          <w:rFonts w:eastAsia="Times New Roman" w:cs="Arial"/>
          <w:i/>
          <w:iCs/>
          <w:color w:val="000000"/>
          <w:lang w:eastAsia="bg-BG"/>
        </w:rPr>
        <w:t>Пациенти в старческа възраст</w:t>
      </w:r>
    </w:p>
    <w:p w14:paraId="550AA5FD" w14:textId="77777777" w:rsidR="0091076B" w:rsidRPr="0091076B" w:rsidRDefault="0091076B" w:rsidP="0091076B">
      <w:pPr>
        <w:spacing w:line="240" w:lineRule="auto"/>
        <w:rPr>
          <w:rFonts w:eastAsia="Times New Roman" w:cs="Arial"/>
          <w:sz w:val="24"/>
          <w:szCs w:val="24"/>
        </w:rPr>
      </w:pPr>
      <w:r w:rsidRPr="0091076B">
        <w:rPr>
          <w:rFonts w:eastAsia="Times New Roman" w:cs="Arial"/>
          <w:color w:val="000000"/>
          <w:lang w:eastAsia="bg-BG"/>
        </w:rPr>
        <w:t xml:space="preserve">Проведен е популационен фармакокинетичен анализ при млади пациенти и при пациенти в напреднала възраст с епилепсия, които са включени в едни и същи изпитвания. При оценка на резултатите не се установяват клинично значими промени в клирънса на ламотригин. При прием на еднократна доза се установяват с 12 % по-ниски стойности на привидния клирънс, като съответно за 20 годишна възраст са около 35 </w:t>
      </w:r>
      <w:r w:rsidRPr="0091076B">
        <w:rPr>
          <w:rFonts w:eastAsia="Times New Roman" w:cs="Arial"/>
          <w:color w:val="000000"/>
          <w:lang w:val="en-US"/>
        </w:rPr>
        <w:t>ml</w:t>
      </w:r>
      <w:r w:rsidRPr="0091076B">
        <w:rPr>
          <w:rFonts w:eastAsia="Times New Roman" w:cs="Arial"/>
          <w:color w:val="000000"/>
          <w:lang w:val="ru-RU"/>
        </w:rPr>
        <w:t>/</w:t>
      </w:r>
      <w:r w:rsidRPr="0091076B">
        <w:rPr>
          <w:rFonts w:eastAsia="Times New Roman" w:cs="Arial"/>
          <w:color w:val="000000"/>
          <w:lang w:val="en-US"/>
        </w:rPr>
        <w:t>min</w:t>
      </w:r>
      <w:r w:rsidRPr="0091076B">
        <w:rPr>
          <w:rFonts w:eastAsia="Times New Roman" w:cs="Arial"/>
          <w:color w:val="000000"/>
          <w:lang w:val="ru-RU"/>
        </w:rPr>
        <w:t xml:space="preserve">, </w:t>
      </w:r>
      <w:r w:rsidRPr="0091076B">
        <w:rPr>
          <w:rFonts w:eastAsia="Times New Roman" w:cs="Arial"/>
          <w:color w:val="000000"/>
          <w:lang w:eastAsia="bg-BG"/>
        </w:rPr>
        <w:t xml:space="preserve">докато при пациенти на 70 годишна възраст са 31 </w:t>
      </w:r>
      <w:r w:rsidRPr="0091076B">
        <w:rPr>
          <w:rFonts w:eastAsia="Times New Roman" w:cs="Arial"/>
          <w:color w:val="000000"/>
          <w:lang w:val="en-US"/>
        </w:rPr>
        <w:t>ml</w:t>
      </w:r>
      <w:r w:rsidRPr="0091076B">
        <w:rPr>
          <w:rFonts w:eastAsia="Times New Roman" w:cs="Arial"/>
          <w:color w:val="000000"/>
          <w:lang w:val="ru-RU"/>
        </w:rPr>
        <w:t>/</w:t>
      </w:r>
      <w:r w:rsidRPr="0091076B">
        <w:rPr>
          <w:rFonts w:eastAsia="Times New Roman" w:cs="Arial"/>
          <w:color w:val="000000"/>
          <w:lang w:val="en-US"/>
        </w:rPr>
        <w:t>min</w:t>
      </w:r>
      <w:r w:rsidRPr="0091076B">
        <w:rPr>
          <w:rFonts w:eastAsia="Times New Roman" w:cs="Arial"/>
          <w:color w:val="000000"/>
          <w:lang w:val="ru-RU"/>
        </w:rPr>
        <w:t xml:space="preserve">. </w:t>
      </w:r>
      <w:r w:rsidRPr="0091076B">
        <w:rPr>
          <w:rFonts w:eastAsia="Times New Roman" w:cs="Arial"/>
          <w:color w:val="000000"/>
          <w:lang w:eastAsia="bg-BG"/>
        </w:rPr>
        <w:t xml:space="preserve">Понижаване от 10 % се установява след лечение в продължение на 48 седмици, като стойностите сътветно са от 41 до 37 </w:t>
      </w:r>
      <w:r w:rsidRPr="0091076B">
        <w:rPr>
          <w:rFonts w:eastAsia="Times New Roman" w:cs="Arial"/>
          <w:color w:val="000000"/>
          <w:lang w:val="en-US"/>
        </w:rPr>
        <w:t>ml</w:t>
      </w:r>
      <w:r w:rsidRPr="0091076B">
        <w:rPr>
          <w:rFonts w:eastAsia="Times New Roman" w:cs="Arial"/>
          <w:color w:val="000000"/>
          <w:lang w:val="ru-RU"/>
        </w:rPr>
        <w:t>/</w:t>
      </w:r>
      <w:r w:rsidRPr="0091076B">
        <w:rPr>
          <w:rFonts w:eastAsia="Times New Roman" w:cs="Arial"/>
          <w:color w:val="000000"/>
          <w:lang w:val="en-US"/>
        </w:rPr>
        <w:t>min</w:t>
      </w:r>
      <w:r w:rsidRPr="0091076B">
        <w:rPr>
          <w:rFonts w:eastAsia="Times New Roman" w:cs="Arial"/>
          <w:color w:val="000000"/>
          <w:lang w:val="ru-RU"/>
        </w:rPr>
        <w:t xml:space="preserve"> </w:t>
      </w:r>
      <w:r w:rsidRPr="0091076B">
        <w:rPr>
          <w:rFonts w:eastAsia="Times New Roman" w:cs="Arial"/>
          <w:color w:val="000000"/>
          <w:lang w:eastAsia="bg-BG"/>
        </w:rPr>
        <w:t xml:space="preserve">за двете възрастови групи. Проведени са и проучвания на фармакокинетиката на ламотригин след еднократен прием на 150 </w:t>
      </w:r>
      <w:r w:rsidRPr="0091076B">
        <w:rPr>
          <w:rFonts w:eastAsia="Times New Roman" w:cs="Arial"/>
          <w:color w:val="000000"/>
          <w:lang w:val="en-US"/>
        </w:rPr>
        <w:t>mg</w:t>
      </w:r>
      <w:r w:rsidRPr="0091076B">
        <w:rPr>
          <w:rFonts w:eastAsia="Times New Roman" w:cs="Arial"/>
          <w:color w:val="000000"/>
          <w:lang w:val="ru-RU"/>
        </w:rPr>
        <w:t xml:space="preserve"> </w:t>
      </w:r>
      <w:r w:rsidRPr="0091076B">
        <w:rPr>
          <w:rFonts w:eastAsia="Times New Roman" w:cs="Arial"/>
          <w:color w:val="000000"/>
          <w:lang w:eastAsia="bg-BG"/>
        </w:rPr>
        <w:t xml:space="preserve">при 12 здрави лица в старческа възраст. Средните стойности на клирънса при тези пациенти (0,39 </w:t>
      </w:r>
      <w:r w:rsidRPr="0091076B">
        <w:rPr>
          <w:rFonts w:eastAsia="Times New Roman" w:cs="Arial"/>
          <w:color w:val="000000"/>
          <w:lang w:val="en-US"/>
        </w:rPr>
        <w:t>ml</w:t>
      </w:r>
      <w:r w:rsidRPr="0091076B">
        <w:rPr>
          <w:rFonts w:eastAsia="Times New Roman" w:cs="Arial"/>
          <w:color w:val="000000"/>
          <w:lang w:val="ru-RU"/>
        </w:rPr>
        <w:t>/</w:t>
      </w:r>
      <w:r w:rsidRPr="0091076B">
        <w:rPr>
          <w:rFonts w:eastAsia="Times New Roman" w:cs="Arial"/>
          <w:color w:val="000000"/>
          <w:lang w:val="en-US"/>
        </w:rPr>
        <w:t>min</w:t>
      </w:r>
      <w:r w:rsidRPr="0091076B">
        <w:rPr>
          <w:rFonts w:eastAsia="Times New Roman" w:cs="Arial"/>
          <w:color w:val="000000"/>
          <w:lang w:val="ru-RU"/>
        </w:rPr>
        <w:t>/</w:t>
      </w:r>
      <w:r w:rsidRPr="0091076B">
        <w:rPr>
          <w:rFonts w:eastAsia="Times New Roman" w:cs="Arial"/>
          <w:color w:val="000000"/>
          <w:lang w:val="en-US"/>
        </w:rPr>
        <w:t>kg</w:t>
      </w:r>
      <w:r w:rsidRPr="0091076B">
        <w:rPr>
          <w:rFonts w:eastAsia="Times New Roman" w:cs="Arial"/>
          <w:color w:val="000000"/>
          <w:lang w:val="ru-RU"/>
        </w:rPr>
        <w:t xml:space="preserve">) </w:t>
      </w:r>
      <w:r w:rsidRPr="0091076B">
        <w:rPr>
          <w:rFonts w:eastAsia="Times New Roman" w:cs="Arial"/>
          <w:color w:val="000000"/>
          <w:lang w:eastAsia="bg-BG"/>
        </w:rPr>
        <w:t xml:space="preserve">са в рамките на стойностите (0,31 до 0,65 </w:t>
      </w:r>
      <w:r w:rsidRPr="0091076B">
        <w:rPr>
          <w:rFonts w:eastAsia="Times New Roman" w:cs="Arial"/>
          <w:color w:val="000000"/>
          <w:lang w:val="en-US"/>
        </w:rPr>
        <w:t>ml</w:t>
      </w:r>
      <w:r w:rsidRPr="0091076B">
        <w:rPr>
          <w:rFonts w:eastAsia="Times New Roman" w:cs="Arial"/>
          <w:color w:val="000000"/>
          <w:lang w:val="ru-RU"/>
        </w:rPr>
        <w:t>/</w:t>
      </w:r>
      <w:r w:rsidRPr="0091076B">
        <w:rPr>
          <w:rFonts w:eastAsia="Times New Roman" w:cs="Arial"/>
          <w:color w:val="000000"/>
          <w:lang w:val="en-US"/>
        </w:rPr>
        <w:t>min</w:t>
      </w:r>
      <w:r w:rsidRPr="0091076B">
        <w:rPr>
          <w:rFonts w:eastAsia="Times New Roman" w:cs="Arial"/>
          <w:color w:val="000000"/>
          <w:lang w:val="ru-RU"/>
        </w:rPr>
        <w:t>/</w:t>
      </w:r>
      <w:r w:rsidRPr="0091076B">
        <w:rPr>
          <w:rFonts w:eastAsia="Times New Roman" w:cs="Arial"/>
          <w:color w:val="000000"/>
          <w:lang w:val="en-US"/>
        </w:rPr>
        <w:t>kg</w:t>
      </w:r>
      <w:r w:rsidRPr="0091076B">
        <w:rPr>
          <w:rFonts w:eastAsia="Times New Roman" w:cs="Arial"/>
          <w:color w:val="000000"/>
          <w:lang w:val="ru-RU"/>
        </w:rPr>
        <w:t xml:space="preserve">), </w:t>
      </w:r>
      <w:r w:rsidRPr="0091076B">
        <w:rPr>
          <w:rFonts w:eastAsia="Times New Roman" w:cs="Arial"/>
          <w:color w:val="000000"/>
          <w:lang w:eastAsia="bg-BG"/>
        </w:rPr>
        <w:t xml:space="preserve">установени след проведени девет клинични изследвания при възрастни (които не са в старческа възраст), след прилагане на единични дози от 30 до 450 </w:t>
      </w:r>
      <w:r w:rsidRPr="0091076B">
        <w:rPr>
          <w:rFonts w:eastAsia="Times New Roman" w:cs="Arial"/>
          <w:color w:val="000000"/>
          <w:lang w:val="en-US"/>
        </w:rPr>
        <w:t>mg</w:t>
      </w:r>
      <w:r w:rsidRPr="0091076B">
        <w:rPr>
          <w:rFonts w:eastAsia="Times New Roman" w:cs="Arial"/>
          <w:color w:val="000000"/>
          <w:lang w:val="ru-RU"/>
        </w:rPr>
        <w:t>.</w:t>
      </w:r>
    </w:p>
    <w:p w14:paraId="7C29EC35" w14:textId="77777777" w:rsidR="0091076B" w:rsidRPr="0091076B" w:rsidRDefault="0091076B" w:rsidP="0091076B">
      <w:pPr>
        <w:spacing w:line="240" w:lineRule="auto"/>
        <w:rPr>
          <w:rFonts w:eastAsia="Times New Roman" w:cs="Arial"/>
          <w:i/>
          <w:iCs/>
          <w:color w:val="000000"/>
          <w:lang w:eastAsia="bg-BG"/>
        </w:rPr>
      </w:pPr>
    </w:p>
    <w:p w14:paraId="148ED02D" w14:textId="7DB74DA0" w:rsidR="0091076B" w:rsidRPr="0091076B" w:rsidRDefault="0091076B" w:rsidP="0091076B">
      <w:pPr>
        <w:spacing w:line="240" w:lineRule="auto"/>
        <w:rPr>
          <w:rFonts w:eastAsia="Times New Roman" w:cs="Arial"/>
          <w:sz w:val="24"/>
          <w:szCs w:val="24"/>
        </w:rPr>
      </w:pPr>
      <w:r w:rsidRPr="0091076B">
        <w:rPr>
          <w:rFonts w:eastAsia="Times New Roman" w:cs="Arial"/>
          <w:i/>
          <w:iCs/>
          <w:color w:val="000000"/>
          <w:lang w:eastAsia="bg-BG"/>
        </w:rPr>
        <w:t>Бъбречно увреждане</w:t>
      </w:r>
    </w:p>
    <w:p w14:paraId="25CEF3C2" w14:textId="66F16884" w:rsidR="0091076B" w:rsidRPr="0091076B" w:rsidRDefault="0091076B" w:rsidP="0091076B">
      <w:pPr>
        <w:spacing w:line="240" w:lineRule="auto"/>
        <w:rPr>
          <w:rFonts w:eastAsia="Times New Roman" w:cs="Arial"/>
          <w:color w:val="000000"/>
          <w:lang w:eastAsia="bg-BG"/>
        </w:rPr>
      </w:pPr>
      <w:r w:rsidRPr="0091076B">
        <w:rPr>
          <w:rFonts w:eastAsia="Times New Roman" w:cs="Arial"/>
          <w:color w:val="000000"/>
          <w:lang w:eastAsia="bg-BG"/>
        </w:rPr>
        <w:t xml:space="preserve">На дванадесет доброволци с хронична бъбречна недостатъчност и на други шест пациенти на хемодиализа е била приложена еднократна доза от 100 </w:t>
      </w:r>
      <w:r w:rsidRPr="0091076B">
        <w:rPr>
          <w:rFonts w:eastAsia="Times New Roman" w:cs="Arial"/>
          <w:color w:val="000000"/>
          <w:lang w:val="en-US"/>
        </w:rPr>
        <w:t>mg</w:t>
      </w:r>
      <w:r w:rsidRPr="0091076B">
        <w:rPr>
          <w:rFonts w:eastAsia="Times New Roman" w:cs="Arial"/>
          <w:color w:val="000000"/>
          <w:lang w:val="ru-RU"/>
        </w:rPr>
        <w:t xml:space="preserve"> </w:t>
      </w:r>
      <w:r w:rsidRPr="0091076B">
        <w:rPr>
          <w:rFonts w:eastAsia="Times New Roman" w:cs="Arial"/>
          <w:color w:val="000000"/>
          <w:lang w:eastAsia="bg-BG"/>
        </w:rPr>
        <w:t xml:space="preserve">ламотригин. Средните стойности на клирънса са 0,42 </w:t>
      </w:r>
      <w:r w:rsidRPr="0091076B">
        <w:rPr>
          <w:rFonts w:eastAsia="Times New Roman" w:cs="Arial"/>
          <w:color w:val="000000"/>
          <w:lang w:val="en-US"/>
        </w:rPr>
        <w:t>ml</w:t>
      </w:r>
      <w:r w:rsidRPr="0091076B">
        <w:rPr>
          <w:rFonts w:eastAsia="Times New Roman" w:cs="Arial"/>
          <w:color w:val="000000"/>
          <w:lang w:val="ru-RU"/>
        </w:rPr>
        <w:t>/</w:t>
      </w:r>
      <w:r w:rsidRPr="0091076B">
        <w:rPr>
          <w:rFonts w:eastAsia="Times New Roman" w:cs="Arial"/>
          <w:color w:val="000000"/>
          <w:lang w:val="en-US"/>
        </w:rPr>
        <w:t>min</w:t>
      </w:r>
      <w:r w:rsidRPr="0091076B">
        <w:rPr>
          <w:rFonts w:eastAsia="Times New Roman" w:cs="Arial"/>
          <w:color w:val="000000"/>
          <w:lang w:val="ru-RU"/>
        </w:rPr>
        <w:t>/</w:t>
      </w:r>
      <w:r w:rsidRPr="0091076B">
        <w:rPr>
          <w:rFonts w:eastAsia="Times New Roman" w:cs="Arial"/>
          <w:color w:val="000000"/>
          <w:lang w:val="en-US"/>
        </w:rPr>
        <w:t>kg</w:t>
      </w:r>
      <w:r w:rsidRPr="0091076B">
        <w:rPr>
          <w:rFonts w:eastAsia="Times New Roman" w:cs="Arial"/>
          <w:color w:val="000000"/>
          <w:lang w:val="ru-RU"/>
        </w:rPr>
        <w:t xml:space="preserve"> </w:t>
      </w:r>
      <w:r w:rsidRPr="0091076B">
        <w:rPr>
          <w:rFonts w:eastAsia="Times New Roman" w:cs="Arial"/>
          <w:color w:val="000000"/>
          <w:lang w:eastAsia="bg-BG"/>
        </w:rPr>
        <w:t xml:space="preserve">(хронична бъбречна недостатъчност), 0,33 </w:t>
      </w:r>
      <w:r w:rsidRPr="0091076B">
        <w:rPr>
          <w:rFonts w:eastAsia="Times New Roman" w:cs="Arial"/>
          <w:color w:val="000000"/>
          <w:lang w:val="en-US"/>
        </w:rPr>
        <w:t>ml</w:t>
      </w:r>
      <w:r w:rsidRPr="0091076B">
        <w:rPr>
          <w:rFonts w:eastAsia="Times New Roman" w:cs="Arial"/>
          <w:color w:val="000000"/>
          <w:lang w:val="ru-RU"/>
        </w:rPr>
        <w:t>/</w:t>
      </w:r>
      <w:r w:rsidRPr="0091076B">
        <w:rPr>
          <w:rFonts w:eastAsia="Times New Roman" w:cs="Arial"/>
          <w:color w:val="000000"/>
          <w:lang w:val="en-US"/>
        </w:rPr>
        <w:t>min</w:t>
      </w:r>
      <w:r w:rsidRPr="0091076B">
        <w:rPr>
          <w:rFonts w:eastAsia="Times New Roman" w:cs="Arial"/>
          <w:color w:val="000000"/>
          <w:lang w:val="ru-RU"/>
        </w:rPr>
        <w:t>/</w:t>
      </w:r>
      <w:r w:rsidRPr="0091076B">
        <w:rPr>
          <w:rFonts w:eastAsia="Times New Roman" w:cs="Arial"/>
          <w:color w:val="000000"/>
          <w:lang w:val="en-US"/>
        </w:rPr>
        <w:t>kg</w:t>
      </w:r>
      <w:r w:rsidRPr="0091076B">
        <w:rPr>
          <w:rFonts w:eastAsia="Times New Roman" w:cs="Arial"/>
          <w:color w:val="000000"/>
          <w:lang w:val="ru-RU"/>
        </w:rPr>
        <w:t xml:space="preserve"> </w:t>
      </w:r>
      <w:r w:rsidRPr="0091076B">
        <w:rPr>
          <w:rFonts w:eastAsia="Times New Roman" w:cs="Arial"/>
          <w:color w:val="000000"/>
          <w:lang w:eastAsia="bg-BG"/>
        </w:rPr>
        <w:t xml:space="preserve">(в периода между хемодиализните сесии) и 1,57 </w:t>
      </w:r>
      <w:r w:rsidRPr="0091076B">
        <w:rPr>
          <w:rFonts w:eastAsia="Times New Roman" w:cs="Arial"/>
          <w:color w:val="000000"/>
          <w:lang w:val="en-US"/>
        </w:rPr>
        <w:t>ml</w:t>
      </w:r>
      <w:r w:rsidRPr="0091076B">
        <w:rPr>
          <w:rFonts w:eastAsia="Times New Roman" w:cs="Arial"/>
          <w:color w:val="000000"/>
          <w:lang w:val="ru-RU"/>
        </w:rPr>
        <w:t>/</w:t>
      </w:r>
      <w:r w:rsidRPr="0091076B">
        <w:rPr>
          <w:rFonts w:eastAsia="Times New Roman" w:cs="Arial"/>
          <w:color w:val="000000"/>
          <w:lang w:val="en-US"/>
        </w:rPr>
        <w:t>min</w:t>
      </w:r>
      <w:r w:rsidRPr="0091076B">
        <w:rPr>
          <w:rFonts w:eastAsia="Times New Roman" w:cs="Arial"/>
          <w:color w:val="000000"/>
          <w:lang w:val="ru-RU"/>
        </w:rPr>
        <w:t>/</w:t>
      </w:r>
      <w:r w:rsidRPr="0091076B">
        <w:rPr>
          <w:rFonts w:eastAsia="Times New Roman" w:cs="Arial"/>
          <w:color w:val="000000"/>
          <w:lang w:val="en-US"/>
        </w:rPr>
        <w:t>kg</w:t>
      </w:r>
      <w:r w:rsidRPr="0091076B">
        <w:rPr>
          <w:rFonts w:eastAsia="Times New Roman" w:cs="Arial"/>
          <w:color w:val="000000"/>
          <w:lang w:val="ru-RU"/>
        </w:rPr>
        <w:t xml:space="preserve"> </w:t>
      </w:r>
      <w:r w:rsidRPr="0091076B">
        <w:rPr>
          <w:rFonts w:eastAsia="Times New Roman" w:cs="Arial"/>
          <w:color w:val="000000"/>
          <w:lang w:eastAsia="bg-BG"/>
        </w:rPr>
        <w:t xml:space="preserve">(по време на хемодиализа), в сравнение с 0,58 </w:t>
      </w:r>
      <w:r w:rsidRPr="0091076B">
        <w:rPr>
          <w:rFonts w:eastAsia="Times New Roman" w:cs="Arial"/>
          <w:color w:val="000000"/>
          <w:lang w:val="en-US"/>
        </w:rPr>
        <w:t>ml</w:t>
      </w:r>
      <w:r w:rsidRPr="0091076B">
        <w:rPr>
          <w:rFonts w:eastAsia="Times New Roman" w:cs="Arial"/>
          <w:color w:val="000000"/>
          <w:lang w:val="ru-RU"/>
        </w:rPr>
        <w:t>/</w:t>
      </w:r>
      <w:r w:rsidRPr="0091076B">
        <w:rPr>
          <w:rFonts w:eastAsia="Times New Roman" w:cs="Arial"/>
          <w:color w:val="000000"/>
          <w:lang w:val="en-US"/>
        </w:rPr>
        <w:t>min</w:t>
      </w:r>
      <w:r w:rsidRPr="0091076B">
        <w:rPr>
          <w:rFonts w:eastAsia="Times New Roman" w:cs="Arial"/>
          <w:color w:val="000000"/>
          <w:lang w:val="ru-RU"/>
        </w:rPr>
        <w:t>/</w:t>
      </w:r>
      <w:r w:rsidRPr="0091076B">
        <w:rPr>
          <w:rFonts w:eastAsia="Times New Roman" w:cs="Arial"/>
          <w:color w:val="000000"/>
          <w:lang w:val="en-US"/>
        </w:rPr>
        <w:t>kg</w:t>
      </w:r>
      <w:r w:rsidRPr="0091076B">
        <w:rPr>
          <w:rFonts w:eastAsia="Times New Roman" w:cs="Arial"/>
          <w:color w:val="000000"/>
          <w:lang w:val="ru-RU"/>
        </w:rPr>
        <w:t xml:space="preserve"> </w:t>
      </w:r>
      <w:r w:rsidRPr="0091076B">
        <w:rPr>
          <w:rFonts w:eastAsia="Times New Roman" w:cs="Arial"/>
          <w:color w:val="000000"/>
          <w:lang w:eastAsia="bg-BG"/>
        </w:rPr>
        <w:t>при здрави доброволци. Средното време на полуживот на ламотригин в плазмата е 42,9 часа (хронична бъбречна недостатъчност), 57,4 часа (между хемодиализите) и 13,0 часа (по време на хемодиализа), в сравнение с 26,2 часа при здрави доброволци. Средно, приблизително 20% (между 5,6 и 35,1) от количеството ламотригин, налично в</w:t>
      </w:r>
      <w:r w:rsidRPr="0091076B">
        <w:rPr>
          <w:rFonts w:eastAsia="Times New Roman" w:cs="Arial"/>
          <w:color w:val="000000"/>
          <w:lang w:val="ru-RU"/>
        </w:rPr>
        <w:t xml:space="preserve"> </w:t>
      </w:r>
      <w:r w:rsidRPr="0091076B">
        <w:rPr>
          <w:rFonts w:eastAsia="Times New Roman" w:cs="Arial"/>
          <w:color w:val="000000"/>
          <w:lang w:eastAsia="bg-BG"/>
        </w:rPr>
        <w:t>тялото е било</w:t>
      </w:r>
      <w:r w:rsidRPr="0091076B">
        <w:rPr>
          <w:rFonts w:eastAsia="Times New Roman" w:cs="Arial"/>
          <w:smallCaps/>
          <w:color w:val="000000"/>
          <w:lang w:eastAsia="bg-BG"/>
        </w:rPr>
        <w:t xml:space="preserve"> </w:t>
      </w:r>
      <w:r w:rsidRPr="0091076B">
        <w:rPr>
          <w:rFonts w:eastAsia="Times New Roman" w:cs="Arial"/>
          <w:color w:val="000000"/>
          <w:lang w:eastAsia="bg-BG"/>
        </w:rPr>
        <w:t>елиминирано по време на 4-часова хемодиализа. За тази група пациенти началните дози</w:t>
      </w:r>
      <w:r w:rsidRPr="0091076B">
        <w:rPr>
          <w:rFonts w:eastAsia="Times New Roman" w:cs="Arial"/>
          <w:sz w:val="24"/>
          <w:szCs w:val="24"/>
        </w:rPr>
        <w:t xml:space="preserve"> </w:t>
      </w:r>
      <w:r w:rsidRPr="0091076B">
        <w:rPr>
          <w:rFonts w:eastAsia="Times New Roman" w:cs="Arial"/>
          <w:color w:val="000000"/>
          <w:lang w:eastAsia="bg-BG"/>
        </w:rPr>
        <w:t>ламотригин трябва да се определят според съпътстващия прием на лекарствени продукти</w:t>
      </w:r>
      <w:r w:rsidRPr="0091076B">
        <w:rPr>
          <w:rFonts w:eastAsia="Times New Roman" w:cs="Arial"/>
          <w:sz w:val="24"/>
          <w:szCs w:val="24"/>
        </w:rPr>
        <w:t xml:space="preserve"> </w:t>
      </w:r>
      <w:r w:rsidRPr="0091076B">
        <w:rPr>
          <w:rFonts w:eastAsia="Times New Roman" w:cs="Arial"/>
          <w:color w:val="000000"/>
          <w:lang w:eastAsia="bg-BG"/>
        </w:rPr>
        <w:t>Намалени поддържащи дози могат да бъдат ефикасни при пациенти със значително увреждане на бъбречната функция (вж. точки 4.2 и 4.4).</w:t>
      </w:r>
    </w:p>
    <w:p w14:paraId="5643909B" w14:textId="790F5F6D" w:rsidR="0091076B" w:rsidRPr="0091076B" w:rsidRDefault="0091076B" w:rsidP="0091076B">
      <w:pPr>
        <w:spacing w:line="240" w:lineRule="auto"/>
        <w:rPr>
          <w:rFonts w:eastAsia="Times New Roman" w:cs="Arial"/>
          <w:color w:val="000000"/>
          <w:lang w:eastAsia="bg-BG"/>
        </w:rPr>
      </w:pPr>
    </w:p>
    <w:p w14:paraId="5834CD2C" w14:textId="77777777" w:rsidR="0091076B" w:rsidRPr="0091076B" w:rsidRDefault="0091076B" w:rsidP="0091076B">
      <w:pPr>
        <w:spacing w:line="240" w:lineRule="auto"/>
        <w:rPr>
          <w:rFonts w:eastAsia="Times New Roman" w:cs="Arial"/>
          <w:sz w:val="24"/>
          <w:szCs w:val="24"/>
        </w:rPr>
      </w:pPr>
      <w:r w:rsidRPr="0091076B">
        <w:rPr>
          <w:rFonts w:eastAsia="Times New Roman" w:cs="Arial"/>
          <w:i/>
          <w:iCs/>
          <w:color w:val="000000"/>
          <w:lang w:eastAsia="bg-BG"/>
        </w:rPr>
        <w:t>Чернодробно увреждане</w:t>
      </w:r>
    </w:p>
    <w:p w14:paraId="7CAFFDB4" w14:textId="77777777" w:rsidR="0091076B" w:rsidRPr="0091076B" w:rsidRDefault="0091076B" w:rsidP="0091076B">
      <w:pPr>
        <w:spacing w:line="240" w:lineRule="auto"/>
        <w:rPr>
          <w:rFonts w:eastAsia="Times New Roman" w:cs="Arial"/>
          <w:sz w:val="24"/>
          <w:szCs w:val="24"/>
        </w:rPr>
      </w:pPr>
      <w:r w:rsidRPr="0091076B">
        <w:rPr>
          <w:rFonts w:eastAsia="Times New Roman" w:cs="Arial"/>
          <w:color w:val="000000"/>
          <w:lang w:eastAsia="bg-BG"/>
        </w:rPr>
        <w:t xml:space="preserve">При 24 лица с различна степен на чернодробно увреждане и 12 здрави контроли е проведено фармакокинетично проучване с прилагане на еднократна доза ламотригин. Медианата на привидния клирънс на ламотригин е била 0,31, 0,24 или 0,10 </w:t>
      </w:r>
      <w:r w:rsidRPr="0091076B">
        <w:rPr>
          <w:rFonts w:eastAsia="Times New Roman" w:cs="Arial"/>
          <w:color w:val="000000"/>
          <w:lang w:val="en-US"/>
        </w:rPr>
        <w:t>ml</w:t>
      </w:r>
      <w:r w:rsidRPr="0091076B">
        <w:rPr>
          <w:rFonts w:eastAsia="Times New Roman" w:cs="Arial"/>
          <w:color w:val="000000"/>
          <w:lang w:val="ru-RU"/>
        </w:rPr>
        <w:t>/</w:t>
      </w:r>
      <w:r w:rsidRPr="0091076B">
        <w:rPr>
          <w:rFonts w:eastAsia="Times New Roman" w:cs="Arial"/>
          <w:color w:val="000000"/>
          <w:lang w:val="en-US"/>
        </w:rPr>
        <w:t>min</w:t>
      </w:r>
      <w:r w:rsidRPr="0091076B">
        <w:rPr>
          <w:rFonts w:eastAsia="Times New Roman" w:cs="Arial"/>
          <w:color w:val="000000"/>
          <w:lang w:val="ru-RU"/>
        </w:rPr>
        <w:t>/</w:t>
      </w:r>
      <w:r w:rsidRPr="0091076B">
        <w:rPr>
          <w:rFonts w:eastAsia="Times New Roman" w:cs="Arial"/>
          <w:color w:val="000000"/>
          <w:lang w:val="en-US"/>
        </w:rPr>
        <w:t>kg</w:t>
      </w:r>
      <w:r w:rsidRPr="0091076B">
        <w:rPr>
          <w:rFonts w:eastAsia="Times New Roman" w:cs="Arial"/>
          <w:color w:val="000000"/>
          <w:lang w:val="ru-RU"/>
        </w:rPr>
        <w:t xml:space="preserve"> </w:t>
      </w:r>
      <w:r w:rsidRPr="0091076B">
        <w:rPr>
          <w:rFonts w:eastAsia="Times New Roman" w:cs="Arial"/>
          <w:color w:val="000000"/>
          <w:lang w:eastAsia="bg-BG"/>
        </w:rPr>
        <w:t xml:space="preserve">при пациентите с чернодробно увреждане степен А, В, или С </w:t>
      </w:r>
      <w:r w:rsidRPr="0091076B">
        <w:rPr>
          <w:rFonts w:eastAsia="Times New Roman" w:cs="Arial"/>
          <w:color w:val="000000"/>
          <w:lang w:val="ru-RU"/>
        </w:rPr>
        <w:t>(</w:t>
      </w:r>
      <w:r w:rsidRPr="0091076B">
        <w:rPr>
          <w:rFonts w:eastAsia="Times New Roman" w:cs="Arial"/>
          <w:color w:val="000000"/>
          <w:lang w:val="en-US"/>
        </w:rPr>
        <w:t>Child</w:t>
      </w:r>
      <w:r w:rsidRPr="0091076B">
        <w:rPr>
          <w:rFonts w:eastAsia="Times New Roman" w:cs="Arial"/>
          <w:color w:val="000000"/>
          <w:lang w:val="ru-RU"/>
        </w:rPr>
        <w:t xml:space="preserve"> </w:t>
      </w:r>
      <w:r w:rsidRPr="0091076B">
        <w:rPr>
          <w:rFonts w:eastAsia="Times New Roman" w:cs="Arial"/>
          <w:color w:val="000000"/>
          <w:lang w:eastAsia="bg-BG"/>
        </w:rPr>
        <w:t xml:space="preserve">- </w:t>
      </w:r>
      <w:r w:rsidRPr="0091076B">
        <w:rPr>
          <w:rFonts w:eastAsia="Times New Roman" w:cs="Arial"/>
          <w:color w:val="000000"/>
          <w:lang w:val="en-US"/>
        </w:rPr>
        <w:t>Pugh</w:t>
      </w:r>
      <w:r w:rsidRPr="0091076B">
        <w:rPr>
          <w:rFonts w:eastAsia="Times New Roman" w:cs="Arial"/>
          <w:color w:val="000000"/>
          <w:lang w:val="ru-RU"/>
        </w:rPr>
        <w:t xml:space="preserve"> </w:t>
      </w:r>
      <w:r w:rsidRPr="0091076B">
        <w:rPr>
          <w:rFonts w:eastAsia="Times New Roman" w:cs="Arial"/>
          <w:color w:val="000000"/>
          <w:lang w:eastAsia="bg-BG"/>
        </w:rPr>
        <w:t xml:space="preserve">класификация) съответно, сравнена с 0,34 </w:t>
      </w:r>
      <w:r w:rsidRPr="0091076B">
        <w:rPr>
          <w:rFonts w:eastAsia="Times New Roman" w:cs="Arial"/>
          <w:color w:val="000000"/>
          <w:lang w:val="en-US"/>
        </w:rPr>
        <w:t>ml</w:t>
      </w:r>
      <w:r w:rsidRPr="0091076B">
        <w:rPr>
          <w:rFonts w:eastAsia="Times New Roman" w:cs="Arial"/>
          <w:color w:val="000000"/>
          <w:lang w:val="ru-RU"/>
        </w:rPr>
        <w:t>/</w:t>
      </w:r>
      <w:r w:rsidRPr="0091076B">
        <w:rPr>
          <w:rFonts w:eastAsia="Times New Roman" w:cs="Arial"/>
          <w:color w:val="000000"/>
          <w:lang w:val="en-US"/>
        </w:rPr>
        <w:t>min</w:t>
      </w:r>
      <w:r w:rsidRPr="0091076B">
        <w:rPr>
          <w:rFonts w:eastAsia="Times New Roman" w:cs="Arial"/>
          <w:color w:val="000000"/>
          <w:lang w:val="ru-RU"/>
        </w:rPr>
        <w:t>/</w:t>
      </w:r>
      <w:r w:rsidRPr="0091076B">
        <w:rPr>
          <w:rFonts w:eastAsia="Times New Roman" w:cs="Arial"/>
          <w:color w:val="000000"/>
          <w:lang w:val="en-US"/>
        </w:rPr>
        <w:t>kg</w:t>
      </w:r>
      <w:r w:rsidRPr="0091076B">
        <w:rPr>
          <w:rFonts w:eastAsia="Times New Roman" w:cs="Arial"/>
          <w:color w:val="000000"/>
          <w:lang w:val="ru-RU"/>
        </w:rPr>
        <w:t xml:space="preserve"> </w:t>
      </w:r>
      <w:r w:rsidRPr="0091076B">
        <w:rPr>
          <w:rFonts w:eastAsia="Times New Roman" w:cs="Arial"/>
          <w:color w:val="000000"/>
          <w:lang w:eastAsia="bg-BG"/>
        </w:rPr>
        <w:t>при здравите контроли. Началната доза, дозата при повишаване и поддържащата доза трябва да бъдат редуцирани при пациенти е умерено или тежко чернодробно увреждане (вж. точка 4.2).</w:t>
      </w:r>
    </w:p>
    <w:p w14:paraId="5DCCBF9F" w14:textId="77777777" w:rsidR="0091076B" w:rsidRPr="0091076B" w:rsidRDefault="0091076B" w:rsidP="0091076B">
      <w:pPr>
        <w:spacing w:line="240" w:lineRule="auto"/>
        <w:rPr>
          <w:rFonts w:ascii="Times New Roman" w:eastAsia="Times New Roman" w:hAnsi="Times New Roman" w:cs="Times New Roman"/>
          <w:sz w:val="24"/>
          <w:szCs w:val="24"/>
        </w:rPr>
      </w:pPr>
    </w:p>
    <w:p w14:paraId="028E658A" w14:textId="765D8AE9" w:rsidR="00395555" w:rsidRDefault="002C50EE" w:rsidP="008A6AF2">
      <w:pPr>
        <w:pStyle w:val="Heading2"/>
      </w:pPr>
      <w:r>
        <w:t>5.3. Предклинични данни за безопасност</w:t>
      </w:r>
    </w:p>
    <w:p w14:paraId="7DA7104A" w14:textId="0D28ECA2" w:rsidR="0091076B" w:rsidRDefault="0091076B" w:rsidP="0091076B"/>
    <w:p w14:paraId="1854C6C5" w14:textId="77777777" w:rsidR="0091076B" w:rsidRPr="0091076B" w:rsidRDefault="0091076B" w:rsidP="0091076B">
      <w:pPr>
        <w:rPr>
          <w:sz w:val="24"/>
          <w:szCs w:val="24"/>
        </w:rPr>
      </w:pPr>
      <w:r w:rsidRPr="0091076B">
        <w:rPr>
          <w:lang w:eastAsia="bg-BG"/>
        </w:rPr>
        <w:lastRenderedPageBreak/>
        <w:t>Неклиничните данни не показват особен риск за хората на база на конвенционалните фармакологични изпитвания за безопасност, токсичност при многократно прилагане, генотоксичност и карциногенен потенциал.</w:t>
      </w:r>
    </w:p>
    <w:p w14:paraId="3FBECC02" w14:textId="77777777" w:rsidR="0091076B" w:rsidRDefault="0091076B" w:rsidP="0091076B">
      <w:pPr>
        <w:rPr>
          <w:lang w:eastAsia="bg-BG"/>
        </w:rPr>
      </w:pPr>
    </w:p>
    <w:p w14:paraId="075A42FF" w14:textId="3A934B5C" w:rsidR="0091076B" w:rsidRPr="0091076B" w:rsidRDefault="0091076B" w:rsidP="0091076B">
      <w:pPr>
        <w:rPr>
          <w:sz w:val="24"/>
          <w:szCs w:val="24"/>
        </w:rPr>
      </w:pPr>
      <w:r w:rsidRPr="0091076B">
        <w:rPr>
          <w:lang w:eastAsia="bg-BG"/>
        </w:rPr>
        <w:t>При проучванията за репродуктивна токсичност и токсичност върху развитието при гризачи и зайци, не са наблюдавани тератогенни ефекти, но са установени понижено фетално тегло и забавяне на скелетната осификация при нива на експозиция, по-малки или сходни с очакваните при клинична експозиция. Тъй като по-високи нива на експозиция не биха могли да бъдат изследвани при животни поради тежкото токсично въздействие върху майчиния организъм, тератогенният потенциал на ламотригин не е характеризиран над клиничната експозиция.</w:t>
      </w:r>
    </w:p>
    <w:p w14:paraId="4DC285C9" w14:textId="77777777" w:rsidR="0091076B" w:rsidRDefault="0091076B" w:rsidP="0091076B">
      <w:pPr>
        <w:rPr>
          <w:lang w:eastAsia="bg-BG"/>
        </w:rPr>
      </w:pPr>
    </w:p>
    <w:p w14:paraId="2CC8D26E" w14:textId="2B21E107" w:rsidR="0091076B" w:rsidRPr="0091076B" w:rsidRDefault="0091076B" w:rsidP="0091076B">
      <w:pPr>
        <w:rPr>
          <w:sz w:val="24"/>
          <w:szCs w:val="24"/>
        </w:rPr>
      </w:pPr>
      <w:r w:rsidRPr="0091076B">
        <w:rPr>
          <w:lang w:eastAsia="bg-BG"/>
        </w:rPr>
        <w:t>При плъхове е наблюдавано увеличение на феталната и постнаталната смъртност при прилагане на ламотригин през късния гестационен и ранния постнатален период. Тези ефекти са били наблюдавани при експозиция, по-ниска от очакваната в клиничната практика.</w:t>
      </w:r>
    </w:p>
    <w:p w14:paraId="23A925F5" w14:textId="77777777" w:rsidR="0091076B" w:rsidRDefault="0091076B" w:rsidP="0091076B">
      <w:pPr>
        <w:rPr>
          <w:lang w:eastAsia="bg-BG"/>
        </w:rPr>
      </w:pPr>
    </w:p>
    <w:p w14:paraId="2F3D9CBB" w14:textId="77982AA6" w:rsidR="0091076B" w:rsidRPr="0091076B" w:rsidRDefault="0091076B" w:rsidP="0091076B">
      <w:pPr>
        <w:rPr>
          <w:sz w:val="24"/>
          <w:szCs w:val="24"/>
        </w:rPr>
      </w:pPr>
      <w:r w:rsidRPr="0091076B">
        <w:rPr>
          <w:lang w:eastAsia="bg-BG"/>
        </w:rPr>
        <w:t xml:space="preserve">При плъхове в ювенилна възраст са наблюдавани ефект върху обучението при </w:t>
      </w:r>
      <w:r w:rsidRPr="0091076B">
        <w:rPr>
          <w:lang w:val="en-US"/>
        </w:rPr>
        <w:t>Biel</w:t>
      </w:r>
      <w:r w:rsidRPr="0091076B">
        <w:rPr>
          <w:lang w:val="ru-RU"/>
        </w:rPr>
        <w:t xml:space="preserve"> </w:t>
      </w:r>
      <w:r w:rsidRPr="0091076B">
        <w:rPr>
          <w:lang w:val="en-US"/>
        </w:rPr>
        <w:t>maze</w:t>
      </w:r>
      <w:r w:rsidRPr="0091076B">
        <w:rPr>
          <w:lang w:val="ru-RU"/>
        </w:rPr>
        <w:t xml:space="preserve"> </w:t>
      </w:r>
      <w:r w:rsidRPr="0091076B">
        <w:rPr>
          <w:lang w:eastAsia="bg-BG"/>
        </w:rPr>
        <w:t xml:space="preserve">теста, леко забавяне на балано-препуциалната сепарация и на вагиналната проходимост, както и намалено наддаване на тегло след раждането при </w:t>
      </w:r>
      <w:r w:rsidRPr="0091076B">
        <w:rPr>
          <w:lang w:val="en-US"/>
        </w:rPr>
        <w:t>F</w:t>
      </w:r>
      <w:r w:rsidRPr="0091076B">
        <w:rPr>
          <w:lang w:val="ru-RU"/>
        </w:rPr>
        <w:t xml:space="preserve">1 </w:t>
      </w:r>
      <w:r w:rsidRPr="0091076B">
        <w:rPr>
          <w:lang w:eastAsia="bg-BG"/>
        </w:rPr>
        <w:t>животни при експозиции, по-ниски от терапевтичните експозиции при хора, въз основа на телесната повърхност.</w:t>
      </w:r>
    </w:p>
    <w:p w14:paraId="7422D6D2" w14:textId="77777777" w:rsidR="0091076B" w:rsidRDefault="0091076B" w:rsidP="0091076B">
      <w:pPr>
        <w:rPr>
          <w:lang w:eastAsia="bg-BG"/>
        </w:rPr>
      </w:pPr>
    </w:p>
    <w:p w14:paraId="69B27272" w14:textId="6CBB9A7E" w:rsidR="0091076B" w:rsidRPr="0091076B" w:rsidRDefault="0091076B" w:rsidP="0091076B">
      <w:pPr>
        <w:rPr>
          <w:sz w:val="24"/>
          <w:szCs w:val="24"/>
        </w:rPr>
      </w:pPr>
      <w:r w:rsidRPr="0091076B">
        <w:rPr>
          <w:lang w:eastAsia="bg-BG"/>
        </w:rPr>
        <w:t>Опитите при животни не показват неблагоприятни ефекти на ламотригин върху фертилитета. Ламотригин е довел до намаляване на феталните нива на фолиева киселина при плъхове. Смята се, че дефицитът на фолиева киселина е свързан с повишен риск от вродени малформации при животни и хора.</w:t>
      </w:r>
    </w:p>
    <w:p w14:paraId="054CC203" w14:textId="77777777" w:rsidR="0091076B" w:rsidRDefault="0091076B" w:rsidP="0091076B">
      <w:pPr>
        <w:rPr>
          <w:lang w:eastAsia="bg-BG"/>
        </w:rPr>
      </w:pPr>
    </w:p>
    <w:p w14:paraId="7DDD684F" w14:textId="31F7AA4B" w:rsidR="0091076B" w:rsidRPr="0091076B" w:rsidRDefault="0091076B" w:rsidP="0091076B">
      <w:pPr>
        <w:rPr>
          <w:sz w:val="24"/>
          <w:szCs w:val="24"/>
        </w:rPr>
      </w:pPr>
      <w:r w:rsidRPr="0091076B">
        <w:rPr>
          <w:lang w:eastAsia="bg-BG"/>
        </w:rPr>
        <w:t xml:space="preserve">Ламотригин води до дозозависимо инхибиране на </w:t>
      </w:r>
      <w:r w:rsidRPr="0091076B">
        <w:rPr>
          <w:lang w:val="en-US"/>
        </w:rPr>
        <w:t>hERG</w:t>
      </w:r>
      <w:r w:rsidRPr="0091076B">
        <w:rPr>
          <w:lang w:val="ru-RU"/>
        </w:rPr>
        <w:t xml:space="preserve"> </w:t>
      </w:r>
      <w:r w:rsidRPr="0091076B">
        <w:rPr>
          <w:lang w:eastAsia="bg-BG"/>
        </w:rPr>
        <w:t xml:space="preserve">каналчета при човешки ембрионални бъбречни клетки. </w:t>
      </w:r>
      <w:r w:rsidRPr="0091076B">
        <w:rPr>
          <w:lang w:val="en-US"/>
        </w:rPr>
        <w:t>IC</w:t>
      </w:r>
      <w:r w:rsidRPr="0091076B">
        <w:rPr>
          <w:lang w:val="ru-RU"/>
        </w:rPr>
        <w:t xml:space="preserve">50 </w:t>
      </w:r>
      <w:r w:rsidRPr="0091076B">
        <w:rPr>
          <w:lang w:eastAsia="bg-BG"/>
        </w:rPr>
        <w:t xml:space="preserve">е приблизително девет пъти над максималната терапевтична свободна концентрация. Ламотригин не предизвиква удължаване на </w:t>
      </w:r>
      <w:r w:rsidRPr="0091076B">
        <w:rPr>
          <w:lang w:val="en-US"/>
        </w:rPr>
        <w:t>QT</w:t>
      </w:r>
      <w:r w:rsidRPr="0091076B">
        <w:rPr>
          <w:lang w:val="ru-RU"/>
        </w:rPr>
        <w:t xml:space="preserve"> </w:t>
      </w:r>
      <w:r w:rsidRPr="0091076B">
        <w:rPr>
          <w:lang w:eastAsia="bg-BG"/>
        </w:rPr>
        <w:t xml:space="preserve">интервала при животни при експозиции приблизително до два пъти над максималната терапевтична свободна концентрация. При клинично проучване със здрави възрастни доброволци не е наблюдаван клинично значим ефект на ламотригин върху </w:t>
      </w:r>
      <w:r w:rsidRPr="0091076B">
        <w:rPr>
          <w:lang w:val="en-US"/>
        </w:rPr>
        <w:t>QT</w:t>
      </w:r>
      <w:r w:rsidRPr="0091076B">
        <w:rPr>
          <w:lang w:val="ru-RU"/>
        </w:rPr>
        <w:t xml:space="preserve"> </w:t>
      </w:r>
      <w:r w:rsidRPr="0091076B">
        <w:rPr>
          <w:lang w:eastAsia="bg-BG"/>
        </w:rPr>
        <w:t>интервала (вж. точка 5.1).</w:t>
      </w:r>
    </w:p>
    <w:p w14:paraId="760ABF2A" w14:textId="77777777" w:rsidR="0091076B" w:rsidRPr="0091076B" w:rsidRDefault="0091076B" w:rsidP="0091076B"/>
    <w:p w14:paraId="6A7820AB" w14:textId="15A53C6D" w:rsidR="008A6AF2" w:rsidRDefault="002C50EE" w:rsidP="00395555">
      <w:pPr>
        <w:pStyle w:val="Heading1"/>
      </w:pPr>
      <w:r>
        <w:t>7. ПРИТЕЖАТЕЛ НА РАЗРЕШЕНИЕТО ЗА УПОТРЕБА</w:t>
      </w:r>
    </w:p>
    <w:p w14:paraId="7F0BD0F3" w14:textId="035BF2B1" w:rsidR="0091076B" w:rsidRDefault="0091076B" w:rsidP="0091076B"/>
    <w:p w14:paraId="6D581CDF" w14:textId="77777777" w:rsidR="0091076B" w:rsidRPr="0091076B" w:rsidRDefault="0091076B" w:rsidP="0091076B">
      <w:pPr>
        <w:rPr>
          <w:sz w:val="24"/>
          <w:szCs w:val="24"/>
          <w:lang w:val="en-US"/>
        </w:rPr>
      </w:pPr>
      <w:r w:rsidRPr="0091076B">
        <w:rPr>
          <w:lang w:eastAsia="bg-BG"/>
        </w:rPr>
        <w:t xml:space="preserve">25, 50 и 100 </w:t>
      </w:r>
      <w:r w:rsidRPr="0091076B">
        <w:rPr>
          <w:lang w:val="en-US"/>
        </w:rPr>
        <w:t xml:space="preserve">mg </w:t>
      </w:r>
      <w:r w:rsidRPr="0091076B">
        <w:rPr>
          <w:lang w:eastAsia="bg-BG"/>
        </w:rPr>
        <w:t>таблетки:</w:t>
      </w:r>
    </w:p>
    <w:p w14:paraId="02133FE2" w14:textId="77777777" w:rsidR="0091076B" w:rsidRDefault="0091076B" w:rsidP="0091076B">
      <w:pPr>
        <w:rPr>
          <w:lang w:val="en-US"/>
        </w:rPr>
      </w:pPr>
    </w:p>
    <w:p w14:paraId="3C64013E" w14:textId="77777777" w:rsidR="0091076B" w:rsidRDefault="0091076B" w:rsidP="0091076B">
      <w:pPr>
        <w:rPr>
          <w:lang w:val="en-US"/>
        </w:rPr>
      </w:pPr>
      <w:r w:rsidRPr="0091076B">
        <w:rPr>
          <w:lang w:val="en-US"/>
        </w:rPr>
        <w:t xml:space="preserve">GlaxoSmithKline Trading Services Limited </w:t>
      </w:r>
    </w:p>
    <w:p w14:paraId="68588F32" w14:textId="378675DA" w:rsidR="0091076B" w:rsidRPr="0091076B" w:rsidRDefault="0091076B" w:rsidP="0091076B">
      <w:pPr>
        <w:rPr>
          <w:sz w:val="24"/>
          <w:szCs w:val="24"/>
          <w:lang w:val="en-US"/>
        </w:rPr>
      </w:pPr>
      <w:proofErr w:type="gramStart"/>
      <w:r w:rsidRPr="0091076B">
        <w:rPr>
          <w:lang w:val="en-US"/>
        </w:rPr>
        <w:t>12</w:t>
      </w:r>
      <w:proofErr w:type="gramEnd"/>
      <w:r w:rsidRPr="0091076B">
        <w:rPr>
          <w:lang w:val="en-US"/>
        </w:rPr>
        <w:t xml:space="preserve"> Riverwalk</w:t>
      </w:r>
    </w:p>
    <w:p w14:paraId="287A587E" w14:textId="77777777" w:rsidR="0091076B" w:rsidRPr="0091076B" w:rsidRDefault="0091076B" w:rsidP="0091076B">
      <w:pPr>
        <w:rPr>
          <w:sz w:val="24"/>
          <w:szCs w:val="24"/>
          <w:lang w:val="ru-RU"/>
        </w:rPr>
      </w:pPr>
      <w:r w:rsidRPr="0091076B">
        <w:rPr>
          <w:lang w:val="en-US"/>
        </w:rPr>
        <w:t>Citywest</w:t>
      </w:r>
      <w:r w:rsidRPr="0091076B">
        <w:rPr>
          <w:lang w:val="ru-RU"/>
        </w:rPr>
        <w:t xml:space="preserve"> </w:t>
      </w:r>
      <w:r w:rsidRPr="0091076B">
        <w:rPr>
          <w:lang w:val="en-US"/>
        </w:rPr>
        <w:t>Business</w:t>
      </w:r>
      <w:r w:rsidRPr="0091076B">
        <w:rPr>
          <w:lang w:val="ru-RU"/>
        </w:rPr>
        <w:t xml:space="preserve"> </w:t>
      </w:r>
      <w:r w:rsidRPr="0091076B">
        <w:rPr>
          <w:lang w:val="en-US"/>
        </w:rPr>
        <w:t>Campus</w:t>
      </w:r>
    </w:p>
    <w:p w14:paraId="78A19FC1" w14:textId="77777777" w:rsidR="0091076B" w:rsidRPr="0091076B" w:rsidRDefault="0091076B" w:rsidP="0091076B">
      <w:pPr>
        <w:rPr>
          <w:sz w:val="24"/>
          <w:szCs w:val="24"/>
          <w:lang w:val="ru-RU"/>
        </w:rPr>
      </w:pPr>
      <w:r w:rsidRPr="0091076B">
        <w:rPr>
          <w:lang w:val="en-US"/>
        </w:rPr>
        <w:t>Dublin</w:t>
      </w:r>
      <w:r w:rsidRPr="0091076B">
        <w:rPr>
          <w:lang w:val="ru-RU"/>
        </w:rPr>
        <w:t xml:space="preserve"> 24</w:t>
      </w:r>
    </w:p>
    <w:p w14:paraId="797A1FE1" w14:textId="6B7AA1FA" w:rsidR="0091076B" w:rsidRPr="0091076B" w:rsidRDefault="0091076B" w:rsidP="0091076B">
      <w:r w:rsidRPr="0091076B">
        <w:rPr>
          <w:lang w:eastAsia="bg-BG"/>
        </w:rPr>
        <w:t>Ирландия</w:t>
      </w:r>
    </w:p>
    <w:p w14:paraId="04840D59" w14:textId="63907838" w:rsidR="002C50EE" w:rsidRDefault="002C50EE" w:rsidP="00395555">
      <w:pPr>
        <w:pStyle w:val="Heading1"/>
      </w:pPr>
      <w:r>
        <w:lastRenderedPageBreak/>
        <w:t>8. НОМЕР НА РАЗРЕШЕНИЕТО ЗА УПОТРЕБА</w:t>
      </w:r>
    </w:p>
    <w:p w14:paraId="5F2CA66F" w14:textId="77777777" w:rsidR="0091076B" w:rsidRDefault="0091076B" w:rsidP="0091076B">
      <w:pPr>
        <w:rPr>
          <w:lang w:eastAsia="bg-BG"/>
        </w:rPr>
      </w:pPr>
    </w:p>
    <w:p w14:paraId="0FCC899F" w14:textId="3A22ABFC" w:rsidR="0091076B" w:rsidRPr="0091076B" w:rsidRDefault="0091076B" w:rsidP="0091076B">
      <w:pPr>
        <w:rPr>
          <w:sz w:val="24"/>
          <w:szCs w:val="24"/>
        </w:rPr>
      </w:pPr>
      <w:r w:rsidRPr="0091076B">
        <w:rPr>
          <w:lang w:eastAsia="bg-BG"/>
        </w:rPr>
        <w:t xml:space="preserve">Ламиктал 25 </w:t>
      </w:r>
      <w:r w:rsidRPr="0091076B">
        <w:rPr>
          <w:lang w:val="en-US"/>
        </w:rPr>
        <w:t>mg</w:t>
      </w:r>
      <w:r w:rsidRPr="0091076B">
        <w:t xml:space="preserve"> </w:t>
      </w:r>
      <w:r w:rsidRPr="0091076B">
        <w:rPr>
          <w:lang w:eastAsia="bg-BG"/>
        </w:rPr>
        <w:t>таблетки - № 2001 1209</w:t>
      </w:r>
    </w:p>
    <w:p w14:paraId="34C8427F" w14:textId="77777777" w:rsidR="0091076B" w:rsidRPr="0091076B" w:rsidRDefault="0091076B" w:rsidP="0091076B">
      <w:pPr>
        <w:rPr>
          <w:sz w:val="24"/>
          <w:szCs w:val="24"/>
        </w:rPr>
      </w:pPr>
      <w:r w:rsidRPr="0091076B">
        <w:rPr>
          <w:lang w:eastAsia="bg-BG"/>
        </w:rPr>
        <w:t xml:space="preserve">Ламиктал 50 </w:t>
      </w:r>
      <w:r w:rsidRPr="0091076B">
        <w:rPr>
          <w:lang w:val="en-US"/>
        </w:rPr>
        <w:t>mg</w:t>
      </w:r>
      <w:r w:rsidRPr="0091076B">
        <w:t xml:space="preserve"> </w:t>
      </w:r>
      <w:r w:rsidRPr="0091076B">
        <w:rPr>
          <w:lang w:eastAsia="bg-BG"/>
        </w:rPr>
        <w:t>таблетки - № 2001 1210</w:t>
      </w:r>
    </w:p>
    <w:p w14:paraId="01ABE2A6" w14:textId="77777777" w:rsidR="0091076B" w:rsidRPr="0091076B" w:rsidRDefault="0091076B" w:rsidP="0091076B">
      <w:pPr>
        <w:rPr>
          <w:sz w:val="24"/>
          <w:szCs w:val="24"/>
        </w:rPr>
      </w:pPr>
      <w:r w:rsidRPr="0091076B">
        <w:rPr>
          <w:lang w:eastAsia="bg-BG"/>
        </w:rPr>
        <w:t xml:space="preserve">Ламиктал 100 </w:t>
      </w:r>
      <w:r w:rsidRPr="0091076B">
        <w:rPr>
          <w:lang w:val="en-US"/>
        </w:rPr>
        <w:t>mg</w:t>
      </w:r>
      <w:r w:rsidRPr="0091076B">
        <w:rPr>
          <w:lang w:val="ru-RU"/>
        </w:rPr>
        <w:t xml:space="preserve"> </w:t>
      </w:r>
      <w:r w:rsidRPr="0091076B">
        <w:rPr>
          <w:lang w:eastAsia="bg-BG"/>
        </w:rPr>
        <w:t>таблетки - № 2001 1211</w:t>
      </w:r>
    </w:p>
    <w:p w14:paraId="3860EE3C" w14:textId="77777777" w:rsidR="0091076B" w:rsidRPr="0091076B" w:rsidRDefault="0091076B" w:rsidP="0091076B"/>
    <w:p w14:paraId="2CCB5832" w14:textId="4EF9D088" w:rsidR="007C605B" w:rsidRDefault="002C50EE" w:rsidP="007C605B">
      <w:pPr>
        <w:pStyle w:val="Heading1"/>
      </w:pPr>
      <w:r>
        <w:t>9. ДАТА НА ПЪРВО РАЗРЕШАВАНЕ/ПОДНОВЯВАНЕ НА РАЗРЕШЕНИЕТО ЗА УПОТРЕБА</w:t>
      </w:r>
    </w:p>
    <w:p w14:paraId="60C1D3EF" w14:textId="06EC7290" w:rsidR="0091076B" w:rsidRDefault="0091076B" w:rsidP="0091076B"/>
    <w:p w14:paraId="4E200720" w14:textId="77777777" w:rsidR="0091076B" w:rsidRPr="0091076B" w:rsidRDefault="0091076B" w:rsidP="0091076B">
      <w:pPr>
        <w:rPr>
          <w:sz w:val="24"/>
          <w:szCs w:val="24"/>
        </w:rPr>
      </w:pPr>
      <w:r w:rsidRPr="0091076B">
        <w:rPr>
          <w:lang w:eastAsia="bg-BG"/>
        </w:rPr>
        <w:t>Ламиктал таблетки:</w:t>
      </w:r>
    </w:p>
    <w:p w14:paraId="3DBE400D" w14:textId="77777777" w:rsidR="0091076B" w:rsidRPr="0091076B" w:rsidRDefault="0091076B" w:rsidP="0091076B">
      <w:pPr>
        <w:rPr>
          <w:sz w:val="24"/>
          <w:szCs w:val="24"/>
        </w:rPr>
      </w:pPr>
      <w:r w:rsidRPr="0091076B">
        <w:rPr>
          <w:lang w:eastAsia="bg-BG"/>
        </w:rPr>
        <w:t>Дата на първо разрешаване: 21 април 1994 г.</w:t>
      </w:r>
    </w:p>
    <w:p w14:paraId="46ABFC01" w14:textId="77777777" w:rsidR="0091076B" w:rsidRPr="0091076B" w:rsidRDefault="0091076B" w:rsidP="0091076B">
      <w:pPr>
        <w:rPr>
          <w:sz w:val="24"/>
          <w:szCs w:val="24"/>
        </w:rPr>
      </w:pPr>
      <w:r w:rsidRPr="0091076B">
        <w:rPr>
          <w:lang w:eastAsia="bg-BG"/>
        </w:rPr>
        <w:t>Дата на последно подновяване: 22 октомври 2009 г.</w:t>
      </w:r>
    </w:p>
    <w:p w14:paraId="37F39FA8" w14:textId="77777777" w:rsidR="0091076B" w:rsidRPr="0091076B" w:rsidRDefault="0091076B" w:rsidP="0091076B"/>
    <w:p w14:paraId="0E9D0119" w14:textId="0245C6D7" w:rsidR="002C50EE" w:rsidRDefault="002C50EE" w:rsidP="002C50EE">
      <w:pPr>
        <w:pStyle w:val="Heading1"/>
      </w:pPr>
      <w:r>
        <w:t>10. ДАТА НА АКТУАЛИЗИРАНЕ НА ТЕКСТА</w:t>
      </w:r>
    </w:p>
    <w:bookmarkEnd w:id="0"/>
    <w:p w14:paraId="43FB38A2" w14:textId="16D30AD3" w:rsidR="007C605B" w:rsidRPr="003E3126" w:rsidRDefault="0091076B" w:rsidP="0091076B">
      <w:r>
        <w:t>07/2021</w:t>
      </w:r>
      <w:bookmarkStart w:id="1" w:name="_GoBack"/>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912CF0"/>
    <w:multiLevelType w:val="hybridMultilevel"/>
    <w:tmpl w:val="344CD6BA"/>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DD73A7"/>
    <w:multiLevelType w:val="hybridMultilevel"/>
    <w:tmpl w:val="36E200F0"/>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30"/>
  </w:num>
  <w:num w:numId="12">
    <w:abstractNumId w:val="13"/>
  </w:num>
  <w:num w:numId="13">
    <w:abstractNumId w:val="18"/>
  </w:num>
  <w:num w:numId="14">
    <w:abstractNumId w:val="11"/>
  </w:num>
  <w:num w:numId="15">
    <w:abstractNumId w:val="29"/>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1"/>
  </w:num>
  <w:num w:numId="28">
    <w:abstractNumId w:val="6"/>
  </w:num>
  <w:num w:numId="29">
    <w:abstractNumId w:val="19"/>
  </w:num>
  <w:num w:numId="30">
    <w:abstractNumId w:val="32"/>
  </w:num>
  <w:num w:numId="31">
    <w:abstractNumId w:val="5"/>
  </w:num>
  <w:num w:numId="32">
    <w:abstractNumId w:val="2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15A12"/>
    <w:rsid w:val="00340A0A"/>
    <w:rsid w:val="003765DC"/>
    <w:rsid w:val="00395555"/>
    <w:rsid w:val="003E3126"/>
    <w:rsid w:val="004D4D6B"/>
    <w:rsid w:val="00517A5B"/>
    <w:rsid w:val="00570851"/>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1076B"/>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DE1E81"/>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11635</Words>
  <Characters>66320</Characters>
  <Application>Microsoft Office Word</Application>
  <DocSecurity>0</DocSecurity>
  <Lines>552</Lines>
  <Paragraphs>155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2022-01-23T18:34:00Z</dcterms:created>
  <dcterms:modified xsi:type="dcterms:W3CDTF">2022-01-23T18:34:00Z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