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D2BD9CD" w:rsidR="007122AD" w:rsidRDefault="00DD466D" w:rsidP="00936AD0">
      <w:pPr>
        <w:pStyle w:val="Heading1"/>
      </w:pPr>
      <w:r>
        <w:t>1.ИМЕ НА ЛЕКАРСТВЕНИЯ ПРОДУКТ</w:t>
      </w:r>
    </w:p>
    <w:p w14:paraId="564F5780" w14:textId="3CDCB506" w:rsidR="00841991" w:rsidRDefault="00841991" w:rsidP="00841991"/>
    <w:p w14:paraId="30353B89" w14:textId="77777777" w:rsidR="00841991" w:rsidRDefault="00841991" w:rsidP="00841991">
      <w:pPr>
        <w:rPr>
          <w:lang w:eastAsia="bg-BG"/>
        </w:rPr>
      </w:pPr>
      <w:r w:rsidRPr="00841991">
        <w:rPr>
          <w:lang w:eastAsia="bg-BG"/>
        </w:rPr>
        <w:t xml:space="preserve">ЛАМОТРИКС 25 </w:t>
      </w:r>
      <w:r w:rsidRPr="00841991">
        <w:rPr>
          <w:lang w:val="en-US"/>
        </w:rPr>
        <w:t xml:space="preserve">mg </w:t>
      </w:r>
      <w:r w:rsidRPr="00841991">
        <w:rPr>
          <w:lang w:eastAsia="bg-BG"/>
        </w:rPr>
        <w:t xml:space="preserve">таблетки </w:t>
      </w:r>
    </w:p>
    <w:p w14:paraId="13B49CFD" w14:textId="77777777" w:rsidR="00841991" w:rsidRDefault="00841991" w:rsidP="00841991">
      <w:r w:rsidRPr="00841991">
        <w:rPr>
          <w:lang w:val="en-US"/>
        </w:rPr>
        <w:t>LAMOTRIX</w:t>
      </w:r>
      <w:r w:rsidRPr="00841991">
        <w:t xml:space="preserve"> </w:t>
      </w:r>
      <w:r w:rsidRPr="00841991">
        <w:rPr>
          <w:lang w:eastAsia="bg-BG"/>
        </w:rPr>
        <w:t xml:space="preserve">25 </w:t>
      </w:r>
      <w:r w:rsidRPr="00841991">
        <w:rPr>
          <w:lang w:val="en-US"/>
        </w:rPr>
        <w:t>mg</w:t>
      </w:r>
      <w:r w:rsidRPr="00841991">
        <w:t xml:space="preserve"> </w:t>
      </w:r>
      <w:r w:rsidRPr="00841991">
        <w:rPr>
          <w:lang w:val="en-US"/>
        </w:rPr>
        <w:t>tablets</w:t>
      </w:r>
      <w:r w:rsidRPr="00841991">
        <w:t xml:space="preserve"> </w:t>
      </w:r>
    </w:p>
    <w:p w14:paraId="3473A4E1" w14:textId="77777777" w:rsidR="00841991" w:rsidRDefault="00841991" w:rsidP="00841991">
      <w:pPr>
        <w:rPr>
          <w:lang w:eastAsia="bg-BG"/>
        </w:rPr>
      </w:pPr>
      <w:r w:rsidRPr="00841991">
        <w:rPr>
          <w:lang w:eastAsia="bg-BG"/>
        </w:rPr>
        <w:t xml:space="preserve">ЛАМОТРИКС 50 </w:t>
      </w:r>
      <w:r w:rsidRPr="00841991">
        <w:rPr>
          <w:lang w:val="en-US"/>
        </w:rPr>
        <w:t>mg</w:t>
      </w:r>
      <w:r w:rsidRPr="00841991">
        <w:t xml:space="preserve"> </w:t>
      </w:r>
      <w:r w:rsidRPr="00841991">
        <w:rPr>
          <w:lang w:eastAsia="bg-BG"/>
        </w:rPr>
        <w:t>таблетки</w:t>
      </w:r>
    </w:p>
    <w:p w14:paraId="4CD2CEB3" w14:textId="77777777" w:rsidR="00841991" w:rsidRDefault="00841991" w:rsidP="00841991">
      <w:r w:rsidRPr="00841991">
        <w:rPr>
          <w:lang w:eastAsia="bg-BG"/>
        </w:rPr>
        <w:t xml:space="preserve"> </w:t>
      </w:r>
      <w:r w:rsidRPr="00841991">
        <w:rPr>
          <w:lang w:val="en-US"/>
        </w:rPr>
        <w:t>LAMOTRIX</w:t>
      </w:r>
      <w:r w:rsidRPr="00841991">
        <w:t xml:space="preserve"> </w:t>
      </w:r>
      <w:r w:rsidRPr="00841991">
        <w:rPr>
          <w:lang w:eastAsia="bg-BG"/>
        </w:rPr>
        <w:t xml:space="preserve">50 </w:t>
      </w:r>
      <w:r w:rsidRPr="00841991">
        <w:rPr>
          <w:lang w:val="en-US"/>
        </w:rPr>
        <w:t>mg</w:t>
      </w:r>
      <w:r w:rsidRPr="00841991">
        <w:t xml:space="preserve"> </w:t>
      </w:r>
      <w:r w:rsidRPr="00841991">
        <w:rPr>
          <w:lang w:val="en-US"/>
        </w:rPr>
        <w:t>tablets</w:t>
      </w:r>
      <w:r w:rsidRPr="00841991">
        <w:t xml:space="preserve"> </w:t>
      </w:r>
    </w:p>
    <w:p w14:paraId="0271480C" w14:textId="77777777" w:rsidR="00841991" w:rsidRDefault="00841991" w:rsidP="00841991">
      <w:pPr>
        <w:rPr>
          <w:lang w:eastAsia="bg-BG"/>
        </w:rPr>
      </w:pPr>
      <w:r w:rsidRPr="00841991">
        <w:rPr>
          <w:lang w:eastAsia="bg-BG"/>
        </w:rPr>
        <w:t xml:space="preserve">ЛАМОТРИКС </w:t>
      </w:r>
      <w:r w:rsidRPr="00841991">
        <w:t xml:space="preserve">100 </w:t>
      </w:r>
      <w:r w:rsidRPr="00841991">
        <w:rPr>
          <w:lang w:val="en-US"/>
        </w:rPr>
        <w:t>mg</w:t>
      </w:r>
      <w:r w:rsidRPr="00841991">
        <w:t xml:space="preserve"> </w:t>
      </w:r>
      <w:r w:rsidRPr="00841991">
        <w:rPr>
          <w:lang w:eastAsia="bg-BG"/>
        </w:rPr>
        <w:t xml:space="preserve">таблетки </w:t>
      </w:r>
    </w:p>
    <w:p w14:paraId="5C0B46EA" w14:textId="77777777" w:rsidR="00841991" w:rsidRDefault="00841991" w:rsidP="00841991">
      <w:r w:rsidRPr="00841991">
        <w:rPr>
          <w:lang w:val="en-US"/>
        </w:rPr>
        <w:t>LAMOTRIX</w:t>
      </w:r>
      <w:r w:rsidRPr="00841991">
        <w:t xml:space="preserve"> 100 </w:t>
      </w:r>
      <w:r w:rsidRPr="00841991">
        <w:rPr>
          <w:lang w:val="en-US"/>
        </w:rPr>
        <w:t>mg</w:t>
      </w:r>
      <w:r w:rsidRPr="00841991">
        <w:t xml:space="preserve"> </w:t>
      </w:r>
      <w:r w:rsidRPr="00841991">
        <w:rPr>
          <w:lang w:val="en-US"/>
        </w:rPr>
        <w:t>tablets</w:t>
      </w:r>
      <w:r w:rsidRPr="00841991">
        <w:t xml:space="preserve"> </w:t>
      </w:r>
    </w:p>
    <w:p w14:paraId="6BE756D6" w14:textId="77777777" w:rsidR="00841991" w:rsidRDefault="00841991" w:rsidP="00841991">
      <w:pPr>
        <w:rPr>
          <w:lang w:eastAsia="bg-BG"/>
        </w:rPr>
      </w:pPr>
      <w:r w:rsidRPr="00841991">
        <w:rPr>
          <w:lang w:eastAsia="bg-BG"/>
        </w:rPr>
        <w:t xml:space="preserve">ЛАМОТРИКС </w:t>
      </w:r>
      <w:r w:rsidRPr="00841991">
        <w:t xml:space="preserve">200 </w:t>
      </w:r>
      <w:r w:rsidRPr="00841991">
        <w:rPr>
          <w:lang w:val="en-US"/>
        </w:rPr>
        <w:t>mg</w:t>
      </w:r>
      <w:r w:rsidRPr="00841991">
        <w:t xml:space="preserve"> </w:t>
      </w:r>
      <w:r w:rsidRPr="00841991">
        <w:rPr>
          <w:lang w:eastAsia="bg-BG"/>
        </w:rPr>
        <w:t>таблетки</w:t>
      </w:r>
    </w:p>
    <w:p w14:paraId="190B2B53" w14:textId="37AC668F" w:rsidR="00841991" w:rsidRPr="00841991" w:rsidRDefault="00841991" w:rsidP="00841991">
      <w:pPr>
        <w:rPr>
          <w:sz w:val="24"/>
          <w:szCs w:val="24"/>
        </w:rPr>
      </w:pPr>
      <w:r w:rsidRPr="00841991">
        <w:rPr>
          <w:lang w:eastAsia="bg-BG"/>
        </w:rPr>
        <w:t xml:space="preserve"> </w:t>
      </w:r>
      <w:r w:rsidRPr="00841991">
        <w:rPr>
          <w:lang w:val="en-US"/>
        </w:rPr>
        <w:t>LAMOTRIX</w:t>
      </w:r>
      <w:r w:rsidRPr="00841991">
        <w:t xml:space="preserve"> 200 </w:t>
      </w:r>
      <w:r w:rsidRPr="00841991">
        <w:rPr>
          <w:lang w:val="en-US"/>
        </w:rPr>
        <w:t>mg</w:t>
      </w:r>
      <w:r w:rsidRPr="00841991">
        <w:t xml:space="preserve"> </w:t>
      </w:r>
      <w:r w:rsidRPr="00841991">
        <w:rPr>
          <w:lang w:val="en-US"/>
        </w:rPr>
        <w:t>tablets</w:t>
      </w:r>
    </w:p>
    <w:p w14:paraId="7A1973C1" w14:textId="77777777" w:rsidR="00841991" w:rsidRPr="00841991" w:rsidRDefault="00841991" w:rsidP="00841991"/>
    <w:p w14:paraId="6920A680" w14:textId="24FB363F" w:rsidR="00C40420" w:rsidRDefault="00DD466D" w:rsidP="004A448E">
      <w:pPr>
        <w:pStyle w:val="Heading1"/>
      </w:pPr>
      <w:r>
        <w:t>2. КАЧЕСТВЕН И КОЛИЧЕСТВЕН СЪСТАВ</w:t>
      </w:r>
    </w:p>
    <w:p w14:paraId="545CD4F2" w14:textId="08621B63" w:rsidR="00841991" w:rsidRDefault="00841991" w:rsidP="00841991"/>
    <w:p w14:paraId="7448693D" w14:textId="77777777" w:rsidR="00841991" w:rsidRPr="00841991" w:rsidRDefault="00841991" w:rsidP="00841991">
      <w:pPr>
        <w:rPr>
          <w:sz w:val="24"/>
          <w:szCs w:val="24"/>
        </w:rPr>
      </w:pPr>
      <w:r w:rsidRPr="00841991">
        <w:rPr>
          <w:u w:val="single"/>
          <w:lang w:eastAsia="bg-BG"/>
        </w:rPr>
        <w:t xml:space="preserve">ЛАМОТРИКС 25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25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D3C6E96" w14:textId="77777777" w:rsidR="00841991" w:rsidRDefault="00841991" w:rsidP="00841991">
      <w:pPr>
        <w:rPr>
          <w:i/>
          <w:iCs/>
        </w:rPr>
      </w:pPr>
      <w:r w:rsidRPr="00841991">
        <w:rPr>
          <w:u w:val="single"/>
          <w:lang w:eastAsia="bg-BG"/>
        </w:rPr>
        <w:t xml:space="preserve">ЛАМОТРИКС 50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50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 xml:space="preserve">). </w:t>
      </w:r>
    </w:p>
    <w:p w14:paraId="18FA349C" w14:textId="108F1C46" w:rsidR="00841991" w:rsidRPr="00841991" w:rsidRDefault="00841991" w:rsidP="00841991">
      <w:pPr>
        <w:rPr>
          <w:sz w:val="24"/>
          <w:szCs w:val="24"/>
        </w:rPr>
      </w:pPr>
      <w:r w:rsidRPr="00841991">
        <w:rPr>
          <w:u w:val="single"/>
          <w:lang w:eastAsia="bg-BG"/>
        </w:rPr>
        <w:t xml:space="preserve">ЛАМОТРИКС 100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100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1C10A6E" w14:textId="77777777" w:rsidR="00841991" w:rsidRPr="00841991" w:rsidRDefault="00841991" w:rsidP="00841991">
      <w:pPr>
        <w:rPr>
          <w:sz w:val="24"/>
          <w:szCs w:val="24"/>
        </w:rPr>
      </w:pPr>
      <w:r w:rsidRPr="00841991">
        <w:rPr>
          <w:u w:val="single"/>
          <w:lang w:eastAsia="bg-BG"/>
        </w:rPr>
        <w:t xml:space="preserve">ЛАМОТРИКС 200 </w:t>
      </w:r>
      <w:r w:rsidRPr="00841991">
        <w:rPr>
          <w:u w:val="single"/>
          <w:lang w:val="en-US"/>
        </w:rPr>
        <w:t>mg</w:t>
      </w:r>
      <w:r w:rsidRPr="00841991">
        <w:rPr>
          <w:u w:val="single"/>
        </w:rPr>
        <w:t xml:space="preserve"> </w:t>
      </w:r>
      <w:r w:rsidRPr="00841991">
        <w:rPr>
          <w:u w:val="single"/>
          <w:lang w:eastAsia="bg-BG"/>
        </w:rPr>
        <w:t>таблетки</w:t>
      </w:r>
      <w:r w:rsidRPr="00841991">
        <w:rPr>
          <w:lang w:eastAsia="bg-BG"/>
        </w:rPr>
        <w:t xml:space="preserve">: всяка таблетка съдържа 200 </w:t>
      </w:r>
      <w:r w:rsidRPr="00841991">
        <w:rPr>
          <w:lang w:val="en-US"/>
        </w:rPr>
        <w:t>mg</w:t>
      </w:r>
      <w:r w:rsidRPr="00841991">
        <w:t xml:space="preserve"> </w:t>
      </w:r>
      <w:r w:rsidRPr="00841991">
        <w:rPr>
          <w:lang w:eastAsia="bg-BG"/>
        </w:rPr>
        <w:t xml:space="preserve">ламотригин </w:t>
      </w:r>
      <w:r w:rsidRPr="00841991">
        <w:rPr>
          <w:i/>
          <w:iCs/>
        </w:rPr>
        <w:t>(</w:t>
      </w:r>
      <w:r w:rsidRPr="00841991">
        <w:rPr>
          <w:i/>
          <w:iCs/>
          <w:lang w:val="en-US"/>
        </w:rPr>
        <w:t>lamotrigine</w:t>
      </w:r>
      <w:r w:rsidRPr="00841991">
        <w:rPr>
          <w:i/>
          <w:iCs/>
        </w:rPr>
        <w:t>).</w:t>
      </w:r>
    </w:p>
    <w:p w14:paraId="59363B55" w14:textId="77777777" w:rsidR="00841991" w:rsidRDefault="00841991" w:rsidP="00841991">
      <w:pPr>
        <w:rPr>
          <w:u w:val="single"/>
          <w:lang w:eastAsia="bg-BG"/>
        </w:rPr>
      </w:pPr>
    </w:p>
    <w:p w14:paraId="75B9FBEB" w14:textId="666203BC" w:rsidR="00841991" w:rsidRPr="00841991" w:rsidRDefault="00841991" w:rsidP="00841991">
      <w:pPr>
        <w:rPr>
          <w:sz w:val="24"/>
          <w:szCs w:val="24"/>
        </w:rPr>
      </w:pPr>
      <w:r w:rsidRPr="00841991">
        <w:rPr>
          <w:u w:val="single"/>
          <w:lang w:eastAsia="bg-BG"/>
        </w:rPr>
        <w:t>Помощно вещество с известно действие</w:t>
      </w:r>
      <w:r w:rsidRPr="00841991">
        <w:rPr>
          <w:lang w:eastAsia="bg-BG"/>
        </w:rPr>
        <w:t>: лактоза монохидрат.</w:t>
      </w:r>
    </w:p>
    <w:p w14:paraId="7B025E07" w14:textId="77777777" w:rsidR="00841991" w:rsidRPr="00841991" w:rsidRDefault="00841991" w:rsidP="00841991">
      <w:pPr>
        <w:rPr>
          <w:sz w:val="24"/>
          <w:szCs w:val="24"/>
        </w:rPr>
      </w:pPr>
      <w:r w:rsidRPr="00841991">
        <w:rPr>
          <w:lang w:eastAsia="bg-BG"/>
        </w:rPr>
        <w:t xml:space="preserve">Всяка таблетка ЛАМОТРИКС 25 </w:t>
      </w:r>
      <w:r w:rsidRPr="00841991">
        <w:rPr>
          <w:lang w:val="en-US"/>
        </w:rPr>
        <w:t>mg</w:t>
      </w:r>
      <w:r w:rsidRPr="00841991">
        <w:rPr>
          <w:lang w:val="ru-RU"/>
        </w:rPr>
        <w:t xml:space="preserve"> </w:t>
      </w:r>
      <w:r w:rsidRPr="00841991">
        <w:rPr>
          <w:lang w:eastAsia="bg-BG"/>
        </w:rPr>
        <w:t xml:space="preserve">съдържа 24,7 </w:t>
      </w:r>
      <w:r w:rsidRPr="00841991">
        <w:rPr>
          <w:lang w:val="en-US"/>
        </w:rPr>
        <w:t>mg</w:t>
      </w:r>
      <w:r w:rsidRPr="00841991">
        <w:rPr>
          <w:lang w:val="ru-RU"/>
        </w:rPr>
        <w:t xml:space="preserve"> </w:t>
      </w:r>
      <w:r w:rsidRPr="00841991">
        <w:rPr>
          <w:lang w:eastAsia="bg-BG"/>
        </w:rPr>
        <w:t xml:space="preserve">лактоза монохидрат (еквивалентно на 23,47 </w:t>
      </w:r>
      <w:r w:rsidRPr="00841991">
        <w:rPr>
          <w:lang w:val="en-US"/>
        </w:rPr>
        <w:t>mg</w:t>
      </w:r>
      <w:r w:rsidRPr="00841991">
        <w:rPr>
          <w:lang w:val="ru-RU"/>
        </w:rPr>
        <w:t xml:space="preserve"> </w:t>
      </w:r>
      <w:r w:rsidRPr="00841991">
        <w:rPr>
          <w:lang w:eastAsia="bg-BG"/>
        </w:rPr>
        <w:t>лактоза).</w:t>
      </w:r>
    </w:p>
    <w:p w14:paraId="24DE35E5" w14:textId="77777777" w:rsidR="00841991" w:rsidRPr="00841991" w:rsidRDefault="00841991" w:rsidP="00841991">
      <w:pPr>
        <w:rPr>
          <w:sz w:val="24"/>
          <w:szCs w:val="24"/>
        </w:rPr>
      </w:pPr>
      <w:r w:rsidRPr="00841991">
        <w:rPr>
          <w:lang w:eastAsia="bg-BG"/>
        </w:rPr>
        <w:t xml:space="preserve">Всяка таблетка ЛАМОТРИКС 50 </w:t>
      </w:r>
      <w:r w:rsidRPr="00841991">
        <w:rPr>
          <w:lang w:val="en-US"/>
        </w:rPr>
        <w:t>mg</w:t>
      </w:r>
      <w:r w:rsidRPr="00841991">
        <w:rPr>
          <w:lang w:val="ru-RU"/>
        </w:rPr>
        <w:t xml:space="preserve"> </w:t>
      </w:r>
      <w:r w:rsidRPr="00841991">
        <w:rPr>
          <w:lang w:eastAsia="bg-BG"/>
        </w:rPr>
        <w:t xml:space="preserve">съдържа 49,4 </w:t>
      </w:r>
      <w:r w:rsidRPr="00841991">
        <w:rPr>
          <w:lang w:val="en-US"/>
        </w:rPr>
        <w:t>mg</w:t>
      </w:r>
      <w:r w:rsidRPr="00841991">
        <w:rPr>
          <w:lang w:val="ru-RU"/>
        </w:rPr>
        <w:t xml:space="preserve"> </w:t>
      </w:r>
      <w:r w:rsidRPr="00841991">
        <w:rPr>
          <w:lang w:eastAsia="bg-BG"/>
        </w:rPr>
        <w:t xml:space="preserve">лактоза монохидрат (еквивалентно на 46,93 </w:t>
      </w:r>
      <w:r w:rsidRPr="00841991">
        <w:rPr>
          <w:lang w:val="en-US"/>
        </w:rPr>
        <w:t>mg</w:t>
      </w:r>
      <w:r w:rsidRPr="00841991">
        <w:rPr>
          <w:lang w:val="ru-RU"/>
        </w:rPr>
        <w:t xml:space="preserve"> </w:t>
      </w:r>
      <w:r w:rsidRPr="00841991">
        <w:rPr>
          <w:lang w:eastAsia="bg-BG"/>
        </w:rPr>
        <w:t>лактоза).</w:t>
      </w:r>
    </w:p>
    <w:p w14:paraId="7BC655B3" w14:textId="77777777" w:rsidR="00841991" w:rsidRPr="00841991" w:rsidRDefault="00841991" w:rsidP="00841991">
      <w:pPr>
        <w:rPr>
          <w:sz w:val="24"/>
          <w:szCs w:val="24"/>
        </w:rPr>
      </w:pPr>
      <w:r w:rsidRPr="00841991">
        <w:rPr>
          <w:lang w:eastAsia="bg-BG"/>
        </w:rPr>
        <w:t xml:space="preserve">Всяка таблетка ЛАМОТРИКС 100 </w:t>
      </w:r>
      <w:r w:rsidRPr="00841991">
        <w:rPr>
          <w:lang w:val="en-US"/>
        </w:rPr>
        <w:t>mg</w:t>
      </w:r>
      <w:r w:rsidRPr="00841991">
        <w:rPr>
          <w:lang w:val="ru-RU"/>
        </w:rPr>
        <w:t xml:space="preserve"> </w:t>
      </w:r>
      <w:r w:rsidRPr="00841991">
        <w:rPr>
          <w:lang w:eastAsia="bg-BG"/>
        </w:rPr>
        <w:t xml:space="preserve">съдържа 98,8 </w:t>
      </w:r>
      <w:r w:rsidRPr="00841991">
        <w:rPr>
          <w:lang w:val="en-US"/>
        </w:rPr>
        <w:t>mg</w:t>
      </w:r>
      <w:r w:rsidRPr="00841991">
        <w:rPr>
          <w:lang w:val="ru-RU"/>
        </w:rPr>
        <w:t xml:space="preserve"> </w:t>
      </w:r>
      <w:r w:rsidRPr="00841991">
        <w:rPr>
          <w:lang w:eastAsia="bg-BG"/>
        </w:rPr>
        <w:t xml:space="preserve">лактоза монохидрат (еквивалентно на 93,86 </w:t>
      </w:r>
      <w:r w:rsidRPr="00841991">
        <w:rPr>
          <w:lang w:val="en-US"/>
        </w:rPr>
        <w:t>mg</w:t>
      </w:r>
      <w:r w:rsidRPr="00841991">
        <w:rPr>
          <w:lang w:val="ru-RU"/>
        </w:rPr>
        <w:t xml:space="preserve"> </w:t>
      </w:r>
      <w:r w:rsidRPr="00841991">
        <w:rPr>
          <w:lang w:eastAsia="bg-BG"/>
        </w:rPr>
        <w:t>лактоза).</w:t>
      </w:r>
    </w:p>
    <w:p w14:paraId="02D2A71F" w14:textId="77777777" w:rsidR="00841991" w:rsidRPr="00841991" w:rsidRDefault="00841991" w:rsidP="00841991">
      <w:pPr>
        <w:rPr>
          <w:sz w:val="24"/>
          <w:szCs w:val="24"/>
        </w:rPr>
      </w:pPr>
      <w:r w:rsidRPr="00841991">
        <w:rPr>
          <w:lang w:eastAsia="bg-BG"/>
        </w:rPr>
        <w:t xml:space="preserve">Всяка таблетка ЛАМОТРИКС 200 </w:t>
      </w:r>
      <w:r w:rsidRPr="00841991">
        <w:rPr>
          <w:lang w:val="en-US"/>
        </w:rPr>
        <w:t>mg</w:t>
      </w:r>
      <w:r w:rsidRPr="00841991">
        <w:rPr>
          <w:lang w:val="ru-RU"/>
        </w:rPr>
        <w:t xml:space="preserve"> </w:t>
      </w:r>
      <w:r w:rsidRPr="00841991">
        <w:rPr>
          <w:lang w:eastAsia="bg-BG"/>
        </w:rPr>
        <w:t xml:space="preserve">съдържа 197,6 </w:t>
      </w:r>
      <w:r w:rsidRPr="00841991">
        <w:rPr>
          <w:lang w:val="en-US"/>
        </w:rPr>
        <w:t>mg</w:t>
      </w:r>
      <w:r w:rsidRPr="00841991">
        <w:rPr>
          <w:lang w:val="ru-RU"/>
        </w:rPr>
        <w:t xml:space="preserve"> </w:t>
      </w:r>
      <w:r w:rsidRPr="00841991">
        <w:rPr>
          <w:lang w:eastAsia="bg-BG"/>
        </w:rPr>
        <w:t xml:space="preserve">лактоза монохидрат (еквивалентно на 187,73 </w:t>
      </w:r>
      <w:r w:rsidRPr="00841991">
        <w:rPr>
          <w:lang w:val="en-US"/>
        </w:rPr>
        <w:t>mg</w:t>
      </w:r>
      <w:r w:rsidRPr="00841991">
        <w:rPr>
          <w:lang w:val="ru-RU"/>
        </w:rPr>
        <w:t xml:space="preserve"> </w:t>
      </w:r>
      <w:r w:rsidRPr="00841991">
        <w:rPr>
          <w:lang w:eastAsia="bg-BG"/>
        </w:rPr>
        <w:t>лактоза).</w:t>
      </w:r>
    </w:p>
    <w:p w14:paraId="36C165C7" w14:textId="77777777" w:rsidR="00841991" w:rsidRPr="00841991" w:rsidRDefault="00841991" w:rsidP="00841991"/>
    <w:p w14:paraId="614984C4" w14:textId="726B636E" w:rsidR="008A6AF2" w:rsidRDefault="00DD466D" w:rsidP="002C50EE">
      <w:pPr>
        <w:pStyle w:val="Heading1"/>
      </w:pPr>
      <w:r>
        <w:t>3. ЛЕКАРСТВЕНА ФОРМА</w:t>
      </w:r>
    </w:p>
    <w:p w14:paraId="1CD2653B" w14:textId="4E823C0F" w:rsidR="00841991" w:rsidRDefault="00841991" w:rsidP="00841991"/>
    <w:p w14:paraId="62AF6D3A" w14:textId="77777777" w:rsidR="00841991" w:rsidRPr="00841991" w:rsidRDefault="00841991" w:rsidP="00841991">
      <w:pPr>
        <w:rPr>
          <w:sz w:val="24"/>
          <w:szCs w:val="24"/>
        </w:rPr>
      </w:pPr>
      <w:r w:rsidRPr="00841991">
        <w:rPr>
          <w:lang w:eastAsia="bg-BG"/>
        </w:rPr>
        <w:t>Таблетка</w:t>
      </w:r>
    </w:p>
    <w:p w14:paraId="3086FF3F" w14:textId="77777777" w:rsidR="00841991" w:rsidRDefault="00841991" w:rsidP="00841991">
      <w:pPr>
        <w:rPr>
          <w:u w:val="single"/>
          <w:lang w:eastAsia="bg-BG"/>
        </w:rPr>
      </w:pPr>
    </w:p>
    <w:p w14:paraId="7EFE367D" w14:textId="3A502ACE" w:rsidR="00841991" w:rsidRPr="00841991" w:rsidRDefault="00841991" w:rsidP="00841991">
      <w:pPr>
        <w:rPr>
          <w:sz w:val="24"/>
          <w:szCs w:val="24"/>
        </w:rPr>
      </w:pPr>
      <w:r w:rsidRPr="00841991">
        <w:rPr>
          <w:u w:val="single"/>
          <w:lang w:eastAsia="bg-BG"/>
        </w:rPr>
        <w:t xml:space="preserve">ЛАМОТРИКС 25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надпис МС от едната страна и диаметър 6 </w:t>
      </w:r>
      <w:r w:rsidRPr="00841991">
        <w:rPr>
          <w:lang w:val="en-US"/>
        </w:rPr>
        <w:t>mm</w:t>
      </w:r>
      <w:r w:rsidRPr="00841991">
        <w:rPr>
          <w:lang w:val="ru-RU"/>
        </w:rPr>
        <w:t>.</w:t>
      </w:r>
    </w:p>
    <w:p w14:paraId="797D533E" w14:textId="77777777" w:rsidR="00841991" w:rsidRPr="00841991" w:rsidRDefault="00841991" w:rsidP="00841991">
      <w:pPr>
        <w:rPr>
          <w:sz w:val="24"/>
          <w:szCs w:val="24"/>
        </w:rPr>
      </w:pPr>
      <w:r w:rsidRPr="00841991">
        <w:rPr>
          <w:u w:val="single"/>
          <w:lang w:eastAsia="bg-BG"/>
        </w:rPr>
        <w:t xml:space="preserve">ЛАМОТРИКС 50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8 </w:t>
      </w:r>
      <w:r w:rsidRPr="00841991">
        <w:rPr>
          <w:lang w:val="en-US"/>
        </w:rPr>
        <w:t>mm</w:t>
      </w:r>
      <w:r w:rsidRPr="00841991">
        <w:rPr>
          <w:lang w:val="ru-RU"/>
        </w:rPr>
        <w:t>.</w:t>
      </w:r>
    </w:p>
    <w:p w14:paraId="57EF58D9" w14:textId="77777777" w:rsidR="00841991" w:rsidRPr="00841991" w:rsidRDefault="00841991" w:rsidP="00841991">
      <w:pPr>
        <w:rPr>
          <w:sz w:val="24"/>
          <w:szCs w:val="24"/>
        </w:rPr>
      </w:pPr>
      <w:r w:rsidRPr="00841991">
        <w:rPr>
          <w:u w:val="single"/>
          <w:lang w:eastAsia="bg-BG"/>
        </w:rPr>
        <w:t xml:space="preserve">ЛАМОТРИКС 100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9,5 </w:t>
      </w:r>
      <w:r w:rsidRPr="00841991">
        <w:rPr>
          <w:lang w:val="en-US"/>
        </w:rPr>
        <w:t>mm</w:t>
      </w:r>
      <w:r w:rsidRPr="00841991">
        <w:rPr>
          <w:lang w:val="ru-RU"/>
        </w:rPr>
        <w:t>.</w:t>
      </w:r>
    </w:p>
    <w:p w14:paraId="14306942" w14:textId="77777777" w:rsidR="00841991" w:rsidRPr="00841991" w:rsidRDefault="00841991" w:rsidP="00841991">
      <w:pPr>
        <w:rPr>
          <w:sz w:val="24"/>
          <w:szCs w:val="24"/>
        </w:rPr>
      </w:pPr>
      <w:r w:rsidRPr="00841991">
        <w:rPr>
          <w:u w:val="single"/>
          <w:lang w:eastAsia="bg-BG"/>
        </w:rPr>
        <w:t xml:space="preserve">ЛАМОТРИКС 200 </w:t>
      </w:r>
      <w:r w:rsidRPr="00841991">
        <w:rPr>
          <w:u w:val="single"/>
          <w:lang w:val="en-US"/>
        </w:rPr>
        <w:t>mg</w:t>
      </w:r>
      <w:r w:rsidRPr="00841991">
        <w:rPr>
          <w:lang w:val="ru-RU"/>
        </w:rPr>
        <w:t xml:space="preserve"> </w:t>
      </w:r>
      <w:r w:rsidRPr="00841991">
        <w:rPr>
          <w:lang w:eastAsia="bg-BG"/>
        </w:rPr>
        <w:t xml:space="preserve">са бежови, кръгли, плоски таблетки с делителна черта и диаметър 12,77 </w:t>
      </w:r>
      <w:r w:rsidRPr="00841991">
        <w:rPr>
          <w:lang w:val="en-US"/>
        </w:rPr>
        <w:t>mm</w:t>
      </w:r>
      <w:r w:rsidRPr="00841991">
        <w:rPr>
          <w:lang w:val="ru-RU"/>
        </w:rPr>
        <w:t>.</w:t>
      </w:r>
    </w:p>
    <w:p w14:paraId="2042B616" w14:textId="77777777" w:rsidR="00841991" w:rsidRPr="00841991" w:rsidRDefault="00841991" w:rsidP="00841991">
      <w:pPr>
        <w:rPr>
          <w:sz w:val="24"/>
          <w:szCs w:val="24"/>
        </w:rPr>
      </w:pPr>
      <w:r w:rsidRPr="00841991">
        <w:rPr>
          <w:lang w:eastAsia="bg-BG"/>
        </w:rPr>
        <w:lastRenderedPageBreak/>
        <w:t xml:space="preserve">Таблетките могат да бъдат разделени на две равни дози с изключение на таблетките от 25 </w:t>
      </w:r>
      <w:r w:rsidRPr="00841991">
        <w:rPr>
          <w:lang w:val="en-US"/>
        </w:rPr>
        <w:t>mg</w:t>
      </w:r>
      <w:r w:rsidRPr="00841991">
        <w:rPr>
          <w:lang w:val="ru-RU"/>
        </w:rPr>
        <w:t xml:space="preserve">, </w:t>
      </w:r>
      <w:r w:rsidRPr="00841991">
        <w:rPr>
          <w:lang w:eastAsia="bg-BG"/>
        </w:rPr>
        <w:t>които нямат делителна черта.</w:t>
      </w:r>
    </w:p>
    <w:p w14:paraId="7546EB0E" w14:textId="77777777" w:rsidR="00841991" w:rsidRPr="00841991" w:rsidRDefault="00841991" w:rsidP="00841991"/>
    <w:p w14:paraId="490FC2C4" w14:textId="0F4A4A75" w:rsidR="002C50EE" w:rsidRDefault="002C50EE" w:rsidP="002C50EE">
      <w:pPr>
        <w:pStyle w:val="Heading1"/>
      </w:pPr>
      <w:r>
        <w:t>4. КЛИНИЧНИ ДАННИ</w:t>
      </w:r>
    </w:p>
    <w:p w14:paraId="74330405" w14:textId="45FAE8A1" w:rsidR="007122AD" w:rsidRDefault="002C50EE" w:rsidP="00936AD0">
      <w:pPr>
        <w:pStyle w:val="Heading2"/>
      </w:pPr>
      <w:r>
        <w:t>4.1. Терапевтични показания</w:t>
      </w:r>
    </w:p>
    <w:p w14:paraId="45BB5309" w14:textId="3E6D6559" w:rsidR="00841991" w:rsidRDefault="00841991" w:rsidP="00841991"/>
    <w:p w14:paraId="585285EF"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Епилепсия</w:t>
      </w:r>
    </w:p>
    <w:p w14:paraId="59A4E866" w14:textId="77777777" w:rsidR="00841991" w:rsidRPr="00841991" w:rsidRDefault="00841991" w:rsidP="00841991">
      <w:pPr>
        <w:spacing w:line="240" w:lineRule="auto"/>
        <w:rPr>
          <w:rFonts w:eastAsia="Times New Roman" w:cs="Arial"/>
          <w:i/>
          <w:iCs/>
          <w:color w:val="000000"/>
          <w:szCs w:val="20"/>
          <w:lang w:eastAsia="bg-BG"/>
        </w:rPr>
      </w:pPr>
    </w:p>
    <w:p w14:paraId="70E8F511" w14:textId="51B2F66F"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Възрастни и юноши на и над 13 години:</w:t>
      </w:r>
    </w:p>
    <w:p w14:paraId="405DB569" w14:textId="77777777"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монотерапия или комбинирана терапия на парциални или генерализирани припадъци, включително тонично-клонични припадъци</w:t>
      </w:r>
    </w:p>
    <w:p w14:paraId="2C304120" w14:textId="6819C9C0"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 xml:space="preserve">припадъци, свързани със синдрома на </w:t>
      </w:r>
      <w:r w:rsidRPr="00841991">
        <w:rPr>
          <w:rFonts w:eastAsia="Times New Roman" w:cs="Arial"/>
          <w:color w:val="000000"/>
          <w:szCs w:val="20"/>
          <w:lang w:val="en-US"/>
        </w:rPr>
        <w:t>Lennox</w:t>
      </w:r>
      <w:r w:rsidRPr="00841991">
        <w:rPr>
          <w:rFonts w:eastAsia="Times New Roman" w:cs="Arial"/>
          <w:color w:val="000000"/>
          <w:szCs w:val="20"/>
        </w:rPr>
        <w:t>-</w:t>
      </w:r>
      <w:r w:rsidRPr="00841991">
        <w:rPr>
          <w:rFonts w:eastAsia="Times New Roman" w:cs="Arial"/>
          <w:color w:val="000000"/>
          <w:szCs w:val="20"/>
          <w:lang w:val="en-US"/>
        </w:rPr>
        <w:t>Gastaut</w:t>
      </w:r>
      <w:r w:rsidRPr="00841991">
        <w:rPr>
          <w:rFonts w:eastAsia="Times New Roman" w:cs="Arial"/>
          <w:color w:val="000000"/>
          <w:szCs w:val="20"/>
        </w:rPr>
        <w:t xml:space="preserve">. </w:t>
      </w:r>
      <w:r w:rsidRPr="00841991">
        <w:rPr>
          <w:rFonts w:eastAsia="Times New Roman" w:cs="Arial"/>
          <w:color w:val="000000"/>
          <w:szCs w:val="20"/>
          <w:lang w:eastAsia="bg-BG"/>
        </w:rPr>
        <w:t xml:space="preserve">ЛАМОТРИКС се прилага за комбинирана терапия, но може да се използва и като начално антиепилептично лекарство (АЕЛ), с което да се започне при синдрома на </w:t>
      </w:r>
      <w:r w:rsidRPr="00841991">
        <w:rPr>
          <w:rFonts w:eastAsia="Times New Roman" w:cs="Arial"/>
          <w:color w:val="000000"/>
          <w:szCs w:val="20"/>
          <w:lang w:val="en-US"/>
        </w:rPr>
        <w:t>Lennox</w:t>
      </w:r>
      <w:r w:rsidRPr="00841991">
        <w:rPr>
          <w:rFonts w:eastAsia="Times New Roman" w:cs="Arial"/>
          <w:color w:val="000000"/>
          <w:szCs w:val="20"/>
          <w:lang w:val="ru-RU"/>
        </w:rPr>
        <w:t>-</w:t>
      </w:r>
      <w:r w:rsidRPr="00841991">
        <w:rPr>
          <w:rFonts w:eastAsia="Times New Roman" w:cs="Arial"/>
          <w:color w:val="000000"/>
          <w:szCs w:val="20"/>
          <w:lang w:val="en-US"/>
        </w:rPr>
        <w:t>Gastaut</w:t>
      </w:r>
      <w:r w:rsidRPr="00841991">
        <w:rPr>
          <w:rFonts w:eastAsia="Times New Roman" w:cs="Arial"/>
          <w:color w:val="000000"/>
          <w:szCs w:val="20"/>
          <w:lang w:val="ru-RU"/>
        </w:rPr>
        <w:t>.</w:t>
      </w:r>
    </w:p>
    <w:p w14:paraId="5CED7113" w14:textId="77777777" w:rsidR="00841991" w:rsidRPr="00841991" w:rsidRDefault="00841991" w:rsidP="00841991">
      <w:pPr>
        <w:spacing w:line="240" w:lineRule="auto"/>
        <w:rPr>
          <w:rFonts w:eastAsia="Times New Roman" w:cs="Arial"/>
          <w:i/>
          <w:iCs/>
          <w:color w:val="000000"/>
          <w:szCs w:val="20"/>
          <w:lang w:eastAsia="bg-BG"/>
        </w:rPr>
      </w:pPr>
    </w:p>
    <w:p w14:paraId="523F23D1" w14:textId="2674765C"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Деца и юноши на възраст от 2 до 13 години:</w:t>
      </w:r>
    </w:p>
    <w:p w14:paraId="618CD0ED" w14:textId="77777777"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 xml:space="preserve">комбинирана терапия на парциални или генерализирани припадъци, включително тонично-клонични припадъци и припадъци, свързани със синдрома на </w:t>
      </w:r>
      <w:r w:rsidRPr="00841991">
        <w:rPr>
          <w:rFonts w:eastAsia="Times New Roman" w:cs="Arial"/>
          <w:color w:val="000000"/>
          <w:szCs w:val="20"/>
          <w:lang w:val="en-US"/>
        </w:rPr>
        <w:t>Lennox</w:t>
      </w:r>
      <w:r w:rsidRPr="00841991">
        <w:rPr>
          <w:rFonts w:eastAsia="Times New Roman" w:cs="Arial"/>
          <w:color w:val="000000"/>
          <w:szCs w:val="20"/>
          <w:lang w:val="ru-RU"/>
        </w:rPr>
        <w:t>-</w:t>
      </w:r>
      <w:r w:rsidRPr="00841991">
        <w:rPr>
          <w:rFonts w:eastAsia="Times New Roman" w:cs="Arial"/>
          <w:color w:val="000000"/>
          <w:szCs w:val="20"/>
          <w:lang w:val="en-US"/>
        </w:rPr>
        <w:t>Gastaut</w:t>
      </w:r>
      <w:r w:rsidRPr="00841991">
        <w:rPr>
          <w:rFonts w:eastAsia="Times New Roman" w:cs="Arial"/>
          <w:color w:val="000000"/>
          <w:szCs w:val="20"/>
          <w:lang w:val="ru-RU"/>
        </w:rPr>
        <w:t>.</w:t>
      </w:r>
    </w:p>
    <w:p w14:paraId="58DB6A06" w14:textId="24F83819" w:rsidR="00841991" w:rsidRPr="00841991" w:rsidRDefault="00841991" w:rsidP="00841991">
      <w:pPr>
        <w:pStyle w:val="ListParagraph"/>
        <w:numPr>
          <w:ilvl w:val="0"/>
          <w:numId w:val="37"/>
        </w:numPr>
        <w:spacing w:line="240" w:lineRule="auto"/>
        <w:rPr>
          <w:rFonts w:eastAsia="Times New Roman" w:cs="Arial"/>
          <w:sz w:val="28"/>
          <w:szCs w:val="24"/>
        </w:rPr>
      </w:pPr>
      <w:r w:rsidRPr="00841991">
        <w:rPr>
          <w:rFonts w:eastAsia="Times New Roman" w:cs="Arial"/>
          <w:color w:val="000000"/>
          <w:szCs w:val="20"/>
          <w:lang w:eastAsia="bg-BG"/>
        </w:rPr>
        <w:t>монотерапия на типични абсанси.</w:t>
      </w:r>
    </w:p>
    <w:p w14:paraId="59512918" w14:textId="77777777" w:rsidR="00841991" w:rsidRPr="00841991" w:rsidRDefault="00841991" w:rsidP="00841991">
      <w:pPr>
        <w:spacing w:line="240" w:lineRule="auto"/>
        <w:rPr>
          <w:rFonts w:eastAsia="Times New Roman" w:cs="Arial"/>
          <w:color w:val="000000"/>
          <w:szCs w:val="20"/>
          <w:u w:val="single"/>
          <w:lang w:eastAsia="bg-BG"/>
        </w:rPr>
      </w:pPr>
    </w:p>
    <w:p w14:paraId="747F5CFD" w14:textId="1C17D4F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Биполярно разстройство</w:t>
      </w:r>
    </w:p>
    <w:p w14:paraId="076713B3" w14:textId="77777777" w:rsidR="00841991" w:rsidRPr="00841991" w:rsidRDefault="00841991" w:rsidP="00841991">
      <w:pPr>
        <w:spacing w:line="240" w:lineRule="auto"/>
        <w:rPr>
          <w:rFonts w:eastAsia="Times New Roman" w:cs="Arial"/>
          <w:i/>
          <w:iCs/>
          <w:color w:val="000000"/>
          <w:szCs w:val="20"/>
          <w:lang w:eastAsia="bg-BG"/>
        </w:rPr>
      </w:pPr>
    </w:p>
    <w:p w14:paraId="551F5CEE" w14:textId="19A26E1D"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Възрастни на възраст на и над 18 години:</w:t>
      </w:r>
    </w:p>
    <w:p w14:paraId="05D5E273" w14:textId="63EC6039" w:rsidR="00841991" w:rsidRPr="00841991" w:rsidRDefault="00841991" w:rsidP="00841991">
      <w:pPr>
        <w:pStyle w:val="ListParagraph"/>
        <w:numPr>
          <w:ilvl w:val="0"/>
          <w:numId w:val="38"/>
        </w:numPr>
        <w:rPr>
          <w:rFonts w:cs="Arial"/>
          <w:sz w:val="24"/>
        </w:rPr>
      </w:pPr>
      <w:r w:rsidRPr="00841991">
        <w:rPr>
          <w:rFonts w:eastAsia="Times New Roman" w:cs="Arial"/>
          <w:color w:val="000000"/>
          <w:szCs w:val="20"/>
          <w:lang w:eastAsia="bg-BG"/>
        </w:rPr>
        <w:t>предотвратяване на депресивни епизоди при пациенти с биполярно I разстройство, които имат предимно депресивни епизоди (вижте точка 5.1).</w:t>
      </w:r>
    </w:p>
    <w:p w14:paraId="7E346523" w14:textId="77777777" w:rsidR="00841991" w:rsidRPr="00841991" w:rsidRDefault="00841991" w:rsidP="00841991">
      <w:pPr>
        <w:rPr>
          <w:rFonts w:cs="Arial"/>
          <w:sz w:val="24"/>
        </w:rPr>
      </w:pPr>
    </w:p>
    <w:p w14:paraId="53F5B866" w14:textId="0F72C4F8" w:rsidR="007122AD" w:rsidRDefault="002C50EE" w:rsidP="00936AD0">
      <w:pPr>
        <w:pStyle w:val="Heading2"/>
      </w:pPr>
      <w:r>
        <w:t>4.2. Дозировка и начин на приложение</w:t>
      </w:r>
    </w:p>
    <w:p w14:paraId="40FB164A" w14:textId="7B92F78F" w:rsidR="00841991" w:rsidRDefault="00841991" w:rsidP="00841991"/>
    <w:p w14:paraId="3E24F902" w14:textId="77777777" w:rsidR="00841991" w:rsidRPr="00A9735A" w:rsidRDefault="00841991" w:rsidP="00A9735A">
      <w:pPr>
        <w:pStyle w:val="Heading3"/>
        <w:rPr>
          <w:rFonts w:eastAsia="Times New Roman"/>
          <w:sz w:val="28"/>
          <w:u w:val="single"/>
        </w:rPr>
      </w:pPr>
      <w:r w:rsidRPr="00A9735A">
        <w:rPr>
          <w:rFonts w:eastAsia="Times New Roman"/>
          <w:u w:val="single"/>
          <w:lang w:eastAsia="bg-BG"/>
        </w:rPr>
        <w:t>Дозировка</w:t>
      </w:r>
    </w:p>
    <w:p w14:paraId="388BA0F4" w14:textId="77777777" w:rsidR="00841991" w:rsidRPr="00841991" w:rsidRDefault="00841991" w:rsidP="00841991">
      <w:pPr>
        <w:spacing w:line="240" w:lineRule="auto"/>
        <w:rPr>
          <w:rFonts w:eastAsia="Times New Roman" w:cs="Arial"/>
          <w:color w:val="000000"/>
          <w:szCs w:val="20"/>
          <w:u w:val="single"/>
          <w:lang w:eastAsia="bg-BG"/>
        </w:rPr>
      </w:pPr>
    </w:p>
    <w:p w14:paraId="2B71A4C9" w14:textId="74CB5BBF"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Повторно започване на лечение</w:t>
      </w:r>
    </w:p>
    <w:p w14:paraId="41CB6B71"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При повторно започване на лечението с ламотригин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ламотригин (вижте точка 4.4).</w:t>
      </w:r>
    </w:p>
    <w:p w14:paraId="33E59F46"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Колкото по-голям е интервалът от време след приема на предишната доза, толкова по- 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ламотригин надвишава пет полуживота (вижте точка 5.2), обикновено поддържащатта доза на ламотригин трябва да се достигне според подходящата схема.</w:t>
      </w:r>
    </w:p>
    <w:p w14:paraId="10EFCC06" w14:textId="77777777" w:rsidR="00841991" w:rsidRPr="00841991" w:rsidRDefault="00841991" w:rsidP="00841991">
      <w:pPr>
        <w:spacing w:line="240" w:lineRule="auto"/>
        <w:rPr>
          <w:rFonts w:eastAsia="Times New Roman" w:cs="Arial"/>
          <w:color w:val="000000"/>
          <w:szCs w:val="20"/>
          <w:lang w:eastAsia="bg-BG"/>
        </w:rPr>
      </w:pPr>
    </w:p>
    <w:p w14:paraId="0B1C1660" w14:textId="21C8018A"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Препоръчва се лечението с ламотригин да не се започва отново при пациенти, които са го прекъснали поради обрив, свързан с предишното лечение с ламотригин, освен ако потенциалната полза несъмнено надвишава риска.</w:t>
      </w:r>
    </w:p>
    <w:p w14:paraId="2B02B434" w14:textId="77777777" w:rsidR="00841991" w:rsidRPr="00841991" w:rsidRDefault="00841991" w:rsidP="00841991">
      <w:pPr>
        <w:spacing w:line="240" w:lineRule="auto"/>
        <w:rPr>
          <w:rFonts w:eastAsia="Times New Roman" w:cs="Arial"/>
          <w:color w:val="000000"/>
          <w:szCs w:val="20"/>
          <w:u w:val="single"/>
          <w:lang w:eastAsia="bg-BG"/>
        </w:rPr>
      </w:pPr>
    </w:p>
    <w:p w14:paraId="4F932176" w14:textId="5FAA802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lastRenderedPageBreak/>
        <w:t>Епилепсия</w:t>
      </w:r>
    </w:p>
    <w:p w14:paraId="5A779BBC"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Препоръчваното постепенно повишаване на дозата и поддържащите дози за възрастни и юноши на възраст на и над 13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(вижте точка 4.4) поради риск от поява на обрив.</w:t>
      </w:r>
    </w:p>
    <w:p w14:paraId="4DB6472F" w14:textId="77777777" w:rsidR="00841991" w:rsidRPr="00841991" w:rsidRDefault="00841991" w:rsidP="00841991">
      <w:pPr>
        <w:spacing w:line="240" w:lineRule="auto"/>
        <w:rPr>
          <w:rFonts w:eastAsia="Times New Roman" w:cs="Arial"/>
          <w:color w:val="000000"/>
          <w:szCs w:val="20"/>
          <w:lang w:eastAsia="bg-BG"/>
        </w:rPr>
      </w:pPr>
    </w:p>
    <w:p w14:paraId="399E5C68" w14:textId="30B5E8F2"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При преустановяване на съпътстващ прием на АЕЛ или при добавяне на други АЕЛ/ лекарствени продукти към терапевтични схеми, включващи ламотригин (вижте точка 4.5).</w:t>
      </w:r>
    </w:p>
    <w:p w14:paraId="7F6A6BC9" w14:textId="77777777" w:rsidR="00841991" w:rsidRPr="00841991" w:rsidRDefault="00841991" w:rsidP="00841991">
      <w:pPr>
        <w:spacing w:line="240" w:lineRule="auto"/>
        <w:rPr>
          <w:rFonts w:eastAsia="Times New Roman" w:cs="Arial"/>
          <w:i/>
          <w:iCs/>
          <w:color w:val="000000"/>
          <w:szCs w:val="20"/>
          <w:lang w:eastAsia="bg-BG"/>
        </w:rPr>
      </w:pPr>
    </w:p>
    <w:p w14:paraId="0B4BC4D8" w14:textId="5A72C131"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1: Възрастни и юноши на възраст 13 и повече години - препоръчвана схема за лечение на епилепсия</w:t>
      </w:r>
    </w:p>
    <w:p w14:paraId="5B6A1958" w14:textId="02AF2DA5" w:rsidR="00841991" w:rsidRDefault="00841991" w:rsidP="00841991"/>
    <w:tbl>
      <w:tblPr>
        <w:tblStyle w:val="TableGrid"/>
        <w:tblW w:w="0" w:type="auto"/>
        <w:tblLook w:val="04A0" w:firstRow="1" w:lastRow="0" w:firstColumn="1" w:lastColumn="0" w:noHBand="0" w:noVBand="1"/>
      </w:tblPr>
      <w:tblGrid>
        <w:gridCol w:w="2001"/>
        <w:gridCol w:w="2039"/>
        <w:gridCol w:w="1927"/>
        <w:gridCol w:w="3383"/>
      </w:tblGrid>
      <w:tr w:rsidR="00841991" w14:paraId="4E62A112" w14:textId="77777777" w:rsidTr="00841991">
        <w:tc>
          <w:tcPr>
            <w:tcW w:w="2002" w:type="dxa"/>
            <w:vAlign w:val="bottom"/>
          </w:tcPr>
          <w:p w14:paraId="411A92B6" w14:textId="58AF8F5F" w:rsidR="00841991" w:rsidRPr="00841991" w:rsidRDefault="00841991" w:rsidP="00841991">
            <w:pPr>
              <w:rPr>
                <w:rFonts w:cs="Arial"/>
              </w:rPr>
            </w:pPr>
            <w:r w:rsidRPr="00841991">
              <w:rPr>
                <w:rFonts w:cs="Arial"/>
                <w:szCs w:val="20"/>
              </w:rPr>
              <w:t>Схема на лечение</w:t>
            </w:r>
          </w:p>
        </w:tc>
        <w:tc>
          <w:tcPr>
            <w:tcW w:w="2090" w:type="dxa"/>
            <w:vAlign w:val="bottom"/>
          </w:tcPr>
          <w:p w14:paraId="337B16A0" w14:textId="621C16FC" w:rsidR="00841991" w:rsidRPr="00841991" w:rsidRDefault="00841991" w:rsidP="00841991">
            <w:pPr>
              <w:rPr>
                <w:rFonts w:cs="Arial"/>
              </w:rPr>
            </w:pPr>
            <w:r w:rsidRPr="00841991">
              <w:rPr>
                <w:rFonts w:cs="Arial"/>
                <w:szCs w:val="20"/>
              </w:rPr>
              <w:t>Седмици 1+2</w:t>
            </w:r>
          </w:p>
        </w:tc>
        <w:tc>
          <w:tcPr>
            <w:tcW w:w="1980" w:type="dxa"/>
            <w:vAlign w:val="bottom"/>
          </w:tcPr>
          <w:p w14:paraId="141FCF0B" w14:textId="6AAABBD4" w:rsidR="00841991" w:rsidRPr="00841991" w:rsidRDefault="00841991" w:rsidP="00841991">
            <w:pPr>
              <w:rPr>
                <w:rFonts w:cs="Arial"/>
              </w:rPr>
            </w:pPr>
            <w:r w:rsidRPr="00841991">
              <w:rPr>
                <w:rFonts w:cs="Arial"/>
                <w:szCs w:val="20"/>
              </w:rPr>
              <w:t>Седмици 3 + 4</w:t>
            </w:r>
          </w:p>
        </w:tc>
        <w:tc>
          <w:tcPr>
            <w:tcW w:w="3504" w:type="dxa"/>
            <w:vAlign w:val="bottom"/>
          </w:tcPr>
          <w:p w14:paraId="2356A773" w14:textId="32F49EA4" w:rsidR="00841991" w:rsidRPr="00841991" w:rsidRDefault="00841991" w:rsidP="00841991">
            <w:pPr>
              <w:rPr>
                <w:rFonts w:cs="Arial"/>
              </w:rPr>
            </w:pPr>
            <w:r w:rsidRPr="00841991">
              <w:rPr>
                <w:rFonts w:cs="Arial"/>
                <w:szCs w:val="20"/>
              </w:rPr>
              <w:t>Обичайна поддържаща доза</w:t>
            </w:r>
          </w:p>
        </w:tc>
      </w:tr>
      <w:tr w:rsidR="00841991" w14:paraId="6D7447AA" w14:textId="77777777" w:rsidTr="00841991">
        <w:tc>
          <w:tcPr>
            <w:tcW w:w="2002" w:type="dxa"/>
          </w:tcPr>
          <w:p w14:paraId="38CA1584" w14:textId="6D76BF42" w:rsidR="00841991" w:rsidRPr="00841991" w:rsidRDefault="00841991" w:rsidP="00841991">
            <w:pPr>
              <w:rPr>
                <w:rFonts w:cs="Arial"/>
              </w:rPr>
            </w:pPr>
            <w:r w:rsidRPr="00841991">
              <w:rPr>
                <w:rFonts w:cs="Arial"/>
                <w:b/>
                <w:bCs/>
                <w:szCs w:val="20"/>
              </w:rPr>
              <w:t>Монотерапия</w:t>
            </w:r>
          </w:p>
        </w:tc>
        <w:tc>
          <w:tcPr>
            <w:tcW w:w="2090" w:type="dxa"/>
          </w:tcPr>
          <w:p w14:paraId="3BA84AF6" w14:textId="7F944454"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1980" w:type="dxa"/>
          </w:tcPr>
          <w:p w14:paraId="42508952" w14:textId="760E465E" w:rsidR="00841991" w:rsidRPr="00841991" w:rsidRDefault="00841991" w:rsidP="00841991">
            <w:pPr>
              <w:rPr>
                <w:rFonts w:cs="Arial"/>
              </w:rPr>
            </w:pPr>
            <w:r w:rsidRPr="00841991">
              <w:rPr>
                <w:rFonts w:cs="Arial"/>
                <w:szCs w:val="20"/>
              </w:rPr>
              <w:t xml:space="preserve">50 </w:t>
            </w:r>
            <w:r w:rsidRPr="00841991">
              <w:rPr>
                <w:rFonts w:cs="Arial"/>
                <w:szCs w:val="20"/>
                <w:lang w:val="en-US"/>
              </w:rPr>
              <w:t xml:space="preserve">mg/ </w:t>
            </w:r>
            <w:r w:rsidRPr="00841991">
              <w:rPr>
                <w:rFonts w:cs="Arial"/>
                <w:szCs w:val="20"/>
              </w:rPr>
              <w:t>ден (веднъж дневно)</w:t>
            </w:r>
          </w:p>
        </w:tc>
        <w:tc>
          <w:tcPr>
            <w:tcW w:w="3504" w:type="dxa"/>
            <w:vAlign w:val="bottom"/>
          </w:tcPr>
          <w:p w14:paraId="1CAE8E18" w14:textId="77777777" w:rsidR="00841991" w:rsidRPr="00841991" w:rsidRDefault="00841991" w:rsidP="00841991">
            <w:pPr>
              <w:rPr>
                <w:rFonts w:cs="Arial"/>
              </w:rPr>
            </w:pPr>
            <w:r w:rsidRPr="00841991">
              <w:rPr>
                <w:rFonts w:cs="Arial"/>
                <w:szCs w:val="20"/>
              </w:rPr>
              <w:t xml:space="preserve">100 - 200 </w:t>
            </w:r>
            <w:r w:rsidRPr="00841991">
              <w:rPr>
                <w:rFonts w:cs="Arial"/>
                <w:szCs w:val="20"/>
                <w:lang w:val="en-US"/>
              </w:rPr>
              <w:t>mg</w:t>
            </w:r>
            <w:r w:rsidRPr="00841991">
              <w:rPr>
                <w:rFonts w:cs="Arial"/>
                <w:szCs w:val="20"/>
                <w:lang w:val="ru-RU"/>
              </w:rPr>
              <w:t xml:space="preserve">/ </w:t>
            </w:r>
            <w:r w:rsidRPr="00841991">
              <w:rPr>
                <w:rFonts w:cs="Arial"/>
                <w:szCs w:val="20"/>
              </w:rPr>
              <w:t>ден</w:t>
            </w:r>
          </w:p>
          <w:p w14:paraId="6F8DF1A1" w14:textId="77777777" w:rsidR="00841991" w:rsidRPr="00841991" w:rsidRDefault="00841991" w:rsidP="00841991">
            <w:pPr>
              <w:rPr>
                <w:rFonts w:cs="Arial"/>
              </w:rPr>
            </w:pPr>
            <w:r w:rsidRPr="00841991">
              <w:rPr>
                <w:rFonts w:cs="Arial"/>
                <w:szCs w:val="20"/>
              </w:rPr>
              <w:t>(веднъж дневно или в два приема)</w:t>
            </w:r>
          </w:p>
          <w:p w14:paraId="1F8F888F" w14:textId="77777777" w:rsidR="00841991" w:rsidRPr="00841991" w:rsidRDefault="00841991" w:rsidP="00841991">
            <w:pPr>
              <w:rPr>
                <w:rFonts w:cs="Arial"/>
                <w:szCs w:val="20"/>
              </w:rPr>
            </w:pPr>
          </w:p>
          <w:p w14:paraId="337B8F32" w14:textId="0CB1E449"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50-100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p w14:paraId="2631459C" w14:textId="3F380106" w:rsidR="00841991" w:rsidRPr="00841991" w:rsidRDefault="00841991" w:rsidP="00841991">
            <w:pPr>
              <w:rPr>
                <w:rFonts w:cs="Arial"/>
              </w:rPr>
            </w:pPr>
            <w:r w:rsidRPr="00841991">
              <w:rPr>
                <w:rFonts w:cs="Arial"/>
                <w:szCs w:val="20"/>
              </w:rPr>
              <w:t xml:space="preserve">При някои пациенти са необходими 500 </w:t>
            </w:r>
            <w:r w:rsidRPr="00841991">
              <w:rPr>
                <w:rFonts w:cs="Arial"/>
                <w:szCs w:val="20"/>
                <w:lang w:val="en-US"/>
              </w:rPr>
              <w:t>mg</w:t>
            </w:r>
            <w:r w:rsidRPr="00841991">
              <w:rPr>
                <w:rFonts w:cs="Arial"/>
                <w:szCs w:val="20"/>
                <w:lang w:val="ru-RU"/>
              </w:rPr>
              <w:t xml:space="preserve"> </w:t>
            </w:r>
            <w:r w:rsidRPr="00841991">
              <w:rPr>
                <w:rFonts w:cs="Arial"/>
                <w:szCs w:val="20"/>
              </w:rPr>
              <w:t>дневно за постигане на желания</w:t>
            </w:r>
          </w:p>
          <w:p w14:paraId="26B0F358" w14:textId="4B484059" w:rsidR="00841991" w:rsidRPr="00841991" w:rsidRDefault="00841991" w:rsidP="00841991">
            <w:pPr>
              <w:rPr>
                <w:rFonts w:cs="Arial"/>
              </w:rPr>
            </w:pPr>
            <w:r w:rsidRPr="00841991">
              <w:rPr>
                <w:rFonts w:cs="Arial"/>
                <w:szCs w:val="20"/>
              </w:rPr>
              <w:t>терапевтичен отговор.</w:t>
            </w:r>
          </w:p>
        </w:tc>
      </w:tr>
      <w:tr w:rsidR="00841991" w14:paraId="185EA5CD" w14:textId="77777777" w:rsidTr="00A9735A">
        <w:tc>
          <w:tcPr>
            <w:tcW w:w="9576" w:type="dxa"/>
            <w:gridSpan w:val="4"/>
          </w:tcPr>
          <w:p w14:paraId="0986EDD4" w14:textId="1EED3C8B" w:rsidR="00841991" w:rsidRPr="00841991" w:rsidRDefault="00841991" w:rsidP="00841991">
            <w:pPr>
              <w:rPr>
                <w:rFonts w:cs="Arial"/>
              </w:rPr>
            </w:pPr>
            <w:r w:rsidRPr="00841991">
              <w:rPr>
                <w:rFonts w:cs="Arial"/>
                <w:b/>
                <w:bCs/>
                <w:szCs w:val="20"/>
              </w:rPr>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69181E9D" w14:textId="77777777" w:rsidTr="00841991">
        <w:tc>
          <w:tcPr>
            <w:tcW w:w="2002" w:type="dxa"/>
          </w:tcPr>
          <w:p w14:paraId="6B883F86" w14:textId="77777777" w:rsidR="00841991" w:rsidRPr="00841991" w:rsidRDefault="00841991" w:rsidP="00841991">
            <w:pPr>
              <w:rPr>
                <w:rFonts w:cs="Arial"/>
              </w:rPr>
            </w:pPr>
            <w:r w:rsidRPr="00841991">
              <w:rPr>
                <w:rFonts w:cs="Arial"/>
                <w:szCs w:val="20"/>
              </w:rPr>
              <w:t>Тази схема на дозиране трябва да бъде използвана с валпроат независимо</w:t>
            </w:r>
            <w:r w:rsidRPr="00841991">
              <w:rPr>
                <w:rFonts w:cs="Arial"/>
                <w:szCs w:val="20"/>
              </w:rPr>
              <w:tab/>
              <w:t>от</w:t>
            </w:r>
          </w:p>
          <w:p w14:paraId="020B5D67" w14:textId="64F9DB55" w:rsidR="00841991" w:rsidRPr="00841991" w:rsidRDefault="00841991" w:rsidP="00841991">
            <w:pPr>
              <w:rPr>
                <w:rFonts w:cs="Arial"/>
              </w:rPr>
            </w:pPr>
            <w:r w:rsidRPr="00841991">
              <w:rPr>
                <w:rFonts w:cs="Arial"/>
                <w:szCs w:val="20"/>
              </w:rPr>
              <w:t>съпътстващия прием на други лекарствени продукти</w:t>
            </w:r>
          </w:p>
        </w:tc>
        <w:tc>
          <w:tcPr>
            <w:tcW w:w="2090" w:type="dxa"/>
          </w:tcPr>
          <w:p w14:paraId="090AE72D" w14:textId="60603C32" w:rsidR="00841991" w:rsidRPr="00841991" w:rsidRDefault="00841991" w:rsidP="00841991">
            <w:pPr>
              <w:rPr>
                <w:rFonts w:cs="Arial"/>
              </w:rPr>
            </w:pPr>
            <w:r w:rsidRPr="00841991">
              <w:rPr>
                <w:rFonts w:cs="Arial"/>
                <w:szCs w:val="20"/>
              </w:rPr>
              <w:t xml:space="preserve">12,5 </w:t>
            </w:r>
            <w:r w:rsidRPr="00841991">
              <w:rPr>
                <w:rFonts w:cs="Arial"/>
                <w:szCs w:val="20"/>
                <w:lang w:val="en-US"/>
              </w:rPr>
              <w:t>mg</w:t>
            </w:r>
            <w:r w:rsidRPr="00841991">
              <w:rPr>
                <w:rFonts w:cs="Arial"/>
                <w:szCs w:val="20"/>
                <w:lang w:val="ru-RU"/>
              </w:rPr>
              <w:t xml:space="preserve">/ </w:t>
            </w:r>
            <w:r w:rsidRPr="00841991">
              <w:rPr>
                <w:rFonts w:cs="Arial"/>
                <w:szCs w:val="20"/>
              </w:rPr>
              <w:t xml:space="preserve">ден (приемани като 25 </w:t>
            </w:r>
            <w:r w:rsidRPr="00841991">
              <w:rPr>
                <w:rFonts w:cs="Arial"/>
                <w:szCs w:val="20"/>
                <w:lang w:val="en-US"/>
              </w:rPr>
              <w:t>mg</w:t>
            </w:r>
            <w:r w:rsidRPr="00841991">
              <w:rPr>
                <w:rFonts w:cs="Arial"/>
                <w:szCs w:val="20"/>
                <w:lang w:val="ru-RU"/>
              </w:rPr>
              <w:t xml:space="preserve"> </w:t>
            </w:r>
            <w:r w:rsidRPr="00841991">
              <w:rPr>
                <w:rFonts w:cs="Arial"/>
                <w:szCs w:val="20"/>
              </w:rPr>
              <w:t>през ден)</w:t>
            </w:r>
          </w:p>
        </w:tc>
        <w:tc>
          <w:tcPr>
            <w:tcW w:w="1980" w:type="dxa"/>
          </w:tcPr>
          <w:p w14:paraId="02536A04" w14:textId="66F22EB7"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3504" w:type="dxa"/>
            <w:vAlign w:val="bottom"/>
          </w:tcPr>
          <w:p w14:paraId="73F7198A" w14:textId="77777777" w:rsidR="00841991" w:rsidRPr="00841991" w:rsidRDefault="00841991" w:rsidP="00841991">
            <w:pPr>
              <w:rPr>
                <w:rFonts w:cs="Arial"/>
              </w:rPr>
            </w:pPr>
            <w:r w:rsidRPr="00841991">
              <w:rPr>
                <w:rFonts w:cs="Arial"/>
                <w:szCs w:val="20"/>
              </w:rPr>
              <w:t xml:space="preserve">100-200 </w:t>
            </w:r>
            <w:r w:rsidRPr="00841991">
              <w:rPr>
                <w:rFonts w:cs="Arial"/>
                <w:szCs w:val="20"/>
                <w:lang w:val="en-US"/>
              </w:rPr>
              <w:t>mg</w:t>
            </w:r>
            <w:r w:rsidRPr="00841991">
              <w:rPr>
                <w:rFonts w:cs="Arial"/>
                <w:szCs w:val="20"/>
                <w:lang w:val="ru-RU"/>
              </w:rPr>
              <w:t xml:space="preserve">/ </w:t>
            </w:r>
            <w:r w:rsidRPr="00841991">
              <w:rPr>
                <w:rFonts w:cs="Arial"/>
                <w:szCs w:val="20"/>
              </w:rPr>
              <w:t>ден</w:t>
            </w:r>
          </w:p>
          <w:p w14:paraId="699BB506" w14:textId="77777777" w:rsidR="00841991" w:rsidRPr="00841991" w:rsidRDefault="00841991" w:rsidP="00841991">
            <w:pPr>
              <w:rPr>
                <w:rFonts w:cs="Arial"/>
              </w:rPr>
            </w:pPr>
            <w:r w:rsidRPr="00841991">
              <w:rPr>
                <w:rFonts w:cs="Arial"/>
                <w:szCs w:val="20"/>
              </w:rPr>
              <w:t>(веднъж дневно или в два приема)</w:t>
            </w:r>
          </w:p>
          <w:p w14:paraId="3E1B70ED" w14:textId="77777777" w:rsidR="00841991" w:rsidRPr="00841991" w:rsidRDefault="00841991" w:rsidP="00841991">
            <w:pPr>
              <w:rPr>
                <w:rFonts w:cs="Arial"/>
                <w:szCs w:val="20"/>
              </w:rPr>
            </w:pPr>
          </w:p>
          <w:p w14:paraId="3DF6CB6E" w14:textId="77777777" w:rsidR="00841991" w:rsidRPr="00841991" w:rsidRDefault="00841991" w:rsidP="00841991">
            <w:pPr>
              <w:rPr>
                <w:rFonts w:cs="Arial"/>
                <w:szCs w:val="20"/>
              </w:rPr>
            </w:pPr>
          </w:p>
          <w:p w14:paraId="1EB9D249" w14:textId="77777777" w:rsidR="00841991" w:rsidRPr="00841991" w:rsidRDefault="00841991" w:rsidP="00841991">
            <w:pPr>
              <w:rPr>
                <w:rFonts w:cs="Arial"/>
                <w:szCs w:val="20"/>
              </w:rPr>
            </w:pPr>
          </w:p>
          <w:p w14:paraId="5516DC8E" w14:textId="3FE71267"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25 - 50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tc>
      </w:tr>
      <w:tr w:rsidR="00841991" w14:paraId="31E902C9" w14:textId="77777777" w:rsidTr="00A9735A">
        <w:tc>
          <w:tcPr>
            <w:tcW w:w="9576" w:type="dxa"/>
            <w:gridSpan w:val="4"/>
          </w:tcPr>
          <w:p w14:paraId="0BC8D03A" w14:textId="2AB4E8E6"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24AAD2D7" w14:textId="77777777" w:rsidTr="00841991">
        <w:tc>
          <w:tcPr>
            <w:tcW w:w="2002" w:type="dxa"/>
          </w:tcPr>
          <w:p w14:paraId="677E7299" w14:textId="77777777" w:rsidR="00841991" w:rsidRPr="00841991" w:rsidRDefault="00841991" w:rsidP="00841991">
            <w:pPr>
              <w:rPr>
                <w:rFonts w:cs="Arial"/>
              </w:rPr>
            </w:pPr>
            <w:r w:rsidRPr="00841991">
              <w:rPr>
                <w:rFonts w:cs="Arial"/>
                <w:szCs w:val="20"/>
              </w:rPr>
              <w:t xml:space="preserve">Тази схема на дозиране трябва </w:t>
            </w:r>
            <w:r w:rsidRPr="00841991">
              <w:rPr>
                <w:rFonts w:cs="Arial"/>
                <w:szCs w:val="20"/>
              </w:rPr>
              <w:lastRenderedPageBreak/>
              <w:t>да бъде използвана без валпроат, но с:</w:t>
            </w:r>
          </w:p>
          <w:p w14:paraId="531C97F5" w14:textId="78FF3936"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2090" w:type="dxa"/>
          </w:tcPr>
          <w:p w14:paraId="0AFE8206" w14:textId="7242C074" w:rsidR="00841991" w:rsidRPr="00841991" w:rsidRDefault="00841991" w:rsidP="00841991">
            <w:pPr>
              <w:rPr>
                <w:rFonts w:cs="Arial"/>
              </w:rPr>
            </w:pPr>
            <w:r w:rsidRPr="00841991">
              <w:rPr>
                <w:rFonts w:cs="Arial"/>
                <w:szCs w:val="20"/>
              </w:rPr>
              <w:lastRenderedPageBreak/>
              <w:t xml:space="preserve">50 </w:t>
            </w:r>
            <w:r w:rsidRPr="00841991">
              <w:rPr>
                <w:rFonts w:cs="Arial"/>
                <w:szCs w:val="20"/>
                <w:lang w:val="en-US"/>
              </w:rPr>
              <w:t xml:space="preserve">mg/ </w:t>
            </w:r>
            <w:r w:rsidRPr="00841991">
              <w:rPr>
                <w:rFonts w:cs="Arial"/>
                <w:szCs w:val="20"/>
              </w:rPr>
              <w:t>ден (веднъж дневно)</w:t>
            </w:r>
          </w:p>
        </w:tc>
        <w:tc>
          <w:tcPr>
            <w:tcW w:w="1980" w:type="dxa"/>
          </w:tcPr>
          <w:p w14:paraId="60CEE8DC" w14:textId="05DE1B74"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lang w:val="ru-RU"/>
              </w:rPr>
              <w:t xml:space="preserve">/ </w:t>
            </w:r>
            <w:r w:rsidRPr="00841991">
              <w:rPr>
                <w:rFonts w:cs="Arial"/>
                <w:szCs w:val="20"/>
              </w:rPr>
              <w:t>ден (в два приема)</w:t>
            </w:r>
          </w:p>
        </w:tc>
        <w:tc>
          <w:tcPr>
            <w:tcW w:w="3504" w:type="dxa"/>
            <w:vAlign w:val="bottom"/>
          </w:tcPr>
          <w:p w14:paraId="34CFE79D" w14:textId="77777777" w:rsidR="00841991" w:rsidRPr="00841991" w:rsidRDefault="00841991" w:rsidP="00841991">
            <w:pPr>
              <w:rPr>
                <w:rFonts w:cs="Arial"/>
              </w:rPr>
            </w:pPr>
            <w:r w:rsidRPr="00841991">
              <w:rPr>
                <w:rFonts w:cs="Arial"/>
                <w:szCs w:val="20"/>
              </w:rPr>
              <w:t xml:space="preserve">200 - 400 </w:t>
            </w:r>
            <w:r w:rsidRPr="00841991">
              <w:rPr>
                <w:rFonts w:cs="Arial"/>
                <w:szCs w:val="20"/>
                <w:lang w:val="en-US"/>
              </w:rPr>
              <w:t>mg</w:t>
            </w:r>
            <w:r w:rsidRPr="00841991">
              <w:rPr>
                <w:rFonts w:cs="Arial"/>
                <w:szCs w:val="20"/>
                <w:lang w:val="ru-RU"/>
              </w:rPr>
              <w:t xml:space="preserve">/ </w:t>
            </w:r>
            <w:r w:rsidRPr="00841991">
              <w:rPr>
                <w:rFonts w:cs="Arial"/>
                <w:szCs w:val="20"/>
              </w:rPr>
              <w:t>ден (в два приема)</w:t>
            </w:r>
          </w:p>
          <w:p w14:paraId="7DB52CB1" w14:textId="77777777" w:rsidR="00841991" w:rsidRPr="00841991" w:rsidRDefault="00841991" w:rsidP="00841991">
            <w:pPr>
              <w:rPr>
                <w:rFonts w:cs="Arial"/>
                <w:szCs w:val="20"/>
              </w:rPr>
            </w:pPr>
          </w:p>
          <w:p w14:paraId="26F54DE6" w14:textId="2BBFF20A"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100 </w:t>
            </w:r>
            <w:r w:rsidRPr="00841991">
              <w:rPr>
                <w:rFonts w:cs="Arial"/>
                <w:szCs w:val="20"/>
                <w:lang w:val="en-US"/>
              </w:rPr>
              <w:t>mg</w:t>
            </w:r>
            <w:r w:rsidRPr="00841991">
              <w:rPr>
                <w:rFonts w:cs="Arial"/>
                <w:szCs w:val="20"/>
                <w:lang w:val="ru-RU"/>
              </w:rPr>
              <w:t xml:space="preserve"> </w:t>
            </w:r>
            <w:r w:rsidRPr="00841991">
              <w:rPr>
                <w:rFonts w:cs="Arial"/>
                <w:szCs w:val="20"/>
              </w:rPr>
              <w:t>на всяка една до две седмици до постигане на оптимален отговор.</w:t>
            </w:r>
          </w:p>
          <w:p w14:paraId="1CA01D45" w14:textId="77777777" w:rsidR="00841991" w:rsidRPr="00841991" w:rsidRDefault="00841991" w:rsidP="00841991">
            <w:pPr>
              <w:rPr>
                <w:rFonts w:cs="Arial"/>
                <w:szCs w:val="20"/>
              </w:rPr>
            </w:pPr>
          </w:p>
          <w:p w14:paraId="2BBA3E8E" w14:textId="2A8071F2" w:rsidR="00841991" w:rsidRPr="00841991" w:rsidRDefault="00841991" w:rsidP="00841991">
            <w:pPr>
              <w:rPr>
                <w:rFonts w:cs="Arial"/>
              </w:rPr>
            </w:pPr>
            <w:r w:rsidRPr="00841991">
              <w:rPr>
                <w:rFonts w:cs="Arial"/>
                <w:szCs w:val="20"/>
              </w:rPr>
              <w:t xml:space="preserve">При някои пациенти са необходими 700 </w:t>
            </w:r>
            <w:r w:rsidRPr="00841991">
              <w:rPr>
                <w:rFonts w:cs="Arial"/>
                <w:szCs w:val="20"/>
                <w:lang w:val="en-US"/>
              </w:rPr>
              <w:t>mg</w:t>
            </w:r>
            <w:r w:rsidRPr="00841991">
              <w:rPr>
                <w:rFonts w:cs="Arial"/>
                <w:szCs w:val="20"/>
                <w:lang w:val="ru-RU"/>
              </w:rPr>
              <w:t xml:space="preserve"> </w:t>
            </w:r>
            <w:r w:rsidRPr="00841991">
              <w:rPr>
                <w:rFonts w:cs="Arial"/>
                <w:szCs w:val="20"/>
              </w:rPr>
              <w:t>дневно за постигане на желания</w:t>
            </w:r>
          </w:p>
          <w:p w14:paraId="7CC8211A" w14:textId="22FEAACD" w:rsidR="00841991" w:rsidRPr="00841991" w:rsidRDefault="00841991" w:rsidP="00841991">
            <w:pPr>
              <w:rPr>
                <w:rFonts w:cs="Arial"/>
              </w:rPr>
            </w:pPr>
            <w:r w:rsidRPr="00841991">
              <w:rPr>
                <w:rFonts w:cs="Arial"/>
                <w:szCs w:val="20"/>
              </w:rPr>
              <w:t>терапевтичен отговор.</w:t>
            </w:r>
          </w:p>
        </w:tc>
      </w:tr>
      <w:tr w:rsidR="00841991" w14:paraId="548C8B6D" w14:textId="77777777" w:rsidTr="00A9735A">
        <w:tc>
          <w:tcPr>
            <w:tcW w:w="9576" w:type="dxa"/>
            <w:gridSpan w:val="4"/>
          </w:tcPr>
          <w:p w14:paraId="12369F5E" w14:textId="193922BB" w:rsidR="00841991" w:rsidRPr="00841991" w:rsidRDefault="00841991" w:rsidP="00841991">
            <w:pPr>
              <w:rPr>
                <w:rFonts w:cs="Arial"/>
              </w:rPr>
            </w:pPr>
            <w:r w:rsidRPr="00841991">
              <w:rPr>
                <w:rFonts w:cs="Arial"/>
                <w:b/>
                <w:bCs/>
                <w:szCs w:val="20"/>
              </w:rPr>
              <w:lastRenderedPageBreak/>
              <w:t xml:space="preserve">Комбинирана терапия БЕЗ валпроат и БЕЗ нндуктори на глюкуронирането на ламотригин </w:t>
            </w:r>
            <w:r w:rsidRPr="00841991">
              <w:rPr>
                <w:rFonts w:cs="Arial"/>
                <w:szCs w:val="20"/>
              </w:rPr>
              <w:t>(вижте точка 4.5)</w:t>
            </w:r>
          </w:p>
        </w:tc>
      </w:tr>
      <w:tr w:rsidR="00841991" w14:paraId="091B76B5" w14:textId="77777777" w:rsidTr="00841991">
        <w:tc>
          <w:tcPr>
            <w:tcW w:w="2002" w:type="dxa"/>
            <w:vAlign w:val="bottom"/>
          </w:tcPr>
          <w:p w14:paraId="0C8F1057" w14:textId="77777777" w:rsidR="00841991" w:rsidRPr="00841991" w:rsidRDefault="00841991" w:rsidP="00841991">
            <w:pPr>
              <w:rPr>
                <w:rFonts w:cs="Arial"/>
                <w:szCs w:val="20"/>
              </w:rPr>
            </w:pPr>
            <w:r w:rsidRPr="00841991">
              <w:rPr>
                <w:rFonts w:cs="Arial"/>
                <w:szCs w:val="20"/>
              </w:rPr>
              <w:t>Тази схема на дозиране трябва да бъде използвана с други лекарствени</w:t>
            </w:r>
          </w:p>
          <w:p w14:paraId="2ECDA9DE" w14:textId="47CC289A"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продукти, които не инхибират или не индуцират значително глюкуронирането на ламотригин</w:t>
            </w:r>
          </w:p>
        </w:tc>
        <w:tc>
          <w:tcPr>
            <w:tcW w:w="2090" w:type="dxa"/>
          </w:tcPr>
          <w:p w14:paraId="22FA7840" w14:textId="6078C718" w:rsidR="00841991" w:rsidRPr="00841991" w:rsidRDefault="00841991" w:rsidP="00841991">
            <w:pPr>
              <w:rPr>
                <w:rFonts w:cs="Arial"/>
              </w:rPr>
            </w:pPr>
            <w:r w:rsidRPr="00841991">
              <w:rPr>
                <w:rFonts w:cs="Arial"/>
                <w:szCs w:val="20"/>
              </w:rPr>
              <w:t xml:space="preserve">25 </w:t>
            </w:r>
            <w:r w:rsidRPr="00841991">
              <w:rPr>
                <w:rFonts w:cs="Arial"/>
                <w:szCs w:val="20"/>
                <w:lang w:val="en-US"/>
              </w:rPr>
              <w:t xml:space="preserve">mg/ </w:t>
            </w:r>
            <w:r w:rsidRPr="00841991">
              <w:rPr>
                <w:rFonts w:cs="Arial"/>
                <w:szCs w:val="20"/>
              </w:rPr>
              <w:t>ден (веднъж дневно)</w:t>
            </w:r>
          </w:p>
        </w:tc>
        <w:tc>
          <w:tcPr>
            <w:tcW w:w="1980" w:type="dxa"/>
          </w:tcPr>
          <w:p w14:paraId="7DE3F77A" w14:textId="147AD1A4" w:rsidR="00841991" w:rsidRPr="00841991" w:rsidRDefault="00841991" w:rsidP="00841991">
            <w:pPr>
              <w:rPr>
                <w:rFonts w:cs="Arial"/>
              </w:rPr>
            </w:pPr>
            <w:r w:rsidRPr="00841991">
              <w:rPr>
                <w:rFonts w:cs="Arial"/>
                <w:szCs w:val="20"/>
              </w:rPr>
              <w:t xml:space="preserve">50 </w:t>
            </w:r>
            <w:r w:rsidRPr="00841991">
              <w:rPr>
                <w:rFonts w:cs="Arial"/>
                <w:szCs w:val="20"/>
                <w:lang w:val="en-US"/>
              </w:rPr>
              <w:t xml:space="preserve">mg/ </w:t>
            </w:r>
            <w:r w:rsidRPr="00841991">
              <w:rPr>
                <w:rFonts w:cs="Arial"/>
                <w:szCs w:val="20"/>
              </w:rPr>
              <w:t>ден (веднъж дневно)</w:t>
            </w:r>
          </w:p>
        </w:tc>
        <w:tc>
          <w:tcPr>
            <w:tcW w:w="3504" w:type="dxa"/>
          </w:tcPr>
          <w:p w14:paraId="46C945F6" w14:textId="77777777" w:rsidR="00841991" w:rsidRPr="00841991" w:rsidRDefault="00841991" w:rsidP="00841991">
            <w:pPr>
              <w:rPr>
                <w:rFonts w:cs="Arial"/>
              </w:rPr>
            </w:pPr>
            <w:r w:rsidRPr="00841991">
              <w:rPr>
                <w:rFonts w:cs="Arial"/>
                <w:szCs w:val="20"/>
              </w:rPr>
              <w:t xml:space="preserve">100 - 200 </w:t>
            </w:r>
            <w:r w:rsidRPr="00841991">
              <w:rPr>
                <w:rFonts w:cs="Arial"/>
                <w:szCs w:val="20"/>
                <w:lang w:val="en-US"/>
              </w:rPr>
              <w:t>mg</w:t>
            </w:r>
            <w:r w:rsidRPr="00841991">
              <w:rPr>
                <w:rFonts w:cs="Arial"/>
                <w:szCs w:val="20"/>
                <w:lang w:val="ru-RU"/>
              </w:rPr>
              <w:t>/</w:t>
            </w:r>
            <w:r w:rsidRPr="00841991">
              <w:rPr>
                <w:rFonts w:cs="Arial"/>
                <w:szCs w:val="20"/>
              </w:rPr>
              <w:t>ден</w:t>
            </w:r>
          </w:p>
          <w:p w14:paraId="3F477A06" w14:textId="77777777" w:rsidR="00841991" w:rsidRPr="00841991" w:rsidRDefault="00841991" w:rsidP="00841991">
            <w:pPr>
              <w:rPr>
                <w:rFonts w:cs="Arial"/>
                <w:szCs w:val="20"/>
              </w:rPr>
            </w:pPr>
            <w:r w:rsidRPr="00841991">
              <w:rPr>
                <w:rFonts w:cs="Arial"/>
                <w:szCs w:val="20"/>
              </w:rPr>
              <w:t xml:space="preserve">(веднъж дневно или в </w:t>
            </w:r>
            <w:r w:rsidRPr="00841991">
              <w:rPr>
                <w:rFonts w:cs="Arial"/>
                <w:szCs w:val="20"/>
                <w:u w:val="single"/>
              </w:rPr>
              <w:t>дв</w:t>
            </w:r>
            <w:r w:rsidRPr="00841991">
              <w:rPr>
                <w:rFonts w:cs="Arial"/>
                <w:szCs w:val="20"/>
              </w:rPr>
              <w:t>а приема)</w:t>
            </w:r>
          </w:p>
          <w:p w14:paraId="3C1027A3" w14:textId="77777777" w:rsidR="00841991" w:rsidRPr="00841991" w:rsidRDefault="00841991" w:rsidP="00841991">
            <w:pPr>
              <w:spacing w:line="240" w:lineRule="auto"/>
              <w:rPr>
                <w:rFonts w:eastAsia="Times New Roman" w:cs="Arial"/>
                <w:color w:val="000000"/>
                <w:szCs w:val="20"/>
                <w:lang w:eastAsia="bg-BG"/>
              </w:rPr>
            </w:pPr>
          </w:p>
          <w:p w14:paraId="54C255DC" w14:textId="3E64CCC3"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 xml:space="preserve">За да се постигне поддържащо лечение, дозите може да се повишават с максимум 50-100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на всяка една до две седмици до постигане на оптимален отговор.</w:t>
            </w:r>
          </w:p>
          <w:p w14:paraId="2D9A076C" w14:textId="7E3E837E" w:rsidR="00841991" w:rsidRPr="00841991" w:rsidRDefault="00841991" w:rsidP="00841991">
            <w:pPr>
              <w:rPr>
                <w:rFonts w:cs="Arial"/>
              </w:rPr>
            </w:pPr>
          </w:p>
        </w:tc>
      </w:tr>
      <w:tr w:rsidR="00841991" w14:paraId="163BF52A" w14:textId="77777777" w:rsidTr="00A9735A">
        <w:tc>
          <w:tcPr>
            <w:tcW w:w="9576" w:type="dxa"/>
            <w:gridSpan w:val="4"/>
          </w:tcPr>
          <w:p w14:paraId="5604EE6F" w14:textId="15550EA7" w:rsidR="00841991" w:rsidRPr="00841991" w:rsidRDefault="00841991" w:rsidP="00841991">
            <w:pPr>
              <w:rPr>
                <w:rFonts w:cs="Arial"/>
              </w:rPr>
            </w:pPr>
            <w:r w:rsidRPr="00841991">
              <w:rPr>
                <w:rFonts w:cs="Arial"/>
                <w:szCs w:val="20"/>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препоръчваната за ламотригин с едновременен прием на валпроат.</w:t>
            </w:r>
          </w:p>
        </w:tc>
      </w:tr>
    </w:tbl>
    <w:p w14:paraId="1576C9B8" w14:textId="6C80EF00" w:rsidR="00841991" w:rsidRDefault="00841991" w:rsidP="00841991"/>
    <w:p w14:paraId="295DC98A" w14:textId="481034E0" w:rsidR="00841991" w:rsidRDefault="00841991" w:rsidP="00841991">
      <w:r>
        <w:t xml:space="preserve">Таблица 2: Деца и юноши на възраст от 2 до 12 години - препоръчвана схема за лечение на епилепсия (обща дневна доза в </w:t>
      </w:r>
      <w:r>
        <w:rPr>
          <w:lang w:val="en-US"/>
        </w:rPr>
        <w:t>mg</w:t>
      </w:r>
      <w:r w:rsidRPr="00841991">
        <w:rPr>
          <w:lang w:val="ru-RU"/>
        </w:rPr>
        <w:t>/</w:t>
      </w:r>
      <w:r>
        <w:rPr>
          <w:lang w:val="en-US"/>
        </w:rPr>
        <w:t>kg</w:t>
      </w:r>
      <w:r w:rsidRPr="00841991">
        <w:rPr>
          <w:lang w:val="ru-RU"/>
        </w:rPr>
        <w:t xml:space="preserve"> </w:t>
      </w:r>
      <w:r>
        <w:t>телесно тегло/ ден)</w:t>
      </w:r>
    </w:p>
    <w:p w14:paraId="30C95941" w14:textId="3771F153" w:rsidR="00841991" w:rsidRDefault="00841991" w:rsidP="00841991"/>
    <w:tbl>
      <w:tblPr>
        <w:tblStyle w:val="TableGrid"/>
        <w:tblW w:w="0" w:type="auto"/>
        <w:tblLook w:val="04A0" w:firstRow="1" w:lastRow="0" w:firstColumn="1" w:lastColumn="0" w:noHBand="0" w:noVBand="1"/>
      </w:tblPr>
      <w:tblGrid>
        <w:gridCol w:w="1997"/>
        <w:gridCol w:w="1935"/>
        <w:gridCol w:w="1919"/>
        <w:gridCol w:w="3499"/>
      </w:tblGrid>
      <w:tr w:rsidR="00841991" w14:paraId="02B8FBD1" w14:textId="77777777" w:rsidTr="00841991">
        <w:tc>
          <w:tcPr>
            <w:tcW w:w="1983" w:type="dxa"/>
          </w:tcPr>
          <w:p w14:paraId="2E9A299D" w14:textId="6B6654D0" w:rsidR="00841991" w:rsidRPr="00841991" w:rsidRDefault="00841991" w:rsidP="00841991">
            <w:pPr>
              <w:rPr>
                <w:rFonts w:cs="Arial"/>
              </w:rPr>
            </w:pPr>
            <w:r w:rsidRPr="00841991">
              <w:rPr>
                <w:rFonts w:cs="Arial"/>
                <w:szCs w:val="20"/>
              </w:rPr>
              <w:t>Схема на лечение</w:t>
            </w:r>
          </w:p>
        </w:tc>
        <w:tc>
          <w:tcPr>
            <w:tcW w:w="1979" w:type="dxa"/>
          </w:tcPr>
          <w:p w14:paraId="6B3B46EC" w14:textId="4FD0A859" w:rsidR="00841991" w:rsidRPr="00841991" w:rsidRDefault="00841991" w:rsidP="00841991">
            <w:pPr>
              <w:rPr>
                <w:rFonts w:cs="Arial"/>
              </w:rPr>
            </w:pPr>
            <w:r w:rsidRPr="00841991">
              <w:rPr>
                <w:rFonts w:cs="Arial"/>
                <w:szCs w:val="20"/>
              </w:rPr>
              <w:t>Седмици 1 + 2</w:t>
            </w:r>
          </w:p>
        </w:tc>
        <w:tc>
          <w:tcPr>
            <w:tcW w:w="1976" w:type="dxa"/>
          </w:tcPr>
          <w:p w14:paraId="5C1CB23C" w14:textId="12D730AE" w:rsidR="00841991" w:rsidRPr="00841991" w:rsidRDefault="00841991" w:rsidP="00841991">
            <w:pPr>
              <w:rPr>
                <w:rFonts w:cs="Arial"/>
              </w:rPr>
            </w:pPr>
            <w:r w:rsidRPr="00841991">
              <w:rPr>
                <w:rFonts w:cs="Arial"/>
                <w:szCs w:val="20"/>
              </w:rPr>
              <w:t>Седмици 3 + 4</w:t>
            </w:r>
          </w:p>
        </w:tc>
        <w:tc>
          <w:tcPr>
            <w:tcW w:w="3638" w:type="dxa"/>
          </w:tcPr>
          <w:p w14:paraId="53EE9438" w14:textId="64734E96" w:rsidR="00841991" w:rsidRPr="00841991" w:rsidRDefault="00841991" w:rsidP="00841991">
            <w:pPr>
              <w:rPr>
                <w:rFonts w:cs="Arial"/>
              </w:rPr>
            </w:pPr>
            <w:r w:rsidRPr="00841991">
              <w:rPr>
                <w:rFonts w:cs="Arial"/>
                <w:szCs w:val="20"/>
              </w:rPr>
              <w:t>Обичайна поддържаща доза</w:t>
            </w:r>
          </w:p>
        </w:tc>
      </w:tr>
      <w:tr w:rsidR="00841991" w14:paraId="5FB203A4" w14:textId="77777777" w:rsidTr="00841991">
        <w:tc>
          <w:tcPr>
            <w:tcW w:w="1983" w:type="dxa"/>
          </w:tcPr>
          <w:p w14:paraId="0DA141BE" w14:textId="369AC65B" w:rsidR="00841991" w:rsidRPr="00841991" w:rsidRDefault="00841991" w:rsidP="00841991">
            <w:pPr>
              <w:rPr>
                <w:rFonts w:cs="Arial"/>
              </w:rPr>
            </w:pPr>
            <w:r w:rsidRPr="00841991">
              <w:rPr>
                <w:rFonts w:cs="Arial"/>
                <w:b/>
                <w:bCs/>
                <w:szCs w:val="20"/>
              </w:rPr>
              <w:t>Монотерапня при типични абсанси</w:t>
            </w:r>
          </w:p>
        </w:tc>
        <w:tc>
          <w:tcPr>
            <w:tcW w:w="1979" w:type="dxa"/>
          </w:tcPr>
          <w:p w14:paraId="7E63CE12" w14:textId="6AB8602E" w:rsidR="00841991" w:rsidRPr="00841991" w:rsidRDefault="00841991" w:rsidP="00841991">
            <w:pPr>
              <w:rPr>
                <w:rFonts w:cs="Arial"/>
              </w:rPr>
            </w:pPr>
            <w:r w:rsidRPr="00841991">
              <w:rPr>
                <w:rFonts w:cs="Arial"/>
                <w:szCs w:val="20"/>
              </w:rPr>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1976" w:type="dxa"/>
          </w:tcPr>
          <w:p w14:paraId="55E57449" w14:textId="3E4EBDB8"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3638" w:type="dxa"/>
          </w:tcPr>
          <w:p w14:paraId="6DD12318" w14:textId="77777777" w:rsidR="00841991" w:rsidRPr="00841991" w:rsidRDefault="00841991" w:rsidP="00841991">
            <w:pPr>
              <w:rPr>
                <w:rFonts w:cs="Arial"/>
              </w:rPr>
            </w:pPr>
            <w:r w:rsidRPr="00841991">
              <w:rPr>
                <w:rFonts w:cs="Arial"/>
                <w:szCs w:val="20"/>
              </w:rPr>
              <w:t xml:space="preserve">1-15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04A125F6" w14:textId="77777777" w:rsidR="00841991" w:rsidRPr="00841991" w:rsidRDefault="00841991" w:rsidP="00841991">
            <w:pPr>
              <w:rPr>
                <w:rFonts w:cs="Arial"/>
                <w:szCs w:val="20"/>
              </w:rPr>
            </w:pPr>
          </w:p>
          <w:p w14:paraId="5EAAF626" w14:textId="338807D4"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0,6 </w:t>
            </w:r>
            <w:r w:rsidRPr="00841991">
              <w:rPr>
                <w:rFonts w:cs="Arial"/>
                <w:szCs w:val="20"/>
                <w:lang w:val="en-US"/>
              </w:rPr>
              <w:t>mg</w:t>
            </w:r>
            <w:r w:rsidRPr="00841991">
              <w:rPr>
                <w:rFonts w:cs="Arial"/>
                <w:szCs w:val="20"/>
                <w:lang w:val="ru-RU"/>
              </w:rPr>
              <w:t xml:space="preserve">/ </w:t>
            </w:r>
            <w:r w:rsidRPr="00841991">
              <w:rPr>
                <w:rFonts w:cs="Arial"/>
                <w:szCs w:val="20"/>
                <w:lang w:val="en-US"/>
              </w:rPr>
              <w:t>kg</w:t>
            </w:r>
            <w:r w:rsidRPr="00841991">
              <w:rPr>
                <w:rFonts w:cs="Arial"/>
                <w:szCs w:val="20"/>
                <w:lang w:val="ru-RU"/>
              </w:rPr>
              <w:t xml:space="preserve">/ </w:t>
            </w:r>
            <w:r w:rsidRPr="00841991">
              <w:rPr>
                <w:rFonts w:cs="Arial"/>
                <w:szCs w:val="20"/>
              </w:rPr>
              <w:t>ден на всяка една до две седмици до постигане на оптимален отговор, с</w:t>
            </w:r>
            <w:r w:rsidRPr="00841991">
              <w:rPr>
                <w:rFonts w:cs="Arial"/>
              </w:rPr>
              <w:t xml:space="preserve"> </w:t>
            </w:r>
            <w:r w:rsidRPr="00841991">
              <w:rPr>
                <w:rFonts w:cs="Arial"/>
                <w:szCs w:val="20"/>
              </w:rPr>
              <w:lastRenderedPageBreak/>
              <w:t xml:space="preserve">максимална дневна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72691F71" w14:textId="77777777" w:rsidTr="00A9735A">
        <w:tc>
          <w:tcPr>
            <w:tcW w:w="9576" w:type="dxa"/>
            <w:gridSpan w:val="4"/>
          </w:tcPr>
          <w:p w14:paraId="50B95E72" w14:textId="6EA76700" w:rsidR="00841991" w:rsidRPr="00841991" w:rsidRDefault="00841991" w:rsidP="00841991">
            <w:pPr>
              <w:rPr>
                <w:rFonts w:cs="Arial"/>
              </w:rPr>
            </w:pPr>
            <w:r w:rsidRPr="00841991">
              <w:rPr>
                <w:rFonts w:cs="Arial"/>
                <w:b/>
                <w:bCs/>
                <w:szCs w:val="20"/>
              </w:rPr>
              <w:lastRenderedPageBreak/>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646049AD" w14:textId="77777777" w:rsidTr="00841991">
        <w:tc>
          <w:tcPr>
            <w:tcW w:w="1983" w:type="dxa"/>
          </w:tcPr>
          <w:p w14:paraId="538EF358" w14:textId="77777777" w:rsidR="00841991" w:rsidRPr="00841991" w:rsidRDefault="00841991" w:rsidP="00841991">
            <w:pPr>
              <w:rPr>
                <w:rFonts w:cs="Arial"/>
              </w:rPr>
            </w:pPr>
            <w:r w:rsidRPr="00841991">
              <w:rPr>
                <w:rFonts w:cs="Arial"/>
                <w:szCs w:val="20"/>
              </w:rPr>
              <w:t>Тази схема на дозиране трябва да бъде използвана с валпроат независимо</w:t>
            </w:r>
            <w:r w:rsidRPr="00841991">
              <w:rPr>
                <w:rFonts w:cs="Arial"/>
                <w:szCs w:val="20"/>
              </w:rPr>
              <w:tab/>
              <w:t>от</w:t>
            </w:r>
          </w:p>
          <w:p w14:paraId="45E81EB2" w14:textId="2E1A61D1" w:rsidR="00841991" w:rsidRPr="00841991" w:rsidRDefault="00841991" w:rsidP="00841991">
            <w:pPr>
              <w:rPr>
                <w:rFonts w:cs="Arial"/>
              </w:rPr>
            </w:pPr>
            <w:r w:rsidRPr="00841991">
              <w:rPr>
                <w:rFonts w:cs="Arial"/>
                <w:szCs w:val="20"/>
              </w:rPr>
              <w:t>съпътстващия прием на други лекарствени продукти</w:t>
            </w:r>
          </w:p>
        </w:tc>
        <w:tc>
          <w:tcPr>
            <w:tcW w:w="1979" w:type="dxa"/>
          </w:tcPr>
          <w:p w14:paraId="74EE7B30" w14:textId="45276984" w:rsidR="00841991" w:rsidRPr="00841991" w:rsidRDefault="00841991" w:rsidP="00841991">
            <w:pPr>
              <w:rPr>
                <w:rFonts w:cs="Arial"/>
              </w:rPr>
            </w:pPr>
            <w:r w:rsidRPr="00841991">
              <w:rPr>
                <w:rFonts w:cs="Arial"/>
                <w:szCs w:val="20"/>
              </w:rPr>
              <w:t xml:space="preserve">0,15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rPr>
              <w:t>/ден* (веднъж дневно)</w:t>
            </w:r>
          </w:p>
        </w:tc>
        <w:tc>
          <w:tcPr>
            <w:tcW w:w="1976" w:type="dxa"/>
          </w:tcPr>
          <w:p w14:paraId="7BF8C92F" w14:textId="1407B796" w:rsidR="00841991" w:rsidRPr="00841991" w:rsidRDefault="00841991" w:rsidP="00841991">
            <w:pPr>
              <w:rPr>
                <w:rFonts w:cs="Arial"/>
              </w:rPr>
            </w:pPr>
            <w:r w:rsidRPr="00841991">
              <w:rPr>
                <w:rFonts w:cs="Arial"/>
                <w:szCs w:val="20"/>
              </w:rPr>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w:t>
            </w:r>
          </w:p>
        </w:tc>
        <w:tc>
          <w:tcPr>
            <w:tcW w:w="3638" w:type="dxa"/>
          </w:tcPr>
          <w:p w14:paraId="071AA5AD" w14:textId="77777777" w:rsidR="00841991" w:rsidRPr="00841991" w:rsidRDefault="00841991" w:rsidP="00841991">
            <w:pPr>
              <w:rPr>
                <w:rFonts w:cs="Arial"/>
              </w:rPr>
            </w:pPr>
            <w:r w:rsidRPr="00841991">
              <w:rPr>
                <w:rFonts w:cs="Arial"/>
                <w:szCs w:val="20"/>
              </w:rPr>
              <w:t xml:space="preserve">1 - 5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20FE7F86" w14:textId="77777777" w:rsidR="00841991" w:rsidRPr="00841991" w:rsidRDefault="00841991" w:rsidP="00841991">
            <w:pPr>
              <w:rPr>
                <w:rFonts w:cs="Arial"/>
                <w:szCs w:val="20"/>
              </w:rPr>
            </w:pPr>
          </w:p>
          <w:p w14:paraId="124B0DE2" w14:textId="0D701C68"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 xml:space="preserve">ден на всяка една до две седмици до постигане на оптимален отговор до максимална поддържаща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61128D24" w14:textId="77777777" w:rsidTr="00A9735A">
        <w:tc>
          <w:tcPr>
            <w:tcW w:w="9576" w:type="dxa"/>
            <w:gridSpan w:val="4"/>
          </w:tcPr>
          <w:p w14:paraId="7DE8A518" w14:textId="401F1E30"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39A5E034" w14:textId="77777777" w:rsidTr="00841991">
        <w:tc>
          <w:tcPr>
            <w:tcW w:w="1983" w:type="dxa"/>
          </w:tcPr>
          <w:p w14:paraId="5F0AA420" w14:textId="77777777" w:rsidR="00841991" w:rsidRPr="00841991" w:rsidRDefault="00841991" w:rsidP="00841991">
            <w:pPr>
              <w:rPr>
                <w:rFonts w:cs="Arial"/>
              </w:rPr>
            </w:pPr>
            <w:r w:rsidRPr="00841991">
              <w:rPr>
                <w:rFonts w:cs="Arial"/>
                <w:szCs w:val="20"/>
              </w:rPr>
              <w:t>Тази схема на дозиране трябва да бъде използвана без валпроат, но с:</w:t>
            </w:r>
          </w:p>
          <w:p w14:paraId="1207DBE9" w14:textId="77777777" w:rsidR="00841991" w:rsidRPr="00841991" w:rsidRDefault="00841991" w:rsidP="00841991">
            <w:pPr>
              <w:rPr>
                <w:rFonts w:cs="Arial"/>
                <w:szCs w:val="20"/>
              </w:rPr>
            </w:pPr>
            <w:r w:rsidRPr="00841991">
              <w:rPr>
                <w:rFonts w:cs="Arial"/>
                <w:szCs w:val="20"/>
              </w:rPr>
              <w:t>фенитоин карбамазепин фенобарбитон примидон</w:t>
            </w:r>
          </w:p>
          <w:p w14:paraId="1FBD8EFF" w14:textId="6F21F6F4" w:rsidR="00841991" w:rsidRPr="00841991" w:rsidRDefault="00841991" w:rsidP="00841991">
            <w:pPr>
              <w:rPr>
                <w:rFonts w:cs="Arial"/>
              </w:rPr>
            </w:pPr>
            <w:r w:rsidRPr="00841991">
              <w:rPr>
                <w:rFonts w:cs="Arial"/>
                <w:szCs w:val="20"/>
              </w:rPr>
              <w:t>рифампицин лопинавир/ ритонавир</w:t>
            </w:r>
          </w:p>
        </w:tc>
        <w:tc>
          <w:tcPr>
            <w:tcW w:w="1979" w:type="dxa"/>
          </w:tcPr>
          <w:p w14:paraId="46239C36" w14:textId="675A260B"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 два приема)</w:t>
            </w:r>
          </w:p>
        </w:tc>
        <w:tc>
          <w:tcPr>
            <w:tcW w:w="1976" w:type="dxa"/>
          </w:tcPr>
          <w:p w14:paraId="5F2C99B5" w14:textId="08726DD5" w:rsidR="00841991" w:rsidRPr="00841991" w:rsidRDefault="00841991" w:rsidP="00841991">
            <w:pPr>
              <w:rPr>
                <w:rFonts w:cs="Arial"/>
              </w:rPr>
            </w:pPr>
            <w:r w:rsidRPr="00841991">
              <w:rPr>
                <w:rFonts w:cs="Arial"/>
                <w:szCs w:val="20"/>
              </w:rPr>
              <w:t xml:space="preserve">1,2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 два приема)</w:t>
            </w:r>
          </w:p>
        </w:tc>
        <w:tc>
          <w:tcPr>
            <w:tcW w:w="3638" w:type="dxa"/>
          </w:tcPr>
          <w:p w14:paraId="28EC4532" w14:textId="77777777" w:rsidR="00841991" w:rsidRPr="00841991" w:rsidRDefault="00841991" w:rsidP="00841991">
            <w:pPr>
              <w:rPr>
                <w:rFonts w:cs="Arial"/>
              </w:rPr>
            </w:pPr>
            <w:r w:rsidRPr="00841991">
              <w:rPr>
                <w:rFonts w:cs="Arial"/>
                <w:szCs w:val="20"/>
              </w:rPr>
              <w:t xml:space="preserve">5 — 15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w:t>
            </w:r>
          </w:p>
          <w:p w14:paraId="0B274737" w14:textId="77777777" w:rsidR="00841991" w:rsidRPr="00841991" w:rsidRDefault="00841991" w:rsidP="00841991">
            <w:pPr>
              <w:rPr>
                <w:rFonts w:cs="Arial"/>
              </w:rPr>
            </w:pPr>
            <w:r w:rsidRPr="00841991">
              <w:rPr>
                <w:rFonts w:cs="Arial"/>
                <w:szCs w:val="20"/>
              </w:rPr>
              <w:t>(веднъж дневно или в два приема)</w:t>
            </w:r>
          </w:p>
          <w:p w14:paraId="205CC553" w14:textId="77777777" w:rsidR="00841991" w:rsidRPr="00841991" w:rsidRDefault="00841991" w:rsidP="00841991">
            <w:pPr>
              <w:rPr>
                <w:rFonts w:cs="Arial"/>
                <w:szCs w:val="20"/>
              </w:rPr>
            </w:pPr>
          </w:p>
          <w:p w14:paraId="278BC130" w14:textId="77777777" w:rsidR="00841991" w:rsidRPr="00841991" w:rsidRDefault="00841991" w:rsidP="00841991">
            <w:pPr>
              <w:rPr>
                <w:rFonts w:eastAsia="Times New Roman" w:cs="Arial"/>
                <w:szCs w:val="24"/>
              </w:rPr>
            </w:pPr>
            <w:r w:rsidRPr="00841991">
              <w:rPr>
                <w:rFonts w:cs="Arial"/>
                <w:szCs w:val="20"/>
              </w:rPr>
              <w:t xml:space="preserve">За да се постигне поддържащо лечение, дозите може да се повишават с максимум 1,2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 xml:space="preserve">ден на всяка една до две седмици до постигане на </w:t>
            </w:r>
            <w:r w:rsidRPr="00841991">
              <w:rPr>
                <w:rFonts w:eastAsia="Times New Roman" w:cs="Arial"/>
                <w:color w:val="000000"/>
                <w:szCs w:val="20"/>
                <w:lang w:eastAsia="bg-BG"/>
              </w:rPr>
              <w:t xml:space="preserve">оптимален отговор, до максимална поддържаща доза от 400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ден.</w:t>
            </w:r>
          </w:p>
          <w:p w14:paraId="1C5CC63D" w14:textId="77777777" w:rsidR="00841991" w:rsidRPr="00841991" w:rsidRDefault="00841991" w:rsidP="00841991">
            <w:pPr>
              <w:spacing w:line="240" w:lineRule="auto"/>
              <w:rPr>
                <w:rFonts w:eastAsia="Times New Roman" w:cs="Arial"/>
                <w:color w:val="000000"/>
                <w:szCs w:val="20"/>
                <w:lang w:eastAsia="bg-BG"/>
              </w:rPr>
            </w:pPr>
          </w:p>
          <w:p w14:paraId="4D11A9A4" w14:textId="2CCD3258" w:rsidR="00841991" w:rsidRPr="00841991" w:rsidRDefault="00841991" w:rsidP="00841991">
            <w:pPr>
              <w:spacing w:line="240" w:lineRule="auto"/>
              <w:rPr>
                <w:rFonts w:eastAsia="Times New Roman" w:cs="Arial"/>
                <w:szCs w:val="24"/>
              </w:rPr>
            </w:pPr>
            <w:r w:rsidRPr="00841991">
              <w:rPr>
                <w:rFonts w:eastAsia="Times New Roman" w:cs="Arial"/>
                <w:color w:val="000000"/>
                <w:szCs w:val="20"/>
                <w:lang w:eastAsia="bg-BG"/>
              </w:rPr>
              <w:t xml:space="preserve">При някои пациенти са необходими 700 </w:t>
            </w:r>
            <w:r w:rsidRPr="00841991">
              <w:rPr>
                <w:rFonts w:eastAsia="Times New Roman" w:cs="Arial"/>
                <w:color w:val="000000"/>
                <w:szCs w:val="20"/>
                <w:lang w:val="en-US"/>
              </w:rPr>
              <w:t>mg</w:t>
            </w:r>
            <w:r w:rsidRPr="00841991">
              <w:rPr>
                <w:rFonts w:eastAsia="Times New Roman" w:cs="Arial"/>
                <w:color w:val="000000"/>
                <w:szCs w:val="20"/>
                <w:lang w:val="ru-RU"/>
              </w:rPr>
              <w:t xml:space="preserve"> </w:t>
            </w:r>
            <w:r w:rsidRPr="00841991">
              <w:rPr>
                <w:rFonts w:eastAsia="Times New Roman" w:cs="Arial"/>
                <w:color w:val="000000"/>
                <w:szCs w:val="20"/>
                <w:lang w:eastAsia="bg-BG"/>
              </w:rPr>
              <w:t>дневно за постигане на желания терапевтичен отговор.</w:t>
            </w:r>
          </w:p>
        </w:tc>
      </w:tr>
      <w:tr w:rsidR="00841991" w14:paraId="3BA06CD9" w14:textId="77777777" w:rsidTr="00A9735A">
        <w:tc>
          <w:tcPr>
            <w:tcW w:w="9576" w:type="dxa"/>
            <w:gridSpan w:val="4"/>
          </w:tcPr>
          <w:p w14:paraId="36D8F0F3" w14:textId="570BD2B7" w:rsidR="00841991" w:rsidRPr="00841991" w:rsidRDefault="00841991" w:rsidP="00841991">
            <w:pPr>
              <w:rPr>
                <w:rFonts w:cs="Arial"/>
              </w:rPr>
            </w:pPr>
            <w:r w:rsidRPr="00841991">
              <w:rPr>
                <w:rFonts w:cs="Arial"/>
                <w:b/>
                <w:bCs/>
                <w:szCs w:val="20"/>
              </w:rPr>
              <w:t xml:space="preserve">Комбинирана терапия БЕЗ валпроат и БЕЗ индуктори на глюкуронирането на ламотригин </w:t>
            </w:r>
            <w:r w:rsidRPr="00841991">
              <w:rPr>
                <w:rFonts w:cs="Arial"/>
                <w:szCs w:val="20"/>
              </w:rPr>
              <w:t>(вижте точка 4.5)</w:t>
            </w:r>
          </w:p>
        </w:tc>
      </w:tr>
      <w:tr w:rsidR="00841991" w14:paraId="01D222DC" w14:textId="77777777" w:rsidTr="00841991">
        <w:tc>
          <w:tcPr>
            <w:tcW w:w="1983" w:type="dxa"/>
          </w:tcPr>
          <w:p w14:paraId="147CA11E" w14:textId="0C3A9A94" w:rsidR="00841991" w:rsidRPr="00841991" w:rsidRDefault="00841991" w:rsidP="00841991">
            <w:pPr>
              <w:rPr>
                <w:rFonts w:cs="Arial"/>
              </w:rPr>
            </w:pPr>
            <w:r w:rsidRPr="00841991">
              <w:rPr>
                <w:rFonts w:cs="Arial"/>
                <w:szCs w:val="20"/>
              </w:rPr>
              <w:t xml:space="preserve">Тази схема на дозиране трябва да бъде използвана с други лекарствени продукти, които не инхибират или не индуцират значително </w:t>
            </w:r>
            <w:r w:rsidRPr="00841991">
              <w:rPr>
                <w:rFonts w:cs="Arial"/>
                <w:szCs w:val="20"/>
              </w:rPr>
              <w:lastRenderedPageBreak/>
              <w:t>глюкуронирането на ламотригин</w:t>
            </w:r>
          </w:p>
        </w:tc>
        <w:tc>
          <w:tcPr>
            <w:tcW w:w="1979" w:type="dxa"/>
          </w:tcPr>
          <w:p w14:paraId="0C3DBF0A" w14:textId="3F48C5E8" w:rsidR="00841991" w:rsidRPr="00841991" w:rsidRDefault="00841991" w:rsidP="00841991">
            <w:pPr>
              <w:rPr>
                <w:rFonts w:cs="Arial"/>
              </w:rPr>
            </w:pPr>
            <w:r w:rsidRPr="00841991">
              <w:rPr>
                <w:rFonts w:cs="Arial"/>
                <w:szCs w:val="20"/>
              </w:rPr>
              <w:lastRenderedPageBreak/>
              <w:t xml:space="preserve">0,3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1976" w:type="dxa"/>
          </w:tcPr>
          <w:p w14:paraId="37D68C85" w14:textId="65DD1A37" w:rsidR="00841991" w:rsidRPr="00841991" w:rsidRDefault="00841991" w:rsidP="00841991">
            <w:pPr>
              <w:rPr>
                <w:rFonts w:cs="Arial"/>
              </w:rPr>
            </w:pPr>
            <w:r w:rsidRPr="00841991">
              <w:rPr>
                <w:rFonts w:cs="Arial"/>
                <w:szCs w:val="20"/>
              </w:rPr>
              <w:t xml:space="preserve">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tc>
        <w:tc>
          <w:tcPr>
            <w:tcW w:w="3638" w:type="dxa"/>
          </w:tcPr>
          <w:p w14:paraId="6E438E03" w14:textId="77777777" w:rsidR="00841991" w:rsidRPr="00841991" w:rsidRDefault="00841991" w:rsidP="00841991">
            <w:pPr>
              <w:rPr>
                <w:rFonts w:cs="Arial"/>
              </w:rPr>
            </w:pPr>
            <w:r w:rsidRPr="00841991">
              <w:rPr>
                <w:rFonts w:cs="Arial"/>
                <w:szCs w:val="20"/>
              </w:rPr>
              <w:t xml:space="preserve">1-10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lang w:val="ru-RU"/>
              </w:rPr>
              <w:t xml:space="preserve">/ </w:t>
            </w:r>
            <w:r w:rsidRPr="00841991">
              <w:rPr>
                <w:rFonts w:cs="Arial"/>
                <w:szCs w:val="20"/>
              </w:rPr>
              <w:t>ден (веднъж дневно или в два приема)</w:t>
            </w:r>
          </w:p>
          <w:p w14:paraId="69F847CC" w14:textId="77777777" w:rsidR="00841991" w:rsidRPr="00841991" w:rsidRDefault="00841991" w:rsidP="00841991">
            <w:pPr>
              <w:rPr>
                <w:rFonts w:cs="Arial"/>
                <w:szCs w:val="20"/>
              </w:rPr>
            </w:pPr>
          </w:p>
          <w:p w14:paraId="3CD99266" w14:textId="52B0F6C8" w:rsidR="00841991" w:rsidRPr="00841991" w:rsidRDefault="00841991" w:rsidP="00841991">
            <w:pPr>
              <w:rPr>
                <w:rFonts w:cs="Arial"/>
              </w:rPr>
            </w:pPr>
            <w:r w:rsidRPr="00841991">
              <w:rPr>
                <w:rFonts w:cs="Arial"/>
                <w:szCs w:val="20"/>
              </w:rPr>
              <w:t xml:space="preserve">За да се постигне поддържащо лечение, дозите може да се повишават с максимум 0,6 </w:t>
            </w:r>
            <w:r w:rsidRPr="00841991">
              <w:rPr>
                <w:rFonts w:cs="Arial"/>
                <w:szCs w:val="20"/>
                <w:lang w:val="en-US"/>
              </w:rPr>
              <w:t>mg</w:t>
            </w:r>
            <w:r w:rsidRPr="00841991">
              <w:rPr>
                <w:rFonts w:cs="Arial"/>
                <w:szCs w:val="20"/>
                <w:lang w:val="ru-RU"/>
              </w:rPr>
              <w:t>/</w:t>
            </w:r>
            <w:r w:rsidRPr="00841991">
              <w:rPr>
                <w:rFonts w:cs="Arial"/>
                <w:szCs w:val="20"/>
                <w:lang w:val="en-US"/>
              </w:rPr>
              <w:t>kg</w:t>
            </w:r>
            <w:r w:rsidRPr="00841991">
              <w:rPr>
                <w:rFonts w:cs="Arial"/>
                <w:szCs w:val="20"/>
              </w:rPr>
              <w:t xml:space="preserve">/ден на всяка една до две седмици до постигане на оптимален отговор, до максимална поддържаща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6777A7FA" w14:textId="77777777" w:rsidTr="00A9735A">
        <w:tc>
          <w:tcPr>
            <w:tcW w:w="9576" w:type="dxa"/>
            <w:gridSpan w:val="4"/>
          </w:tcPr>
          <w:p w14:paraId="3F5CD582" w14:textId="7B90B88D" w:rsidR="00841991" w:rsidRPr="00841991" w:rsidRDefault="00841991" w:rsidP="00841991">
            <w:pPr>
              <w:rPr>
                <w:rFonts w:cs="Arial"/>
              </w:rPr>
            </w:pPr>
            <w:r w:rsidRPr="00841991">
              <w:rPr>
                <w:rFonts w:cs="Arial"/>
                <w:szCs w:val="20"/>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препоръчваната за ламотригин с едновременен прием на валпроат.</w:t>
            </w:r>
          </w:p>
        </w:tc>
      </w:tr>
      <w:tr w:rsidR="00841991" w14:paraId="649F4639" w14:textId="77777777" w:rsidTr="00A9735A">
        <w:tc>
          <w:tcPr>
            <w:tcW w:w="9576" w:type="dxa"/>
            <w:gridSpan w:val="4"/>
          </w:tcPr>
          <w:p w14:paraId="47D58013" w14:textId="7A04E989" w:rsidR="00841991" w:rsidRPr="00841991" w:rsidRDefault="00841991" w:rsidP="00841991">
            <w:pPr>
              <w:rPr>
                <w:rFonts w:cs="Arial"/>
              </w:rPr>
            </w:pPr>
            <w:r w:rsidRPr="00841991">
              <w:rPr>
                <w:rFonts w:cs="Arial"/>
                <w:szCs w:val="20"/>
              </w:rPr>
              <w:t xml:space="preserve">*Ако изчислената дневна доза при пациенти, приемащи валпроат е по-ниска от 1 </w:t>
            </w:r>
            <w:r w:rsidRPr="00841991">
              <w:rPr>
                <w:rFonts w:cs="Arial"/>
                <w:szCs w:val="20"/>
                <w:lang w:val="en-US"/>
              </w:rPr>
              <w:t>mg</w:t>
            </w:r>
            <w:r w:rsidRPr="00841991">
              <w:rPr>
                <w:rFonts w:cs="Arial"/>
                <w:szCs w:val="20"/>
                <w:lang w:val="ru-RU"/>
              </w:rPr>
              <w:t xml:space="preserve">, </w:t>
            </w:r>
            <w:r w:rsidRPr="00841991">
              <w:rPr>
                <w:rFonts w:cs="Arial"/>
                <w:szCs w:val="20"/>
              </w:rPr>
              <w:t>ламотригин не трябва да се прилага.</w:t>
            </w:r>
          </w:p>
        </w:tc>
      </w:tr>
    </w:tbl>
    <w:p w14:paraId="2943C768" w14:textId="4576AA65" w:rsidR="00841991" w:rsidRDefault="00841991" w:rsidP="00841991"/>
    <w:p w14:paraId="35CA43E8"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За да е сигурно поддържането на терапевтичната доза, теглото на детето трябва да се проследява и дозата трябва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препоръчвания интервал.</w:t>
      </w:r>
    </w:p>
    <w:p w14:paraId="3478048D" w14:textId="77777777" w:rsidR="00841991" w:rsidRPr="00841991" w:rsidRDefault="00841991" w:rsidP="00841991">
      <w:pPr>
        <w:spacing w:line="240" w:lineRule="auto"/>
        <w:rPr>
          <w:rFonts w:eastAsia="Times New Roman" w:cs="Arial"/>
          <w:color w:val="000000"/>
          <w:szCs w:val="20"/>
          <w:lang w:eastAsia="bg-BG"/>
        </w:rPr>
      </w:pPr>
    </w:p>
    <w:p w14:paraId="2B9BFCEA" w14:textId="285DE071"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ламотригин.</w:t>
      </w:r>
    </w:p>
    <w:p w14:paraId="49125EEB" w14:textId="77777777" w:rsidR="00841991" w:rsidRPr="00841991" w:rsidRDefault="00841991" w:rsidP="00841991">
      <w:pPr>
        <w:spacing w:line="240" w:lineRule="auto"/>
        <w:rPr>
          <w:rFonts w:eastAsia="Times New Roman" w:cs="Arial"/>
          <w:i/>
          <w:iCs/>
          <w:color w:val="000000"/>
          <w:szCs w:val="20"/>
          <w:u w:val="single"/>
          <w:lang w:eastAsia="bg-BG"/>
        </w:rPr>
      </w:pPr>
    </w:p>
    <w:p w14:paraId="1A426A7C" w14:textId="7B536338"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u w:val="single"/>
          <w:lang w:eastAsia="bg-BG"/>
        </w:rPr>
        <w:t>Деиа под 2 години</w:t>
      </w:r>
    </w:p>
    <w:p w14:paraId="00FBE9D9"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Данните за ефикасност и безопасност на ламотригин при комбинирана терапия на парциални припадъци при деца на възраст от 1 месец до 2 години са ограничени (вижте точка 4.4). Липсват данни при деца на възраст под 1 месец. Следователно употребата на ламотригин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2EA966E0" w14:textId="77777777" w:rsidR="00841991" w:rsidRPr="00841991" w:rsidRDefault="00841991" w:rsidP="00841991">
      <w:pPr>
        <w:spacing w:line="240" w:lineRule="auto"/>
        <w:rPr>
          <w:rFonts w:eastAsia="Times New Roman" w:cs="Arial"/>
          <w:color w:val="000000"/>
          <w:szCs w:val="20"/>
          <w:u w:val="single"/>
          <w:lang w:eastAsia="bg-BG"/>
        </w:rPr>
      </w:pPr>
    </w:p>
    <w:p w14:paraId="5B46D24B" w14:textId="60D035B6"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u w:val="single"/>
          <w:lang w:eastAsia="bg-BG"/>
        </w:rPr>
        <w:t>Би полярно разстройство</w:t>
      </w:r>
    </w:p>
    <w:p w14:paraId="1922EFC0" w14:textId="77777777" w:rsidR="00841991" w:rsidRPr="00841991" w:rsidRDefault="00841991" w:rsidP="00841991">
      <w:pPr>
        <w:rPr>
          <w:rFonts w:eastAsia="Times New Roman" w:cs="Arial"/>
          <w:sz w:val="28"/>
          <w:szCs w:val="24"/>
        </w:rPr>
      </w:pPr>
      <w:r w:rsidRPr="00841991">
        <w:rPr>
          <w:rFonts w:eastAsia="Times New Roman" w:cs="Arial"/>
          <w:color w:val="000000"/>
          <w:szCs w:val="20"/>
          <w:lang w:eastAsia="bg-BG"/>
        </w:rPr>
        <w:t>В таблиците по-долу са представени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ламотригин до поддържаща стабилизираща доза за период от шест седмици (Таблица 3), след което приемът на други психотропни лекарствени продукти и/ или АЕЛ може да бъде преустановен, ако е клинично показано (Таблица 4). Корекциите на дозата след добавяне на други психотропни лекарствени продукти и/ 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(вижте точка 4.4).</w:t>
      </w:r>
    </w:p>
    <w:p w14:paraId="4C61BAD3" w14:textId="77777777" w:rsidR="00841991" w:rsidRPr="00841991" w:rsidRDefault="00841991" w:rsidP="00841991">
      <w:pPr>
        <w:spacing w:line="240" w:lineRule="auto"/>
        <w:rPr>
          <w:rFonts w:eastAsia="Times New Roman" w:cs="Arial"/>
          <w:i/>
          <w:iCs/>
          <w:color w:val="000000"/>
          <w:szCs w:val="20"/>
          <w:lang w:eastAsia="bg-BG"/>
        </w:rPr>
      </w:pPr>
    </w:p>
    <w:p w14:paraId="6C54609B" w14:textId="7C0AFB90"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3: Възрастни пациенти на 18 и повече години - препоръчителна схема за повишаване на дозата до поддържаща стабилизираща обща дневна доза при лечение на биполярно разстройство</w:t>
      </w:r>
    </w:p>
    <w:p w14:paraId="7473CD4A" w14:textId="7F784C5F" w:rsidR="00841991" w:rsidRDefault="00841991" w:rsidP="00841991"/>
    <w:tbl>
      <w:tblPr>
        <w:tblStyle w:val="TableGrid"/>
        <w:tblW w:w="0" w:type="auto"/>
        <w:tblLook w:val="04A0" w:firstRow="1" w:lastRow="0" w:firstColumn="1" w:lastColumn="0" w:noHBand="0" w:noVBand="1"/>
      </w:tblPr>
      <w:tblGrid>
        <w:gridCol w:w="2000"/>
        <w:gridCol w:w="1811"/>
        <w:gridCol w:w="1821"/>
        <w:gridCol w:w="1821"/>
        <w:gridCol w:w="1897"/>
      </w:tblGrid>
      <w:tr w:rsidR="00841991" w14:paraId="1F4F0C01" w14:textId="77777777" w:rsidTr="00841991">
        <w:tc>
          <w:tcPr>
            <w:tcW w:w="2002" w:type="dxa"/>
          </w:tcPr>
          <w:p w14:paraId="681789CA" w14:textId="6A015083" w:rsidR="00841991" w:rsidRPr="00841991" w:rsidRDefault="00841991" w:rsidP="00841991">
            <w:pPr>
              <w:rPr>
                <w:rFonts w:cs="Arial"/>
              </w:rPr>
            </w:pPr>
            <w:r w:rsidRPr="00841991">
              <w:rPr>
                <w:rFonts w:cs="Arial"/>
                <w:szCs w:val="20"/>
              </w:rPr>
              <w:t>Схема на лечение</w:t>
            </w:r>
          </w:p>
        </w:tc>
        <w:tc>
          <w:tcPr>
            <w:tcW w:w="1890" w:type="dxa"/>
          </w:tcPr>
          <w:p w14:paraId="6A0E050A" w14:textId="4F7AA7C0" w:rsidR="00841991" w:rsidRPr="00841991" w:rsidRDefault="00841991" w:rsidP="00841991">
            <w:pPr>
              <w:rPr>
                <w:rFonts w:cs="Arial"/>
              </w:rPr>
            </w:pPr>
            <w:r w:rsidRPr="00841991">
              <w:rPr>
                <w:rFonts w:cs="Arial"/>
                <w:szCs w:val="20"/>
              </w:rPr>
              <w:t>Седмици 1+2</w:t>
            </w:r>
          </w:p>
        </w:tc>
        <w:tc>
          <w:tcPr>
            <w:tcW w:w="1888" w:type="dxa"/>
          </w:tcPr>
          <w:p w14:paraId="36E437BC" w14:textId="2F825BC0" w:rsidR="00841991" w:rsidRPr="00841991" w:rsidRDefault="00841991" w:rsidP="00841991">
            <w:pPr>
              <w:rPr>
                <w:rFonts w:cs="Arial"/>
              </w:rPr>
            </w:pPr>
            <w:r w:rsidRPr="00841991">
              <w:rPr>
                <w:rFonts w:cs="Arial"/>
                <w:szCs w:val="20"/>
              </w:rPr>
              <w:t>Седмици 3+4</w:t>
            </w:r>
          </w:p>
        </w:tc>
        <w:tc>
          <w:tcPr>
            <w:tcW w:w="1888" w:type="dxa"/>
          </w:tcPr>
          <w:p w14:paraId="6C3AFEBC" w14:textId="370696EA" w:rsidR="00841991" w:rsidRPr="00841991" w:rsidRDefault="00841991" w:rsidP="00841991">
            <w:pPr>
              <w:rPr>
                <w:rFonts w:cs="Arial"/>
              </w:rPr>
            </w:pPr>
            <w:r w:rsidRPr="00841991">
              <w:rPr>
                <w:rFonts w:cs="Arial"/>
                <w:szCs w:val="20"/>
              </w:rPr>
              <w:t>Седмица 5</w:t>
            </w:r>
          </w:p>
        </w:tc>
        <w:tc>
          <w:tcPr>
            <w:tcW w:w="1908" w:type="dxa"/>
            <w:vAlign w:val="bottom"/>
          </w:tcPr>
          <w:p w14:paraId="2E4B7187" w14:textId="12D85166" w:rsidR="00841991" w:rsidRPr="00841991" w:rsidRDefault="00841991" w:rsidP="00841991">
            <w:pPr>
              <w:rPr>
                <w:rFonts w:cs="Arial"/>
              </w:rPr>
            </w:pPr>
            <w:r w:rsidRPr="00841991">
              <w:rPr>
                <w:rFonts w:cs="Arial"/>
                <w:szCs w:val="20"/>
              </w:rPr>
              <w:t>Таргетна стабилизираща доза (Седмица 6)*</w:t>
            </w:r>
          </w:p>
        </w:tc>
      </w:tr>
      <w:tr w:rsidR="00841991" w14:paraId="54D3CA37" w14:textId="77777777" w:rsidTr="00A9735A">
        <w:tc>
          <w:tcPr>
            <w:tcW w:w="9576" w:type="dxa"/>
            <w:gridSpan w:val="5"/>
          </w:tcPr>
          <w:p w14:paraId="4B77FA8D" w14:textId="1EFAF48C" w:rsidR="00841991" w:rsidRPr="00841991" w:rsidRDefault="00841991" w:rsidP="00841991">
            <w:pPr>
              <w:rPr>
                <w:rFonts w:cs="Arial"/>
              </w:rPr>
            </w:pPr>
            <w:r w:rsidRPr="00841991">
              <w:rPr>
                <w:rFonts w:eastAsia="Times New Roman" w:cs="Arial"/>
                <w:b/>
                <w:bCs/>
                <w:color w:val="000000"/>
                <w:szCs w:val="20"/>
                <w:lang w:eastAsia="bg-BG"/>
              </w:rPr>
              <w:t xml:space="preserve">Монотерапия с ламотригин ИЛИ комбинирана терапия БЕЗ валпроат и БЕЗ индуктори на глюкуронирането на ламотригин </w:t>
            </w:r>
            <w:r w:rsidRPr="00841991">
              <w:rPr>
                <w:rFonts w:eastAsia="Times New Roman" w:cs="Arial"/>
                <w:color w:val="000000"/>
                <w:szCs w:val="20"/>
                <w:lang w:eastAsia="bg-BG"/>
              </w:rPr>
              <w:t>(вижте точка 4.5)</w:t>
            </w:r>
          </w:p>
        </w:tc>
      </w:tr>
      <w:tr w:rsidR="00841991" w14:paraId="0F5A88F1" w14:textId="77777777" w:rsidTr="00841991">
        <w:tc>
          <w:tcPr>
            <w:tcW w:w="2002" w:type="dxa"/>
          </w:tcPr>
          <w:p w14:paraId="5C017566" w14:textId="50E01BFF" w:rsidR="00841991" w:rsidRPr="00841991" w:rsidRDefault="00841991" w:rsidP="00841991">
            <w:pPr>
              <w:rPr>
                <w:rFonts w:cs="Arial"/>
              </w:rPr>
            </w:pPr>
            <w:r w:rsidRPr="00841991">
              <w:rPr>
                <w:rFonts w:cs="Arial"/>
                <w:szCs w:val="20"/>
              </w:rPr>
              <w:t xml:space="preserve">Тази схема на дозиране трябва да се използва с </w:t>
            </w:r>
            <w:r w:rsidRPr="00841991">
              <w:rPr>
                <w:rFonts w:cs="Arial"/>
                <w:szCs w:val="20"/>
              </w:rPr>
              <w:lastRenderedPageBreak/>
              <w:t>други лекарствени продукти, които не инхибират или не индуцират значимо глюкуронирането на ламотригин</w:t>
            </w:r>
          </w:p>
        </w:tc>
        <w:tc>
          <w:tcPr>
            <w:tcW w:w="1890" w:type="dxa"/>
          </w:tcPr>
          <w:p w14:paraId="3F01A697" w14:textId="409EE1CC" w:rsidR="00841991" w:rsidRPr="00841991" w:rsidRDefault="00841991" w:rsidP="00841991">
            <w:pPr>
              <w:rPr>
                <w:rFonts w:cs="Arial"/>
              </w:rPr>
            </w:pPr>
            <w:r w:rsidRPr="00841991">
              <w:rPr>
                <w:rFonts w:cs="Arial"/>
                <w:szCs w:val="20"/>
              </w:rPr>
              <w:lastRenderedPageBreak/>
              <w:t xml:space="preserve">25 </w:t>
            </w:r>
            <w:r w:rsidRPr="00841991">
              <w:rPr>
                <w:rFonts w:cs="Arial"/>
                <w:szCs w:val="20"/>
                <w:lang w:val="en-US"/>
              </w:rPr>
              <w:t>mg</w:t>
            </w:r>
            <w:r w:rsidRPr="00841991">
              <w:rPr>
                <w:rFonts w:cs="Arial"/>
                <w:szCs w:val="20"/>
              </w:rPr>
              <w:t>/ден (веднъж дневно)</w:t>
            </w:r>
          </w:p>
        </w:tc>
        <w:tc>
          <w:tcPr>
            <w:tcW w:w="1888" w:type="dxa"/>
          </w:tcPr>
          <w:p w14:paraId="3D60D535" w14:textId="2A4938FC"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 xml:space="preserve">/ден (веднъж </w:t>
            </w:r>
            <w:r w:rsidRPr="00841991">
              <w:rPr>
                <w:rFonts w:cs="Arial"/>
                <w:szCs w:val="20"/>
              </w:rPr>
              <w:lastRenderedPageBreak/>
              <w:t>дневно или в два приема)</w:t>
            </w:r>
          </w:p>
        </w:tc>
        <w:tc>
          <w:tcPr>
            <w:tcW w:w="1888" w:type="dxa"/>
          </w:tcPr>
          <w:p w14:paraId="561BE846" w14:textId="77777777" w:rsidR="00841991" w:rsidRPr="00841991" w:rsidRDefault="00841991" w:rsidP="00841991">
            <w:pPr>
              <w:rPr>
                <w:rFonts w:cs="Arial"/>
              </w:rPr>
            </w:pPr>
            <w:r w:rsidRPr="00841991">
              <w:rPr>
                <w:rFonts w:cs="Arial"/>
                <w:szCs w:val="20"/>
              </w:rPr>
              <w:lastRenderedPageBreak/>
              <w:t xml:space="preserve">100 </w:t>
            </w:r>
            <w:r w:rsidRPr="00841991">
              <w:rPr>
                <w:rFonts w:cs="Arial"/>
                <w:szCs w:val="20"/>
                <w:lang w:val="en-US"/>
              </w:rPr>
              <w:t>mg</w:t>
            </w:r>
            <w:r w:rsidRPr="00841991">
              <w:rPr>
                <w:rFonts w:cs="Arial"/>
                <w:szCs w:val="20"/>
              </w:rPr>
              <w:t xml:space="preserve">/ден (веднъж </w:t>
            </w:r>
            <w:r w:rsidRPr="00841991">
              <w:rPr>
                <w:rFonts w:cs="Arial"/>
                <w:szCs w:val="20"/>
              </w:rPr>
              <w:lastRenderedPageBreak/>
              <w:t>дневно или в</w:t>
            </w:r>
            <w:r w:rsidRPr="00841991">
              <w:rPr>
                <w:rFonts w:cs="Arial"/>
                <w:szCs w:val="20"/>
              </w:rPr>
              <w:tab/>
              <w:t>два</w:t>
            </w:r>
          </w:p>
          <w:p w14:paraId="46E030BD" w14:textId="07AA9F46" w:rsidR="00841991" w:rsidRPr="00841991" w:rsidRDefault="00841991" w:rsidP="00841991">
            <w:pPr>
              <w:rPr>
                <w:rFonts w:cs="Arial"/>
              </w:rPr>
            </w:pPr>
            <w:r w:rsidRPr="00841991">
              <w:rPr>
                <w:rFonts w:cs="Arial"/>
                <w:szCs w:val="20"/>
              </w:rPr>
              <w:t>приема)</w:t>
            </w:r>
          </w:p>
        </w:tc>
        <w:tc>
          <w:tcPr>
            <w:tcW w:w="1908" w:type="dxa"/>
            <w:vAlign w:val="bottom"/>
          </w:tcPr>
          <w:p w14:paraId="37ACEBBD" w14:textId="77777777" w:rsidR="00841991" w:rsidRPr="00841991" w:rsidRDefault="00841991" w:rsidP="00841991">
            <w:pPr>
              <w:rPr>
                <w:rFonts w:cs="Arial"/>
              </w:rPr>
            </w:pPr>
            <w:r w:rsidRPr="00841991">
              <w:rPr>
                <w:rFonts w:cs="Arial"/>
                <w:szCs w:val="20"/>
              </w:rPr>
              <w:lastRenderedPageBreak/>
              <w:t xml:space="preserve">200 </w:t>
            </w:r>
            <w:r w:rsidRPr="00841991">
              <w:rPr>
                <w:rFonts w:cs="Arial"/>
                <w:szCs w:val="20"/>
                <w:lang w:val="en-US"/>
              </w:rPr>
              <w:t>mg</w:t>
            </w:r>
            <w:r w:rsidRPr="00841991">
              <w:rPr>
                <w:rFonts w:cs="Arial"/>
                <w:szCs w:val="20"/>
              </w:rPr>
              <w:t xml:space="preserve">/ден - обичайна таргетна доза </w:t>
            </w:r>
            <w:r w:rsidRPr="00841991">
              <w:rPr>
                <w:rFonts w:cs="Arial"/>
                <w:szCs w:val="20"/>
              </w:rPr>
              <w:lastRenderedPageBreak/>
              <w:t>за оптимален отговор (веднъж дневно или в два приема)</w:t>
            </w:r>
          </w:p>
          <w:p w14:paraId="677BC612" w14:textId="77777777" w:rsidR="00841991" w:rsidRPr="00841991" w:rsidRDefault="00841991" w:rsidP="00841991">
            <w:pPr>
              <w:rPr>
                <w:rFonts w:cs="Arial"/>
                <w:szCs w:val="20"/>
              </w:rPr>
            </w:pPr>
          </w:p>
          <w:p w14:paraId="7FDC8B0C" w14:textId="6D47685E" w:rsidR="00841991" w:rsidRPr="00841991" w:rsidRDefault="00841991" w:rsidP="00841991">
            <w:pPr>
              <w:rPr>
                <w:rFonts w:cs="Arial"/>
              </w:rPr>
            </w:pPr>
            <w:r w:rsidRPr="00841991">
              <w:rPr>
                <w:rFonts w:cs="Arial"/>
                <w:szCs w:val="20"/>
              </w:rPr>
              <w:t>В клинични</w:t>
            </w:r>
          </w:p>
          <w:p w14:paraId="4ACF3FF3" w14:textId="713A8684" w:rsidR="00841991" w:rsidRPr="00841991" w:rsidRDefault="00841991" w:rsidP="00841991">
            <w:pPr>
              <w:rPr>
                <w:rFonts w:cs="Arial"/>
              </w:rPr>
            </w:pPr>
            <w:r w:rsidRPr="00841991">
              <w:rPr>
                <w:rFonts w:cs="Arial"/>
                <w:szCs w:val="20"/>
              </w:rPr>
              <w:t>Изпитвания са</w:t>
            </w:r>
          </w:p>
          <w:p w14:paraId="21BA9E60" w14:textId="0BD51909" w:rsidR="00841991" w:rsidRPr="00841991" w:rsidRDefault="00841991" w:rsidP="00841991">
            <w:pPr>
              <w:rPr>
                <w:rFonts w:cs="Arial"/>
              </w:rPr>
            </w:pPr>
            <w:r w:rsidRPr="00841991">
              <w:rPr>
                <w:rFonts w:cs="Arial"/>
                <w:szCs w:val="20"/>
              </w:rPr>
              <w:t xml:space="preserve">прилагани дози в интервала 100 - 400 </w:t>
            </w:r>
            <w:r w:rsidRPr="00841991">
              <w:rPr>
                <w:rFonts w:cs="Arial"/>
                <w:szCs w:val="20"/>
                <w:lang w:val="en-US"/>
              </w:rPr>
              <w:t>mg</w:t>
            </w:r>
            <w:r w:rsidRPr="00841991">
              <w:rPr>
                <w:rFonts w:cs="Arial"/>
                <w:szCs w:val="20"/>
                <w:lang w:val="ru-RU"/>
              </w:rPr>
              <w:t>/</w:t>
            </w:r>
            <w:r w:rsidRPr="00841991">
              <w:rPr>
                <w:rFonts w:cs="Arial"/>
                <w:szCs w:val="20"/>
              </w:rPr>
              <w:t>ден</w:t>
            </w:r>
          </w:p>
        </w:tc>
      </w:tr>
      <w:tr w:rsidR="00841991" w14:paraId="491266FC" w14:textId="77777777" w:rsidTr="00A9735A">
        <w:tc>
          <w:tcPr>
            <w:tcW w:w="9576" w:type="dxa"/>
            <w:gridSpan w:val="5"/>
          </w:tcPr>
          <w:p w14:paraId="69BB149B" w14:textId="48929D6B" w:rsidR="00841991" w:rsidRPr="00841991" w:rsidRDefault="00841991" w:rsidP="00841991">
            <w:pPr>
              <w:rPr>
                <w:rFonts w:cs="Arial"/>
              </w:rPr>
            </w:pPr>
            <w:r w:rsidRPr="00841991">
              <w:rPr>
                <w:rFonts w:cs="Arial"/>
                <w:b/>
                <w:bCs/>
                <w:szCs w:val="20"/>
              </w:rPr>
              <w:lastRenderedPageBreak/>
              <w:t xml:space="preserve">Комбинирана терапия С валпроат </w:t>
            </w:r>
            <w:r w:rsidRPr="00841991">
              <w:rPr>
                <w:rFonts w:cs="Arial"/>
                <w:szCs w:val="20"/>
              </w:rPr>
              <w:t>(инхибитор на глюкуронирането на ламотригин - вижте точка 4.5)</w:t>
            </w:r>
          </w:p>
        </w:tc>
      </w:tr>
      <w:tr w:rsidR="00841991" w14:paraId="7C072289" w14:textId="77777777" w:rsidTr="00841991">
        <w:tc>
          <w:tcPr>
            <w:tcW w:w="2002" w:type="dxa"/>
          </w:tcPr>
          <w:p w14:paraId="30F8D60F" w14:textId="77777777" w:rsidR="00841991" w:rsidRPr="00841991" w:rsidRDefault="00841991" w:rsidP="00841991">
            <w:pPr>
              <w:rPr>
                <w:rFonts w:cs="Arial"/>
              </w:rPr>
            </w:pPr>
            <w:r w:rsidRPr="00841991">
              <w:rPr>
                <w:rFonts w:cs="Arial"/>
                <w:szCs w:val="20"/>
              </w:rPr>
              <w:t>Тази схема на лечение трябва да се използва с валпроат независимо</w:t>
            </w:r>
            <w:r w:rsidRPr="00841991">
              <w:rPr>
                <w:rFonts w:cs="Arial"/>
                <w:szCs w:val="20"/>
              </w:rPr>
              <w:tab/>
              <w:t>от</w:t>
            </w:r>
          </w:p>
          <w:p w14:paraId="6205A1DE" w14:textId="5538BBA4" w:rsidR="00841991" w:rsidRPr="00841991" w:rsidRDefault="00841991" w:rsidP="00841991">
            <w:pPr>
              <w:rPr>
                <w:rFonts w:cs="Arial"/>
              </w:rPr>
            </w:pPr>
            <w:r w:rsidRPr="00841991">
              <w:rPr>
                <w:rFonts w:cs="Arial"/>
                <w:szCs w:val="20"/>
              </w:rPr>
              <w:t>приема на други лекарствени продукти</w:t>
            </w:r>
          </w:p>
        </w:tc>
        <w:tc>
          <w:tcPr>
            <w:tcW w:w="1890" w:type="dxa"/>
          </w:tcPr>
          <w:p w14:paraId="0D1FB711" w14:textId="7C835346" w:rsidR="00841991" w:rsidRPr="00841991" w:rsidRDefault="00841991" w:rsidP="00841991">
            <w:pPr>
              <w:rPr>
                <w:rFonts w:cs="Arial"/>
              </w:rPr>
            </w:pPr>
            <w:r w:rsidRPr="00841991">
              <w:rPr>
                <w:rFonts w:cs="Arial"/>
                <w:szCs w:val="20"/>
              </w:rPr>
              <w:t xml:space="preserve">12,5 </w:t>
            </w:r>
            <w:r w:rsidRPr="00841991">
              <w:rPr>
                <w:rFonts w:cs="Arial"/>
                <w:szCs w:val="20"/>
                <w:lang w:val="en-US"/>
              </w:rPr>
              <w:t>mg</w:t>
            </w:r>
            <w:r w:rsidRPr="00841991">
              <w:rPr>
                <w:rFonts w:cs="Arial"/>
                <w:szCs w:val="20"/>
              </w:rPr>
              <w:t xml:space="preserve">/ден (приемани като 25 </w:t>
            </w:r>
            <w:r w:rsidRPr="00841991">
              <w:rPr>
                <w:rFonts w:cs="Arial"/>
                <w:szCs w:val="20"/>
                <w:lang w:val="en-US"/>
              </w:rPr>
              <w:t>mg</w:t>
            </w:r>
            <w:r w:rsidRPr="00841991">
              <w:rPr>
                <w:rFonts w:cs="Arial"/>
                <w:szCs w:val="20"/>
                <w:lang w:val="ru-RU"/>
              </w:rPr>
              <w:t xml:space="preserve"> </w:t>
            </w:r>
            <w:r w:rsidRPr="00841991">
              <w:rPr>
                <w:rFonts w:cs="Arial"/>
                <w:szCs w:val="20"/>
              </w:rPr>
              <w:t>през ден)</w:t>
            </w:r>
          </w:p>
        </w:tc>
        <w:tc>
          <w:tcPr>
            <w:tcW w:w="1888" w:type="dxa"/>
          </w:tcPr>
          <w:p w14:paraId="14BEAC7E" w14:textId="551E9652" w:rsidR="00841991" w:rsidRPr="00841991" w:rsidRDefault="00841991" w:rsidP="00841991">
            <w:pPr>
              <w:rPr>
                <w:rFonts w:cs="Arial"/>
              </w:rPr>
            </w:pPr>
            <w:r w:rsidRPr="00841991">
              <w:rPr>
                <w:rFonts w:cs="Arial"/>
                <w:szCs w:val="20"/>
              </w:rPr>
              <w:t xml:space="preserve">25 </w:t>
            </w:r>
            <w:r w:rsidRPr="00841991">
              <w:rPr>
                <w:rFonts w:cs="Arial"/>
                <w:szCs w:val="20"/>
                <w:lang w:val="en-US"/>
              </w:rPr>
              <w:t>mg</w:t>
            </w:r>
            <w:r w:rsidRPr="00841991">
              <w:rPr>
                <w:rFonts w:cs="Arial"/>
                <w:szCs w:val="20"/>
              </w:rPr>
              <w:t>/ден (веднъж дневно)</w:t>
            </w:r>
          </w:p>
        </w:tc>
        <w:tc>
          <w:tcPr>
            <w:tcW w:w="1888" w:type="dxa"/>
          </w:tcPr>
          <w:p w14:paraId="71EC22C8" w14:textId="1179A53A"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/ден (веднъж дневно или като два приема)</w:t>
            </w:r>
          </w:p>
        </w:tc>
        <w:tc>
          <w:tcPr>
            <w:tcW w:w="1908" w:type="dxa"/>
            <w:vAlign w:val="bottom"/>
          </w:tcPr>
          <w:p w14:paraId="02C468F5" w14:textId="77777777"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lang w:val="ru-RU"/>
              </w:rPr>
              <w:t>/</w:t>
            </w:r>
            <w:r w:rsidRPr="00841991">
              <w:rPr>
                <w:rFonts w:cs="Arial"/>
                <w:szCs w:val="20"/>
              </w:rPr>
              <w:t>ден обичайна таргетна доза за оптимален отговор (веднъж дневно или в два приема)</w:t>
            </w:r>
          </w:p>
          <w:p w14:paraId="0AFF37AA" w14:textId="43FB2C09" w:rsidR="00841991" w:rsidRPr="00841991" w:rsidRDefault="00841991" w:rsidP="00841991">
            <w:pPr>
              <w:rPr>
                <w:rFonts w:cs="Arial"/>
              </w:rPr>
            </w:pPr>
            <w:r w:rsidRPr="00841991">
              <w:rPr>
                <w:rFonts w:cs="Arial"/>
                <w:szCs w:val="20"/>
              </w:rPr>
              <w:t xml:space="preserve">В зависимост от клиничния отговор може да се приложи максимална доза от 200 </w:t>
            </w:r>
            <w:r w:rsidRPr="00841991">
              <w:rPr>
                <w:rFonts w:cs="Arial"/>
                <w:szCs w:val="20"/>
                <w:lang w:val="en-US"/>
              </w:rPr>
              <w:t>mg</w:t>
            </w:r>
            <w:r w:rsidRPr="00841991">
              <w:rPr>
                <w:rFonts w:cs="Arial"/>
                <w:szCs w:val="20"/>
                <w:lang w:val="ru-RU"/>
              </w:rPr>
              <w:t xml:space="preserve">/ </w:t>
            </w:r>
            <w:r w:rsidRPr="00841991">
              <w:rPr>
                <w:rFonts w:cs="Arial"/>
                <w:szCs w:val="20"/>
              </w:rPr>
              <w:t>ден.</w:t>
            </w:r>
          </w:p>
        </w:tc>
      </w:tr>
      <w:tr w:rsidR="00841991" w14:paraId="30082D09" w14:textId="77777777" w:rsidTr="00A9735A">
        <w:tc>
          <w:tcPr>
            <w:tcW w:w="9576" w:type="dxa"/>
            <w:gridSpan w:val="5"/>
          </w:tcPr>
          <w:p w14:paraId="0E92C7D0" w14:textId="60B37C34" w:rsidR="00841991" w:rsidRPr="00841991" w:rsidRDefault="00841991" w:rsidP="00841991">
            <w:pPr>
              <w:rPr>
                <w:rFonts w:cs="Arial"/>
              </w:rPr>
            </w:pPr>
            <w:r w:rsidRPr="00841991">
              <w:rPr>
                <w:rFonts w:cs="Arial"/>
                <w:b/>
                <w:bCs/>
                <w:szCs w:val="20"/>
              </w:rPr>
              <w:t xml:space="preserve">Комбинирана терапия БЕЗ валпроат и С индуктори на глюкуронирането на ламотригин </w:t>
            </w:r>
            <w:r w:rsidRPr="00841991">
              <w:rPr>
                <w:rFonts w:cs="Arial"/>
                <w:szCs w:val="20"/>
              </w:rPr>
              <w:t>(вижте точка 4.5)</w:t>
            </w:r>
          </w:p>
        </w:tc>
      </w:tr>
      <w:tr w:rsidR="00841991" w14:paraId="09374967" w14:textId="77777777" w:rsidTr="00841991">
        <w:tc>
          <w:tcPr>
            <w:tcW w:w="2002" w:type="dxa"/>
            <w:vAlign w:val="bottom"/>
          </w:tcPr>
          <w:p w14:paraId="1412D95B" w14:textId="77777777" w:rsidR="00841991" w:rsidRPr="00841991" w:rsidRDefault="00841991" w:rsidP="00841991">
            <w:pPr>
              <w:rPr>
                <w:rFonts w:cs="Arial"/>
              </w:rPr>
            </w:pPr>
            <w:r w:rsidRPr="00841991">
              <w:rPr>
                <w:rFonts w:cs="Arial"/>
                <w:szCs w:val="20"/>
              </w:rPr>
              <w:t>Тази схема на лечение трябва да бъде използвана без валпроат, но с:</w:t>
            </w:r>
          </w:p>
          <w:p w14:paraId="44B48E22" w14:textId="30F42C75"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1890" w:type="dxa"/>
          </w:tcPr>
          <w:p w14:paraId="5DBD7C5A" w14:textId="716C4D72" w:rsidR="00841991" w:rsidRPr="00841991" w:rsidRDefault="00841991" w:rsidP="00841991">
            <w:pPr>
              <w:rPr>
                <w:rFonts w:cs="Arial"/>
              </w:rPr>
            </w:pPr>
            <w:r w:rsidRPr="00841991">
              <w:rPr>
                <w:rFonts w:cs="Arial"/>
                <w:szCs w:val="20"/>
              </w:rPr>
              <w:t xml:space="preserve">50 </w:t>
            </w:r>
            <w:r w:rsidRPr="00841991">
              <w:rPr>
                <w:rFonts w:cs="Arial"/>
                <w:szCs w:val="20"/>
                <w:lang w:val="en-US"/>
              </w:rPr>
              <w:t>mg</w:t>
            </w:r>
            <w:r w:rsidRPr="00841991">
              <w:rPr>
                <w:rFonts w:cs="Arial"/>
                <w:szCs w:val="20"/>
              </w:rPr>
              <w:t>/ден (веднъж дневно)</w:t>
            </w:r>
          </w:p>
        </w:tc>
        <w:tc>
          <w:tcPr>
            <w:tcW w:w="1888" w:type="dxa"/>
          </w:tcPr>
          <w:p w14:paraId="495865E8" w14:textId="62E40925"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 (разделени в два приема)</w:t>
            </w:r>
          </w:p>
        </w:tc>
        <w:tc>
          <w:tcPr>
            <w:tcW w:w="1888" w:type="dxa"/>
          </w:tcPr>
          <w:p w14:paraId="613FBEA9" w14:textId="3029CE21"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 (разделени в два</w:t>
            </w:r>
          </w:p>
          <w:p w14:paraId="5F4A4D9F" w14:textId="65823AA6" w:rsidR="00841991" w:rsidRPr="00841991" w:rsidRDefault="00841991" w:rsidP="00841991">
            <w:pPr>
              <w:rPr>
                <w:rFonts w:cs="Arial"/>
              </w:rPr>
            </w:pPr>
            <w:r w:rsidRPr="00841991">
              <w:rPr>
                <w:rFonts w:cs="Arial"/>
                <w:szCs w:val="20"/>
              </w:rPr>
              <w:t>приема)</w:t>
            </w:r>
          </w:p>
        </w:tc>
        <w:tc>
          <w:tcPr>
            <w:tcW w:w="1908" w:type="dxa"/>
            <w:vAlign w:val="bottom"/>
          </w:tcPr>
          <w:p w14:paraId="5010E9AA" w14:textId="537E12A8"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 през седмица 6, при нужда повишаване до обичайната</w:t>
            </w:r>
          </w:p>
          <w:p w14:paraId="33E10629" w14:textId="1280FE06" w:rsidR="00841991" w:rsidRPr="00841991" w:rsidRDefault="00841991" w:rsidP="00841991">
            <w:pPr>
              <w:rPr>
                <w:rFonts w:cs="Arial"/>
              </w:rPr>
            </w:pPr>
            <w:r w:rsidRPr="00841991">
              <w:rPr>
                <w:rFonts w:cs="Arial"/>
                <w:szCs w:val="20"/>
              </w:rPr>
              <w:t xml:space="preserve">таргетна доза от 400 </w:t>
            </w:r>
            <w:r w:rsidRPr="00841991">
              <w:rPr>
                <w:rFonts w:cs="Arial"/>
                <w:szCs w:val="20"/>
                <w:lang w:val="en-US"/>
              </w:rPr>
              <w:t>mg</w:t>
            </w:r>
            <w:r w:rsidRPr="00841991">
              <w:rPr>
                <w:rFonts w:cs="Arial"/>
                <w:szCs w:val="20"/>
              </w:rPr>
              <w:t>/ден през</w:t>
            </w:r>
          </w:p>
          <w:p w14:paraId="4090AC85" w14:textId="120F6EC1" w:rsidR="00841991" w:rsidRPr="00841991" w:rsidRDefault="00841991" w:rsidP="00841991">
            <w:pPr>
              <w:rPr>
                <w:rFonts w:eastAsia="Times New Roman" w:cs="Arial"/>
                <w:szCs w:val="24"/>
              </w:rPr>
            </w:pPr>
            <w:r w:rsidRPr="00841991">
              <w:rPr>
                <w:rFonts w:cs="Arial"/>
                <w:szCs w:val="20"/>
              </w:rPr>
              <w:t xml:space="preserve">седмица 7 за постигане на оптимален отговор </w:t>
            </w:r>
            <w:r w:rsidRPr="00841991">
              <w:rPr>
                <w:rFonts w:eastAsia="Times New Roman" w:cs="Arial"/>
                <w:color w:val="000000"/>
                <w:szCs w:val="20"/>
                <w:lang w:eastAsia="bg-BG"/>
              </w:rPr>
              <w:t>(разделени в два приема)</w:t>
            </w:r>
          </w:p>
        </w:tc>
      </w:tr>
      <w:tr w:rsidR="00841991" w14:paraId="6A0DBAF6" w14:textId="77777777" w:rsidTr="00A9735A">
        <w:tc>
          <w:tcPr>
            <w:tcW w:w="9576" w:type="dxa"/>
            <w:gridSpan w:val="5"/>
          </w:tcPr>
          <w:p w14:paraId="42B9B97D" w14:textId="725A861C" w:rsidR="00841991" w:rsidRPr="00841991" w:rsidRDefault="00841991" w:rsidP="00841991">
            <w:pPr>
              <w:rPr>
                <w:rFonts w:cs="Arial"/>
              </w:rPr>
            </w:pPr>
            <w:r w:rsidRPr="00841991">
              <w:rPr>
                <w:rFonts w:cs="Arial"/>
                <w:szCs w:val="20"/>
              </w:rPr>
              <w:t xml:space="preserve">При пациенти, приемащи лекарствени продукти, за които не са известни фармакокинетични взаимодействия с ламотригин (вижте точка 4.5), трябва да се </w:t>
            </w:r>
            <w:r w:rsidRPr="00841991">
              <w:rPr>
                <w:rFonts w:cs="Arial"/>
                <w:szCs w:val="20"/>
              </w:rPr>
              <w:lastRenderedPageBreak/>
              <w:t>използва схема на лечение като препоръчваната за ламотригин с едновременен прием на валпроат.</w:t>
            </w:r>
          </w:p>
        </w:tc>
      </w:tr>
    </w:tbl>
    <w:p w14:paraId="4516DAE3" w14:textId="3DF69070" w:rsidR="00841991" w:rsidRDefault="00841991" w:rsidP="00841991"/>
    <w:p w14:paraId="3A42B24D" w14:textId="77777777"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*Таргетната стабилизираща доза варира според клиничния отговор.</w:t>
      </w:r>
    </w:p>
    <w:p w14:paraId="4C2873B9" w14:textId="77777777" w:rsidR="00841991" w:rsidRPr="00841991" w:rsidRDefault="00841991" w:rsidP="00841991">
      <w:pPr>
        <w:spacing w:line="240" w:lineRule="auto"/>
        <w:rPr>
          <w:rFonts w:eastAsia="Times New Roman" w:cs="Arial"/>
          <w:i/>
          <w:iCs/>
          <w:color w:val="000000"/>
          <w:szCs w:val="20"/>
          <w:lang w:eastAsia="bg-BG"/>
        </w:rPr>
      </w:pPr>
    </w:p>
    <w:p w14:paraId="2BBF14DB" w14:textId="1813D6E9"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370FEEEE" w14:textId="46EC5A32" w:rsidR="00841991" w:rsidRDefault="00841991" w:rsidP="00841991">
      <w:pPr>
        <w:rPr>
          <w:rFonts w:ascii="Times New Roman" w:eastAsia="Times New Roman" w:hAnsi="Times New Roman" w:cs="Times New Roman"/>
          <w:color w:val="000000"/>
          <w:sz w:val="20"/>
          <w:szCs w:val="20"/>
          <w:u w:val="single"/>
          <w:lang w:eastAsia="bg-BG"/>
        </w:rPr>
      </w:pPr>
      <w:r w:rsidRPr="00841991">
        <w:rPr>
          <w:rFonts w:eastAsia="Times New Roman" w:cs="Arial"/>
          <w:color w:val="000000"/>
          <w:szCs w:val="20"/>
          <w:lang w:eastAsia="bg-BG"/>
        </w:rPr>
        <w:t xml:space="preserve">След достигане на таргетната дневна поддържаща стабилизираща доза приемът на другите лекарствени продукти може да бъде </w:t>
      </w:r>
      <w:r w:rsidRPr="00841991">
        <w:rPr>
          <w:rFonts w:eastAsia="Times New Roman" w:cs="Arial"/>
          <w:color w:val="000000"/>
          <w:szCs w:val="20"/>
          <w:u w:val="single"/>
          <w:lang w:eastAsia="bg-BG"/>
        </w:rPr>
        <w:t>преустановен както е посочено по-долу.</w:t>
      </w:r>
    </w:p>
    <w:p w14:paraId="744D0FC5" w14:textId="1449351B" w:rsidR="00841991" w:rsidRDefault="00841991" w:rsidP="00841991"/>
    <w:tbl>
      <w:tblPr>
        <w:tblStyle w:val="TableGrid"/>
        <w:tblW w:w="0" w:type="auto"/>
        <w:tblLook w:val="04A0" w:firstRow="1" w:lastRow="0" w:firstColumn="1" w:lastColumn="0" w:noHBand="0" w:noVBand="1"/>
      </w:tblPr>
      <w:tblGrid>
        <w:gridCol w:w="2045"/>
        <w:gridCol w:w="1986"/>
        <w:gridCol w:w="1881"/>
        <w:gridCol w:w="1654"/>
        <w:gridCol w:w="1784"/>
      </w:tblGrid>
      <w:tr w:rsidR="00841991" w14:paraId="470AB5D9" w14:textId="77777777" w:rsidTr="00841991">
        <w:tc>
          <w:tcPr>
            <w:tcW w:w="1915" w:type="dxa"/>
          </w:tcPr>
          <w:p w14:paraId="3E6E53CC" w14:textId="7073DE95" w:rsidR="00841991" w:rsidRPr="00841991" w:rsidRDefault="00841991" w:rsidP="00841991">
            <w:pPr>
              <w:rPr>
                <w:rFonts w:cs="Arial"/>
              </w:rPr>
            </w:pPr>
            <w:r w:rsidRPr="00841991">
              <w:rPr>
                <w:rFonts w:cs="Arial"/>
                <w:szCs w:val="20"/>
              </w:rPr>
              <w:t>Схема на лечение</w:t>
            </w:r>
          </w:p>
        </w:tc>
        <w:tc>
          <w:tcPr>
            <w:tcW w:w="1915" w:type="dxa"/>
          </w:tcPr>
          <w:p w14:paraId="299181A4" w14:textId="282EE50E" w:rsidR="00841991" w:rsidRPr="00841991" w:rsidRDefault="00841991" w:rsidP="00841991">
            <w:pPr>
              <w:rPr>
                <w:rFonts w:cs="Arial"/>
              </w:rPr>
            </w:pPr>
            <w:r w:rsidRPr="00841991">
              <w:rPr>
                <w:rFonts w:cs="Arial"/>
                <w:szCs w:val="20"/>
              </w:rPr>
              <w:t>Настояща стабилизираща доза на ламотригин (преди преустановяване на приема)</w:t>
            </w:r>
          </w:p>
        </w:tc>
        <w:tc>
          <w:tcPr>
            <w:tcW w:w="1915" w:type="dxa"/>
          </w:tcPr>
          <w:p w14:paraId="2A16055B" w14:textId="57DE9D74" w:rsidR="00841991" w:rsidRPr="00841991" w:rsidRDefault="00841991" w:rsidP="00841991">
            <w:pPr>
              <w:rPr>
                <w:rFonts w:cs="Arial"/>
              </w:rPr>
            </w:pPr>
            <w:r>
              <w:rPr>
                <w:rFonts w:cs="Arial"/>
                <w:szCs w:val="20"/>
              </w:rPr>
              <w:t xml:space="preserve">Седмица </w:t>
            </w:r>
            <w:r w:rsidRPr="00841991">
              <w:rPr>
                <w:rFonts w:cs="Arial"/>
                <w:szCs w:val="20"/>
              </w:rPr>
              <w:t>1</w:t>
            </w:r>
          </w:p>
          <w:p w14:paraId="4E2743D3" w14:textId="29D84189" w:rsidR="00841991" w:rsidRPr="00841991" w:rsidRDefault="00841991" w:rsidP="00841991">
            <w:pPr>
              <w:rPr>
                <w:rFonts w:cs="Arial"/>
              </w:rPr>
            </w:pPr>
            <w:r w:rsidRPr="00841991">
              <w:rPr>
                <w:rFonts w:cs="Arial"/>
                <w:szCs w:val="20"/>
              </w:rPr>
              <w:t>(започваща с преустановява</w:t>
            </w:r>
            <w:r w:rsidRPr="00841991">
              <w:rPr>
                <w:rFonts w:cs="Arial"/>
                <w:szCs w:val="20"/>
              </w:rPr>
              <w:softHyphen/>
              <w:t>не на приема)</w:t>
            </w:r>
          </w:p>
        </w:tc>
        <w:tc>
          <w:tcPr>
            <w:tcW w:w="1915" w:type="dxa"/>
          </w:tcPr>
          <w:p w14:paraId="5361C7EC" w14:textId="6856F790" w:rsidR="00841991" w:rsidRPr="00841991" w:rsidRDefault="00841991" w:rsidP="00841991">
            <w:pPr>
              <w:rPr>
                <w:rFonts w:cs="Arial"/>
              </w:rPr>
            </w:pPr>
            <w:r w:rsidRPr="00841991">
              <w:rPr>
                <w:rFonts w:cs="Arial"/>
                <w:szCs w:val="20"/>
              </w:rPr>
              <w:t>Седмица 2</w:t>
            </w:r>
          </w:p>
        </w:tc>
        <w:tc>
          <w:tcPr>
            <w:tcW w:w="1916" w:type="dxa"/>
          </w:tcPr>
          <w:p w14:paraId="693F9381" w14:textId="6B64447F" w:rsidR="00841991" w:rsidRPr="00841991" w:rsidRDefault="00841991" w:rsidP="00841991">
            <w:pPr>
              <w:rPr>
                <w:rFonts w:cs="Arial"/>
              </w:rPr>
            </w:pPr>
            <w:r w:rsidRPr="00841991">
              <w:rPr>
                <w:rFonts w:cs="Arial"/>
                <w:szCs w:val="20"/>
              </w:rPr>
              <w:t>От седмица 3 нататък*</w:t>
            </w:r>
          </w:p>
        </w:tc>
      </w:tr>
      <w:tr w:rsidR="00841991" w14:paraId="726A0649" w14:textId="77777777" w:rsidTr="00A9735A">
        <w:tc>
          <w:tcPr>
            <w:tcW w:w="9576" w:type="dxa"/>
            <w:gridSpan w:val="5"/>
          </w:tcPr>
          <w:p w14:paraId="318C6777" w14:textId="0D89C237" w:rsidR="00841991" w:rsidRPr="00841991" w:rsidRDefault="00841991" w:rsidP="00841991">
            <w:pPr>
              <w:rPr>
                <w:rFonts w:cs="Arial"/>
              </w:rPr>
            </w:pPr>
            <w:r w:rsidRPr="00841991">
              <w:rPr>
                <w:rFonts w:eastAsia="Times New Roman" w:cs="Arial"/>
                <w:b/>
                <w:bCs/>
                <w:color w:val="000000"/>
                <w:szCs w:val="20"/>
                <w:lang w:eastAsia="bg-BG"/>
              </w:rPr>
              <w:t xml:space="preserve">Спиране на приема на валпроат </w:t>
            </w:r>
            <w:r w:rsidRPr="00841991">
              <w:rPr>
                <w:rFonts w:eastAsia="Times New Roman" w:cs="Arial"/>
                <w:color w:val="000000"/>
                <w:szCs w:val="20"/>
                <w:lang w:eastAsia="bg-BG"/>
              </w:rPr>
              <w:t>(инхибитор на глюкуронирането на ламотригин - вижте точка 4.5), в зависимост от първоначалната доза ламотригин</w:t>
            </w:r>
          </w:p>
        </w:tc>
      </w:tr>
      <w:tr w:rsidR="00841991" w14:paraId="1093B9F8" w14:textId="77777777" w:rsidTr="00A9735A">
        <w:tc>
          <w:tcPr>
            <w:tcW w:w="1915" w:type="dxa"/>
            <w:vMerge w:val="restart"/>
          </w:tcPr>
          <w:p w14:paraId="68D24E76" w14:textId="77777777" w:rsidR="00841991" w:rsidRPr="00841991" w:rsidRDefault="00841991" w:rsidP="00841991">
            <w:pPr>
              <w:rPr>
                <w:rFonts w:cs="Arial"/>
              </w:rPr>
            </w:pPr>
            <w:r w:rsidRPr="00841991">
              <w:rPr>
                <w:rFonts w:cs="Arial"/>
                <w:szCs w:val="20"/>
              </w:rPr>
              <w:t>След спиране на приема на валпроат стабилизиращата доза се удвоява, като</w:t>
            </w:r>
            <w:r w:rsidRPr="00841991">
              <w:rPr>
                <w:rFonts w:cs="Arial"/>
                <w:szCs w:val="20"/>
              </w:rPr>
              <w:tab/>
              <w:t>не</w:t>
            </w:r>
            <w:r w:rsidRPr="00841991">
              <w:rPr>
                <w:rFonts w:cs="Arial"/>
                <w:szCs w:val="20"/>
              </w:rPr>
              <w:tab/>
              <w:t>се</w:t>
            </w:r>
          </w:p>
          <w:p w14:paraId="6718FFF9" w14:textId="77777777" w:rsidR="00841991" w:rsidRPr="00841991" w:rsidRDefault="00841991" w:rsidP="00841991">
            <w:pPr>
              <w:rPr>
                <w:rFonts w:cs="Arial"/>
              </w:rPr>
            </w:pPr>
            <w:r w:rsidRPr="00841991">
              <w:rPr>
                <w:rFonts w:cs="Arial"/>
                <w:szCs w:val="20"/>
              </w:rPr>
              <w:t>превишава нарастването</w:t>
            </w:r>
            <w:r w:rsidRPr="00841991">
              <w:rPr>
                <w:rFonts w:cs="Arial"/>
                <w:szCs w:val="20"/>
              </w:rPr>
              <w:tab/>
              <w:t>с</w:t>
            </w:r>
          </w:p>
          <w:p w14:paraId="6880185A" w14:textId="4520DE01" w:rsidR="00841991" w:rsidRPr="00841991" w:rsidRDefault="00841991" w:rsidP="00841991">
            <w:pPr>
              <w:rPr>
                <w:rFonts w:cs="Arial"/>
              </w:rPr>
            </w:pPr>
            <w:r w:rsidRPr="00841991">
              <w:rPr>
                <w:rFonts w:cs="Arial"/>
                <w:szCs w:val="20"/>
              </w:rPr>
              <w:t xml:space="preserve">повече от 100 </w:t>
            </w:r>
            <w:r w:rsidRPr="00841991">
              <w:rPr>
                <w:rFonts w:cs="Arial"/>
                <w:szCs w:val="20"/>
                <w:lang w:val="en-US"/>
              </w:rPr>
              <w:t>mg</w:t>
            </w:r>
            <w:r w:rsidRPr="00841991">
              <w:rPr>
                <w:rFonts w:cs="Arial"/>
                <w:szCs w:val="20"/>
                <w:lang w:val="ru-RU"/>
              </w:rPr>
              <w:t xml:space="preserve">/ </w:t>
            </w:r>
            <w:r w:rsidRPr="00841991">
              <w:rPr>
                <w:rFonts w:cs="Arial"/>
                <w:szCs w:val="20"/>
              </w:rPr>
              <w:t>седмица</w:t>
            </w:r>
          </w:p>
        </w:tc>
        <w:tc>
          <w:tcPr>
            <w:tcW w:w="1915" w:type="dxa"/>
          </w:tcPr>
          <w:p w14:paraId="15331C06" w14:textId="18F1B172"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w:t>
            </w:r>
          </w:p>
        </w:tc>
        <w:tc>
          <w:tcPr>
            <w:tcW w:w="1915" w:type="dxa"/>
          </w:tcPr>
          <w:p w14:paraId="64C6D829" w14:textId="0B31172B"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3831" w:type="dxa"/>
            <w:gridSpan w:val="2"/>
          </w:tcPr>
          <w:p w14:paraId="5C1AF0C6" w14:textId="355C2C38" w:rsidR="00841991" w:rsidRPr="00841991" w:rsidRDefault="00841991" w:rsidP="00841991">
            <w:pPr>
              <w:rPr>
                <w:rFonts w:cs="Arial"/>
              </w:rPr>
            </w:pPr>
            <w:r w:rsidRPr="00841991">
              <w:rPr>
                <w:rFonts w:eastAsia="Times New Roman" w:cs="Arial"/>
                <w:color w:val="000000"/>
                <w:szCs w:val="20"/>
                <w:lang w:eastAsia="bg-BG"/>
              </w:rPr>
              <w:t xml:space="preserve">Поддържане на тази доза (200 </w:t>
            </w:r>
            <w:r w:rsidRPr="00841991">
              <w:rPr>
                <w:rFonts w:eastAsia="Times New Roman" w:cs="Arial"/>
                <w:color w:val="000000"/>
                <w:szCs w:val="20"/>
                <w:lang w:val="en-US"/>
              </w:rPr>
              <w:t>mg</w:t>
            </w:r>
            <w:r w:rsidRPr="00841991">
              <w:rPr>
                <w:rFonts w:eastAsia="Times New Roman" w:cs="Arial"/>
                <w:color w:val="000000"/>
                <w:szCs w:val="20"/>
                <w:lang w:eastAsia="bg-BG"/>
              </w:rPr>
              <w:t>/ден) (разделена в два приема)</w:t>
            </w:r>
          </w:p>
        </w:tc>
      </w:tr>
      <w:tr w:rsidR="00841991" w14:paraId="25D2E123" w14:textId="77777777" w:rsidTr="00841991">
        <w:tc>
          <w:tcPr>
            <w:tcW w:w="1915" w:type="dxa"/>
            <w:vMerge/>
          </w:tcPr>
          <w:p w14:paraId="0E521100" w14:textId="77777777" w:rsidR="00841991" w:rsidRPr="00841991" w:rsidRDefault="00841991" w:rsidP="00841991">
            <w:pPr>
              <w:rPr>
                <w:rFonts w:cs="Arial"/>
              </w:rPr>
            </w:pPr>
          </w:p>
        </w:tc>
        <w:tc>
          <w:tcPr>
            <w:tcW w:w="1915" w:type="dxa"/>
          </w:tcPr>
          <w:p w14:paraId="7D62DF6C" w14:textId="75527B4C"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55223BCD" w14:textId="78511907"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1D5D1432" w14:textId="4CC1A1EB"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6" w:type="dxa"/>
          </w:tcPr>
          <w:p w14:paraId="16DC8B26" w14:textId="3B6D8538" w:rsidR="00841991" w:rsidRPr="00841991" w:rsidRDefault="00841991" w:rsidP="00841991">
            <w:pPr>
              <w:rPr>
                <w:rFonts w:cs="Arial"/>
              </w:rPr>
            </w:pPr>
            <w:r w:rsidRPr="00841991">
              <w:rPr>
                <w:rFonts w:cs="Arial"/>
                <w:szCs w:val="20"/>
              </w:rPr>
              <w:t xml:space="preserve">Поддържане на тази доза (400 </w:t>
            </w:r>
            <w:r w:rsidRPr="00841991">
              <w:rPr>
                <w:rFonts w:cs="Arial"/>
                <w:szCs w:val="20"/>
                <w:lang w:val="en-US"/>
              </w:rPr>
              <w:t>mg</w:t>
            </w:r>
            <w:r w:rsidRPr="00841991">
              <w:rPr>
                <w:rFonts w:cs="Arial"/>
                <w:szCs w:val="20"/>
              </w:rPr>
              <w:t>/ден)</w:t>
            </w:r>
          </w:p>
        </w:tc>
      </w:tr>
      <w:tr w:rsidR="00841991" w14:paraId="7EE64CC9" w14:textId="77777777" w:rsidTr="00A9735A">
        <w:tc>
          <w:tcPr>
            <w:tcW w:w="9576" w:type="dxa"/>
            <w:gridSpan w:val="5"/>
          </w:tcPr>
          <w:p w14:paraId="75E34E3D" w14:textId="77777777" w:rsidR="00841991" w:rsidRPr="00841991" w:rsidRDefault="00841991" w:rsidP="00841991">
            <w:pPr>
              <w:spacing w:line="240" w:lineRule="auto"/>
              <w:rPr>
                <w:rFonts w:eastAsia="Times New Roman" w:cs="Arial"/>
                <w:szCs w:val="24"/>
              </w:rPr>
            </w:pPr>
            <w:r w:rsidRPr="00841991">
              <w:rPr>
                <w:rFonts w:eastAsia="Times New Roman" w:cs="Arial"/>
                <w:b/>
                <w:bCs/>
                <w:color w:val="000000"/>
                <w:szCs w:val="20"/>
                <w:lang w:eastAsia="bg-BG"/>
              </w:rPr>
              <w:t xml:space="preserve">Спиране на приема на индуктори на глюкуронирането на ламотригин </w:t>
            </w:r>
            <w:r w:rsidRPr="00841991">
              <w:rPr>
                <w:rFonts w:eastAsia="Times New Roman" w:cs="Arial"/>
                <w:color w:val="000000"/>
                <w:szCs w:val="20"/>
                <w:lang w:eastAsia="bg-BG"/>
              </w:rPr>
              <w:t>(вижте точка</w:t>
            </w:r>
          </w:p>
          <w:p w14:paraId="51673197" w14:textId="2C3D73C5" w:rsidR="00841991" w:rsidRPr="00841991" w:rsidRDefault="00841991" w:rsidP="00841991">
            <w:pPr>
              <w:rPr>
                <w:rFonts w:cs="Arial"/>
              </w:rPr>
            </w:pPr>
            <w:r w:rsidRPr="00841991">
              <w:rPr>
                <w:rFonts w:eastAsia="Times New Roman" w:cs="Arial"/>
                <w:color w:val="000000"/>
                <w:szCs w:val="20"/>
                <w:lang w:eastAsia="bg-BG"/>
              </w:rPr>
              <w:t>4.5), в зависимост от първоначалната доза ламотригин</w:t>
            </w:r>
          </w:p>
        </w:tc>
      </w:tr>
      <w:tr w:rsidR="00841991" w14:paraId="00CF61E0" w14:textId="77777777" w:rsidTr="00841991">
        <w:tc>
          <w:tcPr>
            <w:tcW w:w="1915" w:type="dxa"/>
            <w:vMerge w:val="restart"/>
          </w:tcPr>
          <w:p w14:paraId="18758274" w14:textId="77777777" w:rsidR="00841991" w:rsidRPr="00841991" w:rsidRDefault="00841991" w:rsidP="00841991">
            <w:pPr>
              <w:rPr>
                <w:rFonts w:cs="Arial"/>
              </w:rPr>
            </w:pPr>
            <w:r w:rsidRPr="00841991">
              <w:rPr>
                <w:rFonts w:cs="Arial"/>
                <w:szCs w:val="20"/>
              </w:rPr>
              <w:t>Тази схема на лечение трябва да бъде използвана след спиране на приема на:</w:t>
            </w:r>
          </w:p>
          <w:p w14:paraId="641CC08A" w14:textId="6F1A54A2" w:rsidR="00841991" w:rsidRPr="00841991" w:rsidRDefault="00841991" w:rsidP="00841991">
            <w:pPr>
              <w:rPr>
                <w:rFonts w:cs="Arial"/>
              </w:rPr>
            </w:pPr>
            <w:r w:rsidRPr="00841991">
              <w:rPr>
                <w:rFonts w:cs="Arial"/>
                <w:szCs w:val="20"/>
              </w:rPr>
              <w:t>фенитоин карбамазепин фенобарбитон примидон рифампицин лопинавир/ ритонавир</w:t>
            </w:r>
          </w:p>
        </w:tc>
        <w:tc>
          <w:tcPr>
            <w:tcW w:w="1915" w:type="dxa"/>
          </w:tcPr>
          <w:p w14:paraId="3E136259" w14:textId="602DC967"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5" w:type="dxa"/>
          </w:tcPr>
          <w:p w14:paraId="08B0BF9C" w14:textId="57946CAD" w:rsidR="00841991" w:rsidRPr="00841991" w:rsidRDefault="00841991" w:rsidP="00841991">
            <w:pPr>
              <w:rPr>
                <w:rFonts w:cs="Arial"/>
              </w:rPr>
            </w:pPr>
            <w:r w:rsidRPr="00841991">
              <w:rPr>
                <w:rFonts w:cs="Arial"/>
                <w:szCs w:val="20"/>
              </w:rPr>
              <w:t xml:space="preserve">400 </w:t>
            </w:r>
            <w:r w:rsidRPr="00841991">
              <w:rPr>
                <w:rFonts w:cs="Arial"/>
                <w:szCs w:val="20"/>
                <w:lang w:val="en-US"/>
              </w:rPr>
              <w:t>mg</w:t>
            </w:r>
            <w:r w:rsidRPr="00841991">
              <w:rPr>
                <w:rFonts w:cs="Arial"/>
                <w:szCs w:val="20"/>
              </w:rPr>
              <w:t>/ден</w:t>
            </w:r>
          </w:p>
        </w:tc>
        <w:tc>
          <w:tcPr>
            <w:tcW w:w="1915" w:type="dxa"/>
          </w:tcPr>
          <w:p w14:paraId="7FB37DE3" w14:textId="741A1724"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6" w:type="dxa"/>
          </w:tcPr>
          <w:p w14:paraId="23F172D7" w14:textId="27F6A84E"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r>
      <w:tr w:rsidR="00841991" w14:paraId="32B7B925" w14:textId="77777777" w:rsidTr="00841991">
        <w:tc>
          <w:tcPr>
            <w:tcW w:w="1915" w:type="dxa"/>
            <w:vMerge/>
          </w:tcPr>
          <w:p w14:paraId="2EEA7198" w14:textId="77777777" w:rsidR="00841991" w:rsidRPr="00841991" w:rsidRDefault="00841991" w:rsidP="00841991">
            <w:pPr>
              <w:rPr>
                <w:rFonts w:cs="Arial"/>
              </w:rPr>
            </w:pPr>
          </w:p>
        </w:tc>
        <w:tc>
          <w:tcPr>
            <w:tcW w:w="1915" w:type="dxa"/>
          </w:tcPr>
          <w:p w14:paraId="731495EE" w14:textId="3CA3854A"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77C8BC43" w14:textId="683D3043" w:rsidR="00841991" w:rsidRPr="00841991" w:rsidRDefault="00841991" w:rsidP="00841991">
            <w:pPr>
              <w:rPr>
                <w:rFonts w:cs="Arial"/>
              </w:rPr>
            </w:pPr>
            <w:r w:rsidRPr="00841991">
              <w:rPr>
                <w:rFonts w:cs="Arial"/>
                <w:szCs w:val="20"/>
              </w:rPr>
              <w:t xml:space="preserve">300 </w:t>
            </w:r>
            <w:r w:rsidRPr="00841991">
              <w:rPr>
                <w:rFonts w:cs="Arial"/>
                <w:szCs w:val="20"/>
                <w:lang w:val="en-US"/>
              </w:rPr>
              <w:t>mg</w:t>
            </w:r>
            <w:r w:rsidRPr="00841991">
              <w:rPr>
                <w:rFonts w:cs="Arial"/>
                <w:szCs w:val="20"/>
              </w:rPr>
              <w:t>/ден</w:t>
            </w:r>
          </w:p>
        </w:tc>
        <w:tc>
          <w:tcPr>
            <w:tcW w:w="1915" w:type="dxa"/>
          </w:tcPr>
          <w:p w14:paraId="6AEB550B" w14:textId="0E716604" w:rsidR="00841991" w:rsidRPr="00841991" w:rsidRDefault="00841991" w:rsidP="00841991">
            <w:pPr>
              <w:rPr>
                <w:rFonts w:cs="Arial"/>
              </w:rPr>
            </w:pPr>
            <w:r w:rsidRPr="00841991">
              <w:rPr>
                <w:rFonts w:cs="Arial"/>
                <w:szCs w:val="20"/>
              </w:rPr>
              <w:t xml:space="preserve">225 </w:t>
            </w:r>
            <w:r w:rsidRPr="00841991">
              <w:rPr>
                <w:rFonts w:cs="Arial"/>
                <w:szCs w:val="20"/>
                <w:lang w:val="en-US"/>
              </w:rPr>
              <w:t>mg</w:t>
            </w:r>
            <w:r w:rsidRPr="00841991">
              <w:rPr>
                <w:rFonts w:cs="Arial"/>
                <w:szCs w:val="20"/>
              </w:rPr>
              <w:t>/ден</w:t>
            </w:r>
          </w:p>
        </w:tc>
        <w:tc>
          <w:tcPr>
            <w:tcW w:w="1916" w:type="dxa"/>
          </w:tcPr>
          <w:p w14:paraId="612A66D4" w14:textId="2F635B9B" w:rsidR="00841991" w:rsidRPr="00841991" w:rsidRDefault="00841991" w:rsidP="00841991">
            <w:pPr>
              <w:rPr>
                <w:rFonts w:cs="Arial"/>
              </w:rPr>
            </w:pPr>
            <w:r w:rsidRPr="00841991">
              <w:rPr>
                <w:rFonts w:cs="Arial"/>
                <w:szCs w:val="20"/>
              </w:rPr>
              <w:t xml:space="preserve">150 </w:t>
            </w:r>
            <w:r w:rsidRPr="00841991">
              <w:rPr>
                <w:rFonts w:cs="Arial"/>
                <w:szCs w:val="20"/>
                <w:lang w:val="en-US"/>
              </w:rPr>
              <w:t>mg</w:t>
            </w:r>
            <w:r w:rsidRPr="00841991">
              <w:rPr>
                <w:rFonts w:cs="Arial"/>
                <w:szCs w:val="20"/>
              </w:rPr>
              <w:t>/ден</w:t>
            </w:r>
          </w:p>
        </w:tc>
      </w:tr>
      <w:tr w:rsidR="00841991" w14:paraId="0746F2F8" w14:textId="77777777" w:rsidTr="00841991">
        <w:tc>
          <w:tcPr>
            <w:tcW w:w="1915" w:type="dxa"/>
            <w:vMerge/>
          </w:tcPr>
          <w:p w14:paraId="4D468A05" w14:textId="77777777" w:rsidR="00841991" w:rsidRPr="00841991" w:rsidRDefault="00841991" w:rsidP="00841991">
            <w:pPr>
              <w:rPr>
                <w:rFonts w:cs="Arial"/>
              </w:rPr>
            </w:pPr>
          </w:p>
        </w:tc>
        <w:tc>
          <w:tcPr>
            <w:tcW w:w="1915" w:type="dxa"/>
          </w:tcPr>
          <w:p w14:paraId="2629C9E5" w14:textId="11BE0CF9"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2C331522" w14:textId="430460C2" w:rsidR="00841991" w:rsidRPr="00841991" w:rsidRDefault="00841991" w:rsidP="00841991">
            <w:pPr>
              <w:rPr>
                <w:rFonts w:cs="Arial"/>
              </w:rPr>
            </w:pPr>
            <w:r w:rsidRPr="00841991">
              <w:rPr>
                <w:rFonts w:cs="Arial"/>
                <w:szCs w:val="20"/>
              </w:rPr>
              <w:t xml:space="preserve">200 </w:t>
            </w:r>
            <w:r w:rsidRPr="00841991">
              <w:rPr>
                <w:rFonts w:cs="Arial"/>
                <w:szCs w:val="20"/>
                <w:lang w:val="en-US"/>
              </w:rPr>
              <w:t>mg</w:t>
            </w:r>
            <w:r w:rsidRPr="00841991">
              <w:rPr>
                <w:rFonts w:cs="Arial"/>
                <w:szCs w:val="20"/>
              </w:rPr>
              <w:t>/ден</w:t>
            </w:r>
          </w:p>
        </w:tc>
        <w:tc>
          <w:tcPr>
            <w:tcW w:w="1915" w:type="dxa"/>
          </w:tcPr>
          <w:p w14:paraId="3EBE8302" w14:textId="1A00C413" w:rsidR="00841991" w:rsidRPr="00841991" w:rsidRDefault="00841991" w:rsidP="00841991">
            <w:pPr>
              <w:rPr>
                <w:rFonts w:cs="Arial"/>
              </w:rPr>
            </w:pPr>
            <w:r w:rsidRPr="00841991">
              <w:rPr>
                <w:rFonts w:cs="Arial"/>
                <w:szCs w:val="20"/>
              </w:rPr>
              <w:t xml:space="preserve">150 </w:t>
            </w:r>
            <w:r w:rsidRPr="00841991">
              <w:rPr>
                <w:rFonts w:cs="Arial"/>
                <w:szCs w:val="20"/>
                <w:lang w:val="en-US"/>
              </w:rPr>
              <w:t>mg</w:t>
            </w:r>
            <w:r w:rsidRPr="00841991">
              <w:rPr>
                <w:rFonts w:cs="Arial"/>
                <w:szCs w:val="20"/>
              </w:rPr>
              <w:t>/ден</w:t>
            </w:r>
          </w:p>
        </w:tc>
        <w:tc>
          <w:tcPr>
            <w:tcW w:w="1916" w:type="dxa"/>
          </w:tcPr>
          <w:p w14:paraId="2DB4AC69" w14:textId="2A6EDF53" w:rsidR="00841991" w:rsidRPr="00841991" w:rsidRDefault="00841991" w:rsidP="00841991">
            <w:pPr>
              <w:rPr>
                <w:rFonts w:cs="Arial"/>
              </w:rPr>
            </w:pPr>
            <w:r w:rsidRPr="00841991">
              <w:rPr>
                <w:rFonts w:cs="Arial"/>
                <w:szCs w:val="20"/>
              </w:rPr>
              <w:t xml:space="preserve">100 </w:t>
            </w:r>
            <w:r w:rsidRPr="00841991">
              <w:rPr>
                <w:rFonts w:cs="Arial"/>
                <w:szCs w:val="20"/>
                <w:lang w:val="en-US"/>
              </w:rPr>
              <w:t>mg</w:t>
            </w:r>
            <w:r w:rsidRPr="00841991">
              <w:rPr>
                <w:rFonts w:cs="Arial"/>
                <w:szCs w:val="20"/>
              </w:rPr>
              <w:t>/ден</w:t>
            </w:r>
          </w:p>
        </w:tc>
      </w:tr>
      <w:tr w:rsidR="00841991" w14:paraId="3CBDC9E9" w14:textId="77777777" w:rsidTr="00A9735A">
        <w:tc>
          <w:tcPr>
            <w:tcW w:w="9576" w:type="dxa"/>
            <w:gridSpan w:val="5"/>
          </w:tcPr>
          <w:p w14:paraId="6B447808" w14:textId="2D4DAB9B" w:rsidR="00841991" w:rsidRPr="00841991" w:rsidRDefault="00841991" w:rsidP="00841991">
            <w:pPr>
              <w:rPr>
                <w:rFonts w:cs="Arial"/>
              </w:rPr>
            </w:pPr>
            <w:r w:rsidRPr="00841991">
              <w:rPr>
                <w:rFonts w:eastAsia="Times New Roman" w:cs="Arial"/>
                <w:b/>
                <w:bCs/>
                <w:color w:val="000000"/>
                <w:szCs w:val="20"/>
                <w:lang w:eastAsia="bg-BG"/>
              </w:rPr>
              <w:t xml:space="preserve">Спиране на приема на лекарствени продукти, които НЕ инхибнрат или НЕ индуцират значително глюкуронирането на ламотригин </w:t>
            </w:r>
            <w:r w:rsidRPr="00841991">
              <w:rPr>
                <w:rFonts w:eastAsia="Times New Roman" w:cs="Arial"/>
                <w:color w:val="000000"/>
                <w:szCs w:val="20"/>
                <w:lang w:eastAsia="bg-BG"/>
              </w:rPr>
              <w:t>(вижте точка 4.5)</w:t>
            </w:r>
          </w:p>
        </w:tc>
      </w:tr>
      <w:tr w:rsidR="00841991" w14:paraId="3C08DE6A" w14:textId="77777777" w:rsidTr="00A9735A">
        <w:tc>
          <w:tcPr>
            <w:tcW w:w="1915" w:type="dxa"/>
          </w:tcPr>
          <w:p w14:paraId="440BF55E" w14:textId="77777777" w:rsidR="00841991" w:rsidRPr="00841991" w:rsidRDefault="00841991" w:rsidP="00841991">
            <w:pPr>
              <w:rPr>
                <w:rFonts w:eastAsia="Times New Roman" w:cs="Arial"/>
                <w:szCs w:val="24"/>
              </w:rPr>
            </w:pPr>
            <w:r w:rsidRPr="00841991">
              <w:rPr>
                <w:rFonts w:cs="Arial"/>
                <w:szCs w:val="20"/>
              </w:rPr>
              <w:lastRenderedPageBreak/>
              <w:t xml:space="preserve">Тази схема на лечение трябва да бъде използвана </w:t>
            </w:r>
            <w:r w:rsidRPr="00841991">
              <w:rPr>
                <w:rFonts w:eastAsia="Times New Roman" w:cs="Arial"/>
                <w:color w:val="000000"/>
                <w:szCs w:val="20"/>
                <w:lang w:eastAsia="bg-BG"/>
              </w:rPr>
              <w:t>при спиране на приема на други лекарствени продукти, които не инхибират или не индуцират значително</w:t>
            </w:r>
          </w:p>
          <w:p w14:paraId="57F7C4FD" w14:textId="19D0E500" w:rsidR="00841991" w:rsidRPr="00841991" w:rsidRDefault="00841991" w:rsidP="00841991">
            <w:pPr>
              <w:rPr>
                <w:rFonts w:cs="Arial"/>
              </w:rPr>
            </w:pPr>
            <w:r w:rsidRPr="00841991">
              <w:rPr>
                <w:rFonts w:eastAsia="Times New Roman" w:cs="Arial"/>
                <w:color w:val="000000"/>
                <w:szCs w:val="20"/>
                <w:lang w:eastAsia="bg-BG"/>
              </w:rPr>
              <w:t>глюкуронирането на ламотригин</w:t>
            </w:r>
          </w:p>
        </w:tc>
        <w:tc>
          <w:tcPr>
            <w:tcW w:w="7661" w:type="dxa"/>
            <w:gridSpan w:val="4"/>
          </w:tcPr>
          <w:p w14:paraId="79CE980F" w14:textId="77777777" w:rsidR="00841991" w:rsidRPr="00841991" w:rsidRDefault="00841991" w:rsidP="00841991">
            <w:pPr>
              <w:rPr>
                <w:rFonts w:cs="Arial"/>
              </w:rPr>
            </w:pPr>
            <w:r w:rsidRPr="00841991">
              <w:rPr>
                <w:rFonts w:cs="Arial"/>
                <w:szCs w:val="20"/>
              </w:rPr>
              <w:t xml:space="preserve">Поддържане на таргетната доза, достигната при повишаване на дозата (200 </w:t>
            </w:r>
            <w:r w:rsidRPr="00841991">
              <w:rPr>
                <w:rFonts w:cs="Arial"/>
                <w:szCs w:val="20"/>
                <w:lang w:val="en-US"/>
              </w:rPr>
              <w:t>mg</w:t>
            </w:r>
            <w:r w:rsidRPr="00841991">
              <w:rPr>
                <w:rFonts w:cs="Arial"/>
                <w:szCs w:val="20"/>
              </w:rPr>
              <w:t>/ден; разделена в два приема)</w:t>
            </w:r>
          </w:p>
          <w:p w14:paraId="237E36CB" w14:textId="05AC7EA0" w:rsidR="00841991" w:rsidRPr="00841991" w:rsidRDefault="00841991" w:rsidP="00841991">
            <w:pPr>
              <w:rPr>
                <w:rFonts w:cs="Arial"/>
              </w:rPr>
            </w:pPr>
            <w:r w:rsidRPr="00841991">
              <w:rPr>
                <w:rFonts w:cs="Arial"/>
                <w:szCs w:val="20"/>
              </w:rPr>
              <w:t xml:space="preserve">(дозов диапазон 100 - 400 </w:t>
            </w:r>
            <w:r w:rsidRPr="00841991">
              <w:rPr>
                <w:rFonts w:cs="Arial"/>
                <w:szCs w:val="20"/>
                <w:lang w:val="en-US"/>
              </w:rPr>
              <w:t>mg</w:t>
            </w:r>
            <w:r w:rsidRPr="00841991">
              <w:rPr>
                <w:rFonts w:cs="Arial"/>
                <w:szCs w:val="20"/>
              </w:rPr>
              <w:t>/ден)</w:t>
            </w:r>
          </w:p>
        </w:tc>
      </w:tr>
      <w:tr w:rsidR="00841991" w14:paraId="59F1573C" w14:textId="77777777" w:rsidTr="00A9735A">
        <w:tc>
          <w:tcPr>
            <w:tcW w:w="9576" w:type="dxa"/>
            <w:gridSpan w:val="5"/>
          </w:tcPr>
          <w:p w14:paraId="3B1CC654" w14:textId="0CF1B105" w:rsidR="00841991" w:rsidRPr="00841991" w:rsidRDefault="00841991" w:rsidP="00841991">
            <w:pPr>
              <w:rPr>
                <w:rFonts w:cs="Arial"/>
              </w:rPr>
            </w:pPr>
            <w:r w:rsidRPr="00841991">
              <w:rPr>
                <w:rFonts w:eastAsia="Times New Roman" w:cs="Arial"/>
                <w:color w:val="000000"/>
                <w:szCs w:val="20"/>
                <w:lang w:eastAsia="bg-BG"/>
              </w:rPr>
              <w:t>При пациенти, приемащи лекарствени продукти, за които не са известни фармакокинетични взаимодействия с ламотригин (вижте точка 4.5), схемата на лечение, препоръчвана за ламотригин е първоначално да се поддържа настоящата доза и лечението с ламотригин да се променя въз основа на клиничния отговор.</w:t>
            </w:r>
          </w:p>
        </w:tc>
      </w:tr>
    </w:tbl>
    <w:p w14:paraId="0397C80D" w14:textId="25112D83" w:rsidR="00841991" w:rsidRPr="00841991" w:rsidRDefault="00841991" w:rsidP="00841991">
      <w:pPr>
        <w:spacing w:line="240" w:lineRule="auto"/>
        <w:rPr>
          <w:rFonts w:eastAsia="Times New Roman" w:cs="Arial"/>
          <w:sz w:val="28"/>
          <w:szCs w:val="24"/>
        </w:rPr>
      </w:pPr>
      <w:r w:rsidRPr="00841991">
        <w:rPr>
          <w:rFonts w:eastAsia="Times New Roman" w:cs="Arial"/>
          <w:color w:val="000000"/>
          <w:szCs w:val="20"/>
          <w:lang w:eastAsia="bg-BG"/>
        </w:rPr>
        <w:t xml:space="preserve">*При необходимост дозата може да се повиши до 400 </w:t>
      </w:r>
      <w:r w:rsidRPr="00841991">
        <w:rPr>
          <w:rFonts w:eastAsia="Times New Roman" w:cs="Arial"/>
          <w:color w:val="000000"/>
          <w:szCs w:val="20"/>
          <w:lang w:val="en-US"/>
        </w:rPr>
        <w:t>mg</w:t>
      </w:r>
      <w:r w:rsidRPr="00841991">
        <w:rPr>
          <w:rFonts w:eastAsia="Times New Roman" w:cs="Arial"/>
          <w:color w:val="000000"/>
          <w:szCs w:val="20"/>
          <w:lang w:eastAsia="bg-BG"/>
        </w:rPr>
        <w:t>/ден.</w:t>
      </w:r>
    </w:p>
    <w:p w14:paraId="16C88133" w14:textId="77777777" w:rsidR="00841991" w:rsidRPr="00841991" w:rsidRDefault="00841991" w:rsidP="00841991">
      <w:pPr>
        <w:spacing w:line="240" w:lineRule="auto"/>
        <w:rPr>
          <w:rFonts w:eastAsia="Times New Roman" w:cs="Arial"/>
          <w:i/>
          <w:iCs/>
          <w:color w:val="000000"/>
          <w:szCs w:val="20"/>
          <w:lang w:eastAsia="bg-BG"/>
        </w:rPr>
      </w:pPr>
    </w:p>
    <w:p w14:paraId="70E244E8" w14:textId="78314F9F" w:rsidR="00841991" w:rsidRPr="00841991" w:rsidRDefault="00841991" w:rsidP="00841991">
      <w:pPr>
        <w:spacing w:line="240" w:lineRule="auto"/>
        <w:rPr>
          <w:rFonts w:eastAsia="Times New Roman" w:cs="Arial"/>
          <w:sz w:val="28"/>
          <w:szCs w:val="24"/>
        </w:rPr>
      </w:pPr>
      <w:r w:rsidRPr="00841991">
        <w:rPr>
          <w:rFonts w:eastAsia="Times New Roman" w:cs="Arial"/>
          <w:i/>
          <w:iCs/>
          <w:color w:val="000000"/>
          <w:szCs w:val="20"/>
          <w:lang w:eastAsia="bg-BG"/>
        </w:rPr>
        <w:t>Таблица 5: Възрастни пациенти на 18 и повече години - адаптиране на дневната доза на ламотригин след добавяне на други лекарствени продукти при лечение на биполярно разстройство</w:t>
      </w:r>
    </w:p>
    <w:p w14:paraId="6F45A476" w14:textId="50F2A05C" w:rsidR="00841991" w:rsidRDefault="00841991" w:rsidP="00841991">
      <w:pPr>
        <w:rPr>
          <w:rFonts w:eastAsia="Times New Roman" w:cs="Arial"/>
          <w:color w:val="000000"/>
          <w:szCs w:val="20"/>
          <w:lang w:eastAsia="bg-BG"/>
        </w:rPr>
      </w:pPr>
      <w:r w:rsidRPr="00841991">
        <w:rPr>
          <w:rFonts w:eastAsia="Times New Roman" w:cs="Arial"/>
          <w:color w:val="000000"/>
          <w:szCs w:val="20"/>
          <w:lang w:eastAsia="bg-BG"/>
        </w:rPr>
        <w:t>Няма клиничен опит в адаптирането на дневната доза ламотригин след добавяне на други лекарствени продукти. Въпреки това, въз основа на изпитвания за взаимодействия с други лекарствени продукти могат да бъдат направени следните препоръки:</w:t>
      </w:r>
    </w:p>
    <w:p w14:paraId="06FED5D9" w14:textId="795E92F0" w:rsidR="00841991" w:rsidRDefault="00841991" w:rsidP="00841991">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002"/>
        <w:gridCol w:w="1888"/>
        <w:gridCol w:w="1816"/>
        <w:gridCol w:w="1824"/>
        <w:gridCol w:w="1820"/>
      </w:tblGrid>
      <w:tr w:rsidR="00841991" w14:paraId="521E7030" w14:textId="77777777" w:rsidTr="00A9735A">
        <w:tc>
          <w:tcPr>
            <w:tcW w:w="2002" w:type="dxa"/>
          </w:tcPr>
          <w:p w14:paraId="0DCC4CA6" w14:textId="3D6A056C" w:rsidR="00841991" w:rsidRPr="00A9735A" w:rsidRDefault="00841991" w:rsidP="00841991">
            <w:pPr>
              <w:rPr>
                <w:rFonts w:eastAsia="Times New Roman" w:cs="Arial"/>
                <w:color w:val="000000"/>
                <w:lang w:eastAsia="bg-BG"/>
              </w:rPr>
            </w:pPr>
            <w:r w:rsidRPr="00A9735A">
              <w:rPr>
                <w:rFonts w:cs="Arial"/>
              </w:rPr>
              <w:t>Схема на лечение</w:t>
            </w:r>
          </w:p>
        </w:tc>
        <w:tc>
          <w:tcPr>
            <w:tcW w:w="1903" w:type="dxa"/>
            <w:vAlign w:val="bottom"/>
          </w:tcPr>
          <w:p w14:paraId="71A536BF" w14:textId="275ECA7D" w:rsidR="00841991" w:rsidRPr="00A9735A" w:rsidRDefault="00841991" w:rsidP="00841991">
            <w:pPr>
              <w:rPr>
                <w:rFonts w:eastAsia="Times New Roman" w:cs="Arial"/>
                <w:color w:val="000000"/>
                <w:lang w:eastAsia="bg-BG"/>
              </w:rPr>
            </w:pPr>
            <w:r w:rsidRPr="00A9735A">
              <w:rPr>
                <w:rFonts w:cs="Arial"/>
              </w:rPr>
              <w:t>Настояща стабилизираща доза на ламотригин (преди добавянето)</w:t>
            </w:r>
          </w:p>
        </w:tc>
        <w:tc>
          <w:tcPr>
            <w:tcW w:w="1889" w:type="dxa"/>
          </w:tcPr>
          <w:p w14:paraId="7A8AF779" w14:textId="77777777" w:rsidR="00841991" w:rsidRPr="00A9735A" w:rsidRDefault="00841991" w:rsidP="00841991">
            <w:pPr>
              <w:rPr>
                <w:rFonts w:cs="Arial"/>
              </w:rPr>
            </w:pPr>
            <w:r w:rsidRPr="00A9735A">
              <w:rPr>
                <w:rFonts w:cs="Arial"/>
              </w:rPr>
              <w:t>Седмица</w:t>
            </w:r>
            <w:r w:rsidRPr="00A9735A">
              <w:rPr>
                <w:rFonts w:cs="Arial"/>
              </w:rPr>
              <w:tab/>
              <w:t>1</w:t>
            </w:r>
          </w:p>
          <w:p w14:paraId="6A32314C" w14:textId="4044C389" w:rsidR="00841991" w:rsidRPr="00A9735A" w:rsidRDefault="00841991" w:rsidP="00841991">
            <w:pPr>
              <w:rPr>
                <w:rFonts w:eastAsia="Times New Roman" w:cs="Arial"/>
                <w:color w:val="000000"/>
                <w:lang w:eastAsia="bg-BG"/>
              </w:rPr>
            </w:pPr>
            <w:r w:rsidRPr="00A9735A">
              <w:rPr>
                <w:rFonts w:cs="Arial"/>
              </w:rPr>
              <w:t>(започваща с добавянето)</w:t>
            </w:r>
          </w:p>
        </w:tc>
        <w:tc>
          <w:tcPr>
            <w:tcW w:w="1891" w:type="dxa"/>
          </w:tcPr>
          <w:p w14:paraId="229A30D0" w14:textId="290E2BDF" w:rsidR="00841991" w:rsidRPr="00A9735A" w:rsidRDefault="00841991" w:rsidP="00841991">
            <w:pPr>
              <w:rPr>
                <w:rFonts w:eastAsia="Times New Roman" w:cs="Arial"/>
                <w:color w:val="000000"/>
                <w:lang w:eastAsia="bg-BG"/>
              </w:rPr>
            </w:pPr>
            <w:r w:rsidRPr="00A9735A">
              <w:rPr>
                <w:rFonts w:cs="Arial"/>
              </w:rPr>
              <w:t>Седмица 2</w:t>
            </w:r>
          </w:p>
        </w:tc>
        <w:tc>
          <w:tcPr>
            <w:tcW w:w="1891" w:type="dxa"/>
          </w:tcPr>
          <w:p w14:paraId="104F6D3D" w14:textId="1FB5E055" w:rsidR="00841991" w:rsidRPr="00A9735A" w:rsidRDefault="00841991" w:rsidP="00841991">
            <w:pPr>
              <w:rPr>
                <w:rFonts w:eastAsia="Times New Roman" w:cs="Arial"/>
                <w:color w:val="000000"/>
                <w:lang w:eastAsia="bg-BG"/>
              </w:rPr>
            </w:pPr>
            <w:r w:rsidRPr="00A9735A">
              <w:rPr>
                <w:rFonts w:cs="Arial"/>
              </w:rPr>
              <w:t>От седмица 3 нататък</w:t>
            </w:r>
          </w:p>
        </w:tc>
      </w:tr>
      <w:tr w:rsidR="00841991" w14:paraId="6415B17A" w14:textId="77777777" w:rsidTr="00A9735A">
        <w:tc>
          <w:tcPr>
            <w:tcW w:w="9576" w:type="dxa"/>
            <w:gridSpan w:val="5"/>
          </w:tcPr>
          <w:p w14:paraId="6BEFA83A" w14:textId="3C9CFBAB" w:rsidR="00841991" w:rsidRPr="00A9735A" w:rsidRDefault="00841991" w:rsidP="00841991">
            <w:pPr>
              <w:rPr>
                <w:rFonts w:eastAsia="Times New Roman" w:cs="Arial"/>
                <w:color w:val="000000"/>
                <w:lang w:eastAsia="bg-BG"/>
              </w:rPr>
            </w:pPr>
            <w:r w:rsidRPr="00841991">
              <w:rPr>
                <w:rFonts w:eastAsia="Times New Roman" w:cs="Arial"/>
                <w:b/>
                <w:bCs/>
                <w:color w:val="000000"/>
                <w:lang w:eastAsia="bg-BG"/>
              </w:rPr>
              <w:t xml:space="preserve">Добавяне на валпроат </w:t>
            </w:r>
            <w:r w:rsidRPr="00841991">
              <w:rPr>
                <w:rFonts w:eastAsia="Times New Roman" w:cs="Arial"/>
                <w:color w:val="000000"/>
                <w:lang w:eastAsia="bg-BG"/>
              </w:rPr>
              <w:t>(инхибитор на глюкуронирането на ламотригин - вижте точка 4.5), в зависимост от първоначалната доза ламотригин</w:t>
            </w:r>
          </w:p>
        </w:tc>
      </w:tr>
      <w:tr w:rsidR="00841991" w14:paraId="69D132EC" w14:textId="77777777" w:rsidTr="00A9735A">
        <w:tc>
          <w:tcPr>
            <w:tcW w:w="2002" w:type="dxa"/>
            <w:vMerge w:val="restart"/>
            <w:vAlign w:val="bottom"/>
          </w:tcPr>
          <w:p w14:paraId="4226D4EA" w14:textId="77777777" w:rsidR="00841991" w:rsidRPr="00A9735A" w:rsidRDefault="00841991" w:rsidP="00841991">
            <w:pPr>
              <w:rPr>
                <w:rFonts w:cs="Arial"/>
              </w:rPr>
            </w:pPr>
            <w:r w:rsidRPr="00A9735A">
              <w:rPr>
                <w:rFonts w:cs="Arial"/>
              </w:rPr>
              <w:t>Тази схема на лечение трябва да бъде използвана при добавяне на валпроат, независимо</w:t>
            </w:r>
            <w:r w:rsidRPr="00A9735A">
              <w:rPr>
                <w:rFonts w:cs="Arial"/>
              </w:rPr>
              <w:tab/>
              <w:t>от</w:t>
            </w:r>
          </w:p>
          <w:p w14:paraId="578220D8" w14:textId="157D80B3" w:rsidR="00841991" w:rsidRDefault="00841991" w:rsidP="00841991">
            <w:pPr>
              <w:rPr>
                <w:rFonts w:cs="Arial"/>
              </w:rPr>
            </w:pPr>
            <w:r w:rsidRPr="00A9735A">
              <w:rPr>
                <w:rFonts w:cs="Arial"/>
              </w:rPr>
              <w:t>приема на други лекарствени продукти</w:t>
            </w:r>
          </w:p>
          <w:p w14:paraId="0ABF200F" w14:textId="77777777" w:rsidR="00A9735A" w:rsidRPr="00A9735A" w:rsidRDefault="00A9735A" w:rsidP="00841991">
            <w:pPr>
              <w:rPr>
                <w:rFonts w:cs="Arial"/>
              </w:rPr>
            </w:pPr>
          </w:p>
          <w:p w14:paraId="5BA911F1" w14:textId="77777777" w:rsidR="00A9735A" w:rsidRPr="00A9735A" w:rsidRDefault="00A9735A" w:rsidP="00841991">
            <w:pPr>
              <w:rPr>
                <w:rFonts w:cs="Arial"/>
              </w:rPr>
            </w:pPr>
          </w:p>
          <w:p w14:paraId="3B4AA5F0" w14:textId="77777777" w:rsidR="00A9735A" w:rsidRPr="00A9735A" w:rsidRDefault="00A9735A" w:rsidP="00841991">
            <w:pPr>
              <w:rPr>
                <w:rFonts w:cs="Arial"/>
              </w:rPr>
            </w:pPr>
          </w:p>
          <w:p w14:paraId="7D621BF0" w14:textId="77777777" w:rsidR="00A9735A" w:rsidRPr="00A9735A" w:rsidRDefault="00A9735A" w:rsidP="00841991">
            <w:pPr>
              <w:rPr>
                <w:rFonts w:cs="Arial"/>
              </w:rPr>
            </w:pPr>
          </w:p>
          <w:p w14:paraId="4327374A" w14:textId="77777777" w:rsidR="00A9735A" w:rsidRPr="00A9735A" w:rsidRDefault="00A9735A" w:rsidP="00841991">
            <w:pPr>
              <w:rPr>
                <w:rFonts w:cs="Arial"/>
              </w:rPr>
            </w:pPr>
          </w:p>
          <w:p w14:paraId="34E320C5" w14:textId="77777777" w:rsidR="00A9735A" w:rsidRPr="00A9735A" w:rsidRDefault="00A9735A" w:rsidP="00841991">
            <w:pPr>
              <w:rPr>
                <w:rFonts w:cs="Arial"/>
              </w:rPr>
            </w:pPr>
          </w:p>
          <w:p w14:paraId="2F4691A1" w14:textId="5280DE75" w:rsidR="00A9735A" w:rsidRPr="00A9735A" w:rsidRDefault="00A9735A" w:rsidP="00841991">
            <w:pPr>
              <w:rPr>
                <w:rFonts w:eastAsia="Times New Roman" w:cs="Arial"/>
                <w:color w:val="000000"/>
                <w:lang w:eastAsia="bg-BG"/>
              </w:rPr>
            </w:pPr>
          </w:p>
        </w:tc>
        <w:tc>
          <w:tcPr>
            <w:tcW w:w="1903" w:type="dxa"/>
          </w:tcPr>
          <w:p w14:paraId="414D8E14" w14:textId="5F51CC81" w:rsidR="00841991" w:rsidRPr="00A9735A" w:rsidRDefault="00841991" w:rsidP="00841991">
            <w:pPr>
              <w:rPr>
                <w:rFonts w:eastAsia="Times New Roman" w:cs="Arial"/>
                <w:color w:val="000000"/>
                <w:lang w:eastAsia="bg-BG"/>
              </w:rPr>
            </w:pPr>
            <w:r w:rsidRPr="00A9735A">
              <w:rPr>
                <w:rFonts w:cs="Arial"/>
              </w:rPr>
              <w:lastRenderedPageBreak/>
              <w:t xml:space="preserve">200 </w:t>
            </w:r>
            <w:r w:rsidRPr="00A9735A">
              <w:rPr>
                <w:rFonts w:cs="Arial"/>
                <w:lang w:val="en-US"/>
              </w:rPr>
              <w:t>mg/</w:t>
            </w:r>
            <w:r w:rsidRPr="00A9735A">
              <w:rPr>
                <w:rFonts w:cs="Arial"/>
              </w:rPr>
              <w:t>ден</w:t>
            </w:r>
          </w:p>
        </w:tc>
        <w:tc>
          <w:tcPr>
            <w:tcW w:w="1889" w:type="dxa"/>
          </w:tcPr>
          <w:p w14:paraId="57505EC5" w14:textId="601F4A40" w:rsidR="00841991" w:rsidRPr="00A9735A" w:rsidRDefault="00841991" w:rsidP="00841991">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91" w:type="dxa"/>
            <w:vAlign w:val="bottom"/>
          </w:tcPr>
          <w:p w14:paraId="452B2D9D" w14:textId="77777777" w:rsidR="00841991" w:rsidRDefault="00841991" w:rsidP="00841991">
            <w:pPr>
              <w:rPr>
                <w:rFonts w:cs="Arial"/>
              </w:rPr>
            </w:pPr>
            <w:r w:rsidRPr="00A9735A">
              <w:rPr>
                <w:rFonts w:cs="Arial"/>
              </w:rPr>
              <w:t xml:space="preserve">Поддържане на тази доза (100 </w:t>
            </w:r>
            <w:r w:rsidRPr="00A9735A">
              <w:rPr>
                <w:rFonts w:cs="Arial"/>
                <w:lang w:val="en-US"/>
              </w:rPr>
              <w:t>mg</w:t>
            </w:r>
            <w:r w:rsidRPr="00A9735A">
              <w:rPr>
                <w:rFonts w:cs="Arial"/>
              </w:rPr>
              <w:t>/ден)</w:t>
            </w:r>
          </w:p>
          <w:p w14:paraId="1D212D72" w14:textId="77777777" w:rsidR="00A9735A" w:rsidRDefault="00A9735A" w:rsidP="00841991">
            <w:pPr>
              <w:rPr>
                <w:rFonts w:cs="Arial"/>
              </w:rPr>
            </w:pPr>
          </w:p>
          <w:p w14:paraId="50F039C2" w14:textId="77777777" w:rsidR="00A9735A" w:rsidRDefault="00A9735A" w:rsidP="00841991">
            <w:pPr>
              <w:rPr>
                <w:rFonts w:cs="Arial"/>
              </w:rPr>
            </w:pPr>
          </w:p>
          <w:p w14:paraId="213864A6" w14:textId="77777777" w:rsidR="00A9735A" w:rsidRDefault="00A9735A" w:rsidP="00841991">
            <w:pPr>
              <w:rPr>
                <w:rFonts w:cs="Arial"/>
              </w:rPr>
            </w:pPr>
          </w:p>
          <w:p w14:paraId="636F3F45" w14:textId="77777777" w:rsidR="00A9735A" w:rsidRDefault="00A9735A" w:rsidP="00841991">
            <w:pPr>
              <w:rPr>
                <w:rFonts w:cs="Arial"/>
              </w:rPr>
            </w:pPr>
          </w:p>
          <w:p w14:paraId="1915F744" w14:textId="77777777" w:rsidR="00A9735A" w:rsidRDefault="00A9735A" w:rsidP="00841991">
            <w:pPr>
              <w:rPr>
                <w:rFonts w:cs="Arial"/>
              </w:rPr>
            </w:pPr>
          </w:p>
          <w:p w14:paraId="0C57A80E" w14:textId="77777777" w:rsidR="00A9735A" w:rsidRDefault="00A9735A" w:rsidP="00841991">
            <w:pPr>
              <w:rPr>
                <w:rFonts w:cs="Arial"/>
              </w:rPr>
            </w:pPr>
          </w:p>
          <w:p w14:paraId="650F42AB" w14:textId="77777777" w:rsidR="00A9735A" w:rsidRDefault="00A9735A" w:rsidP="00841991">
            <w:pPr>
              <w:rPr>
                <w:rFonts w:cs="Arial"/>
              </w:rPr>
            </w:pPr>
          </w:p>
          <w:p w14:paraId="41508CAC" w14:textId="19D6EB58" w:rsidR="00A9735A" w:rsidRPr="00A9735A" w:rsidRDefault="00A9735A" w:rsidP="00841991">
            <w:pPr>
              <w:rPr>
                <w:rFonts w:eastAsia="Times New Roman" w:cs="Arial"/>
                <w:color w:val="000000"/>
                <w:lang w:eastAsia="bg-BG"/>
              </w:rPr>
            </w:pPr>
          </w:p>
        </w:tc>
        <w:tc>
          <w:tcPr>
            <w:tcW w:w="1891" w:type="dxa"/>
            <w:vAlign w:val="bottom"/>
          </w:tcPr>
          <w:p w14:paraId="7B273CD6" w14:textId="77777777" w:rsidR="00841991" w:rsidRPr="00A9735A" w:rsidRDefault="00841991" w:rsidP="00841991">
            <w:pPr>
              <w:rPr>
                <w:rFonts w:cs="Arial"/>
              </w:rPr>
            </w:pPr>
            <w:r w:rsidRPr="00A9735A">
              <w:rPr>
                <w:rFonts w:cs="Arial"/>
              </w:rPr>
              <w:t>Тази схема на лечение трябва да бъде използвана при добавяне на валпроат, независимо</w:t>
            </w:r>
            <w:r w:rsidRPr="00A9735A">
              <w:rPr>
                <w:rFonts w:cs="Arial"/>
              </w:rPr>
              <w:tab/>
              <w:t>от</w:t>
            </w:r>
          </w:p>
          <w:p w14:paraId="4A318BE8" w14:textId="2B55E3B7" w:rsidR="00841991" w:rsidRPr="00A9735A" w:rsidRDefault="00841991" w:rsidP="00841991">
            <w:pPr>
              <w:rPr>
                <w:rFonts w:eastAsia="Times New Roman" w:cs="Arial"/>
                <w:color w:val="000000"/>
                <w:lang w:eastAsia="bg-BG"/>
              </w:rPr>
            </w:pPr>
            <w:r w:rsidRPr="00A9735A">
              <w:rPr>
                <w:rFonts w:cs="Arial"/>
              </w:rPr>
              <w:t>приема на други лекарствени продукти</w:t>
            </w:r>
          </w:p>
        </w:tc>
      </w:tr>
      <w:tr w:rsidR="00841991" w14:paraId="14E2C6FC" w14:textId="77777777" w:rsidTr="00A9735A">
        <w:tc>
          <w:tcPr>
            <w:tcW w:w="2002" w:type="dxa"/>
            <w:vMerge/>
            <w:vAlign w:val="bottom"/>
          </w:tcPr>
          <w:p w14:paraId="199B7A4D" w14:textId="77777777" w:rsidR="00841991" w:rsidRPr="00A9735A" w:rsidRDefault="00841991" w:rsidP="00841991">
            <w:pPr>
              <w:rPr>
                <w:rFonts w:eastAsia="Times New Roman" w:cs="Arial"/>
                <w:color w:val="000000"/>
                <w:lang w:eastAsia="bg-BG"/>
              </w:rPr>
            </w:pPr>
          </w:p>
        </w:tc>
        <w:tc>
          <w:tcPr>
            <w:tcW w:w="1903" w:type="dxa"/>
          </w:tcPr>
          <w:p w14:paraId="7CAFAB65" w14:textId="13329CDC" w:rsidR="00841991" w:rsidRPr="00A9735A" w:rsidRDefault="00841991" w:rsidP="00841991">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c>
          <w:tcPr>
            <w:tcW w:w="1889" w:type="dxa"/>
          </w:tcPr>
          <w:p w14:paraId="7A4F3035" w14:textId="17B86FE7" w:rsidR="00841991" w:rsidRPr="00A9735A" w:rsidRDefault="00841991" w:rsidP="00841991">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vAlign w:val="bottom"/>
          </w:tcPr>
          <w:p w14:paraId="4AF95E75" w14:textId="19A9AB71" w:rsidR="00841991" w:rsidRPr="00A9735A" w:rsidRDefault="00841991" w:rsidP="00841991">
            <w:pPr>
              <w:rPr>
                <w:rFonts w:eastAsia="Times New Roman" w:cs="Arial"/>
                <w:color w:val="000000"/>
                <w:lang w:eastAsia="bg-BG"/>
              </w:rPr>
            </w:pPr>
            <w:r w:rsidRPr="00A9735A">
              <w:rPr>
                <w:rFonts w:cs="Arial"/>
              </w:rPr>
              <w:t xml:space="preserve">Поддържане на тази доза (150 </w:t>
            </w:r>
            <w:r w:rsidRPr="00A9735A">
              <w:rPr>
                <w:rFonts w:cs="Arial"/>
                <w:lang w:val="en-US"/>
              </w:rPr>
              <w:t>mg</w:t>
            </w:r>
            <w:r w:rsidRPr="00A9735A">
              <w:rPr>
                <w:rFonts w:cs="Arial"/>
              </w:rPr>
              <w:t>/ден)</w:t>
            </w:r>
          </w:p>
        </w:tc>
        <w:tc>
          <w:tcPr>
            <w:tcW w:w="1891" w:type="dxa"/>
            <w:vAlign w:val="bottom"/>
          </w:tcPr>
          <w:p w14:paraId="5BA99C6C" w14:textId="77777777" w:rsidR="00841991" w:rsidRPr="00A9735A" w:rsidRDefault="00841991" w:rsidP="00841991">
            <w:pPr>
              <w:rPr>
                <w:rFonts w:eastAsia="Times New Roman" w:cs="Arial"/>
                <w:color w:val="000000"/>
                <w:lang w:eastAsia="bg-BG"/>
              </w:rPr>
            </w:pPr>
          </w:p>
        </w:tc>
      </w:tr>
      <w:tr w:rsidR="00841991" w14:paraId="08548C05" w14:textId="77777777" w:rsidTr="00A9735A">
        <w:tc>
          <w:tcPr>
            <w:tcW w:w="2002" w:type="dxa"/>
            <w:vMerge/>
            <w:vAlign w:val="bottom"/>
          </w:tcPr>
          <w:p w14:paraId="5AF86CAA" w14:textId="77777777" w:rsidR="00841991" w:rsidRPr="00A9735A" w:rsidRDefault="00841991" w:rsidP="00841991">
            <w:pPr>
              <w:rPr>
                <w:rFonts w:eastAsia="Times New Roman" w:cs="Arial"/>
                <w:color w:val="000000"/>
                <w:lang w:eastAsia="bg-BG"/>
              </w:rPr>
            </w:pPr>
          </w:p>
        </w:tc>
        <w:tc>
          <w:tcPr>
            <w:tcW w:w="1903" w:type="dxa"/>
          </w:tcPr>
          <w:p w14:paraId="076D9BAA" w14:textId="1D22BC36" w:rsidR="00841991" w:rsidRPr="00A9735A" w:rsidRDefault="00841991" w:rsidP="00841991">
            <w:pPr>
              <w:rPr>
                <w:rFonts w:eastAsia="Times New Roman" w:cs="Arial"/>
                <w:color w:val="000000"/>
                <w:lang w:eastAsia="bg-BG"/>
              </w:rPr>
            </w:pPr>
            <w:r w:rsidRPr="00A9735A">
              <w:rPr>
                <w:rFonts w:cs="Arial"/>
              </w:rPr>
              <w:t xml:space="preserve">400 </w:t>
            </w:r>
            <w:r w:rsidRPr="00A9735A">
              <w:rPr>
                <w:rFonts w:cs="Arial"/>
                <w:lang w:val="en-US"/>
              </w:rPr>
              <w:t>mg</w:t>
            </w:r>
            <w:r w:rsidRPr="00A9735A">
              <w:rPr>
                <w:rFonts w:cs="Arial"/>
              </w:rPr>
              <w:t>/ден</w:t>
            </w:r>
          </w:p>
        </w:tc>
        <w:tc>
          <w:tcPr>
            <w:tcW w:w="1889" w:type="dxa"/>
          </w:tcPr>
          <w:p w14:paraId="12F97D6F" w14:textId="589B12E5" w:rsidR="00841991" w:rsidRPr="00A9735A" w:rsidRDefault="00841991" w:rsidP="00841991">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91" w:type="dxa"/>
          </w:tcPr>
          <w:p w14:paraId="084DD967" w14:textId="5030CCA2" w:rsidR="00841991" w:rsidRPr="00A9735A" w:rsidRDefault="00841991" w:rsidP="00841991">
            <w:pPr>
              <w:rPr>
                <w:rFonts w:eastAsia="Times New Roman" w:cs="Arial"/>
                <w:color w:val="000000"/>
                <w:lang w:eastAsia="bg-BG"/>
              </w:rPr>
            </w:pPr>
            <w:r w:rsidRPr="00A9735A">
              <w:rPr>
                <w:rFonts w:cs="Arial"/>
              </w:rPr>
              <w:t xml:space="preserve">Поддържане на тази доза (200 </w:t>
            </w:r>
            <w:r w:rsidRPr="00A9735A">
              <w:rPr>
                <w:rFonts w:cs="Arial"/>
                <w:lang w:val="en-US"/>
              </w:rPr>
              <w:t>mg</w:t>
            </w:r>
            <w:r w:rsidRPr="00A9735A">
              <w:rPr>
                <w:rFonts w:cs="Arial"/>
              </w:rPr>
              <w:t>/ден)</w:t>
            </w:r>
          </w:p>
        </w:tc>
        <w:tc>
          <w:tcPr>
            <w:tcW w:w="1891" w:type="dxa"/>
            <w:vAlign w:val="bottom"/>
          </w:tcPr>
          <w:p w14:paraId="2D9A023C" w14:textId="77777777" w:rsidR="00841991" w:rsidRPr="00A9735A" w:rsidRDefault="00841991" w:rsidP="00841991">
            <w:pPr>
              <w:rPr>
                <w:rFonts w:eastAsia="Times New Roman" w:cs="Arial"/>
                <w:color w:val="000000"/>
                <w:lang w:eastAsia="bg-BG"/>
              </w:rPr>
            </w:pPr>
          </w:p>
        </w:tc>
      </w:tr>
      <w:tr w:rsidR="00A9735A" w14:paraId="31046595" w14:textId="77777777" w:rsidTr="00A9735A">
        <w:tc>
          <w:tcPr>
            <w:tcW w:w="9576" w:type="dxa"/>
            <w:gridSpan w:val="5"/>
          </w:tcPr>
          <w:p w14:paraId="586EE2EC" w14:textId="33E04C5C" w:rsidR="00A9735A" w:rsidRPr="00A9735A" w:rsidRDefault="00A9735A" w:rsidP="00A9735A">
            <w:pPr>
              <w:spacing w:line="240" w:lineRule="auto"/>
              <w:rPr>
                <w:rFonts w:eastAsia="Times New Roman" w:cs="Arial"/>
              </w:rPr>
            </w:pPr>
            <w:r w:rsidRPr="00A9735A">
              <w:rPr>
                <w:rFonts w:eastAsia="Times New Roman" w:cs="Arial"/>
                <w:b/>
                <w:bCs/>
                <w:color w:val="000000"/>
                <w:lang w:eastAsia="bg-BG"/>
              </w:rPr>
              <w:t xml:space="preserve">Добавяне на индуктори на глюкуронирането на ламотригин при пациенти, които НЕ приемат валпроат </w:t>
            </w:r>
            <w:r w:rsidRPr="00A9735A">
              <w:rPr>
                <w:rFonts w:eastAsia="Times New Roman" w:cs="Arial"/>
                <w:color w:val="000000"/>
                <w:lang w:eastAsia="bg-BG"/>
              </w:rPr>
              <w:t>(вижте точка 4.5), в зависимост от първоначалната доза ламотригин</w:t>
            </w:r>
          </w:p>
        </w:tc>
      </w:tr>
      <w:tr w:rsidR="00A9735A" w14:paraId="5B89D8D7" w14:textId="77777777" w:rsidTr="00A9735A">
        <w:tc>
          <w:tcPr>
            <w:tcW w:w="2002" w:type="dxa"/>
            <w:vMerge w:val="restart"/>
            <w:vAlign w:val="bottom"/>
          </w:tcPr>
          <w:p w14:paraId="0D6F76AE" w14:textId="77777777" w:rsidR="00A9735A" w:rsidRPr="00A9735A" w:rsidRDefault="00A9735A" w:rsidP="00A9735A">
            <w:pPr>
              <w:rPr>
                <w:rFonts w:cs="Arial"/>
              </w:rPr>
            </w:pPr>
            <w:r w:rsidRPr="00A9735A">
              <w:rPr>
                <w:rFonts w:cs="Arial"/>
              </w:rPr>
              <w:t>Тази схема на лечение трябва да бъде използвана при добавяне на някой от следните лекарствени продукти:</w:t>
            </w:r>
          </w:p>
          <w:p w14:paraId="12E03B2D" w14:textId="77777777" w:rsidR="00A9735A" w:rsidRPr="00A9735A" w:rsidRDefault="00A9735A" w:rsidP="00A9735A">
            <w:pPr>
              <w:rPr>
                <w:rFonts w:cs="Arial"/>
              </w:rPr>
            </w:pPr>
            <w:r w:rsidRPr="00A9735A">
              <w:rPr>
                <w:rFonts w:cs="Arial"/>
              </w:rPr>
              <w:t>фенитоин карбамазепин фенобарбитон примидон</w:t>
            </w:r>
          </w:p>
          <w:p w14:paraId="10B9C38C" w14:textId="5C94A961" w:rsidR="00A9735A" w:rsidRPr="00A9735A" w:rsidRDefault="00A9735A" w:rsidP="00A9735A">
            <w:pPr>
              <w:rPr>
                <w:rFonts w:eastAsia="Times New Roman" w:cs="Arial"/>
                <w:color w:val="000000"/>
                <w:lang w:eastAsia="bg-BG"/>
              </w:rPr>
            </w:pPr>
            <w:r w:rsidRPr="00A9735A">
              <w:rPr>
                <w:rFonts w:cs="Arial"/>
              </w:rPr>
              <w:t>рифампицин лопинавир/ ритонавир</w:t>
            </w:r>
          </w:p>
        </w:tc>
        <w:tc>
          <w:tcPr>
            <w:tcW w:w="1903" w:type="dxa"/>
            <w:vAlign w:val="bottom"/>
          </w:tcPr>
          <w:p w14:paraId="418F9119" w14:textId="1D2E3AFD"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89" w:type="dxa"/>
            <w:vAlign w:val="bottom"/>
          </w:tcPr>
          <w:p w14:paraId="3BBE519C" w14:textId="1199CEEF"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c>
          <w:tcPr>
            <w:tcW w:w="1891" w:type="dxa"/>
            <w:vAlign w:val="bottom"/>
          </w:tcPr>
          <w:p w14:paraId="0F4DAC3C" w14:textId="54A46431" w:rsidR="00A9735A" w:rsidRPr="00A9735A" w:rsidRDefault="00A9735A" w:rsidP="00A9735A">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c>
          <w:tcPr>
            <w:tcW w:w="1891" w:type="dxa"/>
            <w:vAlign w:val="bottom"/>
          </w:tcPr>
          <w:p w14:paraId="31D5361E" w14:textId="41A47C93" w:rsidR="00A9735A" w:rsidRPr="00A9735A" w:rsidRDefault="00A9735A" w:rsidP="00A9735A">
            <w:pPr>
              <w:rPr>
                <w:rFonts w:eastAsia="Times New Roman" w:cs="Arial"/>
                <w:color w:val="000000"/>
                <w:lang w:eastAsia="bg-BG"/>
              </w:rPr>
            </w:pPr>
            <w:r w:rsidRPr="00A9735A">
              <w:rPr>
                <w:rFonts w:cs="Arial"/>
              </w:rPr>
              <w:t xml:space="preserve">400 </w:t>
            </w:r>
            <w:r w:rsidRPr="00A9735A">
              <w:rPr>
                <w:rFonts w:cs="Arial"/>
                <w:lang w:val="en-US"/>
              </w:rPr>
              <w:t>mg</w:t>
            </w:r>
            <w:r w:rsidRPr="00A9735A">
              <w:rPr>
                <w:rFonts w:cs="Arial"/>
              </w:rPr>
              <w:t>/ден</w:t>
            </w:r>
          </w:p>
        </w:tc>
      </w:tr>
      <w:tr w:rsidR="00A9735A" w14:paraId="19E87CEA" w14:textId="77777777" w:rsidTr="00A9735A">
        <w:tc>
          <w:tcPr>
            <w:tcW w:w="2002" w:type="dxa"/>
            <w:vMerge/>
            <w:vAlign w:val="bottom"/>
          </w:tcPr>
          <w:p w14:paraId="525095EF" w14:textId="77777777" w:rsidR="00A9735A" w:rsidRPr="00A9735A" w:rsidRDefault="00A9735A" w:rsidP="00A9735A">
            <w:pPr>
              <w:rPr>
                <w:rFonts w:eastAsia="Times New Roman" w:cs="Arial"/>
                <w:color w:val="000000"/>
                <w:lang w:eastAsia="bg-BG"/>
              </w:rPr>
            </w:pPr>
          </w:p>
        </w:tc>
        <w:tc>
          <w:tcPr>
            <w:tcW w:w="1903" w:type="dxa"/>
            <w:vAlign w:val="bottom"/>
          </w:tcPr>
          <w:p w14:paraId="7894C5E4" w14:textId="5E4BE5E6"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89" w:type="dxa"/>
            <w:vAlign w:val="bottom"/>
          </w:tcPr>
          <w:p w14:paraId="7E78B462" w14:textId="20BF81DF"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vAlign w:val="bottom"/>
          </w:tcPr>
          <w:p w14:paraId="77AD1DD7" w14:textId="6DE60F44" w:rsidR="00A9735A" w:rsidRPr="00A9735A" w:rsidRDefault="00A9735A" w:rsidP="00A9735A">
            <w:pPr>
              <w:rPr>
                <w:rFonts w:eastAsia="Times New Roman" w:cs="Arial"/>
                <w:color w:val="000000"/>
                <w:lang w:eastAsia="bg-BG"/>
              </w:rPr>
            </w:pPr>
            <w:r w:rsidRPr="00A9735A">
              <w:rPr>
                <w:rFonts w:cs="Arial"/>
              </w:rPr>
              <w:t xml:space="preserve">225 </w:t>
            </w:r>
            <w:r w:rsidRPr="00A9735A">
              <w:rPr>
                <w:rFonts w:cs="Arial"/>
                <w:lang w:val="en-US"/>
              </w:rPr>
              <w:t>mg</w:t>
            </w:r>
            <w:r w:rsidRPr="00A9735A">
              <w:rPr>
                <w:rFonts w:cs="Arial"/>
              </w:rPr>
              <w:t>/ден</w:t>
            </w:r>
          </w:p>
        </w:tc>
        <w:tc>
          <w:tcPr>
            <w:tcW w:w="1891" w:type="dxa"/>
            <w:vAlign w:val="bottom"/>
          </w:tcPr>
          <w:p w14:paraId="475EC641" w14:textId="2DE499F1" w:rsidR="00A9735A" w:rsidRPr="00A9735A" w:rsidRDefault="00A9735A" w:rsidP="00A9735A">
            <w:pPr>
              <w:rPr>
                <w:rFonts w:eastAsia="Times New Roman" w:cs="Arial"/>
                <w:color w:val="000000"/>
                <w:lang w:eastAsia="bg-BG"/>
              </w:rPr>
            </w:pPr>
            <w:r w:rsidRPr="00A9735A">
              <w:rPr>
                <w:rFonts w:cs="Arial"/>
              </w:rPr>
              <w:t xml:space="preserve">300 </w:t>
            </w:r>
            <w:r w:rsidRPr="00A9735A">
              <w:rPr>
                <w:rFonts w:cs="Arial"/>
                <w:lang w:val="en-US"/>
              </w:rPr>
              <w:t>mg</w:t>
            </w:r>
            <w:r w:rsidRPr="00A9735A">
              <w:rPr>
                <w:rFonts w:cs="Arial"/>
              </w:rPr>
              <w:t>/ден</w:t>
            </w:r>
          </w:p>
        </w:tc>
      </w:tr>
      <w:tr w:rsidR="00A9735A" w14:paraId="15FF9ED7" w14:textId="77777777" w:rsidTr="00A9735A">
        <w:tc>
          <w:tcPr>
            <w:tcW w:w="2002" w:type="dxa"/>
            <w:vMerge/>
            <w:vAlign w:val="bottom"/>
          </w:tcPr>
          <w:p w14:paraId="070CD38F" w14:textId="77777777" w:rsidR="00A9735A" w:rsidRPr="00A9735A" w:rsidRDefault="00A9735A" w:rsidP="00A9735A">
            <w:pPr>
              <w:rPr>
                <w:rFonts w:eastAsia="Times New Roman" w:cs="Arial"/>
                <w:color w:val="000000"/>
                <w:lang w:eastAsia="bg-BG"/>
              </w:rPr>
            </w:pPr>
          </w:p>
        </w:tc>
        <w:tc>
          <w:tcPr>
            <w:tcW w:w="1903" w:type="dxa"/>
          </w:tcPr>
          <w:p w14:paraId="121CD16B" w14:textId="35F27E4E" w:rsidR="00A9735A" w:rsidRPr="00A9735A" w:rsidRDefault="00A9735A" w:rsidP="00A9735A">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89" w:type="dxa"/>
          </w:tcPr>
          <w:p w14:paraId="769ABFBF" w14:textId="32E44250" w:rsidR="00A9735A" w:rsidRPr="00A9735A" w:rsidRDefault="00A9735A" w:rsidP="00A9735A">
            <w:pPr>
              <w:rPr>
                <w:rFonts w:eastAsia="Times New Roman" w:cs="Arial"/>
                <w:color w:val="000000"/>
                <w:lang w:eastAsia="bg-BG"/>
              </w:rPr>
            </w:pPr>
            <w:r w:rsidRPr="00A9735A">
              <w:rPr>
                <w:rFonts w:cs="Arial"/>
              </w:rPr>
              <w:t xml:space="preserve">100 </w:t>
            </w:r>
            <w:r w:rsidRPr="00A9735A">
              <w:rPr>
                <w:rFonts w:cs="Arial"/>
                <w:lang w:val="en-US"/>
              </w:rPr>
              <w:t>mg</w:t>
            </w:r>
            <w:r w:rsidRPr="00A9735A">
              <w:rPr>
                <w:rFonts w:cs="Arial"/>
              </w:rPr>
              <w:t>/ден</w:t>
            </w:r>
          </w:p>
        </w:tc>
        <w:tc>
          <w:tcPr>
            <w:tcW w:w="1891" w:type="dxa"/>
          </w:tcPr>
          <w:p w14:paraId="29BB0656" w14:textId="79D0D7F1" w:rsidR="00A9735A" w:rsidRPr="00A9735A" w:rsidRDefault="00A9735A" w:rsidP="00A9735A">
            <w:pPr>
              <w:rPr>
                <w:rFonts w:eastAsia="Times New Roman" w:cs="Arial"/>
                <w:color w:val="000000"/>
                <w:lang w:eastAsia="bg-BG"/>
              </w:rPr>
            </w:pPr>
            <w:r w:rsidRPr="00A9735A">
              <w:rPr>
                <w:rFonts w:cs="Arial"/>
              </w:rPr>
              <w:t xml:space="preserve">150 </w:t>
            </w:r>
            <w:r w:rsidRPr="00A9735A">
              <w:rPr>
                <w:rFonts w:cs="Arial"/>
                <w:lang w:val="en-US"/>
              </w:rPr>
              <w:t>mg</w:t>
            </w:r>
            <w:r w:rsidRPr="00A9735A">
              <w:rPr>
                <w:rFonts w:cs="Arial"/>
              </w:rPr>
              <w:t>/ден</w:t>
            </w:r>
          </w:p>
        </w:tc>
        <w:tc>
          <w:tcPr>
            <w:tcW w:w="1891" w:type="dxa"/>
          </w:tcPr>
          <w:p w14:paraId="06EEE624" w14:textId="5BF9336F" w:rsidR="00A9735A" w:rsidRPr="00A9735A" w:rsidRDefault="00A9735A" w:rsidP="00A9735A">
            <w:pPr>
              <w:rPr>
                <w:rFonts w:eastAsia="Times New Roman" w:cs="Arial"/>
                <w:color w:val="000000"/>
                <w:lang w:eastAsia="bg-BG"/>
              </w:rPr>
            </w:pPr>
            <w:r w:rsidRPr="00A9735A">
              <w:rPr>
                <w:rFonts w:cs="Arial"/>
              </w:rPr>
              <w:t xml:space="preserve">200 </w:t>
            </w:r>
            <w:r w:rsidRPr="00A9735A">
              <w:rPr>
                <w:rFonts w:cs="Arial"/>
                <w:lang w:val="en-US"/>
              </w:rPr>
              <w:t>mg</w:t>
            </w:r>
            <w:r w:rsidRPr="00A9735A">
              <w:rPr>
                <w:rFonts w:cs="Arial"/>
              </w:rPr>
              <w:t>/ден</w:t>
            </w:r>
          </w:p>
        </w:tc>
      </w:tr>
      <w:tr w:rsidR="00A9735A" w14:paraId="338A5C34" w14:textId="77777777" w:rsidTr="00A9735A">
        <w:tc>
          <w:tcPr>
            <w:tcW w:w="9576" w:type="dxa"/>
            <w:gridSpan w:val="5"/>
          </w:tcPr>
          <w:p w14:paraId="1AB8831B" w14:textId="2E0A0E7A" w:rsidR="00A9735A" w:rsidRPr="00A9735A" w:rsidRDefault="00A9735A" w:rsidP="00841991">
            <w:pPr>
              <w:rPr>
                <w:rFonts w:eastAsia="Times New Roman" w:cs="Arial"/>
                <w:color w:val="000000"/>
                <w:lang w:eastAsia="bg-BG"/>
              </w:rPr>
            </w:pPr>
            <w:r w:rsidRPr="00A9735A">
              <w:rPr>
                <w:rFonts w:eastAsia="Times New Roman" w:cs="Arial"/>
                <w:b/>
                <w:bCs/>
                <w:color w:val="000000"/>
                <w:lang w:eastAsia="bg-BG"/>
              </w:rPr>
              <w:t xml:space="preserve">Добавяне на лекарствени продукти, които НЕ инхнбират или НЕ индуцират значително глюкуронирането на ламотригин </w:t>
            </w:r>
            <w:r w:rsidRPr="00A9735A">
              <w:rPr>
                <w:rFonts w:eastAsia="Times New Roman" w:cs="Arial"/>
                <w:color w:val="000000"/>
                <w:lang w:eastAsia="bg-BG"/>
              </w:rPr>
              <w:t>(вижте точка 4.5)</w:t>
            </w:r>
          </w:p>
        </w:tc>
      </w:tr>
      <w:tr w:rsidR="00A9735A" w14:paraId="15CAD152" w14:textId="77777777" w:rsidTr="00A9735A">
        <w:tc>
          <w:tcPr>
            <w:tcW w:w="2002" w:type="dxa"/>
          </w:tcPr>
          <w:p w14:paraId="5E0015F9" w14:textId="26CD5508" w:rsidR="00A9735A" w:rsidRPr="00A9735A" w:rsidRDefault="00A9735A" w:rsidP="00A9735A">
            <w:pPr>
              <w:rPr>
                <w:rFonts w:eastAsia="Times New Roman" w:cs="Arial"/>
                <w:color w:val="000000"/>
                <w:lang w:eastAsia="bg-BG"/>
              </w:rPr>
            </w:pPr>
            <w:r w:rsidRPr="00A9735A">
              <w:rPr>
                <w:rFonts w:cs="Arial"/>
              </w:rPr>
              <w:t>Тази схема на лечение трябва да бъде използвана при добавяне на други лекарствени продукти, които не инхибират или не индуцират значително глюкуронирането на ламотригин</w:t>
            </w:r>
          </w:p>
        </w:tc>
        <w:tc>
          <w:tcPr>
            <w:tcW w:w="7574" w:type="dxa"/>
            <w:gridSpan w:val="4"/>
          </w:tcPr>
          <w:p w14:paraId="31F81859" w14:textId="2E43D9E4" w:rsidR="00A9735A" w:rsidRPr="00A9735A" w:rsidRDefault="00A9735A" w:rsidP="00A9735A">
            <w:pPr>
              <w:rPr>
                <w:rFonts w:eastAsia="Times New Roman" w:cs="Arial"/>
                <w:color w:val="000000"/>
                <w:lang w:eastAsia="bg-BG"/>
              </w:rPr>
            </w:pPr>
            <w:r w:rsidRPr="00A9735A">
              <w:rPr>
                <w:rFonts w:cs="Arial"/>
              </w:rPr>
              <w:t xml:space="preserve">Поддържане на таргетната доза, достигната при повишаване на дозата (200 </w:t>
            </w:r>
            <w:r w:rsidRPr="00A9735A">
              <w:rPr>
                <w:rFonts w:cs="Arial"/>
                <w:lang w:val="en-US"/>
              </w:rPr>
              <w:t>mg</w:t>
            </w:r>
            <w:r w:rsidRPr="00A9735A">
              <w:rPr>
                <w:rFonts w:cs="Arial"/>
              </w:rPr>
              <w:t xml:space="preserve">/ден; разделена в два приема) (дозов диапазон 100 - 400 </w:t>
            </w:r>
            <w:r w:rsidRPr="00A9735A">
              <w:rPr>
                <w:rFonts w:cs="Arial"/>
                <w:lang w:val="en-US"/>
              </w:rPr>
              <w:t>mg</w:t>
            </w:r>
            <w:r w:rsidRPr="00A9735A">
              <w:rPr>
                <w:rFonts w:cs="Arial"/>
              </w:rPr>
              <w:t>/ден)</w:t>
            </w:r>
          </w:p>
        </w:tc>
      </w:tr>
      <w:tr w:rsidR="00A9735A" w14:paraId="22B0EF53" w14:textId="77777777" w:rsidTr="00A9735A">
        <w:tc>
          <w:tcPr>
            <w:tcW w:w="9576" w:type="dxa"/>
            <w:gridSpan w:val="5"/>
          </w:tcPr>
          <w:p w14:paraId="44CA5F25" w14:textId="48FBB383" w:rsidR="00A9735A" w:rsidRPr="00A9735A" w:rsidRDefault="00A9735A" w:rsidP="00841991">
            <w:pPr>
              <w:rPr>
                <w:rFonts w:eastAsia="Times New Roman" w:cs="Arial"/>
                <w:color w:val="000000"/>
                <w:lang w:eastAsia="bg-BG"/>
              </w:rPr>
            </w:pPr>
            <w:r w:rsidRPr="00A9735A">
              <w:rPr>
                <w:rFonts w:cs="Arial"/>
              </w:rPr>
              <w:t>При пациенти, приемащи лекарствени продукти, за които не са известни фармакокинетични взаимодействия с ламотригин (вижте точка 4.5), трябва да се използва схема на лечение като препоръчаната за ламотригин с едновременен прием на валпроат.</w:t>
            </w:r>
          </w:p>
        </w:tc>
      </w:tr>
    </w:tbl>
    <w:p w14:paraId="3C37E85D" w14:textId="77777777" w:rsidR="00841991" w:rsidRPr="00841991" w:rsidRDefault="00841991" w:rsidP="00841991">
      <w:pPr>
        <w:rPr>
          <w:rFonts w:eastAsia="Times New Roman" w:cs="Arial"/>
          <w:color w:val="000000"/>
          <w:szCs w:val="20"/>
          <w:lang w:eastAsia="bg-BG"/>
        </w:rPr>
      </w:pPr>
    </w:p>
    <w:p w14:paraId="6D2DA030" w14:textId="77777777"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Спиране на лечението с ламотригин при пациенти с биполярно разстройство</w:t>
      </w:r>
    </w:p>
    <w:p w14:paraId="0A6750E5"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lastRenderedPageBreak/>
        <w:t>По време на клиничните изпитвания не е наблюдавано увеличение на честотата, тежестта или вида на нежеланите реакции след внезапно спиране на ламотригин спрямо плацебо. Следователно, пациентите могат да прекъснат лечението с ламотригин без постепенно намаляване на дозата</w:t>
      </w:r>
    </w:p>
    <w:p w14:paraId="35BFB7AA" w14:textId="77777777" w:rsidR="00A9735A" w:rsidRPr="00A9735A" w:rsidRDefault="00A9735A" w:rsidP="00A9735A">
      <w:pPr>
        <w:spacing w:line="240" w:lineRule="auto"/>
        <w:rPr>
          <w:rFonts w:eastAsia="Times New Roman" w:cs="Arial"/>
          <w:i/>
          <w:iCs/>
          <w:color w:val="000000"/>
          <w:szCs w:val="20"/>
          <w:u w:val="single"/>
          <w:lang w:eastAsia="bg-BG"/>
        </w:rPr>
      </w:pPr>
    </w:p>
    <w:p w14:paraId="38971F28" w14:textId="62C835AA"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Деца и юноши под 18 години</w:t>
      </w:r>
    </w:p>
    <w:p w14:paraId="189323B1"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Ламотригин не е показан за приложение при деца и юноши под 18 години, тъй като рандомизирано, с преустановяване на приема проучване не показва значима ефикасност и показва повишено съобщаване на суицидност (вижте точки 4.4 и 5.1).</w:t>
      </w:r>
    </w:p>
    <w:p w14:paraId="6DD5C2D5" w14:textId="77777777" w:rsidR="00A9735A" w:rsidRPr="00A9735A" w:rsidRDefault="00A9735A" w:rsidP="00A9735A">
      <w:pPr>
        <w:spacing w:line="240" w:lineRule="auto"/>
        <w:rPr>
          <w:rFonts w:eastAsia="Times New Roman" w:cs="Arial"/>
          <w:color w:val="000000"/>
          <w:szCs w:val="20"/>
          <w:u w:val="single"/>
          <w:lang w:eastAsia="bg-BG"/>
        </w:rPr>
      </w:pPr>
    </w:p>
    <w:p w14:paraId="5FCCEED4" w14:textId="16F5C6BB"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u w:val="single"/>
          <w:lang w:eastAsia="bg-BG"/>
        </w:rPr>
        <w:t>Общи препоръки за дозиране при специални групи пациенти</w:t>
      </w:r>
    </w:p>
    <w:p w14:paraId="6C2FE74C" w14:textId="77777777" w:rsidR="00A9735A" w:rsidRPr="00A9735A" w:rsidRDefault="00A9735A" w:rsidP="00A9735A">
      <w:pPr>
        <w:spacing w:line="240" w:lineRule="auto"/>
        <w:rPr>
          <w:rFonts w:eastAsia="Times New Roman" w:cs="Arial"/>
          <w:i/>
          <w:iCs/>
          <w:color w:val="000000"/>
          <w:szCs w:val="20"/>
          <w:u w:val="single"/>
          <w:lang w:eastAsia="bg-BG"/>
        </w:rPr>
      </w:pPr>
    </w:p>
    <w:p w14:paraId="53F31754" w14:textId="3CA0497C"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Жени, приемащи хормонални контрацептиви</w:t>
      </w:r>
    </w:p>
    <w:p w14:paraId="2FD2C2F7"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Приемът на комбинацията етинилестрадиол/левоноргестрел (30 </w:t>
      </w:r>
      <w:r w:rsidRPr="00A9735A">
        <w:rPr>
          <w:rFonts w:eastAsia="Times New Roman" w:cs="Arial"/>
          <w:color w:val="000000"/>
          <w:szCs w:val="20"/>
          <w:lang w:val="en-US"/>
        </w:rPr>
        <w:t>pg</w:t>
      </w:r>
      <w:r w:rsidRPr="00A9735A">
        <w:rPr>
          <w:rFonts w:eastAsia="Times New Roman" w:cs="Arial"/>
          <w:color w:val="000000"/>
          <w:szCs w:val="20"/>
          <w:lang w:val="ru-RU"/>
        </w:rPr>
        <w:t>/</w:t>
      </w:r>
      <w:r w:rsidRPr="00A9735A">
        <w:rPr>
          <w:rFonts w:eastAsia="Times New Roman" w:cs="Arial"/>
          <w:color w:val="000000"/>
          <w:szCs w:val="20"/>
          <w:lang w:eastAsia="bg-BG"/>
        </w:rPr>
        <w:t xml:space="preserve">150 </w:t>
      </w:r>
      <w:r w:rsidRPr="00A9735A">
        <w:rPr>
          <w:rFonts w:eastAsia="Times New Roman" w:cs="Arial"/>
          <w:color w:val="000000"/>
          <w:szCs w:val="20"/>
          <w:lang w:val="en-US"/>
        </w:rPr>
        <w:t>pg</w:t>
      </w:r>
      <w:r w:rsidRPr="00A9735A">
        <w:rPr>
          <w:rFonts w:eastAsia="Times New Roman" w:cs="Arial"/>
          <w:color w:val="000000"/>
          <w:szCs w:val="20"/>
          <w:lang w:val="ru-RU"/>
        </w:rPr>
        <w:t xml:space="preserve">) </w:t>
      </w:r>
      <w:r w:rsidRPr="00A9735A">
        <w:rPr>
          <w:rFonts w:eastAsia="Times New Roman" w:cs="Arial"/>
          <w:color w:val="000000"/>
          <w:szCs w:val="20"/>
          <w:lang w:eastAsia="bg-BG"/>
        </w:rPr>
        <w:t>повишава клирънса на ламотригин приблизително два пъти, което предизвиква понижение на нивата на ламотригин. След титриране могат да са необходими по-високи поддържащи дози на ламотригин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нивата на ламотригин.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вижте точки 4.4 и 4.5).</w:t>
      </w:r>
    </w:p>
    <w:p w14:paraId="35B123A0" w14:textId="77777777" w:rsidR="00A9735A" w:rsidRPr="00A9735A" w:rsidRDefault="00A9735A" w:rsidP="00A9735A">
      <w:pPr>
        <w:spacing w:line="240" w:lineRule="auto"/>
        <w:rPr>
          <w:rFonts w:eastAsia="Times New Roman" w:cs="Arial"/>
          <w:i/>
          <w:iCs/>
          <w:color w:val="000000"/>
          <w:szCs w:val="20"/>
          <w:lang w:eastAsia="bg-BG"/>
        </w:rPr>
      </w:pPr>
    </w:p>
    <w:p w14:paraId="438E4237" w14:textId="04C932DE"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на прием на хормонални контрацептиви при пациенти, които вече приемат поддържащи дози ламотригин и НЕ приемат индуктори на глюкуронирането на ламотригин</w:t>
      </w:r>
    </w:p>
    <w:p w14:paraId="190922BA" w14:textId="77777777" w:rsidR="00A9735A" w:rsidRPr="00A9735A" w:rsidRDefault="00A9735A" w:rsidP="00A9735A">
      <w:pPr>
        <w:rPr>
          <w:rFonts w:eastAsia="Times New Roman" w:cs="Arial"/>
          <w:sz w:val="28"/>
          <w:szCs w:val="24"/>
        </w:rPr>
      </w:pPr>
      <w:r w:rsidRPr="00A9735A">
        <w:rPr>
          <w:rFonts w:eastAsia="Times New Roman" w:cs="Arial"/>
          <w:color w:val="000000"/>
          <w:szCs w:val="20"/>
          <w:lang w:eastAsia="bg-BG"/>
        </w:rPr>
        <w:t>Поддържащата доза ламотригин в повечето случаи трябва да бъде увеличена до два пъти (вижте точки 4.4 и 4.5). Препоръчително е от началото на хормоналната терапия дозата</w:t>
      </w:r>
      <w:r w:rsidRPr="00A9735A">
        <w:rPr>
          <w:rFonts w:eastAsia="Times New Roman" w:cs="Arial"/>
          <w:b/>
          <w:bCs/>
          <w:color w:val="000000"/>
          <w:szCs w:val="20"/>
          <w:lang w:eastAsia="bg-BG"/>
        </w:rPr>
        <w:t xml:space="preserve"> </w:t>
      </w:r>
      <w:r w:rsidRPr="00A9735A">
        <w:rPr>
          <w:rFonts w:eastAsia="Times New Roman" w:cs="Arial"/>
          <w:color w:val="000000"/>
          <w:szCs w:val="20"/>
          <w:lang w:eastAsia="bg-BG"/>
        </w:rPr>
        <w:t xml:space="preserve">ламотригин да бъде повишавана с 50 до 100 </w:t>
      </w:r>
      <w:r w:rsidRPr="00A9735A">
        <w:rPr>
          <w:rFonts w:eastAsia="Times New Roman" w:cs="Arial"/>
          <w:color w:val="000000"/>
          <w:szCs w:val="20"/>
          <w:lang w:val="en-US"/>
        </w:rPr>
        <w:t>mg</w:t>
      </w:r>
      <w:r w:rsidRPr="00A9735A">
        <w:rPr>
          <w:rFonts w:eastAsia="Times New Roman" w:cs="Arial"/>
          <w:color w:val="000000"/>
          <w:szCs w:val="20"/>
          <w:lang w:val="ru-RU"/>
        </w:rPr>
        <w:t xml:space="preserve">/ </w:t>
      </w:r>
      <w:r w:rsidRPr="00A9735A">
        <w:rPr>
          <w:rFonts w:eastAsia="Times New Roman" w:cs="Arial"/>
          <w:color w:val="000000"/>
          <w:szCs w:val="20"/>
          <w:lang w:eastAsia="bg-BG"/>
        </w:rPr>
        <w:t>ден всяка седмица, съобрзно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повишения.</w:t>
      </w:r>
    </w:p>
    <w:p w14:paraId="0E85F272"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Може да се обсъди измерване на серумните концентрации на ламотригин преди и след началото на приема на хормоналните контрацептиви за потвърждаване, че се поддържа изходната концентрация на ламотригин. При необходимост дозата може да бъде адаптирана. При жени, приемащи хормонални контрацептиви, които включват една седмица неактивно лечение („седмица без хапче“), трябва да бъде проследявано серумното ниво на ламотригин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(например продължителна хормонална контрацепция или нехормонални методи; вижте точки 4.4 и 4.5).</w:t>
      </w:r>
    </w:p>
    <w:p w14:paraId="32B532FE" w14:textId="77777777" w:rsidR="00A9735A" w:rsidRPr="00A9735A" w:rsidRDefault="00A9735A" w:rsidP="00A9735A">
      <w:pPr>
        <w:spacing w:line="240" w:lineRule="auto"/>
        <w:rPr>
          <w:rFonts w:eastAsia="Times New Roman" w:cs="Arial"/>
          <w:i/>
          <w:iCs/>
          <w:color w:val="000000"/>
          <w:szCs w:val="20"/>
          <w:lang w:eastAsia="bg-BG"/>
        </w:rPr>
      </w:pPr>
    </w:p>
    <w:p w14:paraId="43B2ADB8" w14:textId="3FAEDF31"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Спиране на приема на хормонални контрацептиви при пациенти, които вече приемат поддържащи дози ламотригин и НЕ приемат индуктори на глюкуронирането на ламотригин</w:t>
      </w:r>
    </w:p>
    <w:p w14:paraId="38BF4F6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В повечето случаи е необходимо поддържащата доза на ламотригин да бъде намалена с до 50% (вижте точки 4.4 и 4.5). Препоръчва се постепенно намаляване на дневната доза на ламотригин с 50-100 </w:t>
      </w:r>
      <w:r w:rsidRPr="00A9735A">
        <w:rPr>
          <w:rFonts w:eastAsia="Times New Roman" w:cs="Arial"/>
          <w:color w:val="000000"/>
          <w:szCs w:val="20"/>
          <w:lang w:val="en-US"/>
        </w:rPr>
        <w:t>mg</w:t>
      </w:r>
      <w:r w:rsidRPr="00A9735A">
        <w:rPr>
          <w:rFonts w:eastAsia="Times New Roman" w:cs="Arial"/>
          <w:color w:val="000000"/>
          <w:szCs w:val="20"/>
          <w:lang w:val="ru-RU"/>
        </w:rPr>
        <w:t xml:space="preserve"> </w:t>
      </w:r>
      <w:r w:rsidRPr="00A9735A">
        <w:rPr>
          <w:rFonts w:eastAsia="Times New Roman" w:cs="Arial"/>
          <w:color w:val="000000"/>
          <w:szCs w:val="20"/>
          <w:lang w:eastAsia="bg-BG"/>
        </w:rPr>
        <w:t xml:space="preserve">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концентрации на </w:t>
      </w:r>
      <w:r w:rsidRPr="00A9735A">
        <w:rPr>
          <w:rFonts w:eastAsia="Times New Roman" w:cs="Arial"/>
          <w:color w:val="000000"/>
          <w:szCs w:val="20"/>
          <w:lang w:eastAsia="bg-BG"/>
        </w:rPr>
        <w:lastRenderedPageBreak/>
        <w:t>ламотригин преди и след спиране на хормоналните контрацептиви за потвърждаване, че се поддържа изходната концентрация на ламотригин.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серумното ниво на ламотригин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контрацептива не трябва да бъдат взимани проби за оценка на нивата на ламотригин.</w:t>
      </w:r>
    </w:p>
    <w:p w14:paraId="6E46DC0B" w14:textId="77777777" w:rsidR="00A9735A" w:rsidRPr="00A9735A" w:rsidRDefault="00A9735A" w:rsidP="00A9735A">
      <w:pPr>
        <w:spacing w:line="240" w:lineRule="auto"/>
        <w:rPr>
          <w:rFonts w:eastAsia="Times New Roman" w:cs="Arial"/>
          <w:i/>
          <w:iCs/>
          <w:color w:val="000000"/>
          <w:szCs w:val="20"/>
          <w:lang w:eastAsia="bg-BG"/>
        </w:rPr>
      </w:pPr>
    </w:p>
    <w:p w14:paraId="1E56CB70" w14:textId="6C720C18"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на терапия с ламотригин при пациентки, които вече приемат хормонални контрацептиви</w:t>
      </w:r>
    </w:p>
    <w:p w14:paraId="02C73C11"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Повишаването на дозата трябва да следва нормалните препоръчани дози, описани в таблиците.</w:t>
      </w:r>
    </w:p>
    <w:p w14:paraId="2322A26B" w14:textId="77777777" w:rsidR="00A9735A" w:rsidRPr="00A9735A" w:rsidRDefault="00A9735A" w:rsidP="00A9735A">
      <w:pPr>
        <w:spacing w:line="240" w:lineRule="auto"/>
        <w:rPr>
          <w:rFonts w:eastAsia="Times New Roman" w:cs="Arial"/>
          <w:i/>
          <w:iCs/>
          <w:color w:val="000000"/>
          <w:szCs w:val="20"/>
          <w:lang w:eastAsia="bg-BG"/>
        </w:rPr>
      </w:pPr>
    </w:p>
    <w:p w14:paraId="30580A61" w14:textId="2F747E6B"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Започване и спиране на приема на хормонални контрацептиви при пациентки, които вече приемат поддържащи дози ламотригин и ПРИЕМАТ индуктори на глюкуронирането на ламотригин</w:t>
      </w:r>
    </w:p>
    <w:p w14:paraId="3C92F98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Може да не се наложат корекции на препоръчваната поддържаща доза ламотригин.</w:t>
      </w:r>
    </w:p>
    <w:p w14:paraId="4148A2F5" w14:textId="77777777" w:rsidR="00A9735A" w:rsidRPr="00A9735A" w:rsidRDefault="00A9735A" w:rsidP="00A9735A">
      <w:pPr>
        <w:spacing w:line="240" w:lineRule="auto"/>
        <w:rPr>
          <w:rFonts w:eastAsia="Times New Roman" w:cs="Arial"/>
          <w:i/>
          <w:iCs/>
          <w:color w:val="000000"/>
          <w:szCs w:val="20"/>
          <w:lang w:eastAsia="bg-BG"/>
        </w:rPr>
      </w:pPr>
    </w:p>
    <w:p w14:paraId="6D7C0CDB" w14:textId="02BDAAA8"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Употреба с атазанавир/ритонавир</w:t>
      </w:r>
    </w:p>
    <w:p w14:paraId="4B0612B6"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атазанавир/ ритонавир. При пациентите, които вече приемат поддържащи дози ламотригин и не приемат индуктори на глюкуронирането на ламотригин, може да се наложи повишаване на дозата на ламотригин, ако се добавят атазанавир/ ритонавир или дозата на ламотригин да се понижи, ако приемът на атазанавир/ ритонавир се преустанови. Проследяване на плазмения ламотригин трябва да се извършва преди и в продължение на 2 седмици след започване или спиране на атазанавир/ритонавир, за да се установи дали се налага корекция на дозата на ламотригин (вижте точка 4.5).</w:t>
      </w:r>
    </w:p>
    <w:p w14:paraId="167AB14B" w14:textId="77777777" w:rsidR="00A9735A" w:rsidRPr="00A9735A" w:rsidRDefault="00A9735A" w:rsidP="00A9735A">
      <w:pPr>
        <w:rPr>
          <w:rFonts w:eastAsia="Times New Roman" w:cs="Arial"/>
          <w:i/>
          <w:iCs/>
          <w:color w:val="000000"/>
          <w:szCs w:val="20"/>
          <w:lang w:eastAsia="bg-BG"/>
        </w:rPr>
      </w:pPr>
    </w:p>
    <w:p w14:paraId="21B68A98" w14:textId="7BF051A6" w:rsidR="00841991" w:rsidRPr="00A9735A" w:rsidRDefault="00A9735A" w:rsidP="00A9735A">
      <w:pPr>
        <w:rPr>
          <w:rFonts w:eastAsia="Times New Roman" w:cs="Arial"/>
          <w:i/>
          <w:iCs/>
          <w:color w:val="000000"/>
          <w:szCs w:val="20"/>
          <w:lang w:eastAsia="bg-BG"/>
        </w:rPr>
      </w:pPr>
      <w:r w:rsidRPr="00A9735A">
        <w:rPr>
          <w:rFonts w:eastAsia="Times New Roman" w:cs="Arial"/>
          <w:i/>
          <w:iCs/>
          <w:color w:val="000000"/>
          <w:szCs w:val="20"/>
          <w:lang w:eastAsia="bg-BG"/>
        </w:rPr>
        <w:t>Употреба с лопинавир/ ритонавир</w:t>
      </w:r>
    </w:p>
    <w:p w14:paraId="7B093FE8"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Не би трябвало да са необходими корекции в препоръчителното повишаване на дозата на ламотригин, когато ламотригин се добавя към съществуваща терапия на лопинавир/ ритонавир. При пациентите, които вече приемат поддържащи дози ламотригин и не приемат индуктори на глюкуронирането на ламотригин, може да се наложи повишаване на дозата ламотригин, ако се добавят лопинавир/ ритонавир, или дозата на ламотригин да се понижи, ако приемът на лопинавир/ ритонавир се преустанови. Проследяване на плазмения ламотригин трябва да се провежда преди и в продължение на 2 седмици след започване или спиране на лопинавир/ ритонавир, за да се установи дали не се налага корекция на дозата ламотригин (вижте точка 4.5).</w:t>
      </w:r>
    </w:p>
    <w:p w14:paraId="463C5C80" w14:textId="77777777" w:rsidR="00A9735A" w:rsidRPr="00A9735A" w:rsidRDefault="00A9735A" w:rsidP="00A9735A">
      <w:pPr>
        <w:spacing w:line="240" w:lineRule="auto"/>
        <w:rPr>
          <w:rFonts w:eastAsia="Times New Roman" w:cs="Arial"/>
          <w:i/>
          <w:iCs/>
          <w:color w:val="000000"/>
          <w:szCs w:val="20"/>
          <w:u w:val="single"/>
          <w:lang w:eastAsia="bg-BG"/>
        </w:rPr>
      </w:pPr>
    </w:p>
    <w:p w14:paraId="2CE5AFBA" w14:textId="11AA1D8D"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Пациенти в старческа възраст (над 65 години)</w:t>
      </w:r>
    </w:p>
    <w:p w14:paraId="02934392" w14:textId="78F2B22B"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При тази група пациенти не е необходима промяна на дозата. Фармакокинетиката на ламотригин не се различава значително при пациенти в старческа възраст и възрастни (вижте точка 5.2).</w:t>
      </w:r>
    </w:p>
    <w:p w14:paraId="3477BA98" w14:textId="77777777" w:rsidR="00A9735A" w:rsidRPr="00A9735A" w:rsidRDefault="00A9735A" w:rsidP="00A9735A">
      <w:pPr>
        <w:spacing w:line="240" w:lineRule="auto"/>
        <w:rPr>
          <w:rFonts w:eastAsia="Times New Roman" w:cs="Arial"/>
          <w:i/>
          <w:iCs/>
          <w:color w:val="000000"/>
          <w:szCs w:val="20"/>
          <w:u w:val="single"/>
          <w:lang w:eastAsia="bg-BG"/>
        </w:rPr>
      </w:pPr>
    </w:p>
    <w:p w14:paraId="6693F913" w14:textId="63C26A5F"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Бъбречно увреждане</w:t>
      </w:r>
    </w:p>
    <w:p w14:paraId="55C74138"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Ламотригин трябва да се прилага внимателно при пациенти с бъбречна недостатъчност. При пациенти в краен стадий на бъбречна недостатъчност началните дози ламотригин трябва да са спрямо съпътстващия прием на лекарствени продукти от пациента. При пациенти със значимо бъбречно увреждане може да са ефикасни намалени поддържащи дози (вижте точки 4.4 и 5.2).</w:t>
      </w:r>
    </w:p>
    <w:p w14:paraId="0F8DA72B" w14:textId="77777777" w:rsidR="00A9735A" w:rsidRPr="00A9735A" w:rsidRDefault="00A9735A" w:rsidP="00A9735A">
      <w:pPr>
        <w:spacing w:line="240" w:lineRule="auto"/>
        <w:rPr>
          <w:rFonts w:eastAsia="Times New Roman" w:cs="Arial"/>
          <w:i/>
          <w:iCs/>
          <w:color w:val="000000"/>
          <w:szCs w:val="20"/>
          <w:u w:val="single"/>
          <w:lang w:eastAsia="bg-BG"/>
        </w:rPr>
      </w:pPr>
    </w:p>
    <w:p w14:paraId="581DE0BA" w14:textId="14B56FC5"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u w:val="single"/>
          <w:lang w:eastAsia="bg-BG"/>
        </w:rPr>
        <w:t>Чернодробно увреждане</w:t>
      </w:r>
    </w:p>
    <w:p w14:paraId="0D43222E"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Началната, поддържащата и дозата при повишаване трябва да се намалят приблизително с 50% при пациенти със умерено </w:t>
      </w:r>
      <w:r w:rsidRPr="00A9735A">
        <w:rPr>
          <w:rFonts w:eastAsia="Times New Roman" w:cs="Arial"/>
          <w:color w:val="000000"/>
          <w:szCs w:val="20"/>
          <w:lang w:val="ru-RU"/>
        </w:rPr>
        <w:t>(</w:t>
      </w:r>
      <w:r w:rsidRPr="00A9735A">
        <w:rPr>
          <w:rFonts w:eastAsia="Times New Roman" w:cs="Arial"/>
          <w:color w:val="000000"/>
          <w:szCs w:val="20"/>
          <w:lang w:val="en-US"/>
        </w:rPr>
        <w:t>Child</w:t>
      </w:r>
      <w:r w:rsidRPr="00A9735A">
        <w:rPr>
          <w:rFonts w:eastAsia="Times New Roman" w:cs="Arial"/>
          <w:color w:val="000000"/>
          <w:szCs w:val="20"/>
          <w:lang w:val="ru-RU"/>
        </w:rPr>
        <w:t>-</w:t>
      </w:r>
      <w:r w:rsidRPr="00A9735A">
        <w:rPr>
          <w:rFonts w:eastAsia="Times New Roman" w:cs="Arial"/>
          <w:color w:val="000000"/>
          <w:szCs w:val="20"/>
          <w:lang w:val="en-US"/>
        </w:rPr>
        <w:t>Pugh</w:t>
      </w:r>
      <w:r w:rsidRPr="00A9735A">
        <w:rPr>
          <w:rFonts w:eastAsia="Times New Roman" w:cs="Arial"/>
          <w:color w:val="000000"/>
          <w:szCs w:val="20"/>
          <w:lang w:val="ru-RU"/>
        </w:rPr>
        <w:t xml:space="preserve"> </w:t>
      </w:r>
      <w:r w:rsidRPr="00A9735A">
        <w:rPr>
          <w:rFonts w:eastAsia="Times New Roman" w:cs="Arial"/>
          <w:color w:val="000000"/>
          <w:szCs w:val="20"/>
          <w:lang w:eastAsia="bg-BG"/>
        </w:rPr>
        <w:t xml:space="preserve">клас В) чернодробно увреждане и със 75% при тежко </w:t>
      </w:r>
      <w:r w:rsidRPr="00A9735A">
        <w:rPr>
          <w:rFonts w:eastAsia="Times New Roman" w:cs="Arial"/>
          <w:color w:val="000000"/>
          <w:szCs w:val="20"/>
          <w:lang w:val="ru-RU"/>
        </w:rPr>
        <w:t>(</w:t>
      </w:r>
      <w:r w:rsidRPr="00A9735A">
        <w:rPr>
          <w:rFonts w:eastAsia="Times New Roman" w:cs="Arial"/>
          <w:color w:val="000000"/>
          <w:szCs w:val="20"/>
          <w:lang w:val="en-US"/>
        </w:rPr>
        <w:t>Child</w:t>
      </w:r>
      <w:r w:rsidRPr="00A9735A">
        <w:rPr>
          <w:rFonts w:eastAsia="Times New Roman" w:cs="Arial"/>
          <w:color w:val="000000"/>
          <w:szCs w:val="20"/>
          <w:lang w:val="ru-RU"/>
        </w:rPr>
        <w:t>-</w:t>
      </w:r>
      <w:r w:rsidRPr="00A9735A">
        <w:rPr>
          <w:rFonts w:eastAsia="Times New Roman" w:cs="Arial"/>
          <w:color w:val="000000"/>
          <w:szCs w:val="20"/>
          <w:lang w:val="en-US"/>
        </w:rPr>
        <w:t>Pugh</w:t>
      </w:r>
      <w:r w:rsidRPr="00A9735A">
        <w:rPr>
          <w:rFonts w:eastAsia="Times New Roman" w:cs="Arial"/>
          <w:color w:val="000000"/>
          <w:szCs w:val="20"/>
          <w:lang w:val="ru-RU"/>
        </w:rPr>
        <w:t xml:space="preserve"> </w:t>
      </w:r>
      <w:r w:rsidRPr="00A9735A">
        <w:rPr>
          <w:rFonts w:eastAsia="Times New Roman" w:cs="Arial"/>
          <w:color w:val="000000"/>
          <w:szCs w:val="20"/>
          <w:lang w:eastAsia="bg-BG"/>
        </w:rPr>
        <w:t>клас С) чернодробно увреждане. Дозата при повишаване и поддържащата доза трябва да се приспособят в съответствие с клиничния отговор (вижте точка 5.2).</w:t>
      </w:r>
    </w:p>
    <w:p w14:paraId="2F225CEF" w14:textId="77777777" w:rsidR="00A9735A" w:rsidRPr="00A9735A" w:rsidRDefault="00A9735A" w:rsidP="00A9735A">
      <w:pPr>
        <w:spacing w:line="240" w:lineRule="auto"/>
        <w:rPr>
          <w:rFonts w:eastAsia="Times New Roman" w:cs="Arial"/>
          <w:color w:val="000000"/>
          <w:szCs w:val="20"/>
          <w:u w:val="single"/>
          <w:lang w:eastAsia="bg-BG"/>
        </w:rPr>
      </w:pPr>
    </w:p>
    <w:p w14:paraId="6382F3AF" w14:textId="4852E4DA" w:rsidR="00A9735A" w:rsidRPr="00A9735A" w:rsidRDefault="00A9735A" w:rsidP="00A9735A">
      <w:pPr>
        <w:pStyle w:val="Heading3"/>
        <w:rPr>
          <w:rFonts w:eastAsia="Times New Roman"/>
          <w:sz w:val="28"/>
        </w:rPr>
      </w:pPr>
      <w:r w:rsidRPr="00A9735A">
        <w:rPr>
          <w:rFonts w:eastAsia="Times New Roman"/>
          <w:lang w:eastAsia="bg-BG"/>
        </w:rPr>
        <w:t>Начин на приложение</w:t>
      </w:r>
    </w:p>
    <w:p w14:paraId="31CB6A86"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Таблетките трябва да се приемат цели с малко вода.</w:t>
      </w:r>
    </w:p>
    <w:p w14:paraId="4D79517A" w14:textId="77777777" w:rsidR="00A9735A" w:rsidRPr="00841991" w:rsidRDefault="00A9735A" w:rsidP="00A9735A"/>
    <w:p w14:paraId="0F253247" w14:textId="3B6E9579" w:rsidR="007122AD" w:rsidRDefault="002C50EE" w:rsidP="00936AD0">
      <w:pPr>
        <w:pStyle w:val="Heading2"/>
      </w:pPr>
      <w:r>
        <w:t>4.3. Противопоказания</w:t>
      </w:r>
    </w:p>
    <w:p w14:paraId="1C691229" w14:textId="05EA6226" w:rsidR="00A9735A" w:rsidRDefault="00A9735A" w:rsidP="00A9735A"/>
    <w:p w14:paraId="0BC40893" w14:textId="1E87123D" w:rsidR="00A9735A" w:rsidRDefault="00A9735A" w:rsidP="00A9735A">
      <w:pPr>
        <w:rPr>
          <w:lang w:eastAsia="bg-BG"/>
        </w:rPr>
      </w:pPr>
      <w:r w:rsidRPr="00A9735A">
        <w:rPr>
          <w:lang w:eastAsia="bg-BG"/>
        </w:rPr>
        <w:t>Свръхчувствителност към активното вещество или към някое от помощните вещества, изброени в точка 6.1.</w:t>
      </w:r>
    </w:p>
    <w:p w14:paraId="3ED35FB0" w14:textId="77777777" w:rsidR="00A9735A" w:rsidRPr="00A9735A" w:rsidRDefault="00A9735A" w:rsidP="00A9735A">
      <w:pPr>
        <w:rPr>
          <w:sz w:val="24"/>
          <w:szCs w:val="24"/>
        </w:rPr>
      </w:pPr>
    </w:p>
    <w:p w14:paraId="0E0BDCC7" w14:textId="4E0ABF40" w:rsidR="007122AD" w:rsidRDefault="002C50EE" w:rsidP="00936AD0">
      <w:pPr>
        <w:pStyle w:val="Heading2"/>
      </w:pPr>
      <w:r>
        <w:t>4.4. Специални предупреждения и предпазни мерки при употреба</w:t>
      </w:r>
    </w:p>
    <w:p w14:paraId="0D57CBB3" w14:textId="7C2E5682" w:rsidR="00A9735A" w:rsidRDefault="00A9735A" w:rsidP="00A9735A"/>
    <w:p w14:paraId="1D90ED17"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Кожен обрив</w:t>
      </w:r>
    </w:p>
    <w:p w14:paraId="5BE4522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Съобщавани са кожни нежелани реакции, които обичайно се проявяват през първите 8 седмици след започване на лечението с ламотригин. Повечето обриви са леки и самоограничени, но въпреки това са съобщавани тежки обриви, които изискват хоспитализация и преустановяване на лечението с ламотригин. Те включват потенциално животозастрашаващи обриви като Синдром на Стивънс-Джонсън, токсична епидермална некролиза и лекарствена реакция с еозинофилия и системни симптоми; също известно като синдром на свръхчувствителност (вижте точка 4.8).</w:t>
      </w:r>
    </w:p>
    <w:p w14:paraId="0B30B214" w14:textId="77777777" w:rsidR="00A9735A" w:rsidRPr="00A9735A" w:rsidRDefault="00A9735A" w:rsidP="00A9735A">
      <w:pPr>
        <w:rPr>
          <w:rFonts w:eastAsia="Times New Roman" w:cs="Arial"/>
          <w:color w:val="000000"/>
          <w:lang w:eastAsia="bg-BG"/>
        </w:rPr>
      </w:pPr>
    </w:p>
    <w:p w14:paraId="40585C05" w14:textId="77777777" w:rsidR="00A9735A" w:rsidRPr="00A9735A" w:rsidRDefault="00A9735A" w:rsidP="00A9735A">
      <w:pPr>
        <w:rPr>
          <w:rFonts w:eastAsia="Times New Roman" w:cs="Arial"/>
        </w:rPr>
      </w:pPr>
      <w:r w:rsidRPr="00A9735A">
        <w:rPr>
          <w:rFonts w:eastAsia="Times New Roman" w:cs="Arial"/>
          <w:color w:val="000000"/>
          <w:lang w:eastAsia="bg-BG"/>
        </w:rPr>
        <w:t>При възрастни пациенти, включени в изпитвания, използващи ламотригин— и препоръчваните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Стивънс-Джонсън (1 на 1000). В клиничните изпитвания при пациенти с биполярно разстройство броят на наблюдаваните случаи с тежък обрив е приблизително 1 на 1000.</w:t>
      </w:r>
    </w:p>
    <w:p w14:paraId="7075CBCB" w14:textId="77777777" w:rsidR="00A9735A" w:rsidRPr="00A9735A" w:rsidRDefault="00A9735A" w:rsidP="00A9735A">
      <w:pPr>
        <w:spacing w:line="240" w:lineRule="auto"/>
        <w:rPr>
          <w:rFonts w:eastAsia="Times New Roman" w:cs="Arial"/>
          <w:color w:val="000000"/>
          <w:lang w:eastAsia="bg-BG"/>
        </w:rPr>
      </w:pPr>
    </w:p>
    <w:p w14:paraId="18CF085B" w14:textId="02E3991E" w:rsidR="00A9735A" w:rsidRPr="00A9735A" w:rsidRDefault="00A9735A" w:rsidP="00A9735A">
      <w:pPr>
        <w:spacing w:line="240" w:lineRule="auto"/>
        <w:rPr>
          <w:rFonts w:eastAsia="Times New Roman" w:cs="Arial"/>
        </w:rPr>
      </w:pPr>
      <w:r w:rsidRPr="00A9735A">
        <w:rPr>
          <w:rFonts w:eastAsia="Times New Roman" w:cs="Arial"/>
          <w:color w:val="000000"/>
          <w:lang w:eastAsia="bg-BG"/>
        </w:rPr>
        <w:t>Началните прояви на обрив при деца може погрешно да бъдат диагностицирани като инфекция. Лекарят винаги трябва да има предвид възможността за нежелана кожна реакция при деца, които развият обрив и фебрилитет през първите осем седмици от лечението.</w:t>
      </w:r>
    </w:p>
    <w:p w14:paraId="25B098D3" w14:textId="77777777" w:rsidR="00A9735A" w:rsidRPr="00A9735A" w:rsidRDefault="00A9735A" w:rsidP="00A9735A">
      <w:pPr>
        <w:spacing w:line="240" w:lineRule="auto"/>
        <w:rPr>
          <w:rFonts w:eastAsia="Times New Roman" w:cs="Arial"/>
          <w:color w:val="000000"/>
          <w:lang w:eastAsia="bg-BG"/>
        </w:rPr>
      </w:pPr>
    </w:p>
    <w:p w14:paraId="35393326" w14:textId="77777777"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В допълнение, рискът от поява на обрив зависи от </w:t>
      </w:r>
    </w:p>
    <w:p w14:paraId="076FF7CE" w14:textId="77777777"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прием на високи начални дози ламотригин и превишаване на препоръчаната доза за повишаване (вижте точка 4.2)</w:t>
      </w:r>
    </w:p>
    <w:p w14:paraId="29CBE9D8" w14:textId="3B3F536B"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е едновременно прилагане на валпроат (вижте точка 4.2).</w:t>
      </w:r>
    </w:p>
    <w:p w14:paraId="215A75CE" w14:textId="77777777" w:rsidR="00A9735A" w:rsidRPr="00A9735A" w:rsidRDefault="00A9735A" w:rsidP="00A9735A">
      <w:pPr>
        <w:spacing w:line="240" w:lineRule="auto"/>
        <w:rPr>
          <w:rFonts w:eastAsia="Times New Roman" w:cs="Arial"/>
          <w:color w:val="000000"/>
          <w:lang w:eastAsia="bg-BG"/>
        </w:rPr>
      </w:pPr>
    </w:p>
    <w:p w14:paraId="0ED6DF2F" w14:textId="721817EB" w:rsidR="00A9735A" w:rsidRPr="00A9735A" w:rsidRDefault="00A9735A" w:rsidP="00A9735A">
      <w:pPr>
        <w:spacing w:line="240" w:lineRule="auto"/>
        <w:rPr>
          <w:rFonts w:eastAsia="Times New Roman" w:cs="Arial"/>
        </w:rPr>
      </w:pPr>
      <w:r w:rsidRPr="00A9735A">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ламотригин е около три пъти по-висока при такива пациенти в сравнение с тези без подобна анамнеза.</w:t>
      </w:r>
    </w:p>
    <w:p w14:paraId="3D04AEE7" w14:textId="77777777" w:rsidR="00A9735A" w:rsidRPr="00A9735A" w:rsidRDefault="00A9735A" w:rsidP="00A9735A">
      <w:pPr>
        <w:spacing w:line="240" w:lineRule="auto"/>
        <w:rPr>
          <w:rFonts w:eastAsia="Times New Roman" w:cs="Arial"/>
          <w:color w:val="000000"/>
          <w:lang w:eastAsia="bg-BG"/>
        </w:rPr>
      </w:pPr>
    </w:p>
    <w:p w14:paraId="643CCE23" w14:textId="6D825BB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Всички пациенти (възрастни и деца), които развият обрив, трябва да бъдат прегледани и лечението с ламотригин да бъде преустановено незабавно, освен ако обривът категорично не е свързан с приема на ламотригин. Препоръчва се приемът на ламотригин да не се възобновява при пациенти, които са го преустановили поради обрив, свързан с предходно лечение с ламотригин, освен ако потенциалната полза не превишава съществено риска. Ако пациентите развият Синдром на Стивънс-Джонсън, токсична епидермална некролиза или лекарствена реакция с еозинофилия и системни симптоми по време на лечение с ламотригин, лечението с ламотригин при тези пациенти не бива да бъде възобновявано.</w:t>
      </w:r>
    </w:p>
    <w:p w14:paraId="385124D6" w14:textId="77777777" w:rsidR="00A9735A" w:rsidRPr="00A9735A" w:rsidRDefault="00A9735A" w:rsidP="00A9735A">
      <w:pPr>
        <w:spacing w:line="240" w:lineRule="auto"/>
        <w:rPr>
          <w:rFonts w:eastAsia="Times New Roman" w:cs="Arial"/>
          <w:color w:val="000000"/>
          <w:lang w:eastAsia="bg-BG"/>
        </w:rPr>
      </w:pPr>
    </w:p>
    <w:p w14:paraId="0BBCFA2C" w14:textId="77B6BBD7" w:rsidR="00A9735A" w:rsidRPr="00A9735A" w:rsidRDefault="00A9735A" w:rsidP="00A9735A">
      <w:pPr>
        <w:spacing w:line="240" w:lineRule="auto"/>
        <w:rPr>
          <w:rFonts w:eastAsia="Times New Roman" w:cs="Arial"/>
        </w:rPr>
      </w:pPr>
      <w:r w:rsidRPr="00A9735A">
        <w:rPr>
          <w:rFonts w:eastAsia="Times New Roman" w:cs="Arial"/>
          <w:color w:val="000000"/>
          <w:lang w:eastAsia="bg-BG"/>
        </w:rPr>
        <w:t>Обрив е съобщаван и като част от синдром на свръхчувствителност, който включва различни симптоми като повишена температура, лимфаденопатия, отоци по лицето и хематологични или чернодробни нарушения и асептичен менингит (вижте точка 4.8). Тежестта на клиничните прояви на този синдром е различна при отделните пациенти, като в редки случаи може да доведе до дисеминирана интраваскуларна коагулация (ДИК) и многоораганна недостатъчност. Важно е да се отбележи, че ранните белези на свръхчувствителност (например треска и лимфаденопатия) могат да са налични преди поява на обрива. Ако са налични подобни симптоми, пациентът трябва да бъде незабавно прегледан. Ако не може да се установи алтернативна причина за симптомите, ламотригин трябва да бъде спрян.</w:t>
      </w:r>
    </w:p>
    <w:p w14:paraId="1F74D641" w14:textId="77777777" w:rsidR="00A9735A" w:rsidRPr="00A9735A" w:rsidRDefault="00A9735A" w:rsidP="00A9735A">
      <w:pPr>
        <w:spacing w:line="240" w:lineRule="auto"/>
        <w:rPr>
          <w:rFonts w:eastAsia="Times New Roman" w:cs="Arial"/>
          <w:color w:val="000000"/>
          <w:lang w:eastAsia="bg-BG"/>
        </w:rPr>
      </w:pPr>
    </w:p>
    <w:p w14:paraId="6BD61B36" w14:textId="1BFEF7CB"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повечено случаи асептичният менингит е обратим при спиране на приема на лекарството, но при някои случаи се повтаря при повторна употреба на ламотригин. Повторната употреба води до бързо възобновяване на симптомите, които често са по</w:t>
      </w:r>
      <w:r w:rsidRPr="00A9735A">
        <w:rPr>
          <w:rFonts w:eastAsia="Times New Roman" w:cs="Arial"/>
          <w:color w:val="000000"/>
          <w:lang w:eastAsia="bg-BG"/>
        </w:rPr>
        <w:softHyphen/>
        <w:t>чести. Приемът на ламотригин не трябва да се възобновява при пациенти, при които е спрян поради асептичен менингит, свързан с предходно лечение с ламотригин.</w:t>
      </w:r>
    </w:p>
    <w:p w14:paraId="66A30C6C" w14:textId="77777777" w:rsidR="00A9735A" w:rsidRPr="00A9735A" w:rsidRDefault="00A9735A" w:rsidP="00A9735A">
      <w:pPr>
        <w:rPr>
          <w:rFonts w:eastAsia="Times New Roman" w:cs="Arial"/>
          <w:color w:val="000000"/>
          <w:lang w:eastAsia="bg-BG"/>
        </w:rPr>
      </w:pPr>
    </w:p>
    <w:p w14:paraId="07CA0D59"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Има също съобщения за реакции на фоточувствителност, свързани с употребата на ламотрижин (вж. точка 4.8). В няколко случая реакцията е настъпила при висока доза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ламотрижин фоточувствителност (напр. прекомерно слънчево изгаряне), трябва да се обмисли прекратяване на лечението. Ако продължаването на лечението с ламотрижин се счита за клинично обосновано, пациентът трябва да бъде посъветван да избягва излагане на слънчева светлина и на изкуствена </w:t>
      </w:r>
      <w:r w:rsidRPr="00A9735A">
        <w:rPr>
          <w:rFonts w:eastAsia="Times New Roman" w:cs="Arial"/>
          <w:color w:val="000000"/>
          <w:lang w:val="en-US"/>
        </w:rPr>
        <w:t>UV</w:t>
      </w:r>
      <w:r w:rsidRPr="00A9735A">
        <w:rPr>
          <w:rFonts w:eastAsia="Times New Roman" w:cs="Arial"/>
          <w:color w:val="000000"/>
          <w:lang w:val="ru-RU"/>
        </w:rPr>
        <w:t xml:space="preserve"> </w:t>
      </w:r>
      <w:r w:rsidRPr="00A9735A">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79DE3FE2" w14:textId="77777777" w:rsidR="00A9735A" w:rsidRPr="00A9735A" w:rsidRDefault="00A9735A" w:rsidP="00A9735A">
      <w:pPr>
        <w:spacing w:line="240" w:lineRule="auto"/>
        <w:rPr>
          <w:rFonts w:eastAsia="Times New Roman" w:cs="Arial"/>
          <w:color w:val="000000"/>
          <w:u w:val="single"/>
          <w:lang w:eastAsia="bg-BG"/>
        </w:rPr>
      </w:pPr>
    </w:p>
    <w:p w14:paraId="6D6EBF5C" w14:textId="4526BAEF"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Влошаване на клиничното състояние и суициден риск</w:t>
      </w:r>
    </w:p>
    <w:p w14:paraId="4CB016D2"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пациенти, лекувани с АЕЛ по различни показания са съобщавани суицидна идеация и поведение. Мета-анализ на рандомизирани, плацебо-контролирани изпитвания на АЕЛ също показва леко повишен риск от суицидна идеация и поведение. Механизмът на този риск не е ясен и наличните данни не изключват възможността за повишен риск при ламотригин.</w:t>
      </w:r>
    </w:p>
    <w:p w14:paraId="32C579BA" w14:textId="77777777" w:rsidR="00A9735A" w:rsidRPr="00A9735A" w:rsidRDefault="00A9735A" w:rsidP="00A9735A">
      <w:pPr>
        <w:spacing w:line="240" w:lineRule="auto"/>
        <w:rPr>
          <w:rFonts w:eastAsia="Times New Roman" w:cs="Arial"/>
          <w:color w:val="000000"/>
          <w:lang w:eastAsia="bg-BG"/>
        </w:rPr>
      </w:pPr>
    </w:p>
    <w:p w14:paraId="1A684D6F" w14:textId="5E45B1DE" w:rsidR="00A9735A" w:rsidRPr="00A9735A" w:rsidRDefault="00A9735A" w:rsidP="00A9735A">
      <w:pPr>
        <w:spacing w:line="240" w:lineRule="auto"/>
        <w:rPr>
          <w:rFonts w:eastAsia="Times New Roman" w:cs="Arial"/>
        </w:rPr>
      </w:pPr>
      <w:r w:rsidRPr="00A9735A">
        <w:rPr>
          <w:rFonts w:eastAsia="Times New Roman" w:cs="Arial"/>
          <w:color w:val="000000"/>
          <w:lang w:eastAsia="bg-BG"/>
        </w:rPr>
        <w:t>Затова пациентите трябва да бъдат проследявани за признаци на суицидна идеация и поведение и трябва да се предприеме сътветното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w:t>
      </w:r>
    </w:p>
    <w:p w14:paraId="6EB6D23E" w14:textId="77777777" w:rsidR="00A9735A" w:rsidRPr="00A9735A" w:rsidRDefault="00A9735A" w:rsidP="00A9735A">
      <w:pPr>
        <w:spacing w:line="240" w:lineRule="auto"/>
        <w:rPr>
          <w:rFonts w:eastAsia="Times New Roman" w:cs="Arial"/>
          <w:color w:val="000000"/>
          <w:lang w:eastAsia="bg-BG"/>
        </w:rPr>
      </w:pPr>
    </w:p>
    <w:p w14:paraId="2E6F5851" w14:textId="5CDB938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При пациенти с биполярно разстройство може да настъпят влошаване на депресивните симптоми и/ или поява на суицидност независимо дали приемат или не приемат лекарства за лечение на биполярно разстройство, включително ламотригин. Затова пациентите, които приемат ламотригин за биполярно разстройство трябва да бъдат внимателно проследявани за влошаване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по-висок риск за мисли и опити за самоубийство и трябва да бъдат проследявани внимателно по време на лечението.</w:t>
      </w:r>
    </w:p>
    <w:p w14:paraId="53403302" w14:textId="77777777" w:rsidR="00A9735A" w:rsidRPr="00A9735A" w:rsidRDefault="00A9735A" w:rsidP="00A9735A">
      <w:pPr>
        <w:spacing w:line="240" w:lineRule="auto"/>
        <w:rPr>
          <w:rFonts w:eastAsia="Times New Roman" w:cs="Arial"/>
          <w:color w:val="000000"/>
          <w:lang w:eastAsia="bg-BG"/>
        </w:rPr>
      </w:pPr>
    </w:p>
    <w:p w14:paraId="009BEFB9" w14:textId="76AC8390" w:rsidR="00A9735A" w:rsidRPr="00A9735A" w:rsidRDefault="00A9735A" w:rsidP="00A9735A">
      <w:pPr>
        <w:spacing w:line="240" w:lineRule="auto"/>
        <w:rPr>
          <w:rFonts w:eastAsia="Times New Roman" w:cs="Arial"/>
        </w:rPr>
      </w:pPr>
      <w:r w:rsidRPr="00A9735A">
        <w:rPr>
          <w:rFonts w:eastAsia="Times New Roman" w:cs="Arial"/>
          <w:color w:val="000000"/>
          <w:lang w:eastAsia="bg-BG"/>
        </w:rPr>
        <w:t>Трябва да се обмисли промяна в схемата на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 или поява на суицидни мисли/ поведение, особено ако симптомите са тежки, внезапно появяващи се или не са част от настоящите симптоми на пациента.</w:t>
      </w:r>
    </w:p>
    <w:p w14:paraId="32576874" w14:textId="77777777" w:rsidR="00A9735A" w:rsidRPr="00A9735A" w:rsidRDefault="00A9735A" w:rsidP="00A9735A">
      <w:pPr>
        <w:spacing w:line="240" w:lineRule="auto"/>
        <w:rPr>
          <w:rFonts w:eastAsia="Times New Roman" w:cs="Arial"/>
          <w:color w:val="000000"/>
          <w:u w:val="single"/>
          <w:lang w:eastAsia="bg-BG"/>
        </w:rPr>
      </w:pPr>
    </w:p>
    <w:p w14:paraId="79484CF1" w14:textId="60F1ABC4"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Хормонални контрацептиви</w:t>
      </w:r>
    </w:p>
    <w:p w14:paraId="65BCB75B"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Ефекти на хормоналните контрацептиви върху ефикасността на ламотригин</w:t>
      </w:r>
    </w:p>
    <w:p w14:paraId="13D3028A"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Установено е, че комбинацията етинилестрадиол/левоноргестрел (30 μ</w:t>
      </w:r>
      <w:r w:rsidRPr="00A9735A">
        <w:rPr>
          <w:rFonts w:eastAsia="Times New Roman" w:cs="Arial"/>
          <w:color w:val="000000"/>
          <w:lang w:val="en-US"/>
        </w:rPr>
        <w:t>g</w:t>
      </w:r>
      <w:r w:rsidRPr="00A9735A">
        <w:rPr>
          <w:rFonts w:eastAsia="Times New Roman" w:cs="Arial"/>
          <w:color w:val="000000"/>
          <w:lang w:val="ru-RU"/>
        </w:rPr>
        <w:t>/</w:t>
      </w:r>
      <w:r w:rsidRPr="00A9735A">
        <w:rPr>
          <w:rFonts w:eastAsia="Times New Roman" w:cs="Arial"/>
          <w:color w:val="000000"/>
          <w:lang w:eastAsia="bg-BG"/>
        </w:rPr>
        <w:t xml:space="preserve">150 </w:t>
      </w:r>
      <w:r w:rsidRPr="00A9735A">
        <w:rPr>
          <w:rFonts w:eastAsia="Times New Roman" w:cs="Arial"/>
          <w:color w:val="000000"/>
          <w:lang w:val="en-US"/>
        </w:rPr>
        <w:t>pg</w:t>
      </w:r>
      <w:r w:rsidRPr="00A9735A">
        <w:rPr>
          <w:rFonts w:eastAsia="Times New Roman" w:cs="Arial"/>
          <w:color w:val="000000"/>
          <w:lang w:val="ru-RU"/>
        </w:rPr>
        <w:t xml:space="preserve">) </w:t>
      </w:r>
      <w:r w:rsidRPr="00A9735A">
        <w:rPr>
          <w:rFonts w:eastAsia="Times New Roman" w:cs="Arial"/>
          <w:color w:val="000000"/>
          <w:lang w:eastAsia="bg-BG"/>
        </w:rPr>
        <w:t>повишава клирънса на ламотригин приблизително два пъти, което води до намаляване на нивата на ламотригин (вижте точка 4.5). Понижаването на нивата на ламотригин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ламотригин (приблизително два пъти по-високи). При преустановяването на приема на хормоналните контрацептиви, клирънсът на ламотригин може да намалее наполовина. Повишаването на концентрациите на ламотригин може да бъде свързано с дозозависими нежелани събития. По тази причина състоянието на пациентите трябва да бъде проследявано.</w:t>
      </w:r>
    </w:p>
    <w:p w14:paraId="15DA6292" w14:textId="77777777" w:rsidR="00A9735A" w:rsidRPr="00A9735A" w:rsidRDefault="00A9735A" w:rsidP="00A9735A">
      <w:pPr>
        <w:rPr>
          <w:rFonts w:eastAsia="Times New Roman" w:cs="Arial"/>
          <w:color w:val="000000"/>
          <w:lang w:eastAsia="bg-BG"/>
        </w:rPr>
      </w:pPr>
    </w:p>
    <w:p w14:paraId="381B6C17" w14:textId="77777777" w:rsidR="00A9735A" w:rsidRPr="00A9735A" w:rsidRDefault="00A9735A" w:rsidP="00A9735A">
      <w:pPr>
        <w:rPr>
          <w:rFonts w:eastAsia="Times New Roman" w:cs="Arial"/>
        </w:rPr>
      </w:pPr>
      <w:r w:rsidRPr="00A9735A">
        <w:rPr>
          <w:rFonts w:eastAsia="Times New Roman" w:cs="Arial"/>
          <w:color w:val="000000"/>
          <w:lang w:eastAsia="bg-BG"/>
        </w:rPr>
        <w:t>При жени, които не приемат индуктор на глюкуронирането на ламотригин и хормонален контрацептив, чиято схема включва една седмица на неактивно лечение (седмица без прием на контрацептива) е установено постепенно временно покачване на нивата на ламотригин по време на седмицата без прием на контрацептива (вижте точка 4.2). Вариациите в нивата на ламотригин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контрацептива като лечение от първа линия (например продължителна хормонална контрацепция или нехормонални методи).</w:t>
      </w:r>
    </w:p>
    <w:p w14:paraId="39088A71" w14:textId="77777777" w:rsidR="00A9735A" w:rsidRPr="00A9735A" w:rsidRDefault="00A9735A" w:rsidP="00A9735A">
      <w:pPr>
        <w:spacing w:line="240" w:lineRule="auto"/>
        <w:rPr>
          <w:rFonts w:eastAsia="Times New Roman" w:cs="Arial"/>
          <w:color w:val="000000"/>
          <w:lang w:eastAsia="bg-BG"/>
        </w:rPr>
      </w:pPr>
    </w:p>
    <w:p w14:paraId="0F0E72FE" w14:textId="78E66047" w:rsidR="00A9735A" w:rsidRPr="00A9735A" w:rsidRDefault="00A9735A" w:rsidP="00A9735A">
      <w:pPr>
        <w:spacing w:line="240" w:lineRule="auto"/>
        <w:rPr>
          <w:rFonts w:eastAsia="Times New Roman" w:cs="Arial"/>
        </w:rPr>
      </w:pPr>
      <w:r w:rsidRPr="00A9735A">
        <w:rPr>
          <w:rFonts w:eastAsia="Times New Roman" w:cs="Arial"/>
          <w:color w:val="000000"/>
          <w:lang w:eastAsia="bg-BG"/>
        </w:rPr>
        <w:t>Не са провеждани проучвания за взаимодействия с други перорални контрацептиви или с хормонални заместител ни терапии и ламотригин, въпреки че е възможно те да повлияят фармакокинетичните параметри на ламотриги по подобен начин.</w:t>
      </w:r>
    </w:p>
    <w:p w14:paraId="2F80BD2E" w14:textId="77777777" w:rsidR="00A9735A" w:rsidRPr="00A9735A" w:rsidRDefault="00A9735A" w:rsidP="00A9735A">
      <w:pPr>
        <w:spacing w:line="240" w:lineRule="auto"/>
        <w:rPr>
          <w:rFonts w:eastAsia="Times New Roman" w:cs="Arial"/>
          <w:i/>
          <w:iCs/>
          <w:color w:val="000000"/>
          <w:lang w:eastAsia="bg-BG"/>
        </w:rPr>
      </w:pPr>
    </w:p>
    <w:p w14:paraId="385E3C70" w14:textId="4898F8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Ефекти на ламотригин върху ефикасността на хормоналните контрацептиви</w:t>
      </w:r>
    </w:p>
    <w:p w14:paraId="1241571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ламотригин и хормонален контрацептив (комбинация етинилестрадиол/ левоноргестрел) е налице умерено увеличение на клирънса на левоноргестрел и промени в серумните фоликулстимулиращ хормон </w:t>
      </w:r>
      <w:r w:rsidRPr="00A9735A">
        <w:rPr>
          <w:rFonts w:eastAsia="Times New Roman" w:cs="Arial"/>
          <w:color w:val="000000"/>
          <w:lang w:val="ru-RU"/>
        </w:rPr>
        <w:t>(</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eastAsia="bg-BG"/>
        </w:rPr>
        <w:t xml:space="preserve">и лутеинизиращ хормон </w:t>
      </w:r>
      <w:r w:rsidRPr="00A9735A">
        <w:rPr>
          <w:rFonts w:eastAsia="Times New Roman" w:cs="Arial"/>
          <w:color w:val="000000"/>
          <w:lang w:val="ru-RU"/>
        </w:rPr>
        <w:t>(</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(вижте точка 4.5). Не е изяснено влиянието на тези промени върху овариалната овулаторна активност. Не може обаче да бъде изключена </w:t>
      </w:r>
      <w:r w:rsidRPr="00A9735A">
        <w:rPr>
          <w:rFonts w:eastAsia="Times New Roman" w:cs="Arial"/>
          <w:color w:val="000000"/>
          <w:lang w:eastAsia="bg-BG"/>
        </w:rPr>
        <w:lastRenderedPageBreak/>
        <w:t>възможността при някои пациенти, приемащи ламотригин заедно с хормонални контрацептиви, тези промени да предизвикат намаляване на контрацептивната ефикасност. Затова пациентките трябва да бъдат инструктирани да съобщават за промени в менструалния си цикъл, например интерменструално кървене.</w:t>
      </w:r>
    </w:p>
    <w:p w14:paraId="68E2E58E" w14:textId="77777777" w:rsidR="00A9735A" w:rsidRPr="00A9735A" w:rsidRDefault="00A9735A" w:rsidP="00A9735A">
      <w:pPr>
        <w:spacing w:line="240" w:lineRule="auto"/>
        <w:rPr>
          <w:rFonts w:eastAsia="Times New Roman" w:cs="Arial"/>
          <w:color w:val="000000"/>
          <w:u w:val="single"/>
          <w:lang w:eastAsia="bg-BG"/>
        </w:rPr>
      </w:pPr>
    </w:p>
    <w:p w14:paraId="6FB64B31" w14:textId="17B3D444"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Дихидрофолат резуктаза</w:t>
      </w:r>
    </w:p>
    <w:p w14:paraId="3F6F881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Ламотригин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(вижте точка 4.6). Въпреки това, при продължително лечение с ламотригин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от една година. Не се установява промяна и в концентрациите на фолат в еритроцитите за период до 5 години.</w:t>
      </w:r>
    </w:p>
    <w:p w14:paraId="421854D1" w14:textId="77777777" w:rsidR="00A9735A" w:rsidRPr="00A9735A" w:rsidRDefault="00A9735A" w:rsidP="00A9735A">
      <w:pPr>
        <w:spacing w:line="240" w:lineRule="auto"/>
        <w:rPr>
          <w:rFonts w:eastAsia="Times New Roman" w:cs="Arial"/>
          <w:color w:val="000000"/>
          <w:u w:val="single"/>
          <w:lang w:eastAsia="bg-BG"/>
        </w:rPr>
      </w:pPr>
    </w:p>
    <w:p w14:paraId="34C4CCC6" w14:textId="638D62E8"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Бъбречна недостатъчност</w:t>
      </w:r>
    </w:p>
    <w:p w14:paraId="7CF0896A"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изследване на пациенти с терминална бъбречна недостатъчност при приложение на еднократна доза ламотригин не се установяват значими промени в плазмените концентрации на ламотригин. Въпреки това, може да бъде очаквано натрупване на глюкуронирания метаболит на продукта. Препоръчва се повишено внимание при лечение на пациенти с бъбречна недостатъчност.</w:t>
      </w:r>
    </w:p>
    <w:p w14:paraId="11C0EC57" w14:textId="77777777" w:rsidR="00A9735A" w:rsidRPr="00A9735A" w:rsidRDefault="00A9735A" w:rsidP="00A9735A">
      <w:pPr>
        <w:spacing w:line="240" w:lineRule="auto"/>
        <w:rPr>
          <w:rFonts w:eastAsia="Times New Roman" w:cs="Arial"/>
          <w:color w:val="000000"/>
          <w:u w:val="single"/>
          <w:lang w:eastAsia="bg-BG"/>
        </w:rPr>
      </w:pPr>
    </w:p>
    <w:p w14:paraId="32D49E45" w14:textId="3A7ABD6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Пациенти, лекувани с други продукти, които съдържат ламотригин</w:t>
      </w:r>
    </w:p>
    <w:p w14:paraId="21C8932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Ламотригин не трябва да се прилага без консултация с лекар при пациенти, лекувани понастоящем с други продукти, които съдържат ламотригин.</w:t>
      </w:r>
    </w:p>
    <w:p w14:paraId="3AB0CF55" w14:textId="77777777" w:rsidR="00A9735A" w:rsidRPr="00A9735A" w:rsidRDefault="00A9735A" w:rsidP="00A9735A">
      <w:pPr>
        <w:spacing w:line="240" w:lineRule="auto"/>
        <w:rPr>
          <w:rFonts w:eastAsia="Times New Roman" w:cs="Arial"/>
          <w:color w:val="000000"/>
          <w:lang w:eastAsia="bg-BG"/>
        </w:rPr>
      </w:pPr>
    </w:p>
    <w:p w14:paraId="26C25A6C" w14:textId="313789DE"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ЛАМОТРИКС съдържа лактоза. Пациентите с редки наследствени проблеми на галактозна непоносимост, </w:t>
      </w:r>
      <w:r w:rsidRPr="00A9735A">
        <w:rPr>
          <w:rFonts w:eastAsia="Times New Roman" w:cs="Arial"/>
          <w:color w:val="000000"/>
          <w:lang w:val="en-US"/>
        </w:rPr>
        <w:t>Lapp</w:t>
      </w:r>
      <w:r w:rsidRPr="00A9735A">
        <w:rPr>
          <w:rFonts w:eastAsia="Times New Roman" w:cs="Arial"/>
          <w:color w:val="000000"/>
          <w:lang w:val="ru-RU"/>
        </w:rPr>
        <w:t xml:space="preserve"> </w:t>
      </w:r>
      <w:r w:rsidRPr="00A9735A">
        <w:rPr>
          <w:rFonts w:eastAsia="Times New Roman" w:cs="Arial"/>
          <w:color w:val="000000"/>
          <w:lang w:eastAsia="bg-BG"/>
        </w:rPr>
        <w:t>лактазен дефицит или глюкозо-галактозна малабсорбция не трябва да приемат това лекарство.</w:t>
      </w:r>
    </w:p>
    <w:p w14:paraId="4DF02E6E" w14:textId="77777777" w:rsidR="00A9735A" w:rsidRPr="00A9735A" w:rsidRDefault="00A9735A" w:rsidP="00A9735A">
      <w:pPr>
        <w:spacing w:line="240" w:lineRule="auto"/>
        <w:rPr>
          <w:rFonts w:eastAsia="Times New Roman" w:cs="Arial"/>
          <w:color w:val="000000"/>
          <w:u w:val="single"/>
          <w:lang w:eastAsia="bg-BG"/>
        </w:rPr>
      </w:pPr>
    </w:p>
    <w:p w14:paraId="0913A280" w14:textId="2C0EC6DF"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Развитие на децата</w:t>
      </w:r>
    </w:p>
    <w:p w14:paraId="514DC3F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Няма данни за ефекта на ламотригин върху растежа, половото съзряване и когнитивното, емоционалното и поведенческото развитие на децата.</w:t>
      </w:r>
    </w:p>
    <w:p w14:paraId="2563047E" w14:textId="77777777" w:rsidR="00A9735A" w:rsidRPr="00A9735A" w:rsidRDefault="00A9735A" w:rsidP="00A9735A">
      <w:pPr>
        <w:spacing w:line="240" w:lineRule="auto"/>
        <w:rPr>
          <w:rFonts w:eastAsia="Times New Roman" w:cs="Arial"/>
          <w:color w:val="000000"/>
          <w:u w:val="single"/>
          <w:lang w:eastAsia="bg-BG"/>
        </w:rPr>
      </w:pPr>
    </w:p>
    <w:p w14:paraId="2F64C9A8" w14:textId="12320E80"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 xml:space="preserve">ЕКГ тип </w:t>
      </w:r>
      <w:r w:rsidRPr="00A9735A">
        <w:rPr>
          <w:rFonts w:eastAsia="Times New Roman" w:cs="Arial"/>
          <w:color w:val="000000"/>
          <w:u w:val="single"/>
          <w:lang w:val="en-US"/>
        </w:rPr>
        <w:t>Brugada</w:t>
      </w:r>
    </w:p>
    <w:p w14:paraId="7CB9B6D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При пациенти лекувани с ламотригин е съобщено за аритмогенно нарушение със </w:t>
      </w:r>
      <w:r w:rsidRPr="00A9735A">
        <w:rPr>
          <w:rFonts w:eastAsia="Times New Roman" w:cs="Arial"/>
          <w:color w:val="000000"/>
          <w:lang w:val="en-US"/>
        </w:rPr>
        <w:t>ST</w:t>
      </w:r>
      <w:r w:rsidRPr="00A9735A">
        <w:rPr>
          <w:rFonts w:eastAsia="Times New Roman" w:cs="Arial"/>
          <w:color w:val="000000"/>
          <w:lang w:val="ru-RU"/>
        </w:rPr>
        <w:t>-</w:t>
      </w:r>
      <w:r w:rsidRPr="00A9735A">
        <w:rPr>
          <w:rFonts w:eastAsia="Times New Roman" w:cs="Arial"/>
          <w:color w:val="000000"/>
          <w:lang w:val="en-US"/>
        </w:rPr>
        <w:t>T</w:t>
      </w:r>
      <w:r w:rsidRPr="00A9735A">
        <w:rPr>
          <w:rFonts w:eastAsia="Times New Roman" w:cs="Arial"/>
          <w:color w:val="000000"/>
          <w:lang w:val="ru-RU"/>
        </w:rPr>
        <w:t xml:space="preserve"> </w:t>
      </w:r>
      <w:r w:rsidRPr="00A9735A">
        <w:rPr>
          <w:rFonts w:eastAsia="Times New Roman" w:cs="Arial"/>
          <w:color w:val="000000"/>
          <w:lang w:eastAsia="bg-BG"/>
        </w:rPr>
        <w:t xml:space="preserve">аномалия и характерен ЕКГ тип </w:t>
      </w:r>
      <w:r w:rsidRPr="00A9735A">
        <w:rPr>
          <w:rFonts w:eastAsia="Times New Roman" w:cs="Arial"/>
          <w:color w:val="000000"/>
          <w:lang w:val="en-US"/>
        </w:rPr>
        <w:t>Brugada</w:t>
      </w:r>
      <w:r w:rsidRPr="00A9735A">
        <w:rPr>
          <w:rFonts w:eastAsia="Times New Roman" w:cs="Arial"/>
          <w:color w:val="000000"/>
          <w:lang w:val="ru-RU"/>
        </w:rPr>
        <w:t xml:space="preserve">. </w:t>
      </w:r>
      <w:r w:rsidRPr="00A9735A">
        <w:rPr>
          <w:rFonts w:eastAsia="Times New Roman" w:cs="Arial"/>
          <w:color w:val="000000"/>
          <w:lang w:eastAsia="bg-BG"/>
        </w:rPr>
        <w:t xml:space="preserve">Употребата на ламотригин трябва внимателно да се обмисли при пацинети със синдром на </w:t>
      </w:r>
      <w:r w:rsidRPr="00A9735A">
        <w:rPr>
          <w:rFonts w:eastAsia="Times New Roman" w:cs="Arial"/>
          <w:color w:val="000000"/>
          <w:lang w:val="en-US"/>
        </w:rPr>
        <w:t>Brugada</w:t>
      </w:r>
      <w:r w:rsidRPr="00A9735A">
        <w:rPr>
          <w:rFonts w:eastAsia="Times New Roman" w:cs="Arial"/>
          <w:color w:val="000000"/>
          <w:lang w:val="ru-RU"/>
        </w:rPr>
        <w:t>.</w:t>
      </w:r>
    </w:p>
    <w:p w14:paraId="7BA7D5A7" w14:textId="7777777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 xml:space="preserve">Хемофагоцитна лимфохистиоцитоза </w:t>
      </w:r>
      <w:r w:rsidRPr="00A9735A">
        <w:rPr>
          <w:rFonts w:eastAsia="Times New Roman" w:cs="Arial"/>
          <w:color w:val="000000"/>
          <w:u w:val="single"/>
        </w:rPr>
        <w:t>(</w:t>
      </w:r>
      <w:r w:rsidRPr="00A9735A">
        <w:rPr>
          <w:rFonts w:eastAsia="Times New Roman" w:cs="Arial"/>
          <w:color w:val="000000"/>
          <w:u w:val="single"/>
          <w:lang w:val="en-US"/>
        </w:rPr>
        <w:t>Haemophagocvtic</w:t>
      </w:r>
      <w:r w:rsidRPr="00A9735A">
        <w:rPr>
          <w:rFonts w:eastAsia="Times New Roman" w:cs="Arial"/>
          <w:color w:val="000000"/>
          <w:u w:val="single"/>
        </w:rPr>
        <w:t xml:space="preserve"> </w:t>
      </w:r>
      <w:r w:rsidRPr="00A9735A">
        <w:rPr>
          <w:rFonts w:eastAsia="Times New Roman" w:cs="Arial"/>
          <w:color w:val="000000"/>
          <w:u w:val="single"/>
          <w:lang w:val="en-US"/>
        </w:rPr>
        <w:t>lymphohistiocytosis</w:t>
      </w:r>
      <w:r w:rsidRPr="00A9735A">
        <w:rPr>
          <w:rFonts w:eastAsia="Times New Roman" w:cs="Arial"/>
          <w:color w:val="000000"/>
          <w:u w:val="single"/>
        </w:rPr>
        <w:t xml:space="preserve">, </w:t>
      </w:r>
      <w:r w:rsidRPr="00A9735A">
        <w:rPr>
          <w:rFonts w:eastAsia="Times New Roman" w:cs="Arial"/>
          <w:color w:val="000000"/>
          <w:u w:val="single"/>
          <w:lang w:val="en-US"/>
        </w:rPr>
        <w:t>HLH</w:t>
      </w:r>
      <w:r w:rsidRPr="00A9735A">
        <w:rPr>
          <w:rFonts w:eastAsia="Times New Roman" w:cs="Arial"/>
          <w:color w:val="000000"/>
          <w:u w:val="single"/>
        </w:rPr>
        <w:t>)</w:t>
      </w:r>
    </w:p>
    <w:p w14:paraId="70BC6492" w14:textId="77777777" w:rsidR="00A9735A" w:rsidRPr="00A9735A" w:rsidRDefault="00A9735A" w:rsidP="00A9735A">
      <w:pPr>
        <w:spacing w:line="240" w:lineRule="auto"/>
        <w:rPr>
          <w:rFonts w:eastAsia="Times New Roman" w:cs="Arial"/>
        </w:rPr>
      </w:pP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 xml:space="preserve">е съобщена при пациенти, които приемат ламотригин (вж. точка 4.8).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седммици от началото на лечението. Хемофагоцитната лимфохистиоцитоза може да бъде животозастрашаваща.</w:t>
      </w:r>
    </w:p>
    <w:p w14:paraId="066B2D74"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Пациентите трябва да абъдат информирани за симптомите, свързани с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ламотригин.</w:t>
      </w:r>
    </w:p>
    <w:p w14:paraId="58BB6AB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A9735A">
        <w:rPr>
          <w:rFonts w:eastAsia="Times New Roman" w:cs="Arial"/>
          <w:color w:val="000000"/>
          <w:lang w:val="en-US"/>
        </w:rPr>
        <w:t>HLH</w:t>
      </w:r>
      <w:r w:rsidRPr="00A9735A">
        <w:rPr>
          <w:rFonts w:eastAsia="Times New Roman" w:cs="Arial"/>
          <w:color w:val="000000"/>
          <w:lang w:val="ru-RU"/>
        </w:rPr>
        <w:t xml:space="preserve">. </w:t>
      </w:r>
      <w:r w:rsidRPr="00A9735A">
        <w:rPr>
          <w:rFonts w:eastAsia="Times New Roman" w:cs="Arial"/>
          <w:color w:val="000000"/>
          <w:lang w:eastAsia="bg-BG"/>
        </w:rPr>
        <w:t>Приемът на ламотригин трябва незабавно да се преустанови, освен ако може да се установи друга етиология за развитието на тези реакции.</w:t>
      </w:r>
    </w:p>
    <w:p w14:paraId="048AB62B" w14:textId="77777777" w:rsidR="00A9735A" w:rsidRPr="00A9735A" w:rsidRDefault="00A9735A" w:rsidP="00A9735A">
      <w:pPr>
        <w:spacing w:line="240" w:lineRule="auto"/>
        <w:rPr>
          <w:rFonts w:eastAsia="Times New Roman" w:cs="Arial"/>
          <w:color w:val="000000"/>
          <w:u w:val="single"/>
          <w:lang w:eastAsia="bg-BG"/>
        </w:rPr>
      </w:pPr>
    </w:p>
    <w:p w14:paraId="28F9FBCC" w14:textId="05B825B1"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lastRenderedPageBreak/>
        <w:t>Предпазни мерки при епилепсия</w:t>
      </w:r>
    </w:p>
    <w:p w14:paraId="193D8A9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Както при други АЕЛ, внезапното спиране на приема на ламотригин може да доведе до нова поява на припадъци. Дозата ламотригин трябва да бъде намалявана постепенно за период от две седмици, освен при съображения за безопасност (например обрив), изискващи внезапно прекратяване на лечението.</w:t>
      </w:r>
    </w:p>
    <w:p w14:paraId="741FAC3F" w14:textId="77777777" w:rsidR="00A9735A" w:rsidRPr="00A9735A" w:rsidRDefault="00A9735A" w:rsidP="00A9735A">
      <w:pPr>
        <w:spacing w:line="240" w:lineRule="auto"/>
        <w:rPr>
          <w:rFonts w:eastAsia="Times New Roman" w:cs="Arial"/>
          <w:color w:val="000000"/>
          <w:lang w:eastAsia="bg-BG"/>
        </w:rPr>
      </w:pPr>
    </w:p>
    <w:p w14:paraId="68FB8A24" w14:textId="4DA2A84F"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Според литературни данни при пациенти с тежки конвулсивни форми на епилепсия, включително </w:t>
      </w:r>
      <w:r w:rsidRPr="00A9735A">
        <w:rPr>
          <w:rFonts w:eastAsia="Times New Roman" w:cs="Arial"/>
          <w:color w:val="000000"/>
          <w:lang w:val="en-US"/>
        </w:rPr>
        <w:t>status</w:t>
      </w:r>
      <w:r w:rsidRPr="00A9735A">
        <w:rPr>
          <w:rFonts w:eastAsia="Times New Roman" w:cs="Arial"/>
          <w:color w:val="000000"/>
          <w:lang w:val="ru-RU"/>
        </w:rPr>
        <w:t xml:space="preserve"> </w:t>
      </w:r>
      <w:r w:rsidRPr="00A9735A">
        <w:rPr>
          <w:rFonts w:eastAsia="Times New Roman" w:cs="Arial"/>
          <w:color w:val="000000"/>
          <w:lang w:val="en-US"/>
        </w:rPr>
        <w:t>epilepticus</w:t>
      </w:r>
      <w:r w:rsidRPr="00A9735A">
        <w:rPr>
          <w:rFonts w:eastAsia="Times New Roman" w:cs="Arial"/>
          <w:color w:val="000000"/>
          <w:lang w:val="ru-RU"/>
        </w:rPr>
        <w:t xml:space="preserve">, </w:t>
      </w:r>
      <w:r w:rsidRPr="00A9735A">
        <w:rPr>
          <w:rFonts w:eastAsia="Times New Roman" w:cs="Arial"/>
          <w:color w:val="000000"/>
          <w:lang w:eastAsia="bg-BG"/>
        </w:rPr>
        <w:t>може да се развие рабдомиолиза, мултиорганна дисфункция и дисеминирана вътресъдова коагулация, в някои случаи с летален изход. Описвани са подобни случаи, свързани с приложението на ламотригин.</w:t>
      </w:r>
    </w:p>
    <w:p w14:paraId="0E116D81" w14:textId="77777777" w:rsidR="00A9735A" w:rsidRPr="00A9735A" w:rsidRDefault="00A9735A" w:rsidP="00A9735A">
      <w:pPr>
        <w:spacing w:line="240" w:lineRule="auto"/>
        <w:rPr>
          <w:rFonts w:eastAsia="Times New Roman" w:cs="Arial"/>
          <w:color w:val="000000"/>
          <w:lang w:eastAsia="bg-BG"/>
        </w:rPr>
      </w:pPr>
    </w:p>
    <w:p w14:paraId="14EF7081" w14:textId="587B524E" w:rsidR="00A9735A" w:rsidRPr="00A9735A" w:rsidRDefault="00A9735A" w:rsidP="00A9735A">
      <w:pPr>
        <w:spacing w:line="240" w:lineRule="auto"/>
        <w:rPr>
          <w:rFonts w:eastAsia="Times New Roman" w:cs="Arial"/>
        </w:rPr>
      </w:pPr>
      <w:r w:rsidRPr="00A9735A">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 един тип припадък трябва да бъде преценена срещу каквото и да е наблюдавано влошаване при другите типове припадъци.</w:t>
      </w:r>
    </w:p>
    <w:p w14:paraId="153F3880" w14:textId="77777777" w:rsidR="00A9735A" w:rsidRPr="00A9735A" w:rsidRDefault="00A9735A" w:rsidP="00A9735A">
      <w:pPr>
        <w:spacing w:line="240" w:lineRule="auto"/>
        <w:rPr>
          <w:rFonts w:eastAsia="Times New Roman" w:cs="Arial"/>
          <w:color w:val="000000"/>
          <w:lang w:eastAsia="bg-BG"/>
        </w:rPr>
      </w:pPr>
    </w:p>
    <w:p w14:paraId="40BBCE25" w14:textId="57D804DB" w:rsidR="00A9735A" w:rsidRPr="00A9735A" w:rsidRDefault="00A9735A" w:rsidP="00A9735A">
      <w:pPr>
        <w:spacing w:line="240" w:lineRule="auto"/>
        <w:rPr>
          <w:rFonts w:eastAsia="Times New Roman" w:cs="Arial"/>
        </w:rPr>
      </w:pPr>
      <w:r w:rsidRPr="00A9735A">
        <w:rPr>
          <w:rFonts w:eastAsia="Times New Roman" w:cs="Arial"/>
          <w:color w:val="000000"/>
          <w:lang w:eastAsia="bg-BG"/>
        </w:rPr>
        <w:t>Миоклоничните припадъци може да бъдат влошени от ламотригин.</w:t>
      </w:r>
    </w:p>
    <w:p w14:paraId="29D47D4F" w14:textId="77777777" w:rsidR="00A9735A" w:rsidRPr="00A9735A" w:rsidRDefault="00A9735A" w:rsidP="00A9735A">
      <w:pPr>
        <w:spacing w:line="240" w:lineRule="auto"/>
        <w:rPr>
          <w:rFonts w:eastAsia="Times New Roman" w:cs="Arial"/>
          <w:color w:val="000000"/>
          <w:lang w:eastAsia="bg-BG"/>
        </w:rPr>
      </w:pPr>
    </w:p>
    <w:p w14:paraId="7FE02DA4" w14:textId="7E1FED03" w:rsidR="00A9735A" w:rsidRPr="00A9735A" w:rsidRDefault="00A9735A" w:rsidP="00A9735A">
      <w:pPr>
        <w:spacing w:line="240" w:lineRule="auto"/>
        <w:rPr>
          <w:rFonts w:eastAsia="Times New Roman" w:cs="Arial"/>
        </w:rPr>
      </w:pPr>
      <w:r w:rsidRPr="00A9735A">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агенти, които не индуцират ензими. Причината не е изяснена.</w:t>
      </w:r>
    </w:p>
    <w:p w14:paraId="57D11355" w14:textId="77777777" w:rsidR="00A9735A" w:rsidRPr="00A9735A" w:rsidRDefault="00A9735A" w:rsidP="00A9735A">
      <w:pPr>
        <w:spacing w:line="240" w:lineRule="auto"/>
        <w:rPr>
          <w:rFonts w:eastAsia="Times New Roman" w:cs="Arial"/>
          <w:color w:val="000000"/>
          <w:lang w:eastAsia="bg-BG"/>
        </w:rPr>
      </w:pPr>
    </w:p>
    <w:p w14:paraId="5643E25D" w14:textId="35675267" w:rsidR="00A9735A" w:rsidRPr="00A9735A" w:rsidRDefault="00A9735A" w:rsidP="00A9735A">
      <w:pPr>
        <w:spacing w:line="240" w:lineRule="auto"/>
        <w:rPr>
          <w:rFonts w:eastAsia="Times New Roman" w:cs="Arial"/>
        </w:rPr>
      </w:pPr>
      <w:r w:rsidRPr="00A9735A">
        <w:rPr>
          <w:rFonts w:eastAsia="Times New Roman" w:cs="Arial"/>
          <w:color w:val="000000"/>
          <w:lang w:eastAsia="bg-BG"/>
        </w:rPr>
        <w:t>При деца, които приемат ламотригин за лечение на типични абсанси е възможно ефикасността да не се поддържа при всички пациенти.</w:t>
      </w:r>
    </w:p>
    <w:p w14:paraId="3AB8CF96" w14:textId="77777777" w:rsidR="00A9735A" w:rsidRPr="00A9735A" w:rsidRDefault="00A9735A" w:rsidP="00A9735A">
      <w:pPr>
        <w:spacing w:line="240" w:lineRule="auto"/>
        <w:rPr>
          <w:rFonts w:eastAsia="Times New Roman" w:cs="Arial"/>
          <w:color w:val="000000"/>
          <w:u w:val="single"/>
          <w:lang w:eastAsia="bg-BG"/>
        </w:rPr>
      </w:pPr>
    </w:p>
    <w:p w14:paraId="054FF84F" w14:textId="0ADF7C86"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Предпазни мерки при биполярно разстройство</w:t>
      </w:r>
    </w:p>
    <w:p w14:paraId="67F59F1A" w14:textId="77777777" w:rsidR="00A9735A" w:rsidRPr="00A9735A" w:rsidRDefault="00A9735A" w:rsidP="00A9735A">
      <w:pPr>
        <w:spacing w:line="240" w:lineRule="auto"/>
        <w:rPr>
          <w:rFonts w:eastAsia="Times New Roman" w:cs="Arial"/>
        </w:rPr>
      </w:pPr>
      <w:r w:rsidRPr="00A9735A">
        <w:rPr>
          <w:rFonts w:eastAsia="Times New Roman" w:cs="Arial"/>
          <w:i/>
          <w:iCs/>
          <w:color w:val="000000"/>
          <w:lang w:eastAsia="bg-BG"/>
        </w:rPr>
        <w:t>Деца и юноши под 18 години</w:t>
      </w:r>
    </w:p>
    <w:p w14:paraId="1711E5E8" w14:textId="1117CCBF" w:rsidR="00A9735A" w:rsidRPr="00A9735A" w:rsidRDefault="00A9735A" w:rsidP="00A9735A">
      <w:pPr>
        <w:rPr>
          <w:rFonts w:eastAsia="Times New Roman" w:cs="Arial"/>
          <w:color w:val="000000"/>
          <w:lang w:eastAsia="bg-BG"/>
        </w:rPr>
      </w:pPr>
      <w:r w:rsidRPr="00A9735A">
        <w:rPr>
          <w:rFonts w:eastAsia="Times New Roman" w:cs="Arial"/>
          <w:color w:val="000000"/>
          <w:lang w:eastAsia="bg-BG"/>
        </w:rPr>
        <w:t>Лечението с антидепресанти е свързано с повишен риск от сиуицидни мисли и поведение при деца и юноши с голям депресивен епизод и други психични разстройства.</w:t>
      </w:r>
    </w:p>
    <w:p w14:paraId="591676BB" w14:textId="77777777" w:rsidR="00A9735A" w:rsidRPr="00A9735A" w:rsidRDefault="00A9735A" w:rsidP="00A9735A"/>
    <w:p w14:paraId="0734264C" w14:textId="5F007C1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0A56CF3" w14:textId="55518403" w:rsidR="00A9735A" w:rsidRDefault="00A9735A" w:rsidP="00A9735A"/>
    <w:p w14:paraId="334249D9" w14:textId="0B2B7148" w:rsidR="00A9735A" w:rsidRPr="00A9735A" w:rsidRDefault="00A9735A" w:rsidP="00A9735A">
      <w:pPr>
        <w:rPr>
          <w:rFonts w:cs="Arial"/>
          <w:szCs w:val="20"/>
        </w:rPr>
      </w:pPr>
      <w:r w:rsidRPr="00A9735A">
        <w:rPr>
          <w:rFonts w:cs="Arial"/>
          <w:szCs w:val="20"/>
        </w:rPr>
        <w:t>Изпитвания, свързани с лекарствени взаимодействия са провеждани само при възрастни пациенти.</w:t>
      </w:r>
    </w:p>
    <w:p w14:paraId="1CA5992C" w14:textId="17F1E170" w:rsidR="00A9735A" w:rsidRPr="00A9735A" w:rsidRDefault="00A9735A" w:rsidP="00A9735A">
      <w:pPr>
        <w:rPr>
          <w:rFonts w:cs="Arial"/>
          <w:szCs w:val="20"/>
        </w:rPr>
      </w:pPr>
    </w:p>
    <w:p w14:paraId="589C3A6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Установено е, че УДФ-глюкуронил трансферазите са ензимите, отговорни за метаболизма на ламотригин. Няма данни за клинично значима индукция или инхибиране на чернодробната оксидираща лекарство-метаболизираща ензимна система, причинени от ламотригин и са малко вероятни взаимодействия между ламотригин и лекарствените продукти, които се метаболизират от цитохром Р450 ензимите. Ламотригин може да индуцира своя собствен метаболизъм, като този ефект е умерено проявен и е малко вероятно да има някакви клинично значими последици.</w:t>
      </w:r>
    </w:p>
    <w:p w14:paraId="38819701" w14:textId="77777777" w:rsidR="00A9735A" w:rsidRPr="00A9735A" w:rsidRDefault="00A9735A" w:rsidP="00A9735A">
      <w:pPr>
        <w:rPr>
          <w:rFonts w:eastAsia="Times New Roman" w:cs="Arial"/>
          <w:i/>
          <w:iCs/>
          <w:color w:val="000000"/>
          <w:szCs w:val="20"/>
          <w:lang w:eastAsia="bg-BG"/>
        </w:rPr>
      </w:pPr>
    </w:p>
    <w:p w14:paraId="35623EDC" w14:textId="776880D2" w:rsidR="00A9735A" w:rsidRDefault="00A9735A" w:rsidP="00A9735A">
      <w:pPr>
        <w:rPr>
          <w:rFonts w:eastAsia="Times New Roman" w:cs="Arial"/>
          <w:i/>
          <w:iCs/>
          <w:color w:val="000000"/>
          <w:szCs w:val="20"/>
          <w:lang w:eastAsia="bg-BG"/>
        </w:rPr>
      </w:pPr>
      <w:r w:rsidRPr="00A9735A">
        <w:rPr>
          <w:rFonts w:eastAsia="Times New Roman" w:cs="Arial"/>
          <w:i/>
          <w:iCs/>
          <w:color w:val="000000"/>
          <w:szCs w:val="20"/>
          <w:lang w:eastAsia="bg-BG"/>
        </w:rPr>
        <w:t xml:space="preserve">Таблица 6: Ефекти </w:t>
      </w:r>
      <w:r w:rsidRPr="00A9735A">
        <w:rPr>
          <w:rFonts w:eastAsia="Times New Roman" w:cs="Arial"/>
          <w:i/>
          <w:iCs/>
          <w:color w:val="000000"/>
          <w:szCs w:val="20"/>
          <w:u w:val="single"/>
          <w:lang w:eastAsia="bg-BG"/>
        </w:rPr>
        <w:t>на други лекарства върху</w:t>
      </w:r>
      <w:r w:rsidRPr="00A9735A">
        <w:rPr>
          <w:rFonts w:eastAsia="Times New Roman" w:cs="Arial"/>
          <w:i/>
          <w:iCs/>
          <w:color w:val="000000"/>
          <w:szCs w:val="20"/>
          <w:lang w:eastAsia="bg-BG"/>
        </w:rPr>
        <w:t xml:space="preserve"> глюкуронирането на ламотригин</w:t>
      </w:r>
    </w:p>
    <w:tbl>
      <w:tblPr>
        <w:tblStyle w:val="TableGrid"/>
        <w:tblW w:w="0" w:type="auto"/>
        <w:tblLook w:val="04A0" w:firstRow="1" w:lastRow="0" w:firstColumn="1" w:lastColumn="0" w:noHBand="0" w:noVBand="1"/>
      </w:tblPr>
      <w:tblGrid>
        <w:gridCol w:w="3109"/>
        <w:gridCol w:w="3133"/>
        <w:gridCol w:w="3108"/>
      </w:tblGrid>
      <w:tr w:rsidR="00A9735A" w14:paraId="7F3C5FAB" w14:textId="77777777" w:rsidTr="00A9735A">
        <w:tc>
          <w:tcPr>
            <w:tcW w:w="3192" w:type="dxa"/>
          </w:tcPr>
          <w:p w14:paraId="41789198" w14:textId="77777777" w:rsidR="00A9735A" w:rsidRDefault="00A9735A" w:rsidP="00A9735A">
            <w:r>
              <w:rPr>
                <w:b/>
                <w:bCs/>
                <w:sz w:val="20"/>
                <w:szCs w:val="20"/>
              </w:rPr>
              <w:t>Лекарства,</w:t>
            </w:r>
            <w:r>
              <w:rPr>
                <w:b/>
                <w:bCs/>
                <w:sz w:val="20"/>
                <w:szCs w:val="20"/>
              </w:rPr>
              <w:tab/>
              <w:t>които</w:t>
            </w:r>
          </w:p>
          <w:p w14:paraId="49765806" w14:textId="77777777" w:rsidR="00A9735A" w:rsidRDefault="00A9735A" w:rsidP="00A9735A">
            <w:r>
              <w:rPr>
                <w:b/>
                <w:bCs/>
                <w:sz w:val="20"/>
                <w:szCs w:val="20"/>
              </w:rPr>
              <w:t>значително ннхибират глюкуронирането</w:t>
            </w:r>
            <w:r>
              <w:rPr>
                <w:b/>
                <w:bCs/>
                <w:sz w:val="20"/>
                <w:szCs w:val="20"/>
              </w:rPr>
              <w:tab/>
              <w:t>на</w:t>
            </w:r>
          </w:p>
          <w:p w14:paraId="0756E4B7" w14:textId="5C1BB5EB" w:rsidR="00A9735A" w:rsidRDefault="00A9735A" w:rsidP="00A9735A">
            <w:pPr>
              <w:rPr>
                <w:rFonts w:eastAsia="Times New Roman" w:cs="Arial"/>
                <w:i/>
                <w:iCs/>
                <w:color w:val="000000"/>
                <w:szCs w:val="20"/>
                <w:u w:val="single"/>
                <w:lang w:eastAsia="bg-BG"/>
              </w:rPr>
            </w:pPr>
            <w:r>
              <w:rPr>
                <w:b/>
                <w:bCs/>
                <w:sz w:val="20"/>
                <w:szCs w:val="20"/>
              </w:rPr>
              <w:t>ламотригин</w:t>
            </w:r>
          </w:p>
        </w:tc>
        <w:tc>
          <w:tcPr>
            <w:tcW w:w="3192" w:type="dxa"/>
          </w:tcPr>
          <w:p w14:paraId="2E1EED1C" w14:textId="77777777" w:rsidR="00A9735A" w:rsidRDefault="00A9735A" w:rsidP="00A9735A">
            <w:r>
              <w:rPr>
                <w:b/>
                <w:bCs/>
                <w:sz w:val="20"/>
                <w:szCs w:val="20"/>
              </w:rPr>
              <w:t>Лекарства,</w:t>
            </w:r>
            <w:r>
              <w:rPr>
                <w:b/>
                <w:bCs/>
                <w:sz w:val="20"/>
                <w:szCs w:val="20"/>
              </w:rPr>
              <w:tab/>
              <w:t>конто</w:t>
            </w:r>
          </w:p>
          <w:p w14:paraId="737B24DC" w14:textId="77777777" w:rsidR="00A9735A" w:rsidRDefault="00A9735A" w:rsidP="00A9735A">
            <w:r>
              <w:rPr>
                <w:b/>
                <w:bCs/>
                <w:sz w:val="20"/>
                <w:szCs w:val="20"/>
              </w:rPr>
              <w:t>значително</w:t>
            </w:r>
            <w:r>
              <w:rPr>
                <w:b/>
                <w:bCs/>
                <w:sz w:val="20"/>
                <w:szCs w:val="20"/>
              </w:rPr>
              <w:tab/>
              <w:t>индуцират</w:t>
            </w:r>
          </w:p>
          <w:p w14:paraId="5641F605" w14:textId="77777777" w:rsidR="00A9735A" w:rsidRDefault="00A9735A" w:rsidP="00A9735A">
            <w:r>
              <w:rPr>
                <w:b/>
                <w:bCs/>
                <w:sz w:val="20"/>
                <w:szCs w:val="20"/>
              </w:rPr>
              <w:t>глюкуронирането</w:t>
            </w:r>
            <w:r>
              <w:rPr>
                <w:b/>
                <w:bCs/>
                <w:sz w:val="20"/>
                <w:szCs w:val="20"/>
              </w:rPr>
              <w:tab/>
              <w:t>на</w:t>
            </w:r>
          </w:p>
          <w:p w14:paraId="2B90EA11" w14:textId="3B87FF73" w:rsidR="00A9735A" w:rsidRDefault="00A9735A" w:rsidP="00A9735A">
            <w:pPr>
              <w:rPr>
                <w:rFonts w:eastAsia="Times New Roman" w:cs="Arial"/>
                <w:i/>
                <w:iCs/>
                <w:color w:val="000000"/>
                <w:szCs w:val="20"/>
                <w:u w:val="single"/>
                <w:lang w:eastAsia="bg-BG"/>
              </w:rPr>
            </w:pPr>
            <w:r>
              <w:rPr>
                <w:b/>
                <w:bCs/>
                <w:sz w:val="20"/>
                <w:szCs w:val="20"/>
              </w:rPr>
              <w:t>ламотригин</w:t>
            </w:r>
          </w:p>
        </w:tc>
        <w:tc>
          <w:tcPr>
            <w:tcW w:w="3192" w:type="dxa"/>
          </w:tcPr>
          <w:p w14:paraId="717060BE" w14:textId="6B5FAC40" w:rsidR="00A9735A" w:rsidRDefault="00A9735A" w:rsidP="00A9735A">
            <w:pPr>
              <w:rPr>
                <w:rFonts w:eastAsia="Times New Roman" w:cs="Arial"/>
                <w:i/>
                <w:iCs/>
                <w:color w:val="000000"/>
                <w:szCs w:val="20"/>
                <w:u w:val="single"/>
                <w:lang w:eastAsia="bg-BG"/>
              </w:rPr>
            </w:pPr>
            <w:r>
              <w:rPr>
                <w:b/>
                <w:bCs/>
                <w:sz w:val="20"/>
                <w:szCs w:val="20"/>
              </w:rPr>
              <w:t xml:space="preserve">Лекарства, които незначително ннхибират или индуцират </w:t>
            </w:r>
            <w:r>
              <w:rPr>
                <w:b/>
                <w:bCs/>
                <w:sz w:val="20"/>
                <w:szCs w:val="20"/>
              </w:rPr>
              <w:lastRenderedPageBreak/>
              <w:t>глюкуронирането на ламотригин</w:t>
            </w:r>
          </w:p>
        </w:tc>
      </w:tr>
      <w:tr w:rsidR="00A9735A" w14:paraId="285A90E1" w14:textId="77777777" w:rsidTr="00A9735A">
        <w:tc>
          <w:tcPr>
            <w:tcW w:w="3192" w:type="dxa"/>
          </w:tcPr>
          <w:p w14:paraId="4A2F0CB2" w14:textId="50600C69" w:rsidR="00A9735A" w:rsidRDefault="00A9735A" w:rsidP="00A9735A">
            <w:pPr>
              <w:rPr>
                <w:rFonts w:eastAsia="Times New Roman" w:cs="Arial"/>
                <w:i/>
                <w:iCs/>
                <w:color w:val="000000"/>
                <w:szCs w:val="20"/>
                <w:u w:val="single"/>
                <w:lang w:eastAsia="bg-BG"/>
              </w:rPr>
            </w:pPr>
            <w:r>
              <w:rPr>
                <w:sz w:val="20"/>
                <w:szCs w:val="20"/>
              </w:rPr>
              <w:lastRenderedPageBreak/>
              <w:t>Валпроат</w:t>
            </w:r>
          </w:p>
        </w:tc>
        <w:tc>
          <w:tcPr>
            <w:tcW w:w="3192" w:type="dxa"/>
          </w:tcPr>
          <w:p w14:paraId="035517EC" w14:textId="77777777" w:rsidR="00A9735A" w:rsidRDefault="00A9735A" w:rsidP="00A9735A">
            <w:pPr>
              <w:rPr>
                <w:sz w:val="20"/>
                <w:szCs w:val="20"/>
              </w:rPr>
            </w:pPr>
            <w:r>
              <w:rPr>
                <w:sz w:val="20"/>
                <w:szCs w:val="20"/>
              </w:rPr>
              <w:t xml:space="preserve">Фенитоин </w:t>
            </w:r>
          </w:p>
          <w:p w14:paraId="370EE2F7" w14:textId="77777777" w:rsidR="00A9735A" w:rsidRDefault="00A9735A" w:rsidP="00A9735A">
            <w:pPr>
              <w:rPr>
                <w:sz w:val="20"/>
                <w:szCs w:val="20"/>
              </w:rPr>
            </w:pPr>
            <w:r>
              <w:rPr>
                <w:sz w:val="20"/>
                <w:szCs w:val="20"/>
              </w:rPr>
              <w:t xml:space="preserve">Карбамазепин </w:t>
            </w:r>
          </w:p>
          <w:p w14:paraId="369D8479" w14:textId="77777777" w:rsidR="00A9735A" w:rsidRDefault="00A9735A" w:rsidP="00A9735A">
            <w:pPr>
              <w:rPr>
                <w:sz w:val="20"/>
                <w:szCs w:val="20"/>
              </w:rPr>
            </w:pPr>
            <w:r>
              <w:rPr>
                <w:sz w:val="20"/>
                <w:szCs w:val="20"/>
              </w:rPr>
              <w:t xml:space="preserve">Фенобарбитон </w:t>
            </w:r>
          </w:p>
          <w:p w14:paraId="3633FDC4" w14:textId="77777777" w:rsidR="00A9735A" w:rsidRDefault="00A9735A" w:rsidP="00A9735A">
            <w:pPr>
              <w:rPr>
                <w:sz w:val="20"/>
                <w:szCs w:val="20"/>
              </w:rPr>
            </w:pPr>
            <w:r>
              <w:rPr>
                <w:sz w:val="20"/>
                <w:szCs w:val="20"/>
              </w:rPr>
              <w:t xml:space="preserve">Примидон </w:t>
            </w:r>
          </w:p>
          <w:p w14:paraId="703F5FA2" w14:textId="77777777" w:rsidR="00A9735A" w:rsidRDefault="00A9735A" w:rsidP="00A9735A">
            <w:pPr>
              <w:rPr>
                <w:sz w:val="20"/>
                <w:szCs w:val="20"/>
              </w:rPr>
            </w:pPr>
            <w:r>
              <w:rPr>
                <w:sz w:val="20"/>
                <w:szCs w:val="20"/>
              </w:rPr>
              <w:t xml:space="preserve">Рифампицин </w:t>
            </w:r>
          </w:p>
          <w:p w14:paraId="0A06DFF6" w14:textId="1DDD91C0" w:rsidR="00A9735A" w:rsidRPr="00A9735A" w:rsidRDefault="00A9735A" w:rsidP="00A9735A">
            <w:pPr>
              <w:rPr>
                <w:sz w:val="20"/>
                <w:szCs w:val="20"/>
              </w:rPr>
            </w:pPr>
            <w:r>
              <w:rPr>
                <w:sz w:val="20"/>
                <w:szCs w:val="20"/>
              </w:rPr>
              <w:t>Лопинавир/ритонавир Комбинация етиниестрадиол/ левоноргерстрел * * Атазанавир/ритонавир</w:t>
            </w:r>
          </w:p>
        </w:tc>
        <w:tc>
          <w:tcPr>
            <w:tcW w:w="3192" w:type="dxa"/>
          </w:tcPr>
          <w:p w14:paraId="5B1FA2B3" w14:textId="77777777" w:rsidR="00A9735A" w:rsidRDefault="00A9735A" w:rsidP="00A9735A">
            <w:pPr>
              <w:rPr>
                <w:sz w:val="20"/>
                <w:szCs w:val="20"/>
              </w:rPr>
            </w:pPr>
            <w:r>
              <w:rPr>
                <w:sz w:val="20"/>
                <w:szCs w:val="20"/>
              </w:rPr>
              <w:t xml:space="preserve">Окскарбамазепин </w:t>
            </w:r>
          </w:p>
          <w:p w14:paraId="24D9D2EB" w14:textId="77777777" w:rsidR="00A9735A" w:rsidRDefault="00A9735A" w:rsidP="00A9735A">
            <w:pPr>
              <w:rPr>
                <w:sz w:val="20"/>
                <w:szCs w:val="20"/>
              </w:rPr>
            </w:pPr>
            <w:r>
              <w:rPr>
                <w:sz w:val="20"/>
                <w:szCs w:val="20"/>
              </w:rPr>
              <w:t xml:space="preserve">Фелбамат </w:t>
            </w:r>
          </w:p>
          <w:p w14:paraId="0ADBFB65" w14:textId="77777777" w:rsidR="00A9735A" w:rsidRDefault="00A9735A" w:rsidP="00A9735A">
            <w:pPr>
              <w:rPr>
                <w:sz w:val="20"/>
                <w:szCs w:val="20"/>
              </w:rPr>
            </w:pPr>
            <w:r>
              <w:rPr>
                <w:sz w:val="20"/>
                <w:szCs w:val="20"/>
              </w:rPr>
              <w:t xml:space="preserve">Габапентин </w:t>
            </w:r>
          </w:p>
          <w:p w14:paraId="4D3CAECA" w14:textId="77777777" w:rsidR="00A9735A" w:rsidRDefault="00A9735A" w:rsidP="00A9735A">
            <w:pPr>
              <w:rPr>
                <w:sz w:val="20"/>
                <w:szCs w:val="20"/>
              </w:rPr>
            </w:pPr>
            <w:r>
              <w:rPr>
                <w:sz w:val="20"/>
                <w:szCs w:val="20"/>
              </w:rPr>
              <w:t xml:space="preserve">Леветирацетам </w:t>
            </w:r>
          </w:p>
          <w:p w14:paraId="2282C83F" w14:textId="77777777" w:rsidR="00A9735A" w:rsidRDefault="00A9735A" w:rsidP="00A9735A">
            <w:pPr>
              <w:rPr>
                <w:sz w:val="20"/>
                <w:szCs w:val="20"/>
              </w:rPr>
            </w:pPr>
            <w:r>
              <w:rPr>
                <w:sz w:val="20"/>
                <w:szCs w:val="20"/>
              </w:rPr>
              <w:t xml:space="preserve">Прегабалин </w:t>
            </w:r>
          </w:p>
          <w:p w14:paraId="19E61CAF" w14:textId="77777777" w:rsidR="00A9735A" w:rsidRDefault="00A9735A" w:rsidP="00A9735A">
            <w:pPr>
              <w:rPr>
                <w:sz w:val="20"/>
                <w:szCs w:val="20"/>
              </w:rPr>
            </w:pPr>
            <w:r>
              <w:rPr>
                <w:sz w:val="20"/>
                <w:szCs w:val="20"/>
              </w:rPr>
              <w:t xml:space="preserve">Топирамат </w:t>
            </w:r>
          </w:p>
          <w:p w14:paraId="5DB2C2A2" w14:textId="77777777" w:rsidR="00A9735A" w:rsidRDefault="00A9735A" w:rsidP="00A9735A">
            <w:pPr>
              <w:rPr>
                <w:sz w:val="20"/>
                <w:szCs w:val="20"/>
              </w:rPr>
            </w:pPr>
            <w:r>
              <w:rPr>
                <w:sz w:val="20"/>
                <w:szCs w:val="20"/>
              </w:rPr>
              <w:t xml:space="preserve">Зонизамид </w:t>
            </w:r>
          </w:p>
          <w:p w14:paraId="4371048B" w14:textId="77777777" w:rsidR="00A9735A" w:rsidRDefault="00A9735A" w:rsidP="00A9735A">
            <w:pPr>
              <w:rPr>
                <w:sz w:val="20"/>
                <w:szCs w:val="20"/>
              </w:rPr>
            </w:pPr>
            <w:r>
              <w:rPr>
                <w:sz w:val="20"/>
                <w:szCs w:val="20"/>
              </w:rPr>
              <w:t xml:space="preserve">Литий </w:t>
            </w:r>
          </w:p>
          <w:p w14:paraId="52D7B193" w14:textId="77777777" w:rsidR="00A9735A" w:rsidRDefault="00A9735A" w:rsidP="00A9735A">
            <w:pPr>
              <w:rPr>
                <w:sz w:val="20"/>
                <w:szCs w:val="20"/>
              </w:rPr>
            </w:pPr>
            <w:r>
              <w:rPr>
                <w:sz w:val="20"/>
                <w:szCs w:val="20"/>
              </w:rPr>
              <w:t xml:space="preserve">Бупропион </w:t>
            </w:r>
          </w:p>
          <w:p w14:paraId="7AE720EF" w14:textId="77777777" w:rsidR="00A9735A" w:rsidRDefault="00A9735A" w:rsidP="00A9735A">
            <w:pPr>
              <w:rPr>
                <w:sz w:val="20"/>
                <w:szCs w:val="20"/>
              </w:rPr>
            </w:pPr>
            <w:r>
              <w:rPr>
                <w:sz w:val="20"/>
                <w:szCs w:val="20"/>
              </w:rPr>
              <w:t xml:space="preserve">Оланзапин </w:t>
            </w:r>
          </w:p>
          <w:p w14:paraId="44CA84EF" w14:textId="37C425B3" w:rsidR="00A9735A" w:rsidRDefault="00A9735A" w:rsidP="00A9735A">
            <w:pPr>
              <w:rPr>
                <w:rFonts w:eastAsia="Times New Roman" w:cs="Arial"/>
                <w:i/>
                <w:iCs/>
                <w:color w:val="000000"/>
                <w:szCs w:val="20"/>
                <w:u w:val="single"/>
                <w:lang w:eastAsia="bg-BG"/>
              </w:rPr>
            </w:pPr>
            <w:r>
              <w:rPr>
                <w:sz w:val="20"/>
                <w:szCs w:val="20"/>
              </w:rPr>
              <w:t>Арипипразол</w:t>
            </w:r>
          </w:p>
        </w:tc>
      </w:tr>
    </w:tbl>
    <w:p w14:paraId="6CAC7AF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*3а указания за дозиране вижте точка 4.2</w:t>
      </w:r>
    </w:p>
    <w:p w14:paraId="2FF74CF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**Не са проучвани други перорални контрацептиви и лекарствени продукти за хормонозаместителна терапия </w:t>
      </w:r>
      <w:r w:rsidRPr="00A9735A">
        <w:rPr>
          <w:rFonts w:eastAsia="Times New Roman" w:cs="Arial"/>
          <w:color w:val="000000"/>
          <w:lang w:val="ru-RU"/>
        </w:rPr>
        <w:t>(</w:t>
      </w:r>
      <w:r w:rsidRPr="00A9735A">
        <w:rPr>
          <w:rFonts w:eastAsia="Times New Roman" w:cs="Arial"/>
          <w:color w:val="000000"/>
          <w:lang w:val="en-US"/>
        </w:rPr>
        <w:t>HRT</w:t>
      </w:r>
      <w:r w:rsidRPr="00A9735A">
        <w:rPr>
          <w:rFonts w:eastAsia="Times New Roman" w:cs="Arial"/>
          <w:color w:val="000000"/>
          <w:lang w:val="ru-RU"/>
        </w:rPr>
        <w:t xml:space="preserve">). </w:t>
      </w:r>
      <w:r w:rsidRPr="00A9735A">
        <w:rPr>
          <w:rFonts w:eastAsia="Times New Roman" w:cs="Arial"/>
          <w:color w:val="000000"/>
          <w:lang w:eastAsia="bg-BG"/>
        </w:rPr>
        <w:t>Възможно е те да повлияят фармококинетичните параметри на ламотригин по сходен начин (вижте точки 4.2 и 4.4.).</w:t>
      </w:r>
    </w:p>
    <w:p w14:paraId="401D59D5" w14:textId="77777777" w:rsidR="00A9735A" w:rsidRPr="00A9735A" w:rsidRDefault="00A9735A" w:rsidP="00A9735A">
      <w:pPr>
        <w:spacing w:line="240" w:lineRule="auto"/>
        <w:rPr>
          <w:rFonts w:eastAsia="Times New Roman" w:cs="Arial"/>
          <w:color w:val="000000"/>
          <w:u w:val="single"/>
          <w:lang w:eastAsia="bg-BG"/>
        </w:rPr>
      </w:pPr>
    </w:p>
    <w:p w14:paraId="3D50B91C" w14:textId="2FFAB5CE"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Взаимодействия с антиепилептични лекарствени продукти</w:t>
      </w:r>
    </w:p>
    <w:p w14:paraId="5CDA3A0B"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Валпроат инхибира глюкуронирането на ламотригин, забавя метаболизма и удължава средния полуживот на ламотригин приблизително два пъти. При пациенти, подложени на съпътстваща терапия с валпроат, трябва да бъде прилаган подходящ лечебен план (вижте точка 4.2).</w:t>
      </w:r>
    </w:p>
    <w:p w14:paraId="05FB032E" w14:textId="77777777" w:rsidR="00A9735A" w:rsidRPr="00A9735A" w:rsidRDefault="00A9735A" w:rsidP="00A9735A">
      <w:pPr>
        <w:spacing w:line="240" w:lineRule="auto"/>
        <w:rPr>
          <w:rFonts w:eastAsia="Times New Roman" w:cs="Arial"/>
          <w:color w:val="000000"/>
          <w:lang w:eastAsia="bg-BG"/>
        </w:rPr>
      </w:pPr>
    </w:p>
    <w:p w14:paraId="3AF18DCA" w14:textId="410C0A7C" w:rsidR="00A9735A" w:rsidRPr="00A9735A" w:rsidRDefault="00A9735A" w:rsidP="00A9735A">
      <w:pPr>
        <w:spacing w:line="240" w:lineRule="auto"/>
        <w:rPr>
          <w:rFonts w:eastAsia="Times New Roman" w:cs="Arial"/>
        </w:rPr>
      </w:pPr>
      <w:r w:rsidRPr="00A9735A">
        <w:rPr>
          <w:rFonts w:eastAsia="Times New Roman" w:cs="Arial"/>
          <w:color w:val="000000"/>
          <w:lang w:eastAsia="bg-BG"/>
        </w:rPr>
        <w:t>Определени АЕЛ (като фенитоин, карбамазепин, фенобарбитон и примидон), които активират чернодробната лекарство-метаболизираща ензимна система, индуцират глюкуронирането на ламотригин и ускоряват метаболизма му. При пациенти, получаващи съпътстващо лечение с фенитоин, карбамазепин, фенобарбитон или примидон, трябва да бъде прилагана подходяща терапевтична схема (вижте точка 4.2).</w:t>
      </w:r>
    </w:p>
    <w:p w14:paraId="1773B41E" w14:textId="77777777" w:rsidR="00A9735A" w:rsidRPr="00A9735A" w:rsidRDefault="00A9735A" w:rsidP="00A9735A">
      <w:pPr>
        <w:spacing w:line="240" w:lineRule="auto"/>
        <w:rPr>
          <w:rFonts w:eastAsia="Times New Roman" w:cs="Arial"/>
          <w:color w:val="000000"/>
          <w:lang w:eastAsia="bg-BG"/>
        </w:rPr>
      </w:pPr>
    </w:p>
    <w:p w14:paraId="5FD95765" w14:textId="4CD192ED"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При включване на карбамазепин след прием на ламотригин се описва развитие на симптоми от страна на централната нервна система като замаяност, атаксия, двойно виждане, замъглено зрение и гадене. Тези прояви обикновено изчезват след намаляване на дозата на карбамазепин. Подобни ефекти са наблюдавани по време на изпитване с ламотригин и окскарбамазепин при здрави възрастни доброволци, но не е проучвано намаляване на дозата.</w:t>
      </w:r>
    </w:p>
    <w:p w14:paraId="1EFE7880" w14:textId="23617748" w:rsidR="00A9735A" w:rsidRPr="00A9735A" w:rsidRDefault="00A9735A" w:rsidP="00A9735A">
      <w:pPr>
        <w:spacing w:line="240" w:lineRule="auto"/>
        <w:rPr>
          <w:rFonts w:eastAsia="Times New Roman" w:cs="Arial"/>
          <w:color w:val="000000"/>
          <w:lang w:eastAsia="bg-BG"/>
        </w:rPr>
      </w:pPr>
    </w:p>
    <w:p w14:paraId="79CDDEBE"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литературата има съобщения за понижени нива на ламотригин при прием на ламотригин в комбинация с окскарбамазепин. Въпреки това, в проспективно проучване при здрави възрастни доброволци при прием на дози от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ламотригин и 1200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окскарбамазепин е установено, че окскарбамазепин не променя метаболизма на ламотригин и ламотригин не променя метаболизма на окскарбамазепин. Поради това при пациенти, които приемат съпътстващо лечение с окскарбамазепин, трябва да се използва схема на лечение за комбинирана терапия с ламотригин без валпроат и без индуктори на глюкуронирането на ламотригин (вижте точка 4.2).</w:t>
      </w:r>
    </w:p>
    <w:p w14:paraId="02EF027E" w14:textId="77777777" w:rsidR="00A9735A" w:rsidRPr="00A9735A" w:rsidRDefault="00A9735A" w:rsidP="00A9735A">
      <w:pPr>
        <w:spacing w:line="240" w:lineRule="auto"/>
        <w:rPr>
          <w:rFonts w:eastAsia="Times New Roman" w:cs="Arial"/>
          <w:color w:val="000000"/>
          <w:lang w:eastAsia="bg-BG"/>
        </w:rPr>
      </w:pPr>
    </w:p>
    <w:p w14:paraId="69E719D4" w14:textId="5E767EE5"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При проучване при здрави доброволци, едновременното приложение на фелбамат (1200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два пъти дневно) с ламотригин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два пъти дневно за 10 дни) не е довело до клинично значими ефекти върху фармакокинетиката на ламотригин.</w:t>
      </w:r>
    </w:p>
    <w:p w14:paraId="667114AE" w14:textId="77777777" w:rsidR="00A9735A" w:rsidRPr="00A9735A" w:rsidRDefault="00A9735A" w:rsidP="00A9735A">
      <w:pPr>
        <w:spacing w:line="240" w:lineRule="auto"/>
        <w:rPr>
          <w:rFonts w:eastAsia="Times New Roman" w:cs="Arial"/>
          <w:color w:val="000000"/>
          <w:lang w:eastAsia="bg-BG"/>
        </w:rPr>
      </w:pPr>
    </w:p>
    <w:p w14:paraId="61D6CF20" w14:textId="263F5372"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На основата на ретроспективен анализ на плазмените нива при пациенти, приемали ламотригин със или без габапентин, изглежда, че габапентин не променя клирънса на ламотригин.</w:t>
      </w:r>
    </w:p>
    <w:p w14:paraId="1937CB81" w14:textId="77777777" w:rsidR="00A9735A" w:rsidRPr="00A9735A" w:rsidRDefault="00A9735A" w:rsidP="00A9735A">
      <w:pPr>
        <w:spacing w:line="240" w:lineRule="auto"/>
        <w:rPr>
          <w:rFonts w:eastAsia="Times New Roman" w:cs="Arial"/>
          <w:color w:val="000000"/>
          <w:lang w:eastAsia="bg-BG"/>
        </w:rPr>
      </w:pPr>
    </w:p>
    <w:p w14:paraId="08D4FB29" w14:textId="1B334702" w:rsidR="00A9735A" w:rsidRPr="00A9735A" w:rsidRDefault="00A9735A" w:rsidP="00A9735A">
      <w:pPr>
        <w:spacing w:line="240" w:lineRule="auto"/>
        <w:rPr>
          <w:rFonts w:eastAsia="Times New Roman" w:cs="Arial"/>
        </w:rPr>
      </w:pPr>
      <w:r w:rsidRPr="00A9735A">
        <w:rPr>
          <w:rFonts w:eastAsia="Times New Roman" w:cs="Arial"/>
          <w:color w:val="000000"/>
          <w:lang w:eastAsia="bg-BG"/>
        </w:rPr>
        <w:t>Потенциалните взаимодействия между леветирацетам и ламотригин са изследвани чрез оценка на серумните концентрации на двете лекарства по време на плацебо контролирани клинични изпитвания. Тези данни показват, че ламотригин не повлиява фармакокинетиката на леветирацетам и леветирацетам не повлиява фармакокинетиката на ламотригин.</w:t>
      </w:r>
    </w:p>
    <w:p w14:paraId="2C8E2444" w14:textId="77777777" w:rsidR="00A9735A" w:rsidRPr="00A9735A" w:rsidRDefault="00A9735A" w:rsidP="00A9735A">
      <w:pPr>
        <w:spacing w:line="240" w:lineRule="auto"/>
        <w:rPr>
          <w:rFonts w:eastAsia="Times New Roman" w:cs="Arial"/>
          <w:color w:val="000000"/>
          <w:lang w:eastAsia="bg-BG"/>
        </w:rPr>
      </w:pPr>
    </w:p>
    <w:p w14:paraId="6DB40306" w14:textId="0C86DB0C"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Най-ниските плазмени концентрации на ламотригин в стационарно състояние не се повлияват от съпътстващия прием на прегабалин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три пъти дневно). Не са установени фармакокинетични взаимодействия между ламотригин и прегабалин.</w:t>
      </w:r>
    </w:p>
    <w:p w14:paraId="24A67DA1" w14:textId="77777777" w:rsidR="00A9735A" w:rsidRPr="00A9735A" w:rsidRDefault="00A9735A" w:rsidP="00A9735A">
      <w:pPr>
        <w:spacing w:line="240" w:lineRule="auto"/>
        <w:rPr>
          <w:rFonts w:eastAsia="Times New Roman" w:cs="Arial"/>
          <w:color w:val="000000"/>
          <w:lang w:eastAsia="bg-BG"/>
        </w:rPr>
      </w:pPr>
    </w:p>
    <w:p w14:paraId="2DE4E0B0" w14:textId="6412146D" w:rsidR="00A9735A" w:rsidRPr="00A9735A" w:rsidRDefault="00A9735A" w:rsidP="00A9735A">
      <w:pPr>
        <w:spacing w:line="240" w:lineRule="auto"/>
        <w:rPr>
          <w:rFonts w:eastAsia="Times New Roman" w:cs="Arial"/>
        </w:rPr>
      </w:pPr>
      <w:r w:rsidRPr="00A9735A">
        <w:rPr>
          <w:rFonts w:eastAsia="Times New Roman" w:cs="Arial"/>
          <w:color w:val="000000"/>
          <w:lang w:eastAsia="bg-BG"/>
        </w:rPr>
        <w:t>Топирамат не предизвиква промяна в плазмените концентрации на ламотригин. Приложението на ламотригин води до 15% повишаване на концентраците на топирамат.</w:t>
      </w:r>
    </w:p>
    <w:p w14:paraId="301D0752" w14:textId="77777777" w:rsidR="00A9735A" w:rsidRPr="00A9735A" w:rsidRDefault="00A9735A" w:rsidP="00A9735A">
      <w:pPr>
        <w:spacing w:line="240" w:lineRule="auto"/>
        <w:rPr>
          <w:rFonts w:eastAsia="Times New Roman" w:cs="Arial"/>
          <w:color w:val="000000"/>
          <w:lang w:eastAsia="bg-BG"/>
        </w:rPr>
      </w:pPr>
    </w:p>
    <w:p w14:paraId="65B720F1" w14:textId="3D77985D"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с </w:t>
      </w:r>
    </w:p>
    <w:p w14:paraId="408C7BCE" w14:textId="222E4FC6"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ламотригин (150 до 500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дневно) за 35 дни е довел до значими ефекти върху фармакокинетиката на ламотригин.</w:t>
      </w:r>
    </w:p>
    <w:p w14:paraId="1A156331" w14:textId="77777777" w:rsidR="00A9735A" w:rsidRPr="00A9735A" w:rsidRDefault="00A9735A" w:rsidP="00A9735A">
      <w:pPr>
        <w:spacing w:line="240" w:lineRule="auto"/>
        <w:rPr>
          <w:rFonts w:eastAsia="Times New Roman" w:cs="Arial"/>
          <w:color w:val="000000"/>
          <w:lang w:eastAsia="bg-BG"/>
        </w:rPr>
      </w:pPr>
    </w:p>
    <w:p w14:paraId="68766CB1" w14:textId="64AE9EF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Въпреки, че са съобщавани промени в плазмените концентрации на други АЕЛ, в контролираните изпитвания не е установено ламотригин да повлиява плазмените концентрации на едновременно прилаганите АЕЛ. Данни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изпитвания показват, че ламотригин не измества други АЕЛ от местата им на свързване с плазмените протеинини.</w:t>
      </w:r>
    </w:p>
    <w:p w14:paraId="0F69F25F" w14:textId="77777777" w:rsidR="00A9735A" w:rsidRPr="00A9735A" w:rsidRDefault="00A9735A" w:rsidP="00A9735A">
      <w:pPr>
        <w:spacing w:line="240" w:lineRule="auto"/>
        <w:rPr>
          <w:rFonts w:eastAsia="Times New Roman" w:cs="Arial"/>
          <w:color w:val="000000"/>
          <w:u w:val="single"/>
          <w:lang w:eastAsia="bg-BG"/>
        </w:rPr>
      </w:pPr>
    </w:p>
    <w:p w14:paraId="2234C0DB" w14:textId="418B1323"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Взаимодействия с други психоактивни агенти</w:t>
      </w:r>
    </w:p>
    <w:p w14:paraId="5CD7636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Фармакокинетичните свойства на литий след прием на 2 </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приложение със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ламотригин дневно.</w:t>
      </w:r>
    </w:p>
    <w:p w14:paraId="52433C9C" w14:textId="77777777" w:rsidR="00A9735A" w:rsidRPr="00A9735A" w:rsidRDefault="00A9735A" w:rsidP="00A9735A">
      <w:pPr>
        <w:spacing w:line="240" w:lineRule="auto"/>
        <w:rPr>
          <w:rFonts w:eastAsia="Times New Roman" w:cs="Arial"/>
          <w:color w:val="000000"/>
          <w:lang w:eastAsia="bg-BG"/>
        </w:rPr>
      </w:pPr>
    </w:p>
    <w:p w14:paraId="4E0C6790" w14:textId="6E83D30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Многобройните перорални дози бупропион не са показали статистически значими ефекти върху фармакокинетиката на единична доза ламотригин при 12 лица, като е наблюдавано само леко увеличаване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на ламотригин глюкуронид.</w:t>
      </w:r>
    </w:p>
    <w:p w14:paraId="55DEE28E" w14:textId="77777777" w:rsidR="00A9735A" w:rsidRPr="00A9735A" w:rsidRDefault="00A9735A" w:rsidP="00A9735A">
      <w:pPr>
        <w:spacing w:line="240" w:lineRule="auto"/>
        <w:rPr>
          <w:rFonts w:eastAsia="Times New Roman" w:cs="Arial"/>
          <w:color w:val="000000"/>
          <w:lang w:eastAsia="bg-BG"/>
        </w:rPr>
      </w:pPr>
    </w:p>
    <w:p w14:paraId="204723BF"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В едно изпитване при здрави възрастни доброволци, прием на 15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оланзапин е намалил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w:t>
      </w:r>
      <w:r w:rsidRPr="00A9735A">
        <w:rPr>
          <w:rFonts w:eastAsia="Times New Roman" w:cs="Arial"/>
          <w:color w:val="000000"/>
          <w:lang w:val="en-US"/>
        </w:rPr>
        <w:t>m</w:t>
      </w:r>
      <w:r w:rsidRPr="00A9735A">
        <w:rPr>
          <w:rFonts w:eastAsia="Times New Roman" w:cs="Arial"/>
          <w:color w:val="000000"/>
          <w:lang w:eastAsia="bg-BG"/>
        </w:rPr>
        <w:t xml:space="preserve">ах на ламотригин съответно средно с 24% и 20%. Не се очаква повлияване от такава величина да има клинично значение. Установено е, че прием на 200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ламотригин не повлиява фармакокинетиката на оланзапин.</w:t>
      </w:r>
    </w:p>
    <w:p w14:paraId="198C34F1" w14:textId="77777777" w:rsidR="00A9735A" w:rsidRPr="00A9735A" w:rsidRDefault="00A9735A" w:rsidP="00A9735A">
      <w:pPr>
        <w:spacing w:line="240" w:lineRule="auto"/>
        <w:rPr>
          <w:rFonts w:eastAsia="Times New Roman" w:cs="Arial"/>
          <w:color w:val="000000"/>
          <w:lang w:eastAsia="bg-BG"/>
        </w:rPr>
      </w:pPr>
    </w:p>
    <w:p w14:paraId="64331A7F" w14:textId="611C664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Многократните перорални дози ламотригин от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с ламотригин, 12 от 14 доброволци съобщават за сънливост, в сравнение с 1 от 20 при самостоятелен прием на рисперидон, и нито един при самостоятелен прием на ламотригин.</w:t>
      </w:r>
    </w:p>
    <w:p w14:paraId="1BE63593" w14:textId="77777777" w:rsidR="00A9735A" w:rsidRPr="00A9735A" w:rsidRDefault="00A9735A" w:rsidP="00A9735A">
      <w:pPr>
        <w:spacing w:line="240" w:lineRule="auto"/>
        <w:rPr>
          <w:rFonts w:eastAsia="Times New Roman" w:cs="Arial"/>
          <w:color w:val="000000"/>
          <w:lang w:eastAsia="bg-BG"/>
        </w:rPr>
      </w:pPr>
    </w:p>
    <w:p w14:paraId="178C5840" w14:textId="32D7CD28"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проучване при 18 възрастни пациенти с тип I биполярно разстройство, които приемат ламотригин по установена схема на дозиране (100 - 400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дозите на </w:t>
      </w:r>
      <w:r w:rsidRPr="00A9735A">
        <w:rPr>
          <w:rFonts w:eastAsia="Times New Roman" w:cs="Arial"/>
          <w:color w:val="000000"/>
          <w:lang w:eastAsia="bg-BG"/>
        </w:rPr>
        <w:lastRenderedPageBreak/>
        <w:t xml:space="preserve">арипипразол са повишени от 10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до таргетна доза от 30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дневно за период от 7 дни. Наблюдавано е понижение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Стах на ламотригин със средно 10%. Не се очаква такъв ефект да има клинични последствия.</w:t>
      </w:r>
    </w:p>
    <w:p w14:paraId="08931E08" w14:textId="77777777" w:rsidR="00A9735A" w:rsidRPr="00A9735A" w:rsidRDefault="00A9735A" w:rsidP="00A9735A">
      <w:pPr>
        <w:spacing w:line="240" w:lineRule="auto"/>
        <w:rPr>
          <w:rFonts w:eastAsia="Times New Roman" w:cs="Arial"/>
          <w:color w:val="000000"/>
          <w:lang w:eastAsia="bg-BG"/>
        </w:rPr>
      </w:pPr>
    </w:p>
    <w:p w14:paraId="7E22481E" w14:textId="69A20B29"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Резултатите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опити са показали, че образуването на основния метаболит на ламотригин, 2-</w:t>
      </w:r>
      <w:r w:rsidRPr="00A9735A">
        <w:rPr>
          <w:rFonts w:eastAsia="Times New Roman" w:cs="Arial"/>
          <w:color w:val="000000"/>
          <w:lang w:val="en-US"/>
        </w:rPr>
        <w:t>N</w:t>
      </w:r>
      <w:r w:rsidRPr="00A9735A">
        <w:rPr>
          <w:rFonts w:eastAsia="Times New Roman" w:cs="Arial"/>
          <w:color w:val="000000"/>
          <w:lang w:eastAsia="bg-BG"/>
        </w:rPr>
        <w:t xml:space="preserve">-глкжуронид се инхибира минимално от съвместна инкубация с амитриптилин, бупропион, клоназепам, флуоксетин, халоперидол или лоразепам. Резултатите от тези опити предполагат и, че метаболизмът на ламотригин е малко вероятно да бъде инхибиран от клозапин, флуоксетин, фенелзин, рисперидон, сертралин или тразодон. Освен това, изследване на метаболизма на буфарол в препарати от микрозоми от човешки черен дроб предполагат, че ламотригин не намалява клирънса на лекарства, които се елиминират предимно чрез </w:t>
      </w:r>
      <w:r w:rsidRPr="00A9735A">
        <w:rPr>
          <w:rFonts w:eastAsia="Times New Roman" w:cs="Arial"/>
          <w:color w:val="000000"/>
          <w:lang w:val="en-US"/>
        </w:rPr>
        <w:t>CYP</w:t>
      </w:r>
      <w:r w:rsidRPr="00A9735A">
        <w:rPr>
          <w:rFonts w:eastAsia="Times New Roman" w:cs="Arial"/>
          <w:color w:val="000000"/>
          <w:lang w:val="ru-RU"/>
        </w:rPr>
        <w:t>2</w:t>
      </w:r>
      <w:r w:rsidRPr="00A9735A">
        <w:rPr>
          <w:rFonts w:eastAsia="Times New Roman" w:cs="Arial"/>
          <w:color w:val="000000"/>
          <w:lang w:val="en-US"/>
        </w:rPr>
        <w:t>D</w:t>
      </w:r>
      <w:r w:rsidRPr="00A9735A">
        <w:rPr>
          <w:rFonts w:eastAsia="Times New Roman" w:cs="Arial"/>
          <w:color w:val="000000"/>
          <w:lang w:val="ru-RU"/>
        </w:rPr>
        <w:t>6.</w:t>
      </w:r>
    </w:p>
    <w:p w14:paraId="3A61D85C" w14:textId="77777777" w:rsidR="00A9735A" w:rsidRPr="00A9735A" w:rsidRDefault="00A9735A" w:rsidP="00A9735A">
      <w:pPr>
        <w:spacing w:line="240" w:lineRule="auto"/>
        <w:rPr>
          <w:rFonts w:eastAsia="Times New Roman" w:cs="Arial"/>
          <w:color w:val="000000"/>
          <w:u w:val="single"/>
          <w:lang w:eastAsia="bg-BG"/>
        </w:rPr>
      </w:pPr>
    </w:p>
    <w:p w14:paraId="0435A1EF" w14:textId="0EF3CF3C"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Взаимодействие с хормонални контрацептиви</w:t>
      </w:r>
    </w:p>
    <w:p w14:paraId="18920B31" w14:textId="77777777"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Ефекти на хормоналните контрацептиви върху фармакокинетиката на ламотригин</w:t>
      </w:r>
    </w:p>
    <w:p w14:paraId="35C42793"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клинично изпитване с участието на 16 жени доброволки, прием на комбиниран перорален контрацептив 30 μ</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етинилестрадиол/ 150 μ</w:t>
      </w:r>
      <w:r w:rsidRPr="00A9735A">
        <w:rPr>
          <w:rFonts w:eastAsia="Times New Roman" w:cs="Arial"/>
          <w:color w:val="000000"/>
          <w:lang w:val="en-US"/>
        </w:rPr>
        <w:t>g</w:t>
      </w:r>
      <w:r w:rsidRPr="00A9735A">
        <w:rPr>
          <w:rFonts w:eastAsia="Times New Roman" w:cs="Arial"/>
          <w:color w:val="000000"/>
          <w:lang w:val="ru-RU"/>
        </w:rPr>
        <w:t xml:space="preserve"> </w:t>
      </w:r>
      <w:r w:rsidRPr="00A9735A">
        <w:rPr>
          <w:rFonts w:eastAsia="Times New Roman" w:cs="Arial"/>
          <w:color w:val="000000"/>
          <w:lang w:eastAsia="bg-BG"/>
        </w:rPr>
        <w:t xml:space="preserve">левоноргестрел е довел до приблизително двукратно повишаване на клирънса на ламотригин, имащо за резултат намаляване средно с 52% и 39 %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 на ламотригин. Серумните концентрации на ламотригин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(вижте точка 4.4). Не е необходимо адаптиране съгласно препоръчаните указания за повишаване на дозата на ламотригин на основата единствено на употребата на хормонални контрацептиви, но поддържащата доза на ламотригин в повечето случаи трябва да бъде повишена или понижена при започване или спиране на приеман на хормонални кантрацептиви (вижте точка 4.2).</w:t>
      </w:r>
    </w:p>
    <w:p w14:paraId="22B6B139" w14:textId="77777777" w:rsidR="00A9735A" w:rsidRPr="00A9735A" w:rsidRDefault="00A9735A" w:rsidP="00A9735A">
      <w:pPr>
        <w:spacing w:line="240" w:lineRule="auto"/>
        <w:rPr>
          <w:rFonts w:eastAsia="Times New Roman" w:cs="Arial"/>
          <w:i/>
          <w:iCs/>
          <w:color w:val="000000"/>
          <w:u w:val="single"/>
          <w:lang w:eastAsia="bg-BG"/>
        </w:rPr>
      </w:pPr>
    </w:p>
    <w:p w14:paraId="412F04E6" w14:textId="56B617AA"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 xml:space="preserve">Ефект на </w:t>
      </w:r>
      <w:r w:rsidRPr="00A9735A">
        <w:rPr>
          <w:rFonts w:eastAsia="Times New Roman" w:cs="Arial"/>
          <w:i/>
          <w:iCs/>
          <w:color w:val="000000"/>
          <w:u w:val="single"/>
          <w:lang w:val="en-US"/>
        </w:rPr>
        <w:t>lamotrigine</w:t>
      </w:r>
      <w:r w:rsidRPr="00A9735A">
        <w:rPr>
          <w:rFonts w:eastAsia="Times New Roman" w:cs="Arial"/>
          <w:i/>
          <w:iCs/>
          <w:color w:val="000000"/>
          <w:u w:val="single"/>
          <w:lang w:val="ru-RU"/>
        </w:rPr>
        <w:t xml:space="preserve"> </w:t>
      </w:r>
      <w:r w:rsidRPr="00A9735A">
        <w:rPr>
          <w:rFonts w:eastAsia="Times New Roman" w:cs="Arial"/>
          <w:i/>
          <w:iCs/>
          <w:color w:val="000000"/>
          <w:u w:val="single"/>
          <w:lang w:eastAsia="bg-BG"/>
        </w:rPr>
        <w:t>върху фармакокинетиката на хормоналните контрацептиви</w:t>
      </w:r>
    </w:p>
    <w:p w14:paraId="184CDF00" w14:textId="77777777" w:rsidR="00A9735A" w:rsidRPr="00A9735A" w:rsidRDefault="00A9735A" w:rsidP="00A9735A">
      <w:pPr>
        <w:rPr>
          <w:rFonts w:eastAsia="Times New Roman" w:cs="Arial"/>
        </w:rPr>
      </w:pPr>
      <w:r w:rsidRPr="00A9735A">
        <w:rPr>
          <w:rFonts w:eastAsia="Times New Roman" w:cs="Arial"/>
          <w:color w:val="000000"/>
          <w:lang w:eastAsia="bg-BG"/>
        </w:rPr>
        <w:t xml:space="preserve">В клинично изпитване с участието на 16 жени доброволки, прием на стационарна доза от 300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 xml:space="preserve">ламотригин не е оказал ефект върху фармакокинетиката на етинилестрадиоловата съставка на комбинираната перорална контрацептивна таблетка. Установено е умерено увеличение на пероралния клирънс на съставката левоноргестрел, водещо до намаление средно с 19% и 12% на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и С</w:t>
      </w:r>
      <w:r w:rsidRPr="00A9735A">
        <w:rPr>
          <w:rFonts w:eastAsia="Times New Roman" w:cs="Arial"/>
          <w:color w:val="000000"/>
          <w:lang w:val="en-US"/>
        </w:rPr>
        <w:t>m</w:t>
      </w:r>
      <w:r w:rsidRPr="00A9735A">
        <w:rPr>
          <w:rFonts w:eastAsia="Times New Roman" w:cs="Arial"/>
          <w:color w:val="000000"/>
          <w:lang w:eastAsia="bg-BG"/>
        </w:rPr>
        <w:t xml:space="preserve">ах на левоноргестрел. Измерването на серумните </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активност при някои жени, въпреки че измерванията на серумния прогестерон показват, че няма хормонални данни за овулация при никоя от 16-те жени. Не е изяснено въздействието на умереното повишение на клирънса на левоноргестрел и промените и серумния </w:t>
      </w:r>
      <w:r w:rsidRPr="00A9735A">
        <w:rPr>
          <w:rFonts w:eastAsia="Times New Roman" w:cs="Arial"/>
          <w:color w:val="000000"/>
          <w:lang w:val="en-US"/>
        </w:rPr>
        <w:t>FSH</w:t>
      </w:r>
      <w:r w:rsidRPr="00A9735A">
        <w:rPr>
          <w:rFonts w:eastAsia="Times New Roman" w:cs="Arial"/>
          <w:color w:val="000000"/>
          <w:lang w:val="ru-RU"/>
        </w:rPr>
        <w:t xml:space="preserve"> </w:t>
      </w:r>
      <w:r w:rsidRPr="00A9735A">
        <w:rPr>
          <w:rFonts w:eastAsia="Times New Roman" w:cs="Arial"/>
          <w:color w:val="000000"/>
          <w:lang w:eastAsia="bg-BG"/>
        </w:rPr>
        <w:t xml:space="preserve">и </w:t>
      </w:r>
      <w:r w:rsidRPr="00A9735A">
        <w:rPr>
          <w:rFonts w:eastAsia="Times New Roman" w:cs="Arial"/>
          <w:color w:val="000000"/>
          <w:lang w:val="en-US"/>
        </w:rPr>
        <w:t>LH</w:t>
      </w:r>
      <w:r w:rsidRPr="00A9735A">
        <w:rPr>
          <w:rFonts w:eastAsia="Times New Roman" w:cs="Arial"/>
          <w:color w:val="000000"/>
          <w:lang w:val="ru-RU"/>
        </w:rPr>
        <w:t xml:space="preserve"> </w:t>
      </w:r>
      <w:r w:rsidRPr="00A9735A">
        <w:rPr>
          <w:rFonts w:eastAsia="Times New Roman" w:cs="Arial"/>
          <w:color w:val="000000"/>
          <w:lang w:eastAsia="bg-BG"/>
        </w:rPr>
        <w:t xml:space="preserve">върху овулаторната активност на яйчника (вижте точка 4.4). Не са проучвани ефектите на ламотригин в дневни дози различни от 300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както и не са провеждани изпитвания с други хормонални лекарствени продукти.</w:t>
      </w:r>
    </w:p>
    <w:p w14:paraId="7B95336B" w14:textId="77777777" w:rsidR="00A9735A" w:rsidRPr="00A9735A" w:rsidRDefault="00A9735A" w:rsidP="00A9735A">
      <w:pPr>
        <w:spacing w:line="240" w:lineRule="auto"/>
        <w:rPr>
          <w:rFonts w:eastAsia="Times New Roman" w:cs="Arial"/>
          <w:i/>
          <w:iCs/>
          <w:color w:val="000000"/>
          <w:u w:val="single"/>
          <w:lang w:eastAsia="bg-BG"/>
        </w:rPr>
      </w:pPr>
    </w:p>
    <w:p w14:paraId="5813CAEE" w14:textId="1085E454" w:rsidR="00A9735A" w:rsidRPr="00A9735A" w:rsidRDefault="00A9735A" w:rsidP="00A9735A">
      <w:pPr>
        <w:spacing w:line="240" w:lineRule="auto"/>
        <w:rPr>
          <w:rFonts w:eastAsia="Times New Roman" w:cs="Arial"/>
        </w:rPr>
      </w:pPr>
      <w:r w:rsidRPr="00A9735A">
        <w:rPr>
          <w:rFonts w:eastAsia="Times New Roman" w:cs="Arial"/>
          <w:i/>
          <w:iCs/>
          <w:color w:val="000000"/>
          <w:u w:val="single"/>
          <w:lang w:eastAsia="bg-BG"/>
        </w:rPr>
        <w:t>Взаимодействия с други лекарствени продукти</w:t>
      </w:r>
    </w:p>
    <w:p w14:paraId="0A5CF4B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полуживот на ламотригин поради индукция на чернодробните ензими, отговорни за глюкуронирането. При пациенти, лекувани едновременно с рифампицин, трябва да се използва препоръчителната схема на лечение за (вижте точка 4.2).</w:t>
      </w:r>
    </w:p>
    <w:p w14:paraId="7E39EC08" w14:textId="77777777" w:rsidR="00A9735A" w:rsidRPr="00A9735A" w:rsidRDefault="00A9735A" w:rsidP="00A9735A">
      <w:pPr>
        <w:spacing w:line="240" w:lineRule="auto"/>
        <w:rPr>
          <w:rFonts w:eastAsia="Times New Roman" w:cs="Arial"/>
          <w:color w:val="000000"/>
          <w:lang w:eastAsia="bg-BG"/>
        </w:rPr>
      </w:pPr>
    </w:p>
    <w:p w14:paraId="2B23D0D1" w14:textId="25E285F6"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В изпитване при здрави доброволци, лопинавир/ ритонавир предизвикват приблизително двукратно понижаване на плазмените концентрации на ламотригин, вероятно чрез индуциране на глюкуронирането. При пациенти, които приемат едновременно лечение с лопинавир/ ритонавир, трябва да бъде използван подходящ терапевтичен режим (вижте точка 4.2).</w:t>
      </w:r>
    </w:p>
    <w:p w14:paraId="7A9398BF" w14:textId="77777777" w:rsidR="00A9735A" w:rsidRPr="00A9735A" w:rsidRDefault="00A9735A" w:rsidP="00A9735A">
      <w:pPr>
        <w:spacing w:line="240" w:lineRule="auto"/>
        <w:rPr>
          <w:rFonts w:eastAsia="Times New Roman" w:cs="Arial"/>
          <w:color w:val="000000"/>
          <w:lang w:eastAsia="bg-BG"/>
        </w:rPr>
      </w:pPr>
    </w:p>
    <w:p w14:paraId="180EA357" w14:textId="0F20DB8E"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В едно проучване при здрави възрастни доброволци, атазанавир/ ритонавир (300 </w:t>
      </w:r>
      <w:r w:rsidRPr="00A9735A">
        <w:rPr>
          <w:rFonts w:eastAsia="Times New Roman" w:cs="Arial"/>
          <w:color w:val="000000"/>
          <w:lang w:val="en-US"/>
        </w:rPr>
        <w:t>mg</w:t>
      </w:r>
      <w:r w:rsidRPr="00A9735A">
        <w:rPr>
          <w:rFonts w:eastAsia="Times New Roman" w:cs="Arial"/>
          <w:color w:val="000000"/>
          <w:lang w:val="ru-RU"/>
        </w:rPr>
        <w:t xml:space="preserve">/100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дневно), прилагани за</w:t>
      </w:r>
      <w:r w:rsidRPr="00A9735A">
        <w:rPr>
          <w:rFonts w:eastAsia="Times New Roman" w:cs="Arial"/>
          <w:color w:val="000000"/>
          <w:lang w:val="ru-RU"/>
        </w:rPr>
        <w:t xml:space="preserve"> </w:t>
      </w:r>
      <w:r w:rsidRPr="00A9735A">
        <w:rPr>
          <w:rFonts w:eastAsia="Times New Roman" w:cs="Arial"/>
          <w:color w:val="000000"/>
          <w:lang w:eastAsia="bg-BG"/>
        </w:rPr>
        <w:t xml:space="preserve">9 дни, понижават плазмените </w:t>
      </w:r>
      <w:r w:rsidRPr="00A9735A">
        <w:rPr>
          <w:rFonts w:eastAsia="Times New Roman" w:cs="Arial"/>
          <w:color w:val="000000"/>
          <w:lang w:val="en-US"/>
        </w:rPr>
        <w:t>AUC</w:t>
      </w:r>
      <w:r w:rsidRPr="00A9735A">
        <w:rPr>
          <w:rFonts w:eastAsia="Times New Roman" w:cs="Arial"/>
          <w:color w:val="000000"/>
          <w:lang w:val="ru-RU"/>
        </w:rPr>
        <w:t xml:space="preserve"> </w:t>
      </w:r>
      <w:r w:rsidRPr="00A9735A">
        <w:rPr>
          <w:rFonts w:eastAsia="Times New Roman" w:cs="Arial"/>
          <w:color w:val="000000"/>
          <w:lang w:eastAsia="bg-BG"/>
        </w:rPr>
        <w:t xml:space="preserve">и Стах на ламотригин (еднократна доза от 100 </w:t>
      </w:r>
      <w:r w:rsidRPr="00A9735A">
        <w:rPr>
          <w:rFonts w:eastAsia="Times New Roman" w:cs="Arial"/>
          <w:color w:val="000000"/>
          <w:lang w:val="en-US"/>
        </w:rPr>
        <w:t>mg</w:t>
      </w:r>
      <w:r w:rsidRPr="00A9735A">
        <w:rPr>
          <w:rFonts w:eastAsia="Times New Roman" w:cs="Arial"/>
          <w:color w:val="000000"/>
          <w:lang w:val="ru-RU"/>
        </w:rPr>
        <w:t xml:space="preserve">) </w:t>
      </w:r>
      <w:r w:rsidRPr="00A9735A">
        <w:rPr>
          <w:rFonts w:eastAsia="Times New Roman" w:cs="Arial"/>
          <w:color w:val="000000"/>
          <w:lang w:eastAsia="bg-BG"/>
        </w:rPr>
        <w:t>средно съответно с 32% и 6%. При пациенти, които приемат едновременно лечение с атазанавир/ритонавир, трябва да бъде използван подходящ терапевтичен режим (вижте точка 4.2).</w:t>
      </w:r>
    </w:p>
    <w:p w14:paraId="4072D628" w14:textId="77777777" w:rsidR="00A9735A" w:rsidRPr="00A9735A" w:rsidRDefault="00A9735A" w:rsidP="00A9735A">
      <w:pPr>
        <w:spacing w:line="240" w:lineRule="auto"/>
        <w:rPr>
          <w:rFonts w:eastAsia="Times New Roman" w:cs="Arial"/>
          <w:color w:val="000000"/>
          <w:lang w:eastAsia="bg-BG"/>
        </w:rPr>
      </w:pPr>
    </w:p>
    <w:p w14:paraId="049D0A0A" w14:textId="0B57C024"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Данни от </w:t>
      </w:r>
      <w:r w:rsidRPr="00A9735A">
        <w:rPr>
          <w:rFonts w:eastAsia="Times New Roman" w:cs="Arial"/>
          <w:i/>
          <w:iCs/>
          <w:color w:val="000000"/>
          <w:lang w:val="en-US"/>
        </w:rPr>
        <w:t>in</w:t>
      </w:r>
      <w:r w:rsidRPr="00A9735A">
        <w:rPr>
          <w:rFonts w:eastAsia="Times New Roman" w:cs="Arial"/>
          <w:i/>
          <w:iCs/>
          <w:color w:val="000000"/>
          <w:lang w:val="ru-RU"/>
        </w:rPr>
        <w:t xml:space="preserve"> </w:t>
      </w:r>
      <w:r w:rsidRPr="00A9735A">
        <w:rPr>
          <w:rFonts w:eastAsia="Times New Roman" w:cs="Arial"/>
          <w:i/>
          <w:iCs/>
          <w:color w:val="000000"/>
          <w:lang w:val="en-US"/>
        </w:rPr>
        <w:t>vitro</w:t>
      </w:r>
      <w:r w:rsidRPr="00A9735A">
        <w:rPr>
          <w:rFonts w:eastAsia="Times New Roman" w:cs="Arial"/>
          <w:color w:val="000000"/>
          <w:lang w:val="ru-RU"/>
        </w:rPr>
        <w:t xml:space="preserve"> </w:t>
      </w:r>
      <w:r w:rsidRPr="00A9735A">
        <w:rPr>
          <w:rFonts w:eastAsia="Times New Roman" w:cs="Arial"/>
          <w:color w:val="000000"/>
          <w:lang w:eastAsia="bg-BG"/>
        </w:rPr>
        <w:t xml:space="preserve">проучване показват, че ламотригин, но е и </w:t>
      </w:r>
      <w:r w:rsidRPr="00A9735A">
        <w:rPr>
          <w:rFonts w:eastAsia="Times New Roman" w:cs="Arial"/>
          <w:color w:val="000000"/>
          <w:lang w:val="en-US"/>
        </w:rPr>
        <w:t>N</w:t>
      </w:r>
      <w:r w:rsidRPr="00A9735A">
        <w:rPr>
          <w:rFonts w:eastAsia="Times New Roman" w:cs="Arial"/>
          <w:color w:val="000000"/>
          <w:lang w:eastAsia="bg-BG"/>
        </w:rPr>
        <w:t xml:space="preserve">(2)-глюкуронид метаболита е инхибитор на органичния транспортер 2 </w:t>
      </w:r>
      <w:r w:rsidRPr="00A9735A">
        <w:rPr>
          <w:rFonts w:eastAsia="Times New Roman" w:cs="Arial"/>
          <w:color w:val="000000"/>
          <w:lang w:val="ru-RU"/>
        </w:rPr>
        <w:t>(</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 xml:space="preserve">2) в потенциално клинично значими концентрации. Тези данни показват, че ламотригин е инхибитор на </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 xml:space="preserve">2 с </w:t>
      </w:r>
      <w:r w:rsidRPr="00A9735A">
        <w:rPr>
          <w:rFonts w:eastAsia="Times New Roman" w:cs="Arial"/>
          <w:color w:val="000000"/>
          <w:lang w:val="en-US"/>
        </w:rPr>
        <w:t>IC</w:t>
      </w:r>
      <w:r w:rsidRPr="00A9735A">
        <w:rPr>
          <w:rFonts w:eastAsia="Times New Roman" w:cs="Arial"/>
          <w:color w:val="000000"/>
          <w:lang w:val="ru-RU"/>
        </w:rPr>
        <w:t xml:space="preserve">50 </w:t>
      </w:r>
      <w:r w:rsidRPr="00A9735A">
        <w:rPr>
          <w:rFonts w:eastAsia="Times New Roman" w:cs="Arial"/>
          <w:color w:val="000000"/>
          <w:lang w:eastAsia="bg-BG"/>
        </w:rPr>
        <w:t xml:space="preserve">стойност 53,8 μМ. Едновременното приложение на ламотригин с лекарствени продукти, които се елиминират през бъбреците и са субстрати на </w:t>
      </w:r>
      <w:r w:rsidRPr="00A9735A">
        <w:rPr>
          <w:rFonts w:eastAsia="Times New Roman" w:cs="Arial"/>
          <w:color w:val="000000"/>
          <w:lang w:val="en-US"/>
        </w:rPr>
        <w:t>OCT</w:t>
      </w:r>
      <w:r w:rsidRPr="00A9735A">
        <w:rPr>
          <w:rFonts w:eastAsia="Times New Roman" w:cs="Arial"/>
          <w:color w:val="000000"/>
          <w:lang w:val="ru-RU"/>
        </w:rPr>
        <w:t xml:space="preserve"> </w:t>
      </w:r>
      <w:r w:rsidRPr="00A9735A">
        <w:rPr>
          <w:rFonts w:eastAsia="Times New Roman" w:cs="Arial"/>
          <w:color w:val="000000"/>
          <w:lang w:eastAsia="bg-BG"/>
        </w:rPr>
        <w:t>2 (например метформин, габапентин и варениклин), може да доведе до повишени плазмени концентрации на тези лекарства.</w:t>
      </w:r>
    </w:p>
    <w:p w14:paraId="1796D569"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Клиничната значимост на тези резултатите не е ясно определена. Въпреки това, приложението на лекарството трябва да е с повишено внимание при пациенти, които приемат съвместно някой от тези лекарствени продукти.</w:t>
      </w:r>
    </w:p>
    <w:p w14:paraId="386544EA" w14:textId="10725B76" w:rsidR="00A9735A" w:rsidRPr="00A9735A" w:rsidRDefault="00A9735A" w:rsidP="00A9735A">
      <w:pPr>
        <w:rPr>
          <w:rFonts w:eastAsia="Times New Roman" w:cs="Arial"/>
          <w:i/>
          <w:iCs/>
          <w:color w:val="000000"/>
          <w:szCs w:val="20"/>
          <w:u w:val="single"/>
          <w:lang w:eastAsia="bg-BG"/>
        </w:rPr>
      </w:pPr>
    </w:p>
    <w:p w14:paraId="5D9F40EA" w14:textId="0E2B892C" w:rsidR="007122AD" w:rsidRDefault="002C50EE" w:rsidP="00936AD0">
      <w:pPr>
        <w:pStyle w:val="Heading2"/>
      </w:pPr>
      <w:r>
        <w:t>4.6. Фертилитет, бременност и кърмене</w:t>
      </w:r>
    </w:p>
    <w:p w14:paraId="373A2584" w14:textId="4CBE0C33" w:rsidR="00A9735A" w:rsidRDefault="00A9735A" w:rsidP="00A9735A"/>
    <w:p w14:paraId="7CA52E76" w14:textId="77777777"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Рискове, свързани с антиепилептичните лекарства като цяло</w:t>
      </w:r>
    </w:p>
    <w:p w14:paraId="67F45A6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Жените с детероден потенциал трябва да получат консултация от специалист. Необходимостта от антиепилептично лечение трябва да бъде преоценена, когато се планира бременност или жената забременее. Внезапното преустановяване на лечението с антиепилептици трябва да се избягва, тъй като може да доведе до припадъци, които да имат сериозни последици за жената и за плода. Всеки път, когато е възможно, трябва да се назначава монотерапия, защото лечението с няколко АЕЛ може да бъде свързано с повишен риск от вродени малформации в сравнение с монотерапията, в зависимост от използваните антиепилептични лекарства.</w:t>
      </w:r>
    </w:p>
    <w:p w14:paraId="12DC2B29" w14:textId="77777777" w:rsidR="00A9735A" w:rsidRPr="00A9735A" w:rsidRDefault="00A9735A" w:rsidP="00A9735A">
      <w:pPr>
        <w:spacing w:line="240" w:lineRule="auto"/>
        <w:rPr>
          <w:rFonts w:eastAsia="Times New Roman" w:cs="Arial"/>
          <w:i/>
          <w:iCs/>
          <w:color w:val="000000"/>
          <w:szCs w:val="20"/>
          <w:lang w:eastAsia="bg-BG"/>
        </w:rPr>
      </w:pPr>
    </w:p>
    <w:p w14:paraId="243E07A7" w14:textId="30539DDE" w:rsidR="00A9735A" w:rsidRPr="00A9735A" w:rsidRDefault="00A9735A" w:rsidP="00A9735A">
      <w:pPr>
        <w:spacing w:line="240" w:lineRule="auto"/>
        <w:rPr>
          <w:rFonts w:eastAsia="Times New Roman" w:cs="Arial"/>
          <w:sz w:val="28"/>
          <w:szCs w:val="24"/>
        </w:rPr>
      </w:pPr>
      <w:r w:rsidRPr="00A9735A">
        <w:rPr>
          <w:rFonts w:eastAsia="Times New Roman" w:cs="Arial"/>
          <w:i/>
          <w:iCs/>
          <w:color w:val="000000"/>
          <w:szCs w:val="20"/>
          <w:lang w:eastAsia="bg-BG"/>
        </w:rPr>
        <w:t>Рискове, свързани с ламотригин</w:t>
      </w:r>
    </w:p>
    <w:p w14:paraId="36FD5932" w14:textId="77777777" w:rsidR="00A9735A" w:rsidRPr="00A9735A" w:rsidRDefault="00A9735A" w:rsidP="00A9735A">
      <w:pPr>
        <w:spacing w:line="240" w:lineRule="auto"/>
        <w:rPr>
          <w:rFonts w:eastAsia="Times New Roman" w:cs="Arial"/>
          <w:color w:val="000000"/>
          <w:szCs w:val="20"/>
          <w:u w:val="single"/>
          <w:lang w:eastAsia="bg-BG"/>
        </w:rPr>
      </w:pPr>
    </w:p>
    <w:p w14:paraId="7AB85566" w14:textId="04D9EA47" w:rsidR="00A9735A" w:rsidRPr="00A9735A" w:rsidRDefault="00A9735A" w:rsidP="00A9735A">
      <w:pPr>
        <w:pStyle w:val="Heading3"/>
        <w:rPr>
          <w:u w:val="single"/>
        </w:rPr>
      </w:pPr>
      <w:r w:rsidRPr="00A9735A">
        <w:rPr>
          <w:u w:val="single"/>
        </w:rPr>
        <w:t>Бременност</w:t>
      </w:r>
    </w:p>
    <w:p w14:paraId="31E6D2CD" w14:textId="237091BF" w:rsidR="00A9735A" w:rsidRPr="00A9735A" w:rsidRDefault="00A9735A" w:rsidP="00A9735A">
      <w:pPr>
        <w:rPr>
          <w:rFonts w:eastAsia="Times New Roman" w:cs="Arial"/>
          <w:color w:val="000000"/>
          <w:szCs w:val="20"/>
          <w:lang w:eastAsia="bg-BG"/>
        </w:rPr>
      </w:pPr>
      <w:r w:rsidRPr="00A9735A">
        <w:rPr>
          <w:rFonts w:eastAsia="Times New Roman" w:cs="Arial"/>
          <w:color w:val="000000"/>
          <w:szCs w:val="20"/>
          <w:lang w:eastAsia="bg-BG"/>
        </w:rPr>
        <w:t>Голямо количество данни при бременни жени, приемали ламотригин като монотерапия по време на първия триместър от бременността (повече от 8700) не предполага съществено покачване на риска от големи вродени малформации, включително заешка уста и вълна паст. Проучванията при животни показват токсичност в развитието (вижте точка 5.3).</w:t>
      </w:r>
    </w:p>
    <w:p w14:paraId="30941BAA" w14:textId="3CF602FA" w:rsidR="00A9735A" w:rsidRPr="00A9735A" w:rsidRDefault="00A9735A" w:rsidP="00A9735A">
      <w:pPr>
        <w:rPr>
          <w:rFonts w:eastAsia="Times New Roman" w:cs="Arial"/>
          <w:color w:val="000000"/>
          <w:szCs w:val="20"/>
          <w:lang w:eastAsia="bg-BG"/>
        </w:rPr>
      </w:pPr>
    </w:p>
    <w:p w14:paraId="506E6AA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Ако лечението с ламотригин е наложително по време на бременност се препоръчва използването на най-ниската възможна терапевтична доза.</w:t>
      </w:r>
    </w:p>
    <w:p w14:paraId="516C1448" w14:textId="77777777" w:rsidR="00A9735A" w:rsidRPr="00A9735A" w:rsidRDefault="00A9735A" w:rsidP="00A9735A">
      <w:pPr>
        <w:spacing w:line="240" w:lineRule="auto"/>
        <w:rPr>
          <w:rFonts w:eastAsia="Times New Roman" w:cs="Arial"/>
          <w:color w:val="000000"/>
          <w:szCs w:val="20"/>
          <w:lang w:eastAsia="bg-BG"/>
        </w:rPr>
      </w:pPr>
    </w:p>
    <w:p w14:paraId="36FF13F0" w14:textId="3650B63D"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 xml:space="preserve">Ламотригин има слаб инхибиторен ефект върху редуктазата на дихидрофолиева киселина и може по тази причина теоретично да доведе до повишен риск от ембриофетално увреждане чрез понижаване на нивата на фолиева киселина. </w:t>
      </w:r>
      <w:r w:rsidRPr="00A9735A">
        <w:rPr>
          <w:rFonts w:eastAsia="Times New Roman" w:cs="Arial"/>
          <w:color w:val="000000"/>
          <w:szCs w:val="20"/>
          <w:lang w:eastAsia="bg-BG"/>
        </w:rPr>
        <w:lastRenderedPageBreak/>
        <w:t>Препоръчителен е прием на фолиева киселина при планиране на бременността и в ранните й етапи.</w:t>
      </w:r>
    </w:p>
    <w:p w14:paraId="1A0DEE23" w14:textId="77777777" w:rsidR="00A9735A" w:rsidRPr="00A9735A" w:rsidRDefault="00A9735A" w:rsidP="00A9735A">
      <w:pPr>
        <w:spacing w:line="240" w:lineRule="auto"/>
        <w:rPr>
          <w:rFonts w:eastAsia="Times New Roman" w:cs="Arial"/>
          <w:color w:val="000000"/>
          <w:szCs w:val="20"/>
          <w:lang w:eastAsia="bg-BG"/>
        </w:rPr>
      </w:pPr>
    </w:p>
    <w:p w14:paraId="72ACB4A7" w14:textId="3A52EAFE"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Физиологичните промени през бременността могат да повлияят нивата и/ или терапевтичния ефект на ламотригин. Съобщавано е за понижени плазмени нива на ламотригин по време на бременност с потенциален риск от загуба на контрол върху припадъците. След раждането нивата на ламотригин могат бързо да се повишат с риск от дозосвързани нежелани реакции. Поради това серумните концентрации на ламотригин трябва да бъдат проследявани преди, по време на и след бременността, както и за кратко след раждането. При необходимост дозата може да бъде адаптирана, за да се поддържа серумната концентрация на ламотригин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6E2483B0" w14:textId="77777777" w:rsidR="00A9735A" w:rsidRPr="00A9735A" w:rsidRDefault="00A9735A" w:rsidP="00A9735A">
      <w:pPr>
        <w:spacing w:line="240" w:lineRule="auto"/>
        <w:rPr>
          <w:rFonts w:eastAsia="Times New Roman" w:cs="Arial"/>
          <w:color w:val="000000"/>
          <w:szCs w:val="20"/>
          <w:u w:val="single"/>
          <w:lang w:eastAsia="bg-BG"/>
        </w:rPr>
      </w:pPr>
    </w:p>
    <w:p w14:paraId="669B5C08" w14:textId="237582B8" w:rsidR="00A9735A" w:rsidRPr="00A9735A" w:rsidRDefault="00A9735A" w:rsidP="00A9735A">
      <w:pPr>
        <w:pStyle w:val="Heading3"/>
        <w:rPr>
          <w:u w:val="single"/>
        </w:rPr>
      </w:pPr>
      <w:r w:rsidRPr="00A9735A">
        <w:rPr>
          <w:u w:val="single"/>
        </w:rPr>
        <w:t>Кърмене</w:t>
      </w:r>
    </w:p>
    <w:p w14:paraId="7126985D"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Съобщава се, че ламотригин преминава в кърмата при много различни концентрации, което води до общи нива на ламотригин при кърмачетата от приблизително 50% от майчините.</w:t>
      </w:r>
    </w:p>
    <w:p w14:paraId="70B0127B"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Следователно, при някои кърмачета серумните концентрации на ламотригин могат да достигнат нива, при които се наблюдават фармакологични ефекти.</w:t>
      </w:r>
    </w:p>
    <w:p w14:paraId="2DC1EBB3" w14:textId="77777777" w:rsidR="00A9735A" w:rsidRPr="00A9735A" w:rsidRDefault="00A9735A" w:rsidP="00A9735A">
      <w:pPr>
        <w:spacing w:line="240" w:lineRule="auto"/>
        <w:rPr>
          <w:rFonts w:eastAsia="Times New Roman" w:cs="Arial"/>
          <w:sz w:val="28"/>
          <w:szCs w:val="24"/>
        </w:rPr>
      </w:pPr>
      <w:r w:rsidRPr="00A9735A">
        <w:rPr>
          <w:rFonts w:eastAsia="Times New Roman" w:cs="Arial"/>
          <w:color w:val="000000"/>
          <w:szCs w:val="20"/>
          <w:lang w:eastAsia="bg-BG"/>
        </w:rPr>
        <w:t>Потенциалните ползи от кърменето трябва да бъдат преценени срещу потенциалния риск от поява на нежелани реакции при кърмачето. Ако жената реши да кърми докато е на лечение с ламотригин, кърмачето трябва да бъде проследявано за поява на нежелани реакции, като седация, обрив и слабо наддаване на тегло.</w:t>
      </w:r>
    </w:p>
    <w:p w14:paraId="7CC87468" w14:textId="77777777" w:rsidR="00A9735A" w:rsidRPr="00A9735A" w:rsidRDefault="00A9735A" w:rsidP="00A9735A">
      <w:pPr>
        <w:spacing w:line="240" w:lineRule="auto"/>
        <w:rPr>
          <w:rFonts w:eastAsia="Times New Roman" w:cs="Arial"/>
          <w:color w:val="000000"/>
          <w:szCs w:val="20"/>
          <w:u w:val="single"/>
          <w:lang w:eastAsia="bg-BG"/>
        </w:rPr>
      </w:pPr>
    </w:p>
    <w:p w14:paraId="037C04FA" w14:textId="09DCF5A5" w:rsidR="00A9735A" w:rsidRPr="00A9735A" w:rsidRDefault="00A9735A" w:rsidP="00A9735A">
      <w:pPr>
        <w:pStyle w:val="Heading3"/>
        <w:rPr>
          <w:u w:val="single"/>
        </w:rPr>
      </w:pPr>
      <w:r w:rsidRPr="00A9735A">
        <w:rPr>
          <w:u w:val="single"/>
        </w:rPr>
        <w:t>Фертилитет</w:t>
      </w:r>
    </w:p>
    <w:p w14:paraId="47D7A138" w14:textId="77777777" w:rsidR="00A9735A" w:rsidRPr="00A9735A" w:rsidRDefault="00A9735A" w:rsidP="00A9735A">
      <w:pPr>
        <w:spacing w:line="240" w:lineRule="auto"/>
        <w:rPr>
          <w:rFonts w:ascii="Times New Roman" w:eastAsia="Times New Roman" w:hAnsi="Times New Roman" w:cs="Times New Roman"/>
          <w:sz w:val="24"/>
          <w:szCs w:val="24"/>
        </w:rPr>
      </w:pPr>
      <w:r w:rsidRPr="00A9735A">
        <w:rPr>
          <w:rFonts w:eastAsia="Times New Roman" w:cs="Arial"/>
          <w:color w:val="000000"/>
          <w:szCs w:val="20"/>
          <w:lang w:eastAsia="bg-BG"/>
        </w:rPr>
        <w:t>Изследванията при животни не показват неблагоприятно влияние на ламотригин върху фертилитета (вижте точка 5.3).</w:t>
      </w:r>
    </w:p>
    <w:p w14:paraId="44DD0FD4" w14:textId="77777777" w:rsidR="00A9735A" w:rsidRPr="00A9735A" w:rsidRDefault="00A9735A" w:rsidP="00A9735A"/>
    <w:p w14:paraId="5DD7A76D" w14:textId="72484AFB" w:rsidR="007122AD" w:rsidRDefault="002C50EE" w:rsidP="00936AD0">
      <w:pPr>
        <w:pStyle w:val="Heading2"/>
      </w:pPr>
      <w:r>
        <w:t>4.7. Ефекти върху способността за шофиране и работа с машини</w:t>
      </w:r>
    </w:p>
    <w:p w14:paraId="5A717BCA" w14:textId="4EA6D0EB" w:rsidR="00A9735A" w:rsidRDefault="00A9735A" w:rsidP="00A9735A"/>
    <w:p w14:paraId="7CBABF32" w14:textId="77777777" w:rsidR="00A9735A" w:rsidRPr="00A9735A" w:rsidRDefault="00A9735A" w:rsidP="00A9735A">
      <w:pPr>
        <w:rPr>
          <w:sz w:val="24"/>
          <w:szCs w:val="24"/>
        </w:rPr>
      </w:pPr>
      <w:r w:rsidRPr="00A9735A">
        <w:rPr>
          <w:lang w:eastAsia="bg-BG"/>
        </w:rPr>
        <w:t>Тъй като съществуват индивидуални разлики в повлияването от лечението с АЕЛ, на пациентите, които приемат ламотригин за лечение на епилепсия се препоръчва да се консултират с лекуващия лекар относно специфични въпроси, свързани с шофирането и епилепсията.</w:t>
      </w:r>
    </w:p>
    <w:p w14:paraId="1A5BC288" w14:textId="77777777" w:rsidR="00A9735A" w:rsidRDefault="00A9735A" w:rsidP="00A9735A">
      <w:pPr>
        <w:rPr>
          <w:lang w:eastAsia="bg-BG"/>
        </w:rPr>
      </w:pPr>
    </w:p>
    <w:p w14:paraId="70A9ADB8" w14:textId="7366446C" w:rsidR="00A9735A" w:rsidRDefault="00A9735A" w:rsidP="00A9735A">
      <w:pPr>
        <w:rPr>
          <w:lang w:eastAsia="bg-BG"/>
        </w:rPr>
      </w:pPr>
      <w:r w:rsidRPr="00A9735A">
        <w:rPr>
          <w:lang w:eastAsia="bg-BG"/>
        </w:rPr>
        <w:t>Не са провеждани изпитвания за ефектите върху способността за шофиране и работа с машини. При две изпитвания при доброволци е установено, че ефектът на ламотригин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 ламотригин са съобщавани нежелани реакции от неврологичен характер като замайване и двойно виждане. Поради това преди да шофират или да работят с машини пациентите трябва първо да установят как им влияе лечението с ламотригин.</w:t>
      </w:r>
    </w:p>
    <w:p w14:paraId="355BD188" w14:textId="77777777" w:rsidR="00A9735A" w:rsidRPr="00A9735A" w:rsidRDefault="00A9735A" w:rsidP="00A9735A"/>
    <w:p w14:paraId="44CE30A3" w14:textId="4D428909" w:rsidR="007122AD" w:rsidRDefault="002C50EE" w:rsidP="00936AD0">
      <w:pPr>
        <w:pStyle w:val="Heading2"/>
      </w:pPr>
      <w:r>
        <w:t>4.8. Нежелани лекарствени реакции</w:t>
      </w:r>
    </w:p>
    <w:p w14:paraId="0C900FDD" w14:textId="0DBD52DA" w:rsidR="00A9735A" w:rsidRDefault="00A9735A" w:rsidP="00A9735A"/>
    <w:p w14:paraId="3A00696A" w14:textId="77777777" w:rsidR="00A9735A" w:rsidRPr="00A9735A" w:rsidRDefault="00A9735A" w:rsidP="00A9735A">
      <w:pPr>
        <w:rPr>
          <w:sz w:val="24"/>
          <w:szCs w:val="24"/>
        </w:rPr>
      </w:pPr>
      <w:r w:rsidRPr="00A9735A">
        <w:rPr>
          <w:lang w:eastAsia="bg-BG"/>
        </w:rPr>
        <w:t xml:space="preserve">Нежеланите лекарствени реакции за показанията епилепсия и биполярно разстройство са според данни от контролирани клинични изпитвания и друг клиничен опит и са изброени в </w:t>
      </w:r>
      <w:r w:rsidRPr="00A9735A">
        <w:rPr>
          <w:lang w:eastAsia="bg-BG"/>
        </w:rPr>
        <w:lastRenderedPageBreak/>
        <w:t>таблицата по-долу. Категориите по честота са изведени от контролирани клинични изпитвания (монотерапия за епилепсия (обозначени с кръстче</w:t>
      </w:r>
      <w:r w:rsidRPr="00A9735A">
        <w:rPr>
          <w:vertAlign w:val="superscript"/>
          <w:lang w:eastAsia="bg-BG"/>
        </w:rPr>
        <w:t>+</w:t>
      </w:r>
      <w:r w:rsidRPr="00A9735A">
        <w:rPr>
          <w:lang w:val="ru-RU"/>
        </w:rPr>
        <w:t xml:space="preserve">) </w:t>
      </w:r>
      <w:r w:rsidRPr="00A9735A">
        <w:rPr>
          <w:lang w:eastAsia="bg-BG"/>
        </w:rPr>
        <w:t>и за биполярно разстройство (обозначени със знак за параграф</w:t>
      </w:r>
      <w:r w:rsidRPr="00A9735A">
        <w:rPr>
          <w:vertAlign w:val="superscript"/>
          <w:lang w:eastAsia="bg-BG"/>
        </w:rPr>
        <w:t>§</w:t>
      </w:r>
      <w:r w:rsidRPr="00A9735A">
        <w:rPr>
          <w:lang w:eastAsia="bg-BG"/>
        </w:rPr>
        <w:t>)). При разлика в категорията по честота между данните от клинични изпитвания при епилепсия и при биполярно разстройство е показана по-консервативната чесотота. Въпреки това, при липса на данни от контролирани клинични изпитвания категориите по честота са изведени от друг клиничен опит.</w:t>
      </w:r>
    </w:p>
    <w:p w14:paraId="3F6DE974" w14:textId="77777777" w:rsidR="00A9735A" w:rsidRDefault="00A9735A" w:rsidP="00A9735A">
      <w:pPr>
        <w:rPr>
          <w:lang w:eastAsia="bg-BG"/>
        </w:rPr>
      </w:pPr>
    </w:p>
    <w:p w14:paraId="3CD8C95F" w14:textId="40DED3BE" w:rsidR="00A9735A" w:rsidRPr="00A9735A" w:rsidRDefault="00A9735A" w:rsidP="00A9735A">
      <w:pPr>
        <w:rPr>
          <w:sz w:val="24"/>
          <w:szCs w:val="24"/>
        </w:rPr>
      </w:pPr>
      <w:r w:rsidRPr="00A9735A">
        <w:rPr>
          <w:lang w:eastAsia="bg-BG"/>
        </w:rPr>
        <w:t>Възприета е следната класификация на нежеланите лекарствени реакции:</w:t>
      </w:r>
    </w:p>
    <w:p w14:paraId="63B20E63" w14:textId="77777777" w:rsidR="00A9735A" w:rsidRPr="00A9735A" w:rsidRDefault="00A9735A" w:rsidP="00A9735A">
      <w:pPr>
        <w:rPr>
          <w:sz w:val="24"/>
          <w:szCs w:val="24"/>
        </w:rPr>
      </w:pPr>
      <w:r w:rsidRPr="00A9735A">
        <w:rPr>
          <w:lang w:eastAsia="bg-BG"/>
        </w:rPr>
        <w:t>Много чести (&gt;1/10), чести (&gt;1/100 до &lt;1/10), нечести (&gt;1/1 000 до &lt;1/100), редки (&gt;1/10 000 до &lt;1/1 000), много редки (&lt;1/10 000), с неизвестна честота (не може да бъде установена от наличните данни).</w:t>
      </w:r>
    </w:p>
    <w:p w14:paraId="7EB6F3F0" w14:textId="76A1E147" w:rsidR="00A9735A" w:rsidRDefault="00A9735A" w:rsidP="00A9735A"/>
    <w:tbl>
      <w:tblPr>
        <w:tblStyle w:val="TableGrid"/>
        <w:tblW w:w="0" w:type="auto"/>
        <w:tblLook w:val="04A0" w:firstRow="1" w:lastRow="0" w:firstColumn="1" w:lastColumn="0" w:noHBand="0" w:noVBand="1"/>
      </w:tblPr>
      <w:tblGrid>
        <w:gridCol w:w="3112"/>
        <w:gridCol w:w="3159"/>
        <w:gridCol w:w="3079"/>
      </w:tblGrid>
      <w:tr w:rsidR="00A9735A" w14:paraId="7C172234" w14:textId="77777777" w:rsidTr="00A9735A">
        <w:tc>
          <w:tcPr>
            <w:tcW w:w="3192" w:type="dxa"/>
          </w:tcPr>
          <w:p w14:paraId="334D19BB" w14:textId="2147DBCC" w:rsidR="00A9735A" w:rsidRPr="00A9735A" w:rsidRDefault="00A9735A" w:rsidP="00A9735A">
            <w:pPr>
              <w:rPr>
                <w:rFonts w:cs="Arial"/>
              </w:rPr>
            </w:pPr>
            <w:r w:rsidRPr="00A9735A">
              <w:rPr>
                <w:rFonts w:cs="Arial"/>
                <w:b/>
                <w:bCs/>
              </w:rPr>
              <w:t>Системо-органен клас</w:t>
            </w:r>
          </w:p>
        </w:tc>
        <w:tc>
          <w:tcPr>
            <w:tcW w:w="3192" w:type="dxa"/>
          </w:tcPr>
          <w:p w14:paraId="2FE0EF61" w14:textId="5CC7F541" w:rsidR="00A9735A" w:rsidRPr="00A9735A" w:rsidRDefault="00A9735A" w:rsidP="00A9735A">
            <w:pPr>
              <w:rPr>
                <w:rFonts w:cs="Arial"/>
              </w:rPr>
            </w:pPr>
            <w:r w:rsidRPr="00A9735A">
              <w:rPr>
                <w:rFonts w:cs="Arial"/>
                <w:b/>
                <w:bCs/>
              </w:rPr>
              <w:t>Нежелана реакция</w:t>
            </w:r>
          </w:p>
        </w:tc>
        <w:tc>
          <w:tcPr>
            <w:tcW w:w="3192" w:type="dxa"/>
          </w:tcPr>
          <w:p w14:paraId="634C2AE9" w14:textId="7E1897C6" w:rsidR="00A9735A" w:rsidRPr="00A9735A" w:rsidRDefault="00A9735A" w:rsidP="00A9735A">
            <w:pPr>
              <w:rPr>
                <w:rFonts w:cs="Arial"/>
              </w:rPr>
            </w:pPr>
            <w:r w:rsidRPr="00A9735A">
              <w:rPr>
                <w:rFonts w:cs="Arial"/>
                <w:b/>
                <w:bCs/>
              </w:rPr>
              <w:t>Честота</w:t>
            </w:r>
          </w:p>
        </w:tc>
      </w:tr>
      <w:tr w:rsidR="00A9735A" w14:paraId="74B3C475" w14:textId="77777777" w:rsidTr="00A9735A">
        <w:tc>
          <w:tcPr>
            <w:tcW w:w="3192" w:type="dxa"/>
          </w:tcPr>
          <w:p w14:paraId="10838CFB" w14:textId="77777777" w:rsidR="00A9735A" w:rsidRPr="00A9735A" w:rsidRDefault="00A9735A" w:rsidP="00A9735A">
            <w:pPr>
              <w:rPr>
                <w:rFonts w:cs="Arial"/>
              </w:rPr>
            </w:pPr>
            <w:r w:rsidRPr="00A9735A">
              <w:rPr>
                <w:rFonts w:cs="Arial"/>
              </w:rPr>
              <w:t>Нарушения на кръвта</w:t>
            </w:r>
            <w:r w:rsidRPr="00A9735A">
              <w:rPr>
                <w:rFonts w:cs="Arial"/>
              </w:rPr>
              <w:tab/>
              <w:t>и</w:t>
            </w:r>
          </w:p>
          <w:p w14:paraId="1E8824DF" w14:textId="21C42B03" w:rsidR="00A9735A" w:rsidRPr="00A9735A" w:rsidRDefault="00A9735A" w:rsidP="00A9735A">
            <w:pPr>
              <w:rPr>
                <w:rFonts w:cs="Arial"/>
              </w:rPr>
            </w:pPr>
            <w:r w:rsidRPr="00A9735A">
              <w:rPr>
                <w:rFonts w:cs="Arial"/>
              </w:rPr>
              <w:t>лимфната система</w:t>
            </w:r>
          </w:p>
        </w:tc>
        <w:tc>
          <w:tcPr>
            <w:tcW w:w="3192" w:type="dxa"/>
          </w:tcPr>
          <w:p w14:paraId="7DB2E3E8" w14:textId="5A348BFF" w:rsidR="00A9735A" w:rsidRPr="00A9735A" w:rsidRDefault="00A9735A" w:rsidP="00A9735A">
            <w:pPr>
              <w:rPr>
                <w:rFonts w:cs="Arial"/>
              </w:rPr>
            </w:pPr>
            <w:r w:rsidRPr="00A9735A">
              <w:rPr>
                <w:rFonts w:cs="Arial"/>
              </w:rPr>
              <w:t xml:space="preserve">Хемофагоцитна лимфохистиоцитоза </w:t>
            </w:r>
            <w:r w:rsidRPr="00A9735A">
              <w:rPr>
                <w:rFonts w:cs="Arial"/>
                <w:lang w:val="ru-RU"/>
              </w:rPr>
              <w:t>(</w:t>
            </w:r>
            <w:r w:rsidRPr="00A9735A">
              <w:rPr>
                <w:rFonts w:cs="Arial"/>
                <w:lang w:val="en-US"/>
              </w:rPr>
              <w:t>HLH</w:t>
            </w:r>
            <w:r w:rsidRPr="00A9735A">
              <w:rPr>
                <w:rFonts w:cs="Arial"/>
                <w:lang w:val="ru-RU"/>
              </w:rPr>
              <w:t xml:space="preserve">), </w:t>
            </w:r>
            <w:r w:rsidRPr="00A9735A">
              <w:rPr>
                <w:rFonts w:cs="Arial"/>
              </w:rPr>
              <w:t>хематологични</w:t>
            </w:r>
            <w:r w:rsidRPr="00A9735A">
              <w:rPr>
                <w:rFonts w:cs="Arial"/>
              </w:rPr>
              <w:tab/>
              <w:t>отклонения</w:t>
            </w:r>
            <w:r w:rsidRPr="00A9735A">
              <w:rPr>
                <w:rFonts w:cs="Arial"/>
                <w:vertAlign w:val="superscript"/>
              </w:rPr>
              <w:t>1</w:t>
            </w:r>
            <w:r w:rsidRPr="00A9735A">
              <w:rPr>
                <w:rFonts w:cs="Arial"/>
              </w:rPr>
              <w:t>, включващи</w:t>
            </w:r>
          </w:p>
          <w:p w14:paraId="52DE48F8" w14:textId="77777777" w:rsidR="00A9735A" w:rsidRPr="00A9735A" w:rsidRDefault="00A9735A" w:rsidP="00A9735A">
            <w:pPr>
              <w:rPr>
                <w:rFonts w:cs="Arial"/>
              </w:rPr>
            </w:pPr>
            <w:r w:rsidRPr="00A9735A">
              <w:rPr>
                <w:rFonts w:cs="Arial"/>
              </w:rPr>
              <w:t>неутропения, левкопения, анемия, тромбоцитопения, панцитопения, апластична анемия, агранулоцитоза</w:t>
            </w:r>
          </w:p>
          <w:p w14:paraId="59A35E06" w14:textId="77777777" w:rsidR="00A9735A" w:rsidRPr="00A9735A" w:rsidRDefault="00A9735A" w:rsidP="00A9735A">
            <w:pPr>
              <w:rPr>
                <w:rFonts w:cs="Arial"/>
              </w:rPr>
            </w:pPr>
          </w:p>
          <w:p w14:paraId="67FB3BC7" w14:textId="0BF1E323" w:rsidR="00A9735A" w:rsidRPr="00A9735A" w:rsidRDefault="00A9735A" w:rsidP="00A9735A">
            <w:pPr>
              <w:rPr>
                <w:rFonts w:cs="Arial"/>
              </w:rPr>
            </w:pPr>
            <w:r w:rsidRPr="00A9735A">
              <w:rPr>
                <w:rFonts w:cs="Arial"/>
              </w:rPr>
              <w:t>Лимфаденопатия</w:t>
            </w:r>
            <w:r w:rsidRPr="00A9735A">
              <w:rPr>
                <w:rFonts w:cs="Arial"/>
                <w:vertAlign w:val="superscript"/>
              </w:rPr>
              <w:t>1</w:t>
            </w:r>
          </w:p>
        </w:tc>
        <w:tc>
          <w:tcPr>
            <w:tcW w:w="3192" w:type="dxa"/>
          </w:tcPr>
          <w:p w14:paraId="4F45216C" w14:textId="77777777" w:rsidR="00A9735A" w:rsidRPr="00A9735A" w:rsidRDefault="00A9735A" w:rsidP="00A9735A">
            <w:pPr>
              <w:rPr>
                <w:rFonts w:cs="Arial"/>
              </w:rPr>
            </w:pPr>
            <w:r w:rsidRPr="00A9735A">
              <w:rPr>
                <w:rFonts w:cs="Arial"/>
              </w:rPr>
              <w:t>Много редки</w:t>
            </w:r>
          </w:p>
          <w:p w14:paraId="1D5EAFA4" w14:textId="77777777" w:rsidR="00A9735A" w:rsidRPr="00A9735A" w:rsidRDefault="00A9735A" w:rsidP="00A9735A">
            <w:pPr>
              <w:rPr>
                <w:rFonts w:cs="Arial"/>
              </w:rPr>
            </w:pPr>
          </w:p>
          <w:p w14:paraId="09128CBA" w14:textId="77777777" w:rsidR="00A9735A" w:rsidRPr="00A9735A" w:rsidRDefault="00A9735A" w:rsidP="00A9735A">
            <w:pPr>
              <w:rPr>
                <w:rFonts w:cs="Arial"/>
              </w:rPr>
            </w:pPr>
          </w:p>
          <w:p w14:paraId="41A14704" w14:textId="77777777" w:rsidR="00A9735A" w:rsidRPr="00A9735A" w:rsidRDefault="00A9735A" w:rsidP="00A9735A">
            <w:pPr>
              <w:rPr>
                <w:rFonts w:cs="Arial"/>
              </w:rPr>
            </w:pPr>
          </w:p>
          <w:p w14:paraId="0188845E" w14:textId="77777777" w:rsidR="00A9735A" w:rsidRPr="00A9735A" w:rsidRDefault="00A9735A" w:rsidP="00A9735A">
            <w:pPr>
              <w:rPr>
                <w:rFonts w:cs="Arial"/>
              </w:rPr>
            </w:pPr>
          </w:p>
          <w:p w14:paraId="68B82505" w14:textId="77777777" w:rsidR="00A9735A" w:rsidRPr="00A9735A" w:rsidRDefault="00A9735A" w:rsidP="00A9735A">
            <w:pPr>
              <w:rPr>
                <w:rFonts w:cs="Arial"/>
              </w:rPr>
            </w:pPr>
          </w:p>
          <w:p w14:paraId="3BC0D48C" w14:textId="77777777" w:rsidR="00A9735A" w:rsidRPr="00A9735A" w:rsidRDefault="00A9735A" w:rsidP="00A9735A">
            <w:pPr>
              <w:rPr>
                <w:rFonts w:cs="Arial"/>
              </w:rPr>
            </w:pPr>
          </w:p>
          <w:p w14:paraId="6E3323F0" w14:textId="77777777" w:rsidR="00A9735A" w:rsidRPr="00A9735A" w:rsidRDefault="00A9735A" w:rsidP="00A9735A">
            <w:pPr>
              <w:rPr>
                <w:rFonts w:cs="Arial"/>
              </w:rPr>
            </w:pPr>
          </w:p>
          <w:p w14:paraId="2498838F" w14:textId="77777777" w:rsidR="00A9735A" w:rsidRPr="00A9735A" w:rsidRDefault="00A9735A" w:rsidP="00A9735A">
            <w:pPr>
              <w:rPr>
                <w:rFonts w:cs="Arial"/>
              </w:rPr>
            </w:pPr>
          </w:p>
          <w:p w14:paraId="0ABD740E" w14:textId="77777777" w:rsidR="00A9735A" w:rsidRDefault="00A9735A" w:rsidP="00A9735A">
            <w:pPr>
              <w:rPr>
                <w:rFonts w:cs="Arial"/>
              </w:rPr>
            </w:pPr>
          </w:p>
          <w:p w14:paraId="2C31270C" w14:textId="4DD1F554" w:rsidR="00A9735A" w:rsidRPr="00A9735A" w:rsidRDefault="00A9735A" w:rsidP="00A9735A">
            <w:pPr>
              <w:rPr>
                <w:rFonts w:cs="Arial"/>
              </w:rPr>
            </w:pPr>
            <w:r w:rsidRPr="00A9735A">
              <w:rPr>
                <w:rFonts w:cs="Arial"/>
              </w:rPr>
              <w:t>С неизвестна честота</w:t>
            </w:r>
          </w:p>
        </w:tc>
      </w:tr>
      <w:tr w:rsidR="00A9735A" w14:paraId="615E999B" w14:textId="77777777" w:rsidTr="00A9735A">
        <w:tc>
          <w:tcPr>
            <w:tcW w:w="3192" w:type="dxa"/>
          </w:tcPr>
          <w:p w14:paraId="2F84B930" w14:textId="2B95818E" w:rsidR="00A9735A" w:rsidRPr="00A9735A" w:rsidRDefault="00A9735A" w:rsidP="00A9735A">
            <w:pPr>
              <w:rPr>
                <w:rFonts w:cs="Arial"/>
              </w:rPr>
            </w:pPr>
            <w:r w:rsidRPr="00A9735A">
              <w:rPr>
                <w:rFonts w:cs="Arial"/>
              </w:rPr>
              <w:t>Нарушения на имунната система</w:t>
            </w:r>
          </w:p>
        </w:tc>
        <w:tc>
          <w:tcPr>
            <w:tcW w:w="3192" w:type="dxa"/>
          </w:tcPr>
          <w:p w14:paraId="2197F955" w14:textId="06C62F7A" w:rsidR="00A9735A" w:rsidRPr="00A9735A" w:rsidRDefault="00A9735A" w:rsidP="00A9735A">
            <w:pPr>
              <w:rPr>
                <w:rFonts w:cs="Arial"/>
              </w:rPr>
            </w:pPr>
            <w:r w:rsidRPr="00A9735A">
              <w:rPr>
                <w:rFonts w:cs="Arial"/>
              </w:rPr>
              <w:t>Синдром на свръхчувствителност</w:t>
            </w:r>
            <w:r w:rsidRPr="00A9735A">
              <w:rPr>
                <w:rFonts w:cs="Arial"/>
                <w:vertAlign w:val="superscript"/>
              </w:rPr>
              <w:t>2</w:t>
            </w:r>
            <w:r w:rsidRPr="00A9735A">
              <w:rPr>
                <w:rFonts w:cs="Arial"/>
              </w:rPr>
              <w:t xml:space="preserve"> (включващ симптоми</w:t>
            </w:r>
            <w:r w:rsidRPr="00A9735A">
              <w:rPr>
                <w:rFonts w:cs="Arial"/>
              </w:rPr>
              <w:tab/>
              <w:t>като повишена температура,</w:t>
            </w:r>
          </w:p>
          <w:p w14:paraId="5E44F610" w14:textId="77777777" w:rsidR="00A9735A" w:rsidRPr="00A9735A" w:rsidRDefault="00A9735A" w:rsidP="00A9735A">
            <w:pPr>
              <w:rPr>
                <w:rFonts w:cs="Arial"/>
              </w:rPr>
            </w:pPr>
            <w:r w:rsidRPr="00A9735A">
              <w:rPr>
                <w:rFonts w:cs="Arial"/>
              </w:rPr>
              <w:t>лимфаденопатия, оток на лицето, промени в кръвната картина и функцията на черния дроб, дисеминирана интраваскуларна коагулация, мултиорганна недостатъчност)</w:t>
            </w:r>
          </w:p>
          <w:p w14:paraId="1D206E42" w14:textId="77777777" w:rsidR="00A9735A" w:rsidRPr="00A9735A" w:rsidRDefault="00A9735A" w:rsidP="00A9735A">
            <w:pPr>
              <w:rPr>
                <w:rFonts w:cs="Arial"/>
              </w:rPr>
            </w:pPr>
          </w:p>
          <w:p w14:paraId="11C12382" w14:textId="09FBD4D4" w:rsidR="00A9735A" w:rsidRPr="00A9735A" w:rsidRDefault="00A9735A" w:rsidP="00A9735A">
            <w:pPr>
              <w:rPr>
                <w:rFonts w:cs="Arial"/>
              </w:rPr>
            </w:pPr>
            <w:r w:rsidRPr="00A9735A">
              <w:rPr>
                <w:rFonts w:cs="Arial"/>
              </w:rPr>
              <w:t>Хипогамаглобулинемия</w:t>
            </w:r>
          </w:p>
        </w:tc>
        <w:tc>
          <w:tcPr>
            <w:tcW w:w="3192" w:type="dxa"/>
          </w:tcPr>
          <w:p w14:paraId="2C7C0DF1" w14:textId="77777777" w:rsidR="00A9735A" w:rsidRPr="00A9735A" w:rsidRDefault="00A9735A" w:rsidP="00A9735A">
            <w:pPr>
              <w:rPr>
                <w:rFonts w:cs="Arial"/>
              </w:rPr>
            </w:pPr>
            <w:r w:rsidRPr="00A9735A">
              <w:rPr>
                <w:rFonts w:cs="Arial"/>
              </w:rPr>
              <w:t>Много редки</w:t>
            </w:r>
          </w:p>
          <w:p w14:paraId="4194FE70" w14:textId="77777777" w:rsidR="00A9735A" w:rsidRPr="00A9735A" w:rsidRDefault="00A9735A" w:rsidP="00A9735A">
            <w:pPr>
              <w:rPr>
                <w:rFonts w:cs="Arial"/>
              </w:rPr>
            </w:pPr>
          </w:p>
          <w:p w14:paraId="2FFEBA94" w14:textId="77777777" w:rsidR="00A9735A" w:rsidRPr="00A9735A" w:rsidRDefault="00A9735A" w:rsidP="00A9735A">
            <w:pPr>
              <w:rPr>
                <w:rFonts w:cs="Arial"/>
              </w:rPr>
            </w:pPr>
          </w:p>
          <w:p w14:paraId="2D50D9D8" w14:textId="77777777" w:rsidR="00A9735A" w:rsidRPr="00A9735A" w:rsidRDefault="00A9735A" w:rsidP="00A9735A">
            <w:pPr>
              <w:rPr>
                <w:rFonts w:cs="Arial"/>
              </w:rPr>
            </w:pPr>
          </w:p>
          <w:p w14:paraId="5A045E36" w14:textId="77777777" w:rsidR="00A9735A" w:rsidRPr="00A9735A" w:rsidRDefault="00A9735A" w:rsidP="00A9735A">
            <w:pPr>
              <w:rPr>
                <w:rFonts w:cs="Arial"/>
              </w:rPr>
            </w:pPr>
          </w:p>
          <w:p w14:paraId="160058EE" w14:textId="77777777" w:rsidR="00A9735A" w:rsidRPr="00A9735A" w:rsidRDefault="00A9735A" w:rsidP="00A9735A">
            <w:pPr>
              <w:rPr>
                <w:rFonts w:cs="Arial"/>
              </w:rPr>
            </w:pPr>
          </w:p>
          <w:p w14:paraId="5968E2E0" w14:textId="77777777" w:rsidR="00A9735A" w:rsidRPr="00A9735A" w:rsidRDefault="00A9735A" w:rsidP="00A9735A">
            <w:pPr>
              <w:rPr>
                <w:rFonts w:cs="Arial"/>
              </w:rPr>
            </w:pPr>
          </w:p>
          <w:p w14:paraId="201B543D" w14:textId="77777777" w:rsidR="00A9735A" w:rsidRPr="00A9735A" w:rsidRDefault="00A9735A" w:rsidP="00A9735A">
            <w:pPr>
              <w:rPr>
                <w:rFonts w:cs="Arial"/>
              </w:rPr>
            </w:pPr>
          </w:p>
          <w:p w14:paraId="4259E124" w14:textId="77777777" w:rsidR="00A9735A" w:rsidRPr="00A9735A" w:rsidRDefault="00A9735A" w:rsidP="00A9735A">
            <w:pPr>
              <w:rPr>
                <w:rFonts w:cs="Arial"/>
              </w:rPr>
            </w:pPr>
          </w:p>
          <w:p w14:paraId="77AAC3F0" w14:textId="77777777" w:rsidR="00A9735A" w:rsidRPr="00A9735A" w:rsidRDefault="00A9735A" w:rsidP="00A9735A">
            <w:pPr>
              <w:rPr>
                <w:rFonts w:cs="Arial"/>
              </w:rPr>
            </w:pPr>
          </w:p>
          <w:p w14:paraId="43DBEC9C" w14:textId="77777777" w:rsidR="00A9735A" w:rsidRPr="00A9735A" w:rsidRDefault="00A9735A" w:rsidP="00A9735A">
            <w:pPr>
              <w:rPr>
                <w:rFonts w:cs="Arial"/>
              </w:rPr>
            </w:pPr>
          </w:p>
          <w:p w14:paraId="397BE720" w14:textId="6D2BC971" w:rsidR="00A9735A" w:rsidRPr="00A9735A" w:rsidRDefault="00A9735A" w:rsidP="00A9735A">
            <w:pPr>
              <w:rPr>
                <w:rFonts w:cs="Arial"/>
              </w:rPr>
            </w:pPr>
            <w:r w:rsidRPr="00A9735A">
              <w:rPr>
                <w:rFonts w:cs="Arial"/>
              </w:rPr>
              <w:t>С неизвестна честота</w:t>
            </w:r>
          </w:p>
        </w:tc>
      </w:tr>
      <w:tr w:rsidR="00A9735A" w14:paraId="45AEC3DE" w14:textId="77777777" w:rsidTr="00A9735A">
        <w:tc>
          <w:tcPr>
            <w:tcW w:w="3192" w:type="dxa"/>
          </w:tcPr>
          <w:p w14:paraId="0537A721" w14:textId="75D6C646" w:rsidR="00A9735A" w:rsidRPr="00A9735A" w:rsidRDefault="00A9735A" w:rsidP="00A9735A">
            <w:pPr>
              <w:rPr>
                <w:rFonts w:cs="Arial"/>
              </w:rPr>
            </w:pPr>
            <w:r w:rsidRPr="00A9735A">
              <w:rPr>
                <w:rFonts w:cs="Arial"/>
              </w:rPr>
              <w:t>Психични нарушения</w:t>
            </w:r>
          </w:p>
        </w:tc>
        <w:tc>
          <w:tcPr>
            <w:tcW w:w="3192" w:type="dxa"/>
          </w:tcPr>
          <w:p w14:paraId="4B816663" w14:textId="77777777" w:rsidR="00A9735A" w:rsidRPr="00A9735A" w:rsidRDefault="00A9735A" w:rsidP="00A9735A">
            <w:pPr>
              <w:rPr>
                <w:rFonts w:cs="Arial"/>
              </w:rPr>
            </w:pPr>
            <w:r w:rsidRPr="00A9735A">
              <w:rPr>
                <w:rFonts w:cs="Arial"/>
              </w:rPr>
              <w:t>Агресия, раздразнителност</w:t>
            </w:r>
          </w:p>
          <w:p w14:paraId="124EFFEF" w14:textId="77777777" w:rsidR="00A9735A" w:rsidRPr="00A9735A" w:rsidRDefault="00A9735A" w:rsidP="00A9735A">
            <w:pPr>
              <w:rPr>
                <w:rFonts w:cs="Arial"/>
              </w:rPr>
            </w:pPr>
          </w:p>
          <w:p w14:paraId="3E41C0A7" w14:textId="6711008D" w:rsidR="00A9735A" w:rsidRPr="00A9735A" w:rsidRDefault="00A9735A" w:rsidP="00A9735A">
            <w:pPr>
              <w:rPr>
                <w:rFonts w:cs="Arial"/>
              </w:rPr>
            </w:pPr>
            <w:r w:rsidRPr="00A9735A">
              <w:rPr>
                <w:rFonts w:cs="Arial"/>
              </w:rPr>
              <w:t>Объркване, халюцинации, тикове</w:t>
            </w:r>
          </w:p>
          <w:p w14:paraId="26035F55" w14:textId="77777777" w:rsidR="00A9735A" w:rsidRPr="00A9735A" w:rsidRDefault="00A9735A" w:rsidP="00A9735A">
            <w:pPr>
              <w:rPr>
                <w:rFonts w:cs="Arial"/>
              </w:rPr>
            </w:pPr>
          </w:p>
          <w:p w14:paraId="43134BF8" w14:textId="7BBD3E13" w:rsidR="00A9735A" w:rsidRPr="00A9735A" w:rsidRDefault="00A9735A" w:rsidP="00A9735A">
            <w:pPr>
              <w:rPr>
                <w:rFonts w:cs="Arial"/>
              </w:rPr>
            </w:pPr>
            <w:r w:rsidRPr="00A9735A">
              <w:rPr>
                <w:rFonts w:cs="Arial"/>
              </w:rPr>
              <w:t>Кошмари</w:t>
            </w:r>
          </w:p>
        </w:tc>
        <w:tc>
          <w:tcPr>
            <w:tcW w:w="3192" w:type="dxa"/>
          </w:tcPr>
          <w:p w14:paraId="41B96176" w14:textId="77777777" w:rsidR="00A9735A" w:rsidRPr="00A9735A" w:rsidRDefault="00A9735A" w:rsidP="00A9735A">
            <w:pPr>
              <w:rPr>
                <w:rFonts w:cs="Arial"/>
              </w:rPr>
            </w:pPr>
            <w:r w:rsidRPr="00A9735A">
              <w:rPr>
                <w:rFonts w:cs="Arial"/>
              </w:rPr>
              <w:t>Чести</w:t>
            </w:r>
          </w:p>
          <w:p w14:paraId="72AF257C" w14:textId="77777777" w:rsidR="00A9735A" w:rsidRPr="00A9735A" w:rsidRDefault="00A9735A" w:rsidP="00A9735A">
            <w:pPr>
              <w:rPr>
                <w:rFonts w:cs="Arial"/>
              </w:rPr>
            </w:pPr>
          </w:p>
          <w:p w14:paraId="7FDCC866" w14:textId="6A6D003D" w:rsidR="00A9735A" w:rsidRPr="00A9735A" w:rsidRDefault="00A9735A" w:rsidP="00A9735A">
            <w:pPr>
              <w:rPr>
                <w:rFonts w:cs="Arial"/>
              </w:rPr>
            </w:pPr>
            <w:r w:rsidRPr="00A9735A">
              <w:rPr>
                <w:rFonts w:cs="Arial"/>
              </w:rPr>
              <w:t>Много редки</w:t>
            </w:r>
          </w:p>
          <w:p w14:paraId="17B3F755" w14:textId="77777777" w:rsidR="00A9735A" w:rsidRPr="00A9735A" w:rsidRDefault="00A9735A" w:rsidP="00A9735A">
            <w:pPr>
              <w:rPr>
                <w:rFonts w:cs="Arial"/>
              </w:rPr>
            </w:pPr>
          </w:p>
          <w:p w14:paraId="7CC5720C" w14:textId="77777777" w:rsidR="00A9735A" w:rsidRPr="00A9735A" w:rsidRDefault="00A9735A" w:rsidP="00A9735A">
            <w:pPr>
              <w:rPr>
                <w:rFonts w:cs="Arial"/>
              </w:rPr>
            </w:pPr>
          </w:p>
          <w:p w14:paraId="56563EA9" w14:textId="6E242C54" w:rsidR="00A9735A" w:rsidRPr="00A9735A" w:rsidRDefault="00A9735A" w:rsidP="00A9735A">
            <w:pPr>
              <w:rPr>
                <w:rFonts w:cs="Arial"/>
              </w:rPr>
            </w:pPr>
            <w:r w:rsidRPr="00A9735A">
              <w:rPr>
                <w:rFonts w:cs="Arial"/>
              </w:rPr>
              <w:t>С неизвестни честота</w:t>
            </w:r>
          </w:p>
        </w:tc>
      </w:tr>
      <w:tr w:rsidR="00A9735A" w14:paraId="330C8A9A" w14:textId="77777777" w:rsidTr="00A9735A">
        <w:tc>
          <w:tcPr>
            <w:tcW w:w="3192" w:type="dxa"/>
          </w:tcPr>
          <w:p w14:paraId="5C9CF9C2" w14:textId="45144D33" w:rsidR="00A9735A" w:rsidRPr="00A9735A" w:rsidRDefault="00A9735A" w:rsidP="00A9735A">
            <w:pPr>
              <w:rPr>
                <w:rFonts w:cs="Arial"/>
              </w:rPr>
            </w:pPr>
            <w:r w:rsidRPr="00A9735A">
              <w:rPr>
                <w:rFonts w:cs="Arial"/>
              </w:rPr>
              <w:t>Нарушения на нервната система</w:t>
            </w:r>
          </w:p>
        </w:tc>
        <w:tc>
          <w:tcPr>
            <w:tcW w:w="3192" w:type="dxa"/>
          </w:tcPr>
          <w:p w14:paraId="36E2872D" w14:textId="77777777" w:rsidR="00A9735A" w:rsidRPr="00A9735A" w:rsidRDefault="00A9735A" w:rsidP="00A9735A">
            <w:pPr>
              <w:rPr>
                <w:rFonts w:cs="Arial"/>
              </w:rPr>
            </w:pPr>
            <w:r w:rsidRPr="00A9735A">
              <w:rPr>
                <w:rFonts w:cs="Arial"/>
              </w:rPr>
              <w:t>Главоболие</w:t>
            </w:r>
            <w:r w:rsidRPr="00A9735A">
              <w:rPr>
                <w:rFonts w:cs="Arial"/>
                <w:vertAlign w:val="superscript"/>
              </w:rPr>
              <w:t>§+</w:t>
            </w:r>
          </w:p>
          <w:p w14:paraId="2F48A7A5" w14:textId="77777777" w:rsidR="00A9735A" w:rsidRPr="00A9735A" w:rsidRDefault="00A9735A" w:rsidP="00A9735A">
            <w:pPr>
              <w:rPr>
                <w:rFonts w:cs="Arial"/>
              </w:rPr>
            </w:pPr>
          </w:p>
          <w:p w14:paraId="2B68A789" w14:textId="3D7AE8FB" w:rsidR="00A9735A" w:rsidRPr="00A9735A" w:rsidRDefault="00A9735A" w:rsidP="00A9735A">
            <w:pPr>
              <w:rPr>
                <w:rFonts w:cs="Arial"/>
              </w:rPr>
            </w:pPr>
            <w:r w:rsidRPr="00A9735A">
              <w:rPr>
                <w:rFonts w:cs="Arial"/>
              </w:rPr>
              <w:lastRenderedPageBreak/>
              <w:t>Сънливост</w:t>
            </w:r>
            <w:r w:rsidRPr="00A9735A">
              <w:rPr>
                <w:rFonts w:cs="Arial"/>
                <w:vertAlign w:val="superscript"/>
              </w:rPr>
              <w:t>§+</w:t>
            </w:r>
            <w:r w:rsidRPr="00A9735A">
              <w:rPr>
                <w:rFonts w:cs="Arial"/>
              </w:rPr>
              <w:t>, замаяност</w:t>
            </w:r>
            <w:r w:rsidRPr="00A9735A">
              <w:rPr>
                <w:rFonts w:cs="Arial"/>
                <w:vertAlign w:val="superscript"/>
              </w:rPr>
              <w:t>§+</w:t>
            </w:r>
            <w:r w:rsidRPr="00A9735A">
              <w:rPr>
                <w:rFonts w:cs="Arial"/>
              </w:rPr>
              <w:t>, тремор</w:t>
            </w:r>
            <w:r w:rsidRPr="00A9735A">
              <w:rPr>
                <w:rFonts w:cs="Arial"/>
                <w:vertAlign w:val="superscript"/>
              </w:rPr>
              <w:t>+</w:t>
            </w:r>
            <w:r w:rsidRPr="00A9735A">
              <w:rPr>
                <w:rFonts w:cs="Arial"/>
              </w:rPr>
              <w:t>, безсъние</w:t>
            </w:r>
            <w:r w:rsidRPr="00A9735A">
              <w:rPr>
                <w:rFonts w:cs="Arial"/>
                <w:vertAlign w:val="superscript"/>
              </w:rPr>
              <w:t>+</w:t>
            </w:r>
            <w:r w:rsidRPr="00A9735A">
              <w:rPr>
                <w:rFonts w:cs="Arial"/>
              </w:rPr>
              <w:t>, възбуда</w:t>
            </w:r>
            <w:r w:rsidRPr="00A9735A">
              <w:rPr>
                <w:rFonts w:cs="Arial"/>
                <w:vertAlign w:val="superscript"/>
              </w:rPr>
              <w:t>§</w:t>
            </w:r>
          </w:p>
          <w:p w14:paraId="69A51EF5" w14:textId="77777777" w:rsidR="00A9735A" w:rsidRPr="00A9735A" w:rsidRDefault="00A9735A" w:rsidP="00A9735A">
            <w:pPr>
              <w:rPr>
                <w:rFonts w:cs="Arial"/>
              </w:rPr>
            </w:pPr>
          </w:p>
          <w:p w14:paraId="68EFF29B" w14:textId="3DB526FA" w:rsidR="00A9735A" w:rsidRPr="00A9735A" w:rsidRDefault="00A9735A" w:rsidP="00A9735A">
            <w:pPr>
              <w:rPr>
                <w:rFonts w:cs="Arial"/>
              </w:rPr>
            </w:pPr>
            <w:r w:rsidRPr="00A9735A">
              <w:rPr>
                <w:rFonts w:cs="Arial"/>
              </w:rPr>
              <w:t>Атаксия</w:t>
            </w:r>
            <w:r w:rsidRPr="00A9735A">
              <w:rPr>
                <w:rFonts w:cs="Arial"/>
                <w:vertAlign w:val="superscript"/>
              </w:rPr>
              <w:t>+</w:t>
            </w:r>
          </w:p>
          <w:p w14:paraId="164D0C21" w14:textId="77777777" w:rsidR="00A9735A" w:rsidRPr="00A9735A" w:rsidRDefault="00A9735A" w:rsidP="00A9735A">
            <w:pPr>
              <w:rPr>
                <w:rFonts w:cs="Arial"/>
              </w:rPr>
            </w:pPr>
          </w:p>
          <w:p w14:paraId="583B1B38" w14:textId="7EA18A8C" w:rsidR="00A9735A" w:rsidRPr="00A9735A" w:rsidRDefault="00A9735A" w:rsidP="00A9735A">
            <w:pPr>
              <w:rPr>
                <w:rFonts w:cs="Arial"/>
              </w:rPr>
            </w:pPr>
            <w:r w:rsidRPr="00A9735A">
              <w:rPr>
                <w:rFonts w:cs="Arial"/>
              </w:rPr>
              <w:t>Нистагъм</w:t>
            </w:r>
            <w:r w:rsidRPr="00A9735A">
              <w:rPr>
                <w:rFonts w:cs="Arial"/>
                <w:vertAlign w:val="superscript"/>
              </w:rPr>
              <w:t>+</w:t>
            </w:r>
          </w:p>
          <w:p w14:paraId="6B9E9304" w14:textId="77777777" w:rsidR="00A9735A" w:rsidRPr="00A9735A" w:rsidRDefault="00A9735A" w:rsidP="00A9735A">
            <w:pPr>
              <w:rPr>
                <w:rFonts w:cs="Arial"/>
              </w:rPr>
            </w:pPr>
          </w:p>
          <w:p w14:paraId="7D4A8689" w14:textId="77777777" w:rsidR="00A9735A" w:rsidRPr="00A9735A" w:rsidRDefault="00A9735A" w:rsidP="00A9735A">
            <w:pPr>
              <w:rPr>
                <w:rFonts w:eastAsia="Times New Roman" w:cs="Arial"/>
              </w:rPr>
            </w:pPr>
            <w:r w:rsidRPr="00A9735A">
              <w:rPr>
                <w:rFonts w:cs="Arial"/>
              </w:rPr>
              <w:t xml:space="preserve">Нестабилност, двигателни нарушения, влошаване на </w:t>
            </w:r>
            <w:r w:rsidRPr="00A9735A">
              <w:rPr>
                <w:rFonts w:eastAsia="Times New Roman" w:cs="Arial"/>
                <w:color w:val="000000"/>
                <w:lang w:eastAsia="bg-BG"/>
              </w:rPr>
              <w:t>състоянието на пациенти, страдащи от болестта на</w:t>
            </w:r>
          </w:p>
          <w:p w14:paraId="2F183E97" w14:textId="6C3A629E" w:rsidR="00A9735A" w:rsidRPr="00A9735A" w:rsidRDefault="00A9735A" w:rsidP="00A9735A">
            <w:pPr>
              <w:spacing w:line="240" w:lineRule="auto"/>
              <w:rPr>
                <w:rFonts w:eastAsia="Times New Roman" w:cs="Arial"/>
              </w:rPr>
            </w:pPr>
            <w:r w:rsidRPr="00A9735A">
              <w:rPr>
                <w:rFonts w:eastAsia="Times New Roman" w:cs="Arial"/>
                <w:color w:val="000000"/>
                <w:lang w:eastAsia="bg-BG"/>
              </w:rPr>
              <w:t>Паркинсон</w:t>
            </w:r>
            <w:r w:rsidRPr="00A9735A">
              <w:rPr>
                <w:rFonts w:eastAsia="Times New Roman" w:cs="Arial"/>
                <w:color w:val="000000"/>
                <w:vertAlign w:val="superscript"/>
                <w:lang w:eastAsia="bg-BG"/>
              </w:rPr>
              <w:t>3</w:t>
            </w:r>
            <w:r w:rsidRPr="00A9735A">
              <w:rPr>
                <w:rFonts w:eastAsia="Times New Roman" w:cs="Arial"/>
                <w:color w:val="000000"/>
                <w:lang w:eastAsia="bg-BG"/>
              </w:rPr>
              <w:t>, екстрапирамидни симптоми,</w:t>
            </w:r>
          </w:p>
          <w:p w14:paraId="5025F468"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хореоатетоза</w:t>
            </w:r>
            <w:r w:rsidRPr="00A9735A">
              <w:rPr>
                <w:rFonts w:eastAsia="Times New Roman" w:cs="Arial"/>
                <w:color w:val="000000"/>
                <w:vertAlign w:val="superscript"/>
                <w:lang w:eastAsia="bg-BG"/>
              </w:rPr>
              <w:t>+</w:t>
            </w:r>
            <w:r w:rsidRPr="00A9735A">
              <w:rPr>
                <w:rFonts w:eastAsia="Times New Roman" w:cs="Arial"/>
                <w:color w:val="000000"/>
                <w:lang w:eastAsia="bg-BG"/>
              </w:rPr>
              <w:t>, увеличена честота на припадъците</w:t>
            </w:r>
          </w:p>
          <w:p w14:paraId="176D5DB3" w14:textId="77777777" w:rsidR="00A9735A" w:rsidRPr="00A9735A" w:rsidRDefault="00A9735A" w:rsidP="00A9735A">
            <w:pPr>
              <w:rPr>
                <w:rFonts w:eastAsia="Times New Roman" w:cs="Arial"/>
                <w:color w:val="000000"/>
                <w:lang w:eastAsia="bg-BG"/>
              </w:rPr>
            </w:pPr>
          </w:p>
          <w:p w14:paraId="0D2666B7" w14:textId="16E62D87" w:rsidR="00A9735A" w:rsidRPr="00A9735A" w:rsidRDefault="00A9735A" w:rsidP="00A9735A">
            <w:pPr>
              <w:rPr>
                <w:rFonts w:cs="Arial"/>
              </w:rPr>
            </w:pPr>
            <w:r w:rsidRPr="00A9735A">
              <w:rPr>
                <w:rFonts w:eastAsia="Times New Roman" w:cs="Arial"/>
                <w:color w:val="000000"/>
                <w:lang w:eastAsia="bg-BG"/>
              </w:rPr>
              <w:t>Асептичен менингит (вижте точка 4.4)</w:t>
            </w:r>
          </w:p>
        </w:tc>
        <w:tc>
          <w:tcPr>
            <w:tcW w:w="3192" w:type="dxa"/>
          </w:tcPr>
          <w:p w14:paraId="28DAA44A" w14:textId="77777777" w:rsidR="00A9735A" w:rsidRPr="00A9735A" w:rsidRDefault="00A9735A" w:rsidP="00A9735A">
            <w:pPr>
              <w:rPr>
                <w:rFonts w:cs="Arial"/>
              </w:rPr>
            </w:pPr>
            <w:r w:rsidRPr="00A9735A">
              <w:rPr>
                <w:rFonts w:cs="Arial"/>
              </w:rPr>
              <w:lastRenderedPageBreak/>
              <w:t>Много чести</w:t>
            </w:r>
          </w:p>
          <w:p w14:paraId="68A2E8B2" w14:textId="77777777" w:rsidR="00A9735A" w:rsidRPr="00A9735A" w:rsidRDefault="00A9735A" w:rsidP="00A9735A">
            <w:pPr>
              <w:rPr>
                <w:rFonts w:cs="Arial"/>
              </w:rPr>
            </w:pPr>
          </w:p>
          <w:p w14:paraId="66DD7117" w14:textId="79AEFF76" w:rsidR="00A9735A" w:rsidRPr="00A9735A" w:rsidRDefault="00A9735A" w:rsidP="00A9735A">
            <w:pPr>
              <w:rPr>
                <w:rFonts w:cs="Arial"/>
              </w:rPr>
            </w:pPr>
            <w:r w:rsidRPr="00A9735A">
              <w:rPr>
                <w:rFonts w:cs="Arial"/>
              </w:rPr>
              <w:lastRenderedPageBreak/>
              <w:t>Чести</w:t>
            </w:r>
          </w:p>
          <w:p w14:paraId="3DC7DC88" w14:textId="77777777" w:rsidR="00A9735A" w:rsidRPr="00A9735A" w:rsidRDefault="00A9735A" w:rsidP="00A9735A">
            <w:pPr>
              <w:rPr>
                <w:rFonts w:cs="Arial"/>
              </w:rPr>
            </w:pPr>
          </w:p>
          <w:p w14:paraId="18118FC3" w14:textId="77777777" w:rsidR="00A9735A" w:rsidRPr="00A9735A" w:rsidRDefault="00A9735A" w:rsidP="00A9735A">
            <w:pPr>
              <w:rPr>
                <w:rFonts w:cs="Arial"/>
              </w:rPr>
            </w:pPr>
          </w:p>
          <w:p w14:paraId="3E13FB29" w14:textId="77777777" w:rsidR="00A9735A" w:rsidRDefault="00A9735A" w:rsidP="00A9735A">
            <w:pPr>
              <w:rPr>
                <w:rFonts w:cs="Arial"/>
              </w:rPr>
            </w:pPr>
          </w:p>
          <w:p w14:paraId="584860C3" w14:textId="002F9FD9" w:rsidR="00A9735A" w:rsidRPr="00A9735A" w:rsidRDefault="00A9735A" w:rsidP="00A9735A">
            <w:pPr>
              <w:rPr>
                <w:rFonts w:cs="Arial"/>
              </w:rPr>
            </w:pPr>
            <w:r w:rsidRPr="00A9735A">
              <w:rPr>
                <w:rFonts w:cs="Arial"/>
              </w:rPr>
              <w:t>Нечести</w:t>
            </w:r>
          </w:p>
          <w:p w14:paraId="3EA6E462" w14:textId="77777777" w:rsidR="00A9735A" w:rsidRPr="00A9735A" w:rsidRDefault="00A9735A" w:rsidP="00A9735A">
            <w:pPr>
              <w:rPr>
                <w:rFonts w:cs="Arial"/>
              </w:rPr>
            </w:pPr>
          </w:p>
          <w:p w14:paraId="6BB4F7C6" w14:textId="498B5943" w:rsidR="00A9735A" w:rsidRPr="00A9735A" w:rsidRDefault="00A9735A" w:rsidP="00A9735A">
            <w:pPr>
              <w:rPr>
                <w:rFonts w:cs="Arial"/>
              </w:rPr>
            </w:pPr>
            <w:r w:rsidRPr="00A9735A">
              <w:rPr>
                <w:rFonts w:cs="Arial"/>
              </w:rPr>
              <w:t>Редки</w:t>
            </w:r>
          </w:p>
          <w:p w14:paraId="18924617" w14:textId="77777777" w:rsidR="00A9735A" w:rsidRPr="00A9735A" w:rsidRDefault="00A9735A" w:rsidP="00A9735A">
            <w:pPr>
              <w:rPr>
                <w:rFonts w:cs="Arial"/>
              </w:rPr>
            </w:pPr>
          </w:p>
          <w:p w14:paraId="5F1454EF" w14:textId="5FA7DC61" w:rsidR="00A9735A" w:rsidRPr="00A9735A" w:rsidRDefault="00A9735A" w:rsidP="00A9735A">
            <w:pPr>
              <w:rPr>
                <w:rFonts w:cs="Arial"/>
              </w:rPr>
            </w:pPr>
            <w:r w:rsidRPr="00A9735A">
              <w:rPr>
                <w:rFonts w:cs="Arial"/>
              </w:rPr>
              <w:t>Много редки</w:t>
            </w:r>
          </w:p>
          <w:p w14:paraId="19F07325" w14:textId="77777777" w:rsidR="00A9735A" w:rsidRPr="00A9735A" w:rsidRDefault="00A9735A" w:rsidP="00A9735A">
            <w:pPr>
              <w:rPr>
                <w:rFonts w:cs="Arial"/>
              </w:rPr>
            </w:pPr>
          </w:p>
          <w:p w14:paraId="55D5789F" w14:textId="77777777" w:rsidR="00A9735A" w:rsidRPr="00A9735A" w:rsidRDefault="00A9735A" w:rsidP="00A9735A">
            <w:pPr>
              <w:rPr>
                <w:rFonts w:cs="Arial"/>
              </w:rPr>
            </w:pPr>
          </w:p>
          <w:p w14:paraId="6E3B636B" w14:textId="77777777" w:rsidR="00A9735A" w:rsidRPr="00A9735A" w:rsidRDefault="00A9735A" w:rsidP="00A9735A">
            <w:pPr>
              <w:rPr>
                <w:rFonts w:cs="Arial"/>
              </w:rPr>
            </w:pPr>
          </w:p>
          <w:p w14:paraId="0381C37C" w14:textId="77777777" w:rsidR="00A9735A" w:rsidRPr="00A9735A" w:rsidRDefault="00A9735A" w:rsidP="00A9735A">
            <w:pPr>
              <w:rPr>
                <w:rFonts w:cs="Arial"/>
              </w:rPr>
            </w:pPr>
          </w:p>
          <w:p w14:paraId="23DC36CE" w14:textId="77777777" w:rsidR="00A9735A" w:rsidRPr="00A9735A" w:rsidRDefault="00A9735A" w:rsidP="00A9735A">
            <w:pPr>
              <w:rPr>
                <w:rFonts w:cs="Arial"/>
              </w:rPr>
            </w:pPr>
          </w:p>
          <w:p w14:paraId="7848F420" w14:textId="77777777" w:rsidR="00A9735A" w:rsidRPr="00A9735A" w:rsidRDefault="00A9735A" w:rsidP="00A9735A">
            <w:pPr>
              <w:rPr>
                <w:rFonts w:cs="Arial"/>
              </w:rPr>
            </w:pPr>
          </w:p>
          <w:p w14:paraId="6F395DDD" w14:textId="77777777" w:rsidR="00A9735A" w:rsidRPr="00A9735A" w:rsidRDefault="00A9735A" w:rsidP="00A9735A">
            <w:pPr>
              <w:rPr>
                <w:rFonts w:cs="Arial"/>
              </w:rPr>
            </w:pPr>
          </w:p>
          <w:p w14:paraId="5FEE476F" w14:textId="77777777" w:rsidR="00A9735A" w:rsidRPr="00A9735A" w:rsidRDefault="00A9735A" w:rsidP="00A9735A">
            <w:pPr>
              <w:rPr>
                <w:rFonts w:cs="Arial"/>
              </w:rPr>
            </w:pPr>
          </w:p>
          <w:p w14:paraId="153F28CA" w14:textId="01EC41E0" w:rsidR="00A9735A" w:rsidRPr="00A9735A" w:rsidRDefault="00A9735A" w:rsidP="00A9735A">
            <w:pPr>
              <w:rPr>
                <w:rFonts w:cs="Arial"/>
              </w:rPr>
            </w:pPr>
            <w:r w:rsidRPr="00A9735A">
              <w:rPr>
                <w:rFonts w:cs="Arial"/>
              </w:rPr>
              <w:t>Редки</w:t>
            </w:r>
          </w:p>
        </w:tc>
      </w:tr>
      <w:tr w:rsidR="00A9735A" w14:paraId="5C8F7B47" w14:textId="77777777" w:rsidTr="00A9735A">
        <w:tc>
          <w:tcPr>
            <w:tcW w:w="3192" w:type="dxa"/>
          </w:tcPr>
          <w:p w14:paraId="032DF8C9" w14:textId="555BCCAE" w:rsidR="00A9735A" w:rsidRPr="00A9735A" w:rsidRDefault="00A9735A" w:rsidP="00A9735A">
            <w:pPr>
              <w:rPr>
                <w:rFonts w:cs="Arial"/>
              </w:rPr>
            </w:pPr>
            <w:r w:rsidRPr="00A9735A">
              <w:rPr>
                <w:rFonts w:cs="Arial"/>
              </w:rPr>
              <w:t>Нарушения на очите</w:t>
            </w:r>
          </w:p>
        </w:tc>
        <w:tc>
          <w:tcPr>
            <w:tcW w:w="3192" w:type="dxa"/>
          </w:tcPr>
          <w:p w14:paraId="3DC82107" w14:textId="77777777" w:rsidR="00A9735A" w:rsidRPr="00A9735A" w:rsidRDefault="00A9735A" w:rsidP="00A9735A">
            <w:pPr>
              <w:rPr>
                <w:rFonts w:cs="Arial"/>
              </w:rPr>
            </w:pPr>
            <w:r w:rsidRPr="00A9735A">
              <w:rPr>
                <w:rFonts w:cs="Arial"/>
              </w:rPr>
              <w:t>Диплопия</w:t>
            </w:r>
            <w:r w:rsidRPr="00A9735A">
              <w:rPr>
                <w:rFonts w:cs="Arial"/>
                <w:vertAlign w:val="superscript"/>
              </w:rPr>
              <w:t>+</w:t>
            </w:r>
            <w:r w:rsidRPr="00A9735A">
              <w:rPr>
                <w:rFonts w:cs="Arial"/>
              </w:rPr>
              <w:t>, замъглено зрение</w:t>
            </w:r>
            <w:r w:rsidRPr="00A9735A">
              <w:rPr>
                <w:rFonts w:cs="Arial"/>
                <w:vertAlign w:val="superscript"/>
              </w:rPr>
              <w:t>+</w:t>
            </w:r>
          </w:p>
          <w:p w14:paraId="6896FA24" w14:textId="77777777" w:rsidR="00A9735A" w:rsidRPr="00A9735A" w:rsidRDefault="00A9735A" w:rsidP="00A9735A">
            <w:pPr>
              <w:rPr>
                <w:rFonts w:cs="Arial"/>
              </w:rPr>
            </w:pPr>
          </w:p>
          <w:p w14:paraId="15ADEB66" w14:textId="52E64FFA" w:rsidR="00A9735A" w:rsidRPr="00A9735A" w:rsidRDefault="00A9735A" w:rsidP="00A9735A">
            <w:pPr>
              <w:rPr>
                <w:rFonts w:cs="Arial"/>
              </w:rPr>
            </w:pPr>
            <w:r w:rsidRPr="00A9735A">
              <w:rPr>
                <w:rFonts w:cs="Arial"/>
              </w:rPr>
              <w:t>Конюнктивит</w:t>
            </w:r>
          </w:p>
        </w:tc>
        <w:tc>
          <w:tcPr>
            <w:tcW w:w="3192" w:type="dxa"/>
          </w:tcPr>
          <w:p w14:paraId="60499E17" w14:textId="77777777" w:rsidR="00A9735A" w:rsidRPr="00A9735A" w:rsidRDefault="00A9735A" w:rsidP="00A9735A">
            <w:pPr>
              <w:rPr>
                <w:rFonts w:cs="Arial"/>
              </w:rPr>
            </w:pPr>
            <w:r w:rsidRPr="00A9735A">
              <w:rPr>
                <w:rFonts w:cs="Arial"/>
              </w:rPr>
              <w:t>Нечести</w:t>
            </w:r>
          </w:p>
          <w:p w14:paraId="4542A973" w14:textId="77777777" w:rsidR="00A9735A" w:rsidRPr="00A9735A" w:rsidRDefault="00A9735A" w:rsidP="00A9735A">
            <w:pPr>
              <w:rPr>
                <w:rFonts w:cs="Arial"/>
              </w:rPr>
            </w:pPr>
          </w:p>
          <w:p w14:paraId="4C2C5A42" w14:textId="03072C7F" w:rsidR="00A9735A" w:rsidRPr="00A9735A" w:rsidRDefault="00A9735A" w:rsidP="00A9735A">
            <w:pPr>
              <w:rPr>
                <w:rFonts w:cs="Arial"/>
              </w:rPr>
            </w:pPr>
            <w:r w:rsidRPr="00A9735A">
              <w:rPr>
                <w:rFonts w:cs="Arial"/>
              </w:rPr>
              <w:t>Редки</w:t>
            </w:r>
          </w:p>
        </w:tc>
      </w:tr>
      <w:tr w:rsidR="00A9735A" w14:paraId="582C66C8" w14:textId="77777777" w:rsidTr="00A9735A">
        <w:tc>
          <w:tcPr>
            <w:tcW w:w="3192" w:type="dxa"/>
          </w:tcPr>
          <w:p w14:paraId="077942D1" w14:textId="35752364" w:rsidR="00A9735A" w:rsidRPr="00A9735A" w:rsidRDefault="00A9735A" w:rsidP="00A9735A">
            <w:pPr>
              <w:rPr>
                <w:rFonts w:cs="Arial"/>
              </w:rPr>
            </w:pPr>
            <w:r w:rsidRPr="00A9735A">
              <w:rPr>
                <w:rFonts w:cs="Arial"/>
              </w:rPr>
              <w:t>Стомашно-чревни нарушения</w:t>
            </w:r>
          </w:p>
        </w:tc>
        <w:tc>
          <w:tcPr>
            <w:tcW w:w="3192" w:type="dxa"/>
          </w:tcPr>
          <w:p w14:paraId="5204EE3E" w14:textId="69DB841A" w:rsidR="00A9735A" w:rsidRPr="00A9735A" w:rsidRDefault="00A9735A" w:rsidP="00A9735A">
            <w:pPr>
              <w:rPr>
                <w:rFonts w:cs="Arial"/>
              </w:rPr>
            </w:pPr>
            <w:r w:rsidRPr="00A9735A">
              <w:rPr>
                <w:rFonts w:cs="Arial"/>
              </w:rPr>
              <w:t>Гадене</w:t>
            </w:r>
            <w:r w:rsidRPr="00A9735A">
              <w:rPr>
                <w:rFonts w:cs="Arial"/>
                <w:vertAlign w:val="superscript"/>
              </w:rPr>
              <w:t>+</w:t>
            </w:r>
            <w:r w:rsidRPr="00A9735A">
              <w:rPr>
                <w:rFonts w:cs="Arial"/>
              </w:rPr>
              <w:t>, повръщане</w:t>
            </w:r>
            <w:r w:rsidRPr="00A9735A">
              <w:rPr>
                <w:rFonts w:cs="Arial"/>
                <w:vertAlign w:val="superscript"/>
              </w:rPr>
              <w:t>+</w:t>
            </w:r>
            <w:r w:rsidRPr="00A9735A">
              <w:rPr>
                <w:rFonts w:cs="Arial"/>
              </w:rPr>
              <w:t>, диария</w:t>
            </w:r>
            <w:r w:rsidRPr="00A9735A">
              <w:rPr>
                <w:rFonts w:cs="Arial"/>
                <w:vertAlign w:val="superscript"/>
              </w:rPr>
              <w:t>+</w:t>
            </w:r>
            <w:r w:rsidRPr="00A9735A">
              <w:rPr>
                <w:rFonts w:cs="Arial"/>
              </w:rPr>
              <w:t>, сухота в устата</w:t>
            </w:r>
            <w:r w:rsidRPr="00A9735A">
              <w:rPr>
                <w:rFonts w:cs="Arial"/>
                <w:vertAlign w:val="superscript"/>
              </w:rPr>
              <w:t>§</w:t>
            </w:r>
          </w:p>
        </w:tc>
        <w:tc>
          <w:tcPr>
            <w:tcW w:w="3192" w:type="dxa"/>
          </w:tcPr>
          <w:p w14:paraId="2234A1B5" w14:textId="2567C2F2" w:rsidR="00A9735A" w:rsidRPr="00A9735A" w:rsidRDefault="00A9735A" w:rsidP="00A9735A">
            <w:pPr>
              <w:rPr>
                <w:rFonts w:cs="Arial"/>
              </w:rPr>
            </w:pPr>
            <w:r w:rsidRPr="00A9735A">
              <w:rPr>
                <w:rFonts w:cs="Arial"/>
              </w:rPr>
              <w:t>Чести</w:t>
            </w:r>
          </w:p>
        </w:tc>
      </w:tr>
      <w:tr w:rsidR="00A9735A" w14:paraId="68C6C602" w14:textId="77777777" w:rsidTr="00A9735A">
        <w:tc>
          <w:tcPr>
            <w:tcW w:w="3192" w:type="dxa"/>
          </w:tcPr>
          <w:p w14:paraId="3A6FF22E" w14:textId="18AE8E2A" w:rsidR="00A9735A" w:rsidRPr="00A9735A" w:rsidRDefault="00A9735A" w:rsidP="00A9735A">
            <w:pPr>
              <w:rPr>
                <w:rFonts w:cs="Arial"/>
              </w:rPr>
            </w:pPr>
            <w:r w:rsidRPr="00A9735A">
              <w:rPr>
                <w:rFonts w:cs="Arial"/>
              </w:rPr>
              <w:t>Чернодробни нарушения</w:t>
            </w:r>
          </w:p>
        </w:tc>
        <w:tc>
          <w:tcPr>
            <w:tcW w:w="3192" w:type="dxa"/>
          </w:tcPr>
          <w:p w14:paraId="73AA9B49" w14:textId="7B90A956" w:rsidR="00A9735A" w:rsidRPr="00A9735A" w:rsidRDefault="00A9735A" w:rsidP="00A9735A">
            <w:pPr>
              <w:rPr>
                <w:rFonts w:cs="Arial"/>
              </w:rPr>
            </w:pPr>
            <w:r w:rsidRPr="00A9735A">
              <w:rPr>
                <w:rFonts w:cs="Arial"/>
              </w:rPr>
              <w:t>Чернодробна недостатъчност, отклонения в чернодробната функция</w:t>
            </w:r>
            <w:r w:rsidRPr="00A9735A">
              <w:rPr>
                <w:rFonts w:cs="Arial"/>
                <w:vertAlign w:val="superscript"/>
              </w:rPr>
              <w:t>4</w:t>
            </w:r>
            <w:r w:rsidRPr="00A9735A">
              <w:rPr>
                <w:rFonts w:cs="Arial"/>
              </w:rPr>
              <w:t>, повишени стойности на показателите на чернодробните функционални тестове</w:t>
            </w:r>
          </w:p>
        </w:tc>
        <w:tc>
          <w:tcPr>
            <w:tcW w:w="3192" w:type="dxa"/>
          </w:tcPr>
          <w:p w14:paraId="731431C8" w14:textId="77BD3E67" w:rsidR="00A9735A" w:rsidRPr="00A9735A" w:rsidRDefault="00A9735A" w:rsidP="00A9735A">
            <w:pPr>
              <w:rPr>
                <w:rFonts w:cs="Arial"/>
              </w:rPr>
            </w:pPr>
            <w:r w:rsidRPr="00A9735A">
              <w:rPr>
                <w:rFonts w:cs="Arial"/>
              </w:rPr>
              <w:t>Много редки</w:t>
            </w:r>
          </w:p>
        </w:tc>
      </w:tr>
      <w:tr w:rsidR="00A9735A" w14:paraId="7E455A3F" w14:textId="77777777" w:rsidTr="00A9735A">
        <w:tc>
          <w:tcPr>
            <w:tcW w:w="3192" w:type="dxa"/>
          </w:tcPr>
          <w:p w14:paraId="2CA71A69" w14:textId="320FE07E" w:rsidR="00A9735A" w:rsidRPr="00A9735A" w:rsidRDefault="00A9735A" w:rsidP="00A9735A">
            <w:pPr>
              <w:rPr>
                <w:rFonts w:cs="Arial"/>
              </w:rPr>
            </w:pPr>
            <w:r w:rsidRPr="00A9735A">
              <w:rPr>
                <w:rFonts w:cs="Arial"/>
              </w:rPr>
              <w:t>Нарушения на кожата иподкожната тъкан</w:t>
            </w:r>
          </w:p>
        </w:tc>
        <w:tc>
          <w:tcPr>
            <w:tcW w:w="3192" w:type="dxa"/>
          </w:tcPr>
          <w:p w14:paraId="26240AFB" w14:textId="77777777" w:rsidR="00A9735A" w:rsidRPr="00A9735A" w:rsidRDefault="00A9735A" w:rsidP="00A9735A">
            <w:pPr>
              <w:rPr>
                <w:rFonts w:cs="Arial"/>
              </w:rPr>
            </w:pPr>
            <w:r w:rsidRPr="00A9735A">
              <w:rPr>
                <w:rFonts w:cs="Arial"/>
              </w:rPr>
              <w:t>Кожен обрив</w:t>
            </w:r>
            <w:r w:rsidRPr="00A9735A">
              <w:rPr>
                <w:rFonts w:cs="Arial"/>
                <w:vertAlign w:val="superscript"/>
              </w:rPr>
              <w:t>5+§</w:t>
            </w:r>
          </w:p>
          <w:p w14:paraId="1DEC89D0" w14:textId="77777777" w:rsidR="00A9735A" w:rsidRPr="00A9735A" w:rsidRDefault="00A9735A" w:rsidP="00A9735A">
            <w:pPr>
              <w:rPr>
                <w:rFonts w:cs="Arial"/>
              </w:rPr>
            </w:pPr>
          </w:p>
          <w:p w14:paraId="4FC6046B" w14:textId="296B8C27" w:rsidR="00A9735A" w:rsidRPr="00A9735A" w:rsidRDefault="00A9735A" w:rsidP="00A9735A">
            <w:pPr>
              <w:rPr>
                <w:rFonts w:cs="Arial"/>
              </w:rPr>
            </w:pPr>
            <w:r w:rsidRPr="00A9735A">
              <w:rPr>
                <w:rFonts w:cs="Arial"/>
              </w:rPr>
              <w:t>Алопеция</w:t>
            </w:r>
          </w:p>
          <w:p w14:paraId="577E5C91" w14:textId="77777777" w:rsidR="00A9735A" w:rsidRPr="00A9735A" w:rsidRDefault="00A9735A" w:rsidP="00A9735A">
            <w:pPr>
              <w:rPr>
                <w:rFonts w:cs="Arial"/>
              </w:rPr>
            </w:pPr>
          </w:p>
          <w:p w14:paraId="7AA4506A" w14:textId="166FBBA5" w:rsidR="00A9735A" w:rsidRPr="00A9735A" w:rsidRDefault="00A9735A" w:rsidP="00A9735A">
            <w:pPr>
              <w:rPr>
                <w:rFonts w:cs="Arial"/>
              </w:rPr>
            </w:pPr>
            <w:r w:rsidRPr="00A9735A">
              <w:rPr>
                <w:rFonts w:cs="Arial"/>
              </w:rPr>
              <w:t>Реакция на фоточувствителност</w:t>
            </w:r>
          </w:p>
          <w:p w14:paraId="39A7EFAB" w14:textId="77777777" w:rsidR="00A9735A" w:rsidRPr="00A9735A" w:rsidRDefault="00A9735A" w:rsidP="00A9735A">
            <w:pPr>
              <w:rPr>
                <w:rFonts w:cs="Arial"/>
              </w:rPr>
            </w:pPr>
          </w:p>
          <w:p w14:paraId="0CADE0A8" w14:textId="25B20649" w:rsidR="00A9735A" w:rsidRPr="00A9735A" w:rsidRDefault="00A9735A" w:rsidP="00A9735A">
            <w:pPr>
              <w:rPr>
                <w:rFonts w:cs="Arial"/>
              </w:rPr>
            </w:pPr>
            <w:r w:rsidRPr="00A9735A">
              <w:rPr>
                <w:rFonts w:cs="Arial"/>
              </w:rPr>
              <w:t>Синдром на Стивънс-Джонсън</w:t>
            </w:r>
          </w:p>
          <w:p w14:paraId="3DCE7DCB" w14:textId="77777777" w:rsidR="00A9735A" w:rsidRPr="00A9735A" w:rsidRDefault="00A9735A" w:rsidP="00A9735A">
            <w:pPr>
              <w:rPr>
                <w:rFonts w:cs="Arial"/>
              </w:rPr>
            </w:pPr>
          </w:p>
          <w:p w14:paraId="0590411C" w14:textId="7AA24218" w:rsidR="00A9735A" w:rsidRPr="00A9735A" w:rsidRDefault="00A9735A" w:rsidP="00A9735A">
            <w:pPr>
              <w:rPr>
                <w:rFonts w:cs="Arial"/>
              </w:rPr>
            </w:pPr>
            <w:r w:rsidRPr="00A9735A">
              <w:rPr>
                <w:rFonts w:cs="Arial"/>
              </w:rPr>
              <w:t>Токсична епидермална некролиза</w:t>
            </w:r>
          </w:p>
          <w:p w14:paraId="20045EE0" w14:textId="77777777" w:rsidR="00A9735A" w:rsidRPr="00A9735A" w:rsidRDefault="00A9735A" w:rsidP="00A9735A">
            <w:pPr>
              <w:rPr>
                <w:rFonts w:cs="Arial"/>
              </w:rPr>
            </w:pPr>
          </w:p>
          <w:p w14:paraId="21AD0643" w14:textId="35BC9DF4" w:rsidR="00A9735A" w:rsidRPr="00A9735A" w:rsidRDefault="00A9735A" w:rsidP="00A9735A">
            <w:pPr>
              <w:rPr>
                <w:rFonts w:cs="Arial"/>
              </w:rPr>
            </w:pPr>
            <w:r w:rsidRPr="00A9735A">
              <w:rPr>
                <w:rFonts w:cs="Arial"/>
              </w:rPr>
              <w:t>Лекарствена реакция с еозинофилия и системни симптоми</w:t>
            </w:r>
          </w:p>
        </w:tc>
        <w:tc>
          <w:tcPr>
            <w:tcW w:w="3192" w:type="dxa"/>
          </w:tcPr>
          <w:p w14:paraId="50E87C12" w14:textId="77777777" w:rsidR="00A9735A" w:rsidRPr="00A9735A" w:rsidRDefault="00A9735A" w:rsidP="00A9735A">
            <w:pPr>
              <w:rPr>
                <w:rFonts w:cs="Arial"/>
              </w:rPr>
            </w:pPr>
            <w:r w:rsidRPr="00A9735A">
              <w:rPr>
                <w:rFonts w:cs="Arial"/>
              </w:rPr>
              <w:t>Много чести</w:t>
            </w:r>
          </w:p>
          <w:p w14:paraId="5CB64784" w14:textId="77777777" w:rsidR="00A9735A" w:rsidRPr="00A9735A" w:rsidRDefault="00A9735A" w:rsidP="00A9735A">
            <w:pPr>
              <w:rPr>
                <w:rFonts w:cs="Arial"/>
              </w:rPr>
            </w:pPr>
          </w:p>
          <w:p w14:paraId="01EC8FC4" w14:textId="3909529B" w:rsidR="00A9735A" w:rsidRPr="00A9735A" w:rsidRDefault="00A9735A" w:rsidP="00A9735A">
            <w:pPr>
              <w:rPr>
                <w:rFonts w:cs="Arial"/>
              </w:rPr>
            </w:pPr>
            <w:r w:rsidRPr="00A9735A">
              <w:rPr>
                <w:rFonts w:cs="Arial"/>
              </w:rPr>
              <w:t>Нечести</w:t>
            </w:r>
          </w:p>
          <w:p w14:paraId="2899D9A5" w14:textId="77777777" w:rsidR="00A9735A" w:rsidRPr="00A9735A" w:rsidRDefault="00A9735A" w:rsidP="00A9735A">
            <w:pPr>
              <w:rPr>
                <w:rFonts w:cs="Arial"/>
              </w:rPr>
            </w:pPr>
          </w:p>
          <w:p w14:paraId="6B5401C8" w14:textId="7D2E1CCE" w:rsidR="00A9735A" w:rsidRPr="00A9735A" w:rsidRDefault="00A9735A" w:rsidP="00A9735A">
            <w:pPr>
              <w:rPr>
                <w:rFonts w:cs="Arial"/>
              </w:rPr>
            </w:pPr>
            <w:r w:rsidRPr="00A9735A">
              <w:rPr>
                <w:rFonts w:cs="Arial"/>
              </w:rPr>
              <w:t>Нечести</w:t>
            </w:r>
          </w:p>
          <w:p w14:paraId="654818FF" w14:textId="77777777" w:rsidR="00A9735A" w:rsidRPr="00A9735A" w:rsidRDefault="00A9735A" w:rsidP="00A9735A">
            <w:pPr>
              <w:rPr>
                <w:rFonts w:cs="Arial"/>
              </w:rPr>
            </w:pPr>
          </w:p>
          <w:p w14:paraId="38FCDAE1" w14:textId="77777777" w:rsidR="00A9735A" w:rsidRPr="00A9735A" w:rsidRDefault="00A9735A" w:rsidP="00A9735A">
            <w:pPr>
              <w:rPr>
                <w:rFonts w:cs="Arial"/>
              </w:rPr>
            </w:pPr>
          </w:p>
          <w:p w14:paraId="10D53C9D" w14:textId="19F3CC99" w:rsidR="00A9735A" w:rsidRPr="00A9735A" w:rsidRDefault="00A9735A" w:rsidP="00A9735A">
            <w:pPr>
              <w:rPr>
                <w:rFonts w:cs="Arial"/>
              </w:rPr>
            </w:pPr>
            <w:r w:rsidRPr="00A9735A">
              <w:rPr>
                <w:rFonts w:cs="Arial"/>
              </w:rPr>
              <w:t>Редки</w:t>
            </w:r>
          </w:p>
          <w:p w14:paraId="7682B122" w14:textId="77777777" w:rsidR="00A9735A" w:rsidRPr="00A9735A" w:rsidRDefault="00A9735A" w:rsidP="00A9735A">
            <w:pPr>
              <w:rPr>
                <w:rFonts w:cs="Arial"/>
              </w:rPr>
            </w:pPr>
          </w:p>
          <w:p w14:paraId="6CAC7F84" w14:textId="77777777" w:rsidR="00A9735A" w:rsidRDefault="00A9735A" w:rsidP="00A9735A">
            <w:pPr>
              <w:rPr>
                <w:rFonts w:cs="Arial"/>
              </w:rPr>
            </w:pPr>
          </w:p>
          <w:p w14:paraId="5F830D41" w14:textId="6DE45C0E" w:rsidR="00A9735A" w:rsidRPr="00A9735A" w:rsidRDefault="00A9735A" w:rsidP="00A9735A">
            <w:pPr>
              <w:rPr>
                <w:rFonts w:cs="Arial"/>
              </w:rPr>
            </w:pPr>
            <w:r w:rsidRPr="00A9735A">
              <w:rPr>
                <w:rFonts w:cs="Arial"/>
              </w:rPr>
              <w:t>Много редки</w:t>
            </w:r>
          </w:p>
          <w:p w14:paraId="2C7AC870" w14:textId="77777777" w:rsidR="00A9735A" w:rsidRPr="00A9735A" w:rsidRDefault="00A9735A" w:rsidP="00A9735A">
            <w:pPr>
              <w:rPr>
                <w:rFonts w:cs="Arial"/>
              </w:rPr>
            </w:pPr>
          </w:p>
          <w:p w14:paraId="2430F807" w14:textId="77777777" w:rsidR="00A9735A" w:rsidRPr="00A9735A" w:rsidRDefault="00A9735A" w:rsidP="00A9735A">
            <w:pPr>
              <w:rPr>
                <w:rFonts w:cs="Arial"/>
              </w:rPr>
            </w:pPr>
          </w:p>
          <w:p w14:paraId="05D60332" w14:textId="52F2B18A" w:rsidR="00A9735A" w:rsidRPr="00A9735A" w:rsidRDefault="00A9735A" w:rsidP="00A9735A">
            <w:pPr>
              <w:rPr>
                <w:rFonts w:cs="Arial"/>
              </w:rPr>
            </w:pPr>
            <w:r w:rsidRPr="00A9735A">
              <w:rPr>
                <w:rFonts w:cs="Arial"/>
              </w:rPr>
              <w:t>Много редки</w:t>
            </w:r>
          </w:p>
        </w:tc>
      </w:tr>
      <w:tr w:rsidR="00A9735A" w14:paraId="618AB631" w14:textId="77777777" w:rsidTr="00A9735A">
        <w:tc>
          <w:tcPr>
            <w:tcW w:w="3192" w:type="dxa"/>
          </w:tcPr>
          <w:p w14:paraId="3F019AE4" w14:textId="77777777" w:rsidR="00A9735A" w:rsidRPr="00A9735A" w:rsidRDefault="00A9735A" w:rsidP="00A9735A">
            <w:pPr>
              <w:rPr>
                <w:rFonts w:cs="Arial"/>
              </w:rPr>
            </w:pPr>
            <w:r w:rsidRPr="00A9735A">
              <w:rPr>
                <w:rFonts w:cs="Arial"/>
              </w:rPr>
              <w:lastRenderedPageBreak/>
              <w:t>Нарушения на мускулно- скелетната система</w:t>
            </w:r>
            <w:r w:rsidRPr="00A9735A">
              <w:rPr>
                <w:rFonts w:cs="Arial"/>
              </w:rPr>
              <w:tab/>
              <w:t>и</w:t>
            </w:r>
          </w:p>
          <w:p w14:paraId="45A40EDC" w14:textId="3B9FE669" w:rsidR="00A9735A" w:rsidRPr="00A9735A" w:rsidRDefault="00A9735A" w:rsidP="00A9735A">
            <w:pPr>
              <w:rPr>
                <w:rFonts w:cs="Arial"/>
              </w:rPr>
            </w:pPr>
            <w:r w:rsidRPr="00A9735A">
              <w:rPr>
                <w:rFonts w:cs="Arial"/>
              </w:rPr>
              <w:t>съединителната тъкан</w:t>
            </w:r>
          </w:p>
        </w:tc>
        <w:tc>
          <w:tcPr>
            <w:tcW w:w="3192" w:type="dxa"/>
          </w:tcPr>
          <w:p w14:paraId="00570BDC" w14:textId="77777777" w:rsidR="00A9735A" w:rsidRPr="00A9735A" w:rsidRDefault="00A9735A" w:rsidP="00A9735A">
            <w:pPr>
              <w:rPr>
                <w:rFonts w:cs="Arial"/>
              </w:rPr>
            </w:pPr>
            <w:r w:rsidRPr="00A9735A">
              <w:rPr>
                <w:rFonts w:cs="Arial"/>
              </w:rPr>
              <w:t>Артралгия</w:t>
            </w:r>
            <w:r w:rsidRPr="00A9735A">
              <w:rPr>
                <w:rFonts w:cs="Arial"/>
                <w:vertAlign w:val="superscript"/>
              </w:rPr>
              <w:t>§</w:t>
            </w:r>
          </w:p>
          <w:p w14:paraId="263BE721" w14:textId="77777777" w:rsidR="00A9735A" w:rsidRPr="00A9735A" w:rsidRDefault="00A9735A" w:rsidP="00A9735A">
            <w:pPr>
              <w:rPr>
                <w:rFonts w:cs="Arial"/>
              </w:rPr>
            </w:pPr>
          </w:p>
          <w:p w14:paraId="41DADE05" w14:textId="3425B921" w:rsidR="00A9735A" w:rsidRPr="00A9735A" w:rsidRDefault="00A9735A" w:rsidP="00A9735A">
            <w:pPr>
              <w:rPr>
                <w:rFonts w:cs="Arial"/>
              </w:rPr>
            </w:pPr>
            <w:r w:rsidRPr="00A9735A">
              <w:rPr>
                <w:rFonts w:cs="Arial"/>
              </w:rPr>
              <w:t>Реакции, наподобяващи лупус</w:t>
            </w:r>
          </w:p>
        </w:tc>
        <w:tc>
          <w:tcPr>
            <w:tcW w:w="3192" w:type="dxa"/>
          </w:tcPr>
          <w:p w14:paraId="0043A8F2" w14:textId="77777777" w:rsidR="00A9735A" w:rsidRPr="00A9735A" w:rsidRDefault="00A9735A" w:rsidP="00A9735A">
            <w:pPr>
              <w:rPr>
                <w:rFonts w:cs="Arial"/>
              </w:rPr>
            </w:pPr>
            <w:r w:rsidRPr="00A9735A">
              <w:rPr>
                <w:rFonts w:cs="Arial"/>
              </w:rPr>
              <w:t>Чести</w:t>
            </w:r>
          </w:p>
          <w:p w14:paraId="17445962" w14:textId="77777777" w:rsidR="00A9735A" w:rsidRPr="00A9735A" w:rsidRDefault="00A9735A" w:rsidP="00A9735A">
            <w:pPr>
              <w:rPr>
                <w:rFonts w:cs="Arial"/>
              </w:rPr>
            </w:pPr>
          </w:p>
          <w:p w14:paraId="04844654" w14:textId="05A7F3E5" w:rsidR="00A9735A" w:rsidRPr="00A9735A" w:rsidRDefault="00A9735A" w:rsidP="00A9735A">
            <w:pPr>
              <w:rPr>
                <w:rFonts w:cs="Arial"/>
              </w:rPr>
            </w:pPr>
            <w:r w:rsidRPr="00A9735A">
              <w:rPr>
                <w:rFonts w:cs="Arial"/>
              </w:rPr>
              <w:t>Много редки</w:t>
            </w:r>
          </w:p>
        </w:tc>
      </w:tr>
      <w:tr w:rsidR="00A9735A" w14:paraId="42478636" w14:textId="77777777" w:rsidTr="00A9735A">
        <w:tc>
          <w:tcPr>
            <w:tcW w:w="3192" w:type="dxa"/>
          </w:tcPr>
          <w:p w14:paraId="404C15C9" w14:textId="77777777" w:rsidR="00A9735A" w:rsidRPr="00A9735A" w:rsidRDefault="00A9735A" w:rsidP="00A9735A">
            <w:pPr>
              <w:rPr>
                <w:rFonts w:cs="Arial"/>
              </w:rPr>
            </w:pPr>
            <w:r w:rsidRPr="00A9735A">
              <w:rPr>
                <w:rFonts w:cs="Arial"/>
              </w:rPr>
              <w:t>Общи нарушения и ефекти на мястото</w:t>
            </w:r>
            <w:r w:rsidRPr="00A9735A">
              <w:rPr>
                <w:rFonts w:cs="Arial"/>
              </w:rPr>
              <w:tab/>
              <w:t>на</w:t>
            </w:r>
          </w:p>
          <w:p w14:paraId="217C600D" w14:textId="41ECA6D2" w:rsidR="00A9735A" w:rsidRPr="00A9735A" w:rsidRDefault="00A9735A" w:rsidP="00A9735A">
            <w:pPr>
              <w:rPr>
                <w:rFonts w:cs="Arial"/>
              </w:rPr>
            </w:pPr>
            <w:r w:rsidRPr="00A9735A">
              <w:rPr>
                <w:rFonts w:cs="Arial"/>
              </w:rPr>
              <w:t>приложение</w:t>
            </w:r>
          </w:p>
        </w:tc>
        <w:tc>
          <w:tcPr>
            <w:tcW w:w="3192" w:type="dxa"/>
          </w:tcPr>
          <w:p w14:paraId="3B7D9BEE" w14:textId="2EC8A839" w:rsidR="00A9735A" w:rsidRPr="00A9735A" w:rsidRDefault="00A9735A" w:rsidP="00A9735A">
            <w:pPr>
              <w:rPr>
                <w:rFonts w:cs="Arial"/>
              </w:rPr>
            </w:pPr>
            <w:r w:rsidRPr="00A9735A">
              <w:rPr>
                <w:rFonts w:cs="Arial"/>
              </w:rPr>
              <w:t>Уморяемост</w:t>
            </w:r>
            <w:r w:rsidRPr="00A9735A">
              <w:rPr>
                <w:rFonts w:cs="Arial"/>
                <w:vertAlign w:val="superscript"/>
              </w:rPr>
              <w:t>§</w:t>
            </w:r>
            <w:r w:rsidRPr="00A9735A">
              <w:rPr>
                <w:rFonts w:cs="Arial"/>
              </w:rPr>
              <w:t>, болка</w:t>
            </w:r>
            <w:r w:rsidRPr="00A9735A">
              <w:rPr>
                <w:rFonts w:cs="Arial"/>
                <w:vertAlign w:val="superscript"/>
              </w:rPr>
              <w:t>§</w:t>
            </w:r>
            <w:r w:rsidRPr="00A9735A">
              <w:rPr>
                <w:rFonts w:cs="Arial"/>
              </w:rPr>
              <w:t>, болка в гърба</w:t>
            </w:r>
            <w:r w:rsidRPr="00A9735A">
              <w:rPr>
                <w:rFonts w:cs="Arial"/>
                <w:vertAlign w:val="superscript"/>
              </w:rPr>
              <w:t>§</w:t>
            </w:r>
          </w:p>
        </w:tc>
        <w:tc>
          <w:tcPr>
            <w:tcW w:w="3192" w:type="dxa"/>
          </w:tcPr>
          <w:p w14:paraId="5CD3BEB1" w14:textId="62EA55B1" w:rsidR="00A9735A" w:rsidRPr="00A9735A" w:rsidRDefault="00A9735A" w:rsidP="00A9735A">
            <w:pPr>
              <w:rPr>
                <w:rFonts w:cs="Arial"/>
              </w:rPr>
            </w:pPr>
            <w:r w:rsidRPr="00A9735A">
              <w:rPr>
                <w:rFonts w:cs="Arial"/>
              </w:rPr>
              <w:t>Чести</w:t>
            </w:r>
          </w:p>
        </w:tc>
      </w:tr>
    </w:tbl>
    <w:p w14:paraId="3B4C4E57" w14:textId="30A4E3AA" w:rsidR="00A9735A" w:rsidRDefault="00A9735A" w:rsidP="00A9735A"/>
    <w:p w14:paraId="6C5731DB" w14:textId="77777777"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Описание на избрани нежелани реакции</w:t>
      </w:r>
    </w:p>
    <w:p w14:paraId="68209DDC" w14:textId="204454DE" w:rsidR="00A9735A" w:rsidRPr="00A9735A" w:rsidRDefault="00A9735A" w:rsidP="00A9735A">
      <w:pPr>
        <w:spacing w:line="240" w:lineRule="auto"/>
        <w:rPr>
          <w:rFonts w:eastAsia="Times New Roman" w:cs="Arial"/>
        </w:rPr>
      </w:pPr>
      <w:r w:rsidRPr="00A9735A">
        <w:rPr>
          <w:rFonts w:eastAsia="Times New Roman" w:cs="Arial"/>
          <w:color w:val="000000"/>
          <w:vertAlign w:val="superscript"/>
          <w:lang w:eastAsia="bg-BG"/>
        </w:rPr>
        <w:t>1</w:t>
      </w:r>
      <w:r w:rsidRPr="00A9735A">
        <w:rPr>
          <w:rFonts w:eastAsia="Times New Roman" w:cs="Arial"/>
          <w:color w:val="000000"/>
          <w:lang w:eastAsia="bg-BG"/>
        </w:rPr>
        <w:t>Хематологичните отклонения и лимфаденопатията може да бъдат или да не бъдат свързани със синдрома на свръхчувствителност (вижте Нарушения на имунната система).</w:t>
      </w:r>
    </w:p>
    <w:p w14:paraId="623FD0B9" w14:textId="77777777" w:rsidR="00A9735A" w:rsidRPr="00A9735A" w:rsidRDefault="00A9735A" w:rsidP="00A9735A">
      <w:pPr>
        <w:rPr>
          <w:rFonts w:eastAsia="Times New Roman" w:cs="Arial"/>
          <w:color w:val="000000"/>
          <w:vertAlign w:val="superscript"/>
          <w:lang w:eastAsia="bg-BG"/>
        </w:rPr>
      </w:pPr>
    </w:p>
    <w:p w14:paraId="7AF1756B" w14:textId="7CF1C5D7" w:rsidR="00A9735A" w:rsidRPr="00A9735A" w:rsidRDefault="00A9735A" w:rsidP="00A9735A">
      <w:pPr>
        <w:rPr>
          <w:rFonts w:eastAsia="Times New Roman" w:cs="Arial"/>
        </w:rPr>
      </w:pPr>
      <w:r w:rsidRPr="00A9735A">
        <w:rPr>
          <w:rFonts w:eastAsia="Times New Roman" w:cs="Arial"/>
          <w:color w:val="000000"/>
          <w:vertAlign w:val="superscript"/>
          <w:lang w:eastAsia="bg-BG"/>
        </w:rPr>
        <w:t>2</w:t>
      </w:r>
      <w:r w:rsidRPr="00A9735A">
        <w:rPr>
          <w:rFonts w:eastAsia="Times New Roman" w:cs="Arial"/>
          <w:color w:val="000000"/>
          <w:lang w:eastAsia="bg-BG"/>
        </w:rPr>
        <w:t>Като част от синдрома на свръхчувствителност е съобщаван обрив, свързан с различни системни симптоми като повишена температура, лимфаденопатия, оток на лицето и промени в кръвната картина и функцията на черния дроб.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 лимфаденопатия) може да са проявени и без доловимо развитие на обрив. При установяване на описаните симптоми е необходима незабавна оценка на състоянието на пациента и спиране иа приема на ламотригин при липса на друга етиология за развитие на тази реакции.</w:t>
      </w:r>
    </w:p>
    <w:p w14:paraId="21C77C21" w14:textId="77777777" w:rsidR="00A9735A" w:rsidRPr="00A9735A" w:rsidRDefault="00A9735A" w:rsidP="00A9735A">
      <w:pPr>
        <w:spacing w:line="240" w:lineRule="auto"/>
        <w:rPr>
          <w:rFonts w:eastAsia="Times New Roman" w:cs="Arial"/>
          <w:color w:val="000000"/>
          <w:lang w:eastAsia="bg-BG"/>
        </w:rPr>
      </w:pPr>
    </w:p>
    <w:p w14:paraId="1C328641" w14:textId="6AF706A9"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3</w:t>
      </w:r>
      <w:r w:rsidRPr="00A9735A">
        <w:rPr>
          <w:rFonts w:eastAsia="Times New Roman" w:cs="Arial"/>
          <w:color w:val="000000"/>
          <w:lang w:eastAsia="bg-BG"/>
        </w:rPr>
        <w:t>Тези реакции са докладвани по време на другия клиничен опит. Има съобщения, че приложението на ламотригин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6427EE8A" w14:textId="77777777" w:rsidR="00A9735A" w:rsidRPr="00A9735A" w:rsidRDefault="00A9735A" w:rsidP="00A9735A">
      <w:pPr>
        <w:spacing w:line="240" w:lineRule="auto"/>
        <w:rPr>
          <w:rFonts w:eastAsia="Times New Roman" w:cs="Arial"/>
          <w:color w:val="000000"/>
          <w:lang w:eastAsia="bg-BG"/>
        </w:rPr>
      </w:pPr>
    </w:p>
    <w:p w14:paraId="5955332B" w14:textId="79F91858"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4</w:t>
      </w:r>
      <w:r w:rsidRPr="00A9735A">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0618A185" w14:textId="77777777" w:rsidR="00A9735A" w:rsidRPr="00A9735A" w:rsidRDefault="00A9735A" w:rsidP="00A9735A">
      <w:pPr>
        <w:spacing w:line="240" w:lineRule="auto"/>
        <w:rPr>
          <w:rFonts w:eastAsia="Times New Roman" w:cs="Arial"/>
          <w:color w:val="000000"/>
          <w:lang w:eastAsia="bg-BG"/>
        </w:rPr>
      </w:pPr>
    </w:p>
    <w:p w14:paraId="3498E45E" w14:textId="5C781709"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vertAlign w:val="superscript"/>
          <w:lang w:eastAsia="bg-BG"/>
        </w:rPr>
        <w:t>5</w:t>
      </w:r>
      <w:r w:rsidRPr="00A9735A">
        <w:rPr>
          <w:rFonts w:eastAsia="Times New Roman" w:cs="Arial"/>
          <w:color w:val="000000"/>
          <w:lang w:eastAsia="bg-BG"/>
        </w:rPr>
        <w:t>В клинични изпитвания при възрастни, кожни обриви са наблюдавани при до 8-12% от пациентите, приемащи ламотригин, и при 5-6% от пациентите, получаващи плацебо. Развитието на обриви води до спиране на лечението при 2% от пациентите. Обривите, обикновено макулопапулозни по вид се появяват като цяло през първите 8 седмици от започване на лечението и изчезват при спиране на ламотригин (вижте точка 4.4).</w:t>
      </w:r>
    </w:p>
    <w:p w14:paraId="3AB21262" w14:textId="77777777" w:rsidR="00A9735A" w:rsidRPr="00A9735A" w:rsidRDefault="00A9735A" w:rsidP="00A9735A">
      <w:pPr>
        <w:spacing w:line="240" w:lineRule="auto"/>
        <w:rPr>
          <w:rFonts w:eastAsia="Times New Roman" w:cs="Arial"/>
          <w:color w:val="000000"/>
          <w:lang w:eastAsia="bg-BG"/>
        </w:rPr>
      </w:pPr>
    </w:p>
    <w:p w14:paraId="687DCBA1" w14:textId="787EFCB8"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Съобщавани са животозастрашаващи обриви, включително Синдром на Стивънс-Джонсън и токсична епидермална некролиза (Синдром на Лайъл) и лекарствена реакция с еозинофилия и системни симптоми </w:t>
      </w:r>
      <w:r w:rsidRPr="00A9735A">
        <w:rPr>
          <w:rFonts w:eastAsia="Times New Roman" w:cs="Arial"/>
          <w:color w:val="000000"/>
          <w:lang w:val="ru-RU"/>
        </w:rPr>
        <w:t>(</w:t>
      </w:r>
      <w:r w:rsidRPr="00A9735A">
        <w:rPr>
          <w:rFonts w:eastAsia="Times New Roman" w:cs="Arial"/>
          <w:color w:val="000000"/>
          <w:lang w:val="en-US"/>
        </w:rPr>
        <w:t>DRESS</w:t>
      </w:r>
      <w:r w:rsidRPr="00A9735A">
        <w:rPr>
          <w:rFonts w:eastAsia="Times New Roman" w:cs="Arial"/>
          <w:color w:val="000000"/>
          <w:lang w:val="ru-RU"/>
        </w:rPr>
        <w:t xml:space="preserve">). </w:t>
      </w:r>
      <w:r w:rsidRPr="00A9735A">
        <w:rPr>
          <w:rFonts w:eastAsia="Times New Roman" w:cs="Arial"/>
          <w:color w:val="000000"/>
          <w:lang w:eastAsia="bg-BG"/>
        </w:rPr>
        <w:t>В повечето случаи тези състояния отшумяват с преустановяване на приема на ламотригин. Въпреки това, при някои пациенти могат да се появят необратими цикатрикси, както и са съобщавани редки случаи на летален изход (вижте точка 4.4).</w:t>
      </w:r>
    </w:p>
    <w:p w14:paraId="73BAA1D1" w14:textId="77777777" w:rsidR="00A9735A" w:rsidRPr="00A9735A" w:rsidRDefault="00A9735A" w:rsidP="00A9735A">
      <w:pPr>
        <w:spacing w:line="240" w:lineRule="auto"/>
        <w:rPr>
          <w:rFonts w:eastAsia="Times New Roman" w:cs="Arial"/>
          <w:color w:val="000000"/>
          <w:lang w:eastAsia="bg-BG"/>
        </w:rPr>
      </w:pPr>
    </w:p>
    <w:p w14:paraId="168FA9D2" w14:textId="77777777" w:rsidR="00A9735A" w:rsidRPr="00A9735A" w:rsidRDefault="00A9735A" w:rsidP="00A9735A">
      <w:pPr>
        <w:spacing w:line="240" w:lineRule="auto"/>
        <w:rPr>
          <w:rFonts w:eastAsia="Times New Roman" w:cs="Arial"/>
          <w:color w:val="000000"/>
          <w:lang w:eastAsia="bg-BG"/>
        </w:rPr>
      </w:pPr>
      <w:r w:rsidRPr="00A9735A">
        <w:rPr>
          <w:rFonts w:eastAsia="Times New Roman" w:cs="Arial"/>
          <w:color w:val="000000"/>
          <w:lang w:eastAsia="bg-BG"/>
        </w:rPr>
        <w:t xml:space="preserve">Общият риск от поява на обриви показва силна взаимовръзка с: </w:t>
      </w:r>
    </w:p>
    <w:p w14:paraId="2A939475" w14:textId="77777777"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прием на високи начални дози ламотригин и превишаване на препоръчителната доза за повишаване на ламотригин (вижте точка 4.2)</w:t>
      </w:r>
    </w:p>
    <w:p w14:paraId="5516685D" w14:textId="5AB9F25C" w:rsidR="00A9735A" w:rsidRPr="00A9735A" w:rsidRDefault="00A9735A" w:rsidP="00A9735A">
      <w:pPr>
        <w:pStyle w:val="ListParagraph"/>
        <w:numPr>
          <w:ilvl w:val="0"/>
          <w:numId w:val="38"/>
        </w:numPr>
        <w:spacing w:line="240" w:lineRule="auto"/>
        <w:rPr>
          <w:rFonts w:eastAsia="Times New Roman" w:cs="Arial"/>
        </w:rPr>
      </w:pPr>
      <w:r w:rsidRPr="00A9735A">
        <w:rPr>
          <w:rFonts w:eastAsia="Times New Roman" w:cs="Arial"/>
          <w:color w:val="000000"/>
          <w:lang w:eastAsia="bg-BG"/>
        </w:rPr>
        <w:t>съвместно прилагане на валпроат (вижте точка 4.2).</w:t>
      </w:r>
    </w:p>
    <w:p w14:paraId="415DA2FC" w14:textId="77777777" w:rsidR="00A9735A" w:rsidRPr="00A9735A" w:rsidRDefault="00A9735A" w:rsidP="00A9735A">
      <w:pPr>
        <w:spacing w:line="240" w:lineRule="auto"/>
        <w:rPr>
          <w:rFonts w:eastAsia="Times New Roman" w:cs="Arial"/>
          <w:color w:val="000000"/>
          <w:lang w:eastAsia="bg-BG"/>
        </w:rPr>
      </w:pPr>
    </w:p>
    <w:p w14:paraId="57AEAC39" w14:textId="7AB30898" w:rsidR="00A9735A" w:rsidRPr="00A9735A" w:rsidRDefault="00A9735A" w:rsidP="00A9735A">
      <w:pPr>
        <w:spacing w:line="240" w:lineRule="auto"/>
        <w:rPr>
          <w:rFonts w:eastAsia="Times New Roman" w:cs="Arial"/>
        </w:rPr>
      </w:pPr>
      <w:r w:rsidRPr="00A9735A">
        <w:rPr>
          <w:rFonts w:eastAsia="Times New Roman" w:cs="Arial"/>
          <w:color w:val="000000"/>
          <w:lang w:eastAsia="bg-BG"/>
        </w:rPr>
        <w:lastRenderedPageBreak/>
        <w:t>Има съобщения за поява на обрив като част от синдром на свръхчувствителност, свързан с разнообразни системни симптоми (вижте Нарушения на имунната система).</w:t>
      </w:r>
    </w:p>
    <w:p w14:paraId="4ED43AB1" w14:textId="77777777" w:rsidR="00A9735A" w:rsidRPr="00A9735A" w:rsidRDefault="00A9735A" w:rsidP="00A9735A">
      <w:pPr>
        <w:spacing w:line="240" w:lineRule="auto"/>
        <w:rPr>
          <w:rFonts w:eastAsia="Times New Roman" w:cs="Arial"/>
          <w:color w:val="000000"/>
          <w:lang w:eastAsia="bg-BG"/>
        </w:rPr>
      </w:pPr>
    </w:p>
    <w:p w14:paraId="6311EAE2" w14:textId="40426973" w:rsidR="00A9735A" w:rsidRPr="00A9735A" w:rsidRDefault="00A9735A" w:rsidP="00A9735A">
      <w:pPr>
        <w:spacing w:line="240" w:lineRule="auto"/>
        <w:rPr>
          <w:rFonts w:eastAsia="Times New Roman" w:cs="Arial"/>
        </w:rPr>
      </w:pPr>
      <w:r w:rsidRPr="00A9735A">
        <w:rPr>
          <w:rFonts w:eastAsia="Times New Roman" w:cs="Arial"/>
          <w:color w:val="000000"/>
          <w:lang w:eastAsia="bg-BG"/>
        </w:rPr>
        <w:t>Има съобщения за понижена костна минерална плътност, остеопения, остеопороза и фрактури при пациенти на дългосрочно лечение с ламотригин. Механизмът, по който ламотригин повлиява костния метаболизъм, не е известен.</w:t>
      </w:r>
    </w:p>
    <w:p w14:paraId="29E5A2D2" w14:textId="77777777" w:rsidR="00A9735A" w:rsidRPr="00A9735A" w:rsidRDefault="00A9735A" w:rsidP="00A9735A">
      <w:pPr>
        <w:spacing w:line="240" w:lineRule="auto"/>
        <w:rPr>
          <w:rFonts w:eastAsia="Times New Roman" w:cs="Arial"/>
          <w:color w:val="000000"/>
          <w:u w:val="single"/>
          <w:lang w:eastAsia="bg-BG"/>
        </w:rPr>
      </w:pPr>
    </w:p>
    <w:p w14:paraId="416CDAAF" w14:textId="3EDC70F1" w:rsidR="00A9735A" w:rsidRPr="00A9735A" w:rsidRDefault="00A9735A" w:rsidP="00A9735A">
      <w:pPr>
        <w:spacing w:line="240" w:lineRule="auto"/>
        <w:rPr>
          <w:rFonts w:eastAsia="Times New Roman" w:cs="Arial"/>
        </w:rPr>
      </w:pPr>
      <w:r w:rsidRPr="00A9735A">
        <w:rPr>
          <w:rFonts w:eastAsia="Times New Roman" w:cs="Arial"/>
          <w:color w:val="000000"/>
          <w:u w:val="single"/>
          <w:lang w:eastAsia="bg-BG"/>
        </w:rPr>
        <w:t>Съобщаване на подозирани нежелани реакции</w:t>
      </w:r>
    </w:p>
    <w:p w14:paraId="080E4BB6"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за съобщават всяка подозирана нежелана реакция чрез националната система за съобщаване:</w:t>
      </w:r>
    </w:p>
    <w:p w14:paraId="277B3A51"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Изпълнителна агенция по лекарствата ул. „Дамян Груев” № 8 1303 София</w:t>
      </w:r>
    </w:p>
    <w:p w14:paraId="3D790DEB" w14:textId="77777777" w:rsidR="00A9735A" w:rsidRPr="00A9735A" w:rsidRDefault="00A9735A" w:rsidP="00A9735A">
      <w:pPr>
        <w:spacing w:line="240" w:lineRule="auto"/>
        <w:rPr>
          <w:rFonts w:eastAsia="Times New Roman" w:cs="Arial"/>
        </w:rPr>
      </w:pPr>
      <w:r w:rsidRPr="00A9735A">
        <w:rPr>
          <w:rFonts w:eastAsia="Times New Roman" w:cs="Arial"/>
          <w:color w:val="000000"/>
          <w:lang w:eastAsia="bg-BG"/>
        </w:rPr>
        <w:t xml:space="preserve">Тел.:+359 28903417 уебсайт: </w:t>
      </w:r>
      <w:hyperlink r:id="rId5" w:history="1">
        <w:r w:rsidRPr="00A9735A">
          <w:rPr>
            <w:rFonts w:eastAsia="Times New Roman" w:cs="Arial"/>
            <w:color w:val="000000"/>
            <w:u w:val="single"/>
            <w:lang w:val="en-US"/>
          </w:rPr>
          <w:t>www</w:t>
        </w:r>
        <w:r w:rsidRPr="00A9735A">
          <w:rPr>
            <w:rFonts w:eastAsia="Times New Roman" w:cs="Arial"/>
            <w:color w:val="000000"/>
            <w:u w:val="single"/>
            <w:lang w:val="ru-RU"/>
          </w:rPr>
          <w:t>.</w:t>
        </w:r>
        <w:r w:rsidRPr="00A9735A">
          <w:rPr>
            <w:rFonts w:eastAsia="Times New Roman" w:cs="Arial"/>
            <w:color w:val="000000"/>
            <w:u w:val="single"/>
            <w:lang w:val="en-US"/>
          </w:rPr>
          <w:t>bda</w:t>
        </w:r>
        <w:r w:rsidRPr="00A9735A">
          <w:rPr>
            <w:rFonts w:eastAsia="Times New Roman" w:cs="Arial"/>
            <w:color w:val="000000"/>
            <w:u w:val="single"/>
            <w:lang w:val="ru-RU"/>
          </w:rPr>
          <w:t>.</w:t>
        </w:r>
        <w:r w:rsidRPr="00A9735A">
          <w:rPr>
            <w:rFonts w:eastAsia="Times New Roman" w:cs="Arial"/>
            <w:color w:val="000000"/>
            <w:u w:val="single"/>
            <w:lang w:val="en-US"/>
          </w:rPr>
          <w:t>bg</w:t>
        </w:r>
      </w:hyperlink>
    </w:p>
    <w:p w14:paraId="40BEBC36" w14:textId="3ABD3A6B" w:rsidR="00A9735A" w:rsidRPr="00A9735A" w:rsidRDefault="00A9735A" w:rsidP="00A9735A"/>
    <w:p w14:paraId="5A87DBA3" w14:textId="377F6B71" w:rsidR="007122AD" w:rsidRDefault="002C50EE" w:rsidP="00936AD0">
      <w:pPr>
        <w:pStyle w:val="Heading2"/>
      </w:pPr>
      <w:r>
        <w:t>4.9. Предозиране</w:t>
      </w:r>
    </w:p>
    <w:p w14:paraId="2E499755" w14:textId="583F6414" w:rsidR="00A9735A" w:rsidRDefault="00A9735A" w:rsidP="00A9735A"/>
    <w:p w14:paraId="12EF490E" w14:textId="1FD54000" w:rsidR="00A9735A" w:rsidRPr="00B2304D" w:rsidRDefault="00A9735A" w:rsidP="00B2304D">
      <w:pPr>
        <w:pStyle w:val="Heading3"/>
        <w:rPr>
          <w:u w:val="single"/>
        </w:rPr>
      </w:pPr>
      <w:r w:rsidRPr="00B2304D">
        <w:rPr>
          <w:u w:val="single"/>
        </w:rPr>
        <w:t>Симптоми и признаци</w:t>
      </w:r>
    </w:p>
    <w:p w14:paraId="5D86C34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Съобщавани са случайни предозирания с дози 10 до 20 пъти по-високи от терапевтичната, включително смъртни случаи. В резултат на предозирането се установяват симптоми, включващи нистагьм, атаксия, промени в съзнанието, генерализирани тонично-клонични гърчове </w:t>
      </w:r>
      <w:r w:rsidRPr="00B2304D">
        <w:rPr>
          <w:rFonts w:eastAsia="Times New Roman" w:cs="Arial"/>
          <w:color w:val="000000"/>
          <w:szCs w:val="20"/>
          <w:lang w:val="ru-RU"/>
        </w:rPr>
        <w:t>(</w:t>
      </w:r>
      <w:r w:rsidRPr="00B2304D">
        <w:rPr>
          <w:rFonts w:eastAsia="Times New Roman" w:cs="Arial"/>
          <w:color w:val="000000"/>
          <w:szCs w:val="20"/>
          <w:lang w:val="en-US"/>
        </w:rPr>
        <w:t>grand</w:t>
      </w:r>
      <w:r w:rsidRPr="00B2304D">
        <w:rPr>
          <w:rFonts w:eastAsia="Times New Roman" w:cs="Arial"/>
          <w:color w:val="000000"/>
          <w:szCs w:val="20"/>
          <w:lang w:val="ru-RU"/>
        </w:rPr>
        <w:t xml:space="preserve"> </w:t>
      </w:r>
      <w:r w:rsidRPr="00B2304D">
        <w:rPr>
          <w:rFonts w:eastAsia="Times New Roman" w:cs="Arial"/>
          <w:color w:val="000000"/>
          <w:szCs w:val="20"/>
          <w:lang w:val="en-US"/>
        </w:rPr>
        <w:t>mal</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и кома. Разширяване на </w:t>
      </w:r>
      <w:r w:rsidRPr="00B2304D">
        <w:rPr>
          <w:rFonts w:eastAsia="Times New Roman" w:cs="Arial"/>
          <w:color w:val="000000"/>
          <w:szCs w:val="20"/>
          <w:lang w:val="en-US"/>
        </w:rPr>
        <w:t>QRS</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(забавяне на интравентрикуларната проводимост) също е наблюдавано при пациенти с предозиране. Разширяването на </w:t>
      </w:r>
      <w:r w:rsidRPr="00B2304D">
        <w:rPr>
          <w:rFonts w:eastAsia="Times New Roman" w:cs="Arial"/>
          <w:color w:val="000000"/>
          <w:szCs w:val="20"/>
          <w:lang w:val="en-US"/>
        </w:rPr>
        <w:t>QRS</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продължителността до повече от 100 </w:t>
      </w:r>
      <w:r w:rsidRPr="00B2304D">
        <w:rPr>
          <w:rFonts w:eastAsia="Times New Roman" w:cs="Arial"/>
          <w:color w:val="000000"/>
          <w:szCs w:val="20"/>
          <w:lang w:val="en-US"/>
        </w:rPr>
        <w:t>msec</w:t>
      </w:r>
      <w:r w:rsidRPr="00B2304D">
        <w:rPr>
          <w:rFonts w:eastAsia="Times New Roman" w:cs="Arial"/>
          <w:color w:val="000000"/>
          <w:szCs w:val="20"/>
          <w:lang w:val="ru-RU"/>
        </w:rPr>
        <w:t xml:space="preserve"> </w:t>
      </w:r>
      <w:r w:rsidRPr="00B2304D">
        <w:rPr>
          <w:rFonts w:eastAsia="Times New Roman" w:cs="Arial"/>
          <w:color w:val="000000"/>
          <w:szCs w:val="20"/>
          <w:lang w:eastAsia="bg-BG"/>
        </w:rPr>
        <w:t>може да се свърже с по-тежка токсичност.</w:t>
      </w:r>
    </w:p>
    <w:p w14:paraId="0B3E3205" w14:textId="77777777" w:rsidR="00B2304D" w:rsidRPr="00B2304D" w:rsidRDefault="00B2304D" w:rsidP="00B2304D">
      <w:pPr>
        <w:spacing w:line="240" w:lineRule="auto"/>
        <w:rPr>
          <w:rFonts w:eastAsia="Times New Roman" w:cs="Arial"/>
          <w:color w:val="000000"/>
          <w:szCs w:val="20"/>
          <w:u w:val="single"/>
          <w:lang w:eastAsia="bg-BG"/>
        </w:rPr>
      </w:pPr>
    </w:p>
    <w:p w14:paraId="15FF6A3F" w14:textId="26F11EFA" w:rsidR="00B2304D" w:rsidRPr="00B2304D" w:rsidRDefault="00B2304D" w:rsidP="00B2304D">
      <w:pPr>
        <w:pStyle w:val="Heading3"/>
        <w:rPr>
          <w:rFonts w:eastAsia="Times New Roman"/>
          <w:sz w:val="28"/>
          <w:u w:val="single"/>
        </w:rPr>
      </w:pPr>
      <w:r w:rsidRPr="00B2304D">
        <w:rPr>
          <w:rFonts w:eastAsia="Times New Roman"/>
          <w:u w:val="single"/>
          <w:lang w:eastAsia="bg-BG"/>
        </w:rPr>
        <w:t>Лечение</w:t>
      </w:r>
    </w:p>
    <w:p w14:paraId="5304FEDD" w14:textId="029B9D60" w:rsidR="00A9735A" w:rsidRPr="00B2304D" w:rsidRDefault="00B2304D" w:rsidP="00B2304D">
      <w:pPr>
        <w:rPr>
          <w:rFonts w:cs="Arial"/>
          <w:sz w:val="24"/>
        </w:rPr>
      </w:pPr>
      <w:r w:rsidRPr="00B2304D">
        <w:rPr>
          <w:rFonts w:eastAsia="Times New Roman" w:cs="Arial"/>
          <w:color w:val="000000"/>
          <w:szCs w:val="20"/>
          <w:lang w:eastAsia="bg-BG"/>
        </w:rPr>
        <w:t>В случай на предозиране, пациентът трябва да бъде приет в болница и да получи поддържащо лечение. При необходимост трябва да бъде направено лечение, насочено към намаляване на резорбцията (активен въглен). По-нататъшното поведение трябва да бъде както е клинично показано. Няма опит с хемодиализата в лечението на предозиране. При шест доброволци с бъбречна недостатъчност, 20% от ламотригин се отстранява от организма по време на 4-часова хемодиализна сесия (вижте точка 5.2).</w:t>
      </w:r>
    </w:p>
    <w:p w14:paraId="02081B24" w14:textId="1F46E296" w:rsidR="00395555" w:rsidRPr="00395555" w:rsidRDefault="002C50EE" w:rsidP="008A6AF2">
      <w:pPr>
        <w:pStyle w:val="Heading1"/>
      </w:pPr>
      <w:r>
        <w:t>5. ФАРМАКОЛОГИЧНИ СВОЙСТВА</w:t>
      </w:r>
    </w:p>
    <w:p w14:paraId="7DE36AC8" w14:textId="6C11A216" w:rsidR="00B6672E" w:rsidRDefault="002C50EE" w:rsidP="00936AD0">
      <w:pPr>
        <w:pStyle w:val="Heading2"/>
      </w:pPr>
      <w:r>
        <w:t>5.1. Фармакодинамични свойства</w:t>
      </w:r>
    </w:p>
    <w:p w14:paraId="7B840FA3" w14:textId="1458E4EA" w:rsidR="00B2304D" w:rsidRDefault="00B2304D" w:rsidP="00B2304D"/>
    <w:p w14:paraId="7C4B172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Фармакотерапевтична група: други антиепилептици. АТС код: </w:t>
      </w:r>
      <w:r w:rsidRPr="00B2304D">
        <w:rPr>
          <w:rFonts w:eastAsia="Times New Roman" w:cs="Arial"/>
          <w:color w:val="000000"/>
          <w:szCs w:val="20"/>
          <w:lang w:val="en-US"/>
        </w:rPr>
        <w:t>N</w:t>
      </w:r>
      <w:r w:rsidRPr="00B2304D">
        <w:rPr>
          <w:rFonts w:eastAsia="Times New Roman" w:cs="Arial"/>
          <w:color w:val="000000"/>
          <w:szCs w:val="20"/>
          <w:lang w:val="ru-RU"/>
        </w:rPr>
        <w:t>03</w:t>
      </w:r>
      <w:r w:rsidRPr="00B2304D">
        <w:rPr>
          <w:rFonts w:eastAsia="Times New Roman" w:cs="Arial"/>
          <w:color w:val="000000"/>
          <w:szCs w:val="20"/>
          <w:lang w:val="en-US"/>
        </w:rPr>
        <w:t>AX</w:t>
      </w:r>
      <w:r w:rsidRPr="00B2304D">
        <w:rPr>
          <w:rFonts w:eastAsia="Times New Roman" w:cs="Arial"/>
          <w:color w:val="000000"/>
          <w:szCs w:val="20"/>
          <w:lang w:val="ru-RU"/>
        </w:rPr>
        <w:t>09.</w:t>
      </w:r>
    </w:p>
    <w:p w14:paraId="0921A2FA" w14:textId="77777777" w:rsidR="00B2304D" w:rsidRDefault="00B2304D" w:rsidP="00B2304D">
      <w:pPr>
        <w:spacing w:line="240" w:lineRule="auto"/>
        <w:rPr>
          <w:rFonts w:eastAsia="Times New Roman" w:cs="Arial"/>
          <w:color w:val="000000"/>
          <w:szCs w:val="20"/>
          <w:u w:val="single"/>
          <w:lang w:eastAsia="bg-BG"/>
        </w:rPr>
      </w:pPr>
    </w:p>
    <w:p w14:paraId="67C56ABC" w14:textId="1F5E8BB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Механизъм иа действие</w:t>
      </w:r>
    </w:p>
    <w:p w14:paraId="1B9C8BE3"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Резултатите от фармакологичните проучвания показват, че ламотригин е употреба- и волтаж-зависим блокер на волтаж-активираните натриеви канали. Той инхибира продължителното, повтарящо се възбуждение на невроните и потиска освобождаването на глутамат (невротрансмитер, който играе ключова роля в генерирането на епилептичните гърчове). Тези ефекти вероятно допринасят за свойствата на ламотригин като антиконвулсант.</w:t>
      </w:r>
    </w:p>
    <w:p w14:paraId="156DD1D6" w14:textId="77777777" w:rsidR="00B2304D" w:rsidRPr="00B2304D" w:rsidRDefault="00B2304D" w:rsidP="00B2304D">
      <w:pPr>
        <w:spacing w:line="240" w:lineRule="auto"/>
        <w:rPr>
          <w:rFonts w:eastAsia="Times New Roman" w:cs="Arial"/>
          <w:color w:val="000000"/>
          <w:szCs w:val="20"/>
          <w:lang w:eastAsia="bg-BG"/>
        </w:rPr>
      </w:pPr>
    </w:p>
    <w:p w14:paraId="5FAF31EB" w14:textId="16F022A5"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lastRenderedPageBreak/>
        <w:t>За разлика от това механизмите, по които ламотригин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75509DAF" w14:textId="77777777" w:rsidR="00B2304D" w:rsidRPr="00B2304D" w:rsidRDefault="00B2304D" w:rsidP="00B2304D">
      <w:pPr>
        <w:spacing w:line="240" w:lineRule="auto"/>
        <w:rPr>
          <w:rFonts w:eastAsia="Times New Roman" w:cs="Arial"/>
          <w:color w:val="000000"/>
          <w:szCs w:val="20"/>
          <w:u w:val="single"/>
          <w:lang w:eastAsia="bg-BG"/>
        </w:rPr>
      </w:pPr>
    </w:p>
    <w:p w14:paraId="5F1AF5E3" w14:textId="3117B39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Фармакодинамични ефекти</w:t>
      </w:r>
    </w:p>
    <w:p w14:paraId="2857E66C"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изследвания за оценка на ефекта на лекарствата върху централната нервна система установените ефекти на прилагане на 240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ламотригин при здрави доброволци са били подобни на тези за плацебо. От друга страна след прилагане на 1000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фенитоин или 10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субективните ефекти на седиране.</w:t>
      </w:r>
    </w:p>
    <w:p w14:paraId="0E651A6C" w14:textId="77777777" w:rsidR="00B2304D" w:rsidRPr="00B2304D" w:rsidRDefault="00B2304D" w:rsidP="00B2304D">
      <w:pPr>
        <w:spacing w:line="240" w:lineRule="auto"/>
        <w:rPr>
          <w:rFonts w:eastAsia="Times New Roman" w:cs="Arial"/>
          <w:color w:val="000000"/>
          <w:szCs w:val="20"/>
          <w:lang w:eastAsia="bg-BG"/>
        </w:rPr>
      </w:pPr>
    </w:p>
    <w:p w14:paraId="4F2F98B9" w14:textId="30BE44E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друго изпитване след перорален прием на еднократна доза от 600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ламотригин в дози от 150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до 300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установените ефекти са подобни на тези при прием на плацебо.</w:t>
      </w:r>
    </w:p>
    <w:p w14:paraId="16B4310F" w14:textId="77777777" w:rsidR="00B2304D" w:rsidRPr="00B2304D" w:rsidRDefault="00B2304D" w:rsidP="00B2304D">
      <w:pPr>
        <w:spacing w:line="240" w:lineRule="auto"/>
        <w:rPr>
          <w:rFonts w:eastAsia="Times New Roman" w:cs="Arial"/>
          <w:color w:val="000000"/>
          <w:szCs w:val="20"/>
          <w:u w:val="single"/>
          <w:lang w:eastAsia="bg-BG"/>
        </w:rPr>
      </w:pPr>
    </w:p>
    <w:p w14:paraId="7002C2BA" w14:textId="57B35AE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Клинична ефикасност и безопасност при деца на възраст от 1 до 24 месеца</w:t>
      </w:r>
    </w:p>
    <w:p w14:paraId="42929215"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 xml:space="preserve">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 плацебо контролирано изпитване до отпадане. Лечението е инициирано при 177 лица по схема за титриране на дозата, подобна на тази при деца на възраст от 2 до 12 години. Ламотригин таблетки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са най-малкото налично количество на активното вещество в 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през ден, когато изчислената доза е по-малка от 2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В края на 2-рата седмица от титрирането са измерени серумните нива и последващата доза е намалена или не е повишавана, ако концентрацията надвишава 0,41 μ</w:t>
      </w:r>
      <w:r w:rsidRPr="00B2304D">
        <w:rPr>
          <w:rFonts w:eastAsia="Times New Roman" w:cs="Arial"/>
          <w:color w:val="000000"/>
          <w:szCs w:val="20"/>
          <w:lang w:val="en-US"/>
        </w:rPr>
        <w:t>g</w:t>
      </w:r>
      <w:r w:rsidRPr="00B2304D">
        <w:rPr>
          <w:rFonts w:eastAsia="Times New Roman" w:cs="Arial"/>
          <w:color w:val="000000"/>
          <w:szCs w:val="20"/>
          <w:lang w:val="ru-RU"/>
        </w:rPr>
        <w:t>/</w:t>
      </w:r>
      <w:r w:rsidRPr="00B2304D">
        <w:rPr>
          <w:rFonts w:eastAsia="Times New Roman" w:cs="Arial"/>
          <w:color w:val="000000"/>
          <w:szCs w:val="20"/>
          <w:lang w:val="en-US"/>
        </w:rPr>
        <w:t>ml</w:t>
      </w:r>
      <w:r w:rsidRPr="00B2304D">
        <w:rPr>
          <w:rFonts w:eastAsia="Times New Roman" w:cs="Arial"/>
          <w:color w:val="000000"/>
          <w:szCs w:val="20"/>
          <w:lang w:val="ru-RU"/>
        </w:rPr>
        <w:t xml:space="preserve">, </w:t>
      </w:r>
      <w:r w:rsidRPr="00B2304D">
        <w:rPr>
          <w:rFonts w:eastAsia="Times New Roman" w:cs="Arial"/>
          <w:color w:val="000000"/>
          <w:szCs w:val="2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Тридесет и осем респондери (&gt;40% намаляване на честотата на припадъците) са рандомизирани на плацебо или да продължат на ламотригин. Процентът на лицата, при които лечението е неуспешно е 84% (16/19 души) при плацебо рамото и 58% (11/19 лица) при рамото на ламотригин. Разликата не е статистически значима: 26,3%, С</w:t>
      </w:r>
      <w:r w:rsidRPr="00B2304D">
        <w:rPr>
          <w:rFonts w:eastAsia="Times New Roman" w:cs="Arial"/>
          <w:color w:val="000000"/>
          <w:szCs w:val="20"/>
          <w:lang w:val="en-US"/>
        </w:rPr>
        <w:t>I</w:t>
      </w:r>
      <w:r w:rsidRPr="00B2304D">
        <w:rPr>
          <w:rFonts w:eastAsia="Times New Roman" w:cs="Arial"/>
          <w:color w:val="000000"/>
          <w:szCs w:val="20"/>
          <w:lang w:eastAsia="bg-BG"/>
        </w:rPr>
        <w:t>95%- 2,6%&lt;&gt;50,2%, р=0,07.</w:t>
      </w:r>
    </w:p>
    <w:p w14:paraId="3C210CF8" w14:textId="77777777" w:rsidR="00B2304D" w:rsidRPr="00B2304D" w:rsidRDefault="00B2304D" w:rsidP="00B2304D">
      <w:pPr>
        <w:spacing w:line="240" w:lineRule="auto"/>
        <w:rPr>
          <w:rFonts w:eastAsia="Times New Roman" w:cs="Arial"/>
          <w:color w:val="000000"/>
          <w:szCs w:val="20"/>
          <w:lang w:eastAsia="bg-BG"/>
        </w:rPr>
      </w:pPr>
    </w:p>
    <w:p w14:paraId="0BFAFD7C" w14:textId="57ADA85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Общо 256 лица на възраст от 1 до 24 месеца са с експозиция на ламотригин в дозов интервал от 1 до 15 </w:t>
      </w:r>
      <w:r w:rsidRPr="00B2304D">
        <w:rPr>
          <w:rFonts w:eastAsia="Times New Roman" w:cs="Arial"/>
          <w:color w:val="000000"/>
          <w:szCs w:val="20"/>
          <w:lang w:val="en-US"/>
        </w:rPr>
        <w:t>mg</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за до 72 седмици. Профилът на безопасност на ламотригин при деца на възраст от 1 месец до 2 години е подобен на този при по-големи деца, с изключение на това, че клинично значимо влошаване на припадъцте (&gt;=50%) е докладвано по-често при деца на възраст под 2 години (26%) в сравнение с по-големите деца (14%).</w:t>
      </w:r>
    </w:p>
    <w:p w14:paraId="7693DCE7" w14:textId="77777777" w:rsidR="00B2304D" w:rsidRPr="00B2304D" w:rsidRDefault="00B2304D" w:rsidP="00B2304D">
      <w:pPr>
        <w:spacing w:line="240" w:lineRule="auto"/>
        <w:rPr>
          <w:rFonts w:eastAsia="Times New Roman" w:cs="Arial"/>
          <w:color w:val="000000"/>
          <w:szCs w:val="20"/>
          <w:u w:val="single"/>
          <w:lang w:eastAsia="bg-BG"/>
        </w:rPr>
      </w:pPr>
    </w:p>
    <w:p w14:paraId="36DB26F5" w14:textId="5AFB525F"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Клинична ефикасност и безопасност при синдром на </w:t>
      </w:r>
      <w:r w:rsidRPr="00B2304D">
        <w:rPr>
          <w:rFonts w:eastAsia="Times New Roman" w:cs="Arial"/>
          <w:color w:val="000000"/>
          <w:szCs w:val="20"/>
          <w:u w:val="single"/>
          <w:lang w:val="en-US"/>
        </w:rPr>
        <w:t>Lennox</w:t>
      </w:r>
      <w:r w:rsidRPr="00B2304D">
        <w:rPr>
          <w:rFonts w:eastAsia="Times New Roman" w:cs="Arial"/>
          <w:color w:val="000000"/>
          <w:szCs w:val="20"/>
          <w:u w:val="single"/>
          <w:lang w:val="ru-RU"/>
        </w:rPr>
        <w:t>-</w:t>
      </w:r>
      <w:r w:rsidRPr="00B2304D">
        <w:rPr>
          <w:rFonts w:eastAsia="Times New Roman" w:cs="Arial"/>
          <w:color w:val="000000"/>
          <w:szCs w:val="20"/>
          <w:u w:val="single"/>
          <w:lang w:val="en-US"/>
        </w:rPr>
        <w:t>Gastaut</w:t>
      </w:r>
    </w:p>
    <w:p w14:paraId="10726597"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Няма данни за монотерапия при припадъци, свързани със синдрома на </w:t>
      </w:r>
      <w:r w:rsidRPr="00B2304D">
        <w:rPr>
          <w:rFonts w:eastAsia="Times New Roman" w:cs="Arial"/>
          <w:color w:val="000000"/>
          <w:szCs w:val="20"/>
          <w:lang w:val="en-US"/>
        </w:rPr>
        <w:t>Lennox</w:t>
      </w:r>
      <w:r w:rsidRPr="00B2304D">
        <w:rPr>
          <w:rFonts w:eastAsia="Times New Roman" w:cs="Arial"/>
          <w:color w:val="000000"/>
          <w:szCs w:val="20"/>
          <w:lang w:val="ru-RU"/>
        </w:rPr>
        <w:t>-</w:t>
      </w:r>
      <w:r w:rsidRPr="00B2304D">
        <w:rPr>
          <w:rFonts w:eastAsia="Times New Roman" w:cs="Arial"/>
          <w:color w:val="000000"/>
          <w:szCs w:val="20"/>
          <w:lang w:val="en-US"/>
        </w:rPr>
        <w:t>Gastaut</w:t>
      </w:r>
      <w:r w:rsidRPr="00B2304D">
        <w:rPr>
          <w:rFonts w:eastAsia="Times New Roman" w:cs="Arial"/>
          <w:color w:val="000000"/>
          <w:szCs w:val="20"/>
          <w:lang w:val="ru-RU"/>
        </w:rPr>
        <w:t>.</w:t>
      </w:r>
    </w:p>
    <w:p w14:paraId="71111E91" w14:textId="77777777" w:rsidR="00B2304D" w:rsidRPr="00B2304D" w:rsidRDefault="00B2304D" w:rsidP="00B2304D">
      <w:pPr>
        <w:spacing w:line="240" w:lineRule="auto"/>
        <w:rPr>
          <w:rFonts w:eastAsia="Times New Roman" w:cs="Arial"/>
          <w:color w:val="000000"/>
          <w:szCs w:val="20"/>
          <w:u w:val="single"/>
          <w:lang w:eastAsia="bg-BG"/>
        </w:rPr>
      </w:pPr>
    </w:p>
    <w:p w14:paraId="0FB00A81" w14:textId="218E745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Клинична ефикасност при превенция на епизоди на промяна на настроението при пациенти с биполярно разстройство</w:t>
      </w:r>
    </w:p>
    <w:p w14:paraId="6F8FB6A0"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Две изпитвания оценяват ефикасността на ламотригин при превенция на епизоди на промяна на настроението при пациенти с биполярно I разстройство.</w:t>
      </w:r>
    </w:p>
    <w:p w14:paraId="65ABFB59" w14:textId="77777777" w:rsidR="00B2304D" w:rsidRPr="00B2304D" w:rsidRDefault="00B2304D" w:rsidP="00B2304D">
      <w:pPr>
        <w:spacing w:line="240" w:lineRule="auto"/>
        <w:rPr>
          <w:rFonts w:eastAsia="Times New Roman" w:cs="Arial"/>
          <w:color w:val="000000"/>
          <w:szCs w:val="20"/>
          <w:lang w:eastAsia="bg-BG"/>
        </w:rPr>
      </w:pPr>
      <w:r w:rsidRPr="00B2304D">
        <w:rPr>
          <w:rFonts w:eastAsia="Times New Roman" w:cs="Arial"/>
          <w:color w:val="000000"/>
          <w:szCs w:val="20"/>
          <w:lang w:eastAsia="bg-BG"/>
        </w:rPr>
        <w:lastRenderedPageBreak/>
        <w:t xml:space="preserve">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е многоцентрово, двойносляпо, двойно заслепено, плацебо и литий 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I разстройство, които наскоро или в момента на изпитването са били в голям депресивен епизод. След стабилизиране с монотерапия с ламотригин или с комбинирана терапия, пациентите са били рандомизирани в една от петте групи на лечение: ламотригин (50, 200,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дневно), литий (серумни нива от 0,8 до 1,1 </w:t>
      </w:r>
      <w:r w:rsidRPr="00B2304D">
        <w:rPr>
          <w:rFonts w:eastAsia="Times New Roman" w:cs="Arial"/>
          <w:color w:val="000000"/>
          <w:szCs w:val="20"/>
          <w:lang w:val="en-US"/>
        </w:rPr>
        <w:t>mMol</w:t>
      </w:r>
      <w:r w:rsidRPr="00B2304D">
        <w:rPr>
          <w:rFonts w:eastAsia="Times New Roman" w:cs="Arial"/>
          <w:color w:val="000000"/>
          <w:szCs w:val="20"/>
          <w:lang w:val="ru-RU"/>
        </w:rPr>
        <w:t xml:space="preserve">/1) </w:t>
      </w:r>
      <w:r w:rsidRPr="00B2304D">
        <w:rPr>
          <w:rFonts w:eastAsia="Times New Roman" w:cs="Arial"/>
          <w:color w:val="000000"/>
          <w:szCs w:val="20"/>
          <w:lang w:eastAsia="bg-BG"/>
        </w:rPr>
        <w:t xml:space="preserve">или плацебо за максимум 76 седмици (18 месеца). Първичната крайна точка е била „Време до намеса при епизод на промяна на настроението </w:t>
      </w:r>
      <w:r w:rsidRPr="00B2304D">
        <w:rPr>
          <w:rFonts w:eastAsia="Times New Roman" w:cs="Arial"/>
          <w:color w:val="000000"/>
          <w:szCs w:val="20"/>
          <w:lang w:val="ru-RU"/>
        </w:rPr>
        <w:t>(</w:t>
      </w:r>
      <w:r w:rsidRPr="00B2304D">
        <w:rPr>
          <w:rFonts w:eastAsia="Times New Roman" w:cs="Arial"/>
          <w:color w:val="000000"/>
          <w:szCs w:val="20"/>
          <w:lang w:val="en-US"/>
        </w:rPr>
        <w:t>TIME</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където намесите са допълнителна лекарствена терапия или електроконвулсивна терапия (ЕКТ). </w:t>
      </w:r>
    </w:p>
    <w:p w14:paraId="58313110" w14:textId="77777777" w:rsidR="00B2304D" w:rsidRPr="00B2304D" w:rsidRDefault="00B2304D" w:rsidP="00B2304D">
      <w:pPr>
        <w:spacing w:line="240" w:lineRule="auto"/>
        <w:rPr>
          <w:rFonts w:eastAsia="Times New Roman" w:cs="Arial"/>
          <w:color w:val="000000"/>
          <w:szCs w:val="20"/>
          <w:lang w:eastAsia="bg-BG"/>
        </w:rPr>
      </w:pPr>
    </w:p>
    <w:p w14:paraId="775E0811" w14:textId="5714E8BB"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2006 </w:t>
      </w:r>
      <w:r w:rsidRPr="00B2304D">
        <w:rPr>
          <w:rFonts w:eastAsia="Times New Roman" w:cs="Arial"/>
          <w:color w:val="000000"/>
          <w:szCs w:val="20"/>
          <w:lang w:eastAsia="bg-BG"/>
        </w:rPr>
        <w:t xml:space="preserve">е било с подобен дизайн като проучването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но се различава от </w:t>
      </w:r>
      <w:r w:rsidRPr="00B2304D">
        <w:rPr>
          <w:rFonts w:eastAsia="Times New Roman" w:cs="Arial"/>
          <w:color w:val="000000"/>
          <w:szCs w:val="20"/>
          <w:lang w:val="en-US"/>
        </w:rPr>
        <w:t>SCAB</w:t>
      </w:r>
      <w:r w:rsidRPr="00B2304D">
        <w:rPr>
          <w:rFonts w:eastAsia="Times New Roman" w:cs="Arial"/>
          <w:color w:val="000000"/>
          <w:szCs w:val="20"/>
          <w:lang w:val="ru-RU"/>
        </w:rPr>
        <w:t xml:space="preserve">2003 </w:t>
      </w:r>
      <w:r w:rsidRPr="00B2304D">
        <w:rPr>
          <w:rFonts w:eastAsia="Times New Roman" w:cs="Arial"/>
          <w:color w:val="000000"/>
          <w:szCs w:val="20"/>
          <w:lang w:eastAsia="bg-BG"/>
        </w:rPr>
        <w:t xml:space="preserve">по оценката на флексибилна доза ламотригин (100 до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и включва пациенти с биполярно I разстройство, които са имали наскоро или в момента са в маниен епизод. Резултатите са представени в Таблица 7.</w:t>
      </w:r>
    </w:p>
    <w:p w14:paraId="6C215DB5" w14:textId="77777777" w:rsidR="00B2304D" w:rsidRPr="00B2304D" w:rsidRDefault="00B2304D" w:rsidP="00B2304D">
      <w:pPr>
        <w:spacing w:line="240" w:lineRule="auto"/>
        <w:rPr>
          <w:rFonts w:eastAsia="Times New Roman" w:cs="Arial"/>
          <w:i/>
          <w:iCs/>
          <w:color w:val="000000"/>
          <w:szCs w:val="20"/>
          <w:lang w:eastAsia="bg-BG"/>
        </w:rPr>
      </w:pPr>
    </w:p>
    <w:p w14:paraId="6D685C66" w14:textId="11D67A6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lang w:eastAsia="bg-BG"/>
        </w:rPr>
        <w:t>Таблица 7: Резюме на резултатите от проучванията, изследващи ефикасността на ламотригин при превенция на епизоди на промяна на настроението при пациенти с биполярно I разстройство</w:t>
      </w:r>
    </w:p>
    <w:p w14:paraId="34F54B63" w14:textId="19CAC2B3" w:rsidR="00B2304D" w:rsidRPr="00B2304D" w:rsidRDefault="00B2304D" w:rsidP="00B2304D">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60"/>
        <w:gridCol w:w="1427"/>
        <w:gridCol w:w="1081"/>
        <w:gridCol w:w="1237"/>
        <w:gridCol w:w="1427"/>
        <w:gridCol w:w="1081"/>
        <w:gridCol w:w="1237"/>
      </w:tblGrid>
      <w:tr w:rsidR="00B2304D" w14:paraId="0F8E5D22" w14:textId="77777777" w:rsidTr="00B50FEF">
        <w:tc>
          <w:tcPr>
            <w:tcW w:w="9576" w:type="dxa"/>
            <w:gridSpan w:val="7"/>
          </w:tcPr>
          <w:p w14:paraId="44085AC0" w14:textId="7D6DD26D" w:rsidR="00B2304D" w:rsidRPr="00B2304D" w:rsidRDefault="00B2304D" w:rsidP="00B2304D">
            <w:pPr>
              <w:jc w:val="center"/>
              <w:rPr>
                <w:rFonts w:cs="Arial"/>
              </w:rPr>
            </w:pPr>
            <w:r w:rsidRPr="00B2304D">
              <w:rPr>
                <w:rFonts w:eastAsia="Times New Roman" w:cs="Arial"/>
                <w:b/>
                <w:bCs/>
                <w:color w:val="000000"/>
                <w:lang w:eastAsia="bg-BG"/>
              </w:rPr>
              <w:t>„Дял“ на пациентите без събтие на седмица 76</w:t>
            </w:r>
          </w:p>
        </w:tc>
      </w:tr>
      <w:tr w:rsidR="00B2304D" w14:paraId="19C4B942" w14:textId="77777777" w:rsidTr="00425646">
        <w:tc>
          <w:tcPr>
            <w:tcW w:w="1368" w:type="dxa"/>
          </w:tcPr>
          <w:p w14:paraId="63978B9C" w14:textId="77777777" w:rsidR="00B2304D" w:rsidRPr="00B2304D" w:rsidRDefault="00B2304D" w:rsidP="00B2304D">
            <w:pPr>
              <w:rPr>
                <w:rFonts w:cs="Arial"/>
              </w:rPr>
            </w:pPr>
          </w:p>
        </w:tc>
        <w:tc>
          <w:tcPr>
            <w:tcW w:w="4104" w:type="dxa"/>
            <w:gridSpan w:val="3"/>
          </w:tcPr>
          <w:p w14:paraId="397A3ACD" w14:textId="5351BF2A" w:rsidR="00B2304D" w:rsidRPr="00B2304D" w:rsidRDefault="00B2304D" w:rsidP="00B2304D">
            <w:pPr>
              <w:rPr>
                <w:rFonts w:cs="Arial"/>
              </w:rPr>
            </w:pPr>
            <w:r w:rsidRPr="00B2304D">
              <w:rPr>
                <w:rFonts w:cs="Arial"/>
                <w:b/>
                <w:bCs/>
              </w:rPr>
              <w:t xml:space="preserve">Проучване </w:t>
            </w:r>
            <w:r w:rsidRPr="00B2304D">
              <w:rPr>
                <w:rFonts w:cs="Arial"/>
                <w:b/>
                <w:bCs/>
                <w:lang w:val="en-US"/>
              </w:rPr>
              <w:t xml:space="preserve">SCAB2003 </w:t>
            </w:r>
            <w:r w:rsidRPr="00B2304D">
              <w:rPr>
                <w:rFonts w:cs="Arial"/>
                <w:b/>
                <w:bCs/>
              </w:rPr>
              <w:t>Биполярно</w:t>
            </w:r>
            <w:r w:rsidRPr="00B2304D">
              <w:rPr>
                <w:rFonts w:cs="Arial"/>
                <w:b/>
                <w:bCs/>
                <w:lang w:val="en-US"/>
              </w:rPr>
              <w:t xml:space="preserve"> </w:t>
            </w:r>
            <w:r w:rsidRPr="00B2304D">
              <w:rPr>
                <w:rFonts w:cs="Arial"/>
                <w:b/>
                <w:bCs/>
              </w:rPr>
              <w:t>I</w:t>
            </w:r>
          </w:p>
        </w:tc>
        <w:tc>
          <w:tcPr>
            <w:tcW w:w="4104" w:type="dxa"/>
            <w:gridSpan w:val="3"/>
          </w:tcPr>
          <w:p w14:paraId="2DB87DF4" w14:textId="021F95D0" w:rsidR="00B2304D" w:rsidRPr="00B2304D" w:rsidRDefault="00B2304D" w:rsidP="00B2304D">
            <w:pPr>
              <w:rPr>
                <w:rFonts w:cs="Arial"/>
              </w:rPr>
            </w:pPr>
            <w:r w:rsidRPr="00B2304D">
              <w:rPr>
                <w:rFonts w:cs="Arial"/>
                <w:b/>
                <w:bCs/>
              </w:rPr>
              <w:t xml:space="preserve">Проучване </w:t>
            </w:r>
            <w:r w:rsidRPr="00B2304D">
              <w:rPr>
                <w:rFonts w:cs="Arial"/>
                <w:b/>
                <w:bCs/>
                <w:lang w:val="en-US"/>
              </w:rPr>
              <w:t xml:space="preserve">SCAB2006 </w:t>
            </w:r>
            <w:r w:rsidRPr="00B2304D">
              <w:rPr>
                <w:rFonts w:cs="Arial"/>
                <w:b/>
                <w:bCs/>
              </w:rPr>
              <w:t xml:space="preserve">Биполярно </w:t>
            </w:r>
            <w:r w:rsidRPr="00B2304D">
              <w:rPr>
                <w:rFonts w:cs="Arial"/>
                <w:b/>
                <w:bCs/>
                <w:lang w:val="en-US"/>
              </w:rPr>
              <w:t>I</w:t>
            </w:r>
          </w:p>
        </w:tc>
      </w:tr>
      <w:tr w:rsidR="00B2304D" w14:paraId="530F8800" w14:textId="77777777" w:rsidTr="00B513DA">
        <w:tc>
          <w:tcPr>
            <w:tcW w:w="1368" w:type="dxa"/>
          </w:tcPr>
          <w:p w14:paraId="2B03D49F" w14:textId="10C30117" w:rsidR="00B2304D" w:rsidRPr="00B2304D" w:rsidRDefault="00B2304D" w:rsidP="00B2304D">
            <w:pPr>
              <w:rPr>
                <w:rFonts w:cs="Arial"/>
              </w:rPr>
            </w:pPr>
            <w:r w:rsidRPr="00B2304D">
              <w:rPr>
                <w:rFonts w:cs="Arial"/>
              </w:rPr>
              <w:t>Критерий за включване</w:t>
            </w:r>
          </w:p>
        </w:tc>
        <w:tc>
          <w:tcPr>
            <w:tcW w:w="4104" w:type="dxa"/>
            <w:gridSpan w:val="3"/>
          </w:tcPr>
          <w:p w14:paraId="0014FFF9" w14:textId="240D8F80" w:rsidR="00B2304D" w:rsidRPr="00B2304D" w:rsidRDefault="00B2304D" w:rsidP="00B2304D">
            <w:pPr>
              <w:rPr>
                <w:rFonts w:cs="Arial"/>
              </w:rPr>
            </w:pPr>
            <w:r w:rsidRPr="00B2304D">
              <w:rPr>
                <w:rFonts w:cs="Arial"/>
              </w:rPr>
              <w:t>Голям депресивен епизод</w:t>
            </w:r>
          </w:p>
        </w:tc>
        <w:tc>
          <w:tcPr>
            <w:tcW w:w="4104" w:type="dxa"/>
            <w:gridSpan w:val="3"/>
          </w:tcPr>
          <w:p w14:paraId="056A1E0D" w14:textId="3746D833" w:rsidR="00B2304D" w:rsidRPr="00B2304D" w:rsidRDefault="00B2304D" w:rsidP="00B2304D">
            <w:pPr>
              <w:rPr>
                <w:rFonts w:cs="Arial"/>
              </w:rPr>
            </w:pPr>
            <w:r w:rsidRPr="00B2304D">
              <w:rPr>
                <w:rFonts w:cs="Arial"/>
              </w:rPr>
              <w:t>Голям маниен епизод</w:t>
            </w:r>
          </w:p>
        </w:tc>
      </w:tr>
      <w:tr w:rsidR="00B2304D" w14:paraId="5821A2EB" w14:textId="77777777" w:rsidTr="00B2304D">
        <w:tc>
          <w:tcPr>
            <w:tcW w:w="1368" w:type="dxa"/>
          </w:tcPr>
          <w:p w14:paraId="15E15972" w14:textId="77777777" w:rsidR="00B2304D" w:rsidRPr="00B2304D" w:rsidRDefault="00B2304D" w:rsidP="00B2304D">
            <w:pPr>
              <w:rPr>
                <w:rFonts w:cs="Arial"/>
              </w:rPr>
            </w:pPr>
          </w:p>
        </w:tc>
        <w:tc>
          <w:tcPr>
            <w:tcW w:w="1368" w:type="dxa"/>
          </w:tcPr>
          <w:p w14:paraId="01311E0B" w14:textId="76C646F8" w:rsidR="00B2304D" w:rsidRPr="00B2304D" w:rsidRDefault="00B2304D" w:rsidP="00B2304D">
            <w:pPr>
              <w:rPr>
                <w:rFonts w:cs="Arial"/>
              </w:rPr>
            </w:pPr>
            <w:r w:rsidRPr="00B2304D">
              <w:rPr>
                <w:rFonts w:cs="Arial"/>
              </w:rPr>
              <w:t>Ламотригин</w:t>
            </w:r>
          </w:p>
        </w:tc>
        <w:tc>
          <w:tcPr>
            <w:tcW w:w="1368" w:type="dxa"/>
          </w:tcPr>
          <w:p w14:paraId="545A453E" w14:textId="2F9D996C" w:rsidR="00B2304D" w:rsidRPr="00B2304D" w:rsidRDefault="00B2304D" w:rsidP="00B2304D">
            <w:pPr>
              <w:rPr>
                <w:rFonts w:cs="Arial"/>
              </w:rPr>
            </w:pPr>
            <w:r w:rsidRPr="00B2304D">
              <w:rPr>
                <w:rFonts w:cs="Arial"/>
              </w:rPr>
              <w:t>Литий</w:t>
            </w:r>
          </w:p>
        </w:tc>
        <w:tc>
          <w:tcPr>
            <w:tcW w:w="1368" w:type="dxa"/>
          </w:tcPr>
          <w:p w14:paraId="261F2CAD" w14:textId="4C138B7E" w:rsidR="00B2304D" w:rsidRPr="00B2304D" w:rsidRDefault="00B2304D" w:rsidP="00B2304D">
            <w:pPr>
              <w:rPr>
                <w:rFonts w:cs="Arial"/>
              </w:rPr>
            </w:pPr>
            <w:r w:rsidRPr="00B2304D">
              <w:rPr>
                <w:rFonts w:cs="Arial"/>
              </w:rPr>
              <w:t>Плацебо</w:t>
            </w:r>
          </w:p>
        </w:tc>
        <w:tc>
          <w:tcPr>
            <w:tcW w:w="1368" w:type="dxa"/>
          </w:tcPr>
          <w:p w14:paraId="15019CED" w14:textId="24DB30A6" w:rsidR="00B2304D" w:rsidRPr="00B2304D" w:rsidRDefault="00B2304D" w:rsidP="00B2304D">
            <w:pPr>
              <w:rPr>
                <w:rFonts w:cs="Arial"/>
              </w:rPr>
            </w:pPr>
            <w:r w:rsidRPr="00B2304D">
              <w:rPr>
                <w:rFonts w:cs="Arial"/>
              </w:rPr>
              <w:t>Ламотригин</w:t>
            </w:r>
          </w:p>
        </w:tc>
        <w:tc>
          <w:tcPr>
            <w:tcW w:w="1368" w:type="dxa"/>
          </w:tcPr>
          <w:p w14:paraId="79EDECC9" w14:textId="07E61BE9" w:rsidR="00B2304D" w:rsidRPr="00B2304D" w:rsidRDefault="00B2304D" w:rsidP="00B2304D">
            <w:pPr>
              <w:rPr>
                <w:rFonts w:cs="Arial"/>
              </w:rPr>
            </w:pPr>
            <w:r w:rsidRPr="00B2304D">
              <w:rPr>
                <w:rFonts w:cs="Arial"/>
              </w:rPr>
              <w:t>Литий</w:t>
            </w:r>
          </w:p>
        </w:tc>
        <w:tc>
          <w:tcPr>
            <w:tcW w:w="1368" w:type="dxa"/>
          </w:tcPr>
          <w:p w14:paraId="37A1E02B" w14:textId="21C977B0" w:rsidR="00B2304D" w:rsidRPr="00B2304D" w:rsidRDefault="00B2304D" w:rsidP="00B2304D">
            <w:pPr>
              <w:rPr>
                <w:rFonts w:cs="Arial"/>
              </w:rPr>
            </w:pPr>
            <w:r w:rsidRPr="00B2304D">
              <w:rPr>
                <w:rFonts w:cs="Arial"/>
              </w:rPr>
              <w:t>Плацебо</w:t>
            </w:r>
          </w:p>
        </w:tc>
      </w:tr>
      <w:tr w:rsidR="00B2304D" w14:paraId="508DB4A1" w14:textId="77777777" w:rsidTr="00B2304D">
        <w:tc>
          <w:tcPr>
            <w:tcW w:w="1368" w:type="dxa"/>
          </w:tcPr>
          <w:p w14:paraId="1D73EE49" w14:textId="49015DB3" w:rsidR="00B2304D" w:rsidRPr="00B2304D" w:rsidRDefault="00B2304D" w:rsidP="00B2304D">
            <w:pPr>
              <w:rPr>
                <w:rFonts w:cs="Arial"/>
              </w:rPr>
            </w:pPr>
            <w:r w:rsidRPr="00B2304D">
              <w:rPr>
                <w:rFonts w:cs="Arial"/>
              </w:rPr>
              <w:t>Без намеса</w:t>
            </w:r>
          </w:p>
        </w:tc>
        <w:tc>
          <w:tcPr>
            <w:tcW w:w="1368" w:type="dxa"/>
          </w:tcPr>
          <w:p w14:paraId="038922FE" w14:textId="54746FCC" w:rsidR="00B2304D" w:rsidRPr="00B2304D" w:rsidRDefault="00B2304D" w:rsidP="00B2304D">
            <w:pPr>
              <w:rPr>
                <w:rFonts w:cs="Arial"/>
              </w:rPr>
            </w:pPr>
            <w:r w:rsidRPr="00B2304D">
              <w:rPr>
                <w:rFonts w:cs="Arial"/>
              </w:rPr>
              <w:t>0,22</w:t>
            </w:r>
          </w:p>
        </w:tc>
        <w:tc>
          <w:tcPr>
            <w:tcW w:w="1368" w:type="dxa"/>
          </w:tcPr>
          <w:p w14:paraId="3F100DCA" w14:textId="11F1C1CC" w:rsidR="00B2304D" w:rsidRPr="00B2304D" w:rsidRDefault="00B2304D" w:rsidP="00B2304D">
            <w:pPr>
              <w:rPr>
                <w:rFonts w:cs="Arial"/>
              </w:rPr>
            </w:pPr>
            <w:r w:rsidRPr="00B2304D">
              <w:rPr>
                <w:rFonts w:cs="Arial"/>
              </w:rPr>
              <w:t>0,21</w:t>
            </w:r>
          </w:p>
        </w:tc>
        <w:tc>
          <w:tcPr>
            <w:tcW w:w="1368" w:type="dxa"/>
          </w:tcPr>
          <w:p w14:paraId="65EDDBF7" w14:textId="02A47D0A" w:rsidR="00B2304D" w:rsidRPr="00B2304D" w:rsidRDefault="00B2304D" w:rsidP="00B2304D">
            <w:pPr>
              <w:rPr>
                <w:rFonts w:cs="Arial"/>
              </w:rPr>
            </w:pPr>
            <w:r w:rsidRPr="00B2304D">
              <w:rPr>
                <w:rFonts w:cs="Arial"/>
              </w:rPr>
              <w:t>0,12</w:t>
            </w:r>
          </w:p>
        </w:tc>
        <w:tc>
          <w:tcPr>
            <w:tcW w:w="1368" w:type="dxa"/>
          </w:tcPr>
          <w:p w14:paraId="711C8DE9" w14:textId="7B5D9882" w:rsidR="00B2304D" w:rsidRPr="00B2304D" w:rsidRDefault="00B2304D" w:rsidP="00B2304D">
            <w:pPr>
              <w:rPr>
                <w:rFonts w:cs="Arial"/>
              </w:rPr>
            </w:pPr>
            <w:r w:rsidRPr="00B2304D">
              <w:rPr>
                <w:rFonts w:cs="Arial"/>
              </w:rPr>
              <w:t>0,17</w:t>
            </w:r>
          </w:p>
        </w:tc>
        <w:tc>
          <w:tcPr>
            <w:tcW w:w="1368" w:type="dxa"/>
          </w:tcPr>
          <w:p w14:paraId="6F7D1529" w14:textId="50B0B60E" w:rsidR="00B2304D" w:rsidRPr="00B2304D" w:rsidRDefault="00B2304D" w:rsidP="00B2304D">
            <w:pPr>
              <w:rPr>
                <w:rFonts w:cs="Arial"/>
              </w:rPr>
            </w:pPr>
            <w:r w:rsidRPr="00B2304D">
              <w:rPr>
                <w:rFonts w:cs="Arial"/>
              </w:rPr>
              <w:t>0,24</w:t>
            </w:r>
          </w:p>
        </w:tc>
        <w:tc>
          <w:tcPr>
            <w:tcW w:w="1368" w:type="dxa"/>
          </w:tcPr>
          <w:p w14:paraId="2CA1A6EE" w14:textId="26450730" w:rsidR="00B2304D" w:rsidRPr="00B2304D" w:rsidRDefault="00B2304D" w:rsidP="00B2304D">
            <w:pPr>
              <w:rPr>
                <w:rFonts w:cs="Arial"/>
              </w:rPr>
            </w:pPr>
            <w:r w:rsidRPr="00B2304D">
              <w:rPr>
                <w:rFonts w:cs="Arial"/>
              </w:rPr>
              <w:t>0,04</w:t>
            </w:r>
          </w:p>
        </w:tc>
      </w:tr>
      <w:tr w:rsidR="00B2304D" w14:paraId="00BE86EA" w14:textId="77777777" w:rsidTr="00B2304D">
        <w:tc>
          <w:tcPr>
            <w:tcW w:w="1368" w:type="dxa"/>
          </w:tcPr>
          <w:p w14:paraId="675758DB" w14:textId="41317695"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1CF8B7A1" w14:textId="219F0A2C" w:rsidR="00B2304D" w:rsidRPr="00B2304D" w:rsidRDefault="00B2304D" w:rsidP="00B2304D">
            <w:pPr>
              <w:rPr>
                <w:rFonts w:cs="Arial"/>
              </w:rPr>
            </w:pPr>
            <w:r w:rsidRPr="00B2304D">
              <w:rPr>
                <w:rFonts w:cs="Arial"/>
              </w:rPr>
              <w:t>0,004</w:t>
            </w:r>
          </w:p>
        </w:tc>
        <w:tc>
          <w:tcPr>
            <w:tcW w:w="1368" w:type="dxa"/>
          </w:tcPr>
          <w:p w14:paraId="0CA96ED0" w14:textId="6D55FDDE" w:rsidR="00B2304D" w:rsidRPr="00B2304D" w:rsidRDefault="00B2304D" w:rsidP="00B2304D">
            <w:pPr>
              <w:rPr>
                <w:rFonts w:cs="Arial"/>
              </w:rPr>
            </w:pPr>
            <w:r w:rsidRPr="00B2304D">
              <w:rPr>
                <w:rFonts w:cs="Arial"/>
              </w:rPr>
              <w:t>0,006</w:t>
            </w:r>
          </w:p>
        </w:tc>
        <w:tc>
          <w:tcPr>
            <w:tcW w:w="1368" w:type="dxa"/>
          </w:tcPr>
          <w:p w14:paraId="5B0CD470" w14:textId="77777777" w:rsidR="00B2304D" w:rsidRPr="00B2304D" w:rsidRDefault="00B2304D" w:rsidP="00B2304D">
            <w:pPr>
              <w:rPr>
                <w:rFonts w:cs="Arial"/>
              </w:rPr>
            </w:pPr>
          </w:p>
        </w:tc>
        <w:tc>
          <w:tcPr>
            <w:tcW w:w="1368" w:type="dxa"/>
          </w:tcPr>
          <w:p w14:paraId="163EB358" w14:textId="16F91D38" w:rsidR="00B2304D" w:rsidRPr="00B2304D" w:rsidRDefault="00B2304D" w:rsidP="00B2304D">
            <w:pPr>
              <w:rPr>
                <w:rFonts w:cs="Arial"/>
              </w:rPr>
            </w:pPr>
            <w:r w:rsidRPr="00B2304D">
              <w:rPr>
                <w:rFonts w:cs="Arial"/>
              </w:rPr>
              <w:t>0,023</w:t>
            </w:r>
          </w:p>
        </w:tc>
        <w:tc>
          <w:tcPr>
            <w:tcW w:w="1368" w:type="dxa"/>
          </w:tcPr>
          <w:p w14:paraId="7E72E499" w14:textId="6DE2B2A6" w:rsidR="00B2304D" w:rsidRPr="00B2304D" w:rsidRDefault="00B2304D" w:rsidP="00B2304D">
            <w:pPr>
              <w:rPr>
                <w:rFonts w:cs="Arial"/>
              </w:rPr>
            </w:pPr>
            <w:r w:rsidRPr="00B2304D">
              <w:rPr>
                <w:rFonts w:cs="Arial"/>
              </w:rPr>
              <w:t>0,006</w:t>
            </w:r>
          </w:p>
        </w:tc>
        <w:tc>
          <w:tcPr>
            <w:tcW w:w="1368" w:type="dxa"/>
          </w:tcPr>
          <w:p w14:paraId="18B8B32D" w14:textId="77777777" w:rsidR="00B2304D" w:rsidRPr="00B2304D" w:rsidRDefault="00B2304D" w:rsidP="00B2304D">
            <w:pPr>
              <w:rPr>
                <w:rFonts w:cs="Arial"/>
              </w:rPr>
            </w:pPr>
          </w:p>
        </w:tc>
      </w:tr>
      <w:tr w:rsidR="00B2304D" w14:paraId="745B3D91" w14:textId="77777777" w:rsidTr="00B2304D">
        <w:tc>
          <w:tcPr>
            <w:tcW w:w="1368" w:type="dxa"/>
          </w:tcPr>
          <w:p w14:paraId="284A7003" w14:textId="77777777" w:rsidR="00B2304D" w:rsidRPr="00B2304D" w:rsidRDefault="00B2304D" w:rsidP="00B2304D">
            <w:pPr>
              <w:rPr>
                <w:rFonts w:cs="Arial"/>
              </w:rPr>
            </w:pPr>
          </w:p>
        </w:tc>
        <w:tc>
          <w:tcPr>
            <w:tcW w:w="1368" w:type="dxa"/>
          </w:tcPr>
          <w:p w14:paraId="4AB7F4FD" w14:textId="77777777" w:rsidR="00B2304D" w:rsidRPr="00B2304D" w:rsidRDefault="00B2304D" w:rsidP="00B2304D">
            <w:pPr>
              <w:rPr>
                <w:rFonts w:cs="Arial"/>
              </w:rPr>
            </w:pPr>
          </w:p>
        </w:tc>
        <w:tc>
          <w:tcPr>
            <w:tcW w:w="1368" w:type="dxa"/>
          </w:tcPr>
          <w:p w14:paraId="0E3E6159" w14:textId="77777777" w:rsidR="00B2304D" w:rsidRPr="00B2304D" w:rsidRDefault="00B2304D" w:rsidP="00B2304D">
            <w:pPr>
              <w:rPr>
                <w:rFonts w:cs="Arial"/>
              </w:rPr>
            </w:pPr>
          </w:p>
        </w:tc>
        <w:tc>
          <w:tcPr>
            <w:tcW w:w="1368" w:type="dxa"/>
          </w:tcPr>
          <w:p w14:paraId="0A293D72" w14:textId="77777777" w:rsidR="00B2304D" w:rsidRPr="00B2304D" w:rsidRDefault="00B2304D" w:rsidP="00B2304D">
            <w:pPr>
              <w:rPr>
                <w:rFonts w:cs="Arial"/>
              </w:rPr>
            </w:pPr>
          </w:p>
        </w:tc>
        <w:tc>
          <w:tcPr>
            <w:tcW w:w="1368" w:type="dxa"/>
          </w:tcPr>
          <w:p w14:paraId="6B26F509" w14:textId="77777777" w:rsidR="00B2304D" w:rsidRPr="00B2304D" w:rsidRDefault="00B2304D" w:rsidP="00B2304D">
            <w:pPr>
              <w:rPr>
                <w:rFonts w:cs="Arial"/>
              </w:rPr>
            </w:pPr>
          </w:p>
        </w:tc>
        <w:tc>
          <w:tcPr>
            <w:tcW w:w="1368" w:type="dxa"/>
          </w:tcPr>
          <w:p w14:paraId="50934411" w14:textId="77777777" w:rsidR="00B2304D" w:rsidRPr="00B2304D" w:rsidRDefault="00B2304D" w:rsidP="00B2304D">
            <w:pPr>
              <w:rPr>
                <w:rFonts w:cs="Arial"/>
              </w:rPr>
            </w:pPr>
          </w:p>
        </w:tc>
        <w:tc>
          <w:tcPr>
            <w:tcW w:w="1368" w:type="dxa"/>
          </w:tcPr>
          <w:p w14:paraId="3CA72C4C" w14:textId="77777777" w:rsidR="00B2304D" w:rsidRPr="00B2304D" w:rsidRDefault="00B2304D" w:rsidP="00B2304D">
            <w:pPr>
              <w:rPr>
                <w:rFonts w:cs="Arial"/>
              </w:rPr>
            </w:pPr>
          </w:p>
        </w:tc>
      </w:tr>
      <w:tr w:rsidR="00B2304D" w14:paraId="794E4FB0" w14:textId="77777777" w:rsidTr="00B2304D">
        <w:tc>
          <w:tcPr>
            <w:tcW w:w="1368" w:type="dxa"/>
          </w:tcPr>
          <w:p w14:paraId="6B55DB55" w14:textId="2CEC8B2F" w:rsidR="00B2304D" w:rsidRPr="00B2304D" w:rsidRDefault="00B2304D" w:rsidP="00B2304D">
            <w:pPr>
              <w:rPr>
                <w:rFonts w:cs="Arial"/>
              </w:rPr>
            </w:pPr>
            <w:r w:rsidRPr="00B2304D">
              <w:rPr>
                <w:rFonts w:cs="Arial"/>
              </w:rPr>
              <w:t>Без депресия</w:t>
            </w:r>
          </w:p>
        </w:tc>
        <w:tc>
          <w:tcPr>
            <w:tcW w:w="1368" w:type="dxa"/>
          </w:tcPr>
          <w:p w14:paraId="57CC4F3A" w14:textId="09A44DBD" w:rsidR="00B2304D" w:rsidRPr="00B2304D" w:rsidRDefault="00B2304D" w:rsidP="00B2304D">
            <w:pPr>
              <w:rPr>
                <w:rFonts w:cs="Arial"/>
              </w:rPr>
            </w:pPr>
            <w:r w:rsidRPr="00B2304D">
              <w:rPr>
                <w:rFonts w:cs="Arial"/>
              </w:rPr>
              <w:t>0,51</w:t>
            </w:r>
          </w:p>
        </w:tc>
        <w:tc>
          <w:tcPr>
            <w:tcW w:w="1368" w:type="dxa"/>
          </w:tcPr>
          <w:p w14:paraId="54084DF1" w14:textId="7F46FFF5" w:rsidR="00B2304D" w:rsidRPr="00B2304D" w:rsidRDefault="00B2304D" w:rsidP="00B2304D">
            <w:pPr>
              <w:rPr>
                <w:rFonts w:cs="Arial"/>
              </w:rPr>
            </w:pPr>
            <w:r w:rsidRPr="00B2304D">
              <w:rPr>
                <w:rFonts w:cs="Arial"/>
              </w:rPr>
              <w:t>0,46</w:t>
            </w:r>
          </w:p>
        </w:tc>
        <w:tc>
          <w:tcPr>
            <w:tcW w:w="1368" w:type="dxa"/>
          </w:tcPr>
          <w:p w14:paraId="5DA309A4" w14:textId="61D651F6" w:rsidR="00B2304D" w:rsidRPr="00B2304D" w:rsidRDefault="00B2304D" w:rsidP="00B2304D">
            <w:pPr>
              <w:rPr>
                <w:rFonts w:cs="Arial"/>
              </w:rPr>
            </w:pPr>
            <w:r w:rsidRPr="00B2304D">
              <w:rPr>
                <w:rFonts w:cs="Arial"/>
              </w:rPr>
              <w:t>0,41</w:t>
            </w:r>
          </w:p>
        </w:tc>
        <w:tc>
          <w:tcPr>
            <w:tcW w:w="1368" w:type="dxa"/>
          </w:tcPr>
          <w:p w14:paraId="52B5B26B" w14:textId="76134339" w:rsidR="00B2304D" w:rsidRPr="00B2304D" w:rsidRDefault="00B2304D" w:rsidP="00B2304D">
            <w:pPr>
              <w:rPr>
                <w:rFonts w:cs="Arial"/>
              </w:rPr>
            </w:pPr>
            <w:r w:rsidRPr="00B2304D">
              <w:rPr>
                <w:rFonts w:cs="Arial"/>
              </w:rPr>
              <w:t>0,82</w:t>
            </w:r>
          </w:p>
        </w:tc>
        <w:tc>
          <w:tcPr>
            <w:tcW w:w="1368" w:type="dxa"/>
          </w:tcPr>
          <w:p w14:paraId="1F8A848C" w14:textId="5C06E162" w:rsidR="00B2304D" w:rsidRPr="00B2304D" w:rsidRDefault="00B2304D" w:rsidP="00B2304D">
            <w:pPr>
              <w:rPr>
                <w:rFonts w:cs="Arial"/>
              </w:rPr>
            </w:pPr>
            <w:r w:rsidRPr="00B2304D">
              <w:rPr>
                <w:rFonts w:cs="Arial"/>
              </w:rPr>
              <w:t>0,71</w:t>
            </w:r>
          </w:p>
        </w:tc>
        <w:tc>
          <w:tcPr>
            <w:tcW w:w="1368" w:type="dxa"/>
          </w:tcPr>
          <w:p w14:paraId="200BA1E3" w14:textId="0F015A3A" w:rsidR="00B2304D" w:rsidRPr="00B2304D" w:rsidRDefault="00B2304D" w:rsidP="00B2304D">
            <w:pPr>
              <w:rPr>
                <w:rFonts w:cs="Arial"/>
              </w:rPr>
            </w:pPr>
            <w:r w:rsidRPr="00B2304D">
              <w:rPr>
                <w:rFonts w:cs="Arial"/>
              </w:rPr>
              <w:t>0,40</w:t>
            </w:r>
          </w:p>
        </w:tc>
      </w:tr>
      <w:tr w:rsidR="00B2304D" w14:paraId="404F9DF8" w14:textId="77777777" w:rsidTr="00B2304D">
        <w:tc>
          <w:tcPr>
            <w:tcW w:w="1368" w:type="dxa"/>
          </w:tcPr>
          <w:p w14:paraId="4C54050E" w14:textId="41EF0C95"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4E52B623" w14:textId="0AC27BBC" w:rsidR="00B2304D" w:rsidRPr="00B2304D" w:rsidRDefault="00B2304D" w:rsidP="00B2304D">
            <w:pPr>
              <w:rPr>
                <w:rFonts w:cs="Arial"/>
              </w:rPr>
            </w:pPr>
            <w:r w:rsidRPr="00B2304D">
              <w:rPr>
                <w:rFonts w:cs="Arial"/>
              </w:rPr>
              <w:t>0,047</w:t>
            </w:r>
          </w:p>
        </w:tc>
        <w:tc>
          <w:tcPr>
            <w:tcW w:w="1368" w:type="dxa"/>
          </w:tcPr>
          <w:p w14:paraId="56224490" w14:textId="62119956" w:rsidR="00B2304D" w:rsidRPr="00B2304D" w:rsidRDefault="00B2304D" w:rsidP="00B2304D">
            <w:pPr>
              <w:rPr>
                <w:rFonts w:cs="Arial"/>
              </w:rPr>
            </w:pPr>
            <w:r w:rsidRPr="00B2304D">
              <w:rPr>
                <w:rFonts w:cs="Arial"/>
              </w:rPr>
              <w:t>0,209</w:t>
            </w:r>
          </w:p>
        </w:tc>
        <w:tc>
          <w:tcPr>
            <w:tcW w:w="1368" w:type="dxa"/>
          </w:tcPr>
          <w:p w14:paraId="7BAD3F12" w14:textId="77777777" w:rsidR="00B2304D" w:rsidRPr="00B2304D" w:rsidRDefault="00B2304D" w:rsidP="00B2304D">
            <w:pPr>
              <w:rPr>
                <w:rFonts w:cs="Arial"/>
              </w:rPr>
            </w:pPr>
          </w:p>
        </w:tc>
        <w:tc>
          <w:tcPr>
            <w:tcW w:w="1368" w:type="dxa"/>
          </w:tcPr>
          <w:p w14:paraId="405991EC" w14:textId="5834615E" w:rsidR="00B2304D" w:rsidRPr="00B2304D" w:rsidRDefault="00B2304D" w:rsidP="00B2304D">
            <w:pPr>
              <w:rPr>
                <w:rFonts w:cs="Arial"/>
              </w:rPr>
            </w:pPr>
            <w:r w:rsidRPr="00B2304D">
              <w:rPr>
                <w:rFonts w:cs="Arial"/>
              </w:rPr>
              <w:t>0,015</w:t>
            </w:r>
          </w:p>
        </w:tc>
        <w:tc>
          <w:tcPr>
            <w:tcW w:w="1368" w:type="dxa"/>
          </w:tcPr>
          <w:p w14:paraId="473FD24A" w14:textId="6C8826EA" w:rsidR="00B2304D" w:rsidRPr="00B2304D" w:rsidRDefault="00B2304D" w:rsidP="00B2304D">
            <w:pPr>
              <w:rPr>
                <w:rFonts w:cs="Arial"/>
              </w:rPr>
            </w:pPr>
            <w:r w:rsidRPr="00B2304D">
              <w:rPr>
                <w:rFonts w:cs="Arial"/>
              </w:rPr>
              <w:t>0,167</w:t>
            </w:r>
          </w:p>
        </w:tc>
        <w:tc>
          <w:tcPr>
            <w:tcW w:w="1368" w:type="dxa"/>
          </w:tcPr>
          <w:p w14:paraId="76734CA0" w14:textId="77777777" w:rsidR="00B2304D" w:rsidRPr="00B2304D" w:rsidRDefault="00B2304D" w:rsidP="00B2304D">
            <w:pPr>
              <w:rPr>
                <w:rFonts w:cs="Arial"/>
              </w:rPr>
            </w:pPr>
          </w:p>
        </w:tc>
      </w:tr>
      <w:tr w:rsidR="00B2304D" w14:paraId="76366BA0" w14:textId="77777777" w:rsidTr="00B2304D">
        <w:tc>
          <w:tcPr>
            <w:tcW w:w="1368" w:type="dxa"/>
          </w:tcPr>
          <w:p w14:paraId="496C1912" w14:textId="77777777" w:rsidR="00B2304D" w:rsidRPr="00B2304D" w:rsidRDefault="00B2304D" w:rsidP="00B2304D">
            <w:pPr>
              <w:rPr>
                <w:rFonts w:cs="Arial"/>
              </w:rPr>
            </w:pPr>
          </w:p>
        </w:tc>
        <w:tc>
          <w:tcPr>
            <w:tcW w:w="1368" w:type="dxa"/>
          </w:tcPr>
          <w:p w14:paraId="530AA98B" w14:textId="77777777" w:rsidR="00B2304D" w:rsidRPr="00B2304D" w:rsidRDefault="00B2304D" w:rsidP="00B2304D">
            <w:pPr>
              <w:rPr>
                <w:rFonts w:cs="Arial"/>
              </w:rPr>
            </w:pPr>
          </w:p>
        </w:tc>
        <w:tc>
          <w:tcPr>
            <w:tcW w:w="1368" w:type="dxa"/>
          </w:tcPr>
          <w:p w14:paraId="5B1729D0" w14:textId="77777777" w:rsidR="00B2304D" w:rsidRPr="00B2304D" w:rsidRDefault="00B2304D" w:rsidP="00B2304D">
            <w:pPr>
              <w:rPr>
                <w:rFonts w:cs="Arial"/>
              </w:rPr>
            </w:pPr>
          </w:p>
        </w:tc>
        <w:tc>
          <w:tcPr>
            <w:tcW w:w="1368" w:type="dxa"/>
          </w:tcPr>
          <w:p w14:paraId="22ABF51E" w14:textId="77777777" w:rsidR="00B2304D" w:rsidRPr="00B2304D" w:rsidRDefault="00B2304D" w:rsidP="00B2304D">
            <w:pPr>
              <w:rPr>
                <w:rFonts w:cs="Arial"/>
              </w:rPr>
            </w:pPr>
          </w:p>
        </w:tc>
        <w:tc>
          <w:tcPr>
            <w:tcW w:w="1368" w:type="dxa"/>
          </w:tcPr>
          <w:p w14:paraId="39E75099" w14:textId="77777777" w:rsidR="00B2304D" w:rsidRPr="00B2304D" w:rsidRDefault="00B2304D" w:rsidP="00B2304D">
            <w:pPr>
              <w:rPr>
                <w:rFonts w:cs="Arial"/>
              </w:rPr>
            </w:pPr>
          </w:p>
        </w:tc>
        <w:tc>
          <w:tcPr>
            <w:tcW w:w="1368" w:type="dxa"/>
          </w:tcPr>
          <w:p w14:paraId="7A0BC91B" w14:textId="77777777" w:rsidR="00B2304D" w:rsidRPr="00B2304D" w:rsidRDefault="00B2304D" w:rsidP="00B2304D">
            <w:pPr>
              <w:rPr>
                <w:rFonts w:cs="Arial"/>
              </w:rPr>
            </w:pPr>
          </w:p>
        </w:tc>
        <w:tc>
          <w:tcPr>
            <w:tcW w:w="1368" w:type="dxa"/>
          </w:tcPr>
          <w:p w14:paraId="312F149C" w14:textId="77777777" w:rsidR="00B2304D" w:rsidRPr="00B2304D" w:rsidRDefault="00B2304D" w:rsidP="00B2304D">
            <w:pPr>
              <w:rPr>
                <w:rFonts w:cs="Arial"/>
              </w:rPr>
            </w:pPr>
          </w:p>
        </w:tc>
      </w:tr>
      <w:tr w:rsidR="00B2304D" w14:paraId="14512812" w14:textId="77777777" w:rsidTr="00B2304D">
        <w:tc>
          <w:tcPr>
            <w:tcW w:w="1368" w:type="dxa"/>
          </w:tcPr>
          <w:p w14:paraId="20CBD9DB" w14:textId="3E49E20F" w:rsidR="00B2304D" w:rsidRPr="00B2304D" w:rsidRDefault="00B2304D" w:rsidP="00B2304D">
            <w:pPr>
              <w:rPr>
                <w:rFonts w:cs="Arial"/>
              </w:rPr>
            </w:pPr>
            <w:r w:rsidRPr="00B2304D">
              <w:rPr>
                <w:rFonts w:cs="Arial"/>
              </w:rPr>
              <w:t>Без мания</w:t>
            </w:r>
          </w:p>
        </w:tc>
        <w:tc>
          <w:tcPr>
            <w:tcW w:w="1368" w:type="dxa"/>
          </w:tcPr>
          <w:p w14:paraId="47715C6F" w14:textId="33722773" w:rsidR="00B2304D" w:rsidRPr="00B2304D" w:rsidRDefault="00B2304D" w:rsidP="00B2304D">
            <w:pPr>
              <w:rPr>
                <w:rFonts w:cs="Arial"/>
              </w:rPr>
            </w:pPr>
            <w:r w:rsidRPr="00B2304D">
              <w:rPr>
                <w:rFonts w:cs="Arial"/>
              </w:rPr>
              <w:t>0,70</w:t>
            </w:r>
          </w:p>
        </w:tc>
        <w:tc>
          <w:tcPr>
            <w:tcW w:w="1368" w:type="dxa"/>
          </w:tcPr>
          <w:p w14:paraId="62F3D8CD" w14:textId="3D6043FD" w:rsidR="00B2304D" w:rsidRPr="00B2304D" w:rsidRDefault="00B2304D" w:rsidP="00B2304D">
            <w:pPr>
              <w:rPr>
                <w:rFonts w:cs="Arial"/>
              </w:rPr>
            </w:pPr>
            <w:r w:rsidRPr="00B2304D">
              <w:rPr>
                <w:rFonts w:cs="Arial"/>
              </w:rPr>
              <w:t>0,86</w:t>
            </w:r>
          </w:p>
        </w:tc>
        <w:tc>
          <w:tcPr>
            <w:tcW w:w="1368" w:type="dxa"/>
          </w:tcPr>
          <w:p w14:paraId="3FD11F71" w14:textId="311D1940" w:rsidR="00B2304D" w:rsidRPr="00B2304D" w:rsidRDefault="00B2304D" w:rsidP="00B2304D">
            <w:pPr>
              <w:rPr>
                <w:rFonts w:cs="Arial"/>
              </w:rPr>
            </w:pPr>
            <w:r w:rsidRPr="00B2304D">
              <w:rPr>
                <w:rFonts w:cs="Arial"/>
              </w:rPr>
              <w:t>0,67</w:t>
            </w:r>
          </w:p>
        </w:tc>
        <w:tc>
          <w:tcPr>
            <w:tcW w:w="1368" w:type="dxa"/>
          </w:tcPr>
          <w:p w14:paraId="54B00C43" w14:textId="445E8C02" w:rsidR="00B2304D" w:rsidRPr="00B2304D" w:rsidRDefault="00B2304D" w:rsidP="00B2304D">
            <w:pPr>
              <w:rPr>
                <w:rFonts w:cs="Arial"/>
              </w:rPr>
            </w:pPr>
            <w:r w:rsidRPr="00B2304D">
              <w:rPr>
                <w:rFonts w:cs="Arial"/>
              </w:rPr>
              <w:t>0,53</w:t>
            </w:r>
          </w:p>
        </w:tc>
        <w:tc>
          <w:tcPr>
            <w:tcW w:w="1368" w:type="dxa"/>
          </w:tcPr>
          <w:p w14:paraId="00D35ADC" w14:textId="7A2E07CF" w:rsidR="00B2304D" w:rsidRPr="00B2304D" w:rsidRDefault="00B2304D" w:rsidP="00B2304D">
            <w:pPr>
              <w:rPr>
                <w:rFonts w:cs="Arial"/>
              </w:rPr>
            </w:pPr>
            <w:r w:rsidRPr="00B2304D">
              <w:rPr>
                <w:rFonts w:cs="Arial"/>
              </w:rPr>
              <w:t>0,64</w:t>
            </w:r>
          </w:p>
        </w:tc>
        <w:tc>
          <w:tcPr>
            <w:tcW w:w="1368" w:type="dxa"/>
          </w:tcPr>
          <w:p w14:paraId="47514858" w14:textId="52EE7D4B" w:rsidR="00B2304D" w:rsidRPr="00B2304D" w:rsidRDefault="00B2304D" w:rsidP="00B2304D">
            <w:pPr>
              <w:rPr>
                <w:rFonts w:cs="Arial"/>
              </w:rPr>
            </w:pPr>
            <w:r w:rsidRPr="00B2304D">
              <w:rPr>
                <w:rFonts w:cs="Arial"/>
              </w:rPr>
              <w:t>0,37</w:t>
            </w:r>
          </w:p>
        </w:tc>
      </w:tr>
      <w:tr w:rsidR="00B2304D" w14:paraId="1CEB3E7F" w14:textId="77777777" w:rsidTr="00B2304D">
        <w:tc>
          <w:tcPr>
            <w:tcW w:w="1368" w:type="dxa"/>
          </w:tcPr>
          <w:p w14:paraId="087B0027" w14:textId="22499212" w:rsidR="00B2304D" w:rsidRPr="00B2304D" w:rsidRDefault="00B2304D" w:rsidP="00B2304D">
            <w:pPr>
              <w:rPr>
                <w:rFonts w:cs="Arial"/>
              </w:rPr>
            </w:pPr>
            <w:r w:rsidRPr="00B2304D">
              <w:rPr>
                <w:rFonts w:cs="Arial"/>
                <w:lang w:val="en-US"/>
              </w:rPr>
              <w:t>P</w:t>
            </w:r>
            <w:r w:rsidRPr="00B2304D">
              <w:rPr>
                <w:rFonts w:cs="Arial"/>
                <w:lang w:val="ru-RU"/>
              </w:rPr>
              <w:t>-</w:t>
            </w:r>
            <w:r w:rsidRPr="00B2304D">
              <w:rPr>
                <w:rFonts w:cs="Arial"/>
                <w:lang w:val="en-US"/>
              </w:rPr>
              <w:t>value</w:t>
            </w:r>
            <w:r w:rsidRPr="00B2304D">
              <w:rPr>
                <w:rFonts w:cs="Arial"/>
                <w:lang w:val="ru-RU"/>
              </w:rPr>
              <w:t xml:space="preserve"> </w:t>
            </w:r>
            <w:r w:rsidRPr="00B2304D">
              <w:rPr>
                <w:rFonts w:cs="Arial"/>
              </w:rPr>
              <w:t xml:space="preserve">логаритмично трансформиран в ренков тест </w:t>
            </w:r>
            <w:r w:rsidRPr="00B2304D">
              <w:rPr>
                <w:rFonts w:cs="Arial"/>
                <w:lang w:val="ru-RU"/>
              </w:rPr>
              <w:t>(</w:t>
            </w:r>
            <w:r w:rsidRPr="00B2304D">
              <w:rPr>
                <w:rFonts w:cs="Arial"/>
                <w:lang w:val="en-US"/>
              </w:rPr>
              <w:t>Long</w:t>
            </w:r>
            <w:r w:rsidRPr="00B2304D">
              <w:rPr>
                <w:rFonts w:cs="Arial"/>
                <w:lang w:val="ru-RU"/>
              </w:rPr>
              <w:t xml:space="preserve"> </w:t>
            </w:r>
            <w:r w:rsidRPr="00B2304D">
              <w:rPr>
                <w:rFonts w:cs="Arial"/>
                <w:lang w:val="en-US"/>
              </w:rPr>
              <w:t>rank</w:t>
            </w:r>
            <w:r w:rsidRPr="00B2304D">
              <w:rPr>
                <w:rFonts w:cs="Arial"/>
                <w:lang w:val="ru-RU"/>
              </w:rPr>
              <w:t xml:space="preserve"> </w:t>
            </w:r>
            <w:r w:rsidRPr="00B2304D">
              <w:rPr>
                <w:rFonts w:cs="Arial"/>
                <w:lang w:val="en-US"/>
              </w:rPr>
              <w:t>test</w:t>
            </w:r>
            <w:r w:rsidRPr="00B2304D">
              <w:rPr>
                <w:rFonts w:cs="Arial"/>
                <w:lang w:val="ru-RU"/>
              </w:rPr>
              <w:t>)</w:t>
            </w:r>
          </w:p>
        </w:tc>
        <w:tc>
          <w:tcPr>
            <w:tcW w:w="1368" w:type="dxa"/>
          </w:tcPr>
          <w:p w14:paraId="71C181D3" w14:textId="7B757E9F" w:rsidR="00B2304D" w:rsidRPr="00B2304D" w:rsidRDefault="00B2304D" w:rsidP="00B2304D">
            <w:pPr>
              <w:rPr>
                <w:rFonts w:cs="Arial"/>
              </w:rPr>
            </w:pPr>
            <w:r w:rsidRPr="00B2304D">
              <w:rPr>
                <w:rFonts w:cs="Arial"/>
              </w:rPr>
              <w:t>0,339</w:t>
            </w:r>
          </w:p>
        </w:tc>
        <w:tc>
          <w:tcPr>
            <w:tcW w:w="1368" w:type="dxa"/>
          </w:tcPr>
          <w:p w14:paraId="279E7B8F" w14:textId="6587A1E8" w:rsidR="00B2304D" w:rsidRPr="00B2304D" w:rsidRDefault="00B2304D" w:rsidP="00B2304D">
            <w:pPr>
              <w:rPr>
                <w:rFonts w:cs="Arial"/>
              </w:rPr>
            </w:pPr>
            <w:r w:rsidRPr="00B2304D">
              <w:rPr>
                <w:rFonts w:cs="Arial"/>
              </w:rPr>
              <w:t>0,026</w:t>
            </w:r>
          </w:p>
        </w:tc>
        <w:tc>
          <w:tcPr>
            <w:tcW w:w="1368" w:type="dxa"/>
          </w:tcPr>
          <w:p w14:paraId="05F6D2D4" w14:textId="77777777" w:rsidR="00B2304D" w:rsidRPr="00B2304D" w:rsidRDefault="00B2304D" w:rsidP="00B2304D">
            <w:pPr>
              <w:rPr>
                <w:rFonts w:cs="Arial"/>
              </w:rPr>
            </w:pPr>
          </w:p>
        </w:tc>
        <w:tc>
          <w:tcPr>
            <w:tcW w:w="1368" w:type="dxa"/>
          </w:tcPr>
          <w:p w14:paraId="6902B321" w14:textId="1F5B1CC5" w:rsidR="00B2304D" w:rsidRPr="00B2304D" w:rsidRDefault="00B2304D" w:rsidP="00B2304D">
            <w:pPr>
              <w:rPr>
                <w:rFonts w:cs="Arial"/>
              </w:rPr>
            </w:pPr>
            <w:r w:rsidRPr="00B2304D">
              <w:rPr>
                <w:rFonts w:cs="Arial"/>
              </w:rPr>
              <w:t>0,280</w:t>
            </w:r>
          </w:p>
        </w:tc>
        <w:tc>
          <w:tcPr>
            <w:tcW w:w="1368" w:type="dxa"/>
          </w:tcPr>
          <w:p w14:paraId="279EE7F5" w14:textId="056B8318" w:rsidR="00B2304D" w:rsidRPr="00B2304D" w:rsidRDefault="00B2304D" w:rsidP="00B2304D">
            <w:pPr>
              <w:rPr>
                <w:rFonts w:cs="Arial"/>
              </w:rPr>
            </w:pPr>
            <w:r w:rsidRPr="00B2304D">
              <w:rPr>
                <w:rFonts w:cs="Arial"/>
              </w:rPr>
              <w:t>0,006</w:t>
            </w:r>
          </w:p>
        </w:tc>
        <w:tc>
          <w:tcPr>
            <w:tcW w:w="1368" w:type="dxa"/>
          </w:tcPr>
          <w:p w14:paraId="16357C38" w14:textId="77777777" w:rsidR="00B2304D" w:rsidRPr="00B2304D" w:rsidRDefault="00B2304D" w:rsidP="00B2304D">
            <w:pPr>
              <w:rPr>
                <w:rFonts w:cs="Arial"/>
              </w:rPr>
            </w:pPr>
          </w:p>
        </w:tc>
      </w:tr>
    </w:tbl>
    <w:p w14:paraId="3152B2DC" w14:textId="55917DAF" w:rsidR="00B2304D" w:rsidRDefault="00B2304D" w:rsidP="00B2304D"/>
    <w:p w14:paraId="726F87E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lastRenderedPageBreak/>
        <w:t>При анализи, подкрепящи времето до първия депресивен епизод и времето до първия маниен/ хипоманиен епизод, лекуваните с ламотригин пациенти са имали значимо по- 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 хипоманиен или смесени епизоди.</w:t>
      </w:r>
    </w:p>
    <w:p w14:paraId="2A7C71BB" w14:textId="77777777" w:rsidR="00B2304D" w:rsidRPr="00B2304D" w:rsidRDefault="00B2304D" w:rsidP="00B2304D">
      <w:pPr>
        <w:spacing w:line="240" w:lineRule="auto"/>
        <w:rPr>
          <w:rFonts w:eastAsia="Times New Roman" w:cs="Arial"/>
          <w:color w:val="000000"/>
          <w:szCs w:val="20"/>
          <w:lang w:eastAsia="bg-BG"/>
        </w:rPr>
      </w:pPr>
    </w:p>
    <w:p w14:paraId="3BBEDF66" w14:textId="7ABFC88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Ефикасността на ламотригин в комбинация със стабилизатори на настроението е достатъчно проучена.</w:t>
      </w:r>
    </w:p>
    <w:p w14:paraId="1A84FBE2" w14:textId="77777777" w:rsidR="00B2304D" w:rsidRPr="00B2304D" w:rsidRDefault="00B2304D" w:rsidP="00B2304D">
      <w:pPr>
        <w:spacing w:line="240" w:lineRule="auto"/>
        <w:rPr>
          <w:rFonts w:eastAsia="Times New Roman" w:cs="Arial"/>
          <w:color w:val="000000"/>
          <w:szCs w:val="20"/>
          <w:u w:val="single"/>
          <w:lang w:eastAsia="bg-BG"/>
        </w:rPr>
      </w:pPr>
    </w:p>
    <w:p w14:paraId="248D2466" w14:textId="645E8E46"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Деца (на възраст 10-12 години) и юноши (на възраст 13-17 години)</w:t>
      </w:r>
    </w:p>
    <w:p w14:paraId="55BA1673"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Многоцентрово, паралелно групово, плацебо контролирано, двойносляпо, рандомизирано, с преустановяване на приема проучване оценява ефикаснотта и безопасността на ламотригин </w:t>
      </w:r>
      <w:r w:rsidRPr="00B2304D">
        <w:rPr>
          <w:rFonts w:eastAsia="Times New Roman" w:cs="Arial"/>
          <w:color w:val="000000"/>
          <w:szCs w:val="20"/>
          <w:lang w:val="en-US"/>
        </w:rPr>
        <w:t>IR</w:t>
      </w:r>
      <w:r w:rsidRPr="00B2304D">
        <w:rPr>
          <w:rFonts w:eastAsia="Times New Roman" w:cs="Arial"/>
          <w:color w:val="000000"/>
          <w:szCs w:val="20"/>
          <w:lang w:val="ru-RU"/>
        </w:rPr>
        <w:t xml:space="preserve"> </w:t>
      </w:r>
      <w:r w:rsidRPr="00B2304D">
        <w:rPr>
          <w:rFonts w:eastAsia="Times New Roman" w:cs="Arial"/>
          <w:color w:val="000000"/>
          <w:szCs w:val="20"/>
          <w:lang w:eastAsia="bg-BG"/>
        </w:rPr>
        <w:t>като комбинирана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 тип I биполярно разстройство и при които е отложен или са получили подобрение на биполярен епизод докато са лекувани с ламотригин в комбинация със съпътстващи антипсихотични лекарства или други лекарства, стабилизатори на настроението. Резултатът от първичния анализ за ефикасност (време на поява на биполярно събитие (ТОВЕ)) не достига статистическа значимост (р=0,0717), следователно не е показана ефикасност. Освен това, резултатите за безопасност показват повишено съобщаване на суицидно поведение при пациентите, лекувани с ламотригин: 5% (4 пациенти) в рамото на ламотригин в сравнение с 0 при плацебо (вижте точка 4.2).</w:t>
      </w:r>
    </w:p>
    <w:p w14:paraId="11F4D3FD" w14:textId="77777777" w:rsidR="00B2304D" w:rsidRPr="00B2304D" w:rsidRDefault="00B2304D" w:rsidP="00B2304D">
      <w:pPr>
        <w:spacing w:line="240" w:lineRule="auto"/>
        <w:rPr>
          <w:rFonts w:eastAsia="Times New Roman" w:cs="Arial"/>
          <w:color w:val="000000"/>
          <w:szCs w:val="20"/>
          <w:u w:val="single"/>
          <w:lang w:eastAsia="bg-BG"/>
        </w:rPr>
      </w:pPr>
    </w:p>
    <w:p w14:paraId="5EFC18DC" w14:textId="0323DD7E"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Изследване на ефекта на ламотригин върху сърдечната проводимост</w:t>
      </w:r>
    </w:p>
    <w:p w14:paraId="498F98D0" w14:textId="787540A4" w:rsidR="00B2304D" w:rsidRPr="00B2304D" w:rsidRDefault="00B2304D" w:rsidP="00B2304D">
      <w:pPr>
        <w:rPr>
          <w:rFonts w:eastAsia="Times New Roman" w:cs="Arial"/>
          <w:color w:val="000000"/>
          <w:szCs w:val="20"/>
          <w:lang w:eastAsia="bg-BG"/>
        </w:rPr>
      </w:pPr>
      <w:r w:rsidRPr="00B2304D">
        <w:rPr>
          <w:rFonts w:eastAsia="Times New Roman" w:cs="Arial"/>
          <w:color w:val="000000"/>
          <w:szCs w:val="20"/>
          <w:lang w:eastAsia="bg-BG"/>
        </w:rPr>
        <w:t xml:space="preserve">Ефектът на многократното прилагане на ламотригин (до 400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дневно)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ламотригин</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върху </w:t>
      </w:r>
      <w:r w:rsidRPr="00B2304D">
        <w:rPr>
          <w:rFonts w:eastAsia="Times New Roman" w:cs="Arial"/>
          <w:color w:val="000000"/>
          <w:szCs w:val="20"/>
          <w:lang w:val="en-US"/>
        </w:rPr>
        <w:t>QT</w:t>
      </w:r>
      <w:r w:rsidRPr="00B2304D">
        <w:rPr>
          <w:rFonts w:eastAsia="Times New Roman" w:cs="Arial"/>
          <w:color w:val="000000"/>
          <w:szCs w:val="20"/>
          <w:lang w:eastAsia="bg-BG"/>
        </w:rPr>
        <w:t xml:space="preserve"> интервала в сравнение с плацебо.</w:t>
      </w:r>
    </w:p>
    <w:p w14:paraId="453DB91B" w14:textId="77777777" w:rsidR="00B2304D" w:rsidRPr="00B2304D" w:rsidRDefault="00B2304D" w:rsidP="00B2304D"/>
    <w:p w14:paraId="78DD93AA" w14:textId="43D5805D" w:rsidR="00B6672E" w:rsidRDefault="002C50EE" w:rsidP="00936AD0">
      <w:pPr>
        <w:pStyle w:val="Heading2"/>
      </w:pPr>
      <w:r>
        <w:t>5.2. Фармакокинетични свойства</w:t>
      </w:r>
    </w:p>
    <w:p w14:paraId="70AA3D8F" w14:textId="4E08859E" w:rsidR="00B2304D" w:rsidRDefault="00B2304D" w:rsidP="00B2304D"/>
    <w:p w14:paraId="51B50B2E" w14:textId="77777777" w:rsidR="00B2304D" w:rsidRPr="00B2304D" w:rsidRDefault="00B2304D" w:rsidP="00B2304D">
      <w:pPr>
        <w:pStyle w:val="Heading3"/>
        <w:rPr>
          <w:rFonts w:eastAsia="Times New Roman"/>
          <w:sz w:val="28"/>
          <w:u w:val="single"/>
        </w:rPr>
      </w:pPr>
      <w:r w:rsidRPr="00B2304D">
        <w:rPr>
          <w:rFonts w:eastAsia="Times New Roman"/>
          <w:u w:val="single"/>
          <w:lang w:eastAsia="bg-BG"/>
        </w:rPr>
        <w:t>Абсорбция</w:t>
      </w:r>
    </w:p>
    <w:p w14:paraId="297AD228"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Ламотригин веднага се резорбира бързо и изцяло в червата, без клинично значим метаболизъм на първо преминаване. Максимални плазмени концентрации се достигат за около 2.5 часа след перорално приложение на ламотригин. Наличието на храна ще забави достигането на максимални плазмени концентрации, но не засяга степента на резорбция.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219D91BC" w14:textId="77777777" w:rsidR="00B2304D" w:rsidRPr="00B2304D" w:rsidRDefault="00B2304D" w:rsidP="00B2304D">
      <w:pPr>
        <w:spacing w:line="240" w:lineRule="auto"/>
        <w:rPr>
          <w:rFonts w:eastAsia="Times New Roman" w:cs="Arial"/>
          <w:color w:val="000000"/>
          <w:szCs w:val="20"/>
          <w:u w:val="single"/>
          <w:lang w:eastAsia="bg-BG"/>
        </w:rPr>
      </w:pPr>
    </w:p>
    <w:p w14:paraId="67DD1854" w14:textId="46B4D008" w:rsidR="00B2304D" w:rsidRPr="00B2304D" w:rsidRDefault="00B2304D" w:rsidP="00B2304D">
      <w:pPr>
        <w:pStyle w:val="Heading3"/>
        <w:rPr>
          <w:rFonts w:eastAsia="Times New Roman"/>
          <w:sz w:val="28"/>
          <w:u w:val="single"/>
        </w:rPr>
      </w:pPr>
      <w:r w:rsidRPr="00B2304D">
        <w:rPr>
          <w:rFonts w:eastAsia="Times New Roman"/>
          <w:u w:val="single"/>
          <w:lang w:eastAsia="bg-BG"/>
        </w:rPr>
        <w:t>Разпределение</w:t>
      </w:r>
    </w:p>
    <w:p w14:paraId="27FB3984"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Свързването с плазмените протеини е приблизително 55%. Не се очакват прояви на токсичност при изместване от мястото на свързване с плазмените протеини.</w:t>
      </w:r>
    </w:p>
    <w:p w14:paraId="68299A15" w14:textId="77777777" w:rsidR="00B2304D" w:rsidRPr="00B2304D" w:rsidRDefault="00B2304D" w:rsidP="00B2304D">
      <w:pPr>
        <w:spacing w:line="240" w:lineRule="auto"/>
        <w:rPr>
          <w:rFonts w:eastAsia="Times New Roman" w:cs="Arial"/>
          <w:color w:val="000000"/>
          <w:szCs w:val="20"/>
          <w:lang w:eastAsia="bg-BG"/>
        </w:rPr>
      </w:pPr>
    </w:p>
    <w:p w14:paraId="6BDA3F1D" w14:textId="317ECA7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Обемът на разпределние </w:t>
      </w:r>
      <w:r w:rsidRPr="00B2304D">
        <w:rPr>
          <w:rFonts w:eastAsia="Times New Roman" w:cs="Arial"/>
          <w:color w:val="000000"/>
          <w:szCs w:val="20"/>
          <w:lang w:val="ru-RU"/>
        </w:rPr>
        <w:t>(</w:t>
      </w:r>
      <w:r w:rsidRPr="00B2304D">
        <w:rPr>
          <w:rFonts w:eastAsia="Times New Roman" w:cs="Arial"/>
          <w:color w:val="000000"/>
          <w:szCs w:val="20"/>
          <w:lang w:val="en-US"/>
        </w:rPr>
        <w:t>Vd</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е 0.92 до 1.22 </w:t>
      </w:r>
      <w:r w:rsidRPr="00B2304D">
        <w:rPr>
          <w:rFonts w:eastAsia="Times New Roman" w:cs="Arial"/>
          <w:color w:val="000000"/>
          <w:szCs w:val="20"/>
          <w:lang w:val="ru-RU"/>
        </w:rPr>
        <w:t>1/</w:t>
      </w:r>
      <w:r w:rsidRPr="00B2304D">
        <w:rPr>
          <w:rFonts w:eastAsia="Times New Roman" w:cs="Arial"/>
          <w:color w:val="000000"/>
          <w:szCs w:val="20"/>
          <w:lang w:val="en-US"/>
        </w:rPr>
        <w:t>kg</w:t>
      </w:r>
      <w:r w:rsidRPr="00B2304D">
        <w:rPr>
          <w:rFonts w:eastAsia="Times New Roman" w:cs="Arial"/>
          <w:color w:val="000000"/>
          <w:szCs w:val="20"/>
          <w:lang w:val="ru-RU"/>
        </w:rPr>
        <w:t>.</w:t>
      </w:r>
    </w:p>
    <w:p w14:paraId="725FD3E9" w14:textId="77777777" w:rsidR="00B2304D" w:rsidRPr="00B2304D" w:rsidRDefault="00B2304D" w:rsidP="00B2304D">
      <w:pPr>
        <w:spacing w:line="240" w:lineRule="auto"/>
        <w:rPr>
          <w:rFonts w:eastAsia="Times New Roman" w:cs="Arial"/>
          <w:color w:val="000000"/>
          <w:szCs w:val="20"/>
          <w:u w:val="single"/>
          <w:lang w:eastAsia="bg-BG"/>
        </w:rPr>
      </w:pPr>
    </w:p>
    <w:p w14:paraId="2EB42449" w14:textId="34EC9012" w:rsidR="00B2304D" w:rsidRPr="00B2304D" w:rsidRDefault="00B2304D" w:rsidP="00B2304D">
      <w:pPr>
        <w:pStyle w:val="Heading3"/>
        <w:rPr>
          <w:rFonts w:eastAsia="Times New Roman"/>
          <w:sz w:val="28"/>
          <w:u w:val="single"/>
        </w:rPr>
      </w:pPr>
      <w:r w:rsidRPr="00B2304D">
        <w:rPr>
          <w:rFonts w:eastAsia="Times New Roman"/>
          <w:u w:val="single"/>
          <w:lang w:eastAsia="bg-BG"/>
        </w:rPr>
        <w:t>Биотрансформация</w:t>
      </w:r>
    </w:p>
    <w:p w14:paraId="4FE0DBF6"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Ламотригин се метаболизира от ензимните УДФ-глюкуронил трансферази.</w:t>
      </w:r>
    </w:p>
    <w:p w14:paraId="371B63A2" w14:textId="77777777" w:rsidR="00B2304D" w:rsidRPr="00B2304D" w:rsidRDefault="00B2304D" w:rsidP="00B2304D">
      <w:pPr>
        <w:spacing w:line="240" w:lineRule="auto"/>
        <w:rPr>
          <w:rFonts w:eastAsia="Times New Roman" w:cs="Arial"/>
          <w:color w:val="000000"/>
          <w:szCs w:val="20"/>
          <w:lang w:eastAsia="bg-BG"/>
        </w:rPr>
      </w:pPr>
    </w:p>
    <w:p w14:paraId="0063453D" w14:textId="1F08FE95"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В много малка степен в зависимост от дозата ламотригин може да индуцира своя собствен метаболизъм. Няма доказателства за влияние на ламотригин върху фармакокинетиката на други АЕЛ. Не се очакват взаимодействия между ламотригин и лекарствените продукти, които се метаболизират от цитохром Р450 ензимите.</w:t>
      </w:r>
    </w:p>
    <w:p w14:paraId="0D167478" w14:textId="77777777" w:rsidR="00B2304D" w:rsidRPr="00B2304D" w:rsidRDefault="00B2304D" w:rsidP="00B2304D">
      <w:pPr>
        <w:spacing w:line="240" w:lineRule="auto"/>
        <w:rPr>
          <w:rFonts w:eastAsia="Times New Roman" w:cs="Arial"/>
          <w:color w:val="000000"/>
          <w:szCs w:val="20"/>
          <w:u w:val="single"/>
          <w:lang w:eastAsia="bg-BG"/>
        </w:rPr>
      </w:pPr>
    </w:p>
    <w:p w14:paraId="7B63D29B" w14:textId="61517586" w:rsidR="00B2304D" w:rsidRPr="00B2304D" w:rsidRDefault="00B2304D" w:rsidP="00B2304D">
      <w:pPr>
        <w:pStyle w:val="Heading3"/>
        <w:rPr>
          <w:rFonts w:eastAsia="Times New Roman"/>
          <w:sz w:val="28"/>
          <w:u w:val="single"/>
        </w:rPr>
      </w:pPr>
      <w:r w:rsidRPr="00B2304D">
        <w:rPr>
          <w:rFonts w:eastAsia="Times New Roman"/>
          <w:u w:val="single"/>
          <w:lang w:eastAsia="bg-BG"/>
        </w:rPr>
        <w:t>Елиминиране</w:t>
      </w:r>
    </w:p>
    <w:p w14:paraId="3F936CE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Плазменият клирънс при здрави лица е приблизително 30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Клирънсът на ламотригин е предимно чрез метаболизиране с последващо елиминиране под формата на глюкуронид конюгат с урината. По-малко от 10% се екскретира непроменен в урината и само около 2% в изпражненията. Клирънсът и времето 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B2304D">
        <w:rPr>
          <w:rFonts w:eastAsia="Times New Roman" w:cs="Arial"/>
          <w:color w:val="000000"/>
          <w:szCs w:val="20"/>
          <w:lang w:val="en-US"/>
        </w:rPr>
        <w:t>Gilbert</w:t>
      </w:r>
      <w:r w:rsidRPr="00B2304D">
        <w:rPr>
          <w:rFonts w:eastAsia="Times New Roman" w:cs="Arial"/>
          <w:color w:val="000000"/>
          <w:szCs w:val="20"/>
          <w:lang w:val="ru-RU"/>
        </w:rPr>
        <w:t xml:space="preserve">, </w:t>
      </w:r>
      <w:r w:rsidRPr="00B2304D">
        <w:rPr>
          <w:rFonts w:eastAsia="Times New Roman" w:cs="Arial"/>
          <w:color w:val="000000"/>
          <w:szCs w:val="20"/>
          <w:lang w:eastAsia="bg-BG"/>
        </w:rPr>
        <w:t>средният клирънс е понижен с 32% в сравнение с нормалните контроли, но стойностите са в границите за общата популация.</w:t>
      </w:r>
    </w:p>
    <w:p w14:paraId="5512866D" w14:textId="77777777" w:rsidR="00B2304D" w:rsidRPr="00B2304D" w:rsidRDefault="00B2304D" w:rsidP="00B2304D">
      <w:pPr>
        <w:spacing w:line="240" w:lineRule="auto"/>
        <w:rPr>
          <w:rFonts w:eastAsia="Times New Roman" w:cs="Arial"/>
          <w:color w:val="000000"/>
          <w:szCs w:val="20"/>
          <w:lang w:eastAsia="bg-BG"/>
        </w:rPr>
      </w:pPr>
    </w:p>
    <w:p w14:paraId="15C5FE63" w14:textId="30CA1EF6"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Времето на полуживот на ламотригин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ламотригин се редуцира приблизително до 14 часа, също така при съвместно прилагане с валпроат се удължава средно приблизително до 70 часа (вижте точка 4.2).</w:t>
      </w:r>
    </w:p>
    <w:p w14:paraId="3F6F5DBA" w14:textId="77777777" w:rsidR="00B2304D" w:rsidRPr="00B2304D" w:rsidRDefault="00B2304D" w:rsidP="00B2304D">
      <w:pPr>
        <w:spacing w:line="240" w:lineRule="auto"/>
        <w:rPr>
          <w:rFonts w:eastAsia="Times New Roman" w:cs="Arial"/>
          <w:color w:val="000000"/>
          <w:szCs w:val="20"/>
          <w:u w:val="single"/>
          <w:lang w:eastAsia="bg-BG"/>
        </w:rPr>
      </w:pPr>
    </w:p>
    <w:p w14:paraId="67BCEA56" w14:textId="42BBF33E" w:rsidR="00B2304D" w:rsidRPr="00B2304D" w:rsidRDefault="00B2304D" w:rsidP="00B2304D">
      <w:pPr>
        <w:pStyle w:val="Heading3"/>
        <w:rPr>
          <w:rFonts w:eastAsia="Times New Roman"/>
          <w:sz w:val="28"/>
          <w:u w:val="single"/>
        </w:rPr>
      </w:pPr>
      <w:r w:rsidRPr="00B2304D">
        <w:rPr>
          <w:rFonts w:eastAsia="Times New Roman"/>
          <w:u w:val="single"/>
          <w:lang w:eastAsia="bg-BG"/>
        </w:rPr>
        <w:t>Линейност</w:t>
      </w:r>
    </w:p>
    <w:p w14:paraId="5576E54B"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Фармакокинетиката на ламотригин е линейна до 450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най-високата еднократна изпитвана доза.</w:t>
      </w:r>
    </w:p>
    <w:p w14:paraId="6BE739CA" w14:textId="77777777" w:rsidR="00B2304D" w:rsidRPr="00B2304D" w:rsidRDefault="00B2304D" w:rsidP="00B2304D">
      <w:pPr>
        <w:spacing w:line="240" w:lineRule="auto"/>
        <w:rPr>
          <w:rFonts w:eastAsia="Times New Roman" w:cs="Arial"/>
          <w:color w:val="000000"/>
          <w:szCs w:val="20"/>
          <w:u w:val="single"/>
          <w:lang w:eastAsia="bg-BG"/>
        </w:rPr>
      </w:pPr>
    </w:p>
    <w:p w14:paraId="4D475858" w14:textId="2E6B77FF" w:rsidR="00B2304D" w:rsidRPr="00B2304D" w:rsidRDefault="00B2304D" w:rsidP="00B2304D">
      <w:pPr>
        <w:pStyle w:val="Heading3"/>
        <w:rPr>
          <w:rFonts w:eastAsia="Times New Roman"/>
          <w:sz w:val="28"/>
          <w:u w:val="single"/>
        </w:rPr>
      </w:pPr>
      <w:r w:rsidRPr="00B2304D">
        <w:rPr>
          <w:rFonts w:eastAsia="Times New Roman"/>
          <w:u w:val="single"/>
          <w:lang w:eastAsia="bg-BG"/>
        </w:rPr>
        <w:t>Специални групи пациенти</w:t>
      </w:r>
    </w:p>
    <w:p w14:paraId="5A44439D" w14:textId="77777777" w:rsidR="00B2304D" w:rsidRPr="00B2304D" w:rsidRDefault="00B2304D" w:rsidP="00B2304D">
      <w:pPr>
        <w:spacing w:line="240" w:lineRule="auto"/>
        <w:rPr>
          <w:rFonts w:eastAsia="Times New Roman" w:cs="Arial"/>
          <w:color w:val="000000"/>
          <w:szCs w:val="20"/>
          <w:u w:val="single"/>
          <w:lang w:eastAsia="bg-BG"/>
        </w:rPr>
      </w:pPr>
    </w:p>
    <w:p w14:paraId="4515099A" w14:textId="20A0F784"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Деца</w:t>
      </w:r>
    </w:p>
    <w:p w14:paraId="3F99F4A7"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При определяне на клирънса спрямо телесното тегло, при деца се установяват</w:t>
      </w:r>
      <w:r w:rsidRPr="00B2304D">
        <w:rPr>
          <w:rFonts w:eastAsia="Times New Roman" w:cs="Arial"/>
          <w:color w:val="000000"/>
          <w:szCs w:val="20"/>
          <w:lang w:val="ru-RU"/>
        </w:rPr>
        <w:t xml:space="preserve"> </w:t>
      </w:r>
      <w:r w:rsidRPr="00B2304D">
        <w:rPr>
          <w:rFonts w:eastAsia="Times New Roman" w:cs="Arial"/>
          <w:color w:val="000000"/>
          <w:szCs w:val="20"/>
          <w:lang w:eastAsia="bg-BG"/>
        </w:rPr>
        <w:t>по-високи стойности от тези при възрастни, като най-високи са при лица под 5 години. Времето на полуживот на ламотригин при деца най-общо е по-малко от това при възрастни като средната 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(вижте точка 4.2).</w:t>
      </w:r>
    </w:p>
    <w:p w14:paraId="4F3AA2B2" w14:textId="77777777" w:rsidR="00B2304D" w:rsidRPr="00B2304D" w:rsidRDefault="00B2304D" w:rsidP="00B2304D">
      <w:pPr>
        <w:spacing w:line="240" w:lineRule="auto"/>
        <w:rPr>
          <w:rFonts w:eastAsia="Times New Roman" w:cs="Arial"/>
          <w:i/>
          <w:iCs/>
          <w:color w:val="000000"/>
          <w:szCs w:val="20"/>
          <w:u w:val="single"/>
          <w:lang w:eastAsia="bg-BG"/>
        </w:rPr>
      </w:pPr>
    </w:p>
    <w:p w14:paraId="104B8B1B" w14:textId="524F81FD"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Малки деца на възраст от 2 до 26 месеца</w:t>
      </w:r>
    </w:p>
    <w:p w14:paraId="3D243585"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143 педиатрични пациенти на възраст от 2 до 26 месеца, тежащи 3 до 16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клирънсът е намален в сравнение с по-големи деца със същото телесно тегло, приемащи подобни перорални дози на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телесно тегло като децата, по-големи от 2 години. 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 инхибитори. Интериндивидуалната вариабилност на пероралния клирънс е по-голяма в групата на педиатричните пациенти на 2 до 26 месеца (47%). Предполагаемите нива на серумна концентрация на деца от 2 до 26 месеца като цяло са в същия интервал като при по-големите деца, въпреки че при някои деца с телесно тегло под 10 </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може да се установят по-високи Стах нива.</w:t>
      </w:r>
    </w:p>
    <w:p w14:paraId="35F144C8" w14:textId="77777777" w:rsidR="00B2304D" w:rsidRPr="00B2304D" w:rsidRDefault="00B2304D" w:rsidP="00B2304D">
      <w:pPr>
        <w:spacing w:line="240" w:lineRule="auto"/>
        <w:rPr>
          <w:rFonts w:eastAsia="Times New Roman" w:cs="Arial"/>
          <w:i/>
          <w:iCs/>
          <w:color w:val="000000"/>
          <w:szCs w:val="20"/>
          <w:u w:val="single"/>
          <w:lang w:eastAsia="bg-BG"/>
        </w:rPr>
      </w:pPr>
    </w:p>
    <w:p w14:paraId="3125F753" w14:textId="1780741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Пациенти в старческа възраст</w:t>
      </w:r>
    </w:p>
    <w:p w14:paraId="188DF3FC"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Проведен е популационен фармакокинетичен анализ при млади пациенти и пациенти в старческа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ламотригин. При прием на еднократна доза се установяват с 12% по-ниски стойности на привидния клирънс, като съответно за 20-годишна възраст са около 35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докато при пациенти на 70-годишна възраст са 31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Понижаване от 10% се установява след лечение в продължение на 48 седмици, като стойностите съответно са от 41 до 37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 xml:space="preserve"> </w:t>
      </w:r>
      <w:r w:rsidRPr="00B2304D">
        <w:rPr>
          <w:rFonts w:eastAsia="Times New Roman" w:cs="Arial"/>
          <w:color w:val="000000"/>
          <w:szCs w:val="20"/>
          <w:lang w:eastAsia="bg-BG"/>
        </w:rPr>
        <w:t>за двете възрастови групи.</w:t>
      </w:r>
    </w:p>
    <w:p w14:paraId="18D5D34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Проведени са и проучвания на фармакокинетиката на ламотригин след еднократен прием на 150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при 12 здрави лица в старческа възраст. Средните стойности на клирънса при тези пациенти (0,39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са в рамките на стойностите (0,31 до 0,65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установени след проведени девет клинични изпитвания при възрастни (които не са в старческа възраст) след прилагане на единични дози от 30 до 450 </w:t>
      </w:r>
      <w:r w:rsidRPr="00B2304D">
        <w:rPr>
          <w:rFonts w:eastAsia="Times New Roman" w:cs="Arial"/>
          <w:color w:val="000000"/>
          <w:szCs w:val="20"/>
          <w:lang w:val="en-US"/>
        </w:rPr>
        <w:t>mg</w:t>
      </w:r>
      <w:r w:rsidRPr="00B2304D">
        <w:rPr>
          <w:rFonts w:eastAsia="Times New Roman" w:cs="Arial"/>
          <w:color w:val="000000"/>
          <w:szCs w:val="20"/>
          <w:lang w:val="ru-RU"/>
        </w:rPr>
        <w:t>.</w:t>
      </w:r>
    </w:p>
    <w:p w14:paraId="0A34AB0C" w14:textId="77777777" w:rsidR="00B2304D" w:rsidRPr="00B2304D" w:rsidRDefault="00B2304D" w:rsidP="00B2304D">
      <w:pPr>
        <w:spacing w:line="240" w:lineRule="auto"/>
        <w:rPr>
          <w:rFonts w:eastAsia="Times New Roman" w:cs="Arial"/>
          <w:i/>
          <w:iCs/>
          <w:color w:val="000000"/>
          <w:szCs w:val="20"/>
          <w:u w:val="single"/>
          <w:lang w:eastAsia="bg-BG"/>
        </w:rPr>
      </w:pPr>
    </w:p>
    <w:p w14:paraId="5E18191F" w14:textId="03E884A0"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Бъбречно увреждане</w:t>
      </w:r>
    </w:p>
    <w:p w14:paraId="5D88A688"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На 12 доброволци с хронична бъбречна недостатъчност и на други 6 пациента на хемодиализа е била приложена еднократна доза от 100 </w:t>
      </w:r>
      <w:r w:rsidRPr="00B2304D">
        <w:rPr>
          <w:rFonts w:eastAsia="Times New Roman" w:cs="Arial"/>
          <w:color w:val="000000"/>
          <w:szCs w:val="20"/>
          <w:lang w:val="en-US"/>
        </w:rPr>
        <w:t>mg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ламотригин. Средните стойности на клирънса са 0,42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(хронична бъбречна недостатъчност), 0,33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(в периода между хемодиализните сесии) и 1,57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(по време на хемодиализа) в сравнение с 0,58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при здрави доброволци. Средното време на полуживот на ламотригин в плазмата е 42,9 часа (хронична бъбречна недостатъчност), 57,4 часа (между хемодиализите) и 13,0 часа (по време на хемодиализа) в сравнение с 26,2 часа при здрави доброволци. Средно, приблизително 20% (между 5,6 и 35,1) от количеството ламотригин, налично в тялото е било елиминирано по време на 4-часова хемодиализа. За тази група пациенти началните дози ламотригин трябва да се определят според съпътстващия прием на лекарствени продукти. Намалени поддържащи дози могат да бъдат ефикасни при пациенти със значително увреждане на бъбречната функция (вижте точки 4.2 и 4.4).</w:t>
      </w:r>
    </w:p>
    <w:p w14:paraId="0F043F04" w14:textId="77777777" w:rsidR="00B2304D" w:rsidRPr="00B2304D" w:rsidRDefault="00B2304D" w:rsidP="00B2304D">
      <w:pPr>
        <w:spacing w:line="240" w:lineRule="auto"/>
        <w:rPr>
          <w:rFonts w:eastAsia="Times New Roman" w:cs="Arial"/>
          <w:i/>
          <w:iCs/>
          <w:color w:val="000000"/>
          <w:szCs w:val="20"/>
          <w:u w:val="single"/>
          <w:lang w:eastAsia="bg-BG"/>
        </w:rPr>
      </w:pPr>
    </w:p>
    <w:p w14:paraId="5E699B4D" w14:textId="21929253" w:rsidR="00B2304D" w:rsidRPr="00B2304D" w:rsidRDefault="00B2304D" w:rsidP="00B2304D">
      <w:pPr>
        <w:spacing w:line="240" w:lineRule="auto"/>
        <w:rPr>
          <w:rFonts w:eastAsia="Times New Roman" w:cs="Arial"/>
          <w:sz w:val="28"/>
          <w:szCs w:val="24"/>
        </w:rPr>
      </w:pPr>
      <w:r w:rsidRPr="00B2304D">
        <w:rPr>
          <w:rFonts w:eastAsia="Times New Roman" w:cs="Arial"/>
          <w:i/>
          <w:iCs/>
          <w:color w:val="000000"/>
          <w:szCs w:val="20"/>
          <w:u w:val="single"/>
          <w:lang w:eastAsia="bg-BG"/>
        </w:rPr>
        <w:t>Чернодробно увреждане</w:t>
      </w:r>
    </w:p>
    <w:p w14:paraId="131A53A2" w14:textId="77777777" w:rsidR="00B2304D" w:rsidRPr="00B2304D" w:rsidRDefault="00B2304D" w:rsidP="00B2304D">
      <w:pPr>
        <w:rPr>
          <w:rFonts w:eastAsia="Times New Roman" w:cs="Arial"/>
          <w:sz w:val="28"/>
          <w:szCs w:val="24"/>
        </w:rPr>
      </w:pPr>
      <w:r w:rsidRPr="00B2304D">
        <w:rPr>
          <w:rFonts w:eastAsia="Times New Roman" w:cs="Arial"/>
          <w:color w:val="000000"/>
          <w:szCs w:val="2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ламотритин Медианата на привидния клирънс на ламотригин е била съответно 0,3, 0,24 или 0,10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при пациентите с чернодробно увреждане степен А, В или С </w:t>
      </w:r>
      <w:r w:rsidRPr="00B2304D">
        <w:rPr>
          <w:rFonts w:eastAsia="Times New Roman" w:cs="Arial"/>
          <w:color w:val="000000"/>
          <w:szCs w:val="20"/>
          <w:lang w:val="ru-RU"/>
        </w:rPr>
        <w:t>(</w:t>
      </w:r>
      <w:r w:rsidRPr="00B2304D">
        <w:rPr>
          <w:rFonts w:eastAsia="Times New Roman" w:cs="Arial"/>
          <w:color w:val="000000"/>
          <w:szCs w:val="20"/>
          <w:lang w:val="en-US"/>
        </w:rPr>
        <w:t>Child</w:t>
      </w:r>
      <w:r w:rsidRPr="00B2304D">
        <w:rPr>
          <w:rFonts w:eastAsia="Times New Roman" w:cs="Arial"/>
          <w:color w:val="000000"/>
          <w:szCs w:val="20"/>
          <w:lang w:val="ru-RU"/>
        </w:rPr>
        <w:t>-</w:t>
      </w:r>
      <w:r w:rsidRPr="00B2304D">
        <w:rPr>
          <w:rFonts w:eastAsia="Times New Roman" w:cs="Arial"/>
          <w:color w:val="000000"/>
          <w:szCs w:val="20"/>
          <w:lang w:val="en-US"/>
        </w:rPr>
        <w:t>Pugh</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класификация), сравнена с 0,34 </w:t>
      </w:r>
      <w:r w:rsidRPr="00B2304D">
        <w:rPr>
          <w:rFonts w:eastAsia="Times New Roman" w:cs="Arial"/>
          <w:color w:val="000000"/>
          <w:szCs w:val="20"/>
          <w:lang w:val="en-US"/>
        </w:rPr>
        <w:t>ml</w:t>
      </w:r>
      <w:r w:rsidRPr="00B2304D">
        <w:rPr>
          <w:rFonts w:eastAsia="Times New Roman" w:cs="Arial"/>
          <w:color w:val="000000"/>
          <w:szCs w:val="20"/>
          <w:lang w:val="ru-RU"/>
        </w:rPr>
        <w:t>/</w:t>
      </w:r>
      <w:r w:rsidRPr="00B2304D">
        <w:rPr>
          <w:rFonts w:eastAsia="Times New Roman" w:cs="Arial"/>
          <w:color w:val="000000"/>
          <w:szCs w:val="20"/>
          <w:lang w:val="en-US"/>
        </w:rPr>
        <w:t>min</w:t>
      </w:r>
      <w:r w:rsidRPr="00B2304D">
        <w:rPr>
          <w:rFonts w:eastAsia="Times New Roman" w:cs="Arial"/>
          <w:color w:val="000000"/>
          <w:szCs w:val="20"/>
          <w:lang w:val="ru-RU"/>
        </w:rPr>
        <w:t>/</w:t>
      </w:r>
      <w:r w:rsidRPr="00B2304D">
        <w:rPr>
          <w:rFonts w:eastAsia="Times New Roman" w:cs="Arial"/>
          <w:color w:val="000000"/>
          <w:szCs w:val="20"/>
          <w:lang w:val="en-US"/>
        </w:rPr>
        <w:t>kg</w:t>
      </w:r>
      <w:r w:rsidRPr="00B2304D">
        <w:rPr>
          <w:rFonts w:eastAsia="Times New Roman" w:cs="Arial"/>
          <w:color w:val="000000"/>
          <w:szCs w:val="20"/>
          <w:lang w:val="ru-RU"/>
        </w:rPr>
        <w:t xml:space="preserve"> </w:t>
      </w:r>
      <w:r w:rsidRPr="00B2304D">
        <w:rPr>
          <w:rFonts w:eastAsia="Times New Roman" w:cs="Arial"/>
          <w:color w:val="000000"/>
          <w:szCs w:val="20"/>
          <w:lang w:eastAsia="bg-BG"/>
        </w:rPr>
        <w:t>при здравите контроли. Началната доза, дозата при повишаване и поддържащата доза трябва да бъдат редуцирани при пациенти с умерено или тежко чернодробно увреждане (вижте точка 4.2).</w:t>
      </w:r>
    </w:p>
    <w:p w14:paraId="37FAE32E" w14:textId="30F22D28" w:rsidR="00B2304D" w:rsidRPr="00B2304D" w:rsidRDefault="00B2304D" w:rsidP="00B2304D"/>
    <w:p w14:paraId="4FB791BE" w14:textId="5FC3784D" w:rsidR="00B6672E" w:rsidRDefault="002C50EE" w:rsidP="00936AD0">
      <w:pPr>
        <w:pStyle w:val="Heading2"/>
      </w:pPr>
      <w:r>
        <w:t>5.3. Предклинични данни за безопасност</w:t>
      </w:r>
    </w:p>
    <w:p w14:paraId="68EAFF08" w14:textId="1A46C6AD" w:rsidR="00B2304D" w:rsidRDefault="00B2304D" w:rsidP="00B2304D"/>
    <w:p w14:paraId="21419FB6"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Неклиничните данни не покзават особен риск за хората на база на конвенционалните фармакологични прочувания за безопасност, токсичност при многократно прилагане, генотоксичност и карциногенен потенциал.</w:t>
      </w:r>
    </w:p>
    <w:p w14:paraId="73CD71E6" w14:textId="77777777" w:rsidR="00B2304D" w:rsidRPr="00B2304D" w:rsidRDefault="00B2304D" w:rsidP="00B2304D">
      <w:pPr>
        <w:spacing w:line="240" w:lineRule="auto"/>
        <w:rPr>
          <w:rFonts w:eastAsia="Times New Roman" w:cs="Arial"/>
          <w:color w:val="000000"/>
          <w:szCs w:val="20"/>
          <w:lang w:eastAsia="bg-BG"/>
        </w:rPr>
      </w:pPr>
    </w:p>
    <w:p w14:paraId="6D98BACB" w14:textId="029A481F"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проучванията за репродуктивна токсичност и токсичност при развитието на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тези, очаквани при клинична експозиция. Тъй като по-високи нива на експозиция не биха </w:t>
      </w:r>
      <w:r w:rsidRPr="00B2304D">
        <w:rPr>
          <w:rFonts w:eastAsia="Times New Roman" w:cs="Arial"/>
          <w:color w:val="000000"/>
          <w:szCs w:val="20"/>
          <w:lang w:eastAsia="bg-BG"/>
        </w:rPr>
        <w:lastRenderedPageBreak/>
        <w:t>могли да бъдат изследвани при животни поради тежкото токсично въздействие върху майчиния организъм, тератогенният потенциал на ламотригин не е характеризиран над клиничната експозиция.</w:t>
      </w:r>
    </w:p>
    <w:p w14:paraId="6DC75AFE" w14:textId="77777777" w:rsidR="00B2304D" w:rsidRPr="00B2304D" w:rsidRDefault="00B2304D" w:rsidP="00B2304D">
      <w:pPr>
        <w:spacing w:line="240" w:lineRule="auto"/>
        <w:rPr>
          <w:rFonts w:eastAsia="Times New Roman" w:cs="Arial"/>
          <w:color w:val="000000"/>
          <w:szCs w:val="20"/>
          <w:lang w:eastAsia="bg-BG"/>
        </w:rPr>
      </w:pPr>
    </w:p>
    <w:p w14:paraId="1742E7FF" w14:textId="2B977DF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При плъхове е наблюдавано увеличение не феталната и постнаталната смъртност при прилагане на ламотригин през късния гестационен и ранния постнатален период. Тези ефекти са наблюдавани при очаквана клинична експозиция.</w:t>
      </w:r>
    </w:p>
    <w:p w14:paraId="1457476A" w14:textId="77777777" w:rsidR="00B2304D" w:rsidRPr="00B2304D" w:rsidRDefault="00B2304D" w:rsidP="00B2304D">
      <w:pPr>
        <w:spacing w:line="240" w:lineRule="auto"/>
        <w:rPr>
          <w:rFonts w:eastAsia="Times New Roman" w:cs="Arial"/>
          <w:color w:val="000000"/>
          <w:szCs w:val="20"/>
          <w:lang w:eastAsia="bg-BG"/>
        </w:rPr>
      </w:pPr>
    </w:p>
    <w:p w14:paraId="7CCAEAFD" w14:textId="13FAB75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 xml:space="preserve">При плъхове в ювенилна възраст са наблюдавани ефекти върху обучението при </w:t>
      </w:r>
      <w:r w:rsidRPr="00B2304D">
        <w:rPr>
          <w:rFonts w:eastAsia="Times New Roman" w:cs="Arial"/>
          <w:color w:val="000000"/>
          <w:szCs w:val="20"/>
          <w:lang w:val="en-US"/>
        </w:rPr>
        <w:t>Biel</w:t>
      </w:r>
      <w:r w:rsidRPr="00B2304D">
        <w:rPr>
          <w:rFonts w:eastAsia="Times New Roman" w:cs="Arial"/>
          <w:color w:val="000000"/>
          <w:szCs w:val="20"/>
          <w:lang w:val="ru-RU"/>
        </w:rPr>
        <w:t xml:space="preserve"> </w:t>
      </w:r>
      <w:r w:rsidRPr="00B2304D">
        <w:rPr>
          <w:rFonts w:eastAsia="Times New Roman" w:cs="Arial"/>
          <w:color w:val="000000"/>
          <w:szCs w:val="20"/>
          <w:lang w:val="en-US"/>
        </w:rPr>
        <w:t>maze</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теста, леко забавяне на балано-препуциалната сепарация и на вагиналната проводимост, както и намалено наддаване на тегло след раждането при </w:t>
      </w:r>
      <w:r w:rsidRPr="00B2304D">
        <w:rPr>
          <w:rFonts w:eastAsia="Times New Roman" w:cs="Arial"/>
          <w:color w:val="000000"/>
          <w:szCs w:val="20"/>
          <w:lang w:val="en-US"/>
        </w:rPr>
        <w:t>F</w:t>
      </w:r>
      <w:r w:rsidRPr="00B2304D">
        <w:rPr>
          <w:rFonts w:eastAsia="Times New Roman" w:cs="Arial"/>
          <w:color w:val="000000"/>
          <w:szCs w:val="20"/>
          <w:lang w:val="ru-RU"/>
        </w:rPr>
        <w:t xml:space="preserve">1 </w:t>
      </w:r>
      <w:r w:rsidRPr="00B2304D">
        <w:rPr>
          <w:rFonts w:eastAsia="Times New Roman" w:cs="Arial"/>
          <w:color w:val="000000"/>
          <w:szCs w:val="20"/>
          <w:lang w:eastAsia="bg-BG"/>
        </w:rPr>
        <w:t>животни при експозиции приблизително два пъти по-високи от терапевтичните експозиции при хора.</w:t>
      </w:r>
    </w:p>
    <w:p w14:paraId="15B27D8E" w14:textId="77777777" w:rsidR="00B2304D" w:rsidRPr="00B2304D" w:rsidRDefault="00B2304D" w:rsidP="00B2304D">
      <w:pPr>
        <w:spacing w:line="240" w:lineRule="auto"/>
        <w:rPr>
          <w:rFonts w:eastAsia="Times New Roman" w:cs="Arial"/>
          <w:color w:val="000000"/>
          <w:szCs w:val="20"/>
          <w:lang w:eastAsia="bg-BG"/>
        </w:rPr>
      </w:pPr>
    </w:p>
    <w:p w14:paraId="0FA5E572" w14:textId="735B6EB1"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eastAsia="bg-BG"/>
        </w:rPr>
        <w:t>Проучванията при животни не показват увреждане на фертилитета от ламотригин. Ламотригин е довел до намаляване на феталните нива на фолиева киселина при плъхове. Предполага се, че дефицитът на фолиева киселина е свързан с повишен риск от вродени малформации при животни, както и при хора.</w:t>
      </w:r>
    </w:p>
    <w:p w14:paraId="15FF3580" w14:textId="77777777" w:rsidR="00B2304D" w:rsidRPr="00B2304D" w:rsidRDefault="00B2304D" w:rsidP="00B2304D">
      <w:pPr>
        <w:rPr>
          <w:rFonts w:eastAsia="Times New Roman" w:cs="Arial"/>
          <w:color w:val="000000"/>
          <w:szCs w:val="20"/>
          <w:lang w:eastAsia="bg-BG"/>
        </w:rPr>
      </w:pPr>
      <w:r w:rsidRPr="00B2304D">
        <w:rPr>
          <w:rFonts w:eastAsia="Times New Roman" w:cs="Arial"/>
          <w:color w:val="000000"/>
          <w:szCs w:val="20"/>
          <w:lang w:eastAsia="bg-BG"/>
        </w:rPr>
        <w:t xml:space="preserve">Ламотригин води до дозозависимо инхибиране на </w:t>
      </w:r>
      <w:r w:rsidRPr="00B2304D">
        <w:rPr>
          <w:rFonts w:eastAsia="Times New Roman" w:cs="Arial"/>
          <w:color w:val="000000"/>
          <w:szCs w:val="20"/>
          <w:lang w:val="en-US"/>
        </w:rPr>
        <w:t>hERG</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каналчетата при човешки ембрионални бъбречни клетки. </w:t>
      </w:r>
      <w:r w:rsidRPr="00B2304D">
        <w:rPr>
          <w:rFonts w:eastAsia="Times New Roman" w:cs="Arial"/>
          <w:color w:val="000000"/>
          <w:szCs w:val="20"/>
          <w:lang w:val="en-US"/>
        </w:rPr>
        <w:t>IC</w:t>
      </w:r>
      <w:r w:rsidRPr="00B2304D">
        <w:rPr>
          <w:rFonts w:eastAsia="Times New Roman" w:cs="Arial"/>
          <w:color w:val="000000"/>
          <w:szCs w:val="20"/>
          <w:lang w:val="ru-RU"/>
        </w:rPr>
        <w:t xml:space="preserve">50 </w:t>
      </w:r>
      <w:r w:rsidRPr="00B2304D">
        <w:rPr>
          <w:rFonts w:eastAsia="Times New Roman" w:cs="Arial"/>
          <w:color w:val="000000"/>
          <w:szCs w:val="20"/>
          <w:lang w:eastAsia="bg-BG"/>
        </w:rPr>
        <w:t xml:space="preserve">е приблизително девет пъти над максималната терапевтична свободна концентрация. </w:t>
      </w:r>
    </w:p>
    <w:p w14:paraId="28409C7D" w14:textId="7B8770CC" w:rsidR="00B2304D" w:rsidRPr="00B2304D" w:rsidRDefault="00B2304D" w:rsidP="00B2304D">
      <w:r w:rsidRPr="00B2304D">
        <w:rPr>
          <w:rFonts w:eastAsia="Times New Roman" w:cs="Arial"/>
          <w:color w:val="000000"/>
          <w:szCs w:val="20"/>
          <w:lang w:eastAsia="bg-BG"/>
        </w:rPr>
        <w:t xml:space="preserve">Ламотригин не предизвиква удължаване на </w:t>
      </w:r>
      <w:r w:rsidRPr="00B2304D">
        <w:rPr>
          <w:rFonts w:eastAsia="Times New Roman" w:cs="Arial"/>
          <w:color w:val="000000"/>
          <w:szCs w:val="20"/>
          <w:lang w:val="en-US"/>
        </w:rPr>
        <w:t>QT</w:t>
      </w:r>
      <w:r w:rsidRPr="00B2304D">
        <w:rPr>
          <w:rFonts w:eastAsia="Times New Roman" w:cs="Arial"/>
          <w:color w:val="000000"/>
          <w:szCs w:val="20"/>
          <w:lang w:val="ru-RU"/>
        </w:rPr>
        <w:t xml:space="preserve"> </w:t>
      </w:r>
      <w:r w:rsidRPr="00B2304D">
        <w:rPr>
          <w:rFonts w:eastAsia="Times New Roman" w:cs="Arial"/>
          <w:color w:val="000000"/>
          <w:szCs w:val="20"/>
          <w:lang w:eastAsia="bg-BG"/>
        </w:rPr>
        <w:t xml:space="preserve">интервала при животни при експозиции до два пъти над максималната терапевтична свободна концентрация. При клинично проучване при здрави възрастни доброволци не е наблюдаван клинично значим ефект на ламотригин върху </w:t>
      </w:r>
      <w:r w:rsidRPr="00B2304D">
        <w:rPr>
          <w:rFonts w:eastAsia="Times New Roman" w:cs="Arial"/>
          <w:color w:val="000000"/>
          <w:szCs w:val="20"/>
          <w:lang w:val="en-US"/>
        </w:rPr>
        <w:t>QT</w:t>
      </w:r>
      <w:r w:rsidRPr="00B2304D">
        <w:rPr>
          <w:rFonts w:eastAsia="Times New Roman" w:cs="Arial"/>
          <w:color w:val="000000"/>
          <w:szCs w:val="20"/>
          <w:lang w:val="ru-RU"/>
        </w:rPr>
        <w:t xml:space="preserve"> </w:t>
      </w:r>
      <w:r w:rsidRPr="00B2304D">
        <w:rPr>
          <w:rFonts w:eastAsia="Times New Roman" w:cs="Arial"/>
          <w:color w:val="000000"/>
          <w:szCs w:val="20"/>
          <w:lang w:eastAsia="bg-BG"/>
        </w:rPr>
        <w:t>интервала (вижте точка 5.1).</w:t>
      </w:r>
    </w:p>
    <w:p w14:paraId="1BA6531D" w14:textId="65368B52" w:rsidR="00B6672E" w:rsidRDefault="002C50EE" w:rsidP="00936AD0">
      <w:pPr>
        <w:pStyle w:val="Heading1"/>
      </w:pPr>
      <w:r>
        <w:t>7. ПРИТЕЖАТЕЛ НА РАЗРЕШЕНИЕТО ЗА УПОТРЕБА</w:t>
      </w:r>
    </w:p>
    <w:p w14:paraId="788BAFD0" w14:textId="21E4B567" w:rsidR="00B2304D" w:rsidRDefault="00B2304D" w:rsidP="00B2304D"/>
    <w:p w14:paraId="5E0FE730" w14:textId="2493CE2A" w:rsidR="00B2304D" w:rsidRPr="00B2304D" w:rsidRDefault="00B2304D" w:rsidP="00B2304D">
      <w:r>
        <w:t xml:space="preserve">Medochemie Ltd., </w:t>
      </w:r>
      <w:r>
        <w:rPr>
          <w:lang w:eastAsia="bg-BG"/>
        </w:rPr>
        <w:t xml:space="preserve">1-10 </w:t>
      </w:r>
      <w:r>
        <w:t xml:space="preserve">Constantinoupoleos street, 3011 Limassol, </w:t>
      </w:r>
      <w:r>
        <w:rPr>
          <w:lang w:eastAsia="bg-BG"/>
        </w:rPr>
        <w:t>Кипър</w:t>
      </w:r>
    </w:p>
    <w:p w14:paraId="508F3A54" w14:textId="5558F840" w:rsidR="00B6672E" w:rsidRDefault="00936AD0" w:rsidP="00936AD0">
      <w:pPr>
        <w:pStyle w:val="Heading1"/>
      </w:pPr>
      <w:r>
        <w:t>8.</w:t>
      </w:r>
      <w:r w:rsidR="002C50EE">
        <w:t>НОМЕР НА РАЗРЕШЕНИЕТО ЗА УПОТРЕБА</w:t>
      </w:r>
    </w:p>
    <w:p w14:paraId="2EBA9955" w14:textId="77777777" w:rsidR="00B2304D" w:rsidRDefault="00B2304D" w:rsidP="00B2304D">
      <w:pPr>
        <w:spacing w:line="240" w:lineRule="auto"/>
        <w:rPr>
          <w:rFonts w:ascii="Times New Roman" w:eastAsia="Times New Roman" w:hAnsi="Times New Roman" w:cs="Times New Roman"/>
          <w:color w:val="000000"/>
          <w:sz w:val="20"/>
          <w:szCs w:val="20"/>
          <w:u w:val="single"/>
          <w:lang w:eastAsia="bg-BG"/>
        </w:rPr>
      </w:pPr>
    </w:p>
    <w:p w14:paraId="4B4E02A4" w14:textId="11A980B0"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25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0AC8192F"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xml:space="preserve">. </w:t>
      </w:r>
      <w:r w:rsidRPr="00B2304D">
        <w:rPr>
          <w:rFonts w:eastAsia="Times New Roman" w:cs="Arial"/>
          <w:color w:val="000000"/>
          <w:szCs w:val="20"/>
          <w:lang w:eastAsia="bg-BG"/>
        </w:rPr>
        <w:t>№20060162</w:t>
      </w:r>
    </w:p>
    <w:p w14:paraId="397ADE1E"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50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39A7E7A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 20060163</w:t>
      </w:r>
    </w:p>
    <w:p w14:paraId="796F1229"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100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3518B1F2"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lang w:val="en-US"/>
        </w:rPr>
        <w:t>Per</w:t>
      </w:r>
      <w:r w:rsidRPr="00B2304D">
        <w:rPr>
          <w:rFonts w:eastAsia="Times New Roman" w:cs="Arial"/>
          <w:color w:val="000000"/>
          <w:szCs w:val="20"/>
        </w:rPr>
        <w:t>. № 20060164</w:t>
      </w:r>
    </w:p>
    <w:p w14:paraId="0F6F5EEB" w14:textId="77777777" w:rsidR="00B2304D" w:rsidRPr="00B2304D" w:rsidRDefault="00B2304D" w:rsidP="00B2304D">
      <w:pPr>
        <w:spacing w:line="240" w:lineRule="auto"/>
        <w:rPr>
          <w:rFonts w:eastAsia="Times New Roman" w:cs="Arial"/>
          <w:sz w:val="28"/>
          <w:szCs w:val="24"/>
        </w:rPr>
      </w:pPr>
      <w:r w:rsidRPr="00B2304D">
        <w:rPr>
          <w:rFonts w:eastAsia="Times New Roman" w:cs="Arial"/>
          <w:color w:val="000000"/>
          <w:szCs w:val="20"/>
          <w:u w:val="single"/>
          <w:lang w:eastAsia="bg-BG"/>
        </w:rPr>
        <w:t xml:space="preserve">ЛАМОТРИКС </w:t>
      </w:r>
      <w:r w:rsidRPr="00B2304D">
        <w:rPr>
          <w:rFonts w:eastAsia="Times New Roman" w:cs="Arial"/>
          <w:color w:val="000000"/>
          <w:szCs w:val="20"/>
          <w:u w:val="single"/>
        </w:rPr>
        <w:t xml:space="preserve">200 </w:t>
      </w:r>
      <w:r w:rsidRPr="00B2304D">
        <w:rPr>
          <w:rFonts w:eastAsia="Times New Roman" w:cs="Arial"/>
          <w:color w:val="000000"/>
          <w:szCs w:val="20"/>
          <w:u w:val="single"/>
          <w:lang w:val="en-US"/>
        </w:rPr>
        <w:t>mg</w:t>
      </w:r>
      <w:r w:rsidRPr="00B2304D">
        <w:rPr>
          <w:rFonts w:eastAsia="Times New Roman" w:cs="Arial"/>
          <w:color w:val="000000"/>
          <w:szCs w:val="20"/>
          <w:u w:val="single"/>
        </w:rPr>
        <w:t>:</w:t>
      </w:r>
    </w:p>
    <w:p w14:paraId="513884AB" w14:textId="3E991438" w:rsidR="00B2304D" w:rsidRPr="00B2304D" w:rsidRDefault="00B2304D" w:rsidP="00B2304D">
      <w:pPr>
        <w:rPr>
          <w:rFonts w:cs="Arial"/>
          <w:sz w:val="24"/>
          <w:lang w:val="ru-RU"/>
        </w:rPr>
      </w:pPr>
      <w:r w:rsidRPr="00B2304D">
        <w:rPr>
          <w:rFonts w:eastAsia="Times New Roman" w:cs="Arial"/>
          <w:color w:val="000000"/>
          <w:szCs w:val="20"/>
          <w:lang w:val="en-US"/>
        </w:rPr>
        <w:t>Per</w:t>
      </w:r>
      <w:r w:rsidRPr="00B2304D">
        <w:rPr>
          <w:rFonts w:eastAsia="Times New Roman" w:cs="Arial"/>
          <w:color w:val="000000"/>
          <w:szCs w:val="20"/>
          <w:lang w:val="ru-RU"/>
        </w:rPr>
        <w:t>. № 20060165</w:t>
      </w:r>
    </w:p>
    <w:p w14:paraId="2CCB5832" w14:textId="78220BAD" w:rsidR="007C605B" w:rsidRDefault="002C50EE" w:rsidP="007C605B">
      <w:pPr>
        <w:pStyle w:val="Heading1"/>
      </w:pPr>
      <w:r>
        <w:t>9. ДАТА НА ПЪРВО РАЗРЕШАВАНЕ/ПОДНОВЯВАНЕ НА РАЗРЕШЕНИЕТО ЗА УПОТРЕБА</w:t>
      </w:r>
    </w:p>
    <w:p w14:paraId="4D26DE6A" w14:textId="672F5801" w:rsidR="00B2304D" w:rsidRDefault="00B2304D" w:rsidP="00B2304D"/>
    <w:p w14:paraId="00BB5594" w14:textId="77777777" w:rsidR="00B2304D" w:rsidRPr="00B2304D" w:rsidRDefault="00B2304D" w:rsidP="00B2304D">
      <w:pPr>
        <w:rPr>
          <w:sz w:val="24"/>
          <w:szCs w:val="24"/>
        </w:rPr>
      </w:pPr>
      <w:r w:rsidRPr="00B2304D">
        <w:rPr>
          <w:lang w:eastAsia="bg-BG"/>
        </w:rPr>
        <w:t>Дата на първо разрешаване: 11 април 2006 г.</w:t>
      </w:r>
    </w:p>
    <w:p w14:paraId="2DCEB19C" w14:textId="77777777" w:rsidR="00B2304D" w:rsidRPr="00B2304D" w:rsidRDefault="00B2304D" w:rsidP="00B2304D">
      <w:pPr>
        <w:rPr>
          <w:sz w:val="24"/>
          <w:szCs w:val="24"/>
        </w:rPr>
      </w:pPr>
      <w:r w:rsidRPr="00B2304D">
        <w:rPr>
          <w:lang w:eastAsia="bg-BG"/>
        </w:rPr>
        <w:t>Дата на последно подновяване: 20 юни 2011 г.</w:t>
      </w:r>
    </w:p>
    <w:p w14:paraId="1E5013DA" w14:textId="77777777" w:rsidR="00B2304D" w:rsidRPr="00B2304D" w:rsidRDefault="00B2304D" w:rsidP="00B2304D"/>
    <w:p w14:paraId="0E9D0119" w14:textId="0245C6D7" w:rsidR="002C50EE" w:rsidRDefault="002C50EE" w:rsidP="002C50EE">
      <w:pPr>
        <w:pStyle w:val="Heading1"/>
      </w:pPr>
      <w:r>
        <w:lastRenderedPageBreak/>
        <w:t>10. ДАТА НА АКТУАЛИЗИРАНЕ НА ТЕКСТА</w:t>
      </w:r>
    </w:p>
    <w:bookmarkEnd w:id="0"/>
    <w:p w14:paraId="43FB38A2" w14:textId="7C5B6336" w:rsidR="007C605B" w:rsidRPr="003E3126" w:rsidRDefault="00B2304D" w:rsidP="00B2304D">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23C82"/>
    <w:multiLevelType w:val="hybridMultilevel"/>
    <w:tmpl w:val="4DD8D202"/>
    <w:lvl w:ilvl="0" w:tplc="0A688D3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62BF3"/>
    <w:multiLevelType w:val="hybridMultilevel"/>
    <w:tmpl w:val="A302FAF0"/>
    <w:lvl w:ilvl="0" w:tplc="0A688D3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7E407F"/>
    <w:rsid w:val="008134C8"/>
    <w:rsid w:val="00814073"/>
    <w:rsid w:val="00826F0D"/>
    <w:rsid w:val="00841991"/>
    <w:rsid w:val="00893B92"/>
    <w:rsid w:val="008A6AF2"/>
    <w:rsid w:val="008C70A2"/>
    <w:rsid w:val="00936AD0"/>
    <w:rsid w:val="009773E4"/>
    <w:rsid w:val="009B171C"/>
    <w:rsid w:val="009F1313"/>
    <w:rsid w:val="00A20351"/>
    <w:rsid w:val="00A65A81"/>
    <w:rsid w:val="00A9735A"/>
    <w:rsid w:val="00AA23EC"/>
    <w:rsid w:val="00AC63CE"/>
    <w:rsid w:val="00AE2107"/>
    <w:rsid w:val="00B2304D"/>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11341</Words>
  <Characters>64649</Characters>
  <Application>Microsoft Office Word</Application>
  <DocSecurity>0</DocSecurity>
  <Lines>538</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2022-09-03T19:33:00Z</dcterms:created>
  <dcterms:modified xsi:type="dcterms:W3CDTF">2022-09-03T19:33:00Z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