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7D8EF5A1" w14:textId="77777777" w:rsidR="00F051B5" w:rsidRPr="00F051B5" w:rsidRDefault="00F051B5" w:rsidP="00F051B5">
      <w:pPr>
        <w:spacing w:line="240" w:lineRule="auto"/>
        <w:rPr>
          <w:rFonts w:eastAsia="Times New Roman" w:cs="Arial"/>
          <w:sz w:val="28"/>
          <w:szCs w:val="24"/>
          <w:lang w:eastAsia="bg-BG"/>
        </w:rPr>
      </w:pPr>
      <w:r w:rsidRPr="00F051B5">
        <w:rPr>
          <w:rFonts w:eastAsia="Times New Roman" w:cs="Arial"/>
          <w:color w:val="000000"/>
          <w:szCs w:val="20"/>
          <w:lang w:eastAsia="bg-BG"/>
        </w:rPr>
        <w:t xml:space="preserve">ЛанзАцид 30 </w:t>
      </w:r>
      <w:r w:rsidRPr="00F051B5">
        <w:rPr>
          <w:rFonts w:eastAsia="Times New Roman" w:cs="Arial"/>
          <w:color w:val="000000"/>
          <w:szCs w:val="20"/>
          <w:lang w:val="en-US"/>
        </w:rPr>
        <w:t xml:space="preserve">mg </w:t>
      </w:r>
      <w:r w:rsidRPr="00F051B5">
        <w:rPr>
          <w:rFonts w:eastAsia="Times New Roman" w:cs="Arial"/>
          <w:color w:val="000000"/>
          <w:szCs w:val="20"/>
          <w:lang w:eastAsia="bg-BG"/>
        </w:rPr>
        <w:t>стомашно-устойчиви капсули, твърди</w:t>
      </w:r>
    </w:p>
    <w:p w14:paraId="69AC8148" w14:textId="70721A45" w:rsidR="00EC41ED" w:rsidRPr="00F051B5" w:rsidRDefault="00F051B5" w:rsidP="00F051B5">
      <w:pPr>
        <w:rPr>
          <w:rFonts w:cs="Arial"/>
          <w:sz w:val="24"/>
        </w:rPr>
      </w:pPr>
      <w:proofErr w:type="spellStart"/>
      <w:r w:rsidRPr="00F051B5">
        <w:rPr>
          <w:rFonts w:eastAsia="Times New Roman" w:cs="Arial"/>
          <w:color w:val="000000"/>
          <w:szCs w:val="20"/>
          <w:lang w:val="en-US"/>
        </w:rPr>
        <w:t>LanzAcid</w:t>
      </w:r>
      <w:proofErr w:type="spellEnd"/>
      <w:r w:rsidRPr="00F051B5">
        <w:rPr>
          <w:rFonts w:eastAsia="Times New Roman" w:cs="Arial"/>
          <w:color w:val="000000"/>
          <w:szCs w:val="20"/>
          <w:lang w:val="en-US"/>
        </w:rPr>
        <w:t xml:space="preserve"> </w:t>
      </w:r>
      <w:r w:rsidRPr="00F051B5">
        <w:rPr>
          <w:rFonts w:eastAsia="Times New Roman" w:cs="Arial"/>
          <w:color w:val="000000"/>
          <w:szCs w:val="20"/>
          <w:lang w:eastAsia="bg-BG"/>
        </w:rPr>
        <w:t xml:space="preserve">30 </w:t>
      </w:r>
      <w:r w:rsidRPr="00F051B5">
        <w:rPr>
          <w:rFonts w:eastAsia="Times New Roman" w:cs="Arial"/>
          <w:color w:val="000000"/>
          <w:szCs w:val="20"/>
          <w:lang w:val="en-US"/>
        </w:rPr>
        <w:t>mg gastro-resistant capsules, hard</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45ED0423" w14:textId="77777777" w:rsidR="00F051B5" w:rsidRPr="00F051B5" w:rsidRDefault="00F051B5" w:rsidP="00F051B5">
      <w:pPr>
        <w:spacing w:line="240" w:lineRule="auto"/>
        <w:rPr>
          <w:rFonts w:eastAsia="Times New Roman" w:cs="Arial"/>
          <w:sz w:val="28"/>
          <w:szCs w:val="24"/>
          <w:lang w:eastAsia="bg-BG"/>
        </w:rPr>
      </w:pPr>
      <w:r w:rsidRPr="00F051B5">
        <w:rPr>
          <w:rFonts w:eastAsia="Times New Roman" w:cs="Arial"/>
          <w:color w:val="000000"/>
          <w:szCs w:val="20"/>
          <w:lang w:eastAsia="bg-BG"/>
        </w:rPr>
        <w:t xml:space="preserve">Всяка стомашно-устойчива капсула съдържа 30 </w:t>
      </w:r>
      <w:r w:rsidRPr="00F051B5">
        <w:rPr>
          <w:rFonts w:eastAsia="Times New Roman" w:cs="Arial"/>
          <w:color w:val="000000"/>
          <w:szCs w:val="20"/>
          <w:lang w:val="en-US"/>
        </w:rPr>
        <w:t xml:space="preserve">mg </w:t>
      </w:r>
      <w:r w:rsidRPr="00F051B5">
        <w:rPr>
          <w:rFonts w:eastAsia="Times New Roman" w:cs="Arial"/>
          <w:color w:val="000000"/>
          <w:szCs w:val="20"/>
          <w:lang w:eastAsia="bg-BG"/>
        </w:rPr>
        <w:t xml:space="preserve">ланзопразол </w:t>
      </w:r>
      <w:r w:rsidRPr="00F051B5">
        <w:rPr>
          <w:rFonts w:eastAsia="Times New Roman" w:cs="Arial"/>
          <w:color w:val="000000"/>
          <w:szCs w:val="20"/>
          <w:lang w:val="en-US"/>
        </w:rPr>
        <w:t>(lansoprazole).</w:t>
      </w:r>
    </w:p>
    <w:p w14:paraId="30C49B51" w14:textId="77777777" w:rsidR="00F051B5" w:rsidRPr="00F051B5" w:rsidRDefault="00F051B5" w:rsidP="00F051B5">
      <w:pPr>
        <w:spacing w:line="240" w:lineRule="auto"/>
        <w:rPr>
          <w:rFonts w:eastAsia="Times New Roman" w:cs="Arial"/>
          <w:sz w:val="28"/>
          <w:szCs w:val="24"/>
          <w:lang w:eastAsia="bg-BG"/>
        </w:rPr>
      </w:pPr>
      <w:r w:rsidRPr="00F051B5">
        <w:rPr>
          <w:rFonts w:eastAsia="Times New Roman" w:cs="Arial"/>
          <w:color w:val="000000"/>
          <w:szCs w:val="20"/>
          <w:lang w:eastAsia="bg-BG"/>
        </w:rPr>
        <w:t xml:space="preserve">Помощни вещества с известно действие: всяка капсула съдържа захароза 200,949 </w:t>
      </w:r>
      <w:r w:rsidRPr="00F051B5">
        <w:rPr>
          <w:rFonts w:eastAsia="Times New Roman" w:cs="Arial"/>
          <w:color w:val="000000"/>
          <w:szCs w:val="20"/>
          <w:lang w:val="en-US"/>
        </w:rPr>
        <w:t>mg.</w:t>
      </w:r>
    </w:p>
    <w:p w14:paraId="54632B43" w14:textId="01873BC9" w:rsidR="00EC41ED" w:rsidRPr="00F051B5" w:rsidRDefault="00F051B5" w:rsidP="00F051B5">
      <w:pPr>
        <w:rPr>
          <w:rFonts w:cs="Arial"/>
          <w:sz w:val="24"/>
        </w:rPr>
      </w:pPr>
      <w:r w:rsidRPr="00F051B5">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23F9DC13" w14:textId="77777777" w:rsidR="00F051B5" w:rsidRPr="00F051B5" w:rsidRDefault="00F051B5" w:rsidP="00F051B5">
      <w:pPr>
        <w:spacing w:line="240" w:lineRule="auto"/>
        <w:rPr>
          <w:rFonts w:eastAsia="Times New Roman" w:cs="Arial"/>
          <w:sz w:val="28"/>
          <w:szCs w:val="24"/>
          <w:lang w:eastAsia="bg-BG"/>
        </w:rPr>
      </w:pPr>
      <w:r w:rsidRPr="00F051B5">
        <w:rPr>
          <w:rFonts w:eastAsia="Times New Roman" w:cs="Arial"/>
          <w:color w:val="000000"/>
          <w:szCs w:val="20"/>
          <w:lang w:eastAsia="bg-BG"/>
        </w:rPr>
        <w:t>Стомашно-устойчива капсула, твърда.</w:t>
      </w:r>
    </w:p>
    <w:p w14:paraId="743244F0" w14:textId="437C8B69" w:rsidR="00EC41ED" w:rsidRPr="00F051B5" w:rsidRDefault="00F051B5" w:rsidP="00F051B5">
      <w:pPr>
        <w:rPr>
          <w:rFonts w:cs="Arial"/>
          <w:sz w:val="24"/>
        </w:rPr>
      </w:pPr>
      <w:r w:rsidRPr="00F051B5">
        <w:rPr>
          <w:rFonts w:eastAsia="Times New Roman" w:cs="Arial"/>
          <w:color w:val="000000"/>
          <w:szCs w:val="20"/>
          <w:lang w:eastAsia="bg-BG"/>
        </w:rPr>
        <w:t>Твърди стомашно-устойчиви капсули № 1, непрозрачни с бяло тяло и капаче. Капсулата съдържа бели или почти бели сферични микрогранули.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138DD6AE" w14:textId="77777777" w:rsidR="00F051B5" w:rsidRPr="00F051B5" w:rsidRDefault="00F051B5" w:rsidP="00F051B5">
      <w:pPr>
        <w:spacing w:line="240" w:lineRule="auto"/>
        <w:rPr>
          <w:rFonts w:eastAsia="Times New Roman" w:cs="Arial"/>
          <w:sz w:val="28"/>
          <w:szCs w:val="24"/>
          <w:lang w:eastAsia="bg-BG"/>
        </w:rPr>
      </w:pPr>
      <w:r w:rsidRPr="00F051B5">
        <w:rPr>
          <w:rFonts w:eastAsia="Times New Roman" w:cs="Arial"/>
          <w:color w:val="000000"/>
          <w:szCs w:val="20"/>
          <w:lang w:eastAsia="bg-BG"/>
        </w:rPr>
        <w:t>ЛанзАцид се препоръчва при заболявания, при които е показано инхибиране на повишена секреция на солна киселина:</w:t>
      </w:r>
    </w:p>
    <w:p w14:paraId="46D00756" w14:textId="77777777" w:rsidR="00F051B5"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лечение на дуоденална и стомашна язва;</w:t>
      </w:r>
    </w:p>
    <w:p w14:paraId="097BFC1C" w14:textId="77777777" w:rsidR="00F051B5"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лечение на рефлукс езофагит;</w:t>
      </w:r>
    </w:p>
    <w:p w14:paraId="5A933A0C" w14:textId="77777777" w:rsidR="00F051B5"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профилактика на рефлукс езофагит;</w:t>
      </w:r>
    </w:p>
    <w:p w14:paraId="66C1D9A3" w14:textId="39DFD24A" w:rsidR="00F051B5"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 xml:space="preserve">ерадикация на </w:t>
      </w:r>
      <w:r w:rsidRPr="00F051B5">
        <w:rPr>
          <w:rFonts w:eastAsia="Times New Roman" w:cs="Arial"/>
          <w:i/>
          <w:iCs/>
          <w:color w:val="000000"/>
          <w:szCs w:val="20"/>
          <w:lang w:val="en-US"/>
        </w:rPr>
        <w:t>Helicobacter pylori</w:t>
      </w:r>
      <w:r w:rsidRPr="00F051B5">
        <w:rPr>
          <w:rFonts w:eastAsia="Times New Roman" w:cs="Arial"/>
          <w:color w:val="000000"/>
          <w:szCs w:val="20"/>
          <w:lang w:val="en-US"/>
        </w:rPr>
        <w:t xml:space="preserve"> </w:t>
      </w:r>
      <w:r w:rsidRPr="00F051B5">
        <w:rPr>
          <w:rFonts w:eastAsia="Times New Roman" w:cs="Arial"/>
          <w:color w:val="000000"/>
          <w:szCs w:val="20"/>
          <w:lang w:eastAsia="bg-BG"/>
        </w:rPr>
        <w:t xml:space="preserve">в комбинация със съответната антибиотична терапия за лечение на </w:t>
      </w:r>
      <w:r w:rsidRPr="00F051B5">
        <w:rPr>
          <w:rFonts w:eastAsia="Times New Roman" w:cs="Arial"/>
          <w:i/>
          <w:iCs/>
          <w:color w:val="000000"/>
          <w:szCs w:val="20"/>
          <w:lang w:val="en-US"/>
        </w:rPr>
        <w:t>Helicobacter pylori</w:t>
      </w:r>
      <w:r w:rsidRPr="00F051B5">
        <w:rPr>
          <w:rFonts w:eastAsia="Times New Roman" w:cs="Arial"/>
          <w:i/>
          <w:iCs/>
          <w:color w:val="000000"/>
          <w:szCs w:val="20"/>
          <w:lang w:eastAsia="bg-BG"/>
        </w:rPr>
        <w:t>-асоциирана язва;</w:t>
      </w:r>
    </w:p>
    <w:p w14:paraId="1FCE668B" w14:textId="77777777" w:rsidR="00F051B5"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 xml:space="preserve">синдром на </w:t>
      </w:r>
      <w:proofErr w:type="spellStart"/>
      <w:r w:rsidRPr="00F051B5">
        <w:rPr>
          <w:rFonts w:eastAsia="Times New Roman" w:cs="Arial"/>
          <w:color w:val="000000"/>
          <w:szCs w:val="20"/>
          <w:lang w:val="en-US"/>
        </w:rPr>
        <w:t>Zollinger</w:t>
      </w:r>
      <w:proofErr w:type="spellEnd"/>
      <w:r w:rsidRPr="00F051B5">
        <w:rPr>
          <w:rFonts w:eastAsia="Times New Roman" w:cs="Arial"/>
          <w:color w:val="000000"/>
          <w:szCs w:val="20"/>
          <w:lang w:val="en-US"/>
        </w:rPr>
        <w:t xml:space="preserve">-Ellison </w:t>
      </w:r>
      <w:r w:rsidRPr="00F051B5">
        <w:rPr>
          <w:rFonts w:eastAsia="Times New Roman" w:cs="Arial"/>
          <w:color w:val="000000"/>
          <w:szCs w:val="20"/>
          <w:lang w:eastAsia="bg-BG"/>
        </w:rPr>
        <w:t>и други състояния с повишена секреция на стомашната киселина;</w:t>
      </w:r>
    </w:p>
    <w:p w14:paraId="007798F3" w14:textId="77777777" w:rsidR="00F051B5"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лечение на НСПВС свързани доброкачествени стомашни и дуоденални язви при пациенти, изискващи продължително лечение с НСПВС;</w:t>
      </w:r>
    </w:p>
    <w:p w14:paraId="40EF2E20" w14:textId="77777777" w:rsidR="00F051B5"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профилактика на НСПВС, свързани стомашни язви и язви на дванадесетопръстника при пациенти с риск (вж. точка 4.2), изискващи продължителна терапия;</w:t>
      </w:r>
    </w:p>
    <w:p w14:paraId="6DFA4B9D" w14:textId="105C532A" w:rsidR="0091385D" w:rsidRPr="00F051B5" w:rsidRDefault="00F051B5" w:rsidP="00F051B5">
      <w:pPr>
        <w:pStyle w:val="ListParagraph"/>
        <w:numPr>
          <w:ilvl w:val="0"/>
          <w:numId w:val="36"/>
        </w:numPr>
        <w:spacing w:line="240" w:lineRule="auto"/>
        <w:rPr>
          <w:rFonts w:eastAsia="Times New Roman" w:cs="Arial"/>
          <w:color w:val="000000"/>
          <w:szCs w:val="20"/>
          <w:lang w:eastAsia="bg-BG"/>
        </w:rPr>
      </w:pPr>
      <w:r w:rsidRPr="00F051B5">
        <w:rPr>
          <w:rFonts w:eastAsia="Times New Roman" w:cs="Arial"/>
          <w:color w:val="000000"/>
          <w:szCs w:val="20"/>
          <w:lang w:eastAsia="bg-BG"/>
        </w:rPr>
        <w:t>симптоматична гастроезофагеална рефлуксна болест.</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4BC02031" w14:textId="77777777" w:rsidR="00F051B5" w:rsidRPr="00F051B5" w:rsidRDefault="00F051B5" w:rsidP="00F051B5">
      <w:pPr>
        <w:pStyle w:val="Heading3"/>
        <w:rPr>
          <w:rFonts w:eastAsia="Times New Roman"/>
          <w:u w:val="single"/>
          <w:lang w:eastAsia="bg-BG"/>
        </w:rPr>
      </w:pPr>
      <w:r w:rsidRPr="00F051B5">
        <w:rPr>
          <w:rFonts w:eastAsia="Times New Roman"/>
          <w:u w:val="single"/>
          <w:lang w:eastAsia="bg-BG"/>
        </w:rPr>
        <w:lastRenderedPageBreak/>
        <w:t>До</w:t>
      </w:r>
      <w:bookmarkStart w:id="1" w:name="_GoBack"/>
      <w:bookmarkEnd w:id="1"/>
      <w:r w:rsidRPr="00F051B5">
        <w:rPr>
          <w:rFonts w:eastAsia="Times New Roman"/>
          <w:u w:val="single"/>
          <w:lang w:eastAsia="bg-BG"/>
        </w:rPr>
        <w:t>зировка</w:t>
      </w:r>
    </w:p>
    <w:p w14:paraId="19CC2920" w14:textId="77777777" w:rsidR="00F051B5" w:rsidRPr="00F051B5" w:rsidRDefault="00F051B5" w:rsidP="00F051B5">
      <w:pPr>
        <w:spacing w:line="240" w:lineRule="auto"/>
        <w:rPr>
          <w:rFonts w:eastAsia="Times New Roman" w:cs="Arial"/>
          <w:color w:val="000000"/>
          <w:u w:val="single"/>
          <w:lang w:eastAsia="bg-BG"/>
        </w:rPr>
      </w:pPr>
    </w:p>
    <w:p w14:paraId="249FE6FF" w14:textId="577760DF"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Лечение на дуоденална язва:</w:t>
      </w:r>
    </w:p>
    <w:p w14:paraId="256D98DC"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Препоръчителната доза е 30 </w:t>
      </w:r>
      <w:r w:rsidRPr="00F051B5">
        <w:rPr>
          <w:rFonts w:eastAsia="Times New Roman" w:cs="Arial"/>
          <w:color w:val="000000"/>
          <w:lang w:val="en-US"/>
        </w:rPr>
        <w:t xml:space="preserve">mg </w:t>
      </w:r>
      <w:r w:rsidRPr="00F051B5">
        <w:rPr>
          <w:rFonts w:eastAsia="Times New Roman" w:cs="Arial"/>
          <w:color w:val="000000"/>
          <w:lang w:eastAsia="bg-BG"/>
        </w:rPr>
        <w:t>веднъж дневно в продължение на 2 седмици. При пациенти, не напълно излекувани, лечението продължава в същата доза за още две седмици.</w:t>
      </w:r>
    </w:p>
    <w:p w14:paraId="1CA601CF" w14:textId="77777777" w:rsidR="00F051B5" w:rsidRPr="00F051B5" w:rsidRDefault="00F051B5" w:rsidP="00F051B5">
      <w:pPr>
        <w:spacing w:line="240" w:lineRule="auto"/>
        <w:rPr>
          <w:rFonts w:eastAsia="Times New Roman" w:cs="Arial"/>
          <w:color w:val="000000"/>
          <w:u w:val="single"/>
          <w:lang w:eastAsia="bg-BG"/>
        </w:rPr>
      </w:pPr>
    </w:p>
    <w:p w14:paraId="788DE9B0" w14:textId="4852697F"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Лечение на стомашна язва:</w:t>
      </w:r>
    </w:p>
    <w:p w14:paraId="774B06DC"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Препоръчителната доза е 30 </w:t>
      </w:r>
      <w:r w:rsidRPr="00F051B5">
        <w:rPr>
          <w:rFonts w:eastAsia="Times New Roman" w:cs="Arial"/>
          <w:color w:val="000000"/>
          <w:lang w:val="en-US"/>
        </w:rPr>
        <w:t xml:space="preserve">mg </w:t>
      </w:r>
      <w:r w:rsidRPr="00F051B5">
        <w:rPr>
          <w:rFonts w:eastAsia="Times New Roman" w:cs="Arial"/>
          <w:color w:val="000000"/>
          <w:lang w:eastAsia="bg-BG"/>
        </w:rPr>
        <w:t>веднъж дневно в продължение на 4 седмици. Язвата обикновено се лекува в рамките на 4 седмици, но при пациенти не напълно излекувани в това време, лечението може да продължи в същата доза за още 4 седмици.</w:t>
      </w:r>
    </w:p>
    <w:p w14:paraId="44E20EB5" w14:textId="77777777" w:rsidR="00F051B5" w:rsidRPr="00F051B5" w:rsidRDefault="00F051B5" w:rsidP="00F051B5">
      <w:pPr>
        <w:spacing w:line="240" w:lineRule="auto"/>
        <w:rPr>
          <w:rFonts w:eastAsia="Times New Roman" w:cs="Arial"/>
          <w:color w:val="000000"/>
          <w:u w:val="single"/>
          <w:lang w:eastAsia="bg-BG"/>
        </w:rPr>
      </w:pPr>
    </w:p>
    <w:p w14:paraId="145324EE" w14:textId="27A01F6B"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Рефлукс езофагит:</w:t>
      </w:r>
    </w:p>
    <w:p w14:paraId="54BC6D71" w14:textId="048BF9E9"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Препоръчителната доза е 30 </w:t>
      </w:r>
      <w:r w:rsidRPr="00F051B5">
        <w:rPr>
          <w:rFonts w:eastAsia="Times New Roman" w:cs="Arial"/>
          <w:color w:val="000000"/>
          <w:lang w:val="en-US"/>
        </w:rPr>
        <w:t xml:space="preserve">mg </w:t>
      </w:r>
      <w:r w:rsidRPr="00F051B5">
        <w:rPr>
          <w:rFonts w:eastAsia="Times New Roman" w:cs="Arial"/>
          <w:color w:val="000000"/>
          <w:lang w:eastAsia="bg-BG"/>
        </w:rPr>
        <w:t>веднъж дневно в продължение на 4 седмици. При пациенти, напълно излекувани в това време, лечението може да продължи в същата доза за още 4</w:t>
      </w:r>
    </w:p>
    <w:p w14:paraId="7FBF1BCE" w14:textId="5BBF5D9E" w:rsidR="00EC41ED" w:rsidRPr="00F051B5" w:rsidRDefault="00F051B5" w:rsidP="00F051B5">
      <w:pPr>
        <w:rPr>
          <w:rFonts w:cs="Arial"/>
        </w:rPr>
      </w:pPr>
      <w:r w:rsidRPr="00F051B5">
        <w:rPr>
          <w:rFonts w:eastAsia="Times New Roman" w:cs="Arial"/>
          <w:color w:val="000000"/>
          <w:lang w:eastAsia="bg-BG"/>
        </w:rPr>
        <w:t>седмици.</w:t>
      </w:r>
    </w:p>
    <w:p w14:paraId="132F3111" w14:textId="08FF0C01" w:rsidR="005B0F27" w:rsidRPr="00F051B5" w:rsidRDefault="005B0F27" w:rsidP="0091385D">
      <w:pPr>
        <w:rPr>
          <w:rFonts w:cs="Arial"/>
        </w:rPr>
      </w:pPr>
    </w:p>
    <w:p w14:paraId="6C48CF4A"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Профилактика на рефлукс езофагит:</w:t>
      </w:r>
    </w:p>
    <w:p w14:paraId="40453E66"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Трябва да се приемат 15 </w:t>
      </w:r>
      <w:r w:rsidRPr="00F051B5">
        <w:rPr>
          <w:rFonts w:eastAsia="Times New Roman" w:cs="Arial"/>
          <w:color w:val="000000"/>
          <w:lang w:val="en-US"/>
        </w:rPr>
        <w:t xml:space="preserve">mg </w:t>
      </w:r>
      <w:r w:rsidRPr="00F051B5">
        <w:rPr>
          <w:rFonts w:eastAsia="Times New Roman" w:cs="Arial"/>
          <w:color w:val="000000"/>
          <w:lang w:eastAsia="bg-BG"/>
        </w:rPr>
        <w:t xml:space="preserve">веднъж дневно. Дозата може да бъде увеличена до 30 </w:t>
      </w:r>
      <w:r w:rsidRPr="00F051B5">
        <w:rPr>
          <w:rFonts w:eastAsia="Times New Roman" w:cs="Arial"/>
          <w:color w:val="000000"/>
          <w:lang w:val="en-US"/>
        </w:rPr>
        <w:t xml:space="preserve">mg </w:t>
      </w:r>
      <w:r w:rsidRPr="00F051B5">
        <w:rPr>
          <w:rFonts w:eastAsia="Times New Roman" w:cs="Arial"/>
          <w:color w:val="000000"/>
          <w:lang w:eastAsia="bg-BG"/>
        </w:rPr>
        <w:t>дневно, както е необходимо.</w:t>
      </w:r>
    </w:p>
    <w:p w14:paraId="69E7B46A" w14:textId="77777777" w:rsidR="00F051B5" w:rsidRPr="00F051B5" w:rsidRDefault="00F051B5" w:rsidP="00F051B5">
      <w:pPr>
        <w:spacing w:line="240" w:lineRule="auto"/>
        <w:rPr>
          <w:rFonts w:eastAsia="Times New Roman" w:cs="Arial"/>
          <w:color w:val="000000"/>
          <w:u w:val="single"/>
          <w:lang w:eastAsia="bg-BG"/>
        </w:rPr>
      </w:pPr>
    </w:p>
    <w:p w14:paraId="3B7793EA" w14:textId="67CE217D"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 xml:space="preserve">Премахване на </w:t>
      </w:r>
      <w:r w:rsidRPr="00F051B5">
        <w:rPr>
          <w:rFonts w:eastAsia="Times New Roman" w:cs="Arial"/>
          <w:color w:val="000000"/>
          <w:u w:val="single"/>
          <w:lang w:val="en-US"/>
        </w:rPr>
        <w:t>Helicobacter Pylori:</w:t>
      </w:r>
    </w:p>
    <w:p w14:paraId="75724F12"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При избора на подходяща терапия, предвид комбинираната терапия трябва да се имат предвид официалните местни ръководства по отношение на бактериална резистентност, продължителността на лечението, (най-често 7 дни, но понякога до 14 дни) и правилната употреба на антибактериални агенти.</w:t>
      </w:r>
    </w:p>
    <w:p w14:paraId="3D50684A"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Препоръчителната доза е 30 мг ланзопразол два пъти дневно в продължение на 7 дни в комбинация с едно от следните:</w:t>
      </w:r>
    </w:p>
    <w:p w14:paraId="61D2BCDA" w14:textId="77777777" w:rsidR="00F051B5" w:rsidRPr="00F051B5" w:rsidRDefault="00F051B5" w:rsidP="00F051B5">
      <w:pPr>
        <w:pStyle w:val="ListParagraph"/>
        <w:numPr>
          <w:ilvl w:val="0"/>
          <w:numId w:val="37"/>
        </w:numPr>
        <w:spacing w:line="240" w:lineRule="auto"/>
        <w:rPr>
          <w:rFonts w:eastAsia="Times New Roman" w:cs="Arial"/>
          <w:color w:val="000000"/>
          <w:lang w:eastAsia="bg-BG"/>
        </w:rPr>
      </w:pPr>
      <w:r w:rsidRPr="00F051B5">
        <w:rPr>
          <w:rFonts w:eastAsia="Times New Roman" w:cs="Arial"/>
          <w:color w:val="000000"/>
          <w:lang w:eastAsia="bg-BG"/>
        </w:rPr>
        <w:t>кларитромицин 250-500 мг два пъти дневно + амоксицилин един грам два пъти дневно;</w:t>
      </w:r>
    </w:p>
    <w:p w14:paraId="1930A536" w14:textId="7C303E4B" w:rsidR="00F051B5" w:rsidRPr="00F051B5" w:rsidRDefault="00F051B5" w:rsidP="00F051B5">
      <w:pPr>
        <w:pStyle w:val="ListParagraph"/>
        <w:numPr>
          <w:ilvl w:val="0"/>
          <w:numId w:val="37"/>
        </w:numPr>
        <w:spacing w:line="240" w:lineRule="auto"/>
        <w:rPr>
          <w:rFonts w:eastAsia="Times New Roman" w:cs="Arial"/>
          <w:color w:val="000000"/>
          <w:lang w:eastAsia="bg-BG"/>
        </w:rPr>
      </w:pPr>
      <w:r w:rsidRPr="00F051B5">
        <w:rPr>
          <w:rFonts w:eastAsia="Times New Roman" w:cs="Arial"/>
          <w:color w:val="000000"/>
          <w:lang w:eastAsia="bg-BG"/>
        </w:rPr>
        <w:t>кларитромицин 250 мг два пъти дневно + метронидазол 400-500 мг два пъти дневно.</w:t>
      </w:r>
    </w:p>
    <w:p w14:paraId="3ECC3F44" w14:textId="77777777" w:rsidR="00F051B5" w:rsidRPr="00F051B5" w:rsidRDefault="00F051B5" w:rsidP="00F051B5">
      <w:pPr>
        <w:spacing w:line="240" w:lineRule="auto"/>
        <w:rPr>
          <w:rFonts w:eastAsia="Times New Roman" w:cs="Arial"/>
          <w:color w:val="000000"/>
          <w:lang w:eastAsia="bg-BG"/>
        </w:rPr>
      </w:pPr>
    </w:p>
    <w:p w14:paraId="7A3EB918" w14:textId="790137F2"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Ерадикацията на Н. </w:t>
      </w:r>
      <w:r w:rsidRPr="00F051B5">
        <w:rPr>
          <w:rFonts w:eastAsia="Times New Roman" w:cs="Arial"/>
          <w:color w:val="000000"/>
          <w:lang w:val="en-US"/>
        </w:rPr>
        <w:t xml:space="preserve">Pylori </w:t>
      </w:r>
      <w:r w:rsidRPr="00F051B5">
        <w:rPr>
          <w:rFonts w:eastAsia="Times New Roman" w:cs="Arial"/>
          <w:color w:val="000000"/>
          <w:lang w:eastAsia="bg-BG"/>
        </w:rPr>
        <w:t>се постига, когато кларитромицин се комбинира или с амоксицилин или с метронидазол, и дава резултати при над 90% от пациентите, когато се използва в комбинация с ланзопразол.</w:t>
      </w:r>
    </w:p>
    <w:p w14:paraId="534FBB90"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Шест месеца след успешно лечение за ерадикация, рискът от повторна инфекция е минимален и рецидив е малко вероятно.</w:t>
      </w:r>
    </w:p>
    <w:p w14:paraId="34DB683E"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Разгледан е също случай на режим, включващ ланзопразол 30 мг два пъти дневно, амоксицилин 1 гр два пъти дневно и метронидазол 400-500 мг два пъти дневно. По-ниски нива на ерадикация са наблюдавани при използване на тази комбинация, отколкото по схема с кларитромицин. Тя може да бъде подходяща за тези, които не са в състояние да вземат кларитромицин като част от терапията за ерадикация, когато местните нива на резистентност към метронидазол са ниски.</w:t>
      </w:r>
    </w:p>
    <w:p w14:paraId="6FF6BD6E" w14:textId="77777777" w:rsidR="00F051B5" w:rsidRPr="00F051B5" w:rsidRDefault="00F051B5" w:rsidP="00F051B5">
      <w:pPr>
        <w:spacing w:line="240" w:lineRule="auto"/>
        <w:rPr>
          <w:rFonts w:eastAsia="Times New Roman" w:cs="Arial"/>
          <w:color w:val="000000"/>
          <w:u w:val="single"/>
          <w:lang w:eastAsia="bg-BG"/>
        </w:rPr>
      </w:pPr>
    </w:p>
    <w:p w14:paraId="603ADFB3" w14:textId="3BBD807B"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Лечение на свързани с НСПВС доброкачествени стомашни и дуоденални язви при пациенти, изискващи продължително лечение с НСПВС:</w:t>
      </w:r>
    </w:p>
    <w:p w14:paraId="4DA4B350"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Веднъж дневно 30 </w:t>
      </w:r>
      <w:r w:rsidRPr="00F051B5">
        <w:rPr>
          <w:rFonts w:eastAsia="Times New Roman" w:cs="Arial"/>
          <w:color w:val="000000"/>
          <w:lang w:val="en-US"/>
        </w:rPr>
        <w:t xml:space="preserve">mg </w:t>
      </w:r>
      <w:r w:rsidRPr="00F051B5">
        <w:rPr>
          <w:rFonts w:eastAsia="Times New Roman" w:cs="Arial"/>
          <w:color w:val="000000"/>
          <w:lang w:eastAsia="bg-BG"/>
        </w:rPr>
        <w:t xml:space="preserve">в продължение на четири седмици. При пациенти, не напълно излекувани от лечението може да се продължи за още четири седмици. За пациенти с </w:t>
      </w:r>
      <w:r w:rsidRPr="00F051B5">
        <w:rPr>
          <w:rFonts w:eastAsia="Times New Roman" w:cs="Arial"/>
          <w:color w:val="000000"/>
          <w:lang w:eastAsia="bg-BG"/>
        </w:rPr>
        <w:lastRenderedPageBreak/>
        <w:t>риск за язви, които са трудни за лечение, вероятно се използва за по-дълъг период на лечение и / или по-висока доза.</w:t>
      </w:r>
    </w:p>
    <w:p w14:paraId="78BCF514" w14:textId="77777777" w:rsidR="00F051B5" w:rsidRPr="00F051B5" w:rsidRDefault="00F051B5" w:rsidP="00F051B5">
      <w:pPr>
        <w:spacing w:line="240" w:lineRule="auto"/>
        <w:rPr>
          <w:rFonts w:eastAsia="Times New Roman" w:cs="Arial"/>
          <w:color w:val="000000"/>
          <w:lang w:eastAsia="bg-BG"/>
        </w:rPr>
      </w:pPr>
    </w:p>
    <w:p w14:paraId="427FE35F" w14:textId="3CA3F363"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Профилактика на НСПВС-свързана стомашна и дуоденална язва при пациенти, изложени на риск (като например 65-годишна възраст или анамнеза за стомашна или дуоденална язва), изискващи продължително лечение с НСПВС:</w:t>
      </w:r>
    </w:p>
    <w:p w14:paraId="3F428F26"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15 </w:t>
      </w:r>
      <w:r w:rsidRPr="00F051B5">
        <w:rPr>
          <w:rFonts w:eastAsia="Times New Roman" w:cs="Arial"/>
          <w:color w:val="000000"/>
          <w:lang w:val="en-US"/>
        </w:rPr>
        <w:t xml:space="preserve">mg </w:t>
      </w:r>
      <w:r w:rsidRPr="00F051B5">
        <w:rPr>
          <w:rFonts w:eastAsia="Times New Roman" w:cs="Arial"/>
          <w:color w:val="000000"/>
          <w:lang w:eastAsia="bg-BG"/>
        </w:rPr>
        <w:t xml:space="preserve">веднъж дневно. Ако лечението не окаже ефект, се прилагат 30 </w:t>
      </w:r>
      <w:r w:rsidRPr="00F051B5">
        <w:rPr>
          <w:rFonts w:eastAsia="Times New Roman" w:cs="Arial"/>
          <w:color w:val="000000"/>
          <w:lang w:val="en-US"/>
        </w:rPr>
        <w:t xml:space="preserve">mg </w:t>
      </w:r>
      <w:r w:rsidRPr="00F051B5">
        <w:rPr>
          <w:rFonts w:eastAsia="Times New Roman" w:cs="Arial"/>
          <w:color w:val="000000"/>
          <w:lang w:eastAsia="bg-BG"/>
        </w:rPr>
        <w:t>веднъж дневно.</w:t>
      </w:r>
    </w:p>
    <w:p w14:paraId="0FAB5A8D" w14:textId="77777777" w:rsidR="00F051B5" w:rsidRPr="00F051B5" w:rsidRDefault="00F051B5" w:rsidP="00F051B5">
      <w:pPr>
        <w:spacing w:line="240" w:lineRule="auto"/>
        <w:rPr>
          <w:rFonts w:eastAsia="Times New Roman" w:cs="Arial"/>
          <w:color w:val="000000"/>
          <w:u w:val="single"/>
          <w:lang w:eastAsia="bg-BG"/>
        </w:rPr>
      </w:pPr>
    </w:p>
    <w:p w14:paraId="777A8443" w14:textId="5124E67E"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Симптоматична гастроезофагеална рефлуксна болест</w:t>
      </w:r>
    </w:p>
    <w:p w14:paraId="3230E7EA"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Препоръчителната доза е 15 </w:t>
      </w:r>
      <w:r w:rsidRPr="00F051B5">
        <w:rPr>
          <w:rFonts w:eastAsia="Times New Roman" w:cs="Arial"/>
          <w:color w:val="000000"/>
          <w:lang w:val="en-US"/>
        </w:rPr>
        <w:t xml:space="preserve">mg </w:t>
      </w:r>
      <w:r w:rsidRPr="00F051B5">
        <w:rPr>
          <w:rFonts w:eastAsia="Times New Roman" w:cs="Arial"/>
          <w:color w:val="000000"/>
          <w:lang w:eastAsia="bg-BG"/>
        </w:rPr>
        <w:t xml:space="preserve">или 30 </w:t>
      </w:r>
      <w:r w:rsidRPr="00F051B5">
        <w:rPr>
          <w:rFonts w:eastAsia="Times New Roman" w:cs="Arial"/>
          <w:color w:val="000000"/>
          <w:lang w:val="en-US"/>
        </w:rPr>
        <w:t xml:space="preserve">mg </w:t>
      </w:r>
      <w:r w:rsidRPr="00F051B5">
        <w:rPr>
          <w:rFonts w:eastAsia="Times New Roman" w:cs="Arial"/>
          <w:color w:val="000000"/>
          <w:lang w:eastAsia="bg-BG"/>
        </w:rPr>
        <w:t xml:space="preserve">дневно. Облекчаване на симптомите се постига бързо. Трябва да се разглежда индивидуално регулиране на дозата. Ако симптомите не се освобождават в рамките на 4 седмици с дневна доза от 30 </w:t>
      </w:r>
      <w:r w:rsidRPr="00F051B5">
        <w:rPr>
          <w:rFonts w:eastAsia="Times New Roman" w:cs="Arial"/>
          <w:color w:val="000000"/>
          <w:lang w:val="en-US"/>
        </w:rPr>
        <w:t xml:space="preserve">mg, </w:t>
      </w:r>
      <w:r w:rsidRPr="00F051B5">
        <w:rPr>
          <w:rFonts w:eastAsia="Times New Roman" w:cs="Arial"/>
          <w:color w:val="000000"/>
          <w:lang w:eastAsia="bg-BG"/>
        </w:rPr>
        <w:t>са препоръчани по-нататъшни изследвания.</w:t>
      </w:r>
    </w:p>
    <w:p w14:paraId="4F998F8D" w14:textId="77777777" w:rsidR="00F051B5" w:rsidRPr="00F051B5" w:rsidRDefault="00F051B5" w:rsidP="00F051B5">
      <w:pPr>
        <w:spacing w:line="240" w:lineRule="auto"/>
        <w:rPr>
          <w:rFonts w:eastAsia="Times New Roman" w:cs="Arial"/>
          <w:color w:val="000000"/>
          <w:u w:val="single"/>
          <w:lang w:eastAsia="bg-BG"/>
        </w:rPr>
      </w:pPr>
    </w:p>
    <w:p w14:paraId="193DD34D" w14:textId="13CD8CA7"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 xml:space="preserve">Синдром на </w:t>
      </w:r>
      <w:proofErr w:type="spellStart"/>
      <w:r w:rsidRPr="00F051B5">
        <w:rPr>
          <w:rFonts w:eastAsia="Times New Roman" w:cs="Arial"/>
          <w:color w:val="000000"/>
          <w:u w:val="single"/>
          <w:lang w:val="en-US"/>
        </w:rPr>
        <w:t>Zollinger</w:t>
      </w:r>
      <w:proofErr w:type="spellEnd"/>
      <w:r w:rsidRPr="00F051B5">
        <w:rPr>
          <w:rFonts w:eastAsia="Times New Roman" w:cs="Arial"/>
          <w:color w:val="000000"/>
          <w:u w:val="single"/>
          <w:lang w:val="en-US"/>
        </w:rPr>
        <w:t>-Ellison:</w:t>
      </w:r>
    </w:p>
    <w:p w14:paraId="73DFFBE6"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Препоръчителната начална доза е 60 </w:t>
      </w:r>
      <w:r w:rsidRPr="00F051B5">
        <w:rPr>
          <w:rFonts w:eastAsia="Times New Roman" w:cs="Arial"/>
          <w:color w:val="000000"/>
          <w:lang w:val="en-US"/>
        </w:rPr>
        <w:t xml:space="preserve">mg </w:t>
      </w:r>
      <w:r w:rsidRPr="00F051B5">
        <w:rPr>
          <w:rFonts w:eastAsia="Times New Roman" w:cs="Arial"/>
          <w:color w:val="000000"/>
          <w:lang w:eastAsia="bg-BG"/>
        </w:rPr>
        <w:t xml:space="preserve">веднъж дневно. Дозата трябва да се адаптира индивидуално и лечението трябва да продължи толкова дълго, колкото е необходимо. Използвани са дневни дози до 180 мг. Ако е необходимо дневната доза да надвишава 120 </w:t>
      </w:r>
      <w:r w:rsidRPr="00F051B5">
        <w:rPr>
          <w:rFonts w:eastAsia="Times New Roman" w:cs="Arial"/>
          <w:color w:val="000000"/>
          <w:lang w:val="en-US"/>
        </w:rPr>
        <w:t xml:space="preserve">mg, </w:t>
      </w:r>
      <w:r w:rsidRPr="00F051B5">
        <w:rPr>
          <w:rFonts w:eastAsia="Times New Roman" w:cs="Arial"/>
          <w:color w:val="000000"/>
          <w:lang w:eastAsia="bg-BG"/>
        </w:rPr>
        <w:t>трябва да се прилага в две отделни дози.</w:t>
      </w:r>
    </w:p>
    <w:p w14:paraId="122796B6" w14:textId="77777777" w:rsidR="00F051B5" w:rsidRPr="00F051B5" w:rsidRDefault="00F051B5" w:rsidP="00F051B5">
      <w:pPr>
        <w:spacing w:line="240" w:lineRule="auto"/>
        <w:rPr>
          <w:rFonts w:eastAsia="Times New Roman" w:cs="Arial"/>
          <w:color w:val="000000"/>
          <w:u w:val="single"/>
          <w:lang w:eastAsia="bg-BG"/>
        </w:rPr>
      </w:pPr>
    </w:p>
    <w:p w14:paraId="72CF98F8" w14:textId="1CA57288"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Нарушена бъбречна функция:</w:t>
      </w:r>
    </w:p>
    <w:p w14:paraId="212C4A06"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Не е необходимо адаптиране на дозата при пациенти с увредена бъбречна функция. </w:t>
      </w:r>
      <w:r w:rsidRPr="00F051B5">
        <w:rPr>
          <w:rFonts w:eastAsia="Times New Roman" w:cs="Arial"/>
          <w:color w:val="000000"/>
          <w:u w:val="single"/>
          <w:lang w:eastAsia="bg-BG"/>
        </w:rPr>
        <w:t>_</w:t>
      </w:r>
    </w:p>
    <w:p w14:paraId="2C7EEF0C" w14:textId="77777777" w:rsidR="00F051B5" w:rsidRPr="00F051B5" w:rsidRDefault="00F051B5" w:rsidP="00F051B5">
      <w:pPr>
        <w:spacing w:line="240" w:lineRule="auto"/>
        <w:rPr>
          <w:rFonts w:eastAsia="Times New Roman" w:cs="Arial"/>
          <w:color w:val="000000"/>
          <w:u w:val="single"/>
          <w:lang w:eastAsia="bg-BG"/>
        </w:rPr>
      </w:pPr>
    </w:p>
    <w:p w14:paraId="3B207942" w14:textId="4058DF65"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Нарушена чернодробна функция</w:t>
      </w:r>
    </w:p>
    <w:p w14:paraId="3B7C4A38" w14:textId="75F12C0E"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При пациенти с умерено или тежко чернодробно заболяване се препоръчва да бъдат под редовно наблюдение и при необходимост намаляване на дневната доза с 50% (вж. точка 5.2).</w:t>
      </w:r>
    </w:p>
    <w:p w14:paraId="47540FF1" w14:textId="403405DA" w:rsidR="00F051B5" w:rsidRPr="00F051B5" w:rsidRDefault="00F051B5" w:rsidP="0091385D">
      <w:pPr>
        <w:rPr>
          <w:rFonts w:cs="Arial"/>
        </w:rPr>
      </w:pPr>
    </w:p>
    <w:p w14:paraId="3A1E6FC3"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 xml:space="preserve">Пациенти </w:t>
      </w:r>
      <w:r w:rsidRPr="00F051B5">
        <w:rPr>
          <w:rFonts w:eastAsia="Times New Roman" w:cs="Arial"/>
          <w:b/>
          <w:bCs/>
          <w:i/>
          <w:iCs/>
          <w:color w:val="000000"/>
          <w:u w:val="single"/>
          <w:lang w:eastAsia="bg-BG"/>
        </w:rPr>
        <w:t>в</w:t>
      </w:r>
      <w:r w:rsidRPr="00F051B5">
        <w:rPr>
          <w:rFonts w:eastAsia="Times New Roman" w:cs="Arial"/>
          <w:color w:val="000000"/>
          <w:u w:val="single"/>
          <w:lang w:eastAsia="bg-BG"/>
        </w:rPr>
        <w:t xml:space="preserve"> старческа възраст:</w:t>
      </w:r>
    </w:p>
    <w:p w14:paraId="3CB26E85"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Поради намален клирънс на ланзопразол, при пациенти в напреднала възраст може да се наложи корекция на дозата в зависимост от индивидуалните изисквания. Дневна доза от 30 </w:t>
      </w:r>
      <w:r w:rsidRPr="00F051B5">
        <w:rPr>
          <w:rFonts w:eastAsia="Times New Roman" w:cs="Arial"/>
          <w:color w:val="000000"/>
          <w:lang w:val="en-US"/>
        </w:rPr>
        <w:t xml:space="preserve">mg </w:t>
      </w:r>
      <w:r w:rsidRPr="00F051B5">
        <w:rPr>
          <w:rFonts w:eastAsia="Times New Roman" w:cs="Arial"/>
          <w:color w:val="000000"/>
          <w:lang w:eastAsia="bg-BG"/>
        </w:rPr>
        <w:t>не трябва да се надвишава в напреднала възраст, освен ако не са налице убедителни клинични индикации.</w:t>
      </w:r>
    </w:p>
    <w:p w14:paraId="465772FF" w14:textId="77777777" w:rsidR="00F051B5" w:rsidRPr="00F051B5" w:rsidRDefault="00F051B5" w:rsidP="00F051B5">
      <w:pPr>
        <w:spacing w:line="240" w:lineRule="auto"/>
        <w:rPr>
          <w:rFonts w:eastAsia="Times New Roman" w:cs="Arial"/>
          <w:color w:val="000000"/>
          <w:u w:val="single"/>
          <w:lang w:eastAsia="bg-BG"/>
        </w:rPr>
      </w:pPr>
    </w:p>
    <w:p w14:paraId="2446C6A0" w14:textId="302CEB9B"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Педиатрична популация:</w:t>
      </w:r>
    </w:p>
    <w:p w14:paraId="4A3EA797"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Използването на ланзопразол не се препоръчва при деца, тъй като клиничните данни са ограничени (вж. също точка 5.2). Лечение на малки деца под едногодишна възраст трябва да се избягва, тъй като наличните данни не са показали благоприятни ефекти при лечение на гастро- езофагеална рефлуксна болест.</w:t>
      </w:r>
    </w:p>
    <w:p w14:paraId="42D2E877" w14:textId="77777777" w:rsidR="00F051B5" w:rsidRPr="00F051B5" w:rsidRDefault="00F051B5" w:rsidP="00F051B5">
      <w:pPr>
        <w:spacing w:line="240" w:lineRule="auto"/>
        <w:rPr>
          <w:rFonts w:eastAsia="Times New Roman" w:cs="Arial"/>
          <w:color w:val="000000"/>
          <w:u w:val="single"/>
          <w:lang w:eastAsia="bg-BG"/>
        </w:rPr>
      </w:pPr>
    </w:p>
    <w:p w14:paraId="60B01FEC" w14:textId="3A96B60D" w:rsidR="00F051B5" w:rsidRPr="00F051B5" w:rsidRDefault="00F051B5" w:rsidP="00F051B5">
      <w:pPr>
        <w:pStyle w:val="Heading3"/>
        <w:rPr>
          <w:rFonts w:eastAsia="Times New Roman"/>
          <w:u w:val="single"/>
          <w:lang w:eastAsia="bg-BG"/>
        </w:rPr>
      </w:pPr>
      <w:r w:rsidRPr="00F051B5">
        <w:rPr>
          <w:rFonts w:eastAsia="Times New Roman"/>
          <w:u w:val="single"/>
          <w:lang w:eastAsia="bg-BG"/>
        </w:rPr>
        <w:t>Начин на приложение</w:t>
      </w:r>
    </w:p>
    <w:p w14:paraId="26D16446" w14:textId="5FC5994B" w:rsidR="00F051B5" w:rsidRPr="00F051B5" w:rsidRDefault="00F051B5" w:rsidP="00F051B5">
      <w:pPr>
        <w:rPr>
          <w:rFonts w:cs="Arial"/>
        </w:rPr>
      </w:pPr>
      <w:r w:rsidRPr="00F051B5">
        <w:rPr>
          <w:rFonts w:eastAsia="Times New Roman" w:cs="Arial"/>
          <w:color w:val="000000"/>
          <w:lang w:eastAsia="bg-BG"/>
        </w:rPr>
        <w:t xml:space="preserve">За оптимален ефект ланзопразол трябва да се приема веднъж дневно, сутрин, с изключение, когато се използва за ерадикация на Н. </w:t>
      </w:r>
      <w:r w:rsidRPr="00F051B5">
        <w:rPr>
          <w:rFonts w:eastAsia="Times New Roman" w:cs="Arial"/>
          <w:color w:val="000000"/>
          <w:lang w:val="en-US"/>
        </w:rPr>
        <w:t xml:space="preserve">Pylori, </w:t>
      </w:r>
      <w:r w:rsidRPr="00F051B5">
        <w:rPr>
          <w:rFonts w:eastAsia="Times New Roman" w:cs="Arial"/>
          <w:color w:val="000000"/>
          <w:lang w:eastAsia="bg-BG"/>
        </w:rPr>
        <w:t>когато лечението трябва да бъде два пъти дневно, веднъж сутрин и веднъж вечер. Ланзопразол трябва да се приема най-малко 30 минути преди хранене (вж. точка 5.2). Капсулите трябва да се поглъщат цели с течност.</w:t>
      </w:r>
    </w:p>
    <w:p w14:paraId="12AF562B" w14:textId="77777777" w:rsidR="00F051B5" w:rsidRPr="0091385D" w:rsidRDefault="00F051B5"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030B6A4D" w14:textId="77876304" w:rsidR="00EC41ED" w:rsidRPr="00F051B5" w:rsidRDefault="00F051B5" w:rsidP="0091385D">
      <w:pPr>
        <w:rPr>
          <w:rFonts w:cs="Arial"/>
        </w:rPr>
      </w:pPr>
      <w:r w:rsidRPr="00F051B5">
        <w:rPr>
          <w:rFonts w:cs="Arial"/>
        </w:rPr>
        <w:lastRenderedPageBreak/>
        <w:t>Свръхчувствителност към ланзопразол или към някоя от другите съставки на лекарството. Ланзопразол не трябва да се прилага с атазанавир (вж. точка 4.5).</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206C9C41"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Както с други противоязвени терапии, възможността за злокачествен тумор на стомаха трябва да бъде изключена при лечение на язва на стомаха с ланзопразол, защото ланзопразол може да маскира симптомите и да доведе до забавяне на диагнозата.</w:t>
      </w:r>
    </w:p>
    <w:p w14:paraId="01B31AFF"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Ланзопразол трябва да се използва с повишено внимание при пациенти с умерена и тежка чернодробна дисфункция (вж. точки 4.2 и 5.2).</w:t>
      </w:r>
    </w:p>
    <w:p w14:paraId="4F1F50A6"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Може да се очаква понижената стомашна киселинност да увеличи броя на стомашните бактерии, които обикновено присъстват в стомашно-чревния тракт. Лечението с ланзопразол може да доведе до леко повишен риск от стомашно-чревни инфекции като </w:t>
      </w:r>
      <w:r w:rsidRPr="00F051B5">
        <w:rPr>
          <w:rFonts w:eastAsia="Times New Roman" w:cs="Arial"/>
          <w:color w:val="000000"/>
          <w:lang w:val="en-US"/>
        </w:rPr>
        <w:t xml:space="preserve">Salmonella, Campylobacter </w:t>
      </w:r>
      <w:r w:rsidRPr="00F051B5">
        <w:rPr>
          <w:rFonts w:eastAsia="Times New Roman" w:cs="Arial"/>
          <w:color w:val="000000"/>
          <w:lang w:eastAsia="bg-BG"/>
        </w:rPr>
        <w:t xml:space="preserve">и </w:t>
      </w:r>
      <w:r w:rsidRPr="00F051B5">
        <w:rPr>
          <w:rFonts w:eastAsia="Times New Roman" w:cs="Arial"/>
          <w:color w:val="000000"/>
          <w:lang w:val="en-US"/>
        </w:rPr>
        <w:t>Clostridium difficile.</w:t>
      </w:r>
    </w:p>
    <w:p w14:paraId="7F65C9FE"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При пациенти, страдащи от стомашно-дуоденални язви, трябва да се има предвид възможността от Н. </w:t>
      </w:r>
      <w:proofErr w:type="gramStart"/>
      <w:r w:rsidRPr="00F051B5">
        <w:rPr>
          <w:rFonts w:eastAsia="Times New Roman" w:cs="Arial"/>
          <w:color w:val="000000"/>
          <w:lang w:val="en-US"/>
        </w:rPr>
        <w:t>pylori</w:t>
      </w:r>
      <w:proofErr w:type="gramEnd"/>
      <w:r w:rsidRPr="00F051B5">
        <w:rPr>
          <w:rFonts w:eastAsia="Times New Roman" w:cs="Arial"/>
          <w:color w:val="000000"/>
          <w:lang w:val="en-US"/>
        </w:rPr>
        <w:t xml:space="preserve"> </w:t>
      </w:r>
      <w:r w:rsidRPr="00F051B5">
        <w:rPr>
          <w:rFonts w:eastAsia="Times New Roman" w:cs="Arial"/>
          <w:color w:val="000000"/>
          <w:lang w:eastAsia="bg-BG"/>
        </w:rPr>
        <w:t>инфекция като етиологичен фактор.</w:t>
      </w:r>
    </w:p>
    <w:p w14:paraId="7F03165F"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Ако ланзопразол се използва в комбинация с антибиотици за ликвидиране на Н.</w:t>
      </w:r>
      <w:r w:rsidRPr="00F051B5">
        <w:rPr>
          <w:rFonts w:eastAsia="Times New Roman" w:cs="Arial"/>
          <w:color w:val="000000"/>
          <w:lang w:val="en-US"/>
        </w:rPr>
        <w:t xml:space="preserve"> </w:t>
      </w:r>
      <w:proofErr w:type="gramStart"/>
      <w:r w:rsidRPr="00F051B5">
        <w:rPr>
          <w:rFonts w:eastAsia="Times New Roman" w:cs="Arial"/>
          <w:color w:val="000000"/>
          <w:lang w:val="en-US"/>
        </w:rPr>
        <w:t>pylori</w:t>
      </w:r>
      <w:proofErr w:type="gramEnd"/>
      <w:r w:rsidRPr="00F051B5">
        <w:rPr>
          <w:rFonts w:eastAsia="Times New Roman" w:cs="Arial"/>
          <w:color w:val="000000"/>
          <w:lang w:val="en-US"/>
        </w:rPr>
        <w:t xml:space="preserve">, </w:t>
      </w:r>
      <w:r w:rsidRPr="00F051B5">
        <w:rPr>
          <w:rFonts w:eastAsia="Times New Roman" w:cs="Arial"/>
          <w:color w:val="000000"/>
          <w:lang w:eastAsia="bg-BG"/>
        </w:rPr>
        <w:t>тогава трябва да се следват инструкциите за използване на тези антибиотици.</w:t>
      </w:r>
    </w:p>
    <w:p w14:paraId="347E3984"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Поради ограничените данни за безопасност за пациентите на поддържащо лечение за по-дълъг срок от 1 година, при тези пациенти трябва редовно да се извършва преглед на лечението и задълбочена оценка на съотношението полза/риск.</w:t>
      </w:r>
    </w:p>
    <w:p w14:paraId="6971524B"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Съобщени са много редки случаи на колит при пациенти, приемащи ланзопразол. Следователно, в случай на тежка и/или персистираща диария, трябва да се обмисли преустановяване на лечението.</w:t>
      </w:r>
    </w:p>
    <w:p w14:paraId="3B6F032E"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Лечението като профилактична мярка за предпазване от пептични язви при продължително лечение с НСПВС трябва да бъде сведено само до високо-рискови пациенти (например с предишно гастро-интестинално кървене, перфорация или язва; старческа възраст, едновременната употреба на лекарства, които увеличават риска от горецитираните стомашно- чревни нежелани лекарствени реакции [например кортикостероиди или антикоагуланти], наличие на сериозна коморбидност или продължителна употреба на НСПВС в максимални препоръчителни дози.).</w:t>
      </w:r>
    </w:p>
    <w:p w14:paraId="27A4CD5A" w14:textId="77777777" w:rsidR="00F051B5" w:rsidRPr="00F051B5" w:rsidRDefault="00F051B5" w:rsidP="00F051B5">
      <w:pPr>
        <w:rPr>
          <w:rFonts w:eastAsia="Times New Roman" w:cs="Arial"/>
          <w:lang w:eastAsia="bg-BG"/>
        </w:rPr>
      </w:pPr>
      <w:r w:rsidRPr="00F051B5">
        <w:rPr>
          <w:rFonts w:eastAsia="Times New Roman" w:cs="Arial"/>
          <w:color w:val="000000"/>
          <w:lang w:eastAsia="bg-BG"/>
        </w:rPr>
        <w:t>Инхибитори на протонната помпа, особено ако се използват във високи дози и дълга</w:t>
      </w:r>
      <w:r w:rsidRPr="00F051B5">
        <w:rPr>
          <w:rFonts w:eastAsia="Times New Roman" w:cs="Arial"/>
          <w:b/>
          <w:bCs/>
          <w:i/>
          <w:iCs/>
          <w:color w:val="000000"/>
          <w:lang w:eastAsia="bg-BG"/>
        </w:rPr>
        <w:t xml:space="preserve"> </w:t>
      </w:r>
      <w:r w:rsidRPr="00F051B5">
        <w:rPr>
          <w:rFonts w:eastAsia="Times New Roman" w:cs="Arial"/>
          <w:color w:val="000000"/>
          <w:lang w:eastAsia="bg-BG"/>
        </w:rPr>
        <w:t>продължителност (&gt; 1 година), може слабо да увеличат риска от фрактура на бедрото,</w:t>
      </w:r>
      <w:r w:rsidRPr="00F051B5">
        <w:rPr>
          <w:rFonts w:eastAsia="Times New Roman" w:cs="Arial"/>
          <w:lang w:eastAsia="bg-BG"/>
        </w:rPr>
        <w:t xml:space="preserve"> </w:t>
      </w:r>
      <w:r w:rsidRPr="00F051B5">
        <w:rPr>
          <w:rFonts w:eastAsia="Times New Roman" w:cs="Arial"/>
          <w:color w:val="000000"/>
          <w:lang w:eastAsia="bg-BG"/>
        </w:rPr>
        <w:t>гръбначния стълб и китката, предимно в напреднала възраст или при наличие на други известни рискови фактори. Обсервационни проучвания показват, че инхибиторите на протонната помпа може да увеличат общия риск от фрактура с 10-40%. Част от това</w:t>
      </w:r>
      <w:r w:rsidRPr="00F051B5">
        <w:rPr>
          <w:rFonts w:eastAsia="Times New Roman" w:cs="Arial"/>
          <w:lang w:eastAsia="bg-BG"/>
        </w:rPr>
        <w:t xml:space="preserve"> </w:t>
      </w:r>
      <w:r w:rsidRPr="00F051B5">
        <w:rPr>
          <w:rFonts w:eastAsia="Times New Roman" w:cs="Arial"/>
          <w:color w:val="000000"/>
          <w:lang w:eastAsia="bg-BG"/>
        </w:rPr>
        <w:t xml:space="preserve">увеличение може да се дължи на други рискови фактори. Пациенти с повишен риск от остеопороза трябва да получават грижи в съответствие с настоящите клинични насоки и те трябва да имат адекватен прием на витамин </w:t>
      </w:r>
      <w:r w:rsidRPr="00F051B5">
        <w:rPr>
          <w:rFonts w:eastAsia="Times New Roman" w:cs="Arial"/>
          <w:color w:val="000000"/>
          <w:lang w:val="en-US"/>
        </w:rPr>
        <w:t xml:space="preserve">D </w:t>
      </w:r>
      <w:r w:rsidRPr="00F051B5">
        <w:rPr>
          <w:rFonts w:eastAsia="Times New Roman" w:cs="Arial"/>
          <w:color w:val="000000"/>
          <w:lang w:eastAsia="bg-BG"/>
        </w:rPr>
        <w:t>и калций.</w:t>
      </w:r>
    </w:p>
    <w:p w14:paraId="1D675435" w14:textId="77777777" w:rsidR="00F051B5" w:rsidRPr="00F051B5" w:rsidRDefault="00F051B5" w:rsidP="00F051B5">
      <w:pPr>
        <w:spacing w:line="240" w:lineRule="auto"/>
        <w:rPr>
          <w:rFonts w:eastAsia="Times New Roman" w:cs="Arial"/>
          <w:color w:val="000000"/>
          <w:lang w:eastAsia="bg-BG"/>
        </w:rPr>
      </w:pPr>
    </w:p>
    <w:p w14:paraId="7866C27E" w14:textId="039244D5"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Не се препоръчва едновременно приложение на ланзопразол с </w:t>
      </w:r>
      <w:r w:rsidRPr="00F051B5">
        <w:rPr>
          <w:rFonts w:eastAsia="Times New Roman" w:cs="Arial"/>
          <w:color w:val="000000"/>
          <w:lang w:val="en-US"/>
        </w:rPr>
        <w:t xml:space="preserve">HIV </w:t>
      </w:r>
      <w:r w:rsidRPr="00F051B5">
        <w:rPr>
          <w:rFonts w:eastAsia="Times New Roman" w:cs="Arial"/>
          <w:color w:val="000000"/>
          <w:lang w:eastAsia="bg-BG"/>
        </w:rPr>
        <w:t xml:space="preserve">протеазни инхибитори, чиято абсорбция зависи от кисело стомашно </w:t>
      </w:r>
      <w:r w:rsidRPr="00F051B5">
        <w:rPr>
          <w:rFonts w:eastAsia="Times New Roman" w:cs="Arial"/>
          <w:color w:val="000000"/>
          <w:lang w:val="en-US"/>
        </w:rPr>
        <w:t xml:space="preserve">pH, </w:t>
      </w:r>
      <w:r w:rsidRPr="00F051B5">
        <w:rPr>
          <w:rFonts w:eastAsia="Times New Roman" w:cs="Arial"/>
          <w:color w:val="000000"/>
          <w:lang w:eastAsia="bg-BG"/>
        </w:rPr>
        <w:t xml:space="preserve">като атазанавир и нелфинавир, поради значителна редукция на тяхната бионаличност (вж.точка 4.5). Ако едновременното приложение на ланзопразол с </w:t>
      </w:r>
      <w:r w:rsidRPr="00F051B5">
        <w:rPr>
          <w:rFonts w:eastAsia="Times New Roman" w:cs="Arial"/>
          <w:color w:val="000000"/>
          <w:lang w:val="en-US"/>
        </w:rPr>
        <w:t xml:space="preserve">HIV </w:t>
      </w:r>
      <w:r w:rsidRPr="00F051B5">
        <w:rPr>
          <w:rFonts w:eastAsia="Times New Roman" w:cs="Arial"/>
          <w:color w:val="000000"/>
          <w:lang w:eastAsia="bg-BG"/>
        </w:rPr>
        <w:t>протеазни инхибитори е неизбежно, се препоръчва внимателно клинично проследяване.</w:t>
      </w:r>
    </w:p>
    <w:p w14:paraId="0D78BBDC" w14:textId="77777777" w:rsidR="00F051B5" w:rsidRPr="00F051B5" w:rsidRDefault="00F051B5" w:rsidP="00F051B5">
      <w:pPr>
        <w:spacing w:line="240" w:lineRule="auto"/>
        <w:rPr>
          <w:rFonts w:eastAsia="Times New Roman" w:cs="Arial"/>
          <w:color w:val="000000"/>
          <w:lang w:eastAsia="bg-BG"/>
        </w:rPr>
      </w:pPr>
    </w:p>
    <w:p w14:paraId="194062F2" w14:textId="20162AE8"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Бъбречно увреждане</w:t>
      </w:r>
    </w:p>
    <w:p w14:paraId="5620AB77"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Наблюдаван е остър тубулоинтерстициален нефрит </w:t>
      </w:r>
      <w:r w:rsidRPr="00F051B5">
        <w:rPr>
          <w:rFonts w:eastAsia="Times New Roman" w:cs="Arial"/>
          <w:color w:val="000000"/>
          <w:lang w:val="en-US"/>
        </w:rPr>
        <w:t xml:space="preserve">(TIN) </w:t>
      </w:r>
      <w:r w:rsidRPr="00F051B5">
        <w:rPr>
          <w:rFonts w:eastAsia="Times New Roman" w:cs="Arial"/>
          <w:color w:val="000000"/>
          <w:lang w:eastAsia="bg-BG"/>
        </w:rPr>
        <w:t xml:space="preserve">при пациенти, приемащи ланзопразол и той може да се появи във всеки момент по време на терапията с </w:t>
      </w:r>
      <w:r w:rsidRPr="00F051B5">
        <w:rPr>
          <w:rFonts w:eastAsia="Times New Roman" w:cs="Arial"/>
          <w:color w:val="000000"/>
          <w:lang w:eastAsia="bg-BG"/>
        </w:rPr>
        <w:lastRenderedPageBreak/>
        <w:t>ланзопразол (вж. точка 4.8). Острият тубулоинтерстициален нефрит може да прогресира до бъбречна недостатъчност.</w:t>
      </w:r>
    </w:p>
    <w:p w14:paraId="3E5ECDFF"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Ланзопразол трябва да се прекрати в случай на съмнение за </w:t>
      </w:r>
      <w:r w:rsidRPr="00F051B5">
        <w:rPr>
          <w:rFonts w:eastAsia="Times New Roman" w:cs="Arial"/>
          <w:color w:val="000000"/>
          <w:lang w:val="en-US"/>
        </w:rPr>
        <w:t xml:space="preserve">TIN </w:t>
      </w:r>
      <w:r w:rsidRPr="00F051B5">
        <w:rPr>
          <w:rFonts w:eastAsia="Times New Roman" w:cs="Arial"/>
          <w:color w:val="000000"/>
          <w:lang w:eastAsia="bg-BG"/>
        </w:rPr>
        <w:t>и своевременно да се започне подходящо лечение.</w:t>
      </w:r>
    </w:p>
    <w:p w14:paraId="363753B0" w14:textId="77777777" w:rsidR="00F051B5" w:rsidRPr="00F051B5" w:rsidRDefault="00F051B5" w:rsidP="00F051B5">
      <w:pPr>
        <w:spacing w:line="240" w:lineRule="auto"/>
        <w:rPr>
          <w:rFonts w:eastAsia="Times New Roman" w:cs="Arial"/>
          <w:color w:val="000000"/>
          <w:u w:val="single"/>
          <w:lang w:eastAsia="bg-BG"/>
        </w:rPr>
      </w:pPr>
    </w:p>
    <w:p w14:paraId="56117A57" w14:textId="5A4F7B3A"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Хипомагнезиемия</w:t>
      </w:r>
    </w:p>
    <w:p w14:paraId="778F391D"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Тежка хипомагнезиемия е докладвана при пациенти, лекувани с инхибитори на протонната помпа като пантопразол в продължение на най-малко три месеца, а в повечето случаи за една година. Сериозни прояви на хипомагнезиемия като умора, тетания, делириум, конвулсии, замаяност и камерна аритмия могат да се появят, но могат да започнат неочаквано и да бъдат пренебрегвани. В най-засегнатите пациенти, хипомагнезиемията се е подобрила след възстановяване на нивата на магнезий и прекратяването на ППИ.</w:t>
      </w:r>
    </w:p>
    <w:p w14:paraId="4C8F01C0"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При пациенти, които се очаква да бъдат на продължително лечение или които приемат инхибитори на протонната помпа с дигоксин или лекарства, които могат да доведат до хипомагнезиемия (напр., диуретици), медицинските специалисти трябва да обмислят измерване на нивата на магнезий, преди започване на лечението с </w:t>
      </w:r>
      <w:r w:rsidRPr="00F051B5">
        <w:rPr>
          <w:rFonts w:eastAsia="Times New Roman" w:cs="Arial"/>
          <w:color w:val="000000"/>
          <w:lang w:val="en-US"/>
        </w:rPr>
        <w:t xml:space="preserve">PPI </w:t>
      </w:r>
      <w:r w:rsidRPr="00F051B5">
        <w:rPr>
          <w:rFonts w:eastAsia="Times New Roman" w:cs="Arial"/>
          <w:color w:val="000000"/>
          <w:lang w:eastAsia="bg-BG"/>
        </w:rPr>
        <w:t>и периодично измерване по време на лечението.</w:t>
      </w:r>
    </w:p>
    <w:p w14:paraId="3A5141A0" w14:textId="77777777" w:rsidR="00F051B5" w:rsidRPr="00F051B5" w:rsidRDefault="00F051B5" w:rsidP="00F051B5">
      <w:pPr>
        <w:spacing w:line="240" w:lineRule="auto"/>
        <w:rPr>
          <w:rFonts w:eastAsia="Times New Roman" w:cs="Arial"/>
          <w:color w:val="000000"/>
          <w:u w:val="single"/>
          <w:lang w:eastAsia="bg-BG"/>
        </w:rPr>
      </w:pPr>
    </w:p>
    <w:p w14:paraId="2542F21A" w14:textId="27065E02"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 xml:space="preserve">Субакутен кожен лупус еритематодес </w:t>
      </w:r>
      <w:r w:rsidRPr="00F051B5">
        <w:rPr>
          <w:rFonts w:eastAsia="Times New Roman" w:cs="Arial"/>
          <w:color w:val="000000"/>
          <w:u w:val="single"/>
          <w:lang w:val="en-US"/>
        </w:rPr>
        <w:t>(SCLE)</w:t>
      </w:r>
    </w:p>
    <w:p w14:paraId="144E90A3"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Инхибиторите на протонната помпа са свързани с много редки случаи на </w:t>
      </w:r>
      <w:r w:rsidRPr="00F051B5">
        <w:rPr>
          <w:rFonts w:eastAsia="Times New Roman" w:cs="Arial"/>
          <w:color w:val="000000"/>
          <w:lang w:val="en-US"/>
        </w:rPr>
        <w:t xml:space="preserve">SCLE. </w:t>
      </w:r>
      <w:r w:rsidRPr="00F051B5">
        <w:rPr>
          <w:rFonts w:eastAsia="Times New Roman" w:cs="Arial"/>
          <w:color w:val="000000"/>
          <w:lang w:eastAsia="bg-BG"/>
        </w:rPr>
        <w:t xml:space="preserve">Ако се появат лезии, особено в участъци от кожата, изложени на слънчеви лъчи и ако те са съпроводени с болки в ставите, пациентът трябва незабавно да потърси медицинска помощ и медицинският специалист следва да обмисли спиране на приема на ланзопразол. </w:t>
      </w:r>
      <w:r w:rsidRPr="00F051B5">
        <w:rPr>
          <w:rFonts w:eastAsia="Times New Roman" w:cs="Arial"/>
          <w:color w:val="000000"/>
          <w:lang w:val="en-US"/>
        </w:rPr>
        <w:t xml:space="preserve">SCLE, </w:t>
      </w:r>
      <w:r w:rsidRPr="00F051B5">
        <w:rPr>
          <w:rFonts w:eastAsia="Times New Roman" w:cs="Arial"/>
          <w:color w:val="000000"/>
          <w:lang w:eastAsia="bg-BG"/>
        </w:rPr>
        <w:t xml:space="preserve">настъпил след предходно лечение с инхибитор на протонната помпа, може да увеличи риска от </w:t>
      </w:r>
      <w:r w:rsidRPr="00F051B5">
        <w:rPr>
          <w:rFonts w:eastAsia="Times New Roman" w:cs="Arial"/>
          <w:color w:val="000000"/>
          <w:lang w:val="en-US"/>
        </w:rPr>
        <w:t xml:space="preserve">SCLE </w:t>
      </w:r>
      <w:r w:rsidRPr="00F051B5">
        <w:rPr>
          <w:rFonts w:eastAsia="Times New Roman" w:cs="Arial"/>
          <w:color w:val="000000"/>
          <w:lang w:eastAsia="bg-BG"/>
        </w:rPr>
        <w:t>при употреба на други инхибитори на протонната помпа.</w:t>
      </w:r>
    </w:p>
    <w:p w14:paraId="629FC99C" w14:textId="77777777" w:rsidR="00F051B5" w:rsidRPr="00F051B5" w:rsidRDefault="00F051B5" w:rsidP="00F051B5">
      <w:pPr>
        <w:spacing w:line="240" w:lineRule="auto"/>
        <w:rPr>
          <w:rFonts w:eastAsia="Times New Roman" w:cs="Arial"/>
          <w:i/>
          <w:iCs/>
          <w:color w:val="000000"/>
          <w:u w:val="single"/>
          <w:lang w:eastAsia="bg-BG"/>
        </w:rPr>
      </w:pPr>
    </w:p>
    <w:p w14:paraId="250F71BE" w14:textId="28FF3BA4" w:rsidR="00F051B5" w:rsidRPr="00F051B5" w:rsidRDefault="00F051B5" w:rsidP="00F051B5">
      <w:pPr>
        <w:spacing w:line="240" w:lineRule="auto"/>
        <w:rPr>
          <w:rFonts w:eastAsia="Times New Roman" w:cs="Arial"/>
          <w:lang w:eastAsia="bg-BG"/>
        </w:rPr>
      </w:pPr>
      <w:r w:rsidRPr="00F051B5">
        <w:rPr>
          <w:rFonts w:eastAsia="Times New Roman" w:cs="Arial"/>
          <w:i/>
          <w:iCs/>
          <w:color w:val="000000"/>
          <w:u w:val="single"/>
          <w:lang w:eastAsia="bg-BG"/>
        </w:rPr>
        <w:t>Повлияване на лабораторните резултати</w:t>
      </w:r>
    </w:p>
    <w:p w14:paraId="5C8B4629"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Повишеното ниво на хромогранин </w:t>
      </w:r>
      <w:r w:rsidRPr="00F051B5">
        <w:rPr>
          <w:rFonts w:eastAsia="Times New Roman" w:cs="Arial"/>
          <w:color w:val="000000"/>
          <w:lang w:val="en-US"/>
        </w:rPr>
        <w:t>A (</w:t>
      </w:r>
      <w:proofErr w:type="spellStart"/>
      <w:r w:rsidRPr="00F051B5">
        <w:rPr>
          <w:rFonts w:eastAsia="Times New Roman" w:cs="Arial"/>
          <w:color w:val="000000"/>
          <w:lang w:val="en-US"/>
        </w:rPr>
        <w:t>CgA</w:t>
      </w:r>
      <w:proofErr w:type="spellEnd"/>
      <w:r w:rsidRPr="00F051B5">
        <w:rPr>
          <w:rFonts w:eastAsia="Times New Roman" w:cs="Arial"/>
          <w:color w:val="000000"/>
          <w:lang w:val="en-US"/>
        </w:rPr>
        <w:t xml:space="preserve">) </w:t>
      </w:r>
      <w:r w:rsidRPr="00F051B5">
        <w:rPr>
          <w:rFonts w:eastAsia="Times New Roman" w:cs="Arial"/>
          <w:color w:val="000000"/>
          <w:lang w:eastAsia="bg-BG"/>
        </w:rPr>
        <w:t xml:space="preserve">може да повлияе на изследванията за невроендокринни тумори. За да се избегне това взаимодействие, лечението с ЛанзАцид трябва да се спре временно най-малко за 5 дни преди определянето на </w:t>
      </w:r>
      <w:proofErr w:type="spellStart"/>
      <w:r w:rsidRPr="00F051B5">
        <w:rPr>
          <w:rFonts w:eastAsia="Times New Roman" w:cs="Arial"/>
          <w:color w:val="000000"/>
          <w:lang w:val="en-US"/>
        </w:rPr>
        <w:t>CgA</w:t>
      </w:r>
      <w:proofErr w:type="spellEnd"/>
      <w:r w:rsidRPr="00F051B5">
        <w:rPr>
          <w:rFonts w:eastAsia="Times New Roman" w:cs="Arial"/>
          <w:color w:val="000000"/>
          <w:lang w:val="en-US"/>
        </w:rPr>
        <w:t xml:space="preserve"> </w:t>
      </w:r>
      <w:r w:rsidRPr="00F051B5">
        <w:rPr>
          <w:rFonts w:eastAsia="Times New Roman" w:cs="Arial"/>
          <w:color w:val="000000"/>
          <w:lang w:eastAsia="bg-BG"/>
        </w:rPr>
        <w:t xml:space="preserve">(вж.точка 5.1). Ако нивата на </w:t>
      </w:r>
      <w:proofErr w:type="spellStart"/>
      <w:r w:rsidRPr="00F051B5">
        <w:rPr>
          <w:rFonts w:eastAsia="Times New Roman" w:cs="Arial"/>
          <w:color w:val="000000"/>
          <w:lang w:val="en-US"/>
        </w:rPr>
        <w:t>CgA</w:t>
      </w:r>
      <w:proofErr w:type="spellEnd"/>
      <w:r w:rsidRPr="00F051B5">
        <w:rPr>
          <w:rFonts w:eastAsia="Times New Roman" w:cs="Arial"/>
          <w:color w:val="000000"/>
          <w:lang w:val="en-US"/>
        </w:rPr>
        <w:t xml:space="preserve"> </w:t>
      </w:r>
      <w:r w:rsidRPr="00F051B5">
        <w:rPr>
          <w:rFonts w:eastAsia="Times New Roman" w:cs="Arial"/>
          <w:color w:val="000000"/>
          <w:lang w:eastAsia="bg-BG"/>
        </w:rPr>
        <w:t>и гастрина не са се възстановили в референтните си граници след началното определяне, измерването трябва да бъде повторено 14 дни след спиране на лечението с инхибитор на протонната помпа.</w:t>
      </w:r>
    </w:p>
    <w:p w14:paraId="660F7F50"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Ежедневното лечение с каквито и да е киселини потискащи лекарства за продължителен период от време (няколко години) може да доведе до малабсорбция на цианокобаламин (витамин В12), причинен от хипо- или ахлорхидрия. Дефицитът на цианокобаламин трябва да се има предвид при пациенти със синдром на </w:t>
      </w:r>
      <w:proofErr w:type="spellStart"/>
      <w:r w:rsidRPr="00F051B5">
        <w:rPr>
          <w:rFonts w:eastAsia="Times New Roman" w:cs="Arial"/>
          <w:color w:val="000000"/>
          <w:lang w:val="en-US"/>
        </w:rPr>
        <w:t>Zollinger</w:t>
      </w:r>
      <w:proofErr w:type="spellEnd"/>
      <w:r w:rsidRPr="00F051B5">
        <w:rPr>
          <w:rFonts w:eastAsia="Times New Roman" w:cs="Arial"/>
          <w:color w:val="000000"/>
          <w:lang w:val="en-US"/>
        </w:rPr>
        <w:t xml:space="preserve">-Ellison </w:t>
      </w:r>
      <w:r w:rsidRPr="00F051B5">
        <w:rPr>
          <w:rFonts w:eastAsia="Times New Roman" w:cs="Arial"/>
          <w:color w:val="000000"/>
          <w:lang w:eastAsia="bg-BG"/>
        </w:rPr>
        <w:t>и други патологични хиперсекреторни състояния, изискващи дългосрочно лечение, лица с намалена телесна маса или рискови фактори за понижена абсорбция на витамин В12 (като възрастните) при дългосрочна терапия или ако се наблюдават клинични симптоми.</w:t>
      </w:r>
    </w:p>
    <w:p w14:paraId="024EEDA3" w14:textId="77777777" w:rsidR="00F051B5" w:rsidRPr="00F051B5" w:rsidRDefault="00F051B5" w:rsidP="00F051B5">
      <w:pPr>
        <w:spacing w:line="240" w:lineRule="auto"/>
        <w:rPr>
          <w:rFonts w:eastAsia="Times New Roman" w:cs="Arial"/>
          <w:color w:val="000000"/>
          <w:lang w:eastAsia="bg-BG"/>
        </w:rPr>
      </w:pPr>
    </w:p>
    <w:p w14:paraId="0E28BBDE" w14:textId="7BB24D5D" w:rsidR="007A218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Това лекарство съдържа захароза. Пациенти с редки наследствени проблеми на непоносимост към фруктоза, глюкозо-галактозна малабсорбция или захарозо-изомалтазен дефицит не трябва да приемат това лекарство.</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C1BA5AA" w14:textId="77777777" w:rsidR="00F051B5" w:rsidRPr="00F051B5" w:rsidRDefault="00F051B5" w:rsidP="00F051B5">
      <w:pPr>
        <w:spacing w:line="240" w:lineRule="auto"/>
        <w:rPr>
          <w:rFonts w:eastAsia="Times New Roman" w:cs="Arial"/>
          <w:lang w:eastAsia="bg-BG"/>
        </w:rPr>
      </w:pPr>
      <w:bookmarkStart w:id="2" w:name="bookmark0"/>
      <w:r w:rsidRPr="00F051B5">
        <w:rPr>
          <w:rFonts w:eastAsia="Times New Roman" w:cs="Arial"/>
          <w:b/>
          <w:bCs/>
          <w:color w:val="000000"/>
          <w:lang w:eastAsia="bg-BG"/>
        </w:rPr>
        <w:t>Ефекти на ланзопразол при други лекарства</w:t>
      </w:r>
      <w:bookmarkEnd w:id="2"/>
    </w:p>
    <w:p w14:paraId="3E67F531" w14:textId="77777777" w:rsidR="00F051B5" w:rsidRPr="00F051B5" w:rsidRDefault="00F051B5" w:rsidP="00F051B5">
      <w:pPr>
        <w:spacing w:line="240" w:lineRule="auto"/>
        <w:rPr>
          <w:rFonts w:eastAsia="Times New Roman" w:cs="Arial"/>
          <w:b/>
          <w:bCs/>
          <w:color w:val="000000"/>
          <w:lang w:eastAsia="bg-BG"/>
        </w:rPr>
      </w:pPr>
    </w:p>
    <w:p w14:paraId="5BAF4233" w14:textId="255B6615" w:rsidR="00F051B5" w:rsidRPr="00F051B5" w:rsidRDefault="00F051B5" w:rsidP="00F051B5">
      <w:pPr>
        <w:spacing w:line="240" w:lineRule="auto"/>
        <w:rPr>
          <w:rFonts w:eastAsia="Times New Roman" w:cs="Arial"/>
          <w:lang w:eastAsia="bg-BG"/>
        </w:rPr>
      </w:pPr>
      <w:r w:rsidRPr="00F051B5">
        <w:rPr>
          <w:rFonts w:eastAsia="Times New Roman" w:cs="Arial"/>
          <w:b/>
          <w:bCs/>
          <w:color w:val="000000"/>
          <w:lang w:eastAsia="bg-BG"/>
        </w:rPr>
        <w:t xml:space="preserve">Лекарствени продукти с </w:t>
      </w:r>
      <w:r w:rsidRPr="00F051B5">
        <w:rPr>
          <w:rFonts w:eastAsia="Times New Roman" w:cs="Arial"/>
          <w:b/>
          <w:bCs/>
          <w:color w:val="000000"/>
          <w:lang w:val="en-US"/>
        </w:rPr>
        <w:t xml:space="preserve">pH </w:t>
      </w:r>
      <w:r w:rsidRPr="00F051B5">
        <w:rPr>
          <w:rFonts w:eastAsia="Times New Roman" w:cs="Arial"/>
          <w:b/>
          <w:bCs/>
          <w:color w:val="000000"/>
          <w:lang w:eastAsia="bg-BG"/>
        </w:rPr>
        <w:t>зависима абсорбция</w:t>
      </w:r>
    </w:p>
    <w:p w14:paraId="008264A3" w14:textId="77777777" w:rsidR="00F051B5" w:rsidRPr="00F051B5" w:rsidRDefault="00F051B5" w:rsidP="00F051B5">
      <w:pPr>
        <w:spacing w:line="240" w:lineRule="auto"/>
        <w:rPr>
          <w:rFonts w:eastAsia="Times New Roman" w:cs="Arial"/>
          <w:color w:val="000000"/>
          <w:lang w:eastAsia="bg-BG"/>
        </w:rPr>
      </w:pPr>
    </w:p>
    <w:p w14:paraId="6D8B7764" w14:textId="46D8A6C3"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Ланзопразол може да попречи на абсорбцията на лекарства, когато </w:t>
      </w:r>
      <w:r w:rsidRPr="00F051B5">
        <w:rPr>
          <w:rFonts w:eastAsia="Times New Roman" w:cs="Arial"/>
          <w:color w:val="000000"/>
          <w:lang w:val="en-US"/>
        </w:rPr>
        <w:t xml:space="preserve">pH </w:t>
      </w:r>
      <w:r w:rsidRPr="00F051B5">
        <w:rPr>
          <w:rFonts w:eastAsia="Times New Roman" w:cs="Arial"/>
          <w:color w:val="000000"/>
          <w:lang w:eastAsia="bg-BG"/>
        </w:rPr>
        <w:t>на стомаха е от решаващо значение за бионаличността.</w:t>
      </w:r>
    </w:p>
    <w:p w14:paraId="14922D18" w14:textId="77777777" w:rsidR="00F051B5" w:rsidRPr="00F051B5" w:rsidRDefault="00F051B5" w:rsidP="00F051B5">
      <w:pPr>
        <w:spacing w:line="240" w:lineRule="auto"/>
        <w:rPr>
          <w:rFonts w:eastAsia="Times New Roman" w:cs="Arial"/>
          <w:color w:val="000000"/>
          <w:lang w:val="en-US"/>
        </w:rPr>
      </w:pPr>
    </w:p>
    <w:p w14:paraId="1A702181" w14:textId="00B75706" w:rsidR="00F051B5" w:rsidRPr="00F051B5" w:rsidRDefault="00F051B5" w:rsidP="00F051B5">
      <w:pPr>
        <w:spacing w:line="240" w:lineRule="auto"/>
        <w:rPr>
          <w:rFonts w:eastAsia="Times New Roman" w:cs="Arial"/>
          <w:lang w:eastAsia="bg-BG"/>
        </w:rPr>
      </w:pPr>
      <w:r w:rsidRPr="00F051B5">
        <w:rPr>
          <w:rFonts w:eastAsia="Times New Roman" w:cs="Arial"/>
          <w:color w:val="000000"/>
          <w:lang w:val="en-US"/>
        </w:rPr>
        <w:t xml:space="preserve">HIV </w:t>
      </w:r>
      <w:r w:rsidRPr="00F051B5">
        <w:rPr>
          <w:rFonts w:eastAsia="Times New Roman" w:cs="Arial"/>
          <w:color w:val="000000"/>
          <w:lang w:eastAsia="bg-BG"/>
        </w:rPr>
        <w:t>протеазни инхибитори</w:t>
      </w:r>
    </w:p>
    <w:p w14:paraId="5AC2142C"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Не се препоръчва едновременно приложение на ланзопразол с </w:t>
      </w:r>
      <w:r w:rsidRPr="00F051B5">
        <w:rPr>
          <w:rFonts w:eastAsia="Times New Roman" w:cs="Arial"/>
          <w:color w:val="000000"/>
          <w:lang w:val="en-US"/>
        </w:rPr>
        <w:t xml:space="preserve">HIV </w:t>
      </w:r>
      <w:r w:rsidRPr="00F051B5">
        <w:rPr>
          <w:rFonts w:eastAsia="Times New Roman" w:cs="Arial"/>
          <w:color w:val="000000"/>
          <w:lang w:eastAsia="bg-BG"/>
        </w:rPr>
        <w:t xml:space="preserve">протеазни инхибитори, чиято абсорбция зависи от </w:t>
      </w:r>
      <w:r w:rsidRPr="00F051B5">
        <w:rPr>
          <w:rFonts w:eastAsia="Times New Roman" w:cs="Arial"/>
          <w:color w:val="000000"/>
          <w:lang w:val="en-US"/>
        </w:rPr>
        <w:t xml:space="preserve">pH </w:t>
      </w:r>
      <w:r w:rsidRPr="00F051B5">
        <w:rPr>
          <w:rFonts w:eastAsia="Times New Roman" w:cs="Arial"/>
          <w:color w:val="000000"/>
          <w:lang w:eastAsia="bg-BG"/>
        </w:rPr>
        <w:t>на стомаха като атаназавир 4 и нелфинавир поради сигнификантна редукция на тяхната бионаличност (вж.точка 4.4).</w:t>
      </w:r>
    </w:p>
    <w:p w14:paraId="02F80A7F" w14:textId="77777777" w:rsidR="00F051B5" w:rsidRPr="00F051B5" w:rsidRDefault="00F051B5" w:rsidP="00F051B5">
      <w:pPr>
        <w:spacing w:line="240" w:lineRule="auto"/>
        <w:rPr>
          <w:rFonts w:eastAsia="Times New Roman" w:cs="Arial"/>
          <w:color w:val="000000"/>
          <w:u w:val="single"/>
          <w:lang w:eastAsia="bg-BG"/>
        </w:rPr>
      </w:pPr>
    </w:p>
    <w:p w14:paraId="628CD2AB" w14:textId="474D7E6E"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Атазанавир:</w:t>
      </w:r>
    </w:p>
    <w:p w14:paraId="4F7ADF88"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Едно проучване показва, че едновременното приложение на ланзопразол (60 </w:t>
      </w:r>
      <w:r w:rsidRPr="00F051B5">
        <w:rPr>
          <w:rFonts w:eastAsia="Times New Roman" w:cs="Arial"/>
          <w:color w:val="000000"/>
          <w:lang w:val="en-US"/>
        </w:rPr>
        <w:t xml:space="preserve">mg </w:t>
      </w:r>
      <w:r w:rsidRPr="00F051B5">
        <w:rPr>
          <w:rFonts w:eastAsia="Times New Roman" w:cs="Arial"/>
          <w:color w:val="000000"/>
          <w:lang w:eastAsia="bg-BG"/>
        </w:rPr>
        <w:t xml:space="preserve">веднъж дневно) с атазанавир 400 </w:t>
      </w:r>
      <w:r w:rsidRPr="00F051B5">
        <w:rPr>
          <w:rFonts w:eastAsia="Times New Roman" w:cs="Arial"/>
          <w:color w:val="000000"/>
          <w:lang w:val="en-US"/>
        </w:rPr>
        <w:t xml:space="preserve">mg </w:t>
      </w:r>
      <w:r w:rsidRPr="00F051B5">
        <w:rPr>
          <w:rFonts w:eastAsia="Times New Roman" w:cs="Arial"/>
          <w:color w:val="000000"/>
          <w:lang w:eastAsia="bg-BG"/>
        </w:rPr>
        <w:t xml:space="preserve">при здрави доброволци, води до значително намаляване на експозицията на атазанавир (приблизително 90% намаление на </w:t>
      </w:r>
      <w:r w:rsidRPr="00F051B5">
        <w:rPr>
          <w:rFonts w:eastAsia="Times New Roman" w:cs="Arial"/>
          <w:color w:val="000000"/>
          <w:lang w:val="en-US"/>
        </w:rPr>
        <w:t xml:space="preserve">AUC </w:t>
      </w:r>
      <w:r w:rsidRPr="00F051B5">
        <w:rPr>
          <w:rFonts w:eastAsia="Times New Roman" w:cs="Arial"/>
          <w:color w:val="000000"/>
          <w:lang w:eastAsia="bg-BG"/>
        </w:rPr>
        <w:t>и С</w:t>
      </w:r>
      <w:r w:rsidRPr="00F051B5">
        <w:rPr>
          <w:rFonts w:eastAsia="Times New Roman" w:cs="Arial"/>
          <w:color w:val="000000"/>
          <w:lang w:val="en-US"/>
        </w:rPr>
        <w:t>m</w:t>
      </w:r>
      <w:r w:rsidRPr="00F051B5">
        <w:rPr>
          <w:rFonts w:eastAsia="Times New Roman" w:cs="Arial"/>
          <w:color w:val="000000"/>
          <w:lang w:eastAsia="bg-BG"/>
        </w:rPr>
        <w:t>ах). Ланзопразол не трябва да се прилага едновременно с атазанавир.</w:t>
      </w:r>
    </w:p>
    <w:p w14:paraId="03AE0DA1" w14:textId="77777777" w:rsidR="00F051B5" w:rsidRPr="00F051B5" w:rsidRDefault="00F051B5" w:rsidP="00F051B5">
      <w:pPr>
        <w:spacing w:line="240" w:lineRule="auto"/>
        <w:rPr>
          <w:rFonts w:eastAsia="Times New Roman" w:cs="Arial"/>
          <w:color w:val="000000"/>
          <w:u w:val="single"/>
          <w:lang w:eastAsia="bg-BG"/>
        </w:rPr>
      </w:pPr>
    </w:p>
    <w:p w14:paraId="37DE5673" w14:textId="6E4261C7"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Кетоконазол и итраконазол:</w:t>
      </w:r>
    </w:p>
    <w:p w14:paraId="67A73EC9"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Абсорбцията на кетоконазол и итраконазол от стомашно-чревния тракт се повишава от присъствието на стомашна киселина. Прилагането на ланзопразол може да доведе до субтерапевтични концентрации на кетоконазол и итраконазол. Комбинацията трябва да се избягва.</w:t>
      </w:r>
    </w:p>
    <w:p w14:paraId="002A3510" w14:textId="77777777" w:rsidR="00F051B5" w:rsidRPr="00F051B5" w:rsidRDefault="00F051B5" w:rsidP="00F051B5">
      <w:pPr>
        <w:spacing w:line="240" w:lineRule="auto"/>
        <w:rPr>
          <w:rFonts w:eastAsia="Times New Roman" w:cs="Arial"/>
          <w:color w:val="000000"/>
          <w:u w:val="single"/>
          <w:lang w:eastAsia="bg-BG"/>
        </w:rPr>
      </w:pPr>
    </w:p>
    <w:p w14:paraId="16208A07" w14:textId="264D57B3"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Дигоксин:</w:t>
      </w:r>
    </w:p>
    <w:p w14:paraId="795BDC52"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Едновременното приложение на ланзопразол и дигоксин може да доведе до повишаване на плазмените нива на дигоксин. Плазмените нива на дигоксин следва да се проследяват и дозата на дигоксин да бъде коригирана, при необходимост, при започване и прекратяване на лечението с ланзопразол.</w:t>
      </w:r>
    </w:p>
    <w:p w14:paraId="6277BAFD" w14:textId="77777777" w:rsidR="00F051B5" w:rsidRPr="00F051B5" w:rsidRDefault="00F051B5" w:rsidP="00F051B5">
      <w:pPr>
        <w:spacing w:line="240" w:lineRule="auto"/>
        <w:rPr>
          <w:rFonts w:eastAsia="Times New Roman" w:cs="Arial"/>
          <w:b/>
          <w:bCs/>
          <w:color w:val="000000"/>
          <w:lang w:eastAsia="bg-BG"/>
        </w:rPr>
      </w:pPr>
      <w:bookmarkStart w:id="3" w:name="bookmark3"/>
    </w:p>
    <w:p w14:paraId="54203551" w14:textId="5D2B5564" w:rsidR="00F051B5" w:rsidRPr="00F051B5" w:rsidRDefault="00F051B5" w:rsidP="00F051B5">
      <w:pPr>
        <w:spacing w:line="240" w:lineRule="auto"/>
        <w:rPr>
          <w:rFonts w:eastAsia="Times New Roman" w:cs="Arial"/>
          <w:lang w:eastAsia="bg-BG"/>
        </w:rPr>
      </w:pPr>
      <w:r w:rsidRPr="00F051B5">
        <w:rPr>
          <w:rFonts w:eastAsia="Times New Roman" w:cs="Arial"/>
          <w:b/>
          <w:bCs/>
          <w:color w:val="000000"/>
          <w:lang w:eastAsia="bg-BG"/>
        </w:rPr>
        <w:t>Лекарствени продукти, които се метаболизират от Р450 ензими</w:t>
      </w:r>
      <w:bookmarkEnd w:id="3"/>
    </w:p>
    <w:p w14:paraId="72AA4442"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Ланзопразол може да повиши плазмените концентрации на лекарства, които се метаболизират от </w:t>
      </w:r>
      <w:r w:rsidRPr="00F051B5">
        <w:rPr>
          <w:rFonts w:eastAsia="Times New Roman" w:cs="Arial"/>
          <w:color w:val="000000"/>
          <w:lang w:val="en-US"/>
        </w:rPr>
        <w:t xml:space="preserve">CYP3A4. </w:t>
      </w:r>
      <w:r w:rsidRPr="00F051B5">
        <w:rPr>
          <w:rFonts w:eastAsia="Times New Roman" w:cs="Arial"/>
          <w:color w:val="000000"/>
          <w:lang w:eastAsia="bg-BG"/>
        </w:rPr>
        <w:t>Препоръчва се повишено внимание при комбинирането на ланзопразол с лекарства, които се метаболизират от този ензим и имат тесен терапевтичен прозорец.</w:t>
      </w:r>
    </w:p>
    <w:p w14:paraId="5FF88C4D" w14:textId="77777777" w:rsidR="00F051B5" w:rsidRPr="00F051B5" w:rsidRDefault="00F051B5" w:rsidP="00F051B5">
      <w:pPr>
        <w:spacing w:line="240" w:lineRule="auto"/>
        <w:rPr>
          <w:rFonts w:eastAsia="Times New Roman" w:cs="Arial"/>
          <w:color w:val="000000"/>
          <w:u w:val="single"/>
          <w:lang w:eastAsia="bg-BG"/>
        </w:rPr>
      </w:pPr>
    </w:p>
    <w:p w14:paraId="09097E08" w14:textId="6F385A99"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Варфарин:</w:t>
      </w:r>
    </w:p>
    <w:p w14:paraId="4C34BBAB"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Едновременното прилагане на ланзопразол 60 </w:t>
      </w:r>
      <w:r w:rsidRPr="00F051B5">
        <w:rPr>
          <w:rFonts w:eastAsia="Times New Roman" w:cs="Arial"/>
          <w:color w:val="000000"/>
          <w:lang w:val="en-US"/>
        </w:rPr>
        <w:t xml:space="preserve">mg </w:t>
      </w:r>
      <w:r w:rsidRPr="00F051B5">
        <w:rPr>
          <w:rFonts w:eastAsia="Times New Roman" w:cs="Arial"/>
          <w:color w:val="000000"/>
          <w:lang w:eastAsia="bg-BG"/>
        </w:rPr>
        <w:t xml:space="preserve">и варфарин не повлиява фармакокинетиката на варфарин или </w:t>
      </w:r>
      <w:r w:rsidRPr="00F051B5">
        <w:rPr>
          <w:rFonts w:eastAsia="Times New Roman" w:cs="Arial"/>
          <w:color w:val="000000"/>
          <w:lang w:val="en-US"/>
        </w:rPr>
        <w:t xml:space="preserve">INR. </w:t>
      </w:r>
      <w:r w:rsidRPr="00F051B5">
        <w:rPr>
          <w:rFonts w:eastAsia="Times New Roman" w:cs="Arial"/>
          <w:color w:val="000000"/>
          <w:lang w:eastAsia="bg-BG"/>
        </w:rPr>
        <w:t xml:space="preserve">Въпреки това, има съобщения за повишено </w:t>
      </w:r>
      <w:r w:rsidRPr="00F051B5">
        <w:rPr>
          <w:rFonts w:eastAsia="Times New Roman" w:cs="Arial"/>
          <w:color w:val="000000"/>
          <w:lang w:val="en-US"/>
        </w:rPr>
        <w:t xml:space="preserve">INR </w:t>
      </w:r>
      <w:r w:rsidRPr="00F051B5">
        <w:rPr>
          <w:rFonts w:eastAsia="Times New Roman" w:cs="Arial"/>
          <w:color w:val="000000"/>
          <w:lang w:eastAsia="bg-BG"/>
        </w:rPr>
        <w:t xml:space="preserve">и удължаване на протромбиново време при пациенти, приемащи едновременно инхибитори на протонната помпа и варфарин. Повишаване на </w:t>
      </w:r>
      <w:r w:rsidRPr="00F051B5">
        <w:rPr>
          <w:rFonts w:eastAsia="Times New Roman" w:cs="Arial"/>
          <w:color w:val="000000"/>
          <w:lang w:val="en-US"/>
        </w:rPr>
        <w:t xml:space="preserve">INR </w:t>
      </w:r>
      <w:r w:rsidRPr="00F051B5">
        <w:rPr>
          <w:rFonts w:eastAsia="Times New Roman" w:cs="Arial"/>
          <w:color w:val="000000"/>
          <w:lang w:eastAsia="bg-BG"/>
        </w:rPr>
        <w:t xml:space="preserve">и удължаване на протромбиновото време може да доведе до абнормено кръвотечение и дори до смърт. Пациентите, лекувани едновременно с ланзопразол и варфарин може да се наложи да бъдат проследявани за повишаване на </w:t>
      </w:r>
      <w:r w:rsidRPr="00F051B5">
        <w:rPr>
          <w:rFonts w:eastAsia="Times New Roman" w:cs="Arial"/>
          <w:color w:val="000000"/>
          <w:lang w:val="en-US"/>
        </w:rPr>
        <w:t xml:space="preserve">INR </w:t>
      </w:r>
      <w:r w:rsidRPr="00F051B5">
        <w:rPr>
          <w:rFonts w:eastAsia="Times New Roman" w:cs="Arial"/>
          <w:color w:val="000000"/>
          <w:lang w:eastAsia="bg-BG"/>
        </w:rPr>
        <w:t>и удължаване на протромбиновото време, особено в началото или при спиране на едновременното лечение или при неправилна употреба за ланзопразол.</w:t>
      </w:r>
    </w:p>
    <w:p w14:paraId="7C1C92CA" w14:textId="77777777" w:rsidR="00F051B5" w:rsidRPr="00F051B5" w:rsidRDefault="00F051B5" w:rsidP="00F051B5">
      <w:pPr>
        <w:spacing w:line="240" w:lineRule="auto"/>
        <w:rPr>
          <w:rFonts w:eastAsia="Times New Roman" w:cs="Arial"/>
          <w:color w:val="000000"/>
          <w:u w:val="single"/>
          <w:lang w:eastAsia="bg-BG"/>
        </w:rPr>
      </w:pPr>
    </w:p>
    <w:p w14:paraId="1E1062E5" w14:textId="4B1B947E"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Теофилин:</w:t>
      </w:r>
    </w:p>
    <w:p w14:paraId="75AEA183"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Ланзопразол намалява плазмената концентрация на теофилин, който може да намали очаквания клиничен ефект при доза. Препоръчва се повишено внимание при комбинирането на двете лекарства.</w:t>
      </w:r>
    </w:p>
    <w:p w14:paraId="09CE518F" w14:textId="77777777" w:rsidR="00F051B5" w:rsidRPr="00F051B5" w:rsidRDefault="00F051B5" w:rsidP="00F051B5">
      <w:pPr>
        <w:spacing w:line="240" w:lineRule="auto"/>
        <w:rPr>
          <w:rFonts w:eastAsia="Times New Roman" w:cs="Arial"/>
          <w:color w:val="000000"/>
          <w:u w:val="single"/>
          <w:lang w:eastAsia="bg-BG"/>
        </w:rPr>
      </w:pPr>
    </w:p>
    <w:p w14:paraId="477712E1" w14:textId="29785E81"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lastRenderedPageBreak/>
        <w:t>Такролимус:</w:t>
      </w:r>
    </w:p>
    <w:p w14:paraId="3E1C17FB"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Едновременното приложение на ланзопразол повишава плазмените концентрации</w:t>
      </w:r>
      <w:r w:rsidRPr="00F051B5">
        <w:rPr>
          <w:rFonts w:eastAsia="Times New Roman" w:cs="Arial"/>
          <w:color w:val="000000"/>
          <w:lang w:val="en-US"/>
        </w:rPr>
        <w:t xml:space="preserve"> </w:t>
      </w:r>
      <w:r w:rsidRPr="00F051B5">
        <w:rPr>
          <w:rFonts w:eastAsia="Times New Roman" w:cs="Arial"/>
          <w:color w:val="000000"/>
          <w:lang w:eastAsia="bg-BG"/>
        </w:rPr>
        <w:t xml:space="preserve">на такролимус (на </w:t>
      </w:r>
      <w:r w:rsidRPr="00F051B5">
        <w:rPr>
          <w:rFonts w:eastAsia="Times New Roman" w:cs="Arial"/>
          <w:color w:val="000000"/>
          <w:lang w:val="en-US"/>
        </w:rPr>
        <w:t xml:space="preserve">CYP3A </w:t>
      </w:r>
      <w:r w:rsidRPr="00F051B5">
        <w:rPr>
          <w:rFonts w:eastAsia="Times New Roman" w:cs="Arial"/>
          <w:color w:val="000000"/>
          <w:lang w:eastAsia="bg-BG"/>
        </w:rPr>
        <w:t xml:space="preserve">и </w:t>
      </w:r>
      <w:r w:rsidRPr="00F051B5">
        <w:rPr>
          <w:rFonts w:eastAsia="Times New Roman" w:cs="Arial"/>
          <w:color w:val="000000"/>
          <w:lang w:val="en-US"/>
        </w:rPr>
        <w:t xml:space="preserve">P-GP </w:t>
      </w:r>
      <w:r w:rsidRPr="00F051B5">
        <w:rPr>
          <w:rFonts w:eastAsia="Times New Roman" w:cs="Arial"/>
          <w:color w:val="000000"/>
          <w:lang w:eastAsia="bg-BG"/>
        </w:rPr>
        <w:t>субстрат). Излагането на ланзопразол може да увеличи средната експозиция на такролимус с до 81%. Препоръчва се проследяване на плазмените концентрации  на такролимус, когато се започне или се приключва едновременното лечение с ланзопразол.</w:t>
      </w:r>
    </w:p>
    <w:p w14:paraId="09D0C73E" w14:textId="77777777" w:rsidR="00F051B5" w:rsidRPr="00F051B5" w:rsidRDefault="00F051B5" w:rsidP="00F051B5">
      <w:pPr>
        <w:rPr>
          <w:rFonts w:eastAsia="Times New Roman" w:cs="Arial"/>
          <w:b/>
          <w:bCs/>
          <w:color w:val="000000"/>
          <w:u w:val="single"/>
          <w:lang w:eastAsia="bg-BG"/>
        </w:rPr>
      </w:pPr>
    </w:p>
    <w:p w14:paraId="5B2761C5" w14:textId="42F9F24A" w:rsidR="0091385D" w:rsidRPr="00F051B5" w:rsidRDefault="00F051B5" w:rsidP="00F051B5">
      <w:pPr>
        <w:rPr>
          <w:rFonts w:cs="Arial"/>
        </w:rPr>
      </w:pPr>
      <w:r w:rsidRPr="00F051B5">
        <w:rPr>
          <w:rFonts w:eastAsia="Times New Roman" w:cs="Arial"/>
          <w:b/>
          <w:bCs/>
          <w:color w:val="000000"/>
          <w:u w:val="single"/>
          <w:lang w:eastAsia="bg-BG"/>
        </w:rPr>
        <w:t>Лекарствени продукти</w:t>
      </w:r>
      <w:r w:rsidRPr="00F051B5">
        <w:rPr>
          <w:rFonts w:eastAsia="Times New Roman" w:cs="Arial"/>
          <w:b/>
          <w:bCs/>
          <w:smallCaps/>
          <w:color w:val="000000"/>
          <w:u w:val="single"/>
          <w:lang w:eastAsia="bg-BG"/>
        </w:rPr>
        <w:t>,</w:t>
      </w:r>
      <w:r w:rsidRPr="00F051B5">
        <w:rPr>
          <w:rFonts w:eastAsia="Times New Roman" w:cs="Arial"/>
          <w:b/>
          <w:bCs/>
          <w:color w:val="000000"/>
          <w:u w:val="single"/>
          <w:lang w:eastAsia="bg-BG"/>
        </w:rPr>
        <w:t xml:space="preserve"> транспортирани от Р-гликопротенн</w:t>
      </w:r>
    </w:p>
    <w:p w14:paraId="0E25DDDC"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При употребата на ланзопразол е наблюдавано инхибиране на транспортния протеин, Р- гликопротеин </w:t>
      </w:r>
      <w:r w:rsidRPr="00F051B5">
        <w:rPr>
          <w:rFonts w:eastAsia="Times New Roman" w:cs="Arial"/>
          <w:color w:val="000000"/>
          <w:lang w:val="en-US"/>
        </w:rPr>
        <w:t xml:space="preserve">(P-GP) </w:t>
      </w:r>
      <w:r w:rsidRPr="00F051B5">
        <w:rPr>
          <w:rFonts w:eastAsia="Times New Roman" w:cs="Arial"/>
          <w:color w:val="000000"/>
          <w:lang w:eastAsia="bg-BG"/>
        </w:rPr>
        <w:t>ин витро. Клиничното значение на това не е известно.</w:t>
      </w:r>
    </w:p>
    <w:p w14:paraId="484374DA" w14:textId="77777777" w:rsidR="00F051B5" w:rsidRPr="00F051B5" w:rsidRDefault="00F051B5" w:rsidP="00F051B5">
      <w:pPr>
        <w:spacing w:line="240" w:lineRule="auto"/>
        <w:rPr>
          <w:rFonts w:eastAsia="Times New Roman" w:cs="Arial"/>
          <w:b/>
          <w:bCs/>
          <w:color w:val="000000"/>
          <w:u w:val="single"/>
          <w:lang w:eastAsia="bg-BG"/>
        </w:rPr>
      </w:pPr>
    </w:p>
    <w:p w14:paraId="5DBCE689" w14:textId="18A9E1AD" w:rsidR="00F051B5" w:rsidRPr="00F051B5" w:rsidRDefault="00F051B5" w:rsidP="00F051B5">
      <w:pPr>
        <w:spacing w:line="240" w:lineRule="auto"/>
        <w:rPr>
          <w:rFonts w:eastAsia="Times New Roman" w:cs="Arial"/>
          <w:lang w:eastAsia="bg-BG"/>
        </w:rPr>
      </w:pPr>
      <w:r w:rsidRPr="00F051B5">
        <w:rPr>
          <w:rFonts w:eastAsia="Times New Roman" w:cs="Arial"/>
          <w:b/>
          <w:bCs/>
          <w:color w:val="000000"/>
          <w:u w:val="single"/>
          <w:lang w:eastAsia="bg-BG"/>
        </w:rPr>
        <w:t>Ефекти на други лекарства върху ланзопразол</w:t>
      </w:r>
    </w:p>
    <w:p w14:paraId="528D7AB9" w14:textId="77777777" w:rsidR="00F051B5" w:rsidRPr="00F051B5" w:rsidRDefault="00F051B5" w:rsidP="00F051B5">
      <w:pPr>
        <w:spacing w:line="240" w:lineRule="auto"/>
        <w:rPr>
          <w:rFonts w:eastAsia="Times New Roman" w:cs="Arial"/>
          <w:b/>
          <w:bCs/>
          <w:color w:val="000000"/>
          <w:lang w:eastAsia="bg-BG"/>
        </w:rPr>
      </w:pPr>
    </w:p>
    <w:p w14:paraId="32E4F6A7" w14:textId="201B4E09" w:rsidR="00F051B5" w:rsidRPr="00F051B5" w:rsidRDefault="00F051B5" w:rsidP="00F051B5">
      <w:pPr>
        <w:spacing w:line="240" w:lineRule="auto"/>
        <w:rPr>
          <w:rFonts w:eastAsia="Times New Roman" w:cs="Arial"/>
          <w:lang w:eastAsia="bg-BG"/>
        </w:rPr>
      </w:pPr>
      <w:r w:rsidRPr="00F051B5">
        <w:rPr>
          <w:rFonts w:eastAsia="Times New Roman" w:cs="Arial"/>
          <w:b/>
          <w:bCs/>
          <w:color w:val="000000"/>
          <w:lang w:eastAsia="bg-BG"/>
        </w:rPr>
        <w:t xml:space="preserve">Лекарства, които инхибират </w:t>
      </w:r>
      <w:r w:rsidRPr="00F051B5">
        <w:rPr>
          <w:rFonts w:eastAsia="Times New Roman" w:cs="Arial"/>
          <w:b/>
          <w:bCs/>
          <w:color w:val="000000"/>
          <w:lang w:val="en-US"/>
        </w:rPr>
        <w:t>CYP2C19</w:t>
      </w:r>
    </w:p>
    <w:p w14:paraId="7A295E80" w14:textId="77777777" w:rsidR="00F051B5" w:rsidRPr="00F051B5" w:rsidRDefault="00F051B5" w:rsidP="00F051B5">
      <w:pPr>
        <w:spacing w:line="240" w:lineRule="auto"/>
        <w:rPr>
          <w:rFonts w:eastAsia="Times New Roman" w:cs="Arial"/>
          <w:b/>
          <w:bCs/>
          <w:color w:val="000000"/>
          <w:u w:val="single"/>
          <w:lang w:eastAsia="bg-BG"/>
        </w:rPr>
      </w:pPr>
    </w:p>
    <w:p w14:paraId="14D73931" w14:textId="1B828B5E" w:rsidR="00F051B5" w:rsidRPr="00F051B5" w:rsidRDefault="00F051B5" w:rsidP="00F051B5">
      <w:pPr>
        <w:spacing w:line="240" w:lineRule="auto"/>
        <w:rPr>
          <w:rFonts w:eastAsia="Times New Roman" w:cs="Arial"/>
          <w:lang w:eastAsia="bg-BG"/>
        </w:rPr>
      </w:pPr>
      <w:r w:rsidRPr="00F051B5">
        <w:rPr>
          <w:rFonts w:eastAsia="Times New Roman" w:cs="Arial"/>
          <w:b/>
          <w:bCs/>
          <w:color w:val="000000"/>
          <w:u w:val="single"/>
          <w:lang w:eastAsia="bg-BG"/>
        </w:rPr>
        <w:t>Флувоксамин:</w:t>
      </w:r>
    </w:p>
    <w:p w14:paraId="1FB9BC15"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Може да се наложи редуциране на дозата, когато ланзопразол се комбинира с С</w:t>
      </w:r>
      <w:r w:rsidRPr="00F051B5">
        <w:rPr>
          <w:rFonts w:eastAsia="Times New Roman" w:cs="Arial"/>
          <w:color w:val="000000"/>
          <w:lang w:val="en-US"/>
        </w:rPr>
        <w:t>YP2C</w:t>
      </w:r>
      <w:r w:rsidRPr="00F051B5">
        <w:rPr>
          <w:rFonts w:eastAsia="Times New Roman" w:cs="Arial"/>
          <w:color w:val="000000"/>
          <w:lang w:eastAsia="bg-BG"/>
        </w:rPr>
        <w:t>19 инхибитора флувоксамин. Плазмените концентрации на ланзопразол се увеличават до 4 пъти.</w:t>
      </w:r>
    </w:p>
    <w:p w14:paraId="753208A5" w14:textId="77777777" w:rsidR="00F051B5" w:rsidRPr="00F051B5" w:rsidRDefault="00F051B5" w:rsidP="00F051B5">
      <w:pPr>
        <w:spacing w:line="240" w:lineRule="auto"/>
        <w:rPr>
          <w:rFonts w:eastAsia="Times New Roman" w:cs="Arial"/>
          <w:b/>
          <w:bCs/>
          <w:color w:val="000000"/>
          <w:u w:val="single"/>
          <w:lang w:eastAsia="bg-BG"/>
        </w:rPr>
      </w:pPr>
    </w:p>
    <w:p w14:paraId="33713CB5" w14:textId="56FAF912" w:rsidR="00F051B5" w:rsidRPr="00F051B5" w:rsidRDefault="00F051B5" w:rsidP="00F051B5">
      <w:pPr>
        <w:spacing w:line="240" w:lineRule="auto"/>
        <w:rPr>
          <w:rFonts w:eastAsia="Times New Roman" w:cs="Arial"/>
          <w:lang w:eastAsia="bg-BG"/>
        </w:rPr>
      </w:pPr>
      <w:r w:rsidRPr="00F051B5">
        <w:rPr>
          <w:rFonts w:eastAsia="Times New Roman" w:cs="Arial"/>
          <w:b/>
          <w:bCs/>
          <w:color w:val="000000"/>
          <w:u w:val="single"/>
          <w:lang w:eastAsia="bg-BG"/>
        </w:rPr>
        <w:t xml:space="preserve">Лекарства, които индуциоат </w:t>
      </w:r>
      <w:r w:rsidRPr="00F051B5">
        <w:rPr>
          <w:rFonts w:eastAsia="Times New Roman" w:cs="Arial"/>
          <w:b/>
          <w:bCs/>
          <w:color w:val="000000"/>
          <w:u w:val="single"/>
          <w:lang w:val="en-US"/>
        </w:rPr>
        <w:t xml:space="preserve">CYP2C19 </w:t>
      </w:r>
      <w:r w:rsidRPr="00F051B5">
        <w:rPr>
          <w:rFonts w:eastAsia="Times New Roman" w:cs="Arial"/>
          <w:b/>
          <w:bCs/>
          <w:color w:val="000000"/>
          <w:u w:val="single"/>
          <w:lang w:eastAsia="bg-BG"/>
        </w:rPr>
        <w:t xml:space="preserve">и </w:t>
      </w:r>
      <w:r w:rsidRPr="00F051B5">
        <w:rPr>
          <w:rFonts w:eastAsia="Times New Roman" w:cs="Arial"/>
          <w:b/>
          <w:bCs/>
          <w:color w:val="000000"/>
          <w:u w:val="single"/>
          <w:lang w:val="en-US"/>
        </w:rPr>
        <w:t>CYP3A4</w:t>
      </w:r>
    </w:p>
    <w:p w14:paraId="1A32C5BF"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Ензимни индуктори, засягащи </w:t>
      </w:r>
      <w:r w:rsidRPr="00F051B5">
        <w:rPr>
          <w:rFonts w:eastAsia="Times New Roman" w:cs="Arial"/>
          <w:color w:val="000000"/>
          <w:lang w:val="en-US"/>
        </w:rPr>
        <w:t xml:space="preserve">CYP2C19 </w:t>
      </w:r>
      <w:r w:rsidRPr="00F051B5">
        <w:rPr>
          <w:rFonts w:eastAsia="Times New Roman" w:cs="Arial"/>
          <w:color w:val="000000"/>
          <w:lang w:eastAsia="bg-BG"/>
        </w:rPr>
        <w:t xml:space="preserve">и </w:t>
      </w:r>
      <w:r w:rsidRPr="00F051B5">
        <w:rPr>
          <w:rFonts w:eastAsia="Times New Roman" w:cs="Arial"/>
          <w:color w:val="000000"/>
          <w:lang w:val="en-US"/>
        </w:rPr>
        <w:t xml:space="preserve">CYP3A4 </w:t>
      </w:r>
      <w:r w:rsidRPr="00F051B5">
        <w:rPr>
          <w:rFonts w:eastAsia="Times New Roman" w:cs="Arial"/>
          <w:color w:val="000000"/>
          <w:lang w:eastAsia="bg-BG"/>
        </w:rPr>
        <w:t>като рифампицин и жълт кантарион могат значително да намалят плазмените концентрации на ланзопразол.</w:t>
      </w:r>
    </w:p>
    <w:p w14:paraId="4B74B2C4" w14:textId="77777777" w:rsidR="00F051B5" w:rsidRPr="00F051B5" w:rsidRDefault="00F051B5" w:rsidP="00F051B5">
      <w:pPr>
        <w:spacing w:line="240" w:lineRule="auto"/>
        <w:rPr>
          <w:rFonts w:eastAsia="Times New Roman" w:cs="Arial"/>
          <w:b/>
          <w:bCs/>
          <w:color w:val="000000"/>
          <w:lang w:eastAsia="bg-BG"/>
        </w:rPr>
      </w:pPr>
      <w:bookmarkStart w:id="4" w:name="bookmark2"/>
    </w:p>
    <w:p w14:paraId="28D8E9A2" w14:textId="53FA7C05" w:rsidR="00F051B5" w:rsidRPr="00F051B5" w:rsidRDefault="00F051B5" w:rsidP="00F051B5">
      <w:pPr>
        <w:spacing w:line="240" w:lineRule="auto"/>
        <w:rPr>
          <w:rFonts w:eastAsia="Times New Roman" w:cs="Arial"/>
          <w:lang w:eastAsia="bg-BG"/>
        </w:rPr>
      </w:pPr>
      <w:r w:rsidRPr="00F051B5">
        <w:rPr>
          <w:rFonts w:eastAsia="Times New Roman" w:cs="Arial"/>
          <w:b/>
          <w:bCs/>
          <w:color w:val="000000"/>
          <w:lang w:eastAsia="bg-BG"/>
        </w:rPr>
        <w:t>Други</w:t>
      </w:r>
      <w:bookmarkEnd w:id="4"/>
    </w:p>
    <w:p w14:paraId="17633525" w14:textId="77777777" w:rsidR="00F051B5" w:rsidRPr="00F051B5" w:rsidRDefault="00F051B5" w:rsidP="00F051B5">
      <w:pPr>
        <w:spacing w:line="240" w:lineRule="auto"/>
        <w:rPr>
          <w:rFonts w:eastAsia="Times New Roman" w:cs="Arial"/>
          <w:b/>
          <w:bCs/>
          <w:color w:val="000000"/>
          <w:u w:val="single"/>
          <w:lang w:eastAsia="bg-BG"/>
        </w:rPr>
      </w:pPr>
    </w:p>
    <w:p w14:paraId="2487BD00" w14:textId="6A2E9050" w:rsidR="00F051B5" w:rsidRPr="00F051B5" w:rsidRDefault="00F051B5" w:rsidP="00F051B5">
      <w:pPr>
        <w:spacing w:line="240" w:lineRule="auto"/>
        <w:rPr>
          <w:rFonts w:eastAsia="Times New Roman" w:cs="Arial"/>
          <w:lang w:eastAsia="bg-BG"/>
        </w:rPr>
      </w:pPr>
      <w:r w:rsidRPr="00F051B5">
        <w:rPr>
          <w:rFonts w:eastAsia="Times New Roman" w:cs="Arial"/>
          <w:b/>
          <w:bCs/>
          <w:color w:val="000000"/>
          <w:u w:val="single"/>
          <w:lang w:eastAsia="bg-BG"/>
        </w:rPr>
        <w:t>Метотрексат:</w:t>
      </w:r>
    </w:p>
    <w:p w14:paraId="066A77FA"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Едновременната употреба с високи дози метотрексат може да повиши и удължи серумните нива на метотрексат и/или неговия метаболит, което може да доведе до токсичност на метотрексат. Ето защо, когато се налага да се приемат високи дози метотрексат, може да се наложи временно спиране на приема на ланзопразол.</w:t>
      </w:r>
    </w:p>
    <w:p w14:paraId="031F7DED" w14:textId="77777777" w:rsidR="00F051B5" w:rsidRPr="00F051B5" w:rsidRDefault="00F051B5" w:rsidP="00F051B5">
      <w:pPr>
        <w:spacing w:line="240" w:lineRule="auto"/>
        <w:rPr>
          <w:rFonts w:eastAsia="Times New Roman" w:cs="Arial"/>
          <w:b/>
          <w:bCs/>
          <w:color w:val="000000"/>
          <w:u w:val="single"/>
          <w:lang w:eastAsia="bg-BG"/>
        </w:rPr>
      </w:pPr>
      <w:bookmarkStart w:id="5" w:name="bookmark5"/>
    </w:p>
    <w:p w14:paraId="3D897688" w14:textId="61408447" w:rsidR="00F051B5" w:rsidRPr="00F051B5" w:rsidRDefault="00F051B5" w:rsidP="00F051B5">
      <w:pPr>
        <w:spacing w:line="240" w:lineRule="auto"/>
        <w:rPr>
          <w:rFonts w:eastAsia="Times New Roman" w:cs="Arial"/>
          <w:lang w:eastAsia="bg-BG"/>
        </w:rPr>
      </w:pPr>
      <w:r w:rsidRPr="00F051B5">
        <w:rPr>
          <w:rFonts w:eastAsia="Times New Roman" w:cs="Arial"/>
          <w:b/>
          <w:bCs/>
          <w:color w:val="000000"/>
          <w:u w:val="single"/>
          <w:lang w:eastAsia="bg-BG"/>
        </w:rPr>
        <w:t>Сукралфат/Антиапиди:</w:t>
      </w:r>
      <w:bookmarkEnd w:id="5"/>
    </w:p>
    <w:p w14:paraId="5D950889"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Сукралфатьт/Антиацидите могат да понижат бионаличността на ланзопразол. Затова ланзопразол трябва да се приема най-малко 1 час след приема на тези лекарства.</w:t>
      </w:r>
    </w:p>
    <w:p w14:paraId="65BEBC09" w14:textId="77777777" w:rsidR="00F051B5" w:rsidRPr="00F051B5" w:rsidRDefault="00F051B5" w:rsidP="00F051B5">
      <w:pPr>
        <w:spacing w:line="240" w:lineRule="auto"/>
        <w:rPr>
          <w:rFonts w:eastAsia="Times New Roman" w:cs="Arial"/>
          <w:b/>
          <w:bCs/>
          <w:color w:val="000000"/>
          <w:u w:val="single"/>
          <w:lang w:eastAsia="bg-BG"/>
        </w:rPr>
      </w:pPr>
      <w:bookmarkStart w:id="6" w:name="bookmark7"/>
    </w:p>
    <w:p w14:paraId="39755466" w14:textId="039E2A05" w:rsidR="00F051B5" w:rsidRPr="00F051B5" w:rsidRDefault="00F051B5" w:rsidP="00F051B5">
      <w:pPr>
        <w:spacing w:line="240" w:lineRule="auto"/>
        <w:rPr>
          <w:rFonts w:eastAsia="Times New Roman" w:cs="Arial"/>
          <w:lang w:eastAsia="bg-BG"/>
        </w:rPr>
      </w:pPr>
      <w:r w:rsidRPr="00F051B5">
        <w:rPr>
          <w:rFonts w:eastAsia="Times New Roman" w:cs="Arial"/>
          <w:b/>
          <w:bCs/>
          <w:color w:val="000000"/>
          <w:u w:val="single"/>
          <w:lang w:eastAsia="bg-BG"/>
        </w:rPr>
        <w:t>НСПВС</w:t>
      </w:r>
      <w:bookmarkEnd w:id="6"/>
    </w:p>
    <w:p w14:paraId="0395BD2E" w14:textId="6533A4B8" w:rsidR="007A2185" w:rsidRPr="00F051B5" w:rsidRDefault="00F051B5" w:rsidP="00F051B5">
      <w:pPr>
        <w:rPr>
          <w:rFonts w:cs="Arial"/>
        </w:rPr>
      </w:pPr>
      <w:r w:rsidRPr="00F051B5">
        <w:rPr>
          <w:rFonts w:eastAsia="Times New Roman" w:cs="Arial"/>
          <w:color w:val="000000"/>
          <w:lang w:eastAsia="bg-BG"/>
        </w:rPr>
        <w:t>Не са наблюдавани клинично значими взаимодействия на ланзопразол с нестероидни противовъзпалителни лекарства, въпреки че не са провеждани официални проучвания за взаимодействия.</w:t>
      </w:r>
    </w:p>
    <w:p w14:paraId="7C9BEFA0" w14:textId="77777777" w:rsidR="00F051B5" w:rsidRPr="0091385D" w:rsidRDefault="00F051B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6BDA5C4D" w14:textId="77777777" w:rsidR="00F051B5" w:rsidRPr="00F051B5" w:rsidRDefault="00F051B5" w:rsidP="00F051B5">
      <w:pPr>
        <w:pStyle w:val="Heading3"/>
        <w:rPr>
          <w:rFonts w:eastAsia="Times New Roman"/>
          <w:u w:val="single"/>
          <w:lang w:eastAsia="bg-BG"/>
        </w:rPr>
      </w:pPr>
      <w:r w:rsidRPr="00F051B5">
        <w:rPr>
          <w:rFonts w:eastAsia="Times New Roman"/>
          <w:u w:val="single"/>
          <w:lang w:eastAsia="bg-BG"/>
        </w:rPr>
        <w:t>Бременност:</w:t>
      </w:r>
    </w:p>
    <w:p w14:paraId="3313EBB0"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За ланзопразол няма клинични данни за експозиция при бременност. Проучванията при животни не показват преки или косвени вредни ефекти по отношение на бременността, ембрионалното/феталното развитие, раждането или постнаталното развитие.</w:t>
      </w:r>
    </w:p>
    <w:p w14:paraId="1E458034"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Ето защо, не се препоръчва употребата на ланзопразол по време на бременност.</w:t>
      </w:r>
    </w:p>
    <w:p w14:paraId="6CD94730" w14:textId="77777777" w:rsidR="00F051B5" w:rsidRPr="00F051B5" w:rsidRDefault="00F051B5" w:rsidP="00F051B5">
      <w:pPr>
        <w:spacing w:line="240" w:lineRule="auto"/>
        <w:rPr>
          <w:rFonts w:eastAsia="Times New Roman" w:cs="Arial"/>
          <w:color w:val="000000"/>
          <w:u w:val="single"/>
          <w:lang w:eastAsia="bg-BG"/>
        </w:rPr>
      </w:pPr>
    </w:p>
    <w:p w14:paraId="6B540662" w14:textId="70D9C14B" w:rsidR="00F051B5" w:rsidRPr="00F051B5" w:rsidRDefault="00F051B5" w:rsidP="00F051B5">
      <w:pPr>
        <w:pStyle w:val="Heading3"/>
        <w:rPr>
          <w:rFonts w:eastAsia="Times New Roman"/>
          <w:u w:val="single"/>
          <w:lang w:eastAsia="bg-BG"/>
        </w:rPr>
      </w:pPr>
      <w:r w:rsidRPr="00F051B5">
        <w:rPr>
          <w:rFonts w:eastAsia="Times New Roman"/>
          <w:u w:val="single"/>
          <w:lang w:eastAsia="bg-BG"/>
        </w:rPr>
        <w:lastRenderedPageBreak/>
        <w:t>Кърмене:</w:t>
      </w:r>
    </w:p>
    <w:p w14:paraId="1185BFFC"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Не е известно дали ланзопразол се отделя в майчиното мляко. Проучванията при животни са показали екскреция на ланзопразол в млякото.</w:t>
      </w:r>
    </w:p>
    <w:p w14:paraId="5322ED0E"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Трябва да се вземе решение дали да се продължи/преустанови кърменето или да се продължи/преустанови терапията с ланзопразол, като се вземат предвид ползата от кърменето за детето и ползата от терапията с ланзопразол за жената.</w:t>
      </w:r>
    </w:p>
    <w:p w14:paraId="4A65EA15" w14:textId="77777777" w:rsidR="00F051B5" w:rsidRPr="00F051B5" w:rsidRDefault="00F051B5" w:rsidP="00F051B5">
      <w:pPr>
        <w:spacing w:line="240" w:lineRule="auto"/>
        <w:rPr>
          <w:rFonts w:eastAsia="Times New Roman" w:cs="Arial"/>
          <w:color w:val="000000"/>
          <w:u w:val="single"/>
          <w:lang w:eastAsia="bg-BG"/>
        </w:rPr>
      </w:pPr>
    </w:p>
    <w:p w14:paraId="7DED0900" w14:textId="668D00D5" w:rsidR="00F051B5" w:rsidRPr="00F051B5" w:rsidRDefault="00F051B5" w:rsidP="00F051B5">
      <w:pPr>
        <w:pStyle w:val="Heading3"/>
        <w:rPr>
          <w:rFonts w:eastAsia="Times New Roman"/>
          <w:u w:val="single"/>
          <w:lang w:eastAsia="bg-BG"/>
        </w:rPr>
      </w:pPr>
      <w:r w:rsidRPr="00F051B5">
        <w:rPr>
          <w:rFonts w:eastAsia="Times New Roman"/>
          <w:u w:val="single"/>
          <w:lang w:eastAsia="bg-BG"/>
        </w:rPr>
        <w:t>Фертилитет:</w:t>
      </w:r>
    </w:p>
    <w:p w14:paraId="102F0D07" w14:textId="097F39D1" w:rsidR="007A2185" w:rsidRPr="00F051B5" w:rsidRDefault="00F051B5" w:rsidP="00F051B5">
      <w:pPr>
        <w:rPr>
          <w:rFonts w:cs="Arial"/>
        </w:rPr>
      </w:pPr>
      <w:r w:rsidRPr="00F051B5">
        <w:rPr>
          <w:rFonts w:eastAsia="Times New Roman" w:cs="Arial"/>
          <w:color w:val="000000"/>
          <w:lang w:eastAsia="bg-BG"/>
        </w:rPr>
        <w:t>При хората няма данни за въздействие на ланзопразол върху фертилитета. При плъхове мъжкия и женския фертилитет не е бил повлиян от ланзопразол.</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592AC3E0" w14:textId="486B9CC3" w:rsidR="00F051B5" w:rsidRPr="00F051B5" w:rsidRDefault="00F051B5" w:rsidP="00F051B5">
      <w:pPr>
        <w:spacing w:line="240" w:lineRule="auto"/>
        <w:rPr>
          <w:rFonts w:ascii="Times New Roman" w:eastAsia="Times New Roman" w:hAnsi="Times New Roman" w:cs="Times New Roman"/>
          <w:sz w:val="24"/>
          <w:szCs w:val="24"/>
          <w:lang w:eastAsia="bg-BG"/>
        </w:rPr>
      </w:pPr>
    </w:p>
    <w:p w14:paraId="1C9ABB96" w14:textId="58A94D01" w:rsidR="007A2185" w:rsidRPr="00F051B5" w:rsidRDefault="00F051B5" w:rsidP="00F051B5">
      <w:pPr>
        <w:rPr>
          <w:rFonts w:cs="Arial"/>
        </w:rPr>
      </w:pPr>
      <w:r w:rsidRPr="00F051B5">
        <w:rPr>
          <w:rFonts w:eastAsia="Times New Roman" w:cs="Arial"/>
          <w:color w:val="000000"/>
          <w:lang w:eastAsia="bg-BG"/>
        </w:rPr>
        <w:t>Няма съобщения ланзопразол да повлиява способността за шофиране и работа с машини.</w:t>
      </w:r>
      <w:r w:rsidRPr="00F051B5">
        <w:rPr>
          <w:rFonts w:eastAsia="Times New Roman" w:cs="Arial"/>
          <w:b/>
          <w:bCs/>
          <w:i/>
          <w:iCs/>
          <w:color w:val="000000"/>
          <w:lang w:eastAsia="bg-BG"/>
        </w:rPr>
        <w:t xml:space="preserve"> </w:t>
      </w:r>
      <w:r w:rsidRPr="00F051B5">
        <w:rPr>
          <w:rFonts w:eastAsia="Times New Roman" w:cs="Arial"/>
          <w:color w:val="000000"/>
          <w:lang w:eastAsia="bg-BG"/>
        </w:rPr>
        <w:t>Някои нежелани лекарствени реакции обаче може по изключение да отслабят способността за концентрация.</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254AACC" w14:textId="50E8449E" w:rsidR="007A2185" w:rsidRPr="00F051B5" w:rsidRDefault="00F051B5" w:rsidP="0091385D">
      <w:pPr>
        <w:rPr>
          <w:rFonts w:cs="Arial"/>
        </w:rPr>
      </w:pPr>
      <w:r w:rsidRPr="00F051B5">
        <w:rPr>
          <w:rFonts w:cs="Arial"/>
        </w:rPr>
        <w:t>Честотата се определя като : чести (≥ 1/100 до &lt; 1/10), нечести (≥ 1/1000 до &lt; 1/100), редки (≥ 1/10000 до &lt; 1/1000), много редки (&lt; 1/10000); с неизвестна честота (честотата не може да бъде определена от наличните данни).</w:t>
      </w:r>
    </w:p>
    <w:p w14:paraId="443BC107" w14:textId="44AF7536" w:rsidR="005B0F27" w:rsidRDefault="005B0F27" w:rsidP="0091385D"/>
    <w:tbl>
      <w:tblPr>
        <w:tblStyle w:val="TableGrid"/>
        <w:tblW w:w="0" w:type="auto"/>
        <w:tblLook w:val="04A0" w:firstRow="1" w:lastRow="0" w:firstColumn="1" w:lastColumn="0" w:noHBand="0" w:noVBand="1"/>
      </w:tblPr>
      <w:tblGrid>
        <w:gridCol w:w="1532"/>
        <w:gridCol w:w="1446"/>
        <w:gridCol w:w="1749"/>
        <w:gridCol w:w="1749"/>
        <w:gridCol w:w="1417"/>
        <w:gridCol w:w="1457"/>
      </w:tblGrid>
      <w:tr w:rsidR="00971EE2" w14:paraId="5CA964E2" w14:textId="77777777" w:rsidTr="00971EE2">
        <w:tc>
          <w:tcPr>
            <w:tcW w:w="1501" w:type="dxa"/>
          </w:tcPr>
          <w:p w14:paraId="3F5F0BF6" w14:textId="77777777" w:rsidR="00971EE2" w:rsidRPr="00971EE2" w:rsidRDefault="00971EE2" w:rsidP="00971EE2"/>
        </w:tc>
        <w:tc>
          <w:tcPr>
            <w:tcW w:w="1416" w:type="dxa"/>
          </w:tcPr>
          <w:p w14:paraId="3C5AA98B" w14:textId="32A88758" w:rsidR="00971EE2" w:rsidRPr="00971EE2" w:rsidRDefault="00971EE2" w:rsidP="00971EE2">
            <w:r w:rsidRPr="00971EE2">
              <w:rPr>
                <w:b/>
                <w:bCs/>
                <w:szCs w:val="20"/>
              </w:rPr>
              <w:t>Чести</w:t>
            </w:r>
          </w:p>
        </w:tc>
        <w:tc>
          <w:tcPr>
            <w:tcW w:w="1711" w:type="dxa"/>
          </w:tcPr>
          <w:p w14:paraId="7D2716C7" w14:textId="065D012E" w:rsidR="00971EE2" w:rsidRPr="00971EE2" w:rsidRDefault="00971EE2" w:rsidP="00971EE2">
            <w:r w:rsidRPr="00971EE2">
              <w:rPr>
                <w:b/>
                <w:bCs/>
                <w:szCs w:val="20"/>
              </w:rPr>
              <w:t>Нечести</w:t>
            </w:r>
          </w:p>
        </w:tc>
        <w:tc>
          <w:tcPr>
            <w:tcW w:w="1711" w:type="dxa"/>
          </w:tcPr>
          <w:p w14:paraId="5FA1D5F7" w14:textId="3902FCC1" w:rsidR="00971EE2" w:rsidRPr="00971EE2" w:rsidRDefault="00971EE2" w:rsidP="00971EE2">
            <w:r w:rsidRPr="00971EE2">
              <w:rPr>
                <w:b/>
                <w:bCs/>
                <w:szCs w:val="20"/>
              </w:rPr>
              <w:t>Редки</w:t>
            </w:r>
          </w:p>
        </w:tc>
        <w:tc>
          <w:tcPr>
            <w:tcW w:w="1584" w:type="dxa"/>
          </w:tcPr>
          <w:p w14:paraId="5E9A405E" w14:textId="42A7570C" w:rsidR="00971EE2" w:rsidRPr="00971EE2" w:rsidRDefault="00971EE2" w:rsidP="00971EE2">
            <w:r w:rsidRPr="00971EE2">
              <w:rPr>
                <w:b/>
                <w:bCs/>
                <w:szCs w:val="20"/>
              </w:rPr>
              <w:t>Много редки</w:t>
            </w:r>
          </w:p>
        </w:tc>
        <w:tc>
          <w:tcPr>
            <w:tcW w:w="1427" w:type="dxa"/>
            <w:vAlign w:val="bottom"/>
          </w:tcPr>
          <w:p w14:paraId="5EA4359B" w14:textId="28C34685" w:rsidR="00971EE2" w:rsidRPr="00971EE2" w:rsidRDefault="00971EE2" w:rsidP="00971EE2">
            <w:r w:rsidRPr="00971EE2">
              <w:rPr>
                <w:b/>
                <w:bCs/>
                <w:szCs w:val="20"/>
              </w:rPr>
              <w:t>с неизвестна честота</w:t>
            </w:r>
          </w:p>
        </w:tc>
      </w:tr>
      <w:tr w:rsidR="00971EE2" w14:paraId="70F6BD5F" w14:textId="77777777" w:rsidTr="00971EE2">
        <w:tc>
          <w:tcPr>
            <w:tcW w:w="1501" w:type="dxa"/>
            <w:vAlign w:val="bottom"/>
          </w:tcPr>
          <w:p w14:paraId="69900951" w14:textId="66752A04" w:rsidR="00971EE2" w:rsidRPr="00971EE2" w:rsidRDefault="00971EE2" w:rsidP="00971EE2">
            <w:r w:rsidRPr="00971EE2">
              <w:rPr>
                <w:b/>
                <w:bCs/>
                <w:szCs w:val="20"/>
              </w:rPr>
              <w:t>Наруше ния на кръвта и лимфната система</w:t>
            </w:r>
          </w:p>
        </w:tc>
        <w:tc>
          <w:tcPr>
            <w:tcW w:w="1416" w:type="dxa"/>
          </w:tcPr>
          <w:p w14:paraId="55C252BF" w14:textId="77777777" w:rsidR="00971EE2" w:rsidRPr="00971EE2" w:rsidRDefault="00971EE2" w:rsidP="00971EE2"/>
        </w:tc>
        <w:tc>
          <w:tcPr>
            <w:tcW w:w="1711" w:type="dxa"/>
          </w:tcPr>
          <w:p w14:paraId="1AED5FED" w14:textId="37D9C328" w:rsidR="00971EE2" w:rsidRPr="00971EE2" w:rsidRDefault="00971EE2" w:rsidP="00971EE2">
            <w:r w:rsidRPr="00971EE2">
              <w:rPr>
                <w:szCs w:val="20"/>
              </w:rPr>
              <w:t>Тромбоцитопе ния, еозинофилия, левкопения</w:t>
            </w:r>
          </w:p>
        </w:tc>
        <w:tc>
          <w:tcPr>
            <w:tcW w:w="1711" w:type="dxa"/>
          </w:tcPr>
          <w:p w14:paraId="1F85C836" w14:textId="382097FE" w:rsidR="00971EE2" w:rsidRPr="00971EE2" w:rsidRDefault="00971EE2" w:rsidP="00971EE2">
            <w:r w:rsidRPr="00971EE2">
              <w:rPr>
                <w:szCs w:val="20"/>
              </w:rPr>
              <w:t>Анемия</w:t>
            </w:r>
          </w:p>
        </w:tc>
        <w:tc>
          <w:tcPr>
            <w:tcW w:w="1584" w:type="dxa"/>
          </w:tcPr>
          <w:p w14:paraId="6A5E9389" w14:textId="5573C988" w:rsidR="00971EE2" w:rsidRPr="00971EE2" w:rsidRDefault="00971EE2" w:rsidP="00971EE2">
            <w:r w:rsidRPr="00971EE2">
              <w:rPr>
                <w:szCs w:val="20"/>
              </w:rPr>
              <w:t>Агранулоци тоза, панцитопе ния</w:t>
            </w:r>
          </w:p>
        </w:tc>
        <w:tc>
          <w:tcPr>
            <w:tcW w:w="1427" w:type="dxa"/>
          </w:tcPr>
          <w:p w14:paraId="494ED964" w14:textId="77777777" w:rsidR="00971EE2" w:rsidRPr="00971EE2" w:rsidRDefault="00971EE2" w:rsidP="00971EE2"/>
        </w:tc>
      </w:tr>
      <w:tr w:rsidR="00971EE2" w14:paraId="2C0C4E0C" w14:textId="77777777" w:rsidTr="00971EE2">
        <w:tc>
          <w:tcPr>
            <w:tcW w:w="1501" w:type="dxa"/>
          </w:tcPr>
          <w:p w14:paraId="44CBE2DE" w14:textId="56075393" w:rsidR="00971EE2" w:rsidRPr="00971EE2" w:rsidRDefault="00971EE2" w:rsidP="00971EE2">
            <w:r w:rsidRPr="00971EE2">
              <w:rPr>
                <w:b/>
                <w:bCs/>
                <w:szCs w:val="20"/>
              </w:rPr>
              <w:t>Наруше ния иа имунната система</w:t>
            </w:r>
          </w:p>
        </w:tc>
        <w:tc>
          <w:tcPr>
            <w:tcW w:w="1416" w:type="dxa"/>
            <w:vAlign w:val="bottom"/>
          </w:tcPr>
          <w:p w14:paraId="5CCB3424" w14:textId="721E2131" w:rsidR="00971EE2" w:rsidRPr="00971EE2" w:rsidRDefault="00971EE2" w:rsidP="00971EE2">
            <w:r w:rsidRPr="00971EE2">
              <w:rPr>
                <w:szCs w:val="20"/>
              </w:rPr>
              <w:t>_ _ _</w:t>
            </w:r>
          </w:p>
        </w:tc>
        <w:tc>
          <w:tcPr>
            <w:tcW w:w="1711" w:type="dxa"/>
          </w:tcPr>
          <w:p w14:paraId="7A9C2C94" w14:textId="77777777" w:rsidR="00971EE2" w:rsidRPr="00971EE2" w:rsidRDefault="00971EE2" w:rsidP="00971EE2"/>
        </w:tc>
        <w:tc>
          <w:tcPr>
            <w:tcW w:w="1711" w:type="dxa"/>
            <w:vAlign w:val="bottom"/>
          </w:tcPr>
          <w:p w14:paraId="5467325C" w14:textId="08EC3922" w:rsidR="00971EE2" w:rsidRPr="00971EE2" w:rsidRDefault="00971EE2" w:rsidP="00971EE2">
            <w:r w:rsidRPr="00971EE2">
              <w:rPr>
                <w:szCs w:val="20"/>
              </w:rPr>
              <w:t>-</w:t>
            </w:r>
          </w:p>
        </w:tc>
        <w:tc>
          <w:tcPr>
            <w:tcW w:w="1584" w:type="dxa"/>
          </w:tcPr>
          <w:p w14:paraId="1603D25C" w14:textId="69588938" w:rsidR="00971EE2" w:rsidRPr="00971EE2" w:rsidRDefault="00971EE2" w:rsidP="00971EE2">
            <w:r w:rsidRPr="00971EE2">
              <w:rPr>
                <w:szCs w:val="20"/>
              </w:rPr>
              <w:t>Анафила ктичен шок</w:t>
            </w:r>
          </w:p>
        </w:tc>
        <w:tc>
          <w:tcPr>
            <w:tcW w:w="1427" w:type="dxa"/>
          </w:tcPr>
          <w:p w14:paraId="2BA9CC38" w14:textId="77777777" w:rsidR="00971EE2" w:rsidRPr="00971EE2" w:rsidRDefault="00971EE2" w:rsidP="00971EE2"/>
        </w:tc>
      </w:tr>
      <w:tr w:rsidR="00971EE2" w14:paraId="6F49CE4A" w14:textId="77777777" w:rsidTr="00971EE2">
        <w:tc>
          <w:tcPr>
            <w:tcW w:w="1501" w:type="dxa"/>
            <w:vAlign w:val="bottom"/>
          </w:tcPr>
          <w:p w14:paraId="6F1AE3B2" w14:textId="04950835" w:rsidR="00971EE2" w:rsidRPr="00971EE2" w:rsidRDefault="00971EE2" w:rsidP="00971EE2">
            <w:r w:rsidRPr="00971EE2">
              <w:rPr>
                <w:b/>
                <w:bCs/>
                <w:szCs w:val="20"/>
              </w:rPr>
              <w:t>Метаболи зъм и хранител ни разстрой ства</w:t>
            </w:r>
          </w:p>
        </w:tc>
        <w:tc>
          <w:tcPr>
            <w:tcW w:w="1416" w:type="dxa"/>
          </w:tcPr>
          <w:p w14:paraId="759E0C7C" w14:textId="77777777" w:rsidR="00971EE2" w:rsidRPr="00971EE2" w:rsidRDefault="00971EE2" w:rsidP="00971EE2"/>
        </w:tc>
        <w:tc>
          <w:tcPr>
            <w:tcW w:w="1711" w:type="dxa"/>
          </w:tcPr>
          <w:p w14:paraId="4B51F5BF" w14:textId="77777777" w:rsidR="00971EE2" w:rsidRPr="00971EE2" w:rsidRDefault="00971EE2" w:rsidP="00971EE2"/>
        </w:tc>
        <w:tc>
          <w:tcPr>
            <w:tcW w:w="1711" w:type="dxa"/>
            <w:vAlign w:val="bottom"/>
          </w:tcPr>
          <w:p w14:paraId="224D6E3D" w14:textId="64688B14" w:rsidR="00971EE2" w:rsidRPr="00971EE2" w:rsidRDefault="00971EE2" w:rsidP="00971EE2">
            <w:r w:rsidRPr="00971EE2">
              <w:rPr>
                <w:szCs w:val="20"/>
              </w:rPr>
              <w:t>-</w:t>
            </w:r>
          </w:p>
        </w:tc>
        <w:tc>
          <w:tcPr>
            <w:tcW w:w="1584" w:type="dxa"/>
          </w:tcPr>
          <w:p w14:paraId="0F8AE970" w14:textId="77777777" w:rsidR="00971EE2" w:rsidRPr="00971EE2" w:rsidRDefault="00971EE2" w:rsidP="00971EE2"/>
        </w:tc>
        <w:tc>
          <w:tcPr>
            <w:tcW w:w="1427" w:type="dxa"/>
          </w:tcPr>
          <w:p w14:paraId="5F2A27E8" w14:textId="19AC7674" w:rsidR="00971EE2" w:rsidRPr="00971EE2" w:rsidRDefault="00971EE2" w:rsidP="00971EE2">
            <w:r w:rsidRPr="00971EE2">
              <w:rPr>
                <w:szCs w:val="20"/>
              </w:rPr>
              <w:t>Хипомагнез иемия (вж. точка 4.4)</w:t>
            </w:r>
          </w:p>
        </w:tc>
      </w:tr>
      <w:tr w:rsidR="00971EE2" w14:paraId="50D1D3CA" w14:textId="77777777" w:rsidTr="00971EE2">
        <w:tc>
          <w:tcPr>
            <w:tcW w:w="1501" w:type="dxa"/>
          </w:tcPr>
          <w:p w14:paraId="7D7BD302" w14:textId="0849011B" w:rsidR="00971EE2" w:rsidRPr="00971EE2" w:rsidRDefault="00971EE2" w:rsidP="00971EE2">
            <w:r w:rsidRPr="00971EE2">
              <w:rPr>
                <w:b/>
                <w:bCs/>
                <w:szCs w:val="20"/>
              </w:rPr>
              <w:t>Психични нарушения</w:t>
            </w:r>
          </w:p>
        </w:tc>
        <w:tc>
          <w:tcPr>
            <w:tcW w:w="1416" w:type="dxa"/>
          </w:tcPr>
          <w:p w14:paraId="125AE3BF" w14:textId="77777777" w:rsidR="00971EE2" w:rsidRPr="00971EE2" w:rsidRDefault="00971EE2" w:rsidP="00971EE2"/>
        </w:tc>
        <w:tc>
          <w:tcPr>
            <w:tcW w:w="1711" w:type="dxa"/>
          </w:tcPr>
          <w:p w14:paraId="43DFDF24" w14:textId="73BC2ECA" w:rsidR="00971EE2" w:rsidRPr="00971EE2" w:rsidRDefault="00971EE2" w:rsidP="00971EE2">
            <w:r w:rsidRPr="00971EE2">
              <w:rPr>
                <w:szCs w:val="20"/>
              </w:rPr>
              <w:t>Депресия</w:t>
            </w:r>
          </w:p>
        </w:tc>
        <w:tc>
          <w:tcPr>
            <w:tcW w:w="1711" w:type="dxa"/>
            <w:vAlign w:val="bottom"/>
          </w:tcPr>
          <w:p w14:paraId="7E80503A" w14:textId="155BEE40" w:rsidR="00971EE2" w:rsidRPr="00971EE2" w:rsidRDefault="00971EE2" w:rsidP="00971EE2">
            <w:r w:rsidRPr="00971EE2">
              <w:rPr>
                <w:szCs w:val="20"/>
              </w:rPr>
              <w:t>Безсъние, халюцинации, объркване</w:t>
            </w:r>
          </w:p>
        </w:tc>
        <w:tc>
          <w:tcPr>
            <w:tcW w:w="1584" w:type="dxa"/>
          </w:tcPr>
          <w:p w14:paraId="1B92AD58" w14:textId="77777777" w:rsidR="00971EE2" w:rsidRPr="00971EE2" w:rsidRDefault="00971EE2" w:rsidP="00971EE2"/>
        </w:tc>
        <w:tc>
          <w:tcPr>
            <w:tcW w:w="1427" w:type="dxa"/>
            <w:vAlign w:val="bottom"/>
          </w:tcPr>
          <w:p w14:paraId="6510CE93" w14:textId="02CFD243" w:rsidR="00971EE2" w:rsidRPr="00971EE2" w:rsidRDefault="00971EE2" w:rsidP="00971EE2">
            <w:r w:rsidRPr="00971EE2">
              <w:rPr>
                <w:szCs w:val="20"/>
              </w:rPr>
              <w:t>Зрителни халюцина ции</w:t>
            </w:r>
          </w:p>
        </w:tc>
      </w:tr>
      <w:tr w:rsidR="00971EE2" w14:paraId="7604B331" w14:textId="77777777" w:rsidTr="00971EE2">
        <w:tc>
          <w:tcPr>
            <w:tcW w:w="1501" w:type="dxa"/>
          </w:tcPr>
          <w:p w14:paraId="1CB6C5ED" w14:textId="79C212FA" w:rsidR="00971EE2" w:rsidRPr="00971EE2" w:rsidRDefault="00971EE2" w:rsidP="00971EE2">
            <w:r w:rsidRPr="00971EE2">
              <w:rPr>
                <w:b/>
                <w:bCs/>
                <w:szCs w:val="20"/>
              </w:rPr>
              <w:t>Наруше ния на нервната система</w:t>
            </w:r>
          </w:p>
        </w:tc>
        <w:tc>
          <w:tcPr>
            <w:tcW w:w="1416" w:type="dxa"/>
          </w:tcPr>
          <w:p w14:paraId="2AD3CAE6" w14:textId="255EFB55" w:rsidR="00971EE2" w:rsidRPr="00971EE2" w:rsidRDefault="00971EE2" w:rsidP="00971EE2">
            <w:r w:rsidRPr="00971EE2">
              <w:rPr>
                <w:szCs w:val="20"/>
              </w:rPr>
              <w:t>Главоболие , замайване</w:t>
            </w:r>
          </w:p>
        </w:tc>
        <w:tc>
          <w:tcPr>
            <w:tcW w:w="1711" w:type="dxa"/>
          </w:tcPr>
          <w:p w14:paraId="1A1B9D11" w14:textId="77777777" w:rsidR="00971EE2" w:rsidRPr="00971EE2" w:rsidRDefault="00971EE2" w:rsidP="00971EE2"/>
        </w:tc>
        <w:tc>
          <w:tcPr>
            <w:tcW w:w="1711" w:type="dxa"/>
            <w:vAlign w:val="bottom"/>
          </w:tcPr>
          <w:p w14:paraId="306561E7" w14:textId="47DCB5AF" w:rsidR="00971EE2" w:rsidRPr="00971EE2" w:rsidRDefault="00971EE2" w:rsidP="00971EE2">
            <w:r w:rsidRPr="00971EE2">
              <w:rPr>
                <w:szCs w:val="20"/>
              </w:rPr>
              <w:t xml:space="preserve">Безпокойство, световъртеж, парестезии, </w:t>
            </w:r>
            <w:r w:rsidRPr="00971EE2">
              <w:rPr>
                <w:szCs w:val="20"/>
              </w:rPr>
              <w:lastRenderedPageBreak/>
              <w:t>сънливост, тремор</w:t>
            </w:r>
          </w:p>
        </w:tc>
        <w:tc>
          <w:tcPr>
            <w:tcW w:w="1584" w:type="dxa"/>
          </w:tcPr>
          <w:p w14:paraId="3C69B4C2" w14:textId="77777777" w:rsidR="00971EE2" w:rsidRPr="00971EE2" w:rsidRDefault="00971EE2" w:rsidP="00971EE2"/>
        </w:tc>
        <w:tc>
          <w:tcPr>
            <w:tcW w:w="1427" w:type="dxa"/>
          </w:tcPr>
          <w:p w14:paraId="3E484826" w14:textId="77777777" w:rsidR="00971EE2" w:rsidRPr="00971EE2" w:rsidRDefault="00971EE2" w:rsidP="00971EE2"/>
        </w:tc>
      </w:tr>
      <w:tr w:rsidR="00971EE2" w14:paraId="78E4C766" w14:textId="77777777" w:rsidTr="00971EE2">
        <w:tc>
          <w:tcPr>
            <w:tcW w:w="1501" w:type="dxa"/>
          </w:tcPr>
          <w:p w14:paraId="2D5B5364" w14:textId="7932D130" w:rsidR="00971EE2" w:rsidRPr="00971EE2" w:rsidRDefault="00971EE2" w:rsidP="00971EE2">
            <w:r w:rsidRPr="00971EE2">
              <w:rPr>
                <w:b/>
                <w:bCs/>
                <w:szCs w:val="20"/>
              </w:rPr>
              <w:t>Наруше ния на очите</w:t>
            </w:r>
          </w:p>
        </w:tc>
        <w:tc>
          <w:tcPr>
            <w:tcW w:w="1416" w:type="dxa"/>
          </w:tcPr>
          <w:p w14:paraId="239AEF15" w14:textId="77777777" w:rsidR="00971EE2" w:rsidRPr="00971EE2" w:rsidRDefault="00971EE2" w:rsidP="00971EE2"/>
        </w:tc>
        <w:tc>
          <w:tcPr>
            <w:tcW w:w="1711" w:type="dxa"/>
          </w:tcPr>
          <w:p w14:paraId="09D2C49C" w14:textId="77777777" w:rsidR="00971EE2" w:rsidRPr="00971EE2" w:rsidRDefault="00971EE2" w:rsidP="00971EE2"/>
        </w:tc>
        <w:tc>
          <w:tcPr>
            <w:tcW w:w="1711" w:type="dxa"/>
          </w:tcPr>
          <w:p w14:paraId="75CD4F30" w14:textId="2D901DBE" w:rsidR="00971EE2" w:rsidRPr="00971EE2" w:rsidRDefault="00971EE2" w:rsidP="00971EE2">
            <w:r w:rsidRPr="00971EE2">
              <w:rPr>
                <w:szCs w:val="20"/>
              </w:rPr>
              <w:t>Зрителни нарушения</w:t>
            </w:r>
          </w:p>
        </w:tc>
        <w:tc>
          <w:tcPr>
            <w:tcW w:w="1584" w:type="dxa"/>
          </w:tcPr>
          <w:p w14:paraId="6063DF51" w14:textId="77777777" w:rsidR="00971EE2" w:rsidRPr="00971EE2" w:rsidRDefault="00971EE2" w:rsidP="00971EE2"/>
        </w:tc>
        <w:tc>
          <w:tcPr>
            <w:tcW w:w="1427" w:type="dxa"/>
          </w:tcPr>
          <w:p w14:paraId="727B226E" w14:textId="77777777" w:rsidR="00971EE2" w:rsidRPr="00971EE2" w:rsidRDefault="00971EE2" w:rsidP="00971EE2"/>
        </w:tc>
      </w:tr>
      <w:tr w:rsidR="00971EE2" w14:paraId="37398DCA" w14:textId="77777777" w:rsidTr="00971EE2">
        <w:tc>
          <w:tcPr>
            <w:tcW w:w="1501" w:type="dxa"/>
          </w:tcPr>
          <w:p w14:paraId="7BC2948E" w14:textId="0AA7D286" w:rsidR="00971EE2" w:rsidRPr="00971EE2" w:rsidRDefault="00971EE2" w:rsidP="00971EE2">
            <w:r w:rsidRPr="00971EE2">
              <w:rPr>
                <w:b/>
                <w:bCs/>
                <w:szCs w:val="20"/>
              </w:rPr>
              <w:t>Гастроин тестииал ни нарушения</w:t>
            </w:r>
          </w:p>
        </w:tc>
        <w:tc>
          <w:tcPr>
            <w:tcW w:w="1416" w:type="dxa"/>
          </w:tcPr>
          <w:p w14:paraId="72C9F934" w14:textId="634422DD" w:rsidR="00971EE2" w:rsidRPr="00971EE2" w:rsidRDefault="00971EE2" w:rsidP="00971EE2">
            <w:r w:rsidRPr="00971EE2">
              <w:rPr>
                <w:szCs w:val="20"/>
              </w:rPr>
              <w:t>Гадене, диария, болка в стомаха, запек, повръщане, флатулен ция, сухота в устата или гърлото, доброкачес твени полипи на фундуса на стомаха</w:t>
            </w:r>
          </w:p>
        </w:tc>
        <w:tc>
          <w:tcPr>
            <w:tcW w:w="1711" w:type="dxa"/>
          </w:tcPr>
          <w:p w14:paraId="496A3634" w14:textId="77777777" w:rsidR="00971EE2" w:rsidRPr="00971EE2" w:rsidRDefault="00971EE2" w:rsidP="00971EE2"/>
        </w:tc>
        <w:tc>
          <w:tcPr>
            <w:tcW w:w="1711" w:type="dxa"/>
          </w:tcPr>
          <w:p w14:paraId="0AAE3B8A" w14:textId="47FA5D5D" w:rsidR="00971EE2" w:rsidRPr="00971EE2" w:rsidRDefault="00971EE2" w:rsidP="00971EE2">
            <w:r w:rsidRPr="00971EE2">
              <w:rPr>
                <w:szCs w:val="20"/>
              </w:rPr>
              <w:t>Глосит, кандидиаза на езофагуса, панкреатит, вкусови нарушения</w:t>
            </w:r>
          </w:p>
        </w:tc>
        <w:tc>
          <w:tcPr>
            <w:tcW w:w="1584" w:type="dxa"/>
          </w:tcPr>
          <w:p w14:paraId="592EDE05" w14:textId="6ADC93E5" w:rsidR="00971EE2" w:rsidRPr="00971EE2" w:rsidRDefault="00971EE2" w:rsidP="00971EE2">
            <w:r w:rsidRPr="00971EE2">
              <w:rPr>
                <w:szCs w:val="20"/>
              </w:rPr>
              <w:t>Колит, стоматит</w:t>
            </w:r>
          </w:p>
        </w:tc>
        <w:tc>
          <w:tcPr>
            <w:tcW w:w="1427" w:type="dxa"/>
          </w:tcPr>
          <w:p w14:paraId="76084B31" w14:textId="2B22B39A" w:rsidR="00971EE2" w:rsidRPr="00971EE2" w:rsidRDefault="00971EE2" w:rsidP="00971EE2">
            <w:r w:rsidRPr="00971EE2">
              <w:rPr>
                <w:szCs w:val="20"/>
              </w:rPr>
              <w:t>Колагено зен колит</w:t>
            </w:r>
          </w:p>
        </w:tc>
      </w:tr>
      <w:tr w:rsidR="00971EE2" w14:paraId="403AC9F2" w14:textId="77777777" w:rsidTr="00FA50D9">
        <w:trPr>
          <w:trHeight w:val="1889"/>
        </w:trPr>
        <w:tc>
          <w:tcPr>
            <w:tcW w:w="1501" w:type="dxa"/>
          </w:tcPr>
          <w:p w14:paraId="360142F1" w14:textId="6D50D4B6" w:rsidR="00971EE2" w:rsidRPr="00971EE2" w:rsidRDefault="00971EE2" w:rsidP="00971EE2">
            <w:r w:rsidRPr="00971EE2">
              <w:rPr>
                <w:b/>
                <w:bCs/>
                <w:szCs w:val="20"/>
              </w:rPr>
              <w:t>Хепотобн лиарни нарушения</w:t>
            </w:r>
          </w:p>
        </w:tc>
        <w:tc>
          <w:tcPr>
            <w:tcW w:w="1416" w:type="dxa"/>
          </w:tcPr>
          <w:p w14:paraId="1C7DD37A" w14:textId="77777777" w:rsidR="00971EE2" w:rsidRPr="00971EE2" w:rsidRDefault="00971EE2" w:rsidP="00971EE2">
            <w:r w:rsidRPr="00971EE2">
              <w:rPr>
                <w:szCs w:val="20"/>
              </w:rPr>
              <w:t>Повишава не на стойности те на</w:t>
            </w:r>
          </w:p>
          <w:p w14:paraId="6971F91B" w14:textId="2226A233" w:rsidR="00971EE2" w:rsidRPr="00971EE2" w:rsidRDefault="00971EE2" w:rsidP="00971EE2">
            <w:r w:rsidRPr="00971EE2">
              <w:t>чернодроб ните ензими</w:t>
            </w:r>
          </w:p>
        </w:tc>
        <w:tc>
          <w:tcPr>
            <w:tcW w:w="1711" w:type="dxa"/>
          </w:tcPr>
          <w:p w14:paraId="546E6DAE" w14:textId="77777777" w:rsidR="00971EE2" w:rsidRPr="00971EE2" w:rsidRDefault="00971EE2" w:rsidP="00971EE2"/>
        </w:tc>
        <w:tc>
          <w:tcPr>
            <w:tcW w:w="1711" w:type="dxa"/>
          </w:tcPr>
          <w:p w14:paraId="2B728321" w14:textId="205B1AA3" w:rsidR="00971EE2" w:rsidRPr="00971EE2" w:rsidRDefault="00971EE2" w:rsidP="00971EE2">
            <w:r w:rsidRPr="00971EE2">
              <w:rPr>
                <w:szCs w:val="20"/>
              </w:rPr>
              <w:t>Хепатит, жълтеница</w:t>
            </w:r>
          </w:p>
        </w:tc>
        <w:tc>
          <w:tcPr>
            <w:tcW w:w="1584" w:type="dxa"/>
          </w:tcPr>
          <w:p w14:paraId="631D5770" w14:textId="77777777" w:rsidR="00971EE2" w:rsidRPr="00971EE2" w:rsidRDefault="00971EE2" w:rsidP="00971EE2"/>
        </w:tc>
        <w:tc>
          <w:tcPr>
            <w:tcW w:w="1427" w:type="dxa"/>
          </w:tcPr>
          <w:p w14:paraId="77B04458" w14:textId="77777777" w:rsidR="00971EE2" w:rsidRPr="00971EE2" w:rsidRDefault="00971EE2" w:rsidP="00971EE2"/>
        </w:tc>
      </w:tr>
      <w:tr w:rsidR="00971EE2" w14:paraId="3B2BA444" w14:textId="77777777" w:rsidTr="00971EE2">
        <w:tc>
          <w:tcPr>
            <w:tcW w:w="1501" w:type="dxa"/>
          </w:tcPr>
          <w:p w14:paraId="15394DAC" w14:textId="478758E8" w:rsidR="00971EE2" w:rsidRPr="00971EE2" w:rsidRDefault="00971EE2" w:rsidP="00971EE2">
            <w:r w:rsidRPr="00971EE2">
              <w:rPr>
                <w:b/>
                <w:bCs/>
              </w:rPr>
              <w:t>Наруше ния на кожата и подкожни те тъкани</w:t>
            </w:r>
          </w:p>
        </w:tc>
        <w:tc>
          <w:tcPr>
            <w:tcW w:w="1416" w:type="dxa"/>
          </w:tcPr>
          <w:p w14:paraId="526585C4" w14:textId="2E6A972C" w:rsidR="00971EE2" w:rsidRPr="00971EE2" w:rsidRDefault="00971EE2" w:rsidP="00971EE2">
            <w:r w:rsidRPr="00971EE2">
              <w:t>Уртикария, сърбеж, обрив</w:t>
            </w:r>
          </w:p>
        </w:tc>
        <w:tc>
          <w:tcPr>
            <w:tcW w:w="1711" w:type="dxa"/>
          </w:tcPr>
          <w:p w14:paraId="1BC99895" w14:textId="77777777" w:rsidR="00971EE2" w:rsidRPr="00971EE2" w:rsidRDefault="00971EE2" w:rsidP="00971EE2"/>
        </w:tc>
        <w:tc>
          <w:tcPr>
            <w:tcW w:w="1711" w:type="dxa"/>
          </w:tcPr>
          <w:p w14:paraId="1FEF4095" w14:textId="4A36331F" w:rsidR="00971EE2" w:rsidRPr="00971EE2" w:rsidRDefault="00971EE2" w:rsidP="00971EE2">
            <w:r w:rsidRPr="00971EE2">
              <w:t>Петехии, пурпура, загуба на коса, еритема мултиформе, фоточувстви телност</w:t>
            </w:r>
          </w:p>
        </w:tc>
        <w:tc>
          <w:tcPr>
            <w:tcW w:w="1584" w:type="dxa"/>
          </w:tcPr>
          <w:p w14:paraId="388D4D4D" w14:textId="1C5418AF" w:rsidR="00971EE2" w:rsidRPr="00971EE2" w:rsidRDefault="00971EE2" w:rsidP="00971EE2">
            <w:r w:rsidRPr="00971EE2">
              <w:t xml:space="preserve">Синдром на </w:t>
            </w:r>
            <w:r w:rsidRPr="00971EE2">
              <w:rPr>
                <w:lang w:val="en-US"/>
              </w:rPr>
              <w:t xml:space="preserve">Stevens- Johnson, </w:t>
            </w:r>
            <w:r w:rsidRPr="00971EE2">
              <w:t>токсична епидермал на некролиза</w:t>
            </w:r>
          </w:p>
        </w:tc>
        <w:tc>
          <w:tcPr>
            <w:tcW w:w="1427" w:type="dxa"/>
          </w:tcPr>
          <w:p w14:paraId="1FDB4D27" w14:textId="6143C50B" w:rsidR="00971EE2" w:rsidRPr="00971EE2" w:rsidRDefault="00971EE2" w:rsidP="00971EE2">
            <w:r w:rsidRPr="00971EE2">
              <w:t>Субакутен кожен лупус еритемато дес (вж.точка 4.4)</w:t>
            </w:r>
          </w:p>
        </w:tc>
      </w:tr>
      <w:tr w:rsidR="00971EE2" w14:paraId="0C0E7162" w14:textId="77777777" w:rsidTr="00971EE2">
        <w:tc>
          <w:tcPr>
            <w:tcW w:w="1501" w:type="dxa"/>
          </w:tcPr>
          <w:p w14:paraId="1449890A" w14:textId="7FEB1E2B" w:rsidR="00971EE2" w:rsidRPr="00971EE2" w:rsidRDefault="00971EE2" w:rsidP="00971EE2">
            <w:r w:rsidRPr="00971EE2">
              <w:rPr>
                <w:b/>
                <w:bCs/>
              </w:rPr>
              <w:t>Наруше ния на мускулно- скелетната система и съединител ната тъкан</w:t>
            </w:r>
          </w:p>
        </w:tc>
        <w:tc>
          <w:tcPr>
            <w:tcW w:w="1416" w:type="dxa"/>
          </w:tcPr>
          <w:p w14:paraId="641B1148" w14:textId="77777777" w:rsidR="00971EE2" w:rsidRPr="00971EE2" w:rsidRDefault="00971EE2" w:rsidP="00971EE2"/>
        </w:tc>
        <w:tc>
          <w:tcPr>
            <w:tcW w:w="1711" w:type="dxa"/>
          </w:tcPr>
          <w:p w14:paraId="7D72F063" w14:textId="79F15C64" w:rsidR="00971EE2" w:rsidRPr="00971EE2" w:rsidRDefault="00971EE2" w:rsidP="00971EE2">
            <w:r w:rsidRPr="00971EE2">
              <w:t>Артралгия, миалгия, фрактура на тазобедрената става, китката или гръбначния стълб (виж точка 4.4)</w:t>
            </w:r>
          </w:p>
        </w:tc>
        <w:tc>
          <w:tcPr>
            <w:tcW w:w="1711" w:type="dxa"/>
          </w:tcPr>
          <w:p w14:paraId="3D7D021F" w14:textId="77777777" w:rsidR="00971EE2" w:rsidRPr="00971EE2" w:rsidRDefault="00971EE2" w:rsidP="00971EE2"/>
        </w:tc>
        <w:tc>
          <w:tcPr>
            <w:tcW w:w="1584" w:type="dxa"/>
          </w:tcPr>
          <w:p w14:paraId="7FC73859" w14:textId="77777777" w:rsidR="00971EE2" w:rsidRPr="00971EE2" w:rsidRDefault="00971EE2" w:rsidP="00971EE2"/>
        </w:tc>
        <w:tc>
          <w:tcPr>
            <w:tcW w:w="1427" w:type="dxa"/>
          </w:tcPr>
          <w:p w14:paraId="18C9AD6A" w14:textId="77777777" w:rsidR="00971EE2" w:rsidRPr="00971EE2" w:rsidRDefault="00971EE2" w:rsidP="00971EE2"/>
        </w:tc>
      </w:tr>
      <w:tr w:rsidR="00971EE2" w14:paraId="0754A99F" w14:textId="77777777" w:rsidTr="00971EE2">
        <w:tc>
          <w:tcPr>
            <w:tcW w:w="1501" w:type="dxa"/>
          </w:tcPr>
          <w:p w14:paraId="21208715" w14:textId="3B726370" w:rsidR="00971EE2" w:rsidRPr="00971EE2" w:rsidRDefault="00971EE2" w:rsidP="00971EE2">
            <w:r w:rsidRPr="00971EE2">
              <w:rPr>
                <w:b/>
                <w:bCs/>
              </w:rPr>
              <w:t xml:space="preserve">Наруше ния на бъбреците и </w:t>
            </w:r>
            <w:r w:rsidRPr="00971EE2">
              <w:rPr>
                <w:b/>
                <w:bCs/>
              </w:rPr>
              <w:lastRenderedPageBreak/>
              <w:t>пикочните пътища</w:t>
            </w:r>
          </w:p>
        </w:tc>
        <w:tc>
          <w:tcPr>
            <w:tcW w:w="1416" w:type="dxa"/>
          </w:tcPr>
          <w:p w14:paraId="77EAF93B" w14:textId="77777777" w:rsidR="00971EE2" w:rsidRPr="00971EE2" w:rsidRDefault="00971EE2" w:rsidP="00971EE2"/>
        </w:tc>
        <w:tc>
          <w:tcPr>
            <w:tcW w:w="1711" w:type="dxa"/>
          </w:tcPr>
          <w:p w14:paraId="0C684D04" w14:textId="77777777" w:rsidR="00971EE2" w:rsidRPr="00971EE2" w:rsidRDefault="00971EE2" w:rsidP="00971EE2"/>
        </w:tc>
        <w:tc>
          <w:tcPr>
            <w:tcW w:w="1711" w:type="dxa"/>
          </w:tcPr>
          <w:p w14:paraId="185F3A3E" w14:textId="2E5D83F3" w:rsidR="00971EE2" w:rsidRPr="00971EE2" w:rsidRDefault="00971EE2" w:rsidP="00971EE2">
            <w:r w:rsidRPr="00971EE2">
              <w:t xml:space="preserve">Тубулоинтерст ициален нефрит (с възможна </w:t>
            </w:r>
            <w:r w:rsidRPr="00971EE2">
              <w:lastRenderedPageBreak/>
              <w:t>прогресия до бъбречна недостатъчнос т)</w:t>
            </w:r>
          </w:p>
        </w:tc>
        <w:tc>
          <w:tcPr>
            <w:tcW w:w="1584" w:type="dxa"/>
          </w:tcPr>
          <w:p w14:paraId="184A214F" w14:textId="77777777" w:rsidR="00971EE2" w:rsidRPr="00971EE2" w:rsidRDefault="00971EE2" w:rsidP="00971EE2"/>
        </w:tc>
        <w:tc>
          <w:tcPr>
            <w:tcW w:w="1427" w:type="dxa"/>
          </w:tcPr>
          <w:p w14:paraId="6EECA3CC" w14:textId="77777777" w:rsidR="00971EE2" w:rsidRPr="00971EE2" w:rsidRDefault="00971EE2" w:rsidP="00971EE2"/>
        </w:tc>
      </w:tr>
      <w:tr w:rsidR="00971EE2" w14:paraId="0F1DA6A6" w14:textId="77777777" w:rsidTr="00971EE2">
        <w:tc>
          <w:tcPr>
            <w:tcW w:w="1501" w:type="dxa"/>
          </w:tcPr>
          <w:p w14:paraId="55FBEA70" w14:textId="549BC6F6" w:rsidR="00971EE2" w:rsidRPr="00971EE2" w:rsidRDefault="00971EE2" w:rsidP="00971EE2">
            <w:r w:rsidRPr="00971EE2">
              <w:rPr>
                <w:b/>
                <w:bCs/>
              </w:rPr>
              <w:t>Наруше ния на репродукти вната система и гърдите</w:t>
            </w:r>
          </w:p>
        </w:tc>
        <w:tc>
          <w:tcPr>
            <w:tcW w:w="1416" w:type="dxa"/>
          </w:tcPr>
          <w:p w14:paraId="3C5DB4F0" w14:textId="77777777" w:rsidR="00971EE2" w:rsidRPr="00971EE2" w:rsidRDefault="00971EE2" w:rsidP="00971EE2"/>
        </w:tc>
        <w:tc>
          <w:tcPr>
            <w:tcW w:w="1711" w:type="dxa"/>
          </w:tcPr>
          <w:p w14:paraId="71F32464" w14:textId="77777777" w:rsidR="00971EE2" w:rsidRPr="00971EE2" w:rsidRDefault="00971EE2" w:rsidP="00971EE2"/>
        </w:tc>
        <w:tc>
          <w:tcPr>
            <w:tcW w:w="1711" w:type="dxa"/>
          </w:tcPr>
          <w:p w14:paraId="17C7FBEE" w14:textId="772CA25B" w:rsidR="00971EE2" w:rsidRPr="00971EE2" w:rsidRDefault="00971EE2" w:rsidP="00971EE2">
            <w:r w:rsidRPr="00971EE2">
              <w:t>Гинекомастия, импотентност</w:t>
            </w:r>
          </w:p>
        </w:tc>
        <w:tc>
          <w:tcPr>
            <w:tcW w:w="1584" w:type="dxa"/>
          </w:tcPr>
          <w:p w14:paraId="6E1886A4" w14:textId="77777777" w:rsidR="00971EE2" w:rsidRPr="00971EE2" w:rsidRDefault="00971EE2" w:rsidP="00971EE2"/>
        </w:tc>
        <w:tc>
          <w:tcPr>
            <w:tcW w:w="1427" w:type="dxa"/>
          </w:tcPr>
          <w:p w14:paraId="3DF22FB9" w14:textId="77777777" w:rsidR="00971EE2" w:rsidRPr="00971EE2" w:rsidRDefault="00971EE2" w:rsidP="00971EE2"/>
        </w:tc>
      </w:tr>
      <w:tr w:rsidR="00971EE2" w14:paraId="0EBAD626" w14:textId="77777777" w:rsidTr="00971EE2">
        <w:tc>
          <w:tcPr>
            <w:tcW w:w="1501" w:type="dxa"/>
          </w:tcPr>
          <w:p w14:paraId="7F8EEAFE" w14:textId="065D78D8" w:rsidR="00971EE2" w:rsidRPr="00971EE2" w:rsidRDefault="00971EE2" w:rsidP="00971EE2">
            <w:r w:rsidRPr="00971EE2">
              <w:rPr>
                <w:b/>
                <w:bCs/>
              </w:rPr>
              <w:t>Общи нарушения и ефекти на мястото на приложе ние</w:t>
            </w:r>
          </w:p>
        </w:tc>
        <w:tc>
          <w:tcPr>
            <w:tcW w:w="1416" w:type="dxa"/>
          </w:tcPr>
          <w:p w14:paraId="28DA176C" w14:textId="4AF1ACA4" w:rsidR="00971EE2" w:rsidRPr="00971EE2" w:rsidRDefault="00971EE2" w:rsidP="00971EE2">
            <w:r w:rsidRPr="00971EE2">
              <w:t>Умора</w:t>
            </w:r>
          </w:p>
        </w:tc>
        <w:tc>
          <w:tcPr>
            <w:tcW w:w="1711" w:type="dxa"/>
          </w:tcPr>
          <w:p w14:paraId="51C15B88" w14:textId="3478F5EE" w:rsidR="00971EE2" w:rsidRPr="00971EE2" w:rsidRDefault="00971EE2" w:rsidP="00971EE2">
            <w:r w:rsidRPr="00971EE2">
              <w:t>Оток</w:t>
            </w:r>
          </w:p>
        </w:tc>
        <w:tc>
          <w:tcPr>
            <w:tcW w:w="1711" w:type="dxa"/>
          </w:tcPr>
          <w:p w14:paraId="01E14D52" w14:textId="1F7F89F3" w:rsidR="00971EE2" w:rsidRPr="00971EE2" w:rsidRDefault="00971EE2" w:rsidP="00971EE2">
            <w:r w:rsidRPr="00971EE2">
              <w:t>Треска, хиперхидроза, ангиоедем, анорексия</w:t>
            </w:r>
          </w:p>
        </w:tc>
        <w:tc>
          <w:tcPr>
            <w:tcW w:w="1584" w:type="dxa"/>
          </w:tcPr>
          <w:p w14:paraId="3B5FFF42" w14:textId="77777777" w:rsidR="00971EE2" w:rsidRPr="00971EE2" w:rsidRDefault="00971EE2" w:rsidP="00971EE2"/>
        </w:tc>
        <w:tc>
          <w:tcPr>
            <w:tcW w:w="1427" w:type="dxa"/>
          </w:tcPr>
          <w:p w14:paraId="6CD050DB" w14:textId="77777777" w:rsidR="00971EE2" w:rsidRPr="00971EE2" w:rsidRDefault="00971EE2" w:rsidP="00971EE2"/>
        </w:tc>
      </w:tr>
      <w:tr w:rsidR="00971EE2" w14:paraId="64F22C52" w14:textId="77777777" w:rsidTr="00971EE2">
        <w:tc>
          <w:tcPr>
            <w:tcW w:w="1501" w:type="dxa"/>
          </w:tcPr>
          <w:p w14:paraId="30B63B8F" w14:textId="7ADBE49F" w:rsidR="00971EE2" w:rsidRPr="00971EE2" w:rsidRDefault="00971EE2" w:rsidP="00971EE2">
            <w:r w:rsidRPr="00971EE2">
              <w:rPr>
                <w:b/>
                <w:bCs/>
              </w:rPr>
              <w:t>Изследва ния</w:t>
            </w:r>
          </w:p>
        </w:tc>
        <w:tc>
          <w:tcPr>
            <w:tcW w:w="1416" w:type="dxa"/>
          </w:tcPr>
          <w:p w14:paraId="5A17A8ED" w14:textId="77777777" w:rsidR="00971EE2" w:rsidRPr="00971EE2" w:rsidRDefault="00971EE2" w:rsidP="00971EE2"/>
        </w:tc>
        <w:tc>
          <w:tcPr>
            <w:tcW w:w="1711" w:type="dxa"/>
          </w:tcPr>
          <w:p w14:paraId="58B86CFB" w14:textId="77777777" w:rsidR="00971EE2" w:rsidRPr="00971EE2" w:rsidRDefault="00971EE2" w:rsidP="00971EE2"/>
        </w:tc>
        <w:tc>
          <w:tcPr>
            <w:tcW w:w="1711" w:type="dxa"/>
          </w:tcPr>
          <w:p w14:paraId="3639ADB4" w14:textId="77777777" w:rsidR="00971EE2" w:rsidRPr="00971EE2" w:rsidRDefault="00971EE2" w:rsidP="00971EE2"/>
        </w:tc>
        <w:tc>
          <w:tcPr>
            <w:tcW w:w="1584" w:type="dxa"/>
          </w:tcPr>
          <w:p w14:paraId="5DC9A808" w14:textId="0E88112F" w:rsidR="00971EE2" w:rsidRPr="00971EE2" w:rsidRDefault="00971EE2" w:rsidP="00971EE2">
            <w:r w:rsidRPr="00971EE2">
              <w:t xml:space="preserve">Повишава не на </w:t>
            </w:r>
            <w:r w:rsidRPr="00971EE2">
              <w:rPr>
                <w:rFonts w:cs="Arial"/>
                <w:bCs/>
              </w:rPr>
              <w:t>стойности</w:t>
            </w:r>
            <w:r w:rsidRPr="00971EE2">
              <w:rPr>
                <w:rFonts w:cs="Arial"/>
                <w:b/>
                <w:bCs/>
              </w:rPr>
              <w:t xml:space="preserve"> </w:t>
            </w:r>
            <w:r w:rsidRPr="00971EE2">
              <w:t>те на холестеро ла и триглицери дите, хипонатрие мия</w:t>
            </w:r>
          </w:p>
        </w:tc>
        <w:tc>
          <w:tcPr>
            <w:tcW w:w="1427" w:type="dxa"/>
          </w:tcPr>
          <w:p w14:paraId="1C402C5A" w14:textId="77777777" w:rsidR="00971EE2" w:rsidRPr="00971EE2" w:rsidRDefault="00971EE2" w:rsidP="00971EE2"/>
        </w:tc>
      </w:tr>
    </w:tbl>
    <w:p w14:paraId="1A30601A" w14:textId="4CE383DC" w:rsidR="00F051B5" w:rsidRDefault="00F051B5" w:rsidP="0091385D"/>
    <w:p w14:paraId="1E346764" w14:textId="77777777" w:rsidR="00F051B5" w:rsidRPr="00F051B5" w:rsidRDefault="00F051B5" w:rsidP="00F051B5">
      <w:pPr>
        <w:spacing w:line="240" w:lineRule="auto"/>
        <w:rPr>
          <w:rFonts w:eastAsia="Times New Roman" w:cs="Arial"/>
          <w:lang w:eastAsia="bg-BG"/>
        </w:rPr>
      </w:pPr>
      <w:r w:rsidRPr="00F051B5">
        <w:rPr>
          <w:rFonts w:eastAsia="Times New Roman" w:cs="Arial"/>
          <w:b/>
          <w:bCs/>
          <w:color w:val="000000"/>
          <w:lang w:eastAsia="bg-BG"/>
        </w:rPr>
        <w:t>Съобщаване на нежелани реакции</w:t>
      </w:r>
    </w:p>
    <w:p w14:paraId="5B6F236B"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Съобщаването на подозирани нежелани лекарствени реакции след разрешаване за употреба на</w:t>
      </w:r>
      <w:r w:rsidRPr="00F051B5">
        <w:rPr>
          <w:rFonts w:eastAsia="Times New Roman" w:cs="Arial"/>
          <w:color w:val="000000"/>
          <w:vertAlign w:val="subscript"/>
          <w:lang w:eastAsia="bg-BG"/>
        </w:rPr>
        <w:t xml:space="preserve"> </w:t>
      </w:r>
      <w:r w:rsidRPr="00F051B5">
        <w:rPr>
          <w:rFonts w:eastAsia="Times New Roman" w:cs="Arial"/>
          <w:color w:val="000000"/>
          <w:lang w:eastAsia="bg-BG"/>
        </w:rPr>
        <w:t xml:space="preserve">лекарствения продукт е важно. Това позволява да продължи наблюдението на съотношението лолза/риск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w:t>
      </w:r>
    </w:p>
    <w:p w14:paraId="26DB1BF5" w14:textId="77777777" w:rsidR="00F051B5" w:rsidRPr="00F051B5" w:rsidRDefault="00F051B5" w:rsidP="00F051B5">
      <w:pPr>
        <w:rPr>
          <w:rFonts w:eastAsia="Times New Roman" w:cs="Arial"/>
          <w:lang w:eastAsia="bg-BG"/>
        </w:rPr>
      </w:pPr>
    </w:p>
    <w:p w14:paraId="4F467486" w14:textId="04D2D251" w:rsidR="00F051B5" w:rsidRPr="00F051B5" w:rsidRDefault="00F051B5" w:rsidP="00F051B5">
      <w:pPr>
        <w:rPr>
          <w:rFonts w:cs="Arial"/>
        </w:rPr>
      </w:pPr>
      <w:r w:rsidRPr="00F051B5">
        <w:rPr>
          <w:rFonts w:eastAsia="Times New Roman" w:cs="Arial"/>
          <w:color w:val="000000"/>
          <w:lang w:eastAsia="bg-BG"/>
        </w:rPr>
        <w:t>Изпълнителна агенция по лекарствата.</w:t>
      </w:r>
    </w:p>
    <w:p w14:paraId="78AF918D" w14:textId="77777777" w:rsidR="00F051B5" w:rsidRPr="00F051B5" w:rsidRDefault="00F051B5" w:rsidP="0091385D">
      <w:pPr>
        <w:rPr>
          <w:rFonts w:cs="Arial"/>
        </w:rPr>
      </w:pPr>
      <w:r w:rsidRPr="00F051B5">
        <w:rPr>
          <w:rFonts w:cs="Arial"/>
        </w:rPr>
        <w:t xml:space="preserve">ул. „Дамян Груев” № 8 </w:t>
      </w:r>
    </w:p>
    <w:p w14:paraId="67ABE6D2" w14:textId="48C2EA9E" w:rsidR="00F051B5" w:rsidRPr="00F051B5" w:rsidRDefault="00F051B5" w:rsidP="0091385D">
      <w:pPr>
        <w:rPr>
          <w:rFonts w:cs="Arial"/>
        </w:rPr>
      </w:pPr>
      <w:r w:rsidRPr="00F051B5">
        <w:rPr>
          <w:rFonts w:cs="Arial"/>
        </w:rPr>
        <w:t xml:space="preserve">1303 София </w:t>
      </w:r>
    </w:p>
    <w:p w14:paraId="72492F4D" w14:textId="7CA882B9" w:rsidR="00F051B5" w:rsidRPr="00F051B5" w:rsidRDefault="00F051B5" w:rsidP="0091385D">
      <w:pPr>
        <w:rPr>
          <w:rFonts w:cs="Arial"/>
        </w:rPr>
      </w:pPr>
      <w:r w:rsidRPr="00F051B5">
        <w:rPr>
          <w:rFonts w:cs="Arial"/>
        </w:rPr>
        <w:t xml:space="preserve">Тел.: +35 928903417 </w:t>
      </w:r>
    </w:p>
    <w:p w14:paraId="0FF68B35" w14:textId="026FCC7B" w:rsidR="00F051B5" w:rsidRPr="00F051B5" w:rsidRDefault="00F051B5" w:rsidP="0091385D">
      <w:pPr>
        <w:rPr>
          <w:rFonts w:cs="Arial"/>
        </w:rPr>
      </w:pPr>
      <w:r w:rsidRPr="00F051B5">
        <w:rPr>
          <w:rFonts w:cs="Arial"/>
        </w:rPr>
        <w:t xml:space="preserve">уебсайт: </w:t>
      </w:r>
      <w:r w:rsidRPr="00F051B5">
        <w:rPr>
          <w:rFonts w:cs="Arial"/>
        </w:rPr>
        <w:fldChar w:fldCharType="begin"/>
      </w:r>
      <w:r w:rsidRPr="00F051B5">
        <w:rPr>
          <w:rFonts w:cs="Arial"/>
        </w:rPr>
        <w:instrText xml:space="preserve"> HYPERLINK "http://www.bda.bg" </w:instrText>
      </w:r>
      <w:r w:rsidRPr="00F051B5">
        <w:rPr>
          <w:rFonts w:cs="Arial"/>
        </w:rPr>
      </w:r>
      <w:r w:rsidRPr="00F051B5">
        <w:rPr>
          <w:rFonts w:cs="Arial"/>
        </w:rPr>
        <w:fldChar w:fldCharType="separate"/>
      </w:r>
      <w:r w:rsidRPr="00F051B5">
        <w:rPr>
          <w:rFonts w:cs="Arial"/>
          <w:u w:val="single"/>
          <w:lang w:val="en-US"/>
        </w:rPr>
        <w:t>www.bda.bg</w:t>
      </w:r>
      <w:r w:rsidRPr="00F051B5">
        <w:rPr>
          <w:rFonts w:cs="Arial"/>
        </w:rPr>
        <w:fldChar w:fldCharType="end"/>
      </w:r>
    </w:p>
    <w:p w14:paraId="160440B6" w14:textId="77777777" w:rsidR="00F051B5" w:rsidRPr="0091385D" w:rsidRDefault="00F051B5"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2ABDF20D" w14:textId="77777777" w:rsidR="00F051B5" w:rsidRPr="00F051B5" w:rsidRDefault="00F051B5" w:rsidP="00F051B5">
      <w:pPr>
        <w:spacing w:line="240" w:lineRule="auto"/>
        <w:rPr>
          <w:rFonts w:eastAsia="Times New Roman" w:cs="Arial"/>
          <w:sz w:val="28"/>
          <w:szCs w:val="24"/>
          <w:lang w:eastAsia="bg-BG"/>
        </w:rPr>
      </w:pPr>
      <w:r w:rsidRPr="00F051B5">
        <w:rPr>
          <w:rFonts w:eastAsia="Times New Roman" w:cs="Arial"/>
          <w:color w:val="000000"/>
          <w:szCs w:val="20"/>
          <w:lang w:eastAsia="bg-BG"/>
        </w:rPr>
        <w:t xml:space="preserve">Ефектите на предозиране на ланзопразол при хора не са известни (въпреки че острата токсичност може да бъде ниска) и следователно не могат да бъдат дадени инструкции за лечение. Въпреки това, дневни дози до 180 мг на ланзопразол перорално и до 90 </w:t>
      </w:r>
      <w:r w:rsidRPr="00F051B5">
        <w:rPr>
          <w:rFonts w:eastAsia="Times New Roman" w:cs="Arial"/>
          <w:color w:val="000000"/>
          <w:szCs w:val="20"/>
          <w:lang w:val="en-US"/>
        </w:rPr>
        <w:t xml:space="preserve">mg </w:t>
      </w:r>
      <w:r w:rsidRPr="00F051B5">
        <w:rPr>
          <w:rFonts w:eastAsia="Times New Roman" w:cs="Arial"/>
          <w:color w:val="000000"/>
          <w:szCs w:val="20"/>
          <w:lang w:eastAsia="bg-BG"/>
        </w:rPr>
        <w:t>на ланзопразол интравенозно са прилагани в опити без значителни нежелани ефекти. Моля, вижте точка 4.8 за възможните симптоми на ланзопразол предозиране.</w:t>
      </w:r>
    </w:p>
    <w:p w14:paraId="6A43B8F3" w14:textId="53FBA939" w:rsidR="007A2185" w:rsidRPr="00971EE2" w:rsidRDefault="00F051B5" w:rsidP="00F051B5">
      <w:pPr>
        <w:rPr>
          <w:rFonts w:cs="Arial"/>
          <w:sz w:val="24"/>
        </w:rPr>
      </w:pPr>
      <w:r w:rsidRPr="00971EE2">
        <w:rPr>
          <w:rFonts w:eastAsia="Times New Roman" w:cs="Arial"/>
          <w:color w:val="000000"/>
          <w:szCs w:val="20"/>
          <w:lang w:eastAsia="bg-BG"/>
        </w:rPr>
        <w:lastRenderedPageBreak/>
        <w:t>Пациентът трябва да бъде под наблюдение в случай на съмнение за предозиране. Ланзопразол не се елиминира с хемодиализа. Ако е необходимо, изпразването на стомаха се препоръчва въглен и симптоматична терапия.</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7E1E50A1"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Фармакотерапевтична група: инхибитори на протонната помпа АТС код: А02ВС03</w:t>
      </w:r>
    </w:p>
    <w:p w14:paraId="6C0830C3"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Ланзопразол е инхибитор на стомашната протонна помпа. Той инхибира крайния етап на образуване на стомашната киселина чрез инхибиране на активността на Н + / К + </w:t>
      </w:r>
      <w:r w:rsidRPr="00F051B5">
        <w:rPr>
          <w:rFonts w:eastAsia="Times New Roman" w:cs="Arial"/>
          <w:color w:val="000000"/>
          <w:lang w:val="en-US"/>
        </w:rPr>
        <w:t xml:space="preserve">ATPase </w:t>
      </w:r>
      <w:r w:rsidRPr="00F051B5">
        <w:rPr>
          <w:rFonts w:eastAsia="Times New Roman" w:cs="Arial"/>
          <w:color w:val="000000"/>
          <w:lang w:eastAsia="bg-BG"/>
        </w:rPr>
        <w:t xml:space="preserve">на париеталните клетки в стомаха. Инхибирането е дозозависимо и обратимо, а ефектът се отнася както за базалната, така и за стимулираната секреция на стомашната киселина. Ланзопразолът се концентрира в париеталните клетки и става активен в кисела среда, след което реагира със сулфхидрилна група на Н + / К + </w:t>
      </w:r>
      <w:r w:rsidRPr="00F051B5">
        <w:rPr>
          <w:rFonts w:eastAsia="Times New Roman" w:cs="Arial"/>
          <w:color w:val="000000"/>
          <w:lang w:val="en-US"/>
        </w:rPr>
        <w:t xml:space="preserve">ATPase, </w:t>
      </w:r>
      <w:r w:rsidRPr="00F051B5">
        <w:rPr>
          <w:rFonts w:eastAsia="Times New Roman" w:cs="Arial"/>
          <w:color w:val="000000"/>
          <w:lang w:eastAsia="bg-BG"/>
        </w:rPr>
        <w:t>причинявайки инхибиране на ензимната активност.</w:t>
      </w:r>
    </w:p>
    <w:p w14:paraId="501A3250" w14:textId="77777777" w:rsidR="00F051B5" w:rsidRPr="00F051B5" w:rsidRDefault="00F051B5" w:rsidP="00F051B5">
      <w:pPr>
        <w:spacing w:line="240" w:lineRule="auto"/>
        <w:rPr>
          <w:rFonts w:eastAsia="Times New Roman" w:cs="Arial"/>
          <w:color w:val="000000"/>
          <w:u w:val="single"/>
          <w:lang w:eastAsia="bg-BG"/>
        </w:rPr>
      </w:pPr>
    </w:p>
    <w:p w14:paraId="1143A7D9" w14:textId="4583106E"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Влияние върху секрецията на стомашната киселина:</w:t>
      </w:r>
    </w:p>
    <w:p w14:paraId="6B8ADECF"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Ланзопразолът е специфичен инхибитор на протонната помпа на париеталните клетки. Единичната перорална доза от 30 </w:t>
      </w:r>
      <w:r w:rsidRPr="00F051B5">
        <w:rPr>
          <w:rFonts w:eastAsia="Times New Roman" w:cs="Arial"/>
          <w:color w:val="000000"/>
          <w:lang w:val="en-US"/>
        </w:rPr>
        <w:t xml:space="preserve">mg </w:t>
      </w:r>
      <w:r w:rsidRPr="00F051B5">
        <w:rPr>
          <w:rFonts w:eastAsia="Times New Roman" w:cs="Arial"/>
          <w:color w:val="000000"/>
          <w:lang w:eastAsia="bg-BG"/>
        </w:rPr>
        <w:t xml:space="preserve">ланзопразол инхибира пентагастрин-стимулираната секреция на стомашна киселина с около 80%. След многократно прилагане за седем дни се постига около 90% инхибиране секрецията на стомашна киселина. Той има съответен ефект върху базалната секреция на стомашна киселина. А еднократна перорална доза от 30 </w:t>
      </w:r>
      <w:r w:rsidRPr="00F051B5">
        <w:rPr>
          <w:rFonts w:eastAsia="Times New Roman" w:cs="Arial"/>
          <w:color w:val="000000"/>
          <w:lang w:val="en-US"/>
        </w:rPr>
        <w:t xml:space="preserve">mg </w:t>
      </w:r>
      <w:r w:rsidRPr="00F051B5">
        <w:rPr>
          <w:rFonts w:eastAsia="Times New Roman" w:cs="Arial"/>
          <w:color w:val="000000"/>
          <w:lang w:eastAsia="bg-BG"/>
        </w:rPr>
        <w:t xml:space="preserve">намалява базалната секреция с около 70%, и следователно симптомите на пациентите се подобряват още от първата доза. След осем дни от повторно прилагане, базалната секреция се намалява до 85%. Бързо облекчаване при такива симптоми се получава при 30 </w:t>
      </w:r>
      <w:r w:rsidRPr="00F051B5">
        <w:rPr>
          <w:rFonts w:eastAsia="Times New Roman" w:cs="Arial"/>
          <w:color w:val="000000"/>
          <w:lang w:val="en-US"/>
        </w:rPr>
        <w:t xml:space="preserve">mg </w:t>
      </w:r>
      <w:r w:rsidRPr="00F051B5">
        <w:rPr>
          <w:rFonts w:eastAsia="Times New Roman" w:cs="Arial"/>
          <w:color w:val="000000"/>
          <w:lang w:eastAsia="bg-BG"/>
        </w:rPr>
        <w:t>дневно. Повечето пациенти с дуоденална язва се възстановяват в рамките на 2 седмици, а пациенти със стомашна язва и рефлукс езофагит в рамките на 4 седмици.</w:t>
      </w:r>
    </w:p>
    <w:p w14:paraId="4992A721"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Чрез намаляване на стомашната киселинност, ланзопразол създава среда, в която подходящите антибиотици могат да бъдат ефективни срещу Н. </w:t>
      </w:r>
      <w:r w:rsidRPr="00F051B5">
        <w:rPr>
          <w:rFonts w:eastAsia="Times New Roman" w:cs="Arial"/>
          <w:color w:val="000000"/>
          <w:lang w:val="en-US"/>
        </w:rPr>
        <w:t>Pylori.</w:t>
      </w:r>
    </w:p>
    <w:p w14:paraId="09315B2A" w14:textId="77777777" w:rsidR="00F051B5" w:rsidRPr="00F051B5" w:rsidRDefault="00F051B5" w:rsidP="00F051B5">
      <w:pPr>
        <w:spacing w:line="240" w:lineRule="auto"/>
        <w:rPr>
          <w:rFonts w:eastAsia="Times New Roman" w:cs="Arial"/>
          <w:color w:val="000000"/>
          <w:lang w:eastAsia="bg-BG"/>
        </w:rPr>
      </w:pPr>
    </w:p>
    <w:p w14:paraId="1A22879D" w14:textId="166704D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По време на лечение с антисекреторни лекарствени продукти гастрина в серума се повишава в отговор на понижената киселинна секреция. В резултат на намалената стомашна киселинност се повишава и нивото на </w:t>
      </w:r>
      <w:proofErr w:type="spellStart"/>
      <w:r w:rsidRPr="00F051B5">
        <w:rPr>
          <w:rFonts w:eastAsia="Times New Roman" w:cs="Arial"/>
          <w:color w:val="000000"/>
          <w:lang w:val="en-US"/>
        </w:rPr>
        <w:t>CgA</w:t>
      </w:r>
      <w:proofErr w:type="spellEnd"/>
      <w:r w:rsidRPr="00F051B5">
        <w:rPr>
          <w:rFonts w:eastAsia="Times New Roman" w:cs="Arial"/>
          <w:color w:val="000000"/>
          <w:lang w:val="en-US"/>
        </w:rPr>
        <w:t xml:space="preserve">. </w:t>
      </w:r>
      <w:r w:rsidRPr="00F051B5">
        <w:rPr>
          <w:rFonts w:eastAsia="Times New Roman" w:cs="Arial"/>
          <w:color w:val="000000"/>
          <w:lang w:eastAsia="bg-BG"/>
        </w:rPr>
        <w:t xml:space="preserve">Повишеното ниво на </w:t>
      </w:r>
      <w:proofErr w:type="spellStart"/>
      <w:r w:rsidRPr="00F051B5">
        <w:rPr>
          <w:rFonts w:eastAsia="Times New Roman" w:cs="Arial"/>
          <w:color w:val="000000"/>
          <w:lang w:val="en-US"/>
        </w:rPr>
        <w:t>CgA</w:t>
      </w:r>
      <w:proofErr w:type="spellEnd"/>
      <w:r w:rsidRPr="00F051B5">
        <w:rPr>
          <w:rFonts w:eastAsia="Times New Roman" w:cs="Arial"/>
          <w:color w:val="000000"/>
          <w:lang w:val="en-US"/>
        </w:rPr>
        <w:t xml:space="preserve"> </w:t>
      </w:r>
      <w:r w:rsidRPr="00F051B5">
        <w:rPr>
          <w:rFonts w:eastAsia="Times New Roman" w:cs="Arial"/>
          <w:color w:val="000000"/>
          <w:lang w:eastAsia="bg-BG"/>
        </w:rPr>
        <w:t>може да повлияе на изследванията за невроендокринните тумори.</w:t>
      </w:r>
    </w:p>
    <w:p w14:paraId="038F692B" w14:textId="39B957B8" w:rsidR="007A2185" w:rsidRPr="00F051B5" w:rsidRDefault="00F051B5" w:rsidP="00F051B5">
      <w:pPr>
        <w:rPr>
          <w:rFonts w:cs="Arial"/>
        </w:rPr>
      </w:pPr>
      <w:r w:rsidRPr="00F051B5">
        <w:rPr>
          <w:rFonts w:eastAsia="Times New Roman" w:cs="Arial"/>
          <w:color w:val="000000"/>
          <w:lang w:eastAsia="bg-BG"/>
        </w:rPr>
        <w:t xml:space="preserve">Наличните публикувани данни показват, че прилагането на инхибитори на протонната помпа трябва да се преустанови между 5 дни и 2 седмици преди измерване на </w:t>
      </w:r>
      <w:proofErr w:type="spellStart"/>
      <w:r w:rsidRPr="00F051B5">
        <w:rPr>
          <w:rFonts w:eastAsia="Times New Roman" w:cs="Arial"/>
          <w:color w:val="000000"/>
          <w:lang w:val="en-US"/>
        </w:rPr>
        <w:t>CgA</w:t>
      </w:r>
      <w:proofErr w:type="spellEnd"/>
      <w:r w:rsidRPr="00F051B5">
        <w:rPr>
          <w:rFonts w:eastAsia="Times New Roman" w:cs="Arial"/>
          <w:color w:val="000000"/>
          <w:lang w:val="en-US"/>
        </w:rPr>
        <w:t xml:space="preserve">. </w:t>
      </w:r>
      <w:r w:rsidRPr="00F051B5">
        <w:rPr>
          <w:rFonts w:eastAsia="Times New Roman" w:cs="Arial"/>
          <w:color w:val="000000"/>
          <w:lang w:eastAsia="bg-BG"/>
        </w:rPr>
        <w:t xml:space="preserve">Това се прави с цел нивата на </w:t>
      </w:r>
      <w:proofErr w:type="spellStart"/>
      <w:r w:rsidRPr="00F051B5">
        <w:rPr>
          <w:rFonts w:eastAsia="Times New Roman" w:cs="Arial"/>
          <w:color w:val="000000"/>
          <w:lang w:val="en-US"/>
        </w:rPr>
        <w:t>CgA</w:t>
      </w:r>
      <w:proofErr w:type="spellEnd"/>
      <w:r w:rsidRPr="00F051B5">
        <w:rPr>
          <w:rFonts w:eastAsia="Times New Roman" w:cs="Arial"/>
          <w:color w:val="000000"/>
          <w:lang w:val="en-US"/>
        </w:rPr>
        <w:t xml:space="preserve">, </w:t>
      </w:r>
      <w:r w:rsidRPr="00F051B5">
        <w:rPr>
          <w:rFonts w:eastAsia="Times New Roman" w:cs="Arial"/>
          <w:color w:val="000000"/>
          <w:lang w:eastAsia="bg-BG"/>
        </w:rPr>
        <w:t>които могат да са лъжливо повишени след лечение с ИПП, да се възстановят до референтните си граници.</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7CE3B12E" w14:textId="77777777" w:rsidR="00F051B5" w:rsidRPr="00F051B5" w:rsidRDefault="00F051B5" w:rsidP="00F051B5">
      <w:pPr>
        <w:rPr>
          <w:rFonts w:eastAsia="Times New Roman" w:cs="Arial"/>
          <w:lang w:eastAsia="bg-BG"/>
        </w:rPr>
      </w:pPr>
      <w:r w:rsidRPr="00F051B5">
        <w:rPr>
          <w:rFonts w:cs="Arial"/>
        </w:rPr>
        <w:t>Ланзопразолът представлява рацемична смес на два активни енантиомери, които са</w:t>
      </w:r>
      <w:r w:rsidRPr="00F051B5">
        <w:rPr>
          <w:rFonts w:cs="Arial"/>
        </w:rPr>
        <w:t xml:space="preserve"> </w:t>
      </w:r>
      <w:r w:rsidRPr="00F051B5">
        <w:rPr>
          <w:rFonts w:eastAsia="Times New Roman" w:cs="Arial"/>
          <w:color w:val="000000"/>
          <w:lang w:eastAsia="bg-BG"/>
        </w:rPr>
        <w:t>биотрансформирани в активна форма, в киселата среда на париеталните клетки. Тъй като ланзопразол бързо се дезактивира в стомашна киселина, се прилага перорално в ентеросолвентна форма за системна абсорбция.</w:t>
      </w:r>
    </w:p>
    <w:p w14:paraId="6B6EFB19" w14:textId="77777777" w:rsidR="00F051B5" w:rsidRPr="00F051B5" w:rsidRDefault="00F051B5" w:rsidP="00F051B5">
      <w:pPr>
        <w:spacing w:line="240" w:lineRule="auto"/>
        <w:rPr>
          <w:rFonts w:eastAsia="Times New Roman" w:cs="Arial"/>
          <w:color w:val="000000"/>
          <w:u w:val="single"/>
          <w:lang w:eastAsia="bg-BG"/>
        </w:rPr>
      </w:pPr>
    </w:p>
    <w:p w14:paraId="46112C4B" w14:textId="2231CC15" w:rsidR="00F051B5" w:rsidRPr="00971EE2" w:rsidRDefault="00F051B5" w:rsidP="00971EE2">
      <w:pPr>
        <w:pStyle w:val="Heading3"/>
        <w:rPr>
          <w:rFonts w:eastAsia="Times New Roman"/>
          <w:u w:val="single"/>
          <w:lang w:eastAsia="bg-BG"/>
        </w:rPr>
      </w:pPr>
      <w:r w:rsidRPr="00971EE2">
        <w:rPr>
          <w:rFonts w:eastAsia="Times New Roman"/>
          <w:u w:val="single"/>
          <w:lang w:eastAsia="bg-BG"/>
        </w:rPr>
        <w:t>Абсорбция и разпределение</w:t>
      </w:r>
    </w:p>
    <w:p w14:paraId="1BDD1962"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Ланзопразол показва висока (80-90%) бионаличност с единична доза. Пикови плазмени нива се появяват в рамките на 1,5 до 2,0 часа. Приемът на храна забавя скоростта на абсорбция на ланзопразол и намалява бионаличността около 50%. Свързването с плазмените протеини е 97%.</w:t>
      </w:r>
    </w:p>
    <w:p w14:paraId="600E5DD0" w14:textId="77777777" w:rsidR="00F051B5" w:rsidRPr="00F051B5" w:rsidRDefault="00F051B5" w:rsidP="00F051B5">
      <w:pPr>
        <w:spacing w:line="240" w:lineRule="auto"/>
        <w:rPr>
          <w:rFonts w:eastAsia="Times New Roman" w:cs="Arial"/>
          <w:color w:val="000000"/>
          <w:u w:val="single"/>
          <w:lang w:eastAsia="bg-BG"/>
        </w:rPr>
      </w:pPr>
    </w:p>
    <w:p w14:paraId="0C2379CE" w14:textId="4901AB1D" w:rsidR="00F051B5" w:rsidRPr="00971EE2" w:rsidRDefault="00F051B5" w:rsidP="00971EE2">
      <w:pPr>
        <w:pStyle w:val="Heading3"/>
        <w:rPr>
          <w:rFonts w:eastAsia="Times New Roman"/>
          <w:u w:val="single"/>
          <w:lang w:eastAsia="bg-BG"/>
        </w:rPr>
      </w:pPr>
      <w:r w:rsidRPr="00971EE2">
        <w:rPr>
          <w:rFonts w:eastAsia="Times New Roman"/>
          <w:u w:val="single"/>
          <w:lang w:eastAsia="bg-BG"/>
        </w:rPr>
        <w:t>Метаболизъм и елиминиране</w:t>
      </w:r>
    </w:p>
    <w:p w14:paraId="480485F6"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Ланзопразол се метаболизира екстензивно в черния дроб и неговите метаболити се отделят както от бъбреците, така и от жлъчката. Метаболизмът на ланзопразол се катализира главно от ензима </w:t>
      </w:r>
      <w:r w:rsidRPr="00F051B5">
        <w:rPr>
          <w:rFonts w:eastAsia="Times New Roman" w:cs="Arial"/>
          <w:color w:val="000000"/>
          <w:lang w:val="en-US"/>
        </w:rPr>
        <w:t xml:space="preserve">CYP2C19. CYP3A4 </w:t>
      </w:r>
      <w:r w:rsidRPr="00F051B5">
        <w:rPr>
          <w:rFonts w:eastAsia="Times New Roman" w:cs="Arial"/>
          <w:color w:val="000000"/>
          <w:lang w:eastAsia="bg-BG"/>
        </w:rPr>
        <w:t>ензимът също допринася за обмяната на веществата. Плазменият елиминационен полуживот варира от 1 до 2 часа след еднократна или многократни дози при здрави индивиди. Няма доказателства за кумулиране след многократни дози при здрави индивиди. Сулфон, сулфид и 5-хидроксилни производни на ланзопразол са идентифицирани в плазмата. Тези метаболити имат много слаб или никакъв анти-секреторен ефект.</w:t>
      </w:r>
    </w:p>
    <w:p w14:paraId="70941C0F"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Едно проучване с 14С маркиран ланзопразол посочва, че приблизително една трета от приложената радиация се отделя в урината и две трети се открива във фекалиите.</w:t>
      </w:r>
    </w:p>
    <w:p w14:paraId="3A8986B5" w14:textId="77777777" w:rsidR="00F051B5" w:rsidRPr="00F051B5" w:rsidRDefault="00F051B5" w:rsidP="00F051B5">
      <w:pPr>
        <w:spacing w:line="240" w:lineRule="auto"/>
        <w:rPr>
          <w:rFonts w:eastAsia="Times New Roman" w:cs="Arial"/>
          <w:color w:val="000000"/>
          <w:u w:val="single"/>
          <w:lang w:eastAsia="bg-BG"/>
        </w:rPr>
      </w:pPr>
    </w:p>
    <w:p w14:paraId="7D0568A7" w14:textId="1A39E817"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Фармакокинетика при пациенти в старческа възраст</w:t>
      </w:r>
    </w:p>
    <w:p w14:paraId="538CBC96"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Клирънсът на ланзопразол </w:t>
      </w:r>
      <w:r w:rsidRPr="00F051B5">
        <w:rPr>
          <w:rFonts w:eastAsia="Times New Roman" w:cs="Arial"/>
          <w:i/>
          <w:iCs/>
          <w:color w:val="000000"/>
          <w:lang w:eastAsia="bg-BG"/>
        </w:rPr>
        <w:t>е</w:t>
      </w:r>
      <w:r w:rsidRPr="00F051B5">
        <w:rPr>
          <w:rFonts w:eastAsia="Times New Roman" w:cs="Arial"/>
          <w:color w:val="000000"/>
          <w:lang w:eastAsia="bg-BG"/>
        </w:rPr>
        <w:t xml:space="preserve"> понижен при пациенти в напреднала възраст, с елиминационен полуживот, който се увеличава приблизително с 50% до 100%. Не са докладвани случаи на пикови плазмени нива в напреднала възраст.</w:t>
      </w:r>
    </w:p>
    <w:p w14:paraId="210A10F9" w14:textId="77777777" w:rsidR="00F051B5" w:rsidRPr="00F051B5" w:rsidRDefault="00F051B5" w:rsidP="00F051B5">
      <w:pPr>
        <w:spacing w:line="240" w:lineRule="auto"/>
        <w:rPr>
          <w:rFonts w:eastAsia="Times New Roman" w:cs="Arial"/>
          <w:color w:val="000000"/>
          <w:u w:val="single"/>
          <w:lang w:eastAsia="bg-BG"/>
        </w:rPr>
      </w:pPr>
    </w:p>
    <w:p w14:paraId="592BB250" w14:textId="66DC0072"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Фармакокинетика при педиатрични пациенти</w:t>
      </w:r>
    </w:p>
    <w:p w14:paraId="7C648F82"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Оценката на фармакокинетиката при деца на възраст от 1-17 години показва подобна експозиция, сравнена с дозировка при възрастни от 15 </w:t>
      </w:r>
      <w:r w:rsidRPr="00F051B5">
        <w:rPr>
          <w:rFonts w:eastAsia="Times New Roman" w:cs="Arial"/>
          <w:color w:val="000000"/>
          <w:lang w:val="en-US"/>
        </w:rPr>
        <w:t xml:space="preserve">mg </w:t>
      </w:r>
      <w:r w:rsidRPr="00F051B5">
        <w:rPr>
          <w:rFonts w:eastAsia="Times New Roman" w:cs="Arial"/>
          <w:color w:val="000000"/>
          <w:lang w:eastAsia="bg-BG"/>
        </w:rPr>
        <w:t xml:space="preserve">за тези с тегло до 30 кг и 30 </w:t>
      </w:r>
      <w:r w:rsidRPr="00F051B5">
        <w:rPr>
          <w:rFonts w:eastAsia="Times New Roman" w:cs="Arial"/>
          <w:color w:val="000000"/>
          <w:lang w:val="en-US"/>
        </w:rPr>
        <w:t xml:space="preserve">mg </w:t>
      </w:r>
      <w:r w:rsidRPr="00F051B5">
        <w:rPr>
          <w:rFonts w:eastAsia="Times New Roman" w:cs="Arial"/>
          <w:color w:val="000000"/>
          <w:lang w:eastAsia="bg-BG"/>
        </w:rPr>
        <w:t xml:space="preserve">за тези с по-голямо телесно тегло. Проучването на доза от 17 </w:t>
      </w:r>
      <w:r w:rsidRPr="00F051B5">
        <w:rPr>
          <w:rFonts w:eastAsia="Times New Roman" w:cs="Arial"/>
          <w:color w:val="000000"/>
          <w:lang w:val="en-US"/>
        </w:rPr>
        <w:t>mg/ m</w:t>
      </w:r>
      <w:r w:rsidRPr="00F051B5">
        <w:rPr>
          <w:rFonts w:eastAsia="Times New Roman" w:cs="Arial"/>
          <w:color w:val="000000"/>
          <w:vertAlign w:val="superscript"/>
          <w:lang w:val="en-US"/>
        </w:rPr>
        <w:t>2</w:t>
      </w:r>
      <w:r w:rsidRPr="00F051B5">
        <w:rPr>
          <w:rFonts w:eastAsia="Times New Roman" w:cs="Arial"/>
          <w:color w:val="000000"/>
          <w:vertAlign w:val="superscript"/>
          <w:lang w:eastAsia="bg-BG"/>
        </w:rPr>
        <w:t xml:space="preserve"> </w:t>
      </w:r>
      <w:r w:rsidRPr="00F051B5">
        <w:rPr>
          <w:rFonts w:eastAsia="Times New Roman" w:cs="Arial"/>
          <w:color w:val="000000"/>
          <w:lang w:eastAsia="bg-BG"/>
        </w:rPr>
        <w:t xml:space="preserve">телесна повърхност или 1 </w:t>
      </w:r>
      <w:r w:rsidRPr="00F051B5">
        <w:rPr>
          <w:rFonts w:eastAsia="Times New Roman" w:cs="Arial"/>
          <w:color w:val="000000"/>
          <w:lang w:val="en-US"/>
        </w:rPr>
        <w:t xml:space="preserve">mg/ kg </w:t>
      </w:r>
      <w:r w:rsidRPr="00F051B5">
        <w:rPr>
          <w:rFonts w:eastAsia="Times New Roman" w:cs="Arial"/>
          <w:color w:val="000000"/>
          <w:lang w:eastAsia="bg-BG"/>
        </w:rPr>
        <w:t>телесно тегло, също показва сравнима експозиция на ланзопразол при деца на възраст 2-3 месеца до навършване на една година, в сравнение с възрастните.</w:t>
      </w:r>
    </w:p>
    <w:p w14:paraId="38E2765F"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 xml:space="preserve">По-висока експозиция към ланзопразол, в сравнение с възрастните е била наблюдавана при кърмачета на възраст под 2-3 месеца с дози от 1.0 </w:t>
      </w:r>
      <w:r w:rsidRPr="00F051B5">
        <w:rPr>
          <w:rFonts w:eastAsia="Times New Roman" w:cs="Arial"/>
          <w:color w:val="000000"/>
          <w:lang w:val="en-US"/>
        </w:rPr>
        <w:t xml:space="preserve">mg/ kg </w:t>
      </w:r>
      <w:r w:rsidRPr="00F051B5">
        <w:rPr>
          <w:rFonts w:eastAsia="Times New Roman" w:cs="Arial"/>
          <w:color w:val="000000"/>
          <w:lang w:eastAsia="bg-BG"/>
        </w:rPr>
        <w:t xml:space="preserve">както и 0.5 </w:t>
      </w:r>
      <w:r w:rsidRPr="00F051B5">
        <w:rPr>
          <w:rFonts w:eastAsia="Times New Roman" w:cs="Arial"/>
          <w:color w:val="000000"/>
          <w:lang w:val="en-US"/>
        </w:rPr>
        <w:t xml:space="preserve">mg/ kg </w:t>
      </w:r>
      <w:r w:rsidRPr="00F051B5">
        <w:rPr>
          <w:rFonts w:eastAsia="Times New Roman" w:cs="Arial"/>
          <w:color w:val="000000"/>
          <w:lang w:eastAsia="bg-BG"/>
        </w:rPr>
        <w:t>телесно тегло, прилагани като еднократна доза.</w:t>
      </w:r>
    </w:p>
    <w:p w14:paraId="5963DB2C" w14:textId="77777777" w:rsidR="00F051B5" w:rsidRPr="00F051B5" w:rsidRDefault="00F051B5" w:rsidP="00F051B5">
      <w:pPr>
        <w:spacing w:line="240" w:lineRule="auto"/>
        <w:rPr>
          <w:rFonts w:eastAsia="Times New Roman" w:cs="Arial"/>
          <w:color w:val="000000"/>
          <w:u w:val="single"/>
          <w:lang w:eastAsia="bg-BG"/>
        </w:rPr>
      </w:pPr>
    </w:p>
    <w:p w14:paraId="62E3F5FF" w14:textId="4929886F"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Фармакокинетика при чернодробна недостатъчност</w:t>
      </w:r>
    </w:p>
    <w:p w14:paraId="5E612F85"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Експозицията на ланзопразол се удвоява при пациенти с леко чернодробно увреждане и много повече се увеличава при пациенти с умерено и тежко чернодробно увреждане.</w:t>
      </w:r>
    </w:p>
    <w:p w14:paraId="79CD0443" w14:textId="77777777" w:rsidR="00F051B5" w:rsidRPr="00F051B5" w:rsidRDefault="00F051B5" w:rsidP="00F051B5">
      <w:pPr>
        <w:spacing w:line="240" w:lineRule="auto"/>
        <w:rPr>
          <w:rFonts w:eastAsia="Times New Roman" w:cs="Arial"/>
          <w:color w:val="000000"/>
          <w:u w:val="single"/>
          <w:lang w:eastAsia="bg-BG"/>
        </w:rPr>
      </w:pPr>
    </w:p>
    <w:p w14:paraId="5168F322" w14:textId="4DD1844B" w:rsidR="00F051B5" w:rsidRPr="00F051B5" w:rsidRDefault="00F051B5" w:rsidP="00F051B5">
      <w:pPr>
        <w:spacing w:line="240" w:lineRule="auto"/>
        <w:rPr>
          <w:rFonts w:eastAsia="Times New Roman" w:cs="Arial"/>
          <w:lang w:eastAsia="bg-BG"/>
        </w:rPr>
      </w:pPr>
      <w:r w:rsidRPr="00F051B5">
        <w:rPr>
          <w:rFonts w:eastAsia="Times New Roman" w:cs="Arial"/>
          <w:color w:val="000000"/>
          <w:u w:val="single"/>
          <w:lang w:eastAsia="bg-BG"/>
        </w:rPr>
        <w:t xml:space="preserve">Слаби </w:t>
      </w:r>
      <w:r w:rsidRPr="00F051B5">
        <w:rPr>
          <w:rFonts w:eastAsia="Times New Roman" w:cs="Arial"/>
          <w:color w:val="000000"/>
          <w:u w:val="single"/>
          <w:lang w:val="en-US"/>
        </w:rPr>
        <w:t xml:space="preserve">CYP2C19 </w:t>
      </w:r>
      <w:r w:rsidRPr="00F051B5">
        <w:rPr>
          <w:rFonts w:eastAsia="Times New Roman" w:cs="Arial"/>
          <w:color w:val="000000"/>
          <w:u w:val="single"/>
          <w:lang w:eastAsia="bg-BG"/>
        </w:rPr>
        <w:t>метаболизатори</w:t>
      </w:r>
    </w:p>
    <w:p w14:paraId="45551830" w14:textId="424435D2" w:rsidR="007A2185" w:rsidRPr="00F051B5" w:rsidRDefault="00F051B5" w:rsidP="00F051B5">
      <w:pPr>
        <w:rPr>
          <w:rFonts w:cs="Arial"/>
        </w:rPr>
      </w:pPr>
      <w:r w:rsidRPr="00F051B5">
        <w:rPr>
          <w:rFonts w:eastAsia="Times New Roman" w:cs="Arial"/>
          <w:color w:val="000000"/>
          <w:lang w:val="en-US"/>
        </w:rPr>
        <w:t xml:space="preserve">CYP2C19 </w:t>
      </w:r>
      <w:r w:rsidRPr="00F051B5">
        <w:rPr>
          <w:rFonts w:eastAsia="Times New Roman" w:cs="Arial"/>
          <w:color w:val="000000"/>
          <w:lang w:eastAsia="bg-BG"/>
        </w:rPr>
        <w:t xml:space="preserve">е обект на генетичен полиморфизъм и 2-6% от населението, наречени слаби метаболизатори </w:t>
      </w:r>
      <w:r w:rsidRPr="00F051B5">
        <w:rPr>
          <w:rFonts w:eastAsia="Times New Roman" w:cs="Arial"/>
          <w:color w:val="000000"/>
          <w:lang w:val="en-US"/>
        </w:rPr>
        <w:t xml:space="preserve">(PMS) </w:t>
      </w:r>
      <w:r w:rsidRPr="00F051B5">
        <w:rPr>
          <w:rFonts w:eastAsia="Times New Roman" w:cs="Arial"/>
          <w:color w:val="000000"/>
          <w:lang w:eastAsia="bg-BG"/>
        </w:rPr>
        <w:t xml:space="preserve">са хомозиготни за мутантен алел </w:t>
      </w:r>
      <w:r w:rsidRPr="00F051B5">
        <w:rPr>
          <w:rFonts w:eastAsia="Times New Roman" w:cs="Arial"/>
          <w:color w:val="000000"/>
          <w:lang w:val="en-US"/>
        </w:rPr>
        <w:t xml:space="preserve">CYP2C19 </w:t>
      </w:r>
      <w:r w:rsidRPr="00F051B5">
        <w:rPr>
          <w:rFonts w:eastAsia="Times New Roman" w:cs="Arial"/>
          <w:color w:val="000000"/>
          <w:lang w:eastAsia="bg-BG"/>
        </w:rPr>
        <w:t xml:space="preserve">и следователно липсва функционален </w:t>
      </w:r>
      <w:r w:rsidRPr="00F051B5">
        <w:rPr>
          <w:rFonts w:eastAsia="Times New Roman" w:cs="Arial"/>
          <w:color w:val="000000"/>
          <w:lang w:val="en-US"/>
        </w:rPr>
        <w:t xml:space="preserve">CYP2C19 </w:t>
      </w:r>
      <w:r w:rsidRPr="00F051B5">
        <w:rPr>
          <w:rFonts w:eastAsia="Times New Roman" w:cs="Arial"/>
          <w:color w:val="000000"/>
          <w:lang w:eastAsia="bg-BG"/>
        </w:rPr>
        <w:t xml:space="preserve">ензим. Експозицията на ланзопразол е няколко пъти по-висока при бавни </w:t>
      </w:r>
      <w:r w:rsidRPr="00F051B5">
        <w:rPr>
          <w:rFonts w:eastAsia="Times New Roman" w:cs="Arial"/>
          <w:color w:val="000000"/>
          <w:lang w:val="en-US"/>
        </w:rPr>
        <w:t xml:space="preserve">(PMs) </w:t>
      </w:r>
      <w:r w:rsidRPr="00F051B5">
        <w:rPr>
          <w:rFonts w:eastAsia="Times New Roman" w:cs="Arial"/>
          <w:color w:val="000000"/>
          <w:lang w:eastAsia="bg-BG"/>
        </w:rPr>
        <w:t xml:space="preserve">отколкото при бързи метаболизатори </w:t>
      </w:r>
      <w:r w:rsidRPr="00F051B5">
        <w:rPr>
          <w:rFonts w:eastAsia="Times New Roman" w:cs="Arial"/>
          <w:color w:val="000000"/>
          <w:lang w:val="en-US"/>
        </w:rPr>
        <w:t>(EMS).</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3DD9BC79"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Предклиничните данни ие показват особен риск за хората на база на конвенционалните фармакологични изпитвания за безопасност, токсичност при многократно приложение и репродуктивна токсичност или генотоксичност.</w:t>
      </w:r>
    </w:p>
    <w:p w14:paraId="22CE0A84" w14:textId="5AC34F9A"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lastRenderedPageBreak/>
        <w:t xml:space="preserve">В две проучвания за канцерогенност на плъхове, ланзопразол произвежда дозозависима стомашна </w:t>
      </w:r>
      <w:r w:rsidRPr="00F051B5">
        <w:rPr>
          <w:rFonts w:eastAsia="Times New Roman" w:cs="Arial"/>
          <w:color w:val="000000"/>
          <w:lang w:val="en-US"/>
        </w:rPr>
        <w:t xml:space="preserve">ECL </w:t>
      </w:r>
      <w:r w:rsidRPr="00F051B5">
        <w:rPr>
          <w:rFonts w:eastAsia="Times New Roman" w:cs="Arial"/>
          <w:color w:val="000000"/>
          <w:lang w:eastAsia="bg-BG"/>
        </w:rPr>
        <w:t xml:space="preserve">клетъчна хиперплазия и </w:t>
      </w:r>
      <w:r w:rsidRPr="00F051B5">
        <w:rPr>
          <w:rFonts w:eastAsia="Times New Roman" w:cs="Arial"/>
          <w:color w:val="000000"/>
          <w:lang w:val="en-US"/>
        </w:rPr>
        <w:t xml:space="preserve">ECL </w:t>
      </w:r>
      <w:r w:rsidRPr="00F051B5">
        <w:rPr>
          <w:rFonts w:eastAsia="Times New Roman" w:cs="Arial"/>
          <w:color w:val="000000"/>
          <w:lang w:eastAsia="bg-BG"/>
        </w:rPr>
        <w:t>клетъчни карциноиди, свързани с хипергастринемия, в резултат на инхибирането на киселинната секреция. Чревна метаплазия</w:t>
      </w:r>
      <w:r w:rsidRPr="00F051B5">
        <w:rPr>
          <w:rFonts w:eastAsia="Times New Roman" w:cs="Arial"/>
          <w:b/>
          <w:bCs/>
          <w:smallCaps/>
          <w:color w:val="000000"/>
          <w:lang w:eastAsia="bg-BG"/>
        </w:rPr>
        <w:t xml:space="preserve"> </w:t>
      </w:r>
      <w:r w:rsidRPr="00F051B5">
        <w:rPr>
          <w:rFonts w:eastAsia="Times New Roman" w:cs="Arial"/>
          <w:color w:val="000000"/>
          <w:lang w:eastAsia="bg-BG"/>
        </w:rPr>
        <w:t>също се наблюдава, както и хиперплазия на Лайдиговите клетки и доброкачествени тумори на</w:t>
      </w:r>
      <w:r w:rsidRPr="00F051B5">
        <w:rPr>
          <w:rFonts w:eastAsia="Times New Roman" w:cs="Arial"/>
          <w:color w:val="000000"/>
          <w:vertAlign w:val="superscript"/>
          <w:lang w:eastAsia="bg-BG"/>
        </w:rPr>
        <w:t xml:space="preserve"> </w:t>
      </w:r>
      <w:r w:rsidRPr="00F051B5">
        <w:rPr>
          <w:rFonts w:eastAsia="Times New Roman" w:cs="Arial"/>
          <w:color w:val="000000"/>
          <w:lang w:eastAsia="bg-BG"/>
        </w:rPr>
        <w:t>Лайдиговите клетки. Наблюдавана е атрофия на ретината след 18 месеца лечение. Това не е  наблюдавано при маймуни, кучета и мишки.</w:t>
      </w:r>
    </w:p>
    <w:p w14:paraId="13A7B62A" w14:textId="330900AA" w:rsidR="007A2185" w:rsidRPr="00F051B5" w:rsidRDefault="00F051B5" w:rsidP="00F051B5">
      <w:pPr>
        <w:rPr>
          <w:rFonts w:cs="Arial"/>
        </w:rPr>
      </w:pPr>
      <w:r w:rsidRPr="00F051B5">
        <w:rPr>
          <w:rFonts w:eastAsia="Times New Roman" w:cs="Arial"/>
          <w:color w:val="000000"/>
          <w:lang w:eastAsia="bg-BG"/>
        </w:rPr>
        <w:t xml:space="preserve">В проучвания за канцерогенност при мишки се появява дозозависима стомашна  </w:t>
      </w:r>
      <w:r w:rsidRPr="00F051B5">
        <w:rPr>
          <w:rFonts w:eastAsia="Times New Roman" w:cs="Arial"/>
          <w:color w:val="000000"/>
          <w:lang w:val="en-US"/>
        </w:rPr>
        <w:t>ECL-</w:t>
      </w:r>
      <w:r w:rsidRPr="00F051B5">
        <w:rPr>
          <w:rFonts w:eastAsia="Times New Roman" w:cs="Arial"/>
          <w:color w:val="000000"/>
          <w:lang w:eastAsia="bg-BG"/>
        </w:rPr>
        <w:t xml:space="preserve">клетъчна </w:t>
      </w:r>
      <w:r w:rsidRPr="00F051B5">
        <w:rPr>
          <w:rFonts w:cs="Arial"/>
        </w:rPr>
        <w:t xml:space="preserve">хиперплазия, както и чернодробни тумори и аденом на </w:t>
      </w:r>
      <w:r w:rsidRPr="00F051B5">
        <w:rPr>
          <w:rFonts w:cs="Arial"/>
          <w:lang w:val="en-US"/>
        </w:rPr>
        <w:t xml:space="preserve">Rete testis. </w:t>
      </w:r>
      <w:r w:rsidRPr="00F051B5">
        <w:rPr>
          <w:rFonts w:cs="Arial"/>
        </w:rPr>
        <w:t>Клиничното значение на тези находки не е известно.</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4F02909F" w14:textId="13E47A75" w:rsidR="007A2185" w:rsidRPr="00F051B5" w:rsidRDefault="00F051B5" w:rsidP="0091385D">
      <w:pPr>
        <w:rPr>
          <w:rFonts w:cs="Arial"/>
        </w:rPr>
      </w:pPr>
      <w:r w:rsidRPr="00F051B5">
        <w:rPr>
          <w:rFonts w:cs="Arial"/>
        </w:rPr>
        <w:t>„Чайкафарма Висококачествените Лекарства” АД</w:t>
      </w:r>
    </w:p>
    <w:p w14:paraId="59B11BDB"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бул.” Г.М.Димитров”№1</w:t>
      </w:r>
    </w:p>
    <w:p w14:paraId="7A86815D"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гр. София 1172, България</w:t>
      </w:r>
    </w:p>
    <w:p w14:paraId="151DC0B4"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тел.: +359 2 962 54 54</w:t>
      </w:r>
    </w:p>
    <w:p w14:paraId="31766CDE" w14:textId="77777777" w:rsidR="00F051B5" w:rsidRPr="00F051B5" w:rsidRDefault="00F051B5" w:rsidP="00F051B5">
      <w:pPr>
        <w:spacing w:line="240" w:lineRule="auto"/>
        <w:rPr>
          <w:rFonts w:eastAsia="Times New Roman" w:cs="Arial"/>
          <w:lang w:eastAsia="bg-BG"/>
        </w:rPr>
      </w:pPr>
      <w:r w:rsidRPr="00F051B5">
        <w:rPr>
          <w:rFonts w:eastAsia="Times New Roman" w:cs="Arial"/>
          <w:color w:val="000000"/>
          <w:lang w:eastAsia="bg-BG"/>
        </w:rPr>
        <w:t>факс: +359 2 9603 703</w:t>
      </w:r>
    </w:p>
    <w:p w14:paraId="3F3A98C5" w14:textId="273B5252" w:rsidR="00F051B5" w:rsidRPr="00F051B5" w:rsidRDefault="00F051B5" w:rsidP="00F051B5">
      <w:pPr>
        <w:rPr>
          <w:rFonts w:cs="Arial"/>
        </w:rPr>
      </w:pPr>
      <w:proofErr w:type="gramStart"/>
      <w:r w:rsidRPr="00F051B5">
        <w:rPr>
          <w:rFonts w:eastAsia="Times New Roman" w:cs="Arial"/>
          <w:color w:val="000000"/>
          <w:lang w:val="en-US"/>
        </w:rPr>
        <w:t>e-mail</w:t>
      </w:r>
      <w:proofErr w:type="gramEnd"/>
      <w:r w:rsidRPr="00F051B5">
        <w:rPr>
          <w:rFonts w:eastAsia="Times New Roman" w:cs="Arial"/>
          <w:color w:val="000000"/>
          <w:lang w:val="en-US"/>
        </w:rPr>
        <w:t xml:space="preserve">: </w:t>
      </w:r>
      <w:hyperlink r:id="rId5" w:history="1">
        <w:r w:rsidRPr="00F051B5">
          <w:rPr>
            <w:rFonts w:eastAsia="Times New Roman" w:cs="Arial"/>
            <w:color w:val="000000"/>
            <w:u w:val="single"/>
            <w:lang w:val="en-US"/>
          </w:rPr>
          <w:t>info@tchaikapharma.com</w:t>
        </w:r>
      </w:hyperlink>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4CEF768B" w:rsidR="007A2185" w:rsidRPr="00F051B5" w:rsidRDefault="00F051B5" w:rsidP="0091385D">
      <w:pPr>
        <w:rPr>
          <w:rFonts w:cs="Arial"/>
        </w:rPr>
      </w:pPr>
      <w:r w:rsidRPr="00F051B5">
        <w:rPr>
          <w:rFonts w:cs="Arial"/>
        </w:rPr>
        <w:t>Рег.номер: 20140216</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6C57D8B6" w14:textId="7059B169" w:rsidR="007A2185" w:rsidRPr="00F051B5" w:rsidRDefault="00F051B5" w:rsidP="0091385D">
      <w:pPr>
        <w:rPr>
          <w:rFonts w:cs="Arial"/>
        </w:rPr>
      </w:pPr>
      <w:r w:rsidRPr="00F051B5">
        <w:rPr>
          <w:rFonts w:cs="Arial"/>
        </w:rPr>
        <w:t>Дата на първо разрешаване за употреба: 18.07.2014</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216FFA97" w:rsidR="007A2185" w:rsidRPr="00F051B5" w:rsidRDefault="00F051B5" w:rsidP="0091385D">
      <w:pPr>
        <w:rPr>
          <w:rFonts w:cs="Arial"/>
        </w:rPr>
      </w:pPr>
      <w:r w:rsidRPr="00F051B5">
        <w:rPr>
          <w:rFonts w:cs="Arial"/>
        </w:rPr>
        <w:t>Ноември, 2022</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1265C6"/>
    <w:multiLevelType w:val="hybridMultilevel"/>
    <w:tmpl w:val="354040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B031B"/>
    <w:multiLevelType w:val="hybridMultilevel"/>
    <w:tmpl w:val="BA4C6B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7"/>
  </w:num>
  <w:num w:numId="7">
    <w:abstractNumId w:val="11"/>
  </w:num>
  <w:num w:numId="8">
    <w:abstractNumId w:val="16"/>
  </w:num>
  <w:num w:numId="9">
    <w:abstractNumId w:val="2"/>
  </w:num>
  <w:num w:numId="10">
    <w:abstractNumId w:val="5"/>
  </w:num>
  <w:num w:numId="11">
    <w:abstractNumId w:val="31"/>
  </w:num>
  <w:num w:numId="12">
    <w:abstractNumId w:val="15"/>
  </w:num>
  <w:num w:numId="13">
    <w:abstractNumId w:val="20"/>
  </w:num>
  <w:num w:numId="14">
    <w:abstractNumId w:val="12"/>
  </w:num>
  <w:num w:numId="15">
    <w:abstractNumId w:val="30"/>
  </w:num>
  <w:num w:numId="16">
    <w:abstractNumId w:val="10"/>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3"/>
  </w:num>
  <w:num w:numId="28">
    <w:abstractNumId w:val="7"/>
  </w:num>
  <w:num w:numId="29">
    <w:abstractNumId w:val="21"/>
  </w:num>
  <w:num w:numId="30">
    <w:abstractNumId w:val="36"/>
  </w:num>
  <w:num w:numId="31">
    <w:abstractNumId w:val="6"/>
  </w:num>
  <w:num w:numId="32">
    <w:abstractNumId w:val="35"/>
  </w:num>
  <w:num w:numId="33">
    <w:abstractNumId w:val="29"/>
  </w:num>
  <w:num w:numId="34">
    <w:abstractNumId w:val="34"/>
  </w:num>
  <w:num w:numId="35">
    <w:abstractNumId w:val="14"/>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1EE2"/>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051B5"/>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4127</Words>
  <Characters>23530</Characters>
  <Application>Microsoft Office Word</Application>
  <DocSecurity>0</DocSecurity>
  <Lines>196</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2023-03-05T21:58:00Z</dcterms:created>
  <dcterms:modified xsi:type="dcterms:W3CDTF">2023-03-05T21:58:00Z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